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DC0560" w:rsidRDefault="00280F2F" w:rsidP="008A50F1">
      <w:pPr>
        <w:pStyle w:val="Title"/>
        <w:ind w:left="720" w:hanging="720"/>
        <w:rPr>
          <w:rFonts w:asciiTheme="minorHAnsi" w:hAnsiTheme="minorHAnsi"/>
          <w:sz w:val="36"/>
          <w:szCs w:val="36"/>
        </w:rPr>
      </w:pPr>
      <w:bookmarkStart w:id="0" w:name="_GoBack"/>
      <w:bookmarkEnd w:id="0"/>
      <w:r w:rsidRPr="00DC0560">
        <w:rPr>
          <w:rFonts w:asciiTheme="minorHAnsi" w:hAnsiTheme="minorHAnsi"/>
          <w:sz w:val="36"/>
          <w:szCs w:val="36"/>
        </w:rPr>
        <w:t>5.19</w:t>
      </w:r>
      <w:r w:rsidR="007C0F57" w:rsidRPr="00DC0560">
        <w:rPr>
          <w:rFonts w:asciiTheme="minorHAnsi" w:hAnsiTheme="minorHAnsi"/>
          <w:sz w:val="36"/>
          <w:szCs w:val="36"/>
        </w:rPr>
        <w:tab/>
      </w:r>
      <w:r w:rsidRPr="00DC0560">
        <w:rPr>
          <w:rFonts w:asciiTheme="minorHAnsi" w:hAnsiTheme="minorHAnsi"/>
          <w:sz w:val="36"/>
          <w:szCs w:val="36"/>
        </w:rPr>
        <w:t>B</w:t>
      </w:r>
      <w:r w:rsidR="006457D9">
        <w:rPr>
          <w:rFonts w:asciiTheme="minorHAnsi" w:hAnsiTheme="minorHAnsi"/>
          <w:sz w:val="36"/>
          <w:szCs w:val="36"/>
        </w:rPr>
        <w:t>ACLOFEN</w:t>
      </w:r>
      <w:r w:rsidR="008A50F1" w:rsidRPr="00DC0560">
        <w:rPr>
          <w:rFonts w:asciiTheme="minorHAnsi" w:hAnsiTheme="minorHAnsi"/>
          <w:sz w:val="36"/>
          <w:szCs w:val="36"/>
        </w:rPr>
        <w:t xml:space="preserve"> </w:t>
      </w:r>
      <w:r w:rsidR="008A50F1" w:rsidRPr="00DC0560">
        <w:rPr>
          <w:rFonts w:asciiTheme="minorHAnsi" w:hAnsiTheme="minorHAnsi"/>
          <w:sz w:val="36"/>
          <w:szCs w:val="36"/>
        </w:rPr>
        <w:br/>
      </w:r>
      <w:r w:rsidR="00D62608" w:rsidRPr="00DC0560">
        <w:rPr>
          <w:rFonts w:asciiTheme="minorHAnsi" w:hAnsiTheme="minorHAnsi"/>
          <w:sz w:val="36"/>
          <w:szCs w:val="36"/>
        </w:rPr>
        <w:t>Intrathecal injection 40 mg in 20 mL,</w:t>
      </w:r>
      <w:r w:rsidR="008A50F1" w:rsidRPr="00DC0560">
        <w:rPr>
          <w:rFonts w:asciiTheme="minorHAnsi" w:hAnsiTheme="minorHAnsi"/>
          <w:sz w:val="36"/>
          <w:szCs w:val="36"/>
        </w:rPr>
        <w:br/>
      </w:r>
      <w:r w:rsidR="00BE0CE9" w:rsidRPr="00DC0560">
        <w:rPr>
          <w:rFonts w:asciiTheme="minorHAnsi" w:hAnsiTheme="minorHAnsi"/>
          <w:sz w:val="36"/>
          <w:szCs w:val="36"/>
        </w:rPr>
        <w:t>Sintetica Baclofen Intrathecal</w:t>
      </w:r>
      <w:r w:rsidR="0004240E" w:rsidRPr="00DC0560">
        <w:rPr>
          <w:rFonts w:asciiTheme="minorHAnsi" w:hAnsiTheme="minorHAnsi"/>
          <w:sz w:val="36"/>
          <w:szCs w:val="36"/>
          <w:vertAlign w:val="superscript"/>
        </w:rPr>
        <w:t>®</w:t>
      </w:r>
      <w:r w:rsidR="00EF44A0" w:rsidRPr="00DC0560">
        <w:rPr>
          <w:rFonts w:asciiTheme="minorHAnsi" w:hAnsiTheme="minorHAnsi"/>
          <w:sz w:val="36"/>
          <w:szCs w:val="36"/>
        </w:rPr>
        <w:t xml:space="preserve">, </w:t>
      </w:r>
      <w:r w:rsidR="00BE0CE9" w:rsidRPr="00DC0560">
        <w:rPr>
          <w:rFonts w:asciiTheme="minorHAnsi" w:hAnsiTheme="minorHAnsi"/>
          <w:sz w:val="36"/>
          <w:szCs w:val="36"/>
        </w:rPr>
        <w:t>Boucher &amp; Muir Pty Ltd</w:t>
      </w:r>
    </w:p>
    <w:p w:rsidR="001D7FE9" w:rsidRPr="008B3706" w:rsidRDefault="001D7FE9" w:rsidP="00CF4015"/>
    <w:p w:rsidR="00E15627" w:rsidRPr="00DC0560" w:rsidRDefault="00CE10C4" w:rsidP="00E15627">
      <w:pPr>
        <w:pStyle w:val="PBACHeading1"/>
        <w:rPr>
          <w:rFonts w:asciiTheme="minorHAnsi" w:hAnsiTheme="minorHAnsi"/>
          <w:sz w:val="32"/>
          <w:szCs w:val="32"/>
        </w:rPr>
      </w:pPr>
      <w:r w:rsidRPr="00DC0560">
        <w:rPr>
          <w:rFonts w:asciiTheme="minorHAnsi" w:hAnsiTheme="minorHAnsi"/>
          <w:sz w:val="32"/>
          <w:szCs w:val="32"/>
        </w:rPr>
        <w:t xml:space="preserve">Purpose of </w:t>
      </w:r>
      <w:r w:rsidR="0004240E" w:rsidRPr="00DC0560">
        <w:rPr>
          <w:rFonts w:asciiTheme="minorHAnsi" w:hAnsiTheme="minorHAnsi"/>
          <w:sz w:val="32"/>
          <w:szCs w:val="32"/>
        </w:rPr>
        <w:t>Application</w:t>
      </w:r>
    </w:p>
    <w:p w:rsidR="008A50F1" w:rsidRPr="008B3706" w:rsidRDefault="008A50F1" w:rsidP="00E15627">
      <w:pPr>
        <w:rPr>
          <w:rFonts w:asciiTheme="minorHAnsi" w:hAnsiTheme="minorHAnsi"/>
        </w:rPr>
      </w:pPr>
    </w:p>
    <w:p w:rsidR="002879AA" w:rsidRPr="00DC0560" w:rsidRDefault="00EF44A0" w:rsidP="002879AA">
      <w:pPr>
        <w:pStyle w:val="ListParagraph"/>
        <w:numPr>
          <w:ilvl w:val="1"/>
          <w:numId w:val="5"/>
        </w:numPr>
        <w:rPr>
          <w:rFonts w:asciiTheme="minorHAnsi" w:hAnsiTheme="minorHAnsi"/>
          <w:sz w:val="24"/>
          <w:szCs w:val="24"/>
        </w:rPr>
      </w:pPr>
      <w:r w:rsidRPr="00DC0560">
        <w:rPr>
          <w:rFonts w:asciiTheme="minorHAnsi" w:hAnsiTheme="minorHAnsi"/>
          <w:sz w:val="24"/>
          <w:szCs w:val="24"/>
        </w:rPr>
        <w:t>The mi</w:t>
      </w:r>
      <w:r w:rsidR="00FF2801" w:rsidRPr="00DC0560">
        <w:rPr>
          <w:rFonts w:asciiTheme="minorHAnsi" w:hAnsiTheme="minorHAnsi"/>
          <w:sz w:val="24"/>
          <w:szCs w:val="24"/>
        </w:rPr>
        <w:t>nor submission requested</w:t>
      </w:r>
      <w:r w:rsidR="00BE0CE9" w:rsidRPr="00DC0560">
        <w:rPr>
          <w:rFonts w:asciiTheme="minorHAnsi" w:hAnsiTheme="minorHAnsi"/>
          <w:sz w:val="24"/>
          <w:szCs w:val="24"/>
        </w:rPr>
        <w:t xml:space="preserve"> a Section 100 High</w:t>
      </w:r>
      <w:r w:rsidR="002879AA" w:rsidRPr="00DC0560">
        <w:rPr>
          <w:rFonts w:asciiTheme="minorHAnsi" w:hAnsiTheme="minorHAnsi"/>
          <w:sz w:val="24"/>
          <w:szCs w:val="24"/>
        </w:rPr>
        <w:t xml:space="preserve">ly </w:t>
      </w:r>
      <w:r w:rsidR="00D62608" w:rsidRPr="00DC0560">
        <w:rPr>
          <w:rFonts w:asciiTheme="minorHAnsi" w:hAnsiTheme="minorHAnsi"/>
          <w:sz w:val="24"/>
          <w:szCs w:val="24"/>
        </w:rPr>
        <w:t>Specialised</w:t>
      </w:r>
      <w:r w:rsidR="002879AA" w:rsidRPr="00DC0560">
        <w:rPr>
          <w:rFonts w:asciiTheme="minorHAnsi" w:hAnsiTheme="minorHAnsi"/>
          <w:sz w:val="24"/>
          <w:szCs w:val="24"/>
        </w:rPr>
        <w:t xml:space="preserve"> Drugs (HSD) Public Hospital Authority Required (STREAMLINED) </w:t>
      </w:r>
      <w:r w:rsidR="006753AA" w:rsidRPr="00DC0560">
        <w:rPr>
          <w:rFonts w:asciiTheme="minorHAnsi" w:hAnsiTheme="minorHAnsi"/>
          <w:sz w:val="24"/>
          <w:szCs w:val="24"/>
        </w:rPr>
        <w:t xml:space="preserve">listing </w:t>
      </w:r>
      <w:r w:rsidR="002879AA" w:rsidRPr="00DC0560">
        <w:rPr>
          <w:rFonts w:asciiTheme="minorHAnsi" w:hAnsiTheme="minorHAnsi"/>
          <w:sz w:val="24"/>
          <w:szCs w:val="24"/>
        </w:rPr>
        <w:t xml:space="preserve">and </w:t>
      </w:r>
      <w:r w:rsidR="006753AA" w:rsidRPr="00DC0560">
        <w:rPr>
          <w:rFonts w:asciiTheme="minorHAnsi" w:hAnsiTheme="minorHAnsi"/>
          <w:sz w:val="24"/>
          <w:szCs w:val="24"/>
        </w:rPr>
        <w:t xml:space="preserve">a </w:t>
      </w:r>
      <w:r w:rsidR="002879AA" w:rsidRPr="00DC0560">
        <w:rPr>
          <w:rFonts w:asciiTheme="minorHAnsi" w:hAnsiTheme="minorHAnsi"/>
          <w:sz w:val="24"/>
          <w:szCs w:val="24"/>
        </w:rPr>
        <w:t xml:space="preserve">Section 100 HSD Private Hospital Authority Required listing of a new strength of baclofen </w:t>
      </w:r>
      <w:r w:rsidR="004752E9" w:rsidRPr="00DC0560">
        <w:rPr>
          <w:rFonts w:asciiTheme="minorHAnsi" w:hAnsiTheme="minorHAnsi"/>
          <w:sz w:val="24"/>
          <w:szCs w:val="24"/>
        </w:rPr>
        <w:t xml:space="preserve">(40 mg in 20 ml ampoule) </w:t>
      </w:r>
      <w:r w:rsidR="002879AA" w:rsidRPr="00DC0560">
        <w:rPr>
          <w:rFonts w:asciiTheme="minorHAnsi" w:hAnsiTheme="minorHAnsi"/>
          <w:sz w:val="24"/>
          <w:szCs w:val="24"/>
        </w:rPr>
        <w:t xml:space="preserve">for the </w:t>
      </w:r>
      <w:r w:rsidR="006075D6" w:rsidRPr="00DC0560">
        <w:rPr>
          <w:rFonts w:asciiTheme="minorHAnsi" w:hAnsiTheme="minorHAnsi"/>
          <w:sz w:val="24"/>
          <w:szCs w:val="24"/>
        </w:rPr>
        <w:t>treatment of severe chronic spasticity, the same indication</w:t>
      </w:r>
      <w:r w:rsidR="002879AA" w:rsidRPr="00DC0560">
        <w:rPr>
          <w:rFonts w:asciiTheme="minorHAnsi" w:hAnsiTheme="minorHAnsi"/>
          <w:sz w:val="24"/>
          <w:szCs w:val="24"/>
        </w:rPr>
        <w:t xml:space="preserve"> as the currently listed </w:t>
      </w:r>
      <w:r w:rsidR="009D6D3C" w:rsidRPr="00DC0560">
        <w:rPr>
          <w:rFonts w:asciiTheme="minorHAnsi" w:hAnsiTheme="minorHAnsi"/>
          <w:sz w:val="24"/>
          <w:szCs w:val="24"/>
        </w:rPr>
        <w:t>10 mg/ 5 mL</w:t>
      </w:r>
      <w:r w:rsidR="00CC3050" w:rsidRPr="00DC0560">
        <w:rPr>
          <w:rFonts w:asciiTheme="minorHAnsi" w:hAnsiTheme="minorHAnsi"/>
          <w:sz w:val="24"/>
          <w:szCs w:val="24"/>
        </w:rPr>
        <w:t xml:space="preserve"> ampoules</w:t>
      </w:r>
      <w:r w:rsidR="006075D6" w:rsidRPr="00DC0560">
        <w:rPr>
          <w:rFonts w:asciiTheme="minorHAnsi" w:hAnsiTheme="minorHAnsi"/>
          <w:sz w:val="24"/>
          <w:szCs w:val="24"/>
        </w:rPr>
        <w:t>.</w:t>
      </w:r>
      <w:r w:rsidR="002879AA" w:rsidRPr="00DC0560">
        <w:rPr>
          <w:rFonts w:asciiTheme="minorHAnsi" w:hAnsiTheme="minorHAnsi"/>
          <w:sz w:val="24"/>
          <w:szCs w:val="24"/>
        </w:rPr>
        <w:t xml:space="preserve"> </w:t>
      </w:r>
    </w:p>
    <w:p w:rsidR="001D7FE9" w:rsidRPr="008B3706" w:rsidRDefault="001D7FE9" w:rsidP="002879AA">
      <w:pPr>
        <w:pStyle w:val="ListParagraph"/>
        <w:rPr>
          <w:rFonts w:asciiTheme="minorHAnsi" w:hAnsiTheme="minorHAnsi"/>
        </w:rPr>
      </w:pPr>
    </w:p>
    <w:p w:rsidR="00962223" w:rsidRPr="00DC0560" w:rsidRDefault="006A12A5" w:rsidP="008A50F1">
      <w:pPr>
        <w:pStyle w:val="PBACHeading1"/>
        <w:rPr>
          <w:rFonts w:asciiTheme="minorHAnsi" w:hAnsiTheme="minorHAnsi"/>
          <w:sz w:val="32"/>
          <w:szCs w:val="32"/>
        </w:rPr>
      </w:pPr>
      <w:r w:rsidRPr="00DC0560">
        <w:rPr>
          <w:rFonts w:asciiTheme="minorHAnsi" w:hAnsiTheme="minorHAnsi"/>
          <w:sz w:val="32"/>
          <w:szCs w:val="32"/>
        </w:rPr>
        <w:t>Requested listing</w:t>
      </w:r>
    </w:p>
    <w:p w:rsidR="006A12A5" w:rsidRPr="008B3706" w:rsidRDefault="006A12A5" w:rsidP="00882085">
      <w:pPr>
        <w:jc w:val="both"/>
        <w:rPr>
          <w:rFonts w:asciiTheme="minorHAnsi" w:hAnsiTheme="minorHAnsi"/>
          <w:b/>
          <w:sz w:val="22"/>
          <w:szCs w:val="22"/>
        </w:rPr>
      </w:pPr>
    </w:p>
    <w:p w:rsidR="00BB7EC3" w:rsidRPr="00DC0560" w:rsidRDefault="00EF44A0" w:rsidP="00882085">
      <w:pPr>
        <w:pStyle w:val="ListParagraph"/>
        <w:numPr>
          <w:ilvl w:val="1"/>
          <w:numId w:val="5"/>
        </w:numPr>
        <w:rPr>
          <w:rFonts w:ascii="Arial Narrow" w:hAnsi="Arial Narrow"/>
          <w:sz w:val="24"/>
          <w:szCs w:val="24"/>
        </w:rPr>
      </w:pPr>
      <w:r w:rsidRPr="00DC0560">
        <w:rPr>
          <w:rFonts w:asciiTheme="minorHAnsi" w:hAnsiTheme="minorHAnsi"/>
          <w:sz w:val="24"/>
          <w:szCs w:val="24"/>
        </w:rPr>
        <w:t xml:space="preserve">The submission </w:t>
      </w:r>
      <w:r w:rsidR="00FF2801" w:rsidRPr="00DC0560">
        <w:rPr>
          <w:rFonts w:asciiTheme="minorHAnsi" w:hAnsiTheme="minorHAnsi"/>
          <w:sz w:val="24"/>
          <w:szCs w:val="24"/>
        </w:rPr>
        <w:t>requested</w:t>
      </w:r>
      <w:r w:rsidRPr="00DC0560">
        <w:rPr>
          <w:rFonts w:asciiTheme="minorHAnsi" w:hAnsiTheme="minorHAnsi"/>
          <w:sz w:val="24"/>
          <w:szCs w:val="24"/>
        </w:rPr>
        <w:t xml:space="preserve"> the </w:t>
      </w:r>
      <w:r w:rsidR="00941130" w:rsidRPr="00DC0560">
        <w:rPr>
          <w:rFonts w:asciiTheme="minorHAnsi" w:hAnsiTheme="minorHAnsi"/>
          <w:sz w:val="24"/>
          <w:szCs w:val="24"/>
        </w:rPr>
        <w:t xml:space="preserve">same restriction </w:t>
      </w:r>
      <w:r w:rsidR="00440F47" w:rsidRPr="00DC0560">
        <w:rPr>
          <w:rFonts w:asciiTheme="minorHAnsi" w:hAnsiTheme="minorHAnsi"/>
          <w:sz w:val="24"/>
          <w:szCs w:val="24"/>
        </w:rPr>
        <w:t xml:space="preserve">as </w:t>
      </w:r>
      <w:r w:rsidR="00941130" w:rsidRPr="00DC0560">
        <w:rPr>
          <w:rFonts w:asciiTheme="minorHAnsi" w:hAnsiTheme="minorHAnsi"/>
          <w:sz w:val="24"/>
          <w:szCs w:val="24"/>
        </w:rPr>
        <w:t>for the currently listed form of baclofen</w:t>
      </w:r>
      <w:r w:rsidR="00440F47" w:rsidRPr="00DC0560">
        <w:rPr>
          <w:rFonts w:asciiTheme="minorHAnsi" w:hAnsiTheme="minorHAnsi"/>
          <w:sz w:val="24"/>
          <w:szCs w:val="24"/>
        </w:rPr>
        <w:t>, for the treatment of severe chronic spasticity of cerebral origin, due to multiple sclerosis, due to spinal cord injury, or due to spinal cord disease.</w:t>
      </w:r>
    </w:p>
    <w:p w:rsidR="001D7FE9" w:rsidRPr="008B3706" w:rsidRDefault="001D7FE9" w:rsidP="00882085">
      <w:pPr>
        <w:jc w:val="both"/>
        <w:rPr>
          <w:rFonts w:asciiTheme="minorHAnsi" w:hAnsiTheme="minorHAnsi"/>
          <w:b/>
          <w:sz w:val="22"/>
          <w:szCs w:val="22"/>
        </w:rPr>
      </w:pPr>
    </w:p>
    <w:p w:rsidR="00CE10C4" w:rsidRPr="00DC0560" w:rsidRDefault="00CE10C4" w:rsidP="008A50F1">
      <w:pPr>
        <w:pStyle w:val="PBACHeading1"/>
        <w:rPr>
          <w:rFonts w:asciiTheme="minorHAnsi" w:hAnsiTheme="minorHAnsi"/>
          <w:sz w:val="32"/>
          <w:szCs w:val="32"/>
        </w:rPr>
      </w:pPr>
      <w:r w:rsidRPr="00DC0560">
        <w:rPr>
          <w:rFonts w:asciiTheme="minorHAnsi" w:hAnsiTheme="minorHAnsi"/>
          <w:sz w:val="32"/>
          <w:szCs w:val="32"/>
        </w:rPr>
        <w:t>Background</w:t>
      </w:r>
    </w:p>
    <w:p w:rsidR="00C603D4" w:rsidRPr="008B3706" w:rsidRDefault="00C603D4" w:rsidP="00C603D4">
      <w:pPr>
        <w:pStyle w:val="ListParagraph"/>
        <w:rPr>
          <w:rFonts w:asciiTheme="minorHAnsi" w:hAnsiTheme="minorHAnsi"/>
          <w:i/>
          <w:szCs w:val="22"/>
        </w:rPr>
      </w:pPr>
    </w:p>
    <w:p w:rsidR="002B1AE6" w:rsidRPr="00DC0560" w:rsidRDefault="009D6D3C" w:rsidP="008A50F1">
      <w:pPr>
        <w:pStyle w:val="ListParagraph"/>
        <w:numPr>
          <w:ilvl w:val="1"/>
          <w:numId w:val="5"/>
        </w:numPr>
        <w:rPr>
          <w:rFonts w:asciiTheme="minorHAnsi" w:hAnsiTheme="minorHAnsi"/>
          <w:sz w:val="24"/>
          <w:szCs w:val="24"/>
        </w:rPr>
      </w:pPr>
      <w:r w:rsidRPr="00DC0560">
        <w:rPr>
          <w:rFonts w:asciiTheme="minorHAnsi" w:hAnsiTheme="minorHAnsi"/>
          <w:sz w:val="24"/>
          <w:szCs w:val="24"/>
        </w:rPr>
        <w:t>B</w:t>
      </w:r>
      <w:r w:rsidR="005D01D7" w:rsidRPr="00DC0560">
        <w:rPr>
          <w:rFonts w:asciiTheme="minorHAnsi" w:hAnsiTheme="minorHAnsi"/>
          <w:sz w:val="24"/>
          <w:szCs w:val="24"/>
        </w:rPr>
        <w:t xml:space="preserve">aclofen </w:t>
      </w:r>
      <w:r w:rsidR="00A12B26" w:rsidRPr="00DC0560">
        <w:rPr>
          <w:rFonts w:asciiTheme="minorHAnsi" w:hAnsiTheme="minorHAnsi"/>
          <w:sz w:val="24"/>
          <w:szCs w:val="24"/>
        </w:rPr>
        <w:t>40</w:t>
      </w:r>
      <w:r w:rsidR="005D01D7" w:rsidRPr="00DC0560">
        <w:rPr>
          <w:rFonts w:asciiTheme="minorHAnsi" w:hAnsiTheme="minorHAnsi"/>
          <w:sz w:val="24"/>
          <w:szCs w:val="24"/>
        </w:rPr>
        <w:t xml:space="preserve"> mg/</w:t>
      </w:r>
      <w:r w:rsidR="00A12B26" w:rsidRPr="00DC0560">
        <w:rPr>
          <w:rFonts w:asciiTheme="minorHAnsi" w:hAnsiTheme="minorHAnsi"/>
          <w:sz w:val="24"/>
          <w:szCs w:val="24"/>
        </w:rPr>
        <w:t>20</w:t>
      </w:r>
      <w:r w:rsidR="005D01D7" w:rsidRPr="00DC0560">
        <w:rPr>
          <w:rFonts w:asciiTheme="minorHAnsi" w:hAnsiTheme="minorHAnsi"/>
          <w:sz w:val="24"/>
          <w:szCs w:val="24"/>
        </w:rPr>
        <w:t xml:space="preserve"> mL </w:t>
      </w:r>
      <w:r w:rsidR="00A12B26" w:rsidRPr="00DC0560">
        <w:rPr>
          <w:rFonts w:asciiTheme="minorHAnsi" w:hAnsiTheme="minorHAnsi"/>
          <w:sz w:val="24"/>
          <w:szCs w:val="24"/>
        </w:rPr>
        <w:t xml:space="preserve">ampoule </w:t>
      </w:r>
      <w:r w:rsidRPr="00DC0560">
        <w:rPr>
          <w:rFonts w:asciiTheme="minorHAnsi" w:hAnsiTheme="minorHAnsi"/>
          <w:sz w:val="24"/>
          <w:szCs w:val="24"/>
        </w:rPr>
        <w:t>wa</w:t>
      </w:r>
      <w:r w:rsidR="00476245" w:rsidRPr="00DC0560">
        <w:rPr>
          <w:rFonts w:asciiTheme="minorHAnsi" w:hAnsiTheme="minorHAnsi"/>
          <w:sz w:val="24"/>
          <w:szCs w:val="24"/>
        </w:rPr>
        <w:t>s TGA registered</w:t>
      </w:r>
      <w:r w:rsidR="00A12B26" w:rsidRPr="00DC0560">
        <w:rPr>
          <w:rFonts w:asciiTheme="minorHAnsi" w:hAnsiTheme="minorHAnsi"/>
          <w:sz w:val="24"/>
          <w:szCs w:val="24"/>
        </w:rPr>
        <w:t xml:space="preserve"> in March 2017</w:t>
      </w:r>
      <w:r w:rsidR="00476245" w:rsidRPr="00DC0560">
        <w:rPr>
          <w:rFonts w:asciiTheme="minorHAnsi" w:hAnsiTheme="minorHAnsi"/>
          <w:sz w:val="24"/>
          <w:szCs w:val="24"/>
        </w:rPr>
        <w:t xml:space="preserve"> for</w:t>
      </w:r>
      <w:r w:rsidR="00A12B26" w:rsidRPr="00DC0560">
        <w:rPr>
          <w:rFonts w:asciiTheme="minorHAnsi" w:hAnsiTheme="minorHAnsi"/>
          <w:sz w:val="24"/>
          <w:szCs w:val="24"/>
        </w:rPr>
        <w:t xml:space="preserve"> patients with severe chronic spasticity of spinal origin (associated with injury, multiple sclerosis, or other spinal cord diseases) or of cerebral origin who are unresponsive to orally administered antispastics (including oral baclofen) and/or who experience unacceptable side effects at effective oral doses. </w:t>
      </w:r>
      <w:r w:rsidR="002B1AE6" w:rsidRPr="00DC0560">
        <w:rPr>
          <w:rFonts w:asciiTheme="minorHAnsi" w:hAnsiTheme="minorHAnsi"/>
          <w:sz w:val="24"/>
          <w:szCs w:val="24"/>
        </w:rPr>
        <w:t xml:space="preserve"> </w:t>
      </w:r>
    </w:p>
    <w:p w:rsidR="009D6D3C" w:rsidRPr="00DC0560" w:rsidRDefault="009D6D3C" w:rsidP="00DC0560">
      <w:pPr>
        <w:pStyle w:val="ListParagraph"/>
        <w:rPr>
          <w:rFonts w:asciiTheme="minorHAnsi" w:hAnsiTheme="minorHAnsi"/>
          <w:sz w:val="24"/>
          <w:szCs w:val="24"/>
        </w:rPr>
      </w:pPr>
    </w:p>
    <w:p w:rsidR="009D6D3C" w:rsidRPr="00DC0560" w:rsidRDefault="009D6D3C" w:rsidP="00DC0560">
      <w:pPr>
        <w:pStyle w:val="ListParagraph"/>
        <w:numPr>
          <w:ilvl w:val="1"/>
          <w:numId w:val="5"/>
        </w:numPr>
        <w:rPr>
          <w:rFonts w:asciiTheme="minorHAnsi" w:hAnsiTheme="minorHAnsi"/>
          <w:sz w:val="24"/>
          <w:szCs w:val="24"/>
        </w:rPr>
      </w:pPr>
      <w:r w:rsidRPr="00DC0560">
        <w:rPr>
          <w:rFonts w:asciiTheme="minorHAnsi" w:hAnsiTheme="minorHAnsi"/>
          <w:sz w:val="24"/>
          <w:szCs w:val="24"/>
        </w:rPr>
        <w:t>B</w:t>
      </w:r>
      <w:r w:rsidR="00A77009" w:rsidRPr="00DC0560">
        <w:rPr>
          <w:rFonts w:asciiTheme="minorHAnsi" w:hAnsiTheme="minorHAnsi"/>
          <w:sz w:val="24"/>
          <w:szCs w:val="24"/>
        </w:rPr>
        <w:t>aclofen 10 mg/5 mL and 10 mg/20 mL were recommended by the PBAC in June 2000</w:t>
      </w:r>
      <w:r w:rsidR="00A12B26" w:rsidRPr="00DC0560">
        <w:rPr>
          <w:rFonts w:asciiTheme="minorHAnsi" w:hAnsiTheme="minorHAnsi"/>
          <w:sz w:val="24"/>
          <w:szCs w:val="24"/>
        </w:rPr>
        <w:t>.</w:t>
      </w:r>
      <w:r w:rsidR="0016248B" w:rsidRPr="00DC0560">
        <w:rPr>
          <w:rFonts w:asciiTheme="minorHAnsi" w:hAnsiTheme="minorHAnsi"/>
          <w:sz w:val="24"/>
          <w:szCs w:val="24"/>
        </w:rPr>
        <w:t xml:space="preserve"> </w:t>
      </w:r>
      <w:r w:rsidRPr="00DC0560">
        <w:rPr>
          <w:rFonts w:asciiTheme="minorHAnsi" w:hAnsiTheme="minorHAnsi"/>
          <w:sz w:val="24"/>
          <w:szCs w:val="24"/>
        </w:rPr>
        <w:t xml:space="preserve">Baclofen </w:t>
      </w:r>
      <w:r w:rsidR="00A77009" w:rsidRPr="00DC0560">
        <w:rPr>
          <w:rFonts w:asciiTheme="minorHAnsi" w:hAnsiTheme="minorHAnsi"/>
          <w:sz w:val="24"/>
          <w:szCs w:val="24"/>
        </w:rPr>
        <w:t>10 mg/20 mL was deleted from the PBS in August 2008</w:t>
      </w:r>
      <w:r w:rsidRPr="00DC0560">
        <w:rPr>
          <w:rFonts w:asciiTheme="minorHAnsi" w:hAnsiTheme="minorHAnsi"/>
          <w:sz w:val="24"/>
          <w:szCs w:val="24"/>
        </w:rPr>
        <w:t>.</w:t>
      </w:r>
    </w:p>
    <w:p w:rsidR="00F20178" w:rsidRPr="00DC0560" w:rsidRDefault="00F20178" w:rsidP="00DC0560">
      <w:pPr>
        <w:pStyle w:val="ListParagraph"/>
        <w:rPr>
          <w:rFonts w:asciiTheme="minorHAnsi" w:hAnsiTheme="minorHAnsi"/>
          <w:sz w:val="24"/>
          <w:szCs w:val="24"/>
        </w:rPr>
      </w:pPr>
    </w:p>
    <w:p w:rsidR="00A77009" w:rsidRPr="00DC0560" w:rsidRDefault="009D6D3C" w:rsidP="00A12B26">
      <w:pPr>
        <w:pStyle w:val="ListParagraph"/>
        <w:numPr>
          <w:ilvl w:val="1"/>
          <w:numId w:val="5"/>
        </w:numPr>
        <w:rPr>
          <w:rFonts w:asciiTheme="minorHAnsi" w:hAnsiTheme="minorHAnsi"/>
          <w:sz w:val="24"/>
          <w:szCs w:val="24"/>
        </w:rPr>
      </w:pPr>
      <w:r w:rsidRPr="00DC0560">
        <w:rPr>
          <w:rFonts w:asciiTheme="minorHAnsi" w:hAnsiTheme="minorHAnsi"/>
          <w:sz w:val="24"/>
          <w:szCs w:val="24"/>
        </w:rPr>
        <w:t>B</w:t>
      </w:r>
      <w:r w:rsidR="00A77009" w:rsidRPr="00DC0560">
        <w:rPr>
          <w:rFonts w:asciiTheme="minorHAnsi" w:hAnsiTheme="minorHAnsi"/>
          <w:sz w:val="24"/>
          <w:szCs w:val="24"/>
        </w:rPr>
        <w:t>aclofen intrathecal injection 40 mg/20 mL ampoule has not been previously considered by the PBAC.</w:t>
      </w:r>
    </w:p>
    <w:p w:rsidR="009D6D3C" w:rsidRPr="00DC0560" w:rsidRDefault="009D6D3C" w:rsidP="00DC0560">
      <w:pPr>
        <w:pStyle w:val="ListParagraph"/>
        <w:rPr>
          <w:rFonts w:asciiTheme="minorHAnsi" w:hAnsiTheme="minorHAnsi"/>
          <w:sz w:val="24"/>
          <w:szCs w:val="24"/>
        </w:rPr>
      </w:pPr>
    </w:p>
    <w:p w:rsidR="009A1273" w:rsidRPr="00DC0560" w:rsidRDefault="009D6D3C" w:rsidP="00D01F8B">
      <w:pPr>
        <w:pStyle w:val="ListParagraph"/>
        <w:numPr>
          <w:ilvl w:val="1"/>
          <w:numId w:val="5"/>
        </w:numPr>
        <w:rPr>
          <w:rFonts w:asciiTheme="minorHAnsi" w:hAnsiTheme="minorHAnsi"/>
          <w:sz w:val="24"/>
          <w:szCs w:val="24"/>
        </w:rPr>
      </w:pPr>
      <w:r w:rsidRPr="00DC0560">
        <w:rPr>
          <w:rFonts w:asciiTheme="minorHAnsi" w:hAnsiTheme="minorHAnsi"/>
          <w:sz w:val="24"/>
          <w:szCs w:val="24"/>
        </w:rPr>
        <w:t>A</w:t>
      </w:r>
      <w:r w:rsidR="00E279C6" w:rsidRPr="00DC0560">
        <w:rPr>
          <w:rFonts w:asciiTheme="minorHAnsi" w:hAnsiTheme="minorHAnsi"/>
          <w:sz w:val="24"/>
          <w:szCs w:val="24"/>
        </w:rPr>
        <w:t xml:space="preserve"> generic brand of </w:t>
      </w:r>
      <w:bookmarkStart w:id="1" w:name="_1.1.1_Rationale_for"/>
      <w:bookmarkEnd w:id="1"/>
      <w:r w:rsidR="00A77009" w:rsidRPr="00DC0560">
        <w:rPr>
          <w:rFonts w:asciiTheme="minorHAnsi" w:hAnsiTheme="minorHAnsi"/>
          <w:sz w:val="24"/>
          <w:szCs w:val="24"/>
        </w:rPr>
        <w:t xml:space="preserve">baclofen 10 mg/5 mL </w:t>
      </w:r>
      <w:r w:rsidR="00E279C6" w:rsidRPr="00DC0560">
        <w:rPr>
          <w:rFonts w:asciiTheme="minorHAnsi" w:hAnsiTheme="minorHAnsi"/>
          <w:sz w:val="24"/>
          <w:szCs w:val="24"/>
        </w:rPr>
        <w:t xml:space="preserve">with a pack size of 10 </w:t>
      </w:r>
      <w:r w:rsidR="00352EA3" w:rsidRPr="00DC0560">
        <w:rPr>
          <w:rFonts w:asciiTheme="minorHAnsi" w:hAnsiTheme="minorHAnsi"/>
          <w:sz w:val="24"/>
          <w:szCs w:val="24"/>
        </w:rPr>
        <w:t>from the same sponsor</w:t>
      </w:r>
      <w:r w:rsidR="00C167F7" w:rsidRPr="00DC0560">
        <w:rPr>
          <w:rFonts w:asciiTheme="minorHAnsi" w:hAnsiTheme="minorHAnsi"/>
          <w:sz w:val="24"/>
          <w:szCs w:val="24"/>
        </w:rPr>
        <w:t xml:space="preserve"> </w:t>
      </w:r>
      <w:r w:rsidR="00352EA3" w:rsidRPr="00DC0560">
        <w:rPr>
          <w:rFonts w:asciiTheme="minorHAnsi" w:hAnsiTheme="minorHAnsi"/>
          <w:sz w:val="24"/>
          <w:szCs w:val="24"/>
        </w:rPr>
        <w:t>(</w:t>
      </w:r>
      <w:r w:rsidR="00C167F7" w:rsidRPr="00DC0560">
        <w:rPr>
          <w:rFonts w:asciiTheme="minorHAnsi" w:hAnsiTheme="minorHAnsi"/>
          <w:sz w:val="24"/>
          <w:szCs w:val="24"/>
        </w:rPr>
        <w:t>Boucher &amp; Muir Pty Ltd</w:t>
      </w:r>
      <w:r w:rsidR="00352EA3" w:rsidRPr="00DC0560">
        <w:rPr>
          <w:rFonts w:asciiTheme="minorHAnsi" w:hAnsiTheme="minorHAnsi"/>
          <w:sz w:val="24"/>
          <w:szCs w:val="24"/>
        </w:rPr>
        <w:t>)</w:t>
      </w:r>
      <w:r w:rsidR="00E279C6" w:rsidRPr="00DC0560">
        <w:rPr>
          <w:rFonts w:asciiTheme="minorHAnsi" w:hAnsiTheme="minorHAnsi"/>
          <w:sz w:val="24"/>
          <w:szCs w:val="24"/>
        </w:rPr>
        <w:t xml:space="preserve"> </w:t>
      </w:r>
      <w:r w:rsidRPr="00DC0560">
        <w:rPr>
          <w:rFonts w:asciiTheme="minorHAnsi" w:hAnsiTheme="minorHAnsi"/>
          <w:sz w:val="24"/>
          <w:szCs w:val="24"/>
        </w:rPr>
        <w:t xml:space="preserve">was listed </w:t>
      </w:r>
      <w:r w:rsidR="00E279C6" w:rsidRPr="00DC0560">
        <w:rPr>
          <w:rFonts w:asciiTheme="minorHAnsi" w:hAnsiTheme="minorHAnsi"/>
          <w:sz w:val="24"/>
          <w:szCs w:val="24"/>
        </w:rPr>
        <w:t>on</w:t>
      </w:r>
      <w:r w:rsidR="00A77009" w:rsidRPr="00DC0560">
        <w:rPr>
          <w:rFonts w:asciiTheme="minorHAnsi" w:hAnsiTheme="minorHAnsi"/>
          <w:sz w:val="24"/>
          <w:szCs w:val="24"/>
        </w:rPr>
        <w:t xml:space="preserve"> </w:t>
      </w:r>
      <w:r w:rsidR="00E279C6" w:rsidRPr="00DC0560">
        <w:rPr>
          <w:rFonts w:asciiTheme="minorHAnsi" w:hAnsiTheme="minorHAnsi"/>
          <w:sz w:val="24"/>
          <w:szCs w:val="24"/>
        </w:rPr>
        <w:t xml:space="preserve">the PBS </w:t>
      </w:r>
      <w:r w:rsidRPr="00DC0560">
        <w:rPr>
          <w:rFonts w:asciiTheme="minorHAnsi" w:hAnsiTheme="minorHAnsi"/>
          <w:sz w:val="24"/>
          <w:szCs w:val="24"/>
        </w:rPr>
        <w:t>from 1</w:t>
      </w:r>
      <w:r w:rsidR="00A77009" w:rsidRPr="00DC0560">
        <w:rPr>
          <w:rFonts w:asciiTheme="minorHAnsi" w:hAnsiTheme="minorHAnsi"/>
          <w:sz w:val="24"/>
          <w:szCs w:val="24"/>
        </w:rPr>
        <w:t xml:space="preserve"> June 2017</w:t>
      </w:r>
      <w:r w:rsidR="00E279C6" w:rsidRPr="00DC0560">
        <w:rPr>
          <w:rFonts w:asciiTheme="minorHAnsi" w:hAnsiTheme="minorHAnsi"/>
          <w:sz w:val="24"/>
          <w:szCs w:val="24"/>
        </w:rPr>
        <w:t xml:space="preserve"> under the same restriction </w:t>
      </w:r>
      <w:r w:rsidRPr="00DC0560">
        <w:rPr>
          <w:rFonts w:asciiTheme="minorHAnsi" w:hAnsiTheme="minorHAnsi"/>
          <w:sz w:val="24"/>
          <w:szCs w:val="24"/>
        </w:rPr>
        <w:t>as the 10 mg/5 mL</w:t>
      </w:r>
      <w:r w:rsidR="00A24210" w:rsidRPr="00DC0560">
        <w:rPr>
          <w:rFonts w:asciiTheme="minorHAnsi" w:hAnsiTheme="minorHAnsi"/>
          <w:sz w:val="24"/>
          <w:szCs w:val="24"/>
        </w:rPr>
        <w:t xml:space="preserve"> single ampoules</w:t>
      </w:r>
      <w:r w:rsidR="00A77009" w:rsidRPr="00DC0560">
        <w:rPr>
          <w:rFonts w:asciiTheme="minorHAnsi" w:hAnsiTheme="minorHAnsi"/>
          <w:sz w:val="24"/>
          <w:szCs w:val="24"/>
        </w:rPr>
        <w:t>.</w:t>
      </w:r>
    </w:p>
    <w:p w:rsidR="001D7FE9" w:rsidRDefault="001D7FE9" w:rsidP="00D01F8B">
      <w:pPr>
        <w:rPr>
          <w:rFonts w:asciiTheme="minorHAnsi" w:hAnsiTheme="minorHAnsi"/>
          <w:szCs w:val="22"/>
        </w:rPr>
      </w:pPr>
    </w:p>
    <w:p w:rsidR="0084258F" w:rsidRPr="008B3706" w:rsidRDefault="0084258F" w:rsidP="00D01F8B">
      <w:pPr>
        <w:rPr>
          <w:rFonts w:asciiTheme="minorHAnsi" w:hAnsiTheme="minorHAnsi"/>
          <w:szCs w:val="22"/>
        </w:rPr>
      </w:pPr>
    </w:p>
    <w:p w:rsidR="00A24210" w:rsidRPr="00DC0560" w:rsidRDefault="00A24210" w:rsidP="00C167F7">
      <w:pPr>
        <w:pStyle w:val="PBACHeading1"/>
        <w:rPr>
          <w:rFonts w:asciiTheme="minorHAnsi" w:hAnsiTheme="minorHAnsi"/>
          <w:sz w:val="32"/>
          <w:szCs w:val="32"/>
        </w:rPr>
      </w:pPr>
      <w:r w:rsidRPr="00DC0560">
        <w:rPr>
          <w:rFonts w:asciiTheme="minorHAnsi" w:hAnsiTheme="minorHAnsi"/>
          <w:sz w:val="32"/>
          <w:szCs w:val="32"/>
        </w:rPr>
        <w:lastRenderedPageBreak/>
        <w:t>Current situation</w:t>
      </w:r>
    </w:p>
    <w:p w:rsidR="00A24210" w:rsidRPr="008B3706" w:rsidRDefault="00A24210" w:rsidP="00C167F7">
      <w:pPr>
        <w:pStyle w:val="ListParagraph"/>
        <w:rPr>
          <w:rFonts w:asciiTheme="minorHAnsi" w:hAnsiTheme="minorHAnsi"/>
          <w:i/>
          <w:szCs w:val="22"/>
        </w:rPr>
      </w:pPr>
    </w:p>
    <w:p w:rsidR="00A24210" w:rsidRPr="008B3706" w:rsidRDefault="00A24210" w:rsidP="00A24210">
      <w:pPr>
        <w:pStyle w:val="ListParagraph"/>
        <w:numPr>
          <w:ilvl w:val="1"/>
          <w:numId w:val="5"/>
        </w:numPr>
        <w:rPr>
          <w:rFonts w:asciiTheme="minorHAnsi" w:hAnsiTheme="minorHAnsi"/>
          <w:szCs w:val="22"/>
        </w:rPr>
      </w:pPr>
      <w:r w:rsidRPr="00DC0560">
        <w:rPr>
          <w:rFonts w:asciiTheme="minorHAnsi" w:hAnsiTheme="minorHAnsi"/>
          <w:sz w:val="24"/>
          <w:szCs w:val="24"/>
        </w:rPr>
        <w:t>The submission stated that baclofen is delivered to a patient via an implantable intrathecal pump. The reservoir is either 20</w:t>
      </w:r>
      <w:r w:rsidR="00C167F7" w:rsidRPr="00DC0560">
        <w:rPr>
          <w:rFonts w:asciiTheme="minorHAnsi" w:hAnsiTheme="minorHAnsi"/>
          <w:sz w:val="24"/>
          <w:szCs w:val="24"/>
        </w:rPr>
        <w:t xml:space="preserve"> mL</w:t>
      </w:r>
      <w:r w:rsidRPr="00DC0560">
        <w:rPr>
          <w:rFonts w:asciiTheme="minorHAnsi" w:hAnsiTheme="minorHAnsi"/>
          <w:sz w:val="24"/>
          <w:szCs w:val="24"/>
        </w:rPr>
        <w:t xml:space="preserve"> or 40 mL in size, and therefore requires multiple 10</w:t>
      </w:r>
      <w:r w:rsidR="00C167F7" w:rsidRPr="00DC0560">
        <w:rPr>
          <w:rFonts w:asciiTheme="minorHAnsi" w:hAnsiTheme="minorHAnsi"/>
          <w:sz w:val="24"/>
          <w:szCs w:val="24"/>
        </w:rPr>
        <w:t> </w:t>
      </w:r>
      <w:r w:rsidRPr="00DC0560">
        <w:rPr>
          <w:rFonts w:asciiTheme="minorHAnsi" w:hAnsiTheme="minorHAnsi"/>
          <w:sz w:val="24"/>
          <w:szCs w:val="24"/>
        </w:rPr>
        <w:t>mg/5</w:t>
      </w:r>
      <w:r w:rsidR="00C167F7" w:rsidRPr="00DC0560">
        <w:rPr>
          <w:rFonts w:asciiTheme="minorHAnsi" w:hAnsiTheme="minorHAnsi"/>
          <w:sz w:val="24"/>
          <w:szCs w:val="24"/>
        </w:rPr>
        <w:t> </w:t>
      </w:r>
      <w:r w:rsidRPr="00DC0560">
        <w:rPr>
          <w:rFonts w:asciiTheme="minorHAnsi" w:hAnsiTheme="minorHAnsi"/>
          <w:sz w:val="24"/>
          <w:szCs w:val="24"/>
        </w:rPr>
        <w:t xml:space="preserve">mL baclofen ampoules </w:t>
      </w:r>
      <w:r w:rsidR="00FA0B0C" w:rsidRPr="00DC0560">
        <w:rPr>
          <w:rFonts w:asciiTheme="minorHAnsi" w:hAnsiTheme="minorHAnsi"/>
          <w:sz w:val="24"/>
          <w:szCs w:val="24"/>
        </w:rPr>
        <w:t xml:space="preserve">to be combined </w:t>
      </w:r>
      <w:r w:rsidRPr="00DC0560">
        <w:rPr>
          <w:rFonts w:asciiTheme="minorHAnsi" w:hAnsiTheme="minorHAnsi"/>
          <w:sz w:val="24"/>
          <w:szCs w:val="24"/>
        </w:rPr>
        <w:t>into a single syringe</w:t>
      </w:r>
      <w:r w:rsidR="00FA0B0C" w:rsidRPr="00DC0560">
        <w:rPr>
          <w:rFonts w:asciiTheme="minorHAnsi" w:hAnsiTheme="minorHAnsi"/>
          <w:sz w:val="24"/>
          <w:szCs w:val="24"/>
        </w:rPr>
        <w:t xml:space="preserve"> in laminar flow</w:t>
      </w:r>
      <w:r w:rsidRPr="00DC0560">
        <w:rPr>
          <w:rFonts w:asciiTheme="minorHAnsi" w:hAnsiTheme="minorHAnsi"/>
          <w:sz w:val="24"/>
          <w:szCs w:val="24"/>
        </w:rPr>
        <w:t>. The submission contend</w:t>
      </w:r>
      <w:r w:rsidR="00874143" w:rsidRPr="00DC0560">
        <w:rPr>
          <w:rFonts w:asciiTheme="minorHAnsi" w:hAnsiTheme="minorHAnsi"/>
          <w:sz w:val="24"/>
          <w:szCs w:val="24"/>
        </w:rPr>
        <w:t>ed</w:t>
      </w:r>
      <w:r w:rsidRPr="00DC0560">
        <w:rPr>
          <w:rFonts w:asciiTheme="minorHAnsi" w:hAnsiTheme="minorHAnsi"/>
          <w:sz w:val="24"/>
          <w:szCs w:val="24"/>
        </w:rPr>
        <w:t xml:space="preserve"> that the 20 mg/40 mL form will reduce potential patient and provider safety risks and </w:t>
      </w:r>
      <w:r w:rsidR="00874143" w:rsidRPr="00DC0560">
        <w:rPr>
          <w:rFonts w:asciiTheme="minorHAnsi" w:hAnsiTheme="minorHAnsi"/>
          <w:sz w:val="24"/>
          <w:szCs w:val="24"/>
        </w:rPr>
        <w:t xml:space="preserve">has </w:t>
      </w:r>
      <w:r w:rsidRPr="00DC0560">
        <w:rPr>
          <w:rFonts w:asciiTheme="minorHAnsi" w:hAnsiTheme="minorHAnsi"/>
          <w:sz w:val="24"/>
          <w:szCs w:val="24"/>
        </w:rPr>
        <w:t>advantages in ease of preparation</w:t>
      </w:r>
      <w:r w:rsidRPr="008B3706">
        <w:rPr>
          <w:rFonts w:asciiTheme="minorHAnsi" w:hAnsiTheme="minorHAnsi"/>
          <w:szCs w:val="22"/>
        </w:rPr>
        <w:t>.</w:t>
      </w:r>
    </w:p>
    <w:p w:rsidR="00A24210" w:rsidRPr="008B3706" w:rsidRDefault="00A24210" w:rsidP="00F364F0">
      <w:pPr>
        <w:pStyle w:val="ListParagraph"/>
        <w:rPr>
          <w:rFonts w:asciiTheme="minorHAnsi" w:hAnsiTheme="minorHAnsi"/>
          <w:szCs w:val="22"/>
        </w:rPr>
      </w:pPr>
    </w:p>
    <w:p w:rsidR="008A1956" w:rsidRPr="00DC0560" w:rsidRDefault="00A24210" w:rsidP="00882085">
      <w:pPr>
        <w:pStyle w:val="ListParagraph"/>
        <w:numPr>
          <w:ilvl w:val="1"/>
          <w:numId w:val="5"/>
        </w:numPr>
        <w:rPr>
          <w:rFonts w:asciiTheme="minorHAnsi" w:hAnsiTheme="minorHAnsi"/>
          <w:sz w:val="24"/>
          <w:szCs w:val="24"/>
        </w:rPr>
      </w:pPr>
      <w:r w:rsidRPr="00DC0560">
        <w:rPr>
          <w:rFonts w:asciiTheme="minorHAnsi" w:hAnsiTheme="minorHAnsi"/>
          <w:sz w:val="24"/>
          <w:szCs w:val="24"/>
        </w:rPr>
        <w:t>The submission also stated that because the contents of the reservoir can last between one and six months, depending on dosing, the longer in-situ life of the 40 mg/20 mL form (180</w:t>
      </w:r>
      <w:r w:rsidR="00CC3050" w:rsidRPr="00DC0560">
        <w:rPr>
          <w:rFonts w:asciiTheme="minorHAnsi" w:hAnsiTheme="minorHAnsi"/>
          <w:sz w:val="24"/>
          <w:szCs w:val="24"/>
        </w:rPr>
        <w:t> </w:t>
      </w:r>
      <w:r w:rsidRPr="00DC0560">
        <w:rPr>
          <w:rFonts w:asciiTheme="minorHAnsi" w:hAnsiTheme="minorHAnsi"/>
          <w:sz w:val="24"/>
          <w:szCs w:val="24"/>
        </w:rPr>
        <w:t xml:space="preserve">days compared to </w:t>
      </w:r>
      <w:r w:rsidR="00137B61" w:rsidRPr="00DC0560">
        <w:rPr>
          <w:rFonts w:asciiTheme="minorHAnsi" w:hAnsiTheme="minorHAnsi"/>
          <w:sz w:val="24"/>
          <w:szCs w:val="24"/>
        </w:rPr>
        <w:t>77 </w:t>
      </w:r>
      <w:r w:rsidRPr="00DC0560">
        <w:rPr>
          <w:rFonts w:asciiTheme="minorHAnsi" w:hAnsiTheme="minorHAnsi"/>
          <w:sz w:val="24"/>
          <w:szCs w:val="24"/>
        </w:rPr>
        <w:t>days) has additional advantages for patients</w:t>
      </w:r>
      <w:r w:rsidR="00941130" w:rsidRPr="00DC0560">
        <w:rPr>
          <w:rFonts w:asciiTheme="minorHAnsi" w:hAnsiTheme="minorHAnsi"/>
          <w:sz w:val="24"/>
          <w:szCs w:val="24"/>
        </w:rPr>
        <w:t xml:space="preserve"> and offered potential reduction in wastage</w:t>
      </w:r>
      <w:r w:rsidRPr="00DC0560">
        <w:rPr>
          <w:rFonts w:asciiTheme="minorHAnsi" w:hAnsiTheme="minorHAnsi"/>
          <w:sz w:val="24"/>
          <w:szCs w:val="24"/>
        </w:rPr>
        <w:t>.</w:t>
      </w:r>
    </w:p>
    <w:p w:rsidR="0084258F" w:rsidRPr="0084258F" w:rsidRDefault="0084258F" w:rsidP="0084258F">
      <w:pPr>
        <w:rPr>
          <w:rFonts w:asciiTheme="minorHAnsi" w:hAnsiTheme="minorHAnsi"/>
          <w:szCs w:val="22"/>
        </w:rPr>
      </w:pPr>
    </w:p>
    <w:p w:rsidR="008A1956" w:rsidRPr="008B3706" w:rsidRDefault="008A1956" w:rsidP="00476245">
      <w:pPr>
        <w:jc w:val="both"/>
        <w:rPr>
          <w:rFonts w:asciiTheme="minorHAnsi" w:hAnsiTheme="minorHAnsi"/>
          <w:sz w:val="22"/>
          <w:szCs w:val="22"/>
        </w:rPr>
      </w:pPr>
    </w:p>
    <w:p w:rsidR="000B558D" w:rsidRPr="00DC0560" w:rsidRDefault="008D7A41" w:rsidP="008A50F1">
      <w:pPr>
        <w:pStyle w:val="PBACHeading1"/>
        <w:rPr>
          <w:rFonts w:asciiTheme="minorHAnsi" w:hAnsiTheme="minorHAnsi"/>
          <w:sz w:val="32"/>
          <w:szCs w:val="32"/>
        </w:rPr>
      </w:pPr>
      <w:r w:rsidRPr="00DC0560">
        <w:rPr>
          <w:rFonts w:asciiTheme="minorHAnsi" w:hAnsiTheme="minorHAnsi"/>
          <w:sz w:val="32"/>
          <w:szCs w:val="32"/>
        </w:rPr>
        <w:t>C</w:t>
      </w:r>
      <w:r w:rsidR="00D84934" w:rsidRPr="00DC0560">
        <w:rPr>
          <w:rFonts w:asciiTheme="minorHAnsi" w:hAnsiTheme="minorHAnsi"/>
          <w:sz w:val="32"/>
          <w:szCs w:val="32"/>
        </w:rPr>
        <w:t>onsideration of the evidence</w:t>
      </w:r>
    </w:p>
    <w:p w:rsidR="002F22DA" w:rsidRPr="008B3706" w:rsidRDefault="002F22DA" w:rsidP="002F22DA"/>
    <w:p w:rsidR="002F22DA" w:rsidRDefault="002F22DA" w:rsidP="002F22DA">
      <w:pPr>
        <w:pStyle w:val="Heading2"/>
        <w:rPr>
          <w:rFonts w:asciiTheme="minorHAnsi" w:hAnsiTheme="minorHAnsi"/>
          <w:sz w:val="28"/>
          <w:szCs w:val="28"/>
        </w:rPr>
      </w:pPr>
      <w:r w:rsidRPr="00DC0560">
        <w:rPr>
          <w:rFonts w:asciiTheme="minorHAnsi" w:hAnsiTheme="minorHAnsi"/>
          <w:sz w:val="28"/>
          <w:szCs w:val="28"/>
        </w:rPr>
        <w:t>Sponsor hearing</w:t>
      </w:r>
    </w:p>
    <w:p w:rsidR="00DC0560" w:rsidRPr="00DC0560" w:rsidRDefault="00DC0560" w:rsidP="00DC0560"/>
    <w:p w:rsidR="002F22DA" w:rsidRPr="00DC0560" w:rsidRDefault="002F22DA" w:rsidP="00DC0560">
      <w:pPr>
        <w:pStyle w:val="ListParagraph"/>
        <w:numPr>
          <w:ilvl w:val="1"/>
          <w:numId w:val="5"/>
        </w:numPr>
        <w:rPr>
          <w:rFonts w:asciiTheme="minorHAnsi" w:hAnsiTheme="minorHAnsi"/>
          <w:sz w:val="24"/>
          <w:szCs w:val="24"/>
        </w:rPr>
      </w:pPr>
      <w:r w:rsidRPr="00DC0560">
        <w:rPr>
          <w:rFonts w:asciiTheme="minorHAnsi" w:hAnsiTheme="minorHAnsi"/>
          <w:sz w:val="24"/>
          <w:szCs w:val="24"/>
        </w:rPr>
        <w:t xml:space="preserve">There was no hearing for this item as it was a minor submission. </w:t>
      </w:r>
    </w:p>
    <w:p w:rsidR="002F22DA" w:rsidRPr="008B3706" w:rsidRDefault="002F22DA" w:rsidP="002F22DA"/>
    <w:p w:rsidR="009B200C" w:rsidRDefault="009B200C" w:rsidP="009B200C">
      <w:pPr>
        <w:pStyle w:val="Heading2"/>
        <w:rPr>
          <w:rFonts w:asciiTheme="minorHAnsi" w:hAnsiTheme="minorHAnsi"/>
          <w:sz w:val="28"/>
          <w:szCs w:val="28"/>
        </w:rPr>
      </w:pPr>
      <w:r w:rsidRPr="00DC0560">
        <w:rPr>
          <w:rFonts w:asciiTheme="minorHAnsi" w:hAnsiTheme="minorHAnsi"/>
          <w:sz w:val="28"/>
          <w:szCs w:val="28"/>
        </w:rPr>
        <w:t>Consumer comments</w:t>
      </w:r>
    </w:p>
    <w:p w:rsidR="00DC0560" w:rsidRPr="00DC0560" w:rsidRDefault="00DC0560" w:rsidP="00DC0560"/>
    <w:p w:rsidR="009B200C" w:rsidRPr="00DC0560" w:rsidRDefault="009B200C" w:rsidP="00DC0560">
      <w:pPr>
        <w:pStyle w:val="ListParagraph"/>
        <w:numPr>
          <w:ilvl w:val="1"/>
          <w:numId w:val="5"/>
        </w:numPr>
        <w:rPr>
          <w:rFonts w:asciiTheme="minorHAnsi" w:hAnsiTheme="minorHAnsi"/>
          <w:sz w:val="24"/>
          <w:szCs w:val="24"/>
        </w:rPr>
      </w:pPr>
      <w:r w:rsidRPr="00DC0560">
        <w:rPr>
          <w:rFonts w:asciiTheme="minorHAnsi" w:hAnsiTheme="minorHAnsi"/>
          <w:sz w:val="24"/>
          <w:szCs w:val="24"/>
        </w:rPr>
        <w:t>The PBAC noted that no consumer comments were received for this item.</w:t>
      </w:r>
    </w:p>
    <w:p w:rsidR="00A24210" w:rsidRPr="008B3706" w:rsidRDefault="00A24210" w:rsidP="00CC3050">
      <w:pPr>
        <w:pStyle w:val="ListParagraph"/>
        <w:ind w:left="0"/>
        <w:rPr>
          <w:rFonts w:asciiTheme="minorHAnsi" w:hAnsiTheme="minorHAnsi"/>
          <w:szCs w:val="22"/>
        </w:rPr>
      </w:pPr>
    </w:p>
    <w:p w:rsidR="005A3173" w:rsidRPr="00DC0560" w:rsidRDefault="005A3173" w:rsidP="00B1059E">
      <w:pPr>
        <w:pStyle w:val="Heading2"/>
        <w:rPr>
          <w:rFonts w:asciiTheme="minorHAnsi" w:hAnsiTheme="minorHAnsi"/>
          <w:sz w:val="28"/>
          <w:szCs w:val="28"/>
        </w:rPr>
      </w:pPr>
      <w:r w:rsidRPr="00DC0560">
        <w:rPr>
          <w:rFonts w:asciiTheme="minorHAnsi" w:hAnsiTheme="minorHAnsi"/>
          <w:sz w:val="28"/>
          <w:szCs w:val="28"/>
        </w:rPr>
        <w:t>Estimated PBS usage &amp; financial implications</w:t>
      </w:r>
    </w:p>
    <w:p w:rsidR="005A3173" w:rsidRPr="008B3706" w:rsidRDefault="005A3173" w:rsidP="00882085">
      <w:pPr>
        <w:ind w:left="720" w:hanging="720"/>
        <w:jc w:val="both"/>
        <w:rPr>
          <w:rFonts w:asciiTheme="minorHAnsi" w:hAnsiTheme="minorHAnsi"/>
          <w:b/>
          <w:i/>
          <w:sz w:val="22"/>
          <w:szCs w:val="22"/>
        </w:rPr>
      </w:pPr>
    </w:p>
    <w:p w:rsidR="00A24210" w:rsidRPr="00DC0560" w:rsidRDefault="00A24210" w:rsidP="00A24210">
      <w:pPr>
        <w:pStyle w:val="ListParagraph"/>
        <w:numPr>
          <w:ilvl w:val="1"/>
          <w:numId w:val="5"/>
        </w:numPr>
        <w:rPr>
          <w:rFonts w:asciiTheme="minorHAnsi" w:hAnsiTheme="minorHAnsi"/>
          <w:sz w:val="24"/>
          <w:szCs w:val="24"/>
        </w:rPr>
      </w:pPr>
      <w:r w:rsidRPr="00DC0560">
        <w:rPr>
          <w:rFonts w:asciiTheme="minorHAnsi" w:hAnsiTheme="minorHAnsi"/>
          <w:sz w:val="24"/>
          <w:szCs w:val="24"/>
        </w:rPr>
        <w:t>The submission proposed an equivalent price per milligram (AEMP) for the 40 mg/20 mL ampoule relative to the currently listed 10 mg/5 mL ampoule, which results in a proposed AEMP of $498.52 and DPMQ of $997.04 for Section 100 Public Hospital, and $1,043.94 for Section 100 Private Hospital.</w:t>
      </w:r>
    </w:p>
    <w:p w:rsidR="00A24210" w:rsidRPr="00DC0560" w:rsidRDefault="00A24210" w:rsidP="00DC0560">
      <w:pPr>
        <w:pStyle w:val="ListParagraph"/>
        <w:rPr>
          <w:rFonts w:asciiTheme="minorHAnsi" w:hAnsiTheme="minorHAnsi"/>
          <w:sz w:val="24"/>
          <w:szCs w:val="24"/>
        </w:rPr>
      </w:pPr>
    </w:p>
    <w:p w:rsidR="004170C0" w:rsidRPr="00DC0560" w:rsidRDefault="00345A9F" w:rsidP="00D85FA2">
      <w:pPr>
        <w:pStyle w:val="ListParagraph"/>
        <w:numPr>
          <w:ilvl w:val="1"/>
          <w:numId w:val="5"/>
        </w:numPr>
        <w:rPr>
          <w:rFonts w:asciiTheme="minorHAnsi" w:hAnsiTheme="minorHAnsi"/>
          <w:sz w:val="24"/>
          <w:szCs w:val="24"/>
        </w:rPr>
      </w:pPr>
      <w:r w:rsidRPr="00DC0560">
        <w:rPr>
          <w:rFonts w:asciiTheme="minorHAnsi" w:hAnsiTheme="minorHAnsi"/>
          <w:sz w:val="24"/>
          <w:szCs w:val="24"/>
        </w:rPr>
        <w:t xml:space="preserve">The submission estimated the financial impact of listing the </w:t>
      </w:r>
      <w:r w:rsidR="004170C0" w:rsidRPr="00DC0560">
        <w:rPr>
          <w:rFonts w:asciiTheme="minorHAnsi" w:hAnsiTheme="minorHAnsi"/>
          <w:sz w:val="24"/>
          <w:szCs w:val="24"/>
        </w:rPr>
        <w:t xml:space="preserve">proposed 40 mg/20 mL ampoule </w:t>
      </w:r>
      <w:r w:rsidR="000009C4" w:rsidRPr="00DC0560">
        <w:rPr>
          <w:rFonts w:asciiTheme="minorHAnsi" w:hAnsiTheme="minorHAnsi"/>
          <w:sz w:val="24"/>
          <w:szCs w:val="24"/>
        </w:rPr>
        <w:t>using</w:t>
      </w:r>
      <w:r w:rsidR="004170C0" w:rsidRPr="00DC0560">
        <w:rPr>
          <w:rFonts w:asciiTheme="minorHAnsi" w:hAnsiTheme="minorHAnsi"/>
          <w:sz w:val="24"/>
          <w:szCs w:val="24"/>
        </w:rPr>
        <w:t xml:space="preserve"> a market share approach </w:t>
      </w:r>
      <w:r w:rsidR="000009C4" w:rsidRPr="00DC0560">
        <w:rPr>
          <w:rFonts w:asciiTheme="minorHAnsi" w:hAnsiTheme="minorHAnsi"/>
          <w:sz w:val="24"/>
          <w:szCs w:val="24"/>
        </w:rPr>
        <w:t xml:space="preserve">and </w:t>
      </w:r>
      <w:r w:rsidR="004170C0" w:rsidRPr="00DC0560">
        <w:rPr>
          <w:rFonts w:asciiTheme="minorHAnsi" w:hAnsiTheme="minorHAnsi"/>
          <w:sz w:val="24"/>
          <w:szCs w:val="24"/>
        </w:rPr>
        <w:t>utilisation data (Medicare PBS statistics and IMS data)</w:t>
      </w:r>
      <w:r w:rsidR="00D85FA2" w:rsidRPr="00DC0560">
        <w:rPr>
          <w:rFonts w:asciiTheme="minorHAnsi" w:hAnsiTheme="minorHAnsi"/>
          <w:sz w:val="24"/>
          <w:szCs w:val="24"/>
        </w:rPr>
        <w:t xml:space="preserve">. </w:t>
      </w:r>
    </w:p>
    <w:p w:rsidR="000009C4" w:rsidRPr="00DC0560" w:rsidRDefault="000009C4" w:rsidP="00DC0560">
      <w:pPr>
        <w:pStyle w:val="ListParagraph"/>
        <w:rPr>
          <w:rFonts w:asciiTheme="minorHAnsi" w:hAnsiTheme="minorHAnsi"/>
          <w:sz w:val="24"/>
          <w:szCs w:val="24"/>
        </w:rPr>
      </w:pPr>
    </w:p>
    <w:p w:rsidR="000009C4" w:rsidRPr="00DC0560" w:rsidRDefault="00181A94" w:rsidP="00261A2D">
      <w:pPr>
        <w:pStyle w:val="ListParagraph"/>
        <w:numPr>
          <w:ilvl w:val="1"/>
          <w:numId w:val="5"/>
        </w:numPr>
        <w:rPr>
          <w:rFonts w:asciiTheme="minorHAnsi" w:hAnsiTheme="minorHAnsi"/>
          <w:sz w:val="24"/>
          <w:szCs w:val="24"/>
        </w:rPr>
      </w:pPr>
      <w:r w:rsidRPr="00DC0560">
        <w:rPr>
          <w:rFonts w:asciiTheme="minorHAnsi" w:hAnsiTheme="minorHAnsi"/>
          <w:sz w:val="24"/>
          <w:szCs w:val="24"/>
        </w:rPr>
        <w:t xml:space="preserve">The submission assumed </w:t>
      </w:r>
      <w:r w:rsidR="00C30236" w:rsidRPr="00DC0560">
        <w:rPr>
          <w:rFonts w:asciiTheme="minorHAnsi" w:hAnsiTheme="minorHAnsi"/>
          <w:sz w:val="24"/>
          <w:szCs w:val="24"/>
        </w:rPr>
        <w:t xml:space="preserve">that </w:t>
      </w:r>
      <w:r w:rsidR="00CC3050" w:rsidRPr="00DC0560">
        <w:rPr>
          <w:rFonts w:asciiTheme="minorHAnsi" w:hAnsiTheme="minorHAnsi"/>
          <w:sz w:val="24"/>
          <w:szCs w:val="24"/>
        </w:rPr>
        <w:t>there was</w:t>
      </w:r>
      <w:r w:rsidR="00D85FA2" w:rsidRPr="00DC0560">
        <w:rPr>
          <w:rFonts w:asciiTheme="minorHAnsi" w:hAnsiTheme="minorHAnsi"/>
          <w:sz w:val="24"/>
          <w:szCs w:val="24"/>
        </w:rPr>
        <w:t xml:space="preserve"> no </w:t>
      </w:r>
      <w:r w:rsidR="009A3AB7" w:rsidRPr="00DC0560">
        <w:rPr>
          <w:rFonts w:asciiTheme="minorHAnsi" w:hAnsiTheme="minorHAnsi"/>
          <w:sz w:val="24"/>
          <w:szCs w:val="24"/>
        </w:rPr>
        <w:t xml:space="preserve">growth in </w:t>
      </w:r>
      <w:r w:rsidR="00CC3050" w:rsidRPr="00DC0560">
        <w:rPr>
          <w:rFonts w:asciiTheme="minorHAnsi" w:hAnsiTheme="minorHAnsi"/>
          <w:sz w:val="24"/>
          <w:szCs w:val="24"/>
        </w:rPr>
        <w:t>the</w:t>
      </w:r>
      <w:r w:rsidR="00D85FA2" w:rsidRPr="00DC0560">
        <w:rPr>
          <w:rFonts w:asciiTheme="minorHAnsi" w:hAnsiTheme="minorHAnsi"/>
          <w:sz w:val="24"/>
          <w:szCs w:val="24"/>
        </w:rPr>
        <w:t xml:space="preserve"> utilisation </w:t>
      </w:r>
      <w:r w:rsidR="00CC3050" w:rsidRPr="00DC0560">
        <w:rPr>
          <w:rFonts w:asciiTheme="minorHAnsi" w:hAnsiTheme="minorHAnsi"/>
          <w:sz w:val="24"/>
          <w:szCs w:val="24"/>
        </w:rPr>
        <w:t xml:space="preserve">of baclofen </w:t>
      </w:r>
      <w:r w:rsidR="00D85FA2" w:rsidRPr="00DC0560">
        <w:rPr>
          <w:rFonts w:asciiTheme="minorHAnsi" w:hAnsiTheme="minorHAnsi"/>
          <w:sz w:val="24"/>
          <w:szCs w:val="24"/>
        </w:rPr>
        <w:t xml:space="preserve">for the next six years. </w:t>
      </w:r>
      <w:r w:rsidR="000009C4" w:rsidRPr="00DC0560">
        <w:rPr>
          <w:rFonts w:asciiTheme="minorHAnsi" w:hAnsiTheme="minorHAnsi"/>
          <w:sz w:val="24"/>
          <w:szCs w:val="24"/>
        </w:rPr>
        <w:t>However, the forecast included in the financial estimates based on PBS script data predicts a small increase in script numbers of approximately 4% per year.</w:t>
      </w:r>
      <w:r w:rsidR="008639F4" w:rsidRPr="00DC0560">
        <w:rPr>
          <w:rFonts w:asciiTheme="minorHAnsi" w:hAnsiTheme="minorHAnsi"/>
          <w:sz w:val="24"/>
          <w:szCs w:val="24"/>
        </w:rPr>
        <w:t xml:space="preserve"> </w:t>
      </w:r>
      <w:r w:rsidR="00DF0763" w:rsidRPr="00DC0560">
        <w:rPr>
          <w:rFonts w:asciiTheme="minorHAnsi" w:hAnsiTheme="minorHAnsi"/>
          <w:sz w:val="24"/>
          <w:szCs w:val="24"/>
        </w:rPr>
        <w:t xml:space="preserve">The </w:t>
      </w:r>
      <w:r w:rsidR="00E83262" w:rsidRPr="00DC0560">
        <w:rPr>
          <w:rFonts w:asciiTheme="minorHAnsi" w:hAnsiTheme="minorHAnsi"/>
          <w:sz w:val="24"/>
          <w:szCs w:val="24"/>
        </w:rPr>
        <w:t xml:space="preserve">pre-PBAC response </w:t>
      </w:r>
      <w:r w:rsidR="00440F47" w:rsidRPr="00DC0560">
        <w:rPr>
          <w:rFonts w:asciiTheme="minorHAnsi" w:hAnsiTheme="minorHAnsi"/>
          <w:sz w:val="24"/>
          <w:szCs w:val="24"/>
        </w:rPr>
        <w:t xml:space="preserve">(p2) </w:t>
      </w:r>
      <w:r w:rsidR="001F192D" w:rsidRPr="00DC0560">
        <w:rPr>
          <w:rFonts w:asciiTheme="minorHAnsi" w:hAnsiTheme="minorHAnsi"/>
          <w:sz w:val="24"/>
          <w:szCs w:val="24"/>
        </w:rPr>
        <w:t xml:space="preserve">acknowledged this increase, and </w:t>
      </w:r>
      <w:r w:rsidR="00DF0763" w:rsidRPr="00DC0560">
        <w:rPr>
          <w:rFonts w:asciiTheme="minorHAnsi" w:hAnsiTheme="minorHAnsi"/>
          <w:sz w:val="24"/>
          <w:szCs w:val="24"/>
        </w:rPr>
        <w:t xml:space="preserve">stated </w:t>
      </w:r>
      <w:r w:rsidR="00D72ADD" w:rsidRPr="00DC0560">
        <w:rPr>
          <w:rFonts w:asciiTheme="minorHAnsi" w:hAnsiTheme="minorHAnsi"/>
          <w:sz w:val="24"/>
          <w:szCs w:val="24"/>
        </w:rPr>
        <w:t xml:space="preserve">that </w:t>
      </w:r>
      <w:r w:rsidR="00E83262" w:rsidRPr="00DC0560">
        <w:rPr>
          <w:rFonts w:asciiTheme="minorHAnsi" w:hAnsiTheme="minorHAnsi"/>
          <w:sz w:val="24"/>
          <w:szCs w:val="24"/>
        </w:rPr>
        <w:t>t</w:t>
      </w:r>
      <w:r w:rsidR="008639F4" w:rsidRPr="00DC0560">
        <w:rPr>
          <w:rFonts w:asciiTheme="minorHAnsi" w:hAnsiTheme="minorHAnsi"/>
          <w:sz w:val="24"/>
          <w:szCs w:val="24"/>
        </w:rPr>
        <w:t>he effect of th</w:t>
      </w:r>
      <w:r w:rsidR="00E83262" w:rsidRPr="00DC0560">
        <w:rPr>
          <w:rFonts w:asciiTheme="minorHAnsi" w:hAnsiTheme="minorHAnsi"/>
          <w:sz w:val="24"/>
          <w:szCs w:val="24"/>
        </w:rPr>
        <w:t>e</w:t>
      </w:r>
      <w:r w:rsidR="008639F4" w:rsidRPr="00DC0560">
        <w:rPr>
          <w:rFonts w:asciiTheme="minorHAnsi" w:hAnsiTheme="minorHAnsi"/>
          <w:sz w:val="24"/>
          <w:szCs w:val="24"/>
        </w:rPr>
        <w:t xml:space="preserve"> increase market size</w:t>
      </w:r>
      <w:r w:rsidR="00E83262" w:rsidRPr="00DC0560">
        <w:rPr>
          <w:rFonts w:asciiTheme="minorHAnsi" w:hAnsiTheme="minorHAnsi"/>
          <w:sz w:val="24"/>
          <w:szCs w:val="24"/>
        </w:rPr>
        <w:t xml:space="preserve"> </w:t>
      </w:r>
      <w:r w:rsidR="008639F4" w:rsidRPr="00DC0560">
        <w:rPr>
          <w:rFonts w:asciiTheme="minorHAnsi" w:hAnsiTheme="minorHAnsi"/>
          <w:sz w:val="24"/>
          <w:szCs w:val="24"/>
        </w:rPr>
        <w:t>was modelled in the submission’s sensitivity an</w:t>
      </w:r>
      <w:r w:rsidR="00E83262" w:rsidRPr="00DC0560">
        <w:rPr>
          <w:rFonts w:asciiTheme="minorHAnsi" w:hAnsiTheme="minorHAnsi"/>
          <w:sz w:val="24"/>
          <w:szCs w:val="24"/>
        </w:rPr>
        <w:t>a</w:t>
      </w:r>
      <w:r w:rsidR="008639F4" w:rsidRPr="00DC0560">
        <w:rPr>
          <w:rFonts w:asciiTheme="minorHAnsi" w:hAnsiTheme="minorHAnsi"/>
          <w:sz w:val="24"/>
          <w:szCs w:val="24"/>
        </w:rPr>
        <w:t>lysis</w:t>
      </w:r>
      <w:r w:rsidR="00440F47" w:rsidRPr="00DC0560">
        <w:rPr>
          <w:rFonts w:asciiTheme="minorHAnsi" w:hAnsiTheme="minorHAnsi"/>
          <w:sz w:val="24"/>
          <w:szCs w:val="24"/>
        </w:rPr>
        <w:t>, which indicated that this would have limited financial impact</w:t>
      </w:r>
      <w:r w:rsidR="008639F4" w:rsidRPr="00DC0560">
        <w:rPr>
          <w:rFonts w:asciiTheme="minorHAnsi" w:hAnsiTheme="minorHAnsi"/>
          <w:sz w:val="24"/>
          <w:szCs w:val="24"/>
        </w:rPr>
        <w:t xml:space="preserve">. </w:t>
      </w:r>
    </w:p>
    <w:p w:rsidR="00E83262" w:rsidRPr="00DC0560" w:rsidRDefault="00CC3050" w:rsidP="00CC3050">
      <w:pPr>
        <w:pStyle w:val="ListParagraph"/>
        <w:numPr>
          <w:ilvl w:val="1"/>
          <w:numId w:val="5"/>
        </w:numPr>
        <w:rPr>
          <w:rFonts w:asciiTheme="minorHAnsi" w:hAnsiTheme="minorHAnsi"/>
          <w:sz w:val="24"/>
          <w:szCs w:val="24"/>
        </w:rPr>
      </w:pPr>
      <w:r w:rsidRPr="00DC0560">
        <w:rPr>
          <w:rFonts w:asciiTheme="minorHAnsi" w:hAnsiTheme="minorHAnsi"/>
          <w:sz w:val="24"/>
          <w:szCs w:val="24"/>
        </w:rPr>
        <w:lastRenderedPageBreak/>
        <w:t>The submission</w:t>
      </w:r>
      <w:r w:rsidR="00D85FA2" w:rsidRPr="00DC0560">
        <w:rPr>
          <w:rFonts w:asciiTheme="minorHAnsi" w:hAnsiTheme="minorHAnsi"/>
          <w:sz w:val="24"/>
          <w:szCs w:val="24"/>
        </w:rPr>
        <w:t xml:space="preserve"> assumed that </w:t>
      </w:r>
      <w:r w:rsidR="00181A94" w:rsidRPr="00DC0560">
        <w:rPr>
          <w:rFonts w:asciiTheme="minorHAnsi" w:hAnsiTheme="minorHAnsi"/>
          <w:sz w:val="24"/>
          <w:szCs w:val="24"/>
        </w:rPr>
        <w:t>75% of</w:t>
      </w:r>
      <w:r w:rsidR="00C30236" w:rsidRPr="00DC0560">
        <w:rPr>
          <w:rFonts w:asciiTheme="minorHAnsi" w:hAnsiTheme="minorHAnsi"/>
          <w:sz w:val="24"/>
          <w:szCs w:val="24"/>
        </w:rPr>
        <w:t xml:space="preserve"> </w:t>
      </w:r>
      <w:r w:rsidR="00181A94" w:rsidRPr="00DC0560">
        <w:rPr>
          <w:rFonts w:asciiTheme="minorHAnsi" w:hAnsiTheme="minorHAnsi"/>
          <w:sz w:val="24"/>
          <w:szCs w:val="24"/>
        </w:rPr>
        <w:t xml:space="preserve">the currently listed 10 mg/5 </w:t>
      </w:r>
      <w:r w:rsidR="007006F0" w:rsidRPr="00DC0560">
        <w:rPr>
          <w:rFonts w:asciiTheme="minorHAnsi" w:hAnsiTheme="minorHAnsi"/>
          <w:sz w:val="24"/>
          <w:szCs w:val="24"/>
        </w:rPr>
        <w:t>mL market</w:t>
      </w:r>
      <w:r w:rsidR="00181A94" w:rsidRPr="00DC0560">
        <w:rPr>
          <w:rFonts w:asciiTheme="minorHAnsi" w:hAnsiTheme="minorHAnsi"/>
          <w:sz w:val="24"/>
          <w:szCs w:val="24"/>
        </w:rPr>
        <w:t xml:space="preserve"> will be displaced by the </w:t>
      </w:r>
      <w:r w:rsidR="00D85FA2" w:rsidRPr="00DC0560">
        <w:rPr>
          <w:rFonts w:asciiTheme="minorHAnsi" w:hAnsiTheme="minorHAnsi"/>
          <w:sz w:val="24"/>
          <w:szCs w:val="24"/>
        </w:rPr>
        <w:t xml:space="preserve">new </w:t>
      </w:r>
      <w:r w:rsidR="00181A94" w:rsidRPr="00DC0560">
        <w:rPr>
          <w:rFonts w:asciiTheme="minorHAnsi" w:hAnsiTheme="minorHAnsi"/>
          <w:sz w:val="24"/>
          <w:szCs w:val="24"/>
        </w:rPr>
        <w:t xml:space="preserve">40 mg/20 mL ampoule, and </w:t>
      </w:r>
      <w:r w:rsidR="00F969CA" w:rsidRPr="00DC0560">
        <w:rPr>
          <w:rFonts w:asciiTheme="minorHAnsi" w:hAnsiTheme="minorHAnsi"/>
          <w:sz w:val="24"/>
          <w:szCs w:val="24"/>
        </w:rPr>
        <w:t xml:space="preserve">estimated a </w:t>
      </w:r>
      <w:r w:rsidR="005268FA" w:rsidRPr="00DC0560">
        <w:rPr>
          <w:rFonts w:asciiTheme="minorHAnsi" w:hAnsiTheme="minorHAnsi"/>
          <w:sz w:val="24"/>
          <w:szCs w:val="24"/>
        </w:rPr>
        <w:t xml:space="preserve">substitution rate of </w:t>
      </w:r>
      <w:r w:rsidR="00B429DB">
        <w:rPr>
          <w:rFonts w:asciiTheme="minorHAnsi" w:hAnsiTheme="minorHAnsi"/>
          <w:noProof/>
          <w:color w:val="000000"/>
          <w:sz w:val="24"/>
          <w:szCs w:val="24"/>
          <w:highlight w:val="black"/>
        </w:rPr>
        <w:t>'''''''''</w:t>
      </w:r>
      <w:r w:rsidR="00420BFF" w:rsidRPr="00DC0560">
        <w:rPr>
          <w:rFonts w:asciiTheme="minorHAnsi" w:hAnsiTheme="minorHAnsi"/>
          <w:sz w:val="24"/>
          <w:szCs w:val="24"/>
        </w:rPr>
        <w:t xml:space="preserve"> scripts for the 40 mg/20 mL ampoule for every prior script of the 10 mg/5 mL ampoule</w:t>
      </w:r>
      <w:r w:rsidR="00181A94" w:rsidRPr="00DC0560">
        <w:rPr>
          <w:rFonts w:asciiTheme="minorHAnsi" w:hAnsiTheme="minorHAnsi"/>
          <w:sz w:val="24"/>
          <w:szCs w:val="24"/>
        </w:rPr>
        <w:t>.</w:t>
      </w:r>
      <w:r w:rsidR="00F969CA" w:rsidRPr="00DC0560">
        <w:rPr>
          <w:rFonts w:asciiTheme="minorHAnsi" w:hAnsiTheme="minorHAnsi"/>
          <w:sz w:val="24"/>
          <w:szCs w:val="24"/>
        </w:rPr>
        <w:t xml:space="preserve"> </w:t>
      </w:r>
      <w:r w:rsidR="000009C4" w:rsidRPr="00DC0560">
        <w:rPr>
          <w:rFonts w:asciiTheme="minorHAnsi" w:hAnsiTheme="minorHAnsi"/>
          <w:sz w:val="24"/>
          <w:szCs w:val="24"/>
        </w:rPr>
        <w:t>This approach assumed that all patients were accessing the full maximum quantity of the currently available form (100 mg</w:t>
      </w:r>
      <w:r w:rsidR="005268FA" w:rsidRPr="00DC0560">
        <w:rPr>
          <w:rFonts w:asciiTheme="minorHAnsi" w:hAnsiTheme="minorHAnsi"/>
          <w:sz w:val="24"/>
          <w:szCs w:val="24"/>
        </w:rPr>
        <w:t xml:space="preserve"> per script</w:t>
      </w:r>
      <w:r w:rsidR="000009C4" w:rsidRPr="00DC0560">
        <w:rPr>
          <w:rFonts w:asciiTheme="minorHAnsi" w:hAnsiTheme="minorHAnsi"/>
          <w:sz w:val="24"/>
          <w:szCs w:val="24"/>
        </w:rPr>
        <w:t xml:space="preserve">), and that </w:t>
      </w:r>
      <w:r w:rsidR="005268FA" w:rsidRPr="00DC0560">
        <w:rPr>
          <w:rFonts w:asciiTheme="minorHAnsi" w:hAnsiTheme="minorHAnsi"/>
          <w:sz w:val="24"/>
          <w:szCs w:val="24"/>
        </w:rPr>
        <w:t>there would therefore be additional scripts on the basis of the lower maximum quan</w:t>
      </w:r>
      <w:r w:rsidR="00FA0B0C" w:rsidRPr="00DC0560">
        <w:rPr>
          <w:rFonts w:asciiTheme="minorHAnsi" w:hAnsiTheme="minorHAnsi"/>
          <w:sz w:val="24"/>
          <w:szCs w:val="24"/>
        </w:rPr>
        <w:t>tity available (80 mg per script</w:t>
      </w:r>
      <w:r w:rsidR="005268FA" w:rsidRPr="00DC0560">
        <w:rPr>
          <w:rFonts w:asciiTheme="minorHAnsi" w:hAnsiTheme="minorHAnsi"/>
          <w:sz w:val="24"/>
          <w:szCs w:val="24"/>
        </w:rPr>
        <w:t xml:space="preserve">). This is unlikely because the volume of the infusion device is 20 or 40 mL, which would mean most patients are not accessing the currently available maximum quantity (which is a volume of 50 mL). In the event that patients require more than 80 mg, they may still choose to access the 10 mg/5 mL form because it will mean one co-payment instead of two. </w:t>
      </w:r>
      <w:r w:rsidR="00921622" w:rsidRPr="00DC0560">
        <w:rPr>
          <w:rFonts w:asciiTheme="minorHAnsi" w:hAnsiTheme="minorHAnsi"/>
          <w:sz w:val="24"/>
          <w:szCs w:val="24"/>
        </w:rPr>
        <w:t>The pre-PBAC</w:t>
      </w:r>
      <w:r w:rsidR="00DC2D94" w:rsidRPr="00DC0560">
        <w:rPr>
          <w:rFonts w:asciiTheme="minorHAnsi" w:hAnsiTheme="minorHAnsi"/>
          <w:sz w:val="24"/>
          <w:szCs w:val="24"/>
        </w:rPr>
        <w:t xml:space="preserve"> </w:t>
      </w:r>
      <w:r w:rsidR="00941130" w:rsidRPr="00DC0560">
        <w:rPr>
          <w:rFonts w:asciiTheme="minorHAnsi" w:hAnsiTheme="minorHAnsi"/>
          <w:sz w:val="24"/>
          <w:szCs w:val="24"/>
        </w:rPr>
        <w:t>response did not adequately justify the argument that there would be cost savings to government due to an increase in the number of co-payments</w:t>
      </w:r>
      <w:r w:rsidR="00921622" w:rsidRPr="00DC0560">
        <w:rPr>
          <w:rFonts w:asciiTheme="minorHAnsi" w:hAnsiTheme="minorHAnsi"/>
          <w:sz w:val="24"/>
          <w:szCs w:val="24"/>
        </w:rPr>
        <w:t xml:space="preserve">. </w:t>
      </w:r>
    </w:p>
    <w:p w:rsidR="00726AEA" w:rsidRPr="008B3706" w:rsidRDefault="00726AEA" w:rsidP="00261A2D">
      <w:pPr>
        <w:pStyle w:val="ListParagraph"/>
        <w:rPr>
          <w:rFonts w:asciiTheme="minorHAnsi" w:hAnsiTheme="minorHAnsi"/>
          <w:szCs w:val="22"/>
        </w:rPr>
      </w:pPr>
    </w:p>
    <w:p w:rsidR="005268FA" w:rsidRPr="00DC0560" w:rsidRDefault="005268FA" w:rsidP="00CC3050">
      <w:pPr>
        <w:pStyle w:val="ListParagraph"/>
        <w:numPr>
          <w:ilvl w:val="1"/>
          <w:numId w:val="5"/>
        </w:numPr>
        <w:rPr>
          <w:rFonts w:asciiTheme="minorHAnsi" w:hAnsiTheme="minorHAnsi"/>
          <w:sz w:val="24"/>
          <w:szCs w:val="24"/>
        </w:rPr>
      </w:pPr>
      <w:r w:rsidRPr="00DC0560">
        <w:rPr>
          <w:rFonts w:asciiTheme="minorHAnsi" w:hAnsiTheme="minorHAnsi"/>
          <w:sz w:val="24"/>
          <w:szCs w:val="24"/>
        </w:rPr>
        <w:t>Furthermore, the submission</w:t>
      </w:r>
      <w:r w:rsidR="00FA0B0C" w:rsidRPr="00DC0560">
        <w:rPr>
          <w:rFonts w:asciiTheme="minorHAnsi" w:hAnsiTheme="minorHAnsi"/>
          <w:sz w:val="24"/>
          <w:szCs w:val="24"/>
        </w:rPr>
        <w:t>’</w:t>
      </w:r>
      <w:r w:rsidRPr="00DC0560">
        <w:rPr>
          <w:rFonts w:asciiTheme="minorHAnsi" w:hAnsiTheme="minorHAnsi"/>
          <w:sz w:val="24"/>
          <w:szCs w:val="24"/>
        </w:rPr>
        <w:t xml:space="preserve">s assumption that 25% </w:t>
      </w:r>
      <w:r w:rsidR="00FA0B0C" w:rsidRPr="00DC0560">
        <w:rPr>
          <w:rFonts w:asciiTheme="minorHAnsi" w:hAnsiTheme="minorHAnsi"/>
          <w:sz w:val="24"/>
          <w:szCs w:val="24"/>
        </w:rPr>
        <w:t xml:space="preserve">of patients </w:t>
      </w:r>
      <w:r w:rsidRPr="00DC0560">
        <w:rPr>
          <w:rFonts w:asciiTheme="minorHAnsi" w:hAnsiTheme="minorHAnsi"/>
          <w:sz w:val="24"/>
          <w:szCs w:val="24"/>
        </w:rPr>
        <w:t>would</w:t>
      </w:r>
      <w:r w:rsidR="00FA0B0C" w:rsidRPr="00DC0560">
        <w:rPr>
          <w:rFonts w:asciiTheme="minorHAnsi" w:hAnsiTheme="minorHAnsi"/>
          <w:sz w:val="24"/>
          <w:szCs w:val="24"/>
        </w:rPr>
        <w:t xml:space="preserve"> continue</w:t>
      </w:r>
      <w:r w:rsidRPr="00DC0560">
        <w:rPr>
          <w:rFonts w:asciiTheme="minorHAnsi" w:hAnsiTheme="minorHAnsi"/>
          <w:sz w:val="24"/>
          <w:szCs w:val="24"/>
        </w:rPr>
        <w:t xml:space="preserve"> using the 10 mg/5 mL form because they are using smaller amounts was in </w:t>
      </w:r>
      <w:r w:rsidR="008B3706" w:rsidRPr="00DC0560">
        <w:rPr>
          <w:rFonts w:asciiTheme="minorHAnsi" w:hAnsiTheme="minorHAnsi"/>
          <w:sz w:val="24"/>
          <w:szCs w:val="24"/>
        </w:rPr>
        <w:t xml:space="preserve">contradiction </w:t>
      </w:r>
      <w:r w:rsidRPr="00DC0560">
        <w:rPr>
          <w:rFonts w:asciiTheme="minorHAnsi" w:hAnsiTheme="minorHAnsi"/>
          <w:sz w:val="24"/>
          <w:szCs w:val="24"/>
        </w:rPr>
        <w:t>with their claim that the minimum amount that can be put in an infusion pump is 20 mL.</w:t>
      </w:r>
      <w:r w:rsidR="00E83262" w:rsidRPr="00DC0560">
        <w:rPr>
          <w:rFonts w:asciiTheme="minorHAnsi" w:hAnsiTheme="minorHAnsi"/>
          <w:sz w:val="24"/>
          <w:szCs w:val="24"/>
        </w:rPr>
        <w:t xml:space="preserve"> </w:t>
      </w:r>
    </w:p>
    <w:p w:rsidR="00347057" w:rsidRPr="00DC0560" w:rsidRDefault="00347057" w:rsidP="00DC0560">
      <w:pPr>
        <w:pStyle w:val="ListParagraph"/>
        <w:rPr>
          <w:rFonts w:asciiTheme="minorHAnsi" w:hAnsiTheme="minorHAnsi"/>
          <w:sz w:val="24"/>
          <w:szCs w:val="24"/>
        </w:rPr>
      </w:pPr>
    </w:p>
    <w:p w:rsidR="00467FA1" w:rsidRPr="00DC0560" w:rsidRDefault="00B20571" w:rsidP="00467FA1">
      <w:pPr>
        <w:pStyle w:val="ListParagraph"/>
        <w:numPr>
          <w:ilvl w:val="1"/>
          <w:numId w:val="5"/>
        </w:numPr>
        <w:rPr>
          <w:rFonts w:asciiTheme="minorHAnsi" w:hAnsiTheme="minorHAnsi"/>
          <w:sz w:val="24"/>
          <w:szCs w:val="24"/>
        </w:rPr>
      </w:pPr>
      <w:r w:rsidRPr="00DC0560">
        <w:rPr>
          <w:rFonts w:asciiTheme="minorHAnsi" w:hAnsiTheme="minorHAnsi"/>
          <w:sz w:val="24"/>
          <w:szCs w:val="24"/>
        </w:rPr>
        <w:t xml:space="preserve">A review of the </w:t>
      </w:r>
      <w:r w:rsidR="00EB1206" w:rsidRPr="00DC0560">
        <w:rPr>
          <w:rFonts w:asciiTheme="minorHAnsi" w:hAnsiTheme="minorHAnsi"/>
          <w:sz w:val="24"/>
          <w:szCs w:val="24"/>
        </w:rPr>
        <w:t>PBS dispensing</w:t>
      </w:r>
      <w:r w:rsidRPr="00DC0560">
        <w:rPr>
          <w:rFonts w:asciiTheme="minorHAnsi" w:hAnsiTheme="minorHAnsi"/>
          <w:sz w:val="24"/>
          <w:szCs w:val="24"/>
        </w:rPr>
        <w:t xml:space="preserve"> patterns in 2016 showed that most patients received 20, 40 or 80mg per dispensing (</w:t>
      </w:r>
      <w:r w:rsidR="00B429DB">
        <w:rPr>
          <w:rFonts w:asciiTheme="minorHAnsi" w:hAnsiTheme="minorHAnsi"/>
          <w:noProof/>
          <w:color w:val="000000"/>
          <w:sz w:val="24"/>
          <w:szCs w:val="24"/>
          <w:highlight w:val="black"/>
        </w:rPr>
        <w:t>'''''</w:t>
      </w:r>
      <w:r w:rsidRPr="00DC0560">
        <w:rPr>
          <w:rFonts w:asciiTheme="minorHAnsi" w:hAnsiTheme="minorHAnsi"/>
          <w:sz w:val="24"/>
          <w:szCs w:val="24"/>
        </w:rPr>
        <w:t>% of scripts). Based on this dispensing pattern, approximately</w:t>
      </w:r>
      <w:r w:rsidRPr="009A01AA">
        <w:rPr>
          <w:rFonts w:asciiTheme="minorHAnsi" w:hAnsiTheme="minorHAnsi"/>
          <w:sz w:val="24"/>
          <w:szCs w:val="24"/>
        </w:rPr>
        <w:t xml:space="preserve"> </w:t>
      </w:r>
      <w:r w:rsidR="00B429DB">
        <w:rPr>
          <w:rFonts w:asciiTheme="minorHAnsi" w:hAnsiTheme="minorHAnsi"/>
          <w:noProof/>
          <w:color w:val="000000"/>
          <w:sz w:val="24"/>
          <w:szCs w:val="24"/>
          <w:highlight w:val="black"/>
        </w:rPr>
        <w:t>'''''</w:t>
      </w:r>
      <w:r w:rsidRPr="00DC0560">
        <w:rPr>
          <w:rFonts w:asciiTheme="minorHAnsi" w:hAnsiTheme="minorHAnsi"/>
          <w:sz w:val="24"/>
          <w:szCs w:val="24"/>
        </w:rPr>
        <w:t xml:space="preserve">% of patients could move to the new strength with </w:t>
      </w:r>
      <w:r w:rsidR="00EB1206" w:rsidRPr="00DC0560">
        <w:rPr>
          <w:rFonts w:asciiTheme="minorHAnsi" w:hAnsiTheme="minorHAnsi"/>
          <w:sz w:val="24"/>
          <w:szCs w:val="24"/>
        </w:rPr>
        <w:t xml:space="preserve">no requirement for additional scripts or increased quantities, with </w:t>
      </w:r>
      <w:r w:rsidR="00B429DB">
        <w:rPr>
          <w:rFonts w:asciiTheme="minorHAnsi" w:hAnsiTheme="minorHAnsi"/>
          <w:noProof/>
          <w:color w:val="000000"/>
          <w:sz w:val="24"/>
          <w:szCs w:val="24"/>
          <w:highlight w:val="black"/>
        </w:rPr>
        <w:t>'''''</w:t>
      </w:r>
      <w:r w:rsidRPr="00DC0560">
        <w:rPr>
          <w:rFonts w:asciiTheme="minorHAnsi" w:hAnsiTheme="minorHAnsi"/>
          <w:sz w:val="24"/>
          <w:szCs w:val="24"/>
        </w:rPr>
        <w:t>% of patients needing to remain on the currently listed strength to avoid additional wastage.</w:t>
      </w:r>
      <w:r w:rsidR="00137B61" w:rsidRPr="00DC0560">
        <w:rPr>
          <w:rFonts w:asciiTheme="minorHAnsi" w:hAnsiTheme="minorHAnsi"/>
          <w:sz w:val="24"/>
          <w:szCs w:val="24"/>
        </w:rPr>
        <w:t xml:space="preserve"> </w:t>
      </w:r>
    </w:p>
    <w:p w:rsidR="00467FA1" w:rsidRPr="00DC0560" w:rsidRDefault="00467FA1" w:rsidP="00DC0560">
      <w:pPr>
        <w:pStyle w:val="ListParagraph"/>
        <w:rPr>
          <w:rFonts w:asciiTheme="minorHAnsi" w:hAnsiTheme="minorHAnsi"/>
          <w:sz w:val="24"/>
          <w:szCs w:val="24"/>
        </w:rPr>
      </w:pPr>
    </w:p>
    <w:p w:rsidR="00467FA1" w:rsidRPr="00DC0560" w:rsidRDefault="00137B61">
      <w:pPr>
        <w:pStyle w:val="ListParagraph"/>
        <w:numPr>
          <w:ilvl w:val="1"/>
          <w:numId w:val="5"/>
        </w:numPr>
        <w:rPr>
          <w:rFonts w:asciiTheme="minorHAnsi" w:hAnsiTheme="minorHAnsi"/>
          <w:sz w:val="24"/>
          <w:szCs w:val="24"/>
        </w:rPr>
      </w:pPr>
      <w:r w:rsidRPr="00DC0560">
        <w:rPr>
          <w:rFonts w:asciiTheme="minorHAnsi" w:hAnsiTheme="minorHAnsi"/>
          <w:sz w:val="24"/>
          <w:szCs w:val="24"/>
        </w:rPr>
        <w:t>The Secretariat note</w:t>
      </w:r>
      <w:r w:rsidR="007931B6" w:rsidRPr="00DC0560">
        <w:rPr>
          <w:rFonts w:asciiTheme="minorHAnsi" w:hAnsiTheme="minorHAnsi"/>
          <w:sz w:val="24"/>
          <w:szCs w:val="24"/>
        </w:rPr>
        <w:t>d</w:t>
      </w:r>
      <w:r w:rsidRPr="00DC0560">
        <w:rPr>
          <w:rFonts w:asciiTheme="minorHAnsi" w:hAnsiTheme="minorHAnsi"/>
          <w:sz w:val="24"/>
          <w:szCs w:val="24"/>
        </w:rPr>
        <w:t xml:space="preserve"> that based on the current dispensing data,</w:t>
      </w:r>
      <w:r w:rsidR="00467FA1" w:rsidRPr="00DC0560">
        <w:rPr>
          <w:rFonts w:asciiTheme="minorHAnsi" w:hAnsiTheme="minorHAnsi"/>
          <w:sz w:val="24"/>
          <w:szCs w:val="24"/>
        </w:rPr>
        <w:t xml:space="preserve"> t</w:t>
      </w:r>
      <w:r w:rsidRPr="00DC0560">
        <w:rPr>
          <w:rFonts w:asciiTheme="minorHAnsi" w:hAnsiTheme="minorHAnsi"/>
          <w:sz w:val="24"/>
          <w:szCs w:val="24"/>
        </w:rPr>
        <w:t>he</w:t>
      </w:r>
      <w:r w:rsidR="00467FA1" w:rsidRPr="00DC0560">
        <w:rPr>
          <w:rFonts w:asciiTheme="minorHAnsi" w:hAnsiTheme="minorHAnsi"/>
          <w:sz w:val="24"/>
          <w:szCs w:val="24"/>
        </w:rPr>
        <w:t>re is a potential risk of wastage for the</w:t>
      </w:r>
      <w:r w:rsidRPr="00DC0560">
        <w:rPr>
          <w:rFonts w:asciiTheme="minorHAnsi" w:hAnsiTheme="minorHAnsi"/>
          <w:sz w:val="24"/>
          <w:szCs w:val="24"/>
        </w:rPr>
        <w:t xml:space="preserve"> generic brand of baclofen 10 mg/5 mL with a pack size of 10 (item 11126N and 11128Q) </w:t>
      </w:r>
      <w:r w:rsidR="00467FA1" w:rsidRPr="00DC0560">
        <w:rPr>
          <w:rFonts w:asciiTheme="minorHAnsi" w:hAnsiTheme="minorHAnsi"/>
          <w:sz w:val="24"/>
          <w:szCs w:val="24"/>
        </w:rPr>
        <w:t xml:space="preserve">as only </w:t>
      </w:r>
      <w:r w:rsidR="00B429DB">
        <w:rPr>
          <w:rFonts w:asciiTheme="minorHAnsi" w:hAnsiTheme="minorHAnsi"/>
          <w:noProof/>
          <w:color w:val="000000"/>
          <w:sz w:val="24"/>
          <w:szCs w:val="24"/>
          <w:highlight w:val="black"/>
        </w:rPr>
        <w:t>''''''''</w:t>
      </w:r>
      <w:r w:rsidR="00467FA1" w:rsidRPr="00DC0560">
        <w:rPr>
          <w:rFonts w:asciiTheme="minorHAnsi" w:hAnsiTheme="minorHAnsi"/>
          <w:sz w:val="24"/>
          <w:szCs w:val="24"/>
        </w:rPr>
        <w:t xml:space="preserve"> per cent of patients </w:t>
      </w:r>
      <w:r w:rsidR="00EB1206" w:rsidRPr="00DC0560">
        <w:rPr>
          <w:rFonts w:asciiTheme="minorHAnsi" w:hAnsiTheme="minorHAnsi"/>
          <w:sz w:val="24"/>
          <w:szCs w:val="24"/>
        </w:rPr>
        <w:t>were dispensed</w:t>
      </w:r>
      <w:r w:rsidR="00467FA1" w:rsidRPr="00DC0560">
        <w:rPr>
          <w:rFonts w:asciiTheme="minorHAnsi" w:hAnsiTheme="minorHAnsi"/>
          <w:sz w:val="24"/>
          <w:szCs w:val="24"/>
        </w:rPr>
        <w:t xml:space="preserve"> 100</w:t>
      </w:r>
      <w:r w:rsidR="00EB1206" w:rsidRPr="00DC0560">
        <w:rPr>
          <w:rFonts w:asciiTheme="minorHAnsi" w:hAnsiTheme="minorHAnsi"/>
          <w:sz w:val="24"/>
          <w:szCs w:val="24"/>
        </w:rPr>
        <w:t> </w:t>
      </w:r>
      <w:r w:rsidR="00467FA1" w:rsidRPr="00DC0560">
        <w:rPr>
          <w:rFonts w:asciiTheme="minorHAnsi" w:hAnsiTheme="minorHAnsi"/>
          <w:sz w:val="24"/>
          <w:szCs w:val="24"/>
        </w:rPr>
        <w:t>mg.</w:t>
      </w:r>
      <w:r w:rsidR="00467FA1" w:rsidRPr="00DC0560" w:rsidDel="00467FA1">
        <w:rPr>
          <w:rFonts w:asciiTheme="minorHAnsi" w:hAnsiTheme="minorHAnsi"/>
          <w:sz w:val="24"/>
          <w:szCs w:val="24"/>
        </w:rPr>
        <w:t xml:space="preserve"> </w:t>
      </w:r>
    </w:p>
    <w:p w:rsidR="00B20571" w:rsidRPr="00DC0560" w:rsidRDefault="00B20571" w:rsidP="00DC0560">
      <w:pPr>
        <w:pStyle w:val="ListParagraph"/>
        <w:rPr>
          <w:rFonts w:asciiTheme="minorHAnsi" w:hAnsiTheme="minorHAnsi"/>
          <w:sz w:val="24"/>
          <w:szCs w:val="24"/>
        </w:rPr>
      </w:pPr>
    </w:p>
    <w:p w:rsidR="005268FA" w:rsidRPr="00DC0560" w:rsidRDefault="005268FA" w:rsidP="000009C4">
      <w:pPr>
        <w:pStyle w:val="ListParagraph"/>
        <w:numPr>
          <w:ilvl w:val="1"/>
          <w:numId w:val="5"/>
        </w:numPr>
        <w:rPr>
          <w:rFonts w:asciiTheme="minorHAnsi" w:hAnsiTheme="minorHAnsi"/>
          <w:sz w:val="24"/>
          <w:szCs w:val="24"/>
        </w:rPr>
      </w:pPr>
      <w:r w:rsidRPr="00DC0560">
        <w:rPr>
          <w:rFonts w:asciiTheme="minorHAnsi" w:hAnsiTheme="minorHAnsi"/>
          <w:sz w:val="24"/>
          <w:szCs w:val="24"/>
        </w:rPr>
        <w:t xml:space="preserve">The submission estimated a saving of </w:t>
      </w:r>
      <w:r w:rsidR="00BC3964">
        <w:rPr>
          <w:rFonts w:asciiTheme="minorHAnsi" w:hAnsiTheme="minorHAnsi"/>
          <w:sz w:val="24"/>
          <w:szCs w:val="24"/>
        </w:rPr>
        <w:t xml:space="preserve">less than $10 million </w:t>
      </w:r>
      <w:r w:rsidRPr="00DC0560">
        <w:rPr>
          <w:rFonts w:asciiTheme="minorHAnsi" w:hAnsiTheme="minorHAnsi"/>
          <w:sz w:val="24"/>
          <w:szCs w:val="24"/>
        </w:rPr>
        <w:t xml:space="preserve">over the first five years of listing, due to an increase in the number of patient co-payments. </w:t>
      </w:r>
      <w:r w:rsidR="002351E4" w:rsidRPr="00DC0560">
        <w:rPr>
          <w:rFonts w:asciiTheme="minorHAnsi" w:hAnsiTheme="minorHAnsi"/>
          <w:sz w:val="24"/>
          <w:szCs w:val="24"/>
        </w:rPr>
        <w:t>The PBAC considered that</w:t>
      </w:r>
      <w:r w:rsidRPr="00DC0560">
        <w:rPr>
          <w:rFonts w:asciiTheme="minorHAnsi" w:hAnsiTheme="minorHAnsi"/>
          <w:sz w:val="24"/>
          <w:szCs w:val="24"/>
        </w:rPr>
        <w:t xml:space="preserve"> it does not seem reasonable to assume an increase in patient co-payments, and therefore it is unlikely that this saving will be realised.</w:t>
      </w:r>
    </w:p>
    <w:p w:rsidR="0084258F" w:rsidRDefault="0084258F" w:rsidP="00F20178">
      <w:pPr>
        <w:pStyle w:val="Caption"/>
        <w:spacing w:line="276" w:lineRule="auto"/>
        <w:ind w:left="426"/>
        <w:rPr>
          <w:rFonts w:asciiTheme="minorHAnsi" w:hAnsiTheme="minorHAnsi"/>
        </w:rPr>
      </w:pPr>
      <w:bookmarkStart w:id="2" w:name="_Toc469407071"/>
      <w:bookmarkStart w:id="3" w:name="_Toc480378463"/>
      <w:r>
        <w:rPr>
          <w:rFonts w:asciiTheme="minorHAnsi" w:hAnsiTheme="minorHAnsi"/>
        </w:rPr>
        <w:br w:type="page"/>
      </w:r>
    </w:p>
    <w:bookmarkEnd w:id="2"/>
    <w:bookmarkEnd w:id="3"/>
    <w:p w:rsidR="001E7C4E" w:rsidRPr="001E7C4E" w:rsidRDefault="001E7C4E" w:rsidP="001E7C4E">
      <w:pPr>
        <w:pStyle w:val="Caption"/>
        <w:spacing w:line="276" w:lineRule="auto"/>
        <w:ind w:left="426"/>
        <w:jc w:val="left"/>
        <w:rPr>
          <w:rFonts w:ascii="Arial Narrow" w:hAnsi="Arial Narrow"/>
          <w:sz w:val="20"/>
          <w:szCs w:val="20"/>
        </w:rPr>
      </w:pPr>
      <w:r w:rsidRPr="001E7C4E">
        <w:rPr>
          <w:rFonts w:ascii="Arial Narrow" w:hAnsi="Arial Narrow"/>
          <w:sz w:val="20"/>
          <w:szCs w:val="20"/>
        </w:rPr>
        <w:t>Table 1: Estimated net saving to the PBS/RPBS associated with listing a 40 mg/20 mL baclofen intrathecal injection ampoule</w:t>
      </w:r>
    </w:p>
    <w:tbl>
      <w:tblPr>
        <w:tblW w:w="8785" w:type="dxa"/>
        <w:jc w:val="righ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196"/>
        <w:gridCol w:w="1275"/>
        <w:gridCol w:w="1276"/>
        <w:gridCol w:w="1276"/>
        <w:gridCol w:w="1276"/>
        <w:gridCol w:w="1449"/>
      </w:tblGrid>
      <w:tr w:rsidR="00764D23" w:rsidRPr="001E7C4E" w:rsidTr="001E7C4E">
        <w:trPr>
          <w:trHeight w:val="300"/>
          <w:jc w:val="right"/>
        </w:trPr>
        <w:tc>
          <w:tcPr>
            <w:tcW w:w="1037" w:type="dxa"/>
            <w:shd w:val="clear" w:color="000000" w:fill="BFBFBF"/>
            <w:noWrap/>
            <w:vAlign w:val="bottom"/>
            <w:hideMark/>
          </w:tcPr>
          <w:p w:rsidR="00764D23" w:rsidRPr="001E7C4E" w:rsidRDefault="00764D23" w:rsidP="008639F4">
            <w:pPr>
              <w:spacing w:line="276" w:lineRule="auto"/>
              <w:jc w:val="center"/>
              <w:rPr>
                <w:rFonts w:ascii="Arial Narrow" w:hAnsi="Arial Narrow" w:cs="Arial"/>
                <w:b/>
                <w:bCs/>
                <w:sz w:val="20"/>
                <w:szCs w:val="20"/>
                <w:lang w:eastAsia="en-US"/>
              </w:rPr>
            </w:pPr>
          </w:p>
        </w:tc>
        <w:tc>
          <w:tcPr>
            <w:tcW w:w="1196" w:type="dxa"/>
            <w:shd w:val="clear" w:color="000000" w:fill="BFBFBF"/>
            <w:noWrap/>
            <w:vAlign w:val="bottom"/>
            <w:hideMark/>
          </w:tcPr>
          <w:p w:rsidR="00764D23" w:rsidRPr="001E7C4E" w:rsidRDefault="00764D23" w:rsidP="008639F4">
            <w:pPr>
              <w:spacing w:line="276" w:lineRule="auto"/>
              <w:jc w:val="center"/>
              <w:rPr>
                <w:rFonts w:ascii="Arial Narrow" w:hAnsi="Arial Narrow" w:cs="Arial"/>
                <w:b/>
                <w:bCs/>
                <w:color w:val="000000"/>
                <w:sz w:val="20"/>
                <w:szCs w:val="20"/>
              </w:rPr>
            </w:pPr>
            <w:r w:rsidRPr="001E7C4E">
              <w:rPr>
                <w:rFonts w:ascii="Arial Narrow" w:hAnsi="Arial Narrow" w:cs="Arial"/>
                <w:b/>
                <w:bCs/>
                <w:color w:val="000000"/>
                <w:sz w:val="20"/>
                <w:szCs w:val="20"/>
              </w:rPr>
              <w:t>Year 1</w:t>
            </w:r>
          </w:p>
        </w:tc>
        <w:tc>
          <w:tcPr>
            <w:tcW w:w="1275" w:type="dxa"/>
            <w:shd w:val="clear" w:color="000000" w:fill="BFBFBF"/>
            <w:noWrap/>
            <w:vAlign w:val="bottom"/>
            <w:hideMark/>
          </w:tcPr>
          <w:p w:rsidR="00764D23" w:rsidRPr="001E7C4E" w:rsidRDefault="00764D23" w:rsidP="008639F4">
            <w:pPr>
              <w:spacing w:line="276" w:lineRule="auto"/>
              <w:jc w:val="center"/>
              <w:rPr>
                <w:rFonts w:ascii="Arial Narrow" w:hAnsi="Arial Narrow" w:cs="Arial"/>
                <w:b/>
                <w:bCs/>
                <w:color w:val="000000"/>
                <w:sz w:val="20"/>
                <w:szCs w:val="20"/>
              </w:rPr>
            </w:pPr>
            <w:r w:rsidRPr="001E7C4E">
              <w:rPr>
                <w:rFonts w:ascii="Arial Narrow" w:hAnsi="Arial Narrow" w:cs="Arial"/>
                <w:b/>
                <w:bCs/>
                <w:color w:val="000000"/>
                <w:sz w:val="20"/>
                <w:szCs w:val="20"/>
              </w:rPr>
              <w:t>Year 2</w:t>
            </w:r>
          </w:p>
        </w:tc>
        <w:tc>
          <w:tcPr>
            <w:tcW w:w="1276" w:type="dxa"/>
            <w:shd w:val="clear" w:color="000000" w:fill="BFBFBF"/>
            <w:noWrap/>
            <w:vAlign w:val="bottom"/>
            <w:hideMark/>
          </w:tcPr>
          <w:p w:rsidR="00764D23" w:rsidRPr="001E7C4E" w:rsidRDefault="00764D23" w:rsidP="008639F4">
            <w:pPr>
              <w:spacing w:line="276" w:lineRule="auto"/>
              <w:jc w:val="center"/>
              <w:rPr>
                <w:rFonts w:ascii="Arial Narrow" w:hAnsi="Arial Narrow" w:cs="Arial"/>
                <w:b/>
                <w:bCs/>
                <w:color w:val="000000"/>
                <w:sz w:val="20"/>
                <w:szCs w:val="20"/>
              </w:rPr>
            </w:pPr>
            <w:r w:rsidRPr="001E7C4E">
              <w:rPr>
                <w:rFonts w:ascii="Arial Narrow" w:hAnsi="Arial Narrow" w:cs="Arial"/>
                <w:b/>
                <w:bCs/>
                <w:color w:val="000000"/>
                <w:sz w:val="20"/>
                <w:szCs w:val="20"/>
              </w:rPr>
              <w:t>Year 3</w:t>
            </w:r>
          </w:p>
        </w:tc>
        <w:tc>
          <w:tcPr>
            <w:tcW w:w="1276" w:type="dxa"/>
            <w:shd w:val="clear" w:color="000000" w:fill="BFBFBF"/>
            <w:noWrap/>
            <w:vAlign w:val="bottom"/>
            <w:hideMark/>
          </w:tcPr>
          <w:p w:rsidR="00764D23" w:rsidRPr="001E7C4E" w:rsidRDefault="00764D23" w:rsidP="008639F4">
            <w:pPr>
              <w:spacing w:line="276" w:lineRule="auto"/>
              <w:jc w:val="center"/>
              <w:rPr>
                <w:rFonts w:ascii="Arial Narrow" w:hAnsi="Arial Narrow" w:cs="Arial"/>
                <w:b/>
                <w:bCs/>
                <w:color w:val="000000"/>
                <w:sz w:val="20"/>
                <w:szCs w:val="20"/>
              </w:rPr>
            </w:pPr>
            <w:r w:rsidRPr="001E7C4E">
              <w:rPr>
                <w:rFonts w:ascii="Arial Narrow" w:hAnsi="Arial Narrow" w:cs="Arial"/>
                <w:b/>
                <w:bCs/>
                <w:color w:val="000000"/>
                <w:sz w:val="20"/>
                <w:szCs w:val="20"/>
              </w:rPr>
              <w:t>Year 4</w:t>
            </w:r>
          </w:p>
        </w:tc>
        <w:tc>
          <w:tcPr>
            <w:tcW w:w="1276" w:type="dxa"/>
            <w:shd w:val="clear" w:color="000000" w:fill="BFBFBF"/>
            <w:noWrap/>
            <w:vAlign w:val="bottom"/>
            <w:hideMark/>
          </w:tcPr>
          <w:p w:rsidR="00764D23" w:rsidRPr="001E7C4E" w:rsidRDefault="00764D23" w:rsidP="008639F4">
            <w:pPr>
              <w:spacing w:line="276" w:lineRule="auto"/>
              <w:jc w:val="center"/>
              <w:rPr>
                <w:rFonts w:ascii="Arial Narrow" w:hAnsi="Arial Narrow" w:cs="Arial"/>
                <w:b/>
                <w:bCs/>
                <w:color w:val="000000"/>
                <w:sz w:val="20"/>
                <w:szCs w:val="20"/>
              </w:rPr>
            </w:pPr>
            <w:r w:rsidRPr="001E7C4E">
              <w:rPr>
                <w:rFonts w:ascii="Arial Narrow" w:hAnsi="Arial Narrow" w:cs="Arial"/>
                <w:b/>
                <w:bCs/>
                <w:color w:val="000000"/>
                <w:sz w:val="20"/>
                <w:szCs w:val="20"/>
              </w:rPr>
              <w:t>Year 5</w:t>
            </w:r>
          </w:p>
        </w:tc>
        <w:tc>
          <w:tcPr>
            <w:tcW w:w="1449" w:type="dxa"/>
            <w:shd w:val="clear" w:color="000000" w:fill="BFBFBF"/>
            <w:noWrap/>
            <w:vAlign w:val="bottom"/>
            <w:hideMark/>
          </w:tcPr>
          <w:p w:rsidR="00764D23" w:rsidRPr="001E7C4E" w:rsidRDefault="00BD548C" w:rsidP="008639F4">
            <w:pPr>
              <w:spacing w:line="276" w:lineRule="auto"/>
              <w:jc w:val="center"/>
              <w:rPr>
                <w:rFonts w:ascii="Arial Narrow" w:hAnsi="Arial Narrow" w:cs="Arial"/>
                <w:b/>
                <w:bCs/>
                <w:sz w:val="20"/>
                <w:szCs w:val="20"/>
              </w:rPr>
            </w:pPr>
            <w:r w:rsidRPr="001E7C4E">
              <w:rPr>
                <w:rFonts w:ascii="Arial Narrow" w:hAnsi="Arial Narrow" w:cs="Arial"/>
                <w:b/>
                <w:bCs/>
                <w:sz w:val="20"/>
                <w:szCs w:val="20"/>
              </w:rPr>
              <w:t>Total Cost</w:t>
            </w:r>
          </w:p>
        </w:tc>
      </w:tr>
      <w:tr w:rsidR="00BD548C" w:rsidRPr="001E7C4E" w:rsidTr="001E7C4E">
        <w:trPr>
          <w:trHeight w:val="300"/>
          <w:jc w:val="right"/>
        </w:trPr>
        <w:tc>
          <w:tcPr>
            <w:tcW w:w="8785" w:type="dxa"/>
            <w:gridSpan w:val="7"/>
            <w:tcBorders>
              <w:bottom w:val="single" w:sz="4" w:space="0" w:color="auto"/>
            </w:tcBorders>
            <w:shd w:val="clear" w:color="000000" w:fill="D9D9D9"/>
            <w:noWrap/>
            <w:vAlign w:val="bottom"/>
            <w:hideMark/>
          </w:tcPr>
          <w:p w:rsidR="00BD548C" w:rsidRPr="001E7C4E" w:rsidRDefault="00BD548C" w:rsidP="00764D23">
            <w:pPr>
              <w:spacing w:line="276" w:lineRule="auto"/>
              <w:jc w:val="both"/>
              <w:rPr>
                <w:rFonts w:ascii="Arial Narrow" w:hAnsi="Arial Narrow" w:cs="Arial"/>
                <w:b/>
                <w:bCs/>
                <w:sz w:val="20"/>
                <w:szCs w:val="20"/>
              </w:rPr>
            </w:pPr>
            <w:r w:rsidRPr="001E7C4E">
              <w:rPr>
                <w:rFonts w:ascii="Arial Narrow" w:hAnsi="Arial Narrow" w:cs="Arial"/>
                <w:b/>
                <w:bCs/>
                <w:sz w:val="20"/>
                <w:szCs w:val="20"/>
              </w:rPr>
              <w:t>Projected net cost of new listing</w:t>
            </w:r>
          </w:p>
        </w:tc>
      </w:tr>
      <w:tr w:rsidR="00BD548C" w:rsidRPr="001E7C4E" w:rsidTr="001E7C4E">
        <w:trPr>
          <w:trHeight w:val="297"/>
          <w:jc w:val="right"/>
        </w:trPr>
        <w:tc>
          <w:tcPr>
            <w:tcW w:w="1037" w:type="dxa"/>
            <w:tcBorders>
              <w:top w:val="single" w:sz="4" w:space="0" w:color="auto"/>
              <w:bottom w:val="single" w:sz="4" w:space="0" w:color="auto"/>
              <w:right w:val="single" w:sz="4" w:space="0" w:color="auto"/>
            </w:tcBorders>
            <w:shd w:val="clear" w:color="auto" w:fill="auto"/>
            <w:noWrap/>
            <w:vAlign w:val="bottom"/>
            <w:hideMark/>
          </w:tcPr>
          <w:p w:rsidR="00BD548C" w:rsidRPr="001E7C4E" w:rsidRDefault="00BD548C" w:rsidP="008639F4">
            <w:pPr>
              <w:spacing w:line="276" w:lineRule="auto"/>
              <w:rPr>
                <w:rFonts w:ascii="Arial Narrow" w:hAnsi="Arial Narrow" w:cs="Arial"/>
                <w:sz w:val="20"/>
                <w:szCs w:val="20"/>
              </w:rPr>
            </w:pPr>
            <w:r w:rsidRPr="001E7C4E">
              <w:rPr>
                <w:rFonts w:ascii="Arial Narrow" w:hAnsi="Arial Narrow" w:cs="Arial"/>
                <w:sz w:val="20"/>
                <w:szCs w:val="20"/>
              </w:rPr>
              <w:t>PBS</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48C" w:rsidRPr="001E7C4E" w:rsidRDefault="00BD548C" w:rsidP="00BD548C">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r>
      <w:tr w:rsidR="00BD548C" w:rsidRPr="001E7C4E" w:rsidTr="001E7C4E">
        <w:trPr>
          <w:trHeight w:val="283"/>
          <w:jc w:val="right"/>
        </w:trPr>
        <w:tc>
          <w:tcPr>
            <w:tcW w:w="1037" w:type="dxa"/>
            <w:tcBorders>
              <w:top w:val="single" w:sz="4" w:space="0" w:color="auto"/>
              <w:bottom w:val="single" w:sz="4" w:space="0" w:color="auto"/>
              <w:right w:val="single" w:sz="4" w:space="0" w:color="auto"/>
            </w:tcBorders>
            <w:shd w:val="clear" w:color="auto" w:fill="auto"/>
            <w:noWrap/>
            <w:vAlign w:val="bottom"/>
            <w:hideMark/>
          </w:tcPr>
          <w:p w:rsidR="00BD548C" w:rsidRPr="001E7C4E" w:rsidRDefault="00BD548C" w:rsidP="008639F4">
            <w:pPr>
              <w:spacing w:line="276" w:lineRule="auto"/>
              <w:rPr>
                <w:rFonts w:ascii="Arial Narrow" w:hAnsi="Arial Narrow" w:cs="Arial"/>
                <w:sz w:val="20"/>
                <w:szCs w:val="20"/>
              </w:rPr>
            </w:pPr>
            <w:r w:rsidRPr="001E7C4E">
              <w:rPr>
                <w:rFonts w:ascii="Arial Narrow" w:hAnsi="Arial Narrow" w:cs="Arial"/>
                <w:sz w:val="20"/>
                <w:szCs w:val="20"/>
              </w:rPr>
              <w:t>RPBS</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48C" w:rsidRPr="001E7C4E" w:rsidRDefault="00BD548C" w:rsidP="00BD548C">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r>
      <w:tr w:rsidR="00BD548C" w:rsidRPr="001E7C4E" w:rsidTr="001E7C4E">
        <w:trPr>
          <w:trHeight w:val="283"/>
          <w:jc w:val="right"/>
        </w:trPr>
        <w:tc>
          <w:tcPr>
            <w:tcW w:w="1037" w:type="dxa"/>
            <w:tcBorders>
              <w:top w:val="single" w:sz="4" w:space="0" w:color="auto"/>
              <w:bottom w:val="single" w:sz="4" w:space="0" w:color="auto"/>
              <w:right w:val="single" w:sz="4" w:space="0" w:color="auto"/>
            </w:tcBorders>
            <w:shd w:val="clear" w:color="auto" w:fill="auto"/>
            <w:noWrap/>
            <w:vAlign w:val="bottom"/>
            <w:hideMark/>
          </w:tcPr>
          <w:p w:rsidR="00BD548C" w:rsidRPr="001E7C4E" w:rsidRDefault="00BD548C" w:rsidP="008B3706">
            <w:pPr>
              <w:spacing w:line="276" w:lineRule="auto"/>
              <w:rPr>
                <w:rFonts w:ascii="Arial Narrow" w:hAnsi="Arial Narrow" w:cs="Arial"/>
                <w:sz w:val="20"/>
                <w:szCs w:val="20"/>
              </w:rPr>
            </w:pPr>
            <w:r w:rsidRPr="001E7C4E">
              <w:rPr>
                <w:rFonts w:ascii="Arial Narrow" w:hAnsi="Arial Narrow" w:cs="Arial"/>
                <w:sz w:val="20"/>
                <w:szCs w:val="20"/>
              </w:rPr>
              <w:t>PBS/RPBS</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48C" w:rsidRPr="001E7C4E" w:rsidRDefault="00BD548C" w:rsidP="00BD548C">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r>
      <w:tr w:rsidR="00BD548C" w:rsidRPr="001E7C4E" w:rsidTr="001E7C4E">
        <w:trPr>
          <w:trHeight w:val="283"/>
          <w:jc w:val="right"/>
        </w:trPr>
        <w:tc>
          <w:tcPr>
            <w:tcW w:w="8785" w:type="dxa"/>
            <w:gridSpan w:val="7"/>
            <w:tcBorders>
              <w:top w:val="single" w:sz="4" w:space="0" w:color="auto"/>
            </w:tcBorders>
            <w:shd w:val="clear" w:color="000000" w:fill="D9D9D9"/>
            <w:noWrap/>
            <w:vAlign w:val="bottom"/>
            <w:hideMark/>
          </w:tcPr>
          <w:p w:rsidR="00BD548C" w:rsidRPr="001E7C4E" w:rsidRDefault="00BD548C" w:rsidP="00BD548C">
            <w:pPr>
              <w:spacing w:line="276" w:lineRule="auto"/>
              <w:rPr>
                <w:rFonts w:ascii="Arial Narrow" w:hAnsi="Arial Narrow" w:cs="Arial"/>
                <w:sz w:val="20"/>
                <w:szCs w:val="20"/>
              </w:rPr>
            </w:pPr>
            <w:r w:rsidRPr="001E7C4E">
              <w:rPr>
                <w:rFonts w:ascii="Arial Narrow" w:hAnsi="Arial Narrow" w:cs="Arial"/>
                <w:b/>
                <w:bCs/>
                <w:sz w:val="20"/>
                <w:szCs w:val="20"/>
              </w:rPr>
              <w:t>Projected net costs of displaced medicines</w:t>
            </w:r>
          </w:p>
        </w:tc>
      </w:tr>
      <w:tr w:rsidR="00BD548C" w:rsidRPr="001E7C4E" w:rsidTr="001E7C4E">
        <w:trPr>
          <w:trHeight w:val="283"/>
          <w:jc w:val="right"/>
        </w:trPr>
        <w:tc>
          <w:tcPr>
            <w:tcW w:w="1037" w:type="dxa"/>
            <w:shd w:val="clear" w:color="auto" w:fill="auto"/>
            <w:noWrap/>
            <w:vAlign w:val="bottom"/>
            <w:hideMark/>
          </w:tcPr>
          <w:p w:rsidR="00BD548C" w:rsidRPr="001E7C4E" w:rsidRDefault="00BD548C" w:rsidP="008639F4">
            <w:pPr>
              <w:spacing w:line="276" w:lineRule="auto"/>
              <w:rPr>
                <w:rFonts w:ascii="Arial Narrow" w:hAnsi="Arial Narrow" w:cs="Arial"/>
                <w:sz w:val="20"/>
                <w:szCs w:val="20"/>
              </w:rPr>
            </w:pPr>
            <w:r w:rsidRPr="001E7C4E">
              <w:rPr>
                <w:rFonts w:ascii="Arial Narrow" w:hAnsi="Arial Narrow" w:cs="Arial"/>
                <w:sz w:val="20"/>
                <w:szCs w:val="20"/>
              </w:rPr>
              <w:t>PBS</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48C" w:rsidRPr="001E7C4E" w:rsidRDefault="00BD548C" w:rsidP="00BD548C">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r>
      <w:tr w:rsidR="00BD548C" w:rsidRPr="001E7C4E" w:rsidTr="001E7C4E">
        <w:trPr>
          <w:trHeight w:val="283"/>
          <w:jc w:val="right"/>
        </w:trPr>
        <w:tc>
          <w:tcPr>
            <w:tcW w:w="1037" w:type="dxa"/>
            <w:shd w:val="clear" w:color="auto" w:fill="auto"/>
            <w:noWrap/>
            <w:vAlign w:val="bottom"/>
            <w:hideMark/>
          </w:tcPr>
          <w:p w:rsidR="00BD548C" w:rsidRPr="001E7C4E" w:rsidRDefault="00BD548C" w:rsidP="008639F4">
            <w:pPr>
              <w:spacing w:line="276" w:lineRule="auto"/>
              <w:rPr>
                <w:rFonts w:ascii="Arial Narrow" w:hAnsi="Arial Narrow" w:cs="Arial"/>
                <w:sz w:val="20"/>
                <w:szCs w:val="20"/>
              </w:rPr>
            </w:pPr>
            <w:r w:rsidRPr="001E7C4E">
              <w:rPr>
                <w:rFonts w:ascii="Arial Narrow" w:hAnsi="Arial Narrow" w:cs="Arial"/>
                <w:sz w:val="20"/>
                <w:szCs w:val="20"/>
              </w:rPr>
              <w:t>RPBS</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48C" w:rsidRPr="001E7C4E" w:rsidRDefault="00BD548C" w:rsidP="00BD548C">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r>
      <w:tr w:rsidR="00BD548C" w:rsidRPr="001E7C4E" w:rsidTr="001E7C4E">
        <w:trPr>
          <w:trHeight w:val="283"/>
          <w:jc w:val="right"/>
        </w:trPr>
        <w:tc>
          <w:tcPr>
            <w:tcW w:w="1037" w:type="dxa"/>
            <w:shd w:val="clear" w:color="auto" w:fill="auto"/>
            <w:noWrap/>
            <w:vAlign w:val="bottom"/>
            <w:hideMark/>
          </w:tcPr>
          <w:p w:rsidR="00BD548C" w:rsidRPr="001E7C4E" w:rsidRDefault="00BD548C" w:rsidP="008B3706">
            <w:pPr>
              <w:spacing w:line="276" w:lineRule="auto"/>
              <w:rPr>
                <w:rFonts w:ascii="Arial Narrow" w:hAnsi="Arial Narrow" w:cs="Arial"/>
                <w:sz w:val="20"/>
                <w:szCs w:val="20"/>
              </w:rPr>
            </w:pPr>
            <w:r w:rsidRPr="001E7C4E">
              <w:rPr>
                <w:rFonts w:ascii="Arial Narrow" w:hAnsi="Arial Narrow" w:cs="Arial"/>
                <w:sz w:val="20"/>
                <w:szCs w:val="20"/>
              </w:rPr>
              <w:t>PBS/RPBS</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48C" w:rsidRPr="001E7C4E" w:rsidRDefault="00BD548C" w:rsidP="00BD548C">
            <w:pPr>
              <w:spacing w:line="276" w:lineRule="auto"/>
              <w:jc w:val="right"/>
              <w:rPr>
                <w:rFonts w:ascii="Arial Narrow" w:hAnsi="Arial Narrow" w:cs="Arial"/>
                <w:sz w:val="20"/>
                <w:szCs w:val="20"/>
              </w:rPr>
            </w:pPr>
          </w:p>
          <w:p w:rsidR="00BD548C" w:rsidRPr="001E7C4E" w:rsidRDefault="00BD548C" w:rsidP="00BD548C">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r>
      <w:tr w:rsidR="00BD548C" w:rsidRPr="001E7C4E" w:rsidTr="001E7C4E">
        <w:trPr>
          <w:trHeight w:val="283"/>
          <w:jc w:val="right"/>
        </w:trPr>
        <w:tc>
          <w:tcPr>
            <w:tcW w:w="8785" w:type="dxa"/>
            <w:gridSpan w:val="7"/>
            <w:shd w:val="clear" w:color="000000" w:fill="D9D9D9"/>
            <w:noWrap/>
            <w:vAlign w:val="bottom"/>
            <w:hideMark/>
          </w:tcPr>
          <w:p w:rsidR="00BD548C" w:rsidRPr="001E7C4E" w:rsidRDefault="00BD548C" w:rsidP="00BD548C">
            <w:pPr>
              <w:spacing w:line="276" w:lineRule="auto"/>
              <w:rPr>
                <w:rFonts w:ascii="Arial Narrow" w:hAnsi="Arial Narrow" w:cs="Arial"/>
                <w:sz w:val="20"/>
                <w:szCs w:val="20"/>
              </w:rPr>
            </w:pPr>
            <w:r w:rsidRPr="001E7C4E">
              <w:rPr>
                <w:rFonts w:ascii="Arial Narrow" w:hAnsi="Arial Narrow" w:cs="Arial"/>
                <w:b/>
                <w:bCs/>
                <w:sz w:val="20"/>
                <w:szCs w:val="20"/>
              </w:rPr>
              <w:t>Overall net cost to the PBS/RPBS </w:t>
            </w:r>
          </w:p>
        </w:tc>
      </w:tr>
      <w:tr w:rsidR="00BD548C" w:rsidRPr="001E7C4E" w:rsidTr="001E7C4E">
        <w:trPr>
          <w:trHeight w:val="283"/>
          <w:jc w:val="right"/>
        </w:trPr>
        <w:tc>
          <w:tcPr>
            <w:tcW w:w="1037" w:type="dxa"/>
            <w:shd w:val="clear" w:color="auto" w:fill="auto"/>
            <w:noWrap/>
            <w:vAlign w:val="bottom"/>
            <w:hideMark/>
          </w:tcPr>
          <w:p w:rsidR="00BD548C" w:rsidRPr="001E7C4E" w:rsidRDefault="00BD548C" w:rsidP="008639F4">
            <w:pPr>
              <w:spacing w:line="276" w:lineRule="auto"/>
              <w:rPr>
                <w:rFonts w:ascii="Arial Narrow" w:hAnsi="Arial Narrow" w:cs="Arial"/>
                <w:sz w:val="20"/>
                <w:szCs w:val="20"/>
              </w:rPr>
            </w:pPr>
            <w:r w:rsidRPr="001E7C4E">
              <w:rPr>
                <w:rFonts w:ascii="Arial Narrow" w:hAnsi="Arial Narrow" w:cs="Arial"/>
                <w:sz w:val="20"/>
                <w:szCs w:val="20"/>
              </w:rPr>
              <w:t>PBS</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48C" w:rsidRPr="001E7C4E" w:rsidRDefault="00BD548C" w:rsidP="00BD548C">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r>
      <w:tr w:rsidR="00BD548C" w:rsidRPr="001E7C4E" w:rsidTr="001E7C4E">
        <w:trPr>
          <w:trHeight w:val="283"/>
          <w:jc w:val="right"/>
        </w:trPr>
        <w:tc>
          <w:tcPr>
            <w:tcW w:w="1037" w:type="dxa"/>
            <w:shd w:val="clear" w:color="auto" w:fill="auto"/>
            <w:noWrap/>
            <w:vAlign w:val="bottom"/>
            <w:hideMark/>
          </w:tcPr>
          <w:p w:rsidR="00BD548C" w:rsidRPr="001E7C4E" w:rsidRDefault="00BD548C" w:rsidP="008639F4">
            <w:pPr>
              <w:spacing w:line="276" w:lineRule="auto"/>
              <w:rPr>
                <w:rFonts w:ascii="Arial Narrow" w:hAnsi="Arial Narrow" w:cs="Arial"/>
                <w:sz w:val="20"/>
                <w:szCs w:val="20"/>
              </w:rPr>
            </w:pPr>
            <w:r w:rsidRPr="001E7C4E">
              <w:rPr>
                <w:rFonts w:ascii="Arial Narrow" w:hAnsi="Arial Narrow" w:cs="Arial"/>
                <w:sz w:val="20"/>
                <w:szCs w:val="20"/>
              </w:rPr>
              <w:t>RPBS</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48C" w:rsidRPr="001E7C4E" w:rsidRDefault="00BD548C" w:rsidP="00BD548C">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r>
      <w:tr w:rsidR="00BD548C" w:rsidRPr="001E7C4E" w:rsidTr="001E7C4E">
        <w:trPr>
          <w:trHeight w:val="283"/>
          <w:jc w:val="right"/>
        </w:trPr>
        <w:tc>
          <w:tcPr>
            <w:tcW w:w="1037" w:type="dxa"/>
            <w:shd w:val="clear" w:color="auto" w:fill="auto"/>
            <w:noWrap/>
            <w:vAlign w:val="bottom"/>
            <w:hideMark/>
          </w:tcPr>
          <w:p w:rsidR="00BD548C" w:rsidRPr="001E7C4E" w:rsidRDefault="00BD548C" w:rsidP="008B3706">
            <w:pPr>
              <w:spacing w:line="276" w:lineRule="auto"/>
              <w:rPr>
                <w:rFonts w:ascii="Arial Narrow" w:hAnsi="Arial Narrow" w:cs="Arial"/>
                <w:sz w:val="20"/>
                <w:szCs w:val="20"/>
              </w:rPr>
            </w:pPr>
            <w:r w:rsidRPr="001E7C4E">
              <w:rPr>
                <w:rFonts w:ascii="Arial Narrow" w:hAnsi="Arial Narrow" w:cs="Arial"/>
                <w:sz w:val="20"/>
                <w:szCs w:val="20"/>
              </w:rPr>
              <w:t>PBS/RPBS</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548C" w:rsidRPr="001E7C4E" w:rsidRDefault="00BD548C" w:rsidP="008639F4">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48C" w:rsidRPr="001E7C4E" w:rsidRDefault="00BD548C" w:rsidP="00BD548C">
            <w:pPr>
              <w:spacing w:line="276" w:lineRule="auto"/>
              <w:jc w:val="right"/>
              <w:rPr>
                <w:rFonts w:ascii="Arial Narrow" w:hAnsi="Arial Narrow" w:cs="Arial"/>
                <w:sz w:val="20"/>
                <w:szCs w:val="20"/>
              </w:rPr>
            </w:pPr>
            <w:r w:rsidRPr="001E7C4E">
              <w:rPr>
                <w:rFonts w:ascii="Arial Narrow" w:hAnsi="Arial Narrow" w:cs="Arial"/>
                <w:sz w:val="20"/>
                <w:szCs w:val="20"/>
              </w:rPr>
              <w:t>-$</w:t>
            </w:r>
            <w:r w:rsidR="00B429DB">
              <w:rPr>
                <w:rFonts w:ascii="Arial Narrow" w:hAnsi="Arial Narrow" w:cs="Arial"/>
                <w:noProof/>
                <w:color w:val="000000"/>
                <w:sz w:val="20"/>
                <w:szCs w:val="20"/>
                <w:highlight w:val="black"/>
              </w:rPr>
              <w:t>''''''''''''''''</w:t>
            </w:r>
          </w:p>
        </w:tc>
      </w:tr>
    </w:tbl>
    <w:p w:rsidR="00181A94" w:rsidRPr="001E7C4E" w:rsidRDefault="00181A94" w:rsidP="001E7C4E">
      <w:pPr>
        <w:spacing w:line="276" w:lineRule="auto"/>
        <w:ind w:firstLine="426"/>
        <w:rPr>
          <w:rFonts w:ascii="Arial Narrow" w:hAnsi="Arial Narrow"/>
          <w:sz w:val="20"/>
          <w:szCs w:val="20"/>
        </w:rPr>
      </w:pPr>
      <w:r w:rsidRPr="001E7C4E">
        <w:rPr>
          <w:rFonts w:ascii="Arial Narrow" w:hAnsi="Arial Narrow"/>
          <w:sz w:val="20"/>
          <w:szCs w:val="20"/>
          <w:lang w:eastAsia="en-US"/>
        </w:rPr>
        <w:t>Source: Section 4 Workbook, 5a. Cost to PBS &amp; RPBS Worksheet</w:t>
      </w:r>
    </w:p>
    <w:p w:rsidR="00CC3050" w:rsidRPr="008B3706" w:rsidRDefault="00CC3050" w:rsidP="002F22DA"/>
    <w:p w:rsidR="00F64CC1" w:rsidRPr="008B3706" w:rsidRDefault="00F64CC1" w:rsidP="00F64CC1">
      <w:pPr>
        <w:jc w:val="both"/>
        <w:rPr>
          <w:rFonts w:ascii="Arial" w:hAnsi="Arial"/>
          <w:sz w:val="22"/>
          <w:szCs w:val="22"/>
        </w:rPr>
      </w:pPr>
    </w:p>
    <w:p w:rsidR="002F22DA" w:rsidRPr="00DC0560" w:rsidRDefault="002F22DA" w:rsidP="00DC0560">
      <w:pPr>
        <w:pStyle w:val="PBACHeading1"/>
        <w:rPr>
          <w:rFonts w:asciiTheme="minorHAnsi" w:hAnsiTheme="minorHAnsi"/>
          <w:sz w:val="32"/>
          <w:szCs w:val="32"/>
        </w:rPr>
      </w:pPr>
      <w:r w:rsidRPr="00DC0560">
        <w:rPr>
          <w:rFonts w:asciiTheme="minorHAnsi" w:hAnsiTheme="minorHAnsi"/>
          <w:sz w:val="32"/>
          <w:szCs w:val="32"/>
        </w:rPr>
        <w:t>PBAC Outcome</w:t>
      </w:r>
    </w:p>
    <w:p w:rsidR="00F06079" w:rsidRPr="008B3706" w:rsidRDefault="00F06079" w:rsidP="00F06079">
      <w:pPr>
        <w:pStyle w:val="ListParagraph"/>
        <w:rPr>
          <w:rFonts w:asciiTheme="minorHAnsi" w:hAnsiTheme="minorHAnsi"/>
          <w:b/>
          <w:i/>
          <w:szCs w:val="22"/>
        </w:rPr>
      </w:pPr>
    </w:p>
    <w:p w:rsidR="00D01F8B" w:rsidRPr="00DC0560" w:rsidRDefault="00D01F8B" w:rsidP="00D01F8B">
      <w:pPr>
        <w:pStyle w:val="ListParagraph"/>
        <w:numPr>
          <w:ilvl w:val="1"/>
          <w:numId w:val="5"/>
        </w:numPr>
        <w:rPr>
          <w:rFonts w:asciiTheme="minorHAnsi" w:hAnsiTheme="minorHAnsi"/>
          <w:sz w:val="24"/>
          <w:szCs w:val="24"/>
        </w:rPr>
      </w:pPr>
      <w:r w:rsidRPr="00DC0560">
        <w:rPr>
          <w:rFonts w:asciiTheme="minorHAnsi" w:hAnsiTheme="minorHAnsi"/>
          <w:sz w:val="24"/>
          <w:szCs w:val="24"/>
        </w:rPr>
        <w:t>The PBAC recommended the Section 100 HSD Public Hospital Authority Required (STREAMLINED) listing and a Section 100 HSD Private Hospital Authority Required listing of a new strength of baclofen (40 mg in 20 mL ampoule)</w:t>
      </w:r>
      <w:r w:rsidR="002351E4" w:rsidRPr="00DC0560">
        <w:rPr>
          <w:rFonts w:asciiTheme="minorHAnsi" w:hAnsiTheme="minorHAnsi"/>
          <w:sz w:val="24"/>
          <w:szCs w:val="24"/>
        </w:rPr>
        <w:t>, with the same indication as the currently listed 10 mg in 5 mL ampoules</w:t>
      </w:r>
      <w:r w:rsidRPr="00DC0560">
        <w:rPr>
          <w:rFonts w:asciiTheme="minorHAnsi" w:hAnsiTheme="minorHAnsi"/>
          <w:sz w:val="24"/>
          <w:szCs w:val="24"/>
        </w:rPr>
        <w:t xml:space="preserve"> </w:t>
      </w:r>
      <w:r w:rsidR="002351E4" w:rsidRPr="00DC0560">
        <w:rPr>
          <w:rFonts w:asciiTheme="minorHAnsi" w:hAnsiTheme="minorHAnsi"/>
          <w:sz w:val="24"/>
          <w:szCs w:val="24"/>
        </w:rPr>
        <w:t>(</w:t>
      </w:r>
      <w:r w:rsidRPr="00DC0560">
        <w:rPr>
          <w:rFonts w:asciiTheme="minorHAnsi" w:hAnsiTheme="minorHAnsi"/>
          <w:sz w:val="24"/>
          <w:szCs w:val="24"/>
        </w:rPr>
        <w:t>the treatment of severe chronic spasticity</w:t>
      </w:r>
      <w:r w:rsidR="002351E4" w:rsidRPr="00DC0560">
        <w:rPr>
          <w:rFonts w:asciiTheme="minorHAnsi" w:hAnsiTheme="minorHAnsi"/>
          <w:sz w:val="24"/>
          <w:szCs w:val="24"/>
        </w:rPr>
        <w:t>)</w:t>
      </w:r>
      <w:r w:rsidR="00865861" w:rsidRPr="00DC0560">
        <w:rPr>
          <w:rFonts w:asciiTheme="minorHAnsi" w:hAnsiTheme="minorHAnsi"/>
          <w:sz w:val="24"/>
          <w:szCs w:val="24"/>
        </w:rPr>
        <w:t>, at an equivalent price per milligram as the current listing</w:t>
      </w:r>
      <w:r w:rsidRPr="00DC0560">
        <w:rPr>
          <w:rFonts w:asciiTheme="minorHAnsi" w:hAnsiTheme="minorHAnsi"/>
          <w:sz w:val="24"/>
          <w:szCs w:val="24"/>
        </w:rPr>
        <w:t>.</w:t>
      </w:r>
    </w:p>
    <w:p w:rsidR="00D01F8B" w:rsidRPr="008B3706" w:rsidRDefault="00D01F8B" w:rsidP="00D01F8B">
      <w:pPr>
        <w:pStyle w:val="ListParagraph"/>
        <w:rPr>
          <w:rFonts w:asciiTheme="minorHAnsi" w:hAnsiTheme="minorHAnsi"/>
          <w:szCs w:val="22"/>
        </w:rPr>
      </w:pPr>
    </w:p>
    <w:p w:rsidR="00F06079" w:rsidRPr="00DC0560" w:rsidRDefault="00F06079" w:rsidP="00F06079">
      <w:pPr>
        <w:pStyle w:val="ListParagraph"/>
        <w:numPr>
          <w:ilvl w:val="1"/>
          <w:numId w:val="5"/>
        </w:numPr>
        <w:rPr>
          <w:rFonts w:asciiTheme="minorHAnsi" w:hAnsiTheme="minorHAnsi"/>
          <w:sz w:val="24"/>
          <w:szCs w:val="24"/>
        </w:rPr>
      </w:pPr>
      <w:r w:rsidRPr="00DC0560">
        <w:rPr>
          <w:rFonts w:asciiTheme="minorHAnsi" w:hAnsiTheme="minorHAnsi"/>
          <w:sz w:val="24"/>
          <w:szCs w:val="24"/>
        </w:rPr>
        <w:t>The submission requested a maximum quantity of two amp</w:t>
      </w:r>
      <w:r w:rsidR="00874143" w:rsidRPr="00DC0560">
        <w:rPr>
          <w:rFonts w:asciiTheme="minorHAnsi" w:hAnsiTheme="minorHAnsi"/>
          <w:sz w:val="24"/>
          <w:szCs w:val="24"/>
        </w:rPr>
        <w:t>o</w:t>
      </w:r>
      <w:r w:rsidRPr="00DC0560">
        <w:rPr>
          <w:rFonts w:asciiTheme="minorHAnsi" w:hAnsiTheme="minorHAnsi"/>
          <w:sz w:val="24"/>
          <w:szCs w:val="24"/>
        </w:rPr>
        <w:t xml:space="preserve">ules, </w:t>
      </w:r>
      <w:r w:rsidR="00420BFF" w:rsidRPr="00DC0560">
        <w:rPr>
          <w:rFonts w:asciiTheme="minorHAnsi" w:hAnsiTheme="minorHAnsi"/>
          <w:sz w:val="24"/>
          <w:szCs w:val="24"/>
        </w:rPr>
        <w:t xml:space="preserve">totalling </w:t>
      </w:r>
      <w:r w:rsidRPr="00DC0560">
        <w:rPr>
          <w:rFonts w:asciiTheme="minorHAnsi" w:hAnsiTheme="minorHAnsi"/>
          <w:sz w:val="24"/>
          <w:szCs w:val="24"/>
        </w:rPr>
        <w:t>80 mg in 40 mL with each prescription. The Secretariat note</w:t>
      </w:r>
      <w:r w:rsidR="008639F4" w:rsidRPr="00DC0560">
        <w:rPr>
          <w:rFonts w:asciiTheme="minorHAnsi" w:hAnsiTheme="minorHAnsi"/>
          <w:sz w:val="24"/>
          <w:szCs w:val="24"/>
        </w:rPr>
        <w:t>d</w:t>
      </w:r>
      <w:r w:rsidRPr="00DC0560">
        <w:rPr>
          <w:rFonts w:asciiTheme="minorHAnsi" w:hAnsiTheme="minorHAnsi"/>
          <w:sz w:val="24"/>
          <w:szCs w:val="24"/>
        </w:rPr>
        <w:t xml:space="preserve"> that this is less than the existing listing of baclofen 10 mg/5mL </w:t>
      </w:r>
      <w:r w:rsidR="008B3706" w:rsidRPr="00DC0560">
        <w:rPr>
          <w:rFonts w:asciiTheme="minorHAnsi" w:hAnsiTheme="minorHAnsi"/>
          <w:sz w:val="24"/>
          <w:szCs w:val="24"/>
        </w:rPr>
        <w:t>that</w:t>
      </w:r>
      <w:r w:rsidRPr="00DC0560">
        <w:rPr>
          <w:rFonts w:asciiTheme="minorHAnsi" w:hAnsiTheme="minorHAnsi"/>
          <w:sz w:val="24"/>
          <w:szCs w:val="24"/>
        </w:rPr>
        <w:t xml:space="preserve"> allows for a </w:t>
      </w:r>
      <w:r w:rsidR="00420BFF" w:rsidRPr="00DC0560">
        <w:rPr>
          <w:rFonts w:asciiTheme="minorHAnsi" w:hAnsiTheme="minorHAnsi"/>
          <w:sz w:val="24"/>
          <w:szCs w:val="24"/>
        </w:rPr>
        <w:t>maximum quantity</w:t>
      </w:r>
      <w:r w:rsidRPr="00DC0560">
        <w:rPr>
          <w:rFonts w:asciiTheme="minorHAnsi" w:hAnsiTheme="minorHAnsi"/>
          <w:sz w:val="24"/>
          <w:szCs w:val="24"/>
        </w:rPr>
        <w:t xml:space="preserve"> of 100 mg. </w:t>
      </w:r>
      <w:r w:rsidR="00953E5E" w:rsidRPr="00DC0560">
        <w:rPr>
          <w:rFonts w:asciiTheme="minorHAnsi" w:hAnsiTheme="minorHAnsi"/>
          <w:sz w:val="24"/>
          <w:szCs w:val="24"/>
        </w:rPr>
        <w:t xml:space="preserve">The PBAC </w:t>
      </w:r>
      <w:r w:rsidR="002351E4" w:rsidRPr="00DC0560">
        <w:rPr>
          <w:rFonts w:asciiTheme="minorHAnsi" w:hAnsiTheme="minorHAnsi"/>
          <w:sz w:val="24"/>
          <w:szCs w:val="24"/>
        </w:rPr>
        <w:t xml:space="preserve">noted that the requested maximum quantity is consistent with the intrathecal pump volume used for delivering baclofen, and therefore </w:t>
      </w:r>
      <w:r w:rsidR="00953E5E" w:rsidRPr="00DC0560">
        <w:rPr>
          <w:rFonts w:asciiTheme="minorHAnsi" w:hAnsiTheme="minorHAnsi"/>
          <w:sz w:val="24"/>
          <w:szCs w:val="24"/>
        </w:rPr>
        <w:t xml:space="preserve">considered the request </w:t>
      </w:r>
      <w:r w:rsidR="00D72ADD" w:rsidRPr="00DC0560">
        <w:rPr>
          <w:rFonts w:asciiTheme="minorHAnsi" w:hAnsiTheme="minorHAnsi"/>
          <w:sz w:val="24"/>
          <w:szCs w:val="24"/>
        </w:rPr>
        <w:t>was</w:t>
      </w:r>
      <w:r w:rsidR="00953E5E" w:rsidRPr="00DC0560">
        <w:rPr>
          <w:rFonts w:asciiTheme="minorHAnsi" w:hAnsiTheme="minorHAnsi"/>
          <w:sz w:val="24"/>
          <w:szCs w:val="24"/>
        </w:rPr>
        <w:t xml:space="preserve"> </w:t>
      </w:r>
      <w:r w:rsidR="00B62A6B" w:rsidRPr="00DC0560">
        <w:rPr>
          <w:rFonts w:asciiTheme="minorHAnsi" w:hAnsiTheme="minorHAnsi"/>
          <w:sz w:val="24"/>
          <w:szCs w:val="24"/>
        </w:rPr>
        <w:t xml:space="preserve">clinically </w:t>
      </w:r>
      <w:r w:rsidR="00953E5E" w:rsidRPr="00DC0560">
        <w:rPr>
          <w:rFonts w:asciiTheme="minorHAnsi" w:hAnsiTheme="minorHAnsi"/>
          <w:sz w:val="24"/>
          <w:szCs w:val="24"/>
        </w:rPr>
        <w:t>appropriate.</w:t>
      </w:r>
    </w:p>
    <w:p w:rsidR="00F06079" w:rsidRPr="00DC0560" w:rsidRDefault="00F06079" w:rsidP="00DC0560">
      <w:pPr>
        <w:pStyle w:val="ListParagraph"/>
        <w:rPr>
          <w:rFonts w:asciiTheme="minorHAnsi" w:hAnsiTheme="minorHAnsi"/>
          <w:sz w:val="24"/>
          <w:szCs w:val="24"/>
        </w:rPr>
      </w:pPr>
    </w:p>
    <w:p w:rsidR="00F06079" w:rsidRPr="00DC0560" w:rsidRDefault="00F06079" w:rsidP="00F06079">
      <w:pPr>
        <w:pStyle w:val="ListParagraph"/>
        <w:numPr>
          <w:ilvl w:val="1"/>
          <w:numId w:val="5"/>
        </w:numPr>
        <w:rPr>
          <w:rFonts w:asciiTheme="minorHAnsi" w:hAnsiTheme="minorHAnsi"/>
          <w:sz w:val="24"/>
          <w:szCs w:val="24"/>
        </w:rPr>
      </w:pPr>
      <w:r w:rsidRPr="00DC0560">
        <w:rPr>
          <w:rFonts w:asciiTheme="minorHAnsi" w:hAnsiTheme="minorHAnsi"/>
          <w:sz w:val="24"/>
          <w:szCs w:val="24"/>
        </w:rPr>
        <w:t xml:space="preserve">The </w:t>
      </w:r>
      <w:r w:rsidR="0025207B" w:rsidRPr="00DC0560">
        <w:rPr>
          <w:rFonts w:asciiTheme="minorHAnsi" w:hAnsiTheme="minorHAnsi"/>
          <w:sz w:val="24"/>
          <w:szCs w:val="24"/>
        </w:rPr>
        <w:t xml:space="preserve">PBAC noted that the Early Supply Rule is not currently </w:t>
      </w:r>
      <w:r w:rsidRPr="00DC0560">
        <w:rPr>
          <w:rFonts w:asciiTheme="minorHAnsi" w:hAnsiTheme="minorHAnsi"/>
          <w:sz w:val="24"/>
          <w:szCs w:val="24"/>
        </w:rPr>
        <w:t>applied to baclofen due to the variable dosing regimen</w:t>
      </w:r>
      <w:r w:rsidR="0025207B" w:rsidRPr="00DC0560">
        <w:rPr>
          <w:rFonts w:asciiTheme="minorHAnsi" w:hAnsiTheme="minorHAnsi"/>
          <w:sz w:val="24"/>
          <w:szCs w:val="24"/>
        </w:rPr>
        <w:t xml:space="preserve">. The </w:t>
      </w:r>
      <w:r w:rsidR="000968EB" w:rsidRPr="00DC0560">
        <w:rPr>
          <w:rFonts w:asciiTheme="minorHAnsi" w:hAnsiTheme="minorHAnsi"/>
          <w:sz w:val="24"/>
          <w:szCs w:val="24"/>
        </w:rPr>
        <w:t xml:space="preserve">PBAC </w:t>
      </w:r>
      <w:r w:rsidR="0025207B" w:rsidRPr="00DC0560">
        <w:rPr>
          <w:rFonts w:asciiTheme="minorHAnsi" w:hAnsiTheme="minorHAnsi"/>
          <w:sz w:val="24"/>
          <w:szCs w:val="24"/>
        </w:rPr>
        <w:t>considered that it is appropriate to maintain th</w:t>
      </w:r>
      <w:r w:rsidR="002351E4" w:rsidRPr="00DC0560">
        <w:rPr>
          <w:rFonts w:asciiTheme="minorHAnsi" w:hAnsiTheme="minorHAnsi"/>
          <w:sz w:val="24"/>
          <w:szCs w:val="24"/>
        </w:rPr>
        <w:t>is</w:t>
      </w:r>
      <w:r w:rsidR="0025207B" w:rsidRPr="00DC0560">
        <w:rPr>
          <w:rFonts w:asciiTheme="minorHAnsi" w:hAnsiTheme="minorHAnsi"/>
          <w:sz w:val="24"/>
          <w:szCs w:val="24"/>
        </w:rPr>
        <w:t xml:space="preserve"> existing arrangement. </w:t>
      </w:r>
    </w:p>
    <w:p w:rsidR="00F06079" w:rsidRPr="00DC0560" w:rsidRDefault="00F06079" w:rsidP="00DC0560">
      <w:pPr>
        <w:pStyle w:val="ListParagraph"/>
        <w:rPr>
          <w:rFonts w:asciiTheme="minorHAnsi" w:hAnsiTheme="minorHAnsi"/>
          <w:sz w:val="24"/>
          <w:szCs w:val="24"/>
        </w:rPr>
      </w:pPr>
    </w:p>
    <w:p w:rsidR="00E83262" w:rsidRPr="00DC0560" w:rsidRDefault="002351E4" w:rsidP="00E83262">
      <w:pPr>
        <w:pStyle w:val="ListParagraph"/>
        <w:numPr>
          <w:ilvl w:val="1"/>
          <w:numId w:val="5"/>
        </w:numPr>
        <w:rPr>
          <w:rFonts w:asciiTheme="minorHAnsi" w:hAnsiTheme="minorHAnsi"/>
          <w:sz w:val="24"/>
          <w:szCs w:val="24"/>
        </w:rPr>
      </w:pPr>
      <w:r w:rsidRPr="00DC0560">
        <w:rPr>
          <w:rFonts w:asciiTheme="minorHAnsi" w:hAnsiTheme="minorHAnsi"/>
          <w:sz w:val="24"/>
          <w:szCs w:val="24"/>
        </w:rPr>
        <w:t>The PBAC noted that b</w:t>
      </w:r>
      <w:r w:rsidR="00E83262" w:rsidRPr="00DC0560">
        <w:rPr>
          <w:rFonts w:asciiTheme="minorHAnsi" w:hAnsiTheme="minorHAnsi"/>
          <w:sz w:val="24"/>
          <w:szCs w:val="24"/>
        </w:rPr>
        <w:t>aclofen is listed under Section 100 Highly Specialised Drugs Program, and is currently out of scope of Nurse Practitioner Prescribing.</w:t>
      </w:r>
    </w:p>
    <w:p w:rsidR="00E83262" w:rsidRPr="00DC0560" w:rsidRDefault="00E83262" w:rsidP="00DC0560">
      <w:pPr>
        <w:pStyle w:val="ListParagraph"/>
        <w:rPr>
          <w:rFonts w:asciiTheme="minorHAnsi" w:hAnsiTheme="minorHAnsi"/>
          <w:sz w:val="24"/>
          <w:szCs w:val="24"/>
        </w:rPr>
      </w:pPr>
    </w:p>
    <w:p w:rsidR="006B16F4" w:rsidRPr="00DC0560" w:rsidRDefault="006B16F4" w:rsidP="006B16F4">
      <w:pPr>
        <w:pStyle w:val="ListParagraph"/>
        <w:numPr>
          <w:ilvl w:val="1"/>
          <w:numId w:val="5"/>
        </w:numPr>
        <w:rPr>
          <w:rFonts w:asciiTheme="minorHAnsi" w:hAnsiTheme="minorHAnsi"/>
          <w:sz w:val="24"/>
          <w:szCs w:val="24"/>
        </w:rPr>
      </w:pPr>
      <w:r w:rsidRPr="00DC0560">
        <w:rPr>
          <w:rFonts w:asciiTheme="minorHAnsi" w:hAnsiTheme="minorHAnsi"/>
          <w:sz w:val="24"/>
          <w:szCs w:val="24"/>
        </w:rPr>
        <w:t>The PBAC noted that this submission is not eligible for Independent Review as it received a positive recommendation.</w:t>
      </w:r>
    </w:p>
    <w:p w:rsidR="00F06079" w:rsidRPr="008B3706" w:rsidRDefault="00F06079" w:rsidP="00F06079">
      <w:pPr>
        <w:pStyle w:val="ListParagraph"/>
        <w:rPr>
          <w:rFonts w:asciiTheme="minorHAnsi" w:hAnsiTheme="minorHAnsi"/>
          <w:szCs w:val="22"/>
        </w:rPr>
      </w:pPr>
    </w:p>
    <w:p w:rsidR="00F06079" w:rsidRPr="008B3706" w:rsidRDefault="00F06079" w:rsidP="00F06079">
      <w:pPr>
        <w:pStyle w:val="ListParagraph"/>
        <w:ind w:left="0"/>
        <w:rPr>
          <w:rFonts w:asciiTheme="minorHAnsi" w:hAnsiTheme="minorHAnsi"/>
          <w:szCs w:val="22"/>
        </w:rPr>
      </w:pPr>
    </w:p>
    <w:p w:rsidR="009A1273" w:rsidRPr="00DC0560" w:rsidRDefault="009A1273" w:rsidP="009A1273">
      <w:pPr>
        <w:spacing w:before="240"/>
        <w:jc w:val="both"/>
        <w:rPr>
          <w:rFonts w:asciiTheme="minorHAnsi" w:hAnsiTheme="minorHAnsi" w:cs="Arial"/>
          <w:b/>
          <w:bCs/>
          <w:snapToGrid w:val="0"/>
          <w:sz w:val="28"/>
          <w:szCs w:val="28"/>
        </w:rPr>
      </w:pPr>
      <w:r w:rsidRPr="00DC0560">
        <w:rPr>
          <w:rFonts w:asciiTheme="minorHAnsi" w:hAnsiTheme="minorHAnsi" w:cs="Arial"/>
          <w:b/>
          <w:bCs/>
          <w:snapToGrid w:val="0"/>
          <w:sz w:val="28"/>
          <w:szCs w:val="28"/>
        </w:rPr>
        <w:t>Outcome:</w:t>
      </w:r>
    </w:p>
    <w:p w:rsidR="0070065C" w:rsidRPr="0084258F" w:rsidRDefault="009A1273" w:rsidP="0084258F">
      <w:pPr>
        <w:jc w:val="both"/>
        <w:rPr>
          <w:rFonts w:asciiTheme="minorHAnsi" w:hAnsiTheme="minorHAnsi" w:cs="Arial"/>
          <w:bCs/>
          <w:snapToGrid w:val="0"/>
        </w:rPr>
      </w:pPr>
      <w:r w:rsidRPr="00197753">
        <w:rPr>
          <w:rFonts w:asciiTheme="minorHAnsi" w:hAnsiTheme="minorHAnsi" w:cs="Arial"/>
          <w:bCs/>
          <w:snapToGrid w:val="0"/>
        </w:rPr>
        <w:t xml:space="preserve">Recommended </w:t>
      </w:r>
    </w:p>
    <w:p w:rsidR="0070065C" w:rsidRPr="008B3706" w:rsidRDefault="0070065C" w:rsidP="009A1273">
      <w:pPr>
        <w:widowControl w:val="0"/>
        <w:jc w:val="both"/>
        <w:rPr>
          <w:rFonts w:asciiTheme="minorHAnsi" w:hAnsiTheme="minorHAnsi" w:cs="Arial"/>
          <w:bCs/>
          <w:snapToGrid w:val="0"/>
        </w:rPr>
      </w:pPr>
    </w:p>
    <w:p w:rsidR="009A1273" w:rsidRPr="00DC0560" w:rsidRDefault="009A1273" w:rsidP="00DC0560">
      <w:pPr>
        <w:pStyle w:val="PBACHeading1"/>
        <w:rPr>
          <w:rFonts w:asciiTheme="minorHAnsi" w:hAnsiTheme="minorHAnsi"/>
          <w:sz w:val="32"/>
          <w:szCs w:val="32"/>
        </w:rPr>
      </w:pPr>
      <w:r w:rsidRPr="00DC0560">
        <w:rPr>
          <w:rFonts w:asciiTheme="minorHAnsi" w:hAnsiTheme="minorHAnsi"/>
          <w:sz w:val="32"/>
          <w:szCs w:val="32"/>
        </w:rPr>
        <w:t>Recommended listing</w:t>
      </w:r>
    </w:p>
    <w:p w:rsidR="009A1273" w:rsidRPr="008B3706" w:rsidRDefault="009A1273" w:rsidP="00DC0560">
      <w:pPr>
        <w:widowControl w:val="0"/>
        <w:spacing w:after="120"/>
        <w:ind w:left="720"/>
        <w:jc w:val="both"/>
        <w:rPr>
          <w:rFonts w:asciiTheme="minorHAnsi" w:hAnsiTheme="minorHAnsi" w:cs="Arial"/>
          <w:b/>
          <w:bCs/>
          <w:snapToGrid w:val="0"/>
        </w:rPr>
      </w:pPr>
    </w:p>
    <w:p w:rsidR="009A1273" w:rsidRPr="008B3706" w:rsidRDefault="009A1273" w:rsidP="009A1273">
      <w:pPr>
        <w:widowControl w:val="0"/>
        <w:ind w:firstLine="720"/>
        <w:jc w:val="both"/>
        <w:rPr>
          <w:rFonts w:asciiTheme="minorHAnsi" w:hAnsiTheme="minorHAnsi" w:cs="Arial"/>
          <w:bCs/>
          <w:snapToGrid w:val="0"/>
        </w:rPr>
      </w:pPr>
      <w:r w:rsidRPr="008B3706">
        <w:rPr>
          <w:rFonts w:asciiTheme="minorHAnsi" w:hAnsiTheme="minorHAnsi" w:cs="Arial"/>
          <w:bCs/>
          <w:snapToGrid w:val="0"/>
        </w:rPr>
        <w:t>Add new item:</w:t>
      </w:r>
    </w:p>
    <w:p w:rsidR="009A7F38" w:rsidRPr="008B3706" w:rsidRDefault="009A7F38" w:rsidP="009A1273">
      <w:pPr>
        <w:widowControl w:val="0"/>
        <w:ind w:firstLine="720"/>
        <w:jc w:val="both"/>
        <w:rPr>
          <w:rFonts w:asciiTheme="minorHAnsi" w:hAnsiTheme="minorHAnsi" w:cs="Arial"/>
          <w:bCs/>
          <w:snapToGrid w:val="0"/>
          <w:highlight w:val="yellow"/>
        </w:rPr>
      </w:pPr>
    </w:p>
    <w:tbl>
      <w:tblPr>
        <w:tblW w:w="8363" w:type="dxa"/>
        <w:tblInd w:w="817" w:type="dxa"/>
        <w:tblLayout w:type="fixed"/>
        <w:tblLook w:val="0000" w:firstRow="0" w:lastRow="0" w:firstColumn="0" w:lastColumn="0" w:noHBand="0" w:noVBand="0"/>
      </w:tblPr>
      <w:tblGrid>
        <w:gridCol w:w="1985"/>
        <w:gridCol w:w="1134"/>
        <w:gridCol w:w="708"/>
        <w:gridCol w:w="709"/>
        <w:gridCol w:w="1843"/>
        <w:gridCol w:w="1984"/>
      </w:tblGrid>
      <w:tr w:rsidR="009A7F38" w:rsidRPr="008B3706" w:rsidTr="00A3725B">
        <w:trPr>
          <w:cantSplit/>
          <w:trHeight w:val="471"/>
        </w:trPr>
        <w:tc>
          <w:tcPr>
            <w:tcW w:w="3119" w:type="dxa"/>
            <w:gridSpan w:val="2"/>
            <w:tcBorders>
              <w:bottom w:val="single" w:sz="4" w:space="0" w:color="auto"/>
            </w:tcBorders>
          </w:tcPr>
          <w:p w:rsidR="009A7F38" w:rsidRPr="008B3706" w:rsidRDefault="009A7F38" w:rsidP="008639F4">
            <w:pPr>
              <w:keepNext/>
              <w:ind w:left="-108"/>
              <w:rPr>
                <w:rFonts w:ascii="Arial Narrow" w:hAnsi="Arial Narrow" w:cs="Arial"/>
                <w:b/>
                <w:sz w:val="20"/>
                <w:szCs w:val="20"/>
              </w:rPr>
            </w:pPr>
            <w:r w:rsidRPr="008B3706">
              <w:rPr>
                <w:rFonts w:ascii="Arial Narrow" w:hAnsi="Arial Narrow" w:cs="Arial"/>
                <w:b/>
                <w:sz w:val="20"/>
                <w:szCs w:val="20"/>
              </w:rPr>
              <w:t>Name, Restriction,</w:t>
            </w:r>
          </w:p>
          <w:p w:rsidR="009A7F38" w:rsidRPr="008B3706" w:rsidRDefault="009A7F38" w:rsidP="008639F4">
            <w:pPr>
              <w:keepNext/>
              <w:ind w:left="-108"/>
              <w:rPr>
                <w:rFonts w:ascii="Arial Narrow" w:hAnsi="Arial Narrow" w:cs="Arial"/>
                <w:b/>
                <w:sz w:val="20"/>
                <w:szCs w:val="20"/>
              </w:rPr>
            </w:pPr>
            <w:r w:rsidRPr="008B3706">
              <w:rPr>
                <w:rFonts w:ascii="Arial Narrow" w:hAnsi="Arial Narrow" w:cs="Arial"/>
                <w:b/>
                <w:sz w:val="20"/>
                <w:szCs w:val="20"/>
              </w:rPr>
              <w:t>Manner of administration and form</w:t>
            </w:r>
          </w:p>
        </w:tc>
        <w:tc>
          <w:tcPr>
            <w:tcW w:w="708" w:type="dxa"/>
            <w:tcBorders>
              <w:bottom w:val="single" w:sz="4" w:space="0" w:color="auto"/>
            </w:tcBorders>
          </w:tcPr>
          <w:p w:rsidR="009A7F38" w:rsidRPr="008B3706" w:rsidRDefault="009A7F38" w:rsidP="008639F4">
            <w:pPr>
              <w:keepNext/>
              <w:ind w:left="-108"/>
              <w:rPr>
                <w:rFonts w:ascii="Arial Narrow" w:hAnsi="Arial Narrow" w:cs="Arial"/>
                <w:b/>
                <w:sz w:val="20"/>
                <w:szCs w:val="20"/>
              </w:rPr>
            </w:pPr>
            <w:r w:rsidRPr="008B3706">
              <w:rPr>
                <w:rFonts w:ascii="Arial Narrow" w:hAnsi="Arial Narrow" w:cs="Arial"/>
                <w:b/>
                <w:sz w:val="20"/>
                <w:szCs w:val="20"/>
              </w:rPr>
              <w:t>Max.</w:t>
            </w:r>
          </w:p>
          <w:p w:rsidR="009A7F38" w:rsidRPr="008B3706" w:rsidRDefault="009A7F38" w:rsidP="008639F4">
            <w:pPr>
              <w:keepNext/>
              <w:ind w:left="-108"/>
              <w:rPr>
                <w:rFonts w:ascii="Arial Narrow" w:hAnsi="Arial Narrow" w:cs="Arial"/>
                <w:b/>
                <w:sz w:val="20"/>
                <w:szCs w:val="20"/>
              </w:rPr>
            </w:pPr>
            <w:r w:rsidRPr="008B3706">
              <w:rPr>
                <w:rFonts w:ascii="Arial Narrow" w:hAnsi="Arial Narrow" w:cs="Arial"/>
                <w:b/>
                <w:sz w:val="20"/>
                <w:szCs w:val="20"/>
              </w:rPr>
              <w:t>Qty</w:t>
            </w:r>
          </w:p>
        </w:tc>
        <w:tc>
          <w:tcPr>
            <w:tcW w:w="709" w:type="dxa"/>
            <w:tcBorders>
              <w:bottom w:val="single" w:sz="4" w:space="0" w:color="auto"/>
            </w:tcBorders>
          </w:tcPr>
          <w:p w:rsidR="009A7F38" w:rsidRPr="008B3706" w:rsidRDefault="009A7F38" w:rsidP="008639F4">
            <w:pPr>
              <w:keepNext/>
              <w:ind w:left="-108"/>
              <w:rPr>
                <w:rFonts w:ascii="Arial Narrow" w:hAnsi="Arial Narrow" w:cs="Arial"/>
                <w:b/>
                <w:sz w:val="20"/>
                <w:szCs w:val="20"/>
              </w:rPr>
            </w:pPr>
            <w:r w:rsidRPr="008B3706">
              <w:rPr>
                <w:rFonts w:ascii="Arial Narrow" w:hAnsi="Arial Narrow" w:cs="Arial"/>
                <w:b/>
                <w:sz w:val="20"/>
                <w:szCs w:val="20"/>
              </w:rPr>
              <w:t>№.of</w:t>
            </w:r>
          </w:p>
          <w:p w:rsidR="009A7F38" w:rsidRPr="008B3706" w:rsidRDefault="009A7F38" w:rsidP="008639F4">
            <w:pPr>
              <w:keepNext/>
              <w:ind w:left="-108"/>
              <w:rPr>
                <w:rFonts w:ascii="Arial Narrow" w:hAnsi="Arial Narrow" w:cs="Arial"/>
                <w:b/>
                <w:sz w:val="20"/>
                <w:szCs w:val="20"/>
              </w:rPr>
            </w:pPr>
            <w:r w:rsidRPr="008B3706">
              <w:rPr>
                <w:rFonts w:ascii="Arial Narrow" w:hAnsi="Arial Narrow" w:cs="Arial"/>
                <w:b/>
                <w:sz w:val="20"/>
                <w:szCs w:val="20"/>
              </w:rPr>
              <w:t>Rpts</w:t>
            </w:r>
          </w:p>
        </w:tc>
        <w:tc>
          <w:tcPr>
            <w:tcW w:w="3827" w:type="dxa"/>
            <w:gridSpan w:val="2"/>
            <w:tcBorders>
              <w:bottom w:val="single" w:sz="4" w:space="0" w:color="auto"/>
            </w:tcBorders>
          </w:tcPr>
          <w:p w:rsidR="009A7F38" w:rsidRPr="00197753" w:rsidRDefault="009A7F38" w:rsidP="008639F4">
            <w:pPr>
              <w:keepNext/>
              <w:rPr>
                <w:rFonts w:ascii="Arial Narrow" w:hAnsi="Arial Narrow" w:cs="Arial"/>
                <w:b/>
                <w:sz w:val="20"/>
                <w:szCs w:val="20"/>
              </w:rPr>
            </w:pPr>
            <w:r w:rsidRPr="008B3706">
              <w:rPr>
                <w:rFonts w:ascii="Arial Narrow" w:hAnsi="Arial Narrow" w:cs="Arial"/>
                <w:b/>
                <w:sz w:val="20"/>
                <w:szCs w:val="20"/>
              </w:rPr>
              <w:t>Proprietary Name and Manufacturer</w:t>
            </w:r>
          </w:p>
        </w:tc>
      </w:tr>
      <w:tr w:rsidR="009A7F38" w:rsidRPr="008B3706" w:rsidTr="00A3725B">
        <w:trPr>
          <w:cantSplit/>
          <w:trHeight w:val="577"/>
        </w:trPr>
        <w:tc>
          <w:tcPr>
            <w:tcW w:w="3119" w:type="dxa"/>
            <w:gridSpan w:val="2"/>
          </w:tcPr>
          <w:p w:rsidR="009A7F38" w:rsidRPr="008B3706" w:rsidRDefault="009A7F38" w:rsidP="008639F4">
            <w:pPr>
              <w:keepNext/>
              <w:ind w:left="-108"/>
              <w:rPr>
                <w:rFonts w:ascii="Arial Narrow" w:hAnsi="Arial Narrow" w:cs="Arial"/>
                <w:sz w:val="20"/>
                <w:szCs w:val="20"/>
              </w:rPr>
            </w:pPr>
            <w:r w:rsidRPr="008B3706">
              <w:rPr>
                <w:rFonts w:ascii="Arial Narrow" w:hAnsi="Arial Narrow" w:cs="Arial"/>
                <w:smallCaps/>
                <w:sz w:val="20"/>
                <w:szCs w:val="20"/>
              </w:rPr>
              <w:t>baclofen</w:t>
            </w:r>
          </w:p>
          <w:p w:rsidR="009A7F38" w:rsidRPr="008B3706" w:rsidRDefault="009A7F38" w:rsidP="008639F4">
            <w:pPr>
              <w:keepNext/>
              <w:ind w:left="-108"/>
              <w:rPr>
                <w:rFonts w:ascii="Arial Narrow" w:hAnsi="Arial Narrow" w:cs="Arial"/>
                <w:sz w:val="20"/>
                <w:szCs w:val="20"/>
              </w:rPr>
            </w:pPr>
            <w:r w:rsidRPr="008B3706">
              <w:rPr>
                <w:rFonts w:ascii="Arial Narrow" w:hAnsi="Arial Narrow" w:cs="Arial"/>
                <w:sz w:val="20"/>
                <w:szCs w:val="20"/>
              </w:rPr>
              <w:t>intrathecal injection, 40mg /20 mL ampoule</w:t>
            </w:r>
          </w:p>
        </w:tc>
        <w:tc>
          <w:tcPr>
            <w:tcW w:w="708" w:type="dxa"/>
          </w:tcPr>
          <w:p w:rsidR="009A7F38" w:rsidRPr="008B3706" w:rsidRDefault="009A7F38" w:rsidP="008639F4">
            <w:pPr>
              <w:keepNext/>
              <w:ind w:left="-108"/>
              <w:rPr>
                <w:rFonts w:ascii="Arial Narrow" w:hAnsi="Arial Narrow" w:cs="Arial"/>
                <w:sz w:val="20"/>
                <w:szCs w:val="20"/>
              </w:rPr>
            </w:pPr>
          </w:p>
          <w:p w:rsidR="009A7F38" w:rsidRPr="008B3706" w:rsidRDefault="009A7F38" w:rsidP="008639F4">
            <w:pPr>
              <w:keepNext/>
              <w:ind w:left="-108"/>
              <w:rPr>
                <w:rFonts w:ascii="Arial Narrow" w:hAnsi="Arial Narrow" w:cs="Arial"/>
                <w:sz w:val="20"/>
                <w:szCs w:val="20"/>
              </w:rPr>
            </w:pPr>
            <w:r w:rsidRPr="008B3706">
              <w:rPr>
                <w:rFonts w:ascii="Arial Narrow" w:hAnsi="Arial Narrow" w:cs="Arial"/>
                <w:sz w:val="20"/>
                <w:szCs w:val="20"/>
              </w:rPr>
              <w:t>2</w:t>
            </w:r>
          </w:p>
        </w:tc>
        <w:tc>
          <w:tcPr>
            <w:tcW w:w="709" w:type="dxa"/>
          </w:tcPr>
          <w:p w:rsidR="009A7F38" w:rsidRPr="008B3706" w:rsidRDefault="009A7F38" w:rsidP="008639F4">
            <w:pPr>
              <w:keepNext/>
              <w:ind w:left="-108"/>
              <w:rPr>
                <w:rFonts w:ascii="Arial Narrow" w:hAnsi="Arial Narrow" w:cs="Arial"/>
                <w:sz w:val="20"/>
                <w:szCs w:val="20"/>
              </w:rPr>
            </w:pPr>
          </w:p>
          <w:p w:rsidR="009A7F38" w:rsidRPr="008B3706" w:rsidRDefault="009A7F38" w:rsidP="008639F4">
            <w:pPr>
              <w:keepNext/>
              <w:ind w:left="-108"/>
              <w:rPr>
                <w:rFonts w:ascii="Arial Narrow" w:hAnsi="Arial Narrow" w:cs="Arial"/>
                <w:sz w:val="20"/>
                <w:szCs w:val="20"/>
              </w:rPr>
            </w:pPr>
            <w:r w:rsidRPr="008B3706">
              <w:rPr>
                <w:rFonts w:ascii="Arial Narrow" w:hAnsi="Arial Narrow" w:cs="Arial"/>
                <w:sz w:val="20"/>
                <w:szCs w:val="20"/>
              </w:rPr>
              <w:t>0</w:t>
            </w:r>
          </w:p>
        </w:tc>
        <w:tc>
          <w:tcPr>
            <w:tcW w:w="1843" w:type="dxa"/>
          </w:tcPr>
          <w:p w:rsidR="009A7F38" w:rsidRPr="008B3706" w:rsidRDefault="009A7F38" w:rsidP="008639F4">
            <w:pPr>
              <w:keepNext/>
              <w:rPr>
                <w:rFonts w:ascii="Arial Narrow" w:hAnsi="Arial Narrow" w:cs="Arial"/>
                <w:sz w:val="20"/>
                <w:szCs w:val="20"/>
              </w:rPr>
            </w:pPr>
          </w:p>
          <w:p w:rsidR="009A7F38" w:rsidRPr="008B3706" w:rsidRDefault="009A7F38" w:rsidP="008639F4">
            <w:pPr>
              <w:keepNext/>
              <w:rPr>
                <w:rFonts w:ascii="Arial Narrow" w:hAnsi="Arial Narrow" w:cs="Arial"/>
                <w:sz w:val="20"/>
                <w:szCs w:val="20"/>
              </w:rPr>
            </w:pPr>
            <w:r w:rsidRPr="008B3706">
              <w:rPr>
                <w:rFonts w:ascii="Arial Narrow" w:hAnsi="Arial Narrow" w:cs="Arial"/>
                <w:sz w:val="20"/>
                <w:szCs w:val="20"/>
              </w:rPr>
              <w:t>Sintetica Baclofen Intrathecal</w:t>
            </w:r>
          </w:p>
        </w:tc>
        <w:tc>
          <w:tcPr>
            <w:tcW w:w="1984" w:type="dxa"/>
          </w:tcPr>
          <w:p w:rsidR="009A7F38" w:rsidRPr="008B3706" w:rsidRDefault="009A7F38" w:rsidP="008639F4">
            <w:pPr>
              <w:keepNext/>
              <w:rPr>
                <w:rFonts w:ascii="Arial Narrow" w:hAnsi="Arial Narrow" w:cs="Arial"/>
                <w:sz w:val="20"/>
                <w:szCs w:val="20"/>
              </w:rPr>
            </w:pPr>
          </w:p>
          <w:p w:rsidR="009A7F38" w:rsidRPr="008B3706" w:rsidRDefault="009A7F38" w:rsidP="008639F4">
            <w:pPr>
              <w:keepNext/>
              <w:rPr>
                <w:rFonts w:ascii="Arial Narrow" w:hAnsi="Arial Narrow" w:cs="Arial"/>
                <w:sz w:val="20"/>
                <w:szCs w:val="20"/>
              </w:rPr>
            </w:pPr>
            <w:r w:rsidRPr="008B3706">
              <w:rPr>
                <w:rFonts w:ascii="Arial Narrow" w:hAnsi="Arial Narrow" w:cs="Arial"/>
                <w:sz w:val="20"/>
                <w:szCs w:val="20"/>
              </w:rPr>
              <w:t>Boucher and Muir Pty Ltd</w:t>
            </w:r>
          </w:p>
        </w:tc>
      </w:tr>
      <w:tr w:rsidR="009A7F38" w:rsidRPr="008B3706" w:rsidTr="008639F4">
        <w:trPr>
          <w:cantSplit/>
          <w:trHeight w:val="360"/>
        </w:trPr>
        <w:tc>
          <w:tcPr>
            <w:tcW w:w="8363" w:type="dxa"/>
            <w:gridSpan w:val="6"/>
            <w:tcBorders>
              <w:bottom w:val="single" w:sz="4" w:space="0" w:color="auto"/>
            </w:tcBorders>
          </w:tcPr>
          <w:p w:rsidR="009A7F38" w:rsidRPr="008B3706" w:rsidRDefault="009A7F38" w:rsidP="008639F4">
            <w:pPr>
              <w:jc w:val="both"/>
              <w:rPr>
                <w:rFonts w:ascii="Arial Narrow" w:hAnsi="Arial Narrow" w:cs="Arial"/>
                <w:sz w:val="20"/>
                <w:szCs w:val="20"/>
              </w:rPr>
            </w:pPr>
          </w:p>
        </w:tc>
      </w:tr>
      <w:tr w:rsidR="009A7F38" w:rsidRPr="008B3706" w:rsidTr="008639F4">
        <w:trPr>
          <w:cantSplit/>
          <w:trHeight w:val="360"/>
        </w:trPr>
        <w:tc>
          <w:tcPr>
            <w:tcW w:w="1985" w:type="dxa"/>
            <w:tcBorders>
              <w:top w:val="single" w:sz="4" w:space="0" w:color="auto"/>
              <w:left w:val="single" w:sz="4" w:space="0" w:color="auto"/>
              <w:bottom w:val="single" w:sz="4" w:space="0" w:color="auto"/>
              <w:right w:val="single" w:sz="4" w:space="0" w:color="auto"/>
            </w:tcBorders>
          </w:tcPr>
          <w:p w:rsidR="009A7F38" w:rsidRPr="008B3706" w:rsidRDefault="009A7F38" w:rsidP="008639F4">
            <w:pPr>
              <w:jc w:val="both"/>
              <w:rPr>
                <w:rFonts w:ascii="Arial Narrow" w:hAnsi="Arial Narrow" w:cs="Arial"/>
                <w:b/>
                <w:sz w:val="20"/>
                <w:szCs w:val="20"/>
              </w:rPr>
            </w:pPr>
            <w:r w:rsidRPr="008B3706">
              <w:rPr>
                <w:rFonts w:ascii="Arial Narrow" w:hAnsi="Arial Narrow" w:cs="Arial"/>
                <w:b/>
                <w:sz w:val="20"/>
                <w:szCs w:val="20"/>
              </w:rPr>
              <w:t xml:space="preserve">Category / </w:t>
            </w:r>
          </w:p>
          <w:p w:rsidR="009A7F38" w:rsidRPr="008B3706" w:rsidRDefault="009A7F38" w:rsidP="008639F4">
            <w:pPr>
              <w:jc w:val="both"/>
              <w:rPr>
                <w:rFonts w:ascii="Arial Narrow" w:hAnsi="Arial Narrow" w:cs="Arial"/>
                <w:b/>
                <w:sz w:val="20"/>
                <w:szCs w:val="20"/>
              </w:rPr>
            </w:pPr>
            <w:r w:rsidRPr="008B3706">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9A7F38" w:rsidRPr="008B3706" w:rsidRDefault="009A7F38" w:rsidP="008639F4">
            <w:pPr>
              <w:rPr>
                <w:rFonts w:ascii="Arial Narrow" w:hAnsi="Arial Narrow" w:cs="Arial"/>
                <w:sz w:val="20"/>
                <w:szCs w:val="20"/>
              </w:rPr>
            </w:pPr>
            <w:r w:rsidRPr="008B3706">
              <w:rPr>
                <w:rFonts w:ascii="Arial Narrow" w:hAnsi="Arial Narrow" w:cs="Arial"/>
                <w:sz w:val="20"/>
                <w:szCs w:val="20"/>
              </w:rPr>
              <w:t>Section 100 – Highly Specialised Drugs Program</w:t>
            </w:r>
            <w:r w:rsidR="00B54E49" w:rsidRPr="008B3706">
              <w:rPr>
                <w:rFonts w:ascii="Arial Narrow" w:hAnsi="Arial Narrow" w:cs="Arial"/>
                <w:sz w:val="20"/>
                <w:szCs w:val="20"/>
              </w:rPr>
              <w:t xml:space="preserve"> (Public Hospital)</w:t>
            </w:r>
          </w:p>
        </w:tc>
      </w:tr>
      <w:tr w:rsidR="009A7F38" w:rsidRPr="008B3706" w:rsidTr="008639F4">
        <w:trPr>
          <w:cantSplit/>
          <w:trHeight w:val="360"/>
        </w:trPr>
        <w:tc>
          <w:tcPr>
            <w:tcW w:w="1985" w:type="dxa"/>
            <w:tcBorders>
              <w:top w:val="single" w:sz="4" w:space="0" w:color="auto"/>
              <w:left w:val="single" w:sz="4" w:space="0" w:color="auto"/>
              <w:bottom w:val="single" w:sz="4" w:space="0" w:color="auto"/>
              <w:right w:val="single" w:sz="4" w:space="0" w:color="auto"/>
            </w:tcBorders>
          </w:tcPr>
          <w:p w:rsidR="009A7F38" w:rsidRPr="008B3706" w:rsidRDefault="009A7F38" w:rsidP="008639F4">
            <w:pPr>
              <w:jc w:val="both"/>
              <w:rPr>
                <w:rFonts w:ascii="Arial Narrow" w:hAnsi="Arial Narrow" w:cs="Arial"/>
                <w:b/>
                <w:sz w:val="20"/>
                <w:szCs w:val="20"/>
              </w:rPr>
            </w:pPr>
            <w:r w:rsidRPr="008B3706">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9A7F38" w:rsidRPr="008B3706" w:rsidRDefault="009A7F38" w:rsidP="008639F4">
            <w:pPr>
              <w:rPr>
                <w:rFonts w:ascii="Arial Narrow" w:hAnsi="Arial Narrow" w:cs="Arial"/>
                <w:sz w:val="20"/>
                <w:szCs w:val="20"/>
              </w:rPr>
            </w:pPr>
            <w:r w:rsidRPr="00197753">
              <w:rPr>
                <w:rFonts w:ascii="Arial Narrow" w:hAnsi="Arial Narrow" w:cs="Arial"/>
                <w:sz w:val="20"/>
                <w:szCs w:val="20"/>
              </w:rPr>
              <w:fldChar w:fldCharType="begin">
                <w:ffData>
                  <w:name w:val="Check1"/>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Dental  </w:t>
            </w: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Medical Practitioners  </w:t>
            </w:r>
            <w:r w:rsidRPr="00197753">
              <w:rPr>
                <w:rFonts w:ascii="Arial Narrow" w:hAnsi="Arial Narrow" w:cs="Arial"/>
                <w:sz w:val="20"/>
                <w:szCs w:val="20"/>
              </w:rPr>
              <w:fldChar w:fldCharType="begin">
                <w:ffData>
                  <w:name w:val="Check3"/>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Nurse practitioners  </w:t>
            </w:r>
            <w:r w:rsidRPr="00197753">
              <w:rPr>
                <w:rFonts w:ascii="Arial Narrow" w:hAnsi="Arial Narrow" w:cs="Arial"/>
                <w:sz w:val="20"/>
                <w:szCs w:val="20"/>
              </w:rPr>
              <w:fldChar w:fldCharType="begin">
                <w:ffData>
                  <w:name w:val=""/>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Optometrists</w:t>
            </w:r>
          </w:p>
          <w:p w:rsidR="009A7F38" w:rsidRPr="008B3706" w:rsidRDefault="009A7F38" w:rsidP="008639F4">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Midwives</w:t>
            </w:r>
          </w:p>
        </w:tc>
      </w:tr>
      <w:tr w:rsidR="009A7F38" w:rsidRPr="008B3706" w:rsidTr="008639F4">
        <w:trPr>
          <w:cantSplit/>
          <w:trHeight w:val="360"/>
        </w:trPr>
        <w:tc>
          <w:tcPr>
            <w:tcW w:w="1985" w:type="dxa"/>
            <w:tcBorders>
              <w:top w:val="single" w:sz="4" w:space="0" w:color="auto"/>
              <w:left w:val="single" w:sz="4" w:space="0" w:color="auto"/>
              <w:bottom w:val="single" w:sz="4" w:space="0" w:color="auto"/>
              <w:right w:val="single" w:sz="4" w:space="0" w:color="auto"/>
            </w:tcBorders>
          </w:tcPr>
          <w:p w:rsidR="009A7F38" w:rsidRPr="008B3706" w:rsidRDefault="009A7F38" w:rsidP="008639F4">
            <w:pPr>
              <w:jc w:val="both"/>
              <w:rPr>
                <w:rFonts w:ascii="Arial Narrow" w:hAnsi="Arial Narrow" w:cs="Arial"/>
                <w:b/>
                <w:sz w:val="20"/>
                <w:szCs w:val="20"/>
              </w:rPr>
            </w:pPr>
            <w:r w:rsidRPr="008B3706">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9A7F38" w:rsidRPr="008B3706" w:rsidRDefault="009A7F38" w:rsidP="008639F4">
            <w:pPr>
              <w:rPr>
                <w:rFonts w:ascii="Arial Narrow" w:hAnsi="Arial Narrow" w:cs="Arial"/>
                <w:sz w:val="20"/>
                <w:szCs w:val="20"/>
              </w:rPr>
            </w:pPr>
            <w:r w:rsidRPr="008B3706">
              <w:rPr>
                <w:rFonts w:ascii="Arial Narrow" w:hAnsi="Arial Narrow" w:cs="Arial"/>
                <w:sz w:val="20"/>
                <w:szCs w:val="20"/>
              </w:rPr>
              <w:t>Severe chronic spasticity</w:t>
            </w:r>
          </w:p>
        </w:tc>
      </w:tr>
      <w:tr w:rsidR="009A7F38" w:rsidRPr="008B3706" w:rsidTr="008639F4">
        <w:trPr>
          <w:cantSplit/>
          <w:trHeight w:val="360"/>
        </w:trPr>
        <w:tc>
          <w:tcPr>
            <w:tcW w:w="1985" w:type="dxa"/>
            <w:tcBorders>
              <w:top w:val="single" w:sz="4" w:space="0" w:color="auto"/>
              <w:left w:val="single" w:sz="4" w:space="0" w:color="auto"/>
              <w:bottom w:val="single" w:sz="4" w:space="0" w:color="auto"/>
              <w:right w:val="single" w:sz="4" w:space="0" w:color="auto"/>
            </w:tcBorders>
          </w:tcPr>
          <w:p w:rsidR="009A7F38" w:rsidRPr="008B3706" w:rsidRDefault="009A7F38" w:rsidP="008639F4">
            <w:pPr>
              <w:jc w:val="both"/>
              <w:rPr>
                <w:rFonts w:ascii="Arial Narrow" w:hAnsi="Arial Narrow" w:cs="Arial"/>
                <w:b/>
                <w:sz w:val="20"/>
                <w:szCs w:val="20"/>
              </w:rPr>
            </w:pPr>
            <w:r w:rsidRPr="008B3706">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9A7F38" w:rsidRPr="008B3706" w:rsidRDefault="009A7F38" w:rsidP="008639F4">
            <w:pPr>
              <w:rPr>
                <w:rFonts w:ascii="Arial Narrow" w:hAnsi="Arial Narrow" w:cs="Arial"/>
                <w:sz w:val="20"/>
                <w:szCs w:val="20"/>
              </w:rPr>
            </w:pPr>
            <w:r w:rsidRPr="008B3706">
              <w:rPr>
                <w:rFonts w:ascii="Arial Narrow" w:hAnsi="Arial Narrow" w:cs="Arial"/>
                <w:sz w:val="20"/>
                <w:szCs w:val="20"/>
              </w:rPr>
              <w:t>Severe chronic spasticity</w:t>
            </w:r>
          </w:p>
        </w:tc>
      </w:tr>
      <w:tr w:rsidR="009A7F38" w:rsidRPr="008B3706" w:rsidTr="008639F4">
        <w:trPr>
          <w:cantSplit/>
          <w:trHeight w:val="360"/>
        </w:trPr>
        <w:tc>
          <w:tcPr>
            <w:tcW w:w="1985" w:type="dxa"/>
            <w:tcBorders>
              <w:top w:val="single" w:sz="4" w:space="0" w:color="auto"/>
              <w:left w:val="single" w:sz="4" w:space="0" w:color="auto"/>
              <w:bottom w:val="single" w:sz="4" w:space="0" w:color="auto"/>
              <w:right w:val="single" w:sz="4" w:space="0" w:color="auto"/>
            </w:tcBorders>
          </w:tcPr>
          <w:p w:rsidR="009A7F38" w:rsidRPr="008B3706" w:rsidRDefault="009A7F38" w:rsidP="008639F4">
            <w:pPr>
              <w:jc w:val="both"/>
              <w:rPr>
                <w:rFonts w:ascii="Arial Narrow" w:hAnsi="Arial Narrow" w:cs="Arial"/>
                <w:b/>
                <w:sz w:val="20"/>
                <w:szCs w:val="20"/>
              </w:rPr>
            </w:pPr>
            <w:r w:rsidRPr="008B3706">
              <w:rPr>
                <w:rFonts w:ascii="Arial Narrow" w:hAnsi="Arial Narrow" w:cs="Arial"/>
                <w:b/>
                <w:sz w:val="20"/>
                <w:szCs w:val="20"/>
              </w:rPr>
              <w:t>Restriction Level / Method:</w:t>
            </w:r>
          </w:p>
          <w:p w:rsidR="009A7F38" w:rsidRPr="008B3706" w:rsidRDefault="009A7F38" w:rsidP="008639F4">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9A7F38" w:rsidRPr="008B3706" w:rsidRDefault="009A7F38" w:rsidP="008639F4">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Streamlined</w:t>
            </w:r>
          </w:p>
          <w:p w:rsidR="009A7F38" w:rsidRPr="008B3706" w:rsidRDefault="009A7F38" w:rsidP="008639F4">
            <w:pPr>
              <w:rPr>
                <w:rFonts w:ascii="Arial Narrow" w:hAnsi="Arial Narrow" w:cs="Arial"/>
                <w:b/>
                <w:sz w:val="20"/>
                <w:szCs w:val="20"/>
              </w:rPr>
            </w:pPr>
          </w:p>
        </w:tc>
      </w:tr>
      <w:tr w:rsidR="009A7F38" w:rsidRPr="008B3706" w:rsidTr="008639F4">
        <w:trPr>
          <w:cantSplit/>
          <w:trHeight w:val="360"/>
        </w:trPr>
        <w:tc>
          <w:tcPr>
            <w:tcW w:w="1985" w:type="dxa"/>
            <w:tcBorders>
              <w:top w:val="single" w:sz="4" w:space="0" w:color="auto"/>
              <w:left w:val="single" w:sz="4" w:space="0" w:color="auto"/>
              <w:bottom w:val="single" w:sz="4" w:space="0" w:color="auto"/>
              <w:right w:val="single" w:sz="4" w:space="0" w:color="auto"/>
            </w:tcBorders>
          </w:tcPr>
          <w:p w:rsidR="009A7F38" w:rsidRPr="008B3706" w:rsidRDefault="009A7F38" w:rsidP="008639F4">
            <w:pPr>
              <w:jc w:val="both"/>
              <w:rPr>
                <w:rFonts w:ascii="Arial Narrow" w:hAnsi="Arial Narrow" w:cs="Arial"/>
                <w:b/>
                <w:sz w:val="20"/>
                <w:szCs w:val="20"/>
              </w:rPr>
            </w:pPr>
            <w:r w:rsidRPr="008B3706">
              <w:rPr>
                <w:rFonts w:ascii="Arial Narrow" w:hAnsi="Arial Narrow" w:cs="Arial"/>
                <w:b/>
                <w:sz w:val="20"/>
                <w:szCs w:val="20"/>
              </w:rPr>
              <w:t>Clinical criteria:</w:t>
            </w:r>
          </w:p>
          <w:p w:rsidR="009A7F38" w:rsidRPr="008B3706" w:rsidRDefault="009A7F38" w:rsidP="008639F4">
            <w:pPr>
              <w:jc w:val="both"/>
              <w:rPr>
                <w:rFonts w:ascii="Arial Narrow" w:hAnsi="Arial Narrow" w:cs="Arial"/>
                <w:i/>
                <w:sz w:val="20"/>
                <w:szCs w:val="20"/>
              </w:rPr>
            </w:pPr>
          </w:p>
          <w:p w:rsidR="009A7F38" w:rsidRPr="008B3706" w:rsidRDefault="009A7F38" w:rsidP="008639F4">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9A7F38" w:rsidRPr="008B3706" w:rsidRDefault="009A7F38" w:rsidP="008639F4">
            <w:pPr>
              <w:rPr>
                <w:rFonts w:ascii="Arial Narrow" w:hAnsi="Arial Narrow" w:cs="Arial"/>
                <w:sz w:val="20"/>
                <w:szCs w:val="20"/>
              </w:rPr>
            </w:pPr>
            <w:r w:rsidRPr="008B3706">
              <w:rPr>
                <w:rFonts w:ascii="Arial Narrow" w:hAnsi="Arial Narrow" w:cs="Arial"/>
                <w:sz w:val="20"/>
                <w:szCs w:val="20"/>
              </w:rPr>
              <w:t xml:space="preserve">Patient must have failed to respond to treatment with oral antispastic agents; </w:t>
            </w:r>
          </w:p>
          <w:p w:rsidR="009A7F38" w:rsidRPr="008B3706" w:rsidRDefault="009A7F38" w:rsidP="008639F4">
            <w:pPr>
              <w:rPr>
                <w:rFonts w:ascii="Arial Narrow" w:hAnsi="Arial Narrow" w:cs="Arial"/>
                <w:sz w:val="20"/>
                <w:szCs w:val="20"/>
              </w:rPr>
            </w:pPr>
            <w:r w:rsidRPr="008B3706">
              <w:rPr>
                <w:rFonts w:ascii="Arial Narrow" w:hAnsi="Arial Narrow" w:cs="Arial"/>
                <w:sz w:val="20"/>
                <w:szCs w:val="20"/>
              </w:rPr>
              <w:t>OR</w:t>
            </w:r>
          </w:p>
          <w:p w:rsidR="009A7F38" w:rsidRPr="008B3706" w:rsidRDefault="009A7F38" w:rsidP="008639F4">
            <w:pPr>
              <w:rPr>
                <w:rFonts w:ascii="Arial Narrow" w:hAnsi="Arial Narrow" w:cs="Arial"/>
                <w:sz w:val="20"/>
                <w:szCs w:val="20"/>
              </w:rPr>
            </w:pPr>
            <w:r w:rsidRPr="008B3706">
              <w:rPr>
                <w:rFonts w:ascii="Arial Narrow" w:hAnsi="Arial Narrow" w:cs="Arial"/>
                <w:sz w:val="20"/>
                <w:szCs w:val="20"/>
              </w:rPr>
              <w:t>Patient must have had unacceptable side effects to treatment with oral antispastic agents,</w:t>
            </w:r>
          </w:p>
          <w:p w:rsidR="009A7F38" w:rsidRPr="008B3706" w:rsidRDefault="009A7F38" w:rsidP="008639F4">
            <w:pPr>
              <w:rPr>
                <w:rFonts w:ascii="Arial Narrow" w:hAnsi="Arial Narrow" w:cs="Arial"/>
                <w:sz w:val="20"/>
                <w:szCs w:val="20"/>
              </w:rPr>
            </w:pPr>
            <w:r w:rsidRPr="008B3706">
              <w:rPr>
                <w:rFonts w:ascii="Arial Narrow" w:hAnsi="Arial Narrow" w:cs="Arial"/>
                <w:sz w:val="20"/>
                <w:szCs w:val="20"/>
              </w:rPr>
              <w:t>AND</w:t>
            </w:r>
          </w:p>
          <w:p w:rsidR="009A7F38" w:rsidRPr="008B3706" w:rsidRDefault="009A7F38" w:rsidP="008639F4">
            <w:pPr>
              <w:rPr>
                <w:rFonts w:ascii="Arial Narrow" w:hAnsi="Arial Narrow" w:cs="Arial"/>
                <w:sz w:val="20"/>
                <w:szCs w:val="20"/>
              </w:rPr>
            </w:pPr>
            <w:r w:rsidRPr="008B3706">
              <w:rPr>
                <w:rFonts w:ascii="Arial Narrow" w:hAnsi="Arial Narrow" w:cs="Arial"/>
                <w:sz w:val="20"/>
                <w:szCs w:val="20"/>
              </w:rPr>
              <w:t>Patient must have chronic spasticity of cerebral origin.</w:t>
            </w:r>
          </w:p>
          <w:p w:rsidR="009A7F38" w:rsidRPr="008B3706" w:rsidRDefault="009A7F38" w:rsidP="00A3725B">
            <w:pPr>
              <w:rPr>
                <w:rFonts w:ascii="Arial Narrow" w:hAnsi="Arial Narrow" w:cs="Arial"/>
                <w:sz w:val="20"/>
                <w:szCs w:val="20"/>
              </w:rPr>
            </w:pPr>
          </w:p>
        </w:tc>
      </w:tr>
    </w:tbl>
    <w:p w:rsidR="0084258F" w:rsidRDefault="0084258F">
      <w:r>
        <w:br w:type="page"/>
      </w:r>
    </w:p>
    <w:tbl>
      <w:tblPr>
        <w:tblW w:w="8363" w:type="dxa"/>
        <w:tblInd w:w="817" w:type="dxa"/>
        <w:tblLayout w:type="fixed"/>
        <w:tblLook w:val="0000" w:firstRow="0" w:lastRow="0" w:firstColumn="0" w:lastColumn="0" w:noHBand="0" w:noVBand="0"/>
      </w:tblPr>
      <w:tblGrid>
        <w:gridCol w:w="1985"/>
        <w:gridCol w:w="1134"/>
        <w:gridCol w:w="708"/>
        <w:gridCol w:w="709"/>
        <w:gridCol w:w="1843"/>
        <w:gridCol w:w="1984"/>
      </w:tblGrid>
      <w:tr w:rsidR="00B54E49" w:rsidRPr="008B3706" w:rsidTr="00420BFF">
        <w:trPr>
          <w:cantSplit/>
          <w:trHeight w:val="471"/>
        </w:trPr>
        <w:tc>
          <w:tcPr>
            <w:tcW w:w="3119" w:type="dxa"/>
            <w:gridSpan w:val="2"/>
            <w:tcBorders>
              <w:bottom w:val="single" w:sz="4" w:space="0" w:color="auto"/>
            </w:tcBorders>
          </w:tcPr>
          <w:p w:rsidR="00440F47" w:rsidRPr="008B3706" w:rsidRDefault="00440F47" w:rsidP="00420BFF">
            <w:pPr>
              <w:keepNext/>
              <w:ind w:left="-108"/>
              <w:rPr>
                <w:rFonts w:ascii="Arial Narrow" w:hAnsi="Arial Narrow" w:cs="Arial"/>
                <w:b/>
                <w:sz w:val="20"/>
                <w:szCs w:val="20"/>
              </w:rPr>
            </w:pP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Name, Restriction,</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Manner of administration and form</w:t>
            </w:r>
          </w:p>
        </w:tc>
        <w:tc>
          <w:tcPr>
            <w:tcW w:w="708" w:type="dxa"/>
            <w:tcBorders>
              <w:bottom w:val="single" w:sz="4" w:space="0" w:color="auto"/>
            </w:tcBorders>
          </w:tcPr>
          <w:p w:rsidR="00440F47" w:rsidRPr="008B3706" w:rsidRDefault="00440F47" w:rsidP="00420BFF">
            <w:pPr>
              <w:keepNext/>
              <w:ind w:left="-108"/>
              <w:rPr>
                <w:rFonts w:ascii="Arial Narrow" w:hAnsi="Arial Narrow" w:cs="Arial"/>
                <w:b/>
                <w:sz w:val="20"/>
                <w:szCs w:val="20"/>
              </w:rPr>
            </w:pP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Max.</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Qty</w:t>
            </w:r>
          </w:p>
        </w:tc>
        <w:tc>
          <w:tcPr>
            <w:tcW w:w="709" w:type="dxa"/>
            <w:tcBorders>
              <w:bottom w:val="single" w:sz="4" w:space="0" w:color="auto"/>
            </w:tcBorders>
          </w:tcPr>
          <w:p w:rsidR="00440F47" w:rsidRPr="008B3706" w:rsidRDefault="00440F47" w:rsidP="00420BFF">
            <w:pPr>
              <w:keepNext/>
              <w:ind w:left="-108"/>
              <w:rPr>
                <w:rFonts w:ascii="Arial Narrow" w:hAnsi="Arial Narrow" w:cs="Arial"/>
                <w:b/>
                <w:sz w:val="20"/>
                <w:szCs w:val="20"/>
              </w:rPr>
            </w:pP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№.of</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Rpts</w:t>
            </w:r>
          </w:p>
        </w:tc>
        <w:tc>
          <w:tcPr>
            <w:tcW w:w="3827" w:type="dxa"/>
            <w:gridSpan w:val="2"/>
            <w:tcBorders>
              <w:bottom w:val="single" w:sz="4" w:space="0" w:color="auto"/>
            </w:tcBorders>
          </w:tcPr>
          <w:p w:rsidR="00440F47" w:rsidRPr="008B3706" w:rsidRDefault="00440F47" w:rsidP="00420BFF">
            <w:pPr>
              <w:keepNext/>
              <w:rPr>
                <w:rFonts w:ascii="Arial Narrow" w:hAnsi="Arial Narrow" w:cs="Arial"/>
                <w:b/>
                <w:sz w:val="20"/>
                <w:szCs w:val="20"/>
              </w:rPr>
            </w:pPr>
          </w:p>
          <w:p w:rsidR="00B54E49" w:rsidRPr="00197753" w:rsidRDefault="00B54E49" w:rsidP="00420BFF">
            <w:pPr>
              <w:keepNext/>
              <w:rPr>
                <w:rFonts w:ascii="Arial Narrow" w:hAnsi="Arial Narrow" w:cs="Arial"/>
                <w:b/>
                <w:sz w:val="20"/>
                <w:szCs w:val="20"/>
              </w:rPr>
            </w:pPr>
            <w:r w:rsidRPr="008B3706">
              <w:rPr>
                <w:rFonts w:ascii="Arial Narrow" w:hAnsi="Arial Narrow" w:cs="Arial"/>
                <w:b/>
                <w:sz w:val="20"/>
                <w:szCs w:val="20"/>
              </w:rPr>
              <w:t>Proprietary Name and Manufacturer</w:t>
            </w:r>
          </w:p>
        </w:tc>
      </w:tr>
      <w:tr w:rsidR="00B54E49" w:rsidRPr="008B3706" w:rsidTr="00420BFF">
        <w:trPr>
          <w:cantSplit/>
          <w:trHeight w:val="577"/>
        </w:trPr>
        <w:tc>
          <w:tcPr>
            <w:tcW w:w="3119" w:type="dxa"/>
            <w:gridSpan w:val="2"/>
          </w:tcPr>
          <w:p w:rsidR="00B54E49" w:rsidRPr="008B3706" w:rsidRDefault="00B54E49" w:rsidP="00420BFF">
            <w:pPr>
              <w:keepNext/>
              <w:ind w:left="-108"/>
              <w:rPr>
                <w:rFonts w:ascii="Arial Narrow" w:hAnsi="Arial Narrow" w:cs="Arial"/>
                <w:sz w:val="20"/>
                <w:szCs w:val="20"/>
              </w:rPr>
            </w:pPr>
            <w:r w:rsidRPr="008B3706">
              <w:rPr>
                <w:rFonts w:ascii="Arial Narrow" w:hAnsi="Arial Narrow" w:cs="Arial"/>
                <w:smallCaps/>
                <w:sz w:val="20"/>
                <w:szCs w:val="20"/>
              </w:rPr>
              <w:t>baclofen</w:t>
            </w: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intrathecal injection, 40mg /20 mL ampoule</w:t>
            </w:r>
          </w:p>
        </w:tc>
        <w:tc>
          <w:tcPr>
            <w:tcW w:w="708"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2</w:t>
            </w:r>
          </w:p>
        </w:tc>
        <w:tc>
          <w:tcPr>
            <w:tcW w:w="709"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0</w:t>
            </w:r>
          </w:p>
        </w:tc>
        <w:tc>
          <w:tcPr>
            <w:tcW w:w="1843"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Sintetica Baclofen Intrathecal</w:t>
            </w:r>
          </w:p>
        </w:tc>
        <w:tc>
          <w:tcPr>
            <w:tcW w:w="1984"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Boucher and Muir Pty Ltd</w:t>
            </w:r>
          </w:p>
        </w:tc>
      </w:tr>
      <w:tr w:rsidR="00B54E49" w:rsidRPr="008B3706" w:rsidTr="00420BFF">
        <w:trPr>
          <w:cantSplit/>
          <w:trHeight w:val="360"/>
        </w:trPr>
        <w:tc>
          <w:tcPr>
            <w:tcW w:w="8363" w:type="dxa"/>
            <w:gridSpan w:val="6"/>
            <w:tcBorders>
              <w:bottom w:val="single" w:sz="4" w:space="0" w:color="auto"/>
            </w:tcBorders>
          </w:tcPr>
          <w:p w:rsidR="00B54E49" w:rsidRPr="008B3706" w:rsidRDefault="00B54E49" w:rsidP="00420BFF">
            <w:pPr>
              <w:jc w:val="both"/>
              <w:rPr>
                <w:rFonts w:ascii="Arial Narrow" w:hAnsi="Arial Narrow" w:cs="Arial"/>
                <w:sz w:val="20"/>
                <w:szCs w:val="20"/>
              </w:rPr>
            </w:pP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 xml:space="preserve">Category / </w:t>
            </w:r>
          </w:p>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Section 100 – Highly Specialised Drugs Program (Public Hospital)</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1"/>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Dental  </w:t>
            </w: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Medical Practitioners  </w:t>
            </w:r>
            <w:r w:rsidRPr="00197753">
              <w:rPr>
                <w:rFonts w:ascii="Arial Narrow" w:hAnsi="Arial Narrow" w:cs="Arial"/>
                <w:sz w:val="20"/>
                <w:szCs w:val="20"/>
              </w:rPr>
              <w:fldChar w:fldCharType="begin">
                <w:ffData>
                  <w:name w:val="Check3"/>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Nurse practitioners  </w:t>
            </w:r>
            <w:r w:rsidRPr="00197753">
              <w:rPr>
                <w:rFonts w:ascii="Arial Narrow" w:hAnsi="Arial Narrow" w:cs="Arial"/>
                <w:sz w:val="20"/>
                <w:szCs w:val="20"/>
              </w:rPr>
              <w:fldChar w:fldCharType="begin">
                <w:ffData>
                  <w:name w:val=""/>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Optometrists</w:t>
            </w:r>
          </w:p>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Midwives</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Restriction Level / Method:</w:t>
            </w:r>
          </w:p>
          <w:p w:rsidR="00B54E49" w:rsidRPr="008B3706" w:rsidRDefault="00B54E49" w:rsidP="00420BFF">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Streamlined</w:t>
            </w:r>
          </w:p>
          <w:p w:rsidR="00B54E49" w:rsidRPr="008B3706" w:rsidRDefault="00B54E49" w:rsidP="00420BFF">
            <w:pPr>
              <w:rPr>
                <w:rFonts w:ascii="Arial Narrow" w:hAnsi="Arial Narrow" w:cs="Arial"/>
                <w:b/>
                <w:sz w:val="20"/>
                <w:szCs w:val="20"/>
              </w:rPr>
            </w:pP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Clinical criteria:</w:t>
            </w:r>
          </w:p>
          <w:p w:rsidR="00B54E49" w:rsidRPr="008B3706" w:rsidRDefault="00B54E49" w:rsidP="00420BFF">
            <w:pPr>
              <w:jc w:val="both"/>
              <w:rPr>
                <w:rFonts w:ascii="Arial Narrow" w:hAnsi="Arial Narrow" w:cs="Arial"/>
                <w:i/>
                <w:sz w:val="20"/>
                <w:szCs w:val="20"/>
              </w:rPr>
            </w:pPr>
          </w:p>
          <w:p w:rsidR="00B54E49" w:rsidRPr="008B3706" w:rsidRDefault="00B54E49" w:rsidP="00420BFF">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 xml:space="preserve">Patient must have failed to respond to treatment with oral antispastic agents; </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OR</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had unacceptable side effects to treatment with oral antispastic agents,</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AND</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chronic spasticity due to multiple sclerosis.</w:t>
            </w:r>
          </w:p>
          <w:p w:rsidR="00B54E49" w:rsidRPr="008B3706" w:rsidRDefault="00B54E49" w:rsidP="00A3725B">
            <w:pPr>
              <w:rPr>
                <w:rFonts w:ascii="Arial Narrow" w:hAnsi="Arial Narrow" w:cs="Arial"/>
                <w:sz w:val="20"/>
                <w:szCs w:val="20"/>
              </w:rPr>
            </w:pPr>
          </w:p>
        </w:tc>
      </w:tr>
    </w:tbl>
    <w:p w:rsidR="009A7F38" w:rsidRPr="008B3706" w:rsidRDefault="009A7F38" w:rsidP="009A1273">
      <w:pPr>
        <w:widowControl w:val="0"/>
        <w:ind w:firstLine="720"/>
        <w:jc w:val="both"/>
        <w:rPr>
          <w:rFonts w:asciiTheme="minorHAnsi" w:hAnsiTheme="minorHAnsi" w:cs="Arial"/>
          <w:bCs/>
          <w:snapToGrid w:val="0"/>
          <w:highlight w:val="yellow"/>
        </w:rPr>
      </w:pPr>
    </w:p>
    <w:tbl>
      <w:tblPr>
        <w:tblW w:w="8363" w:type="dxa"/>
        <w:tblInd w:w="817" w:type="dxa"/>
        <w:tblLayout w:type="fixed"/>
        <w:tblLook w:val="0000" w:firstRow="0" w:lastRow="0" w:firstColumn="0" w:lastColumn="0" w:noHBand="0" w:noVBand="0"/>
      </w:tblPr>
      <w:tblGrid>
        <w:gridCol w:w="1985"/>
        <w:gridCol w:w="1134"/>
        <w:gridCol w:w="708"/>
        <w:gridCol w:w="709"/>
        <w:gridCol w:w="1843"/>
        <w:gridCol w:w="1984"/>
      </w:tblGrid>
      <w:tr w:rsidR="00B54E49" w:rsidRPr="008B3706" w:rsidTr="00420BFF">
        <w:trPr>
          <w:cantSplit/>
          <w:trHeight w:val="471"/>
        </w:trPr>
        <w:tc>
          <w:tcPr>
            <w:tcW w:w="3119" w:type="dxa"/>
            <w:gridSpan w:val="2"/>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Name, Restriction,</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Manner of administration and form</w:t>
            </w:r>
          </w:p>
        </w:tc>
        <w:tc>
          <w:tcPr>
            <w:tcW w:w="708" w:type="dxa"/>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Max.</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Qty</w:t>
            </w:r>
          </w:p>
        </w:tc>
        <w:tc>
          <w:tcPr>
            <w:tcW w:w="709" w:type="dxa"/>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№.of</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Rpts</w:t>
            </w:r>
          </w:p>
        </w:tc>
        <w:tc>
          <w:tcPr>
            <w:tcW w:w="3827" w:type="dxa"/>
            <w:gridSpan w:val="2"/>
            <w:tcBorders>
              <w:bottom w:val="single" w:sz="4" w:space="0" w:color="auto"/>
            </w:tcBorders>
          </w:tcPr>
          <w:p w:rsidR="00B54E49" w:rsidRPr="00197753" w:rsidRDefault="00B54E49" w:rsidP="00420BFF">
            <w:pPr>
              <w:keepNext/>
              <w:rPr>
                <w:rFonts w:ascii="Arial Narrow" w:hAnsi="Arial Narrow" w:cs="Arial"/>
                <w:b/>
                <w:sz w:val="20"/>
                <w:szCs w:val="20"/>
              </w:rPr>
            </w:pPr>
            <w:r w:rsidRPr="008B3706">
              <w:rPr>
                <w:rFonts w:ascii="Arial Narrow" w:hAnsi="Arial Narrow" w:cs="Arial"/>
                <w:b/>
                <w:sz w:val="20"/>
                <w:szCs w:val="20"/>
              </w:rPr>
              <w:t>Proprietary Name and Manufacturer</w:t>
            </w:r>
          </w:p>
        </w:tc>
      </w:tr>
      <w:tr w:rsidR="00B54E49" w:rsidRPr="008B3706" w:rsidTr="00420BFF">
        <w:trPr>
          <w:cantSplit/>
          <w:trHeight w:val="577"/>
        </w:trPr>
        <w:tc>
          <w:tcPr>
            <w:tcW w:w="3119" w:type="dxa"/>
            <w:gridSpan w:val="2"/>
          </w:tcPr>
          <w:p w:rsidR="00B54E49" w:rsidRPr="008B3706" w:rsidRDefault="00B54E49" w:rsidP="00420BFF">
            <w:pPr>
              <w:keepNext/>
              <w:ind w:left="-108"/>
              <w:rPr>
                <w:rFonts w:ascii="Arial Narrow" w:hAnsi="Arial Narrow" w:cs="Arial"/>
                <w:sz w:val="20"/>
                <w:szCs w:val="20"/>
              </w:rPr>
            </w:pPr>
            <w:r w:rsidRPr="008B3706">
              <w:rPr>
                <w:rFonts w:ascii="Arial Narrow" w:hAnsi="Arial Narrow" w:cs="Arial"/>
                <w:smallCaps/>
                <w:sz w:val="20"/>
                <w:szCs w:val="20"/>
              </w:rPr>
              <w:t>baclofen</w:t>
            </w: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intrathecal injection, 40mg /20 mL ampoule</w:t>
            </w:r>
          </w:p>
        </w:tc>
        <w:tc>
          <w:tcPr>
            <w:tcW w:w="708"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2</w:t>
            </w:r>
          </w:p>
        </w:tc>
        <w:tc>
          <w:tcPr>
            <w:tcW w:w="709"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0</w:t>
            </w:r>
          </w:p>
        </w:tc>
        <w:tc>
          <w:tcPr>
            <w:tcW w:w="1843"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Sintetica Baclofen Intrathecal</w:t>
            </w:r>
          </w:p>
        </w:tc>
        <w:tc>
          <w:tcPr>
            <w:tcW w:w="1984"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Boucher and Muir Pty Ltd</w:t>
            </w:r>
          </w:p>
        </w:tc>
      </w:tr>
      <w:tr w:rsidR="00B54E49" w:rsidRPr="008B3706" w:rsidTr="00420BFF">
        <w:trPr>
          <w:cantSplit/>
          <w:trHeight w:val="360"/>
        </w:trPr>
        <w:tc>
          <w:tcPr>
            <w:tcW w:w="8363" w:type="dxa"/>
            <w:gridSpan w:val="6"/>
            <w:tcBorders>
              <w:bottom w:val="single" w:sz="4" w:space="0" w:color="auto"/>
            </w:tcBorders>
          </w:tcPr>
          <w:p w:rsidR="00B54E49" w:rsidRPr="008B3706" w:rsidRDefault="00B54E49" w:rsidP="00420BFF">
            <w:pPr>
              <w:jc w:val="both"/>
              <w:rPr>
                <w:rFonts w:ascii="Arial Narrow" w:hAnsi="Arial Narrow" w:cs="Arial"/>
                <w:sz w:val="20"/>
                <w:szCs w:val="20"/>
              </w:rPr>
            </w:pP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 xml:space="preserve">Category / </w:t>
            </w:r>
          </w:p>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Section 100 – Highly Specialised Drugs Program (Public Hospital)</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1"/>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Dental  </w:t>
            </w: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Medical Practitioners  </w:t>
            </w:r>
            <w:r w:rsidRPr="00197753">
              <w:rPr>
                <w:rFonts w:ascii="Arial Narrow" w:hAnsi="Arial Narrow" w:cs="Arial"/>
                <w:sz w:val="20"/>
                <w:szCs w:val="20"/>
              </w:rPr>
              <w:fldChar w:fldCharType="begin">
                <w:ffData>
                  <w:name w:val="Check3"/>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Nurse practitioners  </w:t>
            </w:r>
            <w:r w:rsidRPr="00197753">
              <w:rPr>
                <w:rFonts w:ascii="Arial Narrow" w:hAnsi="Arial Narrow" w:cs="Arial"/>
                <w:sz w:val="20"/>
                <w:szCs w:val="20"/>
              </w:rPr>
              <w:fldChar w:fldCharType="begin">
                <w:ffData>
                  <w:name w:val=""/>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Optometrists</w:t>
            </w:r>
          </w:p>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Midwives</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Restriction Level / Method:</w:t>
            </w:r>
          </w:p>
          <w:p w:rsidR="00B54E49" w:rsidRPr="008B3706" w:rsidRDefault="00B54E49" w:rsidP="00420BFF">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Streamlined</w:t>
            </w:r>
          </w:p>
          <w:p w:rsidR="00B54E49" w:rsidRPr="008B3706" w:rsidRDefault="00B54E49" w:rsidP="00420BFF">
            <w:pPr>
              <w:rPr>
                <w:rFonts w:ascii="Arial Narrow" w:hAnsi="Arial Narrow" w:cs="Arial"/>
                <w:b/>
                <w:sz w:val="20"/>
                <w:szCs w:val="20"/>
              </w:rPr>
            </w:pP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Clinical criteria:</w:t>
            </w:r>
          </w:p>
          <w:p w:rsidR="00B54E49" w:rsidRPr="008B3706" w:rsidRDefault="00B54E49" w:rsidP="00420BFF">
            <w:pPr>
              <w:jc w:val="both"/>
              <w:rPr>
                <w:rFonts w:ascii="Arial Narrow" w:hAnsi="Arial Narrow" w:cs="Arial"/>
                <w:i/>
                <w:sz w:val="20"/>
                <w:szCs w:val="20"/>
              </w:rPr>
            </w:pPr>
          </w:p>
          <w:p w:rsidR="00B54E49" w:rsidRPr="008B3706" w:rsidRDefault="00B54E49" w:rsidP="00420BFF">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 xml:space="preserve">Patient must have failed to respond to treatment with oral antispastic agents; </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OR</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had unacceptable side effects to treatment with oral antispastic agents,</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AND</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chronic spasticity due to spinal cord injury.</w:t>
            </w:r>
          </w:p>
          <w:p w:rsidR="00B54E49" w:rsidRPr="008B3706" w:rsidRDefault="00B54E49" w:rsidP="00A3725B">
            <w:pPr>
              <w:rPr>
                <w:rFonts w:ascii="Arial Narrow" w:hAnsi="Arial Narrow" w:cs="Arial"/>
                <w:sz w:val="20"/>
                <w:szCs w:val="20"/>
              </w:rPr>
            </w:pPr>
          </w:p>
        </w:tc>
      </w:tr>
    </w:tbl>
    <w:p w:rsidR="00B54E49" w:rsidRPr="008B3706" w:rsidRDefault="00B54E49" w:rsidP="009A1273">
      <w:pPr>
        <w:widowControl w:val="0"/>
        <w:ind w:firstLine="720"/>
        <w:jc w:val="both"/>
        <w:rPr>
          <w:rFonts w:asciiTheme="minorHAnsi" w:hAnsiTheme="minorHAnsi" w:cs="Arial"/>
          <w:bCs/>
          <w:snapToGrid w:val="0"/>
          <w:highlight w:val="yellow"/>
        </w:rPr>
      </w:pPr>
    </w:p>
    <w:tbl>
      <w:tblPr>
        <w:tblW w:w="8363" w:type="dxa"/>
        <w:tblInd w:w="817" w:type="dxa"/>
        <w:tblLayout w:type="fixed"/>
        <w:tblLook w:val="0000" w:firstRow="0" w:lastRow="0" w:firstColumn="0" w:lastColumn="0" w:noHBand="0" w:noVBand="0"/>
      </w:tblPr>
      <w:tblGrid>
        <w:gridCol w:w="1985"/>
        <w:gridCol w:w="1134"/>
        <w:gridCol w:w="708"/>
        <w:gridCol w:w="709"/>
        <w:gridCol w:w="1843"/>
        <w:gridCol w:w="1984"/>
      </w:tblGrid>
      <w:tr w:rsidR="00B54E49" w:rsidRPr="008B3706" w:rsidTr="00420BFF">
        <w:trPr>
          <w:cantSplit/>
          <w:trHeight w:val="471"/>
        </w:trPr>
        <w:tc>
          <w:tcPr>
            <w:tcW w:w="3119" w:type="dxa"/>
            <w:gridSpan w:val="2"/>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Name, Restriction,</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Manner of administration and form</w:t>
            </w:r>
          </w:p>
        </w:tc>
        <w:tc>
          <w:tcPr>
            <w:tcW w:w="708" w:type="dxa"/>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Max.</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Qty</w:t>
            </w:r>
          </w:p>
        </w:tc>
        <w:tc>
          <w:tcPr>
            <w:tcW w:w="709" w:type="dxa"/>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№.of</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Rpts</w:t>
            </w:r>
          </w:p>
        </w:tc>
        <w:tc>
          <w:tcPr>
            <w:tcW w:w="3827" w:type="dxa"/>
            <w:gridSpan w:val="2"/>
            <w:tcBorders>
              <w:bottom w:val="single" w:sz="4" w:space="0" w:color="auto"/>
            </w:tcBorders>
          </w:tcPr>
          <w:p w:rsidR="00B54E49" w:rsidRPr="00197753" w:rsidRDefault="00B54E49" w:rsidP="00420BFF">
            <w:pPr>
              <w:keepNext/>
              <w:rPr>
                <w:rFonts w:ascii="Arial Narrow" w:hAnsi="Arial Narrow" w:cs="Arial"/>
                <w:b/>
                <w:sz w:val="20"/>
                <w:szCs w:val="20"/>
              </w:rPr>
            </w:pPr>
            <w:r w:rsidRPr="008B3706">
              <w:rPr>
                <w:rFonts w:ascii="Arial Narrow" w:hAnsi="Arial Narrow" w:cs="Arial"/>
                <w:b/>
                <w:sz w:val="20"/>
                <w:szCs w:val="20"/>
              </w:rPr>
              <w:t>Proprietary Name and Manufacturer</w:t>
            </w:r>
          </w:p>
        </w:tc>
      </w:tr>
      <w:tr w:rsidR="00B54E49" w:rsidRPr="008B3706" w:rsidTr="00420BFF">
        <w:trPr>
          <w:cantSplit/>
          <w:trHeight w:val="577"/>
        </w:trPr>
        <w:tc>
          <w:tcPr>
            <w:tcW w:w="3119" w:type="dxa"/>
            <w:gridSpan w:val="2"/>
          </w:tcPr>
          <w:p w:rsidR="00B54E49" w:rsidRPr="008B3706" w:rsidRDefault="00B54E49" w:rsidP="00420BFF">
            <w:pPr>
              <w:keepNext/>
              <w:ind w:left="-108"/>
              <w:rPr>
                <w:rFonts w:ascii="Arial Narrow" w:hAnsi="Arial Narrow" w:cs="Arial"/>
                <w:sz w:val="20"/>
                <w:szCs w:val="20"/>
              </w:rPr>
            </w:pPr>
            <w:r w:rsidRPr="008B3706">
              <w:rPr>
                <w:rFonts w:ascii="Arial Narrow" w:hAnsi="Arial Narrow" w:cs="Arial"/>
                <w:smallCaps/>
                <w:sz w:val="20"/>
                <w:szCs w:val="20"/>
              </w:rPr>
              <w:t>baclofen</w:t>
            </w: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intrathecal injection, 40mg /20 mL ampoule</w:t>
            </w:r>
          </w:p>
        </w:tc>
        <w:tc>
          <w:tcPr>
            <w:tcW w:w="708"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2</w:t>
            </w:r>
          </w:p>
        </w:tc>
        <w:tc>
          <w:tcPr>
            <w:tcW w:w="709"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0</w:t>
            </w:r>
          </w:p>
        </w:tc>
        <w:tc>
          <w:tcPr>
            <w:tcW w:w="1843"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Sintetica Baclofen Intrathecal</w:t>
            </w:r>
          </w:p>
        </w:tc>
        <w:tc>
          <w:tcPr>
            <w:tcW w:w="1984"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Boucher and Muir Pty Ltd</w:t>
            </w:r>
          </w:p>
        </w:tc>
      </w:tr>
      <w:tr w:rsidR="00B54E49" w:rsidRPr="008B3706" w:rsidTr="00420BFF">
        <w:trPr>
          <w:cantSplit/>
          <w:trHeight w:val="360"/>
        </w:trPr>
        <w:tc>
          <w:tcPr>
            <w:tcW w:w="8363" w:type="dxa"/>
            <w:gridSpan w:val="6"/>
            <w:tcBorders>
              <w:bottom w:val="single" w:sz="4" w:space="0" w:color="auto"/>
            </w:tcBorders>
          </w:tcPr>
          <w:p w:rsidR="00B54E49" w:rsidRPr="008B3706" w:rsidRDefault="00B54E49" w:rsidP="00420BFF">
            <w:pPr>
              <w:jc w:val="both"/>
              <w:rPr>
                <w:rFonts w:ascii="Arial Narrow" w:hAnsi="Arial Narrow" w:cs="Arial"/>
                <w:sz w:val="20"/>
                <w:szCs w:val="20"/>
              </w:rPr>
            </w:pP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 xml:space="preserve">Category / </w:t>
            </w:r>
          </w:p>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Section 100 – Highly Specialised Drugs Program (Public Hospital)</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1"/>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Dental  </w:t>
            </w: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Medical Practitioners  </w:t>
            </w:r>
            <w:r w:rsidRPr="00197753">
              <w:rPr>
                <w:rFonts w:ascii="Arial Narrow" w:hAnsi="Arial Narrow" w:cs="Arial"/>
                <w:sz w:val="20"/>
                <w:szCs w:val="20"/>
              </w:rPr>
              <w:fldChar w:fldCharType="begin">
                <w:ffData>
                  <w:name w:val="Check3"/>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Nurse practitioners  </w:t>
            </w:r>
            <w:r w:rsidRPr="00197753">
              <w:rPr>
                <w:rFonts w:ascii="Arial Narrow" w:hAnsi="Arial Narrow" w:cs="Arial"/>
                <w:sz w:val="20"/>
                <w:szCs w:val="20"/>
              </w:rPr>
              <w:fldChar w:fldCharType="begin">
                <w:ffData>
                  <w:name w:val=""/>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Optometrists</w:t>
            </w:r>
          </w:p>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Midwives</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Restriction Level / Method:</w:t>
            </w:r>
          </w:p>
          <w:p w:rsidR="00B54E49" w:rsidRPr="008B3706" w:rsidRDefault="00B54E49" w:rsidP="00420BFF">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Streamlined</w:t>
            </w:r>
          </w:p>
          <w:p w:rsidR="00B54E49" w:rsidRPr="008B3706" w:rsidRDefault="00B54E49" w:rsidP="00420BFF">
            <w:pPr>
              <w:rPr>
                <w:rFonts w:ascii="Arial Narrow" w:hAnsi="Arial Narrow" w:cs="Arial"/>
                <w:b/>
                <w:sz w:val="20"/>
                <w:szCs w:val="20"/>
              </w:rPr>
            </w:pP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Clinical criteria:</w:t>
            </w:r>
          </w:p>
          <w:p w:rsidR="00B54E49" w:rsidRPr="008B3706" w:rsidRDefault="00B54E49" w:rsidP="00420BFF">
            <w:pPr>
              <w:jc w:val="both"/>
              <w:rPr>
                <w:rFonts w:ascii="Arial Narrow" w:hAnsi="Arial Narrow" w:cs="Arial"/>
                <w:i/>
                <w:sz w:val="20"/>
                <w:szCs w:val="20"/>
              </w:rPr>
            </w:pPr>
          </w:p>
          <w:p w:rsidR="00B54E49" w:rsidRPr="008B3706" w:rsidRDefault="00B54E49" w:rsidP="00420BFF">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 xml:space="preserve">Patient must have failed to respond to treatment with oral antispastic agents; </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OR</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had unacceptable side effects to treatment with oral antispastic agents,</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AND</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chronic spasticity due to spinal cord disease.</w:t>
            </w:r>
          </w:p>
          <w:p w:rsidR="00B54E49" w:rsidRPr="008B3706" w:rsidRDefault="00B54E49" w:rsidP="00420BFF">
            <w:pPr>
              <w:jc w:val="both"/>
              <w:rPr>
                <w:rFonts w:ascii="Arial Narrow" w:hAnsi="Arial Narrow" w:cs="Arial"/>
                <w:sz w:val="20"/>
                <w:szCs w:val="20"/>
              </w:rPr>
            </w:pPr>
          </w:p>
        </w:tc>
      </w:tr>
    </w:tbl>
    <w:p w:rsidR="00B54E49" w:rsidRPr="008B3706" w:rsidRDefault="00B54E49" w:rsidP="009A1273">
      <w:pPr>
        <w:widowControl w:val="0"/>
        <w:ind w:firstLine="720"/>
        <w:jc w:val="both"/>
        <w:rPr>
          <w:rFonts w:asciiTheme="minorHAnsi" w:hAnsiTheme="minorHAnsi" w:cs="Arial"/>
          <w:bCs/>
          <w:snapToGrid w:val="0"/>
          <w:highlight w:val="yellow"/>
        </w:rPr>
      </w:pPr>
    </w:p>
    <w:tbl>
      <w:tblPr>
        <w:tblW w:w="8363" w:type="dxa"/>
        <w:tblInd w:w="817" w:type="dxa"/>
        <w:tblLayout w:type="fixed"/>
        <w:tblLook w:val="0000" w:firstRow="0" w:lastRow="0" w:firstColumn="0" w:lastColumn="0" w:noHBand="0" w:noVBand="0"/>
      </w:tblPr>
      <w:tblGrid>
        <w:gridCol w:w="1985"/>
        <w:gridCol w:w="1134"/>
        <w:gridCol w:w="708"/>
        <w:gridCol w:w="709"/>
        <w:gridCol w:w="1843"/>
        <w:gridCol w:w="1984"/>
      </w:tblGrid>
      <w:tr w:rsidR="00B54E49" w:rsidRPr="008B3706" w:rsidTr="00420BFF">
        <w:trPr>
          <w:cantSplit/>
          <w:trHeight w:val="471"/>
        </w:trPr>
        <w:tc>
          <w:tcPr>
            <w:tcW w:w="3119" w:type="dxa"/>
            <w:gridSpan w:val="2"/>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Name, Restriction,</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Manner of administration and form</w:t>
            </w:r>
          </w:p>
        </w:tc>
        <w:tc>
          <w:tcPr>
            <w:tcW w:w="708" w:type="dxa"/>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Max.</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Qty</w:t>
            </w:r>
          </w:p>
        </w:tc>
        <w:tc>
          <w:tcPr>
            <w:tcW w:w="709" w:type="dxa"/>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№.of</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Rpts</w:t>
            </w:r>
          </w:p>
        </w:tc>
        <w:tc>
          <w:tcPr>
            <w:tcW w:w="3827" w:type="dxa"/>
            <w:gridSpan w:val="2"/>
            <w:tcBorders>
              <w:bottom w:val="single" w:sz="4" w:space="0" w:color="auto"/>
            </w:tcBorders>
          </w:tcPr>
          <w:p w:rsidR="00B54E49" w:rsidRPr="00197753" w:rsidRDefault="00B54E49" w:rsidP="00420BFF">
            <w:pPr>
              <w:keepNext/>
              <w:rPr>
                <w:rFonts w:ascii="Arial Narrow" w:hAnsi="Arial Narrow" w:cs="Arial"/>
                <w:b/>
                <w:sz w:val="20"/>
                <w:szCs w:val="20"/>
              </w:rPr>
            </w:pPr>
            <w:r w:rsidRPr="008B3706">
              <w:rPr>
                <w:rFonts w:ascii="Arial Narrow" w:hAnsi="Arial Narrow" w:cs="Arial"/>
                <w:b/>
                <w:sz w:val="20"/>
                <w:szCs w:val="20"/>
              </w:rPr>
              <w:t>Proprietary Name and Manufacturer</w:t>
            </w:r>
          </w:p>
        </w:tc>
      </w:tr>
      <w:tr w:rsidR="00B54E49" w:rsidRPr="008B3706" w:rsidTr="00420BFF">
        <w:trPr>
          <w:cantSplit/>
          <w:trHeight w:val="577"/>
        </w:trPr>
        <w:tc>
          <w:tcPr>
            <w:tcW w:w="3119" w:type="dxa"/>
            <w:gridSpan w:val="2"/>
          </w:tcPr>
          <w:p w:rsidR="00B54E49" w:rsidRPr="008B3706" w:rsidRDefault="00B54E49" w:rsidP="00420BFF">
            <w:pPr>
              <w:keepNext/>
              <w:ind w:left="-108"/>
              <w:rPr>
                <w:rFonts w:ascii="Arial Narrow" w:hAnsi="Arial Narrow" w:cs="Arial"/>
                <w:sz w:val="20"/>
                <w:szCs w:val="20"/>
              </w:rPr>
            </w:pPr>
            <w:r w:rsidRPr="008B3706">
              <w:rPr>
                <w:rFonts w:ascii="Arial Narrow" w:hAnsi="Arial Narrow" w:cs="Arial"/>
                <w:smallCaps/>
                <w:sz w:val="20"/>
                <w:szCs w:val="20"/>
              </w:rPr>
              <w:t>baclofen</w:t>
            </w: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intrathecal injection, 40mg /20 mL ampoule</w:t>
            </w:r>
          </w:p>
        </w:tc>
        <w:tc>
          <w:tcPr>
            <w:tcW w:w="708"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2</w:t>
            </w:r>
          </w:p>
        </w:tc>
        <w:tc>
          <w:tcPr>
            <w:tcW w:w="709"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0</w:t>
            </w:r>
          </w:p>
        </w:tc>
        <w:tc>
          <w:tcPr>
            <w:tcW w:w="1843"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Sintetica Baclofen Intrathecal</w:t>
            </w:r>
          </w:p>
        </w:tc>
        <w:tc>
          <w:tcPr>
            <w:tcW w:w="1984"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Boucher and Muir Pty Ltd</w:t>
            </w:r>
          </w:p>
        </w:tc>
      </w:tr>
      <w:tr w:rsidR="00B54E49" w:rsidRPr="008B3706" w:rsidTr="00420BFF">
        <w:trPr>
          <w:cantSplit/>
          <w:trHeight w:val="360"/>
        </w:trPr>
        <w:tc>
          <w:tcPr>
            <w:tcW w:w="8363" w:type="dxa"/>
            <w:gridSpan w:val="6"/>
            <w:tcBorders>
              <w:bottom w:val="single" w:sz="4" w:space="0" w:color="auto"/>
            </w:tcBorders>
          </w:tcPr>
          <w:p w:rsidR="00B54E49" w:rsidRPr="008B3706" w:rsidRDefault="00B54E49" w:rsidP="00420BFF">
            <w:pPr>
              <w:jc w:val="both"/>
              <w:rPr>
                <w:rFonts w:ascii="Arial Narrow" w:hAnsi="Arial Narrow" w:cs="Arial"/>
                <w:sz w:val="20"/>
                <w:szCs w:val="20"/>
              </w:rPr>
            </w:pP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 xml:space="preserve">Category / </w:t>
            </w:r>
          </w:p>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Section 100 – Highly Specialised Drugs Program (Private Hospital)</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1"/>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Dental  </w:t>
            </w: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Medical Practitioners  </w:t>
            </w:r>
            <w:r w:rsidRPr="00197753">
              <w:rPr>
                <w:rFonts w:ascii="Arial Narrow" w:hAnsi="Arial Narrow" w:cs="Arial"/>
                <w:sz w:val="20"/>
                <w:szCs w:val="20"/>
              </w:rPr>
              <w:fldChar w:fldCharType="begin">
                <w:ffData>
                  <w:name w:val="Check3"/>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Nurse practitioners  </w:t>
            </w:r>
            <w:r w:rsidRPr="00197753">
              <w:rPr>
                <w:rFonts w:ascii="Arial Narrow" w:hAnsi="Arial Narrow" w:cs="Arial"/>
                <w:sz w:val="20"/>
                <w:szCs w:val="20"/>
              </w:rPr>
              <w:fldChar w:fldCharType="begin">
                <w:ffData>
                  <w:name w:val=""/>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Optometrists</w:t>
            </w:r>
          </w:p>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Midwives</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Restriction Level / Method:</w:t>
            </w:r>
          </w:p>
          <w:p w:rsidR="00B54E49" w:rsidRPr="008B3706" w:rsidRDefault="00B54E49" w:rsidP="00420BFF">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B54E49">
            <w:pPr>
              <w:rPr>
                <w:rFonts w:ascii="Arial Narrow" w:hAnsi="Arial Narrow" w:cs="Arial"/>
                <w:sz w:val="20"/>
                <w:szCs w:val="20"/>
              </w:rPr>
            </w:pP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Authority Required - In Writing</w:t>
            </w:r>
          </w:p>
          <w:p w:rsidR="00B54E49" w:rsidRPr="008B3706" w:rsidRDefault="00B54E49" w:rsidP="00420BFF">
            <w:pPr>
              <w:rPr>
                <w:rFonts w:ascii="Arial Narrow" w:hAnsi="Arial Narrow" w:cs="Arial"/>
                <w:b/>
                <w:sz w:val="20"/>
                <w:szCs w:val="20"/>
              </w:rPr>
            </w:pP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Authority Required - Telephone</w:t>
            </w:r>
            <w:r w:rsidRPr="008B3706" w:rsidDel="00B54E49">
              <w:rPr>
                <w:rFonts w:ascii="Arial Narrow" w:hAnsi="Arial Narrow" w:cs="Arial"/>
                <w:sz w:val="20"/>
                <w:szCs w:val="20"/>
              </w:rPr>
              <w:t xml:space="preserve"> </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Clinical criteria:</w:t>
            </w:r>
          </w:p>
          <w:p w:rsidR="00B54E49" w:rsidRPr="008B3706" w:rsidRDefault="00B54E49" w:rsidP="00420BFF">
            <w:pPr>
              <w:jc w:val="both"/>
              <w:rPr>
                <w:rFonts w:ascii="Arial Narrow" w:hAnsi="Arial Narrow" w:cs="Arial"/>
                <w:i/>
                <w:sz w:val="20"/>
                <w:szCs w:val="20"/>
              </w:rPr>
            </w:pPr>
          </w:p>
          <w:p w:rsidR="00B54E49" w:rsidRPr="008B3706" w:rsidRDefault="00B54E49" w:rsidP="00420BFF">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 xml:space="preserve">Patient must have failed to respond to treatment with oral antispastic agents; </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OR</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had unacceptable side effects to treatment with oral antispastic agents,</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AND</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chronic spasticity of cerebral origin.</w:t>
            </w:r>
          </w:p>
          <w:p w:rsidR="00B54E49" w:rsidRPr="008B3706" w:rsidRDefault="00B54E49" w:rsidP="00420BFF">
            <w:pPr>
              <w:rPr>
                <w:rFonts w:ascii="Arial Narrow" w:hAnsi="Arial Narrow" w:cs="Arial"/>
                <w:sz w:val="20"/>
                <w:szCs w:val="20"/>
              </w:rPr>
            </w:pPr>
          </w:p>
        </w:tc>
      </w:tr>
      <w:tr w:rsidR="00B54E49" w:rsidRPr="008B3706" w:rsidTr="00420BFF">
        <w:trPr>
          <w:cantSplit/>
          <w:trHeight w:val="471"/>
        </w:trPr>
        <w:tc>
          <w:tcPr>
            <w:tcW w:w="3119" w:type="dxa"/>
            <w:gridSpan w:val="2"/>
            <w:tcBorders>
              <w:bottom w:val="single" w:sz="4" w:space="0" w:color="auto"/>
            </w:tcBorders>
          </w:tcPr>
          <w:p w:rsidR="00440F47" w:rsidRPr="008B3706" w:rsidRDefault="00440F47" w:rsidP="00420BFF">
            <w:pPr>
              <w:keepNext/>
              <w:ind w:left="-108"/>
              <w:rPr>
                <w:rFonts w:ascii="Arial Narrow" w:hAnsi="Arial Narrow" w:cs="Arial"/>
                <w:b/>
                <w:sz w:val="20"/>
                <w:szCs w:val="20"/>
              </w:rPr>
            </w:pP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Name, Restriction,</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Manner of administration and form</w:t>
            </w:r>
          </w:p>
        </w:tc>
        <w:tc>
          <w:tcPr>
            <w:tcW w:w="708" w:type="dxa"/>
            <w:tcBorders>
              <w:bottom w:val="single" w:sz="4" w:space="0" w:color="auto"/>
            </w:tcBorders>
          </w:tcPr>
          <w:p w:rsidR="00440F47" w:rsidRPr="008B3706" w:rsidRDefault="00440F47" w:rsidP="00420BFF">
            <w:pPr>
              <w:keepNext/>
              <w:ind w:left="-108"/>
              <w:rPr>
                <w:rFonts w:ascii="Arial Narrow" w:hAnsi="Arial Narrow" w:cs="Arial"/>
                <w:b/>
                <w:sz w:val="20"/>
                <w:szCs w:val="20"/>
              </w:rPr>
            </w:pP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Max.</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Qty</w:t>
            </w:r>
          </w:p>
        </w:tc>
        <w:tc>
          <w:tcPr>
            <w:tcW w:w="709" w:type="dxa"/>
            <w:tcBorders>
              <w:bottom w:val="single" w:sz="4" w:space="0" w:color="auto"/>
            </w:tcBorders>
          </w:tcPr>
          <w:p w:rsidR="00440F47" w:rsidRPr="008B3706" w:rsidRDefault="00440F47" w:rsidP="00420BFF">
            <w:pPr>
              <w:keepNext/>
              <w:ind w:left="-108"/>
              <w:rPr>
                <w:rFonts w:ascii="Arial Narrow" w:hAnsi="Arial Narrow" w:cs="Arial"/>
                <w:b/>
                <w:sz w:val="20"/>
                <w:szCs w:val="20"/>
              </w:rPr>
            </w:pP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№.of</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Rpts</w:t>
            </w:r>
          </w:p>
        </w:tc>
        <w:tc>
          <w:tcPr>
            <w:tcW w:w="3827" w:type="dxa"/>
            <w:gridSpan w:val="2"/>
            <w:tcBorders>
              <w:bottom w:val="single" w:sz="4" w:space="0" w:color="auto"/>
            </w:tcBorders>
          </w:tcPr>
          <w:p w:rsidR="00440F47" w:rsidRPr="008B3706" w:rsidRDefault="00440F47" w:rsidP="00420BFF">
            <w:pPr>
              <w:keepNext/>
              <w:rPr>
                <w:rFonts w:ascii="Arial Narrow" w:hAnsi="Arial Narrow" w:cs="Arial"/>
                <w:b/>
                <w:sz w:val="20"/>
                <w:szCs w:val="20"/>
              </w:rPr>
            </w:pPr>
          </w:p>
          <w:p w:rsidR="00B54E49" w:rsidRPr="00197753" w:rsidRDefault="00B54E49" w:rsidP="00420BFF">
            <w:pPr>
              <w:keepNext/>
              <w:rPr>
                <w:rFonts w:ascii="Arial Narrow" w:hAnsi="Arial Narrow" w:cs="Arial"/>
                <w:b/>
                <w:sz w:val="20"/>
                <w:szCs w:val="20"/>
              </w:rPr>
            </w:pPr>
            <w:r w:rsidRPr="008B3706">
              <w:rPr>
                <w:rFonts w:ascii="Arial Narrow" w:hAnsi="Arial Narrow" w:cs="Arial"/>
                <w:b/>
                <w:sz w:val="20"/>
                <w:szCs w:val="20"/>
              </w:rPr>
              <w:t>Proprietary Name and Manufacturer</w:t>
            </w:r>
          </w:p>
        </w:tc>
      </w:tr>
      <w:tr w:rsidR="00B54E49" w:rsidRPr="008B3706" w:rsidTr="00420BFF">
        <w:trPr>
          <w:cantSplit/>
          <w:trHeight w:val="577"/>
        </w:trPr>
        <w:tc>
          <w:tcPr>
            <w:tcW w:w="3119" w:type="dxa"/>
            <w:gridSpan w:val="2"/>
          </w:tcPr>
          <w:p w:rsidR="00B54E49" w:rsidRPr="008B3706" w:rsidRDefault="00B54E49" w:rsidP="00420BFF">
            <w:pPr>
              <w:keepNext/>
              <w:ind w:left="-108"/>
              <w:rPr>
                <w:rFonts w:ascii="Arial Narrow" w:hAnsi="Arial Narrow" w:cs="Arial"/>
                <w:sz w:val="20"/>
                <w:szCs w:val="20"/>
              </w:rPr>
            </w:pPr>
            <w:r w:rsidRPr="008B3706">
              <w:rPr>
                <w:rFonts w:ascii="Arial Narrow" w:hAnsi="Arial Narrow" w:cs="Arial"/>
                <w:smallCaps/>
                <w:sz w:val="20"/>
                <w:szCs w:val="20"/>
              </w:rPr>
              <w:t>baclofen</w:t>
            </w: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intrathecal injection, 40mg /20 mL ampoule</w:t>
            </w:r>
          </w:p>
        </w:tc>
        <w:tc>
          <w:tcPr>
            <w:tcW w:w="708"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2</w:t>
            </w:r>
          </w:p>
        </w:tc>
        <w:tc>
          <w:tcPr>
            <w:tcW w:w="709"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0</w:t>
            </w:r>
          </w:p>
        </w:tc>
        <w:tc>
          <w:tcPr>
            <w:tcW w:w="1843"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Sintetica Baclofen Intrathecal</w:t>
            </w:r>
          </w:p>
        </w:tc>
        <w:tc>
          <w:tcPr>
            <w:tcW w:w="1984"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Boucher and Muir Pty Ltd</w:t>
            </w:r>
          </w:p>
        </w:tc>
      </w:tr>
      <w:tr w:rsidR="00B54E49" w:rsidRPr="008B3706" w:rsidTr="00420BFF">
        <w:trPr>
          <w:cantSplit/>
          <w:trHeight w:val="360"/>
        </w:trPr>
        <w:tc>
          <w:tcPr>
            <w:tcW w:w="8363" w:type="dxa"/>
            <w:gridSpan w:val="6"/>
            <w:tcBorders>
              <w:bottom w:val="single" w:sz="4" w:space="0" w:color="auto"/>
            </w:tcBorders>
          </w:tcPr>
          <w:p w:rsidR="00B54E49" w:rsidRPr="008B3706" w:rsidRDefault="00B54E49" w:rsidP="00420BFF">
            <w:pPr>
              <w:jc w:val="both"/>
              <w:rPr>
                <w:rFonts w:ascii="Arial Narrow" w:hAnsi="Arial Narrow" w:cs="Arial"/>
                <w:sz w:val="20"/>
                <w:szCs w:val="20"/>
              </w:rPr>
            </w:pP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 xml:space="preserve">Category / </w:t>
            </w:r>
          </w:p>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Section 100 – Highly Specialised Drugs Program (Private Hospital)</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1"/>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Dental  </w:t>
            </w: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Medical Practitioners  </w:t>
            </w:r>
            <w:r w:rsidRPr="00197753">
              <w:rPr>
                <w:rFonts w:ascii="Arial Narrow" w:hAnsi="Arial Narrow" w:cs="Arial"/>
                <w:sz w:val="20"/>
                <w:szCs w:val="20"/>
              </w:rPr>
              <w:fldChar w:fldCharType="begin">
                <w:ffData>
                  <w:name w:val="Check3"/>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Nurse practitioners  </w:t>
            </w:r>
            <w:r w:rsidRPr="00197753">
              <w:rPr>
                <w:rFonts w:ascii="Arial Narrow" w:hAnsi="Arial Narrow" w:cs="Arial"/>
                <w:sz w:val="20"/>
                <w:szCs w:val="20"/>
              </w:rPr>
              <w:fldChar w:fldCharType="begin">
                <w:ffData>
                  <w:name w:val=""/>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Optometrists</w:t>
            </w:r>
          </w:p>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Midwives</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Restriction Level / Method:</w:t>
            </w:r>
          </w:p>
          <w:p w:rsidR="00B54E49" w:rsidRPr="008B3706" w:rsidRDefault="00B54E49" w:rsidP="00420BFF">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B54E49">
            <w:pPr>
              <w:rPr>
                <w:rFonts w:ascii="Arial Narrow" w:hAnsi="Arial Narrow" w:cs="Arial"/>
                <w:sz w:val="20"/>
                <w:szCs w:val="20"/>
              </w:rPr>
            </w:pP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Authority Required - In Writing</w:t>
            </w:r>
          </w:p>
          <w:p w:rsidR="00B54E49" w:rsidRPr="008B3706" w:rsidRDefault="00B54E49" w:rsidP="00420BFF">
            <w:pPr>
              <w:rPr>
                <w:rFonts w:ascii="Arial Narrow" w:hAnsi="Arial Narrow" w:cs="Arial"/>
                <w:b/>
                <w:sz w:val="20"/>
                <w:szCs w:val="20"/>
              </w:rPr>
            </w:pP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Authority Required - Telephone</w:t>
            </w:r>
            <w:r w:rsidRPr="008B3706" w:rsidDel="00B54E49">
              <w:rPr>
                <w:rFonts w:ascii="Arial Narrow" w:hAnsi="Arial Narrow" w:cs="Arial"/>
                <w:sz w:val="20"/>
                <w:szCs w:val="20"/>
              </w:rPr>
              <w:t xml:space="preserve"> </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Clinical criteria:</w:t>
            </w:r>
          </w:p>
          <w:p w:rsidR="00B54E49" w:rsidRPr="008B3706" w:rsidRDefault="00B54E49" w:rsidP="00420BFF">
            <w:pPr>
              <w:jc w:val="both"/>
              <w:rPr>
                <w:rFonts w:ascii="Arial Narrow" w:hAnsi="Arial Narrow" w:cs="Arial"/>
                <w:i/>
                <w:sz w:val="20"/>
                <w:szCs w:val="20"/>
              </w:rPr>
            </w:pPr>
          </w:p>
          <w:p w:rsidR="00B54E49" w:rsidRPr="008B3706" w:rsidRDefault="00B54E49" w:rsidP="00420BFF">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 xml:space="preserve">Patient must have failed to respond to treatment with oral antispastic agents; </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OR</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had unacceptable side effects to treatment with oral antispastic agents,</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AND</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chronic spasticity due to multiple sclerosis.</w:t>
            </w:r>
          </w:p>
          <w:p w:rsidR="00B54E49" w:rsidRPr="008B3706" w:rsidRDefault="00B54E49" w:rsidP="00420BFF">
            <w:pPr>
              <w:rPr>
                <w:rFonts w:ascii="Arial Narrow" w:hAnsi="Arial Narrow" w:cs="Arial"/>
                <w:sz w:val="20"/>
                <w:szCs w:val="20"/>
              </w:rPr>
            </w:pPr>
          </w:p>
        </w:tc>
      </w:tr>
    </w:tbl>
    <w:p w:rsidR="00B54E49" w:rsidRPr="008B3706" w:rsidRDefault="00B54E49" w:rsidP="00B54E49">
      <w:pPr>
        <w:widowControl w:val="0"/>
        <w:ind w:firstLine="720"/>
        <w:jc w:val="both"/>
        <w:rPr>
          <w:rFonts w:asciiTheme="minorHAnsi" w:hAnsiTheme="minorHAnsi" w:cs="Arial"/>
          <w:bCs/>
          <w:snapToGrid w:val="0"/>
          <w:highlight w:val="yellow"/>
        </w:rPr>
      </w:pPr>
    </w:p>
    <w:tbl>
      <w:tblPr>
        <w:tblW w:w="8363" w:type="dxa"/>
        <w:tblInd w:w="817" w:type="dxa"/>
        <w:tblLayout w:type="fixed"/>
        <w:tblLook w:val="0000" w:firstRow="0" w:lastRow="0" w:firstColumn="0" w:lastColumn="0" w:noHBand="0" w:noVBand="0"/>
      </w:tblPr>
      <w:tblGrid>
        <w:gridCol w:w="1985"/>
        <w:gridCol w:w="1134"/>
        <w:gridCol w:w="708"/>
        <w:gridCol w:w="709"/>
        <w:gridCol w:w="1843"/>
        <w:gridCol w:w="1984"/>
      </w:tblGrid>
      <w:tr w:rsidR="00B54E49" w:rsidRPr="008B3706" w:rsidTr="00420BFF">
        <w:trPr>
          <w:cantSplit/>
          <w:trHeight w:val="471"/>
        </w:trPr>
        <w:tc>
          <w:tcPr>
            <w:tcW w:w="3119" w:type="dxa"/>
            <w:gridSpan w:val="2"/>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Name, Restriction,</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Manner of administration and form</w:t>
            </w:r>
          </w:p>
        </w:tc>
        <w:tc>
          <w:tcPr>
            <w:tcW w:w="708" w:type="dxa"/>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Max.</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Qty</w:t>
            </w:r>
          </w:p>
        </w:tc>
        <w:tc>
          <w:tcPr>
            <w:tcW w:w="709" w:type="dxa"/>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№.of</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Rpts</w:t>
            </w:r>
          </w:p>
        </w:tc>
        <w:tc>
          <w:tcPr>
            <w:tcW w:w="3827" w:type="dxa"/>
            <w:gridSpan w:val="2"/>
            <w:tcBorders>
              <w:bottom w:val="single" w:sz="4" w:space="0" w:color="auto"/>
            </w:tcBorders>
          </w:tcPr>
          <w:p w:rsidR="00B54E49" w:rsidRPr="00197753" w:rsidRDefault="00B54E49" w:rsidP="00420BFF">
            <w:pPr>
              <w:keepNext/>
              <w:rPr>
                <w:rFonts w:ascii="Arial Narrow" w:hAnsi="Arial Narrow" w:cs="Arial"/>
                <w:b/>
                <w:sz w:val="20"/>
                <w:szCs w:val="20"/>
              </w:rPr>
            </w:pPr>
            <w:r w:rsidRPr="008B3706">
              <w:rPr>
                <w:rFonts w:ascii="Arial Narrow" w:hAnsi="Arial Narrow" w:cs="Arial"/>
                <w:b/>
                <w:sz w:val="20"/>
                <w:szCs w:val="20"/>
              </w:rPr>
              <w:t>Proprietary Name and Manufacturer</w:t>
            </w:r>
          </w:p>
        </w:tc>
      </w:tr>
      <w:tr w:rsidR="00B54E49" w:rsidRPr="008B3706" w:rsidTr="00420BFF">
        <w:trPr>
          <w:cantSplit/>
          <w:trHeight w:val="577"/>
        </w:trPr>
        <w:tc>
          <w:tcPr>
            <w:tcW w:w="3119" w:type="dxa"/>
            <w:gridSpan w:val="2"/>
          </w:tcPr>
          <w:p w:rsidR="00B54E49" w:rsidRPr="008B3706" w:rsidRDefault="00B54E49" w:rsidP="00420BFF">
            <w:pPr>
              <w:keepNext/>
              <w:ind w:left="-108"/>
              <w:rPr>
                <w:rFonts w:ascii="Arial Narrow" w:hAnsi="Arial Narrow" w:cs="Arial"/>
                <w:sz w:val="20"/>
                <w:szCs w:val="20"/>
              </w:rPr>
            </w:pPr>
            <w:r w:rsidRPr="008B3706">
              <w:rPr>
                <w:rFonts w:ascii="Arial Narrow" w:hAnsi="Arial Narrow" w:cs="Arial"/>
                <w:smallCaps/>
                <w:sz w:val="20"/>
                <w:szCs w:val="20"/>
              </w:rPr>
              <w:t>baclofen</w:t>
            </w: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intrathecal injection, 40mg /20 mL ampoule</w:t>
            </w:r>
          </w:p>
        </w:tc>
        <w:tc>
          <w:tcPr>
            <w:tcW w:w="708"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2</w:t>
            </w:r>
          </w:p>
        </w:tc>
        <w:tc>
          <w:tcPr>
            <w:tcW w:w="709"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0</w:t>
            </w:r>
          </w:p>
        </w:tc>
        <w:tc>
          <w:tcPr>
            <w:tcW w:w="1843"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Sintetica Baclofen Intrathecal</w:t>
            </w:r>
          </w:p>
        </w:tc>
        <w:tc>
          <w:tcPr>
            <w:tcW w:w="1984"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Boucher and Muir Pty Ltd</w:t>
            </w:r>
          </w:p>
        </w:tc>
      </w:tr>
      <w:tr w:rsidR="00B54E49" w:rsidRPr="008B3706" w:rsidTr="00420BFF">
        <w:trPr>
          <w:cantSplit/>
          <w:trHeight w:val="360"/>
        </w:trPr>
        <w:tc>
          <w:tcPr>
            <w:tcW w:w="8363" w:type="dxa"/>
            <w:gridSpan w:val="6"/>
            <w:tcBorders>
              <w:bottom w:val="single" w:sz="4" w:space="0" w:color="auto"/>
            </w:tcBorders>
          </w:tcPr>
          <w:p w:rsidR="00B54E49" w:rsidRPr="008B3706" w:rsidRDefault="00B54E49" w:rsidP="00420BFF">
            <w:pPr>
              <w:jc w:val="both"/>
              <w:rPr>
                <w:rFonts w:ascii="Arial Narrow" w:hAnsi="Arial Narrow" w:cs="Arial"/>
                <w:sz w:val="20"/>
                <w:szCs w:val="20"/>
              </w:rPr>
            </w:pP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 xml:space="preserve">Category / </w:t>
            </w:r>
          </w:p>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Section 100 – Highly Specialised Drugs Program</w:t>
            </w:r>
            <w:r w:rsidR="00DA388B" w:rsidRPr="008B3706">
              <w:rPr>
                <w:rFonts w:ascii="Arial Narrow" w:hAnsi="Arial Narrow" w:cs="Arial"/>
                <w:sz w:val="20"/>
                <w:szCs w:val="20"/>
              </w:rPr>
              <w:t xml:space="preserve"> (Private Hospital)</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1"/>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Dental  </w:t>
            </w: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Medical Practitioners  </w:t>
            </w:r>
            <w:r w:rsidRPr="00197753">
              <w:rPr>
                <w:rFonts w:ascii="Arial Narrow" w:hAnsi="Arial Narrow" w:cs="Arial"/>
                <w:sz w:val="20"/>
                <w:szCs w:val="20"/>
              </w:rPr>
              <w:fldChar w:fldCharType="begin">
                <w:ffData>
                  <w:name w:val="Check3"/>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Nurse practitioners  </w:t>
            </w:r>
            <w:r w:rsidRPr="00197753">
              <w:rPr>
                <w:rFonts w:ascii="Arial Narrow" w:hAnsi="Arial Narrow" w:cs="Arial"/>
                <w:sz w:val="20"/>
                <w:szCs w:val="20"/>
              </w:rPr>
              <w:fldChar w:fldCharType="begin">
                <w:ffData>
                  <w:name w:val=""/>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Optometrists</w:t>
            </w:r>
          </w:p>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Midwives</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Restriction Level / Method:</w:t>
            </w:r>
          </w:p>
          <w:p w:rsidR="00B54E49" w:rsidRPr="008B3706" w:rsidRDefault="00B54E49" w:rsidP="00420BFF">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B54E49">
            <w:pPr>
              <w:rPr>
                <w:rFonts w:ascii="Arial Narrow" w:hAnsi="Arial Narrow" w:cs="Arial"/>
                <w:sz w:val="20"/>
                <w:szCs w:val="20"/>
              </w:rPr>
            </w:pP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Authority Required - In Writing</w:t>
            </w:r>
          </w:p>
          <w:p w:rsidR="00B54E49" w:rsidRPr="008B3706" w:rsidRDefault="00B54E49" w:rsidP="00420BFF">
            <w:pPr>
              <w:rPr>
                <w:rFonts w:ascii="Arial Narrow" w:hAnsi="Arial Narrow" w:cs="Arial"/>
                <w:b/>
                <w:sz w:val="20"/>
                <w:szCs w:val="20"/>
              </w:rPr>
            </w:pP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Authority Required - Telephone</w:t>
            </w:r>
            <w:r w:rsidRPr="008B3706" w:rsidDel="00B54E49">
              <w:rPr>
                <w:rFonts w:ascii="Arial Narrow" w:hAnsi="Arial Narrow" w:cs="Arial"/>
                <w:sz w:val="20"/>
                <w:szCs w:val="20"/>
              </w:rPr>
              <w:t xml:space="preserve"> </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Clinical criteria:</w:t>
            </w:r>
          </w:p>
          <w:p w:rsidR="00B54E49" w:rsidRPr="008B3706" w:rsidRDefault="00B54E49" w:rsidP="00420BFF">
            <w:pPr>
              <w:jc w:val="both"/>
              <w:rPr>
                <w:rFonts w:ascii="Arial Narrow" w:hAnsi="Arial Narrow" w:cs="Arial"/>
                <w:i/>
                <w:sz w:val="20"/>
                <w:szCs w:val="20"/>
              </w:rPr>
            </w:pPr>
          </w:p>
          <w:p w:rsidR="00B54E49" w:rsidRPr="008B3706" w:rsidRDefault="00B54E49" w:rsidP="00420BFF">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 xml:space="preserve">Patient must have failed to respond to treatment with oral antispastic agents; </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OR</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had unacceptable side effects to treatment with oral antispastic agents,</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AND</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chronic spasticity due to spinal cord injury.</w:t>
            </w:r>
          </w:p>
          <w:p w:rsidR="00B54E49" w:rsidRPr="008B3706" w:rsidRDefault="00B54E49" w:rsidP="00420BFF">
            <w:pPr>
              <w:rPr>
                <w:rFonts w:ascii="Arial Narrow" w:hAnsi="Arial Narrow" w:cs="Arial"/>
                <w:sz w:val="20"/>
                <w:szCs w:val="20"/>
              </w:rPr>
            </w:pPr>
          </w:p>
        </w:tc>
      </w:tr>
    </w:tbl>
    <w:p w:rsidR="00B54E49" w:rsidRPr="008B3706" w:rsidRDefault="00B54E49" w:rsidP="00B54E49">
      <w:pPr>
        <w:widowControl w:val="0"/>
        <w:ind w:firstLine="720"/>
        <w:jc w:val="both"/>
        <w:rPr>
          <w:rFonts w:asciiTheme="minorHAnsi" w:hAnsiTheme="minorHAnsi" w:cs="Arial"/>
          <w:bCs/>
          <w:snapToGrid w:val="0"/>
          <w:highlight w:val="yellow"/>
        </w:rPr>
      </w:pPr>
    </w:p>
    <w:tbl>
      <w:tblPr>
        <w:tblW w:w="8363" w:type="dxa"/>
        <w:tblInd w:w="817" w:type="dxa"/>
        <w:tblLayout w:type="fixed"/>
        <w:tblLook w:val="0000" w:firstRow="0" w:lastRow="0" w:firstColumn="0" w:lastColumn="0" w:noHBand="0" w:noVBand="0"/>
      </w:tblPr>
      <w:tblGrid>
        <w:gridCol w:w="1985"/>
        <w:gridCol w:w="1134"/>
        <w:gridCol w:w="708"/>
        <w:gridCol w:w="709"/>
        <w:gridCol w:w="1843"/>
        <w:gridCol w:w="1984"/>
      </w:tblGrid>
      <w:tr w:rsidR="00B54E49" w:rsidRPr="008B3706" w:rsidTr="00420BFF">
        <w:trPr>
          <w:cantSplit/>
          <w:trHeight w:val="471"/>
        </w:trPr>
        <w:tc>
          <w:tcPr>
            <w:tcW w:w="3119" w:type="dxa"/>
            <w:gridSpan w:val="2"/>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Name, Restriction,</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Manner of administration and form</w:t>
            </w:r>
          </w:p>
        </w:tc>
        <w:tc>
          <w:tcPr>
            <w:tcW w:w="708" w:type="dxa"/>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Max.</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Qty</w:t>
            </w:r>
          </w:p>
        </w:tc>
        <w:tc>
          <w:tcPr>
            <w:tcW w:w="709" w:type="dxa"/>
            <w:tcBorders>
              <w:bottom w:val="single" w:sz="4" w:space="0" w:color="auto"/>
            </w:tcBorders>
          </w:tcPr>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№.of</w:t>
            </w:r>
          </w:p>
          <w:p w:rsidR="00B54E49" w:rsidRPr="008B3706" w:rsidRDefault="00B54E49" w:rsidP="00420BFF">
            <w:pPr>
              <w:keepNext/>
              <w:ind w:left="-108"/>
              <w:rPr>
                <w:rFonts w:ascii="Arial Narrow" w:hAnsi="Arial Narrow" w:cs="Arial"/>
                <w:b/>
                <w:sz w:val="20"/>
                <w:szCs w:val="20"/>
              </w:rPr>
            </w:pPr>
            <w:r w:rsidRPr="008B3706">
              <w:rPr>
                <w:rFonts w:ascii="Arial Narrow" w:hAnsi="Arial Narrow" w:cs="Arial"/>
                <w:b/>
                <w:sz w:val="20"/>
                <w:szCs w:val="20"/>
              </w:rPr>
              <w:t>Rpts</w:t>
            </w:r>
          </w:p>
        </w:tc>
        <w:tc>
          <w:tcPr>
            <w:tcW w:w="3827" w:type="dxa"/>
            <w:gridSpan w:val="2"/>
            <w:tcBorders>
              <w:bottom w:val="single" w:sz="4" w:space="0" w:color="auto"/>
            </w:tcBorders>
          </w:tcPr>
          <w:p w:rsidR="00B54E49" w:rsidRPr="00197753" w:rsidRDefault="00B54E49" w:rsidP="00420BFF">
            <w:pPr>
              <w:keepNext/>
              <w:rPr>
                <w:rFonts w:ascii="Arial Narrow" w:hAnsi="Arial Narrow" w:cs="Arial"/>
                <w:b/>
                <w:sz w:val="20"/>
                <w:szCs w:val="20"/>
              </w:rPr>
            </w:pPr>
            <w:r w:rsidRPr="008B3706">
              <w:rPr>
                <w:rFonts w:ascii="Arial Narrow" w:hAnsi="Arial Narrow" w:cs="Arial"/>
                <w:b/>
                <w:sz w:val="20"/>
                <w:szCs w:val="20"/>
              </w:rPr>
              <w:t>Proprietary Name and Manufacturer</w:t>
            </w:r>
          </w:p>
        </w:tc>
      </w:tr>
      <w:tr w:rsidR="00B54E49" w:rsidRPr="008B3706" w:rsidTr="00420BFF">
        <w:trPr>
          <w:cantSplit/>
          <w:trHeight w:val="577"/>
        </w:trPr>
        <w:tc>
          <w:tcPr>
            <w:tcW w:w="3119" w:type="dxa"/>
            <w:gridSpan w:val="2"/>
          </w:tcPr>
          <w:p w:rsidR="00B54E49" w:rsidRPr="008B3706" w:rsidRDefault="00B54E49" w:rsidP="00420BFF">
            <w:pPr>
              <w:keepNext/>
              <w:ind w:left="-108"/>
              <w:rPr>
                <w:rFonts w:ascii="Arial Narrow" w:hAnsi="Arial Narrow" w:cs="Arial"/>
                <w:sz w:val="20"/>
                <w:szCs w:val="20"/>
              </w:rPr>
            </w:pPr>
            <w:r w:rsidRPr="008B3706">
              <w:rPr>
                <w:rFonts w:ascii="Arial Narrow" w:hAnsi="Arial Narrow" w:cs="Arial"/>
                <w:smallCaps/>
                <w:sz w:val="20"/>
                <w:szCs w:val="20"/>
              </w:rPr>
              <w:t>baclofen</w:t>
            </w: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intrathecal injection, 40mg /20 mL ampoule</w:t>
            </w:r>
          </w:p>
        </w:tc>
        <w:tc>
          <w:tcPr>
            <w:tcW w:w="708"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2</w:t>
            </w:r>
          </w:p>
        </w:tc>
        <w:tc>
          <w:tcPr>
            <w:tcW w:w="709" w:type="dxa"/>
          </w:tcPr>
          <w:p w:rsidR="00B54E49" w:rsidRPr="008B3706" w:rsidRDefault="00B54E49" w:rsidP="00420BFF">
            <w:pPr>
              <w:keepNext/>
              <w:ind w:left="-108"/>
              <w:rPr>
                <w:rFonts w:ascii="Arial Narrow" w:hAnsi="Arial Narrow" w:cs="Arial"/>
                <w:sz w:val="20"/>
                <w:szCs w:val="20"/>
              </w:rPr>
            </w:pPr>
          </w:p>
          <w:p w:rsidR="00B54E49" w:rsidRPr="008B3706" w:rsidRDefault="00B54E49" w:rsidP="00420BFF">
            <w:pPr>
              <w:keepNext/>
              <w:ind w:left="-108"/>
              <w:rPr>
                <w:rFonts w:ascii="Arial Narrow" w:hAnsi="Arial Narrow" w:cs="Arial"/>
                <w:sz w:val="20"/>
                <w:szCs w:val="20"/>
              </w:rPr>
            </w:pPr>
            <w:r w:rsidRPr="008B3706">
              <w:rPr>
                <w:rFonts w:ascii="Arial Narrow" w:hAnsi="Arial Narrow" w:cs="Arial"/>
                <w:sz w:val="20"/>
                <w:szCs w:val="20"/>
              </w:rPr>
              <w:t>0</w:t>
            </w:r>
          </w:p>
        </w:tc>
        <w:tc>
          <w:tcPr>
            <w:tcW w:w="1843"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Sintetica Baclofen Intrathecal</w:t>
            </w:r>
          </w:p>
        </w:tc>
        <w:tc>
          <w:tcPr>
            <w:tcW w:w="1984" w:type="dxa"/>
          </w:tcPr>
          <w:p w:rsidR="00B54E49" w:rsidRPr="008B3706" w:rsidRDefault="00B54E49" w:rsidP="00420BFF">
            <w:pPr>
              <w:keepNext/>
              <w:rPr>
                <w:rFonts w:ascii="Arial Narrow" w:hAnsi="Arial Narrow" w:cs="Arial"/>
                <w:sz w:val="20"/>
                <w:szCs w:val="20"/>
              </w:rPr>
            </w:pPr>
          </w:p>
          <w:p w:rsidR="00B54E49" w:rsidRPr="008B3706" w:rsidRDefault="00B54E49" w:rsidP="00420BFF">
            <w:pPr>
              <w:keepNext/>
              <w:rPr>
                <w:rFonts w:ascii="Arial Narrow" w:hAnsi="Arial Narrow" w:cs="Arial"/>
                <w:sz w:val="20"/>
                <w:szCs w:val="20"/>
              </w:rPr>
            </w:pPr>
            <w:r w:rsidRPr="008B3706">
              <w:rPr>
                <w:rFonts w:ascii="Arial Narrow" w:hAnsi="Arial Narrow" w:cs="Arial"/>
                <w:sz w:val="20"/>
                <w:szCs w:val="20"/>
              </w:rPr>
              <w:t>Boucher and Muir Pty Ltd</w:t>
            </w:r>
          </w:p>
        </w:tc>
      </w:tr>
      <w:tr w:rsidR="00B54E49" w:rsidRPr="008B3706" w:rsidTr="00420BFF">
        <w:trPr>
          <w:cantSplit/>
          <w:trHeight w:val="360"/>
        </w:trPr>
        <w:tc>
          <w:tcPr>
            <w:tcW w:w="8363" w:type="dxa"/>
            <w:gridSpan w:val="6"/>
            <w:tcBorders>
              <w:bottom w:val="single" w:sz="4" w:space="0" w:color="auto"/>
            </w:tcBorders>
          </w:tcPr>
          <w:p w:rsidR="00B54E49" w:rsidRPr="008B3706" w:rsidRDefault="00B54E49" w:rsidP="00420BFF">
            <w:pPr>
              <w:jc w:val="both"/>
              <w:rPr>
                <w:rFonts w:ascii="Arial Narrow" w:hAnsi="Arial Narrow" w:cs="Arial"/>
                <w:sz w:val="20"/>
                <w:szCs w:val="20"/>
              </w:rPr>
            </w:pP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 xml:space="preserve">Category / </w:t>
            </w:r>
          </w:p>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Section 100 – Highly Specialised Drugs Program</w:t>
            </w:r>
            <w:r w:rsidR="00DA388B" w:rsidRPr="008B3706">
              <w:rPr>
                <w:rFonts w:ascii="Arial Narrow" w:hAnsi="Arial Narrow" w:cs="Arial"/>
                <w:sz w:val="20"/>
                <w:szCs w:val="20"/>
              </w:rPr>
              <w:t xml:space="preserve"> (Private Hospital)</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1"/>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Dental  </w:t>
            </w: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Medical Practitioners  </w:t>
            </w:r>
            <w:r w:rsidRPr="00197753">
              <w:rPr>
                <w:rFonts w:ascii="Arial Narrow" w:hAnsi="Arial Narrow" w:cs="Arial"/>
                <w:sz w:val="20"/>
                <w:szCs w:val="20"/>
              </w:rPr>
              <w:fldChar w:fldCharType="begin">
                <w:ffData>
                  <w:name w:val="Check3"/>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 xml:space="preserve">Nurse practitioners  </w:t>
            </w:r>
            <w:r w:rsidRPr="00197753">
              <w:rPr>
                <w:rFonts w:ascii="Arial Narrow" w:hAnsi="Arial Narrow" w:cs="Arial"/>
                <w:sz w:val="20"/>
                <w:szCs w:val="20"/>
              </w:rPr>
              <w:fldChar w:fldCharType="begin">
                <w:ffData>
                  <w:name w:val=""/>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Optometrists</w:t>
            </w:r>
          </w:p>
          <w:p w:rsidR="00B54E49" w:rsidRPr="008B3706" w:rsidRDefault="00B54E49" w:rsidP="00420BFF">
            <w:pPr>
              <w:rPr>
                <w:rFonts w:ascii="Arial Narrow" w:hAnsi="Arial Narrow" w:cs="Arial"/>
                <w:sz w:val="20"/>
                <w:szCs w:val="20"/>
              </w:rPr>
            </w:pPr>
            <w:r w:rsidRPr="00197753">
              <w:rPr>
                <w:rFonts w:ascii="Arial Narrow" w:hAnsi="Arial Narrow" w:cs="Arial"/>
                <w:sz w:val="20"/>
                <w:szCs w:val="20"/>
              </w:rPr>
              <w:fldChar w:fldCharType="begin">
                <w:ffData>
                  <w:name w:val="Check5"/>
                  <w:enabled/>
                  <w:calcOnExit w:val="0"/>
                  <w:checkBox>
                    <w:sizeAuto/>
                    <w:default w:val="0"/>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Midwives</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Severe chronic spasticity</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Restriction Level / Method:</w:t>
            </w:r>
          </w:p>
          <w:p w:rsidR="00B54E49" w:rsidRPr="008B3706" w:rsidRDefault="00B54E49" w:rsidP="00420BFF">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B54E49">
            <w:pPr>
              <w:rPr>
                <w:rFonts w:ascii="Arial Narrow" w:hAnsi="Arial Narrow" w:cs="Arial"/>
                <w:sz w:val="20"/>
                <w:szCs w:val="20"/>
              </w:rPr>
            </w:pP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Authority Required - In Writing</w:t>
            </w:r>
          </w:p>
          <w:p w:rsidR="00B54E49" w:rsidRPr="008B3706" w:rsidRDefault="00B54E49" w:rsidP="00420BFF">
            <w:pPr>
              <w:rPr>
                <w:rFonts w:ascii="Arial Narrow" w:hAnsi="Arial Narrow" w:cs="Arial"/>
                <w:b/>
                <w:sz w:val="20"/>
                <w:szCs w:val="20"/>
              </w:rPr>
            </w:pPr>
            <w:r w:rsidRPr="00197753">
              <w:rPr>
                <w:rFonts w:ascii="Arial Narrow" w:hAnsi="Arial Narrow" w:cs="Arial"/>
                <w:sz w:val="20"/>
                <w:szCs w:val="20"/>
              </w:rPr>
              <w:fldChar w:fldCharType="begin">
                <w:ffData>
                  <w:name w:val=""/>
                  <w:enabled/>
                  <w:calcOnExit w:val="0"/>
                  <w:checkBox>
                    <w:sizeAuto/>
                    <w:default w:val="1"/>
                  </w:checkBox>
                </w:ffData>
              </w:fldChar>
            </w:r>
            <w:r w:rsidRPr="008B3706">
              <w:rPr>
                <w:rFonts w:ascii="Arial Narrow" w:hAnsi="Arial Narrow" w:cs="Arial"/>
                <w:sz w:val="20"/>
                <w:szCs w:val="20"/>
              </w:rPr>
              <w:instrText xml:space="preserve"> FORMCHECKBOX </w:instrText>
            </w:r>
            <w:r w:rsidR="00B429DB">
              <w:rPr>
                <w:rFonts w:ascii="Arial Narrow" w:hAnsi="Arial Narrow" w:cs="Arial"/>
                <w:sz w:val="20"/>
                <w:szCs w:val="20"/>
              </w:rPr>
            </w:r>
            <w:r w:rsidR="00B429DB">
              <w:rPr>
                <w:rFonts w:ascii="Arial Narrow" w:hAnsi="Arial Narrow" w:cs="Arial"/>
                <w:sz w:val="20"/>
                <w:szCs w:val="20"/>
              </w:rPr>
              <w:fldChar w:fldCharType="separate"/>
            </w:r>
            <w:r w:rsidRPr="00197753">
              <w:rPr>
                <w:rFonts w:ascii="Arial Narrow" w:hAnsi="Arial Narrow" w:cs="Arial"/>
                <w:sz w:val="20"/>
                <w:szCs w:val="20"/>
              </w:rPr>
              <w:fldChar w:fldCharType="end"/>
            </w:r>
            <w:r w:rsidRPr="008B3706">
              <w:rPr>
                <w:rFonts w:ascii="Arial Narrow" w:hAnsi="Arial Narrow" w:cs="Arial"/>
                <w:sz w:val="20"/>
                <w:szCs w:val="20"/>
              </w:rPr>
              <w:t>Authority Required - Telephone</w:t>
            </w:r>
            <w:r w:rsidRPr="008B3706" w:rsidDel="00B54E49">
              <w:rPr>
                <w:rFonts w:ascii="Arial Narrow" w:hAnsi="Arial Narrow" w:cs="Arial"/>
                <w:sz w:val="20"/>
                <w:szCs w:val="20"/>
              </w:rPr>
              <w:t xml:space="preserve"> </w:t>
            </w:r>
          </w:p>
        </w:tc>
      </w:tr>
      <w:tr w:rsidR="00B54E49" w:rsidRPr="008B3706" w:rsidTr="00420BFF">
        <w:trPr>
          <w:cantSplit/>
          <w:trHeight w:val="360"/>
        </w:trPr>
        <w:tc>
          <w:tcPr>
            <w:tcW w:w="1985" w:type="dxa"/>
            <w:tcBorders>
              <w:top w:val="single" w:sz="4" w:space="0" w:color="auto"/>
              <w:left w:val="single" w:sz="4" w:space="0" w:color="auto"/>
              <w:bottom w:val="single" w:sz="4" w:space="0" w:color="auto"/>
              <w:right w:val="single" w:sz="4" w:space="0" w:color="auto"/>
            </w:tcBorders>
          </w:tcPr>
          <w:p w:rsidR="00B54E49" w:rsidRPr="008B3706" w:rsidRDefault="00B54E49" w:rsidP="00420BFF">
            <w:pPr>
              <w:jc w:val="both"/>
              <w:rPr>
                <w:rFonts w:ascii="Arial Narrow" w:hAnsi="Arial Narrow" w:cs="Arial"/>
                <w:b/>
                <w:sz w:val="20"/>
                <w:szCs w:val="20"/>
              </w:rPr>
            </w:pPr>
            <w:r w:rsidRPr="008B3706">
              <w:rPr>
                <w:rFonts w:ascii="Arial Narrow" w:hAnsi="Arial Narrow" w:cs="Arial"/>
                <w:b/>
                <w:sz w:val="20"/>
                <w:szCs w:val="20"/>
              </w:rPr>
              <w:t>Clinical criteria:</w:t>
            </w:r>
          </w:p>
          <w:p w:rsidR="00B54E49" w:rsidRPr="008B3706" w:rsidRDefault="00B54E49" w:rsidP="00420BFF">
            <w:pPr>
              <w:jc w:val="both"/>
              <w:rPr>
                <w:rFonts w:ascii="Arial Narrow" w:hAnsi="Arial Narrow" w:cs="Arial"/>
                <w:i/>
                <w:sz w:val="20"/>
                <w:szCs w:val="20"/>
              </w:rPr>
            </w:pPr>
          </w:p>
          <w:p w:rsidR="00B54E49" w:rsidRPr="008B3706" w:rsidRDefault="00B54E49" w:rsidP="00420BFF">
            <w:pPr>
              <w:jc w:val="both"/>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 xml:space="preserve">Patient must have failed to respond to treatment with oral antispastic agents; </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OR</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had unacceptable side effects to treatment with oral antispastic agents,</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AND</w:t>
            </w:r>
          </w:p>
          <w:p w:rsidR="00B54E49" w:rsidRPr="008B3706" w:rsidRDefault="00B54E49" w:rsidP="00420BFF">
            <w:pPr>
              <w:rPr>
                <w:rFonts w:ascii="Arial Narrow" w:hAnsi="Arial Narrow" w:cs="Arial"/>
                <w:sz w:val="20"/>
                <w:szCs w:val="20"/>
              </w:rPr>
            </w:pPr>
            <w:r w:rsidRPr="008B3706">
              <w:rPr>
                <w:rFonts w:ascii="Arial Narrow" w:hAnsi="Arial Narrow" w:cs="Arial"/>
                <w:sz w:val="20"/>
                <w:szCs w:val="20"/>
              </w:rPr>
              <w:t>Patient must have chronic spasticity due to spinal cord disease.</w:t>
            </w:r>
          </w:p>
          <w:p w:rsidR="00B54E49" w:rsidRPr="008B3706" w:rsidRDefault="00B54E49" w:rsidP="00420BFF">
            <w:pPr>
              <w:jc w:val="both"/>
              <w:rPr>
                <w:rFonts w:ascii="Arial Narrow" w:hAnsi="Arial Narrow" w:cs="Arial"/>
                <w:sz w:val="20"/>
                <w:szCs w:val="20"/>
              </w:rPr>
            </w:pPr>
          </w:p>
        </w:tc>
      </w:tr>
    </w:tbl>
    <w:p w:rsidR="009A1273" w:rsidRPr="00197753" w:rsidRDefault="009A1273" w:rsidP="009A1273">
      <w:pPr>
        <w:pStyle w:val="NoSpacing"/>
      </w:pPr>
    </w:p>
    <w:p w:rsidR="00B54E49" w:rsidRPr="00197753" w:rsidRDefault="00B54E49" w:rsidP="009A1273">
      <w:pPr>
        <w:pStyle w:val="NoSpacing"/>
      </w:pPr>
    </w:p>
    <w:p w:rsidR="00DC0560" w:rsidRPr="006C2DAA" w:rsidRDefault="00DC0560" w:rsidP="00DC0560">
      <w:pPr>
        <w:pStyle w:val="PBACHeading1"/>
        <w:rPr>
          <w:rFonts w:asciiTheme="minorHAnsi" w:hAnsiTheme="minorHAnsi"/>
          <w:b w:val="0"/>
          <w:sz w:val="32"/>
          <w:szCs w:val="32"/>
        </w:rPr>
      </w:pPr>
      <w:r w:rsidRPr="006C2DAA">
        <w:rPr>
          <w:rFonts w:asciiTheme="minorHAnsi" w:hAnsiTheme="minorHAnsi"/>
          <w:sz w:val="32"/>
          <w:szCs w:val="32"/>
        </w:rPr>
        <w:t>Context for Decision</w:t>
      </w:r>
    </w:p>
    <w:p w:rsidR="00DC0560" w:rsidRPr="00440A84" w:rsidRDefault="00DC0560" w:rsidP="00DC0560">
      <w:pPr>
        <w:ind w:left="426"/>
        <w:jc w:val="both"/>
        <w:rPr>
          <w:rFonts w:asciiTheme="minorHAnsi" w:hAnsiTheme="minorHAnsi" w:cs="Arial"/>
        </w:rPr>
      </w:pPr>
    </w:p>
    <w:p w:rsidR="00DC0560" w:rsidRPr="00440A84" w:rsidRDefault="00DC0560" w:rsidP="00DC0560">
      <w:pPr>
        <w:ind w:left="426"/>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C0560" w:rsidRPr="00440A84" w:rsidRDefault="00DC0560" w:rsidP="00DC0560">
      <w:pPr>
        <w:ind w:left="426"/>
        <w:jc w:val="both"/>
        <w:rPr>
          <w:rFonts w:asciiTheme="minorHAnsi" w:hAnsiTheme="minorHAnsi" w:cs="Arial"/>
        </w:rPr>
      </w:pPr>
    </w:p>
    <w:p w:rsidR="00DC0560" w:rsidRPr="006C2DAA" w:rsidRDefault="00DC0560" w:rsidP="00DC0560">
      <w:pPr>
        <w:pStyle w:val="PBACHeading1"/>
        <w:rPr>
          <w:rFonts w:asciiTheme="minorHAnsi" w:hAnsiTheme="minorHAnsi"/>
          <w:b w:val="0"/>
          <w:sz w:val="32"/>
          <w:szCs w:val="32"/>
        </w:rPr>
      </w:pPr>
      <w:r w:rsidRPr="006C2DAA">
        <w:rPr>
          <w:rFonts w:asciiTheme="minorHAnsi" w:hAnsiTheme="minorHAnsi"/>
          <w:sz w:val="32"/>
          <w:szCs w:val="32"/>
        </w:rPr>
        <w:t>Sponsor’s Comment</w:t>
      </w:r>
    </w:p>
    <w:p w:rsidR="00DC0560" w:rsidRPr="00440A84" w:rsidRDefault="00DC0560" w:rsidP="00DC0560">
      <w:pPr>
        <w:ind w:left="426"/>
        <w:jc w:val="both"/>
        <w:rPr>
          <w:rFonts w:asciiTheme="minorHAnsi" w:hAnsiTheme="minorHAnsi" w:cs="Arial"/>
          <w:bCs/>
          <w:highlight w:val="yellow"/>
          <w:lang w:val="en-GB"/>
        </w:rPr>
      </w:pPr>
    </w:p>
    <w:p w:rsidR="00DC0560" w:rsidRPr="00440A84" w:rsidRDefault="00DC0560" w:rsidP="00DC0560">
      <w:pPr>
        <w:spacing w:after="120"/>
        <w:ind w:left="426"/>
        <w:jc w:val="both"/>
        <w:rPr>
          <w:rFonts w:asciiTheme="minorHAnsi" w:hAnsiTheme="minorHAnsi" w:cs="Arial"/>
          <w:bCs/>
        </w:rPr>
      </w:pPr>
      <w:r w:rsidRPr="00440A84">
        <w:rPr>
          <w:rFonts w:asciiTheme="minorHAnsi" w:hAnsiTheme="minorHAnsi" w:cs="Arial"/>
          <w:bCs/>
        </w:rPr>
        <w:t>The sponsor had no comment.</w:t>
      </w:r>
    </w:p>
    <w:p w:rsidR="009A1273" w:rsidRPr="008B3706" w:rsidRDefault="009A1273" w:rsidP="00F64CC1">
      <w:pPr>
        <w:jc w:val="both"/>
        <w:rPr>
          <w:rFonts w:ascii="Arial" w:hAnsi="Arial"/>
          <w:sz w:val="22"/>
          <w:szCs w:val="22"/>
        </w:rPr>
      </w:pPr>
    </w:p>
    <w:sectPr w:rsidR="009A1273" w:rsidRPr="008B3706"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DB" w:rsidRDefault="00B429DB">
      <w:r>
        <w:separator/>
      </w:r>
    </w:p>
    <w:p w:rsidR="00B429DB" w:rsidRDefault="00B429DB"/>
  </w:endnote>
  <w:endnote w:type="continuationSeparator" w:id="0">
    <w:p w:rsidR="00B429DB" w:rsidRDefault="00B429DB">
      <w:r>
        <w:continuationSeparator/>
      </w:r>
    </w:p>
    <w:p w:rsidR="00B429DB" w:rsidRDefault="00B42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C0560" w:rsidTr="005A3173">
      <w:trPr>
        <w:trHeight w:val="151"/>
      </w:trPr>
      <w:tc>
        <w:tcPr>
          <w:tcW w:w="2250" w:type="pct"/>
          <w:tcBorders>
            <w:top w:val="nil"/>
            <w:left w:val="nil"/>
            <w:bottom w:val="single" w:sz="4" w:space="0" w:color="4F81BD"/>
            <w:right w:val="nil"/>
          </w:tcBorders>
        </w:tcPr>
        <w:p w:rsidR="00DC0560" w:rsidRPr="005A3173" w:rsidRDefault="00DC056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C0560" w:rsidRPr="005A3173" w:rsidRDefault="00DC056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C0560" w:rsidRPr="005A3173" w:rsidRDefault="00DC0560" w:rsidP="005A3173">
          <w:pPr>
            <w:pStyle w:val="Header"/>
            <w:spacing w:line="276" w:lineRule="auto"/>
            <w:rPr>
              <w:rFonts w:ascii="Calibri" w:eastAsia="MS Gothic" w:hAnsi="Calibri"/>
              <w:b/>
              <w:bCs/>
              <w:color w:val="4F81BD"/>
            </w:rPr>
          </w:pPr>
        </w:p>
      </w:tc>
    </w:tr>
    <w:tr w:rsidR="00DC0560" w:rsidTr="005A3173">
      <w:trPr>
        <w:trHeight w:val="150"/>
      </w:trPr>
      <w:tc>
        <w:tcPr>
          <w:tcW w:w="2250" w:type="pct"/>
          <w:tcBorders>
            <w:top w:val="single" w:sz="4" w:space="0" w:color="4F81BD"/>
            <w:left w:val="nil"/>
            <w:bottom w:val="nil"/>
            <w:right w:val="nil"/>
          </w:tcBorders>
        </w:tcPr>
        <w:p w:rsidR="00DC0560" w:rsidRPr="005A3173" w:rsidRDefault="00DC0560" w:rsidP="005A3173">
          <w:pPr>
            <w:pStyle w:val="Header"/>
            <w:spacing w:line="276" w:lineRule="auto"/>
            <w:rPr>
              <w:rFonts w:ascii="Calibri" w:eastAsia="MS Gothic" w:hAnsi="Calibri"/>
              <w:b/>
              <w:bCs/>
              <w:color w:val="4F81BD"/>
            </w:rPr>
          </w:pPr>
        </w:p>
      </w:tc>
      <w:tc>
        <w:tcPr>
          <w:tcW w:w="0" w:type="auto"/>
          <w:vMerge/>
          <w:vAlign w:val="center"/>
          <w:hideMark/>
        </w:tcPr>
        <w:p w:rsidR="00DC0560" w:rsidRPr="005A3173" w:rsidRDefault="00DC056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C0560" w:rsidRPr="005A3173" w:rsidRDefault="00DC0560" w:rsidP="005A3173">
          <w:pPr>
            <w:pStyle w:val="Header"/>
            <w:spacing w:line="276" w:lineRule="auto"/>
            <w:rPr>
              <w:rFonts w:ascii="Calibri" w:eastAsia="MS Gothic" w:hAnsi="Calibri"/>
              <w:b/>
              <w:bCs/>
              <w:color w:val="4F81BD"/>
            </w:rPr>
          </w:pPr>
        </w:p>
      </w:tc>
    </w:tr>
  </w:tbl>
  <w:p w:rsidR="00DC0560" w:rsidRDefault="00DC056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560" w:rsidRDefault="00DC0560">
    <w:pPr>
      <w:pStyle w:val="Footer"/>
    </w:pPr>
  </w:p>
  <w:p w:rsidR="00DC0560" w:rsidRDefault="00DC05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579716868"/>
      <w:docPartObj>
        <w:docPartGallery w:val="Page Numbers (Bottom of Page)"/>
        <w:docPartUnique/>
      </w:docPartObj>
    </w:sdtPr>
    <w:sdtEndPr>
      <w:rPr>
        <w:noProof/>
      </w:rPr>
    </w:sdtEndPr>
    <w:sdtContent>
      <w:p w:rsidR="00DC0560" w:rsidRDefault="00DC0560">
        <w:pPr>
          <w:pStyle w:val="Footer"/>
          <w:jc w:val="center"/>
          <w:rPr>
            <w:rFonts w:asciiTheme="minorHAnsi" w:hAnsiTheme="minorHAnsi"/>
          </w:rPr>
        </w:pPr>
      </w:p>
      <w:p w:rsidR="00DC0560" w:rsidRPr="009A1273" w:rsidRDefault="00DC0560">
        <w:pPr>
          <w:pStyle w:val="Footer"/>
          <w:jc w:val="center"/>
          <w:rPr>
            <w:rFonts w:asciiTheme="minorHAnsi" w:hAnsiTheme="minorHAnsi"/>
          </w:rPr>
        </w:pPr>
        <w:r w:rsidRPr="009A1273">
          <w:rPr>
            <w:rFonts w:asciiTheme="minorHAnsi" w:hAnsiTheme="minorHAnsi"/>
          </w:rPr>
          <w:fldChar w:fldCharType="begin"/>
        </w:r>
        <w:r w:rsidRPr="009A1273">
          <w:rPr>
            <w:rFonts w:asciiTheme="minorHAnsi" w:hAnsiTheme="minorHAnsi"/>
          </w:rPr>
          <w:instrText xml:space="preserve"> PAGE   \* MERGEFORMAT </w:instrText>
        </w:r>
        <w:r w:rsidRPr="009A1273">
          <w:rPr>
            <w:rFonts w:asciiTheme="minorHAnsi" w:hAnsiTheme="minorHAnsi"/>
          </w:rPr>
          <w:fldChar w:fldCharType="separate"/>
        </w:r>
        <w:r w:rsidR="00B429DB">
          <w:rPr>
            <w:rFonts w:asciiTheme="minorHAnsi" w:hAnsiTheme="minorHAnsi"/>
            <w:noProof/>
          </w:rPr>
          <w:t>1</w:t>
        </w:r>
        <w:r w:rsidRPr="009A1273">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C0560" w:rsidTr="005A3173">
      <w:trPr>
        <w:trHeight w:val="151"/>
      </w:trPr>
      <w:tc>
        <w:tcPr>
          <w:tcW w:w="2250" w:type="pct"/>
          <w:tcBorders>
            <w:top w:val="nil"/>
            <w:left w:val="nil"/>
            <w:bottom w:val="single" w:sz="4" w:space="0" w:color="4F81BD"/>
            <w:right w:val="nil"/>
          </w:tcBorders>
        </w:tcPr>
        <w:p w:rsidR="00DC0560" w:rsidRPr="005A3173" w:rsidRDefault="00DC056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C0560" w:rsidRPr="005A3173" w:rsidRDefault="00DC056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C0560" w:rsidRPr="005A3173" w:rsidRDefault="00DC0560" w:rsidP="005A3173">
          <w:pPr>
            <w:pStyle w:val="Header"/>
            <w:spacing w:line="276" w:lineRule="auto"/>
            <w:rPr>
              <w:rFonts w:ascii="Calibri" w:eastAsia="MS Gothic" w:hAnsi="Calibri"/>
              <w:b/>
              <w:bCs/>
              <w:color w:val="4F81BD"/>
            </w:rPr>
          </w:pPr>
        </w:p>
      </w:tc>
    </w:tr>
    <w:tr w:rsidR="00DC0560" w:rsidTr="005A3173">
      <w:trPr>
        <w:trHeight w:val="150"/>
      </w:trPr>
      <w:tc>
        <w:tcPr>
          <w:tcW w:w="2250" w:type="pct"/>
          <w:tcBorders>
            <w:top w:val="single" w:sz="4" w:space="0" w:color="4F81BD"/>
            <w:left w:val="nil"/>
            <w:bottom w:val="nil"/>
            <w:right w:val="nil"/>
          </w:tcBorders>
        </w:tcPr>
        <w:p w:rsidR="00DC0560" w:rsidRPr="005A3173" w:rsidRDefault="00DC0560" w:rsidP="005A3173">
          <w:pPr>
            <w:pStyle w:val="Header"/>
            <w:spacing w:line="276" w:lineRule="auto"/>
            <w:rPr>
              <w:rFonts w:ascii="Calibri" w:eastAsia="MS Gothic" w:hAnsi="Calibri"/>
              <w:b/>
              <w:bCs/>
              <w:color w:val="4F81BD"/>
            </w:rPr>
          </w:pPr>
        </w:p>
      </w:tc>
      <w:tc>
        <w:tcPr>
          <w:tcW w:w="0" w:type="auto"/>
          <w:vMerge/>
          <w:vAlign w:val="center"/>
          <w:hideMark/>
        </w:tcPr>
        <w:p w:rsidR="00DC0560" w:rsidRPr="005A3173" w:rsidRDefault="00DC056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C0560" w:rsidRPr="005A3173" w:rsidRDefault="00DC056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C0560" w:rsidTr="005A3173">
      <w:trPr>
        <w:trHeight w:val="151"/>
      </w:trPr>
      <w:tc>
        <w:tcPr>
          <w:tcW w:w="2250" w:type="pct"/>
          <w:tcBorders>
            <w:top w:val="nil"/>
            <w:left w:val="nil"/>
            <w:bottom w:val="single" w:sz="4" w:space="0" w:color="4F81BD"/>
            <w:right w:val="nil"/>
          </w:tcBorders>
        </w:tcPr>
        <w:p w:rsidR="00DC0560" w:rsidRPr="005A3173" w:rsidRDefault="00DC056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C0560" w:rsidRPr="005A3173" w:rsidRDefault="00DC056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C0560" w:rsidRPr="005A3173" w:rsidRDefault="00DC0560" w:rsidP="005A3173">
          <w:pPr>
            <w:pStyle w:val="Header"/>
            <w:spacing w:line="276" w:lineRule="auto"/>
            <w:rPr>
              <w:rFonts w:ascii="Calibri" w:eastAsia="MS Gothic" w:hAnsi="Calibri"/>
              <w:b/>
              <w:bCs/>
              <w:color w:val="4F81BD"/>
            </w:rPr>
          </w:pPr>
        </w:p>
      </w:tc>
    </w:tr>
    <w:tr w:rsidR="00DC0560" w:rsidTr="005A3173">
      <w:trPr>
        <w:trHeight w:val="150"/>
      </w:trPr>
      <w:tc>
        <w:tcPr>
          <w:tcW w:w="2250" w:type="pct"/>
          <w:tcBorders>
            <w:top w:val="single" w:sz="4" w:space="0" w:color="4F81BD"/>
            <w:left w:val="nil"/>
            <w:bottom w:val="nil"/>
            <w:right w:val="nil"/>
          </w:tcBorders>
        </w:tcPr>
        <w:p w:rsidR="00DC0560" w:rsidRPr="005A3173" w:rsidRDefault="00DC0560" w:rsidP="005A3173">
          <w:pPr>
            <w:pStyle w:val="Header"/>
            <w:spacing w:line="276" w:lineRule="auto"/>
            <w:rPr>
              <w:rFonts w:ascii="Calibri" w:eastAsia="MS Gothic" w:hAnsi="Calibri"/>
              <w:b/>
              <w:bCs/>
              <w:color w:val="4F81BD"/>
            </w:rPr>
          </w:pPr>
        </w:p>
      </w:tc>
      <w:tc>
        <w:tcPr>
          <w:tcW w:w="0" w:type="auto"/>
          <w:vMerge/>
          <w:vAlign w:val="center"/>
          <w:hideMark/>
        </w:tcPr>
        <w:p w:rsidR="00DC0560" w:rsidRPr="005A3173" w:rsidRDefault="00DC0560" w:rsidP="005A3173">
          <w:pPr>
            <w:rPr>
              <w:rFonts w:ascii="Calibri" w:hAnsi="Calibri"/>
              <w:color w:val="365F91"/>
              <w:sz w:val="22"/>
              <w:szCs w:val="22"/>
            </w:rPr>
          </w:pPr>
        </w:p>
      </w:tc>
      <w:tc>
        <w:tcPr>
          <w:tcW w:w="2250" w:type="pct"/>
          <w:tcBorders>
            <w:top w:val="single" w:sz="4" w:space="0" w:color="4F81BD"/>
            <w:left w:val="nil"/>
            <w:bottom w:val="nil"/>
            <w:right w:val="nil"/>
          </w:tcBorders>
        </w:tcPr>
        <w:p w:rsidR="00DC0560" w:rsidRPr="005A3173" w:rsidRDefault="00DC0560" w:rsidP="005A3173">
          <w:pPr>
            <w:pStyle w:val="Header"/>
            <w:spacing w:line="276" w:lineRule="auto"/>
            <w:rPr>
              <w:rFonts w:ascii="Calibri" w:eastAsia="MS Gothic" w:hAnsi="Calibri"/>
              <w:b/>
              <w:bCs/>
              <w:color w:val="4F81BD"/>
            </w:rPr>
          </w:pPr>
        </w:p>
      </w:tc>
    </w:tr>
  </w:tbl>
  <w:p w:rsidR="00DC0560" w:rsidRPr="007C0F57" w:rsidRDefault="00DC056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C0560" w:rsidRPr="007C0F57" w:rsidRDefault="00DC0560" w:rsidP="007C0F57">
    <w:pPr>
      <w:pStyle w:val="Footer"/>
      <w:jc w:val="center"/>
      <w:rPr>
        <w:b/>
        <w:i/>
        <w:sz w:val="20"/>
        <w:szCs w:val="20"/>
      </w:rPr>
    </w:pPr>
    <w:r w:rsidRPr="007C0F57">
      <w:rPr>
        <w:b/>
        <w:i/>
        <w:sz w:val="20"/>
        <w:szCs w:val="20"/>
      </w:rPr>
      <w:t>Commercial-in-Confidence</w:t>
    </w:r>
  </w:p>
  <w:p w:rsidR="00DC0560" w:rsidRDefault="00DC05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DB" w:rsidRDefault="00B429DB">
      <w:r>
        <w:separator/>
      </w:r>
    </w:p>
    <w:p w:rsidR="00B429DB" w:rsidRDefault="00B429DB"/>
  </w:footnote>
  <w:footnote w:type="continuationSeparator" w:id="0">
    <w:p w:rsidR="00B429DB" w:rsidRDefault="00B429DB">
      <w:r>
        <w:continuationSeparator/>
      </w:r>
    </w:p>
    <w:p w:rsidR="00B429DB" w:rsidRDefault="00B429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C0560" w:rsidRPr="008E0D90" w:rsidTr="00A06225">
      <w:trPr>
        <w:trHeight w:val="151"/>
      </w:trPr>
      <w:tc>
        <w:tcPr>
          <w:tcW w:w="2389" w:type="pct"/>
          <w:tcBorders>
            <w:top w:val="nil"/>
            <w:left w:val="nil"/>
            <w:bottom w:val="single" w:sz="4" w:space="0" w:color="4F81BD"/>
            <w:right w:val="nil"/>
          </w:tcBorders>
        </w:tcPr>
        <w:p w:rsidR="00DC0560" w:rsidRPr="00A06225" w:rsidRDefault="00DC0560">
          <w:pPr>
            <w:pStyle w:val="Header"/>
            <w:spacing w:line="276" w:lineRule="auto"/>
            <w:rPr>
              <w:rFonts w:ascii="Cambria" w:eastAsia="MS Gothic" w:hAnsi="Cambria"/>
              <w:b/>
              <w:bCs/>
              <w:color w:val="4F81BD"/>
            </w:rPr>
          </w:pPr>
        </w:p>
      </w:tc>
      <w:tc>
        <w:tcPr>
          <w:tcW w:w="333" w:type="pct"/>
          <w:vMerge w:val="restart"/>
          <w:noWrap/>
          <w:vAlign w:val="center"/>
          <w:hideMark/>
        </w:tcPr>
        <w:p w:rsidR="00DC0560" w:rsidRPr="00A06225" w:rsidRDefault="00DC056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C0560" w:rsidRPr="00A06225" w:rsidRDefault="00DC0560">
          <w:pPr>
            <w:pStyle w:val="Header"/>
            <w:spacing w:line="276" w:lineRule="auto"/>
            <w:rPr>
              <w:rFonts w:ascii="Cambria" w:eastAsia="MS Gothic" w:hAnsi="Cambria"/>
              <w:b/>
              <w:bCs/>
              <w:color w:val="4F81BD"/>
            </w:rPr>
          </w:pPr>
        </w:p>
      </w:tc>
    </w:tr>
    <w:tr w:rsidR="00DC0560" w:rsidRPr="008E0D90" w:rsidTr="00A06225">
      <w:trPr>
        <w:trHeight w:val="150"/>
      </w:trPr>
      <w:tc>
        <w:tcPr>
          <w:tcW w:w="2389" w:type="pct"/>
          <w:tcBorders>
            <w:top w:val="single" w:sz="4" w:space="0" w:color="4F81BD"/>
            <w:left w:val="nil"/>
            <w:bottom w:val="nil"/>
            <w:right w:val="nil"/>
          </w:tcBorders>
        </w:tcPr>
        <w:p w:rsidR="00DC0560" w:rsidRPr="00A06225" w:rsidRDefault="00DC0560">
          <w:pPr>
            <w:pStyle w:val="Header"/>
            <w:spacing w:line="276" w:lineRule="auto"/>
            <w:rPr>
              <w:rFonts w:ascii="Cambria" w:eastAsia="MS Gothic" w:hAnsi="Cambria"/>
              <w:b/>
              <w:bCs/>
              <w:color w:val="4F81BD"/>
            </w:rPr>
          </w:pPr>
        </w:p>
      </w:tc>
      <w:tc>
        <w:tcPr>
          <w:tcW w:w="0" w:type="auto"/>
          <w:vMerge/>
          <w:vAlign w:val="center"/>
          <w:hideMark/>
        </w:tcPr>
        <w:p w:rsidR="00DC0560" w:rsidRPr="00A06225" w:rsidRDefault="00DC0560">
          <w:pPr>
            <w:rPr>
              <w:rFonts w:ascii="Cambria" w:hAnsi="Cambria"/>
              <w:color w:val="4F81BD"/>
              <w:sz w:val="22"/>
              <w:szCs w:val="22"/>
            </w:rPr>
          </w:pPr>
        </w:p>
      </w:tc>
      <w:tc>
        <w:tcPr>
          <w:tcW w:w="2278" w:type="pct"/>
          <w:tcBorders>
            <w:top w:val="single" w:sz="4" w:space="0" w:color="4F81BD"/>
            <w:left w:val="nil"/>
            <w:bottom w:val="nil"/>
            <w:right w:val="nil"/>
          </w:tcBorders>
        </w:tcPr>
        <w:p w:rsidR="00DC0560" w:rsidRPr="00A06225" w:rsidRDefault="00DC0560">
          <w:pPr>
            <w:pStyle w:val="Header"/>
            <w:spacing w:line="276" w:lineRule="auto"/>
            <w:rPr>
              <w:rFonts w:ascii="Cambria" w:eastAsia="MS Gothic" w:hAnsi="Cambria"/>
              <w:b/>
              <w:bCs/>
              <w:color w:val="4F81BD"/>
            </w:rPr>
          </w:pPr>
        </w:p>
      </w:tc>
    </w:tr>
  </w:tbl>
  <w:p w:rsidR="00DC0560" w:rsidRDefault="00DC0560">
    <w:pPr>
      <w:pStyle w:val="Header"/>
    </w:pPr>
  </w:p>
  <w:p w:rsidR="00DC0560" w:rsidRDefault="00DC05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60" w:rsidRPr="0084258F" w:rsidRDefault="00DC0560" w:rsidP="009A1273">
    <w:pPr>
      <w:pStyle w:val="Header"/>
      <w:tabs>
        <w:tab w:val="left" w:pos="1725"/>
      </w:tabs>
      <w:jc w:val="center"/>
      <w:rPr>
        <w:rFonts w:asciiTheme="minorHAnsi" w:hAnsiTheme="minorHAnsi" w:cs="Arial"/>
        <w:i/>
        <w:noProof/>
      </w:rPr>
    </w:pPr>
    <w:r>
      <w:rPr>
        <w:rFonts w:asciiTheme="minorHAnsi" w:hAnsiTheme="minorHAnsi" w:cs="Arial"/>
        <w:i/>
        <w:noProof/>
      </w:rPr>
      <w:t>Public Summary Document</w:t>
    </w:r>
    <w:r w:rsidRPr="0084258F">
      <w:rPr>
        <w:rFonts w:asciiTheme="minorHAnsi" w:hAnsiTheme="minorHAnsi" w:cs="Arial"/>
        <w:i/>
        <w:noProof/>
      </w:rPr>
      <w:t xml:space="preserve"> – July 2017 PBAC Meeting</w:t>
    </w:r>
  </w:p>
  <w:p w:rsidR="00DC0560" w:rsidRPr="0084258F" w:rsidRDefault="00DC0560" w:rsidP="009A1273">
    <w:pPr>
      <w:pStyle w:val="Header"/>
      <w:tabs>
        <w:tab w:val="left" w:pos="1725"/>
        <w:tab w:val="left" w:pos="2970"/>
        <w:tab w:val="center" w:pos="4513"/>
      </w:tabs>
      <w:rPr>
        <w:rFonts w:asciiTheme="minorHAnsi" w:hAnsiTheme="minorHAnsi" w:cs="Arial"/>
        <w:i/>
        <w:noProof/>
      </w:rPr>
    </w:pPr>
    <w:r w:rsidRPr="0084258F">
      <w:rPr>
        <w:rFonts w:asciiTheme="minorHAnsi" w:hAnsiTheme="minorHAnsi" w:cs="Arial"/>
        <w:i/>
        <w:noProof/>
      </w:rPr>
      <w:tab/>
    </w:r>
  </w:p>
  <w:p w:rsidR="00DC0560" w:rsidRDefault="00DC0560"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DB" w:rsidRDefault="00B42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422B5B"/>
    <w:multiLevelType w:val="multilevel"/>
    <w:tmpl w:val="E4BC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5853FF"/>
    <w:multiLevelType w:val="hybridMultilevel"/>
    <w:tmpl w:val="5442DFFA"/>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2A57935"/>
    <w:multiLevelType w:val="multilevel"/>
    <w:tmpl w:val="7C72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4296C25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7"/>
  </w:num>
  <w:num w:numId="5">
    <w:abstractNumId w:val="19"/>
  </w:num>
  <w:num w:numId="6">
    <w:abstractNumId w:val="7"/>
  </w:num>
  <w:num w:numId="7">
    <w:abstractNumId w:val="14"/>
  </w:num>
  <w:num w:numId="8">
    <w:abstractNumId w:val="4"/>
  </w:num>
  <w:num w:numId="9">
    <w:abstractNumId w:val="13"/>
  </w:num>
  <w:num w:numId="10">
    <w:abstractNumId w:val="11"/>
  </w:num>
  <w:num w:numId="11">
    <w:abstractNumId w:val="10"/>
  </w:num>
  <w:num w:numId="12">
    <w:abstractNumId w:val="1"/>
  </w:num>
  <w:num w:numId="13">
    <w:abstractNumId w:val="0"/>
  </w:num>
  <w:num w:numId="14">
    <w:abstractNumId w:val="19"/>
  </w:num>
  <w:num w:numId="15">
    <w:abstractNumId w:val="16"/>
  </w:num>
  <w:num w:numId="16">
    <w:abstractNumId w:val="12"/>
  </w:num>
  <w:num w:numId="17">
    <w:abstractNumId w:val="15"/>
  </w:num>
  <w:num w:numId="18">
    <w:abstractNumId w:val="18"/>
  </w:num>
  <w:num w:numId="19">
    <w:abstractNumId w:val="5"/>
  </w:num>
  <w:num w:numId="20">
    <w:abstractNumId w:val="2"/>
  </w:num>
  <w:num w:numId="21">
    <w:abstractNumId w:val="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9C4"/>
    <w:rsid w:val="00001A4E"/>
    <w:rsid w:val="000025AD"/>
    <w:rsid w:val="0002464A"/>
    <w:rsid w:val="00030B01"/>
    <w:rsid w:val="0003106B"/>
    <w:rsid w:val="0003267C"/>
    <w:rsid w:val="000421A1"/>
    <w:rsid w:val="0004240E"/>
    <w:rsid w:val="00045E26"/>
    <w:rsid w:val="000514B5"/>
    <w:rsid w:val="00060E64"/>
    <w:rsid w:val="00066755"/>
    <w:rsid w:val="00077143"/>
    <w:rsid w:val="000968EB"/>
    <w:rsid w:val="000969AD"/>
    <w:rsid w:val="000A66B8"/>
    <w:rsid w:val="000B558D"/>
    <w:rsid w:val="000C6996"/>
    <w:rsid w:val="000D23BA"/>
    <w:rsid w:val="000D4B30"/>
    <w:rsid w:val="000E681E"/>
    <w:rsid w:val="000F4E6A"/>
    <w:rsid w:val="00105E8A"/>
    <w:rsid w:val="001107BF"/>
    <w:rsid w:val="00123474"/>
    <w:rsid w:val="0012417C"/>
    <w:rsid w:val="00137B61"/>
    <w:rsid w:val="00142395"/>
    <w:rsid w:val="00142714"/>
    <w:rsid w:val="001452ED"/>
    <w:rsid w:val="00146827"/>
    <w:rsid w:val="0016248B"/>
    <w:rsid w:val="00166878"/>
    <w:rsid w:val="00181A94"/>
    <w:rsid w:val="001830CE"/>
    <w:rsid w:val="0018643B"/>
    <w:rsid w:val="00190369"/>
    <w:rsid w:val="00194C59"/>
    <w:rsid w:val="00196307"/>
    <w:rsid w:val="00197753"/>
    <w:rsid w:val="00197F43"/>
    <w:rsid w:val="001A03B6"/>
    <w:rsid w:val="001A33EA"/>
    <w:rsid w:val="001B017F"/>
    <w:rsid w:val="001B5129"/>
    <w:rsid w:val="001C1195"/>
    <w:rsid w:val="001D7FE9"/>
    <w:rsid w:val="001E7C4E"/>
    <w:rsid w:val="001F1432"/>
    <w:rsid w:val="001F192D"/>
    <w:rsid w:val="00213CFB"/>
    <w:rsid w:val="0022025C"/>
    <w:rsid w:val="002351E4"/>
    <w:rsid w:val="0024115F"/>
    <w:rsid w:val="0025207B"/>
    <w:rsid w:val="00261A2D"/>
    <w:rsid w:val="00271BA1"/>
    <w:rsid w:val="002762FA"/>
    <w:rsid w:val="00277505"/>
    <w:rsid w:val="00280F2F"/>
    <w:rsid w:val="00283934"/>
    <w:rsid w:val="002879AA"/>
    <w:rsid w:val="0029458F"/>
    <w:rsid w:val="002A104C"/>
    <w:rsid w:val="002A4960"/>
    <w:rsid w:val="002B1AE6"/>
    <w:rsid w:val="002B30F8"/>
    <w:rsid w:val="002C212F"/>
    <w:rsid w:val="002D5750"/>
    <w:rsid w:val="002E3153"/>
    <w:rsid w:val="002E72CA"/>
    <w:rsid w:val="002F22DA"/>
    <w:rsid w:val="00300AD6"/>
    <w:rsid w:val="00326E79"/>
    <w:rsid w:val="003342AE"/>
    <w:rsid w:val="003367EF"/>
    <w:rsid w:val="00341AE4"/>
    <w:rsid w:val="00345A9F"/>
    <w:rsid w:val="00347057"/>
    <w:rsid w:val="00352EA3"/>
    <w:rsid w:val="003872CF"/>
    <w:rsid w:val="0039782C"/>
    <w:rsid w:val="003A5B4A"/>
    <w:rsid w:val="003B23C5"/>
    <w:rsid w:val="003B2A75"/>
    <w:rsid w:val="003D4AC4"/>
    <w:rsid w:val="003D63B7"/>
    <w:rsid w:val="003E468B"/>
    <w:rsid w:val="003F5C8C"/>
    <w:rsid w:val="004170C0"/>
    <w:rsid w:val="00420BFF"/>
    <w:rsid w:val="00440554"/>
    <w:rsid w:val="0044087A"/>
    <w:rsid w:val="00440F47"/>
    <w:rsid w:val="00443518"/>
    <w:rsid w:val="004465BD"/>
    <w:rsid w:val="00466ADA"/>
    <w:rsid w:val="00467FA1"/>
    <w:rsid w:val="004752E9"/>
    <w:rsid w:val="00476245"/>
    <w:rsid w:val="004777D0"/>
    <w:rsid w:val="00485940"/>
    <w:rsid w:val="004A2484"/>
    <w:rsid w:val="004A5A85"/>
    <w:rsid w:val="004B5640"/>
    <w:rsid w:val="004C1BD7"/>
    <w:rsid w:val="004C691D"/>
    <w:rsid w:val="004D08B6"/>
    <w:rsid w:val="004E3AC3"/>
    <w:rsid w:val="004E692D"/>
    <w:rsid w:val="00501554"/>
    <w:rsid w:val="00514CD7"/>
    <w:rsid w:val="005268FA"/>
    <w:rsid w:val="005319B2"/>
    <w:rsid w:val="00532C74"/>
    <w:rsid w:val="00534E2E"/>
    <w:rsid w:val="00542156"/>
    <w:rsid w:val="00544552"/>
    <w:rsid w:val="00547481"/>
    <w:rsid w:val="00550610"/>
    <w:rsid w:val="00551551"/>
    <w:rsid w:val="00552454"/>
    <w:rsid w:val="00556AE2"/>
    <w:rsid w:val="00581932"/>
    <w:rsid w:val="005963BB"/>
    <w:rsid w:val="005A3173"/>
    <w:rsid w:val="005A3223"/>
    <w:rsid w:val="005A3DA3"/>
    <w:rsid w:val="005A52C4"/>
    <w:rsid w:val="005B0E2D"/>
    <w:rsid w:val="005D01D7"/>
    <w:rsid w:val="005D03AB"/>
    <w:rsid w:val="005D127B"/>
    <w:rsid w:val="005D5017"/>
    <w:rsid w:val="005E6941"/>
    <w:rsid w:val="00601A91"/>
    <w:rsid w:val="00602BA3"/>
    <w:rsid w:val="006075D6"/>
    <w:rsid w:val="00614159"/>
    <w:rsid w:val="00617C00"/>
    <w:rsid w:val="006263BF"/>
    <w:rsid w:val="0062748A"/>
    <w:rsid w:val="00630A2C"/>
    <w:rsid w:val="0063584A"/>
    <w:rsid w:val="006436CD"/>
    <w:rsid w:val="006452F1"/>
    <w:rsid w:val="006457D9"/>
    <w:rsid w:val="00651169"/>
    <w:rsid w:val="00653D69"/>
    <w:rsid w:val="00670A76"/>
    <w:rsid w:val="006711AA"/>
    <w:rsid w:val="00672B57"/>
    <w:rsid w:val="006753AA"/>
    <w:rsid w:val="00675622"/>
    <w:rsid w:val="006906DB"/>
    <w:rsid w:val="00697848"/>
    <w:rsid w:val="006A12A5"/>
    <w:rsid w:val="006B0D94"/>
    <w:rsid w:val="006B16F4"/>
    <w:rsid w:val="006B485D"/>
    <w:rsid w:val="006C132B"/>
    <w:rsid w:val="006C4FBF"/>
    <w:rsid w:val="006C708E"/>
    <w:rsid w:val="006D6EC7"/>
    <w:rsid w:val="006F5125"/>
    <w:rsid w:val="0070065C"/>
    <w:rsid w:val="007006F0"/>
    <w:rsid w:val="007174BB"/>
    <w:rsid w:val="00726AEA"/>
    <w:rsid w:val="00740F41"/>
    <w:rsid w:val="00741A1C"/>
    <w:rsid w:val="0074409E"/>
    <w:rsid w:val="0076420C"/>
    <w:rsid w:val="00764D23"/>
    <w:rsid w:val="007671C3"/>
    <w:rsid w:val="00770485"/>
    <w:rsid w:val="007753C2"/>
    <w:rsid w:val="007838B8"/>
    <w:rsid w:val="007849E4"/>
    <w:rsid w:val="007931B6"/>
    <w:rsid w:val="007C0F57"/>
    <w:rsid w:val="007C40B6"/>
    <w:rsid w:val="007C729F"/>
    <w:rsid w:val="007E1D28"/>
    <w:rsid w:val="007F2641"/>
    <w:rsid w:val="007F7C36"/>
    <w:rsid w:val="00806796"/>
    <w:rsid w:val="008151D6"/>
    <w:rsid w:val="008220CE"/>
    <w:rsid w:val="00826F6D"/>
    <w:rsid w:val="008365FC"/>
    <w:rsid w:val="0084258F"/>
    <w:rsid w:val="00856DDD"/>
    <w:rsid w:val="008639F4"/>
    <w:rsid w:val="00863E68"/>
    <w:rsid w:val="00865861"/>
    <w:rsid w:val="00874143"/>
    <w:rsid w:val="00882085"/>
    <w:rsid w:val="00883188"/>
    <w:rsid w:val="00887AD1"/>
    <w:rsid w:val="00897D58"/>
    <w:rsid w:val="008A1956"/>
    <w:rsid w:val="008A4937"/>
    <w:rsid w:val="008A50F1"/>
    <w:rsid w:val="008B3706"/>
    <w:rsid w:val="008B56A5"/>
    <w:rsid w:val="008D1B5C"/>
    <w:rsid w:val="008D3C82"/>
    <w:rsid w:val="008D447E"/>
    <w:rsid w:val="008D7A41"/>
    <w:rsid w:val="008E3680"/>
    <w:rsid w:val="008E5870"/>
    <w:rsid w:val="008F1434"/>
    <w:rsid w:val="008F7355"/>
    <w:rsid w:val="009067B7"/>
    <w:rsid w:val="00921622"/>
    <w:rsid w:val="00930937"/>
    <w:rsid w:val="00933E6C"/>
    <w:rsid w:val="00935850"/>
    <w:rsid w:val="00941130"/>
    <w:rsid w:val="00942160"/>
    <w:rsid w:val="0095146F"/>
    <w:rsid w:val="00951A75"/>
    <w:rsid w:val="00953E5E"/>
    <w:rsid w:val="009602C5"/>
    <w:rsid w:val="00962223"/>
    <w:rsid w:val="00974C21"/>
    <w:rsid w:val="009A01AA"/>
    <w:rsid w:val="009A1273"/>
    <w:rsid w:val="009A3AB7"/>
    <w:rsid w:val="009A7F38"/>
    <w:rsid w:val="009B0F67"/>
    <w:rsid w:val="009B200C"/>
    <w:rsid w:val="009C703C"/>
    <w:rsid w:val="009D1B32"/>
    <w:rsid w:val="009D21AA"/>
    <w:rsid w:val="009D3CAA"/>
    <w:rsid w:val="009D6D3C"/>
    <w:rsid w:val="009F4E46"/>
    <w:rsid w:val="009F5B65"/>
    <w:rsid w:val="009F5F2E"/>
    <w:rsid w:val="00A06225"/>
    <w:rsid w:val="00A128E6"/>
    <w:rsid w:val="00A12B26"/>
    <w:rsid w:val="00A24210"/>
    <w:rsid w:val="00A26618"/>
    <w:rsid w:val="00A313FF"/>
    <w:rsid w:val="00A3725B"/>
    <w:rsid w:val="00A37C8D"/>
    <w:rsid w:val="00A5273B"/>
    <w:rsid w:val="00A53A9D"/>
    <w:rsid w:val="00A55FEE"/>
    <w:rsid w:val="00A62C1A"/>
    <w:rsid w:val="00A6426D"/>
    <w:rsid w:val="00A70622"/>
    <w:rsid w:val="00A70977"/>
    <w:rsid w:val="00A71DE0"/>
    <w:rsid w:val="00A77009"/>
    <w:rsid w:val="00A77613"/>
    <w:rsid w:val="00A8390C"/>
    <w:rsid w:val="00A928BD"/>
    <w:rsid w:val="00AA4D1C"/>
    <w:rsid w:val="00AC193C"/>
    <w:rsid w:val="00AC19C7"/>
    <w:rsid w:val="00AC5206"/>
    <w:rsid w:val="00AD5C75"/>
    <w:rsid w:val="00AE11A5"/>
    <w:rsid w:val="00AE13E2"/>
    <w:rsid w:val="00AF68CC"/>
    <w:rsid w:val="00B1059E"/>
    <w:rsid w:val="00B20571"/>
    <w:rsid w:val="00B205AA"/>
    <w:rsid w:val="00B22E84"/>
    <w:rsid w:val="00B24D98"/>
    <w:rsid w:val="00B25F75"/>
    <w:rsid w:val="00B429DB"/>
    <w:rsid w:val="00B43E90"/>
    <w:rsid w:val="00B467DC"/>
    <w:rsid w:val="00B52D2E"/>
    <w:rsid w:val="00B54E49"/>
    <w:rsid w:val="00B56118"/>
    <w:rsid w:val="00B61C8D"/>
    <w:rsid w:val="00B62A6B"/>
    <w:rsid w:val="00B6773F"/>
    <w:rsid w:val="00B77143"/>
    <w:rsid w:val="00B801BA"/>
    <w:rsid w:val="00B815D3"/>
    <w:rsid w:val="00BA1305"/>
    <w:rsid w:val="00BB69F5"/>
    <w:rsid w:val="00BB7EC3"/>
    <w:rsid w:val="00BC3964"/>
    <w:rsid w:val="00BC4B9A"/>
    <w:rsid w:val="00BD548C"/>
    <w:rsid w:val="00BD784C"/>
    <w:rsid w:val="00BE0CE9"/>
    <w:rsid w:val="00BE7E73"/>
    <w:rsid w:val="00BF4CB6"/>
    <w:rsid w:val="00BF61C3"/>
    <w:rsid w:val="00C00DA7"/>
    <w:rsid w:val="00C12768"/>
    <w:rsid w:val="00C167F7"/>
    <w:rsid w:val="00C2745D"/>
    <w:rsid w:val="00C27B58"/>
    <w:rsid w:val="00C30236"/>
    <w:rsid w:val="00C35996"/>
    <w:rsid w:val="00C5342C"/>
    <w:rsid w:val="00C603D4"/>
    <w:rsid w:val="00C6256A"/>
    <w:rsid w:val="00C63F00"/>
    <w:rsid w:val="00C91449"/>
    <w:rsid w:val="00C92D10"/>
    <w:rsid w:val="00CC3050"/>
    <w:rsid w:val="00CE10C4"/>
    <w:rsid w:val="00CE27B5"/>
    <w:rsid w:val="00CF4015"/>
    <w:rsid w:val="00D01F8B"/>
    <w:rsid w:val="00D0321E"/>
    <w:rsid w:val="00D1455A"/>
    <w:rsid w:val="00D3138B"/>
    <w:rsid w:val="00D3280C"/>
    <w:rsid w:val="00D3406A"/>
    <w:rsid w:val="00D469B2"/>
    <w:rsid w:val="00D55D30"/>
    <w:rsid w:val="00D62608"/>
    <w:rsid w:val="00D70567"/>
    <w:rsid w:val="00D72ADD"/>
    <w:rsid w:val="00D741EB"/>
    <w:rsid w:val="00D83605"/>
    <w:rsid w:val="00D84934"/>
    <w:rsid w:val="00D85FA2"/>
    <w:rsid w:val="00D91271"/>
    <w:rsid w:val="00D97473"/>
    <w:rsid w:val="00DA2CB5"/>
    <w:rsid w:val="00DA388B"/>
    <w:rsid w:val="00DA4BAC"/>
    <w:rsid w:val="00DC0560"/>
    <w:rsid w:val="00DC2D94"/>
    <w:rsid w:val="00DE6D27"/>
    <w:rsid w:val="00DF0763"/>
    <w:rsid w:val="00DF217D"/>
    <w:rsid w:val="00DF26A7"/>
    <w:rsid w:val="00E04B51"/>
    <w:rsid w:val="00E15627"/>
    <w:rsid w:val="00E164B3"/>
    <w:rsid w:val="00E16910"/>
    <w:rsid w:val="00E279C6"/>
    <w:rsid w:val="00E426B6"/>
    <w:rsid w:val="00E63E55"/>
    <w:rsid w:val="00E65E54"/>
    <w:rsid w:val="00E72D51"/>
    <w:rsid w:val="00E80155"/>
    <w:rsid w:val="00E83262"/>
    <w:rsid w:val="00E848C0"/>
    <w:rsid w:val="00E91B96"/>
    <w:rsid w:val="00E941A1"/>
    <w:rsid w:val="00E95CE3"/>
    <w:rsid w:val="00EA2825"/>
    <w:rsid w:val="00EA39D2"/>
    <w:rsid w:val="00EB1206"/>
    <w:rsid w:val="00EB2B7F"/>
    <w:rsid w:val="00EB5088"/>
    <w:rsid w:val="00ED1644"/>
    <w:rsid w:val="00ED2593"/>
    <w:rsid w:val="00EF44A0"/>
    <w:rsid w:val="00EF4FED"/>
    <w:rsid w:val="00F050BD"/>
    <w:rsid w:val="00F05657"/>
    <w:rsid w:val="00F06079"/>
    <w:rsid w:val="00F20178"/>
    <w:rsid w:val="00F25578"/>
    <w:rsid w:val="00F258E5"/>
    <w:rsid w:val="00F300BC"/>
    <w:rsid w:val="00F32888"/>
    <w:rsid w:val="00F3334E"/>
    <w:rsid w:val="00F364F0"/>
    <w:rsid w:val="00F36CCB"/>
    <w:rsid w:val="00F421C2"/>
    <w:rsid w:val="00F50EC4"/>
    <w:rsid w:val="00F57A6D"/>
    <w:rsid w:val="00F638CC"/>
    <w:rsid w:val="00F6498C"/>
    <w:rsid w:val="00F64CC1"/>
    <w:rsid w:val="00F67C3C"/>
    <w:rsid w:val="00F820E3"/>
    <w:rsid w:val="00F8247A"/>
    <w:rsid w:val="00F9629A"/>
    <w:rsid w:val="00F969CA"/>
    <w:rsid w:val="00FA0B0C"/>
    <w:rsid w:val="00FA53C1"/>
    <w:rsid w:val="00FA5883"/>
    <w:rsid w:val="00FA6055"/>
    <w:rsid w:val="00FB322F"/>
    <w:rsid w:val="00FB3C87"/>
    <w:rsid w:val="00FB442F"/>
    <w:rsid w:val="00FC1929"/>
    <w:rsid w:val="00FC5B46"/>
    <w:rsid w:val="00FD3C89"/>
    <w:rsid w:val="00FE0E94"/>
    <w:rsid w:val="00FE1F5D"/>
    <w:rsid w:val="00FF00BD"/>
    <w:rsid w:val="00FF1ED4"/>
    <w:rsid w:val="00FF2801"/>
    <w:rsid w:val="00FF3A8E"/>
    <w:rsid w:val="00FF6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styleId="NormalWeb">
    <w:name w:val="Normal (Web)"/>
    <w:basedOn w:val="Normal"/>
    <w:uiPriority w:val="99"/>
    <w:unhideWhenUsed/>
    <w:rsid w:val="006075D6"/>
    <w:pPr>
      <w:spacing w:before="100" w:beforeAutospacing="1" w:after="100" w:afterAutospacing="1"/>
    </w:pPr>
  </w:style>
  <w:style w:type="paragraph" w:styleId="Caption">
    <w:name w:val="caption"/>
    <w:aliases w:val="CSR Caption,Bayer Caption,IB Caption,Medical Caption,- H17,Char,Caption2,Caption Char1 Char,Caption Char Char Char,Caption Char1 Char Char Char,Caption Char Char Char Char Char,Caption Char Char1 Char,Caption Char1 Char1,CAPTION"/>
    <w:basedOn w:val="Normal"/>
    <w:next w:val="Normal"/>
    <w:link w:val="CaptionChar"/>
    <w:uiPriority w:val="35"/>
    <w:qFormat/>
    <w:rsid w:val="00740F41"/>
    <w:pPr>
      <w:spacing w:before="120"/>
      <w:jc w:val="both"/>
    </w:pPr>
    <w:rPr>
      <w:rFonts w:ascii="Arial" w:hAnsi="Arial"/>
      <w:b/>
      <w:bCs/>
      <w:sz w:val="22"/>
    </w:rPr>
  </w:style>
  <w:style w:type="character" w:customStyle="1" w:styleId="CaptionChar">
    <w:name w:val="Caption Char"/>
    <w:aliases w:val="CSR Caption Char,Bayer Caption Char,IB Caption Char,Medical Caption Char,- H17 Char,Char Char,Caption2 Char,Caption Char1 Char Char,Caption Char Char Char Char,Caption Char1 Char Char Char Char,Caption Char Char Char Char Char Char"/>
    <w:link w:val="Caption"/>
    <w:uiPriority w:val="99"/>
    <w:rsid w:val="00740F41"/>
    <w:rPr>
      <w:rFonts w:ascii="Arial" w:hAnsi="Arial"/>
      <w:b/>
      <w:bCs/>
      <w:sz w:val="22"/>
      <w:szCs w:val="24"/>
    </w:rPr>
  </w:style>
  <w:style w:type="paragraph" w:customStyle="1" w:styleId="CaptionFootnote">
    <w:name w:val="Caption Footnote"/>
    <w:basedOn w:val="Caption"/>
    <w:qFormat/>
    <w:rsid w:val="00181A94"/>
    <w:pPr>
      <w:widowControl w:val="0"/>
      <w:spacing w:before="0"/>
      <w:jc w:val="left"/>
    </w:pPr>
    <w:rPr>
      <w:rFonts w:ascii="Candara" w:hAnsi="Candara"/>
      <w:b w:val="0"/>
      <w:sz w:val="16"/>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paragraph" w:styleId="NormalWeb">
    <w:name w:val="Normal (Web)"/>
    <w:basedOn w:val="Normal"/>
    <w:uiPriority w:val="99"/>
    <w:unhideWhenUsed/>
    <w:rsid w:val="006075D6"/>
    <w:pPr>
      <w:spacing w:before="100" w:beforeAutospacing="1" w:after="100" w:afterAutospacing="1"/>
    </w:pPr>
  </w:style>
  <w:style w:type="paragraph" w:styleId="Caption">
    <w:name w:val="caption"/>
    <w:aliases w:val="CSR Caption,Bayer Caption,IB Caption,Medical Caption,- H17,Char,Caption2,Caption Char1 Char,Caption Char Char Char,Caption Char1 Char Char Char,Caption Char Char Char Char Char,Caption Char Char1 Char,Caption Char1 Char1,CAPTION"/>
    <w:basedOn w:val="Normal"/>
    <w:next w:val="Normal"/>
    <w:link w:val="CaptionChar"/>
    <w:uiPriority w:val="35"/>
    <w:qFormat/>
    <w:rsid w:val="00740F41"/>
    <w:pPr>
      <w:spacing w:before="120"/>
      <w:jc w:val="both"/>
    </w:pPr>
    <w:rPr>
      <w:rFonts w:ascii="Arial" w:hAnsi="Arial"/>
      <w:b/>
      <w:bCs/>
      <w:sz w:val="22"/>
    </w:rPr>
  </w:style>
  <w:style w:type="character" w:customStyle="1" w:styleId="CaptionChar">
    <w:name w:val="Caption Char"/>
    <w:aliases w:val="CSR Caption Char,Bayer Caption Char,IB Caption Char,Medical Caption Char,- H17 Char,Char Char,Caption2 Char,Caption Char1 Char Char,Caption Char Char Char Char,Caption Char1 Char Char Char Char,Caption Char Char Char Char Char Char"/>
    <w:link w:val="Caption"/>
    <w:uiPriority w:val="99"/>
    <w:rsid w:val="00740F41"/>
    <w:rPr>
      <w:rFonts w:ascii="Arial" w:hAnsi="Arial"/>
      <w:b/>
      <w:bCs/>
      <w:sz w:val="22"/>
      <w:szCs w:val="24"/>
    </w:rPr>
  </w:style>
  <w:style w:type="paragraph" w:customStyle="1" w:styleId="CaptionFootnote">
    <w:name w:val="Caption Footnote"/>
    <w:basedOn w:val="Caption"/>
    <w:qFormat/>
    <w:rsid w:val="00181A94"/>
    <w:pPr>
      <w:widowControl w:val="0"/>
      <w:spacing w:before="0"/>
      <w:jc w:val="left"/>
    </w:pPr>
    <w:rPr>
      <w:rFonts w:ascii="Candara" w:hAnsi="Candara"/>
      <w:b w:val="0"/>
      <w:sz w:val="16"/>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2558548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Dep00</b:Tag>
    <b:SourceType>DocumentFromInternetSite</b:SourceType>
    <b:Guid>{AB37AF77-514A-4882-AB8E-D64E150AE9CF}</b:Guid>
    <b:Title>PBAC Outcomes June 2000</b:Title>
    <b:Year>2000</b:Year>
    <b:Author>
      <b:Author>
        <b:Corporate>Department of Health</b:Corporate>
      </b:Author>
    </b:Author>
    <b:Month>June</b:Month>
    <b:YearAccessed>2017</b:YearAccessed>
    <b:MonthAccessed>April</b:MonthAccessed>
    <b:DayAccessed>13</b:DayAccessed>
    <b:URL>http://www.pbs.gov.au/industry/listing/elements/pbac-meetings/pbac-outcomes/pdf/2000-june-pbac-outcomes-positive-recommendations.pdf </b:URL>
    <b:RefOrder>9</b:RefOrder>
  </b:Source>
  <b:Source>
    <b:Tag>Dep08</b:Tag>
    <b:SourceType>DocumentFromInternetSite</b:SourceType>
    <b:Guid>{F571CAB7-73C9-4EEB-B89E-DFF612315009}</b:Guid>
    <b:Author>
      <b:Author>
        <b:Corporate>Department of Health</b:Corporate>
      </b:Author>
    </b:Author>
    <b:Title>Pharmaceutical Benefits Schedule</b:Title>
    <b:Year>2008</b:Year>
    <b:Month>August</b:Month>
    <b:Day>1</b:Day>
    <b:YearAccessed>2017</b:YearAccessed>
    <b:MonthAccessed>April</b:MonthAccessed>
    <b:DayAccessed>13</b:DayAccessed>
    <b:URL>http://www.pbs.gov.au/publication/schedule/2008/2008-08-01-general-schedule.pdf </b:URL>
    <b:RefOrder>10</b:RefOrder>
  </b:Source>
</b:Sources>
</file>

<file path=customXml/itemProps1.xml><?xml version="1.0" encoding="utf-8"?>
<ds:datastoreItem xmlns:ds="http://schemas.openxmlformats.org/officeDocument/2006/customXml" ds:itemID="{67E53C33-25CE-4757-A7DC-3C11B14A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2017-10-12T06:08:00Z</dcterms:created>
  <dcterms:modified xsi:type="dcterms:W3CDTF">2017-10-12T06:09:00Z</dcterms:modified>
</cp:coreProperties>
</file>