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E2" w:rsidRPr="00A433E2" w:rsidRDefault="00A433E2" w:rsidP="00A433E2">
      <w:pPr>
        <w:spacing w:after="300"/>
        <w:ind w:left="720" w:hanging="720"/>
        <w:contextualSpacing/>
        <w:outlineLvl w:val="0"/>
        <w:rPr>
          <w:rFonts w:asciiTheme="minorHAnsi" w:eastAsiaTheme="majorEastAsia" w:hAnsiTheme="minorHAnsi" w:cstheme="majorBidi"/>
          <w:b/>
          <w:spacing w:val="5"/>
          <w:kern w:val="28"/>
          <w:sz w:val="36"/>
          <w:szCs w:val="36"/>
        </w:rPr>
      </w:pPr>
      <w:bookmarkStart w:id="0" w:name="_GoBack"/>
      <w:bookmarkEnd w:id="0"/>
      <w:r w:rsidRPr="00A433E2">
        <w:rPr>
          <w:rFonts w:asciiTheme="minorHAnsi" w:eastAsiaTheme="majorEastAsia" w:hAnsiTheme="minorHAnsi" w:cstheme="majorBidi"/>
          <w:b/>
          <w:spacing w:val="5"/>
          <w:kern w:val="28"/>
          <w:sz w:val="36"/>
          <w:szCs w:val="36"/>
        </w:rPr>
        <w:t>5.20</w:t>
      </w:r>
      <w:r w:rsidRPr="00A433E2">
        <w:rPr>
          <w:rFonts w:asciiTheme="minorHAnsi" w:eastAsiaTheme="majorEastAsia" w:hAnsiTheme="minorHAnsi" w:cstheme="majorBidi"/>
          <w:b/>
          <w:spacing w:val="5"/>
          <w:kern w:val="28"/>
          <w:sz w:val="36"/>
          <w:szCs w:val="36"/>
        </w:rPr>
        <w:tab/>
        <w:t xml:space="preserve">BALSALAZIDE, </w:t>
      </w:r>
      <w:r w:rsidRPr="00A433E2">
        <w:rPr>
          <w:rFonts w:asciiTheme="minorHAnsi" w:eastAsiaTheme="majorEastAsia" w:hAnsiTheme="minorHAnsi" w:cstheme="majorBidi"/>
          <w:b/>
          <w:spacing w:val="5"/>
          <w:kern w:val="28"/>
          <w:sz w:val="36"/>
          <w:szCs w:val="36"/>
        </w:rPr>
        <w:br/>
        <w:t xml:space="preserve">Capsule, 750 mg balsalazide sodium, 280, </w:t>
      </w:r>
      <w:r w:rsidRPr="00A433E2">
        <w:rPr>
          <w:rFonts w:asciiTheme="minorHAnsi" w:eastAsiaTheme="majorEastAsia" w:hAnsiTheme="minorHAnsi" w:cstheme="majorBidi"/>
          <w:b/>
          <w:spacing w:val="5"/>
          <w:kern w:val="28"/>
          <w:sz w:val="36"/>
          <w:szCs w:val="36"/>
        </w:rPr>
        <w:br/>
        <w:t>Colazide®, Fresenius Kabi Australia Pty Limited.</w:t>
      </w:r>
    </w:p>
    <w:p w:rsidR="00A433E2" w:rsidRPr="00A433E2" w:rsidRDefault="00A433E2" w:rsidP="00A433E2">
      <w:pPr>
        <w:jc w:val="both"/>
        <w:rPr>
          <w:rFonts w:asciiTheme="minorHAnsi" w:hAnsiTheme="minorHAnsi"/>
          <w:sz w:val="22"/>
          <w:szCs w:val="22"/>
        </w:rPr>
      </w:pPr>
    </w:p>
    <w:p w:rsidR="00A433E2" w:rsidRPr="00A433E2" w:rsidRDefault="00A433E2" w:rsidP="00A433E2">
      <w:pPr>
        <w:numPr>
          <w:ilvl w:val="0"/>
          <w:numId w:val="5"/>
        </w:numPr>
        <w:outlineLvl w:val="0"/>
        <w:rPr>
          <w:rFonts w:asciiTheme="minorHAnsi" w:hAnsiTheme="minorHAnsi" w:cs="Arial"/>
          <w:b/>
          <w:snapToGrid w:val="0"/>
          <w:sz w:val="32"/>
          <w:szCs w:val="32"/>
          <w:lang w:eastAsia="en-US"/>
        </w:rPr>
      </w:pPr>
      <w:r w:rsidRPr="00A433E2">
        <w:rPr>
          <w:rFonts w:asciiTheme="minorHAnsi" w:hAnsiTheme="minorHAnsi" w:cs="Arial"/>
          <w:b/>
          <w:snapToGrid w:val="0"/>
          <w:sz w:val="32"/>
          <w:szCs w:val="32"/>
          <w:lang w:eastAsia="en-US"/>
        </w:rPr>
        <w:t>Purpose of Application</w:t>
      </w:r>
    </w:p>
    <w:p w:rsidR="00A433E2" w:rsidRPr="00A433E2" w:rsidRDefault="00A433E2" w:rsidP="00A433E2">
      <w:pPr>
        <w:rPr>
          <w:rFonts w:asciiTheme="minorHAnsi" w:hAnsiTheme="minorHAnsi"/>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The minor submission sought to list a new pack size of 280 capsules of balsalazide on the PBS. </w:t>
      </w:r>
    </w:p>
    <w:p w:rsidR="00A433E2" w:rsidRPr="00A433E2" w:rsidRDefault="00A433E2" w:rsidP="00A433E2">
      <w:pPr>
        <w:widowControl w:val="0"/>
        <w:ind w:left="720"/>
        <w:contextualSpacing/>
        <w:jc w:val="both"/>
        <w:rPr>
          <w:rFonts w:asciiTheme="minorHAnsi" w:hAnsiTheme="minorHAnsi" w:cs="Arial"/>
          <w:snapToGrid w:val="0"/>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As PBS listings are based on pharmaceutical items, rather than pack sizes, the PBAC was requested to provide advice on an increase in maximum quantity for balsalazide capsules to 280, which would allow the supply of the pack size requested.</w:t>
      </w:r>
    </w:p>
    <w:p w:rsidR="00A433E2" w:rsidRPr="00A433E2" w:rsidRDefault="00A433E2" w:rsidP="00A433E2">
      <w:pPr>
        <w:jc w:val="both"/>
        <w:rPr>
          <w:rFonts w:asciiTheme="minorHAnsi" w:hAnsiTheme="minorHAnsi"/>
          <w:sz w:val="22"/>
          <w:szCs w:val="22"/>
        </w:rPr>
      </w:pPr>
    </w:p>
    <w:p w:rsidR="00A433E2" w:rsidRPr="00A433E2" w:rsidRDefault="00A433E2" w:rsidP="00A433E2">
      <w:pPr>
        <w:jc w:val="both"/>
        <w:rPr>
          <w:rFonts w:asciiTheme="minorHAnsi" w:hAnsiTheme="minorHAnsi"/>
          <w:sz w:val="22"/>
          <w:szCs w:val="22"/>
        </w:rPr>
      </w:pPr>
    </w:p>
    <w:p w:rsidR="00A433E2" w:rsidRPr="00A433E2" w:rsidRDefault="00A433E2" w:rsidP="00A433E2">
      <w:pPr>
        <w:numPr>
          <w:ilvl w:val="0"/>
          <w:numId w:val="5"/>
        </w:numPr>
        <w:outlineLvl w:val="0"/>
        <w:rPr>
          <w:rFonts w:asciiTheme="minorHAnsi" w:hAnsiTheme="minorHAnsi" w:cs="Arial"/>
          <w:b/>
          <w:snapToGrid w:val="0"/>
          <w:sz w:val="32"/>
          <w:szCs w:val="32"/>
          <w:lang w:eastAsia="en-US"/>
        </w:rPr>
      </w:pPr>
      <w:r w:rsidRPr="00A433E2">
        <w:rPr>
          <w:rFonts w:asciiTheme="minorHAnsi" w:hAnsiTheme="minorHAnsi" w:cs="Arial"/>
          <w:b/>
          <w:snapToGrid w:val="0"/>
          <w:sz w:val="32"/>
          <w:szCs w:val="32"/>
          <w:lang w:eastAsia="en-US"/>
        </w:rPr>
        <w:t>Requested listing</w:t>
      </w:r>
    </w:p>
    <w:p w:rsidR="00A433E2" w:rsidRPr="00A433E2" w:rsidRDefault="00A433E2" w:rsidP="00A433E2">
      <w:pPr>
        <w:jc w:val="both"/>
        <w:rPr>
          <w:rFonts w:asciiTheme="minorHAnsi" w:hAnsiTheme="minorHAnsi"/>
          <w:b/>
          <w:sz w:val="22"/>
          <w:szCs w:val="22"/>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The submission requested no changes to the restriction criteria for balsalazide. </w:t>
      </w:r>
    </w:p>
    <w:p w:rsidR="00A433E2" w:rsidRPr="00A433E2" w:rsidRDefault="00A433E2" w:rsidP="00A433E2">
      <w:pPr>
        <w:ind w:left="709"/>
        <w:jc w:val="both"/>
        <w:rPr>
          <w:rFonts w:asciiTheme="minorHAnsi" w:hAnsiTheme="minorHAnsi" w:cs="Arial"/>
          <w:b/>
          <w:i/>
          <w:sz w:val="22"/>
          <w:szCs w:val="22"/>
        </w:rPr>
      </w:pPr>
    </w:p>
    <w:p w:rsidR="00A433E2" w:rsidRPr="00A433E2" w:rsidRDefault="00A433E2" w:rsidP="00A433E2">
      <w:pPr>
        <w:ind w:firstLine="720"/>
        <w:jc w:val="both"/>
        <w:rPr>
          <w:rFonts w:asciiTheme="minorHAnsi" w:hAnsiTheme="minorHAnsi"/>
          <w:i/>
        </w:rPr>
      </w:pPr>
      <w:r w:rsidRPr="00A433E2">
        <w:rPr>
          <w:rFonts w:asciiTheme="minorHAnsi" w:hAnsiTheme="minorHAnsi"/>
          <w:i/>
        </w:rPr>
        <w:t>For more detail on PBAC’s view, see section 6 “PBAC outcome.”</w:t>
      </w:r>
    </w:p>
    <w:p w:rsidR="00A433E2" w:rsidRPr="00A433E2" w:rsidRDefault="00A433E2" w:rsidP="00A433E2">
      <w:pPr>
        <w:jc w:val="both"/>
        <w:rPr>
          <w:rFonts w:asciiTheme="minorHAnsi" w:hAnsiTheme="minorHAnsi"/>
          <w:sz w:val="22"/>
          <w:szCs w:val="22"/>
        </w:rPr>
      </w:pPr>
    </w:p>
    <w:p w:rsidR="00A433E2" w:rsidRPr="00A433E2" w:rsidRDefault="00A433E2" w:rsidP="00A433E2">
      <w:pPr>
        <w:jc w:val="both"/>
        <w:rPr>
          <w:rFonts w:asciiTheme="minorHAnsi" w:hAnsiTheme="minorHAnsi"/>
          <w:sz w:val="22"/>
          <w:szCs w:val="22"/>
        </w:rPr>
      </w:pPr>
    </w:p>
    <w:p w:rsidR="00A433E2" w:rsidRPr="00A433E2" w:rsidRDefault="00A433E2" w:rsidP="00A433E2">
      <w:pPr>
        <w:numPr>
          <w:ilvl w:val="0"/>
          <w:numId w:val="5"/>
        </w:numPr>
        <w:outlineLvl w:val="0"/>
        <w:rPr>
          <w:rFonts w:asciiTheme="minorHAnsi" w:hAnsiTheme="minorHAnsi" w:cs="Arial"/>
          <w:b/>
          <w:snapToGrid w:val="0"/>
          <w:sz w:val="32"/>
          <w:szCs w:val="32"/>
          <w:lang w:eastAsia="en-US"/>
        </w:rPr>
      </w:pPr>
      <w:r w:rsidRPr="00A433E2">
        <w:rPr>
          <w:rFonts w:asciiTheme="minorHAnsi" w:hAnsiTheme="minorHAnsi" w:cs="Arial"/>
          <w:b/>
          <w:snapToGrid w:val="0"/>
          <w:sz w:val="32"/>
          <w:szCs w:val="32"/>
          <w:lang w:eastAsia="en-US"/>
        </w:rPr>
        <w:t>Background</w:t>
      </w:r>
    </w:p>
    <w:p w:rsidR="00A433E2" w:rsidRPr="00A433E2" w:rsidRDefault="00A433E2" w:rsidP="00A433E2">
      <w:pPr>
        <w:widowControl w:val="0"/>
        <w:ind w:left="720"/>
        <w:contextualSpacing/>
        <w:jc w:val="both"/>
        <w:rPr>
          <w:rFonts w:asciiTheme="minorHAnsi" w:hAnsiTheme="minorHAnsi" w:cs="Arial"/>
          <w:i/>
          <w:snapToGrid w:val="0"/>
          <w:sz w:val="22"/>
          <w:szCs w:val="22"/>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Balsalazide is TGA registered for treatment of mild-to-moderate active ulcerative colitis, and maintenance of remission, in patients who are intolerant to sulfasalazine.</w:t>
      </w:r>
    </w:p>
    <w:p w:rsidR="00A433E2" w:rsidRPr="00A433E2" w:rsidRDefault="00A433E2" w:rsidP="00A433E2">
      <w:pPr>
        <w:widowControl w:val="0"/>
        <w:ind w:left="720"/>
        <w:contextualSpacing/>
        <w:jc w:val="both"/>
        <w:rPr>
          <w:rFonts w:asciiTheme="minorHAnsi" w:hAnsiTheme="minorHAnsi" w:cs="Arial"/>
          <w:snapToGrid w:val="0"/>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Balsalazide was recommended by the PBAC on a cost-minimisation basis against mesalazine enteric coated tablets at the March 2005 PBAC meeting. </w:t>
      </w:r>
    </w:p>
    <w:p w:rsidR="00A433E2" w:rsidRPr="00A433E2" w:rsidRDefault="00A433E2" w:rsidP="00A433E2">
      <w:pPr>
        <w:jc w:val="both"/>
        <w:rPr>
          <w:rFonts w:asciiTheme="minorHAnsi" w:hAnsiTheme="minorHAnsi"/>
          <w:i/>
          <w:highlight w:val="yellow"/>
        </w:rPr>
      </w:pPr>
    </w:p>
    <w:p w:rsidR="00A433E2" w:rsidRPr="00A433E2" w:rsidRDefault="00A433E2" w:rsidP="00A433E2">
      <w:pPr>
        <w:ind w:firstLine="720"/>
        <w:jc w:val="both"/>
        <w:rPr>
          <w:rFonts w:asciiTheme="minorHAnsi" w:hAnsiTheme="minorHAnsi"/>
          <w:i/>
        </w:rPr>
      </w:pPr>
      <w:r w:rsidRPr="00A433E2">
        <w:rPr>
          <w:rFonts w:asciiTheme="minorHAnsi" w:hAnsiTheme="minorHAnsi"/>
          <w:i/>
        </w:rPr>
        <w:t>For more detail on PBAC’s view, see section 6 “PBAC outcome.”</w:t>
      </w:r>
    </w:p>
    <w:p w:rsidR="00A433E2" w:rsidRPr="00A433E2" w:rsidRDefault="00A433E2" w:rsidP="00A433E2">
      <w:pPr>
        <w:jc w:val="both"/>
        <w:rPr>
          <w:rFonts w:asciiTheme="minorHAnsi" w:hAnsiTheme="minorHAnsi"/>
          <w:sz w:val="22"/>
          <w:szCs w:val="22"/>
        </w:rPr>
      </w:pPr>
    </w:p>
    <w:p w:rsidR="00A433E2" w:rsidRPr="00A433E2" w:rsidRDefault="00A433E2" w:rsidP="00A433E2">
      <w:pPr>
        <w:jc w:val="both"/>
        <w:rPr>
          <w:rFonts w:asciiTheme="minorHAnsi" w:hAnsiTheme="minorHAnsi"/>
          <w:sz w:val="22"/>
          <w:szCs w:val="22"/>
        </w:rPr>
      </w:pPr>
    </w:p>
    <w:p w:rsidR="00A433E2" w:rsidRPr="00A433E2" w:rsidRDefault="00A433E2" w:rsidP="00A433E2">
      <w:pPr>
        <w:numPr>
          <w:ilvl w:val="0"/>
          <w:numId w:val="5"/>
        </w:numPr>
        <w:outlineLvl w:val="0"/>
        <w:rPr>
          <w:rFonts w:asciiTheme="minorHAnsi" w:hAnsiTheme="minorHAnsi" w:cs="Arial"/>
          <w:b/>
          <w:snapToGrid w:val="0"/>
          <w:sz w:val="32"/>
          <w:szCs w:val="32"/>
          <w:lang w:eastAsia="en-US"/>
        </w:rPr>
      </w:pPr>
      <w:r w:rsidRPr="00A433E2">
        <w:rPr>
          <w:rFonts w:asciiTheme="minorHAnsi" w:hAnsiTheme="minorHAnsi" w:cs="Arial"/>
          <w:b/>
          <w:snapToGrid w:val="0"/>
          <w:sz w:val="32"/>
          <w:szCs w:val="32"/>
          <w:lang w:eastAsia="en-US"/>
        </w:rPr>
        <w:t>Basis for the request</w:t>
      </w:r>
    </w:p>
    <w:p w:rsidR="00A433E2" w:rsidRPr="00A433E2" w:rsidRDefault="00A433E2" w:rsidP="00A433E2">
      <w:pPr>
        <w:keepNext/>
        <w:widowControl w:val="0"/>
        <w:ind w:left="720"/>
        <w:contextualSpacing/>
        <w:jc w:val="both"/>
        <w:rPr>
          <w:rFonts w:asciiTheme="minorHAnsi" w:hAnsiTheme="minorHAnsi" w:cs="Arial"/>
          <w:snapToGrid w:val="0"/>
          <w:sz w:val="22"/>
          <w:szCs w:val="22"/>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The submission claimed that there is a need to increase the maximum quantity so that patients have sufficient capsules for the treatment of active disease. </w:t>
      </w:r>
    </w:p>
    <w:p w:rsidR="00A433E2" w:rsidRPr="00A433E2" w:rsidRDefault="00A433E2" w:rsidP="00A433E2">
      <w:pPr>
        <w:widowControl w:val="0"/>
        <w:contextualSpacing/>
        <w:jc w:val="both"/>
        <w:rPr>
          <w:rFonts w:asciiTheme="minorHAnsi" w:hAnsiTheme="minorHAnsi" w:cs="Arial"/>
          <w:snapToGrid w:val="0"/>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The recommended dosage in the product information for treatment of active disease is three capsules three times a day, or 270 capsules per month.  The recommended dosage for maintenance treatment is two capsules twice a day, or 120 capsules per month. The current maximum quantity for balsalazide is 180 capsules.</w:t>
      </w:r>
    </w:p>
    <w:p w:rsidR="00A433E2" w:rsidRPr="00A433E2" w:rsidRDefault="00A433E2" w:rsidP="00A433E2">
      <w:pPr>
        <w:widowControl w:val="0"/>
        <w:ind w:left="720"/>
        <w:contextualSpacing/>
        <w:jc w:val="both"/>
        <w:rPr>
          <w:rFonts w:asciiTheme="minorHAnsi" w:hAnsiTheme="minorHAnsi" w:cs="Arial"/>
          <w:snapToGrid w:val="0"/>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The submission claimed that this meant that when treating active disease either </w:t>
      </w:r>
      <w:r w:rsidRPr="00A433E2">
        <w:rPr>
          <w:rFonts w:asciiTheme="minorHAnsi" w:hAnsiTheme="minorHAnsi" w:cs="Arial"/>
          <w:snapToGrid w:val="0"/>
          <w:lang w:eastAsia="en-US"/>
        </w:rPr>
        <w:lastRenderedPageBreak/>
        <w:t>doctors need to request an increase in the maximum quantity by telephone authority, or patients may need to fill their prescription more frequently and as a result attend their doctor more regularly for a new prescription.</w:t>
      </w:r>
    </w:p>
    <w:p w:rsidR="00A433E2" w:rsidRPr="00A433E2" w:rsidRDefault="00A433E2" w:rsidP="00A433E2">
      <w:pPr>
        <w:widowControl w:val="0"/>
        <w:contextualSpacing/>
        <w:jc w:val="both"/>
        <w:rPr>
          <w:rFonts w:asciiTheme="minorHAnsi" w:hAnsiTheme="minorHAnsi" w:cs="Arial"/>
          <w:snapToGrid w:val="0"/>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sz w:val="22"/>
          <w:szCs w:val="22"/>
          <w:lang w:eastAsia="en-US"/>
        </w:rPr>
      </w:pPr>
      <w:r w:rsidRPr="00A433E2">
        <w:rPr>
          <w:rFonts w:asciiTheme="minorHAnsi" w:hAnsiTheme="minorHAnsi" w:cs="Arial"/>
          <w:snapToGrid w:val="0"/>
          <w:lang w:eastAsia="en-US"/>
        </w:rPr>
        <w:t>The PBAC previously recommended listing of balsalazide on a cost-minimisation basis compared to mesal</w:t>
      </w:r>
      <w:r w:rsidRPr="00A433E2">
        <w:rPr>
          <w:rFonts w:asciiTheme="minorHAnsi" w:hAnsiTheme="minorHAnsi" w:cs="Arial"/>
          <w:snapToGrid w:val="0"/>
          <w:sz w:val="22"/>
          <w:szCs w:val="20"/>
          <w:lang w:eastAsia="en-US"/>
        </w:rPr>
        <w:t xml:space="preserve">azine. </w:t>
      </w:r>
    </w:p>
    <w:p w:rsidR="00A433E2" w:rsidRPr="00A433E2" w:rsidRDefault="00A433E2" w:rsidP="00A433E2">
      <w:pPr>
        <w:widowControl w:val="0"/>
        <w:ind w:left="720"/>
        <w:contextualSpacing/>
        <w:jc w:val="both"/>
        <w:rPr>
          <w:rFonts w:asciiTheme="minorHAnsi" w:hAnsiTheme="minorHAnsi" w:cs="Arial"/>
          <w:snapToGrid w:val="0"/>
          <w:sz w:val="22"/>
          <w:szCs w:val="22"/>
          <w:lang w:eastAsia="en-US"/>
        </w:rPr>
      </w:pPr>
    </w:p>
    <w:p w:rsidR="00A433E2" w:rsidRPr="00A433E2" w:rsidRDefault="00A433E2" w:rsidP="00A433E2">
      <w:pPr>
        <w:ind w:firstLine="720"/>
        <w:jc w:val="both"/>
        <w:rPr>
          <w:rFonts w:asciiTheme="minorHAnsi" w:hAnsiTheme="minorHAnsi"/>
          <w:i/>
        </w:rPr>
      </w:pPr>
      <w:r w:rsidRPr="00A433E2">
        <w:rPr>
          <w:rFonts w:asciiTheme="minorHAnsi" w:hAnsiTheme="minorHAnsi"/>
          <w:i/>
        </w:rPr>
        <w:t>For more detail on PBAC’s view, see section 6 “PBAC outcome.”</w:t>
      </w:r>
    </w:p>
    <w:p w:rsidR="00A433E2" w:rsidRPr="00A433E2" w:rsidRDefault="00A433E2" w:rsidP="00A433E2">
      <w:pPr>
        <w:rPr>
          <w:rFonts w:asciiTheme="minorHAnsi" w:hAnsiTheme="minorHAnsi"/>
          <w:szCs w:val="22"/>
        </w:rPr>
      </w:pPr>
    </w:p>
    <w:p w:rsidR="00A433E2" w:rsidRPr="00A433E2" w:rsidRDefault="00A433E2" w:rsidP="00A433E2">
      <w:pPr>
        <w:rPr>
          <w:rFonts w:asciiTheme="minorHAnsi" w:hAnsiTheme="minorHAnsi"/>
          <w:szCs w:val="22"/>
        </w:rPr>
      </w:pPr>
    </w:p>
    <w:p w:rsidR="00A433E2" w:rsidRPr="00A433E2" w:rsidRDefault="00A433E2" w:rsidP="00A433E2">
      <w:pPr>
        <w:numPr>
          <w:ilvl w:val="0"/>
          <w:numId w:val="5"/>
        </w:numPr>
        <w:outlineLvl w:val="0"/>
        <w:rPr>
          <w:rFonts w:asciiTheme="minorHAnsi" w:hAnsiTheme="minorHAnsi" w:cs="Arial"/>
          <w:b/>
          <w:snapToGrid w:val="0"/>
          <w:sz w:val="32"/>
          <w:szCs w:val="32"/>
          <w:lang w:eastAsia="en-US"/>
        </w:rPr>
      </w:pPr>
      <w:r w:rsidRPr="00A433E2">
        <w:rPr>
          <w:rFonts w:asciiTheme="minorHAnsi" w:hAnsiTheme="minorHAnsi" w:cs="Arial"/>
          <w:b/>
          <w:snapToGrid w:val="0"/>
          <w:sz w:val="32"/>
          <w:szCs w:val="32"/>
          <w:lang w:eastAsia="en-US"/>
        </w:rPr>
        <w:t>Consideration of the evidence</w:t>
      </w:r>
    </w:p>
    <w:p w:rsidR="00A433E2" w:rsidRPr="00A433E2" w:rsidRDefault="00A433E2" w:rsidP="00A433E2"/>
    <w:p w:rsidR="00A433E2" w:rsidRPr="00A433E2" w:rsidRDefault="00A433E2" w:rsidP="00A433E2">
      <w:pPr>
        <w:keepNext/>
        <w:outlineLvl w:val="1"/>
        <w:rPr>
          <w:rFonts w:asciiTheme="minorHAnsi" w:hAnsiTheme="minorHAnsi"/>
          <w:b/>
          <w:i/>
          <w:sz w:val="28"/>
          <w:szCs w:val="28"/>
        </w:rPr>
      </w:pPr>
      <w:r w:rsidRPr="00A433E2">
        <w:rPr>
          <w:rFonts w:asciiTheme="minorHAnsi" w:hAnsiTheme="minorHAnsi"/>
          <w:b/>
          <w:i/>
          <w:sz w:val="28"/>
          <w:szCs w:val="28"/>
        </w:rPr>
        <w:t>Sponsor hearing</w:t>
      </w:r>
    </w:p>
    <w:p w:rsidR="00A433E2" w:rsidRPr="00A433E2" w:rsidRDefault="00A433E2" w:rsidP="00A433E2">
      <w:pPr>
        <w:widowControl w:val="0"/>
        <w:numPr>
          <w:ilvl w:val="1"/>
          <w:numId w:val="5"/>
        </w:numPr>
        <w:spacing w:after="120"/>
        <w:jc w:val="both"/>
        <w:rPr>
          <w:rFonts w:asciiTheme="minorHAnsi" w:hAnsiTheme="minorHAnsi" w:cs="Arial"/>
          <w:bCs/>
          <w:snapToGrid w:val="0"/>
        </w:rPr>
      </w:pPr>
      <w:r w:rsidRPr="00A433E2">
        <w:rPr>
          <w:rFonts w:asciiTheme="minorHAnsi" w:hAnsiTheme="minorHAnsi" w:cs="Arial"/>
          <w:bCs/>
          <w:snapToGrid w:val="0"/>
        </w:rPr>
        <w:t xml:space="preserve">There was no hearing for this item as it was a minor submission. </w:t>
      </w:r>
    </w:p>
    <w:p w:rsidR="00A433E2" w:rsidRPr="00A433E2" w:rsidRDefault="00A433E2" w:rsidP="00A433E2">
      <w:pPr>
        <w:tabs>
          <w:tab w:val="left" w:pos="2581"/>
        </w:tabs>
        <w:jc w:val="both"/>
        <w:rPr>
          <w:rFonts w:asciiTheme="minorHAnsi" w:hAnsiTheme="minorHAnsi"/>
          <w:sz w:val="22"/>
          <w:szCs w:val="22"/>
        </w:rPr>
      </w:pPr>
    </w:p>
    <w:p w:rsidR="00A433E2" w:rsidRPr="00A433E2" w:rsidRDefault="00A433E2" w:rsidP="00A433E2">
      <w:pPr>
        <w:keepNext/>
        <w:outlineLvl w:val="1"/>
        <w:rPr>
          <w:rFonts w:asciiTheme="minorHAnsi" w:hAnsiTheme="minorHAnsi"/>
          <w:b/>
          <w:i/>
          <w:sz w:val="28"/>
          <w:szCs w:val="28"/>
        </w:rPr>
      </w:pPr>
      <w:r w:rsidRPr="00A433E2">
        <w:rPr>
          <w:rFonts w:asciiTheme="minorHAnsi" w:hAnsiTheme="minorHAnsi"/>
          <w:b/>
          <w:i/>
          <w:sz w:val="28"/>
          <w:szCs w:val="28"/>
        </w:rPr>
        <w:t>Consumer comments</w:t>
      </w:r>
    </w:p>
    <w:p w:rsidR="00A433E2" w:rsidRPr="00A433E2" w:rsidRDefault="00A433E2" w:rsidP="00A433E2">
      <w:pPr>
        <w:widowControl w:val="0"/>
        <w:numPr>
          <w:ilvl w:val="1"/>
          <w:numId w:val="5"/>
        </w:numPr>
        <w:spacing w:after="120"/>
        <w:jc w:val="both"/>
        <w:rPr>
          <w:rFonts w:asciiTheme="minorHAnsi" w:hAnsiTheme="minorHAnsi" w:cs="Arial"/>
          <w:bCs/>
          <w:snapToGrid w:val="0"/>
        </w:rPr>
      </w:pPr>
      <w:r w:rsidRPr="00A433E2">
        <w:rPr>
          <w:rFonts w:asciiTheme="minorHAnsi" w:hAnsiTheme="minorHAnsi" w:cs="Arial"/>
          <w:bCs/>
          <w:snapToGrid w:val="0"/>
        </w:rPr>
        <w:t>The PBAC noted that no consumer comments were received for this item.</w:t>
      </w:r>
    </w:p>
    <w:p w:rsidR="00A433E2" w:rsidRPr="00A433E2" w:rsidRDefault="00A433E2" w:rsidP="00A433E2"/>
    <w:p w:rsidR="00A433E2" w:rsidRPr="00A433E2" w:rsidRDefault="00A433E2" w:rsidP="00A433E2">
      <w:pPr>
        <w:keepNext/>
        <w:outlineLvl w:val="1"/>
        <w:rPr>
          <w:rFonts w:asciiTheme="minorHAnsi" w:hAnsiTheme="minorHAnsi"/>
          <w:b/>
          <w:i/>
          <w:sz w:val="28"/>
          <w:szCs w:val="28"/>
        </w:rPr>
      </w:pPr>
      <w:r w:rsidRPr="00A433E2">
        <w:rPr>
          <w:rFonts w:asciiTheme="minorHAnsi" w:hAnsiTheme="minorHAnsi"/>
          <w:b/>
          <w:i/>
          <w:sz w:val="28"/>
          <w:szCs w:val="28"/>
        </w:rPr>
        <w:t>Estimated PBS usage &amp; financial implications</w:t>
      </w: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The minor submission requested the same price per capsule (AEMP) for balsalazide (750 mg, 280 capsules) as the current PBS-listed 180 capsule pack. A summary of the calculations to determine the price for the new pack size are presented below:</w:t>
      </w:r>
    </w:p>
    <w:p w:rsidR="00A433E2" w:rsidRPr="00A433E2" w:rsidRDefault="00A433E2" w:rsidP="00A433E2">
      <w:pPr>
        <w:widowControl w:val="0"/>
        <w:ind w:left="720"/>
        <w:contextualSpacing/>
        <w:jc w:val="both"/>
        <w:rPr>
          <w:rFonts w:asciiTheme="minorHAnsi" w:hAnsiTheme="minorHAnsi" w:cs="Arial"/>
          <w:snapToGrid w:val="0"/>
          <w:sz w:val="22"/>
          <w:szCs w:val="22"/>
          <w:lang w:eastAsia="en-US"/>
        </w:rPr>
      </w:pPr>
    </w:p>
    <w:p w:rsidR="00A433E2" w:rsidRPr="00A433E2" w:rsidRDefault="00A433E2" w:rsidP="00A433E2">
      <w:pPr>
        <w:keepNext/>
        <w:spacing w:before="120"/>
        <w:jc w:val="both"/>
        <w:rPr>
          <w:rFonts w:ascii="Arial Narrow" w:hAnsi="Arial Narrow"/>
          <w:b/>
          <w:bCs/>
          <w:sz w:val="20"/>
          <w:szCs w:val="20"/>
        </w:rPr>
      </w:pPr>
      <w:r w:rsidRPr="00A433E2">
        <w:rPr>
          <w:rFonts w:ascii="Arial Narrow" w:hAnsi="Arial Narrow"/>
          <w:b/>
          <w:bCs/>
          <w:sz w:val="20"/>
          <w:szCs w:val="20"/>
        </w:rPr>
        <w:t xml:space="preserve">Table </w:t>
      </w:r>
      <w:r w:rsidRPr="00A433E2">
        <w:rPr>
          <w:rFonts w:ascii="Arial Narrow" w:hAnsi="Arial Narrow"/>
          <w:b/>
          <w:bCs/>
          <w:noProof/>
          <w:sz w:val="20"/>
          <w:szCs w:val="20"/>
        </w:rPr>
        <w:t>1</w:t>
      </w:r>
      <w:r w:rsidRPr="00A433E2">
        <w:rPr>
          <w:rFonts w:ascii="Arial Narrow" w:hAnsi="Arial Narrow"/>
          <w:b/>
          <w:bCs/>
          <w:sz w:val="20"/>
          <w:szCs w:val="20"/>
        </w:rPr>
        <w:t>: Colazide price per capsule calculations</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361"/>
        <w:gridCol w:w="1531"/>
        <w:gridCol w:w="1020"/>
        <w:gridCol w:w="1814"/>
      </w:tblGrid>
      <w:tr w:rsidR="00A433E2" w:rsidRPr="00A433E2" w:rsidTr="008274FA">
        <w:tc>
          <w:tcPr>
            <w:tcW w:w="3458" w:type="dxa"/>
            <w:shd w:val="clear" w:color="auto" w:fill="BFBFBF" w:themeFill="background1" w:themeFillShade="BF"/>
          </w:tcPr>
          <w:p w:rsidR="00A433E2" w:rsidRPr="007F134D" w:rsidRDefault="00A433E2" w:rsidP="00A433E2">
            <w:pPr>
              <w:spacing w:line="276" w:lineRule="auto"/>
              <w:rPr>
                <w:rFonts w:ascii="Arial Narrow" w:hAnsi="Arial Narrow"/>
                <w:sz w:val="20"/>
                <w:szCs w:val="20"/>
              </w:rPr>
            </w:pPr>
          </w:p>
        </w:tc>
        <w:tc>
          <w:tcPr>
            <w:tcW w:w="1361" w:type="dxa"/>
            <w:shd w:val="clear" w:color="auto" w:fill="BFBFBF" w:themeFill="background1" w:themeFillShade="BF"/>
          </w:tcPr>
          <w:p w:rsidR="00A433E2" w:rsidRPr="007F134D" w:rsidRDefault="00A433E2" w:rsidP="00A433E2">
            <w:pPr>
              <w:spacing w:line="276" w:lineRule="auto"/>
              <w:rPr>
                <w:rFonts w:ascii="Arial Narrow" w:hAnsi="Arial Narrow"/>
                <w:b/>
                <w:sz w:val="20"/>
                <w:szCs w:val="20"/>
              </w:rPr>
            </w:pPr>
            <w:r w:rsidRPr="007F134D">
              <w:rPr>
                <w:rFonts w:ascii="Arial Narrow" w:hAnsi="Arial Narrow"/>
                <w:b/>
                <w:sz w:val="20"/>
                <w:szCs w:val="20"/>
              </w:rPr>
              <w:t>AEMP</w:t>
            </w:r>
          </w:p>
        </w:tc>
        <w:tc>
          <w:tcPr>
            <w:tcW w:w="1531" w:type="dxa"/>
            <w:shd w:val="clear" w:color="auto" w:fill="BFBFBF" w:themeFill="background1" w:themeFillShade="BF"/>
          </w:tcPr>
          <w:p w:rsidR="00A433E2" w:rsidRPr="007F134D" w:rsidRDefault="00A433E2" w:rsidP="00A433E2">
            <w:pPr>
              <w:spacing w:line="276" w:lineRule="auto"/>
              <w:rPr>
                <w:rFonts w:ascii="Arial Narrow" w:hAnsi="Arial Narrow"/>
                <w:b/>
                <w:sz w:val="20"/>
                <w:szCs w:val="20"/>
              </w:rPr>
            </w:pPr>
            <w:r w:rsidRPr="007F134D">
              <w:rPr>
                <w:rFonts w:ascii="Arial Narrow" w:hAnsi="Arial Narrow"/>
                <w:b/>
                <w:sz w:val="20"/>
                <w:szCs w:val="20"/>
              </w:rPr>
              <w:t>Price to Pharmacy (PTP)</w:t>
            </w:r>
          </w:p>
        </w:tc>
        <w:tc>
          <w:tcPr>
            <w:tcW w:w="1020" w:type="dxa"/>
            <w:shd w:val="clear" w:color="auto" w:fill="BFBFBF" w:themeFill="background1" w:themeFillShade="BF"/>
          </w:tcPr>
          <w:p w:rsidR="00A433E2" w:rsidRPr="007F134D" w:rsidRDefault="00A433E2" w:rsidP="00A433E2">
            <w:pPr>
              <w:spacing w:line="276" w:lineRule="auto"/>
              <w:rPr>
                <w:rFonts w:ascii="Arial Narrow" w:hAnsi="Arial Narrow"/>
                <w:b/>
                <w:sz w:val="20"/>
                <w:szCs w:val="20"/>
              </w:rPr>
            </w:pPr>
            <w:r w:rsidRPr="007F134D">
              <w:rPr>
                <w:rFonts w:ascii="Arial Narrow" w:hAnsi="Arial Narrow"/>
                <w:b/>
                <w:sz w:val="20"/>
                <w:szCs w:val="20"/>
              </w:rPr>
              <w:t>DPMQ</w:t>
            </w:r>
          </w:p>
        </w:tc>
        <w:tc>
          <w:tcPr>
            <w:tcW w:w="1814" w:type="dxa"/>
            <w:shd w:val="clear" w:color="auto" w:fill="BFBFBF" w:themeFill="background1" w:themeFillShade="BF"/>
          </w:tcPr>
          <w:p w:rsidR="00A433E2" w:rsidRPr="007F134D" w:rsidRDefault="00A433E2" w:rsidP="00A433E2">
            <w:pPr>
              <w:spacing w:line="276" w:lineRule="auto"/>
              <w:rPr>
                <w:rFonts w:ascii="Arial Narrow" w:hAnsi="Arial Narrow"/>
                <w:b/>
                <w:sz w:val="20"/>
                <w:szCs w:val="20"/>
              </w:rPr>
            </w:pPr>
            <w:r w:rsidRPr="007F134D">
              <w:rPr>
                <w:rFonts w:ascii="Arial Narrow" w:hAnsi="Arial Narrow"/>
                <w:b/>
                <w:sz w:val="20"/>
                <w:szCs w:val="20"/>
              </w:rPr>
              <w:t>Price per capsule (based on AEMP)</w:t>
            </w:r>
          </w:p>
        </w:tc>
      </w:tr>
      <w:tr w:rsidR="00A433E2" w:rsidRPr="00A433E2" w:rsidTr="008274FA">
        <w:tc>
          <w:tcPr>
            <w:tcW w:w="3458" w:type="dxa"/>
            <w:shd w:val="clear" w:color="auto" w:fill="auto"/>
          </w:tcPr>
          <w:p w:rsidR="00A433E2" w:rsidRPr="00A433E2" w:rsidRDefault="00A433E2" w:rsidP="00A433E2">
            <w:pPr>
              <w:spacing w:line="276" w:lineRule="auto"/>
              <w:rPr>
                <w:rFonts w:ascii="Arial Narrow" w:hAnsi="Arial Narrow"/>
                <w:b/>
                <w:sz w:val="20"/>
                <w:szCs w:val="20"/>
              </w:rPr>
            </w:pPr>
            <w:r w:rsidRPr="00A433E2">
              <w:rPr>
                <w:rFonts w:ascii="Arial Narrow" w:hAnsi="Arial Narrow"/>
                <w:b/>
                <w:sz w:val="20"/>
                <w:szCs w:val="20"/>
              </w:rPr>
              <w:t>AEMP for 180-capsule pack</w:t>
            </w:r>
          </w:p>
        </w:tc>
        <w:tc>
          <w:tcPr>
            <w:tcW w:w="1361" w:type="dxa"/>
            <w:shd w:val="clear" w:color="auto" w:fill="auto"/>
            <w:vAlign w:val="bottom"/>
          </w:tcPr>
          <w:p w:rsidR="00A433E2" w:rsidRPr="00A433E2" w:rsidRDefault="00A433E2" w:rsidP="00A433E2">
            <w:pPr>
              <w:spacing w:line="276" w:lineRule="auto"/>
              <w:jc w:val="right"/>
              <w:rPr>
                <w:rFonts w:ascii="Arial Narrow" w:hAnsi="Arial Narrow"/>
                <w:color w:val="000000"/>
                <w:sz w:val="20"/>
                <w:szCs w:val="20"/>
              </w:rPr>
            </w:pPr>
            <w:r w:rsidRPr="00A433E2">
              <w:rPr>
                <w:rFonts w:ascii="Arial Narrow" w:hAnsi="Arial Narrow"/>
                <w:color w:val="000000"/>
                <w:sz w:val="20"/>
                <w:szCs w:val="20"/>
              </w:rPr>
              <w:t>$95.12</w:t>
            </w:r>
          </w:p>
        </w:tc>
        <w:tc>
          <w:tcPr>
            <w:tcW w:w="1531" w:type="dxa"/>
            <w:shd w:val="clear" w:color="auto" w:fill="auto"/>
            <w:vAlign w:val="bottom"/>
          </w:tcPr>
          <w:p w:rsidR="00A433E2" w:rsidRPr="00A433E2" w:rsidRDefault="00A433E2" w:rsidP="00A433E2">
            <w:pPr>
              <w:spacing w:line="276" w:lineRule="auto"/>
              <w:jc w:val="right"/>
              <w:rPr>
                <w:rFonts w:ascii="Arial Narrow" w:hAnsi="Arial Narrow"/>
                <w:color w:val="000000"/>
                <w:sz w:val="20"/>
                <w:szCs w:val="20"/>
              </w:rPr>
            </w:pPr>
            <w:r w:rsidRPr="00A433E2">
              <w:rPr>
                <w:rFonts w:ascii="Arial Narrow" w:hAnsi="Arial Narrow"/>
                <w:color w:val="000000"/>
                <w:sz w:val="20"/>
                <w:szCs w:val="20"/>
              </w:rPr>
              <w:t>$102.27</w:t>
            </w:r>
          </w:p>
        </w:tc>
        <w:tc>
          <w:tcPr>
            <w:tcW w:w="1020" w:type="dxa"/>
            <w:shd w:val="clear" w:color="auto" w:fill="auto"/>
            <w:vAlign w:val="bottom"/>
          </w:tcPr>
          <w:p w:rsidR="00A433E2" w:rsidRPr="00A433E2" w:rsidRDefault="00A433E2" w:rsidP="00A433E2">
            <w:pPr>
              <w:spacing w:line="276" w:lineRule="auto"/>
              <w:jc w:val="right"/>
              <w:rPr>
                <w:rFonts w:ascii="Arial Narrow" w:hAnsi="Arial Narrow"/>
                <w:color w:val="000000"/>
                <w:sz w:val="20"/>
                <w:szCs w:val="20"/>
              </w:rPr>
            </w:pPr>
            <w:r w:rsidRPr="00A433E2">
              <w:rPr>
                <w:rFonts w:ascii="Arial Narrow" w:hAnsi="Arial Narrow"/>
                <w:color w:val="000000"/>
                <w:sz w:val="20"/>
                <w:szCs w:val="20"/>
              </w:rPr>
              <w:t>$112.83</w:t>
            </w:r>
          </w:p>
        </w:tc>
        <w:tc>
          <w:tcPr>
            <w:tcW w:w="1814" w:type="dxa"/>
            <w:vAlign w:val="bottom"/>
          </w:tcPr>
          <w:p w:rsidR="00A433E2" w:rsidRPr="00A433E2" w:rsidRDefault="00A433E2" w:rsidP="00A433E2">
            <w:pPr>
              <w:spacing w:line="276" w:lineRule="auto"/>
              <w:jc w:val="right"/>
              <w:rPr>
                <w:rFonts w:ascii="Arial Narrow" w:hAnsi="Arial Narrow"/>
                <w:color w:val="000000"/>
                <w:sz w:val="20"/>
                <w:szCs w:val="20"/>
              </w:rPr>
            </w:pPr>
            <w:r w:rsidRPr="00A433E2">
              <w:rPr>
                <w:rFonts w:ascii="Arial Narrow" w:hAnsi="Arial Narrow"/>
                <w:color w:val="000000"/>
                <w:sz w:val="20"/>
                <w:szCs w:val="20"/>
              </w:rPr>
              <w:t>$0.53</w:t>
            </w:r>
          </w:p>
        </w:tc>
      </w:tr>
      <w:tr w:rsidR="00A433E2" w:rsidRPr="00A433E2" w:rsidTr="008274FA">
        <w:tc>
          <w:tcPr>
            <w:tcW w:w="3458" w:type="dxa"/>
            <w:shd w:val="clear" w:color="auto" w:fill="auto"/>
          </w:tcPr>
          <w:p w:rsidR="00A433E2" w:rsidRPr="00A433E2" w:rsidRDefault="00A433E2" w:rsidP="00A433E2">
            <w:pPr>
              <w:spacing w:line="276" w:lineRule="auto"/>
              <w:rPr>
                <w:rFonts w:ascii="Arial Narrow" w:hAnsi="Arial Narrow"/>
                <w:b/>
                <w:sz w:val="20"/>
                <w:szCs w:val="20"/>
              </w:rPr>
            </w:pPr>
            <w:r w:rsidRPr="00A433E2">
              <w:rPr>
                <w:rFonts w:ascii="Arial Narrow" w:hAnsi="Arial Narrow"/>
                <w:b/>
                <w:sz w:val="20"/>
                <w:szCs w:val="20"/>
              </w:rPr>
              <w:t>Proposed AEMP for 280-capsule pack</w:t>
            </w:r>
          </w:p>
        </w:tc>
        <w:tc>
          <w:tcPr>
            <w:tcW w:w="1361" w:type="dxa"/>
            <w:shd w:val="clear" w:color="auto" w:fill="auto"/>
            <w:vAlign w:val="bottom"/>
          </w:tcPr>
          <w:p w:rsidR="00A433E2" w:rsidRPr="00A433E2" w:rsidRDefault="00A433E2" w:rsidP="00A433E2">
            <w:pPr>
              <w:spacing w:line="276" w:lineRule="auto"/>
              <w:jc w:val="right"/>
              <w:rPr>
                <w:rFonts w:ascii="Arial Narrow" w:hAnsi="Arial Narrow"/>
                <w:color w:val="000000"/>
                <w:sz w:val="20"/>
                <w:szCs w:val="20"/>
              </w:rPr>
            </w:pPr>
            <w:r w:rsidRPr="00A433E2">
              <w:rPr>
                <w:rFonts w:ascii="Arial Narrow" w:hAnsi="Arial Narrow"/>
                <w:color w:val="000000"/>
                <w:sz w:val="20"/>
                <w:szCs w:val="20"/>
              </w:rPr>
              <w:t>$147.96</w:t>
            </w:r>
          </w:p>
        </w:tc>
        <w:tc>
          <w:tcPr>
            <w:tcW w:w="1531" w:type="dxa"/>
            <w:shd w:val="clear" w:color="auto" w:fill="auto"/>
            <w:vAlign w:val="bottom"/>
          </w:tcPr>
          <w:p w:rsidR="00A433E2" w:rsidRPr="00A433E2" w:rsidRDefault="00A433E2" w:rsidP="00A433E2">
            <w:pPr>
              <w:spacing w:line="276" w:lineRule="auto"/>
              <w:jc w:val="right"/>
              <w:rPr>
                <w:rFonts w:ascii="Arial Narrow" w:hAnsi="Arial Narrow"/>
                <w:color w:val="000000"/>
                <w:sz w:val="20"/>
                <w:szCs w:val="20"/>
              </w:rPr>
            </w:pPr>
            <w:r w:rsidRPr="00A433E2">
              <w:rPr>
                <w:rFonts w:ascii="Arial Narrow" w:hAnsi="Arial Narrow"/>
                <w:color w:val="000000"/>
                <w:sz w:val="20"/>
                <w:szCs w:val="20"/>
              </w:rPr>
              <w:t>$159.09</w:t>
            </w:r>
          </w:p>
        </w:tc>
        <w:tc>
          <w:tcPr>
            <w:tcW w:w="1020" w:type="dxa"/>
            <w:shd w:val="clear" w:color="auto" w:fill="auto"/>
            <w:vAlign w:val="bottom"/>
          </w:tcPr>
          <w:p w:rsidR="00A433E2" w:rsidRPr="00A433E2" w:rsidRDefault="00A433E2" w:rsidP="00A433E2">
            <w:pPr>
              <w:spacing w:line="276" w:lineRule="auto"/>
              <w:jc w:val="right"/>
              <w:rPr>
                <w:rFonts w:ascii="Arial Narrow" w:hAnsi="Arial Narrow"/>
                <w:color w:val="000000"/>
                <w:sz w:val="20"/>
                <w:szCs w:val="20"/>
              </w:rPr>
            </w:pPr>
            <w:r w:rsidRPr="00A433E2">
              <w:rPr>
                <w:rFonts w:ascii="Arial Narrow" w:hAnsi="Arial Narrow"/>
                <w:color w:val="000000"/>
                <w:sz w:val="20"/>
                <w:szCs w:val="20"/>
              </w:rPr>
              <w:t>$169.65</w:t>
            </w:r>
          </w:p>
        </w:tc>
        <w:tc>
          <w:tcPr>
            <w:tcW w:w="1814" w:type="dxa"/>
            <w:vAlign w:val="bottom"/>
          </w:tcPr>
          <w:p w:rsidR="00A433E2" w:rsidRPr="00A433E2" w:rsidRDefault="00A433E2" w:rsidP="00A433E2">
            <w:pPr>
              <w:spacing w:line="276" w:lineRule="auto"/>
              <w:jc w:val="right"/>
              <w:rPr>
                <w:rFonts w:ascii="Arial Narrow" w:hAnsi="Arial Narrow"/>
                <w:color w:val="000000"/>
                <w:sz w:val="20"/>
                <w:szCs w:val="20"/>
              </w:rPr>
            </w:pPr>
            <w:r w:rsidRPr="00A433E2">
              <w:rPr>
                <w:rFonts w:ascii="Arial Narrow" w:hAnsi="Arial Narrow"/>
                <w:color w:val="000000"/>
                <w:sz w:val="20"/>
                <w:szCs w:val="20"/>
              </w:rPr>
              <w:t>$0.53</w:t>
            </w:r>
          </w:p>
        </w:tc>
      </w:tr>
    </w:tbl>
    <w:p w:rsidR="00A433E2" w:rsidRPr="00A433E2" w:rsidRDefault="00A433E2" w:rsidP="00A433E2">
      <w:pPr>
        <w:ind w:left="720" w:hanging="720"/>
        <w:rPr>
          <w:rFonts w:asciiTheme="minorHAnsi" w:hAnsiTheme="minorHAnsi" w:cs="Arial"/>
          <w:snapToGrid w:val="0"/>
          <w:sz w:val="18"/>
          <w:szCs w:val="18"/>
          <w:lang w:eastAsia="en-US"/>
        </w:rPr>
      </w:pPr>
      <w:r w:rsidRPr="00A433E2">
        <w:rPr>
          <w:rFonts w:asciiTheme="minorHAnsi" w:hAnsiTheme="minorHAnsi" w:cs="Arial"/>
          <w:snapToGrid w:val="0"/>
          <w:sz w:val="18"/>
          <w:szCs w:val="18"/>
          <w:lang w:eastAsia="en-US"/>
        </w:rPr>
        <w:t>Source: Colazide Financial Implications Excel workbook, Pricing calculations worksheet, pg11 of the submission</w:t>
      </w:r>
    </w:p>
    <w:p w:rsidR="00A433E2" w:rsidRPr="00A433E2" w:rsidRDefault="00A433E2" w:rsidP="00A433E2"/>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The submission assumed that the uptake of balsalazide 280-capsule pack would replace the existing 180-capsule pack and did not expect it to impact on the overall market size for balsalazide. </w:t>
      </w:r>
    </w:p>
    <w:p w:rsidR="00A433E2" w:rsidRPr="00A433E2" w:rsidRDefault="00A433E2" w:rsidP="00A433E2">
      <w:pPr>
        <w:widowControl w:val="0"/>
        <w:ind w:left="720"/>
        <w:contextualSpacing/>
        <w:jc w:val="both"/>
        <w:rPr>
          <w:rFonts w:asciiTheme="minorHAnsi" w:hAnsiTheme="minorHAnsi" w:cs="Arial"/>
          <w:snapToGrid w:val="0"/>
          <w:sz w:val="22"/>
          <w:szCs w:val="22"/>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The submission also anticipated a reduction in the number of prescriptions and number of Authority Required approvals, as patients would receive sufficient medicines for one months’ supply with the new maximum quantity.</w:t>
      </w:r>
    </w:p>
    <w:p w:rsidR="00A433E2" w:rsidRPr="00A433E2" w:rsidRDefault="00A433E2" w:rsidP="00A433E2">
      <w:pPr>
        <w:widowControl w:val="0"/>
        <w:ind w:left="720"/>
        <w:contextualSpacing/>
        <w:jc w:val="both"/>
        <w:rPr>
          <w:rFonts w:asciiTheme="minorHAnsi" w:hAnsiTheme="minorHAnsi" w:cs="Arial"/>
          <w:snapToGrid w:val="0"/>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The minor submission estimated a total net cost to the PBS of less than $10 million over the first 5 years of listing (table 2), due to a reduction in the number of co-payments.  The submission also claimed savings to the MBS as a result of a reduction in the number of consultations. The sponsor assumed that all patients will attend only 2 appointments, instead of 3 per year. </w:t>
      </w:r>
    </w:p>
    <w:p w:rsidR="00A433E2" w:rsidRPr="00A433E2" w:rsidRDefault="00A433E2" w:rsidP="00A433E2">
      <w:pPr>
        <w:rPr>
          <w:rFonts w:asciiTheme="minorHAnsi" w:hAnsiTheme="minorHAnsi" w:cs="Arial"/>
          <w:snapToGrid w:val="0"/>
          <w:lang w:eastAsia="en-US"/>
        </w:rPr>
      </w:pPr>
    </w:p>
    <w:p w:rsidR="00A433E2" w:rsidRPr="00A433E2" w:rsidRDefault="00A433E2" w:rsidP="00A433E2">
      <w:pPr>
        <w:keepNext/>
        <w:spacing w:before="120"/>
        <w:jc w:val="both"/>
        <w:rPr>
          <w:rFonts w:ascii="Arial Narrow" w:hAnsi="Arial Narrow"/>
          <w:b/>
          <w:bCs/>
          <w:sz w:val="20"/>
          <w:szCs w:val="20"/>
        </w:rPr>
      </w:pPr>
      <w:r w:rsidRPr="00A433E2">
        <w:rPr>
          <w:rFonts w:ascii="Arial Narrow" w:hAnsi="Arial Narrow"/>
          <w:b/>
          <w:bCs/>
          <w:sz w:val="20"/>
          <w:szCs w:val="20"/>
        </w:rPr>
        <w:lastRenderedPageBreak/>
        <w:t xml:space="preserve">Table </w:t>
      </w:r>
      <w:r w:rsidRPr="00A433E2">
        <w:rPr>
          <w:rFonts w:ascii="Arial Narrow" w:hAnsi="Arial Narrow"/>
          <w:b/>
          <w:bCs/>
          <w:noProof/>
          <w:sz w:val="20"/>
          <w:szCs w:val="20"/>
        </w:rPr>
        <w:t>2</w:t>
      </w:r>
      <w:r w:rsidRPr="00A433E2">
        <w:rPr>
          <w:rFonts w:ascii="Arial Narrow" w:hAnsi="Arial Narrow"/>
          <w:b/>
          <w:bCs/>
          <w:sz w:val="20"/>
          <w:szCs w:val="20"/>
        </w:rPr>
        <w:t>: Estimated net cost to the PBS/RPBS for balsalazide 280-capsule pack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134"/>
        <w:gridCol w:w="1134"/>
        <w:gridCol w:w="1134"/>
        <w:gridCol w:w="1134"/>
      </w:tblGrid>
      <w:tr w:rsidR="00A433E2" w:rsidRPr="00A433E2" w:rsidTr="008274FA">
        <w:trPr>
          <w:trHeight w:val="321"/>
        </w:trPr>
        <w:tc>
          <w:tcPr>
            <w:tcW w:w="3510" w:type="dxa"/>
            <w:shd w:val="clear" w:color="000000" w:fill="BFBFBF"/>
            <w:noWrap/>
            <w:vAlign w:val="bottom"/>
            <w:hideMark/>
          </w:tcPr>
          <w:p w:rsidR="00A433E2" w:rsidRPr="00A433E2" w:rsidRDefault="00A433E2" w:rsidP="00A433E2">
            <w:pPr>
              <w:spacing w:line="276" w:lineRule="auto"/>
              <w:jc w:val="center"/>
              <w:rPr>
                <w:rFonts w:ascii="Arial Narrow" w:hAnsi="Arial Narrow" w:cs="Arial"/>
                <w:b/>
                <w:bCs/>
                <w:sz w:val="20"/>
                <w:szCs w:val="20"/>
                <w:lang w:val="en-US" w:eastAsia="en-US"/>
              </w:rPr>
            </w:pPr>
          </w:p>
        </w:tc>
        <w:tc>
          <w:tcPr>
            <w:tcW w:w="1134" w:type="dxa"/>
            <w:shd w:val="clear" w:color="000000" w:fill="BFBFBF"/>
            <w:noWrap/>
            <w:vAlign w:val="bottom"/>
            <w:hideMark/>
          </w:tcPr>
          <w:p w:rsidR="00A433E2" w:rsidRPr="00A433E2" w:rsidRDefault="00A433E2" w:rsidP="00A433E2">
            <w:pPr>
              <w:spacing w:line="276" w:lineRule="auto"/>
              <w:jc w:val="center"/>
              <w:rPr>
                <w:rFonts w:ascii="Arial Narrow" w:hAnsi="Arial Narrow" w:cs="Arial"/>
                <w:b/>
                <w:bCs/>
                <w:sz w:val="20"/>
                <w:szCs w:val="20"/>
              </w:rPr>
            </w:pPr>
            <w:r w:rsidRPr="00A433E2">
              <w:rPr>
                <w:rFonts w:ascii="Arial Narrow" w:hAnsi="Arial Narrow" w:cs="Arial"/>
                <w:b/>
                <w:bCs/>
                <w:sz w:val="20"/>
                <w:szCs w:val="20"/>
              </w:rPr>
              <w:t>Year 1</w:t>
            </w:r>
          </w:p>
        </w:tc>
        <w:tc>
          <w:tcPr>
            <w:tcW w:w="1134" w:type="dxa"/>
            <w:shd w:val="clear" w:color="000000" w:fill="BFBFBF"/>
            <w:noWrap/>
            <w:vAlign w:val="bottom"/>
            <w:hideMark/>
          </w:tcPr>
          <w:p w:rsidR="00A433E2" w:rsidRPr="00A433E2" w:rsidRDefault="00A433E2" w:rsidP="00A433E2">
            <w:pPr>
              <w:spacing w:line="276" w:lineRule="auto"/>
              <w:jc w:val="center"/>
              <w:rPr>
                <w:rFonts w:ascii="Arial Narrow" w:hAnsi="Arial Narrow" w:cs="Arial"/>
                <w:b/>
                <w:bCs/>
                <w:sz w:val="20"/>
                <w:szCs w:val="20"/>
              </w:rPr>
            </w:pPr>
            <w:r w:rsidRPr="00A433E2">
              <w:rPr>
                <w:rFonts w:ascii="Arial Narrow" w:hAnsi="Arial Narrow" w:cs="Arial"/>
                <w:b/>
                <w:bCs/>
                <w:sz w:val="20"/>
                <w:szCs w:val="20"/>
              </w:rPr>
              <w:t>Year 2</w:t>
            </w:r>
          </w:p>
        </w:tc>
        <w:tc>
          <w:tcPr>
            <w:tcW w:w="1134" w:type="dxa"/>
            <w:shd w:val="clear" w:color="000000" w:fill="BFBFBF"/>
            <w:noWrap/>
            <w:vAlign w:val="bottom"/>
            <w:hideMark/>
          </w:tcPr>
          <w:p w:rsidR="00A433E2" w:rsidRPr="00A433E2" w:rsidRDefault="00A433E2" w:rsidP="00A433E2">
            <w:pPr>
              <w:spacing w:line="276" w:lineRule="auto"/>
              <w:jc w:val="center"/>
              <w:rPr>
                <w:rFonts w:ascii="Arial Narrow" w:hAnsi="Arial Narrow" w:cs="Arial"/>
                <w:b/>
                <w:bCs/>
                <w:sz w:val="20"/>
                <w:szCs w:val="20"/>
              </w:rPr>
            </w:pPr>
            <w:r w:rsidRPr="00A433E2">
              <w:rPr>
                <w:rFonts w:ascii="Arial Narrow" w:hAnsi="Arial Narrow" w:cs="Arial"/>
                <w:b/>
                <w:bCs/>
                <w:sz w:val="20"/>
                <w:szCs w:val="20"/>
              </w:rPr>
              <w:t>Year 3</w:t>
            </w:r>
          </w:p>
        </w:tc>
        <w:tc>
          <w:tcPr>
            <w:tcW w:w="1134" w:type="dxa"/>
            <w:shd w:val="clear" w:color="000000" w:fill="BFBFBF"/>
            <w:noWrap/>
            <w:vAlign w:val="bottom"/>
            <w:hideMark/>
          </w:tcPr>
          <w:p w:rsidR="00A433E2" w:rsidRPr="00A433E2" w:rsidRDefault="00A433E2" w:rsidP="00A433E2">
            <w:pPr>
              <w:spacing w:line="276" w:lineRule="auto"/>
              <w:jc w:val="center"/>
              <w:rPr>
                <w:rFonts w:ascii="Arial Narrow" w:hAnsi="Arial Narrow" w:cs="Arial"/>
                <w:b/>
                <w:bCs/>
                <w:sz w:val="20"/>
                <w:szCs w:val="20"/>
              </w:rPr>
            </w:pPr>
            <w:r w:rsidRPr="00A433E2">
              <w:rPr>
                <w:rFonts w:ascii="Arial Narrow" w:hAnsi="Arial Narrow" w:cs="Arial"/>
                <w:b/>
                <w:bCs/>
                <w:sz w:val="20"/>
                <w:szCs w:val="20"/>
              </w:rPr>
              <w:t>Year 4</w:t>
            </w:r>
          </w:p>
        </w:tc>
        <w:tc>
          <w:tcPr>
            <w:tcW w:w="1134" w:type="dxa"/>
            <w:shd w:val="clear" w:color="000000" w:fill="BFBFBF"/>
            <w:noWrap/>
            <w:vAlign w:val="bottom"/>
            <w:hideMark/>
          </w:tcPr>
          <w:p w:rsidR="00A433E2" w:rsidRPr="00A433E2" w:rsidRDefault="00A433E2" w:rsidP="00A433E2">
            <w:pPr>
              <w:spacing w:line="276" w:lineRule="auto"/>
              <w:jc w:val="center"/>
              <w:rPr>
                <w:rFonts w:ascii="Arial Narrow" w:hAnsi="Arial Narrow" w:cs="Arial"/>
                <w:b/>
                <w:bCs/>
                <w:sz w:val="20"/>
                <w:szCs w:val="20"/>
              </w:rPr>
            </w:pPr>
            <w:r w:rsidRPr="00A433E2">
              <w:rPr>
                <w:rFonts w:ascii="Arial Narrow" w:hAnsi="Arial Narrow" w:cs="Arial"/>
                <w:b/>
                <w:bCs/>
                <w:sz w:val="20"/>
                <w:szCs w:val="20"/>
              </w:rPr>
              <w:t>Year 5</w:t>
            </w:r>
          </w:p>
        </w:tc>
      </w:tr>
      <w:tr w:rsidR="00A433E2" w:rsidRPr="00A433E2" w:rsidTr="008274FA">
        <w:trPr>
          <w:trHeight w:val="303"/>
        </w:trPr>
        <w:tc>
          <w:tcPr>
            <w:tcW w:w="3510" w:type="dxa"/>
            <w:tcBorders>
              <w:top w:val="single" w:sz="4" w:space="0" w:color="auto"/>
              <w:bottom w:val="single" w:sz="4" w:space="0" w:color="auto"/>
              <w:right w:val="single" w:sz="4" w:space="0" w:color="auto"/>
            </w:tcBorders>
            <w:shd w:val="clear" w:color="auto" w:fill="auto"/>
            <w:noWrap/>
            <w:vAlign w:val="bottom"/>
            <w:hideMark/>
          </w:tcPr>
          <w:p w:rsidR="00A433E2" w:rsidRPr="00A433E2" w:rsidRDefault="00A433E2" w:rsidP="00A433E2">
            <w:pPr>
              <w:spacing w:line="276" w:lineRule="auto"/>
              <w:rPr>
                <w:rFonts w:ascii="Arial Narrow" w:hAnsi="Arial Narrow" w:cs="Arial"/>
                <w:sz w:val="20"/>
                <w:szCs w:val="20"/>
              </w:rPr>
            </w:pPr>
            <w:r w:rsidRPr="00A433E2">
              <w:rPr>
                <w:rFonts w:ascii="Arial Narrow" w:hAnsi="Arial Narrow" w:cs="Arial"/>
                <w:sz w:val="20"/>
                <w:szCs w:val="20"/>
              </w:rPr>
              <w:t>Projected net cost of new listing to the PBS/RPBS less co-payments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olor w:val="000000"/>
                <w:sz w:val="20"/>
                <w:szCs w:val="20"/>
              </w:rPr>
              <w:t>$</w:t>
            </w:r>
            <w:r w:rsidRPr="00A433E2">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olor w:val="000000"/>
                <w:sz w:val="20"/>
                <w:szCs w:val="20"/>
              </w:rPr>
              <w:t>$</w:t>
            </w:r>
            <w:r w:rsidRPr="00A433E2">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olor w:val="000000"/>
                <w:sz w:val="20"/>
                <w:szCs w:val="20"/>
              </w:rPr>
              <w:t>$</w:t>
            </w:r>
            <w:r w:rsidRPr="00A433E2">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olor w:val="000000"/>
                <w:sz w:val="20"/>
                <w:szCs w:val="20"/>
              </w:rPr>
              <w:t>$</w:t>
            </w:r>
            <w:r w:rsidRPr="00A433E2">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olor w:val="000000"/>
                <w:sz w:val="20"/>
                <w:szCs w:val="20"/>
              </w:rPr>
              <w:t>$</w:t>
            </w:r>
            <w:r w:rsidRPr="00A433E2">
              <w:rPr>
                <w:rFonts w:ascii="Arial Narrow" w:hAnsi="Arial Narrow"/>
                <w:noProof/>
                <w:color w:val="000000"/>
                <w:sz w:val="20"/>
                <w:szCs w:val="20"/>
                <w:highlight w:val="black"/>
              </w:rPr>
              <w:t>'''''''''''''''''''</w:t>
            </w:r>
          </w:p>
        </w:tc>
      </w:tr>
      <w:tr w:rsidR="00A433E2" w:rsidRPr="00A433E2" w:rsidTr="008274FA">
        <w:trPr>
          <w:trHeight w:val="303"/>
        </w:trPr>
        <w:tc>
          <w:tcPr>
            <w:tcW w:w="3510" w:type="dxa"/>
            <w:shd w:val="clear" w:color="auto" w:fill="auto"/>
            <w:noWrap/>
            <w:vAlign w:val="bottom"/>
            <w:hideMark/>
          </w:tcPr>
          <w:p w:rsidR="00A433E2" w:rsidRPr="00A433E2" w:rsidRDefault="00A433E2" w:rsidP="00A433E2">
            <w:pPr>
              <w:spacing w:line="276" w:lineRule="auto"/>
              <w:rPr>
                <w:rFonts w:ascii="Arial Narrow" w:hAnsi="Arial Narrow" w:cs="Arial"/>
                <w:sz w:val="20"/>
                <w:szCs w:val="20"/>
              </w:rPr>
            </w:pPr>
            <w:r w:rsidRPr="00A433E2">
              <w:rPr>
                <w:rFonts w:ascii="Arial Narrow" w:hAnsi="Arial Narrow" w:cs="Arial"/>
                <w:sz w:val="20"/>
                <w:szCs w:val="20"/>
              </w:rPr>
              <w:t>Projected net costs of displaced medicines to the PBS/RPBS less co-payments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r>
      <w:tr w:rsidR="00A433E2" w:rsidRPr="00A433E2" w:rsidTr="008274FA">
        <w:trPr>
          <w:trHeight w:val="303"/>
        </w:trPr>
        <w:tc>
          <w:tcPr>
            <w:tcW w:w="3510" w:type="dxa"/>
            <w:shd w:val="clear" w:color="auto" w:fill="auto"/>
            <w:noWrap/>
            <w:vAlign w:val="bottom"/>
            <w:hideMark/>
          </w:tcPr>
          <w:p w:rsidR="00A433E2" w:rsidRPr="00A433E2" w:rsidRDefault="00A433E2" w:rsidP="00A433E2">
            <w:pPr>
              <w:spacing w:line="276" w:lineRule="auto"/>
              <w:rPr>
                <w:rFonts w:ascii="Arial Narrow" w:hAnsi="Arial Narrow" w:cs="Arial"/>
                <w:sz w:val="20"/>
                <w:szCs w:val="20"/>
              </w:rPr>
            </w:pPr>
            <w:r w:rsidRPr="00A433E2">
              <w:rPr>
                <w:rFonts w:ascii="Arial Narrow" w:hAnsi="Arial Narrow" w:cs="Arial"/>
                <w:sz w:val="20"/>
                <w:szCs w:val="20"/>
              </w:rPr>
              <w:t>Net impact to the PBS/RPBS to the PBS/RPBS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r>
      <w:tr w:rsidR="00A433E2" w:rsidRPr="00A433E2" w:rsidTr="008274FA">
        <w:trPr>
          <w:trHeight w:val="303"/>
        </w:trPr>
        <w:tc>
          <w:tcPr>
            <w:tcW w:w="3510" w:type="dxa"/>
            <w:shd w:val="clear" w:color="auto" w:fill="auto"/>
            <w:noWrap/>
            <w:vAlign w:val="bottom"/>
          </w:tcPr>
          <w:p w:rsidR="00A433E2" w:rsidRPr="00A433E2" w:rsidRDefault="00A433E2" w:rsidP="00A433E2">
            <w:pPr>
              <w:spacing w:line="276" w:lineRule="auto"/>
              <w:rPr>
                <w:rFonts w:ascii="Arial Narrow" w:hAnsi="Arial Narrow" w:cs="Arial"/>
                <w:sz w:val="20"/>
                <w:szCs w:val="20"/>
              </w:rPr>
            </w:pPr>
            <w:r w:rsidRPr="00A433E2">
              <w:rPr>
                <w:rFonts w:ascii="Arial Narrow" w:hAnsi="Arial Narrow" w:cs="Arial"/>
                <w:sz w:val="20"/>
                <w:szCs w:val="20"/>
              </w:rPr>
              <w:t>Net impact to the MBS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r>
      <w:tr w:rsidR="00A433E2" w:rsidRPr="00A433E2" w:rsidTr="008274FA">
        <w:trPr>
          <w:trHeight w:val="303"/>
        </w:trPr>
        <w:tc>
          <w:tcPr>
            <w:tcW w:w="3510" w:type="dxa"/>
            <w:shd w:val="clear" w:color="auto" w:fill="auto"/>
            <w:noWrap/>
            <w:vAlign w:val="bottom"/>
          </w:tcPr>
          <w:p w:rsidR="00A433E2" w:rsidRPr="00A433E2" w:rsidRDefault="00A433E2" w:rsidP="00A433E2">
            <w:pPr>
              <w:spacing w:line="276" w:lineRule="auto"/>
              <w:rPr>
                <w:rFonts w:ascii="Arial Narrow" w:hAnsi="Arial Narrow" w:cs="Arial"/>
                <w:sz w:val="20"/>
                <w:szCs w:val="20"/>
              </w:rPr>
            </w:pPr>
            <w:r w:rsidRPr="00A433E2">
              <w:rPr>
                <w:rFonts w:ascii="Arial Narrow" w:hAnsi="Arial Narrow" w:cs="Arial"/>
                <w:sz w:val="20"/>
                <w:szCs w:val="20"/>
              </w:rPr>
              <w:t>Net impact to government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3E2" w:rsidRPr="00A433E2" w:rsidRDefault="00A433E2" w:rsidP="00A433E2">
            <w:pPr>
              <w:spacing w:line="276" w:lineRule="auto"/>
              <w:jc w:val="right"/>
              <w:rPr>
                <w:rFonts w:ascii="Arial Narrow" w:hAnsi="Arial Narrow" w:cs="Arial"/>
                <w:sz w:val="20"/>
                <w:szCs w:val="20"/>
              </w:rPr>
            </w:pPr>
            <w:r w:rsidRPr="00A433E2">
              <w:rPr>
                <w:rFonts w:ascii="Arial Narrow" w:hAnsi="Arial Narrow" w:cs="Arial"/>
                <w:sz w:val="20"/>
                <w:szCs w:val="20"/>
              </w:rPr>
              <w:t>-$</w:t>
            </w:r>
            <w:r w:rsidRPr="00A433E2">
              <w:rPr>
                <w:rFonts w:ascii="Arial Narrow" w:hAnsi="Arial Narrow" w:cs="Arial"/>
                <w:noProof/>
                <w:color w:val="000000"/>
                <w:sz w:val="20"/>
                <w:szCs w:val="20"/>
                <w:highlight w:val="black"/>
              </w:rPr>
              <w:t>'''''''''''''''</w:t>
            </w:r>
          </w:p>
        </w:tc>
      </w:tr>
    </w:tbl>
    <w:p w:rsidR="00A433E2" w:rsidRPr="00A433E2" w:rsidRDefault="00A433E2" w:rsidP="00A433E2">
      <w:pPr>
        <w:rPr>
          <w:rFonts w:asciiTheme="minorHAnsi" w:hAnsiTheme="minorHAnsi" w:cs="Arial"/>
          <w:i/>
          <w:snapToGrid w:val="0"/>
          <w:sz w:val="18"/>
          <w:szCs w:val="18"/>
          <w:lang w:eastAsia="en-US"/>
        </w:rPr>
      </w:pPr>
      <w:r w:rsidRPr="00A433E2">
        <w:rPr>
          <w:rFonts w:asciiTheme="minorHAnsi" w:hAnsiTheme="minorHAnsi" w:cs="Arial"/>
          <w:i/>
          <w:snapToGrid w:val="0"/>
          <w:sz w:val="18"/>
          <w:szCs w:val="18"/>
          <w:lang w:eastAsia="en-US"/>
        </w:rPr>
        <w:t>Source: Financial Implications Workbook</w:t>
      </w:r>
    </w:p>
    <w:p w:rsidR="00A433E2" w:rsidRPr="00A433E2" w:rsidRDefault="00A433E2" w:rsidP="00A433E2">
      <w:pPr>
        <w:widowControl w:val="0"/>
        <w:ind w:left="720"/>
        <w:contextualSpacing/>
        <w:jc w:val="both"/>
        <w:rPr>
          <w:rFonts w:asciiTheme="minorHAnsi" w:hAnsiTheme="minorHAnsi" w:cs="Arial"/>
          <w:snapToGrid w:val="0"/>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However, there appeared to be some discrepancies in the estimated financial impact:</w:t>
      </w:r>
    </w:p>
    <w:p w:rsidR="00A433E2" w:rsidRPr="00A433E2" w:rsidRDefault="00A433E2" w:rsidP="00A433E2">
      <w:pPr>
        <w:widowControl w:val="0"/>
        <w:ind w:left="720"/>
        <w:contextualSpacing/>
        <w:jc w:val="both"/>
        <w:rPr>
          <w:rFonts w:asciiTheme="minorHAnsi" w:hAnsiTheme="minorHAnsi" w:cs="Arial"/>
          <w:snapToGrid w:val="0"/>
          <w:sz w:val="22"/>
          <w:szCs w:val="22"/>
          <w:lang w:eastAsia="en-US"/>
        </w:rPr>
      </w:pPr>
    </w:p>
    <w:p w:rsidR="00A433E2" w:rsidRPr="00A433E2" w:rsidRDefault="00A433E2" w:rsidP="00A433E2">
      <w:pPr>
        <w:widowControl w:val="0"/>
        <w:numPr>
          <w:ilvl w:val="1"/>
          <w:numId w:val="21"/>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The submission assumed that 80% of patients will be on active treatment or maintenance treatment at 8 capsules per day and will require larger quantities. This is inconsistent with the previous estimate that 17% of patients would be on active treatment, and the recommended dosage for maintenance treatment. Although the pre-PBAC response (p2) provided a sensitivity analysis where 17% of patients required an increase in maximum quantity, this was still higher than observed in the PBS data.</w:t>
      </w:r>
    </w:p>
    <w:p w:rsidR="00A433E2" w:rsidRPr="00A433E2" w:rsidRDefault="00A433E2" w:rsidP="00A433E2">
      <w:pPr>
        <w:widowControl w:val="0"/>
        <w:contextualSpacing/>
        <w:jc w:val="both"/>
        <w:rPr>
          <w:rFonts w:asciiTheme="minorHAnsi" w:hAnsiTheme="minorHAnsi" w:cs="Arial"/>
          <w:snapToGrid w:val="0"/>
          <w:lang w:eastAsia="en-US"/>
        </w:rPr>
      </w:pPr>
    </w:p>
    <w:p w:rsidR="00A433E2" w:rsidRPr="00A433E2" w:rsidRDefault="00A433E2" w:rsidP="00A433E2">
      <w:pPr>
        <w:widowControl w:val="0"/>
        <w:numPr>
          <w:ilvl w:val="1"/>
          <w:numId w:val="21"/>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The submission assumed that all of these patients are currently getting additional scripts to meet their dosing requirements, whilst also assuming that 80% of them are also seeking a telephone authority approval for an increased maximum quantity. These estimates have not been justified and appear to overestimate the reduction in co-payments and/or the reduction in the number of telephone authority requests. The pre-PBAC response (p2) acknowledged this and applied revised estimates which resulted in a small saving to government.</w:t>
      </w:r>
    </w:p>
    <w:p w:rsidR="00A433E2" w:rsidRPr="00A433E2" w:rsidRDefault="00A433E2" w:rsidP="00A433E2">
      <w:pPr>
        <w:widowControl w:val="0"/>
        <w:contextualSpacing/>
        <w:jc w:val="both"/>
        <w:rPr>
          <w:rFonts w:asciiTheme="minorHAnsi" w:hAnsiTheme="minorHAnsi" w:cs="Arial"/>
          <w:snapToGrid w:val="0"/>
          <w:lang w:eastAsia="en-US"/>
        </w:rPr>
      </w:pPr>
    </w:p>
    <w:p w:rsidR="00A433E2" w:rsidRPr="00A433E2" w:rsidRDefault="00A433E2" w:rsidP="00A433E2">
      <w:pPr>
        <w:widowControl w:val="0"/>
        <w:numPr>
          <w:ilvl w:val="1"/>
          <w:numId w:val="21"/>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The submission also assumed that all current patients require higher quantities, and all will attend additional appointments to get more scripts. This is inconsistent with the previous estimates that only 80% of patients require higher quantities, and that 80% of these are currently seeking a telephone authority for increased maximum quantities, and therefore overestimates the savings to Medicare.</w:t>
      </w:r>
    </w:p>
    <w:p w:rsidR="00A433E2" w:rsidRPr="00A433E2" w:rsidRDefault="00A433E2" w:rsidP="00A433E2">
      <w:pPr>
        <w:widowControl w:val="0"/>
        <w:ind w:left="720"/>
        <w:contextualSpacing/>
        <w:jc w:val="both"/>
        <w:rPr>
          <w:rFonts w:asciiTheme="minorHAnsi" w:hAnsiTheme="minorHAnsi" w:cs="Arial"/>
          <w:snapToGrid w:val="0"/>
          <w:lang w:eastAsia="en-US"/>
        </w:rPr>
      </w:pPr>
    </w:p>
    <w:p w:rsidR="00A433E2" w:rsidRPr="00A433E2" w:rsidRDefault="00A433E2" w:rsidP="00A433E2">
      <w:pPr>
        <w:widowControl w:val="0"/>
        <w:numPr>
          <w:ilvl w:val="1"/>
          <w:numId w:val="21"/>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The expected saving from reduced visits to consultant physicians (MBS Item 116), will not be realised as the system is considered to act at capacity and a reduction in its use by one groups of patients does not result in a harvestable saving. The pre-PBAC response (p2) argued that regardless of whether the MBS is acting at capacity or not, the opportunity cost forgone by providing an additional consultation to a patient for the provision of a Colazide prescription presents a tangible and quantifiable cost to the healthcare system. </w:t>
      </w:r>
    </w:p>
    <w:p w:rsidR="00A433E2" w:rsidRPr="00A433E2" w:rsidRDefault="00A433E2" w:rsidP="00A433E2">
      <w:pPr>
        <w:widowControl w:val="0"/>
        <w:ind w:left="720"/>
        <w:contextualSpacing/>
        <w:jc w:val="both"/>
        <w:rPr>
          <w:rFonts w:asciiTheme="minorHAnsi" w:hAnsiTheme="minorHAnsi" w:cs="Arial"/>
          <w:snapToGrid w:val="0"/>
          <w:lang w:eastAsia="en-US"/>
        </w:rPr>
      </w:pPr>
    </w:p>
    <w:p w:rsidR="00A433E2" w:rsidRPr="00A433E2" w:rsidRDefault="00A433E2" w:rsidP="00A433E2">
      <w:pPr>
        <w:widowControl w:val="0"/>
        <w:numPr>
          <w:ilvl w:val="1"/>
          <w:numId w:val="21"/>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The increased risk of wastage was not addressed by the submission. The pre</w:t>
      </w:r>
      <w:r w:rsidRPr="00A433E2">
        <w:rPr>
          <w:rFonts w:asciiTheme="minorHAnsi" w:hAnsiTheme="minorHAnsi" w:cs="Arial"/>
          <w:snapToGrid w:val="0"/>
          <w:lang w:eastAsia="en-US"/>
        </w:rPr>
        <w:noBreakHyphen/>
        <w:t>PBAC response (p2) claimed that wastage would be consistent with other PBS listed medicines of a relapsing-remitting nature and would be offset by savings to the MBS. However, this was inadequately justified.</w:t>
      </w:r>
    </w:p>
    <w:p w:rsidR="00A433E2" w:rsidRPr="00A433E2" w:rsidRDefault="00A433E2" w:rsidP="00A433E2">
      <w:pPr>
        <w:widowControl w:val="0"/>
        <w:ind w:left="720"/>
        <w:contextualSpacing/>
        <w:jc w:val="both"/>
        <w:rPr>
          <w:rFonts w:asciiTheme="minorHAnsi" w:hAnsiTheme="minorHAnsi" w:cs="Arial"/>
          <w:snapToGrid w:val="0"/>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The PBAC therefore considered that the submission’s assumptions and the resulting estimate of financial implications did not appear well justified. </w:t>
      </w:r>
    </w:p>
    <w:p w:rsidR="00A433E2" w:rsidRPr="00A433E2" w:rsidRDefault="00A433E2" w:rsidP="00A433E2">
      <w:pPr>
        <w:rPr>
          <w:rFonts w:asciiTheme="minorHAnsi" w:hAnsiTheme="minorHAnsi"/>
          <w:szCs w:val="22"/>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The PBAC noted that there is an upcoming DUSC review to assess whether the increasing utilisation of 5-aminosalicylic acid medicines is due to more patients receiving treatment or higher doses (DUSC Outcome Statement, September 2016). The PBAC noted that there may be grounds to confirm the cost-effectiveness of colitis treatments used at higher doses. </w:t>
      </w:r>
    </w:p>
    <w:p w:rsidR="00A433E2" w:rsidRPr="00A433E2" w:rsidRDefault="00A433E2" w:rsidP="00A433E2">
      <w:pPr>
        <w:jc w:val="both"/>
        <w:rPr>
          <w:rFonts w:asciiTheme="minorHAnsi" w:hAnsiTheme="minorHAnsi"/>
          <w:sz w:val="22"/>
          <w:szCs w:val="22"/>
        </w:rPr>
      </w:pPr>
    </w:p>
    <w:p w:rsidR="00A433E2" w:rsidRPr="00A433E2" w:rsidRDefault="00A433E2" w:rsidP="00A433E2">
      <w:pPr>
        <w:ind w:firstLine="720"/>
        <w:jc w:val="both"/>
        <w:rPr>
          <w:rFonts w:asciiTheme="minorHAnsi" w:hAnsiTheme="minorHAnsi"/>
          <w:i/>
        </w:rPr>
      </w:pPr>
      <w:r w:rsidRPr="00A433E2">
        <w:rPr>
          <w:rFonts w:asciiTheme="minorHAnsi" w:hAnsiTheme="minorHAnsi"/>
          <w:i/>
        </w:rPr>
        <w:t>For more detail on PBAC’s view, see section 6 “PBAC outcome.”</w:t>
      </w:r>
    </w:p>
    <w:p w:rsidR="00A433E2" w:rsidRPr="00A433E2" w:rsidRDefault="00A433E2" w:rsidP="00A433E2">
      <w:pPr>
        <w:jc w:val="both"/>
        <w:rPr>
          <w:rFonts w:asciiTheme="minorHAnsi" w:hAnsiTheme="minorHAnsi"/>
          <w:i/>
        </w:rPr>
      </w:pPr>
    </w:p>
    <w:p w:rsidR="00A433E2" w:rsidRPr="00A433E2" w:rsidRDefault="00A433E2" w:rsidP="00A433E2">
      <w:pPr>
        <w:jc w:val="both"/>
        <w:rPr>
          <w:rFonts w:asciiTheme="minorHAnsi" w:hAnsiTheme="minorHAnsi"/>
          <w:sz w:val="22"/>
          <w:szCs w:val="22"/>
        </w:rPr>
      </w:pPr>
    </w:p>
    <w:p w:rsidR="00A433E2" w:rsidRPr="00A433E2" w:rsidRDefault="00A433E2" w:rsidP="00A433E2">
      <w:pPr>
        <w:numPr>
          <w:ilvl w:val="0"/>
          <w:numId w:val="5"/>
        </w:numPr>
        <w:outlineLvl w:val="0"/>
        <w:rPr>
          <w:rFonts w:asciiTheme="minorHAnsi" w:hAnsiTheme="minorHAnsi" w:cs="Arial"/>
          <w:b/>
          <w:snapToGrid w:val="0"/>
          <w:sz w:val="32"/>
          <w:szCs w:val="32"/>
          <w:lang w:eastAsia="en-US"/>
        </w:rPr>
      </w:pPr>
      <w:r w:rsidRPr="00A433E2">
        <w:rPr>
          <w:rFonts w:asciiTheme="minorHAnsi" w:hAnsiTheme="minorHAnsi" w:cs="Arial"/>
          <w:b/>
          <w:snapToGrid w:val="0"/>
          <w:sz w:val="32"/>
          <w:szCs w:val="32"/>
          <w:lang w:eastAsia="en-US"/>
        </w:rPr>
        <w:t>PBAC Outcome</w:t>
      </w:r>
    </w:p>
    <w:p w:rsidR="00A433E2" w:rsidRPr="00A433E2" w:rsidRDefault="00A433E2" w:rsidP="00A433E2"/>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The PBAC deferred the request to increase the maximum quantity of the currently listed pharmaceutical item balsalazide (Colazide®) to 280 capsules, to allow further analysis of utilisation, and consideration of the impact that an increase in maximum quantity may have on wastage, as well as the impact of higher doses on quality use of medicines and the cost-effectiveness of balsalazide treatment. </w:t>
      </w:r>
    </w:p>
    <w:p w:rsidR="00A433E2" w:rsidRPr="00A433E2" w:rsidRDefault="00A433E2" w:rsidP="00A433E2">
      <w:pPr>
        <w:widowControl w:val="0"/>
        <w:ind w:left="720"/>
        <w:contextualSpacing/>
        <w:jc w:val="both"/>
        <w:rPr>
          <w:rFonts w:asciiTheme="minorHAnsi" w:hAnsiTheme="minorHAnsi" w:cs="Arial"/>
          <w:snapToGrid w:val="0"/>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The PBAC recalled that it recommended the listing of balsalazide on a cost</w:t>
      </w:r>
      <w:r w:rsidRPr="00A433E2">
        <w:rPr>
          <w:rFonts w:asciiTheme="minorHAnsi" w:hAnsiTheme="minorHAnsi" w:cs="Arial"/>
          <w:snapToGrid w:val="0"/>
          <w:lang w:eastAsia="en-US"/>
        </w:rPr>
        <w:noBreakHyphen/>
        <w:t xml:space="preserve">minimisation basis compared to mesalazine. The recommended maximum quantity was based on trial data and the dose of the comparator, mesalazine. </w:t>
      </w:r>
    </w:p>
    <w:p w:rsidR="00A433E2" w:rsidRPr="00A433E2" w:rsidRDefault="00A433E2" w:rsidP="00A433E2">
      <w:pPr>
        <w:widowControl w:val="0"/>
        <w:ind w:left="720"/>
        <w:contextualSpacing/>
        <w:jc w:val="both"/>
        <w:rPr>
          <w:rFonts w:asciiTheme="minorHAnsi" w:hAnsiTheme="minorHAnsi" w:cs="Arial"/>
          <w:snapToGrid w:val="0"/>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The PBAC noted that while the requested increase in maximum quantity would allow for the supply of one months’ treatment of active disease, the recommended course of treatment for active disease is only 12 weeks; whereas each prescription provides for five repeats, or equivalent to six months treatment of active disease. As such, an increase in the maximum quantity increased the risk of wastage, and would also allow for use at higher doses than considered cost-effective at the time this listing was recommended.</w:t>
      </w:r>
    </w:p>
    <w:p w:rsidR="00A433E2" w:rsidRPr="00A433E2" w:rsidRDefault="00A433E2" w:rsidP="00A433E2">
      <w:pPr>
        <w:rPr>
          <w:rFonts w:asciiTheme="minorHAnsi" w:hAnsiTheme="minorHAnsi"/>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The PBAC considered the submission’s claim that 80% of patients require larger quantities of balsalazide was not adequately justified. The PBAC noted that PBS dispensing data for the 2016 calendar year indicated that 88% of PBS subsidised dispensing was for amounts less than or equal to 180 capsules. The PBAC therefore considered that further analyses are required to investigate the current prescribing pattern for balsalazide, to determine whether there is a need for a change to the maximum quantity. </w:t>
      </w:r>
    </w:p>
    <w:p w:rsidR="00A433E2" w:rsidRPr="00A433E2" w:rsidRDefault="00A433E2" w:rsidP="00A433E2">
      <w:pPr>
        <w:widowControl w:val="0"/>
        <w:ind w:left="720"/>
        <w:contextualSpacing/>
        <w:jc w:val="both"/>
        <w:rPr>
          <w:rFonts w:asciiTheme="minorHAnsi" w:hAnsiTheme="minorHAnsi" w:cs="Arial"/>
          <w:snapToGrid w:val="0"/>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The PBAC also noted that the DUSC is undertaking further analyses to understand the patterns of use of 5-ASAs, including balsalazide, and considered that the findings would be relevant to this request.</w:t>
      </w:r>
    </w:p>
    <w:p w:rsidR="00A433E2" w:rsidRPr="00A433E2" w:rsidRDefault="00A433E2" w:rsidP="00A433E2">
      <w:pPr>
        <w:widowControl w:val="0"/>
        <w:ind w:left="720"/>
        <w:contextualSpacing/>
        <w:jc w:val="both"/>
        <w:rPr>
          <w:rFonts w:asciiTheme="minorHAnsi" w:hAnsiTheme="minorHAnsi" w:cs="Arial"/>
          <w:snapToGrid w:val="0"/>
          <w:lang w:eastAsia="en-US"/>
        </w:rPr>
      </w:pPr>
    </w:p>
    <w:p w:rsidR="00A433E2" w:rsidRPr="00A433E2" w:rsidRDefault="00A433E2" w:rsidP="00A433E2">
      <w:pPr>
        <w:widowControl w:val="0"/>
        <w:numPr>
          <w:ilvl w:val="1"/>
          <w:numId w:val="5"/>
        </w:numPr>
        <w:contextualSpacing/>
        <w:jc w:val="both"/>
        <w:rPr>
          <w:rFonts w:asciiTheme="minorHAnsi" w:hAnsiTheme="minorHAnsi" w:cs="Arial"/>
          <w:snapToGrid w:val="0"/>
          <w:lang w:eastAsia="en-US"/>
        </w:rPr>
      </w:pPr>
      <w:r w:rsidRPr="00A433E2">
        <w:rPr>
          <w:rFonts w:asciiTheme="minorHAnsi" w:hAnsiTheme="minorHAnsi" w:cs="Arial"/>
          <w:snapToGrid w:val="0"/>
          <w:lang w:eastAsia="en-US"/>
        </w:rPr>
        <w:t xml:space="preserve">The PBAC noted that this submission does not meet the criteria for an Independent Review because it is relates to an existing listing. </w:t>
      </w:r>
    </w:p>
    <w:p w:rsidR="00A433E2" w:rsidRPr="00A433E2" w:rsidRDefault="00A433E2" w:rsidP="00A433E2">
      <w:pPr>
        <w:rPr>
          <w:rFonts w:asciiTheme="minorHAnsi" w:hAnsiTheme="minorHAnsi"/>
        </w:rPr>
      </w:pPr>
    </w:p>
    <w:p w:rsidR="00A433E2" w:rsidRPr="00A433E2" w:rsidRDefault="00A433E2" w:rsidP="00A433E2">
      <w:pPr>
        <w:spacing w:before="240"/>
        <w:jc w:val="both"/>
        <w:rPr>
          <w:rFonts w:asciiTheme="minorHAnsi" w:hAnsiTheme="minorHAnsi" w:cs="Arial"/>
          <w:b/>
          <w:bCs/>
          <w:snapToGrid w:val="0"/>
          <w:lang w:val="en-GB"/>
        </w:rPr>
      </w:pPr>
      <w:r w:rsidRPr="00A433E2">
        <w:rPr>
          <w:rFonts w:asciiTheme="minorHAnsi" w:hAnsiTheme="minorHAnsi" w:cs="Arial"/>
          <w:b/>
          <w:bCs/>
          <w:snapToGrid w:val="0"/>
          <w:lang w:val="en-GB"/>
        </w:rPr>
        <w:t>Outcome:</w:t>
      </w:r>
    </w:p>
    <w:p w:rsidR="00A433E2" w:rsidRPr="00A433E2" w:rsidRDefault="00A433E2" w:rsidP="00A433E2">
      <w:pPr>
        <w:jc w:val="both"/>
        <w:rPr>
          <w:rFonts w:asciiTheme="minorHAnsi" w:hAnsiTheme="minorHAnsi" w:cs="Arial"/>
          <w:bCs/>
          <w:snapToGrid w:val="0"/>
          <w:lang w:val="en-GB"/>
        </w:rPr>
      </w:pPr>
      <w:r w:rsidRPr="00A433E2">
        <w:rPr>
          <w:rFonts w:asciiTheme="minorHAnsi" w:hAnsiTheme="minorHAnsi" w:cs="Arial"/>
          <w:bCs/>
          <w:snapToGrid w:val="0"/>
          <w:lang w:val="en-GB"/>
        </w:rPr>
        <w:t>Deferred</w:t>
      </w:r>
    </w:p>
    <w:p w:rsidR="00A433E2" w:rsidRPr="00A433E2" w:rsidRDefault="00A433E2" w:rsidP="00A433E2">
      <w:pPr>
        <w:widowControl w:val="0"/>
        <w:jc w:val="both"/>
        <w:rPr>
          <w:rFonts w:asciiTheme="minorHAnsi" w:hAnsiTheme="minorHAnsi" w:cs="Arial"/>
          <w:b/>
          <w:bCs/>
          <w:snapToGrid w:val="0"/>
        </w:rPr>
      </w:pPr>
    </w:p>
    <w:p w:rsidR="00A433E2" w:rsidRPr="00A433E2" w:rsidRDefault="00A433E2" w:rsidP="00A433E2">
      <w:pPr>
        <w:numPr>
          <w:ilvl w:val="0"/>
          <w:numId w:val="5"/>
        </w:numPr>
        <w:outlineLvl w:val="0"/>
        <w:rPr>
          <w:rFonts w:asciiTheme="minorHAnsi" w:eastAsiaTheme="minorHAnsi" w:hAnsiTheme="minorHAnsi" w:cstheme="minorBidi"/>
          <w:b/>
          <w:snapToGrid w:val="0"/>
          <w:sz w:val="32"/>
          <w:szCs w:val="32"/>
          <w:lang w:eastAsia="en-US"/>
        </w:rPr>
      </w:pPr>
      <w:r w:rsidRPr="00A433E2">
        <w:rPr>
          <w:rFonts w:asciiTheme="minorHAnsi" w:eastAsiaTheme="minorHAnsi" w:hAnsiTheme="minorHAnsi" w:cstheme="minorBidi"/>
          <w:b/>
          <w:snapToGrid w:val="0"/>
          <w:sz w:val="32"/>
          <w:szCs w:val="32"/>
          <w:lang w:eastAsia="en-US"/>
        </w:rPr>
        <w:t>Context for Decision</w:t>
      </w:r>
    </w:p>
    <w:p w:rsidR="00A433E2" w:rsidRPr="00A433E2" w:rsidRDefault="00A433E2" w:rsidP="00A433E2">
      <w:pPr>
        <w:spacing w:line="276" w:lineRule="auto"/>
        <w:ind w:left="426"/>
        <w:jc w:val="both"/>
        <w:rPr>
          <w:rFonts w:asciiTheme="minorHAnsi" w:eastAsiaTheme="minorHAnsi" w:hAnsiTheme="minorHAnsi" w:cs="Arial"/>
          <w:lang w:eastAsia="en-US"/>
        </w:rPr>
      </w:pPr>
    </w:p>
    <w:p w:rsidR="00A433E2" w:rsidRPr="00A433E2" w:rsidRDefault="00A433E2" w:rsidP="00A433E2">
      <w:pPr>
        <w:spacing w:line="276" w:lineRule="auto"/>
        <w:jc w:val="both"/>
        <w:rPr>
          <w:rFonts w:asciiTheme="minorHAnsi" w:eastAsiaTheme="minorHAnsi" w:hAnsiTheme="minorHAnsi" w:cs="Arial"/>
          <w:lang w:eastAsia="en-US"/>
        </w:rPr>
      </w:pPr>
      <w:r w:rsidRPr="00A433E2">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433E2" w:rsidRPr="00A433E2" w:rsidRDefault="00A433E2" w:rsidP="00A433E2">
      <w:pPr>
        <w:spacing w:after="200" w:line="276" w:lineRule="auto"/>
        <w:ind w:left="426"/>
        <w:jc w:val="both"/>
        <w:rPr>
          <w:rFonts w:asciiTheme="minorHAnsi" w:eastAsiaTheme="minorHAnsi" w:hAnsiTheme="minorHAnsi" w:cs="Arial"/>
          <w:lang w:eastAsia="en-US"/>
        </w:rPr>
      </w:pPr>
    </w:p>
    <w:p w:rsidR="00A433E2" w:rsidRPr="00A433E2" w:rsidRDefault="00A433E2" w:rsidP="00A433E2">
      <w:pPr>
        <w:numPr>
          <w:ilvl w:val="0"/>
          <w:numId w:val="5"/>
        </w:numPr>
        <w:outlineLvl w:val="0"/>
        <w:rPr>
          <w:rFonts w:asciiTheme="minorHAnsi" w:eastAsiaTheme="minorHAnsi" w:hAnsiTheme="minorHAnsi" w:cstheme="minorBidi"/>
          <w:b/>
          <w:snapToGrid w:val="0"/>
          <w:sz w:val="32"/>
          <w:szCs w:val="32"/>
          <w:lang w:eastAsia="en-US"/>
        </w:rPr>
      </w:pPr>
      <w:r w:rsidRPr="00A433E2">
        <w:rPr>
          <w:rFonts w:asciiTheme="minorHAnsi" w:eastAsiaTheme="minorHAnsi" w:hAnsiTheme="minorHAnsi" w:cstheme="minorBidi"/>
          <w:b/>
          <w:snapToGrid w:val="0"/>
          <w:sz w:val="32"/>
          <w:szCs w:val="32"/>
          <w:lang w:eastAsia="en-US"/>
        </w:rPr>
        <w:t>Sponsor’s Comment</w:t>
      </w:r>
    </w:p>
    <w:p w:rsidR="00A433E2" w:rsidRPr="00A433E2" w:rsidRDefault="00A433E2" w:rsidP="00A433E2">
      <w:pPr>
        <w:spacing w:line="276" w:lineRule="auto"/>
        <w:ind w:left="426"/>
        <w:jc w:val="both"/>
        <w:rPr>
          <w:rFonts w:asciiTheme="minorHAnsi" w:eastAsiaTheme="minorHAnsi" w:hAnsiTheme="minorHAnsi" w:cs="Arial"/>
          <w:bCs/>
          <w:highlight w:val="yellow"/>
          <w:lang w:val="en-GB" w:eastAsia="en-US"/>
        </w:rPr>
      </w:pPr>
    </w:p>
    <w:p w:rsidR="00A433E2" w:rsidRPr="00A433E2" w:rsidRDefault="00A433E2" w:rsidP="00A433E2">
      <w:pPr>
        <w:spacing w:after="120" w:line="276" w:lineRule="auto"/>
        <w:jc w:val="both"/>
        <w:rPr>
          <w:rFonts w:asciiTheme="minorHAnsi" w:eastAsiaTheme="minorHAnsi" w:hAnsiTheme="minorHAnsi" w:cs="Arial"/>
          <w:bCs/>
          <w:lang w:eastAsia="en-US"/>
        </w:rPr>
      </w:pPr>
      <w:r w:rsidRPr="00A433E2">
        <w:rPr>
          <w:rFonts w:asciiTheme="minorHAnsi" w:eastAsiaTheme="minorHAnsi" w:hAnsiTheme="minorHAnsi" w:cs="Arial"/>
          <w:bCs/>
          <w:lang w:eastAsia="en-US"/>
        </w:rPr>
        <w:t>The sponsor had no comment.</w:t>
      </w:r>
    </w:p>
    <w:p w:rsidR="000B14BB" w:rsidRPr="005B570F" w:rsidRDefault="000B14BB" w:rsidP="00455063">
      <w:pPr>
        <w:jc w:val="both"/>
        <w:rPr>
          <w:rFonts w:asciiTheme="minorHAnsi" w:hAnsiTheme="minorHAnsi" w:cs="Arial"/>
          <w:bCs/>
          <w:snapToGrid w:val="0"/>
        </w:rPr>
      </w:pPr>
    </w:p>
    <w:p w:rsidR="00B10DCE" w:rsidRPr="005B570F" w:rsidRDefault="00B10DCE">
      <w:pPr>
        <w:rPr>
          <w:rFonts w:asciiTheme="minorHAnsi" w:hAnsiTheme="minorHAnsi" w:cs="Arial"/>
          <w:b/>
          <w:bCs/>
          <w:snapToGrid w:val="0"/>
        </w:rPr>
      </w:pPr>
      <w:r w:rsidRPr="005B570F">
        <w:rPr>
          <w:rFonts w:asciiTheme="minorHAnsi" w:hAnsiTheme="minorHAnsi" w:cs="Arial"/>
          <w:b/>
          <w:bCs/>
          <w:snapToGrid w:val="0"/>
        </w:rPr>
        <w:br w:type="page"/>
      </w:r>
    </w:p>
    <w:p w:rsidR="00B10DCE" w:rsidRPr="005B570F" w:rsidRDefault="00A26F6C" w:rsidP="00A433E2">
      <w:pPr>
        <w:widowControl w:val="0"/>
        <w:jc w:val="both"/>
        <w:outlineLvl w:val="0"/>
        <w:rPr>
          <w:rFonts w:ascii="Arial" w:hAnsi="Arial" w:cs="Arial"/>
          <w:b/>
          <w:bCs/>
          <w:snapToGrid w:val="0"/>
          <w:sz w:val="22"/>
          <w:szCs w:val="22"/>
        </w:rPr>
      </w:pPr>
      <w:r>
        <w:rPr>
          <w:rFonts w:ascii="Arial" w:hAnsi="Arial" w:cs="Arial"/>
          <w:b/>
          <w:bCs/>
          <w:snapToGrid w:val="0"/>
          <w:color w:val="FF0000"/>
          <w:sz w:val="22"/>
          <w:szCs w:val="22"/>
        </w:rPr>
        <w:t>November 2017 a</w:t>
      </w:r>
      <w:r w:rsidR="00B10DCE" w:rsidRPr="005B570F">
        <w:rPr>
          <w:rFonts w:ascii="Arial" w:hAnsi="Arial" w:cs="Arial"/>
          <w:b/>
          <w:bCs/>
          <w:snapToGrid w:val="0"/>
          <w:color w:val="FF0000"/>
          <w:sz w:val="22"/>
          <w:szCs w:val="22"/>
        </w:rPr>
        <w:t>ddendum to the July 2017 PBAC Minutes:</w:t>
      </w:r>
    </w:p>
    <w:p w:rsidR="00B10DCE" w:rsidRPr="005B570F" w:rsidRDefault="00B10DCE" w:rsidP="000B14BB"/>
    <w:p w:rsidR="00B10DCE" w:rsidRPr="005B570F" w:rsidRDefault="00B10DCE" w:rsidP="00B10DCE">
      <w:pPr>
        <w:pStyle w:val="Title"/>
        <w:ind w:left="720" w:hanging="720"/>
        <w:rPr>
          <w:rFonts w:asciiTheme="minorHAnsi" w:hAnsiTheme="minorHAnsi"/>
          <w:sz w:val="36"/>
          <w:szCs w:val="36"/>
        </w:rPr>
      </w:pPr>
      <w:r w:rsidRPr="005B570F">
        <w:rPr>
          <w:rFonts w:asciiTheme="minorHAnsi" w:hAnsiTheme="minorHAnsi"/>
          <w:sz w:val="36"/>
          <w:szCs w:val="36"/>
        </w:rPr>
        <w:t>4.06</w:t>
      </w:r>
      <w:r w:rsidRPr="005B570F">
        <w:rPr>
          <w:rFonts w:asciiTheme="minorHAnsi" w:hAnsiTheme="minorHAnsi"/>
          <w:sz w:val="36"/>
          <w:szCs w:val="36"/>
        </w:rPr>
        <w:tab/>
        <w:t xml:space="preserve">BALSALAZIDE </w:t>
      </w:r>
      <w:r w:rsidRPr="005B570F">
        <w:rPr>
          <w:rFonts w:asciiTheme="minorHAnsi" w:hAnsiTheme="minorHAnsi"/>
          <w:sz w:val="36"/>
          <w:szCs w:val="36"/>
        </w:rPr>
        <w:br/>
      </w:r>
      <w:r w:rsidR="00A433E2">
        <w:rPr>
          <w:rFonts w:asciiTheme="minorHAnsi" w:hAnsiTheme="minorHAnsi"/>
          <w:sz w:val="36"/>
          <w:szCs w:val="36"/>
        </w:rPr>
        <w:t>C</w:t>
      </w:r>
      <w:r w:rsidRPr="005B570F">
        <w:rPr>
          <w:rFonts w:asciiTheme="minorHAnsi" w:hAnsiTheme="minorHAnsi"/>
          <w:sz w:val="36"/>
          <w:szCs w:val="36"/>
        </w:rPr>
        <w:t xml:space="preserve">apsule, 750 mg balsalazide sodium, 280, </w:t>
      </w:r>
      <w:r w:rsidRPr="005B570F">
        <w:rPr>
          <w:rFonts w:asciiTheme="minorHAnsi" w:hAnsiTheme="minorHAnsi"/>
          <w:sz w:val="36"/>
          <w:szCs w:val="36"/>
        </w:rPr>
        <w:br/>
        <w:t>Colazide®, Fresenius Kabi Australia Pty Limited</w:t>
      </w:r>
    </w:p>
    <w:p w:rsidR="00091A39" w:rsidRPr="005B570F" w:rsidRDefault="00D350B9" w:rsidP="004D36C4">
      <w:pPr>
        <w:rPr>
          <w:rFonts w:asciiTheme="minorHAnsi" w:hAnsiTheme="minorHAnsi"/>
        </w:rPr>
      </w:pPr>
      <w:r w:rsidRPr="005B570F">
        <w:rPr>
          <w:rFonts w:asciiTheme="minorHAnsi" w:hAnsiTheme="minorHAnsi"/>
        </w:rPr>
        <w:t xml:space="preserve">At the July 2017 PBAC meeting, the Committee </w:t>
      </w:r>
      <w:r w:rsidR="00941B60" w:rsidRPr="005B570F">
        <w:rPr>
          <w:rFonts w:asciiTheme="minorHAnsi" w:hAnsiTheme="minorHAnsi"/>
        </w:rPr>
        <w:t>considered the</w:t>
      </w:r>
      <w:r w:rsidRPr="005B570F">
        <w:rPr>
          <w:rFonts w:asciiTheme="minorHAnsi" w:hAnsiTheme="minorHAnsi"/>
        </w:rPr>
        <w:t xml:space="preserve"> request to increase the maximum quantity of the currently listed pharmaceutical item balsalazide (Colazide®) to 280 capsules. The </w:t>
      </w:r>
      <w:r w:rsidR="00091A39" w:rsidRPr="005B570F">
        <w:rPr>
          <w:rFonts w:asciiTheme="minorHAnsi" w:hAnsiTheme="minorHAnsi"/>
        </w:rPr>
        <w:t xml:space="preserve">PBAC </w:t>
      </w:r>
      <w:r w:rsidR="00BE51D9" w:rsidRPr="005B570F">
        <w:rPr>
          <w:rFonts w:asciiTheme="minorHAnsi" w:hAnsiTheme="minorHAnsi"/>
        </w:rPr>
        <w:t xml:space="preserve">previously </w:t>
      </w:r>
      <w:r w:rsidR="00091A39" w:rsidRPr="005B570F">
        <w:rPr>
          <w:rFonts w:asciiTheme="minorHAnsi" w:hAnsiTheme="minorHAnsi"/>
        </w:rPr>
        <w:t xml:space="preserve">considered the submission’s claim that 80% of patients require larger quantities of balsalazide was not adequately justified. </w:t>
      </w:r>
    </w:p>
    <w:p w:rsidR="00091A39" w:rsidRPr="005B570F" w:rsidRDefault="00091A39" w:rsidP="004D36C4">
      <w:pPr>
        <w:rPr>
          <w:rFonts w:asciiTheme="minorHAnsi" w:hAnsiTheme="minorHAnsi"/>
        </w:rPr>
      </w:pPr>
    </w:p>
    <w:p w:rsidR="00034958" w:rsidRPr="005B570F" w:rsidRDefault="00065C1D" w:rsidP="00034958">
      <w:pPr>
        <w:rPr>
          <w:rFonts w:asciiTheme="minorHAnsi" w:hAnsiTheme="minorHAnsi"/>
        </w:rPr>
      </w:pPr>
      <w:r w:rsidRPr="005B570F">
        <w:rPr>
          <w:rFonts w:asciiTheme="minorHAnsi" w:hAnsiTheme="minorHAnsi"/>
        </w:rPr>
        <w:t>T</w:t>
      </w:r>
      <w:r w:rsidR="00091A39" w:rsidRPr="005B570F">
        <w:rPr>
          <w:rFonts w:asciiTheme="minorHAnsi" w:hAnsiTheme="minorHAnsi"/>
        </w:rPr>
        <w:t xml:space="preserve">he PBAC </w:t>
      </w:r>
      <w:r w:rsidR="00941B60" w:rsidRPr="005B570F">
        <w:rPr>
          <w:rFonts w:asciiTheme="minorHAnsi" w:hAnsiTheme="minorHAnsi"/>
        </w:rPr>
        <w:t>deferred the recommendation as it was noted that the Drug Utilisation Sub-committee (DUSC) w</w:t>
      </w:r>
      <w:r w:rsidR="00C27E34">
        <w:rPr>
          <w:rFonts w:asciiTheme="minorHAnsi" w:hAnsiTheme="minorHAnsi"/>
        </w:rPr>
        <w:t>as</w:t>
      </w:r>
      <w:r w:rsidR="00941B60" w:rsidRPr="005B570F">
        <w:rPr>
          <w:rFonts w:asciiTheme="minorHAnsi" w:hAnsiTheme="minorHAnsi"/>
        </w:rPr>
        <w:t xml:space="preserve"> </w:t>
      </w:r>
      <w:r w:rsidR="005709CD" w:rsidRPr="005B570F">
        <w:rPr>
          <w:rFonts w:asciiTheme="minorHAnsi" w:hAnsiTheme="minorHAnsi"/>
        </w:rPr>
        <w:t>due to review</w:t>
      </w:r>
      <w:r w:rsidR="00941B60" w:rsidRPr="005B570F">
        <w:rPr>
          <w:rFonts w:asciiTheme="minorHAnsi" w:hAnsiTheme="minorHAnsi"/>
        </w:rPr>
        <w:t xml:space="preserve"> the patterns of use of </w:t>
      </w:r>
      <w:r w:rsidR="00EC52D7" w:rsidRPr="005B570F">
        <w:rPr>
          <w:rFonts w:asciiTheme="minorHAnsi" w:hAnsiTheme="minorHAnsi"/>
        </w:rPr>
        <w:t>5-aminosalic acids (</w:t>
      </w:r>
      <w:r w:rsidR="00941B60" w:rsidRPr="005B570F">
        <w:rPr>
          <w:rFonts w:asciiTheme="minorHAnsi" w:hAnsiTheme="minorHAnsi"/>
        </w:rPr>
        <w:t>5-ASAs</w:t>
      </w:r>
      <w:r w:rsidR="00EC52D7" w:rsidRPr="005B570F">
        <w:rPr>
          <w:rFonts w:asciiTheme="minorHAnsi" w:hAnsiTheme="minorHAnsi"/>
        </w:rPr>
        <w:t>)</w:t>
      </w:r>
      <w:r w:rsidR="005709CD" w:rsidRPr="005B570F">
        <w:rPr>
          <w:rFonts w:asciiTheme="minorHAnsi" w:hAnsiTheme="minorHAnsi"/>
        </w:rPr>
        <w:t>, including balsalazide</w:t>
      </w:r>
      <w:r w:rsidR="00941B60" w:rsidRPr="005B570F">
        <w:rPr>
          <w:rFonts w:asciiTheme="minorHAnsi" w:hAnsiTheme="minorHAnsi"/>
        </w:rPr>
        <w:t>.</w:t>
      </w:r>
      <w:r w:rsidR="00034958" w:rsidRPr="005B570F">
        <w:rPr>
          <w:rFonts w:asciiTheme="minorHAnsi" w:hAnsiTheme="minorHAnsi"/>
        </w:rPr>
        <w:t xml:space="preserve"> </w:t>
      </w:r>
    </w:p>
    <w:p w:rsidR="007E684E" w:rsidRPr="005B570F" w:rsidRDefault="007E684E" w:rsidP="004D36C4">
      <w:pPr>
        <w:rPr>
          <w:rFonts w:asciiTheme="minorHAnsi" w:hAnsiTheme="minorHAnsi"/>
        </w:rPr>
      </w:pPr>
    </w:p>
    <w:p w:rsidR="00BB0E77" w:rsidRPr="005B570F" w:rsidRDefault="00581148" w:rsidP="004D36C4">
      <w:pPr>
        <w:rPr>
          <w:rFonts w:asciiTheme="minorHAnsi" w:hAnsiTheme="minorHAnsi"/>
        </w:rPr>
      </w:pPr>
      <w:r w:rsidRPr="005B570F">
        <w:rPr>
          <w:rFonts w:asciiTheme="minorHAnsi" w:hAnsiTheme="minorHAnsi"/>
        </w:rPr>
        <w:t xml:space="preserve">Following the availability of the </w:t>
      </w:r>
      <w:r w:rsidR="003159EB">
        <w:rPr>
          <w:rFonts w:asciiTheme="minorHAnsi" w:hAnsiTheme="minorHAnsi"/>
        </w:rPr>
        <w:t xml:space="preserve">September 2017 </w:t>
      </w:r>
      <w:r w:rsidRPr="005B570F">
        <w:rPr>
          <w:rFonts w:asciiTheme="minorHAnsi" w:hAnsiTheme="minorHAnsi"/>
        </w:rPr>
        <w:t>DUSC review on the utilisation of 5-</w:t>
      </w:r>
      <w:r w:rsidRPr="003159EB">
        <w:rPr>
          <w:rFonts w:asciiTheme="minorHAnsi" w:hAnsiTheme="minorHAnsi"/>
        </w:rPr>
        <w:t>ASAs</w:t>
      </w:r>
      <w:r w:rsidR="003159EB" w:rsidRPr="003159EB">
        <w:rPr>
          <w:rFonts w:asciiTheme="minorHAnsi" w:hAnsiTheme="minorHAnsi"/>
        </w:rPr>
        <w:t xml:space="preserve"> (</w:t>
      </w:r>
      <w:r w:rsidR="003159EB" w:rsidRPr="00BC3CA5">
        <w:rPr>
          <w:rFonts w:asciiTheme="minorHAnsi" w:hAnsiTheme="minorHAnsi"/>
        </w:rPr>
        <w:t>available on PBS website</w:t>
      </w:r>
      <w:r w:rsidR="003159EB" w:rsidRPr="003159EB">
        <w:rPr>
          <w:rFonts w:asciiTheme="minorHAnsi" w:hAnsiTheme="minorHAnsi"/>
        </w:rPr>
        <w:t>)</w:t>
      </w:r>
      <w:r w:rsidRPr="003159EB">
        <w:rPr>
          <w:rFonts w:asciiTheme="minorHAnsi" w:hAnsiTheme="minorHAnsi"/>
        </w:rPr>
        <w:t>,</w:t>
      </w:r>
      <w:r w:rsidRPr="005B570F">
        <w:rPr>
          <w:rFonts w:asciiTheme="minorHAnsi" w:hAnsiTheme="minorHAnsi"/>
        </w:rPr>
        <w:t xml:space="preserve"> t</w:t>
      </w:r>
      <w:r w:rsidR="007E684E" w:rsidRPr="005B570F">
        <w:rPr>
          <w:rFonts w:asciiTheme="minorHAnsi" w:hAnsiTheme="minorHAnsi"/>
        </w:rPr>
        <w:t>he sponsor request</w:t>
      </w:r>
      <w:r w:rsidR="00BE51D9" w:rsidRPr="005B570F">
        <w:rPr>
          <w:rFonts w:asciiTheme="minorHAnsi" w:hAnsiTheme="minorHAnsi"/>
        </w:rPr>
        <w:t>ed</w:t>
      </w:r>
      <w:r w:rsidR="007E684E" w:rsidRPr="005B570F">
        <w:rPr>
          <w:rFonts w:asciiTheme="minorHAnsi" w:hAnsiTheme="minorHAnsi"/>
        </w:rPr>
        <w:t xml:space="preserve"> that the PBAC reconsider the submission to increase the maximum quantity of balsalazide to 280 capsules in the November 2017 PBAC meeting. </w:t>
      </w:r>
      <w:r w:rsidR="009E32CD" w:rsidRPr="005B570F">
        <w:rPr>
          <w:rFonts w:asciiTheme="minorHAnsi" w:hAnsiTheme="minorHAnsi"/>
        </w:rPr>
        <w:t>The review on the utilisation of 5-ASAs, was considered by the PBAC at the November 2017 meeting.</w:t>
      </w:r>
    </w:p>
    <w:p w:rsidR="00581148" w:rsidRPr="005B570F" w:rsidRDefault="00581148" w:rsidP="004D36C4">
      <w:pPr>
        <w:rPr>
          <w:rFonts w:asciiTheme="minorHAnsi" w:hAnsiTheme="minorHAnsi"/>
        </w:rPr>
      </w:pPr>
    </w:p>
    <w:p w:rsidR="009E32CD" w:rsidRPr="005B570F" w:rsidRDefault="005709CD" w:rsidP="009E32CD">
      <w:pPr>
        <w:rPr>
          <w:rFonts w:asciiTheme="minorHAnsi" w:hAnsiTheme="minorHAnsi"/>
        </w:rPr>
      </w:pPr>
      <w:r w:rsidRPr="005B570F">
        <w:rPr>
          <w:rFonts w:asciiTheme="minorHAnsi" w:hAnsiTheme="minorHAnsi"/>
        </w:rPr>
        <w:t xml:space="preserve">The PBAC recommended </w:t>
      </w:r>
      <w:r w:rsidR="00581148" w:rsidRPr="005B570F">
        <w:rPr>
          <w:rFonts w:asciiTheme="minorHAnsi" w:hAnsiTheme="minorHAnsi"/>
        </w:rPr>
        <w:t>an increase in the maximum quantity of balsalazide to 280 capsules. The listing of the</w:t>
      </w:r>
      <w:r w:rsidRPr="005B570F">
        <w:rPr>
          <w:rFonts w:asciiTheme="minorHAnsi" w:hAnsiTheme="minorHAnsi"/>
        </w:rPr>
        <w:t xml:space="preserve"> 280 capsule pack size of balsalazide</w:t>
      </w:r>
      <w:r w:rsidR="00581148" w:rsidRPr="005B570F">
        <w:rPr>
          <w:rFonts w:asciiTheme="minorHAnsi" w:hAnsiTheme="minorHAnsi"/>
        </w:rPr>
        <w:t xml:space="preserve"> will be</w:t>
      </w:r>
      <w:r w:rsidRPr="005B570F">
        <w:rPr>
          <w:rFonts w:asciiTheme="minorHAnsi" w:hAnsiTheme="minorHAnsi"/>
        </w:rPr>
        <w:t xml:space="preserve"> the same price per capsule (AEMP) as the existing 180 capsule pack size.</w:t>
      </w:r>
      <w:r w:rsidR="00581148" w:rsidRPr="005B570F">
        <w:rPr>
          <w:rFonts w:asciiTheme="minorHAnsi" w:hAnsiTheme="minorHAnsi"/>
        </w:rPr>
        <w:t xml:space="preserve"> The 180 capsule pack size will be delisted upon the listing of the 280 capsule pack size.</w:t>
      </w:r>
      <w:r w:rsidR="009E32CD" w:rsidRPr="009E32CD">
        <w:rPr>
          <w:rFonts w:asciiTheme="minorHAnsi" w:hAnsiTheme="minorHAnsi"/>
        </w:rPr>
        <w:t xml:space="preserve"> </w:t>
      </w:r>
      <w:r w:rsidR="009E32CD" w:rsidRPr="005B570F">
        <w:rPr>
          <w:rFonts w:asciiTheme="minorHAnsi" w:hAnsiTheme="minorHAnsi"/>
        </w:rPr>
        <w:t>Although the PBAC considered there may be potential for wastage, it considered that this would be minimal for this chronic condition.</w:t>
      </w:r>
    </w:p>
    <w:p w:rsidR="00BB0E77" w:rsidRPr="005B570F" w:rsidRDefault="00BB0E77" w:rsidP="004D36C4">
      <w:pPr>
        <w:rPr>
          <w:rFonts w:asciiTheme="minorHAnsi" w:hAnsiTheme="minorHAnsi"/>
        </w:rPr>
      </w:pPr>
    </w:p>
    <w:p w:rsidR="007E684E" w:rsidRPr="005B570F" w:rsidRDefault="007E684E" w:rsidP="00455063">
      <w:pPr>
        <w:widowControl w:val="0"/>
        <w:jc w:val="both"/>
        <w:rPr>
          <w:rFonts w:asciiTheme="minorHAnsi" w:hAnsiTheme="minorHAnsi" w:cs="Arial"/>
          <w:b/>
          <w:bCs/>
          <w:snapToGrid w:val="0"/>
        </w:rPr>
      </w:pPr>
    </w:p>
    <w:p w:rsidR="00AF3BBE" w:rsidRPr="005B570F" w:rsidRDefault="00AF3BBE" w:rsidP="00A433E2">
      <w:pPr>
        <w:rPr>
          <w:b/>
          <w:i/>
          <w:snapToGrid w:val="0"/>
        </w:rPr>
      </w:pPr>
      <w:r w:rsidRPr="00A433E2">
        <w:rPr>
          <w:rFonts w:asciiTheme="minorHAnsi" w:hAnsiTheme="minorHAnsi"/>
          <w:b/>
          <w:snapToGrid w:val="0"/>
          <w:sz w:val="28"/>
          <w:szCs w:val="28"/>
        </w:rPr>
        <w:t>Outcome</w:t>
      </w:r>
      <w:r w:rsidRPr="005B570F">
        <w:rPr>
          <w:snapToGrid w:val="0"/>
        </w:rPr>
        <w:br/>
      </w:r>
      <w:r w:rsidRPr="00A433E2">
        <w:rPr>
          <w:rFonts w:asciiTheme="minorHAnsi" w:hAnsiTheme="minorHAnsi"/>
          <w:snapToGrid w:val="0"/>
        </w:rPr>
        <w:t>Recommended</w:t>
      </w:r>
    </w:p>
    <w:p w:rsidR="007F134D" w:rsidRDefault="007F134D">
      <w:r>
        <w:br w:type="page"/>
      </w:r>
    </w:p>
    <w:p w:rsidR="00C219E8" w:rsidRDefault="00C219E8" w:rsidP="00C219E8"/>
    <w:p w:rsidR="00C219E8" w:rsidRPr="005B570F" w:rsidRDefault="00C219E8" w:rsidP="00C219E8"/>
    <w:p w:rsidR="00C219E8" w:rsidRPr="006A7FD7" w:rsidRDefault="00C219E8" w:rsidP="006A7FD7">
      <w:pPr>
        <w:pStyle w:val="PBACHeading1"/>
        <w:numPr>
          <w:ilvl w:val="0"/>
          <w:numId w:val="14"/>
        </w:numPr>
        <w:rPr>
          <w:rFonts w:asciiTheme="minorHAnsi" w:hAnsiTheme="minorHAnsi"/>
          <w:sz w:val="32"/>
          <w:szCs w:val="32"/>
        </w:rPr>
      </w:pPr>
      <w:r w:rsidRPr="006A7FD7">
        <w:rPr>
          <w:rFonts w:asciiTheme="minorHAnsi" w:hAnsiTheme="minorHAnsi"/>
          <w:sz w:val="32"/>
          <w:szCs w:val="32"/>
        </w:rPr>
        <w:t>Recommended listing</w:t>
      </w:r>
    </w:p>
    <w:p w:rsidR="00C219E8" w:rsidRPr="005B570F" w:rsidRDefault="00C219E8" w:rsidP="00C219E8">
      <w:pPr>
        <w:pStyle w:val="ListParagraph"/>
      </w:pPr>
    </w:p>
    <w:p w:rsidR="00C219E8" w:rsidRPr="005B570F" w:rsidRDefault="00C219E8" w:rsidP="00C219E8">
      <w:pPr>
        <w:rPr>
          <w:rFonts w:asciiTheme="minorHAnsi" w:hAnsiTheme="minorHAnsi" w:cs="Arial"/>
          <w:bCs/>
          <w:snapToGrid w:val="0"/>
        </w:rPr>
      </w:pPr>
      <w:r w:rsidRPr="005B570F">
        <w:rPr>
          <w:rFonts w:asciiTheme="minorHAnsi" w:hAnsiTheme="minorHAnsi" w:cs="Arial"/>
          <w:bCs/>
          <w:snapToGrid w:val="0"/>
        </w:rPr>
        <w:t>Add new item:</w:t>
      </w:r>
    </w:p>
    <w:p w:rsidR="00C219E8" w:rsidRPr="005B570F" w:rsidRDefault="00C219E8" w:rsidP="00C219E8"/>
    <w:tbl>
      <w:tblPr>
        <w:tblW w:w="5000" w:type="pct"/>
        <w:tblCellMar>
          <w:left w:w="28" w:type="dxa"/>
          <w:right w:w="28" w:type="dxa"/>
        </w:tblCellMar>
        <w:tblLook w:val="0000" w:firstRow="0" w:lastRow="0" w:firstColumn="0" w:lastColumn="0" w:noHBand="0" w:noVBand="0"/>
      </w:tblPr>
      <w:tblGrid>
        <w:gridCol w:w="35"/>
        <w:gridCol w:w="2863"/>
        <w:gridCol w:w="82"/>
        <w:gridCol w:w="639"/>
        <w:gridCol w:w="897"/>
        <w:gridCol w:w="1440"/>
        <w:gridCol w:w="3053"/>
        <w:gridCol w:w="73"/>
      </w:tblGrid>
      <w:tr w:rsidR="003D2AD5" w:rsidRPr="005B570F" w:rsidTr="00B224A6">
        <w:trPr>
          <w:cantSplit/>
          <w:trHeight w:val="471"/>
        </w:trPr>
        <w:tc>
          <w:tcPr>
            <w:tcW w:w="1595" w:type="pct"/>
            <w:gridSpan w:val="2"/>
            <w:tcBorders>
              <w:bottom w:val="single" w:sz="4" w:space="0" w:color="auto"/>
            </w:tcBorders>
          </w:tcPr>
          <w:p w:rsidR="003D2AD5" w:rsidRPr="005B570F" w:rsidRDefault="003D2AD5" w:rsidP="005D7701">
            <w:pPr>
              <w:keepNext/>
              <w:spacing w:before="40" w:after="40"/>
              <w:jc w:val="both"/>
              <w:rPr>
                <w:rFonts w:ascii="Arial Narrow" w:hAnsi="Arial Narrow" w:cs="Arial"/>
                <w:b/>
                <w:snapToGrid w:val="0"/>
                <w:sz w:val="20"/>
                <w:szCs w:val="20"/>
              </w:rPr>
            </w:pPr>
            <w:r w:rsidRPr="005B570F">
              <w:rPr>
                <w:rFonts w:ascii="Arial Narrow" w:hAnsi="Arial Narrow" w:cs="Arial"/>
                <w:b/>
                <w:snapToGrid w:val="0"/>
                <w:sz w:val="20"/>
                <w:szCs w:val="20"/>
              </w:rPr>
              <w:t>Name, Restriction,</w:t>
            </w:r>
          </w:p>
          <w:p w:rsidR="003D2AD5" w:rsidRPr="005B570F" w:rsidRDefault="003D2AD5" w:rsidP="005D7701">
            <w:pPr>
              <w:keepNext/>
              <w:spacing w:before="40" w:after="40"/>
              <w:jc w:val="both"/>
              <w:rPr>
                <w:rFonts w:ascii="Arial Narrow" w:hAnsi="Arial Narrow" w:cs="Arial"/>
                <w:b/>
                <w:snapToGrid w:val="0"/>
                <w:sz w:val="20"/>
                <w:szCs w:val="20"/>
              </w:rPr>
            </w:pPr>
            <w:r w:rsidRPr="005B570F">
              <w:rPr>
                <w:rFonts w:ascii="Arial Narrow" w:hAnsi="Arial Narrow" w:cs="Arial"/>
                <w:b/>
                <w:snapToGrid w:val="0"/>
                <w:sz w:val="20"/>
                <w:szCs w:val="20"/>
              </w:rPr>
              <w:t>Manner of administration and form</w:t>
            </w:r>
          </w:p>
        </w:tc>
        <w:tc>
          <w:tcPr>
            <w:tcW w:w="397" w:type="pct"/>
            <w:gridSpan w:val="2"/>
            <w:tcBorders>
              <w:bottom w:val="single" w:sz="4" w:space="0" w:color="auto"/>
            </w:tcBorders>
          </w:tcPr>
          <w:p w:rsidR="003D2AD5" w:rsidRPr="005B570F" w:rsidRDefault="003D2AD5" w:rsidP="005D7701">
            <w:pPr>
              <w:keepNext/>
              <w:spacing w:before="40" w:after="40"/>
              <w:jc w:val="center"/>
              <w:rPr>
                <w:rFonts w:ascii="Arial Narrow" w:hAnsi="Arial Narrow" w:cs="Arial"/>
                <w:b/>
                <w:snapToGrid w:val="0"/>
                <w:sz w:val="20"/>
                <w:szCs w:val="20"/>
              </w:rPr>
            </w:pPr>
            <w:r w:rsidRPr="005B570F">
              <w:rPr>
                <w:rFonts w:ascii="Arial Narrow" w:hAnsi="Arial Narrow" w:cs="Arial"/>
                <w:b/>
                <w:snapToGrid w:val="0"/>
                <w:sz w:val="20"/>
                <w:szCs w:val="20"/>
              </w:rPr>
              <w:t>Max.</w:t>
            </w:r>
          </w:p>
          <w:p w:rsidR="003D2AD5" w:rsidRPr="005B570F" w:rsidRDefault="003D2AD5" w:rsidP="005D7701">
            <w:pPr>
              <w:keepNext/>
              <w:spacing w:before="40" w:after="40"/>
              <w:jc w:val="center"/>
              <w:rPr>
                <w:rFonts w:ascii="Arial Narrow" w:hAnsi="Arial Narrow" w:cs="Arial"/>
                <w:b/>
                <w:snapToGrid w:val="0"/>
                <w:sz w:val="20"/>
                <w:szCs w:val="20"/>
              </w:rPr>
            </w:pPr>
            <w:r w:rsidRPr="005B570F">
              <w:rPr>
                <w:rFonts w:ascii="Arial Narrow" w:hAnsi="Arial Narrow" w:cs="Arial"/>
                <w:b/>
                <w:snapToGrid w:val="0"/>
                <w:sz w:val="20"/>
                <w:szCs w:val="20"/>
              </w:rPr>
              <w:t>Qty</w:t>
            </w:r>
          </w:p>
        </w:tc>
        <w:tc>
          <w:tcPr>
            <w:tcW w:w="494" w:type="pct"/>
            <w:tcBorders>
              <w:bottom w:val="single" w:sz="4" w:space="0" w:color="auto"/>
            </w:tcBorders>
          </w:tcPr>
          <w:p w:rsidR="003D2AD5" w:rsidRPr="005B570F" w:rsidRDefault="003D2AD5" w:rsidP="005D7701">
            <w:pPr>
              <w:keepNext/>
              <w:spacing w:before="40" w:after="40"/>
              <w:jc w:val="center"/>
              <w:rPr>
                <w:rFonts w:ascii="Arial Narrow" w:hAnsi="Arial Narrow" w:cs="Arial"/>
                <w:b/>
                <w:snapToGrid w:val="0"/>
                <w:sz w:val="20"/>
                <w:szCs w:val="20"/>
              </w:rPr>
            </w:pPr>
            <w:r w:rsidRPr="005B570F">
              <w:rPr>
                <w:rFonts w:ascii="Arial Narrow" w:hAnsi="Arial Narrow" w:cs="Arial"/>
                <w:b/>
                <w:snapToGrid w:val="0"/>
                <w:sz w:val="20"/>
                <w:szCs w:val="20"/>
              </w:rPr>
              <w:t>№.of</w:t>
            </w:r>
          </w:p>
          <w:p w:rsidR="003D2AD5" w:rsidRPr="005B570F" w:rsidRDefault="003D2AD5" w:rsidP="005D7701">
            <w:pPr>
              <w:keepNext/>
              <w:spacing w:before="40" w:after="40"/>
              <w:jc w:val="center"/>
              <w:rPr>
                <w:rFonts w:ascii="Arial Narrow" w:hAnsi="Arial Narrow" w:cs="Arial"/>
                <w:b/>
                <w:snapToGrid w:val="0"/>
                <w:sz w:val="20"/>
                <w:szCs w:val="20"/>
              </w:rPr>
            </w:pPr>
            <w:r w:rsidRPr="005B570F">
              <w:rPr>
                <w:rFonts w:ascii="Arial Narrow" w:hAnsi="Arial Narrow" w:cs="Arial"/>
                <w:b/>
                <w:snapToGrid w:val="0"/>
                <w:sz w:val="20"/>
                <w:szCs w:val="20"/>
              </w:rPr>
              <w:t>Rpts</w:t>
            </w:r>
          </w:p>
        </w:tc>
        <w:tc>
          <w:tcPr>
            <w:tcW w:w="2514" w:type="pct"/>
            <w:gridSpan w:val="3"/>
            <w:tcBorders>
              <w:bottom w:val="single" w:sz="4" w:space="0" w:color="auto"/>
            </w:tcBorders>
          </w:tcPr>
          <w:p w:rsidR="003D2AD5" w:rsidRPr="005B570F" w:rsidRDefault="003D2AD5" w:rsidP="005D7701">
            <w:pPr>
              <w:keepNext/>
              <w:spacing w:before="40" w:after="40"/>
              <w:jc w:val="center"/>
              <w:rPr>
                <w:rFonts w:ascii="Arial Narrow" w:hAnsi="Arial Narrow" w:cs="Arial"/>
                <w:b/>
                <w:snapToGrid w:val="0"/>
                <w:sz w:val="20"/>
                <w:szCs w:val="20"/>
              </w:rPr>
            </w:pPr>
            <w:r w:rsidRPr="005B570F">
              <w:rPr>
                <w:rFonts w:ascii="Arial Narrow" w:hAnsi="Arial Narrow" w:cs="Arial"/>
                <w:b/>
                <w:snapToGrid w:val="0"/>
                <w:sz w:val="20"/>
                <w:szCs w:val="20"/>
              </w:rPr>
              <w:t>Proprietary Name and Manufacturer</w:t>
            </w:r>
          </w:p>
        </w:tc>
      </w:tr>
      <w:tr w:rsidR="003D2AD5" w:rsidRPr="005B570F" w:rsidTr="00B224A6">
        <w:trPr>
          <w:cantSplit/>
          <w:trHeight w:val="577"/>
        </w:trPr>
        <w:tc>
          <w:tcPr>
            <w:tcW w:w="1595" w:type="pct"/>
            <w:gridSpan w:val="2"/>
          </w:tcPr>
          <w:p w:rsidR="003D2AD5" w:rsidRPr="005B570F" w:rsidRDefault="003D2AD5" w:rsidP="005D7701">
            <w:pPr>
              <w:keepNext/>
              <w:spacing w:before="40" w:after="40"/>
              <w:contextualSpacing/>
              <w:jc w:val="both"/>
              <w:rPr>
                <w:rFonts w:ascii="Arial Narrow" w:hAnsi="Arial Narrow" w:cs="Arial"/>
                <w:snapToGrid w:val="0"/>
                <w:sz w:val="20"/>
                <w:szCs w:val="20"/>
              </w:rPr>
            </w:pPr>
            <w:r w:rsidRPr="005B570F">
              <w:rPr>
                <w:rFonts w:ascii="Arial Narrow" w:hAnsi="Arial Narrow" w:cs="Arial"/>
                <w:smallCaps/>
                <w:snapToGrid w:val="0"/>
                <w:sz w:val="20"/>
                <w:szCs w:val="20"/>
              </w:rPr>
              <w:t>balsalazide</w:t>
            </w:r>
          </w:p>
          <w:p w:rsidR="003D2AD5" w:rsidRPr="005B570F" w:rsidRDefault="003D2AD5" w:rsidP="00C219E8">
            <w:pPr>
              <w:keepNext/>
              <w:spacing w:before="40" w:after="40"/>
              <w:contextualSpacing/>
              <w:jc w:val="both"/>
              <w:rPr>
                <w:rFonts w:ascii="Arial Narrow" w:hAnsi="Arial Narrow" w:cs="Arial"/>
                <w:i/>
                <w:snapToGrid w:val="0"/>
                <w:sz w:val="20"/>
                <w:szCs w:val="20"/>
              </w:rPr>
            </w:pPr>
            <w:r w:rsidRPr="005B570F">
              <w:rPr>
                <w:rFonts w:ascii="Arial Narrow" w:hAnsi="Arial Narrow" w:cs="Arial"/>
                <w:snapToGrid w:val="0"/>
                <w:sz w:val="20"/>
                <w:szCs w:val="20"/>
              </w:rPr>
              <w:t>Capsule, 750 mg balsalazide sodium</w:t>
            </w:r>
            <w:r w:rsidRPr="005B570F">
              <w:rPr>
                <w:rFonts w:ascii="Arial Narrow" w:hAnsi="Arial Narrow" w:cs="Arial"/>
                <w:i/>
                <w:snapToGrid w:val="0"/>
                <w:sz w:val="20"/>
                <w:szCs w:val="20"/>
              </w:rPr>
              <w:t>, 280</w:t>
            </w:r>
          </w:p>
        </w:tc>
        <w:tc>
          <w:tcPr>
            <w:tcW w:w="397" w:type="pct"/>
            <w:gridSpan w:val="2"/>
          </w:tcPr>
          <w:p w:rsidR="003D2AD5" w:rsidRPr="005B570F" w:rsidRDefault="003D2AD5" w:rsidP="005D7701">
            <w:pPr>
              <w:keepNext/>
              <w:spacing w:before="40" w:after="40"/>
              <w:contextualSpacing/>
              <w:jc w:val="center"/>
              <w:rPr>
                <w:rFonts w:ascii="Arial Narrow" w:hAnsi="Arial Narrow" w:cs="Arial"/>
                <w:snapToGrid w:val="0"/>
                <w:sz w:val="20"/>
                <w:szCs w:val="20"/>
              </w:rPr>
            </w:pPr>
          </w:p>
          <w:p w:rsidR="003D2AD5" w:rsidRPr="005B570F" w:rsidRDefault="003D2AD5" w:rsidP="005D7701">
            <w:pPr>
              <w:keepNext/>
              <w:spacing w:before="40" w:after="40"/>
              <w:contextualSpacing/>
              <w:jc w:val="center"/>
              <w:rPr>
                <w:rFonts w:ascii="Arial Narrow" w:hAnsi="Arial Narrow" w:cs="Arial"/>
                <w:i/>
                <w:snapToGrid w:val="0"/>
                <w:sz w:val="20"/>
                <w:szCs w:val="20"/>
              </w:rPr>
            </w:pPr>
            <w:r w:rsidRPr="005B570F">
              <w:rPr>
                <w:rFonts w:ascii="Arial Narrow" w:hAnsi="Arial Narrow" w:cs="Arial"/>
                <w:i/>
                <w:snapToGrid w:val="0"/>
                <w:sz w:val="20"/>
                <w:szCs w:val="20"/>
              </w:rPr>
              <w:t>280</w:t>
            </w:r>
          </w:p>
        </w:tc>
        <w:tc>
          <w:tcPr>
            <w:tcW w:w="494" w:type="pct"/>
          </w:tcPr>
          <w:p w:rsidR="003D2AD5" w:rsidRPr="005B570F" w:rsidRDefault="003D2AD5" w:rsidP="005D7701">
            <w:pPr>
              <w:keepNext/>
              <w:spacing w:before="40" w:after="40"/>
              <w:contextualSpacing/>
              <w:jc w:val="center"/>
              <w:rPr>
                <w:rFonts w:ascii="Arial Narrow" w:hAnsi="Arial Narrow" w:cs="Arial"/>
                <w:snapToGrid w:val="0"/>
                <w:sz w:val="20"/>
                <w:szCs w:val="20"/>
              </w:rPr>
            </w:pPr>
          </w:p>
          <w:p w:rsidR="003D2AD5" w:rsidRPr="005B570F" w:rsidRDefault="003D2AD5" w:rsidP="005D7701">
            <w:pPr>
              <w:keepNext/>
              <w:spacing w:before="40" w:after="40"/>
              <w:contextualSpacing/>
              <w:jc w:val="center"/>
              <w:rPr>
                <w:rFonts w:ascii="Arial Narrow" w:hAnsi="Arial Narrow" w:cs="Arial"/>
                <w:i/>
                <w:snapToGrid w:val="0"/>
                <w:sz w:val="20"/>
                <w:szCs w:val="20"/>
              </w:rPr>
            </w:pPr>
            <w:r w:rsidRPr="005B570F">
              <w:rPr>
                <w:rFonts w:ascii="Arial Narrow" w:hAnsi="Arial Narrow" w:cs="Arial"/>
                <w:snapToGrid w:val="0"/>
                <w:sz w:val="20"/>
                <w:szCs w:val="20"/>
              </w:rPr>
              <w:t>5</w:t>
            </w:r>
          </w:p>
        </w:tc>
        <w:tc>
          <w:tcPr>
            <w:tcW w:w="793" w:type="pct"/>
          </w:tcPr>
          <w:p w:rsidR="003D2AD5" w:rsidRPr="005B570F" w:rsidRDefault="003D2AD5" w:rsidP="005D7701">
            <w:pPr>
              <w:keepNext/>
              <w:spacing w:before="40" w:after="40"/>
              <w:contextualSpacing/>
              <w:jc w:val="center"/>
              <w:rPr>
                <w:rFonts w:ascii="Arial Narrow" w:hAnsi="Arial Narrow" w:cs="Arial"/>
                <w:snapToGrid w:val="0"/>
                <w:sz w:val="20"/>
                <w:szCs w:val="20"/>
              </w:rPr>
            </w:pPr>
          </w:p>
          <w:p w:rsidR="003D2AD5" w:rsidRPr="005B570F" w:rsidRDefault="003D2AD5" w:rsidP="005D7701">
            <w:pPr>
              <w:keepNext/>
              <w:spacing w:before="40" w:after="40"/>
              <w:contextualSpacing/>
              <w:jc w:val="center"/>
              <w:rPr>
                <w:rFonts w:ascii="Arial Narrow" w:hAnsi="Arial Narrow" w:cs="Arial"/>
                <w:snapToGrid w:val="0"/>
                <w:sz w:val="20"/>
                <w:szCs w:val="20"/>
              </w:rPr>
            </w:pPr>
            <w:r w:rsidRPr="005B570F">
              <w:rPr>
                <w:rFonts w:ascii="Arial Narrow" w:hAnsi="Arial Narrow" w:cs="Arial"/>
                <w:snapToGrid w:val="0"/>
                <w:sz w:val="20"/>
                <w:szCs w:val="20"/>
              </w:rPr>
              <w:t>Colazide</w:t>
            </w:r>
          </w:p>
        </w:tc>
        <w:tc>
          <w:tcPr>
            <w:tcW w:w="1721" w:type="pct"/>
            <w:gridSpan w:val="2"/>
          </w:tcPr>
          <w:p w:rsidR="003D2AD5" w:rsidRPr="005B570F" w:rsidRDefault="003D2AD5" w:rsidP="005D7701">
            <w:pPr>
              <w:keepNext/>
              <w:spacing w:before="40" w:after="40"/>
              <w:contextualSpacing/>
              <w:jc w:val="center"/>
              <w:rPr>
                <w:rFonts w:ascii="Arial Narrow" w:hAnsi="Arial Narrow" w:cs="Arial"/>
                <w:snapToGrid w:val="0"/>
                <w:sz w:val="20"/>
                <w:szCs w:val="20"/>
              </w:rPr>
            </w:pPr>
            <w:r w:rsidRPr="005B570F">
              <w:rPr>
                <w:rFonts w:ascii="Arial Narrow" w:hAnsi="Arial Narrow" w:cs="Arial"/>
                <w:snapToGrid w:val="0"/>
                <w:sz w:val="20"/>
                <w:szCs w:val="20"/>
              </w:rPr>
              <w:t>Fresenius Kabi Australia Pty Limited</w:t>
            </w:r>
          </w:p>
        </w:tc>
      </w:tr>
      <w:tr w:rsidR="00C219E8" w:rsidRPr="005B570F" w:rsidTr="00B224A6">
        <w:tblPrEx>
          <w:tblCellMar>
            <w:left w:w="108" w:type="dxa"/>
            <w:right w:w="108" w:type="dxa"/>
          </w:tblCellMar>
        </w:tblPrEx>
        <w:trPr>
          <w:gridBefore w:val="1"/>
          <w:gridAfter w:val="1"/>
          <w:wBefore w:w="19" w:type="pct"/>
          <w:wAfter w:w="40" w:type="pct"/>
          <w:cantSplit/>
          <w:trHeight w:val="360"/>
        </w:trPr>
        <w:tc>
          <w:tcPr>
            <w:tcW w:w="1621" w:type="pct"/>
            <w:gridSpan w:val="2"/>
            <w:tcBorders>
              <w:top w:val="single" w:sz="4" w:space="0" w:color="auto"/>
              <w:left w:val="single" w:sz="4" w:space="0" w:color="auto"/>
              <w:bottom w:val="single" w:sz="4" w:space="0" w:color="auto"/>
              <w:right w:val="single" w:sz="4" w:space="0" w:color="auto"/>
            </w:tcBorders>
          </w:tcPr>
          <w:p w:rsidR="00C219E8" w:rsidRPr="005B570F" w:rsidRDefault="00C219E8" w:rsidP="005D7701">
            <w:pPr>
              <w:jc w:val="both"/>
              <w:rPr>
                <w:rFonts w:ascii="Arial Narrow" w:hAnsi="Arial Narrow" w:cs="Arial"/>
                <w:b/>
                <w:sz w:val="20"/>
                <w:szCs w:val="20"/>
              </w:rPr>
            </w:pPr>
            <w:r w:rsidRPr="005B570F">
              <w:rPr>
                <w:rFonts w:ascii="Arial Narrow" w:hAnsi="Arial Narrow" w:cs="Arial"/>
                <w:b/>
                <w:sz w:val="20"/>
                <w:szCs w:val="20"/>
              </w:rPr>
              <w:t xml:space="preserve">Category / </w:t>
            </w:r>
          </w:p>
          <w:p w:rsidR="00C219E8" w:rsidRPr="005B570F" w:rsidRDefault="00C219E8" w:rsidP="005D7701">
            <w:pPr>
              <w:jc w:val="both"/>
              <w:rPr>
                <w:rFonts w:ascii="Arial Narrow" w:hAnsi="Arial Narrow" w:cs="Arial"/>
                <w:b/>
                <w:sz w:val="20"/>
                <w:szCs w:val="20"/>
              </w:rPr>
            </w:pPr>
            <w:r w:rsidRPr="005B570F">
              <w:rPr>
                <w:rFonts w:ascii="Arial Narrow" w:hAnsi="Arial Narrow" w:cs="Arial"/>
                <w:b/>
                <w:sz w:val="20"/>
                <w:szCs w:val="20"/>
              </w:rPr>
              <w:t>Program</w:t>
            </w:r>
          </w:p>
        </w:tc>
        <w:tc>
          <w:tcPr>
            <w:tcW w:w="3320" w:type="pct"/>
            <w:gridSpan w:val="4"/>
            <w:tcBorders>
              <w:top w:val="single" w:sz="4" w:space="0" w:color="auto"/>
              <w:left w:val="single" w:sz="4" w:space="0" w:color="auto"/>
              <w:bottom w:val="single" w:sz="4" w:space="0" w:color="auto"/>
              <w:right w:val="single" w:sz="4" w:space="0" w:color="auto"/>
            </w:tcBorders>
          </w:tcPr>
          <w:p w:rsidR="00C219E8" w:rsidRPr="005B570F" w:rsidRDefault="00C34E46" w:rsidP="005D7701">
            <w:pPr>
              <w:rPr>
                <w:rFonts w:ascii="Arial Narrow" w:hAnsi="Arial Narrow" w:cs="Arial"/>
                <w:sz w:val="20"/>
                <w:szCs w:val="20"/>
              </w:rPr>
            </w:pPr>
            <w:r w:rsidRPr="005B570F">
              <w:rPr>
                <w:rFonts w:ascii="Arial Narrow" w:hAnsi="Arial Narrow" w:cs="Arial"/>
                <w:sz w:val="20"/>
                <w:szCs w:val="20"/>
              </w:rPr>
              <w:t>GENERAL – General Schedule (Code GE)</w:t>
            </w:r>
          </w:p>
        </w:tc>
      </w:tr>
      <w:tr w:rsidR="00C219E8" w:rsidRPr="005B570F" w:rsidTr="00B224A6">
        <w:tblPrEx>
          <w:tblCellMar>
            <w:left w:w="108" w:type="dxa"/>
            <w:right w:w="108" w:type="dxa"/>
          </w:tblCellMar>
        </w:tblPrEx>
        <w:trPr>
          <w:gridBefore w:val="1"/>
          <w:gridAfter w:val="1"/>
          <w:wBefore w:w="19" w:type="pct"/>
          <w:wAfter w:w="40" w:type="pct"/>
          <w:cantSplit/>
          <w:trHeight w:val="360"/>
        </w:trPr>
        <w:tc>
          <w:tcPr>
            <w:tcW w:w="1621" w:type="pct"/>
            <w:gridSpan w:val="2"/>
            <w:tcBorders>
              <w:top w:val="single" w:sz="4" w:space="0" w:color="auto"/>
              <w:left w:val="single" w:sz="4" w:space="0" w:color="auto"/>
              <w:bottom w:val="single" w:sz="4" w:space="0" w:color="auto"/>
              <w:right w:val="single" w:sz="4" w:space="0" w:color="auto"/>
            </w:tcBorders>
          </w:tcPr>
          <w:p w:rsidR="00C219E8" w:rsidRPr="005B570F" w:rsidRDefault="00C219E8" w:rsidP="005D7701">
            <w:pPr>
              <w:jc w:val="both"/>
              <w:rPr>
                <w:rFonts w:ascii="Arial Narrow" w:hAnsi="Arial Narrow" w:cs="Arial"/>
                <w:b/>
                <w:sz w:val="20"/>
                <w:szCs w:val="20"/>
              </w:rPr>
            </w:pPr>
            <w:r w:rsidRPr="005B570F">
              <w:rPr>
                <w:rFonts w:ascii="Arial Narrow" w:hAnsi="Arial Narrow" w:cs="Arial"/>
                <w:b/>
                <w:sz w:val="20"/>
                <w:szCs w:val="20"/>
              </w:rPr>
              <w:t>Prescriber type:</w:t>
            </w:r>
          </w:p>
          <w:p w:rsidR="00C219E8" w:rsidRPr="005B570F" w:rsidRDefault="00C219E8" w:rsidP="005D7701">
            <w:pPr>
              <w:jc w:val="both"/>
              <w:rPr>
                <w:rFonts w:ascii="Arial Narrow" w:hAnsi="Arial Narrow" w:cs="Arial"/>
                <w:b/>
                <w:sz w:val="20"/>
                <w:szCs w:val="20"/>
              </w:rPr>
            </w:pPr>
          </w:p>
        </w:tc>
        <w:tc>
          <w:tcPr>
            <w:tcW w:w="3320" w:type="pct"/>
            <w:gridSpan w:val="4"/>
            <w:tcBorders>
              <w:top w:val="single" w:sz="4" w:space="0" w:color="auto"/>
              <w:left w:val="single" w:sz="4" w:space="0" w:color="auto"/>
              <w:bottom w:val="single" w:sz="4" w:space="0" w:color="auto"/>
              <w:right w:val="single" w:sz="4" w:space="0" w:color="auto"/>
            </w:tcBorders>
          </w:tcPr>
          <w:p w:rsidR="00C219E8" w:rsidRPr="005B570F" w:rsidRDefault="00C219E8" w:rsidP="005D7701">
            <w:pPr>
              <w:rPr>
                <w:rFonts w:ascii="Arial Narrow" w:hAnsi="Arial Narrow" w:cs="Arial"/>
                <w:sz w:val="20"/>
                <w:szCs w:val="20"/>
              </w:rPr>
            </w:pPr>
            <w:r w:rsidRPr="005B570F">
              <w:rPr>
                <w:rFonts w:ascii="Arial Narrow" w:hAnsi="Arial Narrow" w:cs="Arial"/>
                <w:sz w:val="20"/>
                <w:szCs w:val="20"/>
              </w:rPr>
              <w:fldChar w:fldCharType="begin">
                <w:ffData>
                  <w:name w:val="Check1"/>
                  <w:enabled/>
                  <w:calcOnExit w:val="0"/>
                  <w:checkBox>
                    <w:sizeAuto/>
                    <w:default w:val="0"/>
                  </w:checkBox>
                </w:ffData>
              </w:fldChar>
            </w:r>
            <w:r w:rsidRPr="005B570F">
              <w:rPr>
                <w:rFonts w:ascii="Arial Narrow" w:hAnsi="Arial Narrow" w:cs="Arial"/>
                <w:sz w:val="20"/>
                <w:szCs w:val="20"/>
              </w:rPr>
              <w:instrText xml:space="preserve"> FORMCHECKBOX </w:instrText>
            </w:r>
            <w:r w:rsidR="00BC3CA5">
              <w:rPr>
                <w:rFonts w:ascii="Arial Narrow" w:hAnsi="Arial Narrow" w:cs="Arial"/>
                <w:sz w:val="20"/>
                <w:szCs w:val="20"/>
              </w:rPr>
            </w:r>
            <w:r w:rsidR="00BC3CA5">
              <w:rPr>
                <w:rFonts w:ascii="Arial Narrow" w:hAnsi="Arial Narrow" w:cs="Arial"/>
                <w:sz w:val="20"/>
                <w:szCs w:val="20"/>
              </w:rPr>
              <w:fldChar w:fldCharType="separate"/>
            </w:r>
            <w:r w:rsidRPr="005B570F">
              <w:rPr>
                <w:rFonts w:ascii="Arial Narrow" w:hAnsi="Arial Narrow" w:cs="Arial"/>
                <w:sz w:val="20"/>
                <w:szCs w:val="20"/>
              </w:rPr>
              <w:fldChar w:fldCharType="end"/>
            </w:r>
            <w:r w:rsidRPr="005B570F">
              <w:rPr>
                <w:rFonts w:ascii="Arial Narrow" w:hAnsi="Arial Narrow" w:cs="Arial"/>
                <w:sz w:val="20"/>
                <w:szCs w:val="20"/>
              </w:rPr>
              <w:t xml:space="preserve">Dental  </w:t>
            </w:r>
            <w:r w:rsidRPr="005B570F">
              <w:rPr>
                <w:rFonts w:ascii="Arial Narrow" w:hAnsi="Arial Narrow" w:cs="Arial"/>
                <w:sz w:val="20"/>
                <w:szCs w:val="20"/>
              </w:rPr>
              <w:fldChar w:fldCharType="begin">
                <w:ffData>
                  <w:name w:val=""/>
                  <w:enabled/>
                  <w:calcOnExit w:val="0"/>
                  <w:checkBox>
                    <w:sizeAuto/>
                    <w:default w:val="1"/>
                  </w:checkBox>
                </w:ffData>
              </w:fldChar>
            </w:r>
            <w:r w:rsidRPr="005B570F">
              <w:rPr>
                <w:rFonts w:ascii="Arial Narrow" w:hAnsi="Arial Narrow" w:cs="Arial"/>
                <w:sz w:val="20"/>
                <w:szCs w:val="20"/>
              </w:rPr>
              <w:instrText xml:space="preserve"> FORMCHECKBOX </w:instrText>
            </w:r>
            <w:r w:rsidR="00BC3CA5">
              <w:rPr>
                <w:rFonts w:ascii="Arial Narrow" w:hAnsi="Arial Narrow" w:cs="Arial"/>
                <w:sz w:val="20"/>
                <w:szCs w:val="20"/>
              </w:rPr>
            </w:r>
            <w:r w:rsidR="00BC3CA5">
              <w:rPr>
                <w:rFonts w:ascii="Arial Narrow" w:hAnsi="Arial Narrow" w:cs="Arial"/>
                <w:sz w:val="20"/>
                <w:szCs w:val="20"/>
              </w:rPr>
              <w:fldChar w:fldCharType="separate"/>
            </w:r>
            <w:r w:rsidRPr="005B570F">
              <w:rPr>
                <w:rFonts w:ascii="Arial Narrow" w:hAnsi="Arial Narrow" w:cs="Arial"/>
                <w:sz w:val="20"/>
                <w:szCs w:val="20"/>
              </w:rPr>
              <w:fldChar w:fldCharType="end"/>
            </w:r>
            <w:r w:rsidRPr="005B570F">
              <w:rPr>
                <w:rFonts w:ascii="Arial Narrow" w:hAnsi="Arial Narrow" w:cs="Arial"/>
                <w:sz w:val="20"/>
                <w:szCs w:val="20"/>
              </w:rPr>
              <w:t xml:space="preserve">Medical Practitioners  </w:t>
            </w:r>
            <w:r w:rsidR="00C34E46" w:rsidRPr="005B570F">
              <w:rPr>
                <w:rFonts w:ascii="Arial Narrow" w:hAnsi="Arial Narrow" w:cs="Arial"/>
                <w:sz w:val="20"/>
                <w:szCs w:val="20"/>
              </w:rPr>
              <w:fldChar w:fldCharType="begin">
                <w:ffData>
                  <w:name w:val="Check3"/>
                  <w:enabled/>
                  <w:calcOnExit w:val="0"/>
                  <w:checkBox>
                    <w:sizeAuto/>
                    <w:default w:val="1"/>
                  </w:checkBox>
                </w:ffData>
              </w:fldChar>
            </w:r>
            <w:bookmarkStart w:id="1" w:name="Check3"/>
            <w:r w:rsidR="00C34E46" w:rsidRPr="005B570F">
              <w:rPr>
                <w:rFonts w:ascii="Arial Narrow" w:hAnsi="Arial Narrow" w:cs="Arial"/>
                <w:sz w:val="20"/>
                <w:szCs w:val="20"/>
              </w:rPr>
              <w:instrText xml:space="preserve"> FORMCHECKBOX </w:instrText>
            </w:r>
            <w:r w:rsidR="00BC3CA5">
              <w:rPr>
                <w:rFonts w:ascii="Arial Narrow" w:hAnsi="Arial Narrow" w:cs="Arial"/>
                <w:sz w:val="20"/>
                <w:szCs w:val="20"/>
              </w:rPr>
            </w:r>
            <w:r w:rsidR="00BC3CA5">
              <w:rPr>
                <w:rFonts w:ascii="Arial Narrow" w:hAnsi="Arial Narrow" w:cs="Arial"/>
                <w:sz w:val="20"/>
                <w:szCs w:val="20"/>
              </w:rPr>
              <w:fldChar w:fldCharType="separate"/>
            </w:r>
            <w:r w:rsidR="00C34E46" w:rsidRPr="005B570F">
              <w:rPr>
                <w:rFonts w:ascii="Arial Narrow" w:hAnsi="Arial Narrow" w:cs="Arial"/>
                <w:sz w:val="20"/>
                <w:szCs w:val="20"/>
              </w:rPr>
              <w:fldChar w:fldCharType="end"/>
            </w:r>
            <w:bookmarkEnd w:id="1"/>
            <w:r w:rsidRPr="005B570F">
              <w:rPr>
                <w:rFonts w:ascii="Arial Narrow" w:hAnsi="Arial Narrow" w:cs="Arial"/>
                <w:sz w:val="20"/>
                <w:szCs w:val="20"/>
              </w:rPr>
              <w:t xml:space="preserve">Nurse practitioners  </w:t>
            </w:r>
            <w:r w:rsidRPr="005B570F">
              <w:rPr>
                <w:rFonts w:ascii="Arial Narrow" w:hAnsi="Arial Narrow" w:cs="Arial"/>
                <w:sz w:val="20"/>
                <w:szCs w:val="20"/>
              </w:rPr>
              <w:fldChar w:fldCharType="begin">
                <w:ffData>
                  <w:name w:val=""/>
                  <w:enabled/>
                  <w:calcOnExit w:val="0"/>
                  <w:checkBox>
                    <w:sizeAuto/>
                    <w:default w:val="0"/>
                  </w:checkBox>
                </w:ffData>
              </w:fldChar>
            </w:r>
            <w:r w:rsidRPr="005B570F">
              <w:rPr>
                <w:rFonts w:ascii="Arial Narrow" w:hAnsi="Arial Narrow" w:cs="Arial"/>
                <w:sz w:val="20"/>
                <w:szCs w:val="20"/>
              </w:rPr>
              <w:instrText xml:space="preserve"> FORMCHECKBOX </w:instrText>
            </w:r>
            <w:r w:rsidR="00BC3CA5">
              <w:rPr>
                <w:rFonts w:ascii="Arial Narrow" w:hAnsi="Arial Narrow" w:cs="Arial"/>
                <w:sz w:val="20"/>
                <w:szCs w:val="20"/>
              </w:rPr>
            </w:r>
            <w:r w:rsidR="00BC3CA5">
              <w:rPr>
                <w:rFonts w:ascii="Arial Narrow" w:hAnsi="Arial Narrow" w:cs="Arial"/>
                <w:sz w:val="20"/>
                <w:szCs w:val="20"/>
              </w:rPr>
              <w:fldChar w:fldCharType="separate"/>
            </w:r>
            <w:r w:rsidRPr="005B570F">
              <w:rPr>
                <w:rFonts w:ascii="Arial Narrow" w:hAnsi="Arial Narrow" w:cs="Arial"/>
                <w:sz w:val="20"/>
                <w:szCs w:val="20"/>
              </w:rPr>
              <w:fldChar w:fldCharType="end"/>
            </w:r>
            <w:r w:rsidRPr="005B570F">
              <w:rPr>
                <w:rFonts w:ascii="Arial Narrow" w:hAnsi="Arial Narrow" w:cs="Arial"/>
                <w:sz w:val="20"/>
                <w:szCs w:val="20"/>
              </w:rPr>
              <w:t>Optometrists</w:t>
            </w:r>
          </w:p>
          <w:p w:rsidR="00C219E8" w:rsidRPr="005B570F" w:rsidRDefault="00C219E8" w:rsidP="005D7701">
            <w:pPr>
              <w:rPr>
                <w:rFonts w:ascii="Arial Narrow" w:hAnsi="Arial Narrow" w:cs="Arial"/>
                <w:sz w:val="20"/>
                <w:szCs w:val="20"/>
              </w:rPr>
            </w:pPr>
            <w:r w:rsidRPr="005B570F">
              <w:rPr>
                <w:rFonts w:ascii="Arial Narrow" w:hAnsi="Arial Narrow" w:cs="Arial"/>
                <w:sz w:val="20"/>
                <w:szCs w:val="20"/>
              </w:rPr>
              <w:fldChar w:fldCharType="begin">
                <w:ffData>
                  <w:name w:val="Check5"/>
                  <w:enabled/>
                  <w:calcOnExit w:val="0"/>
                  <w:checkBox>
                    <w:sizeAuto/>
                    <w:default w:val="0"/>
                  </w:checkBox>
                </w:ffData>
              </w:fldChar>
            </w:r>
            <w:r w:rsidRPr="005B570F">
              <w:rPr>
                <w:rFonts w:ascii="Arial Narrow" w:hAnsi="Arial Narrow" w:cs="Arial"/>
                <w:sz w:val="20"/>
                <w:szCs w:val="20"/>
              </w:rPr>
              <w:instrText xml:space="preserve"> FORMCHECKBOX </w:instrText>
            </w:r>
            <w:r w:rsidR="00BC3CA5">
              <w:rPr>
                <w:rFonts w:ascii="Arial Narrow" w:hAnsi="Arial Narrow" w:cs="Arial"/>
                <w:sz w:val="20"/>
                <w:szCs w:val="20"/>
              </w:rPr>
            </w:r>
            <w:r w:rsidR="00BC3CA5">
              <w:rPr>
                <w:rFonts w:ascii="Arial Narrow" w:hAnsi="Arial Narrow" w:cs="Arial"/>
                <w:sz w:val="20"/>
                <w:szCs w:val="20"/>
              </w:rPr>
              <w:fldChar w:fldCharType="separate"/>
            </w:r>
            <w:r w:rsidRPr="005B570F">
              <w:rPr>
                <w:rFonts w:ascii="Arial Narrow" w:hAnsi="Arial Narrow" w:cs="Arial"/>
                <w:sz w:val="20"/>
                <w:szCs w:val="20"/>
              </w:rPr>
              <w:fldChar w:fldCharType="end"/>
            </w:r>
            <w:r w:rsidRPr="005B570F">
              <w:rPr>
                <w:rFonts w:ascii="Arial Narrow" w:hAnsi="Arial Narrow" w:cs="Arial"/>
                <w:sz w:val="20"/>
                <w:szCs w:val="20"/>
              </w:rPr>
              <w:t>Midwives</w:t>
            </w:r>
          </w:p>
        </w:tc>
      </w:tr>
      <w:tr w:rsidR="00C219E8" w:rsidRPr="005B570F" w:rsidTr="00B224A6">
        <w:tblPrEx>
          <w:tblCellMar>
            <w:left w:w="108" w:type="dxa"/>
            <w:right w:w="108" w:type="dxa"/>
          </w:tblCellMar>
        </w:tblPrEx>
        <w:trPr>
          <w:gridBefore w:val="1"/>
          <w:gridAfter w:val="1"/>
          <w:wBefore w:w="19" w:type="pct"/>
          <w:wAfter w:w="40" w:type="pct"/>
          <w:cantSplit/>
          <w:trHeight w:val="360"/>
        </w:trPr>
        <w:tc>
          <w:tcPr>
            <w:tcW w:w="1621" w:type="pct"/>
            <w:gridSpan w:val="2"/>
            <w:tcBorders>
              <w:top w:val="single" w:sz="4" w:space="0" w:color="auto"/>
              <w:left w:val="single" w:sz="4" w:space="0" w:color="auto"/>
              <w:bottom w:val="single" w:sz="4" w:space="0" w:color="auto"/>
              <w:right w:val="single" w:sz="4" w:space="0" w:color="auto"/>
            </w:tcBorders>
          </w:tcPr>
          <w:p w:rsidR="00C219E8" w:rsidRPr="005B570F" w:rsidRDefault="00C219E8" w:rsidP="005D7701">
            <w:pPr>
              <w:jc w:val="both"/>
              <w:rPr>
                <w:rFonts w:ascii="Arial Narrow" w:hAnsi="Arial Narrow" w:cs="Arial"/>
                <w:b/>
                <w:sz w:val="20"/>
                <w:szCs w:val="20"/>
              </w:rPr>
            </w:pPr>
            <w:r w:rsidRPr="005B570F">
              <w:rPr>
                <w:rFonts w:ascii="Arial Narrow" w:hAnsi="Arial Narrow" w:cs="Arial"/>
                <w:b/>
                <w:sz w:val="20"/>
                <w:szCs w:val="20"/>
              </w:rPr>
              <w:t>Condition:</w:t>
            </w:r>
          </w:p>
        </w:tc>
        <w:tc>
          <w:tcPr>
            <w:tcW w:w="3320" w:type="pct"/>
            <w:gridSpan w:val="4"/>
            <w:tcBorders>
              <w:top w:val="single" w:sz="4" w:space="0" w:color="auto"/>
              <w:left w:val="single" w:sz="4" w:space="0" w:color="auto"/>
              <w:bottom w:val="single" w:sz="4" w:space="0" w:color="auto"/>
              <w:right w:val="single" w:sz="4" w:space="0" w:color="auto"/>
            </w:tcBorders>
          </w:tcPr>
          <w:p w:rsidR="00C219E8" w:rsidRPr="005B570F" w:rsidRDefault="00C34E46" w:rsidP="005D7701">
            <w:pPr>
              <w:rPr>
                <w:rFonts w:ascii="Arial Narrow" w:hAnsi="Arial Narrow" w:cs="Arial"/>
                <w:sz w:val="20"/>
                <w:szCs w:val="20"/>
              </w:rPr>
            </w:pPr>
            <w:r w:rsidRPr="005B570F">
              <w:rPr>
                <w:rFonts w:ascii="Arial Narrow" w:hAnsi="Arial Narrow" w:cs="Arial"/>
                <w:sz w:val="20"/>
                <w:szCs w:val="20"/>
              </w:rPr>
              <w:t>Ulcerative colitis</w:t>
            </w:r>
          </w:p>
        </w:tc>
      </w:tr>
      <w:tr w:rsidR="00C219E8" w:rsidRPr="005B570F" w:rsidTr="00B224A6">
        <w:tblPrEx>
          <w:tblCellMar>
            <w:left w:w="108" w:type="dxa"/>
            <w:right w:w="108" w:type="dxa"/>
          </w:tblCellMar>
        </w:tblPrEx>
        <w:trPr>
          <w:gridBefore w:val="1"/>
          <w:gridAfter w:val="1"/>
          <w:wBefore w:w="19" w:type="pct"/>
          <w:wAfter w:w="40" w:type="pct"/>
          <w:cantSplit/>
          <w:trHeight w:val="360"/>
        </w:trPr>
        <w:tc>
          <w:tcPr>
            <w:tcW w:w="1621" w:type="pct"/>
            <w:gridSpan w:val="2"/>
            <w:tcBorders>
              <w:top w:val="single" w:sz="4" w:space="0" w:color="auto"/>
              <w:left w:val="single" w:sz="4" w:space="0" w:color="auto"/>
              <w:bottom w:val="single" w:sz="4" w:space="0" w:color="auto"/>
              <w:right w:val="single" w:sz="4" w:space="0" w:color="auto"/>
            </w:tcBorders>
          </w:tcPr>
          <w:p w:rsidR="00C219E8" w:rsidRPr="005B570F" w:rsidRDefault="00C219E8" w:rsidP="005D7701">
            <w:pPr>
              <w:jc w:val="both"/>
              <w:rPr>
                <w:rFonts w:ascii="Arial Narrow" w:hAnsi="Arial Narrow" w:cs="Arial"/>
                <w:b/>
                <w:sz w:val="20"/>
                <w:szCs w:val="20"/>
              </w:rPr>
            </w:pPr>
            <w:r w:rsidRPr="005B570F">
              <w:rPr>
                <w:rFonts w:ascii="Arial Narrow" w:hAnsi="Arial Narrow" w:cs="Arial"/>
                <w:b/>
                <w:sz w:val="20"/>
                <w:szCs w:val="20"/>
              </w:rPr>
              <w:t>PBS Indication:</w:t>
            </w:r>
          </w:p>
        </w:tc>
        <w:tc>
          <w:tcPr>
            <w:tcW w:w="3320" w:type="pct"/>
            <w:gridSpan w:val="4"/>
            <w:tcBorders>
              <w:top w:val="single" w:sz="4" w:space="0" w:color="auto"/>
              <w:left w:val="single" w:sz="4" w:space="0" w:color="auto"/>
              <w:bottom w:val="single" w:sz="4" w:space="0" w:color="auto"/>
              <w:right w:val="single" w:sz="4" w:space="0" w:color="auto"/>
            </w:tcBorders>
          </w:tcPr>
          <w:p w:rsidR="00C219E8" w:rsidRPr="005B570F" w:rsidRDefault="00C34E46" w:rsidP="005D7701">
            <w:pPr>
              <w:rPr>
                <w:rFonts w:ascii="Arial Narrow" w:hAnsi="Arial Narrow" w:cs="Arial"/>
                <w:sz w:val="20"/>
                <w:szCs w:val="20"/>
              </w:rPr>
            </w:pPr>
            <w:r w:rsidRPr="005B570F">
              <w:rPr>
                <w:rFonts w:ascii="Arial Narrow" w:hAnsi="Arial Narrow" w:cs="Arial"/>
                <w:sz w:val="20"/>
                <w:szCs w:val="20"/>
              </w:rPr>
              <w:t>Ulcerative colitis</w:t>
            </w:r>
          </w:p>
        </w:tc>
      </w:tr>
      <w:tr w:rsidR="00C219E8" w:rsidRPr="005B570F" w:rsidTr="00B224A6">
        <w:tblPrEx>
          <w:tblCellMar>
            <w:left w:w="108" w:type="dxa"/>
            <w:right w:w="108" w:type="dxa"/>
          </w:tblCellMar>
        </w:tblPrEx>
        <w:trPr>
          <w:gridBefore w:val="1"/>
          <w:gridAfter w:val="1"/>
          <w:wBefore w:w="19" w:type="pct"/>
          <w:wAfter w:w="40" w:type="pct"/>
          <w:cantSplit/>
          <w:trHeight w:val="360"/>
        </w:trPr>
        <w:tc>
          <w:tcPr>
            <w:tcW w:w="1621" w:type="pct"/>
            <w:gridSpan w:val="2"/>
            <w:tcBorders>
              <w:top w:val="single" w:sz="4" w:space="0" w:color="auto"/>
              <w:left w:val="single" w:sz="4" w:space="0" w:color="auto"/>
              <w:bottom w:val="single" w:sz="4" w:space="0" w:color="auto"/>
              <w:right w:val="single" w:sz="4" w:space="0" w:color="auto"/>
            </w:tcBorders>
          </w:tcPr>
          <w:p w:rsidR="00C219E8" w:rsidRPr="005B570F" w:rsidRDefault="00C219E8" w:rsidP="005D7701">
            <w:pPr>
              <w:jc w:val="both"/>
              <w:rPr>
                <w:rFonts w:ascii="Arial Narrow" w:hAnsi="Arial Narrow" w:cs="Arial"/>
                <w:b/>
                <w:sz w:val="20"/>
                <w:szCs w:val="20"/>
              </w:rPr>
            </w:pPr>
            <w:r w:rsidRPr="005B570F">
              <w:rPr>
                <w:rFonts w:ascii="Arial Narrow" w:hAnsi="Arial Narrow" w:cs="Arial"/>
                <w:b/>
                <w:sz w:val="20"/>
                <w:szCs w:val="20"/>
              </w:rPr>
              <w:t>Restriction Level / Method:</w:t>
            </w:r>
          </w:p>
          <w:p w:rsidR="00C219E8" w:rsidRPr="005B570F" w:rsidRDefault="00C219E8" w:rsidP="005D7701">
            <w:pPr>
              <w:rPr>
                <w:rFonts w:ascii="Arial Narrow" w:hAnsi="Arial Narrow" w:cs="Arial"/>
                <w:i/>
                <w:sz w:val="20"/>
                <w:szCs w:val="20"/>
                <w:highlight w:val="yellow"/>
              </w:rPr>
            </w:pPr>
          </w:p>
          <w:p w:rsidR="00C219E8" w:rsidRPr="005B570F" w:rsidRDefault="00C219E8" w:rsidP="005D7701">
            <w:pPr>
              <w:rPr>
                <w:rFonts w:ascii="Arial Narrow" w:hAnsi="Arial Narrow" w:cs="Arial"/>
                <w:i/>
                <w:sz w:val="20"/>
                <w:szCs w:val="20"/>
              </w:rPr>
            </w:pPr>
          </w:p>
          <w:p w:rsidR="00C219E8" w:rsidRPr="005B570F" w:rsidRDefault="00C219E8" w:rsidP="005D7701">
            <w:pPr>
              <w:rPr>
                <w:rFonts w:ascii="Arial Narrow" w:hAnsi="Arial Narrow" w:cs="Arial"/>
                <w:i/>
                <w:sz w:val="20"/>
                <w:szCs w:val="20"/>
              </w:rPr>
            </w:pPr>
          </w:p>
        </w:tc>
        <w:tc>
          <w:tcPr>
            <w:tcW w:w="3320" w:type="pct"/>
            <w:gridSpan w:val="4"/>
            <w:tcBorders>
              <w:top w:val="single" w:sz="4" w:space="0" w:color="auto"/>
              <w:left w:val="single" w:sz="4" w:space="0" w:color="auto"/>
              <w:bottom w:val="single" w:sz="4" w:space="0" w:color="auto"/>
              <w:right w:val="single" w:sz="4" w:space="0" w:color="auto"/>
            </w:tcBorders>
          </w:tcPr>
          <w:p w:rsidR="00C219E8" w:rsidRPr="005B570F" w:rsidRDefault="00C219E8" w:rsidP="005D7701">
            <w:pPr>
              <w:rPr>
                <w:rFonts w:ascii="Arial Narrow" w:hAnsi="Arial Narrow" w:cs="Arial"/>
                <w:sz w:val="20"/>
                <w:szCs w:val="20"/>
              </w:rPr>
            </w:pPr>
            <w:r w:rsidRPr="005B570F">
              <w:rPr>
                <w:rFonts w:ascii="Arial Narrow" w:hAnsi="Arial Narrow" w:cs="Arial"/>
                <w:sz w:val="20"/>
                <w:szCs w:val="20"/>
              </w:rPr>
              <w:fldChar w:fldCharType="begin">
                <w:ffData>
                  <w:name w:val="Check1"/>
                  <w:enabled/>
                  <w:calcOnExit w:val="0"/>
                  <w:checkBox>
                    <w:sizeAuto/>
                    <w:default w:val="0"/>
                  </w:checkBox>
                </w:ffData>
              </w:fldChar>
            </w:r>
            <w:r w:rsidRPr="005B570F">
              <w:rPr>
                <w:rFonts w:ascii="Arial Narrow" w:hAnsi="Arial Narrow" w:cs="Arial"/>
                <w:sz w:val="20"/>
                <w:szCs w:val="20"/>
              </w:rPr>
              <w:instrText xml:space="preserve"> FORMCHECKBOX </w:instrText>
            </w:r>
            <w:r w:rsidR="00BC3CA5">
              <w:rPr>
                <w:rFonts w:ascii="Arial Narrow" w:hAnsi="Arial Narrow" w:cs="Arial"/>
                <w:sz w:val="20"/>
                <w:szCs w:val="20"/>
              </w:rPr>
            </w:r>
            <w:r w:rsidR="00BC3CA5">
              <w:rPr>
                <w:rFonts w:ascii="Arial Narrow" w:hAnsi="Arial Narrow" w:cs="Arial"/>
                <w:sz w:val="20"/>
                <w:szCs w:val="20"/>
              </w:rPr>
              <w:fldChar w:fldCharType="separate"/>
            </w:r>
            <w:r w:rsidRPr="005B570F">
              <w:rPr>
                <w:rFonts w:ascii="Arial Narrow" w:hAnsi="Arial Narrow" w:cs="Arial"/>
                <w:sz w:val="20"/>
                <w:szCs w:val="20"/>
              </w:rPr>
              <w:fldChar w:fldCharType="end"/>
            </w:r>
            <w:r w:rsidRPr="005B570F">
              <w:rPr>
                <w:rFonts w:ascii="Arial Narrow" w:hAnsi="Arial Narrow" w:cs="Arial"/>
                <w:sz w:val="20"/>
                <w:szCs w:val="20"/>
              </w:rPr>
              <w:t>Restricted benefit</w:t>
            </w:r>
          </w:p>
          <w:p w:rsidR="00C219E8" w:rsidRPr="005B570F" w:rsidRDefault="00C219E8" w:rsidP="005D7701">
            <w:pPr>
              <w:rPr>
                <w:rFonts w:ascii="Arial Narrow" w:hAnsi="Arial Narrow" w:cs="Arial"/>
                <w:sz w:val="20"/>
                <w:szCs w:val="20"/>
              </w:rPr>
            </w:pPr>
            <w:r w:rsidRPr="005B570F">
              <w:rPr>
                <w:rFonts w:ascii="Arial Narrow" w:hAnsi="Arial Narrow" w:cs="Arial"/>
                <w:sz w:val="20"/>
                <w:szCs w:val="20"/>
              </w:rPr>
              <w:fldChar w:fldCharType="begin">
                <w:ffData>
                  <w:name w:val=""/>
                  <w:enabled/>
                  <w:calcOnExit w:val="0"/>
                  <w:checkBox>
                    <w:sizeAuto/>
                    <w:default w:val="0"/>
                  </w:checkBox>
                </w:ffData>
              </w:fldChar>
            </w:r>
            <w:r w:rsidRPr="005B570F">
              <w:rPr>
                <w:rFonts w:ascii="Arial Narrow" w:hAnsi="Arial Narrow" w:cs="Arial"/>
                <w:sz w:val="20"/>
                <w:szCs w:val="20"/>
              </w:rPr>
              <w:instrText xml:space="preserve"> FORMCHECKBOX </w:instrText>
            </w:r>
            <w:r w:rsidR="00BC3CA5">
              <w:rPr>
                <w:rFonts w:ascii="Arial Narrow" w:hAnsi="Arial Narrow" w:cs="Arial"/>
                <w:sz w:val="20"/>
                <w:szCs w:val="20"/>
              </w:rPr>
            </w:r>
            <w:r w:rsidR="00BC3CA5">
              <w:rPr>
                <w:rFonts w:ascii="Arial Narrow" w:hAnsi="Arial Narrow" w:cs="Arial"/>
                <w:sz w:val="20"/>
                <w:szCs w:val="20"/>
              </w:rPr>
              <w:fldChar w:fldCharType="separate"/>
            </w:r>
            <w:r w:rsidRPr="005B570F">
              <w:rPr>
                <w:rFonts w:ascii="Arial Narrow" w:hAnsi="Arial Narrow" w:cs="Arial"/>
                <w:sz w:val="20"/>
                <w:szCs w:val="20"/>
              </w:rPr>
              <w:fldChar w:fldCharType="end"/>
            </w:r>
            <w:r w:rsidRPr="005B570F">
              <w:rPr>
                <w:rFonts w:ascii="Arial Narrow" w:hAnsi="Arial Narrow" w:cs="Arial"/>
                <w:sz w:val="20"/>
                <w:szCs w:val="20"/>
              </w:rPr>
              <w:t>Authority Required - In Writing</w:t>
            </w:r>
          </w:p>
          <w:p w:rsidR="00C219E8" w:rsidRPr="005B570F" w:rsidRDefault="00C219E8" w:rsidP="005D7701">
            <w:pPr>
              <w:rPr>
                <w:rFonts w:ascii="Arial Narrow" w:hAnsi="Arial Narrow" w:cs="Arial"/>
                <w:sz w:val="20"/>
                <w:szCs w:val="20"/>
              </w:rPr>
            </w:pPr>
            <w:r w:rsidRPr="005B570F">
              <w:rPr>
                <w:rFonts w:ascii="Arial Narrow" w:hAnsi="Arial Narrow" w:cs="Arial"/>
                <w:sz w:val="20"/>
                <w:szCs w:val="20"/>
              </w:rPr>
              <w:fldChar w:fldCharType="begin">
                <w:ffData>
                  <w:name w:val="Check3"/>
                  <w:enabled/>
                  <w:calcOnExit w:val="0"/>
                  <w:checkBox>
                    <w:sizeAuto/>
                    <w:default w:val="0"/>
                  </w:checkBox>
                </w:ffData>
              </w:fldChar>
            </w:r>
            <w:r w:rsidRPr="005B570F">
              <w:rPr>
                <w:rFonts w:ascii="Arial Narrow" w:hAnsi="Arial Narrow" w:cs="Arial"/>
                <w:sz w:val="20"/>
                <w:szCs w:val="20"/>
              </w:rPr>
              <w:instrText xml:space="preserve"> FORMCHECKBOX </w:instrText>
            </w:r>
            <w:r w:rsidR="00BC3CA5">
              <w:rPr>
                <w:rFonts w:ascii="Arial Narrow" w:hAnsi="Arial Narrow" w:cs="Arial"/>
                <w:sz w:val="20"/>
                <w:szCs w:val="20"/>
              </w:rPr>
            </w:r>
            <w:r w:rsidR="00BC3CA5">
              <w:rPr>
                <w:rFonts w:ascii="Arial Narrow" w:hAnsi="Arial Narrow" w:cs="Arial"/>
                <w:sz w:val="20"/>
                <w:szCs w:val="20"/>
              </w:rPr>
              <w:fldChar w:fldCharType="separate"/>
            </w:r>
            <w:r w:rsidRPr="005B570F">
              <w:rPr>
                <w:rFonts w:ascii="Arial Narrow" w:hAnsi="Arial Narrow" w:cs="Arial"/>
                <w:sz w:val="20"/>
                <w:szCs w:val="20"/>
              </w:rPr>
              <w:fldChar w:fldCharType="end"/>
            </w:r>
            <w:r w:rsidRPr="005B570F">
              <w:rPr>
                <w:rFonts w:ascii="Arial Narrow" w:hAnsi="Arial Narrow" w:cs="Arial"/>
                <w:sz w:val="20"/>
                <w:szCs w:val="20"/>
              </w:rPr>
              <w:t>Authority Required - Telephone</w:t>
            </w:r>
          </w:p>
          <w:p w:rsidR="00C219E8" w:rsidRPr="005B570F" w:rsidRDefault="00C219E8" w:rsidP="005D7701">
            <w:pPr>
              <w:rPr>
                <w:rFonts w:ascii="Arial Narrow" w:hAnsi="Arial Narrow" w:cs="Arial"/>
                <w:sz w:val="20"/>
                <w:szCs w:val="20"/>
              </w:rPr>
            </w:pPr>
            <w:r w:rsidRPr="005B570F">
              <w:rPr>
                <w:rFonts w:ascii="Arial Narrow" w:hAnsi="Arial Narrow" w:cs="Arial"/>
                <w:sz w:val="20"/>
                <w:szCs w:val="20"/>
              </w:rPr>
              <w:fldChar w:fldCharType="begin">
                <w:ffData>
                  <w:name w:val=""/>
                  <w:enabled/>
                  <w:calcOnExit w:val="0"/>
                  <w:checkBox>
                    <w:sizeAuto/>
                    <w:default w:val="0"/>
                  </w:checkBox>
                </w:ffData>
              </w:fldChar>
            </w:r>
            <w:r w:rsidRPr="005B570F">
              <w:rPr>
                <w:rFonts w:ascii="Arial Narrow" w:hAnsi="Arial Narrow" w:cs="Arial"/>
                <w:sz w:val="20"/>
                <w:szCs w:val="20"/>
              </w:rPr>
              <w:instrText xml:space="preserve"> FORMCHECKBOX </w:instrText>
            </w:r>
            <w:r w:rsidR="00BC3CA5">
              <w:rPr>
                <w:rFonts w:ascii="Arial Narrow" w:hAnsi="Arial Narrow" w:cs="Arial"/>
                <w:sz w:val="20"/>
                <w:szCs w:val="20"/>
              </w:rPr>
            </w:r>
            <w:r w:rsidR="00BC3CA5">
              <w:rPr>
                <w:rFonts w:ascii="Arial Narrow" w:hAnsi="Arial Narrow" w:cs="Arial"/>
                <w:sz w:val="20"/>
                <w:szCs w:val="20"/>
              </w:rPr>
              <w:fldChar w:fldCharType="separate"/>
            </w:r>
            <w:r w:rsidRPr="005B570F">
              <w:rPr>
                <w:rFonts w:ascii="Arial Narrow" w:hAnsi="Arial Narrow" w:cs="Arial"/>
                <w:sz w:val="20"/>
                <w:szCs w:val="20"/>
              </w:rPr>
              <w:fldChar w:fldCharType="end"/>
            </w:r>
            <w:r w:rsidRPr="005B570F">
              <w:rPr>
                <w:rFonts w:ascii="Arial Narrow" w:hAnsi="Arial Narrow" w:cs="Arial"/>
                <w:sz w:val="20"/>
                <w:szCs w:val="20"/>
              </w:rPr>
              <w:t>Authority Required - Emergency</w:t>
            </w:r>
          </w:p>
          <w:p w:rsidR="00C219E8" w:rsidRPr="005B570F" w:rsidRDefault="00C219E8" w:rsidP="005D7701">
            <w:pPr>
              <w:rPr>
                <w:rFonts w:ascii="Arial Narrow" w:hAnsi="Arial Narrow" w:cs="Arial"/>
                <w:sz w:val="20"/>
                <w:szCs w:val="20"/>
              </w:rPr>
            </w:pPr>
            <w:r w:rsidRPr="005B570F">
              <w:rPr>
                <w:rFonts w:ascii="Arial Narrow" w:hAnsi="Arial Narrow" w:cs="Arial"/>
                <w:sz w:val="20"/>
                <w:szCs w:val="20"/>
              </w:rPr>
              <w:fldChar w:fldCharType="begin">
                <w:ffData>
                  <w:name w:val="Check5"/>
                  <w:enabled/>
                  <w:calcOnExit w:val="0"/>
                  <w:checkBox>
                    <w:sizeAuto/>
                    <w:default w:val="0"/>
                  </w:checkBox>
                </w:ffData>
              </w:fldChar>
            </w:r>
            <w:r w:rsidRPr="005B570F">
              <w:rPr>
                <w:rFonts w:ascii="Arial Narrow" w:hAnsi="Arial Narrow" w:cs="Arial"/>
                <w:sz w:val="20"/>
                <w:szCs w:val="20"/>
              </w:rPr>
              <w:instrText xml:space="preserve"> FORMCHECKBOX </w:instrText>
            </w:r>
            <w:r w:rsidR="00BC3CA5">
              <w:rPr>
                <w:rFonts w:ascii="Arial Narrow" w:hAnsi="Arial Narrow" w:cs="Arial"/>
                <w:sz w:val="20"/>
                <w:szCs w:val="20"/>
              </w:rPr>
            </w:r>
            <w:r w:rsidR="00BC3CA5">
              <w:rPr>
                <w:rFonts w:ascii="Arial Narrow" w:hAnsi="Arial Narrow" w:cs="Arial"/>
                <w:sz w:val="20"/>
                <w:szCs w:val="20"/>
              </w:rPr>
              <w:fldChar w:fldCharType="separate"/>
            </w:r>
            <w:r w:rsidRPr="005B570F">
              <w:rPr>
                <w:rFonts w:ascii="Arial Narrow" w:hAnsi="Arial Narrow" w:cs="Arial"/>
                <w:sz w:val="20"/>
                <w:szCs w:val="20"/>
              </w:rPr>
              <w:fldChar w:fldCharType="end"/>
            </w:r>
            <w:r w:rsidRPr="005B570F">
              <w:rPr>
                <w:rFonts w:ascii="Arial Narrow" w:hAnsi="Arial Narrow" w:cs="Arial"/>
                <w:sz w:val="20"/>
                <w:szCs w:val="20"/>
              </w:rPr>
              <w:t>Authority Required - Electronic</w:t>
            </w:r>
          </w:p>
          <w:p w:rsidR="00C219E8" w:rsidRPr="005B570F" w:rsidRDefault="00C219E8" w:rsidP="005D7701">
            <w:pPr>
              <w:rPr>
                <w:rFonts w:ascii="Arial Narrow" w:hAnsi="Arial Narrow" w:cs="Arial"/>
                <w:sz w:val="20"/>
                <w:szCs w:val="20"/>
              </w:rPr>
            </w:pPr>
            <w:r w:rsidRPr="005B570F">
              <w:rPr>
                <w:rFonts w:ascii="Arial Narrow" w:hAnsi="Arial Narrow" w:cs="Arial"/>
                <w:sz w:val="20"/>
                <w:szCs w:val="20"/>
              </w:rPr>
              <w:fldChar w:fldCharType="begin">
                <w:ffData>
                  <w:name w:val="Check5"/>
                  <w:enabled/>
                  <w:calcOnExit w:val="0"/>
                  <w:checkBox>
                    <w:sizeAuto/>
                    <w:default w:val="1"/>
                  </w:checkBox>
                </w:ffData>
              </w:fldChar>
            </w:r>
            <w:r w:rsidRPr="005B570F">
              <w:rPr>
                <w:rFonts w:ascii="Arial Narrow" w:hAnsi="Arial Narrow" w:cs="Arial"/>
                <w:sz w:val="20"/>
                <w:szCs w:val="20"/>
              </w:rPr>
              <w:instrText xml:space="preserve"> FORMCHECKBOX </w:instrText>
            </w:r>
            <w:r w:rsidR="00BC3CA5">
              <w:rPr>
                <w:rFonts w:ascii="Arial Narrow" w:hAnsi="Arial Narrow" w:cs="Arial"/>
                <w:sz w:val="20"/>
                <w:szCs w:val="20"/>
              </w:rPr>
            </w:r>
            <w:r w:rsidR="00BC3CA5">
              <w:rPr>
                <w:rFonts w:ascii="Arial Narrow" w:hAnsi="Arial Narrow" w:cs="Arial"/>
                <w:sz w:val="20"/>
                <w:szCs w:val="20"/>
              </w:rPr>
              <w:fldChar w:fldCharType="separate"/>
            </w:r>
            <w:r w:rsidRPr="005B570F">
              <w:rPr>
                <w:rFonts w:ascii="Arial Narrow" w:hAnsi="Arial Narrow" w:cs="Arial"/>
                <w:sz w:val="20"/>
                <w:szCs w:val="20"/>
              </w:rPr>
              <w:fldChar w:fldCharType="end"/>
            </w:r>
            <w:r w:rsidRPr="005B570F">
              <w:rPr>
                <w:rFonts w:ascii="Arial Narrow" w:hAnsi="Arial Narrow" w:cs="Arial"/>
                <w:sz w:val="20"/>
                <w:szCs w:val="20"/>
              </w:rPr>
              <w:t>Streamlined</w:t>
            </w:r>
          </w:p>
        </w:tc>
      </w:tr>
      <w:tr w:rsidR="00C219E8" w:rsidRPr="005B570F" w:rsidTr="00B224A6">
        <w:tblPrEx>
          <w:tblCellMar>
            <w:left w:w="108" w:type="dxa"/>
            <w:right w:w="108" w:type="dxa"/>
          </w:tblCellMar>
        </w:tblPrEx>
        <w:trPr>
          <w:gridBefore w:val="1"/>
          <w:gridAfter w:val="1"/>
          <w:wBefore w:w="19" w:type="pct"/>
          <w:wAfter w:w="40" w:type="pct"/>
          <w:cantSplit/>
          <w:trHeight w:val="360"/>
        </w:trPr>
        <w:tc>
          <w:tcPr>
            <w:tcW w:w="1621" w:type="pct"/>
            <w:gridSpan w:val="2"/>
            <w:tcBorders>
              <w:top w:val="single" w:sz="4" w:space="0" w:color="auto"/>
              <w:left w:val="single" w:sz="4" w:space="0" w:color="auto"/>
              <w:bottom w:val="single" w:sz="4" w:space="0" w:color="auto"/>
              <w:right w:val="single" w:sz="4" w:space="0" w:color="auto"/>
            </w:tcBorders>
          </w:tcPr>
          <w:p w:rsidR="00C219E8" w:rsidRPr="005B570F" w:rsidRDefault="00C219E8" w:rsidP="005D7701">
            <w:pPr>
              <w:jc w:val="both"/>
              <w:rPr>
                <w:rFonts w:ascii="Arial Narrow" w:hAnsi="Arial Narrow" w:cs="Arial"/>
                <w:b/>
                <w:sz w:val="20"/>
                <w:szCs w:val="20"/>
              </w:rPr>
            </w:pPr>
            <w:r w:rsidRPr="005B570F">
              <w:rPr>
                <w:rFonts w:ascii="Arial Narrow" w:hAnsi="Arial Narrow" w:cs="Arial"/>
                <w:b/>
                <w:sz w:val="20"/>
                <w:szCs w:val="20"/>
              </w:rPr>
              <w:t>Clinical criteria:</w:t>
            </w:r>
          </w:p>
        </w:tc>
        <w:tc>
          <w:tcPr>
            <w:tcW w:w="3320" w:type="pct"/>
            <w:gridSpan w:val="4"/>
            <w:tcBorders>
              <w:top w:val="single" w:sz="4" w:space="0" w:color="auto"/>
              <w:left w:val="single" w:sz="4" w:space="0" w:color="auto"/>
              <w:bottom w:val="single" w:sz="4" w:space="0" w:color="auto"/>
              <w:right w:val="single" w:sz="4" w:space="0" w:color="auto"/>
            </w:tcBorders>
          </w:tcPr>
          <w:p w:rsidR="00C219E8" w:rsidRPr="005B570F" w:rsidRDefault="00C34E46" w:rsidP="005D7701">
            <w:pPr>
              <w:rPr>
                <w:rFonts w:ascii="Arial Narrow" w:hAnsi="Arial Narrow" w:cs="Arial"/>
                <w:sz w:val="20"/>
                <w:szCs w:val="20"/>
              </w:rPr>
            </w:pPr>
            <w:r w:rsidRPr="005B570F">
              <w:rPr>
                <w:rFonts w:ascii="Arial Narrow" w:hAnsi="Arial Narrow" w:cs="Arial"/>
                <w:sz w:val="20"/>
                <w:szCs w:val="20"/>
              </w:rPr>
              <w:t xml:space="preserve">Patient must have had a documented hypersensitivity reaction to a sulphonamide; </w:t>
            </w:r>
          </w:p>
          <w:p w:rsidR="00C34E46" w:rsidRPr="005B570F" w:rsidRDefault="00C34E46" w:rsidP="005D7701">
            <w:pPr>
              <w:rPr>
                <w:rFonts w:ascii="Arial Narrow" w:hAnsi="Arial Narrow" w:cs="Arial"/>
                <w:sz w:val="20"/>
                <w:szCs w:val="20"/>
              </w:rPr>
            </w:pPr>
            <w:r w:rsidRPr="005B570F">
              <w:rPr>
                <w:rFonts w:ascii="Arial Narrow" w:hAnsi="Arial Narrow" w:cs="Arial"/>
                <w:sz w:val="20"/>
                <w:szCs w:val="20"/>
              </w:rPr>
              <w:t>OR</w:t>
            </w:r>
          </w:p>
          <w:p w:rsidR="00C34E46" w:rsidRPr="005B570F" w:rsidRDefault="00C34E46" w:rsidP="005D7701">
            <w:pPr>
              <w:rPr>
                <w:rFonts w:ascii="Arial Narrow" w:hAnsi="Arial Narrow" w:cs="Arial"/>
                <w:sz w:val="20"/>
                <w:szCs w:val="20"/>
              </w:rPr>
            </w:pPr>
            <w:r w:rsidRPr="005B570F">
              <w:rPr>
                <w:rFonts w:ascii="Arial Narrow" w:hAnsi="Arial Narrow" w:cs="Arial"/>
                <w:sz w:val="20"/>
                <w:szCs w:val="20"/>
              </w:rPr>
              <w:t>Patient must be intolerant to sulfasalazine</w:t>
            </w:r>
          </w:p>
        </w:tc>
      </w:tr>
      <w:tr w:rsidR="00C34E46" w:rsidRPr="005B570F" w:rsidTr="00B224A6">
        <w:tblPrEx>
          <w:tblCellMar>
            <w:left w:w="108" w:type="dxa"/>
            <w:right w:w="108" w:type="dxa"/>
          </w:tblCellMar>
        </w:tblPrEx>
        <w:trPr>
          <w:gridBefore w:val="1"/>
          <w:gridAfter w:val="1"/>
          <w:wBefore w:w="19" w:type="pct"/>
          <w:wAfter w:w="40" w:type="pct"/>
          <w:cantSplit/>
          <w:trHeight w:val="360"/>
        </w:trPr>
        <w:tc>
          <w:tcPr>
            <w:tcW w:w="1621" w:type="pct"/>
            <w:gridSpan w:val="2"/>
            <w:tcBorders>
              <w:top w:val="single" w:sz="4" w:space="0" w:color="auto"/>
              <w:left w:val="single" w:sz="4" w:space="0" w:color="auto"/>
              <w:bottom w:val="single" w:sz="4" w:space="0" w:color="auto"/>
              <w:right w:val="single" w:sz="4" w:space="0" w:color="auto"/>
            </w:tcBorders>
          </w:tcPr>
          <w:p w:rsidR="00C34E46" w:rsidRPr="005B570F" w:rsidRDefault="00C34E46" w:rsidP="005D7701">
            <w:pPr>
              <w:jc w:val="both"/>
              <w:rPr>
                <w:rFonts w:ascii="Arial Narrow" w:hAnsi="Arial Narrow" w:cs="Arial"/>
                <w:b/>
                <w:sz w:val="20"/>
                <w:szCs w:val="20"/>
              </w:rPr>
            </w:pPr>
            <w:r w:rsidRPr="005B570F">
              <w:rPr>
                <w:rFonts w:ascii="Arial Narrow" w:hAnsi="Arial Narrow" w:cs="Arial"/>
                <w:b/>
                <w:sz w:val="20"/>
                <w:szCs w:val="20"/>
              </w:rPr>
              <w:t>Administrative Advice</w:t>
            </w:r>
          </w:p>
        </w:tc>
        <w:tc>
          <w:tcPr>
            <w:tcW w:w="3320" w:type="pct"/>
            <w:gridSpan w:val="4"/>
            <w:tcBorders>
              <w:top w:val="single" w:sz="4" w:space="0" w:color="auto"/>
              <w:left w:val="single" w:sz="4" w:space="0" w:color="auto"/>
              <w:bottom w:val="single" w:sz="4" w:space="0" w:color="auto"/>
              <w:right w:val="single" w:sz="4" w:space="0" w:color="auto"/>
            </w:tcBorders>
          </w:tcPr>
          <w:p w:rsidR="00C34E46" w:rsidRPr="005B570F" w:rsidRDefault="00C34E46" w:rsidP="005D7701">
            <w:pPr>
              <w:rPr>
                <w:rFonts w:ascii="Arial Narrow" w:hAnsi="Arial Narrow" w:cs="Arial"/>
                <w:sz w:val="20"/>
                <w:szCs w:val="20"/>
              </w:rPr>
            </w:pPr>
            <w:r w:rsidRPr="005B570F">
              <w:rPr>
                <w:rFonts w:ascii="Arial Narrow" w:hAnsi="Arial Narrow" w:cs="Arial"/>
                <w:sz w:val="20"/>
                <w:szCs w:val="20"/>
              </w:rPr>
              <w:t>Not for the treatment of Crohn disease</w:t>
            </w:r>
          </w:p>
          <w:p w:rsidR="00C34E46" w:rsidRPr="005B570F" w:rsidRDefault="00C34E46" w:rsidP="005D7701">
            <w:pPr>
              <w:rPr>
                <w:rFonts w:ascii="Arial Narrow" w:hAnsi="Arial Narrow" w:cs="Arial"/>
                <w:sz w:val="20"/>
                <w:szCs w:val="20"/>
              </w:rPr>
            </w:pPr>
          </w:p>
          <w:p w:rsidR="00C34E46" w:rsidRPr="005B570F" w:rsidRDefault="00C34E46" w:rsidP="005D7701">
            <w:pPr>
              <w:rPr>
                <w:rFonts w:ascii="Arial Narrow" w:hAnsi="Arial Narrow" w:cs="Arial"/>
                <w:sz w:val="20"/>
                <w:szCs w:val="20"/>
              </w:rPr>
            </w:pPr>
            <w:r w:rsidRPr="005B570F">
              <w:rPr>
                <w:rFonts w:ascii="Arial Narrow" w:hAnsi="Arial Narrow" w:cs="Arial"/>
                <w:sz w:val="20"/>
                <w:szCs w:val="20"/>
              </w:rPr>
              <w:t>Continuing Therapy Only:</w:t>
            </w:r>
          </w:p>
          <w:p w:rsidR="00C34E46" w:rsidRPr="005B570F" w:rsidRDefault="00C34E46" w:rsidP="005D7701">
            <w:pPr>
              <w:rPr>
                <w:rFonts w:ascii="Arial Narrow" w:hAnsi="Arial Narrow" w:cs="Arial"/>
                <w:sz w:val="20"/>
                <w:szCs w:val="20"/>
              </w:rPr>
            </w:pPr>
            <w:r w:rsidRPr="005B570F">
              <w:rPr>
                <w:rFonts w:ascii="Arial Narrow" w:hAnsi="Arial Narrow" w:cs="Arial"/>
                <w:sz w:val="20"/>
                <w:szCs w:val="20"/>
              </w:rPr>
              <w:t>For prescribing by nurse practitioners as continuing therapy only, where the treatment of, and prescribing the medicine for, a patient has been initiated by a medicine be found in the Explanatory Notes for Nurse Practitioners.</w:t>
            </w:r>
          </w:p>
          <w:p w:rsidR="00C34E46" w:rsidRPr="005B570F" w:rsidRDefault="00C34E46" w:rsidP="005D7701">
            <w:pPr>
              <w:rPr>
                <w:rFonts w:ascii="Arial Narrow" w:hAnsi="Arial Narrow" w:cs="Arial"/>
                <w:sz w:val="20"/>
                <w:szCs w:val="20"/>
              </w:rPr>
            </w:pPr>
          </w:p>
        </w:tc>
      </w:tr>
    </w:tbl>
    <w:p w:rsidR="00BE51D9" w:rsidRPr="005B570F" w:rsidRDefault="00BE51D9" w:rsidP="00455063">
      <w:pPr>
        <w:widowControl w:val="0"/>
        <w:jc w:val="both"/>
        <w:rPr>
          <w:rFonts w:asciiTheme="minorHAnsi" w:hAnsiTheme="minorHAnsi" w:cs="Arial"/>
          <w:b/>
          <w:bCs/>
          <w:snapToGrid w:val="0"/>
        </w:rPr>
      </w:pPr>
    </w:p>
    <w:p w:rsidR="00BE51D9" w:rsidRPr="005B570F" w:rsidRDefault="00BE51D9" w:rsidP="00455063">
      <w:pPr>
        <w:widowControl w:val="0"/>
        <w:jc w:val="both"/>
        <w:rPr>
          <w:rFonts w:asciiTheme="minorHAnsi" w:hAnsiTheme="minorHAnsi" w:cs="Arial"/>
          <w:b/>
          <w:bCs/>
          <w:snapToGrid w:val="0"/>
        </w:rPr>
      </w:pPr>
    </w:p>
    <w:p w:rsidR="006A7FD7" w:rsidRPr="000B14BB" w:rsidRDefault="006A7FD7" w:rsidP="006A7FD7">
      <w:pPr>
        <w:pStyle w:val="PBACHeading1"/>
        <w:numPr>
          <w:ilvl w:val="0"/>
          <w:numId w:val="14"/>
        </w:numPr>
        <w:rPr>
          <w:rFonts w:asciiTheme="minorHAnsi" w:hAnsiTheme="minorHAnsi"/>
          <w:sz w:val="32"/>
          <w:szCs w:val="32"/>
        </w:rPr>
      </w:pPr>
      <w:r w:rsidRPr="000B14BB">
        <w:rPr>
          <w:rFonts w:asciiTheme="minorHAnsi" w:hAnsiTheme="minorHAnsi"/>
          <w:sz w:val="32"/>
          <w:szCs w:val="32"/>
        </w:rPr>
        <w:t>Context for Decision</w:t>
      </w:r>
    </w:p>
    <w:p w:rsidR="006A7FD7" w:rsidRPr="000B14BB" w:rsidRDefault="006A7FD7" w:rsidP="006A7FD7">
      <w:pPr>
        <w:spacing w:before="120" w:after="120"/>
        <w:rPr>
          <w:rFonts w:asciiTheme="minorHAnsi" w:hAnsiTheme="minorHAnsi" w:cs="Arial"/>
          <w:snapToGrid w:val="0"/>
          <w:lang w:eastAsia="en-US"/>
        </w:rPr>
      </w:pPr>
      <w:r w:rsidRPr="000B14BB">
        <w:rPr>
          <w:rFonts w:asciiTheme="minorHAnsi" w:hAnsiTheme="minorHAnsi" w:cs="Arial"/>
          <w:snapToGrid w:val="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A7FD7" w:rsidRPr="000B14BB" w:rsidRDefault="006A7FD7" w:rsidP="006A7FD7">
      <w:pPr>
        <w:pStyle w:val="PBACHeading1"/>
        <w:numPr>
          <w:ilvl w:val="0"/>
          <w:numId w:val="14"/>
        </w:numPr>
        <w:rPr>
          <w:rFonts w:asciiTheme="minorHAnsi" w:hAnsiTheme="minorHAnsi"/>
          <w:sz w:val="32"/>
          <w:szCs w:val="32"/>
        </w:rPr>
      </w:pPr>
      <w:r w:rsidRPr="000B14BB">
        <w:rPr>
          <w:rFonts w:asciiTheme="minorHAnsi" w:hAnsiTheme="minorHAnsi"/>
          <w:sz w:val="32"/>
          <w:szCs w:val="32"/>
        </w:rPr>
        <w:t>Sponsor’s Comment</w:t>
      </w:r>
    </w:p>
    <w:p w:rsidR="006A7FD7" w:rsidRPr="000B14BB" w:rsidRDefault="006A7FD7" w:rsidP="006A7FD7">
      <w:pPr>
        <w:spacing w:before="120" w:after="160"/>
        <w:jc w:val="both"/>
        <w:rPr>
          <w:rFonts w:ascii="Calibri" w:eastAsia="Calibri" w:hAnsi="Calibri" w:cs="Arial"/>
          <w:snapToGrid w:val="0"/>
          <w:szCs w:val="20"/>
          <w:lang w:eastAsia="en-US"/>
        </w:rPr>
      </w:pPr>
      <w:r w:rsidRPr="000B14BB">
        <w:rPr>
          <w:rFonts w:ascii="Calibri" w:eastAsia="Calibri" w:hAnsi="Calibri" w:cs="Arial"/>
          <w:snapToGrid w:val="0"/>
          <w:szCs w:val="20"/>
          <w:lang w:eastAsia="en-US"/>
        </w:rPr>
        <w:t>The sponsor had no comment.</w:t>
      </w:r>
    </w:p>
    <w:p w:rsidR="00BE51D9" w:rsidRPr="005B570F" w:rsidRDefault="00BE51D9" w:rsidP="00455063">
      <w:pPr>
        <w:widowControl w:val="0"/>
        <w:jc w:val="both"/>
        <w:rPr>
          <w:rFonts w:asciiTheme="minorHAnsi" w:hAnsiTheme="minorHAnsi" w:cs="Arial"/>
          <w:b/>
          <w:bCs/>
          <w:snapToGrid w:val="0"/>
        </w:rPr>
      </w:pPr>
    </w:p>
    <w:sectPr w:rsidR="00BE51D9" w:rsidRPr="005B570F" w:rsidSect="006A7FD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A5" w:rsidRDefault="00BC3CA5">
      <w:r>
        <w:separator/>
      </w:r>
    </w:p>
    <w:p w:rsidR="00BC3CA5" w:rsidRDefault="00BC3CA5"/>
  </w:endnote>
  <w:endnote w:type="continuationSeparator" w:id="0">
    <w:p w:rsidR="00BC3CA5" w:rsidRDefault="00BC3CA5">
      <w:r>
        <w:continuationSeparator/>
      </w:r>
    </w:p>
    <w:p w:rsidR="00BC3CA5" w:rsidRDefault="00BC3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E6F59" w:rsidTr="005A3173">
      <w:trPr>
        <w:trHeight w:val="151"/>
      </w:trPr>
      <w:tc>
        <w:tcPr>
          <w:tcW w:w="2250" w:type="pct"/>
          <w:tcBorders>
            <w:top w:val="nil"/>
            <w:left w:val="nil"/>
            <w:bottom w:val="single" w:sz="4" w:space="0" w:color="4F81BD"/>
            <w:right w:val="nil"/>
          </w:tcBorders>
        </w:tcPr>
        <w:p w:rsidR="00FE6F59" w:rsidRPr="005A3173" w:rsidRDefault="00FE6F5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E6F59" w:rsidRPr="005A3173" w:rsidRDefault="00FE6F5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E6F59" w:rsidRPr="005A3173" w:rsidRDefault="00FE6F59" w:rsidP="005A3173">
          <w:pPr>
            <w:pStyle w:val="Header"/>
            <w:spacing w:line="276" w:lineRule="auto"/>
            <w:rPr>
              <w:rFonts w:ascii="Calibri" w:eastAsia="MS Gothic" w:hAnsi="Calibri"/>
              <w:b/>
              <w:bCs/>
              <w:color w:val="4F81BD"/>
            </w:rPr>
          </w:pPr>
        </w:p>
      </w:tc>
    </w:tr>
    <w:tr w:rsidR="00FE6F59" w:rsidTr="005A3173">
      <w:trPr>
        <w:trHeight w:val="150"/>
      </w:trPr>
      <w:tc>
        <w:tcPr>
          <w:tcW w:w="2250" w:type="pct"/>
          <w:tcBorders>
            <w:top w:val="single" w:sz="4" w:space="0" w:color="4F81BD"/>
            <w:left w:val="nil"/>
            <w:bottom w:val="nil"/>
            <w:right w:val="nil"/>
          </w:tcBorders>
        </w:tcPr>
        <w:p w:rsidR="00FE6F59" w:rsidRPr="005A3173" w:rsidRDefault="00FE6F59" w:rsidP="005A3173">
          <w:pPr>
            <w:pStyle w:val="Header"/>
            <w:spacing w:line="276" w:lineRule="auto"/>
            <w:rPr>
              <w:rFonts w:ascii="Calibri" w:eastAsia="MS Gothic" w:hAnsi="Calibri"/>
              <w:b/>
              <w:bCs/>
              <w:color w:val="4F81BD"/>
            </w:rPr>
          </w:pPr>
        </w:p>
      </w:tc>
      <w:tc>
        <w:tcPr>
          <w:tcW w:w="0" w:type="auto"/>
          <w:vMerge/>
          <w:vAlign w:val="center"/>
          <w:hideMark/>
        </w:tcPr>
        <w:p w:rsidR="00FE6F59" w:rsidRPr="005A3173" w:rsidRDefault="00FE6F59" w:rsidP="005A3173">
          <w:pPr>
            <w:rPr>
              <w:rFonts w:ascii="Calibri" w:hAnsi="Calibri"/>
              <w:color w:val="365F91"/>
              <w:sz w:val="22"/>
              <w:szCs w:val="22"/>
            </w:rPr>
          </w:pPr>
        </w:p>
      </w:tc>
      <w:tc>
        <w:tcPr>
          <w:tcW w:w="2250" w:type="pct"/>
          <w:tcBorders>
            <w:top w:val="single" w:sz="4" w:space="0" w:color="4F81BD"/>
            <w:left w:val="nil"/>
            <w:bottom w:val="nil"/>
            <w:right w:val="nil"/>
          </w:tcBorders>
        </w:tcPr>
        <w:p w:rsidR="00FE6F59" w:rsidRPr="005A3173" w:rsidRDefault="00FE6F59" w:rsidP="005A3173">
          <w:pPr>
            <w:pStyle w:val="Header"/>
            <w:spacing w:line="276" w:lineRule="auto"/>
            <w:rPr>
              <w:rFonts w:ascii="Calibri" w:eastAsia="MS Gothic" w:hAnsi="Calibri"/>
              <w:b/>
              <w:bCs/>
              <w:color w:val="4F81BD"/>
            </w:rPr>
          </w:pPr>
        </w:p>
      </w:tc>
    </w:tr>
  </w:tbl>
  <w:p w:rsidR="00FE6F59" w:rsidRDefault="00FE6F5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6F59" w:rsidRDefault="00FE6F59">
    <w:pPr>
      <w:pStyle w:val="Footer"/>
    </w:pPr>
  </w:p>
  <w:p w:rsidR="00FE6F59" w:rsidRDefault="00FE6F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843121"/>
      <w:docPartObj>
        <w:docPartGallery w:val="Page Numbers (Bottom of Page)"/>
        <w:docPartUnique/>
      </w:docPartObj>
    </w:sdtPr>
    <w:sdtEndPr>
      <w:rPr>
        <w:rFonts w:asciiTheme="minorHAnsi" w:hAnsiTheme="minorHAnsi"/>
        <w:noProof/>
      </w:rPr>
    </w:sdtEndPr>
    <w:sdtContent>
      <w:p w:rsidR="005173EB" w:rsidRDefault="005173EB" w:rsidP="005173EB">
        <w:pPr>
          <w:pStyle w:val="Footer"/>
          <w:jc w:val="center"/>
        </w:pPr>
      </w:p>
      <w:p w:rsidR="00FE6F59" w:rsidRPr="005173EB" w:rsidRDefault="005173EB" w:rsidP="005173EB">
        <w:pPr>
          <w:pStyle w:val="Footer"/>
          <w:jc w:val="center"/>
          <w:rPr>
            <w:rFonts w:asciiTheme="minorHAnsi" w:hAnsiTheme="minorHAnsi"/>
          </w:rPr>
        </w:pPr>
        <w:r w:rsidRPr="0041236F">
          <w:rPr>
            <w:rFonts w:asciiTheme="minorHAnsi" w:hAnsiTheme="minorHAnsi"/>
            <w:b/>
            <w:sz w:val="20"/>
            <w:szCs w:val="20"/>
          </w:rPr>
          <w:fldChar w:fldCharType="begin"/>
        </w:r>
        <w:r w:rsidRPr="0041236F">
          <w:rPr>
            <w:rFonts w:asciiTheme="minorHAnsi" w:hAnsiTheme="minorHAnsi"/>
            <w:b/>
            <w:sz w:val="20"/>
            <w:szCs w:val="20"/>
          </w:rPr>
          <w:instrText xml:space="preserve"> PAGE   \* MERGEFORMAT </w:instrText>
        </w:r>
        <w:r w:rsidRPr="0041236F">
          <w:rPr>
            <w:rFonts w:asciiTheme="minorHAnsi" w:hAnsiTheme="minorHAnsi"/>
            <w:b/>
            <w:sz w:val="20"/>
            <w:szCs w:val="20"/>
          </w:rPr>
          <w:fldChar w:fldCharType="separate"/>
        </w:r>
        <w:r w:rsidR="00BC3CA5">
          <w:rPr>
            <w:rFonts w:asciiTheme="minorHAnsi" w:hAnsiTheme="minorHAnsi"/>
            <w:b/>
            <w:noProof/>
            <w:sz w:val="20"/>
            <w:szCs w:val="20"/>
          </w:rPr>
          <w:t>1</w:t>
        </w:r>
        <w:r w:rsidRPr="0041236F">
          <w:rPr>
            <w:rFonts w:asciiTheme="minorHAnsi" w:hAnsiTheme="minorHAnsi"/>
            <w:b/>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E6F59" w:rsidTr="005A3173">
      <w:trPr>
        <w:trHeight w:val="151"/>
      </w:trPr>
      <w:tc>
        <w:tcPr>
          <w:tcW w:w="2250" w:type="pct"/>
          <w:tcBorders>
            <w:top w:val="nil"/>
            <w:left w:val="nil"/>
            <w:bottom w:val="single" w:sz="4" w:space="0" w:color="4F81BD"/>
            <w:right w:val="nil"/>
          </w:tcBorders>
        </w:tcPr>
        <w:p w:rsidR="00FE6F59" w:rsidRPr="005A3173" w:rsidRDefault="00FE6F5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E6F59" w:rsidRPr="005A3173" w:rsidRDefault="00FE6F5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E6F59" w:rsidRPr="005A3173" w:rsidRDefault="00FE6F59" w:rsidP="005A3173">
          <w:pPr>
            <w:pStyle w:val="Header"/>
            <w:spacing w:line="276" w:lineRule="auto"/>
            <w:rPr>
              <w:rFonts w:ascii="Calibri" w:eastAsia="MS Gothic" w:hAnsi="Calibri"/>
              <w:b/>
              <w:bCs/>
              <w:color w:val="4F81BD"/>
            </w:rPr>
          </w:pPr>
        </w:p>
      </w:tc>
    </w:tr>
    <w:tr w:rsidR="00FE6F59" w:rsidTr="005A3173">
      <w:trPr>
        <w:trHeight w:val="150"/>
      </w:trPr>
      <w:tc>
        <w:tcPr>
          <w:tcW w:w="2250" w:type="pct"/>
          <w:tcBorders>
            <w:top w:val="single" w:sz="4" w:space="0" w:color="4F81BD"/>
            <w:left w:val="nil"/>
            <w:bottom w:val="nil"/>
            <w:right w:val="nil"/>
          </w:tcBorders>
        </w:tcPr>
        <w:p w:rsidR="00FE6F59" w:rsidRPr="005A3173" w:rsidRDefault="00FE6F59" w:rsidP="005A3173">
          <w:pPr>
            <w:pStyle w:val="Header"/>
            <w:spacing w:line="276" w:lineRule="auto"/>
            <w:rPr>
              <w:rFonts w:ascii="Calibri" w:eastAsia="MS Gothic" w:hAnsi="Calibri"/>
              <w:b/>
              <w:bCs/>
              <w:color w:val="4F81BD"/>
            </w:rPr>
          </w:pPr>
        </w:p>
      </w:tc>
      <w:tc>
        <w:tcPr>
          <w:tcW w:w="0" w:type="auto"/>
          <w:vMerge/>
          <w:vAlign w:val="center"/>
          <w:hideMark/>
        </w:tcPr>
        <w:p w:rsidR="00FE6F59" w:rsidRPr="005A3173" w:rsidRDefault="00FE6F59" w:rsidP="005A3173">
          <w:pPr>
            <w:rPr>
              <w:rFonts w:ascii="Calibri" w:hAnsi="Calibri"/>
              <w:color w:val="365F91"/>
              <w:sz w:val="22"/>
              <w:szCs w:val="22"/>
            </w:rPr>
          </w:pPr>
        </w:p>
      </w:tc>
      <w:tc>
        <w:tcPr>
          <w:tcW w:w="2250" w:type="pct"/>
          <w:tcBorders>
            <w:top w:val="single" w:sz="4" w:space="0" w:color="4F81BD"/>
            <w:left w:val="nil"/>
            <w:bottom w:val="nil"/>
            <w:right w:val="nil"/>
          </w:tcBorders>
        </w:tcPr>
        <w:p w:rsidR="00FE6F59" w:rsidRPr="005A3173" w:rsidRDefault="00FE6F5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E6F59" w:rsidTr="005A3173">
      <w:trPr>
        <w:trHeight w:val="151"/>
      </w:trPr>
      <w:tc>
        <w:tcPr>
          <w:tcW w:w="2250" w:type="pct"/>
          <w:tcBorders>
            <w:top w:val="nil"/>
            <w:left w:val="nil"/>
            <w:bottom w:val="single" w:sz="4" w:space="0" w:color="4F81BD"/>
            <w:right w:val="nil"/>
          </w:tcBorders>
        </w:tcPr>
        <w:p w:rsidR="00FE6F59" w:rsidRPr="005A3173" w:rsidRDefault="00FE6F5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E6F59" w:rsidRPr="005A3173" w:rsidRDefault="00FE6F5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E6F59" w:rsidRPr="005A3173" w:rsidRDefault="00FE6F59" w:rsidP="005A3173">
          <w:pPr>
            <w:pStyle w:val="Header"/>
            <w:spacing w:line="276" w:lineRule="auto"/>
            <w:rPr>
              <w:rFonts w:ascii="Calibri" w:eastAsia="MS Gothic" w:hAnsi="Calibri"/>
              <w:b/>
              <w:bCs/>
              <w:color w:val="4F81BD"/>
            </w:rPr>
          </w:pPr>
        </w:p>
      </w:tc>
    </w:tr>
    <w:tr w:rsidR="00FE6F59" w:rsidTr="005A3173">
      <w:trPr>
        <w:trHeight w:val="150"/>
      </w:trPr>
      <w:tc>
        <w:tcPr>
          <w:tcW w:w="2250" w:type="pct"/>
          <w:tcBorders>
            <w:top w:val="single" w:sz="4" w:space="0" w:color="4F81BD"/>
            <w:left w:val="nil"/>
            <w:bottom w:val="nil"/>
            <w:right w:val="nil"/>
          </w:tcBorders>
        </w:tcPr>
        <w:p w:rsidR="00FE6F59" w:rsidRPr="005A3173" w:rsidRDefault="00FE6F59" w:rsidP="005A3173">
          <w:pPr>
            <w:pStyle w:val="Header"/>
            <w:spacing w:line="276" w:lineRule="auto"/>
            <w:rPr>
              <w:rFonts w:ascii="Calibri" w:eastAsia="MS Gothic" w:hAnsi="Calibri"/>
              <w:b/>
              <w:bCs/>
              <w:color w:val="4F81BD"/>
            </w:rPr>
          </w:pPr>
        </w:p>
      </w:tc>
      <w:tc>
        <w:tcPr>
          <w:tcW w:w="0" w:type="auto"/>
          <w:vMerge/>
          <w:vAlign w:val="center"/>
          <w:hideMark/>
        </w:tcPr>
        <w:p w:rsidR="00FE6F59" w:rsidRPr="005A3173" w:rsidRDefault="00FE6F59" w:rsidP="005A3173">
          <w:pPr>
            <w:rPr>
              <w:rFonts w:ascii="Calibri" w:hAnsi="Calibri"/>
              <w:color w:val="365F91"/>
              <w:sz w:val="22"/>
              <w:szCs w:val="22"/>
            </w:rPr>
          </w:pPr>
        </w:p>
      </w:tc>
      <w:tc>
        <w:tcPr>
          <w:tcW w:w="2250" w:type="pct"/>
          <w:tcBorders>
            <w:top w:val="single" w:sz="4" w:space="0" w:color="4F81BD"/>
            <w:left w:val="nil"/>
            <w:bottom w:val="nil"/>
            <w:right w:val="nil"/>
          </w:tcBorders>
        </w:tcPr>
        <w:p w:rsidR="00FE6F59" w:rsidRPr="005A3173" w:rsidRDefault="00FE6F59" w:rsidP="005A3173">
          <w:pPr>
            <w:pStyle w:val="Header"/>
            <w:spacing w:line="276" w:lineRule="auto"/>
            <w:rPr>
              <w:rFonts w:ascii="Calibri" w:eastAsia="MS Gothic" w:hAnsi="Calibri"/>
              <w:b/>
              <w:bCs/>
              <w:color w:val="4F81BD"/>
            </w:rPr>
          </w:pPr>
        </w:p>
      </w:tc>
    </w:tr>
  </w:tbl>
  <w:p w:rsidR="00FE6F59" w:rsidRPr="007C0F57" w:rsidRDefault="00FE6F5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E6F59" w:rsidRPr="007C0F57" w:rsidRDefault="00FE6F59" w:rsidP="007C0F57">
    <w:pPr>
      <w:pStyle w:val="Footer"/>
      <w:jc w:val="center"/>
      <w:rPr>
        <w:b/>
        <w:i/>
        <w:sz w:val="20"/>
        <w:szCs w:val="20"/>
      </w:rPr>
    </w:pPr>
    <w:r w:rsidRPr="007C0F57">
      <w:rPr>
        <w:b/>
        <w:i/>
        <w:sz w:val="20"/>
        <w:szCs w:val="20"/>
      </w:rPr>
      <w:t>Commercial-in-Confidence</w:t>
    </w:r>
  </w:p>
  <w:p w:rsidR="00FE6F59" w:rsidRDefault="00FE6F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A5" w:rsidRDefault="00BC3CA5">
      <w:r>
        <w:separator/>
      </w:r>
    </w:p>
    <w:p w:rsidR="00BC3CA5" w:rsidRDefault="00BC3CA5"/>
  </w:footnote>
  <w:footnote w:type="continuationSeparator" w:id="0">
    <w:p w:rsidR="00BC3CA5" w:rsidRDefault="00BC3CA5">
      <w:r>
        <w:continuationSeparator/>
      </w:r>
    </w:p>
    <w:p w:rsidR="00BC3CA5" w:rsidRDefault="00BC3C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E6F59" w:rsidRPr="008E0D90" w:rsidTr="00A06225">
      <w:trPr>
        <w:trHeight w:val="151"/>
      </w:trPr>
      <w:tc>
        <w:tcPr>
          <w:tcW w:w="2389" w:type="pct"/>
          <w:tcBorders>
            <w:top w:val="nil"/>
            <w:left w:val="nil"/>
            <w:bottom w:val="single" w:sz="4" w:space="0" w:color="4F81BD"/>
            <w:right w:val="nil"/>
          </w:tcBorders>
        </w:tcPr>
        <w:p w:rsidR="00FE6F59" w:rsidRPr="00A06225" w:rsidRDefault="00FE6F59">
          <w:pPr>
            <w:pStyle w:val="Header"/>
            <w:spacing w:line="276" w:lineRule="auto"/>
            <w:rPr>
              <w:rFonts w:ascii="Cambria" w:eastAsia="MS Gothic" w:hAnsi="Cambria"/>
              <w:b/>
              <w:bCs/>
              <w:color w:val="4F81BD"/>
            </w:rPr>
          </w:pPr>
        </w:p>
      </w:tc>
      <w:tc>
        <w:tcPr>
          <w:tcW w:w="333" w:type="pct"/>
          <w:vMerge w:val="restart"/>
          <w:noWrap/>
          <w:vAlign w:val="center"/>
          <w:hideMark/>
        </w:tcPr>
        <w:p w:rsidR="00FE6F59" w:rsidRPr="00A06225" w:rsidRDefault="00FE6F5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E6F59" w:rsidRPr="00A06225" w:rsidRDefault="00FE6F59">
          <w:pPr>
            <w:pStyle w:val="Header"/>
            <w:spacing w:line="276" w:lineRule="auto"/>
            <w:rPr>
              <w:rFonts w:ascii="Cambria" w:eastAsia="MS Gothic" w:hAnsi="Cambria"/>
              <w:b/>
              <w:bCs/>
              <w:color w:val="4F81BD"/>
            </w:rPr>
          </w:pPr>
        </w:p>
      </w:tc>
    </w:tr>
    <w:tr w:rsidR="00FE6F59" w:rsidRPr="008E0D90" w:rsidTr="00A06225">
      <w:trPr>
        <w:trHeight w:val="150"/>
      </w:trPr>
      <w:tc>
        <w:tcPr>
          <w:tcW w:w="2389" w:type="pct"/>
          <w:tcBorders>
            <w:top w:val="single" w:sz="4" w:space="0" w:color="4F81BD"/>
            <w:left w:val="nil"/>
            <w:bottom w:val="nil"/>
            <w:right w:val="nil"/>
          </w:tcBorders>
        </w:tcPr>
        <w:p w:rsidR="00FE6F59" w:rsidRPr="00A06225" w:rsidRDefault="00FE6F59">
          <w:pPr>
            <w:pStyle w:val="Header"/>
            <w:spacing w:line="276" w:lineRule="auto"/>
            <w:rPr>
              <w:rFonts w:ascii="Cambria" w:eastAsia="MS Gothic" w:hAnsi="Cambria"/>
              <w:b/>
              <w:bCs/>
              <w:color w:val="4F81BD"/>
            </w:rPr>
          </w:pPr>
        </w:p>
      </w:tc>
      <w:tc>
        <w:tcPr>
          <w:tcW w:w="0" w:type="auto"/>
          <w:vMerge/>
          <w:vAlign w:val="center"/>
          <w:hideMark/>
        </w:tcPr>
        <w:p w:rsidR="00FE6F59" w:rsidRPr="00A06225" w:rsidRDefault="00FE6F59">
          <w:pPr>
            <w:rPr>
              <w:rFonts w:ascii="Cambria" w:hAnsi="Cambria"/>
              <w:color w:val="4F81BD"/>
              <w:sz w:val="22"/>
              <w:szCs w:val="22"/>
            </w:rPr>
          </w:pPr>
        </w:p>
      </w:tc>
      <w:tc>
        <w:tcPr>
          <w:tcW w:w="2278" w:type="pct"/>
          <w:tcBorders>
            <w:top w:val="single" w:sz="4" w:space="0" w:color="4F81BD"/>
            <w:left w:val="nil"/>
            <w:bottom w:val="nil"/>
            <w:right w:val="nil"/>
          </w:tcBorders>
        </w:tcPr>
        <w:p w:rsidR="00FE6F59" w:rsidRPr="00A06225" w:rsidRDefault="00FE6F59">
          <w:pPr>
            <w:pStyle w:val="Header"/>
            <w:spacing w:line="276" w:lineRule="auto"/>
            <w:rPr>
              <w:rFonts w:ascii="Cambria" w:eastAsia="MS Gothic" w:hAnsi="Cambria"/>
              <w:b/>
              <w:bCs/>
              <w:color w:val="4F81BD"/>
            </w:rPr>
          </w:pPr>
        </w:p>
      </w:tc>
    </w:tr>
  </w:tbl>
  <w:p w:rsidR="00FE6F59" w:rsidRDefault="00FE6F59">
    <w:pPr>
      <w:pStyle w:val="Header"/>
    </w:pPr>
  </w:p>
  <w:p w:rsidR="00FE6F59" w:rsidRDefault="00FE6F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CE" w:rsidRPr="0041236F" w:rsidRDefault="000B14BB" w:rsidP="0041236F">
    <w:pPr>
      <w:pStyle w:val="Header"/>
      <w:jc w:val="center"/>
      <w:rPr>
        <w:rFonts w:asciiTheme="minorHAnsi" w:hAnsiTheme="minorHAnsi" w:cs="Arial"/>
        <w:i/>
        <w:sz w:val="22"/>
        <w:szCs w:val="22"/>
      </w:rPr>
    </w:pPr>
    <w:r>
      <w:rPr>
        <w:rFonts w:asciiTheme="minorHAnsi" w:hAnsiTheme="minorHAnsi" w:cs="Arial"/>
        <w:i/>
        <w:sz w:val="22"/>
        <w:szCs w:val="22"/>
      </w:rPr>
      <w:t>Public Summary Document</w:t>
    </w:r>
    <w:r w:rsidR="0041236F" w:rsidRPr="0041236F">
      <w:rPr>
        <w:rFonts w:asciiTheme="minorHAnsi" w:hAnsiTheme="minorHAnsi" w:cs="Arial"/>
        <w:i/>
        <w:sz w:val="22"/>
        <w:szCs w:val="22"/>
      </w:rPr>
      <w:t xml:space="preserve"> – </w:t>
    </w:r>
    <w:r w:rsidR="00A433E2">
      <w:rPr>
        <w:rFonts w:asciiTheme="minorHAnsi" w:hAnsiTheme="minorHAnsi" w:cs="Arial"/>
        <w:i/>
        <w:sz w:val="22"/>
        <w:szCs w:val="22"/>
      </w:rPr>
      <w:t>July</w:t>
    </w:r>
    <w:r w:rsidR="0041236F" w:rsidRPr="0041236F">
      <w:rPr>
        <w:rFonts w:asciiTheme="minorHAnsi" w:hAnsiTheme="minorHAnsi" w:cs="Arial"/>
        <w:i/>
        <w:sz w:val="22"/>
        <w:szCs w:val="22"/>
      </w:rPr>
      <w:t xml:space="preserve"> 2017 PBAC</w:t>
    </w:r>
  </w:p>
  <w:p w:rsidR="00FE6F59" w:rsidRDefault="00FE6F59"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A5" w:rsidRDefault="00BC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1E79DC"/>
    <w:multiLevelType w:val="multilevel"/>
    <w:tmpl w:val="72FC9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E6825"/>
    <w:multiLevelType w:val="multilevel"/>
    <w:tmpl w:val="9A7056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7C4F9F"/>
    <w:multiLevelType w:val="hybridMultilevel"/>
    <w:tmpl w:val="84761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302C84"/>
    <w:multiLevelType w:val="hybridMultilevel"/>
    <w:tmpl w:val="189C8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F677D9"/>
    <w:multiLevelType w:val="hybridMultilevel"/>
    <w:tmpl w:val="18AAB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236719"/>
    <w:multiLevelType w:val="hybridMultilevel"/>
    <w:tmpl w:val="DF2E8A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27AAEEF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C995F77"/>
    <w:multiLevelType w:val="hybridMultilevel"/>
    <w:tmpl w:val="39387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836DE8"/>
    <w:multiLevelType w:val="hybridMultilevel"/>
    <w:tmpl w:val="7C1849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7"/>
  </w:num>
  <w:num w:numId="5">
    <w:abstractNumId w:val="22"/>
  </w:num>
  <w:num w:numId="6">
    <w:abstractNumId w:val="8"/>
  </w:num>
  <w:num w:numId="7">
    <w:abstractNumId w:val="16"/>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2"/>
  </w:num>
  <w:num w:numId="15">
    <w:abstractNumId w:val="7"/>
  </w:num>
  <w:num w:numId="16">
    <w:abstractNumId w:val="21"/>
  </w:num>
  <w:num w:numId="17">
    <w:abstractNumId w:val="20"/>
  </w:num>
  <w:num w:numId="18">
    <w:abstractNumId w:val="23"/>
  </w:num>
  <w:num w:numId="19">
    <w:abstractNumId w:val="24"/>
  </w:num>
  <w:num w:numId="20">
    <w:abstractNumId w:val="15"/>
  </w:num>
  <w:num w:numId="21">
    <w:abstractNumId w:val="18"/>
  </w:num>
  <w:num w:numId="22">
    <w:abstractNumId w:val="19"/>
  </w:num>
  <w:num w:numId="23">
    <w:abstractNumId w:val="5"/>
  </w:num>
  <w:num w:numId="24">
    <w:abstractNumId w:val="2"/>
  </w:num>
  <w:num w:numId="25">
    <w:abstractNumId w:val="10"/>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2539E"/>
    <w:rsid w:val="0003106B"/>
    <w:rsid w:val="00034958"/>
    <w:rsid w:val="000421A1"/>
    <w:rsid w:val="0004240E"/>
    <w:rsid w:val="00045E26"/>
    <w:rsid w:val="000514B5"/>
    <w:rsid w:val="00060E64"/>
    <w:rsid w:val="000637A9"/>
    <w:rsid w:val="00065C1D"/>
    <w:rsid w:val="00066755"/>
    <w:rsid w:val="000674EC"/>
    <w:rsid w:val="00077143"/>
    <w:rsid w:val="00091A39"/>
    <w:rsid w:val="000969AD"/>
    <w:rsid w:val="000A3FED"/>
    <w:rsid w:val="000B14BB"/>
    <w:rsid w:val="000B558D"/>
    <w:rsid w:val="000C6996"/>
    <w:rsid w:val="000D23BA"/>
    <w:rsid w:val="000E681E"/>
    <w:rsid w:val="000F4E6A"/>
    <w:rsid w:val="001103E6"/>
    <w:rsid w:val="001107BF"/>
    <w:rsid w:val="00117673"/>
    <w:rsid w:val="00120C68"/>
    <w:rsid w:val="0012417C"/>
    <w:rsid w:val="00142395"/>
    <w:rsid w:val="00142714"/>
    <w:rsid w:val="001452ED"/>
    <w:rsid w:val="00174089"/>
    <w:rsid w:val="001830CE"/>
    <w:rsid w:val="0018643B"/>
    <w:rsid w:val="00194D0A"/>
    <w:rsid w:val="00195C57"/>
    <w:rsid w:val="00196307"/>
    <w:rsid w:val="001A33EA"/>
    <w:rsid w:val="001B017F"/>
    <w:rsid w:val="001B054D"/>
    <w:rsid w:val="001B0EEA"/>
    <w:rsid w:val="001B5129"/>
    <w:rsid w:val="001C1195"/>
    <w:rsid w:val="001F1F05"/>
    <w:rsid w:val="002104D7"/>
    <w:rsid w:val="00213CFB"/>
    <w:rsid w:val="002330DE"/>
    <w:rsid w:val="00271BA1"/>
    <w:rsid w:val="002762FA"/>
    <w:rsid w:val="00277505"/>
    <w:rsid w:val="002938D0"/>
    <w:rsid w:val="0029458F"/>
    <w:rsid w:val="002A104C"/>
    <w:rsid w:val="002A4960"/>
    <w:rsid w:val="002B1AE6"/>
    <w:rsid w:val="002B30F8"/>
    <w:rsid w:val="002B63F1"/>
    <w:rsid w:val="002C0FAC"/>
    <w:rsid w:val="002C212F"/>
    <w:rsid w:val="002E3153"/>
    <w:rsid w:val="002E72CA"/>
    <w:rsid w:val="00300AD6"/>
    <w:rsid w:val="00311683"/>
    <w:rsid w:val="003159EB"/>
    <w:rsid w:val="00326E79"/>
    <w:rsid w:val="00335E82"/>
    <w:rsid w:val="003367EF"/>
    <w:rsid w:val="00341AE4"/>
    <w:rsid w:val="00353E08"/>
    <w:rsid w:val="0036303B"/>
    <w:rsid w:val="00376CE5"/>
    <w:rsid w:val="00386E03"/>
    <w:rsid w:val="003872CF"/>
    <w:rsid w:val="0039782C"/>
    <w:rsid w:val="003A5B4A"/>
    <w:rsid w:val="003B23C5"/>
    <w:rsid w:val="003B2A75"/>
    <w:rsid w:val="003B3611"/>
    <w:rsid w:val="003B4EAA"/>
    <w:rsid w:val="003C1F6B"/>
    <w:rsid w:val="003D2AD5"/>
    <w:rsid w:val="003D4AC4"/>
    <w:rsid w:val="003D63B7"/>
    <w:rsid w:val="003E468B"/>
    <w:rsid w:val="003F5C8C"/>
    <w:rsid w:val="0041236F"/>
    <w:rsid w:val="004246B9"/>
    <w:rsid w:val="00424D39"/>
    <w:rsid w:val="00424F6B"/>
    <w:rsid w:val="004253C7"/>
    <w:rsid w:val="004465BD"/>
    <w:rsid w:val="004507D1"/>
    <w:rsid w:val="0045370D"/>
    <w:rsid w:val="00455063"/>
    <w:rsid w:val="00457B88"/>
    <w:rsid w:val="004614AB"/>
    <w:rsid w:val="00466ADA"/>
    <w:rsid w:val="00466B21"/>
    <w:rsid w:val="00476245"/>
    <w:rsid w:val="004857AF"/>
    <w:rsid w:val="00485940"/>
    <w:rsid w:val="004902A7"/>
    <w:rsid w:val="00491066"/>
    <w:rsid w:val="00496C10"/>
    <w:rsid w:val="004A2484"/>
    <w:rsid w:val="004A28DA"/>
    <w:rsid w:val="004A5A85"/>
    <w:rsid w:val="004A764C"/>
    <w:rsid w:val="004B5640"/>
    <w:rsid w:val="004C0293"/>
    <w:rsid w:val="004C1AAD"/>
    <w:rsid w:val="004C1BD7"/>
    <w:rsid w:val="004C691D"/>
    <w:rsid w:val="004D1581"/>
    <w:rsid w:val="004D36C4"/>
    <w:rsid w:val="004E692D"/>
    <w:rsid w:val="00500563"/>
    <w:rsid w:val="00501554"/>
    <w:rsid w:val="00505C21"/>
    <w:rsid w:val="00513815"/>
    <w:rsid w:val="00514CD7"/>
    <w:rsid w:val="005173EB"/>
    <w:rsid w:val="00520925"/>
    <w:rsid w:val="005319B2"/>
    <w:rsid w:val="00532C74"/>
    <w:rsid w:val="00533055"/>
    <w:rsid w:val="005337F1"/>
    <w:rsid w:val="00534E2E"/>
    <w:rsid w:val="0054169F"/>
    <w:rsid w:val="00543BFD"/>
    <w:rsid w:val="00544552"/>
    <w:rsid w:val="005455B7"/>
    <w:rsid w:val="00550B21"/>
    <w:rsid w:val="005709CD"/>
    <w:rsid w:val="00570D4D"/>
    <w:rsid w:val="00580DF6"/>
    <w:rsid w:val="00581148"/>
    <w:rsid w:val="00581932"/>
    <w:rsid w:val="00582177"/>
    <w:rsid w:val="005935EB"/>
    <w:rsid w:val="005963BB"/>
    <w:rsid w:val="005A3173"/>
    <w:rsid w:val="005A3223"/>
    <w:rsid w:val="005A3DA3"/>
    <w:rsid w:val="005A4C59"/>
    <w:rsid w:val="005A52C4"/>
    <w:rsid w:val="005B4A48"/>
    <w:rsid w:val="005B570F"/>
    <w:rsid w:val="005B6D61"/>
    <w:rsid w:val="005C38FA"/>
    <w:rsid w:val="005D03AB"/>
    <w:rsid w:val="005D3923"/>
    <w:rsid w:val="005D5017"/>
    <w:rsid w:val="005F7B4B"/>
    <w:rsid w:val="00601A91"/>
    <w:rsid w:val="00602BA3"/>
    <w:rsid w:val="00614159"/>
    <w:rsid w:val="00617C00"/>
    <w:rsid w:val="006263BF"/>
    <w:rsid w:val="0062748A"/>
    <w:rsid w:val="00630A2C"/>
    <w:rsid w:val="00633DB0"/>
    <w:rsid w:val="00634BF7"/>
    <w:rsid w:val="00637460"/>
    <w:rsid w:val="006436CD"/>
    <w:rsid w:val="00644F14"/>
    <w:rsid w:val="006471F1"/>
    <w:rsid w:val="00651169"/>
    <w:rsid w:val="00653D69"/>
    <w:rsid w:val="00664452"/>
    <w:rsid w:val="00670A76"/>
    <w:rsid w:val="006711AA"/>
    <w:rsid w:val="00672B57"/>
    <w:rsid w:val="00675622"/>
    <w:rsid w:val="006906DB"/>
    <w:rsid w:val="00696FA8"/>
    <w:rsid w:val="006A12A5"/>
    <w:rsid w:val="006A2E6F"/>
    <w:rsid w:val="006A7FD7"/>
    <w:rsid w:val="006B0AD6"/>
    <w:rsid w:val="006B0D94"/>
    <w:rsid w:val="006B485D"/>
    <w:rsid w:val="006B4D36"/>
    <w:rsid w:val="006C21A1"/>
    <w:rsid w:val="006C3AD7"/>
    <w:rsid w:val="006C708E"/>
    <w:rsid w:val="006D6EC7"/>
    <w:rsid w:val="006F5125"/>
    <w:rsid w:val="00702CB7"/>
    <w:rsid w:val="007174BB"/>
    <w:rsid w:val="00731958"/>
    <w:rsid w:val="00734356"/>
    <w:rsid w:val="00741FC2"/>
    <w:rsid w:val="007537D2"/>
    <w:rsid w:val="0076420C"/>
    <w:rsid w:val="00765F6A"/>
    <w:rsid w:val="007753C2"/>
    <w:rsid w:val="007838B8"/>
    <w:rsid w:val="007C0F57"/>
    <w:rsid w:val="007C40B6"/>
    <w:rsid w:val="007C54D5"/>
    <w:rsid w:val="007C6294"/>
    <w:rsid w:val="007C729F"/>
    <w:rsid w:val="007D589F"/>
    <w:rsid w:val="007E1D28"/>
    <w:rsid w:val="007E56A9"/>
    <w:rsid w:val="007E684E"/>
    <w:rsid w:val="007F134D"/>
    <w:rsid w:val="007F2641"/>
    <w:rsid w:val="007F7C36"/>
    <w:rsid w:val="00806796"/>
    <w:rsid w:val="008151D6"/>
    <w:rsid w:val="00816E99"/>
    <w:rsid w:val="00822B3B"/>
    <w:rsid w:val="00824E4F"/>
    <w:rsid w:val="00826F6D"/>
    <w:rsid w:val="00837D61"/>
    <w:rsid w:val="00840417"/>
    <w:rsid w:val="008424A4"/>
    <w:rsid w:val="00843204"/>
    <w:rsid w:val="00852B7C"/>
    <w:rsid w:val="00853E26"/>
    <w:rsid w:val="00855C93"/>
    <w:rsid w:val="00856DDD"/>
    <w:rsid w:val="00857A83"/>
    <w:rsid w:val="00860E02"/>
    <w:rsid w:val="00863E68"/>
    <w:rsid w:val="0087183B"/>
    <w:rsid w:val="00882085"/>
    <w:rsid w:val="00883188"/>
    <w:rsid w:val="00897D58"/>
    <w:rsid w:val="008A1956"/>
    <w:rsid w:val="008A4937"/>
    <w:rsid w:val="008A50F1"/>
    <w:rsid w:val="008C269C"/>
    <w:rsid w:val="008D1563"/>
    <w:rsid w:val="008D1B5C"/>
    <w:rsid w:val="008D3C82"/>
    <w:rsid w:val="008D447E"/>
    <w:rsid w:val="008D7A41"/>
    <w:rsid w:val="008E3680"/>
    <w:rsid w:val="008E5870"/>
    <w:rsid w:val="008F1434"/>
    <w:rsid w:val="008F2922"/>
    <w:rsid w:val="008F7355"/>
    <w:rsid w:val="009067B7"/>
    <w:rsid w:val="00922A64"/>
    <w:rsid w:val="00930937"/>
    <w:rsid w:val="00930C39"/>
    <w:rsid w:val="00933E6C"/>
    <w:rsid w:val="00935089"/>
    <w:rsid w:val="00941B60"/>
    <w:rsid w:val="00942160"/>
    <w:rsid w:val="0095146F"/>
    <w:rsid w:val="009544F3"/>
    <w:rsid w:val="009602C5"/>
    <w:rsid w:val="00962223"/>
    <w:rsid w:val="00962DF5"/>
    <w:rsid w:val="00974C21"/>
    <w:rsid w:val="00981CEE"/>
    <w:rsid w:val="009945E9"/>
    <w:rsid w:val="009B0F67"/>
    <w:rsid w:val="009C32DF"/>
    <w:rsid w:val="009C703C"/>
    <w:rsid w:val="009D017A"/>
    <w:rsid w:val="009D3CAA"/>
    <w:rsid w:val="009E32CD"/>
    <w:rsid w:val="009F4E46"/>
    <w:rsid w:val="009F5B65"/>
    <w:rsid w:val="009F5F2E"/>
    <w:rsid w:val="00A06225"/>
    <w:rsid w:val="00A128E6"/>
    <w:rsid w:val="00A20349"/>
    <w:rsid w:val="00A26F6C"/>
    <w:rsid w:val="00A336D0"/>
    <w:rsid w:val="00A34BFC"/>
    <w:rsid w:val="00A35E92"/>
    <w:rsid w:val="00A37C8D"/>
    <w:rsid w:val="00A4017C"/>
    <w:rsid w:val="00A433E2"/>
    <w:rsid w:val="00A5273B"/>
    <w:rsid w:val="00A53A9D"/>
    <w:rsid w:val="00A55FEE"/>
    <w:rsid w:val="00A62C1A"/>
    <w:rsid w:val="00A6426D"/>
    <w:rsid w:val="00A65144"/>
    <w:rsid w:val="00A65AFA"/>
    <w:rsid w:val="00A70622"/>
    <w:rsid w:val="00A70977"/>
    <w:rsid w:val="00A75716"/>
    <w:rsid w:val="00A77613"/>
    <w:rsid w:val="00A77938"/>
    <w:rsid w:val="00A8390C"/>
    <w:rsid w:val="00A928BD"/>
    <w:rsid w:val="00AA4D1C"/>
    <w:rsid w:val="00AB683B"/>
    <w:rsid w:val="00AC193C"/>
    <w:rsid w:val="00AC39BD"/>
    <w:rsid w:val="00AC5206"/>
    <w:rsid w:val="00AC5CD1"/>
    <w:rsid w:val="00AE0FAF"/>
    <w:rsid w:val="00AE11A5"/>
    <w:rsid w:val="00AE13E2"/>
    <w:rsid w:val="00AE29AD"/>
    <w:rsid w:val="00AE6ADA"/>
    <w:rsid w:val="00AF0E90"/>
    <w:rsid w:val="00AF3BBE"/>
    <w:rsid w:val="00AF62EE"/>
    <w:rsid w:val="00AF68CC"/>
    <w:rsid w:val="00B1059E"/>
    <w:rsid w:val="00B10DCE"/>
    <w:rsid w:val="00B17AEA"/>
    <w:rsid w:val="00B205AA"/>
    <w:rsid w:val="00B224A6"/>
    <w:rsid w:val="00B22E84"/>
    <w:rsid w:val="00B25F75"/>
    <w:rsid w:val="00B2771A"/>
    <w:rsid w:val="00B279DD"/>
    <w:rsid w:val="00B30A57"/>
    <w:rsid w:val="00B30C08"/>
    <w:rsid w:val="00B43E90"/>
    <w:rsid w:val="00B446AE"/>
    <w:rsid w:val="00B467DC"/>
    <w:rsid w:val="00B56118"/>
    <w:rsid w:val="00B65353"/>
    <w:rsid w:val="00B6773F"/>
    <w:rsid w:val="00B70242"/>
    <w:rsid w:val="00B801BA"/>
    <w:rsid w:val="00B831F7"/>
    <w:rsid w:val="00B84861"/>
    <w:rsid w:val="00B862BF"/>
    <w:rsid w:val="00BA20CF"/>
    <w:rsid w:val="00BB0E77"/>
    <w:rsid w:val="00BB69F5"/>
    <w:rsid w:val="00BB7EC3"/>
    <w:rsid w:val="00BC3CA5"/>
    <w:rsid w:val="00BC4B9A"/>
    <w:rsid w:val="00BD4554"/>
    <w:rsid w:val="00BD784C"/>
    <w:rsid w:val="00BE51D9"/>
    <w:rsid w:val="00BF07A6"/>
    <w:rsid w:val="00BF293B"/>
    <w:rsid w:val="00BF4CB6"/>
    <w:rsid w:val="00BF4EC5"/>
    <w:rsid w:val="00C00DA7"/>
    <w:rsid w:val="00C040AB"/>
    <w:rsid w:val="00C04B26"/>
    <w:rsid w:val="00C120B4"/>
    <w:rsid w:val="00C12768"/>
    <w:rsid w:val="00C219E8"/>
    <w:rsid w:val="00C27B58"/>
    <w:rsid w:val="00C27E34"/>
    <w:rsid w:val="00C31857"/>
    <w:rsid w:val="00C34E46"/>
    <w:rsid w:val="00C35996"/>
    <w:rsid w:val="00C42F12"/>
    <w:rsid w:val="00C5342C"/>
    <w:rsid w:val="00C5772A"/>
    <w:rsid w:val="00C603D4"/>
    <w:rsid w:val="00C6256A"/>
    <w:rsid w:val="00C62A9E"/>
    <w:rsid w:val="00C66F4D"/>
    <w:rsid w:val="00C769F2"/>
    <w:rsid w:val="00C83540"/>
    <w:rsid w:val="00C91449"/>
    <w:rsid w:val="00C92D10"/>
    <w:rsid w:val="00C94760"/>
    <w:rsid w:val="00CE10C4"/>
    <w:rsid w:val="00CE27B5"/>
    <w:rsid w:val="00CF0EEA"/>
    <w:rsid w:val="00D02CD3"/>
    <w:rsid w:val="00D0321E"/>
    <w:rsid w:val="00D07EE9"/>
    <w:rsid w:val="00D1455A"/>
    <w:rsid w:val="00D213FC"/>
    <w:rsid w:val="00D3138B"/>
    <w:rsid w:val="00D3280C"/>
    <w:rsid w:val="00D3406A"/>
    <w:rsid w:val="00D3441D"/>
    <w:rsid w:val="00D350B9"/>
    <w:rsid w:val="00D469B2"/>
    <w:rsid w:val="00D741EB"/>
    <w:rsid w:val="00D82F2C"/>
    <w:rsid w:val="00D83605"/>
    <w:rsid w:val="00D84934"/>
    <w:rsid w:val="00D84FD6"/>
    <w:rsid w:val="00D91271"/>
    <w:rsid w:val="00D95959"/>
    <w:rsid w:val="00D960C0"/>
    <w:rsid w:val="00DA29E6"/>
    <w:rsid w:val="00DA2CB5"/>
    <w:rsid w:val="00DA4BAC"/>
    <w:rsid w:val="00DA6932"/>
    <w:rsid w:val="00DD02F9"/>
    <w:rsid w:val="00DD4AAC"/>
    <w:rsid w:val="00DE1C27"/>
    <w:rsid w:val="00DE6D27"/>
    <w:rsid w:val="00DF217D"/>
    <w:rsid w:val="00DF26A7"/>
    <w:rsid w:val="00DF7168"/>
    <w:rsid w:val="00E05A7C"/>
    <w:rsid w:val="00E05FAE"/>
    <w:rsid w:val="00E15627"/>
    <w:rsid w:val="00E164B3"/>
    <w:rsid w:val="00E16910"/>
    <w:rsid w:val="00E208F5"/>
    <w:rsid w:val="00E27085"/>
    <w:rsid w:val="00E30193"/>
    <w:rsid w:val="00E32AED"/>
    <w:rsid w:val="00E619A5"/>
    <w:rsid w:val="00E65E54"/>
    <w:rsid w:val="00E80155"/>
    <w:rsid w:val="00E848C0"/>
    <w:rsid w:val="00E91B96"/>
    <w:rsid w:val="00E92009"/>
    <w:rsid w:val="00E941A1"/>
    <w:rsid w:val="00E94419"/>
    <w:rsid w:val="00E95CE3"/>
    <w:rsid w:val="00EA2825"/>
    <w:rsid w:val="00EB5088"/>
    <w:rsid w:val="00EB50A8"/>
    <w:rsid w:val="00EC52D7"/>
    <w:rsid w:val="00ED1644"/>
    <w:rsid w:val="00ED2593"/>
    <w:rsid w:val="00EF44A0"/>
    <w:rsid w:val="00EF4FED"/>
    <w:rsid w:val="00F00085"/>
    <w:rsid w:val="00F027AF"/>
    <w:rsid w:val="00F050BD"/>
    <w:rsid w:val="00F05657"/>
    <w:rsid w:val="00F206BE"/>
    <w:rsid w:val="00F25578"/>
    <w:rsid w:val="00F256F6"/>
    <w:rsid w:val="00F258E5"/>
    <w:rsid w:val="00F300BC"/>
    <w:rsid w:val="00F3334E"/>
    <w:rsid w:val="00F338C0"/>
    <w:rsid w:val="00F368B5"/>
    <w:rsid w:val="00F36CCB"/>
    <w:rsid w:val="00F420B6"/>
    <w:rsid w:val="00F50EC4"/>
    <w:rsid w:val="00F57A6D"/>
    <w:rsid w:val="00F638CC"/>
    <w:rsid w:val="00F64CC1"/>
    <w:rsid w:val="00F8247A"/>
    <w:rsid w:val="00F90122"/>
    <w:rsid w:val="00F9629A"/>
    <w:rsid w:val="00FA5883"/>
    <w:rsid w:val="00FA6055"/>
    <w:rsid w:val="00FB322F"/>
    <w:rsid w:val="00FB3849"/>
    <w:rsid w:val="00FB39D1"/>
    <w:rsid w:val="00FB442F"/>
    <w:rsid w:val="00FC1929"/>
    <w:rsid w:val="00FC5B46"/>
    <w:rsid w:val="00FE0E94"/>
    <w:rsid w:val="00FE1C3F"/>
    <w:rsid w:val="00FE25E2"/>
    <w:rsid w:val="00FE6F5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uiPriority w:val="1"/>
    <w:qFormat/>
    <w:rsid w:val="00C603D4"/>
    <w:pPr>
      <w:numPr>
        <w:numId w:val="13"/>
      </w:numPr>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paragraph" w:styleId="Caption">
    <w:name w:val="caption"/>
    <w:aliases w:val="CSR Caption,Bayer Caption,IB Caption,Medical Caption,- H17,Char,Caption2,Caption Char1 Char,Caption Char Char Char,Caption Char1 Char Char Char,Caption Char Char Char Char Char,Caption Char Char1 Char,Caption Char1 Char1,CAPTION"/>
    <w:basedOn w:val="Normal"/>
    <w:next w:val="Normal"/>
    <w:link w:val="CaptionChar"/>
    <w:uiPriority w:val="99"/>
    <w:qFormat/>
    <w:rsid w:val="00853E26"/>
    <w:pPr>
      <w:spacing w:before="120"/>
      <w:jc w:val="both"/>
    </w:pPr>
    <w:rPr>
      <w:rFonts w:ascii="Arial" w:hAnsi="Arial"/>
      <w:b/>
      <w:bCs/>
      <w:sz w:val="22"/>
    </w:rPr>
  </w:style>
  <w:style w:type="character" w:customStyle="1" w:styleId="CaptionChar">
    <w:name w:val="Caption Char"/>
    <w:aliases w:val="CSR Caption Char,Bayer Caption Char,IB Caption Char,Medical Caption Char,- H17 Char,Char Char,Caption2 Char,Caption Char1 Char Char,Caption Char Char Char Char,Caption Char1 Char Char Char Char,Caption Char Char Char Char Char Char"/>
    <w:link w:val="Caption"/>
    <w:uiPriority w:val="99"/>
    <w:rsid w:val="00853E26"/>
    <w:rPr>
      <w:rFonts w:ascii="Arial" w:hAnsi="Arial"/>
      <w:b/>
      <w:bCs/>
      <w:sz w:val="22"/>
      <w:szCs w:val="24"/>
    </w:rPr>
  </w:style>
  <w:style w:type="paragraph" w:customStyle="1" w:styleId="CaptionFootnote">
    <w:name w:val="Caption Footnote"/>
    <w:basedOn w:val="Caption"/>
    <w:qFormat/>
    <w:rsid w:val="005B6D61"/>
    <w:pPr>
      <w:widowControl w:val="0"/>
      <w:spacing w:before="0"/>
      <w:jc w:val="left"/>
    </w:pPr>
    <w:rPr>
      <w:rFonts w:ascii="Candara" w:hAnsi="Candara"/>
      <w:b w:val="0"/>
      <w:sz w:val="16"/>
      <w:szCs w:val="18"/>
      <w:lang w:eastAsia="en-US" w:bidi="en-US"/>
    </w:rPr>
  </w:style>
  <w:style w:type="character" w:customStyle="1" w:styleId="Heading2Char">
    <w:name w:val="Heading 2 Char"/>
    <w:basedOn w:val="DefaultParagraphFont"/>
    <w:link w:val="Heading2"/>
    <w:rsid w:val="00AE0FAF"/>
    <w:rPr>
      <w:rFonts w:ascii="Arial" w:hAnsi="Arial"/>
      <w:b/>
      <w:i/>
      <w:sz w:val="22"/>
      <w:szCs w:val="24"/>
    </w:rPr>
  </w:style>
  <w:style w:type="paragraph" w:customStyle="1" w:styleId="Heading81">
    <w:name w:val="Heading 81"/>
    <w:basedOn w:val="Normal"/>
    <w:next w:val="Normal"/>
    <w:uiPriority w:val="7"/>
    <w:unhideWhenUsed/>
    <w:qFormat/>
    <w:rsid w:val="000B14BB"/>
    <w:pPr>
      <w:keepNext/>
      <w:keepLines/>
      <w:tabs>
        <w:tab w:val="num" w:pos="5760"/>
      </w:tabs>
      <w:spacing w:before="40"/>
      <w:ind w:left="5760" w:hanging="360"/>
      <w:outlineLvl w:val="7"/>
    </w:pPr>
    <w:rPr>
      <w:rFonts w:ascii="Calibri Light" w:eastAsia="SimSun" w:hAnsi="Calibri Light"/>
      <w:color w:val="272727"/>
      <w:sz w:val="21"/>
      <w:szCs w:val="21"/>
      <w:lang w:eastAsia="en-US"/>
    </w:rPr>
  </w:style>
  <w:style w:type="character" w:styleId="FollowedHyperlink">
    <w:name w:val="FollowedHyperlink"/>
    <w:basedOn w:val="DefaultParagraphFont"/>
    <w:rsid w:val="003159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uiPriority w:val="1"/>
    <w:qFormat/>
    <w:rsid w:val="00C603D4"/>
    <w:pPr>
      <w:numPr>
        <w:numId w:val="13"/>
      </w:numPr>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paragraph" w:styleId="Caption">
    <w:name w:val="caption"/>
    <w:aliases w:val="CSR Caption,Bayer Caption,IB Caption,Medical Caption,- H17,Char,Caption2,Caption Char1 Char,Caption Char Char Char,Caption Char1 Char Char Char,Caption Char Char Char Char Char,Caption Char Char1 Char,Caption Char1 Char1,CAPTION"/>
    <w:basedOn w:val="Normal"/>
    <w:next w:val="Normal"/>
    <w:link w:val="CaptionChar"/>
    <w:uiPriority w:val="99"/>
    <w:qFormat/>
    <w:rsid w:val="00853E26"/>
    <w:pPr>
      <w:spacing w:before="120"/>
      <w:jc w:val="both"/>
    </w:pPr>
    <w:rPr>
      <w:rFonts w:ascii="Arial" w:hAnsi="Arial"/>
      <w:b/>
      <w:bCs/>
      <w:sz w:val="22"/>
    </w:rPr>
  </w:style>
  <w:style w:type="character" w:customStyle="1" w:styleId="CaptionChar">
    <w:name w:val="Caption Char"/>
    <w:aliases w:val="CSR Caption Char,Bayer Caption Char,IB Caption Char,Medical Caption Char,- H17 Char,Char Char,Caption2 Char,Caption Char1 Char Char,Caption Char Char Char Char,Caption Char1 Char Char Char Char,Caption Char Char Char Char Char Char"/>
    <w:link w:val="Caption"/>
    <w:uiPriority w:val="99"/>
    <w:rsid w:val="00853E26"/>
    <w:rPr>
      <w:rFonts w:ascii="Arial" w:hAnsi="Arial"/>
      <w:b/>
      <w:bCs/>
      <w:sz w:val="22"/>
      <w:szCs w:val="24"/>
    </w:rPr>
  </w:style>
  <w:style w:type="paragraph" w:customStyle="1" w:styleId="CaptionFootnote">
    <w:name w:val="Caption Footnote"/>
    <w:basedOn w:val="Caption"/>
    <w:qFormat/>
    <w:rsid w:val="005B6D61"/>
    <w:pPr>
      <w:widowControl w:val="0"/>
      <w:spacing w:before="0"/>
      <w:jc w:val="left"/>
    </w:pPr>
    <w:rPr>
      <w:rFonts w:ascii="Candara" w:hAnsi="Candara"/>
      <w:b w:val="0"/>
      <w:sz w:val="16"/>
      <w:szCs w:val="18"/>
      <w:lang w:eastAsia="en-US" w:bidi="en-US"/>
    </w:rPr>
  </w:style>
  <w:style w:type="character" w:customStyle="1" w:styleId="Heading2Char">
    <w:name w:val="Heading 2 Char"/>
    <w:basedOn w:val="DefaultParagraphFont"/>
    <w:link w:val="Heading2"/>
    <w:rsid w:val="00AE0FAF"/>
    <w:rPr>
      <w:rFonts w:ascii="Arial" w:hAnsi="Arial"/>
      <w:b/>
      <w:i/>
      <w:sz w:val="22"/>
      <w:szCs w:val="24"/>
    </w:rPr>
  </w:style>
  <w:style w:type="paragraph" w:customStyle="1" w:styleId="Heading81">
    <w:name w:val="Heading 81"/>
    <w:basedOn w:val="Normal"/>
    <w:next w:val="Normal"/>
    <w:uiPriority w:val="7"/>
    <w:unhideWhenUsed/>
    <w:qFormat/>
    <w:rsid w:val="000B14BB"/>
    <w:pPr>
      <w:keepNext/>
      <w:keepLines/>
      <w:tabs>
        <w:tab w:val="num" w:pos="5760"/>
      </w:tabs>
      <w:spacing w:before="40"/>
      <w:ind w:left="5760" w:hanging="360"/>
      <w:outlineLvl w:val="7"/>
    </w:pPr>
    <w:rPr>
      <w:rFonts w:ascii="Calibri Light" w:eastAsia="SimSun" w:hAnsi="Calibri Light"/>
      <w:color w:val="272727"/>
      <w:sz w:val="21"/>
      <w:szCs w:val="21"/>
      <w:lang w:eastAsia="en-US"/>
    </w:rPr>
  </w:style>
  <w:style w:type="character" w:styleId="FollowedHyperlink">
    <w:name w:val="FollowedHyperlink"/>
    <w:basedOn w:val="DefaultParagraphFont"/>
    <w:rsid w:val="00315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9389268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5015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DB77-AB84-45DB-A76F-22B9CBB9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2018-01-30T23:11:00Z</dcterms:created>
  <dcterms:modified xsi:type="dcterms:W3CDTF">2018-01-30T23:14:00Z</dcterms:modified>
</cp:coreProperties>
</file>