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F8D" w:rsidRPr="00C255BE" w:rsidRDefault="007A63C5" w:rsidP="00786F6A">
      <w:pPr>
        <w:ind w:left="1418" w:hanging="1418"/>
        <w:jc w:val="left"/>
        <w:outlineLvl w:val="0"/>
        <w:rPr>
          <w:rFonts w:asciiTheme="minorHAnsi" w:eastAsiaTheme="minorHAnsi" w:hAnsiTheme="minorHAnsi" w:cstheme="minorBidi"/>
          <w:b/>
          <w:snapToGrid/>
          <w:sz w:val="36"/>
          <w:szCs w:val="36"/>
        </w:rPr>
      </w:pPr>
      <w:bookmarkStart w:id="0" w:name="_GoBack"/>
      <w:bookmarkEnd w:id="0"/>
      <w:r w:rsidRPr="00C255BE">
        <w:rPr>
          <w:rFonts w:asciiTheme="minorHAnsi" w:eastAsiaTheme="minorHAnsi" w:hAnsiTheme="minorHAnsi" w:cstheme="minorBidi"/>
          <w:b/>
          <w:snapToGrid/>
          <w:sz w:val="36"/>
          <w:szCs w:val="36"/>
        </w:rPr>
        <w:t>5.13</w:t>
      </w:r>
      <w:r w:rsidR="00137F8D" w:rsidRPr="00C255BE">
        <w:rPr>
          <w:rFonts w:asciiTheme="minorHAnsi" w:eastAsiaTheme="minorHAnsi" w:hAnsiTheme="minorHAnsi" w:cstheme="minorBidi"/>
          <w:b/>
          <w:snapToGrid/>
          <w:sz w:val="36"/>
          <w:szCs w:val="36"/>
        </w:rPr>
        <w:tab/>
      </w:r>
      <w:r w:rsidR="000E228B" w:rsidRPr="00C255BE">
        <w:rPr>
          <w:rFonts w:asciiTheme="minorHAnsi" w:eastAsiaTheme="minorHAnsi" w:hAnsiTheme="minorHAnsi" w:cstheme="minorBidi"/>
          <w:b/>
          <w:snapToGrid/>
          <w:sz w:val="36"/>
          <w:szCs w:val="36"/>
        </w:rPr>
        <w:t>DAPAGLIFLOZIN</w:t>
      </w:r>
      <w:r w:rsidR="00AE090B" w:rsidRPr="00C255BE">
        <w:rPr>
          <w:rFonts w:asciiTheme="minorHAnsi" w:eastAsiaTheme="minorHAnsi" w:hAnsiTheme="minorHAnsi" w:cstheme="minorBidi"/>
          <w:b/>
          <w:snapToGrid/>
          <w:sz w:val="36"/>
          <w:szCs w:val="36"/>
        </w:rPr>
        <w:t>/</w:t>
      </w:r>
      <w:r w:rsidR="000E228B" w:rsidRPr="00C255BE">
        <w:rPr>
          <w:rFonts w:asciiTheme="minorHAnsi" w:eastAsiaTheme="minorHAnsi" w:hAnsiTheme="minorHAnsi" w:cstheme="minorBidi"/>
          <w:b/>
          <w:snapToGrid/>
          <w:sz w:val="36"/>
          <w:szCs w:val="36"/>
        </w:rPr>
        <w:t>SAXAGLIPTIN</w:t>
      </w:r>
      <w:r w:rsidR="005303C5">
        <w:rPr>
          <w:rFonts w:asciiTheme="minorHAnsi" w:eastAsiaTheme="minorHAnsi" w:hAnsiTheme="minorHAnsi" w:cstheme="minorBidi"/>
          <w:b/>
          <w:snapToGrid/>
          <w:sz w:val="36"/>
          <w:szCs w:val="36"/>
        </w:rPr>
        <w:t>,</w:t>
      </w:r>
      <w:r w:rsidR="005303C5">
        <w:rPr>
          <w:rFonts w:asciiTheme="minorHAnsi" w:eastAsiaTheme="minorHAnsi" w:hAnsiTheme="minorHAnsi" w:cstheme="minorBidi"/>
          <w:b/>
          <w:snapToGrid/>
          <w:sz w:val="36"/>
          <w:szCs w:val="36"/>
        </w:rPr>
        <w:br/>
        <w:t>F</w:t>
      </w:r>
      <w:r w:rsidR="000E228B" w:rsidRPr="00C255BE">
        <w:rPr>
          <w:rFonts w:asciiTheme="minorHAnsi" w:eastAsiaTheme="minorHAnsi" w:hAnsiTheme="minorHAnsi" w:cstheme="minorBidi"/>
          <w:b/>
          <w:snapToGrid/>
          <w:sz w:val="36"/>
          <w:szCs w:val="36"/>
        </w:rPr>
        <w:t>ixed dose combination tablet 10</w:t>
      </w:r>
      <w:r w:rsidR="00412B00" w:rsidRPr="00C255BE">
        <w:rPr>
          <w:rFonts w:asciiTheme="minorHAnsi" w:eastAsiaTheme="minorHAnsi" w:hAnsiTheme="minorHAnsi" w:cstheme="minorBidi"/>
          <w:b/>
          <w:snapToGrid/>
          <w:sz w:val="36"/>
          <w:szCs w:val="36"/>
        </w:rPr>
        <w:t xml:space="preserve"> </w:t>
      </w:r>
      <w:r w:rsidR="000E228B" w:rsidRPr="00C255BE">
        <w:rPr>
          <w:rFonts w:asciiTheme="minorHAnsi" w:eastAsiaTheme="minorHAnsi" w:hAnsiTheme="minorHAnsi" w:cstheme="minorBidi"/>
          <w:b/>
          <w:snapToGrid/>
          <w:sz w:val="36"/>
          <w:szCs w:val="36"/>
        </w:rPr>
        <w:t>mg/5</w:t>
      </w:r>
      <w:r w:rsidR="00412B00" w:rsidRPr="00C255BE">
        <w:rPr>
          <w:rFonts w:asciiTheme="minorHAnsi" w:eastAsiaTheme="minorHAnsi" w:hAnsiTheme="minorHAnsi" w:cstheme="minorBidi"/>
          <w:b/>
          <w:snapToGrid/>
          <w:sz w:val="36"/>
          <w:szCs w:val="36"/>
        </w:rPr>
        <w:t xml:space="preserve"> </w:t>
      </w:r>
      <w:r w:rsidR="000E228B" w:rsidRPr="00C255BE">
        <w:rPr>
          <w:rFonts w:asciiTheme="minorHAnsi" w:eastAsiaTheme="minorHAnsi" w:hAnsiTheme="minorHAnsi" w:cstheme="minorBidi"/>
          <w:b/>
          <w:snapToGrid/>
          <w:sz w:val="36"/>
          <w:szCs w:val="36"/>
        </w:rPr>
        <w:t>mg</w:t>
      </w:r>
      <w:r w:rsidR="00137F8D" w:rsidRPr="00C255BE">
        <w:rPr>
          <w:rFonts w:asciiTheme="minorHAnsi" w:eastAsiaTheme="minorHAnsi" w:hAnsiTheme="minorHAnsi" w:cstheme="minorBidi"/>
          <w:b/>
          <w:snapToGrid/>
          <w:sz w:val="36"/>
          <w:szCs w:val="36"/>
        </w:rPr>
        <w:t xml:space="preserve">, </w:t>
      </w:r>
      <w:r w:rsidR="00137F8D" w:rsidRPr="00C255BE">
        <w:rPr>
          <w:rFonts w:asciiTheme="minorHAnsi" w:eastAsiaTheme="minorHAnsi" w:hAnsiTheme="minorHAnsi" w:cstheme="minorBidi"/>
          <w:b/>
          <w:snapToGrid/>
          <w:sz w:val="36"/>
          <w:szCs w:val="36"/>
        </w:rPr>
        <w:br/>
      </w:r>
      <w:r w:rsidR="000E228B" w:rsidRPr="00C255BE">
        <w:rPr>
          <w:rFonts w:asciiTheme="minorHAnsi" w:eastAsiaTheme="minorHAnsi" w:hAnsiTheme="minorHAnsi" w:cstheme="minorBidi"/>
          <w:b/>
          <w:snapToGrid/>
          <w:sz w:val="36"/>
          <w:szCs w:val="36"/>
        </w:rPr>
        <w:t>Qtern</w:t>
      </w:r>
      <w:r w:rsidR="00137F8D" w:rsidRPr="00C255BE">
        <w:rPr>
          <w:rFonts w:asciiTheme="minorHAnsi" w:eastAsiaTheme="minorHAnsi" w:hAnsiTheme="minorHAnsi" w:cstheme="minorBidi"/>
          <w:b/>
          <w:snapToGrid/>
          <w:sz w:val="36"/>
          <w:szCs w:val="36"/>
        </w:rPr>
        <w:t xml:space="preserve">®, </w:t>
      </w:r>
      <w:r w:rsidR="000E228B" w:rsidRPr="00C255BE">
        <w:rPr>
          <w:rFonts w:asciiTheme="minorHAnsi" w:eastAsiaTheme="minorHAnsi" w:hAnsiTheme="minorHAnsi" w:cstheme="minorBidi"/>
          <w:b/>
          <w:snapToGrid/>
          <w:sz w:val="36"/>
          <w:szCs w:val="36"/>
        </w:rPr>
        <w:t>AstraZeneca</w:t>
      </w:r>
    </w:p>
    <w:p w:rsidR="00C255BE" w:rsidRPr="00C255BE" w:rsidRDefault="00494D83" w:rsidP="00494D83">
      <w:pPr>
        <w:tabs>
          <w:tab w:val="left" w:pos="8055"/>
        </w:tabs>
        <w:ind w:left="1418" w:hanging="1418"/>
        <w:jc w:val="left"/>
        <w:rPr>
          <w:rFonts w:asciiTheme="minorHAnsi" w:eastAsiaTheme="minorHAnsi" w:hAnsiTheme="minorHAnsi" w:cstheme="minorBidi"/>
          <w:b/>
          <w:snapToGrid/>
          <w:sz w:val="36"/>
          <w:szCs w:val="36"/>
        </w:rPr>
      </w:pPr>
      <w:r>
        <w:rPr>
          <w:rFonts w:asciiTheme="minorHAnsi" w:eastAsiaTheme="minorHAnsi" w:hAnsiTheme="minorHAnsi" w:cstheme="minorBidi"/>
          <w:b/>
          <w:snapToGrid/>
          <w:sz w:val="36"/>
          <w:szCs w:val="36"/>
        </w:rPr>
        <w:tab/>
      </w:r>
      <w:r>
        <w:rPr>
          <w:rFonts w:asciiTheme="minorHAnsi" w:eastAsiaTheme="minorHAnsi" w:hAnsiTheme="minorHAnsi" w:cstheme="minorBidi"/>
          <w:b/>
          <w:snapToGrid/>
          <w:sz w:val="36"/>
          <w:szCs w:val="36"/>
        </w:rPr>
        <w:tab/>
      </w:r>
    </w:p>
    <w:p w:rsidR="00137F8D" w:rsidRPr="005303C5" w:rsidRDefault="00137F8D" w:rsidP="007A515C">
      <w:pPr>
        <w:pStyle w:val="PBACHeading1"/>
        <w:numPr>
          <w:ilvl w:val="0"/>
          <w:numId w:val="1"/>
        </w:numPr>
        <w:outlineLvl w:val="0"/>
        <w:rPr>
          <w:rFonts w:asciiTheme="minorHAnsi" w:hAnsiTheme="minorHAnsi"/>
          <w:sz w:val="32"/>
          <w:szCs w:val="32"/>
        </w:rPr>
      </w:pPr>
      <w:bookmarkStart w:id="1" w:name="_Toc413139271"/>
      <w:bookmarkStart w:id="2" w:name="_Toc476306881"/>
      <w:bookmarkStart w:id="3" w:name="_Toc482700148"/>
      <w:r w:rsidRPr="007A515C">
        <w:rPr>
          <w:rFonts w:asciiTheme="minorHAnsi" w:hAnsiTheme="minorHAnsi"/>
          <w:sz w:val="32"/>
          <w:szCs w:val="32"/>
        </w:rPr>
        <w:t>Purpose of Application</w:t>
      </w:r>
      <w:bookmarkEnd w:id="1"/>
      <w:bookmarkEnd w:id="2"/>
      <w:bookmarkEnd w:id="3"/>
    </w:p>
    <w:p w:rsidR="005303C5" w:rsidRPr="007A515C" w:rsidRDefault="005303C5" w:rsidP="0040066E">
      <w:pPr>
        <w:pStyle w:val="PBACHeading1"/>
        <w:ind w:left="720"/>
        <w:rPr>
          <w:rFonts w:asciiTheme="minorHAnsi" w:hAnsiTheme="minorHAnsi"/>
          <w:sz w:val="32"/>
          <w:szCs w:val="32"/>
        </w:rPr>
      </w:pPr>
    </w:p>
    <w:p w:rsidR="00137F8D" w:rsidRPr="00A0510D" w:rsidRDefault="00412B00" w:rsidP="00A0510D">
      <w:pPr>
        <w:pStyle w:val="ListParagraph"/>
        <w:numPr>
          <w:ilvl w:val="1"/>
          <w:numId w:val="1"/>
        </w:numPr>
        <w:rPr>
          <w:rFonts w:asciiTheme="minorHAnsi" w:hAnsiTheme="minorHAnsi"/>
          <w:sz w:val="24"/>
          <w:szCs w:val="24"/>
        </w:rPr>
      </w:pPr>
      <w:r w:rsidRPr="00A0510D">
        <w:rPr>
          <w:rFonts w:asciiTheme="minorHAnsi" w:hAnsiTheme="minorHAnsi"/>
          <w:sz w:val="24"/>
          <w:szCs w:val="24"/>
        </w:rPr>
        <w:t>Authority required (S</w:t>
      </w:r>
      <w:r w:rsidR="006A535F" w:rsidRPr="00A0510D">
        <w:rPr>
          <w:rFonts w:asciiTheme="minorHAnsi" w:hAnsiTheme="minorHAnsi"/>
          <w:sz w:val="24"/>
          <w:szCs w:val="24"/>
        </w:rPr>
        <w:t>TREAMLINED</w:t>
      </w:r>
      <w:r w:rsidRPr="00A0510D">
        <w:rPr>
          <w:rFonts w:asciiTheme="minorHAnsi" w:hAnsiTheme="minorHAnsi"/>
          <w:sz w:val="24"/>
          <w:szCs w:val="24"/>
        </w:rPr>
        <w:t>)</w:t>
      </w:r>
      <w:r w:rsidR="000E228B" w:rsidRPr="00A0510D">
        <w:rPr>
          <w:rFonts w:asciiTheme="minorHAnsi" w:hAnsiTheme="minorHAnsi"/>
          <w:sz w:val="24"/>
          <w:szCs w:val="24"/>
        </w:rPr>
        <w:t xml:space="preserve"> listing for dapagliflozin</w:t>
      </w:r>
      <w:r w:rsidR="00830700" w:rsidRPr="00A0510D">
        <w:rPr>
          <w:rFonts w:asciiTheme="minorHAnsi" w:hAnsiTheme="minorHAnsi"/>
          <w:sz w:val="24"/>
          <w:szCs w:val="24"/>
        </w:rPr>
        <w:t>/</w:t>
      </w:r>
      <w:r w:rsidR="000E228B" w:rsidRPr="00A0510D">
        <w:rPr>
          <w:rFonts w:asciiTheme="minorHAnsi" w:hAnsiTheme="minorHAnsi"/>
          <w:sz w:val="24"/>
          <w:szCs w:val="24"/>
        </w:rPr>
        <w:t>saxagliptin fixed dose combination</w:t>
      </w:r>
      <w:r w:rsidR="00830700" w:rsidRPr="00A0510D">
        <w:rPr>
          <w:rFonts w:asciiTheme="minorHAnsi" w:hAnsiTheme="minorHAnsi"/>
          <w:sz w:val="24"/>
          <w:szCs w:val="24"/>
        </w:rPr>
        <w:t xml:space="preserve"> (FDC)</w:t>
      </w:r>
      <w:r w:rsidR="000E228B" w:rsidRPr="00A0510D">
        <w:rPr>
          <w:rFonts w:asciiTheme="minorHAnsi" w:hAnsiTheme="minorHAnsi"/>
          <w:sz w:val="24"/>
          <w:szCs w:val="24"/>
        </w:rPr>
        <w:t xml:space="preserve"> for treatment of type 2 diabetes in patients previously </w:t>
      </w:r>
      <w:r w:rsidR="00C74C5E" w:rsidRPr="00A0510D">
        <w:rPr>
          <w:rFonts w:asciiTheme="minorHAnsi" w:hAnsiTheme="minorHAnsi"/>
          <w:sz w:val="24"/>
          <w:szCs w:val="24"/>
        </w:rPr>
        <w:t>treated with</w:t>
      </w:r>
      <w:r w:rsidR="000E228B" w:rsidRPr="00A0510D">
        <w:rPr>
          <w:rFonts w:asciiTheme="minorHAnsi" w:hAnsiTheme="minorHAnsi"/>
          <w:sz w:val="24"/>
          <w:szCs w:val="24"/>
        </w:rPr>
        <w:t xml:space="preserve"> a PBS-subsidised regimen of oral diabetic medicines including metformin plus any dipeptidyl peptidase 4 (DPP4) inhibitor</w:t>
      </w:r>
      <w:r w:rsidR="00137F8D" w:rsidRPr="00A0510D">
        <w:rPr>
          <w:rFonts w:asciiTheme="minorHAnsi" w:hAnsiTheme="minorHAnsi"/>
          <w:sz w:val="24"/>
          <w:szCs w:val="24"/>
        </w:rPr>
        <w:t>.</w:t>
      </w:r>
    </w:p>
    <w:p w:rsidR="00786F6A" w:rsidRDefault="00786F6A" w:rsidP="00786F6A">
      <w:pPr>
        <w:pStyle w:val="TableHeading0"/>
      </w:pPr>
      <w:r>
        <w:t xml:space="preserve">Table </w:t>
      </w:r>
      <w:r>
        <w:rPr>
          <w:noProof/>
        </w:rPr>
        <w:t>1</w:t>
      </w:r>
      <w:r w:rsidRPr="00154182">
        <w:t>: Key components of the clinical issue addressed in the submission</w:t>
      </w:r>
    </w:p>
    <w:tbl>
      <w:tblPr>
        <w:tblStyle w:val="TableGrid"/>
        <w:tblW w:w="0" w:type="auto"/>
        <w:tblLook w:val="04A0" w:firstRow="1" w:lastRow="0" w:firstColumn="1" w:lastColumn="0" w:noHBand="0" w:noVBand="1"/>
        <w:tblCaption w:val="Key components of the clinical issue addressed in the submission"/>
      </w:tblPr>
      <w:tblGrid>
        <w:gridCol w:w="1696"/>
        <w:gridCol w:w="7320"/>
      </w:tblGrid>
      <w:tr w:rsidR="00137F8D" w:rsidRPr="00C255BE" w:rsidTr="00E94275">
        <w:trPr>
          <w:cantSplit/>
          <w:tblHeader/>
        </w:trPr>
        <w:tc>
          <w:tcPr>
            <w:tcW w:w="1696" w:type="dxa"/>
            <w:shd w:val="clear" w:color="auto" w:fill="auto"/>
          </w:tcPr>
          <w:p w:rsidR="00137F8D" w:rsidRPr="00C255BE" w:rsidRDefault="00137F8D" w:rsidP="00E94275">
            <w:pPr>
              <w:pStyle w:val="TableText1"/>
              <w:rPr>
                <w:b/>
              </w:rPr>
            </w:pPr>
            <w:r w:rsidRPr="00C255BE">
              <w:rPr>
                <w:b/>
              </w:rPr>
              <w:t>Component</w:t>
            </w:r>
          </w:p>
        </w:tc>
        <w:tc>
          <w:tcPr>
            <w:tcW w:w="7320" w:type="dxa"/>
            <w:shd w:val="clear" w:color="auto" w:fill="auto"/>
          </w:tcPr>
          <w:p w:rsidR="00137F8D" w:rsidRPr="00C255BE" w:rsidRDefault="00137F8D" w:rsidP="00E94275">
            <w:pPr>
              <w:pStyle w:val="TableText1"/>
              <w:rPr>
                <w:b/>
              </w:rPr>
            </w:pPr>
            <w:r w:rsidRPr="00C255BE">
              <w:rPr>
                <w:b/>
              </w:rPr>
              <w:t>Description</w:t>
            </w:r>
          </w:p>
        </w:tc>
      </w:tr>
      <w:tr w:rsidR="00137F8D" w:rsidRPr="00C255BE" w:rsidTr="00E94275">
        <w:trPr>
          <w:cantSplit/>
        </w:trPr>
        <w:tc>
          <w:tcPr>
            <w:tcW w:w="1696" w:type="dxa"/>
            <w:shd w:val="clear" w:color="auto" w:fill="auto"/>
          </w:tcPr>
          <w:p w:rsidR="00137F8D" w:rsidRPr="00C255BE" w:rsidRDefault="00137F8D" w:rsidP="00E94275">
            <w:pPr>
              <w:pStyle w:val="TableText1"/>
            </w:pPr>
            <w:r w:rsidRPr="00C255BE">
              <w:t>Population</w:t>
            </w:r>
          </w:p>
        </w:tc>
        <w:tc>
          <w:tcPr>
            <w:tcW w:w="7320" w:type="dxa"/>
            <w:shd w:val="clear" w:color="auto" w:fill="auto"/>
          </w:tcPr>
          <w:p w:rsidR="00137F8D" w:rsidRPr="00C255BE" w:rsidRDefault="006D0F59" w:rsidP="00A15D6D">
            <w:pPr>
              <w:pStyle w:val="TableText1"/>
            </w:pPr>
            <w:r w:rsidRPr="00C255BE">
              <w:t xml:space="preserve">Adults </w:t>
            </w:r>
            <w:r w:rsidR="000E228B" w:rsidRPr="00C255BE">
              <w:t>with type 2 diabetes</w:t>
            </w:r>
            <w:r w:rsidRPr="00C255BE">
              <w:t xml:space="preserve"> </w:t>
            </w:r>
            <w:r w:rsidR="00A15D6D" w:rsidRPr="00C255BE">
              <w:t xml:space="preserve">who </w:t>
            </w:r>
            <w:r w:rsidR="00830700" w:rsidRPr="00C255BE">
              <w:t>do not achieve glycaemic control</w:t>
            </w:r>
            <w:r w:rsidR="00A15D6D" w:rsidRPr="00C255BE">
              <w:t xml:space="preserve"> on a dual therapy of </w:t>
            </w:r>
            <w:r w:rsidRPr="00C255BE">
              <w:t>metformin and any DPP4 inhibitor</w:t>
            </w:r>
          </w:p>
        </w:tc>
      </w:tr>
      <w:tr w:rsidR="00137F8D" w:rsidRPr="00C255BE" w:rsidTr="00E94275">
        <w:trPr>
          <w:cantSplit/>
        </w:trPr>
        <w:tc>
          <w:tcPr>
            <w:tcW w:w="1696" w:type="dxa"/>
            <w:shd w:val="clear" w:color="auto" w:fill="auto"/>
          </w:tcPr>
          <w:p w:rsidR="00137F8D" w:rsidRPr="00C255BE" w:rsidRDefault="00137F8D" w:rsidP="00E94275">
            <w:pPr>
              <w:pStyle w:val="TableText1"/>
            </w:pPr>
            <w:r w:rsidRPr="00C255BE">
              <w:t>Intervention</w:t>
            </w:r>
          </w:p>
        </w:tc>
        <w:tc>
          <w:tcPr>
            <w:tcW w:w="7320" w:type="dxa"/>
            <w:shd w:val="clear" w:color="auto" w:fill="auto"/>
          </w:tcPr>
          <w:p w:rsidR="00137F8D" w:rsidRPr="00C255BE" w:rsidRDefault="006D0F59" w:rsidP="00E94275">
            <w:pPr>
              <w:pStyle w:val="TableText1"/>
            </w:pPr>
            <w:r w:rsidRPr="00C255BE">
              <w:t>Dapagliflozin/saxagliptin 10 mg/5 mg fixed dose combination tablet</w:t>
            </w:r>
            <w:r w:rsidR="00E260D5" w:rsidRPr="00C255BE">
              <w:t xml:space="preserve"> for use in combination with me</w:t>
            </w:r>
            <w:r w:rsidR="00761BD1" w:rsidRPr="00C255BE">
              <w:t>t</w:t>
            </w:r>
            <w:r w:rsidR="00E260D5" w:rsidRPr="00C255BE">
              <w:t>formin</w:t>
            </w:r>
          </w:p>
        </w:tc>
      </w:tr>
      <w:tr w:rsidR="00137F8D" w:rsidRPr="00C255BE" w:rsidTr="00E94275">
        <w:trPr>
          <w:cantSplit/>
        </w:trPr>
        <w:tc>
          <w:tcPr>
            <w:tcW w:w="1696" w:type="dxa"/>
            <w:shd w:val="clear" w:color="auto" w:fill="auto"/>
          </w:tcPr>
          <w:p w:rsidR="00137F8D" w:rsidRPr="00C255BE" w:rsidRDefault="00137F8D" w:rsidP="00E94275">
            <w:pPr>
              <w:pStyle w:val="TableText1"/>
            </w:pPr>
            <w:r w:rsidRPr="00C255BE">
              <w:t>Comparator</w:t>
            </w:r>
          </w:p>
        </w:tc>
        <w:tc>
          <w:tcPr>
            <w:tcW w:w="7320" w:type="dxa"/>
            <w:shd w:val="clear" w:color="auto" w:fill="auto"/>
          </w:tcPr>
          <w:p w:rsidR="00137F8D" w:rsidRPr="00C255BE" w:rsidRDefault="000E228B" w:rsidP="00E94275">
            <w:pPr>
              <w:pStyle w:val="TableText1"/>
            </w:pPr>
            <w:r w:rsidRPr="00C255BE">
              <w:t xml:space="preserve">Individual components of dapagliflozin </w:t>
            </w:r>
            <w:r w:rsidR="006D0F59" w:rsidRPr="00C255BE">
              <w:t xml:space="preserve">10 mg </w:t>
            </w:r>
            <w:r w:rsidRPr="00C255BE">
              <w:t>and saxagliptin</w:t>
            </w:r>
            <w:r w:rsidR="006D0F59" w:rsidRPr="00C255BE">
              <w:t xml:space="preserve"> 5 mg</w:t>
            </w:r>
          </w:p>
        </w:tc>
      </w:tr>
      <w:tr w:rsidR="00137F8D" w:rsidRPr="00C255BE" w:rsidTr="00E94275">
        <w:trPr>
          <w:cantSplit/>
        </w:trPr>
        <w:tc>
          <w:tcPr>
            <w:tcW w:w="1696" w:type="dxa"/>
            <w:shd w:val="clear" w:color="auto" w:fill="auto"/>
          </w:tcPr>
          <w:p w:rsidR="00137F8D" w:rsidRPr="00C255BE" w:rsidRDefault="00137F8D" w:rsidP="00E94275">
            <w:pPr>
              <w:pStyle w:val="TableText1"/>
            </w:pPr>
            <w:r w:rsidRPr="00C255BE">
              <w:t>Outcomes</w:t>
            </w:r>
          </w:p>
        </w:tc>
        <w:tc>
          <w:tcPr>
            <w:tcW w:w="7320" w:type="dxa"/>
            <w:shd w:val="clear" w:color="auto" w:fill="auto"/>
          </w:tcPr>
          <w:p w:rsidR="00137F8D" w:rsidRPr="00C255BE" w:rsidRDefault="006D0F59" w:rsidP="00E94275">
            <w:pPr>
              <w:pStyle w:val="TableText1"/>
            </w:pPr>
            <w:r w:rsidRPr="00C255BE">
              <w:t>Bioequivalence based on pharmacokinetic parameters (e.g. C</w:t>
            </w:r>
            <w:r w:rsidRPr="00C255BE">
              <w:rPr>
                <w:vertAlign w:val="subscript"/>
              </w:rPr>
              <w:t>max</w:t>
            </w:r>
            <w:r w:rsidRPr="00C255BE">
              <w:t>, AUC)</w:t>
            </w:r>
          </w:p>
        </w:tc>
      </w:tr>
      <w:tr w:rsidR="00137F8D" w:rsidRPr="00C255BE" w:rsidTr="00E94275">
        <w:trPr>
          <w:cantSplit/>
        </w:trPr>
        <w:tc>
          <w:tcPr>
            <w:tcW w:w="1696" w:type="dxa"/>
            <w:shd w:val="clear" w:color="auto" w:fill="auto"/>
          </w:tcPr>
          <w:p w:rsidR="00137F8D" w:rsidRPr="00C255BE" w:rsidRDefault="00137F8D" w:rsidP="00E94275">
            <w:pPr>
              <w:pStyle w:val="TableText1"/>
            </w:pPr>
            <w:r w:rsidRPr="00C255BE">
              <w:t>Clinical claim</w:t>
            </w:r>
          </w:p>
        </w:tc>
        <w:tc>
          <w:tcPr>
            <w:tcW w:w="7320" w:type="dxa"/>
            <w:shd w:val="clear" w:color="auto" w:fill="auto"/>
          </w:tcPr>
          <w:p w:rsidR="00137F8D" w:rsidRPr="00C255BE" w:rsidRDefault="006D0F59" w:rsidP="006D0F59">
            <w:pPr>
              <w:pStyle w:val="TableText1"/>
            </w:pPr>
            <w:r w:rsidRPr="00C255BE">
              <w:t>Dapagliflozin/saxagliptin FDC is bioequivalent to the individual components taken concomitantly</w:t>
            </w:r>
          </w:p>
        </w:tc>
      </w:tr>
    </w:tbl>
    <w:p w:rsidR="00DD65BA" w:rsidRPr="00C255BE" w:rsidRDefault="00DD65BA" w:rsidP="007B570B">
      <w:pPr>
        <w:pStyle w:val="TableFooter"/>
        <w:spacing w:after="240"/>
        <w:contextualSpacing/>
      </w:pPr>
      <w:r w:rsidRPr="00C255BE">
        <w:t>Abbreviations: AUC, area under the curve; Cmax, maximum serum concentration; DDP4, dipeptidyl peptidase-4</w:t>
      </w:r>
    </w:p>
    <w:p w:rsidR="00137F8D" w:rsidRPr="00C255BE" w:rsidRDefault="00137F8D" w:rsidP="007B570B">
      <w:pPr>
        <w:pStyle w:val="TableFooter"/>
        <w:spacing w:after="240"/>
        <w:contextualSpacing/>
      </w:pPr>
      <w:r w:rsidRPr="00C255BE">
        <w:t xml:space="preserve">Source: </w:t>
      </w:r>
      <w:r w:rsidR="00DD65BA" w:rsidRPr="00C255BE">
        <w:t>Compiled during the evaluation</w:t>
      </w:r>
    </w:p>
    <w:p w:rsidR="007B570B" w:rsidRDefault="007B570B" w:rsidP="00A51748">
      <w:pPr>
        <w:pStyle w:val="ESnumberedpara"/>
        <w:numPr>
          <w:ilvl w:val="1"/>
          <w:numId w:val="1"/>
        </w:numPr>
        <w:rPr>
          <w:rFonts w:asciiTheme="minorHAnsi" w:hAnsiTheme="minorHAnsi"/>
          <w:sz w:val="24"/>
        </w:rPr>
      </w:pPr>
      <w:r w:rsidRPr="00063C8A">
        <w:rPr>
          <w:rFonts w:asciiTheme="minorHAnsi" w:hAnsiTheme="minorHAnsi"/>
          <w:sz w:val="24"/>
        </w:rPr>
        <w:t xml:space="preserve">There </w:t>
      </w:r>
      <w:r w:rsidR="00FB35D9" w:rsidRPr="00063C8A">
        <w:rPr>
          <w:rFonts w:asciiTheme="minorHAnsi" w:hAnsiTheme="minorHAnsi"/>
          <w:sz w:val="24"/>
        </w:rPr>
        <w:t>was an issue with the</w:t>
      </w:r>
      <w:r w:rsidRPr="00063C8A">
        <w:rPr>
          <w:rFonts w:asciiTheme="minorHAnsi" w:hAnsiTheme="minorHAnsi"/>
          <w:sz w:val="24"/>
        </w:rPr>
        <w:t xml:space="preserve"> clinical management</w:t>
      </w:r>
      <w:r w:rsidR="00FB35D9" w:rsidRPr="00063C8A">
        <w:rPr>
          <w:rFonts w:asciiTheme="minorHAnsi" w:hAnsiTheme="minorHAnsi"/>
          <w:sz w:val="24"/>
        </w:rPr>
        <w:t xml:space="preserve"> proposed in the submission</w:t>
      </w:r>
      <w:r w:rsidRPr="00063C8A">
        <w:rPr>
          <w:rFonts w:asciiTheme="minorHAnsi" w:hAnsiTheme="minorHAnsi"/>
          <w:sz w:val="24"/>
        </w:rPr>
        <w:t xml:space="preserve"> (fixed sequence of treatment with metformin and DPP4 inhibitor and then adding </w:t>
      </w:r>
      <w:r w:rsidR="00FB35D9" w:rsidRPr="00063C8A">
        <w:rPr>
          <w:rFonts w:asciiTheme="minorHAnsi" w:hAnsiTheme="minorHAnsi"/>
          <w:sz w:val="24"/>
        </w:rPr>
        <w:t>dapagliflozin).</w:t>
      </w:r>
    </w:p>
    <w:p w:rsidR="005303C5" w:rsidRPr="00063C8A" w:rsidRDefault="005303C5" w:rsidP="005303C5">
      <w:pPr>
        <w:pStyle w:val="ESnumberedpara"/>
        <w:rPr>
          <w:rFonts w:asciiTheme="minorHAnsi" w:hAnsiTheme="minorHAnsi"/>
          <w:sz w:val="24"/>
        </w:rPr>
      </w:pPr>
    </w:p>
    <w:p w:rsidR="00A0510D" w:rsidRDefault="00A0510D" w:rsidP="007A515C">
      <w:pPr>
        <w:pStyle w:val="PBACHeading1"/>
        <w:numPr>
          <w:ilvl w:val="0"/>
          <w:numId w:val="1"/>
        </w:numPr>
        <w:outlineLvl w:val="0"/>
        <w:rPr>
          <w:rFonts w:asciiTheme="minorHAnsi" w:hAnsiTheme="minorHAnsi"/>
          <w:sz w:val="32"/>
          <w:szCs w:val="32"/>
        </w:rPr>
      </w:pPr>
      <w:r w:rsidRPr="007A515C">
        <w:rPr>
          <w:rFonts w:asciiTheme="minorHAnsi" w:hAnsiTheme="minorHAnsi"/>
          <w:sz w:val="32"/>
          <w:szCs w:val="32"/>
        </w:rPr>
        <w:t>Requested listing</w:t>
      </w:r>
    </w:p>
    <w:p w:rsidR="005303C5" w:rsidRPr="005303C5" w:rsidRDefault="005303C5" w:rsidP="0040066E">
      <w:pPr>
        <w:pStyle w:val="PBACHeading1"/>
        <w:ind w:left="720"/>
        <w:rPr>
          <w:rFonts w:asciiTheme="minorHAnsi" w:hAnsiTheme="minorHAnsi"/>
          <w:sz w:val="24"/>
          <w:szCs w:val="24"/>
        </w:rPr>
      </w:pPr>
    </w:p>
    <w:p w:rsidR="00E504BF" w:rsidRPr="00A0510D" w:rsidRDefault="00E504BF" w:rsidP="00A0510D">
      <w:pPr>
        <w:pStyle w:val="ESnumberedpara"/>
        <w:numPr>
          <w:ilvl w:val="1"/>
          <w:numId w:val="1"/>
        </w:numPr>
        <w:rPr>
          <w:rFonts w:asciiTheme="minorHAnsi" w:hAnsiTheme="minorHAnsi"/>
          <w:sz w:val="24"/>
        </w:rPr>
      </w:pPr>
      <w:r w:rsidRPr="00A0510D">
        <w:rPr>
          <w:rFonts w:asciiTheme="minorHAnsi" w:hAnsiTheme="minorHAnsi"/>
          <w:sz w:val="24"/>
        </w:rPr>
        <w:t>Suggestions and additions proposed by the Secretariat to the requested listing are added in italics and suggested deletions are crossed out with strikethrough.</w:t>
      </w:r>
    </w:p>
    <w:p w:rsidR="00A0510D" w:rsidRPr="00A0510D" w:rsidRDefault="00A0510D" w:rsidP="00A0510D">
      <w:pPr>
        <w:pStyle w:val="ListParagraph"/>
        <w:numPr>
          <w:ilvl w:val="1"/>
          <w:numId w:val="1"/>
        </w:numPr>
        <w:rPr>
          <w:rFonts w:asciiTheme="minorHAnsi" w:hAnsiTheme="minorHAnsi"/>
          <w:sz w:val="24"/>
          <w:szCs w:val="24"/>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E504BF" w:rsidRPr="00260CE3" w:rsidTr="00406118">
        <w:trPr>
          <w:cantSplit/>
          <w:trHeight w:val="471"/>
        </w:trPr>
        <w:tc>
          <w:tcPr>
            <w:tcW w:w="3261" w:type="dxa"/>
            <w:gridSpan w:val="2"/>
            <w:tcBorders>
              <w:bottom w:val="single" w:sz="4" w:space="0" w:color="auto"/>
            </w:tcBorders>
          </w:tcPr>
          <w:p w:rsidR="00E504BF" w:rsidRPr="00260CE3" w:rsidRDefault="00E504BF" w:rsidP="00406118">
            <w:pPr>
              <w:keepNext/>
              <w:ind w:left="-108"/>
              <w:rPr>
                <w:rFonts w:ascii="Arial Narrow" w:hAnsi="Arial Narrow"/>
                <w:sz w:val="20"/>
              </w:rPr>
            </w:pPr>
            <w:r w:rsidRPr="00260CE3">
              <w:rPr>
                <w:rFonts w:ascii="Arial Narrow" w:hAnsi="Arial Narrow"/>
                <w:sz w:val="20"/>
              </w:rPr>
              <w:t>Name, Restriction,</w:t>
            </w:r>
          </w:p>
          <w:p w:rsidR="00E504BF" w:rsidRPr="00260CE3" w:rsidRDefault="00E504BF" w:rsidP="00406118">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E504BF" w:rsidRPr="00260CE3" w:rsidRDefault="00E504BF" w:rsidP="00406118">
            <w:pPr>
              <w:keepNext/>
              <w:ind w:left="-108"/>
              <w:rPr>
                <w:rFonts w:ascii="Arial Narrow" w:hAnsi="Arial Narrow"/>
                <w:sz w:val="20"/>
              </w:rPr>
            </w:pPr>
            <w:r w:rsidRPr="00260CE3">
              <w:rPr>
                <w:rFonts w:ascii="Arial Narrow" w:hAnsi="Arial Narrow"/>
                <w:sz w:val="20"/>
              </w:rPr>
              <w:t>Max.</w:t>
            </w:r>
          </w:p>
          <w:p w:rsidR="00E504BF" w:rsidRPr="00260CE3" w:rsidRDefault="00E504BF" w:rsidP="00406118">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E504BF" w:rsidRPr="00260CE3" w:rsidRDefault="00E504BF" w:rsidP="00406118">
            <w:pPr>
              <w:keepNext/>
              <w:ind w:left="-108"/>
              <w:rPr>
                <w:rFonts w:ascii="Arial Narrow" w:hAnsi="Arial Narrow"/>
                <w:sz w:val="20"/>
              </w:rPr>
            </w:pPr>
            <w:r w:rsidRPr="00260CE3">
              <w:rPr>
                <w:rFonts w:ascii="Arial Narrow" w:hAnsi="Arial Narrow"/>
                <w:sz w:val="20"/>
              </w:rPr>
              <w:t>№.of</w:t>
            </w:r>
          </w:p>
          <w:p w:rsidR="00E504BF" w:rsidRPr="00260CE3" w:rsidRDefault="00E504BF" w:rsidP="00406118">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E504BF" w:rsidRPr="00260CE3" w:rsidRDefault="00E504BF" w:rsidP="00406118">
            <w:pPr>
              <w:keepNext/>
              <w:ind w:left="-108"/>
              <w:rPr>
                <w:rFonts w:ascii="Arial Narrow" w:hAnsi="Arial Narrow"/>
                <w:sz w:val="20"/>
              </w:rPr>
            </w:pPr>
            <w:r w:rsidRPr="00260CE3">
              <w:rPr>
                <w:rFonts w:ascii="Arial Narrow" w:hAnsi="Arial Narrow"/>
                <w:sz w:val="20"/>
              </w:rPr>
              <w:t>Dispensed Price for Max. Qty</w:t>
            </w:r>
          </w:p>
        </w:tc>
        <w:tc>
          <w:tcPr>
            <w:tcW w:w="2835" w:type="dxa"/>
            <w:gridSpan w:val="2"/>
            <w:tcBorders>
              <w:bottom w:val="single" w:sz="4" w:space="0" w:color="auto"/>
            </w:tcBorders>
          </w:tcPr>
          <w:p w:rsidR="00E504BF" w:rsidRPr="00260CE3" w:rsidRDefault="00E504BF" w:rsidP="00406118">
            <w:pPr>
              <w:keepNext/>
              <w:rPr>
                <w:rFonts w:ascii="Arial Narrow" w:hAnsi="Arial Narrow"/>
                <w:sz w:val="20"/>
                <w:lang w:val="fr-FR"/>
              </w:rPr>
            </w:pPr>
            <w:r w:rsidRPr="00260CE3">
              <w:rPr>
                <w:rFonts w:ascii="Arial Narrow" w:hAnsi="Arial Narrow"/>
                <w:sz w:val="20"/>
              </w:rPr>
              <w:t>Proprietary Name and Manufacturer</w:t>
            </w:r>
          </w:p>
        </w:tc>
      </w:tr>
      <w:tr w:rsidR="00E504BF" w:rsidRPr="00260CE3" w:rsidTr="00406118">
        <w:trPr>
          <w:cantSplit/>
          <w:trHeight w:val="577"/>
        </w:trPr>
        <w:tc>
          <w:tcPr>
            <w:tcW w:w="3261" w:type="dxa"/>
            <w:gridSpan w:val="2"/>
          </w:tcPr>
          <w:p w:rsidR="00E504BF" w:rsidRPr="00260CE3" w:rsidRDefault="00E504BF" w:rsidP="00406118">
            <w:pPr>
              <w:keepNext/>
              <w:ind w:left="-108"/>
              <w:rPr>
                <w:rFonts w:ascii="Arial Narrow" w:hAnsi="Arial Narrow"/>
                <w:sz w:val="20"/>
              </w:rPr>
            </w:pPr>
            <w:r>
              <w:rPr>
                <w:rFonts w:ascii="Arial Narrow" w:hAnsi="Arial Narrow"/>
                <w:smallCaps/>
                <w:sz w:val="20"/>
              </w:rPr>
              <w:t>dapagliflozin / saxagliptin</w:t>
            </w:r>
          </w:p>
          <w:p w:rsidR="00E504BF" w:rsidRPr="00260CE3" w:rsidRDefault="00E504BF" w:rsidP="00406118">
            <w:pPr>
              <w:keepNext/>
              <w:ind w:left="-108"/>
              <w:rPr>
                <w:rFonts w:ascii="Arial Narrow" w:hAnsi="Arial Narrow"/>
                <w:sz w:val="20"/>
              </w:rPr>
            </w:pPr>
            <w:r>
              <w:rPr>
                <w:rFonts w:ascii="Arial Narrow" w:hAnsi="Arial Narrow"/>
                <w:sz w:val="20"/>
              </w:rPr>
              <w:t>Tablet, 10 mg / 5 mg</w:t>
            </w:r>
          </w:p>
        </w:tc>
        <w:tc>
          <w:tcPr>
            <w:tcW w:w="567" w:type="dxa"/>
          </w:tcPr>
          <w:p w:rsidR="00E504BF" w:rsidRPr="00260CE3" w:rsidRDefault="00E504BF" w:rsidP="00406118">
            <w:pPr>
              <w:keepNext/>
              <w:ind w:left="-108"/>
              <w:rPr>
                <w:rFonts w:ascii="Arial Narrow" w:hAnsi="Arial Narrow"/>
                <w:sz w:val="20"/>
              </w:rPr>
            </w:pPr>
          </w:p>
          <w:p w:rsidR="00E504BF" w:rsidRPr="00260CE3" w:rsidRDefault="00E504BF" w:rsidP="00406118">
            <w:pPr>
              <w:keepNext/>
              <w:ind w:left="-108"/>
              <w:rPr>
                <w:rFonts w:ascii="Arial Narrow" w:hAnsi="Arial Narrow"/>
                <w:sz w:val="20"/>
              </w:rPr>
            </w:pPr>
            <w:r>
              <w:rPr>
                <w:rFonts w:ascii="Arial Narrow" w:hAnsi="Arial Narrow"/>
                <w:sz w:val="20"/>
              </w:rPr>
              <w:t>28</w:t>
            </w:r>
          </w:p>
        </w:tc>
        <w:tc>
          <w:tcPr>
            <w:tcW w:w="850" w:type="dxa"/>
          </w:tcPr>
          <w:p w:rsidR="00E504BF" w:rsidRPr="00260CE3" w:rsidRDefault="00E504BF" w:rsidP="00406118">
            <w:pPr>
              <w:keepNext/>
              <w:ind w:left="-108"/>
              <w:rPr>
                <w:rFonts w:ascii="Arial Narrow" w:hAnsi="Arial Narrow"/>
                <w:sz w:val="20"/>
              </w:rPr>
            </w:pPr>
          </w:p>
          <w:p w:rsidR="00E504BF" w:rsidRPr="00260CE3" w:rsidRDefault="00E504BF" w:rsidP="00406118">
            <w:pPr>
              <w:keepNext/>
              <w:ind w:left="-108"/>
              <w:rPr>
                <w:rFonts w:ascii="Arial Narrow" w:hAnsi="Arial Narrow"/>
                <w:sz w:val="20"/>
              </w:rPr>
            </w:pPr>
            <w:r>
              <w:rPr>
                <w:rFonts w:ascii="Arial Narrow" w:hAnsi="Arial Narrow"/>
                <w:sz w:val="20"/>
              </w:rPr>
              <w:t>5</w:t>
            </w:r>
          </w:p>
        </w:tc>
        <w:tc>
          <w:tcPr>
            <w:tcW w:w="1701" w:type="dxa"/>
          </w:tcPr>
          <w:p w:rsidR="00E504BF" w:rsidRPr="00260CE3" w:rsidRDefault="00E504BF" w:rsidP="00406118">
            <w:pPr>
              <w:keepNext/>
              <w:ind w:left="-108"/>
              <w:rPr>
                <w:rFonts w:ascii="Arial Narrow" w:hAnsi="Arial Narrow"/>
                <w:sz w:val="20"/>
              </w:rPr>
            </w:pPr>
          </w:p>
          <w:p w:rsidR="00E504BF" w:rsidRPr="00260CE3" w:rsidRDefault="00E504BF" w:rsidP="00406118">
            <w:pPr>
              <w:keepNext/>
              <w:ind w:left="-108"/>
              <w:rPr>
                <w:rFonts w:ascii="Arial Narrow" w:hAnsi="Arial Narrow"/>
                <w:sz w:val="20"/>
              </w:rPr>
            </w:pPr>
            <w:r>
              <w:rPr>
                <w:rFonts w:ascii="Arial Narrow" w:hAnsi="Arial Narrow"/>
                <w:sz w:val="20"/>
              </w:rPr>
              <w:t>$</w:t>
            </w:r>
            <w:r w:rsidR="00BF356A">
              <w:rPr>
                <w:rFonts w:ascii="Arial Narrow" w:hAnsi="Arial Narrow"/>
                <w:noProof/>
                <w:color w:val="000000"/>
                <w:sz w:val="20"/>
                <w:highlight w:val="black"/>
              </w:rPr>
              <w:t>''''''''''''''''</w:t>
            </w:r>
          </w:p>
        </w:tc>
        <w:tc>
          <w:tcPr>
            <w:tcW w:w="1559" w:type="dxa"/>
          </w:tcPr>
          <w:p w:rsidR="00E504BF" w:rsidRPr="00260CE3" w:rsidRDefault="00E504BF" w:rsidP="00406118">
            <w:pPr>
              <w:keepNext/>
              <w:rPr>
                <w:rFonts w:ascii="Arial Narrow" w:hAnsi="Arial Narrow"/>
                <w:sz w:val="20"/>
              </w:rPr>
            </w:pPr>
            <w:r>
              <w:rPr>
                <w:rFonts w:ascii="Arial Narrow" w:hAnsi="Arial Narrow"/>
                <w:sz w:val="20"/>
              </w:rPr>
              <w:t>QTERN®</w:t>
            </w:r>
          </w:p>
        </w:tc>
        <w:tc>
          <w:tcPr>
            <w:tcW w:w="1276" w:type="dxa"/>
          </w:tcPr>
          <w:p w:rsidR="00E504BF" w:rsidRPr="00260CE3" w:rsidRDefault="00E504BF" w:rsidP="00406118">
            <w:pPr>
              <w:keepNext/>
              <w:rPr>
                <w:rFonts w:ascii="Arial Narrow" w:hAnsi="Arial Narrow"/>
                <w:sz w:val="20"/>
              </w:rPr>
            </w:pPr>
            <w:r>
              <w:rPr>
                <w:rFonts w:ascii="Arial Narrow" w:hAnsi="Arial Narrow"/>
                <w:sz w:val="20"/>
              </w:rPr>
              <w:t>AstraZeneca</w:t>
            </w:r>
          </w:p>
        </w:tc>
      </w:tr>
      <w:tr w:rsidR="00E504BF" w:rsidRPr="00260CE3" w:rsidTr="00406118">
        <w:trPr>
          <w:cantSplit/>
          <w:trHeight w:val="360"/>
        </w:trPr>
        <w:tc>
          <w:tcPr>
            <w:tcW w:w="9214" w:type="dxa"/>
            <w:gridSpan w:val="7"/>
            <w:tcBorders>
              <w:bottom w:val="single" w:sz="4" w:space="0" w:color="auto"/>
            </w:tcBorders>
          </w:tcPr>
          <w:p w:rsidR="00E504BF" w:rsidRPr="00260CE3" w:rsidRDefault="00E504BF" w:rsidP="00406118">
            <w:pPr>
              <w:rPr>
                <w:rFonts w:ascii="Arial Narrow" w:hAnsi="Arial Narrow"/>
                <w:sz w:val="20"/>
              </w:rPr>
            </w:pPr>
          </w:p>
        </w:tc>
      </w:tr>
      <w:tr w:rsidR="00E504BF" w:rsidRPr="00260CE3" w:rsidTr="0040611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04BF" w:rsidRPr="00260CE3" w:rsidRDefault="00E504BF" w:rsidP="00406118">
            <w:pPr>
              <w:rPr>
                <w:rFonts w:ascii="Arial Narrow" w:hAnsi="Arial Narrow"/>
                <w:b/>
                <w:sz w:val="20"/>
              </w:rPr>
            </w:pPr>
            <w:r w:rsidRPr="00260CE3">
              <w:rPr>
                <w:rFonts w:ascii="Arial Narrow" w:hAnsi="Arial Narrow"/>
                <w:b/>
                <w:sz w:val="20"/>
              </w:rPr>
              <w:t xml:space="preserve">Category / </w:t>
            </w:r>
          </w:p>
          <w:p w:rsidR="00E504BF" w:rsidRPr="00260CE3" w:rsidRDefault="00E504BF" w:rsidP="00406118">
            <w:pPr>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E504BF" w:rsidRPr="00260CE3" w:rsidRDefault="00E504BF" w:rsidP="00406118">
            <w:pPr>
              <w:rPr>
                <w:rFonts w:ascii="Arial Narrow" w:hAnsi="Arial Narrow"/>
                <w:sz w:val="20"/>
              </w:rPr>
            </w:pPr>
            <w:r w:rsidRPr="00260CE3">
              <w:rPr>
                <w:rFonts w:ascii="Arial Narrow" w:hAnsi="Arial Narrow"/>
                <w:sz w:val="20"/>
              </w:rPr>
              <w:t>GENERAL – General Schedule (Code GE)</w:t>
            </w:r>
          </w:p>
        </w:tc>
      </w:tr>
      <w:tr w:rsidR="00E504BF" w:rsidRPr="00260CE3" w:rsidTr="0040611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04BF" w:rsidRDefault="00E504BF" w:rsidP="00406118">
            <w:pPr>
              <w:rPr>
                <w:rFonts w:ascii="Arial Narrow" w:hAnsi="Arial Narrow"/>
                <w:b/>
                <w:sz w:val="20"/>
              </w:rPr>
            </w:pPr>
            <w:r w:rsidRPr="00260CE3">
              <w:rPr>
                <w:rFonts w:ascii="Arial Narrow" w:hAnsi="Arial Narrow"/>
                <w:b/>
                <w:sz w:val="20"/>
              </w:rPr>
              <w:t>Prescriber type:</w:t>
            </w:r>
          </w:p>
          <w:p w:rsidR="00E504BF" w:rsidRPr="00260CE3" w:rsidRDefault="00E504BF" w:rsidP="00406118">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504BF" w:rsidRPr="00260CE3" w:rsidRDefault="00E504BF" w:rsidP="00406118">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BF356A">
              <w:rPr>
                <w:rFonts w:ascii="Arial Narrow" w:hAnsi="Arial Narrow"/>
                <w:sz w:val="20"/>
              </w:rPr>
            </w:r>
            <w:r w:rsidR="00BF356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F356A">
              <w:rPr>
                <w:rFonts w:ascii="Arial Narrow" w:hAnsi="Arial Narrow"/>
                <w:sz w:val="20"/>
              </w:rPr>
            </w:r>
            <w:r w:rsidR="00BF356A">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1"/>
                  </w:checkBox>
                </w:ffData>
              </w:fldChar>
            </w:r>
            <w:bookmarkStart w:id="4" w:name="Check3"/>
            <w:r>
              <w:rPr>
                <w:rFonts w:ascii="Arial Narrow" w:hAnsi="Arial Narrow"/>
                <w:sz w:val="20"/>
              </w:rPr>
              <w:instrText xml:space="preserve"> FORMCHECKBOX </w:instrText>
            </w:r>
            <w:r w:rsidR="00BF356A">
              <w:rPr>
                <w:rFonts w:ascii="Arial Narrow" w:hAnsi="Arial Narrow"/>
                <w:sz w:val="20"/>
              </w:rPr>
            </w:r>
            <w:r w:rsidR="00BF356A">
              <w:rPr>
                <w:rFonts w:ascii="Arial Narrow" w:hAnsi="Arial Narrow"/>
                <w:sz w:val="20"/>
              </w:rPr>
              <w:fldChar w:fldCharType="separate"/>
            </w:r>
            <w:r>
              <w:rPr>
                <w:rFonts w:ascii="Arial Narrow" w:hAnsi="Arial Narrow"/>
                <w:sz w:val="20"/>
              </w:rPr>
              <w:fldChar w:fldCharType="end"/>
            </w:r>
            <w:bookmarkEnd w:id="4"/>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BF356A">
              <w:rPr>
                <w:rFonts w:ascii="Arial Narrow" w:hAnsi="Arial Narrow"/>
                <w:sz w:val="20"/>
              </w:rPr>
            </w:r>
            <w:r w:rsidR="00BF356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E504BF" w:rsidRPr="00260CE3" w:rsidRDefault="00E504BF" w:rsidP="00406118">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BF356A">
              <w:rPr>
                <w:rFonts w:ascii="Arial Narrow" w:hAnsi="Arial Narrow"/>
                <w:sz w:val="20"/>
              </w:rPr>
            </w:r>
            <w:r w:rsidR="00BF356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E504BF" w:rsidRPr="00260CE3" w:rsidTr="0040611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04BF" w:rsidRPr="00260CE3" w:rsidRDefault="00E504BF" w:rsidP="00406118">
            <w:pPr>
              <w:rPr>
                <w:rFonts w:ascii="Arial Narrow" w:hAnsi="Arial Narrow"/>
                <w:b/>
                <w:sz w:val="20"/>
              </w:rPr>
            </w:pPr>
            <w:r w:rsidRPr="00260CE3">
              <w:rPr>
                <w:rFonts w:ascii="Arial Narrow" w:hAnsi="Arial Narrow"/>
                <w:b/>
                <w:sz w:val="20"/>
              </w:rPr>
              <w:lastRenderedPageBreak/>
              <w:t>Condition:</w:t>
            </w:r>
          </w:p>
        </w:tc>
        <w:tc>
          <w:tcPr>
            <w:tcW w:w="6379" w:type="dxa"/>
            <w:gridSpan w:val="6"/>
            <w:tcBorders>
              <w:top w:val="single" w:sz="4" w:space="0" w:color="auto"/>
              <w:left w:val="single" w:sz="4" w:space="0" w:color="auto"/>
              <w:bottom w:val="single" w:sz="4" w:space="0" w:color="auto"/>
              <w:right w:val="single" w:sz="4" w:space="0" w:color="auto"/>
            </w:tcBorders>
          </w:tcPr>
          <w:p w:rsidR="00E504BF" w:rsidRPr="00260CE3" w:rsidRDefault="00E504BF" w:rsidP="00406118">
            <w:pPr>
              <w:rPr>
                <w:rFonts w:ascii="Arial Narrow" w:hAnsi="Arial Narrow"/>
                <w:sz w:val="20"/>
              </w:rPr>
            </w:pPr>
            <w:r>
              <w:rPr>
                <w:rFonts w:ascii="Arial Narrow" w:hAnsi="Arial Narrow"/>
                <w:sz w:val="20"/>
              </w:rPr>
              <w:t>Diabetes mellitus type 2</w:t>
            </w:r>
          </w:p>
        </w:tc>
      </w:tr>
      <w:tr w:rsidR="00E504BF" w:rsidRPr="00260CE3" w:rsidTr="0040611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04BF" w:rsidRDefault="00E504BF" w:rsidP="00406118">
            <w:pPr>
              <w:rPr>
                <w:rFonts w:ascii="Arial Narrow" w:hAnsi="Arial Narrow"/>
                <w:b/>
                <w:sz w:val="20"/>
              </w:rPr>
            </w:pPr>
            <w:r w:rsidRPr="00260CE3">
              <w:rPr>
                <w:rFonts w:ascii="Arial Narrow" w:hAnsi="Arial Narrow"/>
                <w:b/>
                <w:sz w:val="20"/>
              </w:rPr>
              <w:t>PBS Indication:</w:t>
            </w:r>
          </w:p>
          <w:p w:rsidR="00E504BF" w:rsidRPr="00AE058A" w:rsidRDefault="00E504BF" w:rsidP="00406118">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504BF" w:rsidRPr="00260CE3" w:rsidRDefault="00E504BF" w:rsidP="00406118">
            <w:pPr>
              <w:rPr>
                <w:rFonts w:ascii="Arial Narrow" w:hAnsi="Arial Narrow"/>
                <w:sz w:val="20"/>
              </w:rPr>
            </w:pPr>
            <w:r>
              <w:rPr>
                <w:rFonts w:ascii="Arial Narrow" w:hAnsi="Arial Narrow"/>
                <w:sz w:val="20"/>
              </w:rPr>
              <w:t>Diabetes mellitus type 2</w:t>
            </w:r>
          </w:p>
        </w:tc>
      </w:tr>
      <w:tr w:rsidR="00E504BF" w:rsidRPr="00260CE3" w:rsidTr="0040611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04BF" w:rsidRPr="00260CE3" w:rsidRDefault="00E504BF" w:rsidP="00406118">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E504BF" w:rsidRDefault="00E504BF" w:rsidP="00406118">
            <w:pPr>
              <w:rPr>
                <w:rFonts w:ascii="Arial Narrow" w:hAnsi="Arial Narrow"/>
                <w:i/>
                <w:sz w:val="20"/>
              </w:rPr>
            </w:pPr>
          </w:p>
          <w:p w:rsidR="00E504BF" w:rsidRPr="00CD28F3" w:rsidRDefault="00E504BF" w:rsidP="00406118">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504BF" w:rsidRPr="00106BCF" w:rsidRDefault="00E504BF" w:rsidP="00406118">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BF356A">
              <w:rPr>
                <w:rFonts w:ascii="Arial Narrow" w:hAnsi="Arial Narrow"/>
                <w:sz w:val="20"/>
              </w:rPr>
            </w:r>
            <w:r w:rsidR="00BF356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E504BF" w:rsidRPr="00106BCF" w:rsidRDefault="00E504BF" w:rsidP="00406118">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BF356A">
              <w:rPr>
                <w:rFonts w:ascii="Arial Narrow" w:hAnsi="Arial Narrow"/>
                <w:sz w:val="20"/>
              </w:rPr>
            </w:r>
            <w:r w:rsidR="00BF356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E504BF" w:rsidRPr="00106BCF" w:rsidRDefault="00E504BF" w:rsidP="00406118">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BF356A">
              <w:rPr>
                <w:rFonts w:ascii="Arial Narrow" w:hAnsi="Arial Narrow"/>
                <w:sz w:val="20"/>
              </w:rPr>
            </w:r>
            <w:r w:rsidR="00BF356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E504BF" w:rsidRPr="00106BCF" w:rsidRDefault="00E504BF" w:rsidP="00406118">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BF356A">
              <w:rPr>
                <w:rFonts w:ascii="Arial Narrow" w:hAnsi="Arial Narrow"/>
                <w:sz w:val="20"/>
              </w:rPr>
            </w:r>
            <w:r w:rsidR="00BF356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E504BF" w:rsidRPr="00106BCF" w:rsidRDefault="00E504BF" w:rsidP="00406118">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BF356A">
              <w:rPr>
                <w:rFonts w:ascii="Arial Narrow" w:hAnsi="Arial Narrow"/>
                <w:sz w:val="20"/>
              </w:rPr>
            </w:r>
            <w:r w:rsidR="00BF356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E504BF" w:rsidRPr="00260CE3" w:rsidRDefault="00E504BF" w:rsidP="00406118">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5" w:name="Check5"/>
            <w:r>
              <w:rPr>
                <w:rFonts w:ascii="Arial Narrow" w:hAnsi="Arial Narrow"/>
                <w:sz w:val="20"/>
              </w:rPr>
              <w:instrText xml:space="preserve"> FORMCHECKBOX </w:instrText>
            </w:r>
            <w:r w:rsidR="00BF356A">
              <w:rPr>
                <w:rFonts w:ascii="Arial Narrow" w:hAnsi="Arial Narrow"/>
                <w:sz w:val="20"/>
              </w:rPr>
            </w:r>
            <w:r w:rsidR="00BF356A">
              <w:rPr>
                <w:rFonts w:ascii="Arial Narrow" w:hAnsi="Arial Narrow"/>
                <w:sz w:val="20"/>
              </w:rPr>
              <w:fldChar w:fldCharType="separate"/>
            </w:r>
            <w:r>
              <w:rPr>
                <w:rFonts w:ascii="Arial Narrow" w:hAnsi="Arial Narrow"/>
                <w:sz w:val="20"/>
              </w:rPr>
              <w:fldChar w:fldCharType="end"/>
            </w:r>
            <w:bookmarkEnd w:id="5"/>
            <w:r w:rsidRPr="00106BCF">
              <w:rPr>
                <w:rFonts w:ascii="Arial Narrow" w:hAnsi="Arial Narrow"/>
                <w:sz w:val="20"/>
              </w:rPr>
              <w:t>Streamlined</w:t>
            </w:r>
          </w:p>
        </w:tc>
      </w:tr>
      <w:tr w:rsidR="00E504BF" w:rsidRPr="00260CE3" w:rsidTr="0040611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04BF" w:rsidRPr="00260CE3" w:rsidRDefault="00E504BF" w:rsidP="00406118">
            <w:pPr>
              <w:rPr>
                <w:rFonts w:ascii="Arial Narrow" w:hAnsi="Arial Narrow"/>
                <w:b/>
                <w:sz w:val="20"/>
              </w:rPr>
            </w:pPr>
            <w:r w:rsidRPr="00260CE3">
              <w:rPr>
                <w:rFonts w:ascii="Arial Narrow" w:hAnsi="Arial Narrow"/>
                <w:b/>
                <w:sz w:val="20"/>
              </w:rPr>
              <w:t>Clinical criteria:</w:t>
            </w:r>
          </w:p>
          <w:p w:rsidR="00E504BF" w:rsidRPr="00260CE3" w:rsidRDefault="00E504BF" w:rsidP="00406118">
            <w:pPr>
              <w:rPr>
                <w:rFonts w:ascii="Arial Narrow" w:hAnsi="Arial Narrow"/>
                <w:i/>
                <w:sz w:val="20"/>
              </w:rPr>
            </w:pPr>
          </w:p>
          <w:p w:rsidR="00E504BF" w:rsidRPr="00260CE3" w:rsidRDefault="00E504BF" w:rsidP="00406118">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504BF" w:rsidRDefault="00E504BF" w:rsidP="00406118">
            <w:pPr>
              <w:rPr>
                <w:rFonts w:ascii="Arial Narrow" w:hAnsi="Arial Narrow"/>
                <w:sz w:val="20"/>
              </w:rPr>
            </w:pPr>
            <w:r>
              <w:rPr>
                <w:rFonts w:ascii="Arial Narrow" w:hAnsi="Arial Narrow"/>
                <w:sz w:val="20"/>
              </w:rPr>
              <w:t>The treatment must be in combination with metformin.</w:t>
            </w:r>
          </w:p>
          <w:p w:rsidR="00E504BF" w:rsidRPr="0056464B" w:rsidRDefault="00E504BF" w:rsidP="00406118">
            <w:pPr>
              <w:rPr>
                <w:rFonts w:ascii="Arial Narrow" w:hAnsi="Arial Narrow"/>
                <w:sz w:val="20"/>
              </w:rPr>
            </w:pPr>
            <w:r w:rsidRPr="0056464B">
              <w:rPr>
                <w:rFonts w:ascii="Arial Narrow" w:hAnsi="Arial Narrow"/>
                <w:sz w:val="20"/>
              </w:rPr>
              <w:t>AND</w:t>
            </w:r>
          </w:p>
          <w:p w:rsidR="00E504BF" w:rsidRDefault="00E504BF" w:rsidP="00406118">
            <w:pPr>
              <w:rPr>
                <w:rFonts w:ascii="Arial Narrow" w:hAnsi="Arial Narrow"/>
                <w:sz w:val="20"/>
              </w:rPr>
            </w:pPr>
            <w:r w:rsidRPr="0056464B">
              <w:rPr>
                <w:rFonts w:ascii="Arial Narrow" w:hAnsi="Arial Narrow"/>
                <w:sz w:val="20"/>
              </w:rPr>
              <w:t xml:space="preserve">Patient must have previously </w:t>
            </w:r>
            <w:r w:rsidRPr="0029646F">
              <w:rPr>
                <w:rFonts w:ascii="Arial Narrow" w:hAnsi="Arial Narrow"/>
                <w:strike/>
                <w:sz w:val="20"/>
              </w:rPr>
              <w:t>received and</w:t>
            </w:r>
            <w:r w:rsidRPr="0056464B">
              <w:rPr>
                <w:rFonts w:ascii="Arial Narrow" w:hAnsi="Arial Narrow"/>
                <w:sz w:val="20"/>
              </w:rPr>
              <w:t xml:space="preserve"> been stabilised </w:t>
            </w:r>
            <w:r w:rsidRPr="00CE2732">
              <w:rPr>
                <w:rFonts w:ascii="Arial Narrow" w:hAnsi="Arial Narrow"/>
                <w:sz w:val="20"/>
              </w:rPr>
              <w:t>on</w:t>
            </w:r>
            <w:r w:rsidRPr="0095401E">
              <w:rPr>
                <w:rFonts w:ascii="Arial Narrow" w:hAnsi="Arial Narrow"/>
                <w:strike/>
                <w:sz w:val="20"/>
              </w:rPr>
              <w:t xml:space="preserve"> a PBS-subsidised regimen of oral diabetic medicines</w:t>
            </w:r>
            <w:r w:rsidRPr="0056464B">
              <w:rPr>
                <w:rFonts w:ascii="Arial Narrow" w:hAnsi="Arial Narrow"/>
                <w:sz w:val="20"/>
              </w:rPr>
              <w:t xml:space="preserve"> </w:t>
            </w:r>
            <w:r w:rsidRPr="0029646F">
              <w:rPr>
                <w:rFonts w:ascii="Arial Narrow" w:hAnsi="Arial Narrow"/>
                <w:i/>
                <w:sz w:val="20"/>
              </w:rPr>
              <w:t>dual oral therapy</w:t>
            </w:r>
            <w:r>
              <w:rPr>
                <w:rFonts w:ascii="Arial Narrow" w:hAnsi="Arial Narrow"/>
                <w:sz w:val="20"/>
              </w:rPr>
              <w:t xml:space="preserve"> </w:t>
            </w:r>
            <w:r w:rsidRPr="0056464B">
              <w:rPr>
                <w:rFonts w:ascii="Arial Narrow" w:hAnsi="Arial Narrow"/>
                <w:sz w:val="20"/>
              </w:rPr>
              <w:t>which include</w:t>
            </w:r>
            <w:r w:rsidRPr="00A22F35">
              <w:rPr>
                <w:rFonts w:ascii="Arial Narrow" w:hAnsi="Arial Narrow"/>
                <w:sz w:val="20"/>
              </w:rPr>
              <w:t>s</w:t>
            </w:r>
            <w:r w:rsidRPr="0056464B">
              <w:rPr>
                <w:rFonts w:ascii="Arial Narrow" w:hAnsi="Arial Narrow"/>
                <w:sz w:val="20"/>
              </w:rPr>
              <w:t xml:space="preserve"> </w:t>
            </w:r>
            <w:r w:rsidRPr="0029646F">
              <w:rPr>
                <w:rFonts w:ascii="Arial Narrow" w:hAnsi="Arial Narrow"/>
                <w:strike/>
                <w:sz w:val="20"/>
              </w:rPr>
              <w:t>any</w:t>
            </w:r>
            <w:r>
              <w:rPr>
                <w:rFonts w:ascii="Arial Narrow" w:hAnsi="Arial Narrow"/>
                <w:sz w:val="20"/>
              </w:rPr>
              <w:t xml:space="preserve"> </w:t>
            </w:r>
            <w:r w:rsidRPr="0029646F">
              <w:rPr>
                <w:rFonts w:ascii="Arial Narrow" w:hAnsi="Arial Narrow"/>
                <w:i/>
                <w:sz w:val="20"/>
              </w:rPr>
              <w:t>a</w:t>
            </w:r>
            <w:r w:rsidRPr="0056464B">
              <w:rPr>
                <w:rFonts w:ascii="Arial Narrow" w:hAnsi="Arial Narrow"/>
                <w:sz w:val="20"/>
              </w:rPr>
              <w:t xml:space="preserve"> dipeptidyl peptidase 4 inhibitor (gliptin)</w:t>
            </w:r>
            <w:r>
              <w:rPr>
                <w:rFonts w:ascii="Arial Narrow" w:hAnsi="Arial Narrow"/>
                <w:sz w:val="20"/>
              </w:rPr>
              <w:t xml:space="preserve"> </w:t>
            </w:r>
          </w:p>
          <w:p w:rsidR="00E504BF" w:rsidRPr="009D5C26" w:rsidRDefault="00E504BF" w:rsidP="00406118">
            <w:pPr>
              <w:rPr>
                <w:rFonts w:ascii="Arial Narrow" w:hAnsi="Arial Narrow"/>
                <w:i/>
                <w:sz w:val="20"/>
              </w:rPr>
            </w:pPr>
            <w:r w:rsidRPr="009D5C26">
              <w:rPr>
                <w:rFonts w:ascii="Arial Narrow" w:hAnsi="Arial Narrow"/>
                <w:i/>
                <w:sz w:val="20"/>
              </w:rPr>
              <w:t>OR</w:t>
            </w:r>
          </w:p>
          <w:p w:rsidR="00E504BF" w:rsidRDefault="00E504BF" w:rsidP="00406118">
            <w:pPr>
              <w:rPr>
                <w:rFonts w:ascii="Arial Narrow" w:hAnsi="Arial Narrow"/>
                <w:i/>
                <w:sz w:val="20"/>
              </w:rPr>
            </w:pPr>
            <w:r w:rsidRPr="009D5C26">
              <w:rPr>
                <w:rFonts w:ascii="Arial Narrow" w:hAnsi="Arial Narrow"/>
                <w:i/>
                <w:sz w:val="20"/>
              </w:rPr>
              <w:t xml:space="preserve">Patient must have previously been stabilised </w:t>
            </w:r>
            <w:r w:rsidRPr="00CE2732">
              <w:rPr>
                <w:rFonts w:ascii="Arial Narrow" w:hAnsi="Arial Narrow"/>
                <w:i/>
                <w:sz w:val="20"/>
              </w:rPr>
              <w:t xml:space="preserve">on </w:t>
            </w:r>
            <w:r w:rsidRPr="004E3C75">
              <w:rPr>
                <w:rFonts w:ascii="Arial Narrow" w:hAnsi="Arial Narrow"/>
                <w:i/>
                <w:sz w:val="20"/>
              </w:rPr>
              <w:t>dual oral therapy</w:t>
            </w:r>
            <w:r>
              <w:rPr>
                <w:rFonts w:ascii="Arial Narrow" w:hAnsi="Arial Narrow"/>
                <w:sz w:val="20"/>
              </w:rPr>
              <w:t xml:space="preserve"> </w:t>
            </w:r>
            <w:r w:rsidRPr="009D5C26">
              <w:rPr>
                <w:rFonts w:ascii="Arial Narrow" w:hAnsi="Arial Narrow"/>
                <w:i/>
                <w:sz w:val="20"/>
              </w:rPr>
              <w:t>which include</w:t>
            </w:r>
            <w:r w:rsidRPr="00A22F35">
              <w:rPr>
                <w:rFonts w:ascii="Arial Narrow" w:hAnsi="Arial Narrow"/>
                <w:i/>
                <w:sz w:val="20"/>
              </w:rPr>
              <w:t>s</w:t>
            </w:r>
            <w:r w:rsidRPr="009D5C26">
              <w:rPr>
                <w:rFonts w:ascii="Arial Narrow" w:hAnsi="Arial Narrow"/>
                <w:i/>
                <w:sz w:val="20"/>
              </w:rPr>
              <w:t xml:space="preserve"> a sodium-glucose co-transporter 2 (SGLT2) inhibitor</w:t>
            </w:r>
            <w:r>
              <w:rPr>
                <w:rFonts w:ascii="Arial Narrow" w:hAnsi="Arial Narrow"/>
                <w:i/>
                <w:sz w:val="20"/>
              </w:rPr>
              <w:t xml:space="preserve">, </w:t>
            </w:r>
          </w:p>
          <w:p w:rsidR="00E504BF" w:rsidRPr="009D5C26" w:rsidRDefault="00E504BF" w:rsidP="00406118">
            <w:pPr>
              <w:rPr>
                <w:rFonts w:ascii="Arial Narrow" w:hAnsi="Arial Narrow"/>
                <w:i/>
                <w:sz w:val="20"/>
              </w:rPr>
            </w:pPr>
            <w:r>
              <w:rPr>
                <w:rFonts w:ascii="Arial Narrow" w:hAnsi="Arial Narrow"/>
                <w:i/>
                <w:sz w:val="20"/>
              </w:rPr>
              <w:t>AND</w:t>
            </w:r>
          </w:p>
          <w:p w:rsidR="00E504BF" w:rsidRPr="0095401E" w:rsidRDefault="00E504BF" w:rsidP="00406118">
            <w:pPr>
              <w:rPr>
                <w:rFonts w:ascii="Arial Narrow" w:hAnsi="Arial Narrow"/>
                <w:sz w:val="20"/>
              </w:rPr>
            </w:pPr>
            <w:r w:rsidRPr="0029646F">
              <w:rPr>
                <w:rFonts w:ascii="Arial Narrow" w:hAnsi="Arial Narrow"/>
                <w:sz w:val="20"/>
              </w:rPr>
              <w:t xml:space="preserve">Patient must have, or have had, a HbA1c measurement greater than 7% prior to the initiation of </w:t>
            </w:r>
            <w:r w:rsidRPr="00A22F35">
              <w:rPr>
                <w:rFonts w:ascii="Arial Narrow" w:hAnsi="Arial Narrow"/>
                <w:i/>
                <w:sz w:val="20"/>
              </w:rPr>
              <w:t>triple oral therapy with</w:t>
            </w:r>
            <w:r>
              <w:rPr>
                <w:rFonts w:ascii="Arial Narrow" w:hAnsi="Arial Narrow"/>
                <w:sz w:val="20"/>
              </w:rPr>
              <w:t xml:space="preserve"> </w:t>
            </w:r>
            <w:r w:rsidRPr="0029646F">
              <w:rPr>
                <w:rFonts w:ascii="Arial Narrow" w:hAnsi="Arial Narrow"/>
                <w:sz w:val="20"/>
              </w:rPr>
              <w:t xml:space="preserve">a gliptin, </w:t>
            </w:r>
            <w:r w:rsidRPr="00EC1F6D">
              <w:rPr>
                <w:rFonts w:ascii="Arial Narrow" w:hAnsi="Arial Narrow"/>
                <w:strike/>
                <w:sz w:val="20"/>
              </w:rPr>
              <w:t>a thiazolidinedione (glitazone), a glucogon-like peptide-1</w:t>
            </w:r>
            <w:r w:rsidRPr="0095401E">
              <w:rPr>
                <w:rFonts w:ascii="Arial Narrow" w:hAnsi="Arial Narrow"/>
                <w:sz w:val="20"/>
              </w:rPr>
              <w:t xml:space="preserve"> </w:t>
            </w:r>
            <w:r w:rsidRPr="00A22F35">
              <w:rPr>
                <w:rFonts w:ascii="Arial Narrow" w:hAnsi="Arial Narrow"/>
                <w:strike/>
                <w:sz w:val="20"/>
              </w:rPr>
              <w:t>or</w:t>
            </w:r>
            <w:r w:rsidRPr="0095401E">
              <w:rPr>
                <w:rFonts w:ascii="Arial Narrow" w:hAnsi="Arial Narrow"/>
                <w:sz w:val="20"/>
              </w:rPr>
              <w:t xml:space="preserve"> </w:t>
            </w:r>
            <w:r>
              <w:rPr>
                <w:rFonts w:ascii="Arial Narrow" w:hAnsi="Arial Narrow"/>
                <w:i/>
                <w:sz w:val="20"/>
              </w:rPr>
              <w:t xml:space="preserve">and </w:t>
            </w:r>
            <w:r w:rsidRPr="0095401E">
              <w:rPr>
                <w:rFonts w:ascii="Arial Narrow" w:hAnsi="Arial Narrow"/>
                <w:sz w:val="20"/>
              </w:rPr>
              <w:t xml:space="preserve">a </w:t>
            </w:r>
            <w:r w:rsidRPr="00A22F35">
              <w:rPr>
                <w:rFonts w:ascii="Arial Narrow" w:hAnsi="Arial Narrow"/>
                <w:strike/>
                <w:sz w:val="20"/>
              </w:rPr>
              <w:t>sodium-glucose co-transporter 2(</w:t>
            </w:r>
            <w:r w:rsidRPr="0095401E">
              <w:rPr>
                <w:rFonts w:ascii="Arial Narrow" w:hAnsi="Arial Narrow"/>
                <w:sz w:val="20"/>
              </w:rPr>
              <w:t>SGLT2</w:t>
            </w:r>
            <w:r w:rsidRPr="00A22F35">
              <w:rPr>
                <w:rFonts w:ascii="Arial Narrow" w:hAnsi="Arial Narrow"/>
                <w:strike/>
                <w:sz w:val="20"/>
              </w:rPr>
              <w:t>)</w:t>
            </w:r>
            <w:r w:rsidRPr="00AD0EEE">
              <w:rPr>
                <w:rFonts w:ascii="Arial Narrow" w:hAnsi="Arial Narrow"/>
                <w:sz w:val="20"/>
              </w:rPr>
              <w:t xml:space="preserve"> inhibitor</w:t>
            </w:r>
            <w:r w:rsidRPr="00A22F35">
              <w:rPr>
                <w:rFonts w:ascii="Arial Narrow" w:hAnsi="Arial Narrow"/>
                <w:strike/>
                <w:sz w:val="20"/>
              </w:rPr>
              <w:t xml:space="preserve"> despite treatment with optimal doses of dual oral therapy</w:t>
            </w:r>
            <w:r w:rsidRPr="0095401E">
              <w:rPr>
                <w:rFonts w:ascii="Arial Narrow" w:hAnsi="Arial Narrow"/>
                <w:sz w:val="20"/>
              </w:rPr>
              <w:t xml:space="preserve">; </w:t>
            </w:r>
          </w:p>
          <w:p w:rsidR="00E504BF" w:rsidRPr="0095401E" w:rsidRDefault="00E504BF" w:rsidP="00406118">
            <w:pPr>
              <w:rPr>
                <w:rFonts w:ascii="Arial Narrow" w:hAnsi="Arial Narrow"/>
                <w:sz w:val="20"/>
              </w:rPr>
            </w:pPr>
            <w:r>
              <w:rPr>
                <w:rFonts w:ascii="Arial Narrow" w:hAnsi="Arial Narrow"/>
                <w:sz w:val="20"/>
              </w:rPr>
              <w:t>OR</w:t>
            </w:r>
          </w:p>
          <w:p w:rsidR="00E504BF" w:rsidRPr="00096B95" w:rsidRDefault="00E504BF" w:rsidP="00406118">
            <w:pPr>
              <w:rPr>
                <w:rFonts w:ascii="Arial Narrow" w:hAnsi="Arial Narrow"/>
                <w:sz w:val="20"/>
              </w:rPr>
            </w:pPr>
            <w:r w:rsidRPr="0095401E">
              <w:rPr>
                <w:rFonts w:ascii="Arial Narrow" w:hAnsi="Arial Narrow"/>
                <w:sz w:val="20"/>
              </w:rPr>
              <w:t>Paitents must have, or have had, where HbA1c measurement is clinically inappropriate, blood glucose levels greater than 10 mmol per L in more than 20% of tests over a 2 week period prior to initiation</w:t>
            </w:r>
            <w:r>
              <w:rPr>
                <w:rFonts w:ascii="Arial Narrow" w:hAnsi="Arial Narrow"/>
                <w:sz w:val="20"/>
              </w:rPr>
              <w:t xml:space="preserve"> </w:t>
            </w:r>
            <w:r>
              <w:rPr>
                <w:rFonts w:ascii="Arial Narrow" w:hAnsi="Arial Narrow"/>
                <w:i/>
                <w:sz w:val="20"/>
              </w:rPr>
              <w:t>of triple oral therapy</w:t>
            </w:r>
            <w:r w:rsidRPr="0095401E">
              <w:rPr>
                <w:rFonts w:ascii="Arial Narrow" w:hAnsi="Arial Narrow"/>
                <w:sz w:val="20"/>
              </w:rPr>
              <w:t xml:space="preserve"> with a gliptin, </w:t>
            </w:r>
            <w:r w:rsidRPr="00EC1F6D">
              <w:rPr>
                <w:rFonts w:ascii="Arial Narrow" w:hAnsi="Arial Narrow"/>
                <w:strike/>
                <w:sz w:val="20"/>
              </w:rPr>
              <w:t>a glitazone, a glucagon-like peptide-</w:t>
            </w:r>
            <w:r w:rsidRPr="00AD0EEE">
              <w:rPr>
                <w:rFonts w:ascii="Arial Narrow" w:hAnsi="Arial Narrow"/>
                <w:strike/>
                <w:sz w:val="20"/>
              </w:rPr>
              <w:t>1</w:t>
            </w:r>
            <w:r w:rsidRPr="00A22F35">
              <w:rPr>
                <w:rFonts w:ascii="Arial Narrow" w:hAnsi="Arial Narrow"/>
                <w:strike/>
                <w:sz w:val="20"/>
              </w:rPr>
              <w:t xml:space="preserve"> or</w:t>
            </w:r>
            <w:r w:rsidRPr="00096B95">
              <w:rPr>
                <w:rFonts w:ascii="Arial Narrow" w:hAnsi="Arial Narrow"/>
                <w:sz w:val="20"/>
              </w:rPr>
              <w:t xml:space="preserve"> </w:t>
            </w:r>
            <w:r>
              <w:rPr>
                <w:rFonts w:ascii="Arial Narrow" w:hAnsi="Arial Narrow"/>
                <w:sz w:val="20"/>
              </w:rPr>
              <w:t xml:space="preserve">and </w:t>
            </w:r>
            <w:r w:rsidRPr="00096B95">
              <w:rPr>
                <w:rFonts w:ascii="Arial Narrow" w:hAnsi="Arial Narrow"/>
                <w:sz w:val="20"/>
              </w:rPr>
              <w:t xml:space="preserve">an SGLT2 </w:t>
            </w:r>
            <w:r>
              <w:rPr>
                <w:rFonts w:ascii="Arial Narrow" w:hAnsi="Arial Narrow"/>
                <w:i/>
                <w:sz w:val="20"/>
              </w:rPr>
              <w:t xml:space="preserve">inhibitor </w:t>
            </w:r>
            <w:r w:rsidRPr="00A22F35">
              <w:rPr>
                <w:rFonts w:ascii="Arial Narrow" w:hAnsi="Arial Narrow"/>
                <w:strike/>
                <w:sz w:val="20"/>
              </w:rPr>
              <w:t>despite treatment with optimal doses of dual therapy</w:t>
            </w:r>
            <w:r w:rsidRPr="00096B95">
              <w:rPr>
                <w:rFonts w:ascii="Arial Narrow" w:hAnsi="Arial Narrow"/>
                <w:sz w:val="20"/>
              </w:rPr>
              <w:t>.</w:t>
            </w:r>
          </w:p>
          <w:p w:rsidR="00E504BF" w:rsidRPr="00260CE3" w:rsidRDefault="00E504BF" w:rsidP="00406118">
            <w:pPr>
              <w:rPr>
                <w:rFonts w:ascii="Arial Narrow" w:hAnsi="Arial Narrow"/>
                <w:sz w:val="20"/>
              </w:rPr>
            </w:pPr>
          </w:p>
        </w:tc>
      </w:tr>
      <w:tr w:rsidR="00E504BF" w:rsidRPr="00260CE3" w:rsidTr="0040611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04BF" w:rsidRPr="00260CE3" w:rsidRDefault="00E504BF" w:rsidP="00406118">
            <w:pPr>
              <w:rPr>
                <w:rFonts w:ascii="Arial Narrow" w:hAnsi="Arial Narrow"/>
                <w:b/>
                <w:sz w:val="20"/>
              </w:rPr>
            </w:pPr>
            <w:r w:rsidRPr="00260CE3">
              <w:rPr>
                <w:rFonts w:ascii="Arial Narrow" w:hAnsi="Arial Narrow"/>
                <w:b/>
                <w:sz w:val="20"/>
              </w:rPr>
              <w:t>Prescriber Instructions</w:t>
            </w:r>
          </w:p>
          <w:p w:rsidR="00E504BF" w:rsidRPr="00260CE3" w:rsidRDefault="00E504BF" w:rsidP="00406118">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504BF" w:rsidRDefault="00E504BF" w:rsidP="00406118">
            <w:pPr>
              <w:spacing w:before="60"/>
              <w:rPr>
                <w:rFonts w:ascii="Arial Narrow" w:hAnsi="Arial Narrow"/>
                <w:sz w:val="20"/>
              </w:rPr>
            </w:pPr>
            <w:r>
              <w:rPr>
                <w:rFonts w:ascii="Arial Narrow" w:hAnsi="Arial Narrow"/>
                <w:sz w:val="20"/>
              </w:rPr>
              <w:t xml:space="preserve">The date and level of the qualifying HbA1c measurement must be, or must have been, documented in the patient’s medical records at the time </w:t>
            </w:r>
            <w:r>
              <w:rPr>
                <w:rFonts w:ascii="Arial Narrow" w:hAnsi="Arial Narrow"/>
                <w:i/>
                <w:sz w:val="20"/>
              </w:rPr>
              <w:t xml:space="preserve">triple oral therapy </w:t>
            </w:r>
            <w:r w:rsidRPr="006C2C84">
              <w:rPr>
                <w:rFonts w:ascii="Arial Narrow" w:hAnsi="Arial Narrow"/>
                <w:sz w:val="20"/>
              </w:rPr>
              <w:t xml:space="preserve">with </w:t>
            </w:r>
            <w:r>
              <w:rPr>
                <w:rFonts w:ascii="Arial Narrow" w:hAnsi="Arial Narrow"/>
                <w:sz w:val="20"/>
              </w:rPr>
              <w:t xml:space="preserve">a gliptin, </w:t>
            </w:r>
            <w:r w:rsidRPr="00A22F35">
              <w:rPr>
                <w:rFonts w:ascii="Arial Narrow" w:hAnsi="Arial Narrow"/>
                <w:strike/>
                <w:sz w:val="20"/>
              </w:rPr>
              <w:t>or</w:t>
            </w:r>
            <w:r>
              <w:rPr>
                <w:rFonts w:ascii="Arial Narrow" w:hAnsi="Arial Narrow"/>
                <w:sz w:val="20"/>
              </w:rPr>
              <w:t xml:space="preserve"> </w:t>
            </w:r>
            <w:r>
              <w:rPr>
                <w:rFonts w:ascii="Arial Narrow" w:hAnsi="Arial Narrow"/>
                <w:i/>
                <w:sz w:val="20"/>
              </w:rPr>
              <w:t xml:space="preserve">and </w:t>
            </w:r>
            <w:r>
              <w:rPr>
                <w:rFonts w:ascii="Arial Narrow" w:hAnsi="Arial Narrow"/>
                <w:sz w:val="20"/>
              </w:rPr>
              <w:t>an SGLT2 inhibitor is initiated.</w:t>
            </w:r>
          </w:p>
          <w:p w:rsidR="00E504BF" w:rsidRDefault="00E504BF" w:rsidP="00406118">
            <w:pPr>
              <w:spacing w:before="60"/>
              <w:rPr>
                <w:rFonts w:ascii="Arial Narrow" w:hAnsi="Arial Narrow"/>
                <w:sz w:val="20"/>
              </w:rPr>
            </w:pPr>
          </w:p>
          <w:p w:rsidR="00E504BF" w:rsidRDefault="00E504BF" w:rsidP="00406118">
            <w:pPr>
              <w:spacing w:before="60"/>
              <w:rPr>
                <w:rFonts w:ascii="Arial Narrow" w:hAnsi="Arial Narrow"/>
                <w:sz w:val="20"/>
              </w:rPr>
            </w:pPr>
            <w:r>
              <w:rPr>
                <w:rFonts w:ascii="Arial Narrow" w:hAnsi="Arial Narrow"/>
                <w:sz w:val="20"/>
              </w:rPr>
              <w:t xml:space="preserve">The HbA1c must be no more than 4 months old at the time </w:t>
            </w:r>
            <w:r w:rsidRPr="00A22F35">
              <w:rPr>
                <w:rFonts w:ascii="Arial Narrow" w:hAnsi="Arial Narrow"/>
                <w:strike/>
                <w:sz w:val="20"/>
              </w:rPr>
              <w:t>with a gliptin, a glitazone, a glucagon</w:t>
            </w:r>
            <w:r w:rsidRPr="00A22F35">
              <w:rPr>
                <w:rFonts w:ascii="Arial Narrow" w:hAnsi="Arial Narrow"/>
                <w:strike/>
                <w:sz w:val="20"/>
              </w:rPr>
              <w:noBreakHyphen/>
              <w:t>like peptide</w:t>
            </w:r>
            <w:r w:rsidRPr="00A22F35">
              <w:rPr>
                <w:rFonts w:ascii="Arial Narrow" w:hAnsi="Arial Narrow"/>
                <w:strike/>
                <w:sz w:val="20"/>
              </w:rPr>
              <w:noBreakHyphen/>
              <w:t>1 or an SGLT2 inhibitor was initiated</w:t>
            </w:r>
            <w:r>
              <w:rPr>
                <w:rFonts w:ascii="Arial Narrow" w:hAnsi="Arial Narrow"/>
                <w:strike/>
                <w:sz w:val="20"/>
              </w:rPr>
              <w:t xml:space="preserve"> </w:t>
            </w:r>
            <w:r>
              <w:rPr>
                <w:rFonts w:ascii="Arial Narrow" w:hAnsi="Arial Narrow"/>
                <w:i/>
                <w:sz w:val="20"/>
              </w:rPr>
              <w:t>triple oral therapy with a gliptin and a SGLT2 inhibitor was initiated</w:t>
            </w:r>
            <w:r>
              <w:rPr>
                <w:rFonts w:ascii="Arial Narrow" w:hAnsi="Arial Narrow"/>
                <w:sz w:val="20"/>
              </w:rPr>
              <w:t>.</w:t>
            </w:r>
          </w:p>
          <w:p w:rsidR="00E504BF" w:rsidRDefault="00E504BF" w:rsidP="00406118">
            <w:pPr>
              <w:spacing w:before="60"/>
              <w:rPr>
                <w:rFonts w:ascii="Arial Narrow" w:hAnsi="Arial Narrow"/>
                <w:sz w:val="20"/>
              </w:rPr>
            </w:pPr>
          </w:p>
          <w:p w:rsidR="00E504BF" w:rsidRDefault="00E504BF" w:rsidP="00406118">
            <w:pPr>
              <w:spacing w:before="60"/>
              <w:rPr>
                <w:rFonts w:ascii="Arial Narrow" w:hAnsi="Arial Narrow"/>
                <w:sz w:val="20"/>
              </w:rPr>
            </w:pPr>
            <w:r>
              <w:rPr>
                <w:rFonts w:ascii="Arial Narrow" w:hAnsi="Arial Narrow"/>
                <w:sz w:val="20"/>
              </w:rPr>
              <w:t>Blood glucose monitoring may be used as an alternative assessment to HbA1c levels in the following circumstances:</w:t>
            </w:r>
          </w:p>
          <w:p w:rsidR="00E504BF" w:rsidRDefault="00E504BF" w:rsidP="00A51748">
            <w:pPr>
              <w:pStyle w:val="ListParagraph"/>
              <w:widowControl/>
              <w:numPr>
                <w:ilvl w:val="0"/>
                <w:numId w:val="6"/>
              </w:numPr>
              <w:spacing w:before="60"/>
              <w:rPr>
                <w:rFonts w:ascii="Arial Narrow" w:hAnsi="Arial Narrow"/>
                <w:sz w:val="20"/>
              </w:rPr>
            </w:pPr>
            <w:r>
              <w:rPr>
                <w:rFonts w:ascii="Arial Narrow" w:hAnsi="Arial Narrow"/>
                <w:sz w:val="20"/>
              </w:rPr>
              <w:t>A clinical condition with reduced red blood cell survival, including haemolytic anaemias and haemoglobinopathies; and/or</w:t>
            </w:r>
          </w:p>
          <w:p w:rsidR="00E504BF" w:rsidRDefault="00E504BF" w:rsidP="00A51748">
            <w:pPr>
              <w:pStyle w:val="ListParagraph"/>
              <w:widowControl/>
              <w:numPr>
                <w:ilvl w:val="0"/>
                <w:numId w:val="6"/>
              </w:numPr>
              <w:spacing w:before="60"/>
              <w:rPr>
                <w:rFonts w:ascii="Arial Narrow" w:hAnsi="Arial Narrow"/>
                <w:sz w:val="20"/>
              </w:rPr>
            </w:pPr>
            <w:r>
              <w:rPr>
                <w:rFonts w:ascii="Arial Narrow" w:hAnsi="Arial Narrow"/>
                <w:sz w:val="20"/>
              </w:rPr>
              <w:t>Had red cell transfusion within the previous 3 months.</w:t>
            </w:r>
          </w:p>
          <w:p w:rsidR="00E504BF" w:rsidRDefault="00E504BF" w:rsidP="00406118">
            <w:pPr>
              <w:pStyle w:val="ListParagraph"/>
              <w:spacing w:before="60"/>
              <w:ind w:left="393"/>
              <w:rPr>
                <w:rFonts w:ascii="Arial Narrow" w:hAnsi="Arial Narrow"/>
                <w:sz w:val="20"/>
              </w:rPr>
            </w:pPr>
          </w:p>
          <w:p w:rsidR="00E504BF" w:rsidRDefault="00E504BF" w:rsidP="00406118">
            <w:pPr>
              <w:spacing w:before="60"/>
              <w:ind w:left="33"/>
              <w:rPr>
                <w:rFonts w:ascii="Arial Narrow" w:hAnsi="Arial Narrow"/>
                <w:sz w:val="20"/>
              </w:rPr>
            </w:pPr>
            <w:r>
              <w:rPr>
                <w:rFonts w:ascii="Arial Narrow" w:hAnsi="Arial Narrow"/>
                <w:sz w:val="20"/>
              </w:rPr>
              <w:t xml:space="preserve">The results of the blood glucose monitoring, which must be no more than 4 months old at the time of initiation of </w:t>
            </w:r>
            <w:r w:rsidRPr="00A22F35">
              <w:rPr>
                <w:rFonts w:ascii="Arial Narrow" w:hAnsi="Arial Narrow"/>
                <w:strike/>
                <w:sz w:val="20"/>
              </w:rPr>
              <w:t>treatment with a gliptin, a glitazone, a glucagon</w:t>
            </w:r>
            <w:r w:rsidRPr="00A22F35">
              <w:rPr>
                <w:rFonts w:ascii="Arial Narrow" w:hAnsi="Arial Narrow"/>
                <w:strike/>
                <w:sz w:val="20"/>
              </w:rPr>
              <w:noBreakHyphen/>
              <w:t>like peptide</w:t>
            </w:r>
            <w:r w:rsidRPr="00A22F35">
              <w:rPr>
                <w:rFonts w:ascii="Arial Narrow" w:hAnsi="Arial Narrow"/>
                <w:strike/>
                <w:sz w:val="20"/>
              </w:rPr>
              <w:noBreakHyphen/>
              <w:t>1 or an SGLT2 inhibitor</w:t>
            </w:r>
            <w:r>
              <w:rPr>
                <w:rFonts w:ascii="Arial Narrow" w:hAnsi="Arial Narrow"/>
                <w:i/>
                <w:sz w:val="20"/>
              </w:rPr>
              <w:t xml:space="preserve"> triple oral therapy with a gliptin and an SGLT2 inhibitor</w:t>
            </w:r>
            <w:r w:rsidRPr="009A6FCA">
              <w:rPr>
                <w:rFonts w:ascii="Arial Narrow" w:hAnsi="Arial Narrow"/>
                <w:sz w:val="20"/>
              </w:rPr>
              <w:t>, must be document</w:t>
            </w:r>
            <w:r w:rsidRPr="009A6FCA">
              <w:rPr>
                <w:rFonts w:ascii="Arial Narrow" w:hAnsi="Arial Narrow"/>
                <w:i/>
                <w:sz w:val="20"/>
              </w:rPr>
              <w:t>ed</w:t>
            </w:r>
            <w:r w:rsidRPr="00F7395B">
              <w:rPr>
                <w:rFonts w:ascii="Arial Narrow" w:hAnsi="Arial Narrow"/>
                <w:sz w:val="20"/>
              </w:rPr>
              <w:t xml:space="preserve"> in the patient’s medical records</w:t>
            </w:r>
            <w:r>
              <w:rPr>
                <w:rFonts w:ascii="Arial Narrow" w:hAnsi="Arial Narrow"/>
                <w:sz w:val="20"/>
              </w:rPr>
              <w:t>.</w:t>
            </w:r>
          </w:p>
          <w:p w:rsidR="00E504BF" w:rsidRDefault="00E504BF" w:rsidP="00406118">
            <w:pPr>
              <w:rPr>
                <w:rFonts w:ascii="Arial Narrow" w:hAnsi="Arial Narrow"/>
                <w:sz w:val="20"/>
              </w:rPr>
            </w:pPr>
          </w:p>
          <w:p w:rsidR="00E504BF" w:rsidRPr="00260CE3" w:rsidRDefault="00E504BF" w:rsidP="00406118">
            <w:pPr>
              <w:rPr>
                <w:rFonts w:ascii="Arial Narrow" w:hAnsi="Arial Narrow"/>
                <w:sz w:val="20"/>
              </w:rPr>
            </w:pPr>
            <w:r>
              <w:rPr>
                <w:rFonts w:ascii="Arial Narrow" w:hAnsi="Arial Narrow"/>
                <w:sz w:val="20"/>
              </w:rPr>
              <w:t xml:space="preserve">A patient whose diabetes was previously demonstrated unable to be controlled with metformin </w:t>
            </w:r>
            <w:r>
              <w:rPr>
                <w:rFonts w:ascii="Arial Narrow" w:hAnsi="Arial Narrow"/>
                <w:i/>
                <w:sz w:val="20"/>
              </w:rPr>
              <w:t xml:space="preserve">and an SGLT2 or glptin </w:t>
            </w:r>
            <w:r>
              <w:rPr>
                <w:rFonts w:ascii="Arial Narrow" w:hAnsi="Arial Narrow"/>
                <w:sz w:val="20"/>
              </w:rPr>
              <w:t>does not need to requalify on this criterion before being eligible for PBS</w:t>
            </w:r>
            <w:r>
              <w:rPr>
                <w:rFonts w:ascii="Arial Narrow" w:hAnsi="Arial Narrow"/>
                <w:sz w:val="20"/>
              </w:rPr>
              <w:noBreakHyphen/>
              <w:t>subsidised treatment with this fixed dose combination.</w:t>
            </w:r>
          </w:p>
        </w:tc>
      </w:tr>
      <w:tr w:rsidR="00E504BF" w:rsidRPr="00260CE3" w:rsidTr="00406118">
        <w:trPr>
          <w:cantSplit/>
          <w:trHeight w:val="360"/>
        </w:trPr>
        <w:tc>
          <w:tcPr>
            <w:tcW w:w="2835" w:type="dxa"/>
            <w:tcBorders>
              <w:top w:val="single" w:sz="4" w:space="0" w:color="auto"/>
              <w:left w:val="single" w:sz="4" w:space="0" w:color="auto"/>
              <w:bottom w:val="single" w:sz="4" w:space="0" w:color="auto"/>
              <w:right w:val="single" w:sz="4" w:space="0" w:color="auto"/>
            </w:tcBorders>
          </w:tcPr>
          <w:p w:rsidR="00E504BF" w:rsidRPr="00260CE3" w:rsidRDefault="00E504BF" w:rsidP="00406118">
            <w:pPr>
              <w:rPr>
                <w:rFonts w:ascii="Arial Narrow" w:hAnsi="Arial Narrow"/>
                <w:b/>
                <w:sz w:val="20"/>
              </w:rPr>
            </w:pPr>
            <w:r w:rsidRPr="00260CE3">
              <w:rPr>
                <w:rFonts w:ascii="Arial Narrow" w:hAnsi="Arial Narrow"/>
                <w:b/>
                <w:sz w:val="20"/>
              </w:rPr>
              <w:lastRenderedPageBreak/>
              <w:t>Administrative Advice</w:t>
            </w:r>
          </w:p>
          <w:p w:rsidR="00E504BF" w:rsidRPr="00260CE3" w:rsidRDefault="00E504BF" w:rsidP="00406118">
            <w:pPr>
              <w:rPr>
                <w:rFonts w:ascii="Arial Narrow" w:hAnsi="Arial Narrow"/>
                <w:i/>
                <w:sz w:val="20"/>
              </w:rPr>
            </w:pPr>
          </w:p>
          <w:p w:rsidR="00E504BF" w:rsidRPr="00260CE3" w:rsidRDefault="00E504BF" w:rsidP="00406118">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E504BF" w:rsidRPr="00EC7E94" w:rsidRDefault="00E504BF" w:rsidP="00406118">
            <w:pPr>
              <w:spacing w:before="60"/>
              <w:rPr>
                <w:rFonts w:ascii="Arial Narrow" w:hAnsi="Arial Narrow"/>
                <w:b/>
                <w:sz w:val="20"/>
              </w:rPr>
            </w:pPr>
            <w:r w:rsidRPr="00EC7E94">
              <w:rPr>
                <w:rFonts w:ascii="Arial Narrow" w:hAnsi="Arial Narrow"/>
                <w:b/>
                <w:sz w:val="20"/>
              </w:rPr>
              <w:t>Note:</w:t>
            </w:r>
          </w:p>
          <w:p w:rsidR="00E504BF" w:rsidRPr="00EC7E94" w:rsidRDefault="00E504BF" w:rsidP="00406118">
            <w:pPr>
              <w:spacing w:before="60"/>
              <w:rPr>
                <w:rFonts w:ascii="Arial Narrow" w:hAnsi="Arial Narrow"/>
                <w:b/>
                <w:sz w:val="20"/>
              </w:rPr>
            </w:pPr>
            <w:r w:rsidRPr="00EC7E94">
              <w:rPr>
                <w:rFonts w:ascii="Arial Narrow" w:hAnsi="Arial Narrow"/>
                <w:b/>
                <w:sz w:val="20"/>
              </w:rPr>
              <w:t>Continuing Therapy Only:</w:t>
            </w:r>
          </w:p>
          <w:p w:rsidR="00E504BF" w:rsidRDefault="00E504BF" w:rsidP="00406118">
            <w:pPr>
              <w:spacing w:before="60"/>
              <w:rPr>
                <w:rFonts w:ascii="Arial Narrow" w:hAnsi="Arial Narrow"/>
                <w:sz w:val="20"/>
              </w:rPr>
            </w:pPr>
            <w:r>
              <w:rPr>
                <w:rFonts w:ascii="Arial Narrow" w:hAnsi="Arial Narrow"/>
                <w:sz w:val="20"/>
              </w:rPr>
              <w:t>For prescribing by nurse practitioners as continuing therapy only, where the treatment of, and prescribing of medicine for, a patient has been initiated by a medical practitioner.</w:t>
            </w:r>
          </w:p>
          <w:p w:rsidR="00E504BF" w:rsidRDefault="00E504BF" w:rsidP="00406118">
            <w:pPr>
              <w:spacing w:before="60"/>
              <w:rPr>
                <w:rFonts w:ascii="Arial Narrow" w:hAnsi="Arial Narrow"/>
                <w:sz w:val="20"/>
              </w:rPr>
            </w:pPr>
            <w:r>
              <w:rPr>
                <w:rFonts w:ascii="Arial Narrow" w:hAnsi="Arial Narrow"/>
                <w:sz w:val="20"/>
              </w:rPr>
              <w:t>Further information can be found in the Explanatory Notes for Nurse Practitioners.</w:t>
            </w:r>
          </w:p>
          <w:p w:rsidR="00E504BF" w:rsidRPr="00EC7E94" w:rsidRDefault="00E504BF" w:rsidP="00406118">
            <w:pPr>
              <w:spacing w:before="60"/>
              <w:rPr>
                <w:rFonts w:ascii="Arial Narrow" w:hAnsi="Arial Narrow"/>
                <w:b/>
                <w:sz w:val="20"/>
              </w:rPr>
            </w:pPr>
            <w:r w:rsidRPr="00EC7E94">
              <w:rPr>
                <w:rFonts w:ascii="Arial Narrow" w:hAnsi="Arial Narrow"/>
                <w:b/>
                <w:sz w:val="20"/>
              </w:rPr>
              <w:t>Note:</w:t>
            </w:r>
          </w:p>
          <w:p w:rsidR="00E504BF" w:rsidRDefault="00E504BF" w:rsidP="00406118">
            <w:pPr>
              <w:spacing w:before="60"/>
              <w:rPr>
                <w:rFonts w:ascii="Arial Narrow" w:hAnsi="Arial Narrow"/>
                <w:sz w:val="20"/>
              </w:rPr>
            </w:pPr>
            <w:r w:rsidRPr="00476BA7">
              <w:rPr>
                <w:rFonts w:ascii="Arial Narrow" w:hAnsi="Arial Narrow"/>
                <w:sz w:val="20"/>
              </w:rPr>
              <w:t xml:space="preserve">The </w:t>
            </w:r>
            <w:r>
              <w:rPr>
                <w:rFonts w:ascii="Arial Narrow" w:hAnsi="Arial Narrow"/>
                <w:sz w:val="20"/>
              </w:rPr>
              <w:t>fixed dose combination is not PBS</w:t>
            </w:r>
            <w:r>
              <w:rPr>
                <w:rFonts w:ascii="Arial Narrow" w:hAnsi="Arial Narrow"/>
                <w:sz w:val="20"/>
              </w:rPr>
              <w:noBreakHyphen/>
              <w:t>subsidised for use as initial therapy or in combination with a thiazolidinedione (glitazone) or a glucog</w:t>
            </w:r>
            <w:r w:rsidRPr="00FB7772">
              <w:rPr>
                <w:rFonts w:ascii="Arial Narrow" w:hAnsi="Arial Narrow"/>
                <w:strike/>
                <w:sz w:val="20"/>
              </w:rPr>
              <w:t>a</w:t>
            </w:r>
            <w:r>
              <w:rPr>
                <w:rFonts w:ascii="Arial Narrow" w:hAnsi="Arial Narrow"/>
                <w:sz w:val="20"/>
              </w:rPr>
              <w:t>on</w:t>
            </w:r>
            <w:r>
              <w:rPr>
                <w:rFonts w:ascii="Arial Narrow" w:hAnsi="Arial Narrow"/>
                <w:sz w:val="20"/>
              </w:rPr>
              <w:noBreakHyphen/>
              <w:t>like peptide</w:t>
            </w:r>
            <w:r>
              <w:rPr>
                <w:rFonts w:ascii="Arial Narrow" w:hAnsi="Arial Narrow"/>
                <w:sz w:val="20"/>
              </w:rPr>
              <w:noBreakHyphen/>
              <w:t>1.</w:t>
            </w:r>
          </w:p>
          <w:p w:rsidR="00E504BF" w:rsidRDefault="00E504BF" w:rsidP="00406118">
            <w:pPr>
              <w:spacing w:before="60"/>
              <w:rPr>
                <w:rFonts w:ascii="Arial Narrow" w:hAnsi="Arial Narrow"/>
                <w:sz w:val="20"/>
              </w:rPr>
            </w:pPr>
          </w:p>
          <w:p w:rsidR="00E504BF" w:rsidRPr="00260CE3" w:rsidRDefault="00E504BF" w:rsidP="00406118">
            <w:pPr>
              <w:rPr>
                <w:rFonts w:ascii="Arial Narrow" w:hAnsi="Arial Narrow"/>
                <w:sz w:val="20"/>
              </w:rPr>
            </w:pPr>
            <w:r>
              <w:rPr>
                <w:rFonts w:ascii="Arial Narrow" w:hAnsi="Arial Narrow"/>
                <w:sz w:val="20"/>
              </w:rPr>
              <w:t xml:space="preserve">PBS subsidised dual oral therapy does not include </w:t>
            </w:r>
            <w:r w:rsidRPr="00096B95">
              <w:rPr>
                <w:rFonts w:ascii="Arial Narrow" w:hAnsi="Arial Narrow"/>
                <w:sz w:val="20"/>
              </w:rPr>
              <w:t xml:space="preserve">concomitant use of a gliptin or an SGLT2 inhibitor with </w:t>
            </w:r>
            <w:r>
              <w:rPr>
                <w:rFonts w:ascii="Arial Narrow" w:hAnsi="Arial Narrow"/>
                <w:sz w:val="20"/>
              </w:rPr>
              <w:t>a glitazone.</w:t>
            </w:r>
          </w:p>
        </w:tc>
      </w:tr>
    </w:tbl>
    <w:p w:rsidR="00E504BF" w:rsidRPr="00C255BE" w:rsidRDefault="00E504BF" w:rsidP="00137F8D">
      <w:pPr>
        <w:pStyle w:val="ESnon-numberedpara"/>
      </w:pPr>
    </w:p>
    <w:p w:rsidR="0010529A" w:rsidRPr="0010529A" w:rsidRDefault="0010529A" w:rsidP="009E0379">
      <w:pPr>
        <w:pStyle w:val="ListParagraph"/>
        <w:widowControl/>
        <w:spacing w:after="120"/>
        <w:contextualSpacing w:val="0"/>
        <w:rPr>
          <w:rFonts w:asciiTheme="minorHAnsi" w:eastAsiaTheme="minorHAnsi" w:hAnsiTheme="minorHAnsi" w:cstheme="minorBidi"/>
          <w:snapToGrid/>
          <w:vanish/>
          <w:sz w:val="24"/>
          <w:szCs w:val="22"/>
        </w:rPr>
      </w:pPr>
    </w:p>
    <w:p w:rsidR="00F842C9" w:rsidRPr="002E1332" w:rsidRDefault="00412B00" w:rsidP="00E86CAA">
      <w:pPr>
        <w:pStyle w:val="ESnumberedpara"/>
        <w:numPr>
          <w:ilvl w:val="1"/>
          <w:numId w:val="1"/>
        </w:numPr>
        <w:rPr>
          <w:rFonts w:asciiTheme="minorHAnsi" w:hAnsiTheme="minorHAnsi"/>
          <w:sz w:val="24"/>
        </w:rPr>
      </w:pPr>
      <w:r w:rsidRPr="002E1332">
        <w:rPr>
          <w:rFonts w:asciiTheme="minorHAnsi" w:hAnsiTheme="minorHAnsi"/>
          <w:sz w:val="24"/>
        </w:rPr>
        <w:t>Listing was requested on a c</w:t>
      </w:r>
      <w:r w:rsidR="002F5CB2" w:rsidRPr="002E1332">
        <w:rPr>
          <w:rFonts w:asciiTheme="minorHAnsi" w:hAnsiTheme="minorHAnsi"/>
          <w:sz w:val="24"/>
        </w:rPr>
        <w:t>ost-minimisation</w:t>
      </w:r>
      <w:r w:rsidRPr="002E1332">
        <w:rPr>
          <w:rFonts w:asciiTheme="minorHAnsi" w:hAnsiTheme="minorHAnsi"/>
          <w:sz w:val="24"/>
        </w:rPr>
        <w:t xml:space="preserve"> basis</w:t>
      </w:r>
      <w:r w:rsidR="002F5CB2" w:rsidRPr="002E1332">
        <w:rPr>
          <w:rFonts w:asciiTheme="minorHAnsi" w:hAnsiTheme="minorHAnsi"/>
          <w:sz w:val="24"/>
        </w:rPr>
        <w:t xml:space="preserve"> </w:t>
      </w:r>
      <w:r w:rsidRPr="002E1332">
        <w:rPr>
          <w:rFonts w:asciiTheme="minorHAnsi" w:hAnsiTheme="minorHAnsi"/>
          <w:sz w:val="24"/>
        </w:rPr>
        <w:t xml:space="preserve">compared </w:t>
      </w:r>
      <w:r w:rsidR="002F5CB2" w:rsidRPr="002E1332">
        <w:rPr>
          <w:rFonts w:asciiTheme="minorHAnsi" w:hAnsiTheme="minorHAnsi"/>
          <w:sz w:val="24"/>
        </w:rPr>
        <w:t>with corresponding doses of the individual components, dapagliflozin and saxagliptin.</w:t>
      </w:r>
      <w:r w:rsidR="00137F8D" w:rsidRPr="002E1332">
        <w:rPr>
          <w:rFonts w:asciiTheme="minorHAnsi" w:hAnsiTheme="minorHAnsi"/>
          <w:sz w:val="24"/>
        </w:rPr>
        <w:t xml:space="preserve"> </w:t>
      </w:r>
      <w:r w:rsidR="00F842C9" w:rsidRPr="002E1332">
        <w:rPr>
          <w:rFonts w:asciiTheme="minorHAnsi" w:hAnsiTheme="minorHAnsi"/>
          <w:sz w:val="24"/>
        </w:rPr>
        <w:t>The requested restriction is dependent on the concurrent major submission for dapagliflozin triple therapy being recommended for listing at the July 2017 PBAC meeting</w:t>
      </w:r>
      <w:r w:rsidR="007B3A77">
        <w:rPr>
          <w:rFonts w:asciiTheme="minorHAnsi" w:hAnsiTheme="minorHAnsi"/>
          <w:sz w:val="24"/>
        </w:rPr>
        <w:t xml:space="preserve"> (item 6.01 refers)</w:t>
      </w:r>
      <w:r w:rsidR="00F842C9" w:rsidRPr="002E1332">
        <w:rPr>
          <w:rFonts w:asciiTheme="minorHAnsi" w:hAnsiTheme="minorHAnsi"/>
          <w:sz w:val="24"/>
        </w:rPr>
        <w:t>.</w:t>
      </w:r>
    </w:p>
    <w:p w:rsidR="00F842C9" w:rsidRPr="002E1332" w:rsidRDefault="00A87BE6" w:rsidP="00E86CAA">
      <w:pPr>
        <w:pStyle w:val="ESnumberedpara"/>
        <w:numPr>
          <w:ilvl w:val="1"/>
          <w:numId w:val="1"/>
        </w:numPr>
        <w:rPr>
          <w:rFonts w:asciiTheme="minorHAnsi" w:hAnsiTheme="minorHAnsi"/>
          <w:sz w:val="24"/>
        </w:rPr>
      </w:pPr>
      <w:r w:rsidRPr="002E1332">
        <w:rPr>
          <w:rFonts w:asciiTheme="minorHAnsi" w:hAnsiTheme="minorHAnsi"/>
          <w:sz w:val="24"/>
        </w:rPr>
        <w:t xml:space="preserve">The proposed restriction inappropriately limits the use of dapagliflozin/saxagliptin fixed dose combination to patients previously receiving metformin and a DPP4 inhibitor </w:t>
      </w:r>
      <w:r w:rsidR="008B504E" w:rsidRPr="002E1332">
        <w:rPr>
          <w:rFonts w:asciiTheme="minorHAnsi" w:hAnsiTheme="minorHAnsi"/>
          <w:sz w:val="24"/>
        </w:rPr>
        <w:t>dual</w:t>
      </w:r>
      <w:r w:rsidRPr="002E1332">
        <w:rPr>
          <w:rFonts w:asciiTheme="minorHAnsi" w:hAnsiTheme="minorHAnsi"/>
          <w:sz w:val="24"/>
        </w:rPr>
        <w:t xml:space="preserve"> therapy, which </w:t>
      </w:r>
      <w:r w:rsidR="007A1248" w:rsidRPr="002E1332">
        <w:rPr>
          <w:rFonts w:asciiTheme="minorHAnsi" w:hAnsiTheme="minorHAnsi"/>
          <w:sz w:val="24"/>
        </w:rPr>
        <w:t xml:space="preserve">inappropriately </w:t>
      </w:r>
      <w:r w:rsidR="006A7C6F" w:rsidRPr="002E1332">
        <w:rPr>
          <w:rFonts w:asciiTheme="minorHAnsi" w:hAnsiTheme="minorHAnsi"/>
          <w:sz w:val="24"/>
        </w:rPr>
        <w:t>limits the treatment pathways compare</w:t>
      </w:r>
      <w:r w:rsidR="007A1248" w:rsidRPr="002E1332">
        <w:rPr>
          <w:rFonts w:asciiTheme="minorHAnsi" w:hAnsiTheme="minorHAnsi"/>
          <w:sz w:val="24"/>
        </w:rPr>
        <w:t>d</w:t>
      </w:r>
      <w:r w:rsidR="006A7C6F" w:rsidRPr="002E1332">
        <w:rPr>
          <w:rFonts w:asciiTheme="minorHAnsi" w:hAnsiTheme="minorHAnsi"/>
          <w:sz w:val="24"/>
        </w:rPr>
        <w:t xml:space="preserve"> to currently accepted clinical </w:t>
      </w:r>
      <w:r w:rsidRPr="002E1332">
        <w:rPr>
          <w:rFonts w:asciiTheme="minorHAnsi" w:hAnsiTheme="minorHAnsi"/>
          <w:sz w:val="24"/>
        </w:rPr>
        <w:t xml:space="preserve">guidelines and practice. </w:t>
      </w:r>
    </w:p>
    <w:p w:rsidR="00A87BE6" w:rsidRPr="00C255BE" w:rsidRDefault="007F399F" w:rsidP="00E86CAA">
      <w:pPr>
        <w:pStyle w:val="ESnumberedpara"/>
        <w:numPr>
          <w:ilvl w:val="1"/>
          <w:numId w:val="1"/>
        </w:numPr>
        <w:rPr>
          <w:rFonts w:asciiTheme="minorHAnsi" w:hAnsiTheme="minorHAnsi"/>
          <w:sz w:val="24"/>
        </w:rPr>
      </w:pPr>
      <w:r>
        <w:rPr>
          <w:rFonts w:asciiTheme="minorHAnsi" w:hAnsiTheme="minorHAnsi"/>
          <w:sz w:val="24"/>
        </w:rPr>
        <w:t>The PBAC noted that t</w:t>
      </w:r>
      <w:r w:rsidR="003C2D13" w:rsidRPr="00C255BE">
        <w:rPr>
          <w:rFonts w:asciiTheme="minorHAnsi" w:hAnsiTheme="minorHAnsi"/>
          <w:sz w:val="24"/>
        </w:rPr>
        <w:t xml:space="preserve">he wording of the clinical criteria is not consistent with the requested restriction in the July 2017 dapagliflozin major submission. There is potential for the requested restriction to allow use of the dapagliflozin/saxagliptin FDC after any prior use of a PBS subsidised regimen of oral diabetic medicines which includes any dipeptidyl peptidase </w:t>
      </w:r>
      <w:r w:rsidR="00E06258">
        <w:rPr>
          <w:rFonts w:asciiTheme="minorHAnsi" w:hAnsiTheme="minorHAnsi"/>
          <w:sz w:val="24"/>
        </w:rPr>
        <w:t xml:space="preserve">(DPP4) </w:t>
      </w:r>
      <w:r w:rsidR="003C2D13" w:rsidRPr="00C255BE">
        <w:rPr>
          <w:rFonts w:asciiTheme="minorHAnsi" w:hAnsiTheme="minorHAnsi"/>
          <w:sz w:val="24"/>
        </w:rPr>
        <w:t xml:space="preserve">4 inhibitor, and not immediately following such a regimen. </w:t>
      </w:r>
      <w:r w:rsidR="00A87BE6" w:rsidRPr="00C255BE">
        <w:rPr>
          <w:rFonts w:asciiTheme="minorHAnsi" w:hAnsiTheme="minorHAnsi"/>
          <w:sz w:val="24"/>
        </w:rPr>
        <w:t>The prescriber instructions inappropriately suggest that a patient whose diabetes was previously demonstrated unable to be controlled with metformin does not need to requalify on this criterion before being eligible for PBS subsidised treatment with this fixed dose combination.</w:t>
      </w:r>
    </w:p>
    <w:p w:rsidR="00137F8D" w:rsidRDefault="00694ECE" w:rsidP="00E86CAA">
      <w:pPr>
        <w:pStyle w:val="ESnumberedpara"/>
        <w:numPr>
          <w:ilvl w:val="1"/>
          <w:numId w:val="1"/>
        </w:numPr>
        <w:rPr>
          <w:rFonts w:asciiTheme="minorHAnsi" w:hAnsiTheme="minorHAnsi"/>
          <w:sz w:val="24"/>
        </w:rPr>
      </w:pPr>
      <w:r w:rsidRPr="00C255BE">
        <w:rPr>
          <w:rFonts w:asciiTheme="minorHAnsi" w:hAnsiTheme="minorHAnsi"/>
          <w:sz w:val="24"/>
        </w:rPr>
        <w:t>Dapagliflozin/saxagliptin FDC is administered as one 10 mg/5 mg dose oral tablet, once daily, with treatment ongoing.</w:t>
      </w:r>
    </w:p>
    <w:p w:rsidR="00847397" w:rsidRDefault="00847397" w:rsidP="00E86CAA">
      <w:pPr>
        <w:pStyle w:val="ESnumberedpara"/>
        <w:numPr>
          <w:ilvl w:val="1"/>
          <w:numId w:val="1"/>
        </w:numPr>
        <w:rPr>
          <w:rFonts w:asciiTheme="minorHAnsi" w:hAnsiTheme="minorHAnsi"/>
          <w:sz w:val="24"/>
        </w:rPr>
      </w:pPr>
      <w:r w:rsidRPr="002E1332">
        <w:rPr>
          <w:rFonts w:asciiTheme="minorHAnsi" w:hAnsiTheme="minorHAnsi"/>
          <w:sz w:val="24"/>
        </w:rPr>
        <w:t xml:space="preserve">The </w:t>
      </w:r>
      <w:r w:rsidR="007B3A77">
        <w:rPr>
          <w:rFonts w:asciiTheme="minorHAnsi" w:hAnsiTheme="minorHAnsi"/>
          <w:sz w:val="24"/>
        </w:rPr>
        <w:t>PBAC</w:t>
      </w:r>
      <w:r w:rsidR="007B3A77" w:rsidRPr="002E1332">
        <w:rPr>
          <w:rFonts w:asciiTheme="minorHAnsi" w:hAnsiTheme="minorHAnsi"/>
          <w:sz w:val="24"/>
        </w:rPr>
        <w:t xml:space="preserve"> </w:t>
      </w:r>
      <w:r w:rsidRPr="002E1332">
        <w:rPr>
          <w:rFonts w:asciiTheme="minorHAnsi" w:hAnsiTheme="minorHAnsi"/>
          <w:sz w:val="24"/>
        </w:rPr>
        <w:t>noted that the proposed restriction assumed all D</w:t>
      </w:r>
      <w:r w:rsidR="007A1248" w:rsidRPr="002E1332">
        <w:rPr>
          <w:rFonts w:asciiTheme="minorHAnsi" w:hAnsiTheme="minorHAnsi"/>
          <w:sz w:val="24"/>
        </w:rPr>
        <w:t>P</w:t>
      </w:r>
      <w:r w:rsidRPr="002E1332">
        <w:rPr>
          <w:rFonts w:asciiTheme="minorHAnsi" w:hAnsiTheme="minorHAnsi"/>
          <w:sz w:val="24"/>
        </w:rPr>
        <w:t>P4 inhibitors are interchangeable.</w:t>
      </w:r>
      <w:r w:rsidR="00063C8A" w:rsidRPr="002E1332">
        <w:rPr>
          <w:rFonts w:asciiTheme="minorHAnsi" w:hAnsiTheme="minorHAnsi"/>
          <w:sz w:val="24"/>
        </w:rPr>
        <w:t xml:space="preserve"> The </w:t>
      </w:r>
      <w:r w:rsidR="007B3A77">
        <w:rPr>
          <w:rFonts w:asciiTheme="minorHAnsi" w:hAnsiTheme="minorHAnsi"/>
          <w:sz w:val="24"/>
        </w:rPr>
        <w:t>PBAC</w:t>
      </w:r>
      <w:r w:rsidR="007B3A77" w:rsidRPr="002E1332">
        <w:rPr>
          <w:rFonts w:asciiTheme="minorHAnsi" w:hAnsiTheme="minorHAnsi"/>
          <w:sz w:val="24"/>
        </w:rPr>
        <w:t xml:space="preserve"> </w:t>
      </w:r>
      <w:r w:rsidR="00063C8A" w:rsidRPr="002E1332">
        <w:rPr>
          <w:rFonts w:asciiTheme="minorHAnsi" w:hAnsiTheme="minorHAnsi"/>
          <w:sz w:val="24"/>
        </w:rPr>
        <w:t xml:space="preserve">also noted that as with the wording of the proposed restriction in item 6.01, quadruple therapy may not be excluded. </w:t>
      </w:r>
    </w:p>
    <w:p w:rsidR="000310FD" w:rsidRPr="006A535F" w:rsidRDefault="000310FD" w:rsidP="006A535F">
      <w:pPr>
        <w:pStyle w:val="ESnumberedpara"/>
        <w:numPr>
          <w:ilvl w:val="1"/>
          <w:numId w:val="1"/>
        </w:numPr>
        <w:rPr>
          <w:rFonts w:asciiTheme="minorHAnsi" w:hAnsiTheme="minorHAnsi"/>
          <w:sz w:val="24"/>
        </w:rPr>
      </w:pPr>
      <w:r>
        <w:rPr>
          <w:rFonts w:asciiTheme="minorHAnsi" w:hAnsiTheme="minorHAnsi"/>
          <w:sz w:val="24"/>
        </w:rPr>
        <w:t xml:space="preserve">The pre-PBAC response (p1) acknowledged and supported the proposed changes as suggested by the Secretariat. The sponsor also supported the proposal for a General </w:t>
      </w:r>
      <w:r w:rsidR="00D5749B">
        <w:rPr>
          <w:rFonts w:asciiTheme="minorHAnsi" w:hAnsiTheme="minorHAnsi"/>
          <w:sz w:val="24"/>
        </w:rPr>
        <w:t>S</w:t>
      </w:r>
      <w:r>
        <w:rPr>
          <w:rFonts w:asciiTheme="minorHAnsi" w:hAnsiTheme="minorHAnsi"/>
          <w:sz w:val="24"/>
        </w:rPr>
        <w:t xml:space="preserve">tatement for PBS-listed type two diabetes medicines to be developed. The PBAC noted that a draft general statement </w:t>
      </w:r>
      <w:r w:rsidR="00E06258">
        <w:rPr>
          <w:rFonts w:asciiTheme="minorHAnsi" w:hAnsiTheme="minorHAnsi"/>
          <w:sz w:val="24"/>
        </w:rPr>
        <w:t xml:space="preserve">for medicines used to treat type 2 diabetes </w:t>
      </w:r>
      <w:r>
        <w:rPr>
          <w:rFonts w:asciiTheme="minorHAnsi" w:hAnsiTheme="minorHAnsi"/>
          <w:sz w:val="24"/>
        </w:rPr>
        <w:t xml:space="preserve">was provided in the pre-PBAC response </w:t>
      </w:r>
      <w:r w:rsidR="00E06258">
        <w:rPr>
          <w:rFonts w:asciiTheme="minorHAnsi" w:hAnsiTheme="minorHAnsi"/>
          <w:sz w:val="24"/>
        </w:rPr>
        <w:t>for item 6.01</w:t>
      </w:r>
      <w:r w:rsidR="00811625">
        <w:rPr>
          <w:rFonts w:asciiTheme="minorHAnsi" w:hAnsiTheme="minorHAnsi"/>
          <w:sz w:val="24"/>
        </w:rPr>
        <w:t xml:space="preserve"> </w:t>
      </w:r>
      <w:r>
        <w:rPr>
          <w:rFonts w:asciiTheme="minorHAnsi" w:hAnsiTheme="minorHAnsi"/>
          <w:sz w:val="24"/>
        </w:rPr>
        <w:t>(p4)</w:t>
      </w:r>
      <w:r w:rsidR="00895936">
        <w:rPr>
          <w:rFonts w:asciiTheme="minorHAnsi" w:hAnsiTheme="minorHAnsi"/>
          <w:sz w:val="24"/>
        </w:rPr>
        <w:t xml:space="preserve">, but considered that any general statement would need additional </w:t>
      </w:r>
      <w:r w:rsidR="00AD2C1D">
        <w:rPr>
          <w:rFonts w:asciiTheme="minorHAnsi" w:hAnsiTheme="minorHAnsi"/>
          <w:sz w:val="24"/>
        </w:rPr>
        <w:t>development and consultation</w:t>
      </w:r>
      <w:r w:rsidR="00895936">
        <w:rPr>
          <w:rFonts w:asciiTheme="minorHAnsi" w:hAnsiTheme="minorHAnsi"/>
          <w:sz w:val="24"/>
        </w:rPr>
        <w:t>.</w:t>
      </w:r>
    </w:p>
    <w:p w:rsidR="00EB3F99" w:rsidRPr="00EB3F99" w:rsidRDefault="00EB3F99" w:rsidP="006A535F">
      <w:pPr>
        <w:ind w:firstLine="720"/>
        <w:rPr>
          <w:rFonts w:asciiTheme="minorHAnsi" w:hAnsiTheme="minorHAnsi"/>
          <w:i/>
          <w:sz w:val="24"/>
          <w:szCs w:val="24"/>
        </w:rPr>
      </w:pPr>
      <w:r w:rsidRPr="00E06258">
        <w:rPr>
          <w:rFonts w:asciiTheme="minorHAnsi" w:hAnsiTheme="minorHAnsi"/>
          <w:i/>
          <w:sz w:val="24"/>
          <w:szCs w:val="24"/>
        </w:rPr>
        <w:t>For more detail on PBAC’s view, see section 7 “PBAC outcome.”</w:t>
      </w:r>
    </w:p>
    <w:p w:rsidR="00EB3F99" w:rsidRPr="002E1332" w:rsidRDefault="00EB3F99" w:rsidP="00EB3F99">
      <w:pPr>
        <w:pStyle w:val="ESnumberedparablue"/>
        <w:rPr>
          <w:rFonts w:asciiTheme="minorHAnsi" w:hAnsiTheme="minorHAnsi"/>
          <w:color w:val="auto"/>
          <w:sz w:val="24"/>
        </w:rPr>
      </w:pPr>
    </w:p>
    <w:p w:rsidR="00137F8D" w:rsidRDefault="00137F8D" w:rsidP="007A515C">
      <w:pPr>
        <w:pStyle w:val="PBACHeading1"/>
        <w:numPr>
          <w:ilvl w:val="0"/>
          <w:numId w:val="1"/>
        </w:numPr>
        <w:outlineLvl w:val="0"/>
        <w:rPr>
          <w:rFonts w:asciiTheme="minorHAnsi" w:hAnsiTheme="minorHAnsi"/>
          <w:sz w:val="32"/>
          <w:szCs w:val="32"/>
        </w:rPr>
      </w:pPr>
      <w:bookmarkStart w:id="6" w:name="_Toc413139273"/>
      <w:bookmarkStart w:id="7" w:name="_Toc476306883"/>
      <w:bookmarkStart w:id="8" w:name="_Toc482700150"/>
      <w:r w:rsidRPr="007A515C">
        <w:rPr>
          <w:rFonts w:asciiTheme="minorHAnsi" w:hAnsiTheme="minorHAnsi"/>
          <w:sz w:val="32"/>
          <w:szCs w:val="32"/>
        </w:rPr>
        <w:t>Background</w:t>
      </w:r>
      <w:bookmarkEnd w:id="6"/>
      <w:bookmarkEnd w:id="7"/>
      <w:bookmarkEnd w:id="8"/>
    </w:p>
    <w:p w:rsidR="005303C5" w:rsidRPr="005303C5" w:rsidRDefault="005303C5" w:rsidP="0040066E">
      <w:pPr>
        <w:pStyle w:val="PBACHeading1"/>
        <w:rPr>
          <w:rFonts w:asciiTheme="minorHAnsi" w:hAnsiTheme="minorHAnsi"/>
          <w:sz w:val="24"/>
          <w:szCs w:val="24"/>
        </w:rPr>
      </w:pPr>
    </w:p>
    <w:p w:rsidR="0010529A" w:rsidRPr="0010529A" w:rsidRDefault="0010529A" w:rsidP="00A0510D">
      <w:pPr>
        <w:pStyle w:val="ListParagraph"/>
        <w:widowControl/>
        <w:spacing w:after="120"/>
        <w:contextualSpacing w:val="0"/>
        <w:rPr>
          <w:rFonts w:asciiTheme="minorHAnsi" w:eastAsiaTheme="minorHAnsi" w:hAnsiTheme="minorHAnsi" w:cstheme="minorBidi"/>
          <w:snapToGrid/>
          <w:vanish/>
          <w:sz w:val="24"/>
          <w:szCs w:val="22"/>
        </w:rPr>
      </w:pPr>
    </w:p>
    <w:p w:rsidR="00674AAE" w:rsidRPr="00C255BE" w:rsidRDefault="00137F8D" w:rsidP="00E86CAA">
      <w:pPr>
        <w:pStyle w:val="ESnumberedpara"/>
        <w:numPr>
          <w:ilvl w:val="1"/>
          <w:numId w:val="1"/>
        </w:numPr>
        <w:rPr>
          <w:rFonts w:asciiTheme="minorHAnsi" w:hAnsiTheme="minorHAnsi"/>
          <w:sz w:val="24"/>
        </w:rPr>
      </w:pPr>
      <w:r w:rsidRPr="00C255BE">
        <w:rPr>
          <w:rFonts w:asciiTheme="minorHAnsi" w:hAnsiTheme="minorHAnsi"/>
          <w:sz w:val="24"/>
        </w:rPr>
        <w:t xml:space="preserve">TGA status: </w:t>
      </w:r>
      <w:r w:rsidR="007A1248">
        <w:rPr>
          <w:rFonts w:asciiTheme="minorHAnsi" w:hAnsiTheme="minorHAnsi"/>
          <w:sz w:val="24"/>
        </w:rPr>
        <w:t>d</w:t>
      </w:r>
      <w:r w:rsidR="00674AAE" w:rsidRPr="00C255BE">
        <w:rPr>
          <w:rFonts w:asciiTheme="minorHAnsi" w:hAnsiTheme="minorHAnsi"/>
          <w:sz w:val="24"/>
        </w:rPr>
        <w:t>apagliflozin</w:t>
      </w:r>
      <w:r w:rsidR="00AE090B" w:rsidRPr="00C255BE">
        <w:rPr>
          <w:rFonts w:asciiTheme="minorHAnsi" w:hAnsiTheme="minorHAnsi"/>
          <w:sz w:val="24"/>
        </w:rPr>
        <w:t>/</w:t>
      </w:r>
      <w:r w:rsidR="00674AAE" w:rsidRPr="00C255BE">
        <w:rPr>
          <w:rFonts w:asciiTheme="minorHAnsi" w:hAnsiTheme="minorHAnsi"/>
          <w:sz w:val="24"/>
        </w:rPr>
        <w:t>saxagliptin FDC was TGA registered on 25 October 2016 as an adjunct to diet and exercise, in combination with metformin, to improve glycaemic control in adults with type 2 diabetes mellitus when treatment with both saxagliptin and dapagliflozin is appropriate.</w:t>
      </w:r>
    </w:p>
    <w:p w:rsidR="00137F8D" w:rsidRPr="00C255BE" w:rsidRDefault="00674AAE" w:rsidP="00E86CAA">
      <w:pPr>
        <w:pStyle w:val="ESnumberedpara"/>
        <w:numPr>
          <w:ilvl w:val="1"/>
          <w:numId w:val="1"/>
        </w:numPr>
        <w:rPr>
          <w:rFonts w:asciiTheme="minorHAnsi" w:hAnsiTheme="minorHAnsi"/>
          <w:sz w:val="24"/>
        </w:rPr>
      </w:pPr>
      <w:r w:rsidRPr="00C255BE">
        <w:rPr>
          <w:rFonts w:asciiTheme="minorHAnsi" w:hAnsiTheme="minorHAnsi"/>
          <w:sz w:val="24"/>
        </w:rPr>
        <w:t>Dapagliflozin</w:t>
      </w:r>
      <w:r w:rsidR="00AE090B" w:rsidRPr="00C255BE">
        <w:rPr>
          <w:rFonts w:asciiTheme="minorHAnsi" w:hAnsiTheme="minorHAnsi"/>
          <w:sz w:val="24"/>
        </w:rPr>
        <w:t>/</w:t>
      </w:r>
      <w:r w:rsidRPr="00C255BE">
        <w:rPr>
          <w:rFonts w:asciiTheme="minorHAnsi" w:hAnsiTheme="minorHAnsi"/>
          <w:sz w:val="24"/>
        </w:rPr>
        <w:t>saxagliptin FDC has not been previously considered by the PBAC.</w:t>
      </w:r>
      <w:r w:rsidR="002F5CB2" w:rsidRPr="00C255BE">
        <w:rPr>
          <w:rFonts w:asciiTheme="minorHAnsi" w:hAnsiTheme="minorHAnsi"/>
          <w:sz w:val="24"/>
        </w:rPr>
        <w:t xml:space="preserve"> Treatment regimens including both a SGLT2 inhibitor and a DPP4 inhibitor are not permitted under current PBS restrictions.</w:t>
      </w:r>
    </w:p>
    <w:p w:rsidR="00DC373B" w:rsidRPr="00C255BE" w:rsidRDefault="00DC373B" w:rsidP="00E86CAA">
      <w:pPr>
        <w:pStyle w:val="ESnumberedpara"/>
        <w:numPr>
          <w:ilvl w:val="1"/>
          <w:numId w:val="1"/>
        </w:numPr>
        <w:rPr>
          <w:rFonts w:asciiTheme="minorHAnsi" w:hAnsiTheme="minorHAnsi"/>
          <w:sz w:val="24"/>
        </w:rPr>
      </w:pPr>
      <w:r w:rsidRPr="00C255BE">
        <w:rPr>
          <w:rFonts w:asciiTheme="minorHAnsi" w:hAnsiTheme="minorHAnsi"/>
          <w:sz w:val="24"/>
        </w:rPr>
        <w:t>Three concurrent submissions for dapagliflozin in type 2 diabetes were presented for consideration at the July 2017 PBAC meeting:</w:t>
      </w:r>
    </w:p>
    <w:p w:rsidR="00DC373B" w:rsidRPr="00C255BE" w:rsidRDefault="00DC373B" w:rsidP="00150DC4">
      <w:pPr>
        <w:pStyle w:val="ESnumberedparablue"/>
        <w:ind w:left="720"/>
        <w:rPr>
          <w:rFonts w:asciiTheme="minorHAnsi" w:hAnsiTheme="minorHAnsi"/>
          <w:color w:val="auto"/>
          <w:sz w:val="24"/>
        </w:rPr>
      </w:pPr>
      <w:r w:rsidRPr="00C255BE">
        <w:rPr>
          <w:rFonts w:asciiTheme="minorHAnsi" w:hAnsiTheme="minorHAnsi"/>
          <w:color w:val="auto"/>
          <w:sz w:val="24"/>
        </w:rPr>
        <w:t>- Dapagliflozin add-on to metformin and a DPP4 inhibitor;</w:t>
      </w:r>
    </w:p>
    <w:p w:rsidR="00DC373B" w:rsidRPr="00C255BE" w:rsidRDefault="00DC373B" w:rsidP="00150DC4">
      <w:pPr>
        <w:pStyle w:val="ESnumberedparablue"/>
        <w:ind w:left="720"/>
        <w:rPr>
          <w:rFonts w:asciiTheme="minorHAnsi" w:hAnsiTheme="minorHAnsi"/>
          <w:color w:val="auto"/>
          <w:sz w:val="24"/>
        </w:rPr>
      </w:pPr>
      <w:r w:rsidRPr="00C255BE">
        <w:rPr>
          <w:rFonts w:asciiTheme="minorHAnsi" w:hAnsiTheme="minorHAnsi"/>
          <w:color w:val="auto"/>
          <w:sz w:val="24"/>
        </w:rPr>
        <w:t>- Dapagliflozin</w:t>
      </w:r>
      <w:r w:rsidR="00AE090B" w:rsidRPr="00C255BE">
        <w:rPr>
          <w:rFonts w:asciiTheme="minorHAnsi" w:hAnsiTheme="minorHAnsi"/>
          <w:color w:val="auto"/>
          <w:sz w:val="24"/>
        </w:rPr>
        <w:t>/</w:t>
      </w:r>
      <w:r w:rsidRPr="00C255BE">
        <w:rPr>
          <w:rFonts w:asciiTheme="minorHAnsi" w:hAnsiTheme="minorHAnsi"/>
          <w:color w:val="auto"/>
          <w:sz w:val="24"/>
        </w:rPr>
        <w:t>saxagliptin FDC (this submission); and</w:t>
      </w:r>
    </w:p>
    <w:p w:rsidR="00137F8D" w:rsidRDefault="00DC373B" w:rsidP="00150DC4">
      <w:pPr>
        <w:pStyle w:val="ESnumberedparablue"/>
        <w:ind w:left="720"/>
        <w:rPr>
          <w:rFonts w:asciiTheme="minorHAnsi" w:hAnsiTheme="minorHAnsi"/>
          <w:color w:val="auto"/>
          <w:sz w:val="24"/>
        </w:rPr>
      </w:pPr>
      <w:r w:rsidRPr="00C255BE">
        <w:rPr>
          <w:rFonts w:asciiTheme="minorHAnsi" w:hAnsiTheme="minorHAnsi"/>
          <w:color w:val="auto"/>
          <w:sz w:val="24"/>
        </w:rPr>
        <w:t>- Dapagliflozin</w:t>
      </w:r>
      <w:r w:rsidR="00AE090B" w:rsidRPr="00C255BE">
        <w:rPr>
          <w:rFonts w:asciiTheme="minorHAnsi" w:hAnsiTheme="minorHAnsi"/>
          <w:color w:val="auto"/>
          <w:sz w:val="24"/>
        </w:rPr>
        <w:t>/</w:t>
      </w:r>
      <w:r w:rsidRPr="00C255BE">
        <w:rPr>
          <w:rFonts w:asciiTheme="minorHAnsi" w:hAnsiTheme="minorHAnsi"/>
          <w:color w:val="auto"/>
          <w:sz w:val="24"/>
        </w:rPr>
        <w:t>metformin XR FDC (minor submission).</w:t>
      </w:r>
    </w:p>
    <w:p w:rsidR="00EB3F99" w:rsidRPr="00C255BE" w:rsidRDefault="00EB3F99" w:rsidP="00EB3F99">
      <w:pPr>
        <w:pStyle w:val="ESnumberedparablue"/>
        <w:rPr>
          <w:rFonts w:asciiTheme="minorHAnsi" w:hAnsiTheme="minorHAnsi"/>
          <w:color w:val="auto"/>
          <w:sz w:val="24"/>
        </w:rPr>
      </w:pPr>
    </w:p>
    <w:p w:rsidR="00137F8D" w:rsidRDefault="00137F8D" w:rsidP="00E06258">
      <w:pPr>
        <w:pStyle w:val="PBACHeading1"/>
        <w:keepNext/>
        <w:numPr>
          <w:ilvl w:val="0"/>
          <w:numId w:val="1"/>
        </w:numPr>
        <w:outlineLvl w:val="0"/>
        <w:rPr>
          <w:rFonts w:asciiTheme="minorHAnsi" w:hAnsiTheme="minorHAnsi"/>
          <w:sz w:val="32"/>
          <w:szCs w:val="32"/>
        </w:rPr>
      </w:pPr>
      <w:bookmarkStart w:id="9" w:name="_Toc476306884"/>
      <w:bookmarkStart w:id="10" w:name="_Toc482700151"/>
      <w:r w:rsidRPr="007A515C">
        <w:rPr>
          <w:rFonts w:asciiTheme="minorHAnsi" w:hAnsiTheme="minorHAnsi"/>
          <w:sz w:val="32"/>
          <w:szCs w:val="32"/>
        </w:rPr>
        <w:t>Population and disease</w:t>
      </w:r>
      <w:bookmarkEnd w:id="9"/>
      <w:bookmarkEnd w:id="10"/>
    </w:p>
    <w:p w:rsidR="005303C5" w:rsidRPr="005303C5" w:rsidRDefault="005303C5" w:rsidP="0040066E">
      <w:pPr>
        <w:pStyle w:val="PBACHeading1"/>
        <w:keepNext/>
        <w:rPr>
          <w:rFonts w:asciiTheme="minorHAnsi" w:hAnsiTheme="minorHAnsi"/>
          <w:sz w:val="24"/>
          <w:szCs w:val="24"/>
        </w:rPr>
      </w:pPr>
    </w:p>
    <w:p w:rsidR="005C6630" w:rsidRPr="00C255BE" w:rsidRDefault="005C6630" w:rsidP="00E06258">
      <w:pPr>
        <w:pStyle w:val="ESnumberedpara"/>
        <w:keepNext/>
        <w:numPr>
          <w:ilvl w:val="1"/>
          <w:numId w:val="1"/>
        </w:numPr>
        <w:rPr>
          <w:rFonts w:asciiTheme="minorHAnsi" w:hAnsiTheme="minorHAnsi"/>
          <w:sz w:val="24"/>
        </w:rPr>
      </w:pPr>
      <w:r w:rsidRPr="00C255BE">
        <w:rPr>
          <w:rFonts w:asciiTheme="minorHAnsi" w:hAnsiTheme="minorHAnsi"/>
          <w:sz w:val="24"/>
        </w:rPr>
        <w:t xml:space="preserve">Adults with type 2 diabetes </w:t>
      </w:r>
      <w:r w:rsidR="00E20FF3">
        <w:rPr>
          <w:rFonts w:asciiTheme="minorHAnsi" w:hAnsiTheme="minorHAnsi"/>
          <w:sz w:val="24"/>
        </w:rPr>
        <w:t xml:space="preserve">in combination with metformin </w:t>
      </w:r>
      <w:r w:rsidRPr="00C255BE">
        <w:rPr>
          <w:rFonts w:asciiTheme="minorHAnsi" w:hAnsiTheme="minorHAnsi"/>
          <w:sz w:val="24"/>
        </w:rPr>
        <w:t xml:space="preserve">who do not achieve glycaemic control on a dual therapy of metformin and any DPP4 inhibitor. </w:t>
      </w:r>
    </w:p>
    <w:p w:rsidR="00137F8D" w:rsidRDefault="005E5BB2" w:rsidP="00E86CAA">
      <w:pPr>
        <w:pStyle w:val="ESnumberedpara"/>
        <w:numPr>
          <w:ilvl w:val="1"/>
          <w:numId w:val="1"/>
        </w:numPr>
        <w:rPr>
          <w:rFonts w:asciiTheme="minorHAnsi" w:hAnsiTheme="minorHAnsi"/>
          <w:sz w:val="24"/>
        </w:rPr>
      </w:pPr>
      <w:r w:rsidRPr="00C255BE">
        <w:rPr>
          <w:rFonts w:asciiTheme="minorHAnsi" w:hAnsiTheme="minorHAnsi"/>
          <w:sz w:val="24"/>
        </w:rPr>
        <w:t xml:space="preserve">The submission </w:t>
      </w:r>
      <w:r w:rsidR="009D3038" w:rsidRPr="00C255BE">
        <w:rPr>
          <w:rFonts w:asciiTheme="minorHAnsi" w:hAnsiTheme="minorHAnsi"/>
          <w:sz w:val="24"/>
        </w:rPr>
        <w:t xml:space="preserve">positioned </w:t>
      </w:r>
      <w:r w:rsidRPr="00C255BE">
        <w:rPr>
          <w:rFonts w:asciiTheme="minorHAnsi" w:hAnsiTheme="minorHAnsi"/>
          <w:sz w:val="24"/>
        </w:rPr>
        <w:t>dapagliflozin/saxagliptin FDC as a third-line treatment option for patients whose type 2 diabetes remains uncontrolled despite treatment with metformin and a DPP4 inhibitor.</w:t>
      </w:r>
    </w:p>
    <w:p w:rsidR="00EB3F99" w:rsidRPr="00E06258" w:rsidRDefault="00EB3F99" w:rsidP="00F935A0">
      <w:pPr>
        <w:ind w:firstLine="720"/>
        <w:rPr>
          <w:rFonts w:asciiTheme="minorHAnsi" w:hAnsiTheme="minorHAnsi"/>
          <w:i/>
          <w:sz w:val="24"/>
          <w:szCs w:val="24"/>
        </w:rPr>
      </w:pPr>
      <w:r w:rsidRPr="00E06258">
        <w:rPr>
          <w:rFonts w:asciiTheme="minorHAnsi" w:hAnsiTheme="minorHAnsi"/>
          <w:i/>
          <w:sz w:val="24"/>
          <w:szCs w:val="24"/>
        </w:rPr>
        <w:t>For more detail on PBAC’s view, see section 7 “PBAC outcome.”</w:t>
      </w:r>
    </w:p>
    <w:p w:rsidR="00A0510D" w:rsidRPr="00EB3F99" w:rsidRDefault="00A0510D" w:rsidP="00EB3F99">
      <w:pPr>
        <w:pStyle w:val="ListParagraph"/>
        <w:rPr>
          <w:rFonts w:asciiTheme="minorHAnsi" w:hAnsiTheme="minorHAnsi"/>
          <w:i/>
          <w:sz w:val="24"/>
          <w:szCs w:val="24"/>
        </w:rPr>
      </w:pPr>
    </w:p>
    <w:p w:rsidR="00137F8D" w:rsidRDefault="00137F8D" w:rsidP="007A515C">
      <w:pPr>
        <w:pStyle w:val="PBACHeading1"/>
        <w:numPr>
          <w:ilvl w:val="0"/>
          <w:numId w:val="1"/>
        </w:numPr>
        <w:outlineLvl w:val="0"/>
        <w:rPr>
          <w:rFonts w:asciiTheme="minorHAnsi" w:hAnsiTheme="minorHAnsi"/>
          <w:sz w:val="32"/>
          <w:szCs w:val="32"/>
        </w:rPr>
      </w:pPr>
      <w:bookmarkStart w:id="11" w:name="_Toc413139275"/>
      <w:bookmarkStart w:id="12" w:name="_Toc476306885"/>
      <w:bookmarkStart w:id="13" w:name="_Toc482700152"/>
      <w:r w:rsidRPr="007A515C">
        <w:rPr>
          <w:rFonts w:asciiTheme="minorHAnsi" w:hAnsiTheme="minorHAnsi"/>
          <w:sz w:val="32"/>
          <w:szCs w:val="32"/>
        </w:rPr>
        <w:t>Comparator</w:t>
      </w:r>
      <w:bookmarkEnd w:id="11"/>
      <w:bookmarkEnd w:id="12"/>
      <w:bookmarkEnd w:id="13"/>
    </w:p>
    <w:p w:rsidR="005303C5" w:rsidRPr="005303C5" w:rsidRDefault="005303C5" w:rsidP="0040066E">
      <w:pPr>
        <w:pStyle w:val="PBACHeading1"/>
        <w:rPr>
          <w:rFonts w:asciiTheme="minorHAnsi" w:hAnsiTheme="minorHAnsi"/>
          <w:sz w:val="24"/>
          <w:szCs w:val="24"/>
        </w:rPr>
      </w:pPr>
    </w:p>
    <w:p w:rsidR="00137F8D" w:rsidRPr="00C255BE" w:rsidRDefault="009D3038" w:rsidP="00E86CAA">
      <w:pPr>
        <w:pStyle w:val="ESnumberedpara"/>
        <w:numPr>
          <w:ilvl w:val="1"/>
          <w:numId w:val="1"/>
        </w:numPr>
        <w:rPr>
          <w:rFonts w:asciiTheme="minorHAnsi" w:hAnsiTheme="minorHAnsi"/>
          <w:sz w:val="24"/>
        </w:rPr>
      </w:pPr>
      <w:r w:rsidRPr="00C255BE">
        <w:rPr>
          <w:rFonts w:asciiTheme="minorHAnsi" w:hAnsiTheme="minorHAnsi"/>
          <w:sz w:val="24"/>
        </w:rPr>
        <w:t>The submission nominated c</w:t>
      </w:r>
      <w:r w:rsidR="005E5BB2" w:rsidRPr="00C255BE">
        <w:rPr>
          <w:rFonts w:asciiTheme="minorHAnsi" w:hAnsiTheme="minorHAnsi"/>
          <w:sz w:val="24"/>
        </w:rPr>
        <w:t xml:space="preserve">orresponding doses of </w:t>
      </w:r>
      <w:r w:rsidRPr="00C255BE">
        <w:rPr>
          <w:rFonts w:asciiTheme="minorHAnsi" w:hAnsiTheme="minorHAnsi"/>
          <w:sz w:val="24"/>
        </w:rPr>
        <w:t xml:space="preserve">the </w:t>
      </w:r>
      <w:r w:rsidR="005E5BB2" w:rsidRPr="00C255BE">
        <w:rPr>
          <w:rFonts w:asciiTheme="minorHAnsi" w:hAnsiTheme="minorHAnsi"/>
          <w:sz w:val="24"/>
        </w:rPr>
        <w:t xml:space="preserve">individual components of dapagliflozin and saxagliptin. </w:t>
      </w:r>
      <w:r w:rsidR="007F399F">
        <w:rPr>
          <w:rFonts w:asciiTheme="minorHAnsi" w:hAnsiTheme="minorHAnsi"/>
          <w:sz w:val="24"/>
        </w:rPr>
        <w:t>The PBAC considered that t</w:t>
      </w:r>
      <w:r w:rsidR="00137F8D" w:rsidRPr="00C255BE">
        <w:rPr>
          <w:rFonts w:asciiTheme="minorHAnsi" w:hAnsiTheme="minorHAnsi"/>
          <w:sz w:val="24"/>
        </w:rPr>
        <w:t xml:space="preserve">his </w:t>
      </w:r>
      <w:r w:rsidR="007F399F">
        <w:rPr>
          <w:rFonts w:asciiTheme="minorHAnsi" w:hAnsiTheme="minorHAnsi"/>
          <w:sz w:val="24"/>
        </w:rPr>
        <w:t>was</w:t>
      </w:r>
      <w:r w:rsidR="00137F8D" w:rsidRPr="00C255BE">
        <w:rPr>
          <w:rFonts w:asciiTheme="minorHAnsi" w:hAnsiTheme="minorHAnsi"/>
          <w:sz w:val="24"/>
        </w:rPr>
        <w:t xml:space="preserve"> </w:t>
      </w:r>
      <w:r w:rsidR="00497370" w:rsidRPr="00C255BE">
        <w:rPr>
          <w:rFonts w:asciiTheme="minorHAnsi" w:hAnsiTheme="minorHAnsi"/>
          <w:sz w:val="24"/>
        </w:rPr>
        <w:t>an</w:t>
      </w:r>
      <w:r w:rsidR="00137F8D" w:rsidRPr="00C255BE">
        <w:rPr>
          <w:rFonts w:asciiTheme="minorHAnsi" w:hAnsiTheme="minorHAnsi"/>
          <w:sz w:val="24"/>
        </w:rPr>
        <w:t xml:space="preserve"> appropriate comparator.</w:t>
      </w:r>
      <w:r w:rsidR="00D56A23" w:rsidRPr="00C255BE">
        <w:rPr>
          <w:rFonts w:asciiTheme="minorHAnsi" w:hAnsiTheme="minorHAnsi"/>
          <w:sz w:val="24"/>
        </w:rPr>
        <w:t xml:space="preserve"> </w:t>
      </w:r>
      <w:r w:rsidR="00D56A23" w:rsidRPr="00E06258">
        <w:rPr>
          <w:rFonts w:asciiTheme="minorHAnsi" w:hAnsiTheme="minorHAnsi"/>
          <w:sz w:val="24"/>
        </w:rPr>
        <w:t xml:space="preserve">However, the use of dapagliflozin and a DPP4 inhibitor in combination with metformin has not </w:t>
      </w:r>
      <w:r w:rsidR="00E06258" w:rsidRPr="00E06258">
        <w:rPr>
          <w:rFonts w:asciiTheme="minorHAnsi" w:hAnsiTheme="minorHAnsi"/>
          <w:sz w:val="24"/>
        </w:rPr>
        <w:t xml:space="preserve">yet </w:t>
      </w:r>
      <w:r w:rsidR="00D56A23" w:rsidRPr="00E06258">
        <w:rPr>
          <w:rFonts w:asciiTheme="minorHAnsi" w:hAnsiTheme="minorHAnsi"/>
          <w:sz w:val="24"/>
        </w:rPr>
        <w:t>been recommended for listing on the PBS</w:t>
      </w:r>
      <w:r w:rsidR="00E06258" w:rsidRPr="00E06258">
        <w:rPr>
          <w:rFonts w:asciiTheme="minorHAnsi" w:hAnsiTheme="minorHAnsi"/>
          <w:sz w:val="24"/>
        </w:rPr>
        <w:t>. The PBAC noted that it deferred the submission to</w:t>
      </w:r>
      <w:r w:rsidR="007F399F" w:rsidRPr="00E06258">
        <w:rPr>
          <w:rFonts w:asciiTheme="minorHAnsi" w:hAnsiTheme="minorHAnsi"/>
          <w:sz w:val="24"/>
        </w:rPr>
        <w:t xml:space="preserve"> the July 2017 meeting</w:t>
      </w:r>
      <w:r w:rsidR="00E06258" w:rsidRPr="00E06258">
        <w:rPr>
          <w:rFonts w:asciiTheme="minorHAnsi" w:hAnsiTheme="minorHAnsi"/>
          <w:sz w:val="24"/>
        </w:rPr>
        <w:t xml:space="preserve"> requesting the l</w:t>
      </w:r>
      <w:r w:rsidR="00F935A0">
        <w:rPr>
          <w:rFonts w:asciiTheme="minorHAnsi" w:hAnsiTheme="minorHAnsi"/>
          <w:sz w:val="24"/>
        </w:rPr>
        <w:t>i</w:t>
      </w:r>
      <w:r w:rsidR="00E06258" w:rsidRPr="00E06258">
        <w:rPr>
          <w:rFonts w:asciiTheme="minorHAnsi" w:hAnsiTheme="minorHAnsi"/>
          <w:sz w:val="24"/>
        </w:rPr>
        <w:t>sting of dapagliflozin for use in triple oral therapy in combination with a DPP4 inhibitor and metformin</w:t>
      </w:r>
      <w:r w:rsidR="00E20FF3" w:rsidRPr="00E20FF3">
        <w:rPr>
          <w:rFonts w:asciiTheme="minorHAnsi" w:hAnsiTheme="minorHAnsi"/>
          <w:sz w:val="24"/>
        </w:rPr>
        <w:t xml:space="preserve"> </w:t>
      </w:r>
      <w:r w:rsidR="00E20FF3" w:rsidRPr="00E06258">
        <w:rPr>
          <w:rFonts w:asciiTheme="minorHAnsi" w:hAnsiTheme="minorHAnsi"/>
          <w:sz w:val="24"/>
        </w:rPr>
        <w:t xml:space="preserve">and therefore cost-effectiveness of use in this setting </w:t>
      </w:r>
      <w:r w:rsidR="00E20FF3">
        <w:rPr>
          <w:rFonts w:asciiTheme="minorHAnsi" w:hAnsiTheme="minorHAnsi"/>
          <w:sz w:val="24"/>
        </w:rPr>
        <w:t>has not been established</w:t>
      </w:r>
      <w:r w:rsidR="007F399F" w:rsidRPr="00E06258">
        <w:rPr>
          <w:rFonts w:asciiTheme="minorHAnsi" w:hAnsiTheme="minorHAnsi"/>
          <w:sz w:val="24"/>
        </w:rPr>
        <w:t xml:space="preserve"> (item 6.01 refers)</w:t>
      </w:r>
      <w:r w:rsidR="00D56A23" w:rsidRPr="00E06258">
        <w:rPr>
          <w:rFonts w:asciiTheme="minorHAnsi" w:hAnsiTheme="minorHAnsi"/>
          <w:sz w:val="24"/>
        </w:rPr>
        <w:t>.</w:t>
      </w:r>
    </w:p>
    <w:p w:rsidR="006701F1" w:rsidRPr="002E1332" w:rsidRDefault="006701F1" w:rsidP="00E86CAA">
      <w:pPr>
        <w:pStyle w:val="ESnumberedpara"/>
        <w:numPr>
          <w:ilvl w:val="1"/>
          <w:numId w:val="1"/>
        </w:numPr>
        <w:rPr>
          <w:rFonts w:asciiTheme="minorHAnsi" w:hAnsiTheme="minorHAnsi"/>
          <w:sz w:val="24"/>
        </w:rPr>
      </w:pPr>
      <w:r w:rsidRPr="002E1332">
        <w:rPr>
          <w:rFonts w:asciiTheme="minorHAnsi" w:hAnsiTheme="minorHAnsi"/>
          <w:sz w:val="24"/>
        </w:rPr>
        <w:t xml:space="preserve">The submission argued that the dapagliflozin/saxagliptin FDC is unlikely to replace a metformin/DPP4 inhibitor FDC due to the complexity of transitioning a patient from one FDC to another. </w:t>
      </w:r>
      <w:r w:rsidR="009D3038" w:rsidRPr="002E1332">
        <w:rPr>
          <w:rFonts w:asciiTheme="minorHAnsi" w:hAnsiTheme="minorHAnsi"/>
          <w:sz w:val="24"/>
        </w:rPr>
        <w:t>However, t</w:t>
      </w:r>
      <w:r w:rsidRPr="002E1332">
        <w:rPr>
          <w:rFonts w:asciiTheme="minorHAnsi" w:hAnsiTheme="minorHAnsi"/>
          <w:sz w:val="24"/>
        </w:rPr>
        <w:t xml:space="preserve">here </w:t>
      </w:r>
      <w:r w:rsidR="004E7FF8" w:rsidRPr="002E1332">
        <w:rPr>
          <w:rFonts w:asciiTheme="minorHAnsi" w:hAnsiTheme="minorHAnsi"/>
          <w:sz w:val="24"/>
        </w:rPr>
        <w:t>is a potential financial advantage for General beneficiary patients to move from an FDC containing metformin to dapagliflozin/saxagliptin FDC (individually priced above the General patient copayment).</w:t>
      </w:r>
    </w:p>
    <w:p w:rsidR="00962092" w:rsidRPr="002E1332" w:rsidRDefault="00962092" w:rsidP="00E86CAA">
      <w:pPr>
        <w:pStyle w:val="ESnumberedpara"/>
        <w:numPr>
          <w:ilvl w:val="1"/>
          <w:numId w:val="1"/>
        </w:numPr>
        <w:rPr>
          <w:rFonts w:asciiTheme="minorHAnsi" w:hAnsiTheme="minorHAnsi"/>
          <w:sz w:val="24"/>
        </w:rPr>
      </w:pPr>
      <w:r w:rsidRPr="002E1332">
        <w:rPr>
          <w:rFonts w:asciiTheme="minorHAnsi" w:hAnsiTheme="minorHAnsi"/>
          <w:sz w:val="24"/>
        </w:rPr>
        <w:t xml:space="preserve">The Pre-Sub-Committee </w:t>
      </w:r>
      <w:r w:rsidR="007A1248" w:rsidRPr="002E1332">
        <w:rPr>
          <w:rFonts w:asciiTheme="minorHAnsi" w:hAnsiTheme="minorHAnsi"/>
          <w:sz w:val="24"/>
        </w:rPr>
        <w:t>R</w:t>
      </w:r>
      <w:r w:rsidRPr="002E1332">
        <w:rPr>
          <w:rFonts w:asciiTheme="minorHAnsi" w:hAnsiTheme="minorHAnsi"/>
          <w:sz w:val="24"/>
        </w:rPr>
        <w:t xml:space="preserve">esponse (PSCR, p1) maintained the view that patients taking an existing fixed dose combination of metformin and a DPP4 inhibitor would not transition to a dapagliflozin/saxaglitpin FDC as it would </w:t>
      </w:r>
      <w:r w:rsidR="00BF0D23" w:rsidRPr="002E1332">
        <w:rPr>
          <w:rFonts w:asciiTheme="minorHAnsi" w:hAnsiTheme="minorHAnsi"/>
          <w:sz w:val="24"/>
        </w:rPr>
        <w:t>involve</w:t>
      </w:r>
      <w:r w:rsidRPr="002E1332">
        <w:rPr>
          <w:rFonts w:asciiTheme="minorHAnsi" w:hAnsiTheme="minorHAnsi"/>
          <w:sz w:val="24"/>
        </w:rPr>
        <w:t xml:space="preserve"> stopping the original FDC, starting metformin mon</w:t>
      </w:r>
      <w:r w:rsidR="007A1248" w:rsidRPr="002E1332">
        <w:rPr>
          <w:rFonts w:asciiTheme="minorHAnsi" w:hAnsiTheme="minorHAnsi"/>
          <w:sz w:val="24"/>
        </w:rPr>
        <w:t>o</w:t>
      </w:r>
      <w:r w:rsidRPr="002E1332">
        <w:rPr>
          <w:rFonts w:asciiTheme="minorHAnsi" w:hAnsiTheme="minorHAnsi"/>
          <w:sz w:val="24"/>
        </w:rPr>
        <w:t xml:space="preserve">therapy and adding the new FDC, and that this would be a complex transition which would limit its uptake. </w:t>
      </w:r>
    </w:p>
    <w:p w:rsidR="00287432" w:rsidRDefault="00287432" w:rsidP="00E86CAA">
      <w:pPr>
        <w:pStyle w:val="ESnumberedpara"/>
        <w:numPr>
          <w:ilvl w:val="1"/>
          <w:numId w:val="1"/>
        </w:numPr>
        <w:rPr>
          <w:rFonts w:asciiTheme="minorHAnsi" w:hAnsiTheme="minorHAnsi"/>
          <w:sz w:val="24"/>
        </w:rPr>
      </w:pPr>
      <w:r w:rsidRPr="002E1332">
        <w:rPr>
          <w:rFonts w:asciiTheme="minorHAnsi" w:hAnsiTheme="minorHAnsi"/>
          <w:sz w:val="24"/>
        </w:rPr>
        <w:t xml:space="preserve">The </w:t>
      </w:r>
      <w:r w:rsidR="005747DD">
        <w:rPr>
          <w:rFonts w:asciiTheme="minorHAnsi" w:hAnsiTheme="minorHAnsi"/>
          <w:sz w:val="24"/>
        </w:rPr>
        <w:t xml:space="preserve">PBAC </w:t>
      </w:r>
      <w:r w:rsidRPr="002E1332">
        <w:rPr>
          <w:rFonts w:asciiTheme="minorHAnsi" w:hAnsiTheme="minorHAnsi"/>
          <w:sz w:val="24"/>
        </w:rPr>
        <w:t xml:space="preserve">disagreed with the </w:t>
      </w:r>
      <w:r w:rsidR="005F41F6" w:rsidRPr="002E1332">
        <w:rPr>
          <w:rFonts w:asciiTheme="minorHAnsi" w:hAnsiTheme="minorHAnsi"/>
          <w:sz w:val="24"/>
        </w:rPr>
        <w:t xml:space="preserve">sponsor’s </w:t>
      </w:r>
      <w:r w:rsidR="007A1248" w:rsidRPr="002E1332">
        <w:rPr>
          <w:rFonts w:asciiTheme="minorHAnsi" w:hAnsiTheme="minorHAnsi"/>
          <w:sz w:val="24"/>
        </w:rPr>
        <w:t>claim, because dapagliflozin and saxagliptin are fixed doses, whereas metformin needs to be titrated</w:t>
      </w:r>
      <w:r w:rsidR="00137871" w:rsidRPr="002E1332">
        <w:rPr>
          <w:rFonts w:asciiTheme="minorHAnsi" w:hAnsiTheme="minorHAnsi"/>
          <w:sz w:val="24"/>
        </w:rPr>
        <w:t>.</w:t>
      </w:r>
      <w:r w:rsidR="005F41F6" w:rsidRPr="002E1332">
        <w:rPr>
          <w:rFonts w:asciiTheme="minorHAnsi" w:hAnsiTheme="minorHAnsi"/>
          <w:sz w:val="24"/>
        </w:rPr>
        <w:t xml:space="preserve"> </w:t>
      </w:r>
      <w:r w:rsidR="00962092" w:rsidRPr="002E1332">
        <w:rPr>
          <w:rFonts w:asciiTheme="minorHAnsi" w:hAnsiTheme="minorHAnsi"/>
          <w:sz w:val="24"/>
        </w:rPr>
        <w:t>The</w:t>
      </w:r>
      <w:r w:rsidR="005747DD">
        <w:rPr>
          <w:rFonts w:asciiTheme="minorHAnsi" w:hAnsiTheme="minorHAnsi"/>
          <w:sz w:val="24"/>
        </w:rPr>
        <w:t xml:space="preserve"> PBAC </w:t>
      </w:r>
      <w:r w:rsidR="00F935A0">
        <w:rPr>
          <w:rFonts w:asciiTheme="minorHAnsi" w:hAnsiTheme="minorHAnsi"/>
          <w:sz w:val="24"/>
        </w:rPr>
        <w:t>noted ESC’s advice</w:t>
      </w:r>
      <w:r w:rsidR="005747DD">
        <w:rPr>
          <w:rFonts w:asciiTheme="minorHAnsi" w:hAnsiTheme="minorHAnsi"/>
          <w:sz w:val="24"/>
        </w:rPr>
        <w:t xml:space="preserve"> </w:t>
      </w:r>
      <w:r w:rsidR="00962092" w:rsidRPr="002E1332">
        <w:rPr>
          <w:rFonts w:asciiTheme="minorHAnsi" w:hAnsiTheme="minorHAnsi"/>
          <w:sz w:val="24"/>
        </w:rPr>
        <w:t xml:space="preserve">that </w:t>
      </w:r>
      <w:r w:rsidR="00D017E1" w:rsidRPr="002E1332">
        <w:rPr>
          <w:rFonts w:asciiTheme="minorHAnsi" w:hAnsiTheme="minorHAnsi"/>
          <w:sz w:val="24"/>
        </w:rPr>
        <w:t>titrating metformin can be difficult</w:t>
      </w:r>
      <w:r w:rsidR="00F935A0">
        <w:rPr>
          <w:rFonts w:asciiTheme="minorHAnsi" w:hAnsiTheme="minorHAnsi"/>
          <w:sz w:val="24"/>
        </w:rPr>
        <w:t xml:space="preserve">. Further, </w:t>
      </w:r>
      <w:r w:rsidR="0062768A">
        <w:rPr>
          <w:rFonts w:asciiTheme="minorHAnsi" w:hAnsiTheme="minorHAnsi"/>
          <w:sz w:val="24"/>
        </w:rPr>
        <w:t>t</w:t>
      </w:r>
      <w:r w:rsidR="005F41F6" w:rsidRPr="002E1332">
        <w:rPr>
          <w:rFonts w:asciiTheme="minorHAnsi" w:hAnsiTheme="minorHAnsi"/>
          <w:sz w:val="24"/>
        </w:rPr>
        <w:t xml:space="preserve">he ESC </w:t>
      </w:r>
      <w:r w:rsidR="00862B66" w:rsidRPr="002E1332">
        <w:rPr>
          <w:rFonts w:asciiTheme="minorHAnsi" w:hAnsiTheme="minorHAnsi"/>
          <w:sz w:val="24"/>
        </w:rPr>
        <w:t>advised</w:t>
      </w:r>
      <w:r w:rsidR="005F41F6" w:rsidRPr="002E1332">
        <w:rPr>
          <w:rFonts w:asciiTheme="minorHAnsi" w:hAnsiTheme="minorHAnsi"/>
          <w:sz w:val="24"/>
        </w:rPr>
        <w:t xml:space="preserve"> that</w:t>
      </w:r>
      <w:r w:rsidR="003021D7" w:rsidRPr="002E1332">
        <w:rPr>
          <w:rFonts w:asciiTheme="minorHAnsi" w:hAnsiTheme="minorHAnsi"/>
          <w:sz w:val="24"/>
        </w:rPr>
        <w:t xml:space="preserve"> use of</w:t>
      </w:r>
      <w:r w:rsidR="005F41F6" w:rsidRPr="002E1332">
        <w:rPr>
          <w:rFonts w:asciiTheme="minorHAnsi" w:hAnsiTheme="minorHAnsi"/>
          <w:sz w:val="24"/>
        </w:rPr>
        <w:t xml:space="preserve"> the dapagliflozin/saxagliptin FDC</w:t>
      </w:r>
      <w:r w:rsidR="003021D7" w:rsidRPr="002E1332">
        <w:rPr>
          <w:rFonts w:asciiTheme="minorHAnsi" w:hAnsiTheme="minorHAnsi"/>
          <w:sz w:val="24"/>
        </w:rPr>
        <w:t xml:space="preserve"> rather than the metformin FDCs</w:t>
      </w:r>
      <w:r w:rsidR="005F41F6" w:rsidRPr="002E1332">
        <w:rPr>
          <w:rFonts w:asciiTheme="minorHAnsi" w:hAnsiTheme="minorHAnsi"/>
          <w:sz w:val="24"/>
        </w:rPr>
        <w:t xml:space="preserve"> </w:t>
      </w:r>
      <w:r w:rsidR="005F41F6" w:rsidRPr="00E86CAA">
        <w:rPr>
          <w:rFonts w:asciiTheme="minorHAnsi" w:hAnsiTheme="minorHAnsi"/>
          <w:sz w:val="24"/>
        </w:rPr>
        <w:t>would potentially allow greater flexibility in metformin titration</w:t>
      </w:r>
      <w:r w:rsidR="006D7538" w:rsidRPr="00E86CAA">
        <w:rPr>
          <w:rFonts w:asciiTheme="minorHAnsi" w:hAnsiTheme="minorHAnsi"/>
          <w:sz w:val="24"/>
        </w:rPr>
        <w:t xml:space="preserve">, which is often </w:t>
      </w:r>
      <w:r w:rsidR="002B01F8" w:rsidRPr="00E86CAA">
        <w:rPr>
          <w:rFonts w:asciiTheme="minorHAnsi" w:hAnsiTheme="minorHAnsi"/>
          <w:sz w:val="24"/>
        </w:rPr>
        <w:t>difficult</w:t>
      </w:r>
      <w:r w:rsidR="006D7538" w:rsidRPr="00E86CAA">
        <w:rPr>
          <w:rFonts w:asciiTheme="minorHAnsi" w:hAnsiTheme="minorHAnsi"/>
          <w:sz w:val="24"/>
        </w:rPr>
        <w:t xml:space="preserve"> </w:t>
      </w:r>
      <w:r w:rsidR="0056672F" w:rsidRPr="00E86CAA">
        <w:rPr>
          <w:rFonts w:asciiTheme="minorHAnsi" w:hAnsiTheme="minorHAnsi"/>
          <w:sz w:val="24"/>
        </w:rPr>
        <w:t>in clinical practice</w:t>
      </w:r>
      <w:r w:rsidR="00D017E1" w:rsidRPr="00E86CAA">
        <w:rPr>
          <w:rFonts w:asciiTheme="minorHAnsi" w:hAnsiTheme="minorHAnsi"/>
          <w:sz w:val="24"/>
        </w:rPr>
        <w:t>, and that the process of switching FDCs would be much less complicated than co-prescribing single metformin with a metformin combination product</w:t>
      </w:r>
      <w:r w:rsidR="005F41F6" w:rsidRPr="00E86CAA">
        <w:rPr>
          <w:rFonts w:asciiTheme="minorHAnsi" w:hAnsiTheme="minorHAnsi"/>
          <w:sz w:val="24"/>
        </w:rPr>
        <w:t>.</w:t>
      </w:r>
      <w:r w:rsidRPr="002E1332">
        <w:rPr>
          <w:rFonts w:asciiTheme="minorHAnsi" w:hAnsiTheme="minorHAnsi"/>
          <w:sz w:val="24"/>
        </w:rPr>
        <w:t xml:space="preserve"> </w:t>
      </w:r>
      <w:r w:rsidR="00F935A0">
        <w:rPr>
          <w:rFonts w:asciiTheme="minorHAnsi" w:hAnsiTheme="minorHAnsi"/>
          <w:sz w:val="24"/>
        </w:rPr>
        <w:t>This</w:t>
      </w:r>
      <w:r w:rsidR="00F935A0" w:rsidRPr="002E1332">
        <w:rPr>
          <w:rFonts w:asciiTheme="minorHAnsi" w:hAnsiTheme="minorHAnsi"/>
          <w:sz w:val="24"/>
        </w:rPr>
        <w:t xml:space="preserve"> </w:t>
      </w:r>
      <w:r w:rsidR="00F935A0">
        <w:rPr>
          <w:rFonts w:asciiTheme="minorHAnsi" w:hAnsiTheme="minorHAnsi"/>
          <w:sz w:val="24"/>
        </w:rPr>
        <w:t xml:space="preserve">preference </w:t>
      </w:r>
      <w:r w:rsidR="00F935A0" w:rsidRPr="002E1332">
        <w:rPr>
          <w:rFonts w:asciiTheme="minorHAnsi" w:hAnsiTheme="minorHAnsi"/>
          <w:sz w:val="24"/>
        </w:rPr>
        <w:t xml:space="preserve">was </w:t>
      </w:r>
      <w:r w:rsidR="00F935A0">
        <w:rPr>
          <w:rFonts w:asciiTheme="minorHAnsi" w:hAnsiTheme="minorHAnsi"/>
          <w:sz w:val="24"/>
        </w:rPr>
        <w:t xml:space="preserve">also </w:t>
      </w:r>
      <w:r w:rsidR="00F935A0" w:rsidRPr="002E1332">
        <w:rPr>
          <w:rFonts w:asciiTheme="minorHAnsi" w:hAnsiTheme="minorHAnsi"/>
          <w:sz w:val="24"/>
        </w:rPr>
        <w:t>evident in the DUSC review where there was a comparatively high frequency of single metformin with metf</w:t>
      </w:r>
      <w:r w:rsidR="00E20FF3">
        <w:rPr>
          <w:rFonts w:asciiTheme="minorHAnsi" w:hAnsiTheme="minorHAnsi"/>
          <w:sz w:val="24"/>
        </w:rPr>
        <w:t>ormin combination product co</w:t>
      </w:r>
      <w:r w:rsidR="00E20FF3">
        <w:rPr>
          <w:rFonts w:asciiTheme="minorHAnsi" w:hAnsiTheme="minorHAnsi"/>
          <w:sz w:val="24"/>
        </w:rPr>
        <w:noBreakHyphen/>
      </w:r>
      <w:r w:rsidR="00F935A0" w:rsidRPr="002E1332">
        <w:rPr>
          <w:rFonts w:asciiTheme="minorHAnsi" w:hAnsiTheme="minorHAnsi"/>
          <w:sz w:val="24"/>
        </w:rPr>
        <w:t xml:space="preserve">prescription (Table 10, DUSC Diabetes </w:t>
      </w:r>
      <w:r w:rsidR="00B4175B">
        <w:rPr>
          <w:rFonts w:asciiTheme="minorHAnsi" w:hAnsiTheme="minorHAnsi"/>
          <w:sz w:val="24"/>
        </w:rPr>
        <w:t>Public Release Document</w:t>
      </w:r>
      <w:r w:rsidR="00F935A0" w:rsidRPr="002E1332">
        <w:rPr>
          <w:rFonts w:asciiTheme="minorHAnsi" w:hAnsiTheme="minorHAnsi"/>
          <w:sz w:val="24"/>
        </w:rPr>
        <w:t>, February 2017).</w:t>
      </w:r>
    </w:p>
    <w:p w:rsidR="0062768A" w:rsidRDefault="0062768A" w:rsidP="0062768A">
      <w:pPr>
        <w:pStyle w:val="ESnumberedpara"/>
        <w:ind w:firstLine="0"/>
        <w:rPr>
          <w:rFonts w:asciiTheme="minorHAnsi" w:hAnsiTheme="minorHAnsi"/>
          <w:sz w:val="24"/>
        </w:rPr>
      </w:pPr>
    </w:p>
    <w:p w:rsidR="00EB3F99" w:rsidRPr="00EB3F99" w:rsidRDefault="00EB3F99" w:rsidP="00F935A0">
      <w:pPr>
        <w:ind w:firstLine="720"/>
        <w:rPr>
          <w:rFonts w:asciiTheme="minorHAnsi" w:hAnsiTheme="minorHAnsi"/>
          <w:i/>
          <w:sz w:val="24"/>
          <w:szCs w:val="24"/>
        </w:rPr>
      </w:pPr>
      <w:r w:rsidRPr="00F935A0">
        <w:rPr>
          <w:rFonts w:asciiTheme="minorHAnsi" w:hAnsiTheme="minorHAnsi"/>
          <w:i/>
          <w:sz w:val="24"/>
          <w:szCs w:val="24"/>
        </w:rPr>
        <w:t>For more detail on PBAC’s view, see section 7 “PBAC outcome.”</w:t>
      </w:r>
    </w:p>
    <w:p w:rsidR="00EB3F99" w:rsidRPr="002E1332" w:rsidRDefault="00EB3F99" w:rsidP="00EB3F99">
      <w:pPr>
        <w:pStyle w:val="ESnumberedparablue"/>
        <w:ind w:left="720"/>
        <w:rPr>
          <w:rFonts w:asciiTheme="minorHAnsi" w:hAnsiTheme="minorHAnsi"/>
          <w:color w:val="auto"/>
          <w:sz w:val="24"/>
        </w:rPr>
      </w:pPr>
    </w:p>
    <w:p w:rsidR="00137F8D" w:rsidRPr="007A515C" w:rsidRDefault="00137F8D" w:rsidP="007A515C">
      <w:pPr>
        <w:pStyle w:val="PBACHeading1"/>
        <w:numPr>
          <w:ilvl w:val="0"/>
          <w:numId w:val="1"/>
        </w:numPr>
        <w:outlineLvl w:val="0"/>
        <w:rPr>
          <w:rFonts w:asciiTheme="minorHAnsi" w:hAnsiTheme="minorHAnsi"/>
          <w:sz w:val="32"/>
          <w:szCs w:val="32"/>
        </w:rPr>
      </w:pPr>
      <w:bookmarkStart w:id="14" w:name="_Toc413139276"/>
      <w:bookmarkStart w:id="15" w:name="_Toc476306886"/>
      <w:bookmarkStart w:id="16" w:name="_Toc482700153"/>
      <w:r w:rsidRPr="007A515C">
        <w:rPr>
          <w:rFonts w:asciiTheme="minorHAnsi" w:hAnsiTheme="minorHAnsi"/>
          <w:sz w:val="32"/>
          <w:szCs w:val="32"/>
        </w:rPr>
        <w:t>Consideration of the evidence</w:t>
      </w:r>
      <w:bookmarkEnd w:id="14"/>
      <w:bookmarkEnd w:id="15"/>
      <w:bookmarkEnd w:id="16"/>
    </w:p>
    <w:p w:rsidR="00980077" w:rsidRPr="00A0510D" w:rsidRDefault="00406118" w:rsidP="00107235">
      <w:pPr>
        <w:spacing w:before="240" w:after="120" w:line="276" w:lineRule="auto"/>
        <w:outlineLvl w:val="1"/>
        <w:rPr>
          <w:rFonts w:asciiTheme="minorHAnsi" w:hAnsiTheme="minorHAnsi"/>
          <w:b/>
          <w:bCs/>
          <w:i/>
          <w:sz w:val="28"/>
          <w:szCs w:val="28"/>
        </w:rPr>
      </w:pPr>
      <w:r w:rsidRPr="00A0510D">
        <w:rPr>
          <w:rFonts w:asciiTheme="minorHAnsi" w:hAnsiTheme="minorHAnsi"/>
          <w:b/>
          <w:bCs/>
          <w:i/>
          <w:sz w:val="28"/>
          <w:szCs w:val="28"/>
        </w:rPr>
        <w:t>Sponsor hearing</w:t>
      </w:r>
    </w:p>
    <w:p w:rsidR="00406118" w:rsidRPr="00A0510D" w:rsidRDefault="00406118" w:rsidP="00A51748">
      <w:pPr>
        <w:numPr>
          <w:ilvl w:val="1"/>
          <w:numId w:val="1"/>
        </w:numPr>
        <w:spacing w:after="120"/>
        <w:rPr>
          <w:rFonts w:asciiTheme="minorHAnsi" w:hAnsiTheme="minorHAnsi"/>
          <w:bCs/>
          <w:sz w:val="24"/>
          <w:szCs w:val="24"/>
        </w:rPr>
      </w:pPr>
      <w:r w:rsidRPr="00A0510D">
        <w:rPr>
          <w:rFonts w:asciiTheme="minorHAnsi" w:hAnsiTheme="minorHAnsi"/>
          <w:bCs/>
          <w:sz w:val="24"/>
          <w:szCs w:val="24"/>
        </w:rPr>
        <w:t>The</w:t>
      </w:r>
      <w:r w:rsidR="00980077" w:rsidRPr="00A0510D">
        <w:rPr>
          <w:rFonts w:asciiTheme="minorHAnsi" w:hAnsiTheme="minorHAnsi"/>
          <w:bCs/>
          <w:sz w:val="24"/>
          <w:szCs w:val="24"/>
        </w:rPr>
        <w:t>re was no hearing for this item</w:t>
      </w:r>
      <w:r w:rsidRPr="00A0510D">
        <w:rPr>
          <w:rFonts w:asciiTheme="minorHAnsi" w:hAnsiTheme="minorHAnsi"/>
          <w:bCs/>
          <w:sz w:val="24"/>
          <w:szCs w:val="24"/>
        </w:rPr>
        <w:t>.</w:t>
      </w:r>
    </w:p>
    <w:p w:rsidR="00406118" w:rsidRPr="00A0510D" w:rsidRDefault="00406118" w:rsidP="00107235">
      <w:pPr>
        <w:spacing w:before="240" w:after="120" w:line="276" w:lineRule="auto"/>
        <w:outlineLvl w:val="1"/>
        <w:rPr>
          <w:rFonts w:asciiTheme="minorHAnsi" w:hAnsiTheme="minorHAnsi"/>
          <w:b/>
          <w:bCs/>
          <w:i/>
          <w:sz w:val="28"/>
          <w:szCs w:val="28"/>
        </w:rPr>
      </w:pPr>
      <w:r w:rsidRPr="00A0510D">
        <w:rPr>
          <w:rFonts w:asciiTheme="minorHAnsi" w:hAnsiTheme="minorHAnsi"/>
          <w:b/>
          <w:bCs/>
          <w:i/>
          <w:sz w:val="28"/>
          <w:szCs w:val="28"/>
        </w:rPr>
        <w:t>Consumer comments</w:t>
      </w:r>
    </w:p>
    <w:p w:rsidR="00406118" w:rsidRPr="00A0510D" w:rsidRDefault="00406118" w:rsidP="00A51748">
      <w:pPr>
        <w:numPr>
          <w:ilvl w:val="1"/>
          <w:numId w:val="1"/>
        </w:numPr>
        <w:spacing w:after="120"/>
        <w:rPr>
          <w:rFonts w:asciiTheme="minorHAnsi" w:hAnsiTheme="minorHAnsi"/>
          <w:bCs/>
        </w:rPr>
      </w:pPr>
      <w:r w:rsidRPr="00A0510D">
        <w:rPr>
          <w:rFonts w:asciiTheme="minorHAnsi" w:hAnsiTheme="minorHAnsi"/>
          <w:bCs/>
          <w:sz w:val="24"/>
          <w:szCs w:val="24"/>
        </w:rPr>
        <w:t>The PBAC noted that no consumer comme</w:t>
      </w:r>
      <w:r w:rsidR="00980077" w:rsidRPr="00A0510D">
        <w:rPr>
          <w:rFonts w:asciiTheme="minorHAnsi" w:hAnsiTheme="minorHAnsi"/>
          <w:bCs/>
          <w:sz w:val="24"/>
          <w:szCs w:val="24"/>
        </w:rPr>
        <w:t>nts were received for this item</w:t>
      </w:r>
      <w:r w:rsidRPr="00A0510D">
        <w:rPr>
          <w:rFonts w:asciiTheme="minorHAnsi" w:hAnsiTheme="minorHAnsi"/>
          <w:bCs/>
          <w:sz w:val="24"/>
          <w:szCs w:val="24"/>
        </w:rPr>
        <w:t>.</w:t>
      </w:r>
    </w:p>
    <w:p w:rsidR="00137F8D" w:rsidRPr="0010529A" w:rsidRDefault="00137F8D" w:rsidP="00CC0881">
      <w:pPr>
        <w:pStyle w:val="Heading2"/>
        <w:keepNext/>
        <w:keepLines/>
        <w:widowControl/>
        <w:spacing w:before="240" w:after="120"/>
        <w:rPr>
          <w:rFonts w:asciiTheme="minorHAnsi" w:eastAsiaTheme="majorEastAsia" w:hAnsiTheme="minorHAnsi" w:cstheme="majorBidi"/>
          <w:i/>
          <w:snapToGrid/>
          <w:sz w:val="28"/>
          <w:szCs w:val="28"/>
        </w:rPr>
      </w:pPr>
      <w:bookmarkStart w:id="17" w:name="_Toc413139277"/>
      <w:bookmarkStart w:id="18" w:name="_Toc476306887"/>
      <w:bookmarkStart w:id="19" w:name="_Toc482700154"/>
      <w:r w:rsidRPr="0010529A">
        <w:rPr>
          <w:rFonts w:asciiTheme="minorHAnsi" w:eastAsiaTheme="majorEastAsia" w:hAnsiTheme="minorHAnsi" w:cstheme="majorBidi"/>
          <w:i/>
          <w:snapToGrid/>
          <w:sz w:val="28"/>
          <w:szCs w:val="28"/>
        </w:rPr>
        <w:t>Clinical trials</w:t>
      </w:r>
      <w:bookmarkEnd w:id="17"/>
      <w:bookmarkEnd w:id="18"/>
      <w:bookmarkEnd w:id="19"/>
    </w:p>
    <w:p w:rsidR="0010529A" w:rsidRPr="0010529A" w:rsidRDefault="0010529A" w:rsidP="00A0510D">
      <w:pPr>
        <w:pStyle w:val="ListParagraph"/>
        <w:widowControl/>
        <w:spacing w:after="120"/>
        <w:contextualSpacing w:val="0"/>
        <w:rPr>
          <w:rFonts w:asciiTheme="minorHAnsi" w:eastAsiaTheme="minorHAnsi" w:hAnsiTheme="minorHAnsi" w:cstheme="minorBidi"/>
          <w:snapToGrid/>
          <w:vanish/>
          <w:sz w:val="24"/>
          <w:szCs w:val="22"/>
        </w:rPr>
      </w:pPr>
    </w:p>
    <w:p w:rsidR="00F903C2" w:rsidRPr="00C255BE" w:rsidRDefault="00F903C2" w:rsidP="00A51748">
      <w:pPr>
        <w:pStyle w:val="ESnumberedparablue"/>
        <w:numPr>
          <w:ilvl w:val="1"/>
          <w:numId w:val="1"/>
        </w:numPr>
        <w:rPr>
          <w:rFonts w:asciiTheme="minorHAnsi" w:hAnsiTheme="minorHAnsi"/>
          <w:color w:val="auto"/>
          <w:sz w:val="24"/>
        </w:rPr>
      </w:pPr>
      <w:r w:rsidRPr="00C255BE">
        <w:rPr>
          <w:rFonts w:asciiTheme="minorHAnsi" w:hAnsiTheme="minorHAnsi"/>
          <w:color w:val="auto"/>
          <w:sz w:val="24"/>
        </w:rPr>
        <w:t xml:space="preserve">The submission was based on one bioequivalence study comparing dapagliflozin/ saxagliptin 10 mg/5 mg or 5 mg/2.5 mg </w:t>
      </w:r>
      <w:r w:rsidR="004E7FF8" w:rsidRPr="00C255BE">
        <w:rPr>
          <w:rFonts w:asciiTheme="minorHAnsi" w:hAnsiTheme="minorHAnsi"/>
          <w:color w:val="auto"/>
          <w:sz w:val="24"/>
        </w:rPr>
        <w:t>FDC</w:t>
      </w:r>
      <w:r w:rsidRPr="00C255BE">
        <w:rPr>
          <w:rFonts w:asciiTheme="minorHAnsi" w:hAnsiTheme="minorHAnsi"/>
          <w:color w:val="auto"/>
          <w:sz w:val="24"/>
        </w:rPr>
        <w:t xml:space="preserve"> tablets to corresponding doses of the individual components of dapagliflozin and saxagliptin (n=72). Only data from the cohort administered the 10 mg/5 mg dose strength were included in the submission</w:t>
      </w:r>
      <w:r w:rsidR="00E260D5" w:rsidRPr="00C255BE">
        <w:rPr>
          <w:rFonts w:asciiTheme="minorHAnsi" w:hAnsiTheme="minorHAnsi"/>
          <w:color w:val="auto"/>
          <w:sz w:val="24"/>
        </w:rPr>
        <w:t xml:space="preserve"> because only the 10 mg/5 mg dose strength is registered for this indication</w:t>
      </w:r>
      <w:r w:rsidRPr="00C255BE">
        <w:rPr>
          <w:rFonts w:asciiTheme="minorHAnsi" w:hAnsiTheme="minorHAnsi"/>
          <w:color w:val="auto"/>
          <w:sz w:val="24"/>
        </w:rPr>
        <w:t xml:space="preserve">. Supplementary efficacy data were presented from key dapagliflozin triple therapy trials, Study 129 and Study 10. </w:t>
      </w:r>
    </w:p>
    <w:p w:rsidR="00F903C2" w:rsidRPr="00C255BE" w:rsidRDefault="00F903C2" w:rsidP="00A51748">
      <w:pPr>
        <w:pStyle w:val="ESnumberedparablue"/>
        <w:numPr>
          <w:ilvl w:val="1"/>
          <w:numId w:val="1"/>
        </w:numPr>
        <w:rPr>
          <w:rFonts w:asciiTheme="minorHAnsi" w:hAnsiTheme="minorHAnsi"/>
          <w:color w:val="auto"/>
          <w:sz w:val="24"/>
        </w:rPr>
      </w:pPr>
      <w:r w:rsidRPr="00C255BE">
        <w:rPr>
          <w:rFonts w:asciiTheme="minorHAnsi" w:hAnsiTheme="minorHAnsi"/>
          <w:color w:val="auto"/>
          <w:sz w:val="24"/>
        </w:rPr>
        <w:t xml:space="preserve">Details of the trials presented in the submission are provided in the table below. </w:t>
      </w:r>
    </w:p>
    <w:p w:rsidR="00786F6A" w:rsidRPr="00786F6A" w:rsidRDefault="00786F6A" w:rsidP="00786F6A">
      <w:pPr>
        <w:widowControl/>
        <w:jc w:val="left"/>
        <w:rPr>
          <w:rFonts w:ascii="Arial Narrow" w:hAnsi="Arial Narrow"/>
          <w:b/>
          <w:sz w:val="20"/>
        </w:rPr>
      </w:pPr>
      <w:r w:rsidRPr="00786F6A">
        <w:rPr>
          <w:rFonts w:ascii="Arial Narrow" w:hAnsi="Arial Narrow"/>
          <w:b/>
          <w:sz w:val="20"/>
        </w:rPr>
        <w:t xml:space="preserve">Table </w:t>
      </w:r>
      <w:r>
        <w:rPr>
          <w:rFonts w:ascii="Arial Narrow" w:hAnsi="Arial Narrow"/>
          <w:b/>
          <w:noProof/>
          <w:sz w:val="20"/>
        </w:rPr>
        <w:t>2</w:t>
      </w:r>
      <w:r w:rsidRPr="00786F6A">
        <w:rPr>
          <w:rFonts w:ascii="Arial Narrow" w:hAnsi="Arial Narrow"/>
          <w:b/>
          <w:sz w:val="20"/>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4532"/>
        <w:gridCol w:w="2818"/>
      </w:tblGrid>
      <w:tr w:rsidR="00F903C2" w:rsidRPr="00C255BE" w:rsidTr="00481314">
        <w:trPr>
          <w:tblHeader/>
        </w:trPr>
        <w:tc>
          <w:tcPr>
            <w:tcW w:w="954" w:type="pct"/>
            <w:tcBorders>
              <w:top w:val="single" w:sz="4" w:space="0" w:color="auto"/>
              <w:left w:val="single" w:sz="4" w:space="0" w:color="auto"/>
              <w:bottom w:val="single" w:sz="4" w:space="0" w:color="auto"/>
              <w:right w:val="single" w:sz="4" w:space="0" w:color="auto"/>
            </w:tcBorders>
            <w:hideMark/>
          </w:tcPr>
          <w:p w:rsidR="00F903C2" w:rsidRPr="00C255BE" w:rsidRDefault="00F903C2">
            <w:pPr>
              <w:jc w:val="left"/>
              <w:rPr>
                <w:rFonts w:ascii="Arial Narrow" w:hAnsi="Arial Narrow"/>
                <w:b/>
                <w:sz w:val="20"/>
              </w:rPr>
            </w:pPr>
            <w:r w:rsidRPr="00C255BE">
              <w:rPr>
                <w:rFonts w:ascii="Arial Narrow" w:hAnsi="Arial Narrow"/>
                <w:b/>
                <w:sz w:val="20"/>
              </w:rPr>
              <w:t>Trial ID</w:t>
            </w:r>
          </w:p>
        </w:tc>
        <w:tc>
          <w:tcPr>
            <w:tcW w:w="2495" w:type="pct"/>
            <w:tcBorders>
              <w:top w:val="single" w:sz="4" w:space="0" w:color="auto"/>
              <w:left w:val="single" w:sz="4" w:space="0" w:color="auto"/>
              <w:bottom w:val="single" w:sz="4" w:space="0" w:color="auto"/>
              <w:right w:val="single" w:sz="4" w:space="0" w:color="auto"/>
            </w:tcBorders>
            <w:hideMark/>
          </w:tcPr>
          <w:p w:rsidR="00F903C2" w:rsidRPr="00C255BE" w:rsidRDefault="00F903C2">
            <w:pPr>
              <w:jc w:val="center"/>
              <w:rPr>
                <w:rFonts w:ascii="Arial Narrow" w:hAnsi="Arial Narrow"/>
                <w:b/>
                <w:sz w:val="20"/>
              </w:rPr>
            </w:pPr>
            <w:r w:rsidRPr="00C255BE">
              <w:rPr>
                <w:rFonts w:ascii="Arial Narrow" w:hAnsi="Arial Narrow"/>
                <w:b/>
                <w:sz w:val="20"/>
              </w:rPr>
              <w:t>Protocol title/ Publication title</w:t>
            </w:r>
          </w:p>
        </w:tc>
        <w:tc>
          <w:tcPr>
            <w:tcW w:w="1551" w:type="pct"/>
            <w:tcBorders>
              <w:top w:val="single" w:sz="4" w:space="0" w:color="auto"/>
              <w:left w:val="single" w:sz="4" w:space="0" w:color="auto"/>
              <w:bottom w:val="single" w:sz="4" w:space="0" w:color="auto"/>
              <w:right w:val="single" w:sz="4" w:space="0" w:color="auto"/>
            </w:tcBorders>
            <w:hideMark/>
          </w:tcPr>
          <w:p w:rsidR="00F903C2" w:rsidRPr="00C255BE" w:rsidRDefault="00F903C2">
            <w:pPr>
              <w:jc w:val="center"/>
              <w:rPr>
                <w:rFonts w:ascii="Arial Narrow" w:hAnsi="Arial Narrow"/>
                <w:b/>
                <w:sz w:val="20"/>
              </w:rPr>
            </w:pPr>
            <w:r w:rsidRPr="00C255BE">
              <w:rPr>
                <w:rFonts w:ascii="Arial Narrow" w:hAnsi="Arial Narrow"/>
                <w:b/>
                <w:sz w:val="20"/>
              </w:rPr>
              <w:t>Publication citation</w:t>
            </w:r>
          </w:p>
        </w:tc>
      </w:tr>
      <w:tr w:rsidR="00F903C2" w:rsidRPr="00C255BE" w:rsidTr="00F903C2">
        <w:tc>
          <w:tcPr>
            <w:tcW w:w="5000" w:type="pct"/>
            <w:gridSpan w:val="3"/>
            <w:tcBorders>
              <w:top w:val="single" w:sz="4" w:space="0" w:color="auto"/>
              <w:left w:val="single" w:sz="4" w:space="0" w:color="auto"/>
              <w:bottom w:val="single" w:sz="4" w:space="0" w:color="auto"/>
              <w:right w:val="single" w:sz="4" w:space="0" w:color="auto"/>
            </w:tcBorders>
            <w:hideMark/>
          </w:tcPr>
          <w:p w:rsidR="00F903C2" w:rsidRPr="00C255BE" w:rsidRDefault="00F903C2">
            <w:pPr>
              <w:jc w:val="left"/>
              <w:rPr>
                <w:rFonts w:ascii="Arial Narrow" w:hAnsi="Arial Narrow"/>
                <w:b/>
                <w:sz w:val="20"/>
              </w:rPr>
            </w:pPr>
            <w:r w:rsidRPr="00C255BE">
              <w:rPr>
                <w:rFonts w:ascii="Arial Narrow" w:hAnsi="Arial Narrow"/>
                <w:b/>
                <w:sz w:val="20"/>
              </w:rPr>
              <w:t>Bioequivalence studies</w:t>
            </w:r>
          </w:p>
        </w:tc>
      </w:tr>
      <w:tr w:rsidR="00F903C2" w:rsidRPr="00C255BE" w:rsidTr="00F903C2">
        <w:tc>
          <w:tcPr>
            <w:tcW w:w="954" w:type="pct"/>
            <w:tcBorders>
              <w:top w:val="single" w:sz="4" w:space="0" w:color="auto"/>
              <w:left w:val="single" w:sz="4" w:space="0" w:color="auto"/>
              <w:bottom w:val="single" w:sz="4" w:space="0" w:color="auto"/>
              <w:right w:val="single" w:sz="4" w:space="0" w:color="auto"/>
            </w:tcBorders>
            <w:hideMark/>
          </w:tcPr>
          <w:p w:rsidR="00F903C2" w:rsidRPr="00C255BE" w:rsidRDefault="00F903C2">
            <w:pPr>
              <w:jc w:val="left"/>
              <w:rPr>
                <w:rFonts w:ascii="Arial Narrow" w:hAnsi="Arial Narrow"/>
                <w:sz w:val="20"/>
              </w:rPr>
            </w:pPr>
            <w:r w:rsidRPr="00C255BE">
              <w:rPr>
                <w:rFonts w:ascii="Arial Narrow" w:hAnsi="Arial Narrow"/>
                <w:sz w:val="20"/>
              </w:rPr>
              <w:t>Study 341</w:t>
            </w:r>
          </w:p>
          <w:p w:rsidR="00F903C2" w:rsidRPr="00C255BE" w:rsidRDefault="00F903C2">
            <w:pPr>
              <w:jc w:val="left"/>
              <w:rPr>
                <w:rFonts w:ascii="Arial Narrow" w:hAnsi="Arial Narrow"/>
                <w:sz w:val="20"/>
              </w:rPr>
            </w:pPr>
            <w:r w:rsidRPr="00C255BE">
              <w:rPr>
                <w:rFonts w:ascii="Arial Narrow" w:hAnsi="Arial Narrow"/>
                <w:sz w:val="20"/>
              </w:rPr>
              <w:t>[cohort 2]</w:t>
            </w:r>
          </w:p>
        </w:tc>
        <w:tc>
          <w:tcPr>
            <w:tcW w:w="2495" w:type="pct"/>
            <w:tcBorders>
              <w:top w:val="single" w:sz="4" w:space="0" w:color="auto"/>
              <w:left w:val="single" w:sz="4" w:space="0" w:color="auto"/>
              <w:bottom w:val="single" w:sz="4" w:space="0" w:color="auto"/>
              <w:right w:val="single" w:sz="4" w:space="0" w:color="auto"/>
            </w:tcBorders>
          </w:tcPr>
          <w:p w:rsidR="00F903C2" w:rsidRPr="00C255BE" w:rsidRDefault="00F903C2">
            <w:pPr>
              <w:jc w:val="left"/>
              <w:rPr>
                <w:rFonts w:ascii="Arial Narrow" w:hAnsi="Arial Narrow"/>
                <w:sz w:val="20"/>
              </w:rPr>
            </w:pPr>
            <w:r w:rsidRPr="00C255BE">
              <w:rPr>
                <w:rFonts w:ascii="Arial Narrow" w:hAnsi="Arial Narrow"/>
                <w:sz w:val="20"/>
              </w:rPr>
              <w:t>A bioequivalence study of 2.5 mg saxagliptin/5 mg dapagliflozin and 5 mg saxagliptin/10 mg dapagliflozin fixed dose combination tablets relative to administration of their respective individual components in healthy subjects and a characterization of the effect of food on the fixed dose combination tablets. NCT02060201</w:t>
            </w: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sz w:val="20"/>
              </w:rPr>
            </w:pPr>
            <w:r w:rsidRPr="00C255BE">
              <w:rPr>
                <w:rFonts w:ascii="Arial Narrow" w:hAnsi="Arial Narrow"/>
                <w:sz w:val="20"/>
              </w:rPr>
              <w:t>Vakkalagadda B, Vetter ML, Rana J, et al. Bioequivalence of saxagliptin/dapagliflozin fixed dose combination tablets compared with coadministration of the individual tablets to healthy subjects.</w:t>
            </w:r>
          </w:p>
        </w:tc>
        <w:tc>
          <w:tcPr>
            <w:tcW w:w="1551" w:type="pct"/>
            <w:tcBorders>
              <w:top w:val="single" w:sz="4" w:space="0" w:color="auto"/>
              <w:left w:val="single" w:sz="4" w:space="0" w:color="auto"/>
              <w:bottom w:val="single" w:sz="4" w:space="0" w:color="auto"/>
              <w:right w:val="single" w:sz="4" w:space="0" w:color="auto"/>
            </w:tcBorders>
          </w:tcPr>
          <w:p w:rsidR="00F903C2" w:rsidRPr="00C255BE" w:rsidRDefault="00F903C2">
            <w:pPr>
              <w:jc w:val="left"/>
              <w:rPr>
                <w:rFonts w:ascii="Arial Narrow" w:hAnsi="Arial Narrow"/>
                <w:sz w:val="20"/>
              </w:rPr>
            </w:pPr>
            <w:r w:rsidRPr="00C255BE">
              <w:rPr>
                <w:rFonts w:ascii="Arial Narrow" w:hAnsi="Arial Narrow"/>
                <w:sz w:val="20"/>
              </w:rPr>
              <w:t>Internal study report, October 2014</w:t>
            </w: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b/>
                <w:sz w:val="20"/>
              </w:rPr>
            </w:pPr>
            <w:r w:rsidRPr="00C255BE">
              <w:rPr>
                <w:rFonts w:ascii="Arial Narrow" w:hAnsi="Arial Narrow"/>
                <w:sz w:val="20"/>
              </w:rPr>
              <w:t>Pharm</w:t>
            </w:r>
            <w:r w:rsidR="009D3038" w:rsidRPr="00C255BE">
              <w:rPr>
                <w:rFonts w:ascii="Arial Narrow" w:hAnsi="Arial Narrow"/>
                <w:sz w:val="20"/>
              </w:rPr>
              <w:t>a</w:t>
            </w:r>
            <w:r w:rsidRPr="00C255BE">
              <w:rPr>
                <w:rFonts w:ascii="Arial Narrow" w:hAnsi="Arial Narrow"/>
                <w:sz w:val="20"/>
              </w:rPr>
              <w:t>col</w:t>
            </w:r>
            <w:r w:rsidR="009D3038" w:rsidRPr="00C255BE">
              <w:rPr>
                <w:rFonts w:ascii="Arial Narrow" w:hAnsi="Arial Narrow"/>
                <w:sz w:val="20"/>
              </w:rPr>
              <w:t>ogy</w:t>
            </w:r>
            <w:r w:rsidRPr="00C255BE">
              <w:rPr>
                <w:rFonts w:ascii="Arial Narrow" w:hAnsi="Arial Narrow"/>
                <w:sz w:val="20"/>
              </w:rPr>
              <w:t xml:space="preserve"> Res</w:t>
            </w:r>
            <w:r w:rsidR="009D3038" w:rsidRPr="00C255BE">
              <w:rPr>
                <w:rFonts w:ascii="Arial Narrow" w:hAnsi="Arial Narrow"/>
                <w:sz w:val="20"/>
              </w:rPr>
              <w:t>earch and</w:t>
            </w:r>
            <w:r w:rsidRPr="00C255BE">
              <w:rPr>
                <w:rFonts w:ascii="Arial Narrow" w:hAnsi="Arial Narrow"/>
                <w:sz w:val="20"/>
              </w:rPr>
              <w:t xml:space="preserve"> Perspect</w:t>
            </w:r>
            <w:r w:rsidR="009D3038" w:rsidRPr="00C255BE">
              <w:rPr>
                <w:rFonts w:ascii="Arial Narrow" w:hAnsi="Arial Narrow"/>
                <w:sz w:val="20"/>
              </w:rPr>
              <w:t>ives</w:t>
            </w:r>
            <w:r w:rsidRPr="00C255BE">
              <w:rPr>
                <w:rFonts w:ascii="Arial Narrow" w:hAnsi="Arial Narrow"/>
                <w:sz w:val="20"/>
              </w:rPr>
              <w:t xml:space="preserve"> 2015; 3(6): e00201, doi: 10.1002/prp2.201.</w:t>
            </w:r>
          </w:p>
        </w:tc>
      </w:tr>
      <w:tr w:rsidR="00F903C2" w:rsidRPr="00C255BE" w:rsidTr="00F903C2">
        <w:tc>
          <w:tcPr>
            <w:tcW w:w="5000" w:type="pct"/>
            <w:gridSpan w:val="3"/>
            <w:tcBorders>
              <w:top w:val="single" w:sz="4" w:space="0" w:color="auto"/>
              <w:left w:val="single" w:sz="4" w:space="0" w:color="auto"/>
              <w:bottom w:val="single" w:sz="4" w:space="0" w:color="auto"/>
              <w:right w:val="single" w:sz="4" w:space="0" w:color="auto"/>
            </w:tcBorders>
            <w:hideMark/>
          </w:tcPr>
          <w:p w:rsidR="00F903C2" w:rsidRPr="00C255BE" w:rsidRDefault="00F903C2">
            <w:pPr>
              <w:jc w:val="left"/>
              <w:rPr>
                <w:rFonts w:ascii="Arial Narrow" w:hAnsi="Arial Narrow"/>
                <w:b/>
                <w:sz w:val="20"/>
              </w:rPr>
            </w:pPr>
            <w:r w:rsidRPr="00C255BE">
              <w:rPr>
                <w:rFonts w:ascii="Arial Narrow" w:hAnsi="Arial Narrow"/>
                <w:b/>
                <w:sz w:val="20"/>
              </w:rPr>
              <w:t>Supplementary randomised trials</w:t>
            </w:r>
          </w:p>
        </w:tc>
      </w:tr>
      <w:tr w:rsidR="00F903C2" w:rsidRPr="00C255BE" w:rsidTr="00F903C2">
        <w:tc>
          <w:tcPr>
            <w:tcW w:w="954" w:type="pct"/>
            <w:tcBorders>
              <w:top w:val="single" w:sz="4" w:space="0" w:color="auto"/>
              <w:left w:val="single" w:sz="4" w:space="0" w:color="auto"/>
              <w:bottom w:val="single" w:sz="4" w:space="0" w:color="auto"/>
              <w:right w:val="single" w:sz="4" w:space="0" w:color="auto"/>
            </w:tcBorders>
            <w:hideMark/>
          </w:tcPr>
          <w:p w:rsidR="00F903C2" w:rsidRPr="00C255BE" w:rsidRDefault="00F903C2">
            <w:pPr>
              <w:jc w:val="left"/>
              <w:rPr>
                <w:rFonts w:ascii="Arial Narrow" w:hAnsi="Arial Narrow"/>
                <w:sz w:val="20"/>
              </w:rPr>
            </w:pPr>
            <w:r w:rsidRPr="00C255BE">
              <w:rPr>
                <w:rFonts w:ascii="Arial Narrow" w:hAnsi="Arial Narrow"/>
                <w:sz w:val="20"/>
              </w:rPr>
              <w:t>Study 129</w:t>
            </w:r>
          </w:p>
        </w:tc>
        <w:tc>
          <w:tcPr>
            <w:tcW w:w="2495" w:type="pct"/>
            <w:tcBorders>
              <w:top w:val="single" w:sz="4" w:space="0" w:color="auto"/>
              <w:left w:val="single" w:sz="4" w:space="0" w:color="auto"/>
              <w:bottom w:val="single" w:sz="4" w:space="0" w:color="auto"/>
              <w:right w:val="single" w:sz="4" w:space="0" w:color="auto"/>
            </w:tcBorders>
          </w:tcPr>
          <w:p w:rsidR="00F903C2" w:rsidRPr="00C255BE" w:rsidRDefault="00F903C2">
            <w:pPr>
              <w:jc w:val="left"/>
              <w:rPr>
                <w:rFonts w:ascii="Arial Narrow" w:hAnsi="Arial Narrow"/>
                <w:sz w:val="20"/>
              </w:rPr>
            </w:pPr>
            <w:r w:rsidRPr="00C255BE">
              <w:rPr>
                <w:rFonts w:ascii="Arial Narrow" w:hAnsi="Arial Narrow"/>
                <w:sz w:val="20"/>
              </w:rPr>
              <w:t>A multicentre, randomized, double blind, placebo controlled, parallel group, phase 3 trial to evaluate the safety and efficacy of therapy with dapagliflozin added to saxagliptin in combination with metformin compared to therapy with placebo added to saxagliptin in combination with metformin in subjects with type 2 diabetes who have inadequate glycemic control on metformin and saxagliptin. NCT01646320</w:t>
            </w: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b/>
                <w:sz w:val="20"/>
              </w:rPr>
            </w:pPr>
            <w:r w:rsidRPr="00C255BE">
              <w:rPr>
                <w:rFonts w:ascii="Arial Narrow" w:hAnsi="Arial Narrow"/>
                <w:sz w:val="20"/>
              </w:rPr>
              <w:t>Mathieu C, Ranetti AE, Li D, et al. Randomized, double</w:t>
            </w:r>
            <w:r w:rsidRPr="00C255BE">
              <w:rPr>
                <w:rFonts w:ascii="Arial Narrow" w:hAnsi="Arial Narrow"/>
                <w:sz w:val="20"/>
              </w:rPr>
              <w:noBreakHyphen/>
              <w:t>blind, phase 3 trial of triple therapy with dapagliflozin add</w:t>
            </w:r>
            <w:r w:rsidRPr="00C255BE">
              <w:rPr>
                <w:rFonts w:ascii="Arial Narrow" w:hAnsi="Arial Narrow"/>
                <w:sz w:val="20"/>
              </w:rPr>
              <w:noBreakHyphen/>
              <w:t>on to saxagliptin plus metformin in type 2 diabetes.</w:t>
            </w:r>
          </w:p>
        </w:tc>
        <w:tc>
          <w:tcPr>
            <w:tcW w:w="1551" w:type="pct"/>
            <w:tcBorders>
              <w:top w:val="single" w:sz="4" w:space="0" w:color="auto"/>
              <w:left w:val="single" w:sz="4" w:space="0" w:color="auto"/>
              <w:bottom w:val="single" w:sz="4" w:space="0" w:color="auto"/>
              <w:right w:val="single" w:sz="4" w:space="0" w:color="auto"/>
            </w:tcBorders>
          </w:tcPr>
          <w:p w:rsidR="00F903C2" w:rsidRPr="00C255BE" w:rsidRDefault="00F903C2">
            <w:pPr>
              <w:jc w:val="left"/>
              <w:rPr>
                <w:rFonts w:ascii="Arial Narrow" w:hAnsi="Arial Narrow"/>
                <w:sz w:val="20"/>
              </w:rPr>
            </w:pPr>
            <w:r w:rsidRPr="00C255BE">
              <w:rPr>
                <w:rFonts w:ascii="Arial Narrow" w:hAnsi="Arial Narrow"/>
                <w:sz w:val="20"/>
              </w:rPr>
              <w:t>Internal study report, December 2014</w:t>
            </w: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b/>
                <w:sz w:val="20"/>
              </w:rPr>
            </w:pPr>
            <w:r w:rsidRPr="00C255BE">
              <w:rPr>
                <w:rFonts w:ascii="Arial Narrow" w:hAnsi="Arial Narrow"/>
                <w:sz w:val="20"/>
              </w:rPr>
              <w:t>Diabetes Care 2015; 38:2009-2017.</w:t>
            </w:r>
          </w:p>
        </w:tc>
      </w:tr>
      <w:tr w:rsidR="00F903C2" w:rsidRPr="00C255BE" w:rsidTr="00F903C2">
        <w:tc>
          <w:tcPr>
            <w:tcW w:w="954" w:type="pct"/>
            <w:tcBorders>
              <w:top w:val="single" w:sz="4" w:space="0" w:color="auto"/>
              <w:left w:val="single" w:sz="4" w:space="0" w:color="auto"/>
              <w:bottom w:val="single" w:sz="4" w:space="0" w:color="auto"/>
              <w:right w:val="single" w:sz="4" w:space="0" w:color="auto"/>
            </w:tcBorders>
            <w:hideMark/>
          </w:tcPr>
          <w:p w:rsidR="00F903C2" w:rsidRPr="00C255BE" w:rsidRDefault="00F903C2">
            <w:pPr>
              <w:jc w:val="left"/>
              <w:rPr>
                <w:rFonts w:ascii="Arial Narrow" w:hAnsi="Arial Narrow"/>
                <w:sz w:val="20"/>
              </w:rPr>
            </w:pPr>
            <w:r w:rsidRPr="00C255BE">
              <w:rPr>
                <w:rFonts w:ascii="Arial Narrow" w:hAnsi="Arial Narrow"/>
                <w:sz w:val="20"/>
              </w:rPr>
              <w:t>Study 10</w:t>
            </w:r>
          </w:p>
          <w:p w:rsidR="00F903C2" w:rsidRPr="00C255BE" w:rsidRDefault="00F903C2">
            <w:pPr>
              <w:jc w:val="left"/>
              <w:rPr>
                <w:rFonts w:ascii="Arial Narrow" w:hAnsi="Arial Narrow"/>
                <w:sz w:val="20"/>
              </w:rPr>
            </w:pPr>
            <w:r w:rsidRPr="00C255BE">
              <w:rPr>
                <w:rFonts w:ascii="Arial Narrow" w:hAnsi="Arial Narrow"/>
                <w:sz w:val="20"/>
              </w:rPr>
              <w:t>[stratum 2]</w:t>
            </w:r>
          </w:p>
        </w:tc>
        <w:tc>
          <w:tcPr>
            <w:tcW w:w="2495" w:type="pct"/>
            <w:tcBorders>
              <w:top w:val="single" w:sz="4" w:space="0" w:color="auto"/>
              <w:left w:val="single" w:sz="4" w:space="0" w:color="auto"/>
              <w:bottom w:val="single" w:sz="4" w:space="0" w:color="auto"/>
              <w:right w:val="single" w:sz="4" w:space="0" w:color="auto"/>
            </w:tcBorders>
          </w:tcPr>
          <w:p w:rsidR="00F903C2" w:rsidRPr="00C255BE" w:rsidRDefault="00F903C2">
            <w:pPr>
              <w:jc w:val="left"/>
              <w:rPr>
                <w:rFonts w:ascii="Arial Narrow" w:hAnsi="Arial Narrow"/>
                <w:sz w:val="20"/>
              </w:rPr>
            </w:pPr>
            <w:r w:rsidRPr="00C255BE">
              <w:rPr>
                <w:rFonts w:ascii="Arial Narrow" w:hAnsi="Arial Narrow"/>
                <w:sz w:val="20"/>
              </w:rPr>
              <w:t>A 24 week, multicentre, randomised, double blind, placebo controlled, parallel group, international phase III study with a 24 week extension period to evaluate the safety and efficacy of dapagliflozin 10 mg daily in patients with type 2 diabetes who have inadequate glycaemic control on a DPP 4 inhibitor (sitagliptin) alone or in combination with metformin; report for the 24 week short term treatment period. NCT00984867</w:t>
            </w: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b/>
                <w:sz w:val="20"/>
              </w:rPr>
            </w:pPr>
            <w:r w:rsidRPr="00C255BE">
              <w:rPr>
                <w:rFonts w:ascii="Arial Narrow" w:hAnsi="Arial Narrow"/>
                <w:sz w:val="20"/>
              </w:rPr>
              <w:t>Jabbour SA, Hardy E, Sugg J, et al. Dapagliflozin is effective as add on therapy to sitagliptin with or without metformin: a 24 week, multicenter, randomized, double blind, placebo controlled study.</w:t>
            </w:r>
          </w:p>
        </w:tc>
        <w:tc>
          <w:tcPr>
            <w:tcW w:w="1551" w:type="pct"/>
            <w:tcBorders>
              <w:top w:val="single" w:sz="4" w:space="0" w:color="auto"/>
              <w:left w:val="single" w:sz="4" w:space="0" w:color="auto"/>
              <w:bottom w:val="single" w:sz="4" w:space="0" w:color="auto"/>
              <w:right w:val="single" w:sz="4" w:space="0" w:color="auto"/>
            </w:tcBorders>
          </w:tcPr>
          <w:p w:rsidR="00F903C2" w:rsidRPr="00C255BE" w:rsidRDefault="00F903C2">
            <w:pPr>
              <w:jc w:val="left"/>
              <w:rPr>
                <w:rFonts w:ascii="Arial Narrow" w:hAnsi="Arial Narrow"/>
                <w:sz w:val="20"/>
              </w:rPr>
            </w:pPr>
            <w:r w:rsidRPr="00C255BE">
              <w:rPr>
                <w:rFonts w:ascii="Arial Narrow" w:hAnsi="Arial Narrow"/>
                <w:sz w:val="20"/>
              </w:rPr>
              <w:t>Internal study report, December 2011</w:t>
            </w: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sz w:val="20"/>
              </w:rPr>
            </w:pPr>
          </w:p>
          <w:p w:rsidR="00F903C2" w:rsidRPr="00C255BE" w:rsidRDefault="00F903C2">
            <w:pPr>
              <w:jc w:val="left"/>
              <w:rPr>
                <w:rFonts w:ascii="Arial Narrow" w:hAnsi="Arial Narrow"/>
                <w:sz w:val="20"/>
              </w:rPr>
            </w:pPr>
            <w:r w:rsidRPr="00C255BE">
              <w:rPr>
                <w:rFonts w:ascii="Arial Narrow" w:hAnsi="Arial Narrow"/>
                <w:sz w:val="20"/>
              </w:rPr>
              <w:t>Diabetes Care 2014; 37:740-750.</w:t>
            </w:r>
          </w:p>
          <w:p w:rsidR="00F903C2" w:rsidRPr="00C255BE" w:rsidRDefault="00F903C2">
            <w:pPr>
              <w:jc w:val="left"/>
              <w:rPr>
                <w:rFonts w:ascii="Arial Narrow" w:hAnsi="Arial Narrow"/>
                <w:b/>
                <w:sz w:val="20"/>
              </w:rPr>
            </w:pPr>
          </w:p>
        </w:tc>
      </w:tr>
    </w:tbl>
    <w:p w:rsidR="00F903C2" w:rsidRPr="00C255BE" w:rsidRDefault="00F903C2" w:rsidP="00F903C2">
      <w:pPr>
        <w:pStyle w:val="TableFooter"/>
        <w:spacing w:after="240"/>
        <w:contextualSpacing/>
      </w:pPr>
      <w:r w:rsidRPr="00C255BE">
        <w:t>Source: Table 2, p8 of the submission.</w:t>
      </w:r>
    </w:p>
    <w:p w:rsidR="00F903C2" w:rsidRPr="00C255BE" w:rsidRDefault="00F903C2" w:rsidP="00A51748">
      <w:pPr>
        <w:pStyle w:val="ESnumberedparablue"/>
        <w:keepNext/>
        <w:keepLines/>
        <w:numPr>
          <w:ilvl w:val="1"/>
          <w:numId w:val="1"/>
        </w:numPr>
        <w:rPr>
          <w:rFonts w:asciiTheme="minorHAnsi" w:hAnsiTheme="minorHAnsi"/>
          <w:color w:val="auto"/>
          <w:sz w:val="24"/>
        </w:rPr>
      </w:pPr>
      <w:r w:rsidRPr="00C255BE">
        <w:rPr>
          <w:rFonts w:asciiTheme="minorHAnsi" w:hAnsiTheme="minorHAnsi"/>
          <w:color w:val="auto"/>
          <w:sz w:val="24"/>
        </w:rPr>
        <w:t>The key features of the randomised trials are summarised in the table below.</w:t>
      </w:r>
    </w:p>
    <w:p w:rsidR="00786F6A" w:rsidRDefault="00786F6A" w:rsidP="00786F6A">
      <w:pPr>
        <w:pStyle w:val="TableHeading0"/>
        <w:keepLines/>
      </w:pPr>
      <w:r>
        <w:t xml:space="preserve">Table </w:t>
      </w:r>
      <w:r>
        <w:rPr>
          <w:noProof/>
        </w:rPr>
        <w:t>3</w:t>
      </w:r>
      <w:r w:rsidRPr="0011087D">
        <w:t>: Key features of the included evidence, dapagliflozin/saxagliptin FDC vs. individual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4"/>
        <w:gridCol w:w="707"/>
        <w:gridCol w:w="2692"/>
        <w:gridCol w:w="1123"/>
        <w:gridCol w:w="1769"/>
        <w:gridCol w:w="1768"/>
      </w:tblGrid>
      <w:tr w:rsidR="00F903C2" w:rsidRPr="00C255BE" w:rsidTr="00786F6A">
        <w:tc>
          <w:tcPr>
            <w:tcW w:w="564"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903C2" w:rsidP="00356E60">
            <w:pPr>
              <w:pStyle w:val="TableText1"/>
              <w:keepLines/>
              <w:jc w:val="center"/>
              <w:rPr>
                <w:b/>
              </w:rPr>
            </w:pPr>
            <w:r w:rsidRPr="00C255BE">
              <w:rPr>
                <w:b/>
              </w:rPr>
              <w:t>Trial</w:t>
            </w:r>
          </w:p>
        </w:tc>
        <w:tc>
          <w:tcPr>
            <w:tcW w:w="389"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903C2" w:rsidP="00356E60">
            <w:pPr>
              <w:pStyle w:val="TableText1"/>
              <w:keepLines/>
              <w:jc w:val="center"/>
              <w:rPr>
                <w:b/>
              </w:rPr>
            </w:pPr>
            <w:r w:rsidRPr="00C255BE">
              <w:rPr>
                <w:b/>
              </w:rPr>
              <w:t>N</w:t>
            </w:r>
          </w:p>
        </w:tc>
        <w:tc>
          <w:tcPr>
            <w:tcW w:w="1482"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903C2" w:rsidP="00356E60">
            <w:pPr>
              <w:pStyle w:val="TableText1"/>
              <w:keepLines/>
              <w:jc w:val="center"/>
              <w:rPr>
                <w:b/>
              </w:rPr>
            </w:pPr>
            <w:r w:rsidRPr="00C255BE">
              <w:rPr>
                <w:b/>
              </w:rPr>
              <w:t>Design/duration of follow-up</w:t>
            </w:r>
          </w:p>
        </w:tc>
        <w:tc>
          <w:tcPr>
            <w:tcW w:w="618"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903C2" w:rsidP="00356E60">
            <w:pPr>
              <w:pStyle w:val="TableText1"/>
              <w:keepLines/>
              <w:jc w:val="center"/>
              <w:rPr>
                <w:b/>
              </w:rPr>
            </w:pPr>
            <w:r w:rsidRPr="00C255BE">
              <w:rPr>
                <w:b/>
              </w:rPr>
              <w:t>Risk of bias</w:t>
            </w:r>
          </w:p>
        </w:tc>
        <w:tc>
          <w:tcPr>
            <w:tcW w:w="974"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903C2" w:rsidP="00356E60">
            <w:pPr>
              <w:pStyle w:val="TableText1"/>
              <w:keepLines/>
              <w:jc w:val="center"/>
              <w:rPr>
                <w:b/>
              </w:rPr>
            </w:pPr>
            <w:r w:rsidRPr="00C255BE">
              <w:rPr>
                <w:b/>
              </w:rPr>
              <w:t>Patient population</w:t>
            </w:r>
          </w:p>
        </w:tc>
        <w:tc>
          <w:tcPr>
            <w:tcW w:w="973"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903C2" w:rsidP="00356E60">
            <w:pPr>
              <w:pStyle w:val="TableText1"/>
              <w:keepLines/>
              <w:jc w:val="center"/>
              <w:rPr>
                <w:b/>
              </w:rPr>
            </w:pPr>
            <w:r w:rsidRPr="00C255BE">
              <w:rPr>
                <w:b/>
              </w:rPr>
              <w:t>Outcome(s)</w:t>
            </w:r>
          </w:p>
        </w:tc>
      </w:tr>
      <w:tr w:rsidR="00F903C2" w:rsidRPr="00C255BE" w:rsidTr="00786F6A">
        <w:tc>
          <w:tcPr>
            <w:tcW w:w="564"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903C2" w:rsidP="00356E60">
            <w:pPr>
              <w:pStyle w:val="TableText1"/>
              <w:keepLines/>
            </w:pPr>
            <w:r w:rsidRPr="00C255BE">
              <w:t>Study 341</w:t>
            </w:r>
          </w:p>
        </w:tc>
        <w:tc>
          <w:tcPr>
            <w:tcW w:w="389"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F01E2" w:rsidP="00356E60">
            <w:pPr>
              <w:pStyle w:val="TableText1"/>
              <w:keepLines/>
              <w:jc w:val="center"/>
              <w:rPr>
                <w:rFonts w:ascii="Times" w:eastAsia="Times New Roman" w:hAnsi="Times" w:cs="Times New Roman"/>
              </w:rPr>
            </w:pPr>
            <w:r w:rsidRPr="00C255BE">
              <w:t>72</w:t>
            </w:r>
          </w:p>
        </w:tc>
        <w:tc>
          <w:tcPr>
            <w:tcW w:w="1482"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903C2" w:rsidP="00356E60">
            <w:pPr>
              <w:pStyle w:val="TableText1"/>
              <w:keepLines/>
              <w:jc w:val="center"/>
              <w:rPr>
                <w:rFonts w:ascii="Times" w:eastAsia="Times New Roman" w:hAnsi="Times" w:cs="Times New Roman"/>
              </w:rPr>
            </w:pPr>
            <w:r w:rsidRPr="00C255BE">
              <w:t>R</w:t>
            </w:r>
            <w:r w:rsidR="008E4FA3" w:rsidRPr="00C255BE">
              <w:t>andomised</w:t>
            </w:r>
            <w:r w:rsidRPr="00C255BE">
              <w:t xml:space="preserve">, </w:t>
            </w:r>
            <w:r w:rsidR="008E4FA3" w:rsidRPr="00C255BE">
              <w:t>open label</w:t>
            </w:r>
            <w:r w:rsidR="00FF01E2" w:rsidRPr="00C255BE">
              <w:t>, crossover</w:t>
            </w:r>
            <w:r w:rsidR="008D34AF" w:rsidRPr="00C255BE">
              <w:t xml:space="preserve"> study</w:t>
            </w:r>
          </w:p>
          <w:p w:rsidR="00F903C2" w:rsidRPr="00C255BE" w:rsidRDefault="00FF01E2" w:rsidP="00356E60">
            <w:pPr>
              <w:pStyle w:val="TableText1"/>
              <w:keepLines/>
              <w:jc w:val="center"/>
              <w:rPr>
                <w:rFonts w:ascii="Times" w:eastAsia="Times New Roman" w:hAnsi="Times" w:cs="Times New Roman"/>
              </w:rPr>
            </w:pPr>
            <w:r w:rsidRPr="00C255BE">
              <w:t>Single dose for each treatment group</w:t>
            </w:r>
          </w:p>
        </w:tc>
        <w:tc>
          <w:tcPr>
            <w:tcW w:w="618"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903C2" w:rsidP="00356E60">
            <w:pPr>
              <w:pStyle w:val="TableText1"/>
              <w:keepLines/>
              <w:jc w:val="center"/>
              <w:rPr>
                <w:rFonts w:ascii="Times" w:eastAsia="Times New Roman" w:hAnsi="Times" w:cs="Times New Roman"/>
              </w:rPr>
            </w:pPr>
            <w:r w:rsidRPr="00C255BE">
              <w:t>Low</w:t>
            </w:r>
          </w:p>
        </w:tc>
        <w:tc>
          <w:tcPr>
            <w:tcW w:w="974"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903C2" w:rsidP="00356E60">
            <w:pPr>
              <w:pStyle w:val="TableText1"/>
              <w:keepLines/>
              <w:jc w:val="center"/>
            </w:pPr>
            <w:r w:rsidRPr="00C255BE">
              <w:t>Healthy adults</w:t>
            </w:r>
          </w:p>
        </w:tc>
        <w:tc>
          <w:tcPr>
            <w:tcW w:w="973"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903C2" w:rsidP="00356E60">
            <w:pPr>
              <w:pStyle w:val="TableText1"/>
              <w:keepLines/>
              <w:jc w:val="center"/>
            </w:pPr>
            <w:r w:rsidRPr="00C255BE">
              <w:t>Bioequivalence (AUC, C</w:t>
            </w:r>
            <w:r w:rsidRPr="00C255BE">
              <w:rPr>
                <w:vertAlign w:val="subscript"/>
              </w:rPr>
              <w:t>max</w:t>
            </w:r>
            <w:r w:rsidRPr="00C255BE">
              <w:t>)</w:t>
            </w:r>
          </w:p>
        </w:tc>
      </w:tr>
      <w:tr w:rsidR="00F903C2" w:rsidRPr="00C255BE" w:rsidTr="00786F6A">
        <w:tc>
          <w:tcPr>
            <w:tcW w:w="564"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903C2" w:rsidP="00356E60">
            <w:pPr>
              <w:pStyle w:val="TableText1"/>
              <w:keepLines/>
              <w:rPr>
                <w:rFonts w:ascii="Times" w:eastAsia="Times New Roman" w:hAnsi="Times" w:cs="Times New Roman"/>
              </w:rPr>
            </w:pPr>
            <w:r w:rsidRPr="00C255BE">
              <w:t>Study 129</w:t>
            </w:r>
          </w:p>
        </w:tc>
        <w:tc>
          <w:tcPr>
            <w:tcW w:w="389"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F01E2" w:rsidP="00356E60">
            <w:pPr>
              <w:pStyle w:val="TableText1"/>
              <w:keepLines/>
              <w:jc w:val="center"/>
              <w:rPr>
                <w:rFonts w:ascii="Times" w:eastAsia="Times New Roman" w:hAnsi="Times" w:cs="Times New Roman"/>
              </w:rPr>
            </w:pPr>
            <w:r w:rsidRPr="00C255BE">
              <w:t>320</w:t>
            </w:r>
          </w:p>
        </w:tc>
        <w:tc>
          <w:tcPr>
            <w:tcW w:w="1482"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903C2" w:rsidP="00356E60">
            <w:pPr>
              <w:pStyle w:val="TableText1"/>
              <w:keepLines/>
              <w:jc w:val="center"/>
              <w:rPr>
                <w:rFonts w:ascii="Times" w:eastAsia="Times New Roman" w:hAnsi="Times" w:cs="Times New Roman"/>
              </w:rPr>
            </w:pPr>
            <w:r w:rsidRPr="00C255BE">
              <w:t>R</w:t>
            </w:r>
            <w:r w:rsidR="008E4FA3" w:rsidRPr="00C255BE">
              <w:t>andomised</w:t>
            </w:r>
            <w:r w:rsidRPr="00C255BE">
              <w:t xml:space="preserve">, </w:t>
            </w:r>
            <w:r w:rsidR="008E4FA3" w:rsidRPr="00C255BE">
              <w:t>double blind</w:t>
            </w:r>
            <w:r w:rsidR="00FF01E2" w:rsidRPr="00C255BE">
              <w:t xml:space="preserve">, </w:t>
            </w:r>
            <w:r w:rsidR="008E4FA3" w:rsidRPr="00C255BE">
              <w:t>placebo controlled, parallel group, multicentre</w:t>
            </w:r>
            <w:r w:rsidR="008D34AF" w:rsidRPr="00C255BE">
              <w:t xml:space="preserve"> study</w:t>
            </w:r>
          </w:p>
          <w:p w:rsidR="00F903C2" w:rsidRPr="00C255BE" w:rsidRDefault="00F903C2" w:rsidP="00356E60">
            <w:pPr>
              <w:pStyle w:val="TableText1"/>
              <w:keepLines/>
              <w:jc w:val="center"/>
              <w:rPr>
                <w:rFonts w:ascii="Times" w:eastAsia="Times New Roman" w:hAnsi="Times" w:cs="Times New Roman"/>
              </w:rPr>
            </w:pPr>
            <w:r w:rsidRPr="00C255BE">
              <w:t>24 weeks plus extension</w:t>
            </w:r>
          </w:p>
        </w:tc>
        <w:tc>
          <w:tcPr>
            <w:tcW w:w="618"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903C2" w:rsidP="00356E60">
            <w:pPr>
              <w:pStyle w:val="TableText1"/>
              <w:keepLines/>
              <w:jc w:val="center"/>
              <w:rPr>
                <w:rFonts w:ascii="Times" w:eastAsia="Times New Roman" w:hAnsi="Times" w:cs="Times New Roman"/>
              </w:rPr>
            </w:pPr>
            <w:r w:rsidRPr="00C255BE">
              <w:t>Low</w:t>
            </w:r>
          </w:p>
        </w:tc>
        <w:tc>
          <w:tcPr>
            <w:tcW w:w="974" w:type="pct"/>
            <w:tcBorders>
              <w:top w:val="single" w:sz="4" w:space="0" w:color="auto"/>
              <w:left w:val="single" w:sz="4" w:space="0" w:color="auto"/>
              <w:bottom w:val="single" w:sz="4" w:space="0" w:color="auto"/>
              <w:right w:val="single" w:sz="4" w:space="0" w:color="auto"/>
            </w:tcBorders>
            <w:vAlign w:val="center"/>
          </w:tcPr>
          <w:p w:rsidR="00F903C2" w:rsidRPr="00C255BE" w:rsidRDefault="0061024C" w:rsidP="00356E60">
            <w:pPr>
              <w:pStyle w:val="TableText1"/>
              <w:keepLines/>
              <w:jc w:val="center"/>
              <w:rPr>
                <w:highlight w:val="yellow"/>
              </w:rPr>
            </w:pPr>
            <w:r w:rsidRPr="00C255BE">
              <w:t>Adults with type 2 diabetes w/ inadequate glycaemic control on metformin + saxagliptin</w:t>
            </w:r>
          </w:p>
        </w:tc>
        <w:tc>
          <w:tcPr>
            <w:tcW w:w="973"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903C2" w:rsidP="00356E60">
            <w:pPr>
              <w:pStyle w:val="TableText1"/>
              <w:keepLines/>
              <w:jc w:val="center"/>
            </w:pPr>
            <w:r w:rsidRPr="00C255BE">
              <w:t>Change from baseline to week 24 in HbA1c</w:t>
            </w:r>
          </w:p>
        </w:tc>
      </w:tr>
      <w:tr w:rsidR="00F903C2" w:rsidRPr="00C255BE" w:rsidTr="00786F6A">
        <w:tc>
          <w:tcPr>
            <w:tcW w:w="564"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903C2" w:rsidP="00356E60">
            <w:pPr>
              <w:pStyle w:val="TableText1"/>
              <w:keepLines/>
            </w:pPr>
            <w:r w:rsidRPr="00C255BE">
              <w:t>Study 10</w:t>
            </w:r>
          </w:p>
        </w:tc>
        <w:tc>
          <w:tcPr>
            <w:tcW w:w="389"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F01E2" w:rsidP="00356E60">
            <w:pPr>
              <w:pStyle w:val="TableText1"/>
              <w:keepLines/>
              <w:jc w:val="center"/>
              <w:rPr>
                <w:rFonts w:ascii="Times" w:eastAsia="Times New Roman" w:hAnsi="Times" w:cs="Times New Roman"/>
              </w:rPr>
            </w:pPr>
            <w:r w:rsidRPr="00C255BE">
              <w:t>447</w:t>
            </w:r>
          </w:p>
        </w:tc>
        <w:tc>
          <w:tcPr>
            <w:tcW w:w="1482" w:type="pct"/>
            <w:tcBorders>
              <w:top w:val="single" w:sz="4" w:space="0" w:color="auto"/>
              <w:left w:val="single" w:sz="4" w:space="0" w:color="auto"/>
              <w:bottom w:val="single" w:sz="4" w:space="0" w:color="auto"/>
              <w:right w:val="single" w:sz="4" w:space="0" w:color="auto"/>
            </w:tcBorders>
            <w:vAlign w:val="center"/>
            <w:hideMark/>
          </w:tcPr>
          <w:p w:rsidR="008D34AF" w:rsidRPr="00C255BE" w:rsidRDefault="008D34AF" w:rsidP="00356E60">
            <w:pPr>
              <w:pStyle w:val="TableText1"/>
              <w:keepLines/>
              <w:jc w:val="center"/>
              <w:rPr>
                <w:rFonts w:ascii="Times" w:eastAsia="Times New Roman" w:hAnsi="Times" w:cs="Times New Roman"/>
              </w:rPr>
            </w:pPr>
            <w:r w:rsidRPr="00C255BE">
              <w:t>Randomised, double blind, placebo controlled, parallel group, multicentre study</w:t>
            </w:r>
          </w:p>
          <w:p w:rsidR="00F903C2" w:rsidRPr="00C255BE" w:rsidRDefault="00F903C2" w:rsidP="00356E60">
            <w:pPr>
              <w:pStyle w:val="TableText1"/>
              <w:keepLines/>
              <w:jc w:val="center"/>
              <w:rPr>
                <w:rFonts w:ascii="Times" w:eastAsia="Times New Roman" w:hAnsi="Times" w:cs="Times New Roman"/>
              </w:rPr>
            </w:pPr>
            <w:r w:rsidRPr="00C255BE">
              <w:t>24 weeks plus extension</w:t>
            </w:r>
          </w:p>
        </w:tc>
        <w:tc>
          <w:tcPr>
            <w:tcW w:w="618"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903C2" w:rsidP="00356E60">
            <w:pPr>
              <w:pStyle w:val="TableText1"/>
              <w:keepLines/>
              <w:jc w:val="center"/>
              <w:rPr>
                <w:rFonts w:ascii="Times" w:eastAsia="Times New Roman" w:hAnsi="Times" w:cs="Times New Roman"/>
              </w:rPr>
            </w:pPr>
            <w:r w:rsidRPr="00C255BE">
              <w:t>Low</w:t>
            </w:r>
          </w:p>
        </w:tc>
        <w:tc>
          <w:tcPr>
            <w:tcW w:w="974" w:type="pct"/>
            <w:tcBorders>
              <w:top w:val="single" w:sz="4" w:space="0" w:color="auto"/>
              <w:left w:val="single" w:sz="4" w:space="0" w:color="auto"/>
              <w:bottom w:val="single" w:sz="4" w:space="0" w:color="auto"/>
              <w:right w:val="single" w:sz="4" w:space="0" w:color="auto"/>
            </w:tcBorders>
            <w:vAlign w:val="center"/>
          </w:tcPr>
          <w:p w:rsidR="00F903C2" w:rsidRPr="00C255BE" w:rsidRDefault="002F7332" w:rsidP="00356E60">
            <w:pPr>
              <w:pStyle w:val="TableText1"/>
              <w:keepLines/>
              <w:jc w:val="center"/>
              <w:rPr>
                <w:highlight w:val="yellow"/>
              </w:rPr>
            </w:pPr>
            <w:r w:rsidRPr="00C255BE">
              <w:t>Adults with type 2 diabetes w/ inadequate glycaemic control on metformin + sitagliptin</w:t>
            </w:r>
          </w:p>
        </w:tc>
        <w:tc>
          <w:tcPr>
            <w:tcW w:w="973" w:type="pct"/>
            <w:tcBorders>
              <w:top w:val="single" w:sz="4" w:space="0" w:color="auto"/>
              <w:left w:val="single" w:sz="4" w:space="0" w:color="auto"/>
              <w:bottom w:val="single" w:sz="4" w:space="0" w:color="auto"/>
              <w:right w:val="single" w:sz="4" w:space="0" w:color="auto"/>
            </w:tcBorders>
            <w:vAlign w:val="center"/>
            <w:hideMark/>
          </w:tcPr>
          <w:p w:rsidR="00F903C2" w:rsidRPr="00C255BE" w:rsidRDefault="00F903C2" w:rsidP="00356E60">
            <w:pPr>
              <w:pStyle w:val="TableText1"/>
              <w:keepLines/>
              <w:jc w:val="center"/>
            </w:pPr>
            <w:r w:rsidRPr="00C255BE">
              <w:t>Change from baseline to week 24 in HbA1c</w:t>
            </w:r>
          </w:p>
        </w:tc>
      </w:tr>
    </w:tbl>
    <w:p w:rsidR="00F903C2" w:rsidRPr="00C255BE" w:rsidRDefault="00F903C2" w:rsidP="00356E60">
      <w:pPr>
        <w:pStyle w:val="TableFooter"/>
        <w:keepNext/>
        <w:keepLines/>
        <w:spacing w:after="240"/>
        <w:contextualSpacing/>
      </w:pPr>
      <w:r w:rsidRPr="00C255BE">
        <w:t>Abbreviations</w:t>
      </w:r>
      <w:r w:rsidR="008E4FA3" w:rsidRPr="00C255BE">
        <w:t>:</w:t>
      </w:r>
      <w:r w:rsidR="00D56A23" w:rsidRPr="00C255BE">
        <w:t xml:space="preserve"> AUC, area under the curve; C</w:t>
      </w:r>
      <w:r w:rsidR="00D56A23" w:rsidRPr="00C255BE">
        <w:rPr>
          <w:vertAlign w:val="subscript"/>
        </w:rPr>
        <w:t>max</w:t>
      </w:r>
      <w:r w:rsidR="00D56A23" w:rsidRPr="00C255BE">
        <w:t>, maximum plasma concentration</w:t>
      </w:r>
      <w:r w:rsidR="004E7FF8" w:rsidRPr="00C255BE">
        <w:t>; HbA1c, glycosylated haemoglobin</w:t>
      </w:r>
      <w:r w:rsidRPr="00C255BE">
        <w:t>.</w:t>
      </w:r>
    </w:p>
    <w:p w:rsidR="00F903C2" w:rsidRPr="00C255BE" w:rsidRDefault="00F903C2" w:rsidP="00356E60">
      <w:pPr>
        <w:pStyle w:val="TableFooter"/>
        <w:keepNext/>
        <w:keepLines/>
        <w:spacing w:after="240"/>
        <w:contextualSpacing/>
      </w:pPr>
      <w:r w:rsidRPr="00C255BE">
        <w:t>Source: compiled during the evaluation</w:t>
      </w:r>
    </w:p>
    <w:p w:rsidR="00137F8D" w:rsidRPr="00C255BE" w:rsidRDefault="005F1F15" w:rsidP="00A51748">
      <w:pPr>
        <w:pStyle w:val="ESnumberedparablue"/>
        <w:numPr>
          <w:ilvl w:val="1"/>
          <w:numId w:val="1"/>
        </w:numPr>
        <w:rPr>
          <w:rFonts w:asciiTheme="minorHAnsi" w:hAnsiTheme="minorHAnsi"/>
          <w:color w:val="auto"/>
          <w:sz w:val="24"/>
        </w:rPr>
      </w:pPr>
      <w:r w:rsidRPr="00C255BE">
        <w:rPr>
          <w:rFonts w:asciiTheme="minorHAnsi" w:hAnsiTheme="minorHAnsi"/>
          <w:color w:val="auto"/>
          <w:sz w:val="24"/>
        </w:rPr>
        <w:t xml:space="preserve">Of the doses included in Study 341, only the 10 mg/5 mg dose strength is TGA registered in Australia, therefore only data from this cohort (n=36) was included in the submission. Study 10 was a placebo-controlled trial consisting of two strata, assessing the efficacy and safety of dapagliflozin as add-on therapy to sitagliptin monotherapy (stratum 1) and dapagliflozin as add-on therapy to metformin and sitagliptin dual therapy (stratum 2). The submission appropriately included stratum 2 only as stratum 1 (dual therapy) was not applicable to patients eligible for dapagliflozin </w:t>
      </w:r>
      <w:r w:rsidR="00126F18" w:rsidRPr="00C255BE">
        <w:rPr>
          <w:rFonts w:asciiTheme="minorHAnsi" w:hAnsiTheme="minorHAnsi"/>
          <w:color w:val="auto"/>
          <w:sz w:val="24"/>
        </w:rPr>
        <w:t>under the requested restriction</w:t>
      </w:r>
      <w:r w:rsidRPr="00C255BE">
        <w:rPr>
          <w:rFonts w:asciiTheme="minorHAnsi" w:hAnsiTheme="minorHAnsi"/>
          <w:color w:val="auto"/>
          <w:sz w:val="24"/>
        </w:rPr>
        <w:t>.</w:t>
      </w:r>
    </w:p>
    <w:p w:rsidR="00481314" w:rsidRPr="00C255BE" w:rsidRDefault="008D34AF" w:rsidP="00A51748">
      <w:pPr>
        <w:pStyle w:val="ESnumberedparablue"/>
        <w:numPr>
          <w:ilvl w:val="1"/>
          <w:numId w:val="1"/>
        </w:numPr>
        <w:rPr>
          <w:rFonts w:asciiTheme="minorHAnsi" w:hAnsiTheme="minorHAnsi"/>
          <w:color w:val="auto"/>
          <w:sz w:val="24"/>
        </w:rPr>
      </w:pPr>
      <w:r w:rsidRPr="00C255BE">
        <w:rPr>
          <w:rFonts w:asciiTheme="minorHAnsi" w:hAnsiTheme="minorHAnsi"/>
          <w:color w:val="auto"/>
          <w:sz w:val="24"/>
        </w:rPr>
        <w:t>The results of the bioequivalence Study 341 are presented in Table 4.</w:t>
      </w:r>
    </w:p>
    <w:p w:rsidR="008D34AF" w:rsidRPr="00C255BE" w:rsidRDefault="008D34AF" w:rsidP="00481314">
      <w:pPr>
        <w:widowControl/>
        <w:jc w:val="left"/>
        <w:rPr>
          <w:rFonts w:asciiTheme="minorHAnsi" w:eastAsiaTheme="minorHAnsi" w:hAnsiTheme="minorHAnsi" w:cstheme="minorBidi"/>
          <w:snapToGrid/>
          <w:sz w:val="24"/>
          <w:szCs w:val="22"/>
        </w:rPr>
      </w:pPr>
    </w:p>
    <w:p w:rsidR="00786F6A" w:rsidRPr="00786F6A" w:rsidRDefault="00786F6A" w:rsidP="00786F6A">
      <w:pPr>
        <w:rPr>
          <w:rStyle w:val="CommentReference"/>
        </w:rPr>
      </w:pPr>
      <w:r w:rsidRPr="00786F6A">
        <w:rPr>
          <w:rStyle w:val="CommentReference"/>
        </w:rPr>
        <w:t xml:space="preserve">Table </w:t>
      </w:r>
      <w:r>
        <w:rPr>
          <w:rStyle w:val="CommentReference"/>
          <w:noProof/>
        </w:rPr>
        <w:t>4</w:t>
      </w:r>
      <w:r w:rsidRPr="00786F6A">
        <w:rPr>
          <w:rStyle w:val="CommentReference"/>
        </w:rPr>
        <w:t>: Bioequivalence of dapagliflozin/saxagliptin 10 mg/5 mg FDC to individual components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2975"/>
        <w:gridCol w:w="2474"/>
        <w:gridCol w:w="2243"/>
      </w:tblGrid>
      <w:tr w:rsidR="00725077" w:rsidRPr="00C255BE" w:rsidTr="00425F93">
        <w:trPr>
          <w:trHeight w:val="407"/>
        </w:trPr>
        <w:tc>
          <w:tcPr>
            <w:tcW w:w="1443" w:type="dxa"/>
            <w:vMerge w:val="restart"/>
            <w:vAlign w:val="center"/>
          </w:tcPr>
          <w:p w:rsidR="00725077" w:rsidRPr="00C255BE" w:rsidRDefault="00725077" w:rsidP="00425F93">
            <w:pPr>
              <w:pStyle w:val="COMtbl-HEADLeftAligned"/>
              <w:keepNext/>
            </w:pPr>
            <w:r w:rsidRPr="00C255BE">
              <w:t>Trial</w:t>
            </w:r>
          </w:p>
        </w:tc>
        <w:tc>
          <w:tcPr>
            <w:tcW w:w="7692" w:type="dxa"/>
            <w:gridSpan w:val="3"/>
            <w:vAlign w:val="center"/>
          </w:tcPr>
          <w:p w:rsidR="00725077" w:rsidRPr="00C255BE" w:rsidRDefault="00725077" w:rsidP="00425F93">
            <w:pPr>
              <w:pStyle w:val="COMtbl-HEADCentred"/>
              <w:keepNext/>
            </w:pPr>
            <w:r w:rsidRPr="00C255BE">
              <w:t>Adjusted Geometric Mean Ratio (90% CI)</w:t>
            </w:r>
          </w:p>
        </w:tc>
      </w:tr>
      <w:tr w:rsidR="00725077" w:rsidRPr="00C255BE" w:rsidTr="00425F93">
        <w:trPr>
          <w:trHeight w:val="389"/>
        </w:trPr>
        <w:tc>
          <w:tcPr>
            <w:tcW w:w="1443" w:type="dxa"/>
            <w:vMerge/>
            <w:vAlign w:val="center"/>
          </w:tcPr>
          <w:p w:rsidR="00725077" w:rsidRPr="00C255BE" w:rsidRDefault="00725077" w:rsidP="00425F93">
            <w:pPr>
              <w:keepNext/>
              <w:jc w:val="left"/>
              <w:rPr>
                <w:sz w:val="20"/>
              </w:rPr>
            </w:pPr>
          </w:p>
        </w:tc>
        <w:tc>
          <w:tcPr>
            <w:tcW w:w="2975" w:type="dxa"/>
            <w:vAlign w:val="center"/>
          </w:tcPr>
          <w:p w:rsidR="00725077" w:rsidRPr="00C255BE" w:rsidRDefault="00725077" w:rsidP="00425F93">
            <w:pPr>
              <w:pStyle w:val="COMtbl-HEADCentred"/>
              <w:keepNext/>
            </w:pPr>
            <w:r w:rsidRPr="00C255BE">
              <w:t>AUC</w:t>
            </w:r>
            <w:r w:rsidRPr="00C255BE">
              <w:rPr>
                <w:vertAlign w:val="subscript"/>
              </w:rPr>
              <w:t>INF</w:t>
            </w:r>
            <w:r w:rsidRPr="00C255BE">
              <w:t xml:space="preserve"> (ng.h/mL)</w:t>
            </w:r>
          </w:p>
        </w:tc>
        <w:tc>
          <w:tcPr>
            <w:tcW w:w="2474" w:type="dxa"/>
            <w:vAlign w:val="center"/>
          </w:tcPr>
          <w:p w:rsidR="00725077" w:rsidRPr="00C255BE" w:rsidRDefault="00725077" w:rsidP="00425F93">
            <w:pPr>
              <w:pStyle w:val="COMtbl-HEADCentred"/>
              <w:keepNext/>
              <w:rPr>
                <w:highlight w:val="yellow"/>
              </w:rPr>
            </w:pPr>
            <w:r w:rsidRPr="00C255BE">
              <w:t>C</w:t>
            </w:r>
            <w:r w:rsidRPr="00C255BE">
              <w:rPr>
                <w:vertAlign w:val="subscript"/>
              </w:rPr>
              <w:t>max</w:t>
            </w:r>
            <w:r w:rsidRPr="00C255BE">
              <w:t xml:space="preserve"> (ng/mL)</w:t>
            </w:r>
          </w:p>
        </w:tc>
        <w:tc>
          <w:tcPr>
            <w:tcW w:w="2243" w:type="dxa"/>
            <w:vAlign w:val="center"/>
          </w:tcPr>
          <w:p w:rsidR="00725077" w:rsidRPr="00C255BE" w:rsidRDefault="00725077" w:rsidP="00425F93">
            <w:pPr>
              <w:pStyle w:val="COMtbl-HEADCentred"/>
              <w:keepNext/>
            </w:pPr>
            <w:r w:rsidRPr="00C255BE">
              <w:t>AUC</w:t>
            </w:r>
            <w:r w:rsidRPr="00C255BE">
              <w:rPr>
                <w:vertAlign w:val="subscript"/>
              </w:rPr>
              <w:t>0-T</w:t>
            </w:r>
            <w:r w:rsidRPr="00C255BE">
              <w:t xml:space="preserve"> (ng.h/mL)</w:t>
            </w:r>
          </w:p>
        </w:tc>
      </w:tr>
      <w:tr w:rsidR="00725077" w:rsidRPr="00C255BE" w:rsidTr="00425F93">
        <w:tc>
          <w:tcPr>
            <w:tcW w:w="9135" w:type="dxa"/>
            <w:gridSpan w:val="4"/>
          </w:tcPr>
          <w:p w:rsidR="00725077" w:rsidRPr="00C255BE" w:rsidRDefault="00725077" w:rsidP="00425F93">
            <w:pPr>
              <w:pStyle w:val="COMtbl-HEADLeftAligned"/>
              <w:keepNext/>
            </w:pPr>
            <w:r w:rsidRPr="00C255BE">
              <w:t>Study 341 (10 mg/5 mg FDC vs individual components, fasted state)</w:t>
            </w:r>
          </w:p>
        </w:tc>
      </w:tr>
      <w:tr w:rsidR="00725077" w:rsidRPr="00C255BE" w:rsidTr="00425F93">
        <w:tc>
          <w:tcPr>
            <w:tcW w:w="1443" w:type="dxa"/>
            <w:vAlign w:val="center"/>
          </w:tcPr>
          <w:p w:rsidR="00725077" w:rsidRPr="00C255BE" w:rsidRDefault="00725077" w:rsidP="00425F93">
            <w:pPr>
              <w:pStyle w:val="COMtbl-textLeftAligned"/>
            </w:pPr>
            <w:r w:rsidRPr="00C255BE">
              <w:t>Dapagliflozin</w:t>
            </w:r>
          </w:p>
        </w:tc>
        <w:tc>
          <w:tcPr>
            <w:tcW w:w="2975" w:type="dxa"/>
            <w:vAlign w:val="center"/>
          </w:tcPr>
          <w:p w:rsidR="00725077" w:rsidRPr="00C255BE" w:rsidRDefault="00725077" w:rsidP="00425F93">
            <w:pPr>
              <w:pStyle w:val="COMtbl-textCentred"/>
              <w:rPr>
                <w:highlight w:val="yellow"/>
              </w:rPr>
            </w:pPr>
            <w:r w:rsidRPr="00C255BE">
              <w:t>1.035 (1.008, 1.063)</w:t>
            </w:r>
          </w:p>
        </w:tc>
        <w:tc>
          <w:tcPr>
            <w:tcW w:w="2474" w:type="dxa"/>
            <w:vAlign w:val="center"/>
          </w:tcPr>
          <w:p w:rsidR="00725077" w:rsidRPr="00C255BE" w:rsidRDefault="00725077" w:rsidP="00425F93">
            <w:pPr>
              <w:pStyle w:val="COMtbl-textCentred"/>
              <w:rPr>
                <w:highlight w:val="yellow"/>
              </w:rPr>
            </w:pPr>
            <w:r w:rsidRPr="00C255BE">
              <w:t>0.946 (0.878, 1.019)</w:t>
            </w:r>
          </w:p>
        </w:tc>
        <w:tc>
          <w:tcPr>
            <w:tcW w:w="2243" w:type="dxa"/>
          </w:tcPr>
          <w:p w:rsidR="00725077" w:rsidRPr="00C255BE" w:rsidRDefault="00725077" w:rsidP="00425F93">
            <w:pPr>
              <w:pStyle w:val="COMtbl-textCentred"/>
              <w:rPr>
                <w:highlight w:val="yellow"/>
              </w:rPr>
            </w:pPr>
            <w:r w:rsidRPr="00C255BE">
              <w:t>1.036 (1.010, 1.062)</w:t>
            </w:r>
          </w:p>
        </w:tc>
      </w:tr>
      <w:tr w:rsidR="00725077" w:rsidRPr="00C255BE" w:rsidTr="00425F93">
        <w:tc>
          <w:tcPr>
            <w:tcW w:w="1443" w:type="dxa"/>
            <w:vAlign w:val="center"/>
          </w:tcPr>
          <w:p w:rsidR="00725077" w:rsidRPr="00C255BE" w:rsidRDefault="00725077" w:rsidP="00425F93">
            <w:pPr>
              <w:pStyle w:val="COMtbl-textLeftAligned"/>
            </w:pPr>
            <w:r w:rsidRPr="00C255BE">
              <w:t>Saxagliptin</w:t>
            </w:r>
          </w:p>
        </w:tc>
        <w:tc>
          <w:tcPr>
            <w:tcW w:w="2975" w:type="dxa"/>
            <w:vAlign w:val="center"/>
          </w:tcPr>
          <w:p w:rsidR="00725077" w:rsidRPr="00C255BE" w:rsidRDefault="00725077" w:rsidP="00425F93">
            <w:pPr>
              <w:pStyle w:val="COMtbl-textCentred"/>
              <w:rPr>
                <w:highlight w:val="yellow"/>
              </w:rPr>
            </w:pPr>
            <w:r w:rsidRPr="00C255BE">
              <w:t>1.003 (0.969, 1.038)</w:t>
            </w:r>
          </w:p>
        </w:tc>
        <w:tc>
          <w:tcPr>
            <w:tcW w:w="2474" w:type="dxa"/>
            <w:vAlign w:val="center"/>
          </w:tcPr>
          <w:p w:rsidR="00725077" w:rsidRPr="00C255BE" w:rsidRDefault="00725077" w:rsidP="00425F93">
            <w:pPr>
              <w:pStyle w:val="COMtbl-textCentred"/>
              <w:rPr>
                <w:highlight w:val="yellow"/>
              </w:rPr>
            </w:pPr>
            <w:r w:rsidRPr="00C255BE">
              <w:t>1.059 (0.993, 1.129)</w:t>
            </w:r>
          </w:p>
        </w:tc>
        <w:tc>
          <w:tcPr>
            <w:tcW w:w="2243" w:type="dxa"/>
          </w:tcPr>
          <w:p w:rsidR="00725077" w:rsidRPr="00C255BE" w:rsidRDefault="00725077" w:rsidP="00425F93">
            <w:pPr>
              <w:pStyle w:val="COMtbl-textCentred"/>
              <w:rPr>
                <w:highlight w:val="yellow"/>
              </w:rPr>
            </w:pPr>
            <w:r w:rsidRPr="00C255BE">
              <w:t>1.007 (0.973, 1.042)</w:t>
            </w:r>
          </w:p>
        </w:tc>
      </w:tr>
      <w:tr w:rsidR="00725077" w:rsidRPr="00C255BE" w:rsidTr="00425F93">
        <w:tc>
          <w:tcPr>
            <w:tcW w:w="9135" w:type="dxa"/>
            <w:gridSpan w:val="4"/>
          </w:tcPr>
          <w:p w:rsidR="00725077" w:rsidRPr="00C255BE" w:rsidRDefault="00725077" w:rsidP="00425F93">
            <w:pPr>
              <w:pStyle w:val="COMtbl-HEADLeftAligned"/>
              <w:keepNext/>
            </w:pPr>
            <w:r w:rsidRPr="00C255BE">
              <w:t>Study 341 (FDC fed state vs FDC fasted state)</w:t>
            </w:r>
          </w:p>
        </w:tc>
      </w:tr>
      <w:tr w:rsidR="00725077" w:rsidRPr="00C255BE" w:rsidTr="00425F93">
        <w:tc>
          <w:tcPr>
            <w:tcW w:w="1443" w:type="dxa"/>
            <w:vAlign w:val="center"/>
          </w:tcPr>
          <w:p w:rsidR="00725077" w:rsidRPr="00C255BE" w:rsidRDefault="00725077" w:rsidP="00425F93">
            <w:pPr>
              <w:pStyle w:val="COMtbl-textLeftAligned"/>
            </w:pPr>
            <w:r w:rsidRPr="00C255BE">
              <w:t>Dapagliflozin</w:t>
            </w:r>
          </w:p>
        </w:tc>
        <w:tc>
          <w:tcPr>
            <w:tcW w:w="2975" w:type="dxa"/>
            <w:vAlign w:val="center"/>
          </w:tcPr>
          <w:p w:rsidR="00725077" w:rsidRPr="00C255BE" w:rsidRDefault="00725077" w:rsidP="00425F93">
            <w:pPr>
              <w:pStyle w:val="COMtbl-textCentred"/>
              <w:rPr>
                <w:highlight w:val="yellow"/>
              </w:rPr>
            </w:pPr>
            <w:r w:rsidRPr="00C255BE">
              <w:t>0.943 (0.919, 0.968)</w:t>
            </w:r>
          </w:p>
        </w:tc>
        <w:tc>
          <w:tcPr>
            <w:tcW w:w="2474" w:type="dxa"/>
            <w:vAlign w:val="center"/>
          </w:tcPr>
          <w:p w:rsidR="00725077" w:rsidRPr="00C255BE" w:rsidRDefault="00725077" w:rsidP="00425F93">
            <w:pPr>
              <w:pStyle w:val="COMtbl-textCentred"/>
              <w:rPr>
                <w:highlight w:val="yellow"/>
              </w:rPr>
            </w:pPr>
            <w:r w:rsidRPr="00C255BE">
              <w:t>0.648 (0.565, 0.743)</w:t>
            </w:r>
          </w:p>
        </w:tc>
        <w:tc>
          <w:tcPr>
            <w:tcW w:w="2243" w:type="dxa"/>
          </w:tcPr>
          <w:p w:rsidR="00725077" w:rsidRPr="00C255BE" w:rsidRDefault="00725077" w:rsidP="00425F93">
            <w:pPr>
              <w:pStyle w:val="COMtbl-textCentred"/>
              <w:rPr>
                <w:highlight w:val="yellow"/>
              </w:rPr>
            </w:pPr>
            <w:r w:rsidRPr="00C255BE">
              <w:t>0.931 (0.908, 0.955)</w:t>
            </w:r>
          </w:p>
        </w:tc>
      </w:tr>
      <w:tr w:rsidR="00725077" w:rsidRPr="00C255BE" w:rsidTr="00425F93">
        <w:tc>
          <w:tcPr>
            <w:tcW w:w="1443" w:type="dxa"/>
            <w:vAlign w:val="center"/>
          </w:tcPr>
          <w:p w:rsidR="00725077" w:rsidRPr="00C255BE" w:rsidRDefault="00725077" w:rsidP="00425F93">
            <w:pPr>
              <w:pStyle w:val="COMtbl-textLeftAligned"/>
            </w:pPr>
            <w:r w:rsidRPr="00C255BE">
              <w:t>Saxagliptin</w:t>
            </w:r>
          </w:p>
        </w:tc>
        <w:tc>
          <w:tcPr>
            <w:tcW w:w="2975" w:type="dxa"/>
            <w:vAlign w:val="center"/>
          </w:tcPr>
          <w:p w:rsidR="00725077" w:rsidRPr="00C255BE" w:rsidRDefault="00725077" w:rsidP="00425F93">
            <w:pPr>
              <w:pStyle w:val="COMtbl-textCentred"/>
              <w:rPr>
                <w:highlight w:val="yellow"/>
              </w:rPr>
            </w:pPr>
            <w:r w:rsidRPr="00C255BE">
              <w:t>1.155 (1.118, 1.194)</w:t>
            </w:r>
          </w:p>
        </w:tc>
        <w:tc>
          <w:tcPr>
            <w:tcW w:w="2474" w:type="dxa"/>
            <w:vAlign w:val="center"/>
          </w:tcPr>
          <w:p w:rsidR="00725077" w:rsidRPr="00C255BE" w:rsidRDefault="00725077" w:rsidP="00425F93">
            <w:pPr>
              <w:pStyle w:val="COMtbl-textCentred"/>
              <w:rPr>
                <w:highlight w:val="yellow"/>
              </w:rPr>
            </w:pPr>
            <w:r w:rsidRPr="00C255BE">
              <w:t>0.925 (0.837, 1.022)</w:t>
            </w:r>
          </w:p>
        </w:tc>
        <w:tc>
          <w:tcPr>
            <w:tcW w:w="2243" w:type="dxa"/>
          </w:tcPr>
          <w:p w:rsidR="00725077" w:rsidRPr="00C255BE" w:rsidRDefault="00725077" w:rsidP="00425F93">
            <w:pPr>
              <w:pStyle w:val="COMtbl-textCentred"/>
              <w:rPr>
                <w:highlight w:val="yellow"/>
              </w:rPr>
            </w:pPr>
            <w:r w:rsidRPr="00C255BE">
              <w:t>1.155 (1.117, 1.194)</w:t>
            </w:r>
          </w:p>
        </w:tc>
      </w:tr>
    </w:tbl>
    <w:p w:rsidR="00725077" w:rsidRPr="00C255BE" w:rsidRDefault="00725077" w:rsidP="00725077">
      <w:pPr>
        <w:rPr>
          <w:rFonts w:ascii="Arial Narrow" w:hAnsi="Arial Narrow"/>
          <w:sz w:val="18"/>
          <w:szCs w:val="18"/>
        </w:rPr>
      </w:pPr>
      <w:r w:rsidRPr="00C255BE">
        <w:rPr>
          <w:rFonts w:ascii="Arial Narrow" w:hAnsi="Arial Narrow"/>
          <w:sz w:val="18"/>
          <w:szCs w:val="18"/>
        </w:rPr>
        <w:t>Abbreviations: AUC, area under the curve; CI, confidence intervals; C</w:t>
      </w:r>
      <w:r w:rsidRPr="00C255BE">
        <w:rPr>
          <w:rFonts w:ascii="Arial Narrow" w:hAnsi="Arial Narrow"/>
          <w:sz w:val="18"/>
          <w:szCs w:val="18"/>
          <w:vertAlign w:val="subscript"/>
        </w:rPr>
        <w:t>max</w:t>
      </w:r>
      <w:r w:rsidRPr="00C255BE">
        <w:rPr>
          <w:rFonts w:ascii="Arial Narrow" w:hAnsi="Arial Narrow"/>
          <w:sz w:val="18"/>
          <w:szCs w:val="18"/>
        </w:rPr>
        <w:t>, peak serum concentration; DAPA, dapagliflozin; FDC, fixed dose combination; SAXA, saxagliptin</w:t>
      </w:r>
    </w:p>
    <w:p w:rsidR="00725077" w:rsidRPr="00C255BE" w:rsidRDefault="00725077" w:rsidP="005A4C60">
      <w:pPr>
        <w:pStyle w:val="TableFooter"/>
        <w:spacing w:after="240"/>
        <w:contextualSpacing/>
      </w:pPr>
      <w:r w:rsidRPr="00C255BE">
        <w:t>Source: Table 4, pp9-10 of the submission</w:t>
      </w:r>
    </w:p>
    <w:p w:rsidR="008D34AF" w:rsidRPr="00C255BE" w:rsidRDefault="008D34AF" w:rsidP="00A51748">
      <w:pPr>
        <w:pStyle w:val="ESnumberedparablue"/>
        <w:numPr>
          <w:ilvl w:val="1"/>
          <w:numId w:val="1"/>
        </w:numPr>
        <w:rPr>
          <w:rFonts w:asciiTheme="minorHAnsi" w:hAnsiTheme="minorHAnsi"/>
          <w:color w:val="auto"/>
          <w:sz w:val="24"/>
        </w:rPr>
      </w:pPr>
      <w:r w:rsidRPr="00C255BE">
        <w:rPr>
          <w:rFonts w:asciiTheme="minorHAnsi" w:hAnsiTheme="minorHAnsi"/>
          <w:color w:val="auto"/>
          <w:sz w:val="24"/>
        </w:rPr>
        <w:t xml:space="preserve">The fixed dose combinations in Study 341 met the pre-specified bioequivalence margins against the individual components, with 90% CIs of the geometric mean ratios for </w:t>
      </w:r>
      <w:r w:rsidR="00126F18" w:rsidRPr="00C255BE">
        <w:rPr>
          <w:rFonts w:asciiTheme="minorHAnsi" w:hAnsiTheme="minorHAnsi"/>
          <w:color w:val="auto"/>
          <w:sz w:val="24"/>
        </w:rPr>
        <w:t xml:space="preserve">the </w:t>
      </w:r>
      <w:r w:rsidRPr="00C255BE">
        <w:rPr>
          <w:rFonts w:asciiTheme="minorHAnsi" w:hAnsiTheme="minorHAnsi"/>
          <w:color w:val="auto"/>
          <w:sz w:val="24"/>
        </w:rPr>
        <w:t xml:space="preserve">FDC compared to </w:t>
      </w:r>
      <w:r w:rsidR="00126F18" w:rsidRPr="00C255BE">
        <w:rPr>
          <w:rFonts w:asciiTheme="minorHAnsi" w:hAnsiTheme="minorHAnsi"/>
          <w:color w:val="auto"/>
          <w:sz w:val="24"/>
        </w:rPr>
        <w:t xml:space="preserve">the </w:t>
      </w:r>
      <w:r w:rsidRPr="00C255BE">
        <w:rPr>
          <w:rFonts w:asciiTheme="minorHAnsi" w:hAnsiTheme="minorHAnsi"/>
          <w:color w:val="auto"/>
          <w:sz w:val="24"/>
        </w:rPr>
        <w:t>individual components contained within the criterion interval of (0.80, 1.25). The TGA delegate assessed bioequivalence and considered that it had been demonstrated for the FDC tablets and the co</w:t>
      </w:r>
      <w:r w:rsidR="00E20FF3">
        <w:rPr>
          <w:rFonts w:asciiTheme="minorHAnsi" w:hAnsiTheme="minorHAnsi"/>
          <w:color w:val="auto"/>
          <w:sz w:val="24"/>
        </w:rPr>
        <w:noBreakHyphen/>
      </w:r>
      <w:r w:rsidRPr="00C255BE">
        <w:rPr>
          <w:rFonts w:asciiTheme="minorHAnsi" w:hAnsiTheme="minorHAnsi"/>
          <w:color w:val="auto"/>
          <w:sz w:val="24"/>
        </w:rPr>
        <w:t>administered individual components.</w:t>
      </w:r>
    </w:p>
    <w:p w:rsidR="00B813F2" w:rsidRPr="00C255BE" w:rsidRDefault="00B813F2" w:rsidP="00A51748">
      <w:pPr>
        <w:pStyle w:val="ESnumberedparablue"/>
        <w:numPr>
          <w:ilvl w:val="1"/>
          <w:numId w:val="1"/>
        </w:numPr>
        <w:rPr>
          <w:rFonts w:asciiTheme="minorHAnsi" w:hAnsiTheme="minorHAnsi"/>
          <w:color w:val="auto"/>
          <w:sz w:val="24"/>
        </w:rPr>
      </w:pPr>
      <w:r w:rsidRPr="00C255BE">
        <w:rPr>
          <w:rFonts w:asciiTheme="minorHAnsi" w:hAnsiTheme="minorHAnsi"/>
          <w:color w:val="auto"/>
          <w:sz w:val="24"/>
        </w:rPr>
        <w:t xml:space="preserve">Supportive efficacy data from the randomised trials, Study 129 and Study 10, were presented for the primary outcome, mean change in HbA1c from baseline to Week 24. </w:t>
      </w:r>
      <w:r w:rsidR="008D34AF" w:rsidRPr="00C255BE">
        <w:rPr>
          <w:rFonts w:asciiTheme="minorHAnsi" w:hAnsiTheme="minorHAnsi"/>
          <w:color w:val="auto"/>
          <w:sz w:val="24"/>
        </w:rPr>
        <w:t>The results are summarised in Table 5.</w:t>
      </w:r>
      <w:r w:rsidR="00F935A0">
        <w:rPr>
          <w:rFonts w:asciiTheme="minorHAnsi" w:hAnsiTheme="minorHAnsi"/>
          <w:color w:val="auto"/>
          <w:sz w:val="24"/>
        </w:rPr>
        <w:t xml:space="preserve"> Detailed evaluation of these randomised trial data were conducted as part of the PBAC consideration for the concurrent major submission on dapagliflozin (item 6.01 refers)</w:t>
      </w:r>
      <w:r w:rsidR="00F935A0" w:rsidRPr="00C255BE">
        <w:rPr>
          <w:rFonts w:asciiTheme="minorHAnsi" w:hAnsiTheme="minorHAnsi"/>
          <w:color w:val="auto"/>
          <w:sz w:val="24"/>
        </w:rPr>
        <w:t>.</w:t>
      </w:r>
    </w:p>
    <w:p w:rsidR="00786F6A" w:rsidRPr="00786F6A" w:rsidRDefault="00786F6A" w:rsidP="00786F6A">
      <w:pPr>
        <w:keepNext/>
        <w:rPr>
          <w:rStyle w:val="CommentReference"/>
        </w:rPr>
      </w:pPr>
      <w:r w:rsidRPr="00786F6A">
        <w:rPr>
          <w:rStyle w:val="CommentReference"/>
        </w:rPr>
        <w:t xml:space="preserve">Table </w:t>
      </w:r>
      <w:r>
        <w:rPr>
          <w:rStyle w:val="CommentReference"/>
          <w:noProof/>
        </w:rPr>
        <w:t>5</w:t>
      </w:r>
      <w:r w:rsidRPr="00786F6A">
        <w:rPr>
          <w:rStyle w:val="CommentReference"/>
        </w:rPr>
        <w:t>: Results of mean change in HbA1c from baseline across randomised trials</w:t>
      </w:r>
    </w:p>
    <w:tbl>
      <w:tblPr>
        <w:tblStyle w:val="TableGrid"/>
        <w:tblW w:w="0" w:type="auto"/>
        <w:tblInd w:w="108" w:type="dxa"/>
        <w:tblLook w:val="04A0" w:firstRow="1" w:lastRow="0" w:firstColumn="1" w:lastColumn="0" w:noHBand="0" w:noVBand="1"/>
        <w:tblCaption w:val="Results of mean change in HbA1c from baseline across randomised trials"/>
      </w:tblPr>
      <w:tblGrid>
        <w:gridCol w:w="2297"/>
        <w:gridCol w:w="1652"/>
        <w:gridCol w:w="1653"/>
        <w:gridCol w:w="1653"/>
        <w:gridCol w:w="1653"/>
      </w:tblGrid>
      <w:tr w:rsidR="00B813F2" w:rsidRPr="00C255BE" w:rsidTr="00786F6A">
        <w:trPr>
          <w:tblHeader/>
        </w:trPr>
        <w:tc>
          <w:tcPr>
            <w:tcW w:w="2297" w:type="dxa"/>
            <w:vAlign w:val="center"/>
          </w:tcPr>
          <w:p w:rsidR="00B813F2" w:rsidRPr="00C255BE" w:rsidRDefault="00B813F2" w:rsidP="004E7FF8">
            <w:pPr>
              <w:keepNext/>
              <w:rPr>
                <w:rFonts w:ascii="Arial Narrow" w:hAnsi="Arial Narrow"/>
                <w:b/>
                <w:sz w:val="20"/>
              </w:rPr>
            </w:pPr>
            <w:r w:rsidRPr="00C255BE">
              <w:rPr>
                <w:rFonts w:ascii="Arial Narrow" w:hAnsi="Arial Narrow"/>
                <w:b/>
                <w:sz w:val="20"/>
              </w:rPr>
              <w:t>Treatment group</w:t>
            </w:r>
          </w:p>
        </w:tc>
        <w:tc>
          <w:tcPr>
            <w:tcW w:w="1652" w:type="dxa"/>
            <w:vAlign w:val="center"/>
          </w:tcPr>
          <w:p w:rsidR="00B813F2" w:rsidRPr="00C255BE" w:rsidRDefault="00B813F2" w:rsidP="004E7FF8">
            <w:pPr>
              <w:keepNext/>
              <w:jc w:val="center"/>
              <w:rPr>
                <w:rFonts w:ascii="Arial Narrow" w:hAnsi="Arial Narrow"/>
                <w:b/>
                <w:sz w:val="20"/>
              </w:rPr>
            </w:pPr>
            <w:r w:rsidRPr="00C255BE">
              <w:rPr>
                <w:rFonts w:ascii="Arial Narrow" w:hAnsi="Arial Narrow"/>
                <w:b/>
                <w:sz w:val="20"/>
              </w:rPr>
              <w:t>Baseline HbA1c, mean (SD)</w:t>
            </w:r>
            <w:r w:rsidR="00053BB4" w:rsidRPr="00C255BE">
              <w:rPr>
                <w:rFonts w:ascii="Arial Narrow" w:hAnsi="Arial Narrow"/>
                <w:b/>
                <w:sz w:val="20"/>
              </w:rPr>
              <w:t xml:space="preserve"> %</w:t>
            </w:r>
          </w:p>
        </w:tc>
        <w:tc>
          <w:tcPr>
            <w:tcW w:w="1653" w:type="dxa"/>
            <w:vAlign w:val="center"/>
          </w:tcPr>
          <w:p w:rsidR="00B813F2" w:rsidRPr="00C255BE" w:rsidRDefault="00B813F2" w:rsidP="004E7FF8">
            <w:pPr>
              <w:keepNext/>
              <w:jc w:val="center"/>
              <w:rPr>
                <w:rFonts w:ascii="Arial Narrow" w:hAnsi="Arial Narrow"/>
                <w:b/>
                <w:sz w:val="20"/>
              </w:rPr>
            </w:pPr>
            <w:r w:rsidRPr="00C255BE">
              <w:rPr>
                <w:rFonts w:ascii="Arial Narrow" w:hAnsi="Arial Narrow"/>
                <w:b/>
                <w:sz w:val="20"/>
              </w:rPr>
              <w:t>Week 24 HbA1c, mean (SD)</w:t>
            </w:r>
            <w:r w:rsidR="00053BB4" w:rsidRPr="00C255BE">
              <w:rPr>
                <w:rFonts w:ascii="Arial Narrow" w:hAnsi="Arial Narrow"/>
                <w:b/>
                <w:sz w:val="20"/>
              </w:rPr>
              <w:t xml:space="preserve"> %</w:t>
            </w:r>
          </w:p>
        </w:tc>
        <w:tc>
          <w:tcPr>
            <w:tcW w:w="1653" w:type="dxa"/>
            <w:vAlign w:val="center"/>
          </w:tcPr>
          <w:p w:rsidR="00B813F2" w:rsidRPr="00C255BE" w:rsidRDefault="00B813F2" w:rsidP="004E7FF8">
            <w:pPr>
              <w:keepNext/>
              <w:jc w:val="center"/>
              <w:rPr>
                <w:rFonts w:ascii="Arial Narrow" w:hAnsi="Arial Narrow"/>
                <w:b/>
                <w:sz w:val="20"/>
              </w:rPr>
            </w:pPr>
            <w:r w:rsidRPr="00C255BE">
              <w:rPr>
                <w:rFonts w:ascii="Arial Narrow" w:hAnsi="Arial Narrow"/>
                <w:b/>
                <w:sz w:val="20"/>
              </w:rPr>
              <w:t xml:space="preserve">Adj. change from baseline, </w:t>
            </w:r>
            <w:r w:rsidRPr="00C255BE">
              <w:rPr>
                <w:rFonts w:ascii="Arial Narrow" w:hAnsi="Arial Narrow"/>
                <w:b/>
                <w:sz w:val="20"/>
              </w:rPr>
              <w:br/>
              <w:t>mean (SD)</w:t>
            </w:r>
          </w:p>
        </w:tc>
        <w:tc>
          <w:tcPr>
            <w:tcW w:w="1653" w:type="dxa"/>
            <w:vAlign w:val="center"/>
          </w:tcPr>
          <w:p w:rsidR="00B813F2" w:rsidRPr="00C255BE" w:rsidRDefault="00B813F2" w:rsidP="004E7FF8">
            <w:pPr>
              <w:keepNext/>
              <w:jc w:val="center"/>
              <w:rPr>
                <w:rFonts w:ascii="Arial Narrow" w:hAnsi="Arial Narrow"/>
                <w:b/>
                <w:sz w:val="20"/>
              </w:rPr>
            </w:pPr>
            <w:r w:rsidRPr="00C255BE">
              <w:rPr>
                <w:rFonts w:ascii="Arial Narrow" w:hAnsi="Arial Narrow"/>
                <w:b/>
                <w:sz w:val="20"/>
              </w:rPr>
              <w:t xml:space="preserve">Difference in adj. change, </w:t>
            </w:r>
            <w:r w:rsidRPr="00C255BE">
              <w:rPr>
                <w:rFonts w:ascii="Arial Narrow" w:hAnsi="Arial Narrow"/>
                <w:b/>
                <w:sz w:val="20"/>
              </w:rPr>
              <w:br/>
              <w:t>mean (95% CI)</w:t>
            </w:r>
          </w:p>
        </w:tc>
      </w:tr>
      <w:tr w:rsidR="00B813F2" w:rsidRPr="00C255BE" w:rsidTr="00425F93">
        <w:tc>
          <w:tcPr>
            <w:tcW w:w="8908" w:type="dxa"/>
            <w:gridSpan w:val="5"/>
            <w:vAlign w:val="center"/>
          </w:tcPr>
          <w:p w:rsidR="00B813F2" w:rsidRPr="00C255BE" w:rsidRDefault="00B813F2" w:rsidP="00425F93">
            <w:pPr>
              <w:rPr>
                <w:rFonts w:ascii="Arial Narrow" w:hAnsi="Arial Narrow"/>
                <w:sz w:val="20"/>
              </w:rPr>
            </w:pPr>
            <w:r w:rsidRPr="00C255BE">
              <w:rPr>
                <w:rFonts w:ascii="Arial Narrow" w:hAnsi="Arial Narrow"/>
                <w:b/>
                <w:sz w:val="20"/>
              </w:rPr>
              <w:t>Study 129</w:t>
            </w:r>
          </w:p>
        </w:tc>
      </w:tr>
      <w:tr w:rsidR="00B813F2" w:rsidRPr="00C255BE" w:rsidTr="00425F93">
        <w:tc>
          <w:tcPr>
            <w:tcW w:w="2297" w:type="dxa"/>
            <w:vAlign w:val="center"/>
          </w:tcPr>
          <w:p w:rsidR="00B813F2" w:rsidRPr="00C255BE" w:rsidRDefault="00B813F2" w:rsidP="000247F5">
            <w:pPr>
              <w:rPr>
                <w:rFonts w:ascii="Arial Narrow" w:hAnsi="Arial Narrow"/>
                <w:sz w:val="20"/>
              </w:rPr>
            </w:pPr>
            <w:r w:rsidRPr="00C255BE">
              <w:rPr>
                <w:rFonts w:ascii="Arial Narrow" w:hAnsi="Arial Narrow"/>
                <w:sz w:val="20"/>
              </w:rPr>
              <w:t>MET+SAXA+DAPA (n=1</w:t>
            </w:r>
            <w:r w:rsidR="000247F5" w:rsidRPr="00C255BE">
              <w:rPr>
                <w:rFonts w:ascii="Arial Narrow" w:hAnsi="Arial Narrow"/>
                <w:sz w:val="20"/>
              </w:rPr>
              <w:t>60</w:t>
            </w:r>
            <w:r w:rsidRPr="00C255BE">
              <w:rPr>
                <w:rFonts w:ascii="Arial Narrow" w:hAnsi="Arial Narrow"/>
                <w:sz w:val="20"/>
              </w:rPr>
              <w:t>)</w:t>
            </w:r>
          </w:p>
        </w:tc>
        <w:tc>
          <w:tcPr>
            <w:tcW w:w="1652" w:type="dxa"/>
            <w:vAlign w:val="center"/>
          </w:tcPr>
          <w:p w:rsidR="00B813F2" w:rsidRPr="00C255BE" w:rsidRDefault="00B813F2" w:rsidP="00425F93">
            <w:pPr>
              <w:jc w:val="center"/>
              <w:rPr>
                <w:rFonts w:ascii="Arial Narrow" w:hAnsi="Arial Narrow"/>
                <w:sz w:val="20"/>
              </w:rPr>
            </w:pPr>
            <w:r w:rsidRPr="00C255BE">
              <w:rPr>
                <w:rFonts w:ascii="Arial Narrow" w:hAnsi="Arial Narrow"/>
                <w:sz w:val="20"/>
              </w:rPr>
              <w:t>8.24 (0.97)</w:t>
            </w:r>
          </w:p>
        </w:tc>
        <w:tc>
          <w:tcPr>
            <w:tcW w:w="1653" w:type="dxa"/>
            <w:vAlign w:val="center"/>
          </w:tcPr>
          <w:p w:rsidR="00B813F2" w:rsidRPr="00C255BE" w:rsidRDefault="00B813F2" w:rsidP="00425F93">
            <w:pPr>
              <w:jc w:val="center"/>
              <w:rPr>
                <w:rFonts w:ascii="Arial Narrow" w:hAnsi="Arial Narrow"/>
                <w:sz w:val="20"/>
              </w:rPr>
            </w:pPr>
            <w:r w:rsidRPr="00C255BE">
              <w:rPr>
                <w:rFonts w:ascii="Arial Narrow" w:hAnsi="Arial Narrow"/>
                <w:sz w:val="20"/>
              </w:rPr>
              <w:t>7.36 (0.94)</w:t>
            </w:r>
          </w:p>
        </w:tc>
        <w:tc>
          <w:tcPr>
            <w:tcW w:w="1653" w:type="dxa"/>
            <w:vAlign w:val="center"/>
          </w:tcPr>
          <w:p w:rsidR="00B813F2" w:rsidRPr="00C255BE" w:rsidRDefault="00B813F2" w:rsidP="00425F93">
            <w:pPr>
              <w:jc w:val="center"/>
              <w:rPr>
                <w:rFonts w:ascii="Arial Narrow" w:hAnsi="Arial Narrow"/>
                <w:sz w:val="20"/>
              </w:rPr>
            </w:pPr>
            <w:r w:rsidRPr="00C255BE">
              <w:rPr>
                <w:rFonts w:ascii="Arial Narrow" w:hAnsi="Arial Narrow"/>
                <w:sz w:val="20"/>
              </w:rPr>
              <w:noBreakHyphen/>
              <w:t>0.82 (0.88)</w:t>
            </w:r>
          </w:p>
        </w:tc>
        <w:tc>
          <w:tcPr>
            <w:tcW w:w="1653" w:type="dxa"/>
            <w:vMerge w:val="restart"/>
            <w:vAlign w:val="center"/>
          </w:tcPr>
          <w:p w:rsidR="00B813F2" w:rsidRPr="00C255BE" w:rsidRDefault="00B813F2" w:rsidP="00425F93">
            <w:pPr>
              <w:jc w:val="center"/>
              <w:rPr>
                <w:rFonts w:ascii="Arial Narrow" w:hAnsi="Arial Narrow"/>
                <w:sz w:val="20"/>
              </w:rPr>
            </w:pPr>
            <w:r w:rsidRPr="00C255BE">
              <w:rPr>
                <w:rFonts w:ascii="Arial Narrow" w:hAnsi="Arial Narrow"/>
                <w:sz w:val="20"/>
              </w:rPr>
              <w:noBreakHyphen/>
              <w:t>0.72 (</w:t>
            </w:r>
            <w:r w:rsidRPr="00C255BE">
              <w:rPr>
                <w:rFonts w:ascii="Arial Narrow" w:hAnsi="Arial Narrow"/>
                <w:sz w:val="20"/>
              </w:rPr>
              <w:noBreakHyphen/>
              <w:t xml:space="preserve">0.91, </w:t>
            </w:r>
            <w:r w:rsidRPr="00C255BE">
              <w:rPr>
                <w:rFonts w:ascii="Arial Narrow" w:hAnsi="Arial Narrow"/>
                <w:sz w:val="20"/>
              </w:rPr>
              <w:noBreakHyphen/>
              <w:t>0.53)</w:t>
            </w:r>
          </w:p>
        </w:tc>
      </w:tr>
      <w:tr w:rsidR="00B813F2" w:rsidRPr="00C255BE" w:rsidTr="00425F93">
        <w:tc>
          <w:tcPr>
            <w:tcW w:w="2297" w:type="dxa"/>
            <w:vAlign w:val="center"/>
          </w:tcPr>
          <w:p w:rsidR="00B813F2" w:rsidRPr="00C255BE" w:rsidRDefault="00B813F2" w:rsidP="000247F5">
            <w:pPr>
              <w:rPr>
                <w:rFonts w:ascii="Arial Narrow" w:hAnsi="Arial Narrow"/>
                <w:sz w:val="20"/>
              </w:rPr>
            </w:pPr>
            <w:r w:rsidRPr="00C255BE">
              <w:rPr>
                <w:rFonts w:ascii="Arial Narrow" w:hAnsi="Arial Narrow"/>
                <w:sz w:val="20"/>
              </w:rPr>
              <w:t>MET+SAXA+PBO (n=1</w:t>
            </w:r>
            <w:r w:rsidR="000247F5" w:rsidRPr="00C255BE">
              <w:rPr>
                <w:rFonts w:ascii="Arial Narrow" w:hAnsi="Arial Narrow"/>
                <w:sz w:val="20"/>
              </w:rPr>
              <w:t>60</w:t>
            </w:r>
            <w:r w:rsidRPr="00C255BE">
              <w:rPr>
                <w:rFonts w:ascii="Arial Narrow" w:hAnsi="Arial Narrow"/>
                <w:sz w:val="20"/>
              </w:rPr>
              <w:t>)</w:t>
            </w:r>
          </w:p>
        </w:tc>
        <w:tc>
          <w:tcPr>
            <w:tcW w:w="1652" w:type="dxa"/>
            <w:vAlign w:val="center"/>
          </w:tcPr>
          <w:p w:rsidR="00B813F2" w:rsidRPr="00C255BE" w:rsidRDefault="00B813F2" w:rsidP="00425F93">
            <w:pPr>
              <w:jc w:val="center"/>
              <w:rPr>
                <w:rFonts w:ascii="Arial Narrow" w:hAnsi="Arial Narrow"/>
                <w:sz w:val="20"/>
              </w:rPr>
            </w:pPr>
            <w:r w:rsidRPr="00C255BE">
              <w:rPr>
                <w:rFonts w:ascii="Arial Narrow" w:hAnsi="Arial Narrow"/>
                <w:sz w:val="20"/>
              </w:rPr>
              <w:t>8.16 (0.99)</w:t>
            </w:r>
          </w:p>
        </w:tc>
        <w:tc>
          <w:tcPr>
            <w:tcW w:w="1653" w:type="dxa"/>
            <w:vAlign w:val="center"/>
          </w:tcPr>
          <w:p w:rsidR="00B813F2" w:rsidRPr="00C255BE" w:rsidRDefault="00B813F2" w:rsidP="00425F93">
            <w:pPr>
              <w:jc w:val="center"/>
              <w:rPr>
                <w:rFonts w:ascii="Arial Narrow" w:hAnsi="Arial Narrow"/>
                <w:sz w:val="20"/>
              </w:rPr>
            </w:pPr>
            <w:r w:rsidRPr="00C255BE">
              <w:rPr>
                <w:rFonts w:ascii="Arial Narrow" w:hAnsi="Arial Narrow"/>
                <w:sz w:val="20"/>
              </w:rPr>
              <w:t>7.91 (1.05)</w:t>
            </w:r>
          </w:p>
        </w:tc>
        <w:tc>
          <w:tcPr>
            <w:tcW w:w="1653" w:type="dxa"/>
            <w:vAlign w:val="center"/>
          </w:tcPr>
          <w:p w:rsidR="00B813F2" w:rsidRPr="00C255BE" w:rsidRDefault="00B813F2" w:rsidP="00425F93">
            <w:pPr>
              <w:jc w:val="center"/>
              <w:rPr>
                <w:rFonts w:ascii="Arial Narrow" w:hAnsi="Arial Narrow"/>
                <w:sz w:val="20"/>
              </w:rPr>
            </w:pPr>
            <w:r w:rsidRPr="00C255BE">
              <w:rPr>
                <w:rFonts w:ascii="Arial Narrow" w:hAnsi="Arial Narrow"/>
                <w:sz w:val="20"/>
              </w:rPr>
              <w:noBreakHyphen/>
              <w:t>0.10 (0.88)</w:t>
            </w:r>
          </w:p>
        </w:tc>
        <w:tc>
          <w:tcPr>
            <w:tcW w:w="1653" w:type="dxa"/>
            <w:vMerge/>
            <w:vAlign w:val="center"/>
          </w:tcPr>
          <w:p w:rsidR="00B813F2" w:rsidRPr="00C255BE" w:rsidRDefault="00B813F2" w:rsidP="00425F93">
            <w:pPr>
              <w:jc w:val="center"/>
              <w:rPr>
                <w:rFonts w:ascii="Arial Narrow" w:hAnsi="Arial Narrow"/>
                <w:sz w:val="20"/>
              </w:rPr>
            </w:pPr>
          </w:p>
        </w:tc>
      </w:tr>
      <w:tr w:rsidR="00B813F2" w:rsidRPr="00C255BE" w:rsidTr="00425F93">
        <w:tc>
          <w:tcPr>
            <w:tcW w:w="8908" w:type="dxa"/>
            <w:gridSpan w:val="5"/>
            <w:vAlign w:val="center"/>
          </w:tcPr>
          <w:p w:rsidR="00B813F2" w:rsidRPr="00C255BE" w:rsidRDefault="00B813F2" w:rsidP="00425F93">
            <w:pPr>
              <w:rPr>
                <w:rFonts w:ascii="Arial Narrow" w:hAnsi="Arial Narrow"/>
                <w:sz w:val="20"/>
              </w:rPr>
            </w:pPr>
            <w:r w:rsidRPr="00C255BE">
              <w:rPr>
                <w:rFonts w:ascii="Arial Narrow" w:hAnsi="Arial Narrow"/>
                <w:b/>
                <w:sz w:val="20"/>
              </w:rPr>
              <w:t>Study 10 [stratum 2]</w:t>
            </w:r>
          </w:p>
        </w:tc>
      </w:tr>
      <w:tr w:rsidR="00B813F2" w:rsidRPr="00C255BE" w:rsidTr="00425F93">
        <w:tc>
          <w:tcPr>
            <w:tcW w:w="2297" w:type="dxa"/>
            <w:vAlign w:val="center"/>
          </w:tcPr>
          <w:p w:rsidR="00B813F2" w:rsidRPr="00C255BE" w:rsidRDefault="00B813F2" w:rsidP="00425F93">
            <w:pPr>
              <w:rPr>
                <w:rFonts w:ascii="Arial Narrow" w:hAnsi="Arial Narrow"/>
                <w:sz w:val="20"/>
              </w:rPr>
            </w:pPr>
            <w:r w:rsidRPr="00C255BE">
              <w:rPr>
                <w:rFonts w:ascii="Arial Narrow" w:hAnsi="Arial Narrow"/>
                <w:sz w:val="20"/>
              </w:rPr>
              <w:t>MET+SITA+DAPA (n=113)</w:t>
            </w:r>
          </w:p>
        </w:tc>
        <w:tc>
          <w:tcPr>
            <w:tcW w:w="1652" w:type="dxa"/>
            <w:vAlign w:val="center"/>
          </w:tcPr>
          <w:p w:rsidR="00B813F2" w:rsidRPr="00C255BE" w:rsidRDefault="00B813F2" w:rsidP="00425F93">
            <w:pPr>
              <w:jc w:val="center"/>
              <w:rPr>
                <w:rFonts w:ascii="Arial Narrow" w:hAnsi="Arial Narrow"/>
                <w:sz w:val="20"/>
              </w:rPr>
            </w:pPr>
            <w:r w:rsidRPr="00C255BE">
              <w:rPr>
                <w:rFonts w:ascii="Arial Narrow" w:hAnsi="Arial Narrow"/>
                <w:sz w:val="20"/>
              </w:rPr>
              <w:t>7.80 (0.81)</w:t>
            </w:r>
          </w:p>
        </w:tc>
        <w:tc>
          <w:tcPr>
            <w:tcW w:w="1653" w:type="dxa"/>
            <w:vAlign w:val="center"/>
          </w:tcPr>
          <w:p w:rsidR="00B813F2" w:rsidRPr="00C255BE" w:rsidRDefault="00B813F2" w:rsidP="00425F93">
            <w:pPr>
              <w:jc w:val="center"/>
              <w:rPr>
                <w:rFonts w:ascii="Arial Narrow" w:hAnsi="Arial Narrow"/>
                <w:sz w:val="20"/>
              </w:rPr>
            </w:pPr>
            <w:r w:rsidRPr="00C255BE">
              <w:rPr>
                <w:rFonts w:ascii="Arial Narrow" w:hAnsi="Arial Narrow"/>
                <w:sz w:val="20"/>
              </w:rPr>
              <w:t>7.38 (0.73)</w:t>
            </w:r>
          </w:p>
        </w:tc>
        <w:tc>
          <w:tcPr>
            <w:tcW w:w="1653" w:type="dxa"/>
            <w:vAlign w:val="center"/>
          </w:tcPr>
          <w:p w:rsidR="00B813F2" w:rsidRPr="00C255BE" w:rsidRDefault="00B813F2" w:rsidP="00425F93">
            <w:pPr>
              <w:jc w:val="center"/>
              <w:rPr>
                <w:rFonts w:ascii="Arial Narrow" w:hAnsi="Arial Narrow"/>
                <w:sz w:val="20"/>
              </w:rPr>
            </w:pPr>
            <w:r w:rsidRPr="00C255BE">
              <w:rPr>
                <w:rFonts w:ascii="Arial Narrow" w:hAnsi="Arial Narrow"/>
                <w:sz w:val="20"/>
              </w:rPr>
              <w:noBreakHyphen/>
              <w:t>0.43 (0.64)</w:t>
            </w:r>
          </w:p>
        </w:tc>
        <w:tc>
          <w:tcPr>
            <w:tcW w:w="1653" w:type="dxa"/>
            <w:vMerge w:val="restart"/>
            <w:vAlign w:val="center"/>
          </w:tcPr>
          <w:p w:rsidR="00B813F2" w:rsidRPr="00C255BE" w:rsidRDefault="00B813F2" w:rsidP="00425F93">
            <w:pPr>
              <w:jc w:val="center"/>
              <w:rPr>
                <w:rFonts w:ascii="Arial Narrow" w:hAnsi="Arial Narrow"/>
                <w:sz w:val="20"/>
              </w:rPr>
            </w:pPr>
            <w:r w:rsidRPr="00C255BE">
              <w:rPr>
                <w:rFonts w:ascii="Arial Narrow" w:hAnsi="Arial Narrow"/>
                <w:sz w:val="20"/>
              </w:rPr>
              <w:noBreakHyphen/>
              <w:t>0.40 (</w:t>
            </w:r>
            <w:r w:rsidRPr="00C255BE">
              <w:rPr>
                <w:rFonts w:ascii="Arial Narrow" w:hAnsi="Arial Narrow"/>
                <w:sz w:val="20"/>
              </w:rPr>
              <w:noBreakHyphen/>
              <w:t xml:space="preserve">0.58, </w:t>
            </w:r>
            <w:r w:rsidRPr="00C255BE">
              <w:rPr>
                <w:rFonts w:ascii="Arial Narrow" w:hAnsi="Arial Narrow"/>
                <w:sz w:val="20"/>
              </w:rPr>
              <w:noBreakHyphen/>
              <w:t>0.23)</w:t>
            </w:r>
          </w:p>
        </w:tc>
      </w:tr>
      <w:tr w:rsidR="00B813F2" w:rsidRPr="00C255BE" w:rsidTr="00425F93">
        <w:tc>
          <w:tcPr>
            <w:tcW w:w="2297" w:type="dxa"/>
            <w:vAlign w:val="center"/>
          </w:tcPr>
          <w:p w:rsidR="00B813F2" w:rsidRPr="00C255BE" w:rsidRDefault="00B813F2" w:rsidP="00425F93">
            <w:pPr>
              <w:rPr>
                <w:rFonts w:ascii="Arial Narrow" w:hAnsi="Arial Narrow"/>
                <w:sz w:val="20"/>
              </w:rPr>
            </w:pPr>
            <w:r w:rsidRPr="00C255BE">
              <w:rPr>
                <w:rFonts w:ascii="Arial Narrow" w:hAnsi="Arial Narrow"/>
                <w:sz w:val="20"/>
              </w:rPr>
              <w:t>MET+SITA+PBO (n=113)</w:t>
            </w:r>
          </w:p>
        </w:tc>
        <w:tc>
          <w:tcPr>
            <w:tcW w:w="1652" w:type="dxa"/>
            <w:vAlign w:val="center"/>
          </w:tcPr>
          <w:p w:rsidR="00B813F2" w:rsidRPr="00C255BE" w:rsidRDefault="00B813F2" w:rsidP="00425F93">
            <w:pPr>
              <w:jc w:val="center"/>
              <w:rPr>
                <w:rFonts w:ascii="Arial Narrow" w:hAnsi="Arial Narrow"/>
                <w:sz w:val="20"/>
              </w:rPr>
            </w:pPr>
            <w:r w:rsidRPr="00C255BE">
              <w:rPr>
                <w:rFonts w:ascii="Arial Narrow" w:hAnsi="Arial Narrow"/>
                <w:sz w:val="20"/>
              </w:rPr>
              <w:t>7.87 (0.75)</w:t>
            </w:r>
          </w:p>
        </w:tc>
        <w:tc>
          <w:tcPr>
            <w:tcW w:w="1653" w:type="dxa"/>
            <w:vAlign w:val="center"/>
          </w:tcPr>
          <w:p w:rsidR="00B813F2" w:rsidRPr="00C255BE" w:rsidRDefault="00B813F2" w:rsidP="00425F93">
            <w:pPr>
              <w:jc w:val="center"/>
              <w:rPr>
                <w:rFonts w:ascii="Arial Narrow" w:hAnsi="Arial Narrow"/>
                <w:sz w:val="20"/>
              </w:rPr>
            </w:pPr>
            <w:r w:rsidRPr="00C255BE">
              <w:rPr>
                <w:rFonts w:ascii="Arial Narrow" w:hAnsi="Arial Narrow"/>
                <w:sz w:val="20"/>
              </w:rPr>
              <w:t>7.84 (1.05)</w:t>
            </w:r>
          </w:p>
        </w:tc>
        <w:tc>
          <w:tcPr>
            <w:tcW w:w="1653" w:type="dxa"/>
            <w:vAlign w:val="center"/>
          </w:tcPr>
          <w:p w:rsidR="00B813F2" w:rsidRPr="00C255BE" w:rsidRDefault="00B813F2" w:rsidP="00425F93">
            <w:pPr>
              <w:jc w:val="center"/>
              <w:rPr>
                <w:rFonts w:ascii="Arial Narrow" w:hAnsi="Arial Narrow"/>
                <w:sz w:val="20"/>
              </w:rPr>
            </w:pPr>
            <w:r w:rsidRPr="00C255BE">
              <w:rPr>
                <w:rFonts w:ascii="Arial Narrow" w:hAnsi="Arial Narrow"/>
                <w:sz w:val="20"/>
              </w:rPr>
              <w:noBreakHyphen/>
              <w:t>0.02 (0.64)</w:t>
            </w:r>
          </w:p>
        </w:tc>
        <w:tc>
          <w:tcPr>
            <w:tcW w:w="1653" w:type="dxa"/>
            <w:vMerge/>
            <w:vAlign w:val="center"/>
          </w:tcPr>
          <w:p w:rsidR="00B813F2" w:rsidRPr="00C255BE" w:rsidRDefault="00B813F2" w:rsidP="00425F93">
            <w:pPr>
              <w:jc w:val="center"/>
              <w:rPr>
                <w:rFonts w:ascii="Arial Narrow" w:hAnsi="Arial Narrow"/>
                <w:sz w:val="20"/>
              </w:rPr>
            </w:pPr>
          </w:p>
        </w:tc>
      </w:tr>
      <w:tr w:rsidR="00B813F2" w:rsidRPr="00C255BE" w:rsidTr="00425F93">
        <w:tc>
          <w:tcPr>
            <w:tcW w:w="7255" w:type="dxa"/>
            <w:gridSpan w:val="4"/>
            <w:tcBorders>
              <w:bottom w:val="single" w:sz="4" w:space="0" w:color="auto"/>
            </w:tcBorders>
            <w:vAlign w:val="center"/>
          </w:tcPr>
          <w:p w:rsidR="00B813F2" w:rsidRPr="00C255BE" w:rsidRDefault="00B813F2" w:rsidP="00425F93">
            <w:pPr>
              <w:jc w:val="right"/>
              <w:rPr>
                <w:rFonts w:ascii="Arial Narrow" w:hAnsi="Arial Narrow"/>
                <w:sz w:val="20"/>
              </w:rPr>
            </w:pPr>
            <w:r w:rsidRPr="00C255BE">
              <w:rPr>
                <w:rFonts w:ascii="Arial Narrow" w:hAnsi="Arial Narrow"/>
                <w:b/>
                <w:sz w:val="20"/>
              </w:rPr>
              <w:t xml:space="preserve">Pooled results </w:t>
            </w:r>
            <w:r w:rsidRPr="00C255BE">
              <w:rPr>
                <w:rFonts w:ascii="Arial Narrow" w:hAnsi="Arial Narrow"/>
                <w:sz w:val="20"/>
              </w:rPr>
              <w:t>(weighted mean difference) I</w:t>
            </w:r>
            <w:r w:rsidRPr="00C255BE">
              <w:rPr>
                <w:rFonts w:ascii="Arial Narrow" w:hAnsi="Arial Narrow"/>
                <w:sz w:val="20"/>
                <w:vertAlign w:val="superscript"/>
              </w:rPr>
              <w:t>2</w:t>
            </w:r>
            <w:r w:rsidRPr="00C255BE">
              <w:rPr>
                <w:rFonts w:ascii="Arial Narrow" w:hAnsi="Arial Narrow"/>
                <w:sz w:val="20"/>
              </w:rPr>
              <w:t>=82%</w:t>
            </w:r>
          </w:p>
        </w:tc>
        <w:tc>
          <w:tcPr>
            <w:tcW w:w="1653" w:type="dxa"/>
            <w:tcBorders>
              <w:bottom w:val="single" w:sz="4" w:space="0" w:color="auto"/>
            </w:tcBorders>
            <w:vAlign w:val="center"/>
          </w:tcPr>
          <w:p w:rsidR="00B813F2" w:rsidRPr="00C255BE" w:rsidRDefault="00B813F2" w:rsidP="00425F93">
            <w:pPr>
              <w:jc w:val="center"/>
              <w:rPr>
                <w:rFonts w:ascii="Arial Narrow" w:hAnsi="Arial Narrow"/>
                <w:sz w:val="20"/>
              </w:rPr>
            </w:pPr>
            <w:r w:rsidRPr="00C255BE">
              <w:rPr>
                <w:rFonts w:ascii="Arial Narrow" w:hAnsi="Arial Narrow"/>
                <w:sz w:val="20"/>
              </w:rPr>
              <w:noBreakHyphen/>
              <w:t>0.56 (</w:t>
            </w:r>
            <w:r w:rsidRPr="00C255BE">
              <w:rPr>
                <w:rFonts w:ascii="Arial Narrow" w:hAnsi="Arial Narrow"/>
                <w:sz w:val="20"/>
              </w:rPr>
              <w:noBreakHyphen/>
              <w:t xml:space="preserve">0.86, </w:t>
            </w:r>
            <w:r w:rsidRPr="00C255BE">
              <w:rPr>
                <w:rFonts w:ascii="Arial Narrow" w:hAnsi="Arial Narrow"/>
                <w:sz w:val="20"/>
              </w:rPr>
              <w:noBreakHyphen/>
              <w:t>0.26)</w:t>
            </w:r>
          </w:p>
        </w:tc>
      </w:tr>
    </w:tbl>
    <w:p w:rsidR="00B813F2" w:rsidRPr="00C255BE" w:rsidRDefault="00B813F2" w:rsidP="00B813F2">
      <w:pPr>
        <w:pStyle w:val="TableFooter"/>
      </w:pPr>
      <w:r w:rsidRPr="00C255BE">
        <w:t xml:space="preserve">Abbreviations: </w:t>
      </w:r>
      <w:r w:rsidR="004E7FF8" w:rsidRPr="00C255BE">
        <w:t xml:space="preserve">adj., adjusted; </w:t>
      </w:r>
      <w:r w:rsidRPr="00C255BE">
        <w:t xml:space="preserve">CI, confidence interval; DAPA, dapagliflozin; </w:t>
      </w:r>
      <w:r w:rsidR="004E7FF8" w:rsidRPr="00C255BE">
        <w:t xml:space="preserve">HbA1c, glycosylated haemoglobin; </w:t>
      </w:r>
      <w:r w:rsidRPr="00C255BE">
        <w:t>MET, metformin; PBO, placebo; SAXA, saxagliptin; SD, standard deviation; SITA, sitagliptin</w:t>
      </w:r>
    </w:p>
    <w:p w:rsidR="00B813F2" w:rsidRPr="00C255BE" w:rsidRDefault="00B813F2" w:rsidP="005A4C60">
      <w:pPr>
        <w:pStyle w:val="TableFooter"/>
        <w:spacing w:after="240"/>
        <w:contextualSpacing/>
      </w:pPr>
      <w:r w:rsidRPr="00C255BE">
        <w:t>Source: Table 5, p11 of the submission</w:t>
      </w:r>
    </w:p>
    <w:p w:rsidR="00385539" w:rsidRPr="00C255BE" w:rsidRDefault="008D34AF" w:rsidP="00A51748">
      <w:pPr>
        <w:pStyle w:val="ESnumberedparablue"/>
        <w:numPr>
          <w:ilvl w:val="1"/>
          <w:numId w:val="1"/>
        </w:numPr>
        <w:rPr>
          <w:rFonts w:asciiTheme="minorHAnsi" w:hAnsiTheme="minorHAnsi"/>
          <w:color w:val="auto"/>
          <w:sz w:val="24"/>
        </w:rPr>
      </w:pPr>
      <w:bookmarkStart w:id="20" w:name="_Toc413139279"/>
      <w:bookmarkStart w:id="21" w:name="_Toc476306889"/>
      <w:r w:rsidRPr="00C255BE">
        <w:rPr>
          <w:rFonts w:asciiTheme="minorHAnsi" w:hAnsiTheme="minorHAnsi"/>
          <w:color w:val="auto"/>
          <w:sz w:val="24"/>
        </w:rPr>
        <w:t xml:space="preserve">Dapagliflozin add-on to metformin and a DPP4 inhibitor resulted in statistically significant reductions in HbA1c compared with placebo over 24 weeks of treatment. </w:t>
      </w:r>
      <w:r w:rsidR="00061951">
        <w:rPr>
          <w:rFonts w:asciiTheme="minorHAnsi" w:hAnsiTheme="minorHAnsi"/>
          <w:color w:val="auto"/>
          <w:sz w:val="24"/>
        </w:rPr>
        <w:t>The PBAC</w:t>
      </w:r>
      <w:r w:rsidR="006B0445">
        <w:rPr>
          <w:rFonts w:asciiTheme="minorHAnsi" w:hAnsiTheme="minorHAnsi"/>
          <w:color w:val="auto"/>
          <w:sz w:val="24"/>
        </w:rPr>
        <w:t xml:space="preserve"> noted</w:t>
      </w:r>
      <w:r w:rsidRPr="00C255BE">
        <w:rPr>
          <w:rFonts w:asciiTheme="minorHAnsi" w:hAnsiTheme="minorHAnsi"/>
          <w:color w:val="auto"/>
          <w:sz w:val="24"/>
        </w:rPr>
        <w:t xml:space="preserve"> that the pooled results were significantly heterogeneous given the difference in treatment effect and baseline characteristics between the two studies, and must therefore be interpreted with caution</w:t>
      </w:r>
      <w:r w:rsidR="00061951">
        <w:rPr>
          <w:rFonts w:asciiTheme="minorHAnsi" w:hAnsiTheme="minorHAnsi"/>
          <w:color w:val="auto"/>
          <w:sz w:val="24"/>
        </w:rPr>
        <w:t>.</w:t>
      </w:r>
      <w:r w:rsidRPr="00C255BE">
        <w:rPr>
          <w:rFonts w:asciiTheme="minorHAnsi" w:hAnsiTheme="minorHAnsi"/>
          <w:color w:val="auto"/>
          <w:sz w:val="24"/>
        </w:rPr>
        <w:t xml:space="preserve"> </w:t>
      </w:r>
    </w:p>
    <w:p w:rsidR="008D34AF" w:rsidRPr="00C255BE" w:rsidRDefault="004670F5" w:rsidP="00A51748">
      <w:pPr>
        <w:pStyle w:val="ESnumberedparablue"/>
        <w:numPr>
          <w:ilvl w:val="1"/>
          <w:numId w:val="1"/>
        </w:numPr>
        <w:rPr>
          <w:rFonts w:asciiTheme="minorHAnsi" w:hAnsiTheme="minorHAnsi"/>
          <w:color w:val="auto"/>
          <w:sz w:val="24"/>
        </w:rPr>
      </w:pPr>
      <w:r>
        <w:rPr>
          <w:rFonts w:asciiTheme="minorHAnsi" w:hAnsiTheme="minorHAnsi"/>
          <w:color w:val="auto"/>
          <w:sz w:val="24"/>
        </w:rPr>
        <w:t>The PBAC noted that t</w:t>
      </w:r>
      <w:r w:rsidR="008D34AF" w:rsidRPr="00C255BE">
        <w:rPr>
          <w:rFonts w:asciiTheme="minorHAnsi" w:hAnsiTheme="minorHAnsi"/>
          <w:color w:val="auto"/>
          <w:sz w:val="24"/>
        </w:rPr>
        <w:t>he submission did not explore the additive benefit of saxagliptin added to metformin and dapagliflozin.</w:t>
      </w:r>
      <w:r w:rsidR="004B6242" w:rsidRPr="00C255BE">
        <w:rPr>
          <w:rFonts w:asciiTheme="minorHAnsi" w:hAnsiTheme="minorHAnsi"/>
          <w:color w:val="auto"/>
          <w:sz w:val="24"/>
        </w:rPr>
        <w:t xml:space="preserve"> The submission also did not consider the benefit of dapagliflozin + saxagliptin + metformin over any other triple therapy combination, as it is relying on the related submission for dapagliflozin (item </w:t>
      </w:r>
      <w:r w:rsidR="0059777D" w:rsidRPr="00C255BE">
        <w:rPr>
          <w:rFonts w:asciiTheme="minorHAnsi" w:hAnsiTheme="minorHAnsi"/>
          <w:color w:val="auto"/>
          <w:sz w:val="24"/>
        </w:rPr>
        <w:t>6.01</w:t>
      </w:r>
      <w:r w:rsidR="004B6242" w:rsidRPr="00C255BE">
        <w:rPr>
          <w:rFonts w:asciiTheme="minorHAnsi" w:hAnsiTheme="minorHAnsi"/>
          <w:color w:val="auto"/>
          <w:sz w:val="24"/>
        </w:rPr>
        <w:t xml:space="preserve"> refers).</w:t>
      </w:r>
    </w:p>
    <w:p w:rsidR="00137F8D" w:rsidRPr="0010529A" w:rsidRDefault="00137F8D" w:rsidP="00CC0881">
      <w:pPr>
        <w:pStyle w:val="Heading2"/>
        <w:keepNext/>
        <w:keepLines/>
        <w:widowControl/>
        <w:spacing w:before="240" w:after="120"/>
        <w:rPr>
          <w:rFonts w:asciiTheme="minorHAnsi" w:eastAsiaTheme="majorEastAsia" w:hAnsiTheme="minorHAnsi" w:cstheme="majorBidi"/>
          <w:i/>
          <w:snapToGrid/>
          <w:sz w:val="28"/>
          <w:szCs w:val="28"/>
        </w:rPr>
      </w:pPr>
      <w:bookmarkStart w:id="22" w:name="_Toc482700155"/>
      <w:r w:rsidRPr="0010529A">
        <w:rPr>
          <w:rFonts w:asciiTheme="minorHAnsi" w:eastAsiaTheme="majorEastAsia" w:hAnsiTheme="minorHAnsi" w:cstheme="majorBidi"/>
          <w:i/>
          <w:snapToGrid/>
          <w:sz w:val="28"/>
          <w:szCs w:val="28"/>
        </w:rPr>
        <w:t>Comparative harms</w:t>
      </w:r>
      <w:bookmarkEnd w:id="20"/>
      <w:bookmarkEnd w:id="21"/>
      <w:bookmarkEnd w:id="22"/>
    </w:p>
    <w:p w:rsidR="00C75A5C" w:rsidRPr="00C255BE" w:rsidRDefault="005970F4" w:rsidP="00A51748">
      <w:pPr>
        <w:pStyle w:val="ESnumberedparablue"/>
        <w:numPr>
          <w:ilvl w:val="1"/>
          <w:numId w:val="1"/>
        </w:numPr>
        <w:rPr>
          <w:rFonts w:asciiTheme="minorHAnsi" w:hAnsiTheme="minorHAnsi"/>
          <w:color w:val="auto"/>
          <w:sz w:val="24"/>
        </w:rPr>
      </w:pPr>
      <w:r w:rsidRPr="00C255BE">
        <w:rPr>
          <w:rFonts w:asciiTheme="minorHAnsi" w:hAnsiTheme="minorHAnsi"/>
          <w:color w:val="auto"/>
          <w:sz w:val="24"/>
        </w:rPr>
        <w:t xml:space="preserve">The FDC tablet and the individual components administered concurrently were generally safe and well tolerated by the healthy subjects in Study 341. There were no deaths or serious adverse events during the study, and no subjects discontinued due to an adverse event. Nine subjects (25%) from </w:t>
      </w:r>
      <w:r w:rsidR="006D227D" w:rsidRPr="00C255BE">
        <w:rPr>
          <w:rFonts w:asciiTheme="minorHAnsi" w:hAnsiTheme="minorHAnsi"/>
          <w:color w:val="auto"/>
          <w:sz w:val="24"/>
        </w:rPr>
        <w:t>the 10 mg/5 mg dose cohort</w:t>
      </w:r>
      <w:r w:rsidRPr="00C255BE">
        <w:rPr>
          <w:rFonts w:asciiTheme="minorHAnsi" w:hAnsiTheme="minorHAnsi"/>
          <w:color w:val="auto"/>
          <w:sz w:val="24"/>
        </w:rPr>
        <w:t xml:space="preserve"> reported an adverse event during the study, all of which were considered treatment-relevant. The most frequently reported adverse event was nausea (4 subjects, 11.1%).</w:t>
      </w:r>
      <w:bookmarkStart w:id="23" w:name="_Toc413139281"/>
      <w:r w:rsidR="004C70FD" w:rsidRPr="00C255BE">
        <w:rPr>
          <w:rFonts w:asciiTheme="minorHAnsi" w:hAnsiTheme="minorHAnsi"/>
          <w:color w:val="auto"/>
          <w:sz w:val="24"/>
        </w:rPr>
        <w:t xml:space="preserve"> The submission stated that a full assessment of comparative harms when dapagliflozin is added on to metformin and a DPP4 inhibitor was presented in the July 2017 dapagliflozin triple therapy major submission</w:t>
      </w:r>
      <w:r w:rsidR="00CA0E84">
        <w:rPr>
          <w:rFonts w:asciiTheme="minorHAnsi" w:hAnsiTheme="minorHAnsi"/>
          <w:color w:val="auto"/>
          <w:sz w:val="24"/>
        </w:rPr>
        <w:t xml:space="preserve"> (item 6.01 refers)</w:t>
      </w:r>
      <w:r w:rsidR="004C70FD" w:rsidRPr="00C255BE">
        <w:rPr>
          <w:rFonts w:asciiTheme="minorHAnsi" w:hAnsiTheme="minorHAnsi"/>
          <w:color w:val="auto"/>
          <w:sz w:val="24"/>
        </w:rPr>
        <w:t>.</w:t>
      </w:r>
    </w:p>
    <w:p w:rsidR="00137F8D" w:rsidRPr="0010529A" w:rsidRDefault="00137F8D" w:rsidP="00CC0881">
      <w:pPr>
        <w:pStyle w:val="Heading2"/>
        <w:keepNext/>
        <w:keepLines/>
        <w:widowControl/>
        <w:spacing w:before="240" w:after="120"/>
        <w:rPr>
          <w:rFonts w:asciiTheme="minorHAnsi" w:eastAsiaTheme="majorEastAsia" w:hAnsiTheme="minorHAnsi" w:cstheme="majorBidi"/>
          <w:i/>
          <w:snapToGrid/>
          <w:sz w:val="28"/>
          <w:szCs w:val="28"/>
        </w:rPr>
      </w:pPr>
      <w:bookmarkStart w:id="24" w:name="_Toc476306891"/>
      <w:bookmarkStart w:id="25" w:name="_Toc482700156"/>
      <w:r w:rsidRPr="0010529A">
        <w:rPr>
          <w:rFonts w:asciiTheme="minorHAnsi" w:eastAsiaTheme="majorEastAsia" w:hAnsiTheme="minorHAnsi" w:cstheme="majorBidi"/>
          <w:i/>
          <w:snapToGrid/>
          <w:sz w:val="28"/>
          <w:szCs w:val="28"/>
        </w:rPr>
        <w:t>Clinical claim</w:t>
      </w:r>
      <w:bookmarkEnd w:id="23"/>
      <w:bookmarkEnd w:id="24"/>
      <w:bookmarkEnd w:id="25"/>
    </w:p>
    <w:p w:rsidR="00D017E1" w:rsidRPr="002E1332" w:rsidRDefault="00BC376E" w:rsidP="00A51748">
      <w:pPr>
        <w:pStyle w:val="ESnumberedparablue"/>
        <w:numPr>
          <w:ilvl w:val="1"/>
          <w:numId w:val="1"/>
        </w:numPr>
        <w:rPr>
          <w:rFonts w:asciiTheme="minorHAnsi" w:hAnsiTheme="minorHAnsi"/>
          <w:color w:val="auto"/>
          <w:sz w:val="24"/>
        </w:rPr>
      </w:pPr>
      <w:r w:rsidRPr="002E1332">
        <w:rPr>
          <w:rFonts w:asciiTheme="minorHAnsi" w:hAnsiTheme="minorHAnsi"/>
          <w:color w:val="auto"/>
          <w:sz w:val="24"/>
        </w:rPr>
        <w:t>The submission described dapagliflozin/saxagliptin FDC as bioequivalent to the individual components taken concomitantly. Th</w:t>
      </w:r>
      <w:r w:rsidR="00D017E1" w:rsidRPr="002E1332">
        <w:rPr>
          <w:rFonts w:asciiTheme="minorHAnsi" w:hAnsiTheme="minorHAnsi"/>
          <w:color w:val="auto"/>
          <w:sz w:val="24"/>
        </w:rPr>
        <w:t xml:space="preserve">e </w:t>
      </w:r>
      <w:r w:rsidR="00CA0E84">
        <w:rPr>
          <w:rFonts w:asciiTheme="minorHAnsi" w:hAnsiTheme="minorHAnsi"/>
          <w:color w:val="auto"/>
          <w:sz w:val="24"/>
        </w:rPr>
        <w:t>PBAC</w:t>
      </w:r>
      <w:r w:rsidR="00CA0E84" w:rsidRPr="002E1332">
        <w:rPr>
          <w:rFonts w:asciiTheme="minorHAnsi" w:hAnsiTheme="minorHAnsi"/>
          <w:color w:val="auto"/>
          <w:sz w:val="24"/>
        </w:rPr>
        <w:t xml:space="preserve"> </w:t>
      </w:r>
      <w:r w:rsidR="00D017E1" w:rsidRPr="002E1332">
        <w:rPr>
          <w:rFonts w:asciiTheme="minorHAnsi" w:hAnsiTheme="minorHAnsi"/>
          <w:color w:val="auto"/>
          <w:sz w:val="24"/>
        </w:rPr>
        <w:t>considered that this</w:t>
      </w:r>
      <w:r w:rsidRPr="002E1332">
        <w:rPr>
          <w:rFonts w:asciiTheme="minorHAnsi" w:hAnsiTheme="minorHAnsi"/>
          <w:color w:val="auto"/>
          <w:sz w:val="24"/>
        </w:rPr>
        <w:t xml:space="preserve"> claim was adequately supported. The TGA delegate assessed bioequivalence and considered that it had been demonstrated.</w:t>
      </w:r>
      <w:r w:rsidR="00137F8D" w:rsidRPr="002E1332">
        <w:rPr>
          <w:rFonts w:asciiTheme="minorHAnsi" w:hAnsiTheme="minorHAnsi"/>
          <w:color w:val="auto"/>
          <w:sz w:val="24"/>
        </w:rPr>
        <w:t xml:space="preserve"> </w:t>
      </w:r>
    </w:p>
    <w:p w:rsidR="00137F8D" w:rsidRDefault="004B6242" w:rsidP="00A51748">
      <w:pPr>
        <w:pStyle w:val="ESnumberedparablue"/>
        <w:numPr>
          <w:ilvl w:val="1"/>
          <w:numId w:val="1"/>
        </w:numPr>
        <w:rPr>
          <w:rFonts w:asciiTheme="minorHAnsi" w:hAnsiTheme="minorHAnsi"/>
          <w:color w:val="auto"/>
          <w:sz w:val="24"/>
        </w:rPr>
      </w:pPr>
      <w:r w:rsidRPr="002E1332">
        <w:rPr>
          <w:rFonts w:asciiTheme="minorHAnsi" w:hAnsiTheme="minorHAnsi"/>
          <w:color w:val="auto"/>
          <w:sz w:val="24"/>
        </w:rPr>
        <w:t>However, the</w:t>
      </w:r>
      <w:r w:rsidR="00CA0E84">
        <w:rPr>
          <w:rFonts w:asciiTheme="minorHAnsi" w:hAnsiTheme="minorHAnsi"/>
          <w:color w:val="auto"/>
          <w:sz w:val="24"/>
        </w:rPr>
        <w:t xml:space="preserve"> PBAC</w:t>
      </w:r>
      <w:r w:rsidR="00D017E1" w:rsidRPr="002E1332">
        <w:rPr>
          <w:rFonts w:asciiTheme="minorHAnsi" w:hAnsiTheme="minorHAnsi"/>
          <w:color w:val="auto"/>
          <w:sz w:val="24"/>
        </w:rPr>
        <w:t xml:space="preserve"> noted that the </w:t>
      </w:r>
      <w:r w:rsidRPr="002E1332">
        <w:rPr>
          <w:rFonts w:asciiTheme="minorHAnsi" w:hAnsiTheme="minorHAnsi"/>
          <w:color w:val="auto"/>
          <w:sz w:val="24"/>
        </w:rPr>
        <w:t xml:space="preserve">individual components are not currently </w:t>
      </w:r>
      <w:r w:rsidR="00D017E1" w:rsidRPr="002E1332">
        <w:rPr>
          <w:rFonts w:asciiTheme="minorHAnsi" w:hAnsiTheme="minorHAnsi"/>
          <w:color w:val="auto"/>
          <w:sz w:val="24"/>
        </w:rPr>
        <w:t xml:space="preserve">PBS </w:t>
      </w:r>
      <w:r w:rsidRPr="002E1332">
        <w:rPr>
          <w:rFonts w:asciiTheme="minorHAnsi" w:hAnsiTheme="minorHAnsi"/>
          <w:color w:val="auto"/>
          <w:sz w:val="24"/>
        </w:rPr>
        <w:t>listed for use in combination with metformin</w:t>
      </w:r>
      <w:r w:rsidR="00D017E1" w:rsidRPr="002E1332">
        <w:rPr>
          <w:rFonts w:asciiTheme="minorHAnsi" w:hAnsiTheme="minorHAnsi"/>
          <w:color w:val="auto"/>
          <w:sz w:val="24"/>
        </w:rPr>
        <w:t>,</w:t>
      </w:r>
      <w:r w:rsidRPr="002E1332">
        <w:rPr>
          <w:rFonts w:asciiTheme="minorHAnsi" w:hAnsiTheme="minorHAnsi"/>
          <w:color w:val="auto"/>
          <w:sz w:val="24"/>
        </w:rPr>
        <w:t xml:space="preserve"> and therefore the relevance of this clinical claim is dependent on the clinical claim in the </w:t>
      </w:r>
      <w:r w:rsidR="007F7C97" w:rsidRPr="002E1332">
        <w:rPr>
          <w:rFonts w:asciiTheme="minorHAnsi" w:hAnsiTheme="minorHAnsi"/>
          <w:color w:val="auto"/>
          <w:sz w:val="24"/>
        </w:rPr>
        <w:t xml:space="preserve">related dapagliflozin submission (item </w:t>
      </w:r>
      <w:r w:rsidR="0059777D" w:rsidRPr="002E1332">
        <w:rPr>
          <w:rFonts w:asciiTheme="minorHAnsi" w:hAnsiTheme="minorHAnsi"/>
          <w:color w:val="auto"/>
          <w:sz w:val="24"/>
        </w:rPr>
        <w:t>6.01</w:t>
      </w:r>
      <w:r w:rsidR="007F7C97" w:rsidRPr="002E1332">
        <w:rPr>
          <w:rFonts w:asciiTheme="minorHAnsi" w:hAnsiTheme="minorHAnsi"/>
          <w:color w:val="auto"/>
          <w:sz w:val="24"/>
        </w:rPr>
        <w:t xml:space="preserve"> refers) being accepted</w:t>
      </w:r>
      <w:r w:rsidRPr="002E1332">
        <w:rPr>
          <w:rFonts w:asciiTheme="minorHAnsi" w:hAnsiTheme="minorHAnsi"/>
          <w:color w:val="auto"/>
          <w:sz w:val="24"/>
        </w:rPr>
        <w:t>.</w:t>
      </w:r>
      <w:r w:rsidR="00D017E1" w:rsidRPr="002E1332">
        <w:rPr>
          <w:rFonts w:asciiTheme="minorHAnsi" w:hAnsiTheme="minorHAnsi"/>
          <w:color w:val="auto"/>
          <w:sz w:val="24"/>
        </w:rPr>
        <w:t xml:space="preserve"> The </w:t>
      </w:r>
      <w:r w:rsidR="00CA0E84">
        <w:rPr>
          <w:rFonts w:asciiTheme="minorHAnsi" w:hAnsiTheme="minorHAnsi"/>
          <w:color w:val="auto"/>
          <w:sz w:val="24"/>
        </w:rPr>
        <w:t>PBAC</w:t>
      </w:r>
      <w:r w:rsidR="00CA0E84" w:rsidRPr="002E1332">
        <w:rPr>
          <w:rFonts w:asciiTheme="minorHAnsi" w:hAnsiTheme="minorHAnsi"/>
          <w:color w:val="auto"/>
          <w:sz w:val="24"/>
        </w:rPr>
        <w:t xml:space="preserve"> </w:t>
      </w:r>
      <w:r w:rsidR="00D017E1" w:rsidRPr="002E1332">
        <w:rPr>
          <w:rFonts w:asciiTheme="minorHAnsi" w:hAnsiTheme="minorHAnsi"/>
          <w:color w:val="auto"/>
          <w:sz w:val="24"/>
        </w:rPr>
        <w:t xml:space="preserve">noted that </w:t>
      </w:r>
      <w:r w:rsidR="00C52D20">
        <w:rPr>
          <w:rFonts w:asciiTheme="minorHAnsi" w:hAnsiTheme="minorHAnsi"/>
          <w:color w:val="auto"/>
          <w:sz w:val="24"/>
        </w:rPr>
        <w:t>they</w:t>
      </w:r>
      <w:r w:rsidR="00D017E1" w:rsidRPr="002E1332">
        <w:rPr>
          <w:rFonts w:asciiTheme="minorHAnsi" w:hAnsiTheme="minorHAnsi"/>
          <w:color w:val="auto"/>
          <w:sz w:val="24"/>
        </w:rPr>
        <w:t xml:space="preserve"> consider</w:t>
      </w:r>
      <w:r w:rsidR="00C52D20">
        <w:rPr>
          <w:rFonts w:asciiTheme="minorHAnsi" w:hAnsiTheme="minorHAnsi"/>
          <w:color w:val="auto"/>
          <w:sz w:val="24"/>
        </w:rPr>
        <w:t>ed that</w:t>
      </w:r>
      <w:r w:rsidR="00D017E1" w:rsidRPr="002E1332">
        <w:rPr>
          <w:rFonts w:asciiTheme="minorHAnsi" w:hAnsiTheme="minorHAnsi"/>
          <w:color w:val="auto"/>
          <w:sz w:val="24"/>
        </w:rPr>
        <w:t xml:space="preserve"> the clinical claim in item 6.01 was </w:t>
      </w:r>
      <w:r w:rsidR="00C52D20">
        <w:rPr>
          <w:rFonts w:asciiTheme="minorHAnsi" w:hAnsiTheme="minorHAnsi"/>
          <w:color w:val="auto"/>
          <w:sz w:val="24"/>
        </w:rPr>
        <w:t>uncertain</w:t>
      </w:r>
      <w:r w:rsidR="00D017E1" w:rsidRPr="002E1332">
        <w:rPr>
          <w:rFonts w:asciiTheme="minorHAnsi" w:hAnsiTheme="minorHAnsi"/>
          <w:color w:val="auto"/>
          <w:sz w:val="24"/>
        </w:rPr>
        <w:t>.</w:t>
      </w:r>
    </w:p>
    <w:p w:rsidR="00406118" w:rsidRPr="00E20FF3" w:rsidRDefault="005C4E43" w:rsidP="00E20FF3">
      <w:pPr>
        <w:ind w:left="720"/>
        <w:rPr>
          <w:rFonts w:asciiTheme="minorHAnsi" w:hAnsiTheme="minorHAnsi"/>
          <w:i/>
          <w:sz w:val="24"/>
          <w:szCs w:val="24"/>
        </w:rPr>
      </w:pPr>
      <w:r w:rsidRPr="00F935A0">
        <w:rPr>
          <w:rFonts w:asciiTheme="minorHAnsi" w:hAnsiTheme="minorHAnsi"/>
          <w:i/>
          <w:sz w:val="24"/>
          <w:szCs w:val="24"/>
        </w:rPr>
        <w:t>For more detail on PBAC’s view, see section 7 “PBAC outcome.”</w:t>
      </w:r>
    </w:p>
    <w:p w:rsidR="00137F8D" w:rsidRPr="00E20FF3" w:rsidRDefault="00137F8D" w:rsidP="00E20FF3">
      <w:pPr>
        <w:pStyle w:val="Heading2"/>
        <w:keepNext/>
        <w:keepLines/>
        <w:widowControl/>
        <w:spacing w:before="240" w:after="120"/>
        <w:rPr>
          <w:rFonts w:asciiTheme="minorHAnsi" w:eastAsiaTheme="majorEastAsia" w:hAnsiTheme="minorHAnsi" w:cstheme="majorBidi"/>
          <w:i/>
          <w:snapToGrid/>
          <w:sz w:val="28"/>
          <w:szCs w:val="28"/>
        </w:rPr>
      </w:pPr>
      <w:bookmarkStart w:id="26" w:name="_Toc413139282"/>
      <w:bookmarkStart w:id="27" w:name="_Toc476306892"/>
      <w:bookmarkStart w:id="28" w:name="_Toc482700157"/>
      <w:r w:rsidRPr="00E20FF3">
        <w:rPr>
          <w:rFonts w:asciiTheme="minorHAnsi" w:eastAsiaTheme="majorEastAsia" w:hAnsiTheme="minorHAnsi" w:cstheme="majorBidi"/>
          <w:i/>
          <w:snapToGrid/>
          <w:sz w:val="28"/>
          <w:szCs w:val="28"/>
        </w:rPr>
        <w:t>Economic analysis</w:t>
      </w:r>
      <w:bookmarkEnd w:id="26"/>
      <w:bookmarkEnd w:id="27"/>
      <w:bookmarkEnd w:id="28"/>
    </w:p>
    <w:p w:rsidR="00D017E1" w:rsidRPr="002E1332" w:rsidRDefault="005C34AA" w:rsidP="00A51748">
      <w:pPr>
        <w:pStyle w:val="ESnumberedparablue"/>
        <w:numPr>
          <w:ilvl w:val="1"/>
          <w:numId w:val="1"/>
        </w:numPr>
        <w:rPr>
          <w:rFonts w:asciiTheme="minorHAnsi" w:hAnsiTheme="minorHAnsi"/>
          <w:color w:val="auto"/>
          <w:sz w:val="24"/>
        </w:rPr>
      </w:pPr>
      <w:r w:rsidRPr="002E1332">
        <w:rPr>
          <w:rFonts w:asciiTheme="minorHAnsi" w:hAnsiTheme="minorHAnsi"/>
          <w:color w:val="auto"/>
          <w:sz w:val="24"/>
        </w:rPr>
        <w:t>A cost-minimisation analysis was presented. The equi-effective doses were estimated as dapagliflozin/saxagliptin 10 mg/5 mg FDC once daily and individual components of dapagliflozin 10mg and saxagliptin 5 mg, once daily.</w:t>
      </w:r>
      <w:r w:rsidR="00E85973" w:rsidRPr="002E1332">
        <w:rPr>
          <w:rFonts w:asciiTheme="minorHAnsi" w:hAnsiTheme="minorHAnsi"/>
          <w:color w:val="auto"/>
          <w:sz w:val="24"/>
        </w:rPr>
        <w:t xml:space="preserve"> </w:t>
      </w:r>
    </w:p>
    <w:p w:rsidR="00137F8D" w:rsidRDefault="00E85973" w:rsidP="00A51748">
      <w:pPr>
        <w:pStyle w:val="ESnumberedparablue"/>
        <w:numPr>
          <w:ilvl w:val="1"/>
          <w:numId w:val="1"/>
        </w:numPr>
        <w:rPr>
          <w:rFonts w:asciiTheme="minorHAnsi" w:hAnsiTheme="minorHAnsi"/>
          <w:color w:val="auto"/>
          <w:sz w:val="24"/>
        </w:rPr>
      </w:pPr>
      <w:r w:rsidRPr="002E1332">
        <w:rPr>
          <w:rFonts w:asciiTheme="minorHAnsi" w:hAnsiTheme="minorHAnsi"/>
          <w:color w:val="auto"/>
          <w:sz w:val="24"/>
        </w:rPr>
        <w:t xml:space="preserve">The cost-effectiveness of treatment with dapagliflozin, saxagliptin and metformin </w:t>
      </w:r>
      <w:r w:rsidR="00F935A0">
        <w:rPr>
          <w:rFonts w:asciiTheme="minorHAnsi" w:hAnsiTheme="minorHAnsi"/>
          <w:color w:val="auto"/>
          <w:sz w:val="24"/>
        </w:rPr>
        <w:t>was</w:t>
      </w:r>
      <w:r w:rsidRPr="002E1332">
        <w:rPr>
          <w:rFonts w:asciiTheme="minorHAnsi" w:hAnsiTheme="minorHAnsi"/>
          <w:color w:val="auto"/>
          <w:sz w:val="24"/>
        </w:rPr>
        <w:t xml:space="preserve"> dependent on consideration the July 2017 dapagliflozin major submission.</w:t>
      </w:r>
      <w:r w:rsidR="00D017E1" w:rsidRPr="002E1332">
        <w:rPr>
          <w:rFonts w:asciiTheme="minorHAnsi" w:hAnsiTheme="minorHAnsi"/>
          <w:color w:val="auto"/>
          <w:sz w:val="24"/>
        </w:rPr>
        <w:t xml:space="preserve"> The </w:t>
      </w:r>
      <w:r w:rsidR="00463608">
        <w:rPr>
          <w:rFonts w:asciiTheme="minorHAnsi" w:hAnsiTheme="minorHAnsi"/>
          <w:color w:val="auto"/>
          <w:sz w:val="24"/>
        </w:rPr>
        <w:t>PBAC</w:t>
      </w:r>
      <w:r w:rsidR="00463608" w:rsidRPr="002E1332">
        <w:rPr>
          <w:rFonts w:asciiTheme="minorHAnsi" w:hAnsiTheme="minorHAnsi"/>
          <w:color w:val="auto"/>
          <w:sz w:val="24"/>
        </w:rPr>
        <w:t xml:space="preserve"> </w:t>
      </w:r>
      <w:r w:rsidR="00D017E1" w:rsidRPr="002E1332">
        <w:rPr>
          <w:rFonts w:asciiTheme="minorHAnsi" w:hAnsiTheme="minorHAnsi"/>
          <w:color w:val="auto"/>
          <w:sz w:val="24"/>
        </w:rPr>
        <w:t xml:space="preserve">noted that they </w:t>
      </w:r>
      <w:r w:rsidR="00F935A0">
        <w:rPr>
          <w:rFonts w:asciiTheme="minorHAnsi" w:hAnsiTheme="minorHAnsi"/>
          <w:color w:val="auto"/>
          <w:sz w:val="24"/>
        </w:rPr>
        <w:t>deferred this submission on the basis that cost-effectiveness had not been established</w:t>
      </w:r>
      <w:r w:rsidR="00D017E1" w:rsidRPr="002E1332">
        <w:rPr>
          <w:rFonts w:asciiTheme="minorHAnsi" w:hAnsiTheme="minorHAnsi"/>
          <w:color w:val="auto"/>
          <w:sz w:val="24"/>
        </w:rPr>
        <w:t>.</w:t>
      </w:r>
    </w:p>
    <w:p w:rsidR="00E20FF3" w:rsidRDefault="00E20FF3" w:rsidP="00A51748">
      <w:pPr>
        <w:pStyle w:val="ESnumberedparablue"/>
        <w:numPr>
          <w:ilvl w:val="1"/>
          <w:numId w:val="1"/>
        </w:numPr>
        <w:rPr>
          <w:rFonts w:asciiTheme="minorHAnsi" w:hAnsiTheme="minorHAnsi"/>
          <w:color w:val="auto"/>
          <w:sz w:val="24"/>
        </w:rPr>
      </w:pPr>
      <w:r w:rsidRPr="00E20FF3">
        <w:rPr>
          <w:rFonts w:asciiTheme="minorHAnsi" w:hAnsiTheme="minorHAnsi"/>
          <w:color w:val="auto"/>
          <w:sz w:val="24"/>
        </w:rPr>
        <w:t xml:space="preserve">The PBAC noted that with respect to the concurrent dapagliflozin submission, it considered that the evidence did not suggest that </w:t>
      </w:r>
      <w:r w:rsidR="00107235">
        <w:rPr>
          <w:rFonts w:asciiTheme="minorHAnsi" w:hAnsiTheme="minorHAnsi"/>
          <w:color w:val="auto"/>
          <w:sz w:val="24"/>
        </w:rPr>
        <w:t>the benefit of metformin + dapagliflozin</w:t>
      </w:r>
      <w:r w:rsidRPr="00E20FF3">
        <w:rPr>
          <w:rFonts w:asciiTheme="minorHAnsi" w:hAnsiTheme="minorHAnsi"/>
          <w:color w:val="auto"/>
          <w:sz w:val="24"/>
        </w:rPr>
        <w:t xml:space="preserve"> + a DPP4 inhibitor would be of the same magnitude as the incremental benefit of adding either dapagliflozin or a DPP4 inhibitor to metformin. Therefore, the PBAC was of the view that it would not be cost-effective for dapagliflozin + a DPP4 inhibitor + metformin treatment to be at the same price as the sum of the component parts. The PBAC considered that this was also the case for this submission.</w:t>
      </w:r>
    </w:p>
    <w:p w:rsidR="007557F8" w:rsidRPr="002E1332" w:rsidRDefault="007557F8" w:rsidP="007557F8">
      <w:pPr>
        <w:pStyle w:val="ESnumberedparablue"/>
        <w:numPr>
          <w:ilvl w:val="1"/>
          <w:numId w:val="1"/>
        </w:numPr>
        <w:rPr>
          <w:rFonts w:asciiTheme="minorHAnsi" w:hAnsiTheme="minorHAnsi"/>
          <w:color w:val="auto"/>
          <w:sz w:val="24"/>
        </w:rPr>
      </w:pPr>
      <w:r>
        <w:rPr>
          <w:rFonts w:asciiTheme="minorHAnsi" w:hAnsiTheme="minorHAnsi"/>
          <w:color w:val="auto"/>
          <w:sz w:val="24"/>
        </w:rPr>
        <w:t xml:space="preserve">The </w:t>
      </w:r>
      <w:r w:rsidR="00C52D20">
        <w:rPr>
          <w:rFonts w:asciiTheme="minorHAnsi" w:hAnsiTheme="minorHAnsi"/>
          <w:color w:val="auto"/>
          <w:sz w:val="24"/>
        </w:rPr>
        <w:t xml:space="preserve">PBAC acknowledged that the </w:t>
      </w:r>
      <w:r>
        <w:rPr>
          <w:rFonts w:asciiTheme="minorHAnsi" w:hAnsiTheme="minorHAnsi"/>
          <w:color w:val="auto"/>
          <w:sz w:val="24"/>
        </w:rPr>
        <w:t xml:space="preserve">pre-PBAC response (p1) offered a </w:t>
      </w:r>
      <w:r w:rsidR="00BF356A">
        <w:rPr>
          <w:rFonts w:asciiTheme="minorHAnsi" w:hAnsiTheme="minorHAnsi"/>
          <w:noProof/>
          <w:color w:val="000000"/>
          <w:sz w:val="24"/>
          <w:highlight w:val="black"/>
        </w:rPr>
        <w:t>'''''</w:t>
      </w:r>
      <w:r>
        <w:rPr>
          <w:rFonts w:asciiTheme="minorHAnsi" w:hAnsiTheme="minorHAnsi"/>
          <w:color w:val="auto"/>
          <w:sz w:val="24"/>
        </w:rPr>
        <w:t>% price reduction to the AEMP of dapagliflozin with saxagliptin FDC (from $85.86 per pack to $</w:t>
      </w:r>
      <w:r w:rsidR="00BF356A">
        <w:rPr>
          <w:rFonts w:asciiTheme="minorHAnsi" w:hAnsiTheme="minorHAnsi"/>
          <w:noProof/>
          <w:color w:val="000000"/>
          <w:sz w:val="24"/>
          <w:highlight w:val="black"/>
        </w:rPr>
        <w:t>''''''''''''</w:t>
      </w:r>
      <w:r>
        <w:rPr>
          <w:rFonts w:asciiTheme="minorHAnsi" w:hAnsiTheme="minorHAnsi"/>
          <w:color w:val="auto"/>
          <w:sz w:val="24"/>
        </w:rPr>
        <w:t xml:space="preserve"> per pack of 28 tablets). However, the PBAC did not consider that this represented a price that could be considered cost-effective. </w:t>
      </w:r>
    </w:p>
    <w:p w:rsidR="005C4E43" w:rsidRPr="00EB3F99" w:rsidRDefault="005C4E43" w:rsidP="005C4E43">
      <w:pPr>
        <w:ind w:left="720"/>
        <w:rPr>
          <w:rFonts w:asciiTheme="minorHAnsi" w:hAnsiTheme="minorHAnsi"/>
          <w:i/>
          <w:sz w:val="24"/>
          <w:szCs w:val="24"/>
        </w:rPr>
      </w:pPr>
      <w:r w:rsidRPr="00F935A0">
        <w:rPr>
          <w:rFonts w:asciiTheme="minorHAnsi" w:hAnsiTheme="minorHAnsi"/>
          <w:i/>
          <w:sz w:val="24"/>
          <w:szCs w:val="24"/>
        </w:rPr>
        <w:t>For more detail on PBAC’s view, see section 7 “PBAC outcome.”</w:t>
      </w:r>
    </w:p>
    <w:p w:rsidR="00137F8D" w:rsidRPr="0010529A" w:rsidRDefault="00137F8D" w:rsidP="00CC0881">
      <w:pPr>
        <w:pStyle w:val="Heading2"/>
        <w:keepNext/>
        <w:keepLines/>
        <w:widowControl/>
        <w:spacing w:before="240" w:after="120"/>
        <w:rPr>
          <w:rFonts w:asciiTheme="minorHAnsi" w:eastAsiaTheme="majorEastAsia" w:hAnsiTheme="minorHAnsi" w:cstheme="majorBidi"/>
          <w:i/>
          <w:snapToGrid/>
          <w:sz w:val="28"/>
          <w:szCs w:val="28"/>
        </w:rPr>
      </w:pPr>
      <w:bookmarkStart w:id="29" w:name="_Toc413139283"/>
      <w:bookmarkStart w:id="30" w:name="_Toc476306893"/>
      <w:bookmarkStart w:id="31" w:name="_Toc482700158"/>
      <w:r w:rsidRPr="0010529A">
        <w:rPr>
          <w:rFonts w:asciiTheme="minorHAnsi" w:eastAsiaTheme="majorEastAsia" w:hAnsiTheme="minorHAnsi" w:cstheme="majorBidi"/>
          <w:i/>
          <w:snapToGrid/>
          <w:sz w:val="28"/>
          <w:szCs w:val="28"/>
        </w:rPr>
        <w:t>Drug cost/patient/year: $</w:t>
      </w:r>
      <w:r w:rsidR="00BF356A">
        <w:rPr>
          <w:rFonts w:asciiTheme="minorHAnsi" w:eastAsiaTheme="majorEastAsia" w:hAnsiTheme="minorHAnsi" w:cstheme="majorBidi"/>
          <w:i/>
          <w:noProof/>
          <w:snapToGrid/>
          <w:color w:val="000000"/>
          <w:sz w:val="28"/>
          <w:szCs w:val="28"/>
          <w:highlight w:val="black"/>
        </w:rPr>
        <w:t>''''''''''''''</w:t>
      </w:r>
      <w:r w:rsidRPr="0010529A">
        <w:rPr>
          <w:rFonts w:asciiTheme="minorHAnsi" w:eastAsiaTheme="majorEastAsia" w:hAnsiTheme="minorHAnsi" w:cstheme="majorBidi"/>
          <w:i/>
          <w:snapToGrid/>
          <w:sz w:val="28"/>
          <w:szCs w:val="28"/>
        </w:rPr>
        <w:t>.</w:t>
      </w:r>
      <w:bookmarkEnd w:id="29"/>
      <w:bookmarkEnd w:id="30"/>
      <w:bookmarkEnd w:id="31"/>
    </w:p>
    <w:p w:rsidR="00137F8D" w:rsidRPr="00C255BE" w:rsidRDefault="008D2D1A" w:rsidP="00E20FF3">
      <w:pPr>
        <w:pStyle w:val="ESnumberedparablue"/>
        <w:numPr>
          <w:ilvl w:val="1"/>
          <w:numId w:val="1"/>
        </w:numPr>
        <w:rPr>
          <w:rFonts w:asciiTheme="minorHAnsi" w:hAnsiTheme="minorHAnsi"/>
          <w:color w:val="auto"/>
          <w:sz w:val="24"/>
        </w:rPr>
      </w:pPr>
      <w:r w:rsidRPr="00C255BE">
        <w:rPr>
          <w:rFonts w:asciiTheme="minorHAnsi" w:hAnsiTheme="minorHAnsi"/>
          <w:color w:val="auto"/>
          <w:sz w:val="24"/>
        </w:rPr>
        <w:t>At the requested DPMQ of $</w:t>
      </w:r>
      <w:r w:rsidR="00BF356A">
        <w:rPr>
          <w:rFonts w:asciiTheme="minorHAnsi" w:hAnsiTheme="minorHAnsi"/>
          <w:noProof/>
          <w:color w:val="000000"/>
          <w:sz w:val="24"/>
          <w:highlight w:val="black"/>
        </w:rPr>
        <w:t>''''''''''''</w:t>
      </w:r>
      <w:r w:rsidRPr="00C255BE">
        <w:rPr>
          <w:rFonts w:asciiTheme="minorHAnsi" w:hAnsiTheme="minorHAnsi"/>
          <w:color w:val="auto"/>
          <w:sz w:val="24"/>
        </w:rPr>
        <w:t xml:space="preserve"> for a 28 t</w:t>
      </w:r>
      <w:r w:rsidR="00AE090B" w:rsidRPr="00C255BE">
        <w:rPr>
          <w:rFonts w:asciiTheme="minorHAnsi" w:hAnsiTheme="minorHAnsi"/>
          <w:color w:val="auto"/>
          <w:sz w:val="24"/>
        </w:rPr>
        <w:t>ablet pack of dapagliflozin/</w:t>
      </w:r>
      <w:r w:rsidRPr="00C255BE">
        <w:rPr>
          <w:rFonts w:asciiTheme="minorHAnsi" w:hAnsiTheme="minorHAnsi"/>
          <w:color w:val="auto"/>
          <w:sz w:val="24"/>
        </w:rPr>
        <w:t>saxagliptin FDC, the drug cost per year was estimated to be $</w:t>
      </w:r>
      <w:r w:rsidR="00BF356A">
        <w:rPr>
          <w:rFonts w:asciiTheme="minorHAnsi" w:hAnsiTheme="minorHAnsi"/>
          <w:noProof/>
          <w:color w:val="000000"/>
          <w:sz w:val="24"/>
          <w:highlight w:val="black"/>
        </w:rPr>
        <w:t>'''''''''''''''</w:t>
      </w:r>
      <w:r w:rsidRPr="00C255BE">
        <w:rPr>
          <w:rFonts w:asciiTheme="minorHAnsi" w:hAnsiTheme="minorHAnsi"/>
          <w:color w:val="auto"/>
          <w:sz w:val="24"/>
        </w:rPr>
        <w:t xml:space="preserve"> for a single patient (assuming 13 scripts per year). The equivalent cost per patient per year for treatment with the individual components of dapagliflozin and saxagliptin is $</w:t>
      </w:r>
      <w:r w:rsidR="00BF356A">
        <w:rPr>
          <w:rFonts w:asciiTheme="minorHAnsi" w:hAnsiTheme="minorHAnsi"/>
          <w:noProof/>
          <w:color w:val="000000"/>
          <w:sz w:val="24"/>
          <w:highlight w:val="black"/>
        </w:rPr>
        <w:t>'''''''''''''''''</w:t>
      </w:r>
      <w:r w:rsidRPr="00C255BE">
        <w:rPr>
          <w:rFonts w:asciiTheme="minorHAnsi" w:hAnsiTheme="minorHAnsi"/>
          <w:color w:val="auto"/>
          <w:sz w:val="24"/>
        </w:rPr>
        <w:t xml:space="preserve">. Treatment is ongoing. </w:t>
      </w:r>
      <w:r w:rsidR="007557F8" w:rsidRPr="007557F8">
        <w:rPr>
          <w:rFonts w:asciiTheme="minorHAnsi" w:hAnsiTheme="minorHAnsi"/>
          <w:color w:val="auto"/>
          <w:sz w:val="24"/>
        </w:rPr>
        <w:t xml:space="preserve">The PBAC noted that the pre-PBAC response (p1) offered a </w:t>
      </w:r>
      <w:r w:rsidR="00BF356A">
        <w:rPr>
          <w:rFonts w:asciiTheme="minorHAnsi" w:hAnsiTheme="minorHAnsi"/>
          <w:noProof/>
          <w:color w:val="000000"/>
          <w:sz w:val="24"/>
          <w:highlight w:val="black"/>
        </w:rPr>
        <w:t>''''''</w:t>
      </w:r>
      <w:r w:rsidR="007557F8" w:rsidRPr="007557F8">
        <w:rPr>
          <w:rFonts w:asciiTheme="minorHAnsi" w:hAnsiTheme="minorHAnsi"/>
          <w:color w:val="auto"/>
          <w:sz w:val="24"/>
        </w:rPr>
        <w:t>% price reduction on the AEMP, which would also result in a reduction to the cost per patient.</w:t>
      </w:r>
    </w:p>
    <w:p w:rsidR="00137F8D" w:rsidRPr="00C255BE" w:rsidRDefault="00137F8D" w:rsidP="00CC0881">
      <w:pPr>
        <w:pStyle w:val="Heading2"/>
        <w:keepNext/>
        <w:keepLines/>
        <w:widowControl/>
        <w:spacing w:before="240" w:after="120"/>
        <w:rPr>
          <w:rFonts w:eastAsiaTheme="majorEastAsia" w:cstheme="majorBidi"/>
          <w:i/>
          <w:snapToGrid/>
          <w:sz w:val="28"/>
          <w:szCs w:val="28"/>
        </w:rPr>
      </w:pPr>
      <w:bookmarkStart w:id="32" w:name="_Toc413139284"/>
      <w:bookmarkStart w:id="33" w:name="_Toc476306894"/>
      <w:bookmarkStart w:id="34" w:name="_Toc482700159"/>
      <w:r w:rsidRPr="0010529A">
        <w:rPr>
          <w:rFonts w:asciiTheme="minorHAnsi" w:eastAsiaTheme="majorEastAsia" w:hAnsiTheme="minorHAnsi" w:cstheme="majorBidi"/>
          <w:i/>
          <w:snapToGrid/>
          <w:sz w:val="28"/>
          <w:szCs w:val="28"/>
        </w:rPr>
        <w:t>Estimated PBS usage &amp; financial implications</w:t>
      </w:r>
      <w:bookmarkEnd w:id="32"/>
      <w:bookmarkEnd w:id="33"/>
      <w:bookmarkEnd w:id="34"/>
    </w:p>
    <w:p w:rsidR="00406118" w:rsidRPr="00EF6B8B" w:rsidRDefault="00406118" w:rsidP="00A51748">
      <w:pPr>
        <w:pStyle w:val="ESnumberedparablue"/>
        <w:numPr>
          <w:ilvl w:val="1"/>
          <w:numId w:val="1"/>
        </w:numPr>
        <w:rPr>
          <w:rFonts w:asciiTheme="minorHAnsi" w:hAnsiTheme="minorHAnsi"/>
          <w:color w:val="auto"/>
          <w:sz w:val="24"/>
        </w:rPr>
      </w:pPr>
      <w:r w:rsidRPr="00EF6B8B">
        <w:rPr>
          <w:rFonts w:asciiTheme="minorHAnsi" w:hAnsiTheme="minorHAnsi"/>
          <w:color w:val="auto"/>
          <w:sz w:val="24"/>
        </w:rPr>
        <w:t xml:space="preserve">This submission </w:t>
      </w:r>
      <w:r w:rsidR="0086057A">
        <w:rPr>
          <w:rFonts w:asciiTheme="minorHAnsi" w:hAnsiTheme="minorHAnsi"/>
          <w:color w:val="auto"/>
          <w:sz w:val="24"/>
        </w:rPr>
        <w:t>was</w:t>
      </w:r>
      <w:r w:rsidRPr="00EF6B8B">
        <w:rPr>
          <w:rFonts w:asciiTheme="minorHAnsi" w:hAnsiTheme="minorHAnsi"/>
          <w:color w:val="auto"/>
          <w:sz w:val="24"/>
        </w:rPr>
        <w:t xml:space="preserve"> considered by DUSC. The submission used a market share approach to estimate utilisation and financial implications of listing dapagliflozin/ saxagliptin FDC, with the assumption that the other concurrent dapagliflozin submissions receive a positive recommendation for listing at the same time as dapagliflozin/saxagliptin FDC.</w:t>
      </w:r>
    </w:p>
    <w:p w:rsidR="00406118" w:rsidRPr="00EF6B8B" w:rsidRDefault="00406118" w:rsidP="00A51748">
      <w:pPr>
        <w:pStyle w:val="ESnumberedparablue"/>
        <w:numPr>
          <w:ilvl w:val="1"/>
          <w:numId w:val="1"/>
        </w:numPr>
        <w:rPr>
          <w:rFonts w:asciiTheme="minorHAnsi" w:hAnsiTheme="minorHAnsi"/>
          <w:color w:val="auto"/>
          <w:sz w:val="24"/>
        </w:rPr>
      </w:pPr>
      <w:r w:rsidRPr="00EF6B8B">
        <w:rPr>
          <w:rFonts w:asciiTheme="minorHAnsi" w:hAnsiTheme="minorHAnsi"/>
          <w:color w:val="auto"/>
          <w:sz w:val="24"/>
        </w:rPr>
        <w:t>Table 6 presents the estimated use and financial implications calculated in the submission.</w:t>
      </w:r>
    </w:p>
    <w:p w:rsidR="00786F6A" w:rsidRPr="00786F6A" w:rsidRDefault="00786F6A" w:rsidP="00786F6A">
      <w:pPr>
        <w:rPr>
          <w:rStyle w:val="CommentReference"/>
        </w:rPr>
      </w:pPr>
      <w:r w:rsidRPr="00786F6A">
        <w:rPr>
          <w:rStyle w:val="CommentReference"/>
        </w:rPr>
        <w:t>Table 6: Estimated utilisation and costs of listing dapagliflozin/saxagliptin FDC</w:t>
      </w:r>
    </w:p>
    <w:tbl>
      <w:tblPr>
        <w:tblStyle w:val="TableGrid"/>
        <w:tblW w:w="0" w:type="auto"/>
        <w:tblInd w:w="108" w:type="dxa"/>
        <w:tblLayout w:type="fixed"/>
        <w:tblLook w:val="04A0" w:firstRow="1" w:lastRow="0" w:firstColumn="1" w:lastColumn="0" w:noHBand="0" w:noVBand="1"/>
        <w:tblCaption w:val="Estimated utilisation and costs of listing dapagliflozin/saxagliptin FDC"/>
      </w:tblPr>
      <w:tblGrid>
        <w:gridCol w:w="3544"/>
        <w:gridCol w:w="1118"/>
        <w:gridCol w:w="1118"/>
        <w:gridCol w:w="1118"/>
        <w:gridCol w:w="1118"/>
        <w:gridCol w:w="1119"/>
      </w:tblGrid>
      <w:tr w:rsidR="00406118" w:rsidRPr="004749E2" w:rsidTr="00786F6A">
        <w:trPr>
          <w:tblHeader/>
        </w:trPr>
        <w:tc>
          <w:tcPr>
            <w:tcW w:w="3544" w:type="dxa"/>
          </w:tcPr>
          <w:p w:rsidR="00406118" w:rsidRPr="004A5AA0" w:rsidRDefault="00406118" w:rsidP="00406118">
            <w:pPr>
              <w:pStyle w:val="ListParagraph"/>
              <w:ind w:left="0"/>
              <w:contextualSpacing w:val="0"/>
              <w:jc w:val="left"/>
              <w:rPr>
                <w:rFonts w:ascii="Arial Narrow" w:hAnsi="Arial Narrow"/>
                <w:b/>
                <w:sz w:val="20"/>
              </w:rPr>
            </w:pPr>
          </w:p>
        </w:tc>
        <w:tc>
          <w:tcPr>
            <w:tcW w:w="1118" w:type="dxa"/>
            <w:vAlign w:val="center"/>
          </w:tcPr>
          <w:p w:rsidR="00406118" w:rsidRPr="004A5AA0" w:rsidRDefault="00406118" w:rsidP="00406118">
            <w:pPr>
              <w:pStyle w:val="ListParagraph"/>
              <w:ind w:left="0"/>
              <w:contextualSpacing w:val="0"/>
              <w:jc w:val="center"/>
              <w:rPr>
                <w:rFonts w:ascii="Arial Narrow" w:hAnsi="Arial Narrow"/>
                <w:b/>
                <w:sz w:val="20"/>
              </w:rPr>
            </w:pPr>
            <w:r>
              <w:rPr>
                <w:rFonts w:ascii="Arial Narrow" w:hAnsi="Arial Narrow"/>
                <w:b/>
                <w:sz w:val="20"/>
              </w:rPr>
              <w:t>Year 1</w:t>
            </w:r>
          </w:p>
        </w:tc>
        <w:tc>
          <w:tcPr>
            <w:tcW w:w="1118" w:type="dxa"/>
            <w:vAlign w:val="center"/>
          </w:tcPr>
          <w:p w:rsidR="00406118" w:rsidRPr="004A5AA0" w:rsidRDefault="00406118" w:rsidP="00406118">
            <w:pPr>
              <w:pStyle w:val="ListParagraph"/>
              <w:ind w:left="0"/>
              <w:contextualSpacing w:val="0"/>
              <w:jc w:val="center"/>
              <w:rPr>
                <w:rFonts w:ascii="Arial Narrow" w:hAnsi="Arial Narrow"/>
                <w:b/>
                <w:sz w:val="20"/>
              </w:rPr>
            </w:pPr>
            <w:r>
              <w:rPr>
                <w:rFonts w:ascii="Arial Narrow" w:hAnsi="Arial Narrow"/>
                <w:b/>
                <w:sz w:val="20"/>
              </w:rPr>
              <w:t>Year 2</w:t>
            </w:r>
          </w:p>
        </w:tc>
        <w:tc>
          <w:tcPr>
            <w:tcW w:w="1118" w:type="dxa"/>
            <w:vAlign w:val="center"/>
          </w:tcPr>
          <w:p w:rsidR="00406118" w:rsidRPr="004A5AA0" w:rsidRDefault="00406118" w:rsidP="00406118">
            <w:pPr>
              <w:pStyle w:val="ListParagraph"/>
              <w:ind w:left="0"/>
              <w:contextualSpacing w:val="0"/>
              <w:jc w:val="center"/>
              <w:rPr>
                <w:rFonts w:ascii="Arial Narrow" w:hAnsi="Arial Narrow"/>
                <w:b/>
                <w:sz w:val="20"/>
              </w:rPr>
            </w:pPr>
            <w:r>
              <w:rPr>
                <w:rFonts w:ascii="Arial Narrow" w:hAnsi="Arial Narrow"/>
                <w:b/>
                <w:sz w:val="20"/>
              </w:rPr>
              <w:t>Year 3</w:t>
            </w:r>
          </w:p>
        </w:tc>
        <w:tc>
          <w:tcPr>
            <w:tcW w:w="1118" w:type="dxa"/>
            <w:vAlign w:val="center"/>
          </w:tcPr>
          <w:p w:rsidR="00406118" w:rsidRPr="004A5AA0" w:rsidRDefault="00406118" w:rsidP="00406118">
            <w:pPr>
              <w:pStyle w:val="ListParagraph"/>
              <w:ind w:left="0"/>
              <w:contextualSpacing w:val="0"/>
              <w:jc w:val="center"/>
              <w:rPr>
                <w:rFonts w:ascii="Arial Narrow" w:hAnsi="Arial Narrow"/>
                <w:b/>
                <w:sz w:val="20"/>
              </w:rPr>
            </w:pPr>
            <w:r>
              <w:rPr>
                <w:rFonts w:ascii="Arial Narrow" w:hAnsi="Arial Narrow"/>
                <w:b/>
                <w:sz w:val="20"/>
              </w:rPr>
              <w:t>Year 4</w:t>
            </w:r>
          </w:p>
        </w:tc>
        <w:tc>
          <w:tcPr>
            <w:tcW w:w="1119" w:type="dxa"/>
            <w:vAlign w:val="center"/>
          </w:tcPr>
          <w:p w:rsidR="00406118" w:rsidRPr="004A5AA0" w:rsidRDefault="00406118" w:rsidP="00406118">
            <w:pPr>
              <w:pStyle w:val="ListParagraph"/>
              <w:ind w:left="0"/>
              <w:contextualSpacing w:val="0"/>
              <w:jc w:val="center"/>
              <w:rPr>
                <w:rFonts w:ascii="Arial Narrow" w:hAnsi="Arial Narrow"/>
                <w:b/>
                <w:sz w:val="20"/>
              </w:rPr>
            </w:pPr>
            <w:r>
              <w:rPr>
                <w:rFonts w:ascii="Arial Narrow" w:hAnsi="Arial Narrow"/>
                <w:b/>
                <w:sz w:val="20"/>
              </w:rPr>
              <w:t>Year 5</w:t>
            </w:r>
          </w:p>
        </w:tc>
      </w:tr>
      <w:tr w:rsidR="00406118" w:rsidRPr="004749E2" w:rsidTr="00406118">
        <w:tc>
          <w:tcPr>
            <w:tcW w:w="9135" w:type="dxa"/>
            <w:gridSpan w:val="6"/>
          </w:tcPr>
          <w:p w:rsidR="00406118" w:rsidRPr="00AE40E5" w:rsidRDefault="00406118" w:rsidP="00406118">
            <w:pPr>
              <w:pStyle w:val="ListParagraph"/>
              <w:ind w:left="0"/>
              <w:contextualSpacing w:val="0"/>
              <w:jc w:val="left"/>
              <w:rPr>
                <w:rFonts w:ascii="Arial Narrow" w:hAnsi="Arial Narrow"/>
                <w:b/>
                <w:sz w:val="20"/>
              </w:rPr>
            </w:pPr>
            <w:r w:rsidRPr="00AE40E5">
              <w:rPr>
                <w:rFonts w:ascii="Arial Narrow" w:hAnsi="Arial Narrow"/>
                <w:b/>
                <w:sz w:val="20"/>
              </w:rPr>
              <w:t>Estimated utilisation and total costs of DAPA/SAXA FDC</w:t>
            </w:r>
          </w:p>
        </w:tc>
      </w:tr>
      <w:tr w:rsidR="00406118" w:rsidRPr="004749E2" w:rsidTr="00406118">
        <w:tc>
          <w:tcPr>
            <w:tcW w:w="3544" w:type="dxa"/>
          </w:tcPr>
          <w:p w:rsidR="00406118" w:rsidRDefault="00406118" w:rsidP="00406118">
            <w:pPr>
              <w:pStyle w:val="ListParagraph"/>
              <w:ind w:left="0"/>
              <w:contextualSpacing w:val="0"/>
              <w:jc w:val="left"/>
              <w:rPr>
                <w:rFonts w:ascii="Arial Narrow" w:hAnsi="Arial Narrow"/>
                <w:sz w:val="20"/>
              </w:rPr>
            </w:pPr>
            <w:r>
              <w:rPr>
                <w:rFonts w:ascii="Arial Narrow" w:hAnsi="Arial Narrow"/>
                <w:sz w:val="20"/>
              </w:rPr>
              <w:t>Patients receiving triple therapy with SGLT2, 60% annual growth</w:t>
            </w:r>
          </w:p>
        </w:tc>
        <w:tc>
          <w:tcPr>
            <w:tcW w:w="1118" w:type="dxa"/>
            <w:vAlign w:val="center"/>
          </w:tcPr>
          <w:p w:rsidR="00406118" w:rsidRPr="00BB022E" w:rsidRDefault="00BF356A" w:rsidP="00406118">
            <w:pPr>
              <w:pStyle w:val="ListParagraph"/>
              <w:ind w:left="0"/>
              <w:contextualSpacing w:val="0"/>
              <w:jc w:val="center"/>
              <w:rPr>
                <w:rFonts w:ascii="Arial Narrow" w:hAnsi="Arial Narrow"/>
                <w:sz w:val="20"/>
                <w:vertAlign w:val="superscript"/>
              </w:rPr>
            </w:pPr>
            <w:r>
              <w:rPr>
                <w:rFonts w:ascii="Arial Narrow" w:hAnsi="Arial Narrow"/>
                <w:noProof/>
                <w:color w:val="000000"/>
                <w:sz w:val="20"/>
                <w:highlight w:val="black"/>
              </w:rPr>
              <w:t>''''''''''''''</w:t>
            </w:r>
            <w:r w:rsidR="00406118">
              <w:rPr>
                <w:rFonts w:ascii="Arial Narrow" w:hAnsi="Arial Narrow"/>
                <w:sz w:val="20"/>
              </w:rPr>
              <w:t xml:space="preserve"> </w:t>
            </w:r>
            <w:r w:rsidR="00406118">
              <w:rPr>
                <w:rFonts w:ascii="Arial Narrow" w:hAnsi="Arial Narrow"/>
                <w:sz w:val="20"/>
                <w:vertAlign w:val="superscript"/>
              </w:rPr>
              <w:t>a</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9"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r>
      <w:tr w:rsidR="00406118" w:rsidRPr="004749E2" w:rsidTr="00406118">
        <w:tc>
          <w:tcPr>
            <w:tcW w:w="3544" w:type="dxa"/>
          </w:tcPr>
          <w:p w:rsidR="00406118" w:rsidRPr="004749E2" w:rsidRDefault="00406118" w:rsidP="00406118">
            <w:pPr>
              <w:pStyle w:val="ListParagraph"/>
              <w:ind w:left="0"/>
              <w:contextualSpacing w:val="0"/>
              <w:jc w:val="left"/>
              <w:rPr>
                <w:rFonts w:ascii="Arial Narrow" w:hAnsi="Arial Narrow"/>
                <w:sz w:val="20"/>
              </w:rPr>
            </w:pPr>
            <w:r>
              <w:rPr>
                <w:rFonts w:ascii="Arial Narrow" w:hAnsi="Arial Narrow"/>
                <w:sz w:val="20"/>
              </w:rPr>
              <w:t xml:space="preserve">Total estimated patients with DAPA add-on to MET+DPP4 </w:t>
            </w:r>
            <w:r w:rsidRPr="00BA3E55">
              <w:rPr>
                <w:rFonts w:ascii="Arial Narrow" w:hAnsi="Arial Narrow"/>
                <w:sz w:val="20"/>
              </w:rPr>
              <w:t>(80% uptake)</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9"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r>
      <w:tr w:rsidR="00406118" w:rsidRPr="004749E2" w:rsidTr="00406118">
        <w:tc>
          <w:tcPr>
            <w:tcW w:w="3544" w:type="dxa"/>
          </w:tcPr>
          <w:p w:rsidR="00406118" w:rsidRPr="004749E2" w:rsidRDefault="00406118" w:rsidP="00406118">
            <w:pPr>
              <w:pStyle w:val="ListParagraph"/>
              <w:ind w:left="0"/>
              <w:contextualSpacing w:val="0"/>
              <w:jc w:val="left"/>
              <w:rPr>
                <w:rFonts w:ascii="Arial Narrow" w:hAnsi="Arial Narrow"/>
                <w:sz w:val="20"/>
              </w:rPr>
            </w:pPr>
            <w:r>
              <w:rPr>
                <w:rFonts w:ascii="Arial Narrow" w:hAnsi="Arial Narrow"/>
                <w:sz w:val="20"/>
              </w:rPr>
              <w:t>Individual component share of MET+DPP4 market (32%)</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9"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r>
      <w:tr w:rsidR="00406118" w:rsidRPr="004749E2" w:rsidTr="00406118">
        <w:tc>
          <w:tcPr>
            <w:tcW w:w="3544" w:type="dxa"/>
          </w:tcPr>
          <w:p w:rsidR="00406118" w:rsidRDefault="00406118" w:rsidP="00406118">
            <w:pPr>
              <w:pStyle w:val="ListParagraph"/>
              <w:ind w:left="0"/>
              <w:contextualSpacing w:val="0"/>
              <w:jc w:val="left"/>
              <w:rPr>
                <w:rFonts w:ascii="Arial Narrow" w:hAnsi="Arial Narrow"/>
                <w:sz w:val="20"/>
              </w:rPr>
            </w:pPr>
            <w:r>
              <w:rPr>
                <w:rFonts w:ascii="Arial Narrow" w:hAnsi="Arial Narrow"/>
                <w:sz w:val="20"/>
              </w:rPr>
              <w:t>Uptake of DAPA/SAXA FDC from individual component MET+DPP4 (10%)</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9"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r>
      <w:tr w:rsidR="00406118" w:rsidRPr="004749E2" w:rsidTr="00406118">
        <w:tc>
          <w:tcPr>
            <w:tcW w:w="3544" w:type="dxa"/>
          </w:tcPr>
          <w:p w:rsidR="00406118" w:rsidRDefault="00406118" w:rsidP="00406118">
            <w:pPr>
              <w:pStyle w:val="ListParagraph"/>
              <w:ind w:left="0"/>
              <w:contextualSpacing w:val="0"/>
              <w:jc w:val="left"/>
              <w:rPr>
                <w:rFonts w:ascii="Arial Narrow" w:hAnsi="Arial Narrow"/>
                <w:sz w:val="20"/>
              </w:rPr>
            </w:pPr>
            <w:r>
              <w:rPr>
                <w:rFonts w:ascii="Arial Narrow" w:hAnsi="Arial Narrow"/>
                <w:sz w:val="20"/>
              </w:rPr>
              <w:t>Total DAPA/SAXA FDC prescriptions (assuming 13/patient/year)</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9"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r>
      <w:tr w:rsidR="00406118" w:rsidRPr="00EA2C53" w:rsidTr="00406118">
        <w:tc>
          <w:tcPr>
            <w:tcW w:w="3544" w:type="dxa"/>
          </w:tcPr>
          <w:p w:rsidR="00406118" w:rsidRDefault="00406118" w:rsidP="00406118">
            <w:pPr>
              <w:pStyle w:val="ListParagraph"/>
              <w:ind w:left="0"/>
              <w:contextualSpacing w:val="0"/>
              <w:jc w:val="left"/>
              <w:rPr>
                <w:rFonts w:ascii="Arial Narrow" w:hAnsi="Arial Narrow"/>
                <w:sz w:val="20"/>
              </w:rPr>
            </w:pPr>
            <w:r>
              <w:rPr>
                <w:rFonts w:ascii="Arial Narrow" w:hAnsi="Arial Narrow"/>
                <w:sz w:val="20"/>
              </w:rPr>
              <w:t>Total cost (DPMQ) DAPA/SAXA FDC</w:t>
            </w:r>
          </w:p>
        </w:tc>
        <w:tc>
          <w:tcPr>
            <w:tcW w:w="1118" w:type="dxa"/>
            <w:vAlign w:val="center"/>
          </w:tcPr>
          <w:p w:rsidR="00406118" w:rsidRPr="00EA2C53" w:rsidRDefault="00406118" w:rsidP="00406118">
            <w:pPr>
              <w:pStyle w:val="ListParagraph"/>
              <w:ind w:left="0"/>
              <w:contextualSpacing w:val="0"/>
              <w:jc w:val="center"/>
              <w:rPr>
                <w:rFonts w:ascii="Arial Narrow" w:hAnsi="Arial Narrow"/>
                <w:sz w:val="20"/>
              </w:rPr>
            </w:pPr>
            <w:r w:rsidRPr="00EA2C53">
              <w:rPr>
                <w:rFonts w:ascii="Arial Narrow" w:hAnsi="Arial Narrow"/>
                <w:sz w:val="20"/>
              </w:rPr>
              <w:t>$</w:t>
            </w:r>
            <w:r w:rsidR="00BF356A">
              <w:rPr>
                <w:rFonts w:ascii="Arial Narrow" w:hAnsi="Arial Narrow"/>
                <w:noProof/>
                <w:color w:val="000000"/>
                <w:sz w:val="20"/>
                <w:highlight w:val="black"/>
              </w:rPr>
              <w:t>'''''''''''''''''''</w:t>
            </w:r>
          </w:p>
        </w:tc>
        <w:tc>
          <w:tcPr>
            <w:tcW w:w="1118" w:type="dxa"/>
            <w:vAlign w:val="center"/>
          </w:tcPr>
          <w:p w:rsidR="00406118" w:rsidRPr="00EA2C53" w:rsidRDefault="00406118" w:rsidP="00406118">
            <w:pPr>
              <w:pStyle w:val="ListParagraph"/>
              <w:ind w:left="0"/>
              <w:contextualSpacing w:val="0"/>
              <w:jc w:val="center"/>
              <w:rPr>
                <w:rFonts w:ascii="Arial Narrow" w:hAnsi="Arial Narrow"/>
                <w:sz w:val="20"/>
              </w:rPr>
            </w:pPr>
            <w:r w:rsidRPr="00EA2C53">
              <w:rPr>
                <w:rFonts w:ascii="Arial Narrow" w:hAnsi="Arial Narrow"/>
                <w:sz w:val="20"/>
              </w:rPr>
              <w:t>$</w:t>
            </w:r>
            <w:r w:rsidR="00BF356A">
              <w:rPr>
                <w:rFonts w:ascii="Arial Narrow" w:hAnsi="Arial Narrow"/>
                <w:noProof/>
                <w:color w:val="000000"/>
                <w:sz w:val="20"/>
                <w:highlight w:val="black"/>
              </w:rPr>
              <w:t>''''''''''''''''''''</w:t>
            </w:r>
          </w:p>
        </w:tc>
        <w:tc>
          <w:tcPr>
            <w:tcW w:w="1118" w:type="dxa"/>
            <w:vAlign w:val="center"/>
          </w:tcPr>
          <w:p w:rsidR="00406118" w:rsidRPr="00EA2C53" w:rsidRDefault="00406118" w:rsidP="00406118">
            <w:pPr>
              <w:pStyle w:val="ListParagraph"/>
              <w:ind w:left="0"/>
              <w:contextualSpacing w:val="0"/>
              <w:jc w:val="center"/>
              <w:rPr>
                <w:rFonts w:ascii="Arial Narrow" w:hAnsi="Arial Narrow"/>
                <w:sz w:val="20"/>
              </w:rPr>
            </w:pPr>
            <w:r w:rsidRPr="00EA2C53">
              <w:rPr>
                <w:rFonts w:ascii="Arial Narrow" w:hAnsi="Arial Narrow"/>
                <w:sz w:val="20"/>
              </w:rPr>
              <w:t>$</w:t>
            </w:r>
            <w:r w:rsidR="00BF356A">
              <w:rPr>
                <w:rFonts w:ascii="Arial Narrow" w:hAnsi="Arial Narrow"/>
                <w:noProof/>
                <w:color w:val="000000"/>
                <w:sz w:val="20"/>
                <w:highlight w:val="black"/>
              </w:rPr>
              <w:t>''''''''''''''''''</w:t>
            </w:r>
          </w:p>
        </w:tc>
        <w:tc>
          <w:tcPr>
            <w:tcW w:w="1118" w:type="dxa"/>
            <w:vAlign w:val="center"/>
          </w:tcPr>
          <w:p w:rsidR="00406118" w:rsidRPr="00EA2C53" w:rsidRDefault="00406118" w:rsidP="00406118">
            <w:pPr>
              <w:pStyle w:val="ListParagraph"/>
              <w:ind w:left="0"/>
              <w:contextualSpacing w:val="0"/>
              <w:jc w:val="center"/>
              <w:rPr>
                <w:rFonts w:ascii="Arial Narrow" w:hAnsi="Arial Narrow"/>
                <w:sz w:val="20"/>
              </w:rPr>
            </w:pPr>
            <w:r w:rsidRPr="00EA2C53">
              <w:rPr>
                <w:rFonts w:ascii="Arial Narrow" w:hAnsi="Arial Narrow"/>
                <w:sz w:val="20"/>
              </w:rPr>
              <w:t>$</w:t>
            </w:r>
            <w:r w:rsidR="00BF356A">
              <w:rPr>
                <w:rFonts w:ascii="Arial Narrow" w:hAnsi="Arial Narrow"/>
                <w:noProof/>
                <w:color w:val="000000"/>
                <w:sz w:val="20"/>
                <w:highlight w:val="black"/>
              </w:rPr>
              <w:t>'''''''''''''''''''''</w:t>
            </w:r>
          </w:p>
        </w:tc>
        <w:tc>
          <w:tcPr>
            <w:tcW w:w="1119" w:type="dxa"/>
            <w:vAlign w:val="center"/>
          </w:tcPr>
          <w:p w:rsidR="00406118" w:rsidRPr="00EA2C53" w:rsidRDefault="00406118" w:rsidP="00406118">
            <w:pPr>
              <w:pStyle w:val="ListParagraph"/>
              <w:ind w:left="0"/>
              <w:contextualSpacing w:val="0"/>
              <w:jc w:val="center"/>
              <w:rPr>
                <w:rFonts w:ascii="Arial Narrow" w:hAnsi="Arial Narrow"/>
                <w:sz w:val="20"/>
              </w:rPr>
            </w:pPr>
            <w:r w:rsidRPr="00EA2C53">
              <w:rPr>
                <w:rFonts w:ascii="Arial Narrow" w:hAnsi="Arial Narrow"/>
                <w:sz w:val="20"/>
              </w:rPr>
              <w:t>$</w:t>
            </w:r>
            <w:r w:rsidR="00BF356A">
              <w:rPr>
                <w:rFonts w:ascii="Arial Narrow" w:hAnsi="Arial Narrow"/>
                <w:noProof/>
                <w:color w:val="000000"/>
                <w:sz w:val="20"/>
                <w:highlight w:val="black"/>
              </w:rPr>
              <w:t>''''''''''''''''''''''</w:t>
            </w:r>
          </w:p>
        </w:tc>
      </w:tr>
      <w:tr w:rsidR="00406118" w:rsidRPr="00EA2C53" w:rsidTr="00406118">
        <w:tc>
          <w:tcPr>
            <w:tcW w:w="3544" w:type="dxa"/>
          </w:tcPr>
          <w:p w:rsidR="00406118" w:rsidRDefault="00406118" w:rsidP="00406118">
            <w:pPr>
              <w:pStyle w:val="ListParagraph"/>
              <w:ind w:left="0"/>
              <w:contextualSpacing w:val="0"/>
              <w:jc w:val="left"/>
              <w:rPr>
                <w:rFonts w:ascii="Arial Narrow" w:hAnsi="Arial Narrow"/>
                <w:sz w:val="20"/>
              </w:rPr>
            </w:pPr>
            <w:r>
              <w:rPr>
                <w:rFonts w:ascii="Arial Narrow" w:hAnsi="Arial Narrow"/>
                <w:sz w:val="20"/>
              </w:rPr>
              <w:t>Total patient co-payments</w:t>
            </w:r>
          </w:p>
        </w:tc>
        <w:tc>
          <w:tcPr>
            <w:tcW w:w="1118" w:type="dxa"/>
            <w:vAlign w:val="center"/>
          </w:tcPr>
          <w:p w:rsidR="00406118" w:rsidRPr="00EA2C53" w:rsidRDefault="00406118" w:rsidP="00406118">
            <w:pPr>
              <w:pStyle w:val="ListParagraph"/>
              <w:ind w:left="0"/>
              <w:contextualSpacing w:val="0"/>
              <w:jc w:val="center"/>
              <w:rPr>
                <w:rFonts w:ascii="Arial Narrow" w:hAnsi="Arial Narrow"/>
                <w:sz w:val="20"/>
              </w:rPr>
            </w:pPr>
            <w:r w:rsidRPr="00EA2C53">
              <w:rPr>
                <w:rFonts w:ascii="Arial Narrow" w:hAnsi="Arial Narrow"/>
                <w:sz w:val="20"/>
              </w:rPr>
              <w:t>$</w:t>
            </w:r>
            <w:r w:rsidR="00BF356A">
              <w:rPr>
                <w:rFonts w:ascii="Arial Narrow" w:hAnsi="Arial Narrow"/>
                <w:noProof/>
                <w:color w:val="000000"/>
                <w:sz w:val="20"/>
                <w:highlight w:val="black"/>
              </w:rPr>
              <w:t>'''''''''''''''''</w:t>
            </w:r>
          </w:p>
        </w:tc>
        <w:tc>
          <w:tcPr>
            <w:tcW w:w="1118" w:type="dxa"/>
            <w:vAlign w:val="center"/>
          </w:tcPr>
          <w:p w:rsidR="00406118" w:rsidRPr="00EA2C53" w:rsidRDefault="00406118" w:rsidP="00406118">
            <w:pPr>
              <w:pStyle w:val="ListParagraph"/>
              <w:ind w:left="0"/>
              <w:contextualSpacing w:val="0"/>
              <w:jc w:val="center"/>
              <w:rPr>
                <w:rFonts w:ascii="Arial Narrow" w:hAnsi="Arial Narrow"/>
                <w:sz w:val="20"/>
              </w:rPr>
            </w:pPr>
            <w:r w:rsidRPr="00EA2C53">
              <w:rPr>
                <w:rFonts w:ascii="Arial Narrow" w:hAnsi="Arial Narrow"/>
                <w:sz w:val="20"/>
              </w:rPr>
              <w:t>$</w:t>
            </w:r>
            <w:r w:rsidR="00BF356A">
              <w:rPr>
                <w:rFonts w:ascii="Arial Narrow" w:hAnsi="Arial Narrow"/>
                <w:noProof/>
                <w:color w:val="000000"/>
                <w:sz w:val="20"/>
                <w:highlight w:val="black"/>
              </w:rPr>
              <w:t>''''''''''''''''''</w:t>
            </w:r>
          </w:p>
        </w:tc>
        <w:tc>
          <w:tcPr>
            <w:tcW w:w="1118" w:type="dxa"/>
            <w:vAlign w:val="center"/>
          </w:tcPr>
          <w:p w:rsidR="00406118" w:rsidRPr="00EA2C53" w:rsidRDefault="00406118" w:rsidP="00406118">
            <w:pPr>
              <w:pStyle w:val="ListParagraph"/>
              <w:ind w:left="0"/>
              <w:contextualSpacing w:val="0"/>
              <w:jc w:val="center"/>
              <w:rPr>
                <w:rFonts w:ascii="Arial Narrow" w:hAnsi="Arial Narrow"/>
                <w:sz w:val="20"/>
              </w:rPr>
            </w:pPr>
            <w:r w:rsidRPr="00EA2C53">
              <w:rPr>
                <w:rFonts w:ascii="Arial Narrow" w:hAnsi="Arial Narrow"/>
                <w:sz w:val="20"/>
              </w:rPr>
              <w:t>$</w:t>
            </w:r>
            <w:r w:rsidR="00BF356A">
              <w:rPr>
                <w:rFonts w:ascii="Arial Narrow" w:hAnsi="Arial Narrow"/>
                <w:noProof/>
                <w:color w:val="000000"/>
                <w:sz w:val="20"/>
                <w:highlight w:val="black"/>
              </w:rPr>
              <w:t>''''''''''''''''</w:t>
            </w:r>
          </w:p>
        </w:tc>
        <w:tc>
          <w:tcPr>
            <w:tcW w:w="1118" w:type="dxa"/>
            <w:vAlign w:val="center"/>
          </w:tcPr>
          <w:p w:rsidR="00406118" w:rsidRPr="00EA2C53" w:rsidRDefault="00406118" w:rsidP="00406118">
            <w:pPr>
              <w:pStyle w:val="ListParagraph"/>
              <w:ind w:left="0"/>
              <w:contextualSpacing w:val="0"/>
              <w:jc w:val="center"/>
              <w:rPr>
                <w:rFonts w:ascii="Arial Narrow" w:hAnsi="Arial Narrow"/>
                <w:sz w:val="20"/>
              </w:rPr>
            </w:pPr>
            <w:r w:rsidRPr="00EA2C53">
              <w:rPr>
                <w:rFonts w:ascii="Arial Narrow" w:hAnsi="Arial Narrow"/>
                <w:sz w:val="20"/>
              </w:rPr>
              <w:t>$</w:t>
            </w:r>
            <w:r w:rsidR="00BF356A">
              <w:rPr>
                <w:rFonts w:ascii="Arial Narrow" w:hAnsi="Arial Narrow"/>
                <w:noProof/>
                <w:color w:val="000000"/>
                <w:sz w:val="20"/>
                <w:highlight w:val="black"/>
              </w:rPr>
              <w:t>''''''''''''''''''</w:t>
            </w:r>
          </w:p>
        </w:tc>
        <w:tc>
          <w:tcPr>
            <w:tcW w:w="1119" w:type="dxa"/>
            <w:vAlign w:val="center"/>
          </w:tcPr>
          <w:p w:rsidR="00406118" w:rsidRPr="00EA2C53" w:rsidRDefault="00406118" w:rsidP="00406118">
            <w:pPr>
              <w:pStyle w:val="ListParagraph"/>
              <w:ind w:left="0"/>
              <w:contextualSpacing w:val="0"/>
              <w:jc w:val="center"/>
              <w:rPr>
                <w:rFonts w:ascii="Arial Narrow" w:hAnsi="Arial Narrow"/>
                <w:sz w:val="20"/>
              </w:rPr>
            </w:pPr>
            <w:r w:rsidRPr="00EA2C53">
              <w:rPr>
                <w:rFonts w:ascii="Arial Narrow" w:hAnsi="Arial Narrow"/>
                <w:sz w:val="20"/>
              </w:rPr>
              <w:t>$</w:t>
            </w:r>
            <w:r w:rsidR="00BF356A">
              <w:rPr>
                <w:rFonts w:ascii="Arial Narrow" w:hAnsi="Arial Narrow"/>
                <w:noProof/>
                <w:color w:val="000000"/>
                <w:sz w:val="20"/>
                <w:highlight w:val="black"/>
              </w:rPr>
              <w:t>'''''''''''''''''''</w:t>
            </w:r>
          </w:p>
        </w:tc>
      </w:tr>
      <w:tr w:rsidR="00406118" w:rsidRPr="00EA2C53" w:rsidTr="00406118">
        <w:tc>
          <w:tcPr>
            <w:tcW w:w="3544" w:type="dxa"/>
          </w:tcPr>
          <w:p w:rsidR="00406118" w:rsidRDefault="00406118" w:rsidP="00406118">
            <w:pPr>
              <w:pStyle w:val="ListParagraph"/>
              <w:ind w:left="0"/>
              <w:contextualSpacing w:val="0"/>
              <w:jc w:val="left"/>
              <w:rPr>
                <w:rFonts w:ascii="Arial Narrow" w:hAnsi="Arial Narrow"/>
                <w:sz w:val="20"/>
              </w:rPr>
            </w:pPr>
            <w:r>
              <w:rPr>
                <w:rFonts w:ascii="Arial Narrow" w:hAnsi="Arial Narrow"/>
                <w:sz w:val="20"/>
              </w:rPr>
              <w:t>Total cost DAPA/SAXA FDC  (DPMQ less co-payments)</w:t>
            </w:r>
          </w:p>
        </w:tc>
        <w:tc>
          <w:tcPr>
            <w:tcW w:w="1118" w:type="dxa"/>
            <w:vAlign w:val="center"/>
          </w:tcPr>
          <w:p w:rsidR="00406118" w:rsidRPr="00EA2C53" w:rsidRDefault="00406118" w:rsidP="00406118">
            <w:pPr>
              <w:pStyle w:val="ListParagraph"/>
              <w:ind w:left="0"/>
              <w:contextualSpacing w:val="0"/>
              <w:jc w:val="center"/>
              <w:rPr>
                <w:rFonts w:ascii="Arial Narrow" w:hAnsi="Arial Narrow"/>
                <w:sz w:val="20"/>
              </w:rPr>
            </w:pPr>
            <w:r w:rsidRPr="00EA2C53">
              <w:rPr>
                <w:rFonts w:ascii="Arial Narrow" w:hAnsi="Arial Narrow"/>
                <w:sz w:val="20"/>
              </w:rPr>
              <w:t>$</w:t>
            </w:r>
            <w:r w:rsidR="00BF356A">
              <w:rPr>
                <w:rFonts w:ascii="Arial Narrow" w:hAnsi="Arial Narrow"/>
                <w:noProof/>
                <w:color w:val="000000"/>
                <w:sz w:val="20"/>
                <w:highlight w:val="black"/>
              </w:rPr>
              <w:t>''''''''''''''''''''''</w:t>
            </w:r>
          </w:p>
        </w:tc>
        <w:tc>
          <w:tcPr>
            <w:tcW w:w="1118" w:type="dxa"/>
            <w:vAlign w:val="center"/>
          </w:tcPr>
          <w:p w:rsidR="00406118" w:rsidRPr="00EA2C53" w:rsidRDefault="00406118" w:rsidP="00406118">
            <w:pPr>
              <w:pStyle w:val="ListParagraph"/>
              <w:ind w:left="0"/>
              <w:contextualSpacing w:val="0"/>
              <w:jc w:val="center"/>
              <w:rPr>
                <w:rFonts w:ascii="Arial Narrow" w:hAnsi="Arial Narrow"/>
                <w:sz w:val="20"/>
              </w:rPr>
            </w:pPr>
            <w:r w:rsidRPr="00EA2C53">
              <w:rPr>
                <w:rFonts w:ascii="Arial Narrow" w:hAnsi="Arial Narrow"/>
                <w:sz w:val="20"/>
              </w:rPr>
              <w:t>$</w:t>
            </w:r>
            <w:r w:rsidR="00BF356A">
              <w:rPr>
                <w:rFonts w:ascii="Arial Narrow" w:hAnsi="Arial Narrow"/>
                <w:noProof/>
                <w:color w:val="000000"/>
                <w:sz w:val="20"/>
                <w:highlight w:val="black"/>
              </w:rPr>
              <w:t>''''''''''''''''''''''</w:t>
            </w:r>
          </w:p>
        </w:tc>
        <w:tc>
          <w:tcPr>
            <w:tcW w:w="1118" w:type="dxa"/>
            <w:vAlign w:val="center"/>
          </w:tcPr>
          <w:p w:rsidR="00406118" w:rsidRPr="00EA2C53" w:rsidRDefault="00406118" w:rsidP="00406118">
            <w:pPr>
              <w:pStyle w:val="ListParagraph"/>
              <w:ind w:left="0"/>
              <w:contextualSpacing w:val="0"/>
              <w:jc w:val="center"/>
              <w:rPr>
                <w:rFonts w:ascii="Arial Narrow" w:hAnsi="Arial Narrow"/>
                <w:sz w:val="20"/>
              </w:rPr>
            </w:pPr>
            <w:r w:rsidRPr="00EA2C53">
              <w:rPr>
                <w:rFonts w:ascii="Arial Narrow" w:hAnsi="Arial Narrow"/>
                <w:sz w:val="20"/>
              </w:rPr>
              <w:t>$</w:t>
            </w:r>
            <w:r w:rsidR="00BF356A">
              <w:rPr>
                <w:rFonts w:ascii="Arial Narrow" w:hAnsi="Arial Narrow"/>
                <w:noProof/>
                <w:color w:val="000000"/>
                <w:sz w:val="20"/>
                <w:highlight w:val="black"/>
              </w:rPr>
              <w:t>''''''''''''''''''</w:t>
            </w:r>
          </w:p>
        </w:tc>
        <w:tc>
          <w:tcPr>
            <w:tcW w:w="1118" w:type="dxa"/>
            <w:vAlign w:val="center"/>
          </w:tcPr>
          <w:p w:rsidR="00406118" w:rsidRPr="00EA2C53" w:rsidRDefault="00406118" w:rsidP="00406118">
            <w:pPr>
              <w:pStyle w:val="ListParagraph"/>
              <w:ind w:left="0"/>
              <w:contextualSpacing w:val="0"/>
              <w:jc w:val="center"/>
              <w:rPr>
                <w:rFonts w:ascii="Arial Narrow" w:hAnsi="Arial Narrow"/>
                <w:sz w:val="20"/>
              </w:rPr>
            </w:pPr>
            <w:r w:rsidRPr="00EA2C53">
              <w:rPr>
                <w:rFonts w:ascii="Arial Narrow" w:hAnsi="Arial Narrow"/>
                <w:sz w:val="20"/>
              </w:rPr>
              <w:t>$</w:t>
            </w:r>
            <w:r w:rsidR="00BF356A">
              <w:rPr>
                <w:rFonts w:ascii="Arial Narrow" w:hAnsi="Arial Narrow"/>
                <w:noProof/>
                <w:color w:val="000000"/>
                <w:sz w:val="20"/>
                <w:highlight w:val="black"/>
              </w:rPr>
              <w:t>'''''''''''''''''''''</w:t>
            </w:r>
          </w:p>
        </w:tc>
        <w:tc>
          <w:tcPr>
            <w:tcW w:w="1119" w:type="dxa"/>
            <w:vAlign w:val="center"/>
          </w:tcPr>
          <w:p w:rsidR="00406118" w:rsidRPr="00EA2C53" w:rsidRDefault="00406118" w:rsidP="00406118">
            <w:pPr>
              <w:pStyle w:val="ListParagraph"/>
              <w:ind w:left="0"/>
              <w:contextualSpacing w:val="0"/>
              <w:jc w:val="center"/>
              <w:rPr>
                <w:rFonts w:ascii="Arial Narrow" w:hAnsi="Arial Narrow"/>
                <w:sz w:val="20"/>
              </w:rPr>
            </w:pPr>
            <w:r w:rsidRPr="00EA2C53">
              <w:rPr>
                <w:rFonts w:ascii="Arial Narrow" w:hAnsi="Arial Narrow"/>
                <w:sz w:val="20"/>
              </w:rPr>
              <w:t>$</w:t>
            </w:r>
            <w:r w:rsidR="00BF356A">
              <w:rPr>
                <w:rFonts w:ascii="Arial Narrow" w:hAnsi="Arial Narrow"/>
                <w:noProof/>
                <w:color w:val="000000"/>
                <w:sz w:val="20"/>
                <w:highlight w:val="black"/>
              </w:rPr>
              <w:t>'''''''''''''''''''''''</w:t>
            </w:r>
          </w:p>
        </w:tc>
      </w:tr>
      <w:tr w:rsidR="00406118" w:rsidRPr="00AE40E5" w:rsidTr="00406118">
        <w:tc>
          <w:tcPr>
            <w:tcW w:w="9135" w:type="dxa"/>
            <w:gridSpan w:val="6"/>
          </w:tcPr>
          <w:p w:rsidR="00406118" w:rsidRPr="00AE40E5" w:rsidRDefault="00406118" w:rsidP="00406118">
            <w:pPr>
              <w:pStyle w:val="ListParagraph"/>
              <w:ind w:left="0"/>
              <w:contextualSpacing w:val="0"/>
              <w:jc w:val="left"/>
              <w:rPr>
                <w:rFonts w:ascii="Arial Narrow" w:hAnsi="Arial Narrow"/>
                <w:b/>
                <w:sz w:val="20"/>
              </w:rPr>
            </w:pPr>
            <w:r w:rsidRPr="00AE40E5">
              <w:rPr>
                <w:rFonts w:ascii="Arial Narrow" w:hAnsi="Arial Narrow"/>
                <w:b/>
                <w:sz w:val="20"/>
              </w:rPr>
              <w:t>Estimated reduction in utilisation and costs of other medicines</w:t>
            </w:r>
          </w:p>
        </w:tc>
      </w:tr>
      <w:tr w:rsidR="00406118" w:rsidRPr="00EA2C53" w:rsidTr="00406118">
        <w:tc>
          <w:tcPr>
            <w:tcW w:w="3544" w:type="dxa"/>
          </w:tcPr>
          <w:p w:rsidR="00406118" w:rsidRDefault="00406118" w:rsidP="00406118">
            <w:pPr>
              <w:pStyle w:val="ListParagraph"/>
              <w:ind w:left="0"/>
              <w:contextualSpacing w:val="0"/>
              <w:jc w:val="left"/>
              <w:rPr>
                <w:rFonts w:ascii="Arial Narrow" w:hAnsi="Arial Narrow"/>
                <w:sz w:val="20"/>
              </w:rPr>
            </w:pPr>
            <w:r>
              <w:rPr>
                <w:rFonts w:ascii="Arial Narrow" w:hAnsi="Arial Narrow"/>
                <w:sz w:val="20"/>
              </w:rPr>
              <w:t>DAPA scripts replaced</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9"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r>
      <w:tr w:rsidR="00406118" w:rsidRPr="00EA2C53" w:rsidTr="00406118">
        <w:tc>
          <w:tcPr>
            <w:tcW w:w="3544" w:type="dxa"/>
          </w:tcPr>
          <w:p w:rsidR="00406118" w:rsidRDefault="00406118" w:rsidP="00406118">
            <w:pPr>
              <w:pStyle w:val="ListParagraph"/>
              <w:ind w:left="0"/>
              <w:contextualSpacing w:val="0"/>
              <w:jc w:val="left"/>
              <w:rPr>
                <w:rFonts w:ascii="Arial Narrow" w:hAnsi="Arial Narrow"/>
                <w:sz w:val="20"/>
              </w:rPr>
            </w:pPr>
            <w:r>
              <w:rPr>
                <w:rFonts w:ascii="Arial Narrow" w:hAnsi="Arial Narrow"/>
                <w:sz w:val="20"/>
              </w:rPr>
              <w:t>DAPA costs (DPMQ less co-pay)</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AE40E5">
              <w:rPr>
                <w:rFonts w:ascii="Arial Narrow" w:hAnsi="Arial Narrow"/>
                <w:sz w:val="20"/>
              </w:rPr>
              <w:t>$</w:t>
            </w:r>
            <w:r w:rsidR="00BF356A">
              <w:rPr>
                <w:rFonts w:ascii="Arial Narrow" w:hAnsi="Arial Narrow"/>
                <w:noProof/>
                <w:color w:val="000000"/>
                <w:sz w:val="20"/>
                <w:highlight w:val="black"/>
              </w:rPr>
              <w:t>'''''''''''''''''</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AE40E5">
              <w:rPr>
                <w:rFonts w:ascii="Arial Narrow" w:hAnsi="Arial Narrow"/>
                <w:sz w:val="20"/>
              </w:rPr>
              <w:t>$</w:t>
            </w:r>
            <w:r w:rsidR="00BF356A">
              <w:rPr>
                <w:rFonts w:ascii="Arial Narrow" w:hAnsi="Arial Narrow"/>
                <w:noProof/>
                <w:color w:val="000000"/>
                <w:sz w:val="20"/>
                <w:highlight w:val="black"/>
              </w:rPr>
              <w:t>'''''''''''''''''''</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AE40E5">
              <w:rPr>
                <w:rFonts w:ascii="Arial Narrow" w:hAnsi="Arial Narrow"/>
                <w:sz w:val="20"/>
              </w:rPr>
              <w:t>$</w:t>
            </w:r>
            <w:r w:rsidR="00BF356A">
              <w:rPr>
                <w:rFonts w:ascii="Arial Narrow" w:hAnsi="Arial Narrow"/>
                <w:noProof/>
                <w:color w:val="000000"/>
                <w:sz w:val="20"/>
                <w:highlight w:val="black"/>
              </w:rPr>
              <w:t>''''''''''''''''''''</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AE40E5">
              <w:rPr>
                <w:rFonts w:ascii="Arial Narrow" w:hAnsi="Arial Narrow"/>
                <w:sz w:val="20"/>
              </w:rPr>
              <w:t>$</w:t>
            </w:r>
            <w:r w:rsidR="00BF356A">
              <w:rPr>
                <w:rFonts w:ascii="Arial Narrow" w:hAnsi="Arial Narrow"/>
                <w:noProof/>
                <w:color w:val="000000"/>
                <w:sz w:val="20"/>
                <w:highlight w:val="black"/>
              </w:rPr>
              <w:t>''''''''''''''''''</w:t>
            </w:r>
          </w:p>
        </w:tc>
        <w:tc>
          <w:tcPr>
            <w:tcW w:w="1119" w:type="dxa"/>
          </w:tcPr>
          <w:p w:rsidR="00406118" w:rsidRPr="00EA2C53" w:rsidRDefault="00406118" w:rsidP="00406118">
            <w:pPr>
              <w:pStyle w:val="ListParagraph"/>
              <w:ind w:left="0"/>
              <w:contextualSpacing w:val="0"/>
              <w:jc w:val="center"/>
              <w:rPr>
                <w:rFonts w:ascii="Arial Narrow" w:hAnsi="Arial Narrow"/>
                <w:sz w:val="20"/>
              </w:rPr>
            </w:pPr>
            <w:r w:rsidRPr="00AE40E5">
              <w:rPr>
                <w:rFonts w:ascii="Arial Narrow" w:hAnsi="Arial Narrow"/>
                <w:sz w:val="20"/>
              </w:rPr>
              <w:t>$</w:t>
            </w:r>
            <w:r w:rsidR="00BF356A">
              <w:rPr>
                <w:rFonts w:ascii="Arial Narrow" w:hAnsi="Arial Narrow"/>
                <w:noProof/>
                <w:color w:val="000000"/>
                <w:sz w:val="20"/>
                <w:highlight w:val="black"/>
              </w:rPr>
              <w:t>'''''''''''''''''''''</w:t>
            </w:r>
          </w:p>
        </w:tc>
      </w:tr>
      <w:tr w:rsidR="00406118" w:rsidRPr="00EA2C53" w:rsidTr="00406118">
        <w:tc>
          <w:tcPr>
            <w:tcW w:w="3544" w:type="dxa"/>
          </w:tcPr>
          <w:p w:rsidR="00406118" w:rsidRDefault="00406118" w:rsidP="00406118">
            <w:pPr>
              <w:pStyle w:val="ListParagraph"/>
              <w:ind w:left="0"/>
              <w:contextualSpacing w:val="0"/>
              <w:jc w:val="left"/>
              <w:rPr>
                <w:rFonts w:ascii="Arial Narrow" w:hAnsi="Arial Narrow"/>
                <w:sz w:val="20"/>
              </w:rPr>
            </w:pPr>
            <w:r>
              <w:rPr>
                <w:rFonts w:ascii="Arial Narrow" w:hAnsi="Arial Narrow"/>
                <w:sz w:val="20"/>
              </w:rPr>
              <w:t>SAXA scripts replaced</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8"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19" w:type="dxa"/>
            <w:vAlign w:val="center"/>
          </w:tcPr>
          <w:p w:rsidR="00406118" w:rsidRPr="00BF356A" w:rsidRDefault="00BF356A" w:rsidP="00406118">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r>
      <w:tr w:rsidR="00406118" w:rsidRPr="00EA2C53" w:rsidTr="00406118">
        <w:tc>
          <w:tcPr>
            <w:tcW w:w="3544" w:type="dxa"/>
          </w:tcPr>
          <w:p w:rsidR="00406118" w:rsidRDefault="00406118" w:rsidP="00406118">
            <w:pPr>
              <w:pStyle w:val="ListParagraph"/>
              <w:ind w:left="0"/>
              <w:contextualSpacing w:val="0"/>
              <w:jc w:val="left"/>
              <w:rPr>
                <w:rFonts w:ascii="Arial Narrow" w:hAnsi="Arial Narrow"/>
                <w:sz w:val="20"/>
              </w:rPr>
            </w:pPr>
            <w:r>
              <w:rPr>
                <w:rFonts w:ascii="Arial Narrow" w:hAnsi="Arial Narrow"/>
                <w:sz w:val="20"/>
              </w:rPr>
              <w:t>SAXA costs (DPMQ less co-pay)</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AE40E5">
              <w:rPr>
                <w:rFonts w:ascii="Arial Narrow" w:hAnsi="Arial Narrow"/>
                <w:sz w:val="20"/>
              </w:rPr>
              <w:t>$</w:t>
            </w:r>
            <w:r w:rsidR="00BF356A">
              <w:rPr>
                <w:rFonts w:ascii="Arial Narrow" w:hAnsi="Arial Narrow"/>
                <w:noProof/>
                <w:color w:val="000000"/>
                <w:sz w:val="20"/>
                <w:highlight w:val="black"/>
              </w:rPr>
              <w:t>''''''''''''''''</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AE40E5">
              <w:rPr>
                <w:rFonts w:ascii="Arial Narrow" w:hAnsi="Arial Narrow"/>
                <w:sz w:val="20"/>
              </w:rPr>
              <w:t>$</w:t>
            </w:r>
            <w:r w:rsidR="00BF356A">
              <w:rPr>
                <w:rFonts w:ascii="Arial Narrow" w:hAnsi="Arial Narrow"/>
                <w:noProof/>
                <w:color w:val="000000"/>
                <w:sz w:val="20"/>
                <w:highlight w:val="black"/>
              </w:rPr>
              <w:t>''''''''''''''''''''''</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AE40E5">
              <w:rPr>
                <w:rFonts w:ascii="Arial Narrow" w:hAnsi="Arial Narrow"/>
                <w:sz w:val="20"/>
              </w:rPr>
              <w:t>$</w:t>
            </w:r>
            <w:r w:rsidR="00BF356A">
              <w:rPr>
                <w:rFonts w:ascii="Arial Narrow" w:hAnsi="Arial Narrow"/>
                <w:noProof/>
                <w:color w:val="000000"/>
                <w:sz w:val="20"/>
                <w:highlight w:val="black"/>
              </w:rPr>
              <w:t>''''''''''''''''''</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AE40E5">
              <w:rPr>
                <w:rFonts w:ascii="Arial Narrow" w:hAnsi="Arial Narrow"/>
                <w:sz w:val="20"/>
              </w:rPr>
              <w:t>$</w:t>
            </w:r>
            <w:r w:rsidR="00BF356A">
              <w:rPr>
                <w:rFonts w:ascii="Arial Narrow" w:hAnsi="Arial Narrow"/>
                <w:noProof/>
                <w:color w:val="000000"/>
                <w:sz w:val="20"/>
                <w:highlight w:val="black"/>
              </w:rPr>
              <w:t>'''''''''''''''''''''</w:t>
            </w:r>
          </w:p>
        </w:tc>
        <w:tc>
          <w:tcPr>
            <w:tcW w:w="1119" w:type="dxa"/>
          </w:tcPr>
          <w:p w:rsidR="00406118" w:rsidRPr="00EA2C53" w:rsidRDefault="00406118" w:rsidP="00406118">
            <w:pPr>
              <w:pStyle w:val="ListParagraph"/>
              <w:ind w:left="0"/>
              <w:contextualSpacing w:val="0"/>
              <w:jc w:val="center"/>
              <w:rPr>
                <w:rFonts w:ascii="Arial Narrow" w:hAnsi="Arial Narrow"/>
                <w:sz w:val="20"/>
              </w:rPr>
            </w:pPr>
            <w:r w:rsidRPr="00AE40E5">
              <w:rPr>
                <w:rFonts w:ascii="Arial Narrow" w:hAnsi="Arial Narrow"/>
                <w:sz w:val="20"/>
              </w:rPr>
              <w:t>$</w:t>
            </w:r>
            <w:r w:rsidR="00BF356A">
              <w:rPr>
                <w:rFonts w:ascii="Arial Narrow" w:hAnsi="Arial Narrow"/>
                <w:noProof/>
                <w:color w:val="000000"/>
                <w:sz w:val="20"/>
                <w:highlight w:val="black"/>
              </w:rPr>
              <w:t>'''''''''''''''''''</w:t>
            </w:r>
          </w:p>
        </w:tc>
      </w:tr>
      <w:tr w:rsidR="00406118" w:rsidRPr="00EA2C53" w:rsidTr="00406118">
        <w:tc>
          <w:tcPr>
            <w:tcW w:w="3544" w:type="dxa"/>
          </w:tcPr>
          <w:p w:rsidR="00406118" w:rsidRDefault="00406118" w:rsidP="00406118">
            <w:pPr>
              <w:pStyle w:val="ListParagraph"/>
              <w:ind w:left="0"/>
              <w:contextualSpacing w:val="0"/>
              <w:jc w:val="left"/>
              <w:rPr>
                <w:rFonts w:ascii="Arial Narrow" w:hAnsi="Arial Narrow"/>
                <w:sz w:val="20"/>
              </w:rPr>
            </w:pPr>
            <w:r>
              <w:rPr>
                <w:rFonts w:ascii="Arial Narrow" w:hAnsi="Arial Narrow"/>
                <w:sz w:val="20"/>
              </w:rPr>
              <w:t>Total reduction in costs (DPMQ)</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AE40E5">
              <w:rPr>
                <w:rFonts w:ascii="Arial Narrow" w:hAnsi="Arial Narrow"/>
                <w:sz w:val="20"/>
              </w:rPr>
              <w:t>$</w:t>
            </w:r>
            <w:r w:rsidR="00BF356A">
              <w:rPr>
                <w:rFonts w:ascii="Arial Narrow" w:hAnsi="Arial Narrow"/>
                <w:noProof/>
                <w:color w:val="000000"/>
                <w:sz w:val="20"/>
                <w:highlight w:val="black"/>
              </w:rPr>
              <w:t>''''''''''''''''''''</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AE40E5">
              <w:rPr>
                <w:rFonts w:ascii="Arial Narrow" w:hAnsi="Arial Narrow"/>
                <w:sz w:val="20"/>
              </w:rPr>
              <w:t>$</w:t>
            </w:r>
            <w:r w:rsidR="00BF356A">
              <w:rPr>
                <w:rFonts w:ascii="Arial Narrow" w:hAnsi="Arial Narrow"/>
                <w:noProof/>
                <w:color w:val="000000"/>
                <w:sz w:val="20"/>
                <w:highlight w:val="black"/>
              </w:rPr>
              <w:t>''''''''''''''''''</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AE40E5">
              <w:rPr>
                <w:rFonts w:ascii="Arial Narrow" w:hAnsi="Arial Narrow"/>
                <w:sz w:val="20"/>
              </w:rPr>
              <w:t>$</w:t>
            </w:r>
            <w:r w:rsidR="00BF356A">
              <w:rPr>
                <w:rFonts w:ascii="Arial Narrow" w:hAnsi="Arial Narrow"/>
                <w:noProof/>
                <w:color w:val="000000"/>
                <w:sz w:val="20"/>
                <w:highlight w:val="black"/>
              </w:rPr>
              <w:t>'''''''''''''''''''</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AE40E5">
              <w:rPr>
                <w:rFonts w:ascii="Arial Narrow" w:hAnsi="Arial Narrow"/>
                <w:sz w:val="20"/>
              </w:rPr>
              <w:t>$</w:t>
            </w:r>
            <w:r w:rsidR="00BF356A">
              <w:rPr>
                <w:rFonts w:ascii="Arial Narrow" w:hAnsi="Arial Narrow"/>
                <w:noProof/>
                <w:color w:val="000000"/>
                <w:sz w:val="20"/>
                <w:highlight w:val="black"/>
              </w:rPr>
              <w:t>''''''''''''''''''''''</w:t>
            </w:r>
          </w:p>
        </w:tc>
        <w:tc>
          <w:tcPr>
            <w:tcW w:w="1119" w:type="dxa"/>
          </w:tcPr>
          <w:p w:rsidR="00406118" w:rsidRPr="00EA2C53" w:rsidRDefault="00406118" w:rsidP="00406118">
            <w:pPr>
              <w:pStyle w:val="ListParagraph"/>
              <w:ind w:left="0"/>
              <w:contextualSpacing w:val="0"/>
              <w:jc w:val="center"/>
              <w:rPr>
                <w:rFonts w:ascii="Arial Narrow" w:hAnsi="Arial Narrow"/>
                <w:sz w:val="20"/>
              </w:rPr>
            </w:pPr>
            <w:r w:rsidRPr="00AE40E5">
              <w:rPr>
                <w:rFonts w:ascii="Arial Narrow" w:hAnsi="Arial Narrow"/>
                <w:sz w:val="20"/>
              </w:rPr>
              <w:t>$</w:t>
            </w:r>
            <w:r w:rsidR="00BF356A">
              <w:rPr>
                <w:rFonts w:ascii="Arial Narrow" w:hAnsi="Arial Narrow"/>
                <w:noProof/>
                <w:color w:val="000000"/>
                <w:sz w:val="20"/>
                <w:highlight w:val="black"/>
              </w:rPr>
              <w:t>''''''''''''''''''''''''</w:t>
            </w:r>
          </w:p>
        </w:tc>
      </w:tr>
      <w:tr w:rsidR="00406118" w:rsidRPr="00EA2C53" w:rsidTr="00406118">
        <w:tc>
          <w:tcPr>
            <w:tcW w:w="3544" w:type="dxa"/>
          </w:tcPr>
          <w:p w:rsidR="00406118" w:rsidRDefault="00406118" w:rsidP="00406118">
            <w:pPr>
              <w:pStyle w:val="ListParagraph"/>
              <w:ind w:left="0"/>
              <w:contextualSpacing w:val="0"/>
              <w:jc w:val="left"/>
              <w:rPr>
                <w:rFonts w:ascii="Arial Narrow" w:hAnsi="Arial Narrow"/>
                <w:sz w:val="20"/>
              </w:rPr>
            </w:pPr>
            <w:r>
              <w:rPr>
                <w:rFonts w:ascii="Arial Narrow" w:hAnsi="Arial Narrow"/>
                <w:sz w:val="20"/>
              </w:rPr>
              <w:t>Total reduction in costs (DPMQ less co-pay)</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AE40E5">
              <w:rPr>
                <w:rFonts w:ascii="Arial Narrow" w:hAnsi="Arial Narrow"/>
                <w:sz w:val="20"/>
              </w:rPr>
              <w:t>$</w:t>
            </w:r>
            <w:r w:rsidR="00BF356A">
              <w:rPr>
                <w:rFonts w:ascii="Arial Narrow" w:hAnsi="Arial Narrow"/>
                <w:noProof/>
                <w:color w:val="000000"/>
                <w:sz w:val="20"/>
                <w:highlight w:val="black"/>
              </w:rPr>
              <w:t>'''''''''''''''''''''</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AE40E5">
              <w:rPr>
                <w:rFonts w:ascii="Arial Narrow" w:hAnsi="Arial Narrow"/>
                <w:sz w:val="20"/>
              </w:rPr>
              <w:t>$</w:t>
            </w:r>
            <w:r w:rsidR="00BF356A">
              <w:rPr>
                <w:rFonts w:ascii="Arial Narrow" w:hAnsi="Arial Narrow"/>
                <w:noProof/>
                <w:color w:val="000000"/>
                <w:sz w:val="20"/>
                <w:highlight w:val="black"/>
              </w:rPr>
              <w:t>'''''''''''''''''''</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AE40E5">
              <w:rPr>
                <w:rFonts w:ascii="Arial Narrow" w:hAnsi="Arial Narrow"/>
                <w:sz w:val="20"/>
              </w:rPr>
              <w:t>$</w:t>
            </w:r>
            <w:r w:rsidR="00BF356A">
              <w:rPr>
                <w:rFonts w:ascii="Arial Narrow" w:hAnsi="Arial Narrow"/>
                <w:noProof/>
                <w:color w:val="000000"/>
                <w:sz w:val="20"/>
                <w:highlight w:val="black"/>
              </w:rPr>
              <w:t>'''''''''''''''''''</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AE40E5">
              <w:rPr>
                <w:rFonts w:ascii="Arial Narrow" w:hAnsi="Arial Narrow"/>
                <w:sz w:val="20"/>
              </w:rPr>
              <w:t>$</w:t>
            </w:r>
            <w:r w:rsidR="00BF356A">
              <w:rPr>
                <w:rFonts w:ascii="Arial Narrow" w:hAnsi="Arial Narrow"/>
                <w:noProof/>
                <w:color w:val="000000"/>
                <w:sz w:val="20"/>
                <w:highlight w:val="black"/>
              </w:rPr>
              <w:t>''''''''''''''''''''</w:t>
            </w:r>
          </w:p>
        </w:tc>
        <w:tc>
          <w:tcPr>
            <w:tcW w:w="1119" w:type="dxa"/>
          </w:tcPr>
          <w:p w:rsidR="00406118" w:rsidRPr="00EA2C53" w:rsidRDefault="00406118" w:rsidP="00406118">
            <w:pPr>
              <w:pStyle w:val="ListParagraph"/>
              <w:ind w:left="0"/>
              <w:contextualSpacing w:val="0"/>
              <w:jc w:val="center"/>
              <w:rPr>
                <w:rFonts w:ascii="Arial Narrow" w:hAnsi="Arial Narrow"/>
                <w:sz w:val="20"/>
              </w:rPr>
            </w:pPr>
            <w:r w:rsidRPr="00AE40E5">
              <w:rPr>
                <w:rFonts w:ascii="Arial Narrow" w:hAnsi="Arial Narrow"/>
                <w:sz w:val="20"/>
              </w:rPr>
              <w:t>$</w:t>
            </w:r>
            <w:r w:rsidR="00BF356A">
              <w:rPr>
                <w:rFonts w:ascii="Arial Narrow" w:hAnsi="Arial Narrow"/>
                <w:noProof/>
                <w:color w:val="000000"/>
                <w:sz w:val="20"/>
                <w:highlight w:val="black"/>
              </w:rPr>
              <w:t>'''''''''''''''''''''''</w:t>
            </w:r>
          </w:p>
        </w:tc>
      </w:tr>
      <w:tr w:rsidR="00406118" w:rsidRPr="00BA60D5" w:rsidTr="00406118">
        <w:tc>
          <w:tcPr>
            <w:tcW w:w="9135" w:type="dxa"/>
            <w:gridSpan w:val="6"/>
          </w:tcPr>
          <w:p w:rsidR="00406118" w:rsidRPr="00BA60D5" w:rsidRDefault="00406118" w:rsidP="00406118">
            <w:pPr>
              <w:pStyle w:val="ListParagraph"/>
              <w:ind w:left="0"/>
              <w:contextualSpacing w:val="0"/>
              <w:jc w:val="left"/>
              <w:rPr>
                <w:rFonts w:ascii="Arial Narrow" w:hAnsi="Arial Narrow"/>
                <w:b/>
                <w:sz w:val="20"/>
              </w:rPr>
            </w:pPr>
            <w:r w:rsidRPr="00BA60D5">
              <w:rPr>
                <w:rFonts w:ascii="Arial Narrow" w:hAnsi="Arial Narrow"/>
                <w:b/>
                <w:sz w:val="20"/>
              </w:rPr>
              <w:t>Net financial implications of listing dapagliflozin/saxagliptin FDC</w:t>
            </w:r>
          </w:p>
        </w:tc>
      </w:tr>
      <w:tr w:rsidR="00406118" w:rsidRPr="00EA2C53" w:rsidTr="00406118">
        <w:tc>
          <w:tcPr>
            <w:tcW w:w="3544" w:type="dxa"/>
          </w:tcPr>
          <w:p w:rsidR="00406118" w:rsidRDefault="00406118" w:rsidP="00406118">
            <w:pPr>
              <w:pStyle w:val="ListParagraph"/>
              <w:ind w:left="0"/>
              <w:contextualSpacing w:val="0"/>
              <w:jc w:val="left"/>
              <w:rPr>
                <w:rFonts w:ascii="Arial Narrow" w:hAnsi="Arial Narrow"/>
                <w:sz w:val="20"/>
              </w:rPr>
            </w:pPr>
            <w:r>
              <w:rPr>
                <w:rFonts w:ascii="Arial Narrow" w:hAnsi="Arial Narrow"/>
                <w:sz w:val="20"/>
              </w:rPr>
              <w:t>DAPA/SAXA FDC (DPMQ)</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4F61CE">
              <w:rPr>
                <w:rFonts w:ascii="Arial Narrow" w:hAnsi="Arial Narrow"/>
                <w:sz w:val="20"/>
              </w:rPr>
              <w:t>-$</w:t>
            </w:r>
            <w:r w:rsidR="00BF356A">
              <w:rPr>
                <w:rFonts w:ascii="Arial Narrow" w:hAnsi="Arial Narrow"/>
                <w:noProof/>
                <w:color w:val="000000"/>
                <w:sz w:val="20"/>
                <w:highlight w:val="black"/>
              </w:rPr>
              <w:t>'''''''''''''''</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4F61CE">
              <w:rPr>
                <w:rFonts w:ascii="Arial Narrow" w:hAnsi="Arial Narrow"/>
                <w:sz w:val="20"/>
              </w:rPr>
              <w:t>-$</w:t>
            </w:r>
            <w:r w:rsidR="00BF356A">
              <w:rPr>
                <w:rFonts w:ascii="Arial Narrow" w:hAnsi="Arial Narrow"/>
                <w:noProof/>
                <w:color w:val="000000"/>
                <w:sz w:val="20"/>
                <w:highlight w:val="black"/>
              </w:rPr>
              <w:t>'''''''''''''''''</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4F61CE">
              <w:rPr>
                <w:rFonts w:ascii="Arial Narrow" w:hAnsi="Arial Narrow"/>
                <w:sz w:val="20"/>
              </w:rPr>
              <w:t>-$</w:t>
            </w:r>
            <w:r w:rsidR="00BF356A">
              <w:rPr>
                <w:rFonts w:ascii="Arial Narrow" w:hAnsi="Arial Narrow"/>
                <w:noProof/>
                <w:color w:val="000000"/>
                <w:sz w:val="20"/>
                <w:highlight w:val="black"/>
              </w:rPr>
              <w:t>''''''''''''''''''</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4F61CE">
              <w:rPr>
                <w:rFonts w:ascii="Arial Narrow" w:hAnsi="Arial Narrow"/>
                <w:sz w:val="20"/>
              </w:rPr>
              <w:t>-$</w:t>
            </w:r>
            <w:r w:rsidR="00BF356A">
              <w:rPr>
                <w:rFonts w:ascii="Arial Narrow" w:hAnsi="Arial Narrow"/>
                <w:noProof/>
                <w:color w:val="000000"/>
                <w:sz w:val="20"/>
                <w:highlight w:val="black"/>
              </w:rPr>
              <w:t>''''''''''''''''</w:t>
            </w:r>
          </w:p>
        </w:tc>
        <w:tc>
          <w:tcPr>
            <w:tcW w:w="1119" w:type="dxa"/>
          </w:tcPr>
          <w:p w:rsidR="00406118" w:rsidRPr="00EA2C53" w:rsidRDefault="00406118" w:rsidP="00406118">
            <w:pPr>
              <w:pStyle w:val="ListParagraph"/>
              <w:ind w:left="0"/>
              <w:contextualSpacing w:val="0"/>
              <w:jc w:val="center"/>
              <w:rPr>
                <w:rFonts w:ascii="Arial Narrow" w:hAnsi="Arial Narrow"/>
                <w:sz w:val="20"/>
              </w:rPr>
            </w:pPr>
            <w:r w:rsidRPr="004F61CE">
              <w:rPr>
                <w:rFonts w:ascii="Arial Narrow" w:hAnsi="Arial Narrow"/>
                <w:sz w:val="20"/>
              </w:rPr>
              <w:t>-$</w:t>
            </w:r>
            <w:r w:rsidR="00BF356A">
              <w:rPr>
                <w:rFonts w:ascii="Arial Narrow" w:hAnsi="Arial Narrow"/>
                <w:noProof/>
                <w:color w:val="000000"/>
                <w:sz w:val="20"/>
                <w:highlight w:val="black"/>
              </w:rPr>
              <w:t>''''''''''''''''''</w:t>
            </w:r>
          </w:p>
        </w:tc>
      </w:tr>
      <w:tr w:rsidR="00406118" w:rsidRPr="00EA2C53" w:rsidTr="00406118">
        <w:tc>
          <w:tcPr>
            <w:tcW w:w="3544" w:type="dxa"/>
          </w:tcPr>
          <w:p w:rsidR="00406118" w:rsidRDefault="00406118" w:rsidP="00406118">
            <w:pPr>
              <w:pStyle w:val="ListParagraph"/>
              <w:ind w:left="0"/>
              <w:contextualSpacing w:val="0"/>
              <w:jc w:val="left"/>
              <w:rPr>
                <w:rFonts w:ascii="Arial Narrow" w:hAnsi="Arial Narrow"/>
                <w:sz w:val="20"/>
              </w:rPr>
            </w:pPr>
            <w:r>
              <w:rPr>
                <w:rFonts w:ascii="Arial Narrow" w:hAnsi="Arial Narrow"/>
                <w:sz w:val="20"/>
              </w:rPr>
              <w:t>DAPA/SAXA FDC (DPMQ less co-pay)</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4F61CE">
              <w:rPr>
                <w:rFonts w:ascii="Arial Narrow" w:hAnsi="Arial Narrow"/>
                <w:sz w:val="20"/>
              </w:rPr>
              <w:t>$</w:t>
            </w:r>
            <w:r w:rsidR="00BF356A">
              <w:rPr>
                <w:rFonts w:ascii="Arial Narrow" w:hAnsi="Arial Narrow"/>
                <w:noProof/>
                <w:color w:val="000000"/>
                <w:sz w:val="20"/>
                <w:highlight w:val="black"/>
              </w:rPr>
              <w:t>'''''''''''''''</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4F61CE">
              <w:rPr>
                <w:rFonts w:ascii="Arial Narrow" w:hAnsi="Arial Narrow"/>
                <w:sz w:val="20"/>
              </w:rPr>
              <w:t>$</w:t>
            </w:r>
            <w:r w:rsidR="00BF356A">
              <w:rPr>
                <w:rFonts w:ascii="Arial Narrow" w:hAnsi="Arial Narrow"/>
                <w:noProof/>
                <w:color w:val="000000"/>
                <w:sz w:val="20"/>
                <w:highlight w:val="black"/>
              </w:rPr>
              <w:t>''''''''''''</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4F61CE">
              <w:rPr>
                <w:rFonts w:ascii="Arial Narrow" w:hAnsi="Arial Narrow"/>
                <w:sz w:val="20"/>
              </w:rPr>
              <w:t>$</w:t>
            </w:r>
            <w:r w:rsidR="00BF356A">
              <w:rPr>
                <w:rFonts w:ascii="Arial Narrow" w:hAnsi="Arial Narrow"/>
                <w:noProof/>
                <w:color w:val="000000"/>
                <w:sz w:val="20"/>
                <w:highlight w:val="black"/>
              </w:rPr>
              <w:t>'''''''''''''''''</w:t>
            </w:r>
          </w:p>
        </w:tc>
        <w:tc>
          <w:tcPr>
            <w:tcW w:w="1118" w:type="dxa"/>
          </w:tcPr>
          <w:p w:rsidR="00406118" w:rsidRPr="00EA2C53" w:rsidRDefault="00406118" w:rsidP="00406118">
            <w:pPr>
              <w:pStyle w:val="ListParagraph"/>
              <w:ind w:left="0"/>
              <w:contextualSpacing w:val="0"/>
              <w:jc w:val="center"/>
              <w:rPr>
                <w:rFonts w:ascii="Arial Narrow" w:hAnsi="Arial Narrow"/>
                <w:sz w:val="20"/>
              </w:rPr>
            </w:pPr>
            <w:r w:rsidRPr="004F61CE">
              <w:rPr>
                <w:rFonts w:ascii="Arial Narrow" w:hAnsi="Arial Narrow"/>
                <w:sz w:val="20"/>
              </w:rPr>
              <w:t>$</w:t>
            </w:r>
            <w:r w:rsidR="00BF356A">
              <w:rPr>
                <w:rFonts w:ascii="Arial Narrow" w:hAnsi="Arial Narrow"/>
                <w:noProof/>
                <w:color w:val="000000"/>
                <w:sz w:val="20"/>
                <w:highlight w:val="black"/>
              </w:rPr>
              <w:t>''''''''''''''''</w:t>
            </w:r>
          </w:p>
        </w:tc>
        <w:tc>
          <w:tcPr>
            <w:tcW w:w="1119" w:type="dxa"/>
          </w:tcPr>
          <w:p w:rsidR="00406118" w:rsidRPr="00EA2C53" w:rsidRDefault="00406118" w:rsidP="00406118">
            <w:pPr>
              <w:pStyle w:val="ListParagraph"/>
              <w:ind w:left="0"/>
              <w:contextualSpacing w:val="0"/>
              <w:jc w:val="center"/>
              <w:rPr>
                <w:rFonts w:ascii="Arial Narrow" w:hAnsi="Arial Narrow"/>
                <w:sz w:val="20"/>
              </w:rPr>
            </w:pPr>
            <w:r w:rsidRPr="004F61CE">
              <w:rPr>
                <w:rFonts w:ascii="Arial Narrow" w:hAnsi="Arial Narrow"/>
                <w:sz w:val="20"/>
              </w:rPr>
              <w:t>$</w:t>
            </w:r>
            <w:r w:rsidR="00BF356A">
              <w:rPr>
                <w:rFonts w:ascii="Arial Narrow" w:hAnsi="Arial Narrow"/>
                <w:noProof/>
                <w:color w:val="000000"/>
                <w:sz w:val="20"/>
                <w:highlight w:val="black"/>
              </w:rPr>
              <w:t>''''''''''''''''</w:t>
            </w:r>
          </w:p>
        </w:tc>
      </w:tr>
    </w:tbl>
    <w:p w:rsidR="00406118" w:rsidRPr="00BB022E" w:rsidRDefault="00406118" w:rsidP="00406118">
      <w:pPr>
        <w:rPr>
          <w:rFonts w:ascii="Arial Narrow" w:hAnsi="Arial Narrow"/>
          <w:sz w:val="18"/>
          <w:szCs w:val="18"/>
        </w:rPr>
      </w:pPr>
      <w:r>
        <w:rPr>
          <w:rFonts w:ascii="Arial Narrow" w:hAnsi="Arial Narrow"/>
          <w:sz w:val="18"/>
          <w:szCs w:val="18"/>
          <w:vertAlign w:val="superscript"/>
        </w:rPr>
        <w:t xml:space="preserve">a </w:t>
      </w:r>
      <w:r w:rsidR="00BF356A">
        <w:rPr>
          <w:rFonts w:ascii="Arial Narrow" w:hAnsi="Arial Narrow"/>
          <w:noProof/>
          <w:color w:val="000000"/>
          <w:sz w:val="18"/>
          <w:szCs w:val="18"/>
          <w:highlight w:val="black"/>
        </w:rPr>
        <w:t>'''''''''''''''''''''''''' ''''''''''''''''''''' '''''' '''''''''''''''' '''' '''''''''' '''</w:t>
      </w:r>
    </w:p>
    <w:p w:rsidR="00406118" w:rsidRDefault="00406118" w:rsidP="00406118">
      <w:pPr>
        <w:rPr>
          <w:rFonts w:ascii="Arial Narrow" w:hAnsi="Arial Narrow"/>
          <w:sz w:val="18"/>
          <w:szCs w:val="18"/>
        </w:rPr>
      </w:pPr>
      <w:r w:rsidRPr="007F7E09">
        <w:rPr>
          <w:rFonts w:ascii="Arial Narrow" w:hAnsi="Arial Narrow"/>
          <w:sz w:val="18"/>
          <w:szCs w:val="18"/>
        </w:rPr>
        <w:t xml:space="preserve">Abbreviations: </w:t>
      </w:r>
      <w:r>
        <w:rPr>
          <w:rFonts w:ascii="Arial Narrow" w:hAnsi="Arial Narrow"/>
          <w:sz w:val="18"/>
          <w:szCs w:val="18"/>
        </w:rPr>
        <w:t xml:space="preserve">DAPA, dapagliflozin; </w:t>
      </w:r>
      <w:r w:rsidRPr="007F7E09">
        <w:rPr>
          <w:rFonts w:ascii="Arial Narrow" w:hAnsi="Arial Narrow"/>
          <w:sz w:val="18"/>
          <w:szCs w:val="18"/>
        </w:rPr>
        <w:t>DPMQ, dispen</w:t>
      </w:r>
      <w:r>
        <w:rPr>
          <w:rFonts w:ascii="Arial Narrow" w:hAnsi="Arial Narrow"/>
          <w:sz w:val="18"/>
          <w:szCs w:val="18"/>
        </w:rPr>
        <w:t>sed price for maximum quantity; FDC, fixed dose combination; SAXA, saxagliptin</w:t>
      </w:r>
    </w:p>
    <w:p w:rsidR="00406118" w:rsidRDefault="00406118" w:rsidP="00406118">
      <w:pPr>
        <w:pStyle w:val="TableFooter"/>
        <w:spacing w:after="240"/>
        <w:contextualSpacing/>
      </w:pPr>
      <w:r>
        <w:rPr>
          <w:szCs w:val="18"/>
        </w:rPr>
        <w:t>Source: Table 7, p14 of the submission.</w:t>
      </w:r>
    </w:p>
    <w:p w:rsidR="00406118" w:rsidRPr="00EF6B8B" w:rsidRDefault="00406118" w:rsidP="00A51748">
      <w:pPr>
        <w:pStyle w:val="ESnumberedparablue"/>
        <w:numPr>
          <w:ilvl w:val="1"/>
          <w:numId w:val="1"/>
        </w:numPr>
        <w:rPr>
          <w:rFonts w:asciiTheme="minorHAnsi" w:hAnsiTheme="minorHAnsi"/>
          <w:color w:val="auto"/>
          <w:sz w:val="24"/>
        </w:rPr>
      </w:pPr>
      <w:r w:rsidRPr="00EF6B8B">
        <w:rPr>
          <w:rFonts w:asciiTheme="minorHAnsi" w:hAnsiTheme="minorHAnsi"/>
          <w:color w:val="auto"/>
          <w:sz w:val="24"/>
        </w:rPr>
        <w:t>The</w:t>
      </w:r>
      <w:r w:rsidR="00145EA6">
        <w:rPr>
          <w:rFonts w:asciiTheme="minorHAnsi" w:hAnsiTheme="minorHAnsi"/>
          <w:color w:val="auto"/>
          <w:sz w:val="24"/>
        </w:rPr>
        <w:t xml:space="preserve"> redacted table above shows the number of prescriptions and</w:t>
      </w:r>
      <w:r w:rsidRPr="00EF6B8B">
        <w:rPr>
          <w:rFonts w:asciiTheme="minorHAnsi" w:hAnsiTheme="minorHAnsi"/>
          <w:color w:val="auto"/>
          <w:sz w:val="24"/>
        </w:rPr>
        <w:t xml:space="preserve"> net cost of listing dapagliflozin/saxagliptin FDC on the PBS was estimated to be </w:t>
      </w:r>
      <w:r w:rsidR="00145EA6">
        <w:rPr>
          <w:rFonts w:asciiTheme="minorHAnsi" w:hAnsiTheme="minorHAnsi"/>
          <w:color w:val="auto"/>
          <w:sz w:val="24"/>
        </w:rPr>
        <w:t>10,000 – 50,000 scripts and less than $10 million</w:t>
      </w:r>
      <w:r w:rsidRPr="00EF6B8B">
        <w:rPr>
          <w:rFonts w:asciiTheme="minorHAnsi" w:hAnsiTheme="minorHAnsi"/>
          <w:color w:val="auto"/>
          <w:sz w:val="24"/>
        </w:rPr>
        <w:t xml:space="preserve"> in the fifth year of listing. The submission’s estimates of utilisation and financial implications were uncertain and likely underestimated for the following reasons</w:t>
      </w:r>
      <w:r w:rsidR="00E308AE">
        <w:rPr>
          <w:rFonts w:asciiTheme="minorHAnsi" w:hAnsiTheme="minorHAnsi"/>
          <w:color w:val="auto"/>
          <w:sz w:val="24"/>
        </w:rPr>
        <w:t xml:space="preserve"> identified during the evaluation</w:t>
      </w:r>
      <w:r w:rsidRPr="00EF6B8B">
        <w:rPr>
          <w:rFonts w:asciiTheme="minorHAnsi" w:hAnsiTheme="minorHAnsi"/>
          <w:color w:val="auto"/>
          <w:sz w:val="24"/>
        </w:rPr>
        <w:t>:</w:t>
      </w:r>
    </w:p>
    <w:p w:rsidR="00406118" w:rsidRPr="00E20FF3" w:rsidRDefault="00406118" w:rsidP="00E20FF3">
      <w:pPr>
        <w:pStyle w:val="ListParagraph"/>
        <w:widowControl/>
        <w:numPr>
          <w:ilvl w:val="0"/>
          <w:numId w:val="8"/>
        </w:numPr>
        <w:rPr>
          <w:rFonts w:asciiTheme="minorHAnsi" w:hAnsiTheme="minorHAnsi"/>
          <w:sz w:val="24"/>
          <w:szCs w:val="24"/>
        </w:rPr>
      </w:pPr>
      <w:r w:rsidRPr="00E20FF3">
        <w:rPr>
          <w:rFonts w:asciiTheme="minorHAnsi" w:hAnsiTheme="minorHAnsi"/>
          <w:sz w:val="24"/>
          <w:szCs w:val="24"/>
        </w:rPr>
        <w:t>The estimated number of patients receiving an SGLT2 inhibitor in combination with metformin and a DPP4 inhibitor was based on the 10% Medicare sample analysis, which was poorly documented, with no capacity to check calculations. There was limited information explaining the derivation of estimates used in the submission’s calculations.</w:t>
      </w:r>
    </w:p>
    <w:p w:rsidR="00406118" w:rsidRPr="00E20FF3" w:rsidRDefault="00406118" w:rsidP="00E20FF3">
      <w:pPr>
        <w:pStyle w:val="ListParagraph"/>
        <w:widowControl/>
        <w:numPr>
          <w:ilvl w:val="0"/>
          <w:numId w:val="8"/>
        </w:numPr>
        <w:rPr>
          <w:rFonts w:asciiTheme="minorHAnsi" w:hAnsiTheme="minorHAnsi"/>
          <w:sz w:val="24"/>
          <w:szCs w:val="24"/>
        </w:rPr>
      </w:pPr>
      <w:r w:rsidRPr="00E20FF3">
        <w:rPr>
          <w:rFonts w:asciiTheme="minorHAnsi" w:hAnsiTheme="minorHAnsi"/>
          <w:sz w:val="24"/>
          <w:szCs w:val="24"/>
        </w:rPr>
        <w:t>The submission used 2016 estimates for the SGLT2 inhibitor triple therapy market and assumed no growth in Year 1. The assumption was inadequately justified and was likely to underestimate utilisation for that year, and to a greater extent, total utilisation in the following years.</w:t>
      </w:r>
    </w:p>
    <w:p w:rsidR="00406118" w:rsidRPr="00E20FF3" w:rsidRDefault="00406118" w:rsidP="00E20FF3">
      <w:pPr>
        <w:pStyle w:val="ListParagraph"/>
        <w:widowControl/>
        <w:numPr>
          <w:ilvl w:val="0"/>
          <w:numId w:val="8"/>
        </w:numPr>
        <w:rPr>
          <w:rFonts w:asciiTheme="minorHAnsi" w:hAnsiTheme="minorHAnsi"/>
          <w:sz w:val="24"/>
          <w:szCs w:val="24"/>
        </w:rPr>
      </w:pPr>
      <w:r w:rsidRPr="00E20FF3">
        <w:rPr>
          <w:rFonts w:asciiTheme="minorHAnsi" w:hAnsiTheme="minorHAnsi"/>
          <w:sz w:val="24"/>
          <w:szCs w:val="24"/>
        </w:rPr>
        <w:t>Although consistent with the requested restriction, the submission’s estimates of eligible patients only included those initially receiving dual therapy metformin and a DPP4 inhibitor, with subsequent addition of dapagliflozin. This approach was likely to underestimate the use of dapagliflozin as the submission did not account for the substantial proportion of patients likely to receive the same combination therapy through other pathways (e.g. treatment switching).</w:t>
      </w:r>
    </w:p>
    <w:p w:rsidR="00406118" w:rsidRPr="00E20FF3" w:rsidRDefault="00406118" w:rsidP="00E20FF3">
      <w:pPr>
        <w:pStyle w:val="ListParagraph"/>
        <w:widowControl/>
        <w:numPr>
          <w:ilvl w:val="0"/>
          <w:numId w:val="8"/>
        </w:numPr>
        <w:rPr>
          <w:rFonts w:asciiTheme="minorHAnsi" w:hAnsiTheme="minorHAnsi"/>
          <w:sz w:val="24"/>
          <w:szCs w:val="24"/>
        </w:rPr>
      </w:pPr>
      <w:r w:rsidRPr="00E20FF3">
        <w:rPr>
          <w:rFonts w:asciiTheme="minorHAnsi" w:hAnsiTheme="minorHAnsi"/>
          <w:sz w:val="24"/>
          <w:szCs w:val="24"/>
        </w:rPr>
        <w:t xml:space="preserve">The </w:t>
      </w:r>
      <w:r w:rsidR="00BF356A">
        <w:rPr>
          <w:rFonts w:asciiTheme="minorHAnsi" w:hAnsiTheme="minorHAnsi"/>
          <w:noProof/>
          <w:color w:val="000000"/>
          <w:sz w:val="24"/>
          <w:szCs w:val="24"/>
          <w:highlight w:val="black"/>
        </w:rPr>
        <w:t>'''''</w:t>
      </w:r>
      <w:r w:rsidRPr="00E20FF3">
        <w:rPr>
          <w:rFonts w:asciiTheme="minorHAnsi" w:hAnsiTheme="minorHAnsi"/>
          <w:sz w:val="24"/>
          <w:szCs w:val="24"/>
        </w:rPr>
        <w:t xml:space="preserve">% annual growth of the SGLT2 inhibitor triple therapy market and </w:t>
      </w:r>
      <w:r w:rsidR="00BF356A">
        <w:rPr>
          <w:rFonts w:asciiTheme="minorHAnsi" w:hAnsiTheme="minorHAnsi"/>
          <w:noProof/>
          <w:color w:val="000000"/>
          <w:sz w:val="24"/>
          <w:szCs w:val="24"/>
          <w:highlight w:val="black"/>
        </w:rPr>
        <w:t>''''''</w:t>
      </w:r>
      <w:r w:rsidRPr="00E20FF3">
        <w:rPr>
          <w:rFonts w:asciiTheme="minorHAnsi" w:hAnsiTheme="minorHAnsi"/>
          <w:sz w:val="24"/>
          <w:szCs w:val="24"/>
        </w:rPr>
        <w:t>% yearly uptake of dapagliflozin were assumed in the submission;</w:t>
      </w:r>
    </w:p>
    <w:p w:rsidR="00406118" w:rsidRPr="00E20FF3" w:rsidRDefault="00406118" w:rsidP="00E20FF3">
      <w:pPr>
        <w:pStyle w:val="ListParagraph"/>
        <w:widowControl/>
        <w:numPr>
          <w:ilvl w:val="0"/>
          <w:numId w:val="8"/>
        </w:numPr>
        <w:rPr>
          <w:rFonts w:asciiTheme="minorHAnsi" w:hAnsiTheme="minorHAnsi"/>
          <w:sz w:val="24"/>
          <w:szCs w:val="24"/>
        </w:rPr>
      </w:pPr>
      <w:r w:rsidRPr="00E20FF3">
        <w:rPr>
          <w:rFonts w:asciiTheme="minorHAnsi" w:hAnsiTheme="minorHAnsi"/>
          <w:sz w:val="24"/>
          <w:szCs w:val="24"/>
        </w:rPr>
        <w:t xml:space="preserve">Uptake was limited to patients who had been previously treated with individual components (and not fixed dose combinations) of metformin and a DPP4 inhibitor, and only </w:t>
      </w:r>
      <w:r w:rsidR="00BF356A">
        <w:rPr>
          <w:rFonts w:asciiTheme="minorHAnsi" w:hAnsiTheme="minorHAnsi"/>
          <w:noProof/>
          <w:color w:val="000000"/>
          <w:sz w:val="24"/>
          <w:szCs w:val="24"/>
          <w:highlight w:val="black"/>
        </w:rPr>
        <w:t>'''''</w:t>
      </w:r>
      <w:r w:rsidRPr="00E20FF3">
        <w:rPr>
          <w:rFonts w:asciiTheme="minorHAnsi" w:hAnsiTheme="minorHAnsi"/>
          <w:sz w:val="24"/>
          <w:szCs w:val="24"/>
        </w:rPr>
        <w:t>% of these patients were assumed to move to dapagliflozin/saxagliptin FDC when commencing triple therapy.</w:t>
      </w:r>
    </w:p>
    <w:p w:rsidR="00406118" w:rsidRDefault="00406118" w:rsidP="00E20FF3">
      <w:pPr>
        <w:pStyle w:val="ListParagraph"/>
        <w:widowControl/>
        <w:numPr>
          <w:ilvl w:val="0"/>
          <w:numId w:val="8"/>
        </w:numPr>
        <w:rPr>
          <w:rFonts w:asciiTheme="minorHAnsi" w:hAnsiTheme="minorHAnsi"/>
          <w:sz w:val="24"/>
          <w:szCs w:val="24"/>
        </w:rPr>
      </w:pPr>
      <w:r w:rsidRPr="00E20FF3">
        <w:rPr>
          <w:rFonts w:asciiTheme="minorHAnsi" w:hAnsiTheme="minorHAnsi"/>
          <w:sz w:val="24"/>
          <w:szCs w:val="24"/>
        </w:rPr>
        <w:t xml:space="preserve">The submission did not consider the potential financial advantage for General beneficiary patients to move from an FDC containing metformin to dapagliflozin/saxagliptin FDC (individually priced above the General patient copayment). There is a potential for differential market growth in the General and Concessional patient groups. </w:t>
      </w:r>
    </w:p>
    <w:p w:rsidR="00E20FF3" w:rsidRPr="00E20FF3" w:rsidRDefault="00E20FF3" w:rsidP="00E20FF3">
      <w:pPr>
        <w:pStyle w:val="ListParagraph"/>
        <w:widowControl/>
        <w:ind w:left="1440"/>
        <w:rPr>
          <w:rFonts w:asciiTheme="minorHAnsi" w:hAnsiTheme="minorHAnsi"/>
          <w:sz w:val="24"/>
          <w:szCs w:val="24"/>
        </w:rPr>
      </w:pPr>
    </w:p>
    <w:p w:rsidR="00A51748" w:rsidRPr="007557F8" w:rsidRDefault="00F15964" w:rsidP="007557F8">
      <w:pPr>
        <w:pStyle w:val="ESnumberedparablue"/>
        <w:numPr>
          <w:ilvl w:val="1"/>
          <w:numId w:val="1"/>
        </w:numPr>
        <w:rPr>
          <w:rFonts w:asciiTheme="minorHAnsi" w:hAnsiTheme="minorHAnsi"/>
          <w:color w:val="auto"/>
          <w:sz w:val="24"/>
        </w:rPr>
      </w:pPr>
      <w:r w:rsidRPr="00F15964">
        <w:rPr>
          <w:rFonts w:asciiTheme="minorHAnsi" w:hAnsiTheme="minorHAnsi"/>
          <w:color w:val="auto"/>
          <w:sz w:val="24"/>
        </w:rPr>
        <w:t xml:space="preserve">The PBAC noted the </w:t>
      </w:r>
      <w:r w:rsidR="00A51748" w:rsidRPr="00F15964">
        <w:rPr>
          <w:rFonts w:asciiTheme="minorHAnsi" w:hAnsiTheme="minorHAnsi"/>
          <w:color w:val="auto"/>
          <w:sz w:val="24"/>
        </w:rPr>
        <w:t>DUSC</w:t>
      </w:r>
      <w:r w:rsidRPr="00F15964">
        <w:rPr>
          <w:rFonts w:asciiTheme="minorHAnsi" w:hAnsiTheme="minorHAnsi"/>
          <w:color w:val="auto"/>
          <w:sz w:val="24"/>
        </w:rPr>
        <w:t xml:space="preserve"> advice that </w:t>
      </w:r>
      <w:r w:rsidR="00A51748" w:rsidRPr="00F15964">
        <w:rPr>
          <w:rFonts w:asciiTheme="minorHAnsi" w:hAnsiTheme="minorHAnsi"/>
          <w:color w:val="auto"/>
          <w:sz w:val="24"/>
        </w:rPr>
        <w:t xml:space="preserve">the estimates presented in the submission </w:t>
      </w:r>
      <w:r w:rsidRPr="00F15964">
        <w:rPr>
          <w:rFonts w:asciiTheme="minorHAnsi" w:hAnsiTheme="minorHAnsi"/>
          <w:color w:val="auto"/>
          <w:sz w:val="24"/>
        </w:rPr>
        <w:t>were</w:t>
      </w:r>
      <w:r w:rsidR="00A51748" w:rsidRPr="00F15964">
        <w:rPr>
          <w:rFonts w:asciiTheme="minorHAnsi" w:hAnsiTheme="minorHAnsi"/>
          <w:color w:val="auto"/>
          <w:sz w:val="24"/>
        </w:rPr>
        <w:t xml:space="preserve"> underestimated.</w:t>
      </w:r>
      <w:r w:rsidR="007557F8">
        <w:rPr>
          <w:rFonts w:asciiTheme="minorHAnsi" w:hAnsiTheme="minorHAnsi"/>
          <w:color w:val="auto"/>
          <w:sz w:val="24"/>
        </w:rPr>
        <w:t xml:space="preserve"> </w:t>
      </w:r>
      <w:r w:rsidR="00A51748" w:rsidRPr="007557F8">
        <w:rPr>
          <w:rFonts w:asciiTheme="minorHAnsi" w:hAnsiTheme="minorHAnsi"/>
          <w:color w:val="auto"/>
          <w:sz w:val="24"/>
        </w:rPr>
        <w:t xml:space="preserve">The </w:t>
      </w:r>
      <w:r w:rsidR="005C4E43">
        <w:rPr>
          <w:rFonts w:asciiTheme="minorHAnsi" w:hAnsiTheme="minorHAnsi"/>
          <w:color w:val="auto"/>
          <w:sz w:val="24"/>
        </w:rPr>
        <w:t xml:space="preserve">DUSC considered that the </w:t>
      </w:r>
      <w:r w:rsidR="00A51748" w:rsidRPr="007557F8">
        <w:rPr>
          <w:rFonts w:asciiTheme="minorHAnsi" w:hAnsiTheme="minorHAnsi"/>
          <w:color w:val="auto"/>
          <w:sz w:val="24"/>
        </w:rPr>
        <w:t>main sources of the submission’s underestimate of utilisation were;</w:t>
      </w:r>
    </w:p>
    <w:p w:rsidR="00A51748" w:rsidRPr="003A73C9" w:rsidRDefault="00A51748" w:rsidP="00A51748">
      <w:pPr>
        <w:pStyle w:val="ListParagraph"/>
        <w:widowControl/>
        <w:numPr>
          <w:ilvl w:val="0"/>
          <w:numId w:val="8"/>
        </w:numPr>
        <w:rPr>
          <w:rFonts w:asciiTheme="minorHAnsi" w:hAnsiTheme="minorHAnsi"/>
          <w:sz w:val="24"/>
          <w:szCs w:val="24"/>
        </w:rPr>
      </w:pPr>
      <w:r w:rsidRPr="003A73C9">
        <w:rPr>
          <w:rFonts w:asciiTheme="minorHAnsi" w:hAnsiTheme="minorHAnsi"/>
          <w:sz w:val="24"/>
          <w:szCs w:val="24"/>
        </w:rPr>
        <w:t>not accounting for the requested restriction having a broader eligible patient population than the restriction in the dapagliflozin major submission; and</w:t>
      </w:r>
    </w:p>
    <w:p w:rsidR="00A51748" w:rsidRPr="003A73C9" w:rsidRDefault="00A51748" w:rsidP="00A51748">
      <w:pPr>
        <w:pStyle w:val="ListParagraph"/>
        <w:widowControl/>
        <w:numPr>
          <w:ilvl w:val="0"/>
          <w:numId w:val="8"/>
        </w:numPr>
        <w:rPr>
          <w:rFonts w:asciiTheme="minorHAnsi" w:hAnsiTheme="minorHAnsi"/>
          <w:sz w:val="24"/>
          <w:szCs w:val="24"/>
        </w:rPr>
      </w:pPr>
      <w:r w:rsidRPr="003A73C9">
        <w:rPr>
          <w:rFonts w:asciiTheme="minorHAnsi" w:hAnsiTheme="minorHAnsi"/>
          <w:sz w:val="24"/>
          <w:szCs w:val="24"/>
        </w:rPr>
        <w:t>assuming that no patients on metformin/DPP4 FDC therapy would switch to the dapagliflozin/saxagliptin FDC because of the complexity of the transition. This did not take into account the patient’s financial incentive to make this transition.</w:t>
      </w:r>
    </w:p>
    <w:p w:rsidR="00F15964" w:rsidRPr="00550655" w:rsidRDefault="00F15964" w:rsidP="00F15964">
      <w:pPr>
        <w:pStyle w:val="ListParagraph"/>
        <w:widowControl/>
        <w:ind w:left="1440"/>
        <w:rPr>
          <w:rFonts w:asciiTheme="minorHAnsi" w:hAnsiTheme="minorHAnsi"/>
          <w:i/>
          <w:szCs w:val="22"/>
        </w:rPr>
      </w:pPr>
    </w:p>
    <w:p w:rsidR="00406118" w:rsidRDefault="003B7379" w:rsidP="00F15964">
      <w:pPr>
        <w:pStyle w:val="ESnumberedparablue"/>
        <w:numPr>
          <w:ilvl w:val="1"/>
          <w:numId w:val="1"/>
        </w:numPr>
        <w:rPr>
          <w:rFonts w:asciiTheme="minorHAnsi" w:hAnsiTheme="minorHAnsi"/>
          <w:color w:val="auto"/>
          <w:sz w:val="24"/>
        </w:rPr>
      </w:pPr>
      <w:r>
        <w:rPr>
          <w:rFonts w:asciiTheme="minorHAnsi" w:hAnsiTheme="minorHAnsi"/>
          <w:color w:val="auto"/>
          <w:sz w:val="24"/>
        </w:rPr>
        <w:t xml:space="preserve">The PBAC </w:t>
      </w:r>
      <w:r w:rsidR="00E20FF3">
        <w:rPr>
          <w:rFonts w:asciiTheme="minorHAnsi" w:hAnsiTheme="minorHAnsi"/>
          <w:color w:val="auto"/>
          <w:sz w:val="24"/>
        </w:rPr>
        <w:t>noted that updated estimates were provided in the pre-PBAC response, but considered that the</w:t>
      </w:r>
      <w:r>
        <w:rPr>
          <w:rFonts w:asciiTheme="minorHAnsi" w:hAnsiTheme="minorHAnsi"/>
          <w:color w:val="auto"/>
          <w:sz w:val="24"/>
        </w:rPr>
        <w:t xml:space="preserve"> </w:t>
      </w:r>
      <w:r w:rsidR="0036043A">
        <w:rPr>
          <w:rFonts w:asciiTheme="minorHAnsi" w:hAnsiTheme="minorHAnsi"/>
          <w:color w:val="auto"/>
          <w:sz w:val="24"/>
        </w:rPr>
        <w:t>patient estimates and</w:t>
      </w:r>
      <w:r>
        <w:rPr>
          <w:rFonts w:asciiTheme="minorHAnsi" w:hAnsiTheme="minorHAnsi"/>
          <w:color w:val="auto"/>
          <w:sz w:val="24"/>
        </w:rPr>
        <w:t xml:space="preserve"> the</w:t>
      </w:r>
      <w:r w:rsidR="0036043A">
        <w:rPr>
          <w:rFonts w:asciiTheme="minorHAnsi" w:hAnsiTheme="minorHAnsi"/>
          <w:color w:val="auto"/>
          <w:sz w:val="24"/>
        </w:rPr>
        <w:t xml:space="preserve"> financial implications</w:t>
      </w:r>
      <w:r w:rsidR="00E20FF3">
        <w:rPr>
          <w:rFonts w:asciiTheme="minorHAnsi" w:hAnsiTheme="minorHAnsi"/>
          <w:color w:val="auto"/>
          <w:sz w:val="24"/>
        </w:rPr>
        <w:t xml:space="preserve"> remained underestimated</w:t>
      </w:r>
      <w:r w:rsidR="00E3027D">
        <w:rPr>
          <w:rFonts w:asciiTheme="minorHAnsi" w:hAnsiTheme="minorHAnsi"/>
          <w:color w:val="auto"/>
          <w:sz w:val="24"/>
        </w:rPr>
        <w:t>.</w:t>
      </w:r>
    </w:p>
    <w:p w:rsidR="005C4E43" w:rsidRPr="005C4E43" w:rsidRDefault="005C4E43" w:rsidP="005C4E43">
      <w:pPr>
        <w:ind w:left="720"/>
        <w:rPr>
          <w:rFonts w:asciiTheme="minorHAnsi" w:hAnsiTheme="minorHAnsi"/>
          <w:i/>
          <w:sz w:val="24"/>
          <w:szCs w:val="24"/>
        </w:rPr>
      </w:pPr>
      <w:r w:rsidRPr="00F935A0">
        <w:rPr>
          <w:rFonts w:asciiTheme="minorHAnsi" w:hAnsiTheme="minorHAnsi"/>
          <w:i/>
          <w:sz w:val="24"/>
          <w:szCs w:val="24"/>
        </w:rPr>
        <w:t>For more detail on PBAC’s view, see section 7 “PBAC outcome.”</w:t>
      </w:r>
    </w:p>
    <w:p w:rsidR="00137F8D" w:rsidRPr="0010529A" w:rsidRDefault="00137F8D" w:rsidP="00CC0881">
      <w:pPr>
        <w:pStyle w:val="Heading2"/>
        <w:keepNext/>
        <w:keepLines/>
        <w:widowControl/>
        <w:spacing w:before="240" w:after="120"/>
        <w:rPr>
          <w:rFonts w:asciiTheme="minorHAnsi" w:eastAsiaTheme="majorEastAsia" w:hAnsiTheme="minorHAnsi" w:cstheme="majorBidi"/>
          <w:i/>
          <w:snapToGrid/>
          <w:sz w:val="28"/>
          <w:szCs w:val="28"/>
        </w:rPr>
      </w:pPr>
      <w:bookmarkStart w:id="35" w:name="_Toc413139285"/>
      <w:bookmarkStart w:id="36" w:name="_Toc476306895"/>
      <w:bookmarkStart w:id="37" w:name="_Toc482700160"/>
      <w:r w:rsidRPr="0010529A">
        <w:rPr>
          <w:rFonts w:asciiTheme="minorHAnsi" w:eastAsiaTheme="majorEastAsia" w:hAnsiTheme="minorHAnsi" w:cstheme="majorBidi"/>
          <w:i/>
          <w:snapToGrid/>
          <w:sz w:val="28"/>
          <w:szCs w:val="28"/>
        </w:rPr>
        <w:t>Quality Use of Medicines</w:t>
      </w:r>
      <w:bookmarkEnd w:id="35"/>
      <w:bookmarkEnd w:id="36"/>
      <w:bookmarkEnd w:id="37"/>
    </w:p>
    <w:p w:rsidR="00137F8D" w:rsidRPr="002E1332" w:rsidRDefault="00276C0D" w:rsidP="00A51748">
      <w:pPr>
        <w:pStyle w:val="ESnumberedparablue"/>
        <w:numPr>
          <w:ilvl w:val="1"/>
          <w:numId w:val="1"/>
        </w:numPr>
        <w:rPr>
          <w:rFonts w:asciiTheme="minorHAnsi" w:hAnsiTheme="minorHAnsi"/>
          <w:color w:val="auto"/>
          <w:sz w:val="24"/>
        </w:rPr>
      </w:pPr>
      <w:r>
        <w:rPr>
          <w:rFonts w:asciiTheme="minorHAnsi" w:hAnsiTheme="minorHAnsi"/>
          <w:color w:val="auto"/>
          <w:sz w:val="24"/>
        </w:rPr>
        <w:t>The PBAC noted that t</w:t>
      </w:r>
      <w:r w:rsidR="005C34AA" w:rsidRPr="002E1332">
        <w:rPr>
          <w:rFonts w:asciiTheme="minorHAnsi" w:hAnsiTheme="minorHAnsi"/>
          <w:color w:val="auto"/>
          <w:sz w:val="24"/>
        </w:rPr>
        <w:t>he sponsor proposed an education program for health professionals and patients, to ensure that prescribers are aware that the FDC consists of a SGLT2 inhibitor and a DPP4 inhibitor to avoid concurrent prescribing of these medicines; and to ensure use in the appropriate population.</w:t>
      </w:r>
    </w:p>
    <w:p w:rsidR="006D7538" w:rsidRDefault="006D7538" w:rsidP="00A51748">
      <w:pPr>
        <w:pStyle w:val="ESnumberedparablue"/>
        <w:numPr>
          <w:ilvl w:val="1"/>
          <w:numId w:val="1"/>
        </w:numPr>
        <w:rPr>
          <w:rFonts w:asciiTheme="minorHAnsi" w:hAnsiTheme="minorHAnsi"/>
          <w:color w:val="auto"/>
          <w:sz w:val="24"/>
        </w:rPr>
      </w:pPr>
      <w:r w:rsidRPr="002E1332">
        <w:rPr>
          <w:rFonts w:asciiTheme="minorHAnsi" w:hAnsiTheme="minorHAnsi"/>
          <w:color w:val="auto"/>
          <w:sz w:val="24"/>
        </w:rPr>
        <w:t xml:space="preserve">The </w:t>
      </w:r>
      <w:r w:rsidR="00276C0D">
        <w:rPr>
          <w:rFonts w:asciiTheme="minorHAnsi" w:hAnsiTheme="minorHAnsi"/>
          <w:color w:val="auto"/>
          <w:sz w:val="24"/>
        </w:rPr>
        <w:t>PBAC</w:t>
      </w:r>
      <w:r w:rsidR="00276C0D" w:rsidRPr="002E1332">
        <w:rPr>
          <w:rFonts w:asciiTheme="minorHAnsi" w:hAnsiTheme="minorHAnsi"/>
          <w:color w:val="auto"/>
          <w:sz w:val="24"/>
        </w:rPr>
        <w:t xml:space="preserve"> </w:t>
      </w:r>
      <w:r w:rsidRPr="002E1332">
        <w:rPr>
          <w:rFonts w:asciiTheme="minorHAnsi" w:hAnsiTheme="minorHAnsi"/>
          <w:color w:val="auto"/>
          <w:sz w:val="24"/>
        </w:rPr>
        <w:t>considered this is appropriate</w:t>
      </w:r>
      <w:r w:rsidR="00D017E1" w:rsidRPr="002E1332">
        <w:rPr>
          <w:rFonts w:asciiTheme="minorHAnsi" w:hAnsiTheme="minorHAnsi"/>
          <w:color w:val="auto"/>
          <w:sz w:val="24"/>
        </w:rPr>
        <w:t xml:space="preserve">. The </w:t>
      </w:r>
      <w:r w:rsidR="00276C0D">
        <w:rPr>
          <w:rFonts w:asciiTheme="minorHAnsi" w:hAnsiTheme="minorHAnsi"/>
          <w:color w:val="auto"/>
          <w:sz w:val="24"/>
        </w:rPr>
        <w:t>PBAC</w:t>
      </w:r>
      <w:r w:rsidR="00D017E1" w:rsidRPr="002E1332">
        <w:rPr>
          <w:rFonts w:asciiTheme="minorHAnsi" w:hAnsiTheme="minorHAnsi"/>
          <w:color w:val="auto"/>
          <w:sz w:val="24"/>
        </w:rPr>
        <w:t xml:space="preserve"> also noted that this option</w:t>
      </w:r>
      <w:r w:rsidRPr="002E1332">
        <w:rPr>
          <w:rFonts w:asciiTheme="minorHAnsi" w:hAnsiTheme="minorHAnsi"/>
          <w:color w:val="auto"/>
          <w:sz w:val="24"/>
        </w:rPr>
        <w:t xml:space="preserve"> </w:t>
      </w:r>
      <w:r w:rsidR="00FD2473" w:rsidRPr="002E1332">
        <w:rPr>
          <w:rFonts w:asciiTheme="minorHAnsi" w:hAnsiTheme="minorHAnsi"/>
          <w:color w:val="auto"/>
          <w:sz w:val="24"/>
        </w:rPr>
        <w:t>provides</w:t>
      </w:r>
      <w:r w:rsidRPr="002E1332">
        <w:rPr>
          <w:rFonts w:asciiTheme="minorHAnsi" w:hAnsiTheme="minorHAnsi"/>
          <w:color w:val="auto"/>
          <w:sz w:val="24"/>
        </w:rPr>
        <w:t xml:space="preserve"> a </w:t>
      </w:r>
      <w:r w:rsidR="00D017E1" w:rsidRPr="002E1332">
        <w:rPr>
          <w:rFonts w:asciiTheme="minorHAnsi" w:hAnsiTheme="minorHAnsi"/>
          <w:color w:val="auto"/>
          <w:sz w:val="24"/>
        </w:rPr>
        <w:t xml:space="preserve">combination product for two drugs that have </w:t>
      </w:r>
      <w:r w:rsidRPr="002E1332">
        <w:rPr>
          <w:rFonts w:asciiTheme="minorHAnsi" w:hAnsiTheme="minorHAnsi"/>
          <w:color w:val="auto"/>
          <w:sz w:val="24"/>
        </w:rPr>
        <w:t>fixed dos</w:t>
      </w:r>
      <w:r w:rsidR="00D017E1" w:rsidRPr="002E1332">
        <w:rPr>
          <w:rFonts w:asciiTheme="minorHAnsi" w:hAnsiTheme="minorHAnsi"/>
          <w:color w:val="auto"/>
          <w:sz w:val="24"/>
        </w:rPr>
        <w:t>ing,</w:t>
      </w:r>
      <w:r w:rsidRPr="002E1332">
        <w:rPr>
          <w:rFonts w:asciiTheme="minorHAnsi" w:hAnsiTheme="minorHAnsi"/>
          <w:color w:val="auto"/>
          <w:sz w:val="24"/>
        </w:rPr>
        <w:t xml:space="preserve"> which would simplif</w:t>
      </w:r>
      <w:r w:rsidR="00D017E1" w:rsidRPr="002E1332">
        <w:rPr>
          <w:rFonts w:asciiTheme="minorHAnsi" w:hAnsiTheme="minorHAnsi"/>
          <w:color w:val="auto"/>
          <w:sz w:val="24"/>
        </w:rPr>
        <w:t>y</w:t>
      </w:r>
      <w:r w:rsidR="004B015B" w:rsidRPr="002E1332">
        <w:rPr>
          <w:rFonts w:asciiTheme="minorHAnsi" w:hAnsiTheme="minorHAnsi"/>
          <w:color w:val="auto"/>
          <w:sz w:val="24"/>
        </w:rPr>
        <w:t xml:space="preserve"> </w:t>
      </w:r>
      <w:r w:rsidRPr="002E1332">
        <w:rPr>
          <w:rFonts w:asciiTheme="minorHAnsi" w:hAnsiTheme="minorHAnsi"/>
          <w:color w:val="auto"/>
          <w:sz w:val="24"/>
        </w:rPr>
        <w:t xml:space="preserve">the treatment regime and provide flexibility </w:t>
      </w:r>
      <w:r w:rsidR="00D017E1" w:rsidRPr="002E1332">
        <w:rPr>
          <w:rFonts w:asciiTheme="minorHAnsi" w:hAnsiTheme="minorHAnsi"/>
          <w:color w:val="auto"/>
          <w:sz w:val="24"/>
        </w:rPr>
        <w:t>in</w:t>
      </w:r>
      <w:r w:rsidR="00FD2473" w:rsidRPr="002E1332">
        <w:rPr>
          <w:rFonts w:asciiTheme="minorHAnsi" w:hAnsiTheme="minorHAnsi"/>
          <w:color w:val="auto"/>
          <w:sz w:val="24"/>
        </w:rPr>
        <w:t xml:space="preserve"> </w:t>
      </w:r>
      <w:r w:rsidRPr="002E1332">
        <w:rPr>
          <w:rFonts w:asciiTheme="minorHAnsi" w:hAnsiTheme="minorHAnsi"/>
          <w:color w:val="auto"/>
          <w:sz w:val="24"/>
        </w:rPr>
        <w:t xml:space="preserve">metformin titration. </w:t>
      </w:r>
      <w:r w:rsidR="004B015B" w:rsidRPr="002E1332">
        <w:rPr>
          <w:rFonts w:asciiTheme="minorHAnsi" w:hAnsiTheme="minorHAnsi"/>
          <w:color w:val="auto"/>
          <w:sz w:val="24"/>
        </w:rPr>
        <w:t xml:space="preserve">The </w:t>
      </w:r>
      <w:r w:rsidR="00276C0D">
        <w:rPr>
          <w:rFonts w:asciiTheme="minorHAnsi" w:hAnsiTheme="minorHAnsi"/>
          <w:color w:val="auto"/>
          <w:sz w:val="24"/>
        </w:rPr>
        <w:t>PBAC</w:t>
      </w:r>
      <w:r w:rsidR="00276C0D" w:rsidRPr="002E1332">
        <w:rPr>
          <w:rFonts w:asciiTheme="minorHAnsi" w:hAnsiTheme="minorHAnsi"/>
          <w:color w:val="auto"/>
          <w:sz w:val="24"/>
        </w:rPr>
        <w:t xml:space="preserve"> </w:t>
      </w:r>
      <w:r w:rsidR="004B015B" w:rsidRPr="002E1332">
        <w:rPr>
          <w:rFonts w:asciiTheme="minorHAnsi" w:hAnsiTheme="minorHAnsi"/>
          <w:color w:val="auto"/>
          <w:sz w:val="24"/>
        </w:rPr>
        <w:t xml:space="preserve">noted that </w:t>
      </w:r>
      <w:r w:rsidR="00D017E1" w:rsidRPr="002E1332">
        <w:rPr>
          <w:rFonts w:asciiTheme="minorHAnsi" w:hAnsiTheme="minorHAnsi"/>
          <w:color w:val="auto"/>
          <w:sz w:val="24"/>
        </w:rPr>
        <w:t xml:space="preserve">this could potentially reduce </w:t>
      </w:r>
      <w:r w:rsidR="004B015B" w:rsidRPr="002E1332">
        <w:rPr>
          <w:rFonts w:asciiTheme="minorHAnsi" w:hAnsiTheme="minorHAnsi"/>
          <w:color w:val="auto"/>
          <w:sz w:val="24"/>
        </w:rPr>
        <w:t xml:space="preserve">confusion and risk </w:t>
      </w:r>
      <w:r w:rsidR="00D017E1" w:rsidRPr="002E1332">
        <w:rPr>
          <w:rFonts w:asciiTheme="minorHAnsi" w:hAnsiTheme="minorHAnsi"/>
          <w:color w:val="auto"/>
          <w:sz w:val="24"/>
        </w:rPr>
        <w:t>of metformin</w:t>
      </w:r>
      <w:r w:rsidR="004B015B" w:rsidRPr="002E1332">
        <w:rPr>
          <w:rFonts w:asciiTheme="minorHAnsi" w:hAnsiTheme="minorHAnsi"/>
          <w:color w:val="auto"/>
          <w:sz w:val="24"/>
        </w:rPr>
        <w:t xml:space="preserve"> overdos</w:t>
      </w:r>
      <w:r w:rsidR="00D017E1" w:rsidRPr="002E1332">
        <w:rPr>
          <w:rFonts w:asciiTheme="minorHAnsi" w:hAnsiTheme="minorHAnsi"/>
          <w:color w:val="auto"/>
          <w:sz w:val="24"/>
        </w:rPr>
        <w:t>e</w:t>
      </w:r>
      <w:r w:rsidR="004B015B" w:rsidRPr="002E1332">
        <w:rPr>
          <w:rFonts w:asciiTheme="minorHAnsi" w:hAnsiTheme="minorHAnsi"/>
          <w:color w:val="auto"/>
          <w:sz w:val="24"/>
        </w:rPr>
        <w:t xml:space="preserve">. </w:t>
      </w:r>
    </w:p>
    <w:p w:rsidR="00136AE5" w:rsidRPr="00107235" w:rsidRDefault="00276C0D" w:rsidP="00107235">
      <w:pPr>
        <w:pStyle w:val="ESnumberedparablue"/>
        <w:numPr>
          <w:ilvl w:val="1"/>
          <w:numId w:val="1"/>
        </w:numPr>
        <w:rPr>
          <w:rFonts w:asciiTheme="minorHAnsi" w:hAnsiTheme="minorHAnsi"/>
          <w:color w:val="auto"/>
          <w:sz w:val="24"/>
        </w:rPr>
      </w:pPr>
      <w:r>
        <w:rPr>
          <w:rFonts w:asciiTheme="minorHAnsi" w:hAnsiTheme="minorHAnsi"/>
          <w:color w:val="auto"/>
          <w:sz w:val="24"/>
        </w:rPr>
        <w:t>The PBAC also noted that t</w:t>
      </w:r>
      <w:r w:rsidRPr="00136AE5">
        <w:rPr>
          <w:rFonts w:asciiTheme="minorHAnsi" w:hAnsiTheme="minorHAnsi"/>
          <w:color w:val="auto"/>
          <w:sz w:val="24"/>
        </w:rPr>
        <w:t>he listing of a SGLT2 inhibitor + DPP4 inhibitor FDC may increase the use of this combination therapy as dual therapy</w:t>
      </w:r>
      <w:r w:rsidR="005C4E43">
        <w:rPr>
          <w:rFonts w:asciiTheme="minorHAnsi" w:hAnsiTheme="minorHAnsi"/>
          <w:color w:val="auto"/>
          <w:sz w:val="24"/>
        </w:rPr>
        <w:t xml:space="preserve"> </w:t>
      </w:r>
      <w:r w:rsidR="005C4E43" w:rsidRPr="00136AE5">
        <w:rPr>
          <w:rFonts w:asciiTheme="minorHAnsi" w:hAnsiTheme="minorHAnsi"/>
          <w:color w:val="auto"/>
          <w:sz w:val="24"/>
        </w:rPr>
        <w:t>(ie. without metformin)</w:t>
      </w:r>
      <w:r w:rsidR="005C4E43">
        <w:rPr>
          <w:rFonts w:asciiTheme="minorHAnsi" w:hAnsiTheme="minorHAnsi"/>
          <w:color w:val="auto"/>
          <w:sz w:val="24"/>
        </w:rPr>
        <w:t>, which is</w:t>
      </w:r>
      <w:r w:rsidRPr="00136AE5">
        <w:rPr>
          <w:rFonts w:asciiTheme="minorHAnsi" w:hAnsiTheme="minorHAnsi"/>
          <w:color w:val="auto"/>
          <w:sz w:val="24"/>
        </w:rPr>
        <w:t xml:space="preserve"> outside of PBS restrictions, either in patients likely to have been treated with other diabetes medicines or in those patients who might not otherwise have been treated. </w:t>
      </w:r>
    </w:p>
    <w:p w:rsidR="00137F8D" w:rsidRPr="0010529A" w:rsidRDefault="00137F8D" w:rsidP="00CC0881">
      <w:pPr>
        <w:pStyle w:val="Heading2"/>
        <w:keepNext/>
        <w:keepLines/>
        <w:widowControl/>
        <w:spacing w:before="240" w:after="120"/>
        <w:rPr>
          <w:rFonts w:asciiTheme="minorHAnsi" w:eastAsiaTheme="majorEastAsia" w:hAnsiTheme="minorHAnsi" w:cstheme="majorBidi"/>
          <w:i/>
          <w:snapToGrid/>
          <w:sz w:val="28"/>
          <w:szCs w:val="28"/>
        </w:rPr>
      </w:pPr>
      <w:bookmarkStart w:id="38" w:name="_Toc413139286"/>
      <w:bookmarkStart w:id="39" w:name="_Toc476306896"/>
      <w:bookmarkStart w:id="40" w:name="_Toc482700161"/>
      <w:r w:rsidRPr="0010529A">
        <w:rPr>
          <w:rFonts w:asciiTheme="minorHAnsi" w:eastAsiaTheme="majorEastAsia" w:hAnsiTheme="minorHAnsi" w:cstheme="majorBidi"/>
          <w:i/>
          <w:snapToGrid/>
          <w:sz w:val="28"/>
          <w:szCs w:val="28"/>
        </w:rPr>
        <w:t>Financial Management – Risk Sharing Arrangements</w:t>
      </w:r>
      <w:bookmarkEnd w:id="38"/>
      <w:bookmarkEnd w:id="39"/>
      <w:bookmarkEnd w:id="40"/>
    </w:p>
    <w:p w:rsidR="00137F8D" w:rsidRDefault="005C34AA" w:rsidP="00A51748">
      <w:pPr>
        <w:pStyle w:val="ESnumberedparablue"/>
        <w:numPr>
          <w:ilvl w:val="1"/>
          <w:numId w:val="1"/>
        </w:numPr>
        <w:rPr>
          <w:rFonts w:asciiTheme="minorHAnsi" w:hAnsiTheme="minorHAnsi"/>
          <w:color w:val="auto"/>
          <w:sz w:val="24"/>
        </w:rPr>
      </w:pPr>
      <w:r w:rsidRPr="00C255BE">
        <w:rPr>
          <w:rFonts w:asciiTheme="minorHAnsi" w:hAnsiTheme="minorHAnsi"/>
          <w:color w:val="auto"/>
          <w:sz w:val="24"/>
        </w:rPr>
        <w:t>The sponsor acknowledged that a Risk Share Arrangement may be required</w:t>
      </w:r>
      <w:r w:rsidR="007F7C97" w:rsidRPr="00C255BE">
        <w:rPr>
          <w:rFonts w:asciiTheme="minorHAnsi" w:hAnsiTheme="minorHAnsi"/>
          <w:color w:val="auto"/>
          <w:sz w:val="24"/>
        </w:rPr>
        <w:t xml:space="preserve"> but did not provide a proposal</w:t>
      </w:r>
      <w:r w:rsidRPr="00C255BE">
        <w:rPr>
          <w:rFonts w:asciiTheme="minorHAnsi" w:hAnsiTheme="minorHAnsi"/>
          <w:color w:val="auto"/>
          <w:sz w:val="24"/>
        </w:rPr>
        <w:t>.</w:t>
      </w:r>
    </w:p>
    <w:p w:rsidR="002870BB" w:rsidRDefault="00D24CE6" w:rsidP="00E20FF3">
      <w:pPr>
        <w:pStyle w:val="ESnumberedparablue"/>
        <w:numPr>
          <w:ilvl w:val="1"/>
          <w:numId w:val="1"/>
        </w:numPr>
        <w:rPr>
          <w:rFonts w:asciiTheme="minorHAnsi" w:hAnsiTheme="minorHAnsi"/>
          <w:color w:val="auto"/>
          <w:sz w:val="24"/>
        </w:rPr>
      </w:pPr>
      <w:r>
        <w:rPr>
          <w:rFonts w:asciiTheme="minorHAnsi" w:hAnsiTheme="minorHAnsi"/>
          <w:color w:val="auto"/>
          <w:sz w:val="24"/>
        </w:rPr>
        <w:t xml:space="preserve">The PBAC noted that in the context of high potential market growth and uptake, a Risk Sharing Arrangement with the sponsor may be required, but that is concern could also be potentially addressed through an appropriate price reduction. </w:t>
      </w:r>
    </w:p>
    <w:p w:rsidR="002870BB" w:rsidRDefault="002870BB" w:rsidP="002870BB">
      <w:pPr>
        <w:widowControl/>
        <w:contextualSpacing/>
        <w:jc w:val="left"/>
        <w:rPr>
          <w:bCs/>
          <w:i/>
          <w:snapToGrid/>
          <w:szCs w:val="22"/>
        </w:rPr>
      </w:pPr>
    </w:p>
    <w:p w:rsidR="00A51748" w:rsidRDefault="00A51748" w:rsidP="007A515C">
      <w:pPr>
        <w:pStyle w:val="PBACHeading1"/>
        <w:numPr>
          <w:ilvl w:val="0"/>
          <w:numId w:val="1"/>
        </w:numPr>
        <w:outlineLvl w:val="0"/>
        <w:rPr>
          <w:rFonts w:asciiTheme="minorHAnsi" w:hAnsiTheme="minorHAnsi"/>
          <w:sz w:val="32"/>
          <w:szCs w:val="32"/>
        </w:rPr>
      </w:pPr>
      <w:r w:rsidRPr="007A515C">
        <w:rPr>
          <w:rFonts w:asciiTheme="minorHAnsi" w:hAnsiTheme="minorHAnsi"/>
          <w:sz w:val="32"/>
          <w:szCs w:val="32"/>
        </w:rPr>
        <w:t>PBAC Outcome</w:t>
      </w:r>
    </w:p>
    <w:p w:rsidR="005303C5" w:rsidRPr="005303C5" w:rsidRDefault="005303C5" w:rsidP="0040066E">
      <w:pPr>
        <w:pStyle w:val="PBACHeading1"/>
        <w:rPr>
          <w:rFonts w:asciiTheme="minorHAnsi" w:hAnsiTheme="minorHAnsi"/>
          <w:sz w:val="24"/>
          <w:szCs w:val="24"/>
        </w:rPr>
      </w:pPr>
    </w:p>
    <w:p w:rsidR="005C4E43" w:rsidRDefault="00276C0D" w:rsidP="00A51748">
      <w:pPr>
        <w:numPr>
          <w:ilvl w:val="1"/>
          <w:numId w:val="1"/>
        </w:numPr>
        <w:spacing w:after="120"/>
        <w:rPr>
          <w:rFonts w:asciiTheme="minorHAnsi" w:hAnsiTheme="minorHAnsi"/>
          <w:bCs/>
          <w:sz w:val="24"/>
          <w:szCs w:val="24"/>
          <w:lang w:val="en-GB"/>
        </w:rPr>
      </w:pPr>
      <w:r w:rsidRPr="00646A5E">
        <w:rPr>
          <w:rFonts w:asciiTheme="minorHAnsi" w:hAnsiTheme="minorHAnsi"/>
          <w:bCs/>
          <w:sz w:val="24"/>
          <w:szCs w:val="24"/>
          <w:lang w:val="en-GB"/>
        </w:rPr>
        <w:t xml:space="preserve">The PBAC deferred making a decision regarding the Authority Required (STREAMLINED) listing for dapagliflozin/saxagliptin fixed dose combination (FDC) for treatment of type 2 diabetes in </w:t>
      </w:r>
      <w:r w:rsidR="005C4E43">
        <w:rPr>
          <w:rFonts w:asciiTheme="minorHAnsi" w:hAnsiTheme="minorHAnsi"/>
          <w:bCs/>
          <w:sz w:val="24"/>
          <w:szCs w:val="24"/>
          <w:lang w:val="en-GB"/>
        </w:rPr>
        <w:t>combination with metformin</w:t>
      </w:r>
      <w:r w:rsidR="00E20FF3" w:rsidRPr="009F09BC">
        <w:rPr>
          <w:rFonts w:asciiTheme="minorHAnsi" w:eastAsiaTheme="minorHAnsi" w:hAnsiTheme="minorHAnsi" w:cstheme="minorBidi"/>
          <w:snapToGrid/>
          <w:sz w:val="24"/>
          <w:szCs w:val="22"/>
        </w:rPr>
        <w:t>, to allow</w:t>
      </w:r>
      <w:r w:rsidR="00322533">
        <w:rPr>
          <w:rFonts w:asciiTheme="minorHAnsi" w:eastAsiaTheme="minorHAnsi" w:hAnsiTheme="minorHAnsi" w:cstheme="minorBidi"/>
          <w:snapToGrid/>
          <w:sz w:val="24"/>
          <w:szCs w:val="22"/>
        </w:rPr>
        <w:t xml:space="preserve"> further work</w:t>
      </w:r>
      <w:r w:rsidR="00E20FF3" w:rsidRPr="009F09BC">
        <w:rPr>
          <w:rFonts w:asciiTheme="minorHAnsi" w:eastAsiaTheme="minorHAnsi" w:hAnsiTheme="minorHAnsi" w:cstheme="minorBidi"/>
          <w:snapToGrid/>
          <w:sz w:val="24"/>
          <w:szCs w:val="22"/>
        </w:rPr>
        <w:t xml:space="preserve"> to establish a price for the triple therapy that could be considered cost-effective. </w:t>
      </w:r>
    </w:p>
    <w:p w:rsidR="00646A5E" w:rsidRPr="005D516E" w:rsidRDefault="00646A5E" w:rsidP="00A51748">
      <w:pPr>
        <w:numPr>
          <w:ilvl w:val="1"/>
          <w:numId w:val="1"/>
        </w:numPr>
        <w:spacing w:after="120"/>
        <w:rPr>
          <w:rFonts w:asciiTheme="minorHAnsi" w:hAnsiTheme="minorHAnsi"/>
          <w:bCs/>
          <w:sz w:val="24"/>
          <w:szCs w:val="24"/>
          <w:lang w:val="en-GB"/>
        </w:rPr>
      </w:pPr>
      <w:r w:rsidRPr="005D516E">
        <w:rPr>
          <w:rFonts w:asciiTheme="minorHAnsi" w:hAnsiTheme="minorHAnsi"/>
          <w:bCs/>
          <w:sz w:val="24"/>
          <w:szCs w:val="24"/>
          <w:lang w:val="en-GB"/>
        </w:rPr>
        <w:t xml:space="preserve">The PBAC considered the nominated comparators as the individual components of FDC, dapagliflozin and saxagliptin, were appropriate. However, the </w:t>
      </w:r>
      <w:r w:rsidR="00163D56" w:rsidRPr="005D516E">
        <w:rPr>
          <w:rFonts w:asciiTheme="minorHAnsi" w:hAnsiTheme="minorHAnsi"/>
          <w:bCs/>
          <w:sz w:val="24"/>
          <w:szCs w:val="24"/>
          <w:lang w:val="en-GB"/>
        </w:rPr>
        <w:t xml:space="preserve">component parts are not currently PBS listed for triple oral therapy in combination with metformin. Therefore, the clinical claim and the </w:t>
      </w:r>
      <w:r w:rsidRPr="005D516E">
        <w:rPr>
          <w:rFonts w:asciiTheme="minorHAnsi" w:hAnsiTheme="minorHAnsi"/>
          <w:bCs/>
          <w:sz w:val="24"/>
          <w:szCs w:val="24"/>
          <w:lang w:val="en-GB"/>
        </w:rPr>
        <w:t>comparators</w:t>
      </w:r>
      <w:r w:rsidR="00163D56" w:rsidRPr="005D516E">
        <w:rPr>
          <w:rFonts w:asciiTheme="minorHAnsi" w:hAnsiTheme="minorHAnsi"/>
          <w:bCs/>
          <w:sz w:val="24"/>
          <w:szCs w:val="24"/>
          <w:lang w:val="en-GB"/>
        </w:rPr>
        <w:t xml:space="preserve"> in this submission </w:t>
      </w:r>
      <w:r w:rsidR="005C4E43">
        <w:rPr>
          <w:rFonts w:asciiTheme="minorHAnsi" w:hAnsiTheme="minorHAnsi"/>
          <w:bCs/>
          <w:sz w:val="24"/>
          <w:szCs w:val="24"/>
          <w:lang w:val="en-GB"/>
        </w:rPr>
        <w:t>we</w:t>
      </w:r>
      <w:r w:rsidRPr="005D516E">
        <w:rPr>
          <w:rFonts w:asciiTheme="minorHAnsi" w:hAnsiTheme="minorHAnsi"/>
          <w:bCs/>
          <w:sz w:val="24"/>
          <w:szCs w:val="24"/>
          <w:lang w:val="en-GB"/>
        </w:rPr>
        <w:t xml:space="preserve">re </w:t>
      </w:r>
      <w:r w:rsidR="00163D56" w:rsidRPr="005D516E">
        <w:rPr>
          <w:rFonts w:asciiTheme="minorHAnsi" w:hAnsiTheme="minorHAnsi"/>
          <w:bCs/>
          <w:sz w:val="24"/>
          <w:szCs w:val="24"/>
          <w:lang w:val="en-GB"/>
        </w:rPr>
        <w:t>dependent on the outcome for the</w:t>
      </w:r>
      <w:r w:rsidR="00FD286A">
        <w:rPr>
          <w:rFonts w:asciiTheme="minorHAnsi" w:hAnsiTheme="minorHAnsi"/>
          <w:bCs/>
          <w:sz w:val="24"/>
          <w:szCs w:val="24"/>
          <w:lang w:val="en-GB"/>
        </w:rPr>
        <w:t xml:space="preserve"> request to list </w:t>
      </w:r>
      <w:r w:rsidR="00163D56" w:rsidRPr="005D516E">
        <w:rPr>
          <w:rFonts w:asciiTheme="minorHAnsi" w:hAnsiTheme="minorHAnsi"/>
          <w:bCs/>
          <w:sz w:val="24"/>
          <w:szCs w:val="24"/>
          <w:lang w:val="en-GB"/>
        </w:rPr>
        <w:t xml:space="preserve"> dapagliflozin in triple oral therapy with metformin and a DPP4 inhibitor (item 6.01 refers).</w:t>
      </w:r>
      <w:r w:rsidRPr="005D516E">
        <w:rPr>
          <w:rFonts w:asciiTheme="minorHAnsi" w:hAnsiTheme="minorHAnsi"/>
          <w:bCs/>
          <w:sz w:val="24"/>
          <w:szCs w:val="24"/>
          <w:lang w:val="en-GB"/>
        </w:rPr>
        <w:t xml:space="preserve"> </w:t>
      </w:r>
      <w:r w:rsidR="00761020">
        <w:rPr>
          <w:rFonts w:asciiTheme="minorHAnsi" w:hAnsiTheme="minorHAnsi"/>
          <w:bCs/>
          <w:sz w:val="24"/>
          <w:szCs w:val="24"/>
          <w:lang w:val="en-GB"/>
        </w:rPr>
        <w:t>The PBAC noted that they deferred the submission requesting this listing (item 6.01, July 2017 PBAC meeting) and therefore the cost</w:t>
      </w:r>
      <w:r w:rsidR="00761020">
        <w:rPr>
          <w:rFonts w:asciiTheme="minorHAnsi" w:hAnsiTheme="minorHAnsi"/>
          <w:bCs/>
          <w:sz w:val="24"/>
          <w:szCs w:val="24"/>
          <w:lang w:val="en-GB"/>
        </w:rPr>
        <w:noBreakHyphen/>
        <w:t>effectiveness of treatment in this setting had not yet been established.</w:t>
      </w:r>
    </w:p>
    <w:p w:rsidR="0056512B" w:rsidRDefault="0056512B" w:rsidP="0056512B">
      <w:pPr>
        <w:pStyle w:val="ListParagraph"/>
        <w:numPr>
          <w:ilvl w:val="1"/>
          <w:numId w:val="1"/>
        </w:numPr>
        <w:ind w:left="709"/>
        <w:rPr>
          <w:rFonts w:asciiTheme="minorHAnsi" w:hAnsiTheme="minorHAnsi"/>
          <w:sz w:val="24"/>
          <w:szCs w:val="24"/>
        </w:rPr>
      </w:pPr>
      <w:r w:rsidRPr="00FF3E1C">
        <w:rPr>
          <w:rFonts w:asciiTheme="minorHAnsi" w:hAnsiTheme="minorHAnsi"/>
          <w:sz w:val="24"/>
          <w:szCs w:val="24"/>
        </w:rPr>
        <w:t xml:space="preserve">In </w:t>
      </w:r>
      <w:r w:rsidR="005C4E43">
        <w:rPr>
          <w:rFonts w:asciiTheme="minorHAnsi" w:hAnsiTheme="minorHAnsi"/>
          <w:sz w:val="24"/>
          <w:szCs w:val="24"/>
        </w:rPr>
        <w:t>deferring its</w:t>
      </w:r>
      <w:r w:rsidRPr="00FF3E1C">
        <w:rPr>
          <w:rFonts w:asciiTheme="minorHAnsi" w:hAnsiTheme="minorHAnsi"/>
          <w:sz w:val="24"/>
          <w:szCs w:val="24"/>
        </w:rPr>
        <w:t xml:space="preserve"> decision </w:t>
      </w:r>
      <w:r w:rsidR="005C4E43">
        <w:rPr>
          <w:rFonts w:asciiTheme="minorHAnsi" w:hAnsiTheme="minorHAnsi"/>
          <w:sz w:val="24"/>
          <w:szCs w:val="24"/>
        </w:rPr>
        <w:t>relating to</w:t>
      </w:r>
      <w:r w:rsidRPr="00FF3E1C">
        <w:rPr>
          <w:rFonts w:asciiTheme="minorHAnsi" w:hAnsiTheme="minorHAnsi"/>
          <w:sz w:val="24"/>
          <w:szCs w:val="24"/>
        </w:rPr>
        <w:t xml:space="preserve"> dapagliflozin in triple therapy with metformin and a DPP4 inhibitor</w:t>
      </w:r>
      <w:r w:rsidR="00761020">
        <w:rPr>
          <w:rFonts w:asciiTheme="minorHAnsi" w:hAnsiTheme="minorHAnsi"/>
          <w:sz w:val="24"/>
          <w:szCs w:val="24"/>
        </w:rPr>
        <w:t xml:space="preserve"> </w:t>
      </w:r>
      <w:r w:rsidR="00761020">
        <w:rPr>
          <w:rFonts w:asciiTheme="minorHAnsi" w:hAnsiTheme="minorHAnsi"/>
          <w:bCs/>
          <w:sz w:val="24"/>
          <w:szCs w:val="24"/>
          <w:lang w:val="en-GB"/>
        </w:rPr>
        <w:t>(item 6.01, July 2017 PBAC meeting)</w:t>
      </w:r>
      <w:r w:rsidRPr="00FF3E1C">
        <w:rPr>
          <w:rFonts w:asciiTheme="minorHAnsi" w:hAnsiTheme="minorHAnsi"/>
          <w:sz w:val="24"/>
          <w:szCs w:val="24"/>
        </w:rPr>
        <w:t xml:space="preserve">, the PBAC considered the claim of non-inferior effectiveness and safety between dapagliflozin and the comparators were not adequately </w:t>
      </w:r>
      <w:r w:rsidR="00D50BD3">
        <w:rPr>
          <w:rFonts w:asciiTheme="minorHAnsi" w:hAnsiTheme="minorHAnsi"/>
          <w:sz w:val="24"/>
          <w:szCs w:val="24"/>
        </w:rPr>
        <w:t>addressed</w:t>
      </w:r>
      <w:r w:rsidRPr="00FF3E1C">
        <w:rPr>
          <w:rFonts w:asciiTheme="minorHAnsi" w:hAnsiTheme="minorHAnsi"/>
          <w:sz w:val="24"/>
          <w:szCs w:val="24"/>
        </w:rPr>
        <w:t xml:space="preserve">. While the PBAC acknowledged that it </w:t>
      </w:r>
      <w:r w:rsidR="00E20FF3">
        <w:rPr>
          <w:rFonts w:asciiTheme="minorHAnsi" w:hAnsiTheme="minorHAnsi"/>
          <w:sz w:val="24"/>
          <w:szCs w:val="24"/>
        </w:rPr>
        <w:t xml:space="preserve">may </w:t>
      </w:r>
      <w:r w:rsidR="00C52D20">
        <w:rPr>
          <w:rFonts w:asciiTheme="minorHAnsi" w:hAnsiTheme="minorHAnsi"/>
          <w:sz w:val="24"/>
          <w:szCs w:val="24"/>
        </w:rPr>
        <w:t xml:space="preserve">be </w:t>
      </w:r>
      <w:r w:rsidRPr="00FF3E1C">
        <w:rPr>
          <w:rFonts w:asciiTheme="minorHAnsi" w:hAnsiTheme="minorHAnsi"/>
          <w:sz w:val="24"/>
          <w:szCs w:val="24"/>
        </w:rPr>
        <w:t>reasonable that this triple therapy would have some therapeutic benefit, the PBAC considered that there was no evidence to suggest that the benefit of metformin + dapa</w:t>
      </w:r>
      <w:r w:rsidR="00FD286A">
        <w:rPr>
          <w:rFonts w:asciiTheme="minorHAnsi" w:hAnsiTheme="minorHAnsi"/>
          <w:sz w:val="24"/>
          <w:szCs w:val="24"/>
        </w:rPr>
        <w:t>g</w:t>
      </w:r>
      <w:r w:rsidRPr="00FF3E1C">
        <w:rPr>
          <w:rFonts w:asciiTheme="minorHAnsi" w:hAnsiTheme="minorHAnsi"/>
          <w:sz w:val="24"/>
          <w:szCs w:val="24"/>
        </w:rPr>
        <w:t>li</w:t>
      </w:r>
      <w:r w:rsidR="00FD286A">
        <w:rPr>
          <w:rFonts w:asciiTheme="minorHAnsi" w:hAnsiTheme="minorHAnsi"/>
          <w:sz w:val="24"/>
          <w:szCs w:val="24"/>
        </w:rPr>
        <w:t>f</w:t>
      </w:r>
      <w:r w:rsidRPr="00FF3E1C">
        <w:rPr>
          <w:rFonts w:asciiTheme="minorHAnsi" w:hAnsiTheme="minorHAnsi"/>
          <w:sz w:val="24"/>
          <w:szCs w:val="24"/>
        </w:rPr>
        <w:t>lozin + a DPP4 inhibitor would be of the same magnitude as the incremental benefit of addi</w:t>
      </w:r>
      <w:r w:rsidR="005C4E43">
        <w:rPr>
          <w:rFonts w:asciiTheme="minorHAnsi" w:hAnsiTheme="minorHAnsi"/>
          <w:sz w:val="24"/>
          <w:szCs w:val="24"/>
        </w:rPr>
        <w:t>ng</w:t>
      </w:r>
      <w:r w:rsidRPr="00FF3E1C">
        <w:rPr>
          <w:rFonts w:asciiTheme="minorHAnsi" w:hAnsiTheme="minorHAnsi"/>
          <w:sz w:val="24"/>
          <w:szCs w:val="24"/>
        </w:rPr>
        <w:t xml:space="preserve"> either dapagliflozin or a DPP4 inhibitor to metformin. Therefore, the PBAC was of the view that it would not be cost-effective for </w:t>
      </w:r>
      <w:r w:rsidR="00761020">
        <w:rPr>
          <w:rFonts w:asciiTheme="minorHAnsi" w:hAnsiTheme="minorHAnsi"/>
          <w:sz w:val="24"/>
          <w:szCs w:val="24"/>
        </w:rPr>
        <w:t xml:space="preserve">dapagliflozin + a DPP4 + metformin </w:t>
      </w:r>
      <w:r w:rsidRPr="00FF3E1C">
        <w:rPr>
          <w:rFonts w:asciiTheme="minorHAnsi" w:hAnsiTheme="minorHAnsi"/>
          <w:sz w:val="24"/>
          <w:szCs w:val="24"/>
        </w:rPr>
        <w:t>treatment to be at the same price as the sum of the component parts.</w:t>
      </w:r>
      <w:r>
        <w:rPr>
          <w:rFonts w:asciiTheme="minorHAnsi" w:hAnsiTheme="minorHAnsi"/>
          <w:sz w:val="24"/>
          <w:szCs w:val="24"/>
        </w:rPr>
        <w:t xml:space="preserve"> </w:t>
      </w:r>
      <w:r w:rsidR="00761020">
        <w:rPr>
          <w:rFonts w:asciiTheme="minorHAnsi" w:hAnsiTheme="minorHAnsi"/>
          <w:sz w:val="24"/>
          <w:szCs w:val="24"/>
        </w:rPr>
        <w:t xml:space="preserve">The PBAC considered that this was also the case for this submission. Although the PBAC acknowledged that the pre-PBAC response offered a </w:t>
      </w:r>
      <w:r w:rsidR="00BF356A">
        <w:rPr>
          <w:rFonts w:asciiTheme="minorHAnsi" w:hAnsiTheme="minorHAnsi"/>
          <w:noProof/>
          <w:color w:val="000000"/>
          <w:sz w:val="24"/>
          <w:szCs w:val="24"/>
          <w:highlight w:val="black"/>
        </w:rPr>
        <w:t>''''''</w:t>
      </w:r>
      <w:r w:rsidR="00761020">
        <w:rPr>
          <w:rFonts w:asciiTheme="minorHAnsi" w:hAnsiTheme="minorHAnsi"/>
          <w:sz w:val="24"/>
          <w:szCs w:val="24"/>
        </w:rPr>
        <w:t>% price reduction on the dapagliflozin + saxagliptin FDC, it did not consider that this represented a cost</w:t>
      </w:r>
      <w:r w:rsidR="00761020">
        <w:rPr>
          <w:rFonts w:asciiTheme="minorHAnsi" w:hAnsiTheme="minorHAnsi"/>
          <w:sz w:val="24"/>
          <w:szCs w:val="24"/>
        </w:rPr>
        <w:noBreakHyphen/>
        <w:t>effective price. The PBAC therefore deferred the submission in order to establish a cost-effective price for dapagliflozin + a DPP4 + metformin in the treatment of type 2 diabetes.</w:t>
      </w:r>
    </w:p>
    <w:p w:rsidR="00761020" w:rsidRDefault="00761020" w:rsidP="00761020">
      <w:pPr>
        <w:pStyle w:val="ListParagraph"/>
        <w:ind w:left="709"/>
        <w:rPr>
          <w:rFonts w:asciiTheme="minorHAnsi" w:hAnsiTheme="minorHAnsi"/>
          <w:sz w:val="24"/>
          <w:szCs w:val="24"/>
        </w:rPr>
      </w:pPr>
    </w:p>
    <w:p w:rsidR="00761020" w:rsidRDefault="00761020" w:rsidP="0056512B">
      <w:pPr>
        <w:pStyle w:val="ListParagraph"/>
        <w:numPr>
          <w:ilvl w:val="1"/>
          <w:numId w:val="1"/>
        </w:numPr>
        <w:ind w:left="709"/>
        <w:rPr>
          <w:rFonts w:asciiTheme="minorHAnsi" w:hAnsiTheme="minorHAnsi"/>
          <w:sz w:val="24"/>
          <w:szCs w:val="24"/>
        </w:rPr>
      </w:pPr>
      <w:r>
        <w:rPr>
          <w:rFonts w:asciiTheme="minorHAnsi" w:hAnsiTheme="minorHAnsi"/>
          <w:sz w:val="24"/>
          <w:szCs w:val="24"/>
        </w:rPr>
        <w:t xml:space="preserve">The PBAC considered that although the pre-PBAC response offered a price reduction, the financial impact was still likely to be underestimated. The PBAC agreed with the DUSC’s view that </w:t>
      </w:r>
      <w:r w:rsidR="00075EB3">
        <w:rPr>
          <w:rFonts w:asciiTheme="minorHAnsi" w:hAnsiTheme="minorHAnsi"/>
          <w:sz w:val="24"/>
          <w:szCs w:val="24"/>
        </w:rPr>
        <w:t xml:space="preserve">the estimates provided in the submission were an underestimate because it excluded </w:t>
      </w:r>
      <w:r w:rsidR="00075EB3" w:rsidRPr="00EF6B8B">
        <w:rPr>
          <w:rFonts w:asciiTheme="minorHAnsi" w:hAnsiTheme="minorHAnsi"/>
          <w:sz w:val="24"/>
        </w:rPr>
        <w:t>patients likely to receive the same combination therapy through other pathways</w:t>
      </w:r>
      <w:r w:rsidR="00075EB3">
        <w:rPr>
          <w:rFonts w:asciiTheme="minorHAnsi" w:hAnsiTheme="minorHAnsi"/>
          <w:sz w:val="24"/>
        </w:rPr>
        <w:t>, as well as patients who would switch from other FDCs in order to access metformin as a single component under the co-payment.</w:t>
      </w:r>
    </w:p>
    <w:p w:rsidR="00107235" w:rsidRDefault="00107235" w:rsidP="00107235">
      <w:pPr>
        <w:pStyle w:val="BodyText"/>
      </w:pPr>
    </w:p>
    <w:p w:rsidR="00107235" w:rsidRDefault="00107235" w:rsidP="00107235">
      <w:pPr>
        <w:pStyle w:val="BodyText"/>
      </w:pPr>
    </w:p>
    <w:p w:rsidR="00A51748" w:rsidRPr="00450371" w:rsidRDefault="00A51748" w:rsidP="00450371">
      <w:pPr>
        <w:spacing w:before="240"/>
        <w:outlineLvl w:val="1"/>
        <w:rPr>
          <w:rFonts w:asciiTheme="minorHAnsi" w:hAnsiTheme="minorHAnsi"/>
          <w:b/>
          <w:bCs/>
          <w:sz w:val="24"/>
          <w:szCs w:val="24"/>
          <w:lang w:val="en-GB"/>
        </w:rPr>
      </w:pPr>
      <w:r w:rsidRPr="00761020">
        <w:rPr>
          <w:rFonts w:asciiTheme="minorHAnsi" w:hAnsiTheme="minorHAnsi"/>
          <w:b/>
          <w:bCs/>
          <w:sz w:val="24"/>
          <w:szCs w:val="24"/>
          <w:lang w:val="en-GB"/>
        </w:rPr>
        <w:t>Outcome:</w:t>
      </w:r>
      <w:r w:rsidR="00450371">
        <w:rPr>
          <w:rFonts w:asciiTheme="minorHAnsi" w:hAnsiTheme="minorHAnsi"/>
          <w:b/>
          <w:bCs/>
          <w:sz w:val="24"/>
          <w:szCs w:val="24"/>
          <w:lang w:val="en-GB"/>
        </w:rPr>
        <w:br/>
      </w:r>
      <w:r w:rsidRPr="00761020">
        <w:rPr>
          <w:rFonts w:asciiTheme="minorHAnsi" w:hAnsiTheme="minorHAnsi"/>
          <w:bCs/>
          <w:sz w:val="24"/>
          <w:szCs w:val="24"/>
          <w:lang w:val="en-GB"/>
        </w:rPr>
        <w:t xml:space="preserve">Deferred </w:t>
      </w:r>
    </w:p>
    <w:p w:rsidR="00A51748" w:rsidRDefault="00A51748" w:rsidP="00A51748">
      <w:pPr>
        <w:rPr>
          <w:rFonts w:asciiTheme="minorHAnsi" w:hAnsiTheme="minorHAnsi"/>
          <w:b/>
          <w:bCs/>
        </w:rPr>
      </w:pPr>
    </w:p>
    <w:p w:rsidR="005303C5" w:rsidRPr="00761020" w:rsidRDefault="005303C5" w:rsidP="00A51748">
      <w:pPr>
        <w:rPr>
          <w:rFonts w:asciiTheme="minorHAnsi" w:hAnsiTheme="minorHAnsi"/>
          <w:b/>
          <w:bCs/>
        </w:rPr>
      </w:pPr>
    </w:p>
    <w:p w:rsidR="005303C5" w:rsidRPr="005303C5" w:rsidRDefault="005303C5" w:rsidP="005303C5">
      <w:pPr>
        <w:pStyle w:val="PBACHeading1"/>
        <w:numPr>
          <w:ilvl w:val="0"/>
          <w:numId w:val="1"/>
        </w:numPr>
        <w:outlineLvl w:val="0"/>
        <w:rPr>
          <w:rFonts w:asciiTheme="minorHAnsi" w:hAnsiTheme="minorHAnsi"/>
          <w:sz w:val="32"/>
          <w:szCs w:val="32"/>
        </w:rPr>
      </w:pPr>
      <w:r w:rsidRPr="006C2DAA">
        <w:rPr>
          <w:rFonts w:asciiTheme="minorHAnsi" w:hAnsiTheme="minorHAnsi"/>
          <w:sz w:val="32"/>
          <w:szCs w:val="32"/>
        </w:rPr>
        <w:t>Context for Decision</w:t>
      </w:r>
    </w:p>
    <w:p w:rsidR="005303C5" w:rsidRPr="00440A84" w:rsidRDefault="005303C5" w:rsidP="005303C5">
      <w:pPr>
        <w:ind w:left="426"/>
        <w:rPr>
          <w:rFonts w:asciiTheme="minorHAnsi" w:hAnsiTheme="minorHAnsi"/>
          <w:szCs w:val="24"/>
        </w:rPr>
      </w:pPr>
    </w:p>
    <w:p w:rsidR="005303C5" w:rsidRPr="009872E6" w:rsidRDefault="005303C5" w:rsidP="005303C5">
      <w:pPr>
        <w:rPr>
          <w:rFonts w:asciiTheme="minorHAnsi" w:hAnsiTheme="minorHAnsi"/>
          <w:sz w:val="24"/>
          <w:szCs w:val="24"/>
        </w:rPr>
      </w:pPr>
      <w:r w:rsidRPr="009872E6">
        <w:rPr>
          <w:rFonts w:asciiTheme="minorHAnsi" w:hAnsiTheme="minorHAnsi"/>
          <w:sz w:val="24"/>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303C5" w:rsidRPr="00440A84" w:rsidRDefault="005303C5" w:rsidP="005303C5">
      <w:pPr>
        <w:ind w:left="426"/>
        <w:rPr>
          <w:rFonts w:asciiTheme="minorHAnsi" w:hAnsiTheme="minorHAnsi"/>
          <w:szCs w:val="24"/>
        </w:rPr>
      </w:pPr>
    </w:p>
    <w:p w:rsidR="005303C5" w:rsidRPr="005303C5" w:rsidRDefault="005303C5" w:rsidP="005303C5">
      <w:pPr>
        <w:pStyle w:val="PBACHeading1"/>
        <w:numPr>
          <w:ilvl w:val="0"/>
          <w:numId w:val="1"/>
        </w:numPr>
        <w:outlineLvl w:val="0"/>
        <w:rPr>
          <w:rFonts w:asciiTheme="minorHAnsi" w:hAnsiTheme="minorHAnsi"/>
          <w:sz w:val="32"/>
          <w:szCs w:val="32"/>
        </w:rPr>
      </w:pPr>
      <w:r w:rsidRPr="006C2DAA">
        <w:rPr>
          <w:rFonts w:asciiTheme="minorHAnsi" w:hAnsiTheme="minorHAnsi"/>
          <w:sz w:val="32"/>
          <w:szCs w:val="32"/>
        </w:rPr>
        <w:t>Sponsor’s Comment</w:t>
      </w:r>
    </w:p>
    <w:p w:rsidR="005303C5" w:rsidRPr="00440A84" w:rsidRDefault="005303C5" w:rsidP="005303C5">
      <w:pPr>
        <w:ind w:left="426"/>
        <w:rPr>
          <w:rFonts w:asciiTheme="minorHAnsi" w:hAnsiTheme="minorHAnsi"/>
          <w:bCs/>
          <w:szCs w:val="24"/>
          <w:highlight w:val="yellow"/>
          <w:lang w:val="en-GB"/>
        </w:rPr>
      </w:pPr>
    </w:p>
    <w:p w:rsidR="005303C5" w:rsidRPr="009872E6" w:rsidRDefault="005303C5" w:rsidP="005303C5">
      <w:pPr>
        <w:spacing w:after="120"/>
        <w:rPr>
          <w:rFonts w:asciiTheme="minorHAnsi" w:hAnsiTheme="minorHAnsi"/>
          <w:bCs/>
          <w:sz w:val="24"/>
          <w:szCs w:val="24"/>
        </w:rPr>
      </w:pPr>
      <w:r w:rsidRPr="009872E6">
        <w:rPr>
          <w:rFonts w:asciiTheme="minorHAnsi" w:hAnsiTheme="minorHAnsi"/>
          <w:bCs/>
          <w:sz w:val="24"/>
          <w:szCs w:val="24"/>
        </w:rPr>
        <w:t>The sponsor had no comment.</w:t>
      </w:r>
    </w:p>
    <w:p w:rsidR="00A51748" w:rsidRPr="002870BB" w:rsidRDefault="00A51748" w:rsidP="00A51748">
      <w:pPr>
        <w:widowControl/>
        <w:contextualSpacing/>
        <w:jc w:val="left"/>
        <w:rPr>
          <w:bCs/>
          <w:i/>
          <w:snapToGrid/>
          <w:szCs w:val="22"/>
        </w:rPr>
      </w:pPr>
    </w:p>
    <w:sectPr w:rsidR="00A51748" w:rsidRPr="002870BB" w:rsidSect="00A9515D">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134"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81D19F" w15:done="0"/>
  <w15:commentEx w15:paraId="3D045246" w15:done="0"/>
  <w15:commentEx w15:paraId="47647042" w15:done="0"/>
  <w15:commentEx w15:paraId="56D46C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56A" w:rsidRDefault="00BF356A" w:rsidP="00124A51">
      <w:r>
        <w:separator/>
      </w:r>
    </w:p>
    <w:p w:rsidR="00BF356A" w:rsidRDefault="00BF356A"/>
  </w:endnote>
  <w:endnote w:type="continuationSeparator" w:id="0">
    <w:p w:rsidR="00BF356A" w:rsidRDefault="00BF356A" w:rsidP="00124A51">
      <w:r>
        <w:continuationSeparator/>
      </w:r>
    </w:p>
    <w:p w:rsidR="00BF356A" w:rsidRDefault="00BF3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6A" w:rsidRDefault="00BF3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699815"/>
      <w:docPartObj>
        <w:docPartGallery w:val="Page Numbers (Bottom of Page)"/>
        <w:docPartUnique/>
      </w:docPartObj>
    </w:sdtPr>
    <w:sdtEndPr>
      <w:rPr>
        <w:rFonts w:asciiTheme="minorHAnsi" w:hAnsiTheme="minorHAnsi"/>
        <w:noProof/>
        <w:sz w:val="24"/>
        <w:szCs w:val="24"/>
      </w:rPr>
    </w:sdtEndPr>
    <w:sdtContent>
      <w:p w:rsidR="00786F6A" w:rsidRDefault="00786F6A">
        <w:pPr>
          <w:pStyle w:val="Footer"/>
          <w:jc w:val="center"/>
        </w:pPr>
      </w:p>
      <w:p w:rsidR="00786F6A" w:rsidRPr="00EB3F99" w:rsidRDefault="00786F6A">
        <w:pPr>
          <w:pStyle w:val="Footer"/>
          <w:jc w:val="center"/>
          <w:rPr>
            <w:rFonts w:asciiTheme="minorHAnsi" w:hAnsiTheme="minorHAnsi"/>
            <w:sz w:val="24"/>
            <w:szCs w:val="24"/>
          </w:rPr>
        </w:pPr>
        <w:r w:rsidRPr="00EB3F99">
          <w:rPr>
            <w:rFonts w:asciiTheme="minorHAnsi" w:hAnsiTheme="minorHAnsi"/>
            <w:sz w:val="24"/>
            <w:szCs w:val="24"/>
          </w:rPr>
          <w:fldChar w:fldCharType="begin"/>
        </w:r>
        <w:r w:rsidRPr="00EB3F99">
          <w:rPr>
            <w:rFonts w:asciiTheme="minorHAnsi" w:hAnsiTheme="minorHAnsi"/>
            <w:sz w:val="24"/>
            <w:szCs w:val="24"/>
          </w:rPr>
          <w:instrText xml:space="preserve"> PAGE   \* MERGEFORMAT </w:instrText>
        </w:r>
        <w:r w:rsidRPr="00EB3F99">
          <w:rPr>
            <w:rFonts w:asciiTheme="minorHAnsi" w:hAnsiTheme="minorHAnsi"/>
            <w:sz w:val="24"/>
            <w:szCs w:val="24"/>
          </w:rPr>
          <w:fldChar w:fldCharType="separate"/>
        </w:r>
        <w:r w:rsidR="00BF356A">
          <w:rPr>
            <w:rFonts w:asciiTheme="minorHAnsi" w:hAnsiTheme="minorHAnsi"/>
            <w:noProof/>
            <w:sz w:val="24"/>
            <w:szCs w:val="24"/>
          </w:rPr>
          <w:t>1</w:t>
        </w:r>
        <w:r w:rsidRPr="00EB3F99">
          <w:rPr>
            <w:rFonts w:asciiTheme="minorHAnsi" w:hAnsiTheme="minorHAnsi"/>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6A" w:rsidRDefault="00BF3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56A" w:rsidRDefault="00BF356A" w:rsidP="00124A51">
      <w:r>
        <w:separator/>
      </w:r>
    </w:p>
    <w:p w:rsidR="00BF356A" w:rsidRDefault="00BF356A"/>
  </w:footnote>
  <w:footnote w:type="continuationSeparator" w:id="0">
    <w:p w:rsidR="00BF356A" w:rsidRDefault="00BF356A" w:rsidP="00124A51">
      <w:r>
        <w:continuationSeparator/>
      </w:r>
    </w:p>
    <w:p w:rsidR="00BF356A" w:rsidRDefault="00BF35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6A" w:rsidRDefault="00BF35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6A" w:rsidRPr="00450371" w:rsidRDefault="00786F6A" w:rsidP="00EB3F99">
    <w:pPr>
      <w:pStyle w:val="Header"/>
      <w:tabs>
        <w:tab w:val="clear" w:pos="4513"/>
        <w:tab w:val="left" w:pos="1725"/>
      </w:tabs>
      <w:jc w:val="center"/>
      <w:rPr>
        <w:rFonts w:asciiTheme="minorHAnsi" w:hAnsiTheme="minorHAnsi"/>
        <w:i/>
        <w:noProof/>
        <w:sz w:val="24"/>
        <w:szCs w:val="24"/>
      </w:rPr>
    </w:pPr>
    <w:r>
      <w:rPr>
        <w:rFonts w:asciiTheme="minorHAnsi" w:hAnsiTheme="minorHAnsi"/>
        <w:i/>
        <w:noProof/>
        <w:sz w:val="24"/>
        <w:szCs w:val="24"/>
      </w:rPr>
      <w:t>Public Summary Document</w:t>
    </w:r>
    <w:r w:rsidRPr="00450371">
      <w:rPr>
        <w:rFonts w:asciiTheme="minorHAnsi" w:hAnsiTheme="minorHAnsi"/>
        <w:i/>
        <w:noProof/>
        <w:sz w:val="24"/>
        <w:szCs w:val="24"/>
      </w:rPr>
      <w:t xml:space="preserve">  – July 2017 PBAC Meeting</w:t>
    </w:r>
  </w:p>
  <w:p w:rsidR="00786F6A" w:rsidRPr="00450371" w:rsidRDefault="00786F6A" w:rsidP="00EB3F99">
    <w:pPr>
      <w:pStyle w:val="Header"/>
      <w:tabs>
        <w:tab w:val="clear" w:pos="4513"/>
        <w:tab w:val="left" w:pos="1725"/>
      </w:tabs>
      <w:jc w:val="center"/>
      <w:rPr>
        <w:rFonts w:asciiTheme="minorHAnsi" w:hAnsiTheme="minorHAnsi"/>
        <w:i/>
        <w:noProof/>
        <w:sz w:val="24"/>
        <w:szCs w:val="24"/>
      </w:rPr>
    </w:pPr>
  </w:p>
  <w:p w:rsidR="00786F6A" w:rsidRPr="00195683" w:rsidRDefault="00786F6A" w:rsidP="00932AD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6A" w:rsidRDefault="00BF3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63E75B0"/>
    <w:multiLevelType w:val="hybridMultilevel"/>
    <w:tmpl w:val="78803A8C"/>
    <w:lvl w:ilvl="0" w:tplc="7C74FCA8">
      <w:start w:val="1"/>
      <w:numFmt w:val="bullet"/>
      <w:pStyle w:val="ESnon-numbere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84E6825"/>
    <w:multiLevelType w:val="multilevel"/>
    <w:tmpl w:val="6EE482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B2875A5"/>
    <w:multiLevelType w:val="hybridMultilevel"/>
    <w:tmpl w:val="4D8C6658"/>
    <w:lvl w:ilvl="0" w:tplc="CF184C6A">
      <w:start w:val="1"/>
      <w:numFmt w:val="bullet"/>
      <w:pStyle w:val="V50InstructionsBullets"/>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FE61A5B"/>
    <w:multiLevelType w:val="multilevel"/>
    <w:tmpl w:val="9C9C9C0E"/>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9">
    <w:nsid w:val="74577F1C"/>
    <w:multiLevelType w:val="hybridMultilevel"/>
    <w:tmpl w:val="2F9486D8"/>
    <w:lvl w:ilvl="0" w:tplc="815653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5E65985"/>
    <w:multiLevelType w:val="hybridMultilevel"/>
    <w:tmpl w:val="963C153C"/>
    <w:lvl w:ilvl="0" w:tplc="7A1881C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11">
    <w:nsid w:val="784D033C"/>
    <w:multiLevelType w:val="multilevel"/>
    <w:tmpl w:val="AF4A2D2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4"/>
  </w:num>
  <w:num w:numId="3">
    <w:abstractNumId w:val="6"/>
  </w:num>
  <w:num w:numId="4">
    <w:abstractNumId w:val="5"/>
  </w:num>
  <w:num w:numId="5">
    <w:abstractNumId w:val="2"/>
  </w:num>
  <w:num w:numId="6">
    <w:abstractNumId w:val="10"/>
  </w:num>
  <w:num w:numId="7">
    <w:abstractNumId w:val="9"/>
  </w:num>
  <w:num w:numId="8">
    <w:abstractNumId w:val="8"/>
  </w:num>
  <w:num w:numId="9">
    <w:abstractNumId w:val="7"/>
  </w:num>
  <w:num w:numId="10">
    <w:abstractNumId w:val="1"/>
  </w:num>
  <w:num w:numId="11">
    <w:abstractNumId w:val="0"/>
  </w:num>
  <w:num w:numId="12">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Lang">
    <w15:presenceInfo w15:providerId="AD" w15:userId="S-1-5-21-1451058757-1749049392-1947940980-40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E8E"/>
    <w:rsid w:val="0000110B"/>
    <w:rsid w:val="00001DC6"/>
    <w:rsid w:val="00003148"/>
    <w:rsid w:val="00003499"/>
    <w:rsid w:val="00005AD4"/>
    <w:rsid w:val="00006AEA"/>
    <w:rsid w:val="0001318E"/>
    <w:rsid w:val="00013247"/>
    <w:rsid w:val="0001581A"/>
    <w:rsid w:val="00015886"/>
    <w:rsid w:val="000162EF"/>
    <w:rsid w:val="0002225F"/>
    <w:rsid w:val="00023763"/>
    <w:rsid w:val="000247F5"/>
    <w:rsid w:val="00026B5C"/>
    <w:rsid w:val="000310FD"/>
    <w:rsid w:val="00040895"/>
    <w:rsid w:val="00043C37"/>
    <w:rsid w:val="000505F6"/>
    <w:rsid w:val="00052900"/>
    <w:rsid w:val="00053BB4"/>
    <w:rsid w:val="000546D7"/>
    <w:rsid w:val="0005659D"/>
    <w:rsid w:val="00061951"/>
    <w:rsid w:val="00063C8A"/>
    <w:rsid w:val="0006403C"/>
    <w:rsid w:val="0006759A"/>
    <w:rsid w:val="00071248"/>
    <w:rsid w:val="000720B9"/>
    <w:rsid w:val="000730CD"/>
    <w:rsid w:val="00075884"/>
    <w:rsid w:val="00075EB3"/>
    <w:rsid w:val="00076946"/>
    <w:rsid w:val="000812CA"/>
    <w:rsid w:val="0008253B"/>
    <w:rsid w:val="00090C7E"/>
    <w:rsid w:val="00094CD0"/>
    <w:rsid w:val="000A4F0F"/>
    <w:rsid w:val="000A67B9"/>
    <w:rsid w:val="000B2ED5"/>
    <w:rsid w:val="000B48A8"/>
    <w:rsid w:val="000C5878"/>
    <w:rsid w:val="000D1BFC"/>
    <w:rsid w:val="000D451B"/>
    <w:rsid w:val="000E228B"/>
    <w:rsid w:val="000E3BA5"/>
    <w:rsid w:val="000E4D4A"/>
    <w:rsid w:val="000E7861"/>
    <w:rsid w:val="000E7B6A"/>
    <w:rsid w:val="000F4BB8"/>
    <w:rsid w:val="000F7127"/>
    <w:rsid w:val="00100F8A"/>
    <w:rsid w:val="00101BCE"/>
    <w:rsid w:val="0010310F"/>
    <w:rsid w:val="0010529A"/>
    <w:rsid w:val="00107235"/>
    <w:rsid w:val="0011032E"/>
    <w:rsid w:val="0011348B"/>
    <w:rsid w:val="001214E2"/>
    <w:rsid w:val="00121799"/>
    <w:rsid w:val="001222FC"/>
    <w:rsid w:val="00124A51"/>
    <w:rsid w:val="001260DE"/>
    <w:rsid w:val="00126621"/>
    <w:rsid w:val="00126F18"/>
    <w:rsid w:val="001301E9"/>
    <w:rsid w:val="00131AEB"/>
    <w:rsid w:val="00136AE5"/>
    <w:rsid w:val="00137645"/>
    <w:rsid w:val="00137871"/>
    <w:rsid w:val="00137F8D"/>
    <w:rsid w:val="0014015A"/>
    <w:rsid w:val="00140C91"/>
    <w:rsid w:val="00140E99"/>
    <w:rsid w:val="001434C7"/>
    <w:rsid w:val="00143E15"/>
    <w:rsid w:val="00145540"/>
    <w:rsid w:val="001456B0"/>
    <w:rsid w:val="00145EA6"/>
    <w:rsid w:val="00150DC4"/>
    <w:rsid w:val="0015269A"/>
    <w:rsid w:val="0015537A"/>
    <w:rsid w:val="00157130"/>
    <w:rsid w:val="00162913"/>
    <w:rsid w:val="00163C81"/>
    <w:rsid w:val="00163D56"/>
    <w:rsid w:val="00163EFF"/>
    <w:rsid w:val="001640E2"/>
    <w:rsid w:val="00165BCD"/>
    <w:rsid w:val="001661FB"/>
    <w:rsid w:val="001718B9"/>
    <w:rsid w:val="00174647"/>
    <w:rsid w:val="00183496"/>
    <w:rsid w:val="00184C20"/>
    <w:rsid w:val="0018752F"/>
    <w:rsid w:val="00195222"/>
    <w:rsid w:val="00195683"/>
    <w:rsid w:val="001975D8"/>
    <w:rsid w:val="001A13C8"/>
    <w:rsid w:val="001A1BDC"/>
    <w:rsid w:val="001A5E60"/>
    <w:rsid w:val="001B16F1"/>
    <w:rsid w:val="001B294C"/>
    <w:rsid w:val="001B3443"/>
    <w:rsid w:val="001B4AAA"/>
    <w:rsid w:val="001B7436"/>
    <w:rsid w:val="001C031B"/>
    <w:rsid w:val="001C3043"/>
    <w:rsid w:val="001C6E66"/>
    <w:rsid w:val="001C7B91"/>
    <w:rsid w:val="001D4BA4"/>
    <w:rsid w:val="001E238E"/>
    <w:rsid w:val="001E2B1E"/>
    <w:rsid w:val="001E4077"/>
    <w:rsid w:val="001E521A"/>
    <w:rsid w:val="001E52EB"/>
    <w:rsid w:val="001E740C"/>
    <w:rsid w:val="001F1235"/>
    <w:rsid w:val="001F1CB3"/>
    <w:rsid w:val="001F7361"/>
    <w:rsid w:val="0020385F"/>
    <w:rsid w:val="0020409A"/>
    <w:rsid w:val="00207021"/>
    <w:rsid w:val="00207D00"/>
    <w:rsid w:val="0021052F"/>
    <w:rsid w:val="002105C1"/>
    <w:rsid w:val="00214AD2"/>
    <w:rsid w:val="0021602F"/>
    <w:rsid w:val="00222A14"/>
    <w:rsid w:val="00223B49"/>
    <w:rsid w:val="00223D2A"/>
    <w:rsid w:val="002244CA"/>
    <w:rsid w:val="00224DD4"/>
    <w:rsid w:val="002271E2"/>
    <w:rsid w:val="002306C5"/>
    <w:rsid w:val="002309CC"/>
    <w:rsid w:val="002340B0"/>
    <w:rsid w:val="00241068"/>
    <w:rsid w:val="00245F74"/>
    <w:rsid w:val="00247BB3"/>
    <w:rsid w:val="00254DCF"/>
    <w:rsid w:val="0025534B"/>
    <w:rsid w:val="00255BB7"/>
    <w:rsid w:val="00261C15"/>
    <w:rsid w:val="00262A87"/>
    <w:rsid w:val="00267CF9"/>
    <w:rsid w:val="00267FC8"/>
    <w:rsid w:val="00275C5A"/>
    <w:rsid w:val="00276C0D"/>
    <w:rsid w:val="00281014"/>
    <w:rsid w:val="00283BB3"/>
    <w:rsid w:val="002870BB"/>
    <w:rsid w:val="00287432"/>
    <w:rsid w:val="0029766B"/>
    <w:rsid w:val="002A0105"/>
    <w:rsid w:val="002A14AB"/>
    <w:rsid w:val="002A4ADB"/>
    <w:rsid w:val="002B01F8"/>
    <w:rsid w:val="002B1C1F"/>
    <w:rsid w:val="002B432F"/>
    <w:rsid w:val="002B6CCE"/>
    <w:rsid w:val="002C2775"/>
    <w:rsid w:val="002C27C1"/>
    <w:rsid w:val="002C7475"/>
    <w:rsid w:val="002D37B7"/>
    <w:rsid w:val="002D5649"/>
    <w:rsid w:val="002E1332"/>
    <w:rsid w:val="002E4BBF"/>
    <w:rsid w:val="002E6D1A"/>
    <w:rsid w:val="002F5CB2"/>
    <w:rsid w:val="002F6236"/>
    <w:rsid w:val="002F66FC"/>
    <w:rsid w:val="002F7332"/>
    <w:rsid w:val="00301017"/>
    <w:rsid w:val="003021D7"/>
    <w:rsid w:val="0030786C"/>
    <w:rsid w:val="0031031A"/>
    <w:rsid w:val="00310981"/>
    <w:rsid w:val="00310F89"/>
    <w:rsid w:val="0031174C"/>
    <w:rsid w:val="00315498"/>
    <w:rsid w:val="0031738A"/>
    <w:rsid w:val="003213A1"/>
    <w:rsid w:val="00321736"/>
    <w:rsid w:val="00322533"/>
    <w:rsid w:val="0032468C"/>
    <w:rsid w:val="003366C9"/>
    <w:rsid w:val="003371B0"/>
    <w:rsid w:val="00347FA2"/>
    <w:rsid w:val="003521AF"/>
    <w:rsid w:val="00355918"/>
    <w:rsid w:val="0035620E"/>
    <w:rsid w:val="00356E60"/>
    <w:rsid w:val="0036043A"/>
    <w:rsid w:val="0036138E"/>
    <w:rsid w:val="00363CDB"/>
    <w:rsid w:val="00366760"/>
    <w:rsid w:val="00372B66"/>
    <w:rsid w:val="003756C6"/>
    <w:rsid w:val="0038365C"/>
    <w:rsid w:val="00383FD7"/>
    <w:rsid w:val="00385539"/>
    <w:rsid w:val="00386510"/>
    <w:rsid w:val="00391FFF"/>
    <w:rsid w:val="00396FD0"/>
    <w:rsid w:val="003972F4"/>
    <w:rsid w:val="003A1A7A"/>
    <w:rsid w:val="003A2BD3"/>
    <w:rsid w:val="003A4F66"/>
    <w:rsid w:val="003A73C9"/>
    <w:rsid w:val="003B7379"/>
    <w:rsid w:val="003C2D13"/>
    <w:rsid w:val="003C4EC1"/>
    <w:rsid w:val="003C50B8"/>
    <w:rsid w:val="003C7167"/>
    <w:rsid w:val="003D1828"/>
    <w:rsid w:val="003D2422"/>
    <w:rsid w:val="003E2A5B"/>
    <w:rsid w:val="003E32BA"/>
    <w:rsid w:val="003E5230"/>
    <w:rsid w:val="003E567D"/>
    <w:rsid w:val="003E5B83"/>
    <w:rsid w:val="003E6198"/>
    <w:rsid w:val="003F4156"/>
    <w:rsid w:val="003F607B"/>
    <w:rsid w:val="003F6B7B"/>
    <w:rsid w:val="0040066E"/>
    <w:rsid w:val="00406118"/>
    <w:rsid w:val="00406CF0"/>
    <w:rsid w:val="00410708"/>
    <w:rsid w:val="00410EC7"/>
    <w:rsid w:val="004114BA"/>
    <w:rsid w:val="00412B00"/>
    <w:rsid w:val="00414476"/>
    <w:rsid w:val="00417363"/>
    <w:rsid w:val="00417B59"/>
    <w:rsid w:val="00420B9F"/>
    <w:rsid w:val="00421CE9"/>
    <w:rsid w:val="00422E2E"/>
    <w:rsid w:val="00425F93"/>
    <w:rsid w:val="0042684F"/>
    <w:rsid w:val="004319F8"/>
    <w:rsid w:val="00433044"/>
    <w:rsid w:val="00434EAA"/>
    <w:rsid w:val="004443A7"/>
    <w:rsid w:val="004464EB"/>
    <w:rsid w:val="00450371"/>
    <w:rsid w:val="004533FA"/>
    <w:rsid w:val="00453F41"/>
    <w:rsid w:val="00455694"/>
    <w:rsid w:val="00455D45"/>
    <w:rsid w:val="00460084"/>
    <w:rsid w:val="00460EA8"/>
    <w:rsid w:val="00462FE4"/>
    <w:rsid w:val="00463608"/>
    <w:rsid w:val="00464595"/>
    <w:rsid w:val="0046592E"/>
    <w:rsid w:val="004670F5"/>
    <w:rsid w:val="00470B22"/>
    <w:rsid w:val="00474056"/>
    <w:rsid w:val="0047576B"/>
    <w:rsid w:val="004758E7"/>
    <w:rsid w:val="00476D73"/>
    <w:rsid w:val="00480633"/>
    <w:rsid w:val="00481314"/>
    <w:rsid w:val="0048167D"/>
    <w:rsid w:val="0048256A"/>
    <w:rsid w:val="0048268A"/>
    <w:rsid w:val="004826AD"/>
    <w:rsid w:val="004850AA"/>
    <w:rsid w:val="004867E2"/>
    <w:rsid w:val="00491B3A"/>
    <w:rsid w:val="00492CFD"/>
    <w:rsid w:val="00494D83"/>
    <w:rsid w:val="004962D2"/>
    <w:rsid w:val="00497370"/>
    <w:rsid w:val="004A0BBC"/>
    <w:rsid w:val="004A0DA1"/>
    <w:rsid w:val="004A4735"/>
    <w:rsid w:val="004A4DE6"/>
    <w:rsid w:val="004A6597"/>
    <w:rsid w:val="004A7C5A"/>
    <w:rsid w:val="004B015B"/>
    <w:rsid w:val="004B1CB4"/>
    <w:rsid w:val="004B22B6"/>
    <w:rsid w:val="004B2F18"/>
    <w:rsid w:val="004B3DDB"/>
    <w:rsid w:val="004B44FD"/>
    <w:rsid w:val="004B5CFC"/>
    <w:rsid w:val="004B60A0"/>
    <w:rsid w:val="004B6242"/>
    <w:rsid w:val="004B67B1"/>
    <w:rsid w:val="004B7C79"/>
    <w:rsid w:val="004C2658"/>
    <w:rsid w:val="004C4AED"/>
    <w:rsid w:val="004C70FD"/>
    <w:rsid w:val="004D3DE8"/>
    <w:rsid w:val="004D46A6"/>
    <w:rsid w:val="004D78FA"/>
    <w:rsid w:val="004E00A2"/>
    <w:rsid w:val="004E0EB8"/>
    <w:rsid w:val="004E28CE"/>
    <w:rsid w:val="004E2ADC"/>
    <w:rsid w:val="004E41B8"/>
    <w:rsid w:val="004E43B2"/>
    <w:rsid w:val="004E7FF8"/>
    <w:rsid w:val="004F1D02"/>
    <w:rsid w:val="004F2679"/>
    <w:rsid w:val="004F61CE"/>
    <w:rsid w:val="004F6735"/>
    <w:rsid w:val="004F69A6"/>
    <w:rsid w:val="004F7865"/>
    <w:rsid w:val="00506928"/>
    <w:rsid w:val="00510C37"/>
    <w:rsid w:val="0051152D"/>
    <w:rsid w:val="005152B5"/>
    <w:rsid w:val="00521319"/>
    <w:rsid w:val="0052247E"/>
    <w:rsid w:val="00523C28"/>
    <w:rsid w:val="005303C5"/>
    <w:rsid w:val="00532E8F"/>
    <w:rsid w:val="00535F32"/>
    <w:rsid w:val="005445DD"/>
    <w:rsid w:val="00551F4B"/>
    <w:rsid w:val="00552BD3"/>
    <w:rsid w:val="00553B05"/>
    <w:rsid w:val="00555109"/>
    <w:rsid w:val="005560FD"/>
    <w:rsid w:val="00557F15"/>
    <w:rsid w:val="005622F2"/>
    <w:rsid w:val="0056512B"/>
    <w:rsid w:val="0056672F"/>
    <w:rsid w:val="0056696F"/>
    <w:rsid w:val="00567FE9"/>
    <w:rsid w:val="0057037F"/>
    <w:rsid w:val="00572220"/>
    <w:rsid w:val="005747DD"/>
    <w:rsid w:val="00575D8D"/>
    <w:rsid w:val="00575FE3"/>
    <w:rsid w:val="00576972"/>
    <w:rsid w:val="00581A43"/>
    <w:rsid w:val="00582E85"/>
    <w:rsid w:val="00583699"/>
    <w:rsid w:val="00583F82"/>
    <w:rsid w:val="00591F48"/>
    <w:rsid w:val="005922A5"/>
    <w:rsid w:val="005970F4"/>
    <w:rsid w:val="0059777D"/>
    <w:rsid w:val="005A2B34"/>
    <w:rsid w:val="005A38EA"/>
    <w:rsid w:val="005A48AE"/>
    <w:rsid w:val="005A4C60"/>
    <w:rsid w:val="005A7AD4"/>
    <w:rsid w:val="005B00F7"/>
    <w:rsid w:val="005B0143"/>
    <w:rsid w:val="005B2A44"/>
    <w:rsid w:val="005B5857"/>
    <w:rsid w:val="005B5907"/>
    <w:rsid w:val="005B5E7A"/>
    <w:rsid w:val="005C1B83"/>
    <w:rsid w:val="005C346B"/>
    <w:rsid w:val="005C34AA"/>
    <w:rsid w:val="005C48E5"/>
    <w:rsid w:val="005C4E43"/>
    <w:rsid w:val="005C5CD9"/>
    <w:rsid w:val="005C6630"/>
    <w:rsid w:val="005C66DA"/>
    <w:rsid w:val="005D044D"/>
    <w:rsid w:val="005D088A"/>
    <w:rsid w:val="005D18AD"/>
    <w:rsid w:val="005D4199"/>
    <w:rsid w:val="005D516E"/>
    <w:rsid w:val="005E26FB"/>
    <w:rsid w:val="005E2D0C"/>
    <w:rsid w:val="005E5215"/>
    <w:rsid w:val="005E5BB2"/>
    <w:rsid w:val="005E73C0"/>
    <w:rsid w:val="005F0C8C"/>
    <w:rsid w:val="005F1F15"/>
    <w:rsid w:val="005F2706"/>
    <w:rsid w:val="005F41F6"/>
    <w:rsid w:val="005F5244"/>
    <w:rsid w:val="005F5AAB"/>
    <w:rsid w:val="005F6A8F"/>
    <w:rsid w:val="006025F8"/>
    <w:rsid w:val="00607669"/>
    <w:rsid w:val="0061024C"/>
    <w:rsid w:val="00612F97"/>
    <w:rsid w:val="00613982"/>
    <w:rsid w:val="00616802"/>
    <w:rsid w:val="00617E12"/>
    <w:rsid w:val="00621477"/>
    <w:rsid w:val="006255FA"/>
    <w:rsid w:val="00625A79"/>
    <w:rsid w:val="0062768A"/>
    <w:rsid w:val="00631D6B"/>
    <w:rsid w:val="0063479F"/>
    <w:rsid w:val="006364A1"/>
    <w:rsid w:val="00637BFD"/>
    <w:rsid w:val="00646A5E"/>
    <w:rsid w:val="006471CC"/>
    <w:rsid w:val="0065079F"/>
    <w:rsid w:val="0065184D"/>
    <w:rsid w:val="006518A4"/>
    <w:rsid w:val="00654D09"/>
    <w:rsid w:val="006558B2"/>
    <w:rsid w:val="006609E3"/>
    <w:rsid w:val="006701F1"/>
    <w:rsid w:val="006712E5"/>
    <w:rsid w:val="00673331"/>
    <w:rsid w:val="00674AAE"/>
    <w:rsid w:val="00674E42"/>
    <w:rsid w:val="00675734"/>
    <w:rsid w:val="0067639B"/>
    <w:rsid w:val="0068113E"/>
    <w:rsid w:val="0068126E"/>
    <w:rsid w:val="00682112"/>
    <w:rsid w:val="006872BA"/>
    <w:rsid w:val="006917D7"/>
    <w:rsid w:val="00694430"/>
    <w:rsid w:val="00694ECE"/>
    <w:rsid w:val="00694F44"/>
    <w:rsid w:val="006971E6"/>
    <w:rsid w:val="006A4952"/>
    <w:rsid w:val="006A4CAF"/>
    <w:rsid w:val="006A535F"/>
    <w:rsid w:val="006A5B1C"/>
    <w:rsid w:val="006A614A"/>
    <w:rsid w:val="006A7C6F"/>
    <w:rsid w:val="006B0445"/>
    <w:rsid w:val="006B23A2"/>
    <w:rsid w:val="006B2A3A"/>
    <w:rsid w:val="006B40F4"/>
    <w:rsid w:val="006B690E"/>
    <w:rsid w:val="006C2A8E"/>
    <w:rsid w:val="006C6D37"/>
    <w:rsid w:val="006D0F59"/>
    <w:rsid w:val="006D2192"/>
    <w:rsid w:val="006D227D"/>
    <w:rsid w:val="006D3C7D"/>
    <w:rsid w:val="006D5D5F"/>
    <w:rsid w:val="006D7538"/>
    <w:rsid w:val="006E0582"/>
    <w:rsid w:val="006E1B6A"/>
    <w:rsid w:val="006E2814"/>
    <w:rsid w:val="006E3C08"/>
    <w:rsid w:val="006E60C0"/>
    <w:rsid w:val="006E70C2"/>
    <w:rsid w:val="006E7F63"/>
    <w:rsid w:val="006F1D47"/>
    <w:rsid w:val="006F4A76"/>
    <w:rsid w:val="006F63A5"/>
    <w:rsid w:val="00701279"/>
    <w:rsid w:val="0070276E"/>
    <w:rsid w:val="00702A7F"/>
    <w:rsid w:val="00702F8F"/>
    <w:rsid w:val="00711A36"/>
    <w:rsid w:val="00716197"/>
    <w:rsid w:val="007172AD"/>
    <w:rsid w:val="0072416F"/>
    <w:rsid w:val="00724C45"/>
    <w:rsid w:val="00725077"/>
    <w:rsid w:val="007261C1"/>
    <w:rsid w:val="00726860"/>
    <w:rsid w:val="007308B0"/>
    <w:rsid w:val="00730C74"/>
    <w:rsid w:val="00733330"/>
    <w:rsid w:val="00735328"/>
    <w:rsid w:val="00735755"/>
    <w:rsid w:val="0073685B"/>
    <w:rsid w:val="007557F8"/>
    <w:rsid w:val="00761020"/>
    <w:rsid w:val="00761BD1"/>
    <w:rsid w:val="00763F17"/>
    <w:rsid w:val="00766812"/>
    <w:rsid w:val="00771DC6"/>
    <w:rsid w:val="007720CF"/>
    <w:rsid w:val="007732EC"/>
    <w:rsid w:val="007737B3"/>
    <w:rsid w:val="00776182"/>
    <w:rsid w:val="00777157"/>
    <w:rsid w:val="0078374A"/>
    <w:rsid w:val="00786F6A"/>
    <w:rsid w:val="00790EEC"/>
    <w:rsid w:val="0079788D"/>
    <w:rsid w:val="00797FA6"/>
    <w:rsid w:val="007A0A12"/>
    <w:rsid w:val="007A1248"/>
    <w:rsid w:val="007A12FB"/>
    <w:rsid w:val="007A4302"/>
    <w:rsid w:val="007A515C"/>
    <w:rsid w:val="007A63C5"/>
    <w:rsid w:val="007A6763"/>
    <w:rsid w:val="007B251D"/>
    <w:rsid w:val="007B3A77"/>
    <w:rsid w:val="007B4AB3"/>
    <w:rsid w:val="007B570B"/>
    <w:rsid w:val="007B5AD4"/>
    <w:rsid w:val="007B7000"/>
    <w:rsid w:val="007B77D1"/>
    <w:rsid w:val="007C075D"/>
    <w:rsid w:val="007C2118"/>
    <w:rsid w:val="007C2725"/>
    <w:rsid w:val="007C361D"/>
    <w:rsid w:val="007C41AF"/>
    <w:rsid w:val="007C5A5F"/>
    <w:rsid w:val="007D00A8"/>
    <w:rsid w:val="007D0B38"/>
    <w:rsid w:val="007E218F"/>
    <w:rsid w:val="007E27D3"/>
    <w:rsid w:val="007E37D2"/>
    <w:rsid w:val="007E7066"/>
    <w:rsid w:val="007F1017"/>
    <w:rsid w:val="007F28CD"/>
    <w:rsid w:val="007F396D"/>
    <w:rsid w:val="007F399F"/>
    <w:rsid w:val="007F4A3F"/>
    <w:rsid w:val="007F501C"/>
    <w:rsid w:val="007F7C97"/>
    <w:rsid w:val="007F7E09"/>
    <w:rsid w:val="00805142"/>
    <w:rsid w:val="00805DCB"/>
    <w:rsid w:val="008072A8"/>
    <w:rsid w:val="00807A8B"/>
    <w:rsid w:val="00811625"/>
    <w:rsid w:val="00812149"/>
    <w:rsid w:val="00815769"/>
    <w:rsid w:val="00816231"/>
    <w:rsid w:val="008166EF"/>
    <w:rsid w:val="008264EB"/>
    <w:rsid w:val="00826F07"/>
    <w:rsid w:val="00827FFC"/>
    <w:rsid w:val="00830700"/>
    <w:rsid w:val="00831E0B"/>
    <w:rsid w:val="00833B05"/>
    <w:rsid w:val="00835965"/>
    <w:rsid w:val="008359B9"/>
    <w:rsid w:val="00837236"/>
    <w:rsid w:val="0083759F"/>
    <w:rsid w:val="00837900"/>
    <w:rsid w:val="00837D74"/>
    <w:rsid w:val="00840CA2"/>
    <w:rsid w:val="008411AA"/>
    <w:rsid w:val="008447F7"/>
    <w:rsid w:val="00847397"/>
    <w:rsid w:val="00847735"/>
    <w:rsid w:val="00850A33"/>
    <w:rsid w:val="00856E9A"/>
    <w:rsid w:val="00857054"/>
    <w:rsid w:val="0086057A"/>
    <w:rsid w:val="00862502"/>
    <w:rsid w:val="00862B66"/>
    <w:rsid w:val="008711C3"/>
    <w:rsid w:val="00882874"/>
    <w:rsid w:val="00883787"/>
    <w:rsid w:val="00891355"/>
    <w:rsid w:val="008921AC"/>
    <w:rsid w:val="008921D8"/>
    <w:rsid w:val="00894489"/>
    <w:rsid w:val="00895936"/>
    <w:rsid w:val="008963A5"/>
    <w:rsid w:val="00896AF9"/>
    <w:rsid w:val="008974A9"/>
    <w:rsid w:val="008A2884"/>
    <w:rsid w:val="008A3C3E"/>
    <w:rsid w:val="008A3E03"/>
    <w:rsid w:val="008A5B4C"/>
    <w:rsid w:val="008A782D"/>
    <w:rsid w:val="008A79DE"/>
    <w:rsid w:val="008B504E"/>
    <w:rsid w:val="008B7D7E"/>
    <w:rsid w:val="008C139D"/>
    <w:rsid w:val="008C1B9B"/>
    <w:rsid w:val="008C305E"/>
    <w:rsid w:val="008C3CBA"/>
    <w:rsid w:val="008C58C1"/>
    <w:rsid w:val="008C5FCA"/>
    <w:rsid w:val="008C7ECB"/>
    <w:rsid w:val="008D2D1A"/>
    <w:rsid w:val="008D34AF"/>
    <w:rsid w:val="008E1B9E"/>
    <w:rsid w:val="008E4FA3"/>
    <w:rsid w:val="008F120A"/>
    <w:rsid w:val="008F1F07"/>
    <w:rsid w:val="008F24E4"/>
    <w:rsid w:val="008F48EB"/>
    <w:rsid w:val="008F4F0B"/>
    <w:rsid w:val="009022FD"/>
    <w:rsid w:val="009062A5"/>
    <w:rsid w:val="00906488"/>
    <w:rsid w:val="009104E4"/>
    <w:rsid w:val="0091098A"/>
    <w:rsid w:val="00911272"/>
    <w:rsid w:val="009121AD"/>
    <w:rsid w:val="009213D7"/>
    <w:rsid w:val="00924ECB"/>
    <w:rsid w:val="00925165"/>
    <w:rsid w:val="00925D82"/>
    <w:rsid w:val="009265CC"/>
    <w:rsid w:val="00927938"/>
    <w:rsid w:val="009300D5"/>
    <w:rsid w:val="00930545"/>
    <w:rsid w:val="00932AD0"/>
    <w:rsid w:val="00932E4B"/>
    <w:rsid w:val="009414CA"/>
    <w:rsid w:val="00950686"/>
    <w:rsid w:val="00955CC0"/>
    <w:rsid w:val="00962092"/>
    <w:rsid w:val="00962CB9"/>
    <w:rsid w:val="0096346B"/>
    <w:rsid w:val="009638BB"/>
    <w:rsid w:val="00964312"/>
    <w:rsid w:val="00965C59"/>
    <w:rsid w:val="0097094E"/>
    <w:rsid w:val="00980077"/>
    <w:rsid w:val="00981380"/>
    <w:rsid w:val="009839BB"/>
    <w:rsid w:val="00983B76"/>
    <w:rsid w:val="00983E57"/>
    <w:rsid w:val="00984243"/>
    <w:rsid w:val="00984307"/>
    <w:rsid w:val="009872E6"/>
    <w:rsid w:val="009943AF"/>
    <w:rsid w:val="00996B1A"/>
    <w:rsid w:val="009975E7"/>
    <w:rsid w:val="009A1509"/>
    <w:rsid w:val="009A323A"/>
    <w:rsid w:val="009A3F30"/>
    <w:rsid w:val="009A4561"/>
    <w:rsid w:val="009A6895"/>
    <w:rsid w:val="009A78EF"/>
    <w:rsid w:val="009A7D15"/>
    <w:rsid w:val="009B3B2B"/>
    <w:rsid w:val="009B3CD3"/>
    <w:rsid w:val="009B3E26"/>
    <w:rsid w:val="009B4D9A"/>
    <w:rsid w:val="009B4E3B"/>
    <w:rsid w:val="009C030A"/>
    <w:rsid w:val="009C52F7"/>
    <w:rsid w:val="009D3038"/>
    <w:rsid w:val="009D5174"/>
    <w:rsid w:val="009D5B91"/>
    <w:rsid w:val="009E00F5"/>
    <w:rsid w:val="009E0379"/>
    <w:rsid w:val="009E064F"/>
    <w:rsid w:val="009E1C60"/>
    <w:rsid w:val="009E2A6D"/>
    <w:rsid w:val="009E3CF3"/>
    <w:rsid w:val="009E4C07"/>
    <w:rsid w:val="009F228A"/>
    <w:rsid w:val="009F2E1B"/>
    <w:rsid w:val="009F4880"/>
    <w:rsid w:val="009F6B25"/>
    <w:rsid w:val="009F7FF6"/>
    <w:rsid w:val="00A02883"/>
    <w:rsid w:val="00A03D43"/>
    <w:rsid w:val="00A04380"/>
    <w:rsid w:val="00A0510D"/>
    <w:rsid w:val="00A06C97"/>
    <w:rsid w:val="00A10239"/>
    <w:rsid w:val="00A11C04"/>
    <w:rsid w:val="00A13948"/>
    <w:rsid w:val="00A142DA"/>
    <w:rsid w:val="00A15D6D"/>
    <w:rsid w:val="00A17291"/>
    <w:rsid w:val="00A24E8D"/>
    <w:rsid w:val="00A25EA3"/>
    <w:rsid w:val="00A26A64"/>
    <w:rsid w:val="00A27AEC"/>
    <w:rsid w:val="00A3131C"/>
    <w:rsid w:val="00A34DFD"/>
    <w:rsid w:val="00A35CAC"/>
    <w:rsid w:val="00A35D16"/>
    <w:rsid w:val="00A373DA"/>
    <w:rsid w:val="00A438DF"/>
    <w:rsid w:val="00A43C59"/>
    <w:rsid w:val="00A50C7F"/>
    <w:rsid w:val="00A50ECD"/>
    <w:rsid w:val="00A51748"/>
    <w:rsid w:val="00A51B6A"/>
    <w:rsid w:val="00A52729"/>
    <w:rsid w:val="00A53675"/>
    <w:rsid w:val="00A56B6A"/>
    <w:rsid w:val="00A570CB"/>
    <w:rsid w:val="00A578DC"/>
    <w:rsid w:val="00A64486"/>
    <w:rsid w:val="00A65290"/>
    <w:rsid w:val="00A6725B"/>
    <w:rsid w:val="00A72198"/>
    <w:rsid w:val="00A74650"/>
    <w:rsid w:val="00A74C29"/>
    <w:rsid w:val="00A77D62"/>
    <w:rsid w:val="00A86E8B"/>
    <w:rsid w:val="00A87BE6"/>
    <w:rsid w:val="00A93072"/>
    <w:rsid w:val="00A9515D"/>
    <w:rsid w:val="00A959D8"/>
    <w:rsid w:val="00AA345F"/>
    <w:rsid w:val="00AA462D"/>
    <w:rsid w:val="00AB042A"/>
    <w:rsid w:val="00AB1F17"/>
    <w:rsid w:val="00AB215E"/>
    <w:rsid w:val="00AB2D34"/>
    <w:rsid w:val="00AB3430"/>
    <w:rsid w:val="00AB7CFA"/>
    <w:rsid w:val="00AC1F30"/>
    <w:rsid w:val="00AC4BBF"/>
    <w:rsid w:val="00AC797B"/>
    <w:rsid w:val="00AD2C1D"/>
    <w:rsid w:val="00AE090B"/>
    <w:rsid w:val="00AE19B7"/>
    <w:rsid w:val="00AE40E5"/>
    <w:rsid w:val="00AE72D7"/>
    <w:rsid w:val="00AF4D44"/>
    <w:rsid w:val="00AF5AC3"/>
    <w:rsid w:val="00B00753"/>
    <w:rsid w:val="00B02331"/>
    <w:rsid w:val="00B03CF5"/>
    <w:rsid w:val="00B053A0"/>
    <w:rsid w:val="00B06B53"/>
    <w:rsid w:val="00B176A2"/>
    <w:rsid w:val="00B20132"/>
    <w:rsid w:val="00B22E4A"/>
    <w:rsid w:val="00B2350D"/>
    <w:rsid w:val="00B251EB"/>
    <w:rsid w:val="00B270A4"/>
    <w:rsid w:val="00B3553A"/>
    <w:rsid w:val="00B4175B"/>
    <w:rsid w:val="00B42851"/>
    <w:rsid w:val="00B4416C"/>
    <w:rsid w:val="00B456B2"/>
    <w:rsid w:val="00B50DB8"/>
    <w:rsid w:val="00B52F87"/>
    <w:rsid w:val="00B53905"/>
    <w:rsid w:val="00B54B5B"/>
    <w:rsid w:val="00B54F2E"/>
    <w:rsid w:val="00B55283"/>
    <w:rsid w:val="00B5562E"/>
    <w:rsid w:val="00B57000"/>
    <w:rsid w:val="00B60939"/>
    <w:rsid w:val="00B60AFD"/>
    <w:rsid w:val="00B62715"/>
    <w:rsid w:val="00B665A3"/>
    <w:rsid w:val="00B712AF"/>
    <w:rsid w:val="00B76F24"/>
    <w:rsid w:val="00B77AE7"/>
    <w:rsid w:val="00B813F2"/>
    <w:rsid w:val="00B818A4"/>
    <w:rsid w:val="00B81EC4"/>
    <w:rsid w:val="00B84421"/>
    <w:rsid w:val="00B84A52"/>
    <w:rsid w:val="00B85960"/>
    <w:rsid w:val="00B85EDC"/>
    <w:rsid w:val="00B8649C"/>
    <w:rsid w:val="00B87215"/>
    <w:rsid w:val="00B92D0B"/>
    <w:rsid w:val="00B9305E"/>
    <w:rsid w:val="00B94945"/>
    <w:rsid w:val="00B9627C"/>
    <w:rsid w:val="00BA3E55"/>
    <w:rsid w:val="00BA4E72"/>
    <w:rsid w:val="00BA5727"/>
    <w:rsid w:val="00BA60D5"/>
    <w:rsid w:val="00BA6CDC"/>
    <w:rsid w:val="00BB022E"/>
    <w:rsid w:val="00BB7405"/>
    <w:rsid w:val="00BC34DF"/>
    <w:rsid w:val="00BC376E"/>
    <w:rsid w:val="00BC4A37"/>
    <w:rsid w:val="00BD35FB"/>
    <w:rsid w:val="00BD6CF3"/>
    <w:rsid w:val="00BD7147"/>
    <w:rsid w:val="00BD7EC2"/>
    <w:rsid w:val="00BE2180"/>
    <w:rsid w:val="00BE4275"/>
    <w:rsid w:val="00BE76C8"/>
    <w:rsid w:val="00BF0D23"/>
    <w:rsid w:val="00BF2433"/>
    <w:rsid w:val="00BF356A"/>
    <w:rsid w:val="00BF54B9"/>
    <w:rsid w:val="00BF61C9"/>
    <w:rsid w:val="00BF61F1"/>
    <w:rsid w:val="00BF7207"/>
    <w:rsid w:val="00C04EA6"/>
    <w:rsid w:val="00C12504"/>
    <w:rsid w:val="00C12968"/>
    <w:rsid w:val="00C20D5C"/>
    <w:rsid w:val="00C23873"/>
    <w:rsid w:val="00C25418"/>
    <w:rsid w:val="00C255BE"/>
    <w:rsid w:val="00C25D9C"/>
    <w:rsid w:val="00C31649"/>
    <w:rsid w:val="00C32263"/>
    <w:rsid w:val="00C3720F"/>
    <w:rsid w:val="00C40385"/>
    <w:rsid w:val="00C52410"/>
    <w:rsid w:val="00C52D20"/>
    <w:rsid w:val="00C564DD"/>
    <w:rsid w:val="00C65576"/>
    <w:rsid w:val="00C66165"/>
    <w:rsid w:val="00C710FA"/>
    <w:rsid w:val="00C74C5E"/>
    <w:rsid w:val="00C750C8"/>
    <w:rsid w:val="00C75A5C"/>
    <w:rsid w:val="00C8213F"/>
    <w:rsid w:val="00C83495"/>
    <w:rsid w:val="00C8797A"/>
    <w:rsid w:val="00C87C10"/>
    <w:rsid w:val="00C92643"/>
    <w:rsid w:val="00C938CF"/>
    <w:rsid w:val="00CA00A6"/>
    <w:rsid w:val="00CA0E84"/>
    <w:rsid w:val="00CA43B4"/>
    <w:rsid w:val="00CA5245"/>
    <w:rsid w:val="00CA7B09"/>
    <w:rsid w:val="00CB5B1A"/>
    <w:rsid w:val="00CB6872"/>
    <w:rsid w:val="00CC0881"/>
    <w:rsid w:val="00CD25C4"/>
    <w:rsid w:val="00CD4A58"/>
    <w:rsid w:val="00CD6ADC"/>
    <w:rsid w:val="00CE013D"/>
    <w:rsid w:val="00CE1B80"/>
    <w:rsid w:val="00CE6274"/>
    <w:rsid w:val="00CF4194"/>
    <w:rsid w:val="00CF456B"/>
    <w:rsid w:val="00CF5A22"/>
    <w:rsid w:val="00CF7317"/>
    <w:rsid w:val="00D0149B"/>
    <w:rsid w:val="00D017E1"/>
    <w:rsid w:val="00D0262E"/>
    <w:rsid w:val="00D110BD"/>
    <w:rsid w:val="00D14D26"/>
    <w:rsid w:val="00D17D6C"/>
    <w:rsid w:val="00D213EB"/>
    <w:rsid w:val="00D23497"/>
    <w:rsid w:val="00D24CE6"/>
    <w:rsid w:val="00D321C9"/>
    <w:rsid w:val="00D34410"/>
    <w:rsid w:val="00D351E8"/>
    <w:rsid w:val="00D357FF"/>
    <w:rsid w:val="00D36538"/>
    <w:rsid w:val="00D50BD3"/>
    <w:rsid w:val="00D525C0"/>
    <w:rsid w:val="00D52E0E"/>
    <w:rsid w:val="00D53A8E"/>
    <w:rsid w:val="00D56A23"/>
    <w:rsid w:val="00D5749B"/>
    <w:rsid w:val="00D7003A"/>
    <w:rsid w:val="00D7194B"/>
    <w:rsid w:val="00D76A44"/>
    <w:rsid w:val="00D773C7"/>
    <w:rsid w:val="00D86C52"/>
    <w:rsid w:val="00D9172E"/>
    <w:rsid w:val="00D93753"/>
    <w:rsid w:val="00DA1B8F"/>
    <w:rsid w:val="00DA4A76"/>
    <w:rsid w:val="00DA58C8"/>
    <w:rsid w:val="00DA5FCD"/>
    <w:rsid w:val="00DA77A5"/>
    <w:rsid w:val="00DB5F16"/>
    <w:rsid w:val="00DB79E0"/>
    <w:rsid w:val="00DC0AA4"/>
    <w:rsid w:val="00DC373B"/>
    <w:rsid w:val="00DC3CD9"/>
    <w:rsid w:val="00DC4D97"/>
    <w:rsid w:val="00DC5501"/>
    <w:rsid w:val="00DC677C"/>
    <w:rsid w:val="00DD3F28"/>
    <w:rsid w:val="00DD4537"/>
    <w:rsid w:val="00DD4E15"/>
    <w:rsid w:val="00DD5213"/>
    <w:rsid w:val="00DD568E"/>
    <w:rsid w:val="00DD65BA"/>
    <w:rsid w:val="00DD67D5"/>
    <w:rsid w:val="00DE4FCB"/>
    <w:rsid w:val="00DF04A2"/>
    <w:rsid w:val="00DF5D2B"/>
    <w:rsid w:val="00DF73B5"/>
    <w:rsid w:val="00E00F53"/>
    <w:rsid w:val="00E06258"/>
    <w:rsid w:val="00E10149"/>
    <w:rsid w:val="00E13764"/>
    <w:rsid w:val="00E16372"/>
    <w:rsid w:val="00E16BD2"/>
    <w:rsid w:val="00E206AF"/>
    <w:rsid w:val="00E20ED6"/>
    <w:rsid w:val="00E20FF3"/>
    <w:rsid w:val="00E21358"/>
    <w:rsid w:val="00E2249B"/>
    <w:rsid w:val="00E22A0D"/>
    <w:rsid w:val="00E260D5"/>
    <w:rsid w:val="00E26C52"/>
    <w:rsid w:val="00E272FC"/>
    <w:rsid w:val="00E2771E"/>
    <w:rsid w:val="00E3027D"/>
    <w:rsid w:val="00E308AE"/>
    <w:rsid w:val="00E3096B"/>
    <w:rsid w:val="00E3549B"/>
    <w:rsid w:val="00E3573F"/>
    <w:rsid w:val="00E36F89"/>
    <w:rsid w:val="00E37569"/>
    <w:rsid w:val="00E41E30"/>
    <w:rsid w:val="00E42644"/>
    <w:rsid w:val="00E433F0"/>
    <w:rsid w:val="00E43D70"/>
    <w:rsid w:val="00E472FA"/>
    <w:rsid w:val="00E47B2C"/>
    <w:rsid w:val="00E504BF"/>
    <w:rsid w:val="00E51560"/>
    <w:rsid w:val="00E52223"/>
    <w:rsid w:val="00E55424"/>
    <w:rsid w:val="00E55BB5"/>
    <w:rsid w:val="00E625B4"/>
    <w:rsid w:val="00E62FBC"/>
    <w:rsid w:val="00E63DD3"/>
    <w:rsid w:val="00E65E79"/>
    <w:rsid w:val="00E67416"/>
    <w:rsid w:val="00E718B6"/>
    <w:rsid w:val="00E73581"/>
    <w:rsid w:val="00E83166"/>
    <w:rsid w:val="00E83BDF"/>
    <w:rsid w:val="00E8592F"/>
    <w:rsid w:val="00E85973"/>
    <w:rsid w:val="00E86CAA"/>
    <w:rsid w:val="00E879DD"/>
    <w:rsid w:val="00E94275"/>
    <w:rsid w:val="00E975D6"/>
    <w:rsid w:val="00EA2C53"/>
    <w:rsid w:val="00EA3864"/>
    <w:rsid w:val="00EA4005"/>
    <w:rsid w:val="00EB15B6"/>
    <w:rsid w:val="00EB28F9"/>
    <w:rsid w:val="00EB3F99"/>
    <w:rsid w:val="00EB4916"/>
    <w:rsid w:val="00EB6E14"/>
    <w:rsid w:val="00EB7831"/>
    <w:rsid w:val="00EC00C9"/>
    <w:rsid w:val="00EC2D3D"/>
    <w:rsid w:val="00EC4D00"/>
    <w:rsid w:val="00EC6DF2"/>
    <w:rsid w:val="00EC79B1"/>
    <w:rsid w:val="00EE07D3"/>
    <w:rsid w:val="00EF6B8B"/>
    <w:rsid w:val="00F067A2"/>
    <w:rsid w:val="00F113A3"/>
    <w:rsid w:val="00F15964"/>
    <w:rsid w:val="00F215DD"/>
    <w:rsid w:val="00F224F4"/>
    <w:rsid w:val="00F24837"/>
    <w:rsid w:val="00F24F5C"/>
    <w:rsid w:val="00F254EA"/>
    <w:rsid w:val="00F2575F"/>
    <w:rsid w:val="00F26699"/>
    <w:rsid w:val="00F26996"/>
    <w:rsid w:val="00F27C58"/>
    <w:rsid w:val="00F31DDE"/>
    <w:rsid w:val="00F33DE9"/>
    <w:rsid w:val="00F34966"/>
    <w:rsid w:val="00F3619A"/>
    <w:rsid w:val="00F419EE"/>
    <w:rsid w:val="00F4303D"/>
    <w:rsid w:val="00F46CB6"/>
    <w:rsid w:val="00F50128"/>
    <w:rsid w:val="00F55E73"/>
    <w:rsid w:val="00F60092"/>
    <w:rsid w:val="00F657A5"/>
    <w:rsid w:val="00F65B67"/>
    <w:rsid w:val="00F668D9"/>
    <w:rsid w:val="00F672D3"/>
    <w:rsid w:val="00F7490C"/>
    <w:rsid w:val="00F76D62"/>
    <w:rsid w:val="00F7723E"/>
    <w:rsid w:val="00F80E5D"/>
    <w:rsid w:val="00F815CD"/>
    <w:rsid w:val="00F842C9"/>
    <w:rsid w:val="00F851CE"/>
    <w:rsid w:val="00F87616"/>
    <w:rsid w:val="00F879CF"/>
    <w:rsid w:val="00F903C2"/>
    <w:rsid w:val="00F92D3B"/>
    <w:rsid w:val="00F935A0"/>
    <w:rsid w:val="00F9481C"/>
    <w:rsid w:val="00F959CD"/>
    <w:rsid w:val="00F97A78"/>
    <w:rsid w:val="00FA24E7"/>
    <w:rsid w:val="00FA6522"/>
    <w:rsid w:val="00FB2FCB"/>
    <w:rsid w:val="00FB35D9"/>
    <w:rsid w:val="00FC1074"/>
    <w:rsid w:val="00FC1884"/>
    <w:rsid w:val="00FC76D8"/>
    <w:rsid w:val="00FD2100"/>
    <w:rsid w:val="00FD2473"/>
    <w:rsid w:val="00FD283D"/>
    <w:rsid w:val="00FD286A"/>
    <w:rsid w:val="00FD446D"/>
    <w:rsid w:val="00FD4AED"/>
    <w:rsid w:val="00FE1995"/>
    <w:rsid w:val="00FE2B9B"/>
    <w:rsid w:val="00FE79C0"/>
    <w:rsid w:val="00FF01E2"/>
    <w:rsid w:val="00FF0954"/>
    <w:rsid w:val="00FF2836"/>
    <w:rsid w:val="00FF3DCF"/>
    <w:rsid w:val="00FF4968"/>
    <w:rsid w:val="00FF52E4"/>
    <w:rsid w:val="00FF53C2"/>
    <w:rsid w:val="00FF5A59"/>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9" w:unhideWhenUsed="0" w:qFormat="1"/>
    <w:lsdException w:name="heading 3" w:semiHidden="0" w:uiPriority="1" w:unhideWhenUsed="0" w:qFormat="1"/>
    <w:lsdException w:name="heading 4" w:semiHidden="0"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aliases w:val="ESHeading 1"/>
    <w:basedOn w:val="Normal"/>
    <w:next w:val="Normal"/>
    <w:link w:val="Heading1Char"/>
    <w:uiPriority w:val="1"/>
    <w:qFormat/>
    <w:rsid w:val="00D76A44"/>
    <w:pPr>
      <w:outlineLvl w:val="0"/>
    </w:pPr>
    <w:rPr>
      <w:rFonts w:ascii="Arial Bold" w:hAnsi="Arial Bold"/>
      <w:b/>
      <w:caps/>
    </w:rPr>
  </w:style>
  <w:style w:type="paragraph" w:styleId="Heading2">
    <w:name w:val="heading 2"/>
    <w:aliases w:val="ESHeading 2"/>
    <w:basedOn w:val="Normal"/>
    <w:next w:val="Normal"/>
    <w:link w:val="Heading2Char"/>
    <w:uiPriority w:val="9"/>
    <w:qFormat/>
    <w:rsid w:val="004B3DDB"/>
    <w:pPr>
      <w:outlineLvl w:val="1"/>
    </w:pPr>
    <w:rPr>
      <w:b/>
    </w:rPr>
  </w:style>
  <w:style w:type="paragraph" w:styleId="Heading3">
    <w:name w:val="heading 3"/>
    <w:aliases w:val="ESHeading 3"/>
    <w:basedOn w:val="Normal"/>
    <w:next w:val="Normal"/>
    <w:link w:val="Heading3Char"/>
    <w:uiPriority w:val="1"/>
    <w:qFormat/>
    <w:rsid w:val="001F7361"/>
    <w:pPr>
      <w:outlineLvl w:val="2"/>
    </w:pPr>
    <w:rPr>
      <w:u w:val="single"/>
    </w:rPr>
  </w:style>
  <w:style w:type="paragraph" w:styleId="Heading4">
    <w:name w:val="heading 4"/>
    <w:aliases w:val="ES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7"/>
    <w:qFormat/>
    <w:rsid w:val="00124A51"/>
    <w:pPr>
      <w:spacing w:before="240" w:after="60"/>
      <w:outlineLvl w:val="4"/>
    </w:pPr>
    <w:rPr>
      <w:b/>
      <w:bCs/>
      <w:iCs/>
      <w:sz w:val="26"/>
      <w:szCs w:val="26"/>
    </w:rPr>
  </w:style>
  <w:style w:type="paragraph" w:styleId="Heading6">
    <w:name w:val="heading 6"/>
    <w:basedOn w:val="Normal"/>
    <w:next w:val="Normal"/>
    <w:link w:val="Heading6Char"/>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ES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7"/>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rPr>
      <w:rFonts w:ascii="Arial" w:hAnsi="Arial" w:cs="Arial"/>
      <w:b/>
      <w:snapToGrid w:val="0"/>
      <w:sz w:val="22"/>
      <w:szCs w:val="22"/>
      <w:lang w:eastAsia="en-US"/>
    </w:rPr>
  </w:style>
  <w:style w:type="character" w:customStyle="1" w:styleId="Heading1Char">
    <w:name w:val="Heading 1 Char"/>
    <w:aliases w:val="ESHeading 1 Char"/>
    <w:basedOn w:val="DefaultParagraphFont"/>
    <w:link w:val="Heading1"/>
    <w:uiPriority w:val="1"/>
    <w:rsid w:val="00137F8D"/>
    <w:rPr>
      <w:rFonts w:ascii="Arial Bold" w:hAnsi="Arial Bold" w:cs="Arial"/>
      <w:b/>
      <w:caps/>
      <w:snapToGrid w:val="0"/>
      <w:sz w:val="22"/>
      <w:lang w:eastAsia="en-US"/>
    </w:rPr>
  </w:style>
  <w:style w:type="character" w:customStyle="1" w:styleId="Heading3Char">
    <w:name w:val="Heading 3 Char"/>
    <w:aliases w:val="ESHeading 3 Char"/>
    <w:basedOn w:val="DefaultParagraphFont"/>
    <w:link w:val="Heading3"/>
    <w:uiPriority w:val="9"/>
    <w:rsid w:val="00137F8D"/>
    <w:rPr>
      <w:rFonts w:ascii="Arial" w:hAnsi="Arial" w:cs="Arial"/>
      <w:snapToGrid w:val="0"/>
      <w:sz w:val="22"/>
      <w:u w:val="single"/>
      <w:lang w:eastAsia="en-US"/>
    </w:rPr>
  </w:style>
  <w:style w:type="paragraph" w:customStyle="1" w:styleId="V50Heading2nonumbers">
    <w:name w:val="V5.0 Heading 2 no numbers"/>
    <w:basedOn w:val="Heading2"/>
    <w:qFormat/>
    <w:rsid w:val="00137F8D"/>
    <w:pPr>
      <w:keepNext/>
      <w:keepLines/>
      <w:widowControl/>
      <w:spacing w:before="240" w:after="120"/>
      <w:ind w:left="578" w:hanging="578"/>
    </w:pPr>
    <w:rPr>
      <w:rFonts w:eastAsiaTheme="majorEastAsia" w:cstheme="majorBidi"/>
      <w:i/>
      <w:snapToGrid/>
      <w:sz w:val="28"/>
      <w:szCs w:val="28"/>
    </w:rPr>
  </w:style>
  <w:style w:type="paragraph" w:customStyle="1" w:styleId="V50Instructions">
    <w:name w:val="V5.0 Instructions"/>
    <w:basedOn w:val="Normal"/>
    <w:link w:val="V50InstructionsChar"/>
    <w:qFormat/>
    <w:rsid w:val="00137F8D"/>
    <w:pPr>
      <w:widowControl/>
      <w:spacing w:before="120" w:after="160"/>
    </w:pPr>
    <w:rPr>
      <w:rFonts w:eastAsiaTheme="minorHAnsi" w:cstheme="minorBidi"/>
      <w:snapToGrid/>
      <w:color w:val="4BACC6" w:themeColor="accent5"/>
      <w:szCs w:val="22"/>
    </w:rPr>
  </w:style>
  <w:style w:type="character" w:customStyle="1" w:styleId="Heading4Char">
    <w:name w:val="Heading 4 Char"/>
    <w:aliases w:val="ESHeading 4 Char"/>
    <w:basedOn w:val="DefaultParagraphFont"/>
    <w:link w:val="Heading4"/>
    <w:uiPriority w:val="5"/>
    <w:rsid w:val="00137F8D"/>
    <w:rPr>
      <w:rFonts w:ascii="Arial" w:hAnsi="Arial" w:cs="Arial"/>
      <w:b/>
      <w:bCs/>
      <w:i/>
      <w:snapToGrid w:val="0"/>
      <w:sz w:val="26"/>
      <w:szCs w:val="28"/>
      <w:lang w:eastAsia="en-US"/>
    </w:rPr>
  </w:style>
  <w:style w:type="character" w:customStyle="1" w:styleId="Heading5Char">
    <w:name w:val="Heading 5 Char"/>
    <w:basedOn w:val="DefaultParagraphFont"/>
    <w:link w:val="Heading5"/>
    <w:uiPriority w:val="7"/>
    <w:rsid w:val="00137F8D"/>
    <w:rPr>
      <w:rFonts w:ascii="Arial" w:hAnsi="Arial" w:cs="Arial"/>
      <w:b/>
      <w:bCs/>
      <w:iCs/>
      <w:snapToGrid w:val="0"/>
      <w:sz w:val="26"/>
      <w:szCs w:val="26"/>
      <w:lang w:eastAsia="en-US"/>
    </w:rPr>
  </w:style>
  <w:style w:type="character" w:customStyle="1" w:styleId="Heading6Char">
    <w:name w:val="Heading 6 Char"/>
    <w:basedOn w:val="DefaultParagraphFont"/>
    <w:link w:val="Heading6"/>
    <w:uiPriority w:val="7"/>
    <w:rsid w:val="00137F8D"/>
    <w:rPr>
      <w:rFonts w:ascii="Arial" w:hAnsi="Arial" w:cs="Arial"/>
      <w:b/>
      <w:bCs/>
      <w:i/>
      <w:snapToGrid w:val="0"/>
      <w:sz w:val="22"/>
      <w:szCs w:val="22"/>
      <w:lang w:eastAsia="en-US"/>
    </w:rPr>
  </w:style>
  <w:style w:type="paragraph" w:customStyle="1" w:styleId="V50Heading1nonumbers">
    <w:name w:val="V5.0 Heading 1 no numbers"/>
    <w:basedOn w:val="Heading1"/>
    <w:qFormat/>
    <w:rsid w:val="00137F8D"/>
    <w:pPr>
      <w:keepNext/>
      <w:keepLines/>
      <w:widowControl/>
      <w:spacing w:before="400" w:after="120"/>
    </w:pPr>
    <w:rPr>
      <w:rFonts w:ascii="Arial" w:eastAsiaTheme="majorEastAsia" w:hAnsi="Arial" w:cstheme="majorBidi"/>
      <w:caps w:val="0"/>
      <w:snapToGrid/>
      <w:sz w:val="32"/>
      <w:szCs w:val="28"/>
    </w:rPr>
  </w:style>
  <w:style w:type="paragraph" w:customStyle="1" w:styleId="V50InstructionsBullets">
    <w:name w:val="V5.0 Instructions Bullets"/>
    <w:basedOn w:val="V50Instructions"/>
    <w:qFormat/>
    <w:rsid w:val="00137F8D"/>
    <w:pPr>
      <w:numPr>
        <w:numId w:val="3"/>
      </w:numPr>
      <w:spacing w:before="0" w:after="0"/>
      <w:ind w:left="714" w:hanging="357"/>
    </w:pPr>
  </w:style>
  <w:style w:type="table" w:customStyle="1" w:styleId="TableGridLight1">
    <w:name w:val="Table Grid Light1"/>
    <w:basedOn w:val="TableNormal"/>
    <w:uiPriority w:val="40"/>
    <w:rsid w:val="00137F8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137F8D"/>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1">
    <w:name w:val="Table Text"/>
    <w:basedOn w:val="Normal"/>
    <w:qFormat/>
    <w:rsid w:val="00137F8D"/>
    <w:pPr>
      <w:keepNext/>
      <w:widowControl/>
      <w:spacing w:before="40" w:after="40"/>
    </w:pPr>
    <w:rPr>
      <w:rFonts w:ascii="Arial Narrow" w:eastAsiaTheme="minorHAnsi" w:hAnsi="Arial Narrow" w:cstheme="minorBidi"/>
      <w:snapToGrid/>
      <w:sz w:val="20"/>
      <w:szCs w:val="22"/>
    </w:rPr>
  </w:style>
  <w:style w:type="character" w:styleId="FootnoteReference">
    <w:name w:val="footnote reference"/>
    <w:basedOn w:val="DefaultParagraphFont"/>
    <w:uiPriority w:val="99"/>
    <w:unhideWhenUsed/>
    <w:rsid w:val="00137F8D"/>
    <w:rPr>
      <w:vertAlign w:val="superscript"/>
    </w:rPr>
  </w:style>
  <w:style w:type="paragraph" w:customStyle="1" w:styleId="TableHeading0">
    <w:name w:val="Table Heading"/>
    <w:basedOn w:val="Normal"/>
    <w:qFormat/>
    <w:rsid w:val="00137F8D"/>
    <w:pPr>
      <w:keepNext/>
      <w:widowControl/>
      <w:spacing w:before="240" w:after="60"/>
    </w:pPr>
    <w:rPr>
      <w:rFonts w:ascii="Arial Narrow" w:eastAsiaTheme="minorHAnsi" w:hAnsi="Arial Narrow" w:cstheme="minorBidi"/>
      <w:b/>
      <w:snapToGrid/>
      <w:sz w:val="20"/>
      <w:szCs w:val="22"/>
    </w:rPr>
  </w:style>
  <w:style w:type="character" w:customStyle="1" w:styleId="V50InstructionsChar">
    <w:name w:val="V5.0 Instructions Char"/>
    <w:basedOn w:val="DefaultParagraphFont"/>
    <w:link w:val="V50Instructions"/>
    <w:rsid w:val="00137F8D"/>
    <w:rPr>
      <w:rFonts w:ascii="Arial" w:eastAsiaTheme="minorHAnsi" w:hAnsi="Arial" w:cstheme="minorBidi"/>
      <w:color w:val="4BACC6" w:themeColor="accent5"/>
      <w:sz w:val="22"/>
      <w:szCs w:val="22"/>
      <w:lang w:eastAsia="en-US"/>
    </w:rPr>
  </w:style>
  <w:style w:type="character" w:customStyle="1" w:styleId="TableFooterChar">
    <w:name w:val="Table Footer Char"/>
    <w:link w:val="TableFooter"/>
    <w:rsid w:val="00137F8D"/>
    <w:rPr>
      <w:rFonts w:ascii="Arial Narrow" w:hAnsi="Arial Narrow" w:cs="Arial"/>
      <w:snapToGrid w:val="0"/>
      <w:sz w:val="18"/>
      <w:lang w:eastAsia="en-US"/>
    </w:rPr>
  </w:style>
  <w:style w:type="numbering" w:customStyle="1" w:styleId="Headings">
    <w:name w:val="Headings"/>
    <w:uiPriority w:val="99"/>
    <w:rsid w:val="00137F8D"/>
    <w:pPr>
      <w:numPr>
        <w:numId w:val="4"/>
      </w:numPr>
    </w:pPr>
  </w:style>
  <w:style w:type="character" w:styleId="FollowedHyperlink">
    <w:name w:val="FollowedHyperlink"/>
    <w:basedOn w:val="DefaultParagraphFont"/>
    <w:uiPriority w:val="99"/>
    <w:semiHidden/>
    <w:unhideWhenUsed/>
    <w:rsid w:val="00137F8D"/>
    <w:rPr>
      <w:color w:val="800080" w:themeColor="followedHyperlink"/>
      <w:u w:val="single"/>
    </w:rPr>
  </w:style>
  <w:style w:type="paragraph" w:customStyle="1" w:styleId="ESnumberedpara">
    <w:name w:val="ES numbered para"/>
    <w:basedOn w:val="Normal"/>
    <w:link w:val="ESnumberedparaChar"/>
    <w:qFormat/>
    <w:rsid w:val="00137F8D"/>
    <w:pPr>
      <w:widowControl/>
      <w:spacing w:after="120"/>
      <w:ind w:left="720" w:hanging="720"/>
    </w:pPr>
    <w:rPr>
      <w:rFonts w:eastAsiaTheme="minorHAnsi" w:cstheme="minorBidi"/>
      <w:snapToGrid/>
      <w:szCs w:val="22"/>
    </w:rPr>
  </w:style>
  <w:style w:type="character" w:customStyle="1" w:styleId="ESnumberedparaChar">
    <w:name w:val="ES numbered para Char"/>
    <w:basedOn w:val="DefaultParagraphFont"/>
    <w:link w:val="ESnumberedpara"/>
    <w:rsid w:val="00137F8D"/>
    <w:rPr>
      <w:rFonts w:ascii="Arial" w:eastAsiaTheme="minorHAnsi" w:hAnsi="Arial" w:cstheme="minorBidi"/>
      <w:sz w:val="22"/>
      <w:szCs w:val="22"/>
      <w:lang w:eastAsia="en-US"/>
    </w:rPr>
  </w:style>
  <w:style w:type="paragraph" w:customStyle="1" w:styleId="ESnumberedparablue">
    <w:name w:val="ES numbered para blue"/>
    <w:basedOn w:val="ESnumberedpara"/>
    <w:qFormat/>
    <w:rsid w:val="00137F8D"/>
    <w:pPr>
      <w:ind w:left="0" w:firstLine="0"/>
    </w:pPr>
    <w:rPr>
      <w:color w:val="4BACC6" w:themeColor="accent5"/>
    </w:rPr>
  </w:style>
  <w:style w:type="paragraph" w:customStyle="1" w:styleId="ESnon-numberedpara">
    <w:name w:val="ES non-numbered para"/>
    <w:basedOn w:val="Normal"/>
    <w:qFormat/>
    <w:rsid w:val="00137F8D"/>
    <w:pPr>
      <w:widowControl/>
      <w:spacing w:after="120"/>
      <w:ind w:left="709"/>
    </w:pPr>
    <w:rPr>
      <w:rFonts w:eastAsiaTheme="minorHAnsi" w:cstheme="minorBidi"/>
      <w:snapToGrid/>
      <w:szCs w:val="22"/>
    </w:rPr>
  </w:style>
  <w:style w:type="paragraph" w:customStyle="1" w:styleId="ESnon-numberedparablue">
    <w:name w:val="ES non-numbered para blue"/>
    <w:basedOn w:val="ESnon-numberedpara"/>
    <w:qFormat/>
    <w:rsid w:val="00137F8D"/>
    <w:rPr>
      <w:color w:val="4BACC6" w:themeColor="accent5"/>
    </w:rPr>
  </w:style>
  <w:style w:type="paragraph" w:customStyle="1" w:styleId="ESnon-numberedbullet">
    <w:name w:val="ES non-numbered bullet"/>
    <w:basedOn w:val="ESnon-numberedpara"/>
    <w:qFormat/>
    <w:rsid w:val="00137F8D"/>
    <w:pPr>
      <w:numPr>
        <w:numId w:val="5"/>
      </w:numPr>
      <w:spacing w:after="240"/>
      <w:ind w:left="993" w:hanging="284"/>
      <w:contextualSpacing/>
    </w:pPr>
  </w:style>
  <w:style w:type="paragraph" w:customStyle="1" w:styleId="ESNormalblue">
    <w:name w:val="ESNormalblue"/>
    <w:basedOn w:val="Normal"/>
    <w:link w:val="ESNormalblueChar"/>
    <w:qFormat/>
    <w:rsid w:val="00E94275"/>
    <w:pPr>
      <w:widowControl/>
      <w:spacing w:before="120" w:after="160"/>
    </w:pPr>
    <w:rPr>
      <w:rFonts w:eastAsiaTheme="minorHAnsi" w:cstheme="minorBidi"/>
      <w:snapToGrid/>
      <w:color w:val="0070C0"/>
      <w:szCs w:val="22"/>
    </w:rPr>
  </w:style>
  <w:style w:type="character" w:customStyle="1" w:styleId="ESNormalblueChar">
    <w:name w:val="ESNormalblue Char"/>
    <w:basedOn w:val="DefaultParagraphFont"/>
    <w:link w:val="ESNormalblue"/>
    <w:rsid w:val="00E94275"/>
    <w:rPr>
      <w:rFonts w:ascii="Arial" w:eastAsiaTheme="minorHAnsi" w:hAnsi="Arial" w:cstheme="minorBidi"/>
      <w:color w:val="0070C0"/>
      <w:sz w:val="22"/>
      <w:szCs w:val="22"/>
      <w:lang w:eastAsia="en-US"/>
    </w:rPr>
  </w:style>
  <w:style w:type="paragraph" w:customStyle="1" w:styleId="COMBody">
    <w:name w:val="COMBody"/>
    <w:basedOn w:val="Normal"/>
    <w:link w:val="COMBodyChar"/>
    <w:qFormat/>
    <w:rsid w:val="008D2D1A"/>
  </w:style>
  <w:style w:type="character" w:customStyle="1" w:styleId="COMBodyChar">
    <w:name w:val="COMBody Char"/>
    <w:basedOn w:val="DefaultParagraphFont"/>
    <w:link w:val="COMBody"/>
    <w:rsid w:val="008D2D1A"/>
    <w:rPr>
      <w:rFonts w:ascii="Arial" w:hAnsi="Arial" w:cs="Arial"/>
      <w:snapToGrid w:val="0"/>
      <w:sz w:val="22"/>
      <w:lang w:eastAsia="en-US"/>
    </w:rPr>
  </w:style>
  <w:style w:type="paragraph" w:customStyle="1" w:styleId="COMTbl-foot">
    <w:name w:val="COMTbl-foot"/>
    <w:basedOn w:val="TableFooter"/>
    <w:link w:val="COMTbl-footChar"/>
    <w:qFormat/>
    <w:rsid w:val="00837236"/>
  </w:style>
  <w:style w:type="character" w:customStyle="1" w:styleId="COMTbl-footChar">
    <w:name w:val="COMTbl-foot Char"/>
    <w:basedOn w:val="TableFooterChar"/>
    <w:link w:val="COMTbl-foot"/>
    <w:rsid w:val="00837236"/>
    <w:rPr>
      <w:rFonts w:ascii="Arial Narrow" w:hAnsi="Arial Narrow" w:cs="Arial"/>
      <w:snapToGrid w:val="0"/>
      <w:sz w:val="18"/>
      <w:lang w:eastAsia="en-US"/>
    </w:rPr>
  </w:style>
  <w:style w:type="paragraph" w:customStyle="1" w:styleId="COMH2">
    <w:name w:val="COMH2"/>
    <w:basedOn w:val="Heading2"/>
    <w:link w:val="COMH2Char"/>
    <w:qFormat/>
    <w:rsid w:val="00837236"/>
    <w:pPr>
      <w:keepNext/>
      <w:spacing w:after="220"/>
    </w:pPr>
  </w:style>
  <w:style w:type="character" w:customStyle="1" w:styleId="COMH2Char">
    <w:name w:val="COMH2 Char"/>
    <w:basedOn w:val="Heading2Char"/>
    <w:link w:val="COMH2"/>
    <w:rsid w:val="00837236"/>
    <w:rPr>
      <w:rFonts w:ascii="Arial" w:hAnsi="Arial" w:cs="Arial"/>
      <w:b/>
      <w:snapToGrid w:val="0"/>
      <w:sz w:val="22"/>
      <w:lang w:eastAsia="en-US"/>
    </w:rPr>
  </w:style>
  <w:style w:type="paragraph" w:customStyle="1" w:styleId="COMtbl-HEADLeftAligned">
    <w:name w:val="COMtbl-HEAD Left Aligned"/>
    <w:basedOn w:val="Normal"/>
    <w:qFormat/>
    <w:rsid w:val="001E521A"/>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1E521A"/>
    <w:pPr>
      <w:jc w:val="center"/>
    </w:pPr>
  </w:style>
  <w:style w:type="paragraph" w:customStyle="1" w:styleId="COMtbl-textLeftAligned">
    <w:name w:val="COMtbl-text Left Aligned"/>
    <w:basedOn w:val="COMtbl-HEADLeftAligned"/>
    <w:qFormat/>
    <w:rsid w:val="001E521A"/>
    <w:rPr>
      <w:b w:val="0"/>
    </w:rPr>
  </w:style>
  <w:style w:type="paragraph" w:customStyle="1" w:styleId="COMtbl-textCentred">
    <w:name w:val="COMtbl-text Centred"/>
    <w:basedOn w:val="COMtbl-HEADCentred"/>
    <w:qFormat/>
    <w:rsid w:val="001E521A"/>
    <w:rPr>
      <w:b w:val="0"/>
    </w:rPr>
  </w:style>
  <w:style w:type="character" w:customStyle="1" w:styleId="glossary-term">
    <w:name w:val="glossary-term"/>
    <w:basedOn w:val="DefaultParagraphFont"/>
    <w:rsid w:val="003C716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03148"/>
    <w:pPr>
      <w:widowControl/>
      <w:spacing w:after="160" w:line="240" w:lineRule="exact"/>
      <w:jc w:val="left"/>
    </w:pPr>
    <w:rPr>
      <w:rFonts w:ascii="Verdana" w:eastAsia="MS Mincho" w:hAnsi="Verdana" w:cs="Verdana"/>
      <w:snapToGrid/>
      <w:sz w:val="20"/>
      <w:lang w:val="en-US"/>
    </w:rPr>
  </w:style>
  <w:style w:type="paragraph" w:customStyle="1" w:styleId="V50Tablename">
    <w:name w:val="V5.0 Table name"/>
    <w:basedOn w:val="Normal"/>
    <w:link w:val="V50TablenameChar"/>
    <w:qFormat/>
    <w:rsid w:val="00DF04A2"/>
    <w:pPr>
      <w:keepNext/>
      <w:widowControl/>
      <w:jc w:val="left"/>
    </w:pPr>
    <w:rPr>
      <w:rFonts w:asciiTheme="minorHAnsi" w:eastAsiaTheme="minorHAnsi" w:hAnsiTheme="minorHAnsi" w:cstheme="minorBidi"/>
      <w:b/>
      <w:snapToGrid/>
      <w:sz w:val="20"/>
      <w:szCs w:val="24"/>
      <w:lang w:val="en-US"/>
    </w:rPr>
  </w:style>
  <w:style w:type="character" w:customStyle="1" w:styleId="V50TablenameChar">
    <w:name w:val="V5.0 Table name Char"/>
    <w:basedOn w:val="DefaultParagraphFont"/>
    <w:link w:val="V50Tablename"/>
    <w:rsid w:val="00DF04A2"/>
    <w:rPr>
      <w:rFonts w:asciiTheme="minorHAnsi" w:eastAsiaTheme="minorHAnsi" w:hAnsiTheme="minorHAnsi" w:cstheme="minorBidi"/>
      <w:b/>
      <w:szCs w:val="24"/>
      <w:lang w:val="en-US" w:eastAsia="en-US"/>
    </w:rPr>
  </w:style>
  <w:style w:type="character" w:customStyle="1" w:styleId="ListParagraphChar">
    <w:name w:val="List Paragraph Char"/>
    <w:aliases w:val="BulletPoints Char"/>
    <w:link w:val="ListParagraph"/>
    <w:uiPriority w:val="72"/>
    <w:rsid w:val="00EB3F99"/>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9" w:unhideWhenUsed="0" w:qFormat="1"/>
    <w:lsdException w:name="heading 3" w:semiHidden="0" w:uiPriority="1" w:unhideWhenUsed="0" w:qFormat="1"/>
    <w:lsdException w:name="heading 4" w:semiHidden="0" w:unhideWhenUsed="0" w:qFormat="1"/>
    <w:lsdException w:name="heading 5" w:semiHidden="0" w:uiPriority="7" w:unhideWhenUsed="0" w:qFormat="1"/>
    <w:lsdException w:name="heading 6" w:semiHidden="0" w:uiPriority="7" w:unhideWhenUsed="0"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aliases w:val="ESHeading 1"/>
    <w:basedOn w:val="Normal"/>
    <w:next w:val="Normal"/>
    <w:link w:val="Heading1Char"/>
    <w:uiPriority w:val="1"/>
    <w:qFormat/>
    <w:rsid w:val="00D76A44"/>
    <w:pPr>
      <w:outlineLvl w:val="0"/>
    </w:pPr>
    <w:rPr>
      <w:rFonts w:ascii="Arial Bold" w:hAnsi="Arial Bold"/>
      <w:b/>
      <w:caps/>
    </w:rPr>
  </w:style>
  <w:style w:type="paragraph" w:styleId="Heading2">
    <w:name w:val="heading 2"/>
    <w:aliases w:val="ESHeading 2"/>
    <w:basedOn w:val="Normal"/>
    <w:next w:val="Normal"/>
    <w:link w:val="Heading2Char"/>
    <w:uiPriority w:val="9"/>
    <w:qFormat/>
    <w:rsid w:val="004B3DDB"/>
    <w:pPr>
      <w:outlineLvl w:val="1"/>
    </w:pPr>
    <w:rPr>
      <w:b/>
    </w:rPr>
  </w:style>
  <w:style w:type="paragraph" w:styleId="Heading3">
    <w:name w:val="heading 3"/>
    <w:aliases w:val="ESHeading 3"/>
    <w:basedOn w:val="Normal"/>
    <w:next w:val="Normal"/>
    <w:link w:val="Heading3Char"/>
    <w:uiPriority w:val="1"/>
    <w:qFormat/>
    <w:rsid w:val="001F7361"/>
    <w:pPr>
      <w:outlineLvl w:val="2"/>
    </w:pPr>
    <w:rPr>
      <w:u w:val="single"/>
    </w:rPr>
  </w:style>
  <w:style w:type="paragraph" w:styleId="Heading4">
    <w:name w:val="heading 4"/>
    <w:aliases w:val="ES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7"/>
    <w:qFormat/>
    <w:rsid w:val="00124A51"/>
    <w:pPr>
      <w:spacing w:before="240" w:after="60"/>
      <w:outlineLvl w:val="4"/>
    </w:pPr>
    <w:rPr>
      <w:b/>
      <w:bCs/>
      <w:iCs/>
      <w:sz w:val="26"/>
      <w:szCs w:val="26"/>
    </w:rPr>
  </w:style>
  <w:style w:type="paragraph" w:styleId="Heading6">
    <w:name w:val="heading 6"/>
    <w:basedOn w:val="Normal"/>
    <w:next w:val="Normal"/>
    <w:link w:val="Heading6Char"/>
    <w:uiPriority w:val="7"/>
    <w:qFormat/>
    <w:rsid w:val="00124A51"/>
    <w:pPr>
      <w:spacing w:before="240" w:after="60"/>
      <w:outlineLvl w:val="5"/>
    </w:pPr>
    <w:rPr>
      <w:b/>
      <w:bCs/>
      <w:i/>
      <w:szCs w:val="22"/>
    </w:rPr>
  </w:style>
  <w:style w:type="paragraph" w:styleId="Heading7">
    <w:name w:val="heading 7"/>
    <w:basedOn w:val="Normal"/>
    <w:next w:val="Normal"/>
    <w:link w:val="Heading7Char"/>
    <w:uiPriority w:val="7"/>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7"/>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ES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7"/>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rPr>
      <w:rFonts w:ascii="Arial" w:hAnsi="Arial" w:cs="Arial"/>
      <w:b/>
      <w:snapToGrid w:val="0"/>
      <w:sz w:val="22"/>
      <w:szCs w:val="22"/>
      <w:lang w:eastAsia="en-US"/>
    </w:rPr>
  </w:style>
  <w:style w:type="character" w:customStyle="1" w:styleId="Heading1Char">
    <w:name w:val="Heading 1 Char"/>
    <w:aliases w:val="ESHeading 1 Char"/>
    <w:basedOn w:val="DefaultParagraphFont"/>
    <w:link w:val="Heading1"/>
    <w:uiPriority w:val="1"/>
    <w:rsid w:val="00137F8D"/>
    <w:rPr>
      <w:rFonts w:ascii="Arial Bold" w:hAnsi="Arial Bold" w:cs="Arial"/>
      <w:b/>
      <w:caps/>
      <w:snapToGrid w:val="0"/>
      <w:sz w:val="22"/>
      <w:lang w:eastAsia="en-US"/>
    </w:rPr>
  </w:style>
  <w:style w:type="character" w:customStyle="1" w:styleId="Heading3Char">
    <w:name w:val="Heading 3 Char"/>
    <w:aliases w:val="ESHeading 3 Char"/>
    <w:basedOn w:val="DefaultParagraphFont"/>
    <w:link w:val="Heading3"/>
    <w:uiPriority w:val="9"/>
    <w:rsid w:val="00137F8D"/>
    <w:rPr>
      <w:rFonts w:ascii="Arial" w:hAnsi="Arial" w:cs="Arial"/>
      <w:snapToGrid w:val="0"/>
      <w:sz w:val="22"/>
      <w:u w:val="single"/>
      <w:lang w:eastAsia="en-US"/>
    </w:rPr>
  </w:style>
  <w:style w:type="paragraph" w:customStyle="1" w:styleId="V50Heading2nonumbers">
    <w:name w:val="V5.0 Heading 2 no numbers"/>
    <w:basedOn w:val="Heading2"/>
    <w:qFormat/>
    <w:rsid w:val="00137F8D"/>
    <w:pPr>
      <w:keepNext/>
      <w:keepLines/>
      <w:widowControl/>
      <w:spacing w:before="240" w:after="120"/>
      <w:ind w:left="578" w:hanging="578"/>
    </w:pPr>
    <w:rPr>
      <w:rFonts w:eastAsiaTheme="majorEastAsia" w:cstheme="majorBidi"/>
      <w:i/>
      <w:snapToGrid/>
      <w:sz w:val="28"/>
      <w:szCs w:val="28"/>
    </w:rPr>
  </w:style>
  <w:style w:type="paragraph" w:customStyle="1" w:styleId="V50Instructions">
    <w:name w:val="V5.0 Instructions"/>
    <w:basedOn w:val="Normal"/>
    <w:link w:val="V50InstructionsChar"/>
    <w:qFormat/>
    <w:rsid w:val="00137F8D"/>
    <w:pPr>
      <w:widowControl/>
      <w:spacing w:before="120" w:after="160"/>
    </w:pPr>
    <w:rPr>
      <w:rFonts w:eastAsiaTheme="minorHAnsi" w:cstheme="minorBidi"/>
      <w:snapToGrid/>
      <w:color w:val="4BACC6" w:themeColor="accent5"/>
      <w:szCs w:val="22"/>
    </w:rPr>
  </w:style>
  <w:style w:type="character" w:customStyle="1" w:styleId="Heading4Char">
    <w:name w:val="Heading 4 Char"/>
    <w:aliases w:val="ESHeading 4 Char"/>
    <w:basedOn w:val="DefaultParagraphFont"/>
    <w:link w:val="Heading4"/>
    <w:uiPriority w:val="5"/>
    <w:rsid w:val="00137F8D"/>
    <w:rPr>
      <w:rFonts w:ascii="Arial" w:hAnsi="Arial" w:cs="Arial"/>
      <w:b/>
      <w:bCs/>
      <w:i/>
      <w:snapToGrid w:val="0"/>
      <w:sz w:val="26"/>
      <w:szCs w:val="28"/>
      <w:lang w:eastAsia="en-US"/>
    </w:rPr>
  </w:style>
  <w:style w:type="character" w:customStyle="1" w:styleId="Heading5Char">
    <w:name w:val="Heading 5 Char"/>
    <w:basedOn w:val="DefaultParagraphFont"/>
    <w:link w:val="Heading5"/>
    <w:uiPriority w:val="7"/>
    <w:rsid w:val="00137F8D"/>
    <w:rPr>
      <w:rFonts w:ascii="Arial" w:hAnsi="Arial" w:cs="Arial"/>
      <w:b/>
      <w:bCs/>
      <w:iCs/>
      <w:snapToGrid w:val="0"/>
      <w:sz w:val="26"/>
      <w:szCs w:val="26"/>
      <w:lang w:eastAsia="en-US"/>
    </w:rPr>
  </w:style>
  <w:style w:type="character" w:customStyle="1" w:styleId="Heading6Char">
    <w:name w:val="Heading 6 Char"/>
    <w:basedOn w:val="DefaultParagraphFont"/>
    <w:link w:val="Heading6"/>
    <w:uiPriority w:val="7"/>
    <w:rsid w:val="00137F8D"/>
    <w:rPr>
      <w:rFonts w:ascii="Arial" w:hAnsi="Arial" w:cs="Arial"/>
      <w:b/>
      <w:bCs/>
      <w:i/>
      <w:snapToGrid w:val="0"/>
      <w:sz w:val="22"/>
      <w:szCs w:val="22"/>
      <w:lang w:eastAsia="en-US"/>
    </w:rPr>
  </w:style>
  <w:style w:type="paragraph" w:customStyle="1" w:styleId="V50Heading1nonumbers">
    <w:name w:val="V5.0 Heading 1 no numbers"/>
    <w:basedOn w:val="Heading1"/>
    <w:qFormat/>
    <w:rsid w:val="00137F8D"/>
    <w:pPr>
      <w:keepNext/>
      <w:keepLines/>
      <w:widowControl/>
      <w:spacing w:before="400" w:after="120"/>
    </w:pPr>
    <w:rPr>
      <w:rFonts w:ascii="Arial" w:eastAsiaTheme="majorEastAsia" w:hAnsi="Arial" w:cstheme="majorBidi"/>
      <w:caps w:val="0"/>
      <w:snapToGrid/>
      <w:sz w:val="32"/>
      <w:szCs w:val="28"/>
    </w:rPr>
  </w:style>
  <w:style w:type="paragraph" w:customStyle="1" w:styleId="V50InstructionsBullets">
    <w:name w:val="V5.0 Instructions Bullets"/>
    <w:basedOn w:val="V50Instructions"/>
    <w:qFormat/>
    <w:rsid w:val="00137F8D"/>
    <w:pPr>
      <w:numPr>
        <w:numId w:val="3"/>
      </w:numPr>
      <w:spacing w:before="0" w:after="0"/>
      <w:ind w:left="714" w:hanging="357"/>
    </w:pPr>
  </w:style>
  <w:style w:type="table" w:customStyle="1" w:styleId="TableGridLight1">
    <w:name w:val="Table Grid Light1"/>
    <w:basedOn w:val="TableNormal"/>
    <w:uiPriority w:val="40"/>
    <w:rsid w:val="00137F8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137F8D"/>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1">
    <w:name w:val="Table Text"/>
    <w:basedOn w:val="Normal"/>
    <w:qFormat/>
    <w:rsid w:val="00137F8D"/>
    <w:pPr>
      <w:keepNext/>
      <w:widowControl/>
      <w:spacing w:before="40" w:after="40"/>
    </w:pPr>
    <w:rPr>
      <w:rFonts w:ascii="Arial Narrow" w:eastAsiaTheme="minorHAnsi" w:hAnsi="Arial Narrow" w:cstheme="minorBidi"/>
      <w:snapToGrid/>
      <w:sz w:val="20"/>
      <w:szCs w:val="22"/>
    </w:rPr>
  </w:style>
  <w:style w:type="character" w:styleId="FootnoteReference">
    <w:name w:val="footnote reference"/>
    <w:basedOn w:val="DefaultParagraphFont"/>
    <w:uiPriority w:val="99"/>
    <w:unhideWhenUsed/>
    <w:rsid w:val="00137F8D"/>
    <w:rPr>
      <w:vertAlign w:val="superscript"/>
    </w:rPr>
  </w:style>
  <w:style w:type="paragraph" w:customStyle="1" w:styleId="TableHeading0">
    <w:name w:val="Table Heading"/>
    <w:basedOn w:val="Normal"/>
    <w:qFormat/>
    <w:rsid w:val="00137F8D"/>
    <w:pPr>
      <w:keepNext/>
      <w:widowControl/>
      <w:spacing w:before="240" w:after="60"/>
    </w:pPr>
    <w:rPr>
      <w:rFonts w:ascii="Arial Narrow" w:eastAsiaTheme="minorHAnsi" w:hAnsi="Arial Narrow" w:cstheme="minorBidi"/>
      <w:b/>
      <w:snapToGrid/>
      <w:sz w:val="20"/>
      <w:szCs w:val="22"/>
    </w:rPr>
  </w:style>
  <w:style w:type="character" w:customStyle="1" w:styleId="V50InstructionsChar">
    <w:name w:val="V5.0 Instructions Char"/>
    <w:basedOn w:val="DefaultParagraphFont"/>
    <w:link w:val="V50Instructions"/>
    <w:rsid w:val="00137F8D"/>
    <w:rPr>
      <w:rFonts w:ascii="Arial" w:eastAsiaTheme="minorHAnsi" w:hAnsi="Arial" w:cstheme="minorBidi"/>
      <w:color w:val="4BACC6" w:themeColor="accent5"/>
      <w:sz w:val="22"/>
      <w:szCs w:val="22"/>
      <w:lang w:eastAsia="en-US"/>
    </w:rPr>
  </w:style>
  <w:style w:type="character" w:customStyle="1" w:styleId="TableFooterChar">
    <w:name w:val="Table Footer Char"/>
    <w:link w:val="TableFooter"/>
    <w:rsid w:val="00137F8D"/>
    <w:rPr>
      <w:rFonts w:ascii="Arial Narrow" w:hAnsi="Arial Narrow" w:cs="Arial"/>
      <w:snapToGrid w:val="0"/>
      <w:sz w:val="18"/>
      <w:lang w:eastAsia="en-US"/>
    </w:rPr>
  </w:style>
  <w:style w:type="numbering" w:customStyle="1" w:styleId="Headings">
    <w:name w:val="Headings"/>
    <w:uiPriority w:val="99"/>
    <w:rsid w:val="00137F8D"/>
    <w:pPr>
      <w:numPr>
        <w:numId w:val="4"/>
      </w:numPr>
    </w:pPr>
  </w:style>
  <w:style w:type="character" w:styleId="FollowedHyperlink">
    <w:name w:val="FollowedHyperlink"/>
    <w:basedOn w:val="DefaultParagraphFont"/>
    <w:uiPriority w:val="99"/>
    <w:semiHidden/>
    <w:unhideWhenUsed/>
    <w:rsid w:val="00137F8D"/>
    <w:rPr>
      <w:color w:val="800080" w:themeColor="followedHyperlink"/>
      <w:u w:val="single"/>
    </w:rPr>
  </w:style>
  <w:style w:type="paragraph" w:customStyle="1" w:styleId="ESnumberedpara">
    <w:name w:val="ES numbered para"/>
    <w:basedOn w:val="Normal"/>
    <w:link w:val="ESnumberedparaChar"/>
    <w:qFormat/>
    <w:rsid w:val="00137F8D"/>
    <w:pPr>
      <w:widowControl/>
      <w:spacing w:after="120"/>
      <w:ind w:left="720" w:hanging="720"/>
    </w:pPr>
    <w:rPr>
      <w:rFonts w:eastAsiaTheme="minorHAnsi" w:cstheme="minorBidi"/>
      <w:snapToGrid/>
      <w:szCs w:val="22"/>
    </w:rPr>
  </w:style>
  <w:style w:type="character" w:customStyle="1" w:styleId="ESnumberedparaChar">
    <w:name w:val="ES numbered para Char"/>
    <w:basedOn w:val="DefaultParagraphFont"/>
    <w:link w:val="ESnumberedpara"/>
    <w:rsid w:val="00137F8D"/>
    <w:rPr>
      <w:rFonts w:ascii="Arial" w:eastAsiaTheme="minorHAnsi" w:hAnsi="Arial" w:cstheme="minorBidi"/>
      <w:sz w:val="22"/>
      <w:szCs w:val="22"/>
      <w:lang w:eastAsia="en-US"/>
    </w:rPr>
  </w:style>
  <w:style w:type="paragraph" w:customStyle="1" w:styleId="ESnumberedparablue">
    <w:name w:val="ES numbered para blue"/>
    <w:basedOn w:val="ESnumberedpara"/>
    <w:qFormat/>
    <w:rsid w:val="00137F8D"/>
    <w:pPr>
      <w:ind w:left="0" w:firstLine="0"/>
    </w:pPr>
    <w:rPr>
      <w:color w:val="4BACC6" w:themeColor="accent5"/>
    </w:rPr>
  </w:style>
  <w:style w:type="paragraph" w:customStyle="1" w:styleId="ESnon-numberedpara">
    <w:name w:val="ES non-numbered para"/>
    <w:basedOn w:val="Normal"/>
    <w:qFormat/>
    <w:rsid w:val="00137F8D"/>
    <w:pPr>
      <w:widowControl/>
      <w:spacing w:after="120"/>
      <w:ind w:left="709"/>
    </w:pPr>
    <w:rPr>
      <w:rFonts w:eastAsiaTheme="minorHAnsi" w:cstheme="minorBidi"/>
      <w:snapToGrid/>
      <w:szCs w:val="22"/>
    </w:rPr>
  </w:style>
  <w:style w:type="paragraph" w:customStyle="1" w:styleId="ESnon-numberedparablue">
    <w:name w:val="ES non-numbered para blue"/>
    <w:basedOn w:val="ESnon-numberedpara"/>
    <w:qFormat/>
    <w:rsid w:val="00137F8D"/>
    <w:rPr>
      <w:color w:val="4BACC6" w:themeColor="accent5"/>
    </w:rPr>
  </w:style>
  <w:style w:type="paragraph" w:customStyle="1" w:styleId="ESnon-numberedbullet">
    <w:name w:val="ES non-numbered bullet"/>
    <w:basedOn w:val="ESnon-numberedpara"/>
    <w:qFormat/>
    <w:rsid w:val="00137F8D"/>
    <w:pPr>
      <w:numPr>
        <w:numId w:val="5"/>
      </w:numPr>
      <w:spacing w:after="240"/>
      <w:ind w:left="993" w:hanging="284"/>
      <w:contextualSpacing/>
    </w:pPr>
  </w:style>
  <w:style w:type="paragraph" w:customStyle="1" w:styleId="ESNormalblue">
    <w:name w:val="ESNormalblue"/>
    <w:basedOn w:val="Normal"/>
    <w:link w:val="ESNormalblueChar"/>
    <w:qFormat/>
    <w:rsid w:val="00E94275"/>
    <w:pPr>
      <w:widowControl/>
      <w:spacing w:before="120" w:after="160"/>
    </w:pPr>
    <w:rPr>
      <w:rFonts w:eastAsiaTheme="minorHAnsi" w:cstheme="minorBidi"/>
      <w:snapToGrid/>
      <w:color w:val="0070C0"/>
      <w:szCs w:val="22"/>
    </w:rPr>
  </w:style>
  <w:style w:type="character" w:customStyle="1" w:styleId="ESNormalblueChar">
    <w:name w:val="ESNormalblue Char"/>
    <w:basedOn w:val="DefaultParagraphFont"/>
    <w:link w:val="ESNormalblue"/>
    <w:rsid w:val="00E94275"/>
    <w:rPr>
      <w:rFonts w:ascii="Arial" w:eastAsiaTheme="minorHAnsi" w:hAnsi="Arial" w:cstheme="minorBidi"/>
      <w:color w:val="0070C0"/>
      <w:sz w:val="22"/>
      <w:szCs w:val="22"/>
      <w:lang w:eastAsia="en-US"/>
    </w:rPr>
  </w:style>
  <w:style w:type="paragraph" w:customStyle="1" w:styleId="COMBody">
    <w:name w:val="COMBody"/>
    <w:basedOn w:val="Normal"/>
    <w:link w:val="COMBodyChar"/>
    <w:qFormat/>
    <w:rsid w:val="008D2D1A"/>
  </w:style>
  <w:style w:type="character" w:customStyle="1" w:styleId="COMBodyChar">
    <w:name w:val="COMBody Char"/>
    <w:basedOn w:val="DefaultParagraphFont"/>
    <w:link w:val="COMBody"/>
    <w:rsid w:val="008D2D1A"/>
    <w:rPr>
      <w:rFonts w:ascii="Arial" w:hAnsi="Arial" w:cs="Arial"/>
      <w:snapToGrid w:val="0"/>
      <w:sz w:val="22"/>
      <w:lang w:eastAsia="en-US"/>
    </w:rPr>
  </w:style>
  <w:style w:type="paragraph" w:customStyle="1" w:styleId="COMTbl-foot">
    <w:name w:val="COMTbl-foot"/>
    <w:basedOn w:val="TableFooter"/>
    <w:link w:val="COMTbl-footChar"/>
    <w:qFormat/>
    <w:rsid w:val="00837236"/>
  </w:style>
  <w:style w:type="character" w:customStyle="1" w:styleId="COMTbl-footChar">
    <w:name w:val="COMTbl-foot Char"/>
    <w:basedOn w:val="TableFooterChar"/>
    <w:link w:val="COMTbl-foot"/>
    <w:rsid w:val="00837236"/>
    <w:rPr>
      <w:rFonts w:ascii="Arial Narrow" w:hAnsi="Arial Narrow" w:cs="Arial"/>
      <w:snapToGrid w:val="0"/>
      <w:sz w:val="18"/>
      <w:lang w:eastAsia="en-US"/>
    </w:rPr>
  </w:style>
  <w:style w:type="paragraph" w:customStyle="1" w:styleId="COMH2">
    <w:name w:val="COMH2"/>
    <w:basedOn w:val="Heading2"/>
    <w:link w:val="COMH2Char"/>
    <w:qFormat/>
    <w:rsid w:val="00837236"/>
    <w:pPr>
      <w:keepNext/>
      <w:spacing w:after="220"/>
    </w:pPr>
  </w:style>
  <w:style w:type="character" w:customStyle="1" w:styleId="COMH2Char">
    <w:name w:val="COMH2 Char"/>
    <w:basedOn w:val="Heading2Char"/>
    <w:link w:val="COMH2"/>
    <w:rsid w:val="00837236"/>
    <w:rPr>
      <w:rFonts w:ascii="Arial" w:hAnsi="Arial" w:cs="Arial"/>
      <w:b/>
      <w:snapToGrid w:val="0"/>
      <w:sz w:val="22"/>
      <w:lang w:eastAsia="en-US"/>
    </w:rPr>
  </w:style>
  <w:style w:type="paragraph" w:customStyle="1" w:styleId="COMtbl-HEADLeftAligned">
    <w:name w:val="COMtbl-HEAD Left Aligned"/>
    <w:basedOn w:val="Normal"/>
    <w:qFormat/>
    <w:rsid w:val="001E521A"/>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1E521A"/>
    <w:pPr>
      <w:jc w:val="center"/>
    </w:pPr>
  </w:style>
  <w:style w:type="paragraph" w:customStyle="1" w:styleId="COMtbl-textLeftAligned">
    <w:name w:val="COMtbl-text Left Aligned"/>
    <w:basedOn w:val="COMtbl-HEADLeftAligned"/>
    <w:qFormat/>
    <w:rsid w:val="001E521A"/>
    <w:rPr>
      <w:b w:val="0"/>
    </w:rPr>
  </w:style>
  <w:style w:type="paragraph" w:customStyle="1" w:styleId="COMtbl-textCentred">
    <w:name w:val="COMtbl-text Centred"/>
    <w:basedOn w:val="COMtbl-HEADCentred"/>
    <w:qFormat/>
    <w:rsid w:val="001E521A"/>
    <w:rPr>
      <w:b w:val="0"/>
    </w:rPr>
  </w:style>
  <w:style w:type="character" w:customStyle="1" w:styleId="glossary-term">
    <w:name w:val="glossary-term"/>
    <w:basedOn w:val="DefaultParagraphFont"/>
    <w:rsid w:val="003C716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03148"/>
    <w:pPr>
      <w:widowControl/>
      <w:spacing w:after="160" w:line="240" w:lineRule="exact"/>
      <w:jc w:val="left"/>
    </w:pPr>
    <w:rPr>
      <w:rFonts w:ascii="Verdana" w:eastAsia="MS Mincho" w:hAnsi="Verdana" w:cs="Verdana"/>
      <w:snapToGrid/>
      <w:sz w:val="20"/>
      <w:lang w:val="en-US"/>
    </w:rPr>
  </w:style>
  <w:style w:type="paragraph" w:customStyle="1" w:styleId="V50Tablename">
    <w:name w:val="V5.0 Table name"/>
    <w:basedOn w:val="Normal"/>
    <w:link w:val="V50TablenameChar"/>
    <w:qFormat/>
    <w:rsid w:val="00DF04A2"/>
    <w:pPr>
      <w:keepNext/>
      <w:widowControl/>
      <w:jc w:val="left"/>
    </w:pPr>
    <w:rPr>
      <w:rFonts w:asciiTheme="minorHAnsi" w:eastAsiaTheme="minorHAnsi" w:hAnsiTheme="minorHAnsi" w:cstheme="minorBidi"/>
      <w:b/>
      <w:snapToGrid/>
      <w:sz w:val="20"/>
      <w:szCs w:val="24"/>
      <w:lang w:val="en-US"/>
    </w:rPr>
  </w:style>
  <w:style w:type="character" w:customStyle="1" w:styleId="V50TablenameChar">
    <w:name w:val="V5.0 Table name Char"/>
    <w:basedOn w:val="DefaultParagraphFont"/>
    <w:link w:val="V50Tablename"/>
    <w:rsid w:val="00DF04A2"/>
    <w:rPr>
      <w:rFonts w:asciiTheme="minorHAnsi" w:eastAsiaTheme="minorHAnsi" w:hAnsiTheme="minorHAnsi" w:cstheme="minorBidi"/>
      <w:b/>
      <w:szCs w:val="24"/>
      <w:lang w:val="en-US" w:eastAsia="en-US"/>
    </w:rPr>
  </w:style>
  <w:style w:type="character" w:customStyle="1" w:styleId="ListParagraphChar">
    <w:name w:val="List Paragraph Char"/>
    <w:aliases w:val="BulletPoints Char"/>
    <w:link w:val="ListParagraph"/>
    <w:uiPriority w:val="72"/>
    <w:rsid w:val="00EB3F99"/>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67651">
      <w:bodyDiv w:val="1"/>
      <w:marLeft w:val="0"/>
      <w:marRight w:val="0"/>
      <w:marTop w:val="0"/>
      <w:marBottom w:val="0"/>
      <w:divBdr>
        <w:top w:val="none" w:sz="0" w:space="0" w:color="auto"/>
        <w:left w:val="none" w:sz="0" w:space="0" w:color="auto"/>
        <w:bottom w:val="none" w:sz="0" w:space="0" w:color="auto"/>
        <w:right w:val="none" w:sz="0" w:space="0" w:color="auto"/>
      </w:divBdr>
    </w:div>
    <w:div w:id="1281645307">
      <w:bodyDiv w:val="1"/>
      <w:marLeft w:val="0"/>
      <w:marRight w:val="0"/>
      <w:marTop w:val="0"/>
      <w:marBottom w:val="0"/>
      <w:divBdr>
        <w:top w:val="none" w:sz="0" w:space="0" w:color="auto"/>
        <w:left w:val="none" w:sz="0" w:space="0" w:color="auto"/>
        <w:bottom w:val="none" w:sz="0" w:space="0" w:color="auto"/>
        <w:right w:val="none" w:sz="0" w:space="0" w:color="auto"/>
      </w:divBdr>
    </w:div>
    <w:div w:id="1709531414">
      <w:bodyDiv w:val="1"/>
      <w:marLeft w:val="0"/>
      <w:marRight w:val="0"/>
      <w:marTop w:val="0"/>
      <w:marBottom w:val="0"/>
      <w:divBdr>
        <w:top w:val="none" w:sz="0" w:space="0" w:color="auto"/>
        <w:left w:val="none" w:sz="0" w:space="0" w:color="auto"/>
        <w:bottom w:val="none" w:sz="0" w:space="0" w:color="auto"/>
        <w:right w:val="none" w:sz="0" w:space="0" w:color="auto"/>
      </w:divBdr>
    </w:div>
    <w:div w:id="1888908522">
      <w:bodyDiv w:val="1"/>
      <w:marLeft w:val="0"/>
      <w:marRight w:val="0"/>
      <w:marTop w:val="0"/>
      <w:marBottom w:val="0"/>
      <w:divBdr>
        <w:top w:val="none" w:sz="0" w:space="0" w:color="auto"/>
        <w:left w:val="none" w:sz="0" w:space="0" w:color="auto"/>
        <w:bottom w:val="none" w:sz="0" w:space="0" w:color="auto"/>
        <w:right w:val="none" w:sz="0" w:space="0" w:color="auto"/>
      </w:divBdr>
    </w:div>
    <w:div w:id="1953200525">
      <w:bodyDiv w:val="1"/>
      <w:marLeft w:val="0"/>
      <w:marRight w:val="0"/>
      <w:marTop w:val="0"/>
      <w:marBottom w:val="0"/>
      <w:divBdr>
        <w:top w:val="none" w:sz="0" w:space="0" w:color="auto"/>
        <w:left w:val="none" w:sz="0" w:space="0" w:color="auto"/>
        <w:bottom w:val="none" w:sz="0" w:space="0" w:color="auto"/>
        <w:right w:val="none" w:sz="0" w:space="0" w:color="auto"/>
      </w:divBdr>
    </w:div>
    <w:div w:id="210580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BD98B-A637-4C42-B70A-A54B8F92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4803</Words>
  <Characters>28645</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2017-10-10T23:20:00Z</dcterms:created>
  <dcterms:modified xsi:type="dcterms:W3CDTF">2017-10-10T23:21:00Z</dcterms:modified>
</cp:coreProperties>
</file>