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9A571A" w:rsidRDefault="00FA10D8" w:rsidP="00795ADF">
      <w:pPr>
        <w:pStyle w:val="Title"/>
        <w:ind w:left="720" w:hanging="720"/>
        <w:rPr>
          <w:rFonts w:asciiTheme="minorHAnsi" w:hAnsiTheme="minorHAnsi"/>
          <w:sz w:val="36"/>
          <w:szCs w:val="36"/>
        </w:rPr>
      </w:pPr>
      <w:bookmarkStart w:id="0" w:name="_GoBack"/>
      <w:bookmarkEnd w:id="0"/>
      <w:r w:rsidRPr="009A571A">
        <w:rPr>
          <w:rFonts w:asciiTheme="minorHAnsi" w:hAnsiTheme="minorHAnsi"/>
          <w:sz w:val="36"/>
          <w:szCs w:val="36"/>
        </w:rPr>
        <w:t>6.09</w:t>
      </w:r>
      <w:r w:rsidR="007C0F57" w:rsidRPr="009A571A">
        <w:rPr>
          <w:rFonts w:asciiTheme="minorHAnsi" w:hAnsiTheme="minorHAnsi"/>
          <w:sz w:val="36"/>
          <w:szCs w:val="36"/>
        </w:rPr>
        <w:tab/>
      </w:r>
      <w:r w:rsidRPr="009A571A">
        <w:rPr>
          <w:rFonts w:asciiTheme="minorHAnsi" w:hAnsiTheme="minorHAnsi"/>
          <w:sz w:val="36"/>
          <w:szCs w:val="36"/>
        </w:rPr>
        <w:t>EPOETIN LAMBDA</w:t>
      </w:r>
      <w:r w:rsidR="008A50F1" w:rsidRPr="009A571A">
        <w:rPr>
          <w:rFonts w:asciiTheme="minorHAnsi" w:hAnsiTheme="minorHAnsi"/>
          <w:sz w:val="36"/>
          <w:szCs w:val="36"/>
        </w:rPr>
        <w:t xml:space="preserve"> </w:t>
      </w:r>
      <w:r w:rsidR="008A50F1" w:rsidRPr="009A571A">
        <w:rPr>
          <w:rFonts w:asciiTheme="minorHAnsi" w:hAnsiTheme="minorHAnsi"/>
          <w:sz w:val="36"/>
          <w:szCs w:val="36"/>
        </w:rPr>
        <w:br/>
      </w:r>
      <w:r w:rsidR="004B7E8D" w:rsidRPr="009A571A">
        <w:rPr>
          <w:rFonts w:asciiTheme="minorHAnsi" w:hAnsiTheme="minorHAnsi"/>
          <w:sz w:val="36"/>
          <w:szCs w:val="36"/>
        </w:rPr>
        <w:t>Injection 1,000 units in 0.5 mL pre</w:t>
      </w:r>
      <w:r w:rsidR="004B7E8D" w:rsidRPr="009A571A">
        <w:rPr>
          <w:rFonts w:ascii="MS Gothic" w:eastAsia="MS Gothic" w:hAnsi="MS Gothic" w:cs="MS Gothic"/>
          <w:sz w:val="36"/>
          <w:szCs w:val="36"/>
        </w:rPr>
        <w:t>‑</w:t>
      </w:r>
      <w:r w:rsidR="004B7E8D" w:rsidRPr="009A571A">
        <w:rPr>
          <w:rFonts w:asciiTheme="minorHAnsi" w:hAnsiTheme="minorHAnsi"/>
          <w:sz w:val="36"/>
          <w:szCs w:val="36"/>
        </w:rPr>
        <w:t>filled syringe</w:t>
      </w:r>
      <w:r w:rsidR="00795ADF">
        <w:rPr>
          <w:rFonts w:asciiTheme="minorHAnsi" w:hAnsiTheme="minorHAnsi"/>
          <w:sz w:val="36"/>
          <w:szCs w:val="36"/>
        </w:rPr>
        <w:br/>
      </w:r>
      <w:r w:rsidR="004B7E8D" w:rsidRPr="009A571A">
        <w:rPr>
          <w:rFonts w:asciiTheme="minorHAnsi" w:hAnsiTheme="minorHAnsi"/>
          <w:sz w:val="36"/>
          <w:szCs w:val="36"/>
        </w:rPr>
        <w:t>Injection 2,000 units in 1 mL pre</w:t>
      </w:r>
      <w:r w:rsidR="004B7E8D" w:rsidRPr="009A571A">
        <w:rPr>
          <w:rFonts w:ascii="MS Gothic" w:eastAsia="MS Gothic" w:hAnsi="MS Gothic" w:cs="MS Gothic"/>
          <w:sz w:val="36"/>
          <w:szCs w:val="36"/>
        </w:rPr>
        <w:t>‑</w:t>
      </w:r>
      <w:r w:rsidR="004B7E8D" w:rsidRPr="009A571A">
        <w:rPr>
          <w:rFonts w:asciiTheme="minorHAnsi" w:hAnsiTheme="minorHAnsi"/>
          <w:sz w:val="36"/>
          <w:szCs w:val="36"/>
        </w:rPr>
        <w:t>filled syringe</w:t>
      </w:r>
      <w:r w:rsidR="00795ADF">
        <w:rPr>
          <w:rFonts w:asciiTheme="minorHAnsi" w:hAnsiTheme="minorHAnsi"/>
          <w:sz w:val="36"/>
          <w:szCs w:val="36"/>
        </w:rPr>
        <w:br/>
      </w:r>
      <w:r w:rsidR="004B7E8D" w:rsidRPr="009A571A">
        <w:rPr>
          <w:rFonts w:asciiTheme="minorHAnsi" w:hAnsiTheme="minorHAnsi"/>
          <w:sz w:val="36"/>
          <w:szCs w:val="36"/>
        </w:rPr>
        <w:t>Injection 3,000 units in 0.3 mL pre</w:t>
      </w:r>
      <w:r w:rsidR="004B7E8D" w:rsidRPr="009A571A">
        <w:rPr>
          <w:rFonts w:ascii="MS Gothic" w:eastAsia="MS Gothic" w:hAnsi="MS Gothic" w:cs="MS Gothic"/>
          <w:sz w:val="36"/>
          <w:szCs w:val="36"/>
        </w:rPr>
        <w:t>‑</w:t>
      </w:r>
      <w:r w:rsidR="004B7E8D" w:rsidRPr="009A571A">
        <w:rPr>
          <w:rFonts w:asciiTheme="minorHAnsi" w:hAnsiTheme="minorHAnsi"/>
          <w:sz w:val="36"/>
          <w:szCs w:val="36"/>
        </w:rPr>
        <w:t>filled syringe</w:t>
      </w:r>
      <w:r w:rsidR="00795ADF">
        <w:rPr>
          <w:rFonts w:asciiTheme="minorHAnsi" w:hAnsiTheme="minorHAnsi"/>
          <w:sz w:val="36"/>
          <w:szCs w:val="36"/>
        </w:rPr>
        <w:br/>
      </w:r>
      <w:r w:rsidR="004B7E8D" w:rsidRPr="009A571A">
        <w:rPr>
          <w:rFonts w:asciiTheme="minorHAnsi" w:hAnsiTheme="minorHAnsi"/>
          <w:sz w:val="36"/>
          <w:szCs w:val="36"/>
        </w:rPr>
        <w:t>Injection 4,000 units in 0.4 mL pre</w:t>
      </w:r>
      <w:r w:rsidR="004B7E8D" w:rsidRPr="009A571A">
        <w:rPr>
          <w:rFonts w:ascii="MS Gothic" w:eastAsia="MS Gothic" w:hAnsi="MS Gothic" w:cs="MS Gothic"/>
          <w:sz w:val="36"/>
          <w:szCs w:val="36"/>
        </w:rPr>
        <w:t>‑</w:t>
      </w:r>
      <w:r w:rsidR="004B7E8D" w:rsidRPr="009A571A">
        <w:rPr>
          <w:rFonts w:asciiTheme="minorHAnsi" w:hAnsiTheme="minorHAnsi"/>
          <w:sz w:val="36"/>
          <w:szCs w:val="36"/>
        </w:rPr>
        <w:t>filled syringe</w:t>
      </w:r>
      <w:r w:rsidR="00795ADF">
        <w:rPr>
          <w:rFonts w:asciiTheme="minorHAnsi" w:hAnsiTheme="minorHAnsi"/>
          <w:sz w:val="36"/>
          <w:szCs w:val="36"/>
        </w:rPr>
        <w:br/>
      </w:r>
      <w:r w:rsidR="004B7E8D" w:rsidRPr="009A571A">
        <w:rPr>
          <w:rFonts w:asciiTheme="minorHAnsi" w:hAnsiTheme="minorHAnsi"/>
          <w:sz w:val="36"/>
          <w:szCs w:val="36"/>
        </w:rPr>
        <w:t>Injection 5,000 units in 0.5 mL pre</w:t>
      </w:r>
      <w:r w:rsidR="004B7E8D" w:rsidRPr="009A571A">
        <w:rPr>
          <w:rFonts w:ascii="MS Gothic" w:eastAsia="MS Gothic" w:hAnsi="MS Gothic" w:cs="MS Gothic"/>
          <w:sz w:val="36"/>
          <w:szCs w:val="36"/>
        </w:rPr>
        <w:t>‑</w:t>
      </w:r>
      <w:r w:rsidR="004B7E8D" w:rsidRPr="009A571A">
        <w:rPr>
          <w:rFonts w:asciiTheme="minorHAnsi" w:hAnsiTheme="minorHAnsi"/>
          <w:sz w:val="36"/>
          <w:szCs w:val="36"/>
        </w:rPr>
        <w:t>filled syringe</w:t>
      </w:r>
      <w:r w:rsidR="00795ADF">
        <w:rPr>
          <w:rFonts w:asciiTheme="minorHAnsi" w:hAnsiTheme="minorHAnsi"/>
          <w:sz w:val="36"/>
          <w:szCs w:val="36"/>
        </w:rPr>
        <w:br/>
      </w:r>
      <w:r w:rsidR="004B7E8D" w:rsidRPr="009A571A">
        <w:rPr>
          <w:rFonts w:asciiTheme="minorHAnsi" w:hAnsiTheme="minorHAnsi"/>
          <w:sz w:val="36"/>
          <w:szCs w:val="36"/>
        </w:rPr>
        <w:t>Injection 6,000 units in 0.6 mL pre</w:t>
      </w:r>
      <w:r w:rsidR="004B7E8D" w:rsidRPr="009A571A">
        <w:rPr>
          <w:rFonts w:ascii="MS Gothic" w:eastAsia="MS Gothic" w:hAnsi="MS Gothic" w:cs="MS Gothic"/>
          <w:sz w:val="36"/>
          <w:szCs w:val="36"/>
        </w:rPr>
        <w:t>‑</w:t>
      </w:r>
      <w:r w:rsidR="004B7E8D" w:rsidRPr="009A571A">
        <w:rPr>
          <w:rFonts w:asciiTheme="minorHAnsi" w:hAnsiTheme="minorHAnsi"/>
          <w:sz w:val="36"/>
          <w:szCs w:val="36"/>
        </w:rPr>
        <w:t>filled syringe</w:t>
      </w:r>
      <w:r w:rsidR="00795ADF">
        <w:rPr>
          <w:rFonts w:asciiTheme="minorHAnsi" w:hAnsiTheme="minorHAnsi"/>
          <w:sz w:val="36"/>
          <w:szCs w:val="36"/>
        </w:rPr>
        <w:br/>
      </w:r>
      <w:r w:rsidR="004B7E8D" w:rsidRPr="009A571A">
        <w:rPr>
          <w:rFonts w:asciiTheme="minorHAnsi" w:hAnsiTheme="minorHAnsi"/>
          <w:sz w:val="36"/>
          <w:szCs w:val="36"/>
        </w:rPr>
        <w:t>Injection 8,000 units in 0.8 mL pre</w:t>
      </w:r>
      <w:r w:rsidR="004B7E8D" w:rsidRPr="009A571A">
        <w:rPr>
          <w:rFonts w:ascii="MS Gothic" w:eastAsia="MS Gothic" w:hAnsi="MS Gothic" w:cs="MS Gothic"/>
          <w:sz w:val="36"/>
          <w:szCs w:val="36"/>
        </w:rPr>
        <w:t>‑</w:t>
      </w:r>
      <w:r w:rsidR="004B7E8D" w:rsidRPr="009A571A">
        <w:rPr>
          <w:rFonts w:asciiTheme="minorHAnsi" w:hAnsiTheme="minorHAnsi"/>
          <w:sz w:val="36"/>
          <w:szCs w:val="36"/>
        </w:rPr>
        <w:t>filled syringe</w:t>
      </w:r>
      <w:r w:rsidR="00795ADF">
        <w:rPr>
          <w:rFonts w:asciiTheme="minorHAnsi" w:hAnsiTheme="minorHAnsi"/>
          <w:sz w:val="36"/>
          <w:szCs w:val="36"/>
        </w:rPr>
        <w:br/>
      </w:r>
      <w:r w:rsidR="004B7E8D" w:rsidRPr="009A571A">
        <w:rPr>
          <w:rFonts w:asciiTheme="minorHAnsi" w:hAnsiTheme="minorHAnsi"/>
          <w:sz w:val="36"/>
          <w:szCs w:val="36"/>
        </w:rPr>
        <w:t>Injection 10,000 units in 1 mL pre</w:t>
      </w:r>
      <w:r w:rsidR="004B7E8D" w:rsidRPr="009A571A">
        <w:rPr>
          <w:rFonts w:ascii="MS Gothic" w:eastAsia="MS Gothic" w:hAnsi="MS Gothic" w:cs="MS Gothic"/>
          <w:sz w:val="36"/>
          <w:szCs w:val="36"/>
        </w:rPr>
        <w:t>‑</w:t>
      </w:r>
      <w:r w:rsidR="004B7E8D" w:rsidRPr="009A571A">
        <w:rPr>
          <w:rFonts w:asciiTheme="minorHAnsi" w:hAnsiTheme="minorHAnsi"/>
          <w:sz w:val="36"/>
          <w:szCs w:val="36"/>
        </w:rPr>
        <w:t>filled syringe</w:t>
      </w:r>
      <w:r w:rsidR="0004240E" w:rsidRPr="009A571A">
        <w:rPr>
          <w:rFonts w:asciiTheme="minorHAnsi" w:hAnsiTheme="minorHAnsi"/>
          <w:sz w:val="36"/>
          <w:szCs w:val="36"/>
        </w:rPr>
        <w:t>,</w:t>
      </w:r>
      <w:r w:rsidR="008A50F1" w:rsidRPr="009A571A">
        <w:rPr>
          <w:rFonts w:asciiTheme="minorHAnsi" w:hAnsiTheme="minorHAnsi"/>
          <w:sz w:val="36"/>
          <w:szCs w:val="36"/>
        </w:rPr>
        <w:t xml:space="preserve"> </w:t>
      </w:r>
      <w:r w:rsidR="008A50F1" w:rsidRPr="009A571A">
        <w:rPr>
          <w:rFonts w:asciiTheme="minorHAnsi" w:hAnsiTheme="minorHAnsi"/>
          <w:sz w:val="36"/>
          <w:szCs w:val="36"/>
        </w:rPr>
        <w:br/>
      </w:r>
      <w:r w:rsidRPr="009A571A">
        <w:rPr>
          <w:rFonts w:asciiTheme="minorHAnsi" w:hAnsiTheme="minorHAnsi"/>
          <w:sz w:val="36"/>
          <w:szCs w:val="36"/>
        </w:rPr>
        <w:t>Novicrit</w:t>
      </w:r>
      <w:r w:rsidR="0004240E" w:rsidRPr="009A571A">
        <w:rPr>
          <w:rFonts w:asciiTheme="minorHAnsi" w:hAnsiTheme="minorHAnsi"/>
          <w:sz w:val="36"/>
          <w:szCs w:val="36"/>
        </w:rPr>
        <w:t>®</w:t>
      </w:r>
      <w:r w:rsidR="00EF44A0" w:rsidRPr="009A571A">
        <w:rPr>
          <w:rFonts w:asciiTheme="minorHAnsi" w:hAnsiTheme="minorHAnsi"/>
          <w:sz w:val="36"/>
          <w:szCs w:val="36"/>
        </w:rPr>
        <w:t xml:space="preserve">, </w:t>
      </w:r>
      <w:r w:rsidRPr="009A571A">
        <w:rPr>
          <w:rFonts w:asciiTheme="minorHAnsi" w:hAnsiTheme="minorHAnsi"/>
          <w:sz w:val="36"/>
          <w:szCs w:val="36"/>
        </w:rPr>
        <w:t>Sandoz Pty Ltd</w:t>
      </w:r>
    </w:p>
    <w:p w:rsidR="00CE10C4" w:rsidRPr="009A571A" w:rsidRDefault="00CE10C4" w:rsidP="00C27B58">
      <w:pPr>
        <w:pStyle w:val="NoSpacing"/>
        <w:rPr>
          <w:rFonts w:asciiTheme="minorHAnsi" w:hAnsiTheme="minorHAnsi"/>
        </w:rPr>
      </w:pPr>
    </w:p>
    <w:p w:rsidR="00E15627" w:rsidRPr="009A571A" w:rsidRDefault="00CE10C4" w:rsidP="00E15627">
      <w:pPr>
        <w:pStyle w:val="PBACHeading1"/>
        <w:rPr>
          <w:rFonts w:asciiTheme="minorHAnsi" w:hAnsiTheme="minorHAnsi"/>
          <w:sz w:val="32"/>
          <w:szCs w:val="32"/>
        </w:rPr>
      </w:pPr>
      <w:r w:rsidRPr="009A571A">
        <w:rPr>
          <w:rFonts w:asciiTheme="minorHAnsi" w:hAnsiTheme="minorHAnsi"/>
          <w:sz w:val="32"/>
          <w:szCs w:val="32"/>
        </w:rPr>
        <w:t xml:space="preserve">Purpose of </w:t>
      </w:r>
      <w:r w:rsidR="0004240E" w:rsidRPr="009A571A">
        <w:rPr>
          <w:rFonts w:asciiTheme="minorHAnsi" w:hAnsiTheme="minorHAnsi"/>
          <w:sz w:val="32"/>
          <w:szCs w:val="32"/>
        </w:rPr>
        <w:t>Application</w:t>
      </w:r>
    </w:p>
    <w:p w:rsidR="008A50F1" w:rsidRPr="009A571A" w:rsidRDefault="008A50F1" w:rsidP="00E15627">
      <w:pPr>
        <w:rPr>
          <w:rFonts w:asciiTheme="minorHAnsi" w:hAnsiTheme="minorHAnsi"/>
        </w:rPr>
      </w:pPr>
    </w:p>
    <w:p w:rsidR="00F9629A" w:rsidRPr="009A571A" w:rsidRDefault="00EF44A0" w:rsidP="002728E4">
      <w:pPr>
        <w:pStyle w:val="ListParagraph"/>
        <w:numPr>
          <w:ilvl w:val="1"/>
          <w:numId w:val="5"/>
        </w:numPr>
        <w:rPr>
          <w:rFonts w:asciiTheme="minorHAnsi" w:hAnsiTheme="minorHAnsi"/>
          <w:sz w:val="24"/>
          <w:szCs w:val="24"/>
        </w:rPr>
      </w:pPr>
      <w:r w:rsidRPr="009A571A">
        <w:rPr>
          <w:rFonts w:asciiTheme="minorHAnsi" w:hAnsiTheme="minorHAnsi"/>
          <w:sz w:val="24"/>
          <w:szCs w:val="24"/>
        </w:rPr>
        <w:t>The mi</w:t>
      </w:r>
      <w:r w:rsidR="00FF2801" w:rsidRPr="009A571A">
        <w:rPr>
          <w:rFonts w:asciiTheme="minorHAnsi" w:hAnsiTheme="minorHAnsi"/>
          <w:sz w:val="24"/>
          <w:szCs w:val="24"/>
        </w:rPr>
        <w:t>nor submission requested</w:t>
      </w:r>
      <w:r w:rsidR="000D498C" w:rsidRPr="009A571A">
        <w:rPr>
          <w:rFonts w:asciiTheme="minorHAnsi" w:hAnsiTheme="minorHAnsi"/>
          <w:sz w:val="24"/>
          <w:szCs w:val="24"/>
        </w:rPr>
        <w:t xml:space="preserve"> </w:t>
      </w:r>
      <w:r w:rsidR="007F56EA" w:rsidRPr="009A571A">
        <w:rPr>
          <w:rFonts w:asciiTheme="minorHAnsi" w:hAnsiTheme="minorHAnsi"/>
          <w:sz w:val="24"/>
          <w:szCs w:val="24"/>
        </w:rPr>
        <w:t xml:space="preserve">an </w:t>
      </w:r>
      <w:r w:rsidR="000D498C" w:rsidRPr="009A571A">
        <w:rPr>
          <w:rFonts w:asciiTheme="minorHAnsi" w:hAnsiTheme="minorHAnsi"/>
          <w:sz w:val="24"/>
          <w:szCs w:val="24"/>
        </w:rPr>
        <w:t xml:space="preserve">amendment of the existing restriction of epoetin lambda </w:t>
      </w:r>
      <w:r w:rsidR="004405EF" w:rsidRPr="009A571A">
        <w:rPr>
          <w:rFonts w:asciiTheme="minorHAnsi" w:hAnsiTheme="minorHAnsi"/>
          <w:sz w:val="24"/>
          <w:szCs w:val="24"/>
        </w:rPr>
        <w:t>to remove the note ‘</w:t>
      </w:r>
      <w:r w:rsidR="007F56EA" w:rsidRPr="009A571A">
        <w:rPr>
          <w:rFonts w:asciiTheme="minorHAnsi" w:hAnsiTheme="minorHAnsi"/>
          <w:sz w:val="24"/>
          <w:szCs w:val="24"/>
        </w:rPr>
        <w:t>E</w:t>
      </w:r>
      <w:r w:rsidR="004405EF" w:rsidRPr="009A571A">
        <w:rPr>
          <w:rFonts w:asciiTheme="minorHAnsi" w:hAnsiTheme="minorHAnsi"/>
          <w:sz w:val="24"/>
          <w:szCs w:val="24"/>
        </w:rPr>
        <w:t xml:space="preserve">poetin lambda should only be administered by the intravenous route’ to </w:t>
      </w:r>
      <w:r w:rsidR="002728E4" w:rsidRPr="009A571A">
        <w:rPr>
          <w:rFonts w:asciiTheme="minorHAnsi" w:hAnsiTheme="minorHAnsi"/>
          <w:sz w:val="24"/>
          <w:szCs w:val="24"/>
        </w:rPr>
        <w:t>allow for</w:t>
      </w:r>
      <w:r w:rsidR="004405EF" w:rsidRPr="009A571A">
        <w:rPr>
          <w:rFonts w:asciiTheme="minorHAnsi" w:hAnsiTheme="minorHAnsi"/>
          <w:sz w:val="24"/>
          <w:szCs w:val="24"/>
        </w:rPr>
        <w:t xml:space="preserve"> subcutaneous administration </w:t>
      </w:r>
      <w:r w:rsidR="00330453" w:rsidRPr="009A571A">
        <w:rPr>
          <w:rFonts w:asciiTheme="minorHAnsi" w:hAnsiTheme="minorHAnsi"/>
          <w:sz w:val="24"/>
          <w:szCs w:val="24"/>
        </w:rPr>
        <w:t>for</w:t>
      </w:r>
      <w:r w:rsidR="002728E4" w:rsidRPr="009A571A">
        <w:rPr>
          <w:rFonts w:asciiTheme="minorHAnsi" w:hAnsiTheme="minorHAnsi"/>
          <w:sz w:val="24"/>
          <w:szCs w:val="24"/>
        </w:rPr>
        <w:t xml:space="preserve"> the treatment of</w:t>
      </w:r>
      <w:r w:rsidR="00330453" w:rsidRPr="009A571A">
        <w:rPr>
          <w:rFonts w:asciiTheme="minorHAnsi" w:hAnsiTheme="minorHAnsi"/>
          <w:sz w:val="24"/>
          <w:szCs w:val="24"/>
        </w:rPr>
        <w:t xml:space="preserve"> </w:t>
      </w:r>
      <w:r w:rsidR="002728E4" w:rsidRPr="009A571A">
        <w:rPr>
          <w:rFonts w:asciiTheme="minorHAnsi" w:hAnsiTheme="minorHAnsi"/>
          <w:sz w:val="24"/>
          <w:szCs w:val="24"/>
        </w:rPr>
        <w:t>anaemia associated with intrinsic renal disease</w:t>
      </w:r>
      <w:r w:rsidR="004405EF" w:rsidRPr="009A571A">
        <w:rPr>
          <w:rFonts w:asciiTheme="minorHAnsi" w:hAnsiTheme="minorHAnsi"/>
          <w:sz w:val="24"/>
          <w:szCs w:val="24"/>
        </w:rPr>
        <w:t>.</w:t>
      </w:r>
    </w:p>
    <w:p w:rsidR="00EF44A0" w:rsidRDefault="00EF44A0" w:rsidP="00C27B58">
      <w:pPr>
        <w:pStyle w:val="NoSpacing"/>
        <w:rPr>
          <w:rFonts w:asciiTheme="minorHAnsi" w:hAnsiTheme="minorHAnsi"/>
          <w:sz w:val="24"/>
          <w:szCs w:val="24"/>
        </w:rPr>
      </w:pPr>
    </w:p>
    <w:p w:rsidR="00475DBB" w:rsidRPr="009A571A" w:rsidRDefault="00475DBB" w:rsidP="00C27B58">
      <w:pPr>
        <w:pStyle w:val="NoSpacing"/>
        <w:rPr>
          <w:rFonts w:asciiTheme="minorHAnsi" w:hAnsiTheme="minorHAnsi"/>
          <w:sz w:val="24"/>
          <w:szCs w:val="24"/>
        </w:rPr>
      </w:pPr>
    </w:p>
    <w:p w:rsidR="00962223" w:rsidRPr="009A571A" w:rsidRDefault="006A12A5" w:rsidP="008A50F1">
      <w:pPr>
        <w:pStyle w:val="PBACHeading1"/>
        <w:rPr>
          <w:rFonts w:asciiTheme="minorHAnsi" w:hAnsiTheme="minorHAnsi"/>
          <w:sz w:val="32"/>
          <w:szCs w:val="32"/>
        </w:rPr>
      </w:pPr>
      <w:r w:rsidRPr="009A571A">
        <w:rPr>
          <w:rFonts w:asciiTheme="minorHAnsi" w:hAnsiTheme="minorHAnsi"/>
          <w:sz w:val="32"/>
          <w:szCs w:val="32"/>
        </w:rPr>
        <w:t>Requested listing</w:t>
      </w:r>
    </w:p>
    <w:p w:rsidR="006A12A5" w:rsidRPr="009A571A" w:rsidRDefault="006A12A5" w:rsidP="00882085">
      <w:pPr>
        <w:jc w:val="both"/>
        <w:rPr>
          <w:rFonts w:asciiTheme="minorHAnsi" w:hAnsiTheme="minorHAnsi"/>
          <w:b/>
          <w:sz w:val="22"/>
          <w:szCs w:val="22"/>
        </w:rPr>
      </w:pPr>
    </w:p>
    <w:p w:rsidR="00826F6D" w:rsidRPr="009A571A" w:rsidRDefault="00EF44A0" w:rsidP="008A50F1">
      <w:pPr>
        <w:pStyle w:val="ListParagraph"/>
        <w:numPr>
          <w:ilvl w:val="1"/>
          <w:numId w:val="5"/>
        </w:numPr>
        <w:rPr>
          <w:rFonts w:asciiTheme="minorHAnsi" w:hAnsiTheme="minorHAnsi"/>
          <w:sz w:val="24"/>
          <w:szCs w:val="24"/>
        </w:rPr>
      </w:pPr>
      <w:r w:rsidRPr="009A571A">
        <w:rPr>
          <w:rFonts w:asciiTheme="minorHAnsi" w:hAnsiTheme="minorHAnsi"/>
          <w:sz w:val="24"/>
          <w:szCs w:val="24"/>
        </w:rPr>
        <w:t xml:space="preserve">The submission </w:t>
      </w:r>
      <w:r w:rsidR="00FF2801" w:rsidRPr="009A571A">
        <w:rPr>
          <w:rFonts w:asciiTheme="minorHAnsi" w:hAnsiTheme="minorHAnsi"/>
          <w:sz w:val="24"/>
          <w:szCs w:val="24"/>
        </w:rPr>
        <w:t>requested</w:t>
      </w:r>
      <w:r w:rsidRPr="009A571A">
        <w:rPr>
          <w:rFonts w:asciiTheme="minorHAnsi" w:hAnsiTheme="minorHAnsi"/>
          <w:sz w:val="24"/>
          <w:szCs w:val="24"/>
        </w:rPr>
        <w:t xml:space="preserve"> </w:t>
      </w:r>
      <w:r w:rsidR="00330453" w:rsidRPr="009A571A">
        <w:rPr>
          <w:rFonts w:asciiTheme="minorHAnsi" w:hAnsiTheme="minorHAnsi"/>
          <w:sz w:val="24"/>
          <w:szCs w:val="24"/>
        </w:rPr>
        <w:t xml:space="preserve">the removal of the note section </w:t>
      </w:r>
      <w:r w:rsidR="00363739" w:rsidRPr="009A571A">
        <w:rPr>
          <w:rFonts w:asciiTheme="minorHAnsi" w:hAnsiTheme="minorHAnsi"/>
          <w:sz w:val="24"/>
          <w:szCs w:val="24"/>
        </w:rPr>
        <w:t>under</w:t>
      </w:r>
      <w:r w:rsidR="00330453" w:rsidRPr="009A571A">
        <w:rPr>
          <w:rFonts w:asciiTheme="minorHAnsi" w:hAnsiTheme="minorHAnsi"/>
          <w:sz w:val="24"/>
          <w:szCs w:val="24"/>
        </w:rPr>
        <w:t xml:space="preserve"> </w:t>
      </w:r>
      <w:r w:rsidRPr="009A571A">
        <w:rPr>
          <w:rFonts w:asciiTheme="minorHAnsi" w:hAnsiTheme="minorHAnsi"/>
          <w:sz w:val="24"/>
          <w:szCs w:val="24"/>
        </w:rPr>
        <w:t>the existing listing</w:t>
      </w:r>
      <w:r w:rsidR="00670028" w:rsidRPr="009A571A">
        <w:rPr>
          <w:rFonts w:asciiTheme="minorHAnsi" w:hAnsiTheme="minorHAnsi"/>
          <w:sz w:val="24"/>
          <w:szCs w:val="24"/>
        </w:rPr>
        <w:t>.</w:t>
      </w:r>
      <w:r w:rsidRPr="009A571A">
        <w:rPr>
          <w:rFonts w:asciiTheme="minorHAnsi" w:hAnsiTheme="minorHAnsi"/>
          <w:sz w:val="24"/>
          <w:szCs w:val="24"/>
        </w:rPr>
        <w:t xml:space="preserve"> </w:t>
      </w:r>
      <w:r w:rsidR="00103C22" w:rsidRPr="009A571A">
        <w:rPr>
          <w:rFonts w:asciiTheme="minorHAnsi" w:hAnsiTheme="minorHAnsi"/>
          <w:sz w:val="24"/>
          <w:szCs w:val="24"/>
        </w:rPr>
        <w:t xml:space="preserve">No other changes to the current listing </w:t>
      </w:r>
      <w:r w:rsidR="00C71BA2" w:rsidRPr="009A571A">
        <w:rPr>
          <w:rFonts w:asciiTheme="minorHAnsi" w:hAnsiTheme="minorHAnsi"/>
          <w:sz w:val="24"/>
          <w:szCs w:val="24"/>
        </w:rPr>
        <w:t>were</w:t>
      </w:r>
      <w:r w:rsidR="00103C22" w:rsidRPr="009A571A">
        <w:rPr>
          <w:rFonts w:asciiTheme="minorHAnsi" w:hAnsiTheme="minorHAnsi"/>
          <w:sz w:val="24"/>
          <w:szCs w:val="24"/>
        </w:rPr>
        <w:t xml:space="preserve"> requested</w:t>
      </w:r>
      <w:r w:rsidR="00A93913" w:rsidRPr="009A571A">
        <w:rPr>
          <w:rFonts w:asciiTheme="minorHAnsi" w:hAnsiTheme="minorHAnsi"/>
          <w:sz w:val="24"/>
          <w:szCs w:val="24"/>
        </w:rPr>
        <w:t>.</w:t>
      </w:r>
      <w:r w:rsidR="003C2D6B" w:rsidRPr="009A571A">
        <w:rPr>
          <w:rFonts w:asciiTheme="minorHAnsi" w:hAnsiTheme="minorHAnsi"/>
          <w:sz w:val="24"/>
          <w:szCs w:val="24"/>
        </w:rPr>
        <w:t xml:space="preserve"> </w:t>
      </w:r>
    </w:p>
    <w:p w:rsidR="00826F6D" w:rsidRPr="009A571A" w:rsidRDefault="00826F6D" w:rsidP="00826F6D">
      <w:pPr>
        <w:pStyle w:val="ListParagraph"/>
        <w:rPr>
          <w:sz w:val="24"/>
          <w:szCs w:val="24"/>
        </w:rPr>
      </w:pPr>
    </w:p>
    <w:p w:rsidR="00133F11" w:rsidRPr="009A571A" w:rsidRDefault="00133F11" w:rsidP="00D84934">
      <w:pPr>
        <w:ind w:firstLine="720"/>
        <w:jc w:val="both"/>
        <w:rPr>
          <w:rFonts w:asciiTheme="minorHAnsi" w:hAnsiTheme="minorHAnsi" w:cs="Arial"/>
        </w:rPr>
      </w:pPr>
    </w:p>
    <w:p w:rsidR="00CE10C4" w:rsidRPr="009A571A" w:rsidRDefault="00CE10C4" w:rsidP="008A50F1">
      <w:pPr>
        <w:pStyle w:val="PBACHeading1"/>
        <w:rPr>
          <w:rFonts w:asciiTheme="minorHAnsi" w:hAnsiTheme="minorHAnsi"/>
          <w:sz w:val="32"/>
          <w:szCs w:val="32"/>
        </w:rPr>
      </w:pPr>
      <w:r w:rsidRPr="009A571A">
        <w:rPr>
          <w:rFonts w:asciiTheme="minorHAnsi" w:hAnsiTheme="minorHAnsi"/>
          <w:sz w:val="32"/>
          <w:szCs w:val="32"/>
        </w:rPr>
        <w:t>Background</w:t>
      </w:r>
    </w:p>
    <w:p w:rsidR="00C603D4" w:rsidRPr="009A571A" w:rsidRDefault="00C603D4" w:rsidP="00C603D4">
      <w:pPr>
        <w:pStyle w:val="ListParagraph"/>
        <w:rPr>
          <w:rFonts w:asciiTheme="minorHAnsi" w:hAnsiTheme="minorHAnsi"/>
          <w:szCs w:val="22"/>
        </w:rPr>
      </w:pPr>
    </w:p>
    <w:p w:rsidR="002B1AE6" w:rsidRPr="009A571A" w:rsidRDefault="00363739" w:rsidP="008A50F1">
      <w:pPr>
        <w:pStyle w:val="ListParagraph"/>
        <w:numPr>
          <w:ilvl w:val="1"/>
          <w:numId w:val="5"/>
        </w:numPr>
        <w:rPr>
          <w:rFonts w:asciiTheme="minorHAnsi" w:hAnsiTheme="minorHAnsi"/>
          <w:i/>
          <w:sz w:val="24"/>
          <w:szCs w:val="24"/>
        </w:rPr>
      </w:pPr>
      <w:r w:rsidRPr="009A571A">
        <w:rPr>
          <w:rFonts w:asciiTheme="minorHAnsi" w:hAnsiTheme="minorHAnsi"/>
          <w:sz w:val="24"/>
          <w:szCs w:val="24"/>
        </w:rPr>
        <w:t>Epoetin lambda</w:t>
      </w:r>
      <w:r w:rsidR="00476245" w:rsidRPr="009A571A">
        <w:rPr>
          <w:rFonts w:asciiTheme="minorHAnsi" w:hAnsiTheme="minorHAnsi"/>
          <w:sz w:val="24"/>
          <w:szCs w:val="24"/>
        </w:rPr>
        <w:t xml:space="preserve"> </w:t>
      </w:r>
      <w:r w:rsidR="00AF39FE" w:rsidRPr="009A571A">
        <w:rPr>
          <w:rFonts w:asciiTheme="minorHAnsi" w:hAnsiTheme="minorHAnsi"/>
          <w:sz w:val="24"/>
          <w:szCs w:val="24"/>
        </w:rPr>
        <w:t>wa</w:t>
      </w:r>
      <w:r w:rsidR="00476245" w:rsidRPr="009A571A">
        <w:rPr>
          <w:rFonts w:asciiTheme="minorHAnsi" w:hAnsiTheme="minorHAnsi"/>
          <w:sz w:val="24"/>
          <w:szCs w:val="24"/>
        </w:rPr>
        <w:t>s TGA registered for</w:t>
      </w:r>
      <w:r w:rsidRPr="009A571A">
        <w:rPr>
          <w:rFonts w:asciiTheme="minorHAnsi" w:hAnsiTheme="minorHAnsi"/>
          <w:sz w:val="24"/>
          <w:szCs w:val="24"/>
        </w:rPr>
        <w:t xml:space="preserve"> subcutaneous administration for </w:t>
      </w:r>
      <w:r w:rsidR="00AF39FE" w:rsidRPr="009A571A">
        <w:rPr>
          <w:rFonts w:asciiTheme="minorHAnsi" w:hAnsiTheme="minorHAnsi"/>
          <w:sz w:val="24"/>
          <w:szCs w:val="24"/>
        </w:rPr>
        <w:t xml:space="preserve">the treatment of </w:t>
      </w:r>
      <w:r w:rsidR="003F2C0D" w:rsidRPr="009A571A">
        <w:rPr>
          <w:rFonts w:asciiTheme="minorHAnsi" w:hAnsiTheme="minorHAnsi"/>
          <w:sz w:val="24"/>
          <w:szCs w:val="24"/>
        </w:rPr>
        <w:t xml:space="preserve">patients with symptomatic or transfusion requiring anaemia associated with </w:t>
      </w:r>
      <w:r w:rsidRPr="009A571A">
        <w:rPr>
          <w:rFonts w:asciiTheme="minorHAnsi" w:hAnsiTheme="minorHAnsi"/>
          <w:sz w:val="24"/>
          <w:szCs w:val="24"/>
        </w:rPr>
        <w:t>chronic renal failure during correction and maintenance therapy phases in March 2017.</w:t>
      </w:r>
      <w:r w:rsidR="00800083" w:rsidRPr="009A571A">
        <w:rPr>
          <w:rFonts w:asciiTheme="minorHAnsi" w:hAnsiTheme="minorHAnsi"/>
          <w:sz w:val="24"/>
          <w:szCs w:val="24"/>
        </w:rPr>
        <w:t xml:space="preserve">  Prior to this, epoetin </w:t>
      </w:r>
      <w:r w:rsidR="009A571A" w:rsidRPr="009A571A">
        <w:rPr>
          <w:rFonts w:asciiTheme="minorHAnsi" w:hAnsiTheme="minorHAnsi"/>
          <w:sz w:val="24"/>
          <w:szCs w:val="24"/>
        </w:rPr>
        <w:t>lambda</w:t>
      </w:r>
      <w:r w:rsidR="00800083" w:rsidRPr="009A571A">
        <w:rPr>
          <w:rFonts w:asciiTheme="minorHAnsi" w:hAnsiTheme="minorHAnsi"/>
          <w:sz w:val="24"/>
          <w:szCs w:val="24"/>
        </w:rPr>
        <w:t xml:space="preserve"> was TGA registered for intravenous administration only.</w:t>
      </w:r>
    </w:p>
    <w:p w:rsidR="00FE5F49" w:rsidRPr="009A571A" w:rsidRDefault="00FE5F49" w:rsidP="00FE5F49"/>
    <w:p w:rsidR="00437552" w:rsidRDefault="00437552" w:rsidP="00FE5F49"/>
    <w:p w:rsidR="000A3707" w:rsidRDefault="000A3707" w:rsidP="00FE5F49"/>
    <w:p w:rsidR="000A3707" w:rsidRPr="009A571A" w:rsidRDefault="000A3707" w:rsidP="00FE5F49"/>
    <w:p w:rsidR="00FE5F49" w:rsidRPr="009A571A" w:rsidRDefault="00FE5F49" w:rsidP="00FE5F49">
      <w:pPr>
        <w:pStyle w:val="PBACHeading1"/>
        <w:rPr>
          <w:rFonts w:asciiTheme="minorHAnsi" w:hAnsiTheme="minorHAnsi"/>
          <w:sz w:val="32"/>
          <w:szCs w:val="32"/>
        </w:rPr>
      </w:pPr>
      <w:r w:rsidRPr="009A571A">
        <w:rPr>
          <w:rFonts w:asciiTheme="minorHAnsi" w:hAnsiTheme="minorHAnsi"/>
          <w:sz w:val="32"/>
          <w:szCs w:val="32"/>
        </w:rPr>
        <w:t>Consideration of the evidence</w:t>
      </w:r>
    </w:p>
    <w:p w:rsidR="00CC6180" w:rsidRPr="009A571A" w:rsidRDefault="00CC6180" w:rsidP="00CC6180"/>
    <w:p w:rsidR="00CC6180" w:rsidRPr="009A571A" w:rsidRDefault="00CC6180" w:rsidP="00CC6180">
      <w:pPr>
        <w:pStyle w:val="Heading2"/>
        <w:rPr>
          <w:rFonts w:asciiTheme="minorHAnsi" w:hAnsiTheme="minorHAnsi"/>
          <w:sz w:val="28"/>
          <w:szCs w:val="28"/>
        </w:rPr>
      </w:pPr>
      <w:r w:rsidRPr="009A571A">
        <w:rPr>
          <w:rFonts w:asciiTheme="minorHAnsi" w:hAnsiTheme="minorHAnsi"/>
          <w:sz w:val="28"/>
          <w:szCs w:val="28"/>
        </w:rPr>
        <w:t>Sponsor hearing</w:t>
      </w:r>
    </w:p>
    <w:p w:rsidR="00CC6180" w:rsidRPr="009A571A" w:rsidRDefault="00CC6180" w:rsidP="00CC6180"/>
    <w:p w:rsidR="00CC6180" w:rsidRPr="009A571A" w:rsidRDefault="00CC6180" w:rsidP="00CC6180">
      <w:pPr>
        <w:widowControl w:val="0"/>
        <w:numPr>
          <w:ilvl w:val="1"/>
          <w:numId w:val="5"/>
        </w:numPr>
        <w:spacing w:after="120"/>
        <w:jc w:val="both"/>
        <w:rPr>
          <w:rFonts w:asciiTheme="minorHAnsi" w:hAnsiTheme="minorHAnsi" w:cs="Arial"/>
          <w:bCs/>
          <w:snapToGrid w:val="0"/>
        </w:rPr>
      </w:pPr>
      <w:r w:rsidRPr="009A571A">
        <w:rPr>
          <w:rFonts w:asciiTheme="minorHAnsi" w:hAnsiTheme="minorHAnsi" w:cs="Arial"/>
          <w:bCs/>
          <w:snapToGrid w:val="0"/>
        </w:rPr>
        <w:t xml:space="preserve">There was no hearing for this item as it was a minor submission. </w:t>
      </w:r>
    </w:p>
    <w:p w:rsidR="00CC6180" w:rsidRPr="009A571A" w:rsidRDefault="00CC6180" w:rsidP="00CC6180"/>
    <w:p w:rsidR="00CC6180" w:rsidRPr="009A571A" w:rsidRDefault="00CC6180" w:rsidP="00CC6180">
      <w:pPr>
        <w:pStyle w:val="Heading2"/>
        <w:rPr>
          <w:rFonts w:asciiTheme="minorHAnsi" w:hAnsiTheme="minorHAnsi"/>
          <w:sz w:val="28"/>
          <w:szCs w:val="28"/>
        </w:rPr>
      </w:pPr>
      <w:r w:rsidRPr="009A571A">
        <w:rPr>
          <w:rFonts w:asciiTheme="minorHAnsi" w:hAnsiTheme="minorHAnsi"/>
          <w:sz w:val="28"/>
          <w:szCs w:val="28"/>
        </w:rPr>
        <w:t>Consumer comments</w:t>
      </w:r>
    </w:p>
    <w:p w:rsidR="006B0D94" w:rsidRPr="009A571A" w:rsidRDefault="006B0D94" w:rsidP="00882085">
      <w:pPr>
        <w:rPr>
          <w:rFonts w:asciiTheme="minorHAnsi" w:hAnsiTheme="minorHAnsi"/>
          <w:szCs w:val="22"/>
        </w:rPr>
      </w:pPr>
    </w:p>
    <w:p w:rsidR="00BF05ED" w:rsidRPr="009A571A" w:rsidRDefault="00BF05ED" w:rsidP="00BF05ED">
      <w:pPr>
        <w:widowControl w:val="0"/>
        <w:numPr>
          <w:ilvl w:val="1"/>
          <w:numId w:val="5"/>
        </w:numPr>
        <w:spacing w:after="120"/>
        <w:jc w:val="both"/>
        <w:rPr>
          <w:rFonts w:asciiTheme="minorHAnsi" w:hAnsiTheme="minorHAnsi" w:cs="Arial"/>
          <w:bCs/>
          <w:snapToGrid w:val="0"/>
        </w:rPr>
      </w:pPr>
      <w:r w:rsidRPr="009A571A">
        <w:rPr>
          <w:rFonts w:asciiTheme="minorHAnsi" w:hAnsiTheme="minorHAnsi" w:cs="Arial"/>
          <w:bCs/>
          <w:snapToGrid w:val="0"/>
        </w:rPr>
        <w:t>The PBAC noted that no consumer comme</w:t>
      </w:r>
      <w:r w:rsidR="006638AE" w:rsidRPr="009A571A">
        <w:rPr>
          <w:rFonts w:asciiTheme="minorHAnsi" w:hAnsiTheme="minorHAnsi" w:cs="Arial"/>
          <w:bCs/>
          <w:snapToGrid w:val="0"/>
        </w:rPr>
        <w:t>nts were received for this item</w:t>
      </w:r>
      <w:r w:rsidRPr="009A571A">
        <w:rPr>
          <w:rFonts w:asciiTheme="minorHAnsi" w:hAnsiTheme="minorHAnsi" w:cs="Arial"/>
          <w:bCs/>
          <w:snapToGrid w:val="0"/>
        </w:rPr>
        <w:t>.</w:t>
      </w:r>
    </w:p>
    <w:p w:rsidR="00BF05ED" w:rsidRPr="009A571A" w:rsidRDefault="00BF05ED" w:rsidP="00882085">
      <w:pPr>
        <w:rPr>
          <w:rFonts w:asciiTheme="minorHAnsi" w:hAnsiTheme="minorHAnsi"/>
          <w:szCs w:val="22"/>
        </w:rPr>
      </w:pPr>
    </w:p>
    <w:p w:rsidR="005A3173" w:rsidRPr="009A571A" w:rsidRDefault="005A3173" w:rsidP="00B1059E">
      <w:pPr>
        <w:pStyle w:val="Heading2"/>
        <w:rPr>
          <w:rFonts w:asciiTheme="minorHAnsi" w:hAnsiTheme="minorHAnsi"/>
          <w:sz w:val="28"/>
          <w:szCs w:val="28"/>
        </w:rPr>
      </w:pPr>
      <w:r w:rsidRPr="009A571A">
        <w:rPr>
          <w:rFonts w:asciiTheme="minorHAnsi" w:hAnsiTheme="minorHAnsi"/>
          <w:sz w:val="28"/>
          <w:szCs w:val="28"/>
        </w:rPr>
        <w:t>Economic analysis</w:t>
      </w:r>
    </w:p>
    <w:p w:rsidR="005A3173" w:rsidRPr="009A571A" w:rsidRDefault="005A3173" w:rsidP="00D84934">
      <w:pPr>
        <w:pStyle w:val="NoSpacing"/>
        <w:rPr>
          <w:rFonts w:asciiTheme="minorHAnsi" w:hAnsiTheme="minorHAnsi"/>
          <w:sz w:val="24"/>
          <w:szCs w:val="24"/>
        </w:rPr>
      </w:pPr>
    </w:p>
    <w:p w:rsidR="009B0F67" w:rsidRPr="009A571A" w:rsidRDefault="00FF2801" w:rsidP="009B0F67">
      <w:pPr>
        <w:pStyle w:val="ListParagraph"/>
        <w:numPr>
          <w:ilvl w:val="1"/>
          <w:numId w:val="5"/>
        </w:numPr>
        <w:ind w:left="709"/>
        <w:rPr>
          <w:rFonts w:asciiTheme="minorHAnsi" w:hAnsiTheme="minorHAnsi"/>
          <w:sz w:val="24"/>
          <w:szCs w:val="24"/>
        </w:rPr>
      </w:pPr>
      <w:r w:rsidRPr="009A571A">
        <w:rPr>
          <w:rFonts w:asciiTheme="minorHAnsi" w:hAnsiTheme="minorHAnsi"/>
          <w:sz w:val="24"/>
          <w:szCs w:val="24"/>
        </w:rPr>
        <w:t>As a minor submission</w:t>
      </w:r>
      <w:r w:rsidR="00AF39FE" w:rsidRPr="009A571A">
        <w:rPr>
          <w:rFonts w:asciiTheme="minorHAnsi" w:hAnsiTheme="minorHAnsi"/>
          <w:sz w:val="24"/>
          <w:szCs w:val="24"/>
        </w:rPr>
        <w:t xml:space="preserve"> requesting a restriction change</w:t>
      </w:r>
      <w:r w:rsidRPr="009A571A">
        <w:rPr>
          <w:rFonts w:asciiTheme="minorHAnsi" w:hAnsiTheme="minorHAnsi"/>
          <w:sz w:val="24"/>
          <w:szCs w:val="24"/>
        </w:rPr>
        <w:t xml:space="preserve">, </w:t>
      </w:r>
      <w:r w:rsidR="00C00DA7" w:rsidRPr="009A571A">
        <w:rPr>
          <w:rFonts w:asciiTheme="minorHAnsi" w:hAnsiTheme="minorHAnsi"/>
          <w:sz w:val="24"/>
          <w:szCs w:val="24"/>
        </w:rPr>
        <w:t xml:space="preserve">an economic comparison </w:t>
      </w:r>
      <w:r w:rsidRPr="009A571A">
        <w:rPr>
          <w:rFonts w:asciiTheme="minorHAnsi" w:hAnsiTheme="minorHAnsi"/>
          <w:sz w:val="24"/>
          <w:szCs w:val="24"/>
        </w:rPr>
        <w:t>wa</w:t>
      </w:r>
      <w:r w:rsidR="00C00DA7" w:rsidRPr="009A571A">
        <w:rPr>
          <w:rFonts w:asciiTheme="minorHAnsi" w:hAnsiTheme="minorHAnsi"/>
          <w:sz w:val="24"/>
          <w:szCs w:val="24"/>
        </w:rPr>
        <w:t>s not relevant</w:t>
      </w:r>
      <w:r w:rsidR="009B0F67" w:rsidRPr="009A571A">
        <w:rPr>
          <w:rFonts w:asciiTheme="minorHAnsi" w:hAnsiTheme="minorHAnsi"/>
          <w:sz w:val="24"/>
          <w:szCs w:val="24"/>
        </w:rPr>
        <w:t>.</w:t>
      </w:r>
    </w:p>
    <w:p w:rsidR="00A55FEE" w:rsidRPr="009A571A" w:rsidRDefault="00A55FEE" w:rsidP="00A55FEE">
      <w:pPr>
        <w:ind w:left="720" w:hanging="720"/>
        <w:jc w:val="both"/>
        <w:rPr>
          <w:rFonts w:asciiTheme="minorHAnsi" w:hAnsiTheme="minorHAnsi"/>
          <w:b/>
          <w:i/>
        </w:rPr>
      </w:pPr>
    </w:p>
    <w:p w:rsidR="005A3173" w:rsidRPr="009A571A" w:rsidRDefault="005A3173" w:rsidP="00B1059E">
      <w:pPr>
        <w:pStyle w:val="Heading2"/>
        <w:rPr>
          <w:rFonts w:asciiTheme="minorHAnsi" w:hAnsiTheme="minorHAnsi"/>
          <w:sz w:val="28"/>
          <w:szCs w:val="28"/>
        </w:rPr>
      </w:pPr>
      <w:r w:rsidRPr="009A571A">
        <w:rPr>
          <w:rFonts w:asciiTheme="minorHAnsi" w:hAnsiTheme="minorHAnsi"/>
          <w:sz w:val="28"/>
          <w:szCs w:val="28"/>
        </w:rPr>
        <w:t>Estimated PBS usage &amp; financial implications</w:t>
      </w:r>
    </w:p>
    <w:p w:rsidR="005A3173" w:rsidRPr="009A571A" w:rsidRDefault="005A3173" w:rsidP="00882085">
      <w:pPr>
        <w:ind w:left="720" w:hanging="720"/>
        <w:jc w:val="both"/>
        <w:rPr>
          <w:rFonts w:asciiTheme="minorHAnsi" w:hAnsiTheme="minorHAnsi"/>
          <w:b/>
          <w:i/>
          <w:sz w:val="22"/>
          <w:szCs w:val="22"/>
        </w:rPr>
      </w:pPr>
    </w:p>
    <w:p w:rsidR="00AA3484" w:rsidRPr="009A571A" w:rsidRDefault="00FF2801" w:rsidP="00815A6F">
      <w:pPr>
        <w:pStyle w:val="ListParagraph"/>
        <w:numPr>
          <w:ilvl w:val="1"/>
          <w:numId w:val="5"/>
        </w:numPr>
        <w:rPr>
          <w:rFonts w:asciiTheme="minorHAnsi" w:hAnsiTheme="minorHAnsi"/>
          <w:sz w:val="24"/>
          <w:szCs w:val="24"/>
        </w:rPr>
      </w:pPr>
      <w:r w:rsidRPr="009A571A">
        <w:rPr>
          <w:rFonts w:asciiTheme="minorHAnsi" w:hAnsiTheme="minorHAnsi"/>
          <w:sz w:val="24"/>
          <w:szCs w:val="24"/>
        </w:rPr>
        <w:t>The minor submission estimated</w:t>
      </w:r>
      <w:r w:rsidR="00C00DA7" w:rsidRPr="009A571A">
        <w:rPr>
          <w:rFonts w:asciiTheme="minorHAnsi" w:hAnsiTheme="minorHAnsi"/>
          <w:sz w:val="24"/>
          <w:szCs w:val="24"/>
        </w:rPr>
        <w:t xml:space="preserve"> there to be no financial implications to the PBS as </w:t>
      </w:r>
      <w:r w:rsidR="00AA3484" w:rsidRPr="009A571A">
        <w:rPr>
          <w:rFonts w:asciiTheme="minorHAnsi" w:hAnsiTheme="minorHAnsi"/>
          <w:sz w:val="24"/>
          <w:szCs w:val="24"/>
        </w:rPr>
        <w:t>all erythropoiesis stimulating agents have been listed on the PBS on a cost-minimisation basis compared to epoetin alpha, on a unit per unit basis</w:t>
      </w:r>
      <w:r w:rsidR="00AF39FE" w:rsidRPr="009A571A">
        <w:rPr>
          <w:rFonts w:asciiTheme="minorHAnsi" w:hAnsiTheme="minorHAnsi"/>
          <w:sz w:val="24"/>
          <w:szCs w:val="24"/>
        </w:rPr>
        <w:t>, and no pricing change was requested</w:t>
      </w:r>
      <w:r w:rsidR="00AA3484" w:rsidRPr="009A571A">
        <w:rPr>
          <w:rFonts w:asciiTheme="minorHAnsi" w:hAnsiTheme="minorHAnsi"/>
          <w:sz w:val="24"/>
          <w:szCs w:val="24"/>
        </w:rPr>
        <w:t xml:space="preserve">. </w:t>
      </w:r>
    </w:p>
    <w:p w:rsidR="0082552B" w:rsidRPr="009A571A" w:rsidRDefault="0082552B" w:rsidP="0082552B">
      <w:pPr>
        <w:pStyle w:val="ListParagraph"/>
        <w:rPr>
          <w:rFonts w:asciiTheme="minorHAnsi" w:hAnsiTheme="minorHAnsi"/>
          <w:sz w:val="24"/>
          <w:szCs w:val="24"/>
        </w:rPr>
      </w:pPr>
    </w:p>
    <w:p w:rsidR="006638AE" w:rsidRPr="009A571A" w:rsidRDefault="0082552B" w:rsidP="0082552B">
      <w:pPr>
        <w:pStyle w:val="ListParagraph"/>
        <w:numPr>
          <w:ilvl w:val="1"/>
          <w:numId w:val="5"/>
        </w:numPr>
        <w:rPr>
          <w:rFonts w:asciiTheme="minorHAnsi" w:hAnsiTheme="minorHAnsi"/>
          <w:sz w:val="24"/>
          <w:szCs w:val="24"/>
        </w:rPr>
      </w:pPr>
      <w:r w:rsidRPr="009A571A">
        <w:rPr>
          <w:rFonts w:asciiTheme="minorHAnsi" w:hAnsiTheme="minorHAnsi"/>
          <w:sz w:val="24"/>
          <w:szCs w:val="24"/>
        </w:rPr>
        <w:t>The</w:t>
      </w:r>
      <w:r w:rsidR="006638AE" w:rsidRPr="009A571A">
        <w:rPr>
          <w:rFonts w:asciiTheme="minorHAnsi" w:hAnsiTheme="minorHAnsi"/>
          <w:sz w:val="24"/>
          <w:szCs w:val="24"/>
        </w:rPr>
        <w:t xml:space="preserve"> PBAC</w:t>
      </w:r>
      <w:r w:rsidRPr="009A571A">
        <w:rPr>
          <w:rFonts w:asciiTheme="minorHAnsi" w:hAnsiTheme="minorHAnsi"/>
          <w:sz w:val="24"/>
          <w:szCs w:val="24"/>
        </w:rPr>
        <w:t xml:space="preserve"> </w:t>
      </w:r>
      <w:r w:rsidR="00800083" w:rsidRPr="009A571A">
        <w:rPr>
          <w:rFonts w:asciiTheme="minorHAnsi" w:hAnsiTheme="minorHAnsi"/>
          <w:sz w:val="24"/>
          <w:szCs w:val="24"/>
        </w:rPr>
        <w:t xml:space="preserve">recalled </w:t>
      </w:r>
      <w:r w:rsidRPr="009A571A">
        <w:rPr>
          <w:rFonts w:asciiTheme="minorHAnsi" w:hAnsiTheme="minorHAnsi"/>
          <w:sz w:val="24"/>
          <w:szCs w:val="24"/>
        </w:rPr>
        <w:t xml:space="preserve">that epoetin lambda was recommended for listing by the PBAC at a price that was 10% lower than the PBS prices of the other erythropoiesis stimulating agents at that time (i.e. epoetin alpha, and epoetin beta, darbepoetin and methoxypolyethylene glycol-epoetin beta). In recommending </w:t>
      </w:r>
      <w:r w:rsidR="00E41FE2">
        <w:rPr>
          <w:rFonts w:asciiTheme="minorHAnsi" w:hAnsiTheme="minorHAnsi"/>
          <w:sz w:val="24"/>
          <w:szCs w:val="24"/>
        </w:rPr>
        <w:t xml:space="preserve">the </w:t>
      </w:r>
      <w:r w:rsidRPr="009A571A">
        <w:rPr>
          <w:rFonts w:asciiTheme="minorHAnsi" w:hAnsiTheme="minorHAnsi"/>
          <w:sz w:val="24"/>
          <w:szCs w:val="24"/>
        </w:rPr>
        <w:t>listing the PBAC advised the Minister and the</w:t>
      </w:r>
      <w:r w:rsidR="00800083" w:rsidRPr="009A571A">
        <w:rPr>
          <w:rFonts w:asciiTheme="minorHAnsi" w:hAnsiTheme="minorHAnsi"/>
          <w:sz w:val="24"/>
          <w:szCs w:val="24"/>
        </w:rPr>
        <w:t xml:space="preserve"> then</w:t>
      </w:r>
      <w:r w:rsidRPr="009A571A">
        <w:rPr>
          <w:rFonts w:asciiTheme="minorHAnsi" w:hAnsiTheme="minorHAnsi"/>
          <w:sz w:val="24"/>
          <w:szCs w:val="24"/>
        </w:rPr>
        <w:t xml:space="preserve"> Pricing Authority</w:t>
      </w:r>
      <w:r w:rsidR="00800083" w:rsidRPr="009A571A">
        <w:rPr>
          <w:rFonts w:asciiTheme="minorHAnsi" w:hAnsiTheme="minorHAnsi"/>
          <w:sz w:val="24"/>
          <w:szCs w:val="24"/>
        </w:rPr>
        <w:t>,</w:t>
      </w:r>
      <w:r w:rsidRPr="009A571A">
        <w:rPr>
          <w:rFonts w:asciiTheme="minorHAnsi" w:hAnsiTheme="minorHAnsi"/>
          <w:sz w:val="24"/>
          <w:szCs w:val="24"/>
        </w:rPr>
        <w:t xml:space="preserve"> that it was appropriate to apply the same price reduction offered in the submission to the other PBS-</w:t>
      </w:r>
      <w:r w:rsidR="005A418C" w:rsidRPr="009A571A">
        <w:rPr>
          <w:rFonts w:asciiTheme="minorHAnsi" w:hAnsiTheme="minorHAnsi"/>
          <w:sz w:val="24"/>
          <w:szCs w:val="24"/>
        </w:rPr>
        <w:t>listed erythropoiesis stimulating agents, including</w:t>
      </w:r>
      <w:r w:rsidRPr="009A571A">
        <w:rPr>
          <w:rFonts w:asciiTheme="minorHAnsi" w:hAnsiTheme="minorHAnsi"/>
          <w:sz w:val="24"/>
          <w:szCs w:val="24"/>
        </w:rPr>
        <w:t xml:space="preserve"> epoetin-alfa, epoetin beta, darbepoetin and methoxypolyethylene glycol-epoetin beta, all of which were recommended for listing on a cost-minimisation basis with epoetin alfa. </w:t>
      </w:r>
      <w:r w:rsidR="00800083" w:rsidRPr="009A571A">
        <w:rPr>
          <w:rFonts w:asciiTheme="minorHAnsi" w:hAnsiTheme="minorHAnsi"/>
          <w:sz w:val="24"/>
          <w:szCs w:val="24"/>
        </w:rPr>
        <w:t xml:space="preserve"> </w:t>
      </w:r>
      <w:r w:rsidRPr="009A571A">
        <w:rPr>
          <w:rFonts w:asciiTheme="minorHAnsi" w:hAnsiTheme="minorHAnsi"/>
          <w:sz w:val="24"/>
          <w:szCs w:val="24"/>
        </w:rPr>
        <w:t>The</w:t>
      </w:r>
      <w:r w:rsidR="00800083" w:rsidRPr="009A571A">
        <w:rPr>
          <w:rFonts w:asciiTheme="minorHAnsi" w:hAnsiTheme="minorHAnsi"/>
          <w:sz w:val="24"/>
          <w:szCs w:val="24"/>
        </w:rPr>
        <w:t xml:space="preserve"> Department advised that the</w:t>
      </w:r>
      <w:r w:rsidRPr="009A571A">
        <w:rPr>
          <w:rFonts w:asciiTheme="minorHAnsi" w:hAnsiTheme="minorHAnsi"/>
          <w:sz w:val="24"/>
          <w:szCs w:val="24"/>
        </w:rPr>
        <w:t xml:space="preserve"> restriction on the use of epoetin lambda to the intravenous route</w:t>
      </w:r>
      <w:r w:rsidR="00800083" w:rsidRPr="009A571A">
        <w:rPr>
          <w:rFonts w:asciiTheme="minorHAnsi" w:hAnsiTheme="minorHAnsi"/>
          <w:sz w:val="24"/>
          <w:szCs w:val="24"/>
        </w:rPr>
        <w:t xml:space="preserve"> had</w:t>
      </w:r>
      <w:r w:rsidRPr="009A571A">
        <w:rPr>
          <w:rFonts w:asciiTheme="minorHAnsi" w:hAnsiTheme="minorHAnsi"/>
          <w:sz w:val="24"/>
          <w:szCs w:val="24"/>
        </w:rPr>
        <w:t xml:space="preserve"> meant that only 50% of the 10% price reduction was</w:t>
      </w:r>
      <w:r w:rsidR="00800083" w:rsidRPr="009A571A">
        <w:rPr>
          <w:rFonts w:asciiTheme="minorHAnsi" w:hAnsiTheme="minorHAnsi"/>
          <w:sz w:val="24"/>
          <w:szCs w:val="24"/>
        </w:rPr>
        <w:t xml:space="preserve"> able to be</w:t>
      </w:r>
      <w:r w:rsidRPr="009A571A">
        <w:rPr>
          <w:rFonts w:asciiTheme="minorHAnsi" w:hAnsiTheme="minorHAnsi"/>
          <w:sz w:val="24"/>
          <w:szCs w:val="24"/>
        </w:rPr>
        <w:t xml:space="preserve"> flowed on to these other agents, reflecting the likely split between intravenous and subcutaneous use.</w:t>
      </w:r>
    </w:p>
    <w:p w:rsidR="006638AE" w:rsidRPr="009A571A" w:rsidRDefault="006638AE" w:rsidP="0074184F">
      <w:pPr>
        <w:pStyle w:val="ListParagraph"/>
        <w:rPr>
          <w:rFonts w:asciiTheme="minorHAnsi" w:hAnsiTheme="minorHAnsi"/>
          <w:sz w:val="24"/>
          <w:szCs w:val="24"/>
        </w:rPr>
      </w:pPr>
    </w:p>
    <w:p w:rsidR="00CC6180" w:rsidRPr="00475DBB" w:rsidRDefault="00ED273E" w:rsidP="00BF05ED">
      <w:pPr>
        <w:pStyle w:val="ListParagraph"/>
        <w:numPr>
          <w:ilvl w:val="1"/>
          <w:numId w:val="5"/>
        </w:numPr>
        <w:rPr>
          <w:rFonts w:asciiTheme="minorHAnsi" w:hAnsiTheme="minorHAnsi"/>
          <w:sz w:val="24"/>
          <w:szCs w:val="24"/>
        </w:rPr>
      </w:pPr>
      <w:r w:rsidRPr="009A571A">
        <w:rPr>
          <w:rFonts w:asciiTheme="minorHAnsi" w:hAnsiTheme="minorHAnsi"/>
          <w:sz w:val="24"/>
          <w:szCs w:val="24"/>
        </w:rPr>
        <w:t xml:space="preserve">The PBAC </w:t>
      </w:r>
      <w:r w:rsidR="00800083" w:rsidRPr="009A571A">
        <w:rPr>
          <w:rFonts w:asciiTheme="minorHAnsi" w:hAnsiTheme="minorHAnsi"/>
          <w:sz w:val="24"/>
          <w:szCs w:val="24"/>
        </w:rPr>
        <w:t xml:space="preserve">advised that it </w:t>
      </w:r>
      <w:r w:rsidRPr="009A571A">
        <w:rPr>
          <w:rFonts w:asciiTheme="minorHAnsi" w:hAnsiTheme="minorHAnsi"/>
          <w:sz w:val="24"/>
          <w:szCs w:val="24"/>
        </w:rPr>
        <w:t>considered that i</w:t>
      </w:r>
      <w:r w:rsidR="0082552B" w:rsidRPr="009A571A">
        <w:rPr>
          <w:rFonts w:asciiTheme="minorHAnsi" w:hAnsiTheme="minorHAnsi"/>
          <w:sz w:val="24"/>
          <w:szCs w:val="24"/>
        </w:rPr>
        <w:t xml:space="preserve">t would be appropriate for the Minister to seek </w:t>
      </w:r>
      <w:r w:rsidR="00800083" w:rsidRPr="009A571A">
        <w:rPr>
          <w:rFonts w:asciiTheme="minorHAnsi" w:hAnsiTheme="minorHAnsi"/>
          <w:sz w:val="24"/>
          <w:szCs w:val="24"/>
        </w:rPr>
        <w:t xml:space="preserve">to align the prices of </w:t>
      </w:r>
      <w:r w:rsidR="0082552B" w:rsidRPr="009A571A">
        <w:rPr>
          <w:rFonts w:asciiTheme="minorHAnsi" w:hAnsiTheme="minorHAnsi"/>
          <w:sz w:val="24"/>
          <w:szCs w:val="24"/>
        </w:rPr>
        <w:t>epoetin-alfa, epoetin beta, darbepoetin and methoxypolyethylene glycol-epoetin beta</w:t>
      </w:r>
      <w:r w:rsidR="00800083" w:rsidRPr="009A571A">
        <w:rPr>
          <w:rFonts w:asciiTheme="minorHAnsi" w:hAnsiTheme="minorHAnsi"/>
          <w:sz w:val="24"/>
          <w:szCs w:val="24"/>
        </w:rPr>
        <w:t xml:space="preserve"> with that of epoetin lambda, through reducing the prices of the first four drugs by 5% consistent with the price reduction that was not flowed on at the time epoetin lambda was listed.</w:t>
      </w:r>
    </w:p>
    <w:p w:rsidR="00BF05ED" w:rsidRPr="009A571A" w:rsidRDefault="00CC6180" w:rsidP="00CC6180">
      <w:pPr>
        <w:pStyle w:val="PBACHeading1"/>
        <w:jc w:val="both"/>
        <w:rPr>
          <w:rFonts w:asciiTheme="minorHAnsi" w:hAnsiTheme="minorHAnsi"/>
          <w:sz w:val="32"/>
          <w:szCs w:val="32"/>
        </w:rPr>
      </w:pPr>
      <w:r w:rsidRPr="009A571A">
        <w:rPr>
          <w:rFonts w:asciiTheme="minorHAnsi" w:hAnsiTheme="minorHAnsi"/>
          <w:sz w:val="32"/>
          <w:szCs w:val="32"/>
        </w:rPr>
        <w:lastRenderedPageBreak/>
        <w:t xml:space="preserve">PBAC Outcome </w:t>
      </w:r>
    </w:p>
    <w:p w:rsidR="00CC6180" w:rsidRPr="009A571A" w:rsidRDefault="00CC6180" w:rsidP="00CC6180">
      <w:pPr>
        <w:rPr>
          <w:snapToGrid w:val="0"/>
        </w:rPr>
      </w:pPr>
    </w:p>
    <w:p w:rsidR="00BF05ED" w:rsidRPr="00B935A5" w:rsidRDefault="00BF05ED" w:rsidP="00BF05ED">
      <w:pPr>
        <w:widowControl w:val="0"/>
        <w:numPr>
          <w:ilvl w:val="1"/>
          <w:numId w:val="5"/>
        </w:numPr>
        <w:spacing w:after="120"/>
        <w:jc w:val="both"/>
        <w:rPr>
          <w:rFonts w:asciiTheme="minorHAnsi" w:hAnsiTheme="minorHAnsi" w:cs="Arial"/>
          <w:bCs/>
          <w:snapToGrid w:val="0"/>
        </w:rPr>
      </w:pPr>
      <w:r w:rsidRPr="00B935A5">
        <w:rPr>
          <w:rFonts w:asciiTheme="minorHAnsi" w:hAnsiTheme="minorHAnsi" w:cs="Arial"/>
          <w:bCs/>
          <w:snapToGrid w:val="0"/>
        </w:rPr>
        <w:t xml:space="preserve">The PBAC recommended the </w:t>
      </w:r>
      <w:r w:rsidR="0074184F" w:rsidRPr="00B935A5">
        <w:rPr>
          <w:rFonts w:asciiTheme="minorHAnsi" w:hAnsiTheme="minorHAnsi" w:cs="Arial"/>
          <w:bCs/>
          <w:snapToGrid w:val="0"/>
        </w:rPr>
        <w:t xml:space="preserve">amendment of the existing restriction of epoetin lambda to remove the note ‘Epoetin lambda should only be administered by the intravenous route’ to allow for subcutaneous administration for the treatment of anaemia associated with intrinsic renal disease. </w:t>
      </w:r>
    </w:p>
    <w:p w:rsidR="0074184F" w:rsidRPr="00B935A5" w:rsidRDefault="0074184F" w:rsidP="00BF05ED">
      <w:pPr>
        <w:widowControl w:val="0"/>
        <w:numPr>
          <w:ilvl w:val="1"/>
          <w:numId w:val="5"/>
        </w:numPr>
        <w:spacing w:after="120"/>
        <w:jc w:val="both"/>
        <w:rPr>
          <w:rFonts w:asciiTheme="minorHAnsi" w:hAnsiTheme="minorHAnsi" w:cs="Arial"/>
          <w:bCs/>
          <w:snapToGrid w:val="0"/>
        </w:rPr>
      </w:pPr>
      <w:r w:rsidRPr="00B935A5">
        <w:rPr>
          <w:rFonts w:asciiTheme="minorHAnsi" w:hAnsiTheme="minorHAnsi" w:cs="Arial"/>
          <w:bCs/>
          <w:snapToGrid w:val="0"/>
        </w:rPr>
        <w:t xml:space="preserve">The PBAC </w:t>
      </w:r>
      <w:r w:rsidR="006B5FEA" w:rsidRPr="00B935A5">
        <w:rPr>
          <w:rFonts w:asciiTheme="minorHAnsi" w:hAnsiTheme="minorHAnsi" w:cs="Arial"/>
          <w:bCs/>
          <w:snapToGrid w:val="0"/>
        </w:rPr>
        <w:t xml:space="preserve">recalled </w:t>
      </w:r>
      <w:r w:rsidRPr="00B935A5">
        <w:rPr>
          <w:rFonts w:asciiTheme="minorHAnsi" w:hAnsiTheme="minorHAnsi" w:cs="Arial"/>
          <w:bCs/>
          <w:snapToGrid w:val="0"/>
        </w:rPr>
        <w:t>that the note was</w:t>
      </w:r>
      <w:r w:rsidR="00531BDF" w:rsidRPr="00B935A5">
        <w:rPr>
          <w:rFonts w:asciiTheme="minorHAnsi" w:hAnsiTheme="minorHAnsi" w:cs="Arial"/>
          <w:bCs/>
          <w:snapToGrid w:val="0"/>
        </w:rPr>
        <w:t xml:space="preserve"> previously</w:t>
      </w:r>
      <w:r w:rsidRPr="00B935A5">
        <w:rPr>
          <w:rFonts w:asciiTheme="minorHAnsi" w:hAnsiTheme="minorHAnsi" w:cs="Arial"/>
          <w:bCs/>
          <w:snapToGrid w:val="0"/>
        </w:rPr>
        <w:t xml:space="preserve"> based on information in the TGA </w:t>
      </w:r>
      <w:r w:rsidR="0048166A" w:rsidRPr="00B935A5">
        <w:rPr>
          <w:rFonts w:asciiTheme="minorHAnsi" w:hAnsiTheme="minorHAnsi" w:cs="Arial"/>
          <w:bCs/>
          <w:snapToGrid w:val="0"/>
        </w:rPr>
        <w:t>a</w:t>
      </w:r>
      <w:r w:rsidRPr="00B935A5">
        <w:rPr>
          <w:rFonts w:asciiTheme="minorHAnsi" w:hAnsiTheme="minorHAnsi" w:cs="Arial"/>
          <w:bCs/>
          <w:snapToGrid w:val="0"/>
        </w:rPr>
        <w:t xml:space="preserve">pproved Product Information, at the time of listing, which has since been updated to indicate that epoetin lambda can be administered subcutaneously where intravenous access is not readily available. </w:t>
      </w:r>
    </w:p>
    <w:p w:rsidR="006D79FD" w:rsidRPr="009A571A" w:rsidRDefault="00531BDF" w:rsidP="005F6D31">
      <w:pPr>
        <w:pStyle w:val="ListParagraph"/>
        <w:numPr>
          <w:ilvl w:val="1"/>
          <w:numId w:val="5"/>
        </w:numPr>
        <w:rPr>
          <w:rFonts w:asciiTheme="minorHAnsi" w:hAnsiTheme="minorHAnsi"/>
          <w:sz w:val="24"/>
          <w:szCs w:val="24"/>
        </w:rPr>
      </w:pPr>
      <w:r w:rsidRPr="009A571A">
        <w:rPr>
          <w:rFonts w:asciiTheme="minorHAnsi" w:hAnsiTheme="minorHAnsi"/>
          <w:sz w:val="24"/>
          <w:szCs w:val="24"/>
        </w:rPr>
        <w:t xml:space="preserve">The PBAC </w:t>
      </w:r>
      <w:r w:rsidR="005F6D31" w:rsidRPr="009A571A">
        <w:rPr>
          <w:rFonts w:asciiTheme="minorHAnsi" w:hAnsiTheme="minorHAnsi"/>
          <w:sz w:val="24"/>
          <w:szCs w:val="24"/>
        </w:rPr>
        <w:t xml:space="preserve">previously </w:t>
      </w:r>
      <w:r w:rsidRPr="009A571A">
        <w:rPr>
          <w:rFonts w:asciiTheme="minorHAnsi" w:hAnsiTheme="minorHAnsi"/>
          <w:sz w:val="24"/>
          <w:szCs w:val="24"/>
        </w:rPr>
        <w:t xml:space="preserve">advised that epoetin lambda should </w:t>
      </w:r>
      <w:r w:rsidRPr="00E41FE2">
        <w:rPr>
          <w:rFonts w:asciiTheme="minorHAnsi" w:hAnsiTheme="minorHAnsi"/>
          <w:sz w:val="24"/>
          <w:szCs w:val="24"/>
        </w:rPr>
        <w:t>not be treated as interchangeable with other PBS-subsidised erythropoiesis stimulating agents (i.e. epoetin alpha, epoetin beta, darbepoetin and methoxypolyethylene glycol-epoetin beta) at the July 2010 PBAC meeting, because epoetin lambda could only be ad</w:t>
      </w:r>
      <w:r w:rsidRPr="009A571A">
        <w:rPr>
          <w:rFonts w:asciiTheme="minorHAnsi" w:hAnsiTheme="minorHAnsi"/>
          <w:sz w:val="24"/>
          <w:szCs w:val="24"/>
        </w:rPr>
        <w:t>ministered intravenously (</w:t>
      </w:r>
      <w:r w:rsidR="009119C6">
        <w:rPr>
          <w:rFonts w:asciiTheme="minorHAnsi" w:hAnsiTheme="minorHAnsi"/>
          <w:sz w:val="24"/>
          <w:szCs w:val="24"/>
        </w:rPr>
        <w:t>Public Summary Document (PSD)</w:t>
      </w:r>
      <w:r w:rsidRPr="009A571A">
        <w:rPr>
          <w:rFonts w:asciiTheme="minorHAnsi" w:hAnsiTheme="minorHAnsi"/>
          <w:sz w:val="24"/>
          <w:szCs w:val="24"/>
        </w:rPr>
        <w:t xml:space="preserve">, July 2010). </w:t>
      </w:r>
      <w:r w:rsidR="005F6D31" w:rsidRPr="009A571A">
        <w:rPr>
          <w:rFonts w:asciiTheme="minorHAnsi" w:hAnsiTheme="minorHAnsi"/>
          <w:sz w:val="24"/>
          <w:szCs w:val="24"/>
        </w:rPr>
        <w:t xml:space="preserve">With the </w:t>
      </w:r>
      <w:r w:rsidR="0048166A" w:rsidRPr="009A571A">
        <w:rPr>
          <w:rFonts w:asciiTheme="minorHAnsi" w:hAnsiTheme="minorHAnsi"/>
          <w:sz w:val="24"/>
          <w:szCs w:val="24"/>
        </w:rPr>
        <w:t xml:space="preserve">recommended </w:t>
      </w:r>
      <w:r w:rsidR="005F6D31" w:rsidRPr="009A571A">
        <w:rPr>
          <w:rFonts w:asciiTheme="minorHAnsi" w:hAnsiTheme="minorHAnsi"/>
          <w:sz w:val="24"/>
          <w:szCs w:val="24"/>
        </w:rPr>
        <w:t xml:space="preserve">amendment </w:t>
      </w:r>
      <w:r w:rsidR="0048166A" w:rsidRPr="009A571A">
        <w:rPr>
          <w:rFonts w:asciiTheme="minorHAnsi" w:hAnsiTheme="minorHAnsi"/>
          <w:sz w:val="24"/>
          <w:szCs w:val="24"/>
        </w:rPr>
        <w:t>t</w:t>
      </w:r>
      <w:r w:rsidR="005F6D31" w:rsidRPr="009A571A">
        <w:rPr>
          <w:rFonts w:asciiTheme="minorHAnsi" w:hAnsiTheme="minorHAnsi"/>
          <w:sz w:val="24"/>
          <w:szCs w:val="24"/>
        </w:rPr>
        <w:t xml:space="preserve">o the restriction, </w:t>
      </w:r>
      <w:r w:rsidR="0048166A" w:rsidRPr="009A571A">
        <w:rPr>
          <w:rFonts w:asciiTheme="minorHAnsi" w:hAnsiTheme="minorHAnsi"/>
          <w:sz w:val="24"/>
          <w:szCs w:val="24"/>
        </w:rPr>
        <w:t xml:space="preserve">the </w:t>
      </w:r>
      <w:r w:rsidRPr="009A571A">
        <w:rPr>
          <w:rFonts w:asciiTheme="minorHAnsi" w:hAnsiTheme="minorHAnsi"/>
          <w:sz w:val="24"/>
          <w:szCs w:val="24"/>
        </w:rPr>
        <w:t xml:space="preserve">PBAC advised </w:t>
      </w:r>
      <w:r w:rsidR="0048166A" w:rsidRPr="009A571A">
        <w:rPr>
          <w:rFonts w:asciiTheme="minorHAnsi" w:hAnsiTheme="minorHAnsi"/>
          <w:sz w:val="24"/>
          <w:szCs w:val="24"/>
        </w:rPr>
        <w:t xml:space="preserve">that </w:t>
      </w:r>
      <w:r w:rsidRPr="009A571A">
        <w:rPr>
          <w:rFonts w:asciiTheme="minorHAnsi" w:hAnsiTheme="minorHAnsi"/>
          <w:sz w:val="24"/>
          <w:szCs w:val="24"/>
        </w:rPr>
        <w:t xml:space="preserve">under s101 </w:t>
      </w:r>
      <w:r w:rsidR="005F6D31" w:rsidRPr="009A571A">
        <w:rPr>
          <w:rFonts w:asciiTheme="minorHAnsi" w:hAnsiTheme="minorHAnsi"/>
          <w:sz w:val="24"/>
          <w:szCs w:val="24"/>
        </w:rPr>
        <w:t xml:space="preserve">(3BA) of the </w:t>
      </w:r>
      <w:r w:rsidR="005F6D31" w:rsidRPr="009A571A">
        <w:rPr>
          <w:rFonts w:asciiTheme="minorHAnsi" w:hAnsiTheme="minorHAnsi"/>
          <w:i/>
          <w:sz w:val="24"/>
          <w:szCs w:val="24"/>
        </w:rPr>
        <w:t xml:space="preserve">National Health </w:t>
      </w:r>
      <w:r w:rsidRPr="009A571A">
        <w:rPr>
          <w:rFonts w:asciiTheme="minorHAnsi" w:hAnsiTheme="minorHAnsi"/>
          <w:i/>
          <w:sz w:val="24"/>
          <w:szCs w:val="24"/>
        </w:rPr>
        <w:t>Act</w:t>
      </w:r>
      <w:r w:rsidR="0048166A" w:rsidRPr="009A571A">
        <w:rPr>
          <w:rFonts w:asciiTheme="minorHAnsi" w:hAnsiTheme="minorHAnsi"/>
          <w:i/>
          <w:sz w:val="24"/>
          <w:szCs w:val="24"/>
        </w:rPr>
        <w:t>, 1953</w:t>
      </w:r>
      <w:r w:rsidRPr="009A571A">
        <w:rPr>
          <w:rFonts w:asciiTheme="minorHAnsi" w:hAnsiTheme="minorHAnsi"/>
          <w:sz w:val="24"/>
          <w:szCs w:val="24"/>
        </w:rPr>
        <w:t xml:space="preserve"> that epoetin lambda should be treated as interchangeable with </w:t>
      </w:r>
      <w:r w:rsidR="0048166A" w:rsidRPr="009A571A">
        <w:rPr>
          <w:rFonts w:asciiTheme="minorHAnsi" w:hAnsiTheme="minorHAnsi"/>
          <w:sz w:val="24"/>
          <w:szCs w:val="24"/>
        </w:rPr>
        <w:t xml:space="preserve">all </w:t>
      </w:r>
      <w:r w:rsidRPr="009A571A">
        <w:rPr>
          <w:rFonts w:asciiTheme="minorHAnsi" w:hAnsiTheme="minorHAnsi"/>
          <w:sz w:val="24"/>
          <w:szCs w:val="24"/>
        </w:rPr>
        <w:t xml:space="preserve">other PBS-subsidised erythropoiesis stimulating agents on an individual patient basis. </w:t>
      </w:r>
    </w:p>
    <w:p w:rsidR="00531BDF" w:rsidRPr="009A571A" w:rsidRDefault="00531BDF" w:rsidP="00F305F1">
      <w:pPr>
        <w:pStyle w:val="ListParagraph"/>
        <w:rPr>
          <w:rFonts w:asciiTheme="minorHAnsi" w:hAnsiTheme="minorHAnsi"/>
          <w:i/>
          <w:sz w:val="24"/>
          <w:szCs w:val="24"/>
        </w:rPr>
      </w:pPr>
    </w:p>
    <w:p w:rsidR="006D79FD" w:rsidRPr="009A571A" w:rsidRDefault="006D79FD" w:rsidP="005F6D31">
      <w:pPr>
        <w:pStyle w:val="ListParagraph"/>
        <w:numPr>
          <w:ilvl w:val="1"/>
          <w:numId w:val="5"/>
        </w:numPr>
        <w:rPr>
          <w:rFonts w:asciiTheme="minorHAnsi" w:hAnsiTheme="minorHAnsi"/>
          <w:sz w:val="24"/>
          <w:szCs w:val="24"/>
        </w:rPr>
      </w:pPr>
      <w:r w:rsidRPr="009A571A">
        <w:rPr>
          <w:rFonts w:asciiTheme="minorHAnsi" w:hAnsiTheme="minorHAnsi"/>
          <w:sz w:val="24"/>
          <w:szCs w:val="24"/>
        </w:rPr>
        <w:t xml:space="preserve">The PBAC noted </w:t>
      </w:r>
      <w:r w:rsidR="00ED273E" w:rsidRPr="009A571A">
        <w:rPr>
          <w:rFonts w:asciiTheme="minorHAnsi" w:hAnsiTheme="minorHAnsi"/>
          <w:sz w:val="24"/>
          <w:szCs w:val="24"/>
        </w:rPr>
        <w:t xml:space="preserve">that </w:t>
      </w:r>
      <w:r w:rsidRPr="009A571A">
        <w:rPr>
          <w:rFonts w:asciiTheme="minorHAnsi" w:hAnsiTheme="minorHAnsi"/>
          <w:sz w:val="24"/>
          <w:szCs w:val="24"/>
        </w:rPr>
        <w:t xml:space="preserve">the amendment </w:t>
      </w:r>
      <w:r w:rsidR="00ED273E" w:rsidRPr="009A571A">
        <w:rPr>
          <w:rFonts w:asciiTheme="minorHAnsi" w:hAnsiTheme="minorHAnsi"/>
          <w:sz w:val="24"/>
          <w:szCs w:val="24"/>
        </w:rPr>
        <w:t>t</w:t>
      </w:r>
      <w:r w:rsidRPr="009A571A">
        <w:rPr>
          <w:rFonts w:asciiTheme="minorHAnsi" w:hAnsiTheme="minorHAnsi"/>
          <w:sz w:val="24"/>
          <w:szCs w:val="24"/>
        </w:rPr>
        <w:t xml:space="preserve">o the </w:t>
      </w:r>
      <w:r w:rsidR="002913D9" w:rsidRPr="009A571A">
        <w:rPr>
          <w:rFonts w:asciiTheme="minorHAnsi" w:hAnsiTheme="minorHAnsi"/>
          <w:sz w:val="24"/>
          <w:szCs w:val="24"/>
        </w:rPr>
        <w:t xml:space="preserve">restriction </w:t>
      </w:r>
      <w:r w:rsidRPr="009A571A">
        <w:rPr>
          <w:rFonts w:asciiTheme="minorHAnsi" w:hAnsiTheme="minorHAnsi"/>
          <w:sz w:val="24"/>
          <w:szCs w:val="24"/>
        </w:rPr>
        <w:t>wording would have flow on pricing implication</w:t>
      </w:r>
      <w:r w:rsidR="00ED273E" w:rsidRPr="009A571A">
        <w:rPr>
          <w:rFonts w:asciiTheme="minorHAnsi" w:hAnsiTheme="minorHAnsi"/>
          <w:sz w:val="24"/>
          <w:szCs w:val="24"/>
        </w:rPr>
        <w:t>s</w:t>
      </w:r>
      <w:r w:rsidRPr="009A571A">
        <w:rPr>
          <w:rFonts w:asciiTheme="minorHAnsi" w:hAnsiTheme="minorHAnsi"/>
          <w:sz w:val="24"/>
          <w:szCs w:val="24"/>
        </w:rPr>
        <w:t xml:space="preserve"> for the other erythropoiesis stimulating medicines listed on the PBS.</w:t>
      </w:r>
    </w:p>
    <w:p w:rsidR="003A1362" w:rsidRPr="009A571A" w:rsidRDefault="003A1362" w:rsidP="008708C1">
      <w:pPr>
        <w:pStyle w:val="ListParagraph"/>
        <w:rPr>
          <w:rFonts w:asciiTheme="minorHAnsi" w:hAnsiTheme="minorHAnsi"/>
          <w:i/>
          <w:sz w:val="24"/>
          <w:szCs w:val="24"/>
        </w:rPr>
      </w:pPr>
    </w:p>
    <w:p w:rsidR="00D94A71" w:rsidRPr="00B935A5" w:rsidRDefault="00BF05ED" w:rsidP="008708C1">
      <w:pPr>
        <w:widowControl w:val="0"/>
        <w:numPr>
          <w:ilvl w:val="1"/>
          <w:numId w:val="5"/>
        </w:numPr>
        <w:spacing w:after="120"/>
        <w:jc w:val="both"/>
        <w:rPr>
          <w:rFonts w:asciiTheme="minorHAnsi" w:hAnsiTheme="minorHAnsi" w:cs="Arial"/>
          <w:bCs/>
          <w:i/>
          <w:snapToGrid w:val="0"/>
        </w:rPr>
      </w:pPr>
      <w:r w:rsidRPr="00B935A5">
        <w:rPr>
          <w:rFonts w:asciiTheme="minorHAnsi" w:hAnsiTheme="minorHAnsi" w:cs="Arial"/>
          <w:bCs/>
          <w:snapToGrid w:val="0"/>
        </w:rPr>
        <w:t>The PBAC noted that this submission is not eligible for an Independent Review</w:t>
      </w:r>
      <w:r w:rsidR="00D94A71" w:rsidRPr="00B935A5">
        <w:rPr>
          <w:rFonts w:asciiTheme="minorHAnsi" w:hAnsiTheme="minorHAnsi" w:cs="Arial"/>
          <w:bCs/>
          <w:snapToGrid w:val="0"/>
        </w:rPr>
        <w:t xml:space="preserve"> because it received a positive recommendation</w:t>
      </w:r>
      <w:r w:rsidRPr="00B935A5">
        <w:rPr>
          <w:rFonts w:asciiTheme="minorHAnsi" w:hAnsiTheme="minorHAnsi" w:cs="Arial"/>
          <w:bCs/>
          <w:snapToGrid w:val="0"/>
        </w:rPr>
        <w:t xml:space="preserve">. </w:t>
      </w:r>
    </w:p>
    <w:p w:rsidR="00BF05ED" w:rsidRPr="00B935A5" w:rsidRDefault="00BF05ED" w:rsidP="00BF05ED">
      <w:pPr>
        <w:spacing w:before="240"/>
        <w:jc w:val="both"/>
        <w:rPr>
          <w:rFonts w:asciiTheme="minorHAnsi" w:hAnsiTheme="minorHAnsi" w:cs="Arial"/>
          <w:b/>
          <w:bCs/>
          <w:snapToGrid w:val="0"/>
          <w:sz w:val="28"/>
          <w:szCs w:val="28"/>
        </w:rPr>
      </w:pPr>
      <w:r w:rsidRPr="00B935A5">
        <w:rPr>
          <w:rFonts w:asciiTheme="minorHAnsi" w:hAnsiTheme="minorHAnsi" w:cs="Arial"/>
          <w:b/>
          <w:bCs/>
          <w:snapToGrid w:val="0"/>
          <w:sz w:val="28"/>
          <w:szCs w:val="28"/>
        </w:rPr>
        <w:t>Outcome:</w:t>
      </w:r>
    </w:p>
    <w:p w:rsidR="00BF05ED" w:rsidRPr="00B935A5" w:rsidRDefault="00BF05ED" w:rsidP="00BF05ED">
      <w:pPr>
        <w:jc w:val="both"/>
        <w:rPr>
          <w:rFonts w:asciiTheme="minorHAnsi" w:hAnsiTheme="minorHAnsi" w:cs="Arial"/>
          <w:bCs/>
          <w:snapToGrid w:val="0"/>
        </w:rPr>
      </w:pPr>
      <w:r w:rsidRPr="00B935A5">
        <w:rPr>
          <w:rFonts w:asciiTheme="minorHAnsi" w:hAnsiTheme="minorHAnsi" w:cs="Arial"/>
          <w:bCs/>
          <w:snapToGrid w:val="0"/>
        </w:rPr>
        <w:t xml:space="preserve">Recommended </w:t>
      </w:r>
    </w:p>
    <w:p w:rsidR="00BF05ED" w:rsidRPr="009A571A" w:rsidRDefault="00BF05ED" w:rsidP="00BF05ED">
      <w:pPr>
        <w:widowControl w:val="0"/>
        <w:jc w:val="both"/>
        <w:rPr>
          <w:rFonts w:asciiTheme="minorHAnsi" w:hAnsiTheme="minorHAnsi" w:cs="Arial"/>
          <w:b/>
          <w:bCs/>
          <w:snapToGrid w:val="0"/>
        </w:rPr>
      </w:pPr>
    </w:p>
    <w:p w:rsidR="002913D9" w:rsidRPr="009A571A" w:rsidRDefault="002913D9" w:rsidP="00BF05ED">
      <w:pPr>
        <w:widowControl w:val="0"/>
        <w:jc w:val="both"/>
        <w:rPr>
          <w:rFonts w:asciiTheme="minorHAnsi" w:hAnsiTheme="minorHAnsi"/>
        </w:rPr>
      </w:pPr>
    </w:p>
    <w:p w:rsidR="00BF05ED" w:rsidRPr="00795ADF" w:rsidRDefault="00BF05ED" w:rsidP="00795ADF">
      <w:pPr>
        <w:widowControl w:val="0"/>
        <w:numPr>
          <w:ilvl w:val="0"/>
          <w:numId w:val="5"/>
        </w:numPr>
        <w:spacing w:before="240" w:after="120"/>
        <w:jc w:val="both"/>
        <w:outlineLvl w:val="0"/>
        <w:rPr>
          <w:rFonts w:asciiTheme="minorHAnsi" w:hAnsiTheme="minorHAnsi" w:cs="Arial"/>
          <w:b/>
          <w:bCs/>
          <w:i/>
          <w:snapToGrid w:val="0"/>
          <w:sz w:val="32"/>
          <w:szCs w:val="32"/>
        </w:rPr>
      </w:pPr>
      <w:r w:rsidRPr="00795ADF">
        <w:rPr>
          <w:rFonts w:asciiTheme="minorHAnsi" w:hAnsiTheme="minorHAnsi" w:cs="Arial"/>
          <w:b/>
          <w:bCs/>
          <w:snapToGrid w:val="0"/>
          <w:sz w:val="32"/>
          <w:szCs w:val="32"/>
        </w:rPr>
        <w:t>Recommended listing</w:t>
      </w:r>
    </w:p>
    <w:p w:rsidR="00BF05ED" w:rsidRPr="009A571A" w:rsidRDefault="00BF05ED" w:rsidP="00BF05ED">
      <w:pPr>
        <w:widowControl w:val="0"/>
        <w:ind w:firstLine="709"/>
        <w:jc w:val="both"/>
        <w:rPr>
          <w:rFonts w:asciiTheme="minorHAnsi" w:hAnsiTheme="minorHAnsi" w:cs="Arial"/>
          <w:bCs/>
          <w:snapToGrid w:val="0"/>
        </w:rPr>
      </w:pPr>
      <w:r w:rsidRPr="009A571A">
        <w:rPr>
          <w:rFonts w:asciiTheme="minorHAnsi" w:hAnsiTheme="minorHAnsi" w:cs="Arial"/>
          <w:bCs/>
          <w:snapToGrid w:val="0"/>
        </w:rPr>
        <w:t>Delete NOTE:</w:t>
      </w:r>
    </w:p>
    <w:p w:rsidR="006B5FEA" w:rsidRPr="009A571A" w:rsidRDefault="006B5FEA" w:rsidP="00BF05ED">
      <w:pPr>
        <w:widowControl w:val="0"/>
        <w:ind w:firstLine="709"/>
        <w:jc w:val="both"/>
        <w:rPr>
          <w:rFonts w:asciiTheme="minorHAnsi" w:hAnsiTheme="minorHAnsi" w:cs="Arial"/>
          <w:bCs/>
          <w:snapToGrid w:val="0"/>
        </w:rPr>
      </w:pPr>
      <w:r w:rsidRPr="009A571A">
        <w:rPr>
          <w:rFonts w:asciiTheme="minorHAnsi" w:hAnsiTheme="minorHAnsi"/>
        </w:rPr>
        <w:t>Epoetin lambda should only be administrated by the intravenous route</w:t>
      </w:r>
    </w:p>
    <w:p w:rsidR="00BF05ED" w:rsidRDefault="00BF05ED" w:rsidP="00C00DA7">
      <w:pPr>
        <w:jc w:val="both"/>
        <w:rPr>
          <w:rFonts w:asciiTheme="minorHAnsi" w:hAnsiTheme="minorHAnsi"/>
          <w:sz w:val="22"/>
          <w:szCs w:val="22"/>
        </w:rPr>
      </w:pPr>
    </w:p>
    <w:p w:rsidR="000A3707" w:rsidRDefault="000A3707" w:rsidP="00C00DA7">
      <w:pPr>
        <w:jc w:val="both"/>
        <w:rPr>
          <w:rFonts w:asciiTheme="minorHAnsi" w:hAnsiTheme="minorHAnsi"/>
          <w:sz w:val="22"/>
          <w:szCs w:val="22"/>
        </w:rPr>
      </w:pPr>
    </w:p>
    <w:p w:rsidR="000A3707" w:rsidRDefault="000A3707" w:rsidP="00C00DA7">
      <w:pPr>
        <w:jc w:val="both"/>
        <w:rPr>
          <w:rFonts w:asciiTheme="minorHAnsi" w:hAnsiTheme="minorHAnsi"/>
          <w:sz w:val="22"/>
          <w:szCs w:val="22"/>
        </w:rPr>
      </w:pPr>
    </w:p>
    <w:p w:rsidR="000A3707" w:rsidRDefault="000A3707" w:rsidP="00C00DA7">
      <w:pPr>
        <w:jc w:val="both"/>
        <w:rPr>
          <w:rFonts w:asciiTheme="minorHAnsi" w:hAnsiTheme="minorHAnsi"/>
          <w:sz w:val="22"/>
          <w:szCs w:val="22"/>
        </w:rPr>
      </w:pPr>
    </w:p>
    <w:p w:rsidR="000A3707" w:rsidRPr="009A571A" w:rsidRDefault="000A3707" w:rsidP="00C00DA7">
      <w:pPr>
        <w:jc w:val="both"/>
        <w:rPr>
          <w:rFonts w:asciiTheme="minorHAnsi" w:hAnsiTheme="minorHAnsi"/>
          <w:sz w:val="22"/>
          <w:szCs w:val="22"/>
        </w:rPr>
      </w:pPr>
    </w:p>
    <w:p w:rsidR="009119C6" w:rsidRPr="009119C6" w:rsidRDefault="009119C6" w:rsidP="009119C6">
      <w:pPr>
        <w:widowControl w:val="0"/>
        <w:numPr>
          <w:ilvl w:val="0"/>
          <w:numId w:val="5"/>
        </w:numPr>
        <w:spacing w:before="240" w:after="120"/>
        <w:jc w:val="both"/>
        <w:outlineLvl w:val="0"/>
        <w:rPr>
          <w:rFonts w:asciiTheme="minorHAnsi" w:eastAsiaTheme="minorHAnsi" w:hAnsiTheme="minorHAnsi" w:cstheme="minorBidi"/>
          <w:b/>
          <w:sz w:val="32"/>
          <w:szCs w:val="32"/>
          <w:lang w:eastAsia="en-US"/>
        </w:rPr>
      </w:pPr>
      <w:r w:rsidRPr="009119C6">
        <w:rPr>
          <w:rFonts w:asciiTheme="minorHAnsi" w:eastAsiaTheme="minorHAnsi" w:hAnsiTheme="minorHAnsi" w:cstheme="minorBidi"/>
          <w:b/>
          <w:sz w:val="32"/>
          <w:szCs w:val="32"/>
          <w:lang w:eastAsia="en-US"/>
        </w:rPr>
        <w:lastRenderedPageBreak/>
        <w:t>Context for Decision</w:t>
      </w:r>
    </w:p>
    <w:p w:rsidR="009119C6" w:rsidRPr="009119C6" w:rsidRDefault="009119C6" w:rsidP="009119C6">
      <w:pPr>
        <w:spacing w:line="276" w:lineRule="auto"/>
        <w:ind w:left="426"/>
        <w:jc w:val="both"/>
        <w:rPr>
          <w:rFonts w:asciiTheme="minorHAnsi" w:eastAsiaTheme="minorHAnsi" w:hAnsiTheme="minorHAnsi" w:cs="Arial"/>
          <w:lang w:eastAsia="en-US"/>
        </w:rPr>
      </w:pPr>
    </w:p>
    <w:p w:rsidR="009119C6" w:rsidRPr="009119C6" w:rsidRDefault="009119C6" w:rsidP="00475DBB">
      <w:pPr>
        <w:spacing w:line="276" w:lineRule="auto"/>
        <w:jc w:val="both"/>
        <w:rPr>
          <w:rFonts w:asciiTheme="minorHAnsi" w:eastAsiaTheme="minorHAnsi" w:hAnsiTheme="minorHAnsi" w:cs="Arial"/>
          <w:lang w:eastAsia="en-US"/>
        </w:rPr>
      </w:pPr>
      <w:r w:rsidRPr="009119C6">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119C6" w:rsidRPr="009119C6" w:rsidRDefault="009119C6" w:rsidP="009119C6">
      <w:pPr>
        <w:spacing w:after="200" w:line="276" w:lineRule="auto"/>
        <w:ind w:left="426"/>
        <w:jc w:val="both"/>
        <w:rPr>
          <w:rFonts w:asciiTheme="minorHAnsi" w:eastAsiaTheme="minorHAnsi" w:hAnsiTheme="minorHAnsi" w:cs="Arial"/>
          <w:lang w:eastAsia="en-US"/>
        </w:rPr>
      </w:pPr>
    </w:p>
    <w:p w:rsidR="009119C6" w:rsidRPr="009119C6" w:rsidRDefault="009119C6" w:rsidP="009119C6">
      <w:pPr>
        <w:widowControl w:val="0"/>
        <w:numPr>
          <w:ilvl w:val="0"/>
          <w:numId w:val="5"/>
        </w:numPr>
        <w:spacing w:before="240" w:after="120"/>
        <w:jc w:val="both"/>
        <w:outlineLvl w:val="0"/>
        <w:rPr>
          <w:rFonts w:asciiTheme="minorHAnsi" w:eastAsiaTheme="minorHAnsi" w:hAnsiTheme="minorHAnsi" w:cstheme="minorBidi"/>
          <w:b/>
          <w:sz w:val="32"/>
          <w:szCs w:val="32"/>
          <w:lang w:eastAsia="en-US"/>
        </w:rPr>
      </w:pPr>
      <w:r w:rsidRPr="009119C6">
        <w:rPr>
          <w:rFonts w:asciiTheme="minorHAnsi" w:eastAsiaTheme="minorHAnsi" w:hAnsiTheme="minorHAnsi" w:cstheme="minorBidi"/>
          <w:b/>
          <w:sz w:val="32"/>
          <w:szCs w:val="32"/>
          <w:lang w:eastAsia="en-US"/>
        </w:rPr>
        <w:t>Sponsor’s Comment</w:t>
      </w:r>
    </w:p>
    <w:p w:rsidR="009119C6" w:rsidRPr="009119C6" w:rsidRDefault="009119C6" w:rsidP="009119C6">
      <w:pPr>
        <w:spacing w:line="276" w:lineRule="auto"/>
        <w:ind w:left="426"/>
        <w:jc w:val="both"/>
        <w:rPr>
          <w:rFonts w:asciiTheme="minorHAnsi" w:eastAsiaTheme="minorHAnsi" w:hAnsiTheme="minorHAnsi" w:cs="Arial"/>
          <w:bCs/>
          <w:highlight w:val="yellow"/>
          <w:lang w:val="en-GB" w:eastAsia="en-US"/>
        </w:rPr>
      </w:pPr>
    </w:p>
    <w:p w:rsidR="009119C6" w:rsidRPr="009119C6" w:rsidRDefault="009119C6" w:rsidP="00475DBB">
      <w:pPr>
        <w:spacing w:after="120" w:line="276" w:lineRule="auto"/>
        <w:jc w:val="both"/>
        <w:rPr>
          <w:rFonts w:asciiTheme="minorHAnsi" w:eastAsiaTheme="minorHAnsi" w:hAnsiTheme="minorHAnsi" w:cs="Arial"/>
          <w:bCs/>
          <w:lang w:eastAsia="en-US"/>
        </w:rPr>
      </w:pPr>
      <w:r w:rsidRPr="009119C6">
        <w:rPr>
          <w:rFonts w:asciiTheme="minorHAnsi" w:eastAsiaTheme="minorHAnsi" w:hAnsiTheme="minorHAnsi" w:cs="Arial"/>
          <w:bCs/>
          <w:lang w:eastAsia="en-US"/>
        </w:rPr>
        <w:t>The sponsor had no comment.</w:t>
      </w:r>
    </w:p>
    <w:p w:rsidR="00F64CC1" w:rsidRPr="009A571A" w:rsidRDefault="00F64CC1" w:rsidP="00F64CC1">
      <w:pPr>
        <w:jc w:val="both"/>
        <w:rPr>
          <w:rFonts w:ascii="Arial" w:hAnsi="Arial"/>
          <w:sz w:val="22"/>
          <w:szCs w:val="22"/>
        </w:rPr>
      </w:pPr>
    </w:p>
    <w:sectPr w:rsidR="00F64CC1" w:rsidRPr="009A571A"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BF" w:rsidRDefault="00D558BF">
      <w:r>
        <w:separator/>
      </w:r>
    </w:p>
    <w:p w:rsidR="00D558BF" w:rsidRDefault="00D558BF"/>
  </w:endnote>
  <w:endnote w:type="continuationSeparator" w:id="0">
    <w:p w:rsidR="00D558BF" w:rsidRDefault="00D558BF">
      <w:r>
        <w:continuationSeparator/>
      </w:r>
    </w:p>
    <w:p w:rsidR="00D558BF" w:rsidRDefault="00D55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405EF" w:rsidTr="005A3173">
      <w:trPr>
        <w:trHeight w:val="151"/>
      </w:trPr>
      <w:tc>
        <w:tcPr>
          <w:tcW w:w="2250" w:type="pct"/>
          <w:tcBorders>
            <w:top w:val="nil"/>
            <w:left w:val="nil"/>
            <w:bottom w:val="single" w:sz="4" w:space="0" w:color="4F81BD"/>
            <w:right w:val="nil"/>
          </w:tcBorders>
        </w:tcPr>
        <w:p w:rsidR="004405EF" w:rsidRPr="005A3173" w:rsidRDefault="004405E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405EF" w:rsidRPr="005A3173" w:rsidRDefault="004405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05EF" w:rsidRPr="005A3173" w:rsidRDefault="004405EF" w:rsidP="005A3173">
          <w:pPr>
            <w:pStyle w:val="Header"/>
            <w:spacing w:line="276" w:lineRule="auto"/>
            <w:rPr>
              <w:rFonts w:ascii="Calibri" w:eastAsia="MS Gothic" w:hAnsi="Calibri"/>
              <w:b/>
              <w:bCs/>
              <w:color w:val="4F81BD"/>
            </w:rPr>
          </w:pPr>
        </w:p>
      </w:tc>
    </w:tr>
    <w:tr w:rsidR="004405EF" w:rsidTr="005A3173">
      <w:trPr>
        <w:trHeight w:val="150"/>
      </w:trPr>
      <w:tc>
        <w:tcPr>
          <w:tcW w:w="2250" w:type="pct"/>
          <w:tcBorders>
            <w:top w:val="single" w:sz="4" w:space="0" w:color="4F81BD"/>
            <w:left w:val="nil"/>
            <w:bottom w:val="nil"/>
            <w:right w:val="nil"/>
          </w:tcBorders>
        </w:tcPr>
        <w:p w:rsidR="004405EF" w:rsidRPr="005A3173" w:rsidRDefault="004405EF" w:rsidP="005A3173">
          <w:pPr>
            <w:pStyle w:val="Header"/>
            <w:spacing w:line="276" w:lineRule="auto"/>
            <w:rPr>
              <w:rFonts w:ascii="Calibri" w:eastAsia="MS Gothic" w:hAnsi="Calibri"/>
              <w:b/>
              <w:bCs/>
              <w:color w:val="4F81BD"/>
            </w:rPr>
          </w:pPr>
        </w:p>
      </w:tc>
      <w:tc>
        <w:tcPr>
          <w:tcW w:w="0" w:type="auto"/>
          <w:vMerge/>
          <w:vAlign w:val="center"/>
          <w:hideMark/>
        </w:tcPr>
        <w:p w:rsidR="004405EF" w:rsidRPr="005A3173" w:rsidRDefault="004405EF" w:rsidP="005A3173">
          <w:pPr>
            <w:rPr>
              <w:rFonts w:ascii="Calibri" w:hAnsi="Calibri"/>
              <w:color w:val="365F91"/>
              <w:sz w:val="22"/>
              <w:szCs w:val="22"/>
            </w:rPr>
          </w:pPr>
        </w:p>
      </w:tc>
      <w:tc>
        <w:tcPr>
          <w:tcW w:w="2250" w:type="pct"/>
          <w:tcBorders>
            <w:top w:val="single" w:sz="4" w:space="0" w:color="4F81BD"/>
            <w:left w:val="nil"/>
            <w:bottom w:val="nil"/>
            <w:right w:val="nil"/>
          </w:tcBorders>
        </w:tcPr>
        <w:p w:rsidR="004405EF" w:rsidRPr="005A3173" w:rsidRDefault="004405EF" w:rsidP="005A3173">
          <w:pPr>
            <w:pStyle w:val="Header"/>
            <w:spacing w:line="276" w:lineRule="auto"/>
            <w:rPr>
              <w:rFonts w:ascii="Calibri" w:eastAsia="MS Gothic" w:hAnsi="Calibri"/>
              <w:b/>
              <w:bCs/>
              <w:color w:val="4F81BD"/>
            </w:rPr>
          </w:pPr>
        </w:p>
      </w:tc>
    </w:tr>
  </w:tbl>
  <w:p w:rsidR="004405EF" w:rsidRDefault="004405E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05EF" w:rsidRDefault="004405EF">
    <w:pPr>
      <w:pStyle w:val="Footer"/>
    </w:pPr>
  </w:p>
  <w:p w:rsidR="004405EF" w:rsidRDefault="004405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060637287"/>
      <w:docPartObj>
        <w:docPartGallery w:val="Page Numbers (Bottom of Page)"/>
        <w:docPartUnique/>
      </w:docPartObj>
    </w:sdtPr>
    <w:sdtEndPr>
      <w:rPr>
        <w:noProof/>
      </w:rPr>
    </w:sdtEndPr>
    <w:sdtContent>
      <w:p w:rsidR="00BF05ED" w:rsidRDefault="00BF05ED">
        <w:pPr>
          <w:pStyle w:val="Footer"/>
          <w:jc w:val="center"/>
          <w:rPr>
            <w:rFonts w:asciiTheme="minorHAnsi" w:hAnsiTheme="minorHAnsi"/>
          </w:rPr>
        </w:pPr>
      </w:p>
      <w:p w:rsidR="004405EF" w:rsidRPr="00BF05ED" w:rsidRDefault="00BF05ED" w:rsidP="00BF05ED">
        <w:pPr>
          <w:pStyle w:val="Footer"/>
          <w:jc w:val="center"/>
          <w:rPr>
            <w:rFonts w:asciiTheme="minorHAnsi" w:hAnsiTheme="minorHAnsi"/>
          </w:rPr>
        </w:pPr>
        <w:r w:rsidRPr="00BF05ED">
          <w:rPr>
            <w:rFonts w:asciiTheme="minorHAnsi" w:hAnsiTheme="minorHAnsi"/>
          </w:rPr>
          <w:fldChar w:fldCharType="begin"/>
        </w:r>
        <w:r w:rsidRPr="00BF05ED">
          <w:rPr>
            <w:rFonts w:asciiTheme="minorHAnsi" w:hAnsiTheme="minorHAnsi"/>
          </w:rPr>
          <w:instrText xml:space="preserve"> PAGE   \* MERGEFORMAT </w:instrText>
        </w:r>
        <w:r w:rsidRPr="00BF05ED">
          <w:rPr>
            <w:rFonts w:asciiTheme="minorHAnsi" w:hAnsiTheme="minorHAnsi"/>
          </w:rPr>
          <w:fldChar w:fldCharType="separate"/>
        </w:r>
        <w:r w:rsidR="00D558BF">
          <w:rPr>
            <w:rFonts w:asciiTheme="minorHAnsi" w:hAnsiTheme="minorHAnsi"/>
            <w:noProof/>
          </w:rPr>
          <w:t>1</w:t>
        </w:r>
        <w:r w:rsidRPr="00BF05ED">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405EF" w:rsidTr="005A3173">
      <w:trPr>
        <w:trHeight w:val="151"/>
      </w:trPr>
      <w:tc>
        <w:tcPr>
          <w:tcW w:w="2250" w:type="pct"/>
          <w:tcBorders>
            <w:top w:val="nil"/>
            <w:left w:val="nil"/>
            <w:bottom w:val="single" w:sz="4" w:space="0" w:color="4F81BD"/>
            <w:right w:val="nil"/>
          </w:tcBorders>
        </w:tcPr>
        <w:p w:rsidR="004405EF" w:rsidRPr="005A3173" w:rsidRDefault="004405E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405EF" w:rsidRPr="005A3173" w:rsidRDefault="004405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05EF" w:rsidRPr="005A3173" w:rsidRDefault="004405EF" w:rsidP="005A3173">
          <w:pPr>
            <w:pStyle w:val="Header"/>
            <w:spacing w:line="276" w:lineRule="auto"/>
            <w:rPr>
              <w:rFonts w:ascii="Calibri" w:eastAsia="MS Gothic" w:hAnsi="Calibri"/>
              <w:b/>
              <w:bCs/>
              <w:color w:val="4F81BD"/>
            </w:rPr>
          </w:pPr>
        </w:p>
      </w:tc>
    </w:tr>
    <w:tr w:rsidR="004405EF" w:rsidTr="005A3173">
      <w:trPr>
        <w:trHeight w:val="150"/>
      </w:trPr>
      <w:tc>
        <w:tcPr>
          <w:tcW w:w="2250" w:type="pct"/>
          <w:tcBorders>
            <w:top w:val="single" w:sz="4" w:space="0" w:color="4F81BD"/>
            <w:left w:val="nil"/>
            <w:bottom w:val="nil"/>
            <w:right w:val="nil"/>
          </w:tcBorders>
        </w:tcPr>
        <w:p w:rsidR="004405EF" w:rsidRPr="005A3173" w:rsidRDefault="004405EF" w:rsidP="005A3173">
          <w:pPr>
            <w:pStyle w:val="Header"/>
            <w:spacing w:line="276" w:lineRule="auto"/>
            <w:rPr>
              <w:rFonts w:ascii="Calibri" w:eastAsia="MS Gothic" w:hAnsi="Calibri"/>
              <w:b/>
              <w:bCs/>
              <w:color w:val="4F81BD"/>
            </w:rPr>
          </w:pPr>
        </w:p>
      </w:tc>
      <w:tc>
        <w:tcPr>
          <w:tcW w:w="0" w:type="auto"/>
          <w:vMerge/>
          <w:vAlign w:val="center"/>
          <w:hideMark/>
        </w:tcPr>
        <w:p w:rsidR="004405EF" w:rsidRPr="005A3173" w:rsidRDefault="004405EF" w:rsidP="005A3173">
          <w:pPr>
            <w:rPr>
              <w:rFonts w:ascii="Calibri" w:hAnsi="Calibri"/>
              <w:color w:val="365F91"/>
              <w:sz w:val="22"/>
              <w:szCs w:val="22"/>
            </w:rPr>
          </w:pPr>
        </w:p>
      </w:tc>
      <w:tc>
        <w:tcPr>
          <w:tcW w:w="2250" w:type="pct"/>
          <w:tcBorders>
            <w:top w:val="single" w:sz="4" w:space="0" w:color="4F81BD"/>
            <w:left w:val="nil"/>
            <w:bottom w:val="nil"/>
            <w:right w:val="nil"/>
          </w:tcBorders>
        </w:tcPr>
        <w:p w:rsidR="004405EF" w:rsidRPr="005A3173" w:rsidRDefault="004405E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405EF" w:rsidTr="005A3173">
      <w:trPr>
        <w:trHeight w:val="151"/>
      </w:trPr>
      <w:tc>
        <w:tcPr>
          <w:tcW w:w="2250" w:type="pct"/>
          <w:tcBorders>
            <w:top w:val="nil"/>
            <w:left w:val="nil"/>
            <w:bottom w:val="single" w:sz="4" w:space="0" w:color="4F81BD"/>
            <w:right w:val="nil"/>
          </w:tcBorders>
        </w:tcPr>
        <w:p w:rsidR="004405EF" w:rsidRPr="005A3173" w:rsidRDefault="004405E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405EF" w:rsidRPr="005A3173" w:rsidRDefault="004405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05EF" w:rsidRPr="005A3173" w:rsidRDefault="004405EF" w:rsidP="005A3173">
          <w:pPr>
            <w:pStyle w:val="Header"/>
            <w:spacing w:line="276" w:lineRule="auto"/>
            <w:rPr>
              <w:rFonts w:ascii="Calibri" w:eastAsia="MS Gothic" w:hAnsi="Calibri"/>
              <w:b/>
              <w:bCs/>
              <w:color w:val="4F81BD"/>
            </w:rPr>
          </w:pPr>
        </w:p>
      </w:tc>
    </w:tr>
    <w:tr w:rsidR="004405EF" w:rsidTr="005A3173">
      <w:trPr>
        <w:trHeight w:val="150"/>
      </w:trPr>
      <w:tc>
        <w:tcPr>
          <w:tcW w:w="2250" w:type="pct"/>
          <w:tcBorders>
            <w:top w:val="single" w:sz="4" w:space="0" w:color="4F81BD"/>
            <w:left w:val="nil"/>
            <w:bottom w:val="nil"/>
            <w:right w:val="nil"/>
          </w:tcBorders>
        </w:tcPr>
        <w:p w:rsidR="004405EF" w:rsidRPr="005A3173" w:rsidRDefault="004405EF" w:rsidP="005A3173">
          <w:pPr>
            <w:pStyle w:val="Header"/>
            <w:spacing w:line="276" w:lineRule="auto"/>
            <w:rPr>
              <w:rFonts w:ascii="Calibri" w:eastAsia="MS Gothic" w:hAnsi="Calibri"/>
              <w:b/>
              <w:bCs/>
              <w:color w:val="4F81BD"/>
            </w:rPr>
          </w:pPr>
        </w:p>
      </w:tc>
      <w:tc>
        <w:tcPr>
          <w:tcW w:w="0" w:type="auto"/>
          <w:vMerge/>
          <w:vAlign w:val="center"/>
          <w:hideMark/>
        </w:tcPr>
        <w:p w:rsidR="004405EF" w:rsidRPr="005A3173" w:rsidRDefault="004405EF" w:rsidP="005A3173">
          <w:pPr>
            <w:rPr>
              <w:rFonts w:ascii="Calibri" w:hAnsi="Calibri"/>
              <w:color w:val="365F91"/>
              <w:sz w:val="22"/>
              <w:szCs w:val="22"/>
            </w:rPr>
          </w:pPr>
        </w:p>
      </w:tc>
      <w:tc>
        <w:tcPr>
          <w:tcW w:w="2250" w:type="pct"/>
          <w:tcBorders>
            <w:top w:val="single" w:sz="4" w:space="0" w:color="4F81BD"/>
            <w:left w:val="nil"/>
            <w:bottom w:val="nil"/>
            <w:right w:val="nil"/>
          </w:tcBorders>
        </w:tcPr>
        <w:p w:rsidR="004405EF" w:rsidRPr="005A3173" w:rsidRDefault="004405EF" w:rsidP="005A3173">
          <w:pPr>
            <w:pStyle w:val="Header"/>
            <w:spacing w:line="276" w:lineRule="auto"/>
            <w:rPr>
              <w:rFonts w:ascii="Calibri" w:eastAsia="MS Gothic" w:hAnsi="Calibri"/>
              <w:b/>
              <w:bCs/>
              <w:color w:val="4F81BD"/>
            </w:rPr>
          </w:pPr>
        </w:p>
      </w:tc>
    </w:tr>
  </w:tbl>
  <w:p w:rsidR="004405EF" w:rsidRPr="007C0F57" w:rsidRDefault="004405E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405EF" w:rsidRPr="007C0F57" w:rsidRDefault="004405EF" w:rsidP="007C0F57">
    <w:pPr>
      <w:pStyle w:val="Footer"/>
      <w:jc w:val="center"/>
      <w:rPr>
        <w:b/>
        <w:i/>
        <w:sz w:val="20"/>
        <w:szCs w:val="20"/>
      </w:rPr>
    </w:pPr>
    <w:r w:rsidRPr="007C0F57">
      <w:rPr>
        <w:b/>
        <w:i/>
        <w:sz w:val="20"/>
        <w:szCs w:val="20"/>
      </w:rPr>
      <w:t>Commercial-in-Confidence</w:t>
    </w:r>
  </w:p>
  <w:p w:rsidR="004405EF" w:rsidRDefault="004405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BF" w:rsidRDefault="00D558BF">
      <w:r>
        <w:separator/>
      </w:r>
    </w:p>
    <w:p w:rsidR="00D558BF" w:rsidRDefault="00D558BF"/>
  </w:footnote>
  <w:footnote w:type="continuationSeparator" w:id="0">
    <w:p w:rsidR="00D558BF" w:rsidRDefault="00D558BF">
      <w:r>
        <w:continuationSeparator/>
      </w:r>
    </w:p>
    <w:p w:rsidR="00D558BF" w:rsidRDefault="00D558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405EF" w:rsidRPr="008E0D90" w:rsidTr="00A06225">
      <w:trPr>
        <w:trHeight w:val="151"/>
      </w:trPr>
      <w:tc>
        <w:tcPr>
          <w:tcW w:w="2389" w:type="pct"/>
          <w:tcBorders>
            <w:top w:val="nil"/>
            <w:left w:val="nil"/>
            <w:bottom w:val="single" w:sz="4" w:space="0" w:color="4F81BD"/>
            <w:right w:val="nil"/>
          </w:tcBorders>
        </w:tcPr>
        <w:p w:rsidR="004405EF" w:rsidRPr="00A06225" w:rsidRDefault="004405EF">
          <w:pPr>
            <w:pStyle w:val="Header"/>
            <w:spacing w:line="276" w:lineRule="auto"/>
            <w:rPr>
              <w:rFonts w:ascii="Cambria" w:eastAsia="MS Gothic" w:hAnsi="Cambria"/>
              <w:b/>
              <w:bCs/>
              <w:color w:val="4F81BD"/>
            </w:rPr>
          </w:pPr>
        </w:p>
      </w:tc>
      <w:tc>
        <w:tcPr>
          <w:tcW w:w="333" w:type="pct"/>
          <w:vMerge w:val="restart"/>
          <w:noWrap/>
          <w:vAlign w:val="center"/>
          <w:hideMark/>
        </w:tcPr>
        <w:p w:rsidR="004405EF" w:rsidRPr="00A06225" w:rsidRDefault="004405E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405EF" w:rsidRPr="00A06225" w:rsidRDefault="004405EF">
          <w:pPr>
            <w:pStyle w:val="Header"/>
            <w:spacing w:line="276" w:lineRule="auto"/>
            <w:rPr>
              <w:rFonts w:ascii="Cambria" w:eastAsia="MS Gothic" w:hAnsi="Cambria"/>
              <w:b/>
              <w:bCs/>
              <w:color w:val="4F81BD"/>
            </w:rPr>
          </w:pPr>
        </w:p>
      </w:tc>
    </w:tr>
    <w:tr w:rsidR="004405EF" w:rsidRPr="008E0D90" w:rsidTr="00A06225">
      <w:trPr>
        <w:trHeight w:val="150"/>
      </w:trPr>
      <w:tc>
        <w:tcPr>
          <w:tcW w:w="2389" w:type="pct"/>
          <w:tcBorders>
            <w:top w:val="single" w:sz="4" w:space="0" w:color="4F81BD"/>
            <w:left w:val="nil"/>
            <w:bottom w:val="nil"/>
            <w:right w:val="nil"/>
          </w:tcBorders>
        </w:tcPr>
        <w:p w:rsidR="004405EF" w:rsidRPr="00A06225" w:rsidRDefault="004405EF">
          <w:pPr>
            <w:pStyle w:val="Header"/>
            <w:spacing w:line="276" w:lineRule="auto"/>
            <w:rPr>
              <w:rFonts w:ascii="Cambria" w:eastAsia="MS Gothic" w:hAnsi="Cambria"/>
              <w:b/>
              <w:bCs/>
              <w:color w:val="4F81BD"/>
            </w:rPr>
          </w:pPr>
        </w:p>
      </w:tc>
      <w:tc>
        <w:tcPr>
          <w:tcW w:w="0" w:type="auto"/>
          <w:vMerge/>
          <w:vAlign w:val="center"/>
          <w:hideMark/>
        </w:tcPr>
        <w:p w:rsidR="004405EF" w:rsidRPr="00A06225" w:rsidRDefault="004405EF">
          <w:pPr>
            <w:rPr>
              <w:rFonts w:ascii="Cambria" w:hAnsi="Cambria"/>
              <w:color w:val="4F81BD"/>
              <w:sz w:val="22"/>
              <w:szCs w:val="22"/>
            </w:rPr>
          </w:pPr>
        </w:p>
      </w:tc>
      <w:tc>
        <w:tcPr>
          <w:tcW w:w="2278" w:type="pct"/>
          <w:tcBorders>
            <w:top w:val="single" w:sz="4" w:space="0" w:color="4F81BD"/>
            <w:left w:val="nil"/>
            <w:bottom w:val="nil"/>
            <w:right w:val="nil"/>
          </w:tcBorders>
        </w:tcPr>
        <w:p w:rsidR="004405EF" w:rsidRPr="00A06225" w:rsidRDefault="004405EF">
          <w:pPr>
            <w:pStyle w:val="Header"/>
            <w:spacing w:line="276" w:lineRule="auto"/>
            <w:rPr>
              <w:rFonts w:ascii="Cambria" w:eastAsia="MS Gothic" w:hAnsi="Cambria"/>
              <w:b/>
              <w:bCs/>
              <w:color w:val="4F81BD"/>
            </w:rPr>
          </w:pPr>
        </w:p>
      </w:tc>
    </w:tr>
  </w:tbl>
  <w:p w:rsidR="004405EF" w:rsidRDefault="004405EF">
    <w:pPr>
      <w:pStyle w:val="Header"/>
    </w:pPr>
  </w:p>
  <w:p w:rsidR="004405EF" w:rsidRDefault="004405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ED" w:rsidRPr="009119C6" w:rsidRDefault="009119C6" w:rsidP="00BF05ED">
    <w:pPr>
      <w:pStyle w:val="Header"/>
      <w:tabs>
        <w:tab w:val="left" w:pos="1725"/>
      </w:tabs>
      <w:jc w:val="center"/>
      <w:rPr>
        <w:rFonts w:asciiTheme="minorHAnsi" w:hAnsiTheme="minorHAnsi"/>
        <w:i/>
        <w:noProof/>
      </w:rPr>
    </w:pPr>
    <w:r w:rsidRPr="009119C6">
      <w:rPr>
        <w:rFonts w:asciiTheme="minorHAnsi" w:hAnsiTheme="minorHAnsi"/>
        <w:i/>
        <w:noProof/>
      </w:rPr>
      <w:t>Public Summary Document</w:t>
    </w:r>
    <w:r w:rsidR="00BF05ED" w:rsidRPr="009119C6">
      <w:rPr>
        <w:rFonts w:asciiTheme="minorHAnsi" w:hAnsiTheme="minorHAnsi"/>
        <w:i/>
        <w:noProof/>
      </w:rPr>
      <w:t xml:space="preserve"> – July 2017 PBAC Meeting</w:t>
    </w:r>
  </w:p>
  <w:p w:rsidR="00BF05ED" w:rsidRPr="00EB3F99" w:rsidRDefault="00BF05ED" w:rsidP="00BF05ED">
    <w:pPr>
      <w:pStyle w:val="Header"/>
      <w:tabs>
        <w:tab w:val="left" w:pos="1725"/>
        <w:tab w:val="left" w:pos="2970"/>
      </w:tabs>
      <w:rPr>
        <w:rFonts w:asciiTheme="minorHAnsi" w:hAnsiTheme="minorHAnsi"/>
        <w:noProof/>
      </w:rPr>
    </w:pPr>
    <w:r>
      <w:rPr>
        <w:rFonts w:asciiTheme="minorHAnsi" w:hAnsiTheme="minorHAnsi"/>
        <w:noProof/>
      </w:rPr>
      <w:tab/>
    </w:r>
    <w:r>
      <w:rPr>
        <w:rFonts w:asciiTheme="minorHAnsi" w:hAnsiTheme="minorHAnsi"/>
        <w:noProof/>
      </w:rPr>
      <w:tab/>
    </w:r>
  </w:p>
  <w:p w:rsidR="004405EF" w:rsidRDefault="004405E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BF" w:rsidRDefault="00D55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F998061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6"/>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6"/>
  </w:num>
  <w:num w:numId="15">
    <w:abstractNumId w:val="15"/>
  </w:num>
  <w:num w:numId="16">
    <w:abstractNumId w:val="5"/>
  </w:num>
  <w:num w:numId="17">
    <w:abstractNumId w:val="2"/>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0542"/>
    <w:rsid w:val="0003106B"/>
    <w:rsid w:val="000421A1"/>
    <w:rsid w:val="0004240E"/>
    <w:rsid w:val="00045E26"/>
    <w:rsid w:val="000514B5"/>
    <w:rsid w:val="00056D88"/>
    <w:rsid w:val="00060E64"/>
    <w:rsid w:val="00066755"/>
    <w:rsid w:val="00077143"/>
    <w:rsid w:val="000969AD"/>
    <w:rsid w:val="000A3707"/>
    <w:rsid w:val="000B3DE0"/>
    <w:rsid w:val="000B558D"/>
    <w:rsid w:val="000C6996"/>
    <w:rsid w:val="000D23BA"/>
    <w:rsid w:val="000D498C"/>
    <w:rsid w:val="000E681E"/>
    <w:rsid w:val="000F4E6A"/>
    <w:rsid w:val="000F676D"/>
    <w:rsid w:val="00103C22"/>
    <w:rsid w:val="001107BF"/>
    <w:rsid w:val="0012417C"/>
    <w:rsid w:val="00133F11"/>
    <w:rsid w:val="0013798C"/>
    <w:rsid w:val="00142395"/>
    <w:rsid w:val="00142714"/>
    <w:rsid w:val="001452ED"/>
    <w:rsid w:val="00161688"/>
    <w:rsid w:val="00161F71"/>
    <w:rsid w:val="001830CE"/>
    <w:rsid w:val="0018643B"/>
    <w:rsid w:val="00196307"/>
    <w:rsid w:val="00197930"/>
    <w:rsid w:val="001A33EA"/>
    <w:rsid w:val="001B017F"/>
    <w:rsid w:val="001B5129"/>
    <w:rsid w:val="001C1195"/>
    <w:rsid w:val="002038A0"/>
    <w:rsid w:val="00213CFB"/>
    <w:rsid w:val="00271BA1"/>
    <w:rsid w:val="002728E4"/>
    <w:rsid w:val="002762FA"/>
    <w:rsid w:val="00277505"/>
    <w:rsid w:val="002913D9"/>
    <w:rsid w:val="0029458F"/>
    <w:rsid w:val="002A104C"/>
    <w:rsid w:val="002A4960"/>
    <w:rsid w:val="002B1AE6"/>
    <w:rsid w:val="002B30F8"/>
    <w:rsid w:val="002C212F"/>
    <w:rsid w:val="002E3153"/>
    <w:rsid w:val="002E72CA"/>
    <w:rsid w:val="00300AD6"/>
    <w:rsid w:val="00326E79"/>
    <w:rsid w:val="00330453"/>
    <w:rsid w:val="003367EF"/>
    <w:rsid w:val="00341AE4"/>
    <w:rsid w:val="00356250"/>
    <w:rsid w:val="00363739"/>
    <w:rsid w:val="003872CF"/>
    <w:rsid w:val="0039782C"/>
    <w:rsid w:val="003A1362"/>
    <w:rsid w:val="003A5B4A"/>
    <w:rsid w:val="003B23C5"/>
    <w:rsid w:val="003B2A75"/>
    <w:rsid w:val="003C2D6B"/>
    <w:rsid w:val="003D4AC4"/>
    <w:rsid w:val="003D63B7"/>
    <w:rsid w:val="003D7C4F"/>
    <w:rsid w:val="003E468B"/>
    <w:rsid w:val="003F2C0D"/>
    <w:rsid w:val="003F5C8C"/>
    <w:rsid w:val="00437552"/>
    <w:rsid w:val="004405EF"/>
    <w:rsid w:val="004465BD"/>
    <w:rsid w:val="00451828"/>
    <w:rsid w:val="00464FD7"/>
    <w:rsid w:val="00466ADA"/>
    <w:rsid w:val="00467C3E"/>
    <w:rsid w:val="00475DBB"/>
    <w:rsid w:val="00476245"/>
    <w:rsid w:val="0048166A"/>
    <w:rsid w:val="00485940"/>
    <w:rsid w:val="004974C9"/>
    <w:rsid w:val="004A2484"/>
    <w:rsid w:val="004A5A85"/>
    <w:rsid w:val="004B5640"/>
    <w:rsid w:val="004B7E8D"/>
    <w:rsid w:val="004C1BD7"/>
    <w:rsid w:val="004C691D"/>
    <w:rsid w:val="004E692D"/>
    <w:rsid w:val="00501554"/>
    <w:rsid w:val="00514CD7"/>
    <w:rsid w:val="005319B2"/>
    <w:rsid w:val="00531BDF"/>
    <w:rsid w:val="00532C74"/>
    <w:rsid w:val="00534E2E"/>
    <w:rsid w:val="00544552"/>
    <w:rsid w:val="0055126F"/>
    <w:rsid w:val="00581932"/>
    <w:rsid w:val="005837B2"/>
    <w:rsid w:val="005963BB"/>
    <w:rsid w:val="005A3173"/>
    <w:rsid w:val="005A3223"/>
    <w:rsid w:val="005A3DA3"/>
    <w:rsid w:val="005A418C"/>
    <w:rsid w:val="005A52C4"/>
    <w:rsid w:val="005B343D"/>
    <w:rsid w:val="005D03AB"/>
    <w:rsid w:val="005D5017"/>
    <w:rsid w:val="005E5546"/>
    <w:rsid w:val="005F6D31"/>
    <w:rsid w:val="00601A91"/>
    <w:rsid w:val="00602BA3"/>
    <w:rsid w:val="00614159"/>
    <w:rsid w:val="00617C00"/>
    <w:rsid w:val="006263BF"/>
    <w:rsid w:val="0062748A"/>
    <w:rsid w:val="00630A2C"/>
    <w:rsid w:val="006425D8"/>
    <w:rsid w:val="006436CD"/>
    <w:rsid w:val="00651169"/>
    <w:rsid w:val="00653D69"/>
    <w:rsid w:val="006638AE"/>
    <w:rsid w:val="00670028"/>
    <w:rsid w:val="00670A76"/>
    <w:rsid w:val="006711AA"/>
    <w:rsid w:val="00672B57"/>
    <w:rsid w:val="00675622"/>
    <w:rsid w:val="006906DB"/>
    <w:rsid w:val="006A12A5"/>
    <w:rsid w:val="006B0D94"/>
    <w:rsid w:val="006B1F1B"/>
    <w:rsid w:val="006B485D"/>
    <w:rsid w:val="006B5FEA"/>
    <w:rsid w:val="006C708E"/>
    <w:rsid w:val="006D6EC7"/>
    <w:rsid w:val="006D79FD"/>
    <w:rsid w:val="006F5125"/>
    <w:rsid w:val="007174BB"/>
    <w:rsid w:val="00732138"/>
    <w:rsid w:val="0074184F"/>
    <w:rsid w:val="0076420C"/>
    <w:rsid w:val="00773CB4"/>
    <w:rsid w:val="007753C2"/>
    <w:rsid w:val="007838B8"/>
    <w:rsid w:val="00795ADF"/>
    <w:rsid w:val="007C0F57"/>
    <w:rsid w:val="007C40B6"/>
    <w:rsid w:val="007C729F"/>
    <w:rsid w:val="007D41B0"/>
    <w:rsid w:val="007E1D28"/>
    <w:rsid w:val="007F2641"/>
    <w:rsid w:val="007F56EA"/>
    <w:rsid w:val="007F7C36"/>
    <w:rsid w:val="00800083"/>
    <w:rsid w:val="008056CC"/>
    <w:rsid w:val="00806796"/>
    <w:rsid w:val="008151D6"/>
    <w:rsid w:val="00815A6F"/>
    <w:rsid w:val="0082552B"/>
    <w:rsid w:val="00826F6D"/>
    <w:rsid w:val="00856DDD"/>
    <w:rsid w:val="00863E68"/>
    <w:rsid w:val="00866A94"/>
    <w:rsid w:val="008708C1"/>
    <w:rsid w:val="00882085"/>
    <w:rsid w:val="00883188"/>
    <w:rsid w:val="00897D58"/>
    <w:rsid w:val="008A1956"/>
    <w:rsid w:val="008A4937"/>
    <w:rsid w:val="008A50F1"/>
    <w:rsid w:val="008B5481"/>
    <w:rsid w:val="008D1B5C"/>
    <w:rsid w:val="008D3C82"/>
    <w:rsid w:val="008D447E"/>
    <w:rsid w:val="008D7A41"/>
    <w:rsid w:val="008E3680"/>
    <w:rsid w:val="008E5870"/>
    <w:rsid w:val="008F1434"/>
    <w:rsid w:val="008F7355"/>
    <w:rsid w:val="009067B7"/>
    <w:rsid w:val="00911881"/>
    <w:rsid w:val="009119C6"/>
    <w:rsid w:val="00930937"/>
    <w:rsid w:val="00933E6C"/>
    <w:rsid w:val="009359B0"/>
    <w:rsid w:val="00942160"/>
    <w:rsid w:val="0095146F"/>
    <w:rsid w:val="009602C5"/>
    <w:rsid w:val="00962223"/>
    <w:rsid w:val="00974C21"/>
    <w:rsid w:val="009876C1"/>
    <w:rsid w:val="009A571A"/>
    <w:rsid w:val="009B0F67"/>
    <w:rsid w:val="009C703C"/>
    <w:rsid w:val="009D3CAA"/>
    <w:rsid w:val="009F24CA"/>
    <w:rsid w:val="009F4E46"/>
    <w:rsid w:val="009F5B65"/>
    <w:rsid w:val="009F5F2E"/>
    <w:rsid w:val="00A06225"/>
    <w:rsid w:val="00A128E6"/>
    <w:rsid w:val="00A37C8D"/>
    <w:rsid w:val="00A50723"/>
    <w:rsid w:val="00A5273B"/>
    <w:rsid w:val="00A53A9D"/>
    <w:rsid w:val="00A55FEE"/>
    <w:rsid w:val="00A62C1A"/>
    <w:rsid w:val="00A6426D"/>
    <w:rsid w:val="00A70622"/>
    <w:rsid w:val="00A70977"/>
    <w:rsid w:val="00A77613"/>
    <w:rsid w:val="00A8390C"/>
    <w:rsid w:val="00A928BD"/>
    <w:rsid w:val="00A93913"/>
    <w:rsid w:val="00AA3484"/>
    <w:rsid w:val="00AA4D1C"/>
    <w:rsid w:val="00AC193C"/>
    <w:rsid w:val="00AC5206"/>
    <w:rsid w:val="00AE11A5"/>
    <w:rsid w:val="00AE13E2"/>
    <w:rsid w:val="00AF39FE"/>
    <w:rsid w:val="00AF68CC"/>
    <w:rsid w:val="00B1059E"/>
    <w:rsid w:val="00B205AA"/>
    <w:rsid w:val="00B22E84"/>
    <w:rsid w:val="00B25F75"/>
    <w:rsid w:val="00B36E5C"/>
    <w:rsid w:val="00B43E90"/>
    <w:rsid w:val="00B467DC"/>
    <w:rsid w:val="00B53EAC"/>
    <w:rsid w:val="00B56118"/>
    <w:rsid w:val="00B6773F"/>
    <w:rsid w:val="00B801BA"/>
    <w:rsid w:val="00B92024"/>
    <w:rsid w:val="00B935A5"/>
    <w:rsid w:val="00BA3C37"/>
    <w:rsid w:val="00BB69F5"/>
    <w:rsid w:val="00BB7EC3"/>
    <w:rsid w:val="00BC4B9A"/>
    <w:rsid w:val="00BD784C"/>
    <w:rsid w:val="00BF05ED"/>
    <w:rsid w:val="00BF4CB6"/>
    <w:rsid w:val="00C00DA7"/>
    <w:rsid w:val="00C12768"/>
    <w:rsid w:val="00C27B58"/>
    <w:rsid w:val="00C33F4D"/>
    <w:rsid w:val="00C35996"/>
    <w:rsid w:val="00C5342C"/>
    <w:rsid w:val="00C603D4"/>
    <w:rsid w:val="00C6256A"/>
    <w:rsid w:val="00C71BA2"/>
    <w:rsid w:val="00C91449"/>
    <w:rsid w:val="00C92D10"/>
    <w:rsid w:val="00CC6180"/>
    <w:rsid w:val="00CE10C4"/>
    <w:rsid w:val="00CE1D97"/>
    <w:rsid w:val="00CE27B5"/>
    <w:rsid w:val="00D0321E"/>
    <w:rsid w:val="00D1455A"/>
    <w:rsid w:val="00D30286"/>
    <w:rsid w:val="00D3138B"/>
    <w:rsid w:val="00D3280C"/>
    <w:rsid w:val="00D3406A"/>
    <w:rsid w:val="00D469B2"/>
    <w:rsid w:val="00D558BF"/>
    <w:rsid w:val="00D6259C"/>
    <w:rsid w:val="00D741EB"/>
    <w:rsid w:val="00D83605"/>
    <w:rsid w:val="00D84934"/>
    <w:rsid w:val="00D91271"/>
    <w:rsid w:val="00D94A71"/>
    <w:rsid w:val="00DA2CB5"/>
    <w:rsid w:val="00DA4BAC"/>
    <w:rsid w:val="00DE6D27"/>
    <w:rsid w:val="00DE6ECD"/>
    <w:rsid w:val="00DF217D"/>
    <w:rsid w:val="00DF26A7"/>
    <w:rsid w:val="00DF7D30"/>
    <w:rsid w:val="00E15627"/>
    <w:rsid w:val="00E164B3"/>
    <w:rsid w:val="00E16910"/>
    <w:rsid w:val="00E24DD7"/>
    <w:rsid w:val="00E41FE2"/>
    <w:rsid w:val="00E65E54"/>
    <w:rsid w:val="00E80155"/>
    <w:rsid w:val="00E848C0"/>
    <w:rsid w:val="00E91B96"/>
    <w:rsid w:val="00E941A1"/>
    <w:rsid w:val="00E95CE3"/>
    <w:rsid w:val="00EA2825"/>
    <w:rsid w:val="00EB5088"/>
    <w:rsid w:val="00EB7F64"/>
    <w:rsid w:val="00ED1644"/>
    <w:rsid w:val="00ED2593"/>
    <w:rsid w:val="00ED273E"/>
    <w:rsid w:val="00EF44A0"/>
    <w:rsid w:val="00EF4FED"/>
    <w:rsid w:val="00F009A3"/>
    <w:rsid w:val="00F050BD"/>
    <w:rsid w:val="00F05657"/>
    <w:rsid w:val="00F25578"/>
    <w:rsid w:val="00F258E5"/>
    <w:rsid w:val="00F300BC"/>
    <w:rsid w:val="00F305F1"/>
    <w:rsid w:val="00F3334E"/>
    <w:rsid w:val="00F3532D"/>
    <w:rsid w:val="00F36CCB"/>
    <w:rsid w:val="00F50EC4"/>
    <w:rsid w:val="00F57A6D"/>
    <w:rsid w:val="00F638CC"/>
    <w:rsid w:val="00F64CC1"/>
    <w:rsid w:val="00F8247A"/>
    <w:rsid w:val="00F9629A"/>
    <w:rsid w:val="00FA10D8"/>
    <w:rsid w:val="00FA5883"/>
    <w:rsid w:val="00FA6055"/>
    <w:rsid w:val="00FB322F"/>
    <w:rsid w:val="00FB442F"/>
    <w:rsid w:val="00FC1929"/>
    <w:rsid w:val="00FC5B46"/>
    <w:rsid w:val="00FE0E94"/>
    <w:rsid w:val="00FE5F4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59E9-4314-4545-9FB0-14C88C75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2017-10-16T00:55:00Z</dcterms:created>
  <dcterms:modified xsi:type="dcterms:W3CDTF">2017-10-16T00:55:00Z</dcterms:modified>
</cp:coreProperties>
</file>