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7359DF" w:rsidRDefault="003604F6" w:rsidP="008A50F1">
      <w:pPr>
        <w:pStyle w:val="Title"/>
        <w:ind w:left="720" w:hanging="720"/>
        <w:rPr>
          <w:rFonts w:asciiTheme="minorHAnsi" w:hAnsiTheme="minorHAnsi"/>
          <w:sz w:val="36"/>
          <w:szCs w:val="36"/>
        </w:rPr>
      </w:pPr>
      <w:r w:rsidRPr="007359DF">
        <w:rPr>
          <w:rFonts w:asciiTheme="minorHAnsi" w:hAnsiTheme="minorHAnsi"/>
          <w:sz w:val="36"/>
          <w:szCs w:val="36"/>
        </w:rPr>
        <w:t>6.10</w:t>
      </w:r>
      <w:r w:rsidR="007C0F57" w:rsidRPr="007359DF">
        <w:rPr>
          <w:rFonts w:asciiTheme="minorHAnsi" w:hAnsiTheme="minorHAnsi"/>
          <w:sz w:val="36"/>
          <w:szCs w:val="36"/>
        </w:rPr>
        <w:tab/>
      </w:r>
      <w:r w:rsidRPr="007359DF">
        <w:rPr>
          <w:rFonts w:asciiTheme="minorHAnsi" w:hAnsiTheme="minorHAnsi"/>
          <w:sz w:val="36"/>
          <w:szCs w:val="36"/>
        </w:rPr>
        <w:t>FEBUXOSTAT</w:t>
      </w:r>
      <w:r w:rsidR="008A50F1" w:rsidRPr="007359DF">
        <w:rPr>
          <w:rFonts w:asciiTheme="minorHAnsi" w:hAnsiTheme="minorHAnsi"/>
          <w:sz w:val="36"/>
          <w:szCs w:val="36"/>
        </w:rPr>
        <w:t xml:space="preserve"> </w:t>
      </w:r>
      <w:r w:rsidR="008A50F1" w:rsidRPr="007359DF">
        <w:rPr>
          <w:rFonts w:asciiTheme="minorHAnsi" w:hAnsiTheme="minorHAnsi"/>
          <w:sz w:val="36"/>
          <w:szCs w:val="36"/>
        </w:rPr>
        <w:br/>
      </w:r>
      <w:r w:rsidR="00BE4D65" w:rsidRPr="007359DF">
        <w:rPr>
          <w:rFonts w:asciiTheme="minorHAnsi" w:hAnsiTheme="minorHAnsi"/>
          <w:sz w:val="36"/>
          <w:szCs w:val="36"/>
        </w:rPr>
        <w:t>T</w:t>
      </w:r>
      <w:r w:rsidRPr="007359DF">
        <w:rPr>
          <w:rFonts w:asciiTheme="minorHAnsi" w:hAnsiTheme="minorHAnsi"/>
          <w:sz w:val="36"/>
          <w:szCs w:val="36"/>
        </w:rPr>
        <w:t>ablet</w:t>
      </w:r>
      <w:r w:rsidR="0004240E" w:rsidRPr="007359DF">
        <w:rPr>
          <w:rFonts w:asciiTheme="minorHAnsi" w:hAnsiTheme="minorHAnsi"/>
          <w:sz w:val="36"/>
          <w:szCs w:val="36"/>
        </w:rPr>
        <w:t xml:space="preserve"> </w:t>
      </w:r>
      <w:r w:rsidRPr="007359DF">
        <w:rPr>
          <w:rFonts w:asciiTheme="minorHAnsi" w:hAnsiTheme="minorHAnsi"/>
          <w:sz w:val="36"/>
          <w:szCs w:val="36"/>
        </w:rPr>
        <w:t>80 mg</w:t>
      </w:r>
      <w:r w:rsidR="0004240E" w:rsidRPr="007359DF">
        <w:rPr>
          <w:rFonts w:asciiTheme="minorHAnsi" w:hAnsiTheme="minorHAnsi"/>
          <w:sz w:val="36"/>
          <w:szCs w:val="36"/>
        </w:rPr>
        <w:t>,</w:t>
      </w:r>
      <w:r w:rsidR="008A50F1" w:rsidRPr="007359DF">
        <w:rPr>
          <w:rFonts w:asciiTheme="minorHAnsi" w:hAnsiTheme="minorHAnsi"/>
          <w:sz w:val="36"/>
          <w:szCs w:val="36"/>
        </w:rPr>
        <w:t xml:space="preserve"> </w:t>
      </w:r>
      <w:r w:rsidR="008A50F1" w:rsidRPr="007359DF">
        <w:rPr>
          <w:rFonts w:asciiTheme="minorHAnsi" w:hAnsiTheme="minorHAnsi"/>
          <w:sz w:val="36"/>
          <w:szCs w:val="36"/>
        </w:rPr>
        <w:br/>
      </w:r>
      <w:r w:rsidRPr="007359DF">
        <w:rPr>
          <w:rFonts w:asciiTheme="minorHAnsi" w:hAnsiTheme="minorHAnsi"/>
          <w:sz w:val="36"/>
          <w:szCs w:val="36"/>
        </w:rPr>
        <w:t>Adenuric</w:t>
      </w:r>
      <w:r w:rsidR="0004240E" w:rsidRPr="007359DF">
        <w:rPr>
          <w:rFonts w:asciiTheme="minorHAnsi" w:hAnsiTheme="minorHAnsi"/>
          <w:sz w:val="36"/>
          <w:szCs w:val="36"/>
        </w:rPr>
        <w:t>®</w:t>
      </w:r>
      <w:r w:rsidR="00EF44A0" w:rsidRPr="007359DF">
        <w:rPr>
          <w:rFonts w:asciiTheme="minorHAnsi" w:hAnsiTheme="minorHAnsi"/>
          <w:sz w:val="36"/>
          <w:szCs w:val="36"/>
        </w:rPr>
        <w:t xml:space="preserve">, </w:t>
      </w:r>
      <w:r w:rsidRPr="007359DF">
        <w:rPr>
          <w:rFonts w:asciiTheme="minorHAnsi" w:hAnsiTheme="minorHAnsi"/>
          <w:sz w:val="36"/>
          <w:szCs w:val="36"/>
        </w:rPr>
        <w:t>A.Menarini Australia</w:t>
      </w:r>
      <w:r w:rsidR="00BE4D65" w:rsidRPr="007359DF">
        <w:rPr>
          <w:rFonts w:asciiTheme="minorHAnsi" w:hAnsiTheme="minorHAnsi"/>
          <w:sz w:val="36"/>
          <w:szCs w:val="36"/>
        </w:rPr>
        <w:t xml:space="preserve"> Pty Ltd.</w:t>
      </w:r>
    </w:p>
    <w:p w:rsidR="00E15627" w:rsidRPr="007359DF" w:rsidRDefault="00CE10C4" w:rsidP="007359DF">
      <w:pPr>
        <w:pStyle w:val="PBACHeading1"/>
        <w:numPr>
          <w:ilvl w:val="0"/>
          <w:numId w:val="14"/>
        </w:numPr>
        <w:jc w:val="both"/>
        <w:rPr>
          <w:rFonts w:asciiTheme="minorHAnsi" w:hAnsiTheme="minorHAnsi"/>
          <w:sz w:val="32"/>
          <w:szCs w:val="32"/>
        </w:rPr>
      </w:pPr>
      <w:r w:rsidRPr="007359DF">
        <w:rPr>
          <w:rFonts w:asciiTheme="minorHAnsi" w:hAnsiTheme="minorHAnsi"/>
          <w:sz w:val="32"/>
          <w:szCs w:val="32"/>
        </w:rPr>
        <w:t xml:space="preserve">Purpose of </w:t>
      </w:r>
      <w:r w:rsidR="0004240E" w:rsidRPr="007359DF">
        <w:rPr>
          <w:rFonts w:asciiTheme="minorHAnsi" w:hAnsiTheme="minorHAnsi"/>
          <w:sz w:val="32"/>
          <w:szCs w:val="32"/>
        </w:rPr>
        <w:t>Application</w:t>
      </w:r>
    </w:p>
    <w:p w:rsidR="008A50F1" w:rsidRPr="00F36CCB" w:rsidRDefault="008A50F1" w:rsidP="00E15627">
      <w:pPr>
        <w:rPr>
          <w:rFonts w:asciiTheme="minorHAnsi" w:hAnsiTheme="minorHAnsi"/>
        </w:rPr>
      </w:pPr>
    </w:p>
    <w:p w:rsidR="006A12A5" w:rsidRPr="007359DF" w:rsidRDefault="00EF44A0" w:rsidP="00E15627">
      <w:pPr>
        <w:pStyle w:val="ListParagraph"/>
        <w:numPr>
          <w:ilvl w:val="1"/>
          <w:numId w:val="5"/>
        </w:numPr>
        <w:rPr>
          <w:rFonts w:asciiTheme="minorHAnsi" w:hAnsiTheme="minorHAnsi"/>
          <w:sz w:val="24"/>
          <w:szCs w:val="24"/>
        </w:rPr>
      </w:pPr>
      <w:r w:rsidRPr="007359DF">
        <w:rPr>
          <w:rFonts w:asciiTheme="minorHAnsi" w:hAnsiTheme="minorHAnsi"/>
          <w:sz w:val="24"/>
          <w:szCs w:val="24"/>
        </w:rPr>
        <w:t>The mi</w:t>
      </w:r>
      <w:r w:rsidR="00FF2801" w:rsidRPr="007359DF">
        <w:rPr>
          <w:rFonts w:asciiTheme="minorHAnsi" w:hAnsiTheme="minorHAnsi"/>
          <w:sz w:val="24"/>
          <w:szCs w:val="24"/>
        </w:rPr>
        <w:t>nor submission requested</w:t>
      </w:r>
      <w:r w:rsidR="00143942" w:rsidRPr="007359DF">
        <w:rPr>
          <w:rFonts w:asciiTheme="minorHAnsi" w:hAnsiTheme="minorHAnsi"/>
          <w:sz w:val="24"/>
          <w:szCs w:val="24"/>
        </w:rPr>
        <w:t xml:space="preserve"> to amend the current Authority Required </w:t>
      </w:r>
      <w:r w:rsidRPr="007359DF">
        <w:rPr>
          <w:rFonts w:asciiTheme="minorHAnsi" w:hAnsiTheme="minorHAnsi"/>
          <w:sz w:val="24"/>
          <w:szCs w:val="24"/>
        </w:rPr>
        <w:t>listing</w:t>
      </w:r>
      <w:r w:rsidR="00143942" w:rsidRPr="007359DF">
        <w:rPr>
          <w:rFonts w:asciiTheme="minorHAnsi" w:hAnsiTheme="minorHAnsi"/>
          <w:sz w:val="24"/>
          <w:szCs w:val="24"/>
        </w:rPr>
        <w:t xml:space="preserve"> to Authority Required (Streamlined) for treatment of chronic gout. </w:t>
      </w:r>
    </w:p>
    <w:p w:rsidR="00EF44A0" w:rsidRPr="00F36CCB" w:rsidRDefault="00EF44A0" w:rsidP="00C27B58">
      <w:pPr>
        <w:pStyle w:val="NoSpacing"/>
        <w:rPr>
          <w:rFonts w:asciiTheme="minorHAnsi" w:hAnsiTheme="minorHAnsi"/>
        </w:rPr>
      </w:pPr>
    </w:p>
    <w:p w:rsidR="00962223" w:rsidRPr="007359DF" w:rsidRDefault="006A12A5" w:rsidP="007359DF">
      <w:pPr>
        <w:pStyle w:val="PBACHeading1"/>
        <w:numPr>
          <w:ilvl w:val="0"/>
          <w:numId w:val="14"/>
        </w:numPr>
        <w:jc w:val="both"/>
        <w:rPr>
          <w:rFonts w:asciiTheme="minorHAnsi" w:hAnsiTheme="minorHAnsi"/>
          <w:sz w:val="32"/>
          <w:szCs w:val="32"/>
        </w:rPr>
      </w:pPr>
      <w:r w:rsidRPr="007359DF">
        <w:rPr>
          <w:rFonts w:asciiTheme="minorHAnsi" w:hAnsiTheme="minorHAnsi"/>
          <w:sz w:val="32"/>
          <w:szCs w:val="32"/>
        </w:rPr>
        <w:t>Requested listing</w:t>
      </w:r>
      <w:bookmarkStart w:id="0" w:name="_GoBack"/>
      <w:bookmarkEnd w:id="0"/>
    </w:p>
    <w:p w:rsidR="006A12A5" w:rsidRPr="00F36CCB" w:rsidRDefault="006A12A5" w:rsidP="00882085">
      <w:pPr>
        <w:jc w:val="both"/>
        <w:rPr>
          <w:rFonts w:asciiTheme="minorHAnsi" w:hAnsiTheme="minorHAnsi"/>
          <w:b/>
          <w:sz w:val="22"/>
          <w:szCs w:val="22"/>
        </w:rPr>
      </w:pPr>
    </w:p>
    <w:p w:rsidR="00826F6D" w:rsidRPr="007359DF" w:rsidRDefault="00EF44A0" w:rsidP="008A50F1">
      <w:pPr>
        <w:pStyle w:val="ListParagraph"/>
        <w:numPr>
          <w:ilvl w:val="1"/>
          <w:numId w:val="5"/>
        </w:numPr>
        <w:rPr>
          <w:rFonts w:asciiTheme="minorHAnsi" w:hAnsiTheme="minorHAnsi"/>
          <w:sz w:val="24"/>
          <w:szCs w:val="24"/>
        </w:rPr>
      </w:pPr>
      <w:r w:rsidRPr="007359DF">
        <w:rPr>
          <w:rFonts w:asciiTheme="minorHAnsi" w:hAnsiTheme="minorHAnsi"/>
          <w:sz w:val="24"/>
          <w:szCs w:val="24"/>
        </w:rPr>
        <w:t xml:space="preserve">The submission </w:t>
      </w:r>
      <w:r w:rsidR="00FF2801" w:rsidRPr="007359DF">
        <w:rPr>
          <w:rFonts w:asciiTheme="minorHAnsi" w:hAnsiTheme="minorHAnsi"/>
          <w:sz w:val="24"/>
          <w:szCs w:val="24"/>
        </w:rPr>
        <w:t>requested</w:t>
      </w:r>
      <w:r w:rsidRPr="007359DF">
        <w:rPr>
          <w:rFonts w:asciiTheme="minorHAnsi" w:hAnsiTheme="minorHAnsi"/>
          <w:sz w:val="24"/>
          <w:szCs w:val="24"/>
        </w:rPr>
        <w:t xml:space="preserve"> </w:t>
      </w:r>
      <w:r w:rsidR="00D4160C" w:rsidRPr="007359DF">
        <w:rPr>
          <w:rFonts w:asciiTheme="minorHAnsi" w:hAnsiTheme="minorHAnsi"/>
          <w:sz w:val="24"/>
          <w:szCs w:val="24"/>
        </w:rPr>
        <w:t>change in the restriction level of the existing listing from Authority Required to Authority Required (Streamlined), but</w:t>
      </w:r>
      <w:r w:rsidR="0076420C" w:rsidRPr="007359DF">
        <w:rPr>
          <w:rFonts w:asciiTheme="minorHAnsi" w:hAnsiTheme="minorHAnsi"/>
          <w:sz w:val="24"/>
          <w:szCs w:val="24"/>
        </w:rPr>
        <w:t xml:space="preserve"> no</w:t>
      </w:r>
      <w:r w:rsidRPr="007359DF">
        <w:rPr>
          <w:rFonts w:asciiTheme="minorHAnsi" w:hAnsiTheme="minorHAnsi"/>
          <w:sz w:val="24"/>
          <w:szCs w:val="24"/>
        </w:rPr>
        <w:t xml:space="preserve"> </w:t>
      </w:r>
      <w:r w:rsidR="00FC729E">
        <w:rPr>
          <w:rFonts w:asciiTheme="minorHAnsi" w:hAnsiTheme="minorHAnsi"/>
          <w:sz w:val="24"/>
          <w:szCs w:val="24"/>
        </w:rPr>
        <w:t xml:space="preserve">other </w:t>
      </w:r>
      <w:r w:rsidRPr="007359DF">
        <w:rPr>
          <w:rFonts w:asciiTheme="minorHAnsi" w:hAnsiTheme="minorHAnsi"/>
          <w:sz w:val="24"/>
          <w:szCs w:val="24"/>
        </w:rPr>
        <w:t>changes to the existing</w:t>
      </w:r>
      <w:r w:rsidR="00D4160C" w:rsidRPr="007359DF">
        <w:rPr>
          <w:rFonts w:asciiTheme="minorHAnsi" w:hAnsiTheme="minorHAnsi"/>
          <w:sz w:val="24"/>
          <w:szCs w:val="24"/>
        </w:rPr>
        <w:t xml:space="preserve"> </w:t>
      </w:r>
      <w:r w:rsidR="00FC729E">
        <w:rPr>
          <w:rFonts w:asciiTheme="minorHAnsi" w:hAnsiTheme="minorHAnsi"/>
          <w:sz w:val="24"/>
          <w:szCs w:val="24"/>
        </w:rPr>
        <w:t>listing</w:t>
      </w:r>
      <w:r w:rsidR="00D4160C" w:rsidRPr="007359DF">
        <w:rPr>
          <w:rFonts w:asciiTheme="minorHAnsi" w:hAnsiTheme="minorHAnsi"/>
          <w:sz w:val="24"/>
          <w:szCs w:val="24"/>
        </w:rPr>
        <w:t>.</w:t>
      </w:r>
      <w:r w:rsidRPr="007359DF">
        <w:rPr>
          <w:rFonts w:asciiTheme="minorHAnsi" w:hAnsiTheme="minorHAnsi"/>
          <w:sz w:val="24"/>
          <w:szCs w:val="24"/>
        </w:rPr>
        <w:t xml:space="preserve"> </w:t>
      </w:r>
    </w:p>
    <w:p w:rsidR="00AE1E9C" w:rsidRDefault="00AE1E9C" w:rsidP="000E14ED">
      <w:pPr>
        <w:jc w:val="both"/>
        <w:rPr>
          <w:rFonts w:asciiTheme="minorHAnsi" w:hAnsiTheme="minorHAnsi" w:cs="Arial"/>
          <w:sz w:val="22"/>
          <w:szCs w:val="22"/>
        </w:rPr>
      </w:pPr>
    </w:p>
    <w:p w:rsidR="00CE10C4" w:rsidRPr="007359DF" w:rsidRDefault="00CE10C4" w:rsidP="007359DF">
      <w:pPr>
        <w:pStyle w:val="PBACHeading1"/>
        <w:numPr>
          <w:ilvl w:val="0"/>
          <w:numId w:val="14"/>
        </w:numPr>
        <w:jc w:val="both"/>
        <w:rPr>
          <w:rFonts w:asciiTheme="minorHAnsi" w:hAnsiTheme="minorHAnsi"/>
          <w:sz w:val="32"/>
          <w:szCs w:val="32"/>
        </w:rPr>
      </w:pPr>
      <w:r w:rsidRPr="007359DF">
        <w:rPr>
          <w:rFonts w:asciiTheme="minorHAnsi" w:hAnsiTheme="minorHAnsi"/>
          <w:sz w:val="32"/>
          <w:szCs w:val="32"/>
        </w:rPr>
        <w:t>Background</w:t>
      </w:r>
    </w:p>
    <w:p w:rsidR="00C603D4" w:rsidRPr="00F36CCB" w:rsidRDefault="00C603D4" w:rsidP="00C603D4">
      <w:pPr>
        <w:pStyle w:val="ListParagraph"/>
        <w:rPr>
          <w:rFonts w:asciiTheme="minorHAnsi" w:hAnsiTheme="minorHAnsi"/>
          <w:i/>
          <w:szCs w:val="22"/>
        </w:rPr>
      </w:pPr>
    </w:p>
    <w:p w:rsidR="00E01BC5" w:rsidRPr="007359DF" w:rsidRDefault="00E01BC5" w:rsidP="00E01BC5">
      <w:pPr>
        <w:pStyle w:val="ListParagraph"/>
        <w:numPr>
          <w:ilvl w:val="1"/>
          <w:numId w:val="5"/>
        </w:numPr>
        <w:rPr>
          <w:rFonts w:asciiTheme="minorHAnsi" w:hAnsiTheme="minorHAnsi"/>
          <w:sz w:val="24"/>
          <w:szCs w:val="24"/>
        </w:rPr>
      </w:pPr>
      <w:r w:rsidRPr="007359DF">
        <w:rPr>
          <w:rFonts w:asciiTheme="minorHAnsi" w:hAnsiTheme="minorHAnsi"/>
          <w:sz w:val="24"/>
          <w:szCs w:val="24"/>
        </w:rPr>
        <w:t>Febuxostat</w:t>
      </w:r>
      <w:r w:rsidR="00476245" w:rsidRPr="007359DF">
        <w:rPr>
          <w:rFonts w:asciiTheme="minorHAnsi" w:hAnsiTheme="minorHAnsi"/>
          <w:sz w:val="24"/>
          <w:szCs w:val="24"/>
        </w:rPr>
        <w:t xml:space="preserve"> </w:t>
      </w:r>
      <w:r w:rsidR="009E1AE1">
        <w:rPr>
          <w:rFonts w:asciiTheme="minorHAnsi" w:hAnsiTheme="minorHAnsi"/>
          <w:sz w:val="24"/>
          <w:szCs w:val="24"/>
        </w:rPr>
        <w:t>wa</w:t>
      </w:r>
      <w:r w:rsidR="00476245" w:rsidRPr="007359DF">
        <w:rPr>
          <w:rFonts w:asciiTheme="minorHAnsi" w:hAnsiTheme="minorHAnsi"/>
          <w:sz w:val="24"/>
          <w:szCs w:val="24"/>
        </w:rPr>
        <w:t>s TGA registered for</w:t>
      </w:r>
      <w:r w:rsidRPr="007359DF">
        <w:rPr>
          <w:rFonts w:asciiTheme="minorHAnsi" w:hAnsiTheme="minorHAnsi"/>
          <w:sz w:val="24"/>
          <w:szCs w:val="24"/>
        </w:rPr>
        <w:t xml:space="preserve"> the treatment of symptomatic hyperuricaemia in conditions where urate deposition has already occurred (gouty arthritis and/or tophus formation) in adults with gout on 18 December 2014.</w:t>
      </w:r>
    </w:p>
    <w:p w:rsidR="004A4AC0" w:rsidRPr="007359DF" w:rsidRDefault="004A4AC0" w:rsidP="004B6ECD">
      <w:pPr>
        <w:pStyle w:val="ListParagraph"/>
        <w:rPr>
          <w:rFonts w:asciiTheme="minorHAnsi" w:hAnsiTheme="minorHAnsi"/>
          <w:sz w:val="24"/>
          <w:szCs w:val="24"/>
        </w:rPr>
      </w:pPr>
    </w:p>
    <w:p w:rsidR="00E01BC5" w:rsidRPr="007359DF" w:rsidRDefault="00AE4420" w:rsidP="00E01BC5">
      <w:pPr>
        <w:pStyle w:val="ListParagraph"/>
        <w:numPr>
          <w:ilvl w:val="1"/>
          <w:numId w:val="5"/>
        </w:numPr>
        <w:rPr>
          <w:rFonts w:asciiTheme="minorHAnsi" w:hAnsiTheme="minorHAnsi"/>
          <w:sz w:val="24"/>
          <w:szCs w:val="24"/>
        </w:rPr>
      </w:pPr>
      <w:r>
        <w:rPr>
          <w:rFonts w:asciiTheme="minorHAnsi" w:hAnsiTheme="minorHAnsi"/>
          <w:sz w:val="24"/>
          <w:szCs w:val="24"/>
        </w:rPr>
        <w:t>T</w:t>
      </w:r>
      <w:r w:rsidR="00E01BC5" w:rsidRPr="007359DF">
        <w:rPr>
          <w:rFonts w:asciiTheme="minorHAnsi" w:hAnsiTheme="minorHAnsi"/>
          <w:sz w:val="24"/>
          <w:szCs w:val="24"/>
        </w:rPr>
        <w:t xml:space="preserve">he PBAC </w:t>
      </w:r>
      <w:r w:rsidR="00FC729E">
        <w:rPr>
          <w:rFonts w:asciiTheme="minorHAnsi" w:hAnsiTheme="minorHAnsi"/>
          <w:sz w:val="24"/>
          <w:szCs w:val="24"/>
        </w:rPr>
        <w:t xml:space="preserve">recalled that it </w:t>
      </w:r>
      <w:r>
        <w:rPr>
          <w:rFonts w:asciiTheme="minorHAnsi" w:hAnsiTheme="minorHAnsi"/>
          <w:sz w:val="24"/>
          <w:szCs w:val="24"/>
        </w:rPr>
        <w:t xml:space="preserve">previously </w:t>
      </w:r>
      <w:r w:rsidR="00E01BC5" w:rsidRPr="007359DF">
        <w:rPr>
          <w:rFonts w:asciiTheme="minorHAnsi" w:hAnsiTheme="minorHAnsi"/>
          <w:sz w:val="24"/>
          <w:szCs w:val="24"/>
        </w:rPr>
        <w:t xml:space="preserve">recommended the listing of febuxostat as an Authority Required benefit for patients with a contraindication to, or intolerant of treatment with allopurinol </w:t>
      </w:r>
      <w:r w:rsidR="004A4AC0" w:rsidRPr="007359DF">
        <w:rPr>
          <w:rFonts w:asciiTheme="minorHAnsi" w:hAnsiTheme="minorHAnsi"/>
          <w:sz w:val="24"/>
          <w:szCs w:val="24"/>
        </w:rPr>
        <w:t>at the</w:t>
      </w:r>
      <w:r w:rsidR="00E01BC5" w:rsidRPr="007359DF">
        <w:rPr>
          <w:rFonts w:asciiTheme="minorHAnsi" w:hAnsiTheme="minorHAnsi"/>
          <w:sz w:val="24"/>
          <w:szCs w:val="24"/>
        </w:rPr>
        <w:t xml:space="preserve"> March 2015</w:t>
      </w:r>
      <w:r w:rsidR="004A4AC0" w:rsidRPr="007359DF">
        <w:rPr>
          <w:rFonts w:asciiTheme="minorHAnsi" w:hAnsiTheme="minorHAnsi"/>
          <w:sz w:val="24"/>
          <w:szCs w:val="24"/>
        </w:rPr>
        <w:t xml:space="preserve"> meeting</w:t>
      </w:r>
      <w:r w:rsidR="00E01BC5" w:rsidRPr="007359DF">
        <w:rPr>
          <w:rFonts w:asciiTheme="minorHAnsi" w:hAnsiTheme="minorHAnsi"/>
          <w:sz w:val="24"/>
          <w:szCs w:val="24"/>
        </w:rPr>
        <w:t>. The PBAC recommendation was on the basis of a clinical need for an alternative second-line treatment to proben</w:t>
      </w:r>
      <w:r w:rsidR="009E1AE1">
        <w:rPr>
          <w:rFonts w:asciiTheme="minorHAnsi" w:hAnsiTheme="minorHAnsi"/>
          <w:sz w:val="24"/>
          <w:szCs w:val="24"/>
        </w:rPr>
        <w:t>e</w:t>
      </w:r>
      <w:r w:rsidR="00E01BC5" w:rsidRPr="007359DF">
        <w:rPr>
          <w:rFonts w:asciiTheme="minorHAnsi" w:hAnsiTheme="minorHAnsi"/>
          <w:sz w:val="24"/>
          <w:szCs w:val="24"/>
        </w:rPr>
        <w:t>cid (the comparator) in this patient population (</w:t>
      </w:r>
      <w:r w:rsidR="004A4AC0" w:rsidRPr="007359DF">
        <w:rPr>
          <w:rFonts w:asciiTheme="minorHAnsi" w:hAnsiTheme="minorHAnsi"/>
          <w:sz w:val="24"/>
          <w:szCs w:val="24"/>
        </w:rPr>
        <w:t>Public Summary Document</w:t>
      </w:r>
      <w:r w:rsidR="00E01BC5" w:rsidRPr="007359DF">
        <w:rPr>
          <w:rFonts w:asciiTheme="minorHAnsi" w:hAnsiTheme="minorHAnsi"/>
          <w:sz w:val="24"/>
          <w:szCs w:val="24"/>
        </w:rPr>
        <w:t xml:space="preserve">, March 2015 PBAC meeting). </w:t>
      </w:r>
    </w:p>
    <w:p w:rsidR="004A4AC0" w:rsidRPr="007359DF" w:rsidRDefault="004A4AC0" w:rsidP="00195AA1">
      <w:pPr>
        <w:pStyle w:val="ListParagraph"/>
        <w:rPr>
          <w:rFonts w:asciiTheme="minorHAnsi" w:hAnsiTheme="minorHAnsi"/>
          <w:sz w:val="24"/>
          <w:szCs w:val="24"/>
        </w:rPr>
      </w:pPr>
    </w:p>
    <w:p w:rsidR="00E01BC5" w:rsidRPr="007359DF" w:rsidRDefault="004D3A9F" w:rsidP="00E01BC5">
      <w:pPr>
        <w:pStyle w:val="ListParagraph"/>
        <w:numPr>
          <w:ilvl w:val="1"/>
          <w:numId w:val="5"/>
        </w:numPr>
        <w:rPr>
          <w:rFonts w:asciiTheme="minorHAnsi" w:hAnsiTheme="minorHAnsi"/>
          <w:sz w:val="24"/>
          <w:szCs w:val="24"/>
        </w:rPr>
      </w:pPr>
      <w:r>
        <w:rPr>
          <w:rFonts w:asciiTheme="minorHAnsi" w:hAnsiTheme="minorHAnsi"/>
          <w:sz w:val="24"/>
          <w:szCs w:val="24"/>
        </w:rPr>
        <w:t xml:space="preserve">The PBAC recalled </w:t>
      </w:r>
      <w:r w:rsidR="00E01BC5" w:rsidRPr="007359DF">
        <w:rPr>
          <w:rFonts w:asciiTheme="minorHAnsi" w:hAnsiTheme="minorHAnsi"/>
          <w:sz w:val="24"/>
          <w:szCs w:val="24"/>
        </w:rPr>
        <w:t xml:space="preserve">that </w:t>
      </w:r>
      <w:r w:rsidR="00463E00">
        <w:rPr>
          <w:rFonts w:asciiTheme="minorHAnsi" w:hAnsiTheme="minorHAnsi"/>
          <w:sz w:val="24"/>
          <w:szCs w:val="24"/>
        </w:rPr>
        <w:t>its previous</w:t>
      </w:r>
      <w:r w:rsidR="00E01BC5" w:rsidRPr="007359DF">
        <w:rPr>
          <w:rFonts w:asciiTheme="minorHAnsi" w:hAnsiTheme="minorHAnsi"/>
          <w:sz w:val="24"/>
          <w:szCs w:val="24"/>
        </w:rPr>
        <w:t xml:space="preserve"> recommend</w:t>
      </w:r>
      <w:r>
        <w:rPr>
          <w:rFonts w:asciiTheme="minorHAnsi" w:hAnsiTheme="minorHAnsi"/>
          <w:sz w:val="24"/>
          <w:szCs w:val="24"/>
        </w:rPr>
        <w:t xml:space="preserve">ation </w:t>
      </w:r>
      <w:r w:rsidR="00FC729E">
        <w:rPr>
          <w:rFonts w:asciiTheme="minorHAnsi" w:hAnsiTheme="minorHAnsi"/>
          <w:sz w:val="24"/>
          <w:szCs w:val="24"/>
        </w:rPr>
        <w:t>for</w:t>
      </w:r>
      <w:r w:rsidR="00E01BC5" w:rsidRPr="007359DF">
        <w:rPr>
          <w:rFonts w:asciiTheme="minorHAnsi" w:hAnsiTheme="minorHAnsi"/>
          <w:sz w:val="24"/>
          <w:szCs w:val="24"/>
        </w:rPr>
        <w:t xml:space="preserve"> an Authority Required listing and not an Authority Required (STREAMLINED) </w:t>
      </w:r>
      <w:r>
        <w:rPr>
          <w:rFonts w:asciiTheme="minorHAnsi" w:hAnsiTheme="minorHAnsi"/>
          <w:sz w:val="24"/>
          <w:szCs w:val="24"/>
        </w:rPr>
        <w:t xml:space="preserve">was </w:t>
      </w:r>
      <w:r w:rsidR="00E01BC5" w:rsidRPr="007359DF">
        <w:rPr>
          <w:rFonts w:asciiTheme="minorHAnsi" w:hAnsiTheme="minorHAnsi"/>
          <w:sz w:val="24"/>
          <w:szCs w:val="24"/>
        </w:rPr>
        <w:t>to address concerns about use of febuxostat in the first line setting (</w:t>
      </w:r>
      <w:r w:rsidR="00380C87" w:rsidRPr="007359DF">
        <w:rPr>
          <w:rFonts w:asciiTheme="minorHAnsi" w:hAnsiTheme="minorHAnsi"/>
          <w:sz w:val="24"/>
          <w:szCs w:val="24"/>
        </w:rPr>
        <w:t>Public Summary Document</w:t>
      </w:r>
      <w:r w:rsidR="00E01BC5" w:rsidRPr="007359DF">
        <w:rPr>
          <w:rFonts w:asciiTheme="minorHAnsi" w:hAnsiTheme="minorHAnsi"/>
          <w:sz w:val="24"/>
          <w:szCs w:val="24"/>
        </w:rPr>
        <w:t xml:space="preserve">, March 2015 PBAC meeting). </w:t>
      </w:r>
    </w:p>
    <w:p w:rsidR="004A4AC0" w:rsidRPr="007359DF" w:rsidRDefault="004A4AC0" w:rsidP="00195AA1">
      <w:pPr>
        <w:pStyle w:val="ListParagraph"/>
        <w:rPr>
          <w:rFonts w:asciiTheme="minorHAnsi" w:hAnsiTheme="minorHAnsi"/>
          <w:sz w:val="24"/>
          <w:szCs w:val="24"/>
        </w:rPr>
      </w:pPr>
    </w:p>
    <w:p w:rsidR="004D3A9F" w:rsidRPr="00660EF1" w:rsidRDefault="00E01BC5" w:rsidP="00195AA1">
      <w:pPr>
        <w:pStyle w:val="ListParagraph"/>
        <w:numPr>
          <w:ilvl w:val="1"/>
          <w:numId w:val="5"/>
        </w:numPr>
        <w:rPr>
          <w:rFonts w:asciiTheme="minorHAnsi" w:hAnsiTheme="minorHAnsi"/>
          <w:sz w:val="24"/>
          <w:szCs w:val="24"/>
        </w:rPr>
      </w:pPr>
      <w:r w:rsidRPr="00660EF1">
        <w:rPr>
          <w:rFonts w:asciiTheme="minorHAnsi" w:hAnsiTheme="minorHAnsi"/>
          <w:sz w:val="24"/>
          <w:szCs w:val="24"/>
        </w:rPr>
        <w:t xml:space="preserve">The </w:t>
      </w:r>
      <w:r w:rsidR="004D3A9F" w:rsidRPr="00660EF1">
        <w:rPr>
          <w:rFonts w:asciiTheme="minorHAnsi" w:hAnsiTheme="minorHAnsi"/>
          <w:sz w:val="24"/>
          <w:szCs w:val="24"/>
        </w:rPr>
        <w:t>PBAC</w:t>
      </w:r>
      <w:r w:rsidRPr="00660EF1">
        <w:rPr>
          <w:rFonts w:asciiTheme="minorHAnsi" w:hAnsiTheme="minorHAnsi"/>
          <w:sz w:val="24"/>
          <w:szCs w:val="24"/>
        </w:rPr>
        <w:t xml:space="preserve"> noted that a </w:t>
      </w:r>
      <w:r w:rsidR="00195AA1" w:rsidRPr="00660EF1">
        <w:rPr>
          <w:rFonts w:asciiTheme="minorHAnsi" w:hAnsiTheme="minorHAnsi"/>
          <w:sz w:val="24"/>
          <w:szCs w:val="24"/>
        </w:rPr>
        <w:t xml:space="preserve">Risk Sharing Agreement </w:t>
      </w:r>
      <w:r w:rsidRPr="00660EF1">
        <w:rPr>
          <w:rFonts w:asciiTheme="minorHAnsi" w:hAnsiTheme="minorHAnsi"/>
          <w:sz w:val="24"/>
          <w:szCs w:val="24"/>
        </w:rPr>
        <w:t>was in place to reduce the risk of unexpected Commonwealth expenditure on febuxostat if used beyond the recommended listing (</w:t>
      </w:r>
      <w:r w:rsidR="00DA1C4E" w:rsidRPr="00660EF1">
        <w:rPr>
          <w:rFonts w:asciiTheme="minorHAnsi" w:hAnsiTheme="minorHAnsi"/>
          <w:sz w:val="24"/>
          <w:szCs w:val="24"/>
        </w:rPr>
        <w:t>Public Summary Document</w:t>
      </w:r>
      <w:r w:rsidRPr="00660EF1">
        <w:rPr>
          <w:rFonts w:asciiTheme="minorHAnsi" w:hAnsiTheme="minorHAnsi"/>
          <w:sz w:val="24"/>
          <w:szCs w:val="24"/>
        </w:rPr>
        <w:t>, March 2015 PBAC meeting). The risk shar</w:t>
      </w:r>
      <w:r w:rsidR="00B20A50" w:rsidRPr="00660EF1">
        <w:rPr>
          <w:rFonts w:asciiTheme="minorHAnsi" w:hAnsiTheme="minorHAnsi"/>
          <w:sz w:val="24"/>
          <w:szCs w:val="24"/>
        </w:rPr>
        <w:t>ing</w:t>
      </w:r>
      <w:r w:rsidRPr="00660EF1">
        <w:rPr>
          <w:rFonts w:asciiTheme="minorHAnsi" w:hAnsiTheme="minorHAnsi"/>
          <w:sz w:val="24"/>
          <w:szCs w:val="24"/>
        </w:rPr>
        <w:t xml:space="preserve"> agreement expenditure cap to be calculated based on the conservative estimate that up to </w:t>
      </w:r>
      <w:r w:rsidR="00D86531">
        <w:rPr>
          <w:rFonts w:asciiTheme="minorHAnsi" w:hAnsiTheme="minorHAnsi"/>
          <w:noProof/>
          <w:color w:val="000000"/>
          <w:sz w:val="24"/>
          <w:szCs w:val="24"/>
          <w:highlight w:val="black"/>
        </w:rPr>
        <w:t>'''</w:t>
      </w:r>
      <w:r w:rsidR="004D2EDC" w:rsidRPr="0091342B">
        <w:rPr>
          <w:rFonts w:asciiTheme="minorHAnsi" w:hAnsiTheme="minorHAnsi"/>
          <w:sz w:val="24"/>
          <w:szCs w:val="24"/>
        </w:rPr>
        <w:t>%</w:t>
      </w:r>
      <w:r w:rsidRPr="00660EF1">
        <w:rPr>
          <w:rFonts w:asciiTheme="minorHAnsi" w:hAnsiTheme="minorHAnsi"/>
          <w:sz w:val="24"/>
          <w:szCs w:val="24"/>
        </w:rPr>
        <w:t xml:space="preserve">of patients with chronic gout cannot take allopurinol for reasons relating to contraindications or adverse effects. </w:t>
      </w:r>
    </w:p>
    <w:p w:rsidR="0062331B" w:rsidRDefault="0062331B" w:rsidP="007015E6"/>
    <w:p w:rsidR="00AE1E9C" w:rsidRPr="00EB3F99" w:rsidRDefault="00AE1E9C" w:rsidP="00195AA1">
      <w:pPr>
        <w:ind w:left="720"/>
        <w:rPr>
          <w:rFonts w:asciiTheme="minorHAnsi" w:hAnsiTheme="minorHAnsi"/>
          <w:i/>
        </w:rPr>
      </w:pPr>
      <w:r w:rsidRPr="00195AA1">
        <w:rPr>
          <w:rFonts w:asciiTheme="minorHAnsi" w:hAnsiTheme="minorHAnsi"/>
          <w:i/>
        </w:rPr>
        <w:lastRenderedPageBreak/>
        <w:t xml:space="preserve">For more detail on PBAC’s view, see section </w:t>
      </w:r>
      <w:r w:rsidR="00FC729E">
        <w:rPr>
          <w:rFonts w:asciiTheme="minorHAnsi" w:hAnsiTheme="minorHAnsi"/>
          <w:i/>
        </w:rPr>
        <w:t>5</w:t>
      </w:r>
      <w:r w:rsidR="00D7725B" w:rsidRPr="00195AA1">
        <w:rPr>
          <w:rFonts w:asciiTheme="minorHAnsi" w:hAnsiTheme="minorHAnsi"/>
          <w:i/>
        </w:rPr>
        <w:t xml:space="preserve"> </w:t>
      </w:r>
      <w:r w:rsidRPr="00195AA1">
        <w:rPr>
          <w:rFonts w:asciiTheme="minorHAnsi" w:hAnsiTheme="minorHAnsi"/>
          <w:i/>
        </w:rPr>
        <w:t>“PBAC outcome.”</w:t>
      </w:r>
    </w:p>
    <w:p w:rsidR="002E133E" w:rsidRPr="002E133E" w:rsidRDefault="002E133E" w:rsidP="007015E6"/>
    <w:p w:rsidR="00A72051" w:rsidRPr="007359DF" w:rsidRDefault="00A72051" w:rsidP="007359DF">
      <w:pPr>
        <w:pStyle w:val="PBACHeading1"/>
        <w:numPr>
          <w:ilvl w:val="0"/>
          <w:numId w:val="14"/>
        </w:numPr>
        <w:jc w:val="both"/>
        <w:rPr>
          <w:rFonts w:asciiTheme="minorHAnsi" w:hAnsiTheme="minorHAnsi"/>
          <w:sz w:val="32"/>
          <w:szCs w:val="32"/>
        </w:rPr>
      </w:pPr>
      <w:r w:rsidRPr="007359DF">
        <w:rPr>
          <w:rFonts w:asciiTheme="minorHAnsi" w:hAnsiTheme="minorHAnsi"/>
          <w:sz w:val="32"/>
          <w:szCs w:val="32"/>
        </w:rPr>
        <w:t xml:space="preserve">Consideration of </w:t>
      </w:r>
      <w:r w:rsidR="007015E6" w:rsidRPr="007359DF">
        <w:rPr>
          <w:rFonts w:asciiTheme="minorHAnsi" w:hAnsiTheme="minorHAnsi"/>
          <w:sz w:val="32"/>
          <w:szCs w:val="32"/>
        </w:rPr>
        <w:t xml:space="preserve">the </w:t>
      </w:r>
      <w:r w:rsidRPr="007359DF">
        <w:rPr>
          <w:rFonts w:asciiTheme="minorHAnsi" w:hAnsiTheme="minorHAnsi"/>
          <w:sz w:val="32"/>
          <w:szCs w:val="32"/>
        </w:rPr>
        <w:t>evidence</w:t>
      </w:r>
    </w:p>
    <w:p w:rsidR="007015E6" w:rsidRDefault="007015E6" w:rsidP="007015E6"/>
    <w:p w:rsidR="007015E6" w:rsidRPr="002248BD" w:rsidRDefault="007015E6" w:rsidP="007015E6">
      <w:pPr>
        <w:pStyle w:val="Heading2"/>
        <w:rPr>
          <w:szCs w:val="28"/>
        </w:rPr>
      </w:pPr>
      <w:r w:rsidRPr="002248BD">
        <w:rPr>
          <w:szCs w:val="28"/>
        </w:rPr>
        <w:t xml:space="preserve">Sponsor hearing </w:t>
      </w:r>
    </w:p>
    <w:p w:rsidR="007015E6" w:rsidRPr="007015E6" w:rsidRDefault="007015E6" w:rsidP="007015E6"/>
    <w:p w:rsidR="007015E6" w:rsidRPr="007359DF" w:rsidRDefault="007015E6" w:rsidP="007015E6">
      <w:pPr>
        <w:pStyle w:val="ListParagraph"/>
        <w:numPr>
          <w:ilvl w:val="1"/>
          <w:numId w:val="5"/>
        </w:numPr>
        <w:rPr>
          <w:rFonts w:asciiTheme="minorHAnsi" w:hAnsiTheme="minorHAnsi"/>
          <w:sz w:val="24"/>
          <w:szCs w:val="24"/>
        </w:rPr>
      </w:pPr>
      <w:r w:rsidRPr="007359DF">
        <w:rPr>
          <w:rFonts w:asciiTheme="minorHAnsi" w:hAnsiTheme="minorHAnsi"/>
          <w:sz w:val="24"/>
          <w:szCs w:val="24"/>
        </w:rPr>
        <w:t xml:space="preserve">There was no hearing for this item as it was a minor submission. </w:t>
      </w:r>
    </w:p>
    <w:p w:rsidR="007015E6" w:rsidRDefault="007015E6" w:rsidP="007015E6">
      <w:pPr>
        <w:pStyle w:val="ListParagraph"/>
        <w:rPr>
          <w:rFonts w:asciiTheme="minorHAnsi" w:hAnsiTheme="minorHAnsi"/>
          <w:szCs w:val="22"/>
        </w:rPr>
      </w:pPr>
    </w:p>
    <w:p w:rsidR="007015E6" w:rsidRDefault="007015E6" w:rsidP="007015E6">
      <w:pPr>
        <w:pStyle w:val="Heading2"/>
      </w:pPr>
      <w:r>
        <w:t xml:space="preserve">Consumer comments </w:t>
      </w:r>
    </w:p>
    <w:p w:rsidR="007015E6" w:rsidRPr="007015E6" w:rsidRDefault="007015E6" w:rsidP="007015E6"/>
    <w:p w:rsidR="007015E6" w:rsidRPr="007359DF" w:rsidRDefault="007015E6" w:rsidP="007015E6">
      <w:pPr>
        <w:pStyle w:val="ListParagraph"/>
        <w:numPr>
          <w:ilvl w:val="1"/>
          <w:numId w:val="5"/>
        </w:numPr>
        <w:rPr>
          <w:rFonts w:asciiTheme="minorHAnsi" w:hAnsiTheme="minorHAnsi"/>
          <w:sz w:val="24"/>
          <w:szCs w:val="24"/>
        </w:rPr>
      </w:pPr>
      <w:r w:rsidRPr="007359DF">
        <w:rPr>
          <w:rFonts w:asciiTheme="minorHAnsi" w:hAnsiTheme="minorHAnsi"/>
          <w:sz w:val="24"/>
          <w:szCs w:val="24"/>
        </w:rPr>
        <w:t xml:space="preserve">The PBAC noted that no consumer comments were received for this item. </w:t>
      </w:r>
    </w:p>
    <w:p w:rsidR="00FC729E" w:rsidRPr="007015E6" w:rsidRDefault="00FC729E" w:rsidP="007015E6">
      <w:pPr>
        <w:pStyle w:val="ListParagraph"/>
        <w:rPr>
          <w:rFonts w:asciiTheme="minorHAnsi" w:hAnsiTheme="minorHAnsi"/>
          <w:szCs w:val="22"/>
        </w:rPr>
      </w:pPr>
    </w:p>
    <w:p w:rsidR="007015E6" w:rsidRPr="00195AA1" w:rsidRDefault="007015E6" w:rsidP="0069117F">
      <w:pPr>
        <w:pStyle w:val="Heading2"/>
      </w:pPr>
      <w:r w:rsidRPr="00195AA1">
        <w:t>Estimated PBS usage &amp; financial implications</w:t>
      </w:r>
    </w:p>
    <w:p w:rsidR="005A3173" w:rsidRPr="002E133E" w:rsidRDefault="005A3173" w:rsidP="007015E6">
      <w:pPr>
        <w:jc w:val="both"/>
        <w:rPr>
          <w:rFonts w:asciiTheme="minorHAnsi" w:hAnsiTheme="minorHAnsi"/>
          <w:i/>
          <w:sz w:val="22"/>
          <w:szCs w:val="22"/>
        </w:rPr>
      </w:pPr>
    </w:p>
    <w:p w:rsidR="009E1DBB" w:rsidRPr="007359DF" w:rsidRDefault="00FF2801" w:rsidP="009F475D">
      <w:pPr>
        <w:pStyle w:val="ListParagraph"/>
        <w:numPr>
          <w:ilvl w:val="1"/>
          <w:numId w:val="5"/>
        </w:numPr>
        <w:rPr>
          <w:rFonts w:asciiTheme="minorHAnsi" w:hAnsiTheme="minorHAnsi"/>
          <w:sz w:val="24"/>
          <w:szCs w:val="24"/>
        </w:rPr>
      </w:pPr>
      <w:r w:rsidRPr="007359DF">
        <w:rPr>
          <w:rFonts w:asciiTheme="minorHAnsi" w:hAnsiTheme="minorHAnsi"/>
          <w:sz w:val="24"/>
          <w:szCs w:val="24"/>
        </w:rPr>
        <w:t>The minor submission estimated</w:t>
      </w:r>
      <w:r w:rsidR="00C00DA7" w:rsidRPr="007359DF">
        <w:rPr>
          <w:rFonts w:asciiTheme="minorHAnsi" w:hAnsiTheme="minorHAnsi"/>
          <w:sz w:val="24"/>
          <w:szCs w:val="24"/>
        </w:rPr>
        <w:t xml:space="preserve"> there to be no financial implications to the PBS</w:t>
      </w:r>
      <w:r w:rsidR="00380C87" w:rsidRPr="007359DF">
        <w:rPr>
          <w:rFonts w:asciiTheme="minorHAnsi" w:hAnsiTheme="minorHAnsi"/>
          <w:sz w:val="24"/>
          <w:szCs w:val="24"/>
        </w:rPr>
        <w:t xml:space="preserve"> as the current risk sharing arrangement provides surety of overall PBS expenditure</w:t>
      </w:r>
      <w:r w:rsidR="00C00DA7" w:rsidRPr="007359DF">
        <w:rPr>
          <w:rFonts w:asciiTheme="minorHAnsi" w:hAnsiTheme="minorHAnsi"/>
          <w:sz w:val="24"/>
          <w:szCs w:val="24"/>
        </w:rPr>
        <w:t xml:space="preserve">. </w:t>
      </w:r>
    </w:p>
    <w:p w:rsidR="009E1DBB" w:rsidRPr="007359DF" w:rsidRDefault="009E1DBB" w:rsidP="00195AA1">
      <w:pPr>
        <w:pStyle w:val="ListParagraph"/>
        <w:rPr>
          <w:rFonts w:asciiTheme="minorHAnsi" w:hAnsiTheme="minorHAnsi"/>
          <w:sz w:val="24"/>
          <w:szCs w:val="24"/>
        </w:rPr>
      </w:pPr>
    </w:p>
    <w:p w:rsidR="00C00DA7" w:rsidRPr="007359DF" w:rsidRDefault="009F475D" w:rsidP="009F475D">
      <w:pPr>
        <w:pStyle w:val="ListParagraph"/>
        <w:numPr>
          <w:ilvl w:val="1"/>
          <w:numId w:val="5"/>
        </w:numPr>
        <w:rPr>
          <w:rFonts w:asciiTheme="minorHAnsi" w:hAnsiTheme="minorHAnsi"/>
          <w:sz w:val="24"/>
          <w:szCs w:val="24"/>
        </w:rPr>
      </w:pPr>
      <w:r w:rsidRPr="007359DF">
        <w:rPr>
          <w:rFonts w:asciiTheme="minorHAnsi" w:hAnsiTheme="minorHAnsi"/>
          <w:sz w:val="24"/>
          <w:szCs w:val="24"/>
        </w:rPr>
        <w:t xml:space="preserve">The sponsor </w:t>
      </w:r>
      <w:r w:rsidR="0062331B" w:rsidRPr="007359DF">
        <w:rPr>
          <w:rFonts w:asciiTheme="minorHAnsi" w:hAnsiTheme="minorHAnsi"/>
          <w:sz w:val="24"/>
          <w:szCs w:val="24"/>
        </w:rPr>
        <w:t>claimed that a change on</w:t>
      </w:r>
      <w:r w:rsidRPr="007359DF">
        <w:rPr>
          <w:rFonts w:asciiTheme="minorHAnsi" w:hAnsiTheme="minorHAnsi"/>
          <w:sz w:val="24"/>
          <w:szCs w:val="24"/>
        </w:rPr>
        <w:t xml:space="preserve"> the restriction level would not increase the use of febuxostat in an ineligible patient population</w:t>
      </w:r>
      <w:r w:rsidR="00380C87" w:rsidRPr="007359DF">
        <w:rPr>
          <w:rFonts w:asciiTheme="minorHAnsi" w:hAnsiTheme="minorHAnsi"/>
          <w:sz w:val="24"/>
          <w:szCs w:val="24"/>
        </w:rPr>
        <w:t xml:space="preserve"> but allow easier access to the previously recommended population</w:t>
      </w:r>
      <w:r w:rsidRPr="007359DF">
        <w:rPr>
          <w:rFonts w:asciiTheme="minorHAnsi" w:hAnsiTheme="minorHAnsi"/>
          <w:sz w:val="24"/>
          <w:szCs w:val="24"/>
        </w:rPr>
        <w:t xml:space="preserve">. </w:t>
      </w:r>
    </w:p>
    <w:p w:rsidR="00BB7EC3" w:rsidRPr="00F36CCB" w:rsidRDefault="00BB7EC3" w:rsidP="00C00DA7">
      <w:pPr>
        <w:jc w:val="both"/>
        <w:rPr>
          <w:rFonts w:asciiTheme="minorHAnsi" w:hAnsiTheme="minorHAnsi"/>
          <w:sz w:val="22"/>
          <w:szCs w:val="22"/>
        </w:rPr>
      </w:pPr>
    </w:p>
    <w:p w:rsidR="00AE1E9C" w:rsidRPr="00EB3F99" w:rsidRDefault="00AE1E9C" w:rsidP="00195AA1">
      <w:pPr>
        <w:ind w:left="720"/>
        <w:rPr>
          <w:rFonts w:asciiTheme="minorHAnsi" w:hAnsiTheme="minorHAnsi"/>
          <w:i/>
        </w:rPr>
      </w:pPr>
      <w:r w:rsidRPr="00376C27">
        <w:rPr>
          <w:rFonts w:asciiTheme="minorHAnsi" w:hAnsiTheme="minorHAnsi"/>
          <w:i/>
        </w:rPr>
        <w:t xml:space="preserve">For more detail on PBAC’s view, see section </w:t>
      </w:r>
      <w:r w:rsidR="00FC729E">
        <w:rPr>
          <w:rFonts w:asciiTheme="minorHAnsi" w:hAnsiTheme="minorHAnsi"/>
          <w:i/>
        </w:rPr>
        <w:t>5</w:t>
      </w:r>
      <w:r w:rsidR="00D7725B" w:rsidRPr="00376C27">
        <w:rPr>
          <w:rFonts w:asciiTheme="minorHAnsi" w:hAnsiTheme="minorHAnsi"/>
          <w:i/>
        </w:rPr>
        <w:t xml:space="preserve"> </w:t>
      </w:r>
      <w:r w:rsidRPr="00376C27">
        <w:rPr>
          <w:rFonts w:asciiTheme="minorHAnsi" w:hAnsiTheme="minorHAnsi"/>
          <w:i/>
        </w:rPr>
        <w:t>“PBAC outcome.”</w:t>
      </w:r>
    </w:p>
    <w:p w:rsidR="003872CF" w:rsidRPr="00F36CCB" w:rsidRDefault="003872CF" w:rsidP="00D84934">
      <w:pPr>
        <w:jc w:val="both"/>
        <w:rPr>
          <w:rFonts w:asciiTheme="minorHAnsi" w:hAnsiTheme="minorHAnsi"/>
          <w:sz w:val="22"/>
          <w:szCs w:val="22"/>
        </w:rPr>
      </w:pPr>
    </w:p>
    <w:p w:rsidR="00AE1E9C" w:rsidRDefault="00AE1E9C" w:rsidP="007359DF">
      <w:pPr>
        <w:pStyle w:val="PBACHeading1"/>
        <w:numPr>
          <w:ilvl w:val="0"/>
          <w:numId w:val="14"/>
        </w:numPr>
        <w:jc w:val="both"/>
        <w:rPr>
          <w:rFonts w:asciiTheme="minorHAnsi" w:hAnsiTheme="minorHAnsi"/>
          <w:sz w:val="32"/>
          <w:szCs w:val="32"/>
        </w:rPr>
      </w:pPr>
      <w:r w:rsidRPr="007359DF">
        <w:rPr>
          <w:rFonts w:asciiTheme="minorHAnsi" w:hAnsiTheme="minorHAnsi"/>
          <w:sz w:val="32"/>
          <w:szCs w:val="32"/>
        </w:rPr>
        <w:t>PBAC Outcome</w:t>
      </w:r>
    </w:p>
    <w:p w:rsidR="00E3480D" w:rsidRPr="007359DF" w:rsidRDefault="00E3480D" w:rsidP="009D0635">
      <w:pPr>
        <w:pStyle w:val="PBACHeading1"/>
        <w:ind w:left="720"/>
        <w:jc w:val="both"/>
        <w:outlineLvl w:val="9"/>
        <w:rPr>
          <w:rFonts w:asciiTheme="minorHAnsi" w:hAnsiTheme="minorHAnsi"/>
          <w:sz w:val="32"/>
          <w:szCs w:val="32"/>
        </w:rPr>
      </w:pPr>
    </w:p>
    <w:p w:rsidR="00E556B0" w:rsidRPr="00376C27" w:rsidRDefault="00E556B0" w:rsidP="00195AA1">
      <w:pPr>
        <w:pStyle w:val="ListParagraph"/>
        <w:numPr>
          <w:ilvl w:val="1"/>
          <w:numId w:val="5"/>
        </w:numPr>
        <w:spacing w:after="120"/>
        <w:contextualSpacing w:val="0"/>
        <w:rPr>
          <w:rFonts w:asciiTheme="minorHAnsi" w:hAnsiTheme="minorHAnsi"/>
          <w:color w:val="000000" w:themeColor="text1"/>
          <w:sz w:val="24"/>
          <w:szCs w:val="24"/>
        </w:rPr>
      </w:pPr>
      <w:r w:rsidRPr="00376C27">
        <w:rPr>
          <w:rFonts w:asciiTheme="minorHAnsi" w:hAnsiTheme="minorHAnsi"/>
          <w:color w:val="000000" w:themeColor="text1"/>
          <w:sz w:val="24"/>
          <w:szCs w:val="24"/>
        </w:rPr>
        <w:t xml:space="preserve">The PBAC </w:t>
      </w:r>
      <w:r w:rsidR="007359DF" w:rsidRPr="00376C27">
        <w:rPr>
          <w:rFonts w:asciiTheme="minorHAnsi" w:hAnsiTheme="minorHAnsi"/>
          <w:color w:val="000000" w:themeColor="text1"/>
          <w:sz w:val="24"/>
          <w:szCs w:val="24"/>
        </w:rPr>
        <w:t>did not recommend amending the current Authority Required listing of febuxostat to Authority Required (STREAMLINED) for treatment of chronic gout.</w:t>
      </w:r>
      <w:r w:rsidRPr="00376C27">
        <w:rPr>
          <w:rFonts w:asciiTheme="minorHAnsi" w:hAnsiTheme="minorHAnsi"/>
          <w:color w:val="000000" w:themeColor="text1"/>
          <w:sz w:val="24"/>
          <w:szCs w:val="24"/>
        </w:rPr>
        <w:t xml:space="preserve"> </w:t>
      </w:r>
    </w:p>
    <w:p w:rsidR="00B07E9B" w:rsidRPr="00376C27" w:rsidRDefault="00883F68" w:rsidP="00195AA1">
      <w:pPr>
        <w:pStyle w:val="ListParagraph"/>
        <w:numPr>
          <w:ilvl w:val="1"/>
          <w:numId w:val="5"/>
        </w:numPr>
        <w:spacing w:after="120"/>
        <w:contextualSpacing w:val="0"/>
        <w:rPr>
          <w:rFonts w:asciiTheme="minorHAnsi" w:hAnsiTheme="minorHAnsi"/>
          <w:color w:val="000000" w:themeColor="text1"/>
          <w:sz w:val="24"/>
          <w:szCs w:val="24"/>
        </w:rPr>
      </w:pPr>
      <w:r w:rsidRPr="00376C27">
        <w:rPr>
          <w:rFonts w:asciiTheme="minorHAnsi" w:hAnsiTheme="minorHAnsi"/>
          <w:color w:val="000000" w:themeColor="text1"/>
          <w:sz w:val="24"/>
          <w:szCs w:val="24"/>
        </w:rPr>
        <w:t xml:space="preserve">The Sponsor presented the utilisation of febuxostat in the first 18 months of listing, and claimed that the number of scripts used was lower than anticipated. The sponsor assumed that the current lower than expected utilisation of the drug </w:t>
      </w:r>
      <w:r w:rsidR="00167285">
        <w:rPr>
          <w:rFonts w:asciiTheme="minorHAnsi" w:hAnsiTheme="minorHAnsi"/>
          <w:color w:val="000000" w:themeColor="text1"/>
          <w:sz w:val="24"/>
          <w:szCs w:val="24"/>
        </w:rPr>
        <w:t>was</w:t>
      </w:r>
      <w:r w:rsidR="00167285" w:rsidRPr="00376C27">
        <w:rPr>
          <w:rFonts w:asciiTheme="minorHAnsi" w:hAnsiTheme="minorHAnsi"/>
          <w:color w:val="000000" w:themeColor="text1"/>
          <w:sz w:val="24"/>
          <w:szCs w:val="24"/>
        </w:rPr>
        <w:t xml:space="preserve"> </w:t>
      </w:r>
      <w:r w:rsidRPr="00376C27">
        <w:rPr>
          <w:rFonts w:asciiTheme="minorHAnsi" w:hAnsiTheme="minorHAnsi"/>
          <w:color w:val="000000" w:themeColor="text1"/>
          <w:sz w:val="24"/>
          <w:szCs w:val="24"/>
        </w:rPr>
        <w:t xml:space="preserve">due to the Authority Required restriction. </w:t>
      </w:r>
    </w:p>
    <w:p w:rsidR="00167285" w:rsidRDefault="000534DE" w:rsidP="005E572C">
      <w:pPr>
        <w:pStyle w:val="ListParagraph"/>
        <w:numPr>
          <w:ilvl w:val="1"/>
          <w:numId w:val="5"/>
        </w:numPr>
        <w:spacing w:after="120"/>
        <w:contextualSpacing w:val="0"/>
        <w:rPr>
          <w:rFonts w:asciiTheme="minorHAnsi" w:hAnsiTheme="minorHAnsi"/>
          <w:color w:val="000000" w:themeColor="text1"/>
          <w:sz w:val="24"/>
          <w:szCs w:val="24"/>
        </w:rPr>
      </w:pPr>
      <w:r w:rsidRPr="00376C27">
        <w:rPr>
          <w:rFonts w:asciiTheme="minorHAnsi" w:hAnsiTheme="minorHAnsi"/>
          <w:color w:val="000000" w:themeColor="text1"/>
          <w:sz w:val="24"/>
          <w:szCs w:val="24"/>
        </w:rPr>
        <w:t xml:space="preserve">However, the PBAC did not </w:t>
      </w:r>
      <w:r w:rsidR="00B07E9B" w:rsidRPr="00376C27">
        <w:rPr>
          <w:rFonts w:asciiTheme="minorHAnsi" w:hAnsiTheme="minorHAnsi"/>
          <w:color w:val="000000" w:themeColor="text1"/>
          <w:sz w:val="24"/>
          <w:szCs w:val="24"/>
        </w:rPr>
        <w:t>consider</w:t>
      </w:r>
      <w:r w:rsidR="00D7725B" w:rsidRPr="00376C27">
        <w:rPr>
          <w:rFonts w:asciiTheme="minorHAnsi" w:hAnsiTheme="minorHAnsi"/>
          <w:color w:val="000000" w:themeColor="text1"/>
          <w:sz w:val="24"/>
          <w:szCs w:val="24"/>
        </w:rPr>
        <w:t xml:space="preserve"> that the Authority Required restriction </w:t>
      </w:r>
      <w:r w:rsidR="00D02D65">
        <w:rPr>
          <w:rFonts w:asciiTheme="minorHAnsi" w:hAnsiTheme="minorHAnsi"/>
          <w:color w:val="000000" w:themeColor="text1"/>
          <w:sz w:val="24"/>
          <w:szCs w:val="24"/>
        </w:rPr>
        <w:t xml:space="preserve">necessarily </w:t>
      </w:r>
      <w:r w:rsidR="00D7725B" w:rsidRPr="00376C27">
        <w:rPr>
          <w:rFonts w:asciiTheme="minorHAnsi" w:hAnsiTheme="minorHAnsi"/>
          <w:color w:val="000000" w:themeColor="text1"/>
          <w:sz w:val="24"/>
          <w:szCs w:val="24"/>
        </w:rPr>
        <w:t>presented a</w:t>
      </w:r>
      <w:r w:rsidR="00DE3E4A">
        <w:rPr>
          <w:rFonts w:asciiTheme="minorHAnsi" w:hAnsiTheme="minorHAnsi"/>
          <w:color w:val="000000" w:themeColor="text1"/>
          <w:sz w:val="24"/>
          <w:szCs w:val="24"/>
        </w:rPr>
        <w:t xml:space="preserve"> solely </w:t>
      </w:r>
      <w:r w:rsidR="00D7725B" w:rsidRPr="00376C27">
        <w:rPr>
          <w:rFonts w:asciiTheme="minorHAnsi" w:hAnsiTheme="minorHAnsi"/>
          <w:color w:val="000000" w:themeColor="text1"/>
          <w:sz w:val="24"/>
          <w:szCs w:val="24"/>
        </w:rPr>
        <w:t>administrative barrier</w:t>
      </w:r>
      <w:r w:rsidR="003C25AB">
        <w:rPr>
          <w:rFonts w:asciiTheme="minorHAnsi" w:hAnsiTheme="minorHAnsi"/>
          <w:color w:val="000000" w:themeColor="text1"/>
          <w:sz w:val="24"/>
          <w:szCs w:val="24"/>
        </w:rPr>
        <w:t xml:space="preserve"> </w:t>
      </w:r>
      <w:r w:rsidR="00D7725B" w:rsidRPr="00376C27">
        <w:rPr>
          <w:rFonts w:asciiTheme="minorHAnsi" w:hAnsiTheme="minorHAnsi"/>
          <w:color w:val="000000" w:themeColor="text1"/>
          <w:sz w:val="24"/>
          <w:szCs w:val="24"/>
        </w:rPr>
        <w:t>for prescribers</w:t>
      </w:r>
      <w:r w:rsidR="00167285">
        <w:rPr>
          <w:rFonts w:asciiTheme="minorHAnsi" w:hAnsiTheme="minorHAnsi"/>
          <w:color w:val="000000" w:themeColor="text1"/>
          <w:sz w:val="24"/>
          <w:szCs w:val="24"/>
        </w:rPr>
        <w:t xml:space="preserve"> </w:t>
      </w:r>
      <w:r w:rsidR="001B6494">
        <w:rPr>
          <w:rFonts w:asciiTheme="minorHAnsi" w:hAnsiTheme="minorHAnsi"/>
          <w:color w:val="000000" w:themeColor="text1"/>
          <w:sz w:val="24"/>
          <w:szCs w:val="24"/>
        </w:rPr>
        <w:t xml:space="preserve"> (ie it may be also sen</w:t>
      </w:r>
      <w:r w:rsidR="003C25AB">
        <w:rPr>
          <w:rFonts w:asciiTheme="minorHAnsi" w:hAnsiTheme="minorHAnsi"/>
          <w:color w:val="000000" w:themeColor="text1"/>
          <w:sz w:val="24"/>
          <w:szCs w:val="24"/>
        </w:rPr>
        <w:t xml:space="preserve">ding a </w:t>
      </w:r>
      <w:r w:rsidR="00DE3E4A">
        <w:rPr>
          <w:rFonts w:asciiTheme="minorHAnsi" w:hAnsiTheme="minorHAnsi"/>
          <w:color w:val="000000" w:themeColor="text1"/>
          <w:sz w:val="24"/>
          <w:szCs w:val="24"/>
        </w:rPr>
        <w:t xml:space="preserve">useful </w:t>
      </w:r>
      <w:r w:rsidR="003C25AB">
        <w:rPr>
          <w:rFonts w:asciiTheme="minorHAnsi" w:hAnsiTheme="minorHAnsi"/>
          <w:color w:val="000000" w:themeColor="text1"/>
          <w:sz w:val="24"/>
          <w:szCs w:val="24"/>
        </w:rPr>
        <w:t>signal regarding approp</w:t>
      </w:r>
      <w:r w:rsidR="001B6494">
        <w:rPr>
          <w:rFonts w:asciiTheme="minorHAnsi" w:hAnsiTheme="minorHAnsi"/>
          <w:color w:val="000000" w:themeColor="text1"/>
          <w:sz w:val="24"/>
          <w:szCs w:val="24"/>
        </w:rPr>
        <w:t>riat</w:t>
      </w:r>
      <w:r w:rsidR="003C25AB">
        <w:rPr>
          <w:rFonts w:asciiTheme="minorHAnsi" w:hAnsiTheme="minorHAnsi"/>
          <w:color w:val="000000" w:themeColor="text1"/>
          <w:sz w:val="24"/>
          <w:szCs w:val="24"/>
        </w:rPr>
        <w:t>e</w:t>
      </w:r>
      <w:r w:rsidR="001B6494">
        <w:rPr>
          <w:rFonts w:asciiTheme="minorHAnsi" w:hAnsiTheme="minorHAnsi"/>
          <w:color w:val="000000" w:themeColor="text1"/>
          <w:sz w:val="24"/>
          <w:szCs w:val="24"/>
        </w:rPr>
        <w:t xml:space="preserve"> prescribing)</w:t>
      </w:r>
      <w:r w:rsidR="001B6494" w:rsidRPr="00376C27">
        <w:rPr>
          <w:rFonts w:asciiTheme="minorHAnsi" w:hAnsiTheme="minorHAnsi"/>
          <w:color w:val="000000" w:themeColor="text1"/>
          <w:sz w:val="24"/>
          <w:szCs w:val="24"/>
        </w:rPr>
        <w:t xml:space="preserve"> </w:t>
      </w:r>
    </w:p>
    <w:p w:rsidR="00B07E9B" w:rsidRPr="00376C27" w:rsidRDefault="00B07E9B" w:rsidP="00195AA1">
      <w:pPr>
        <w:pStyle w:val="ListParagraph"/>
        <w:numPr>
          <w:ilvl w:val="1"/>
          <w:numId w:val="5"/>
        </w:numPr>
        <w:spacing w:after="120"/>
        <w:contextualSpacing w:val="0"/>
        <w:rPr>
          <w:rFonts w:asciiTheme="minorHAnsi" w:hAnsiTheme="minorHAnsi"/>
          <w:color w:val="000000" w:themeColor="text1"/>
          <w:sz w:val="24"/>
          <w:szCs w:val="24"/>
        </w:rPr>
      </w:pPr>
      <w:r w:rsidRPr="00376C27">
        <w:rPr>
          <w:rFonts w:asciiTheme="minorHAnsi" w:hAnsiTheme="minorHAnsi"/>
          <w:color w:val="000000" w:themeColor="text1"/>
          <w:sz w:val="24"/>
          <w:szCs w:val="24"/>
        </w:rPr>
        <w:t>The PBAC note</w:t>
      </w:r>
      <w:r w:rsidR="00E3480D" w:rsidRPr="00376C27">
        <w:rPr>
          <w:rFonts w:asciiTheme="minorHAnsi" w:hAnsiTheme="minorHAnsi"/>
          <w:color w:val="000000" w:themeColor="text1"/>
          <w:sz w:val="24"/>
          <w:szCs w:val="24"/>
        </w:rPr>
        <w:t>d</w:t>
      </w:r>
      <w:r w:rsidRPr="00376C27">
        <w:rPr>
          <w:rFonts w:asciiTheme="minorHAnsi" w:hAnsiTheme="minorHAnsi"/>
          <w:color w:val="000000" w:themeColor="text1"/>
          <w:sz w:val="24"/>
          <w:szCs w:val="24"/>
        </w:rPr>
        <w:t xml:space="preserve"> that the decision to list febuxostat as an Authority Required benefit and not as an Authority Required (STREAMLINED) benefit was in part due to the risk that febuxostat may have been prescribed</w:t>
      </w:r>
      <w:r w:rsidR="00FC729E">
        <w:rPr>
          <w:rFonts w:asciiTheme="minorHAnsi" w:hAnsiTheme="minorHAnsi"/>
          <w:color w:val="000000" w:themeColor="text1"/>
          <w:sz w:val="24"/>
          <w:szCs w:val="24"/>
        </w:rPr>
        <w:t xml:space="preserve"> </w:t>
      </w:r>
      <w:r w:rsidR="006A7C88">
        <w:rPr>
          <w:rFonts w:asciiTheme="minorHAnsi" w:hAnsiTheme="minorHAnsi"/>
          <w:color w:val="000000" w:themeColor="text1"/>
          <w:sz w:val="24"/>
          <w:szCs w:val="24"/>
        </w:rPr>
        <w:t>inappropriately</w:t>
      </w:r>
      <w:r w:rsidRPr="00376C27">
        <w:rPr>
          <w:rFonts w:asciiTheme="minorHAnsi" w:hAnsiTheme="minorHAnsi"/>
          <w:color w:val="000000" w:themeColor="text1"/>
          <w:sz w:val="24"/>
          <w:szCs w:val="24"/>
        </w:rPr>
        <w:t xml:space="preserve"> in allopurinol insufficient patients</w:t>
      </w:r>
      <w:r w:rsidR="00E3480D" w:rsidRPr="00376C27">
        <w:rPr>
          <w:rFonts w:asciiTheme="minorHAnsi" w:hAnsiTheme="minorHAnsi"/>
          <w:color w:val="000000" w:themeColor="text1"/>
          <w:sz w:val="24"/>
          <w:szCs w:val="24"/>
        </w:rPr>
        <w:t>.</w:t>
      </w:r>
      <w:r w:rsidRPr="00376C27">
        <w:rPr>
          <w:rFonts w:asciiTheme="minorHAnsi" w:hAnsiTheme="minorHAnsi"/>
          <w:color w:val="000000" w:themeColor="text1"/>
          <w:sz w:val="24"/>
          <w:szCs w:val="24"/>
        </w:rPr>
        <w:t xml:space="preserve"> </w:t>
      </w:r>
    </w:p>
    <w:p w:rsidR="00AE4420" w:rsidRPr="00DF3F36" w:rsidRDefault="00883F68" w:rsidP="00195AA1">
      <w:pPr>
        <w:pStyle w:val="ListParagraph"/>
        <w:numPr>
          <w:ilvl w:val="1"/>
          <w:numId w:val="5"/>
        </w:numPr>
        <w:spacing w:after="120"/>
        <w:contextualSpacing w:val="0"/>
        <w:rPr>
          <w:rFonts w:asciiTheme="minorHAnsi" w:hAnsiTheme="minorHAnsi"/>
          <w:color w:val="000000" w:themeColor="text1"/>
          <w:sz w:val="24"/>
          <w:szCs w:val="24"/>
        </w:rPr>
      </w:pPr>
      <w:r w:rsidRPr="006A7C88">
        <w:rPr>
          <w:rFonts w:asciiTheme="minorHAnsi" w:hAnsiTheme="minorHAnsi"/>
          <w:color w:val="000000" w:themeColor="text1"/>
          <w:sz w:val="24"/>
          <w:szCs w:val="24"/>
        </w:rPr>
        <w:t xml:space="preserve">The PBAC recalled </w:t>
      </w:r>
      <w:r w:rsidR="00FC729E" w:rsidRPr="006A7C88">
        <w:rPr>
          <w:rFonts w:asciiTheme="minorHAnsi" w:hAnsiTheme="minorHAnsi"/>
          <w:color w:val="000000" w:themeColor="text1"/>
          <w:sz w:val="24"/>
          <w:szCs w:val="24"/>
        </w:rPr>
        <w:t>it</w:t>
      </w:r>
      <w:r w:rsidR="00E835EC" w:rsidRPr="00DF3F36">
        <w:rPr>
          <w:rFonts w:asciiTheme="minorHAnsi" w:hAnsiTheme="minorHAnsi"/>
          <w:color w:val="000000" w:themeColor="text1"/>
          <w:sz w:val="24"/>
          <w:szCs w:val="24"/>
        </w:rPr>
        <w:t xml:space="preserve">s concern </w:t>
      </w:r>
      <w:r w:rsidR="006A7C88" w:rsidRPr="00DF3F36">
        <w:rPr>
          <w:rFonts w:asciiTheme="minorHAnsi" w:hAnsiTheme="minorHAnsi"/>
          <w:color w:val="000000" w:themeColor="text1"/>
          <w:sz w:val="24"/>
          <w:szCs w:val="24"/>
        </w:rPr>
        <w:t>that there</w:t>
      </w:r>
      <w:r w:rsidR="00AE4420" w:rsidRPr="00DF3F36">
        <w:rPr>
          <w:rFonts w:asciiTheme="minorHAnsi" w:hAnsiTheme="minorHAnsi"/>
          <w:color w:val="000000" w:themeColor="text1"/>
          <w:sz w:val="24"/>
          <w:szCs w:val="24"/>
        </w:rPr>
        <w:t xml:space="preserve"> was the paucity of evidence of efficacy and safety of febuxostat in allopurinol insufficient patients. </w:t>
      </w:r>
      <w:r w:rsidR="006A7C88" w:rsidRPr="006A7C88">
        <w:rPr>
          <w:rFonts w:asciiTheme="minorHAnsi" w:hAnsiTheme="minorHAnsi"/>
          <w:color w:val="000000" w:themeColor="text1"/>
          <w:sz w:val="24"/>
          <w:szCs w:val="24"/>
        </w:rPr>
        <w:t xml:space="preserve">Therefore, the request to list </w:t>
      </w:r>
      <w:r w:rsidR="006A7C88" w:rsidRPr="006A7C88">
        <w:rPr>
          <w:rFonts w:asciiTheme="minorHAnsi" w:hAnsiTheme="minorHAnsi"/>
          <w:color w:val="000000" w:themeColor="text1"/>
          <w:sz w:val="24"/>
          <w:szCs w:val="24"/>
        </w:rPr>
        <w:lastRenderedPageBreak/>
        <w:t>febuxostat in allopurinol insufficient patients was not</w:t>
      </w:r>
      <w:r w:rsidR="006A7C88">
        <w:rPr>
          <w:rFonts w:asciiTheme="minorHAnsi" w:hAnsiTheme="minorHAnsi"/>
          <w:color w:val="000000" w:themeColor="text1"/>
          <w:sz w:val="24"/>
          <w:szCs w:val="24"/>
        </w:rPr>
        <w:t xml:space="preserve"> </w:t>
      </w:r>
      <w:r w:rsidR="006A7C88" w:rsidRPr="006A7C88">
        <w:rPr>
          <w:rFonts w:asciiTheme="minorHAnsi" w:hAnsiTheme="minorHAnsi"/>
          <w:color w:val="000000" w:themeColor="text1"/>
          <w:sz w:val="24"/>
          <w:szCs w:val="24"/>
        </w:rPr>
        <w:t>adequately supported by the evidence available to the Committee</w:t>
      </w:r>
      <w:r w:rsidR="006A7C88">
        <w:rPr>
          <w:rFonts w:asciiTheme="minorHAnsi" w:hAnsiTheme="minorHAnsi"/>
          <w:color w:val="000000" w:themeColor="text1"/>
          <w:sz w:val="24"/>
          <w:szCs w:val="24"/>
        </w:rPr>
        <w:t xml:space="preserve"> </w:t>
      </w:r>
      <w:r w:rsidR="00B07E9B" w:rsidRPr="006A7C88">
        <w:rPr>
          <w:rFonts w:asciiTheme="minorHAnsi" w:hAnsiTheme="minorHAnsi"/>
          <w:color w:val="000000" w:themeColor="text1"/>
          <w:sz w:val="24"/>
          <w:szCs w:val="24"/>
        </w:rPr>
        <w:t>(Public Summary Document, March 2015 PBAC meeting)</w:t>
      </w:r>
      <w:r w:rsidR="00AE4420" w:rsidRPr="006A7C88">
        <w:rPr>
          <w:rFonts w:asciiTheme="minorHAnsi" w:hAnsiTheme="minorHAnsi"/>
          <w:color w:val="000000" w:themeColor="text1"/>
          <w:sz w:val="24"/>
          <w:szCs w:val="24"/>
        </w:rPr>
        <w:t>.</w:t>
      </w:r>
      <w:r w:rsidR="00D7725B" w:rsidRPr="006A7C88">
        <w:rPr>
          <w:rFonts w:asciiTheme="minorHAnsi" w:hAnsiTheme="minorHAnsi"/>
          <w:color w:val="000000" w:themeColor="text1"/>
          <w:sz w:val="24"/>
          <w:szCs w:val="24"/>
        </w:rPr>
        <w:t xml:space="preserve"> </w:t>
      </w:r>
      <w:r w:rsidR="00E3480D" w:rsidRPr="006A7C88">
        <w:rPr>
          <w:rFonts w:asciiTheme="minorHAnsi" w:hAnsiTheme="minorHAnsi"/>
          <w:color w:val="000000" w:themeColor="text1"/>
          <w:sz w:val="24"/>
          <w:szCs w:val="24"/>
        </w:rPr>
        <w:t>Th</w:t>
      </w:r>
      <w:r w:rsidR="00DF3F36">
        <w:rPr>
          <w:rFonts w:asciiTheme="minorHAnsi" w:hAnsiTheme="minorHAnsi"/>
          <w:color w:val="000000" w:themeColor="text1"/>
          <w:sz w:val="24"/>
          <w:szCs w:val="24"/>
        </w:rPr>
        <w:t>e</w:t>
      </w:r>
      <w:r w:rsidR="00E3480D" w:rsidRPr="00DF3F36">
        <w:rPr>
          <w:rFonts w:asciiTheme="minorHAnsi" w:hAnsiTheme="minorHAnsi"/>
          <w:color w:val="000000" w:themeColor="text1"/>
          <w:sz w:val="24"/>
          <w:szCs w:val="24"/>
        </w:rPr>
        <w:t xml:space="preserve"> </w:t>
      </w:r>
      <w:r w:rsidR="00DF3F36">
        <w:rPr>
          <w:rFonts w:asciiTheme="minorHAnsi" w:hAnsiTheme="minorHAnsi"/>
          <w:color w:val="000000" w:themeColor="text1"/>
          <w:sz w:val="24"/>
          <w:szCs w:val="24"/>
        </w:rPr>
        <w:t>use of febuxostat in these patients w</w:t>
      </w:r>
      <w:r w:rsidR="00E3480D" w:rsidRPr="00DF3F36">
        <w:rPr>
          <w:rFonts w:asciiTheme="minorHAnsi" w:hAnsiTheme="minorHAnsi"/>
          <w:color w:val="000000" w:themeColor="text1"/>
          <w:sz w:val="24"/>
          <w:szCs w:val="24"/>
        </w:rPr>
        <w:t>as not addressed in the current submission.</w:t>
      </w:r>
    </w:p>
    <w:p w:rsidR="000534DE" w:rsidRPr="00376C27" w:rsidRDefault="000534DE" w:rsidP="00195AA1">
      <w:pPr>
        <w:pStyle w:val="ListParagraph"/>
        <w:numPr>
          <w:ilvl w:val="1"/>
          <w:numId w:val="5"/>
        </w:numPr>
        <w:spacing w:after="120"/>
        <w:contextualSpacing w:val="0"/>
        <w:rPr>
          <w:rFonts w:asciiTheme="minorHAnsi" w:hAnsiTheme="minorHAnsi"/>
          <w:color w:val="000000" w:themeColor="text1"/>
          <w:sz w:val="24"/>
          <w:szCs w:val="24"/>
        </w:rPr>
      </w:pPr>
      <w:r w:rsidRPr="00376C27">
        <w:rPr>
          <w:rFonts w:asciiTheme="minorHAnsi" w:hAnsiTheme="minorHAnsi"/>
          <w:color w:val="000000" w:themeColor="text1"/>
          <w:sz w:val="24"/>
          <w:szCs w:val="24"/>
        </w:rPr>
        <w:t>The pre-PBAC</w:t>
      </w:r>
      <w:r w:rsidR="00DF3F36">
        <w:rPr>
          <w:rFonts w:asciiTheme="minorHAnsi" w:hAnsiTheme="minorHAnsi"/>
          <w:color w:val="000000" w:themeColor="text1"/>
          <w:sz w:val="24"/>
          <w:szCs w:val="24"/>
        </w:rPr>
        <w:t xml:space="preserve"> response</w:t>
      </w:r>
      <w:r w:rsidRPr="00376C27">
        <w:rPr>
          <w:rFonts w:asciiTheme="minorHAnsi" w:hAnsiTheme="minorHAnsi"/>
          <w:color w:val="000000" w:themeColor="text1"/>
          <w:sz w:val="24"/>
          <w:szCs w:val="24"/>
        </w:rPr>
        <w:t xml:space="preserve"> argued that the risk of leakage </w:t>
      </w:r>
      <w:r w:rsidR="00DF3F36">
        <w:rPr>
          <w:rFonts w:asciiTheme="minorHAnsi" w:hAnsiTheme="minorHAnsi"/>
          <w:color w:val="000000" w:themeColor="text1"/>
          <w:sz w:val="24"/>
          <w:szCs w:val="24"/>
        </w:rPr>
        <w:t>was</w:t>
      </w:r>
      <w:r w:rsidRPr="00376C27">
        <w:rPr>
          <w:rFonts w:asciiTheme="minorHAnsi" w:hAnsiTheme="minorHAnsi"/>
          <w:color w:val="000000" w:themeColor="text1"/>
          <w:sz w:val="24"/>
          <w:szCs w:val="24"/>
        </w:rPr>
        <w:t xml:space="preserve"> </w:t>
      </w:r>
      <w:r w:rsidR="00E3480D" w:rsidRPr="00376C27">
        <w:rPr>
          <w:rFonts w:asciiTheme="minorHAnsi" w:hAnsiTheme="minorHAnsi"/>
          <w:color w:val="000000" w:themeColor="text1"/>
          <w:sz w:val="24"/>
          <w:szCs w:val="24"/>
        </w:rPr>
        <w:t xml:space="preserve">addressed by the </w:t>
      </w:r>
      <w:r w:rsidR="00416C9D">
        <w:rPr>
          <w:rFonts w:asciiTheme="minorHAnsi" w:hAnsiTheme="minorHAnsi"/>
          <w:color w:val="000000" w:themeColor="text1"/>
          <w:sz w:val="24"/>
          <w:szCs w:val="24"/>
        </w:rPr>
        <w:t>R</w:t>
      </w:r>
      <w:r w:rsidR="00E3480D" w:rsidRPr="00376C27">
        <w:rPr>
          <w:rFonts w:asciiTheme="minorHAnsi" w:hAnsiTheme="minorHAnsi"/>
          <w:color w:val="000000" w:themeColor="text1"/>
          <w:sz w:val="24"/>
          <w:szCs w:val="24"/>
        </w:rPr>
        <w:t xml:space="preserve">isk </w:t>
      </w:r>
      <w:r w:rsidR="00416C9D">
        <w:rPr>
          <w:rFonts w:asciiTheme="minorHAnsi" w:hAnsiTheme="minorHAnsi"/>
          <w:color w:val="000000" w:themeColor="text1"/>
          <w:sz w:val="24"/>
          <w:szCs w:val="24"/>
        </w:rPr>
        <w:t>S</w:t>
      </w:r>
      <w:r w:rsidR="00E3480D" w:rsidRPr="00376C27">
        <w:rPr>
          <w:rFonts w:asciiTheme="minorHAnsi" w:hAnsiTheme="minorHAnsi"/>
          <w:color w:val="000000" w:themeColor="text1"/>
          <w:sz w:val="24"/>
          <w:szCs w:val="24"/>
        </w:rPr>
        <w:t>haring</w:t>
      </w:r>
      <w:r w:rsidRPr="00376C27">
        <w:rPr>
          <w:rFonts w:asciiTheme="minorHAnsi" w:hAnsiTheme="minorHAnsi"/>
          <w:color w:val="000000" w:themeColor="text1"/>
          <w:sz w:val="24"/>
          <w:szCs w:val="24"/>
        </w:rPr>
        <w:t xml:space="preserve"> </w:t>
      </w:r>
      <w:r w:rsidR="00416C9D">
        <w:rPr>
          <w:rFonts w:asciiTheme="minorHAnsi" w:hAnsiTheme="minorHAnsi"/>
          <w:color w:val="000000" w:themeColor="text1"/>
          <w:sz w:val="24"/>
          <w:szCs w:val="24"/>
        </w:rPr>
        <w:t>A</w:t>
      </w:r>
      <w:r w:rsidRPr="00376C27">
        <w:rPr>
          <w:rFonts w:asciiTheme="minorHAnsi" w:hAnsiTheme="minorHAnsi"/>
          <w:color w:val="000000" w:themeColor="text1"/>
          <w:sz w:val="24"/>
          <w:szCs w:val="24"/>
        </w:rPr>
        <w:t xml:space="preserve">greement, and the subsidisation caps were calculated based on the estimated population of allopurinol intolerant patients; i.e. excluding allopurinol insufficient patients. </w:t>
      </w:r>
    </w:p>
    <w:p w:rsidR="00883F68" w:rsidRPr="00CA5C6F" w:rsidRDefault="004B6ECD" w:rsidP="00903D92">
      <w:pPr>
        <w:pStyle w:val="ListParagraph"/>
        <w:numPr>
          <w:ilvl w:val="1"/>
          <w:numId w:val="5"/>
        </w:numPr>
        <w:spacing w:after="120"/>
        <w:contextualSpacing w:val="0"/>
        <w:rPr>
          <w:rFonts w:asciiTheme="minorHAnsi" w:hAnsiTheme="minorHAnsi"/>
          <w:color w:val="000000" w:themeColor="text1"/>
          <w:sz w:val="24"/>
          <w:szCs w:val="24"/>
        </w:rPr>
      </w:pPr>
      <w:r w:rsidRPr="00CA5C6F">
        <w:rPr>
          <w:rFonts w:asciiTheme="minorHAnsi" w:hAnsiTheme="minorHAnsi"/>
          <w:color w:val="000000" w:themeColor="text1"/>
          <w:sz w:val="24"/>
          <w:szCs w:val="24"/>
        </w:rPr>
        <w:t>However, t</w:t>
      </w:r>
      <w:r w:rsidR="000534DE" w:rsidRPr="00CA5C6F">
        <w:rPr>
          <w:rFonts w:asciiTheme="minorHAnsi" w:hAnsiTheme="minorHAnsi"/>
          <w:color w:val="000000" w:themeColor="text1"/>
          <w:sz w:val="24"/>
          <w:szCs w:val="24"/>
        </w:rPr>
        <w:t xml:space="preserve">he PBAC considered the </w:t>
      </w:r>
      <w:r w:rsidR="004C404B" w:rsidRPr="00CA5C6F">
        <w:rPr>
          <w:rFonts w:asciiTheme="minorHAnsi" w:hAnsiTheme="minorHAnsi"/>
          <w:color w:val="000000" w:themeColor="text1"/>
          <w:sz w:val="24"/>
          <w:szCs w:val="24"/>
        </w:rPr>
        <w:t xml:space="preserve">previous </w:t>
      </w:r>
      <w:r w:rsidR="000534DE" w:rsidRPr="00CA5C6F">
        <w:rPr>
          <w:rFonts w:asciiTheme="minorHAnsi" w:hAnsiTheme="minorHAnsi"/>
          <w:color w:val="000000" w:themeColor="text1"/>
          <w:sz w:val="24"/>
          <w:szCs w:val="24"/>
        </w:rPr>
        <w:t>concern</w:t>
      </w:r>
      <w:r w:rsidR="004C404B" w:rsidRPr="00CA5C6F">
        <w:rPr>
          <w:rFonts w:asciiTheme="minorHAnsi" w:hAnsiTheme="minorHAnsi"/>
          <w:color w:val="000000" w:themeColor="text1"/>
          <w:sz w:val="24"/>
          <w:szCs w:val="24"/>
        </w:rPr>
        <w:t>s</w:t>
      </w:r>
      <w:r w:rsidR="000534DE" w:rsidRPr="00CA5C6F">
        <w:rPr>
          <w:rFonts w:asciiTheme="minorHAnsi" w:hAnsiTheme="minorHAnsi"/>
          <w:color w:val="000000" w:themeColor="text1"/>
          <w:sz w:val="24"/>
          <w:szCs w:val="24"/>
        </w:rPr>
        <w:t xml:space="preserve"> remained</w:t>
      </w:r>
      <w:r w:rsidR="00903D92" w:rsidRPr="00CA5C6F">
        <w:rPr>
          <w:rFonts w:asciiTheme="minorHAnsi" w:hAnsiTheme="minorHAnsi"/>
          <w:color w:val="000000" w:themeColor="text1"/>
          <w:sz w:val="24"/>
          <w:szCs w:val="24"/>
        </w:rPr>
        <w:t xml:space="preserve"> and that the Authority Required restriction remained appropriate to prevent the risk of prescribing behaviour outside of the current PBS restriction. </w:t>
      </w:r>
      <w:r w:rsidR="001172F5" w:rsidRPr="00CA5C6F">
        <w:rPr>
          <w:rFonts w:asciiTheme="minorHAnsi" w:hAnsiTheme="minorHAnsi"/>
          <w:color w:val="000000" w:themeColor="text1"/>
          <w:sz w:val="24"/>
          <w:szCs w:val="24"/>
        </w:rPr>
        <w:t xml:space="preserve">While the </w:t>
      </w:r>
      <w:r w:rsidR="00DF3F36" w:rsidRPr="00CA5C6F">
        <w:rPr>
          <w:rFonts w:asciiTheme="minorHAnsi" w:hAnsiTheme="minorHAnsi"/>
          <w:color w:val="000000" w:themeColor="text1"/>
          <w:sz w:val="24"/>
          <w:szCs w:val="24"/>
        </w:rPr>
        <w:t>utilisation</w:t>
      </w:r>
      <w:r w:rsidR="001172F5" w:rsidRPr="00CA5C6F">
        <w:rPr>
          <w:rFonts w:asciiTheme="minorHAnsi" w:hAnsiTheme="minorHAnsi"/>
          <w:color w:val="000000" w:themeColor="text1"/>
          <w:sz w:val="24"/>
          <w:szCs w:val="24"/>
        </w:rPr>
        <w:t xml:space="preserve"> is lower than anticipated, the PBAC </w:t>
      </w:r>
      <w:r w:rsidR="008154F1" w:rsidRPr="00CA5C6F">
        <w:rPr>
          <w:rFonts w:asciiTheme="minorHAnsi" w:hAnsiTheme="minorHAnsi"/>
          <w:color w:val="000000" w:themeColor="text1"/>
          <w:sz w:val="24"/>
          <w:szCs w:val="24"/>
        </w:rPr>
        <w:t xml:space="preserve">was of the view that </w:t>
      </w:r>
      <w:r w:rsidR="00167285" w:rsidRPr="00CA5C6F">
        <w:rPr>
          <w:rFonts w:asciiTheme="minorHAnsi" w:hAnsiTheme="minorHAnsi"/>
          <w:color w:val="000000" w:themeColor="text1"/>
          <w:sz w:val="24"/>
          <w:szCs w:val="24"/>
        </w:rPr>
        <w:t>the</w:t>
      </w:r>
      <w:r w:rsidR="00230E71" w:rsidRPr="00CA5C6F">
        <w:rPr>
          <w:rFonts w:asciiTheme="minorHAnsi" w:hAnsiTheme="minorHAnsi"/>
          <w:color w:val="000000" w:themeColor="text1"/>
          <w:sz w:val="24"/>
          <w:szCs w:val="24"/>
        </w:rPr>
        <w:t xml:space="preserve"> current</w:t>
      </w:r>
      <w:r w:rsidR="00167285" w:rsidRPr="00CA5C6F">
        <w:rPr>
          <w:rFonts w:asciiTheme="minorHAnsi" w:hAnsiTheme="minorHAnsi"/>
          <w:color w:val="000000" w:themeColor="text1"/>
          <w:sz w:val="24"/>
          <w:szCs w:val="24"/>
        </w:rPr>
        <w:t xml:space="preserve"> utilisation data </w:t>
      </w:r>
      <w:r w:rsidR="001B6494" w:rsidRPr="00CA5C6F">
        <w:rPr>
          <w:rFonts w:asciiTheme="minorHAnsi" w:hAnsiTheme="minorHAnsi"/>
          <w:color w:val="000000" w:themeColor="text1"/>
          <w:sz w:val="24"/>
          <w:szCs w:val="24"/>
        </w:rPr>
        <w:t xml:space="preserve">could </w:t>
      </w:r>
      <w:r w:rsidR="00230E71" w:rsidRPr="00CA5C6F">
        <w:rPr>
          <w:rFonts w:asciiTheme="minorHAnsi" w:hAnsiTheme="minorHAnsi"/>
          <w:color w:val="000000" w:themeColor="text1"/>
          <w:sz w:val="24"/>
          <w:szCs w:val="24"/>
        </w:rPr>
        <w:t xml:space="preserve">also </w:t>
      </w:r>
      <w:r w:rsidR="0074678C" w:rsidRPr="00CA5C6F">
        <w:rPr>
          <w:rFonts w:asciiTheme="minorHAnsi" w:hAnsiTheme="minorHAnsi"/>
          <w:color w:val="000000" w:themeColor="text1"/>
          <w:sz w:val="24"/>
          <w:szCs w:val="24"/>
        </w:rPr>
        <w:t>suggest</w:t>
      </w:r>
      <w:r w:rsidR="001B6494" w:rsidRPr="00CA5C6F">
        <w:rPr>
          <w:rFonts w:asciiTheme="minorHAnsi" w:hAnsiTheme="minorHAnsi"/>
          <w:color w:val="000000" w:themeColor="text1"/>
          <w:sz w:val="24"/>
          <w:szCs w:val="24"/>
        </w:rPr>
        <w:t xml:space="preserve"> that</w:t>
      </w:r>
      <w:r w:rsidR="0074678C" w:rsidRPr="00CA5C6F">
        <w:rPr>
          <w:rFonts w:asciiTheme="minorHAnsi" w:hAnsiTheme="minorHAnsi"/>
          <w:color w:val="000000" w:themeColor="text1"/>
          <w:sz w:val="24"/>
          <w:szCs w:val="24"/>
        </w:rPr>
        <w:t xml:space="preserve"> </w:t>
      </w:r>
      <w:r w:rsidR="00167285" w:rsidRPr="00CA5C6F">
        <w:rPr>
          <w:rFonts w:asciiTheme="minorHAnsi" w:hAnsiTheme="minorHAnsi"/>
          <w:color w:val="000000" w:themeColor="text1"/>
          <w:sz w:val="24"/>
          <w:szCs w:val="24"/>
        </w:rPr>
        <w:t>the</w:t>
      </w:r>
      <w:r w:rsidR="001172F5" w:rsidRPr="00CA5C6F">
        <w:rPr>
          <w:rFonts w:asciiTheme="minorHAnsi" w:hAnsiTheme="minorHAnsi"/>
          <w:color w:val="000000" w:themeColor="text1"/>
          <w:sz w:val="24"/>
          <w:szCs w:val="24"/>
        </w:rPr>
        <w:t xml:space="preserve"> restriction </w:t>
      </w:r>
      <w:r w:rsidR="0074678C" w:rsidRPr="00CA5C6F">
        <w:rPr>
          <w:rFonts w:asciiTheme="minorHAnsi" w:hAnsiTheme="minorHAnsi"/>
          <w:color w:val="000000" w:themeColor="text1"/>
          <w:sz w:val="24"/>
          <w:szCs w:val="24"/>
        </w:rPr>
        <w:t xml:space="preserve">is </w:t>
      </w:r>
      <w:r w:rsidR="001172F5" w:rsidRPr="00CA5C6F">
        <w:rPr>
          <w:rFonts w:asciiTheme="minorHAnsi" w:hAnsiTheme="minorHAnsi"/>
          <w:color w:val="000000" w:themeColor="text1"/>
          <w:sz w:val="24"/>
          <w:szCs w:val="24"/>
        </w:rPr>
        <w:t>effectively targeting</w:t>
      </w:r>
      <w:r w:rsidR="001B6494" w:rsidRPr="00CA5C6F">
        <w:rPr>
          <w:rFonts w:asciiTheme="minorHAnsi" w:hAnsiTheme="minorHAnsi"/>
          <w:color w:val="000000" w:themeColor="text1"/>
          <w:sz w:val="24"/>
          <w:szCs w:val="24"/>
        </w:rPr>
        <w:t xml:space="preserve"> treatment to</w:t>
      </w:r>
      <w:r w:rsidR="001172F5" w:rsidRPr="00CA5C6F">
        <w:rPr>
          <w:rFonts w:asciiTheme="minorHAnsi" w:hAnsiTheme="minorHAnsi"/>
          <w:color w:val="000000" w:themeColor="text1"/>
          <w:sz w:val="24"/>
          <w:szCs w:val="24"/>
        </w:rPr>
        <w:t xml:space="preserve"> the right patient group. </w:t>
      </w:r>
      <w:r w:rsidR="00DF3F36" w:rsidRPr="00CA5C6F">
        <w:rPr>
          <w:rFonts w:asciiTheme="minorHAnsi" w:hAnsiTheme="minorHAnsi"/>
          <w:color w:val="000000" w:themeColor="text1"/>
          <w:sz w:val="24"/>
          <w:szCs w:val="24"/>
        </w:rPr>
        <w:t xml:space="preserve">The PBAC recalled that </w:t>
      </w:r>
      <w:r w:rsidR="00E47991" w:rsidRPr="00CA5C6F">
        <w:rPr>
          <w:rFonts w:asciiTheme="minorHAnsi" w:hAnsiTheme="minorHAnsi"/>
          <w:color w:val="000000" w:themeColor="text1"/>
          <w:sz w:val="24"/>
          <w:szCs w:val="24"/>
        </w:rPr>
        <w:t xml:space="preserve">from March 2015 PBAC meeting, </w:t>
      </w:r>
      <w:r w:rsidR="00DF3F36" w:rsidRPr="00CA5C6F">
        <w:rPr>
          <w:rFonts w:asciiTheme="minorHAnsi" w:hAnsiTheme="minorHAnsi"/>
          <w:color w:val="000000" w:themeColor="text1"/>
          <w:sz w:val="24"/>
          <w:szCs w:val="24"/>
        </w:rPr>
        <w:t>it had</w:t>
      </w:r>
      <w:r w:rsidR="008E09EB" w:rsidRPr="00CA5C6F">
        <w:rPr>
          <w:rFonts w:asciiTheme="minorHAnsi" w:hAnsiTheme="minorHAnsi"/>
          <w:color w:val="000000" w:themeColor="text1"/>
          <w:sz w:val="24"/>
          <w:szCs w:val="24"/>
        </w:rPr>
        <w:t xml:space="preserve"> recommend</w:t>
      </w:r>
      <w:r w:rsidR="00DF3F36" w:rsidRPr="00CA5C6F">
        <w:rPr>
          <w:rFonts w:asciiTheme="minorHAnsi" w:hAnsiTheme="minorHAnsi"/>
          <w:color w:val="000000" w:themeColor="text1"/>
          <w:sz w:val="24"/>
          <w:szCs w:val="24"/>
        </w:rPr>
        <w:t>ed</w:t>
      </w:r>
      <w:r w:rsidR="008E09EB" w:rsidRPr="00CA5C6F">
        <w:rPr>
          <w:rFonts w:asciiTheme="minorHAnsi" w:hAnsiTheme="minorHAnsi"/>
          <w:color w:val="000000" w:themeColor="text1"/>
          <w:sz w:val="24"/>
          <w:szCs w:val="24"/>
        </w:rPr>
        <w:t xml:space="preserve"> that </w:t>
      </w:r>
      <w:r w:rsidR="00E3480D" w:rsidRPr="00CA5C6F">
        <w:rPr>
          <w:rFonts w:asciiTheme="minorHAnsi" w:hAnsiTheme="minorHAnsi"/>
          <w:color w:val="000000" w:themeColor="text1"/>
          <w:sz w:val="24"/>
          <w:szCs w:val="24"/>
        </w:rPr>
        <w:t xml:space="preserve">DUSC should review febuxostat usage </w:t>
      </w:r>
      <w:r w:rsidR="00DF3F36" w:rsidRPr="00CA5C6F">
        <w:rPr>
          <w:rFonts w:asciiTheme="minorHAnsi" w:hAnsiTheme="minorHAnsi"/>
          <w:color w:val="000000" w:themeColor="text1"/>
          <w:sz w:val="24"/>
          <w:szCs w:val="24"/>
        </w:rPr>
        <w:t xml:space="preserve">at an appropriate time </w:t>
      </w:r>
      <w:r w:rsidR="00E3480D" w:rsidRPr="00CA5C6F">
        <w:rPr>
          <w:rFonts w:asciiTheme="minorHAnsi" w:hAnsiTheme="minorHAnsi"/>
          <w:color w:val="000000" w:themeColor="text1"/>
          <w:sz w:val="24"/>
          <w:szCs w:val="24"/>
        </w:rPr>
        <w:t xml:space="preserve">after listing. </w:t>
      </w:r>
      <w:r w:rsidR="00883F68" w:rsidRPr="00CA5C6F">
        <w:rPr>
          <w:rFonts w:asciiTheme="minorHAnsi" w:hAnsiTheme="minorHAnsi"/>
          <w:color w:val="000000" w:themeColor="text1"/>
          <w:sz w:val="24"/>
          <w:szCs w:val="24"/>
        </w:rPr>
        <w:t xml:space="preserve">The PBAC </w:t>
      </w:r>
      <w:r w:rsidR="00DF3F36" w:rsidRPr="00CA5C6F">
        <w:rPr>
          <w:rFonts w:asciiTheme="minorHAnsi" w:hAnsiTheme="minorHAnsi"/>
          <w:color w:val="000000" w:themeColor="text1"/>
          <w:sz w:val="24"/>
          <w:szCs w:val="24"/>
        </w:rPr>
        <w:t xml:space="preserve">reconfirmed this request and </w:t>
      </w:r>
      <w:r w:rsidR="00883F68" w:rsidRPr="00CA5C6F">
        <w:rPr>
          <w:rFonts w:asciiTheme="minorHAnsi" w:hAnsiTheme="minorHAnsi"/>
          <w:color w:val="000000" w:themeColor="text1"/>
          <w:sz w:val="24"/>
          <w:szCs w:val="24"/>
        </w:rPr>
        <w:t>recommend</w:t>
      </w:r>
      <w:r w:rsidR="00DF3F36" w:rsidRPr="00CA5C6F">
        <w:rPr>
          <w:rFonts w:asciiTheme="minorHAnsi" w:hAnsiTheme="minorHAnsi"/>
          <w:color w:val="000000" w:themeColor="text1"/>
          <w:sz w:val="24"/>
          <w:szCs w:val="24"/>
        </w:rPr>
        <w:t>ed</w:t>
      </w:r>
      <w:r w:rsidR="00883F68" w:rsidRPr="00CA5C6F">
        <w:rPr>
          <w:rFonts w:asciiTheme="minorHAnsi" w:hAnsiTheme="minorHAnsi"/>
          <w:color w:val="000000" w:themeColor="text1"/>
          <w:sz w:val="24"/>
          <w:szCs w:val="24"/>
        </w:rPr>
        <w:t xml:space="preserve"> </w:t>
      </w:r>
      <w:r w:rsidR="00AE4420" w:rsidRPr="00CA5C6F">
        <w:rPr>
          <w:rFonts w:asciiTheme="minorHAnsi" w:hAnsiTheme="minorHAnsi"/>
          <w:color w:val="000000" w:themeColor="text1"/>
          <w:sz w:val="24"/>
          <w:szCs w:val="24"/>
        </w:rPr>
        <w:t xml:space="preserve">that the </w:t>
      </w:r>
      <w:r w:rsidR="00883F68" w:rsidRPr="00CA5C6F">
        <w:rPr>
          <w:rFonts w:asciiTheme="minorHAnsi" w:hAnsiTheme="minorHAnsi"/>
          <w:color w:val="000000" w:themeColor="text1"/>
          <w:sz w:val="24"/>
          <w:szCs w:val="24"/>
        </w:rPr>
        <w:t>utilisation</w:t>
      </w:r>
      <w:r w:rsidR="00903D92" w:rsidRPr="00CA5C6F">
        <w:rPr>
          <w:rFonts w:asciiTheme="minorHAnsi" w:hAnsiTheme="minorHAnsi"/>
          <w:color w:val="000000" w:themeColor="text1"/>
          <w:sz w:val="24"/>
          <w:szCs w:val="24"/>
        </w:rPr>
        <w:t xml:space="preserve"> and restriction level </w:t>
      </w:r>
      <w:r w:rsidR="00883F68" w:rsidRPr="00CA5C6F">
        <w:rPr>
          <w:rFonts w:asciiTheme="minorHAnsi" w:hAnsiTheme="minorHAnsi"/>
          <w:color w:val="000000" w:themeColor="text1"/>
          <w:sz w:val="24"/>
          <w:szCs w:val="24"/>
        </w:rPr>
        <w:t>of febuxostat</w:t>
      </w:r>
      <w:r w:rsidR="004C404B" w:rsidRPr="00CA5C6F">
        <w:rPr>
          <w:rFonts w:asciiTheme="minorHAnsi" w:hAnsiTheme="minorHAnsi"/>
          <w:color w:val="000000" w:themeColor="text1"/>
          <w:sz w:val="24"/>
          <w:szCs w:val="24"/>
        </w:rPr>
        <w:t xml:space="preserve"> should be revisited</w:t>
      </w:r>
      <w:r w:rsidR="00DF3F36" w:rsidRPr="00CA5C6F">
        <w:rPr>
          <w:rFonts w:asciiTheme="minorHAnsi" w:hAnsiTheme="minorHAnsi"/>
          <w:color w:val="000000" w:themeColor="text1"/>
          <w:sz w:val="24"/>
          <w:szCs w:val="24"/>
        </w:rPr>
        <w:t xml:space="preserve"> after a DUSC review</w:t>
      </w:r>
      <w:r w:rsidR="00883F68" w:rsidRPr="00CA5C6F">
        <w:rPr>
          <w:rFonts w:asciiTheme="minorHAnsi" w:hAnsiTheme="minorHAnsi"/>
          <w:color w:val="000000" w:themeColor="text1"/>
          <w:sz w:val="24"/>
          <w:szCs w:val="24"/>
        </w:rPr>
        <w:t xml:space="preserve"> in twelve </w:t>
      </w:r>
      <w:r w:rsidR="0091342B" w:rsidRPr="00CA5C6F">
        <w:rPr>
          <w:rFonts w:asciiTheme="minorHAnsi" w:hAnsiTheme="minorHAnsi"/>
          <w:color w:val="000000" w:themeColor="text1"/>
          <w:sz w:val="24"/>
          <w:szCs w:val="24"/>
        </w:rPr>
        <w:t>months’ time</w:t>
      </w:r>
      <w:r w:rsidR="00883F68" w:rsidRPr="00CA5C6F">
        <w:rPr>
          <w:rFonts w:asciiTheme="minorHAnsi" w:hAnsiTheme="minorHAnsi"/>
          <w:color w:val="000000" w:themeColor="text1"/>
          <w:sz w:val="24"/>
          <w:szCs w:val="24"/>
        </w:rPr>
        <w:t>.</w:t>
      </w:r>
    </w:p>
    <w:p w:rsidR="00883F68" w:rsidRPr="004C404B" w:rsidRDefault="00883F68" w:rsidP="00195AA1">
      <w:pPr>
        <w:pStyle w:val="ListParagraph"/>
        <w:numPr>
          <w:ilvl w:val="1"/>
          <w:numId w:val="5"/>
        </w:numPr>
        <w:spacing w:after="120"/>
        <w:contextualSpacing w:val="0"/>
        <w:rPr>
          <w:rFonts w:asciiTheme="minorHAnsi" w:hAnsiTheme="minorHAnsi"/>
          <w:color w:val="000000" w:themeColor="text1"/>
          <w:sz w:val="24"/>
          <w:szCs w:val="24"/>
        </w:rPr>
      </w:pPr>
      <w:r w:rsidRPr="004C404B">
        <w:rPr>
          <w:rFonts w:asciiTheme="minorHAnsi" w:hAnsiTheme="minorHAnsi"/>
          <w:color w:val="000000" w:themeColor="text1"/>
          <w:sz w:val="24"/>
          <w:szCs w:val="24"/>
        </w:rPr>
        <w:t>The PBAC noted that this submission is not eligible for an Independent Review as an Independent Review is not available in response to a request to modify an existing listing.</w:t>
      </w:r>
    </w:p>
    <w:p w:rsidR="007359DF" w:rsidRPr="004C404B" w:rsidRDefault="007359DF" w:rsidP="00416C9D">
      <w:pPr>
        <w:pStyle w:val="ListParagraph"/>
        <w:rPr>
          <w:rFonts w:asciiTheme="minorHAnsi" w:hAnsiTheme="minorHAnsi"/>
          <w:color w:val="000000" w:themeColor="text1"/>
          <w:sz w:val="24"/>
          <w:szCs w:val="24"/>
        </w:rPr>
      </w:pPr>
    </w:p>
    <w:p w:rsidR="00AE1E9C" w:rsidRPr="007359DF" w:rsidRDefault="00AE1E9C" w:rsidP="00AE1E9C">
      <w:pPr>
        <w:spacing w:before="240"/>
        <w:jc w:val="both"/>
        <w:rPr>
          <w:rFonts w:asciiTheme="minorHAnsi" w:hAnsiTheme="minorHAnsi" w:cs="Arial"/>
          <w:b/>
          <w:bCs/>
          <w:snapToGrid w:val="0"/>
          <w:sz w:val="28"/>
          <w:szCs w:val="28"/>
          <w:lang w:val="en-GB"/>
        </w:rPr>
      </w:pPr>
      <w:r w:rsidRPr="007359DF">
        <w:rPr>
          <w:rFonts w:asciiTheme="minorHAnsi" w:hAnsiTheme="minorHAnsi" w:cs="Arial"/>
          <w:b/>
          <w:bCs/>
          <w:snapToGrid w:val="0"/>
          <w:sz w:val="28"/>
          <w:szCs w:val="28"/>
          <w:lang w:val="en-GB"/>
        </w:rPr>
        <w:t>Outcome:</w:t>
      </w:r>
    </w:p>
    <w:p w:rsidR="00AE1E9C" w:rsidRPr="007359DF" w:rsidRDefault="00AE1E9C" w:rsidP="00AE1E9C">
      <w:pPr>
        <w:jc w:val="both"/>
        <w:rPr>
          <w:rFonts w:asciiTheme="minorHAnsi" w:hAnsiTheme="minorHAnsi" w:cs="Arial"/>
          <w:bCs/>
          <w:snapToGrid w:val="0"/>
          <w:lang w:val="en-GB"/>
        </w:rPr>
      </w:pPr>
      <w:r w:rsidRPr="007359DF">
        <w:rPr>
          <w:rFonts w:asciiTheme="minorHAnsi" w:hAnsiTheme="minorHAnsi" w:cs="Arial"/>
          <w:bCs/>
          <w:snapToGrid w:val="0"/>
          <w:lang w:val="en-GB"/>
        </w:rPr>
        <w:t xml:space="preserve">Rejected </w:t>
      </w:r>
    </w:p>
    <w:p w:rsidR="00AE1E9C" w:rsidRDefault="00AE1E9C" w:rsidP="00AE1E9C">
      <w:pPr>
        <w:widowControl w:val="0"/>
        <w:jc w:val="both"/>
        <w:rPr>
          <w:rFonts w:asciiTheme="minorHAnsi" w:hAnsiTheme="minorHAnsi" w:cs="Arial"/>
          <w:b/>
          <w:bCs/>
          <w:snapToGrid w:val="0"/>
          <w:highlight w:val="yellow"/>
        </w:rPr>
      </w:pPr>
    </w:p>
    <w:p w:rsidR="0091342B" w:rsidRPr="005A48A5" w:rsidRDefault="0091342B" w:rsidP="00AE1E9C">
      <w:pPr>
        <w:widowControl w:val="0"/>
        <w:jc w:val="both"/>
        <w:rPr>
          <w:rFonts w:asciiTheme="minorHAnsi" w:hAnsiTheme="minorHAnsi" w:cs="Arial"/>
          <w:b/>
          <w:bCs/>
          <w:snapToGrid w:val="0"/>
          <w:highlight w:val="yellow"/>
        </w:rPr>
      </w:pPr>
    </w:p>
    <w:p w:rsidR="00536DB6" w:rsidRPr="00536DB6" w:rsidRDefault="00536DB6" w:rsidP="00536DB6">
      <w:pPr>
        <w:pStyle w:val="PBACHeading1"/>
        <w:numPr>
          <w:ilvl w:val="0"/>
          <w:numId w:val="14"/>
        </w:numPr>
        <w:jc w:val="both"/>
        <w:rPr>
          <w:rFonts w:asciiTheme="minorHAnsi" w:eastAsiaTheme="minorHAnsi" w:hAnsiTheme="minorHAnsi" w:cstheme="minorBidi"/>
          <w:sz w:val="32"/>
          <w:szCs w:val="32"/>
        </w:rPr>
      </w:pPr>
      <w:r w:rsidRPr="00536DB6">
        <w:rPr>
          <w:rFonts w:asciiTheme="minorHAnsi" w:eastAsiaTheme="minorHAnsi" w:hAnsiTheme="minorHAnsi" w:cstheme="minorBidi"/>
          <w:sz w:val="32"/>
          <w:szCs w:val="32"/>
        </w:rPr>
        <w:t>Context for Decision</w:t>
      </w:r>
    </w:p>
    <w:p w:rsidR="00536DB6" w:rsidRPr="00536DB6" w:rsidRDefault="00536DB6" w:rsidP="00536DB6">
      <w:pPr>
        <w:spacing w:line="276" w:lineRule="auto"/>
        <w:ind w:left="426"/>
        <w:jc w:val="both"/>
        <w:rPr>
          <w:rFonts w:asciiTheme="minorHAnsi" w:eastAsiaTheme="minorHAnsi" w:hAnsiTheme="minorHAnsi" w:cs="Arial"/>
          <w:lang w:eastAsia="en-US"/>
        </w:rPr>
      </w:pPr>
    </w:p>
    <w:p w:rsidR="00536DB6" w:rsidRPr="00536DB6" w:rsidRDefault="00536DB6" w:rsidP="0091342B">
      <w:pPr>
        <w:spacing w:line="276" w:lineRule="auto"/>
        <w:jc w:val="both"/>
        <w:rPr>
          <w:rFonts w:asciiTheme="minorHAnsi" w:eastAsiaTheme="minorHAnsi" w:hAnsiTheme="minorHAnsi" w:cs="Arial"/>
          <w:lang w:eastAsia="en-US"/>
        </w:rPr>
      </w:pPr>
      <w:r w:rsidRPr="00536DB6">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6DB6" w:rsidRPr="00536DB6" w:rsidRDefault="00536DB6" w:rsidP="00536DB6">
      <w:pPr>
        <w:spacing w:after="200" w:line="276" w:lineRule="auto"/>
        <w:ind w:left="426"/>
        <w:jc w:val="both"/>
        <w:rPr>
          <w:rFonts w:asciiTheme="minorHAnsi" w:eastAsiaTheme="minorHAnsi" w:hAnsiTheme="minorHAnsi" w:cs="Arial"/>
          <w:lang w:eastAsia="en-US"/>
        </w:rPr>
      </w:pPr>
    </w:p>
    <w:p w:rsidR="00536DB6" w:rsidRPr="00536DB6" w:rsidRDefault="00536DB6" w:rsidP="00536DB6">
      <w:pPr>
        <w:pStyle w:val="PBACHeading1"/>
        <w:numPr>
          <w:ilvl w:val="0"/>
          <w:numId w:val="14"/>
        </w:numPr>
        <w:jc w:val="both"/>
        <w:rPr>
          <w:rFonts w:asciiTheme="minorHAnsi" w:eastAsiaTheme="minorHAnsi" w:hAnsiTheme="minorHAnsi" w:cstheme="minorBidi"/>
          <w:sz w:val="32"/>
          <w:szCs w:val="32"/>
        </w:rPr>
      </w:pPr>
      <w:r w:rsidRPr="00536DB6">
        <w:rPr>
          <w:rFonts w:asciiTheme="minorHAnsi" w:eastAsiaTheme="minorHAnsi" w:hAnsiTheme="minorHAnsi" w:cstheme="minorBidi"/>
          <w:sz w:val="32"/>
          <w:szCs w:val="32"/>
        </w:rPr>
        <w:t>Sponsor’s Comment</w:t>
      </w:r>
    </w:p>
    <w:p w:rsidR="00536DB6" w:rsidRPr="00536DB6" w:rsidRDefault="00536DB6" w:rsidP="00536DB6">
      <w:pPr>
        <w:spacing w:line="276" w:lineRule="auto"/>
        <w:ind w:left="426"/>
        <w:jc w:val="both"/>
        <w:rPr>
          <w:rFonts w:asciiTheme="minorHAnsi" w:eastAsiaTheme="minorHAnsi" w:hAnsiTheme="minorHAnsi" w:cs="Arial"/>
          <w:bCs/>
          <w:highlight w:val="yellow"/>
          <w:lang w:val="en-GB" w:eastAsia="en-US"/>
        </w:rPr>
      </w:pPr>
    </w:p>
    <w:p w:rsidR="00AE1E9C" w:rsidRPr="00D84934" w:rsidRDefault="004D2EDC" w:rsidP="00F64CC1">
      <w:pPr>
        <w:jc w:val="both"/>
        <w:rPr>
          <w:rFonts w:ascii="Arial" w:hAnsi="Arial"/>
          <w:sz w:val="22"/>
          <w:szCs w:val="22"/>
        </w:rPr>
      </w:pPr>
      <w:r w:rsidRPr="004D2EDC">
        <w:rPr>
          <w:rFonts w:asciiTheme="minorHAnsi" w:eastAsiaTheme="minorHAnsi" w:hAnsiTheme="minorHAnsi" w:cs="Arial"/>
          <w:bCs/>
          <w:lang w:val="en-GB" w:eastAsia="en-US"/>
        </w:rPr>
        <w:lastRenderedPageBreak/>
        <w:t>A.Menarini remains committed to working with the PBAC to streamline access to febuxostat for all patients who qualify under the previously agreed clinical criteria</w:t>
      </w:r>
      <w:r>
        <w:rPr>
          <w:rFonts w:asciiTheme="minorHAnsi" w:eastAsiaTheme="minorHAnsi" w:hAnsiTheme="minorHAnsi" w:cs="Arial"/>
          <w:bCs/>
          <w:lang w:val="en-GB" w:eastAsia="en-US"/>
        </w:rPr>
        <w:t>.</w:t>
      </w:r>
      <w:r w:rsidRPr="004D2EDC" w:rsidDel="004D2EDC">
        <w:rPr>
          <w:rFonts w:asciiTheme="minorHAnsi" w:eastAsiaTheme="minorHAnsi" w:hAnsiTheme="minorHAnsi" w:cs="Arial"/>
          <w:bCs/>
          <w:highlight w:val="yellow"/>
          <w:lang w:val="en-GB" w:eastAsia="en-US"/>
        </w:rPr>
        <w:t xml:space="preserve"> </w:t>
      </w:r>
    </w:p>
    <w:sectPr w:rsidR="00AE1E9C" w:rsidRPr="00D84934"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82A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31" w:rsidRDefault="00D86531">
      <w:r>
        <w:separator/>
      </w:r>
    </w:p>
    <w:p w:rsidR="00D86531" w:rsidRDefault="00D86531"/>
  </w:endnote>
  <w:endnote w:type="continuationSeparator" w:id="0">
    <w:p w:rsidR="00D86531" w:rsidRDefault="00D86531">
      <w:r>
        <w:continuationSeparator/>
      </w:r>
    </w:p>
    <w:p w:rsidR="00D86531" w:rsidRDefault="00D86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A6FA8" w:rsidTr="005A3173">
      <w:trPr>
        <w:trHeight w:val="151"/>
      </w:trPr>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6FA8" w:rsidRPr="005A3173" w:rsidRDefault="006A6FA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r>
    <w:tr w:rsidR="006A6FA8" w:rsidTr="005A3173">
      <w:trPr>
        <w:trHeight w:val="150"/>
      </w:trPr>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0" w:type="auto"/>
          <w:vMerge/>
          <w:vAlign w:val="center"/>
          <w:hideMark/>
        </w:tcPr>
        <w:p w:rsidR="006A6FA8" w:rsidRPr="005A3173" w:rsidRDefault="006A6F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r>
  </w:tbl>
  <w:p w:rsidR="006A6FA8" w:rsidRDefault="006A6FA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6FA8" w:rsidRDefault="006A6FA8">
    <w:pPr>
      <w:pStyle w:val="Footer"/>
    </w:pPr>
  </w:p>
  <w:p w:rsidR="006A6FA8" w:rsidRDefault="006A6F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437312"/>
      <w:docPartObj>
        <w:docPartGallery w:val="Page Numbers (Bottom of Page)"/>
        <w:docPartUnique/>
      </w:docPartObj>
    </w:sdtPr>
    <w:sdtEndPr>
      <w:rPr>
        <w:rFonts w:asciiTheme="minorHAnsi" w:hAnsiTheme="minorHAnsi"/>
        <w:noProof/>
      </w:rPr>
    </w:sdtEndPr>
    <w:sdtContent>
      <w:p w:rsidR="00AE1E9C" w:rsidRDefault="00AE1E9C" w:rsidP="00AE1E9C">
        <w:pPr>
          <w:pStyle w:val="Footer"/>
          <w:jc w:val="center"/>
        </w:pPr>
      </w:p>
      <w:p w:rsidR="006A6FA8" w:rsidRPr="00AE1E9C" w:rsidRDefault="00AE1E9C" w:rsidP="00AE1E9C">
        <w:pPr>
          <w:pStyle w:val="Footer"/>
          <w:jc w:val="center"/>
          <w:rPr>
            <w:rFonts w:asciiTheme="minorHAnsi" w:hAnsiTheme="minorHAnsi"/>
          </w:rPr>
        </w:pPr>
        <w:r w:rsidRPr="00AE1E9C">
          <w:rPr>
            <w:rFonts w:asciiTheme="minorHAnsi" w:hAnsiTheme="minorHAnsi"/>
          </w:rPr>
          <w:fldChar w:fldCharType="begin"/>
        </w:r>
        <w:r w:rsidRPr="00AE1E9C">
          <w:rPr>
            <w:rFonts w:asciiTheme="minorHAnsi" w:hAnsiTheme="minorHAnsi"/>
          </w:rPr>
          <w:instrText xml:space="preserve"> PAGE   \* MERGEFORMAT </w:instrText>
        </w:r>
        <w:r w:rsidRPr="00AE1E9C">
          <w:rPr>
            <w:rFonts w:asciiTheme="minorHAnsi" w:hAnsiTheme="minorHAnsi"/>
          </w:rPr>
          <w:fldChar w:fldCharType="separate"/>
        </w:r>
        <w:r w:rsidR="00D86531">
          <w:rPr>
            <w:rFonts w:asciiTheme="minorHAnsi" w:hAnsiTheme="minorHAnsi"/>
            <w:noProof/>
          </w:rPr>
          <w:t>2</w:t>
        </w:r>
        <w:r w:rsidRPr="00AE1E9C">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A6FA8" w:rsidTr="005A3173">
      <w:trPr>
        <w:trHeight w:val="151"/>
      </w:trPr>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6FA8" w:rsidRPr="005A3173" w:rsidRDefault="006A6FA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r>
    <w:tr w:rsidR="006A6FA8" w:rsidTr="005A3173">
      <w:trPr>
        <w:trHeight w:val="150"/>
      </w:trPr>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0" w:type="auto"/>
          <w:vMerge/>
          <w:vAlign w:val="center"/>
          <w:hideMark/>
        </w:tcPr>
        <w:p w:rsidR="006A6FA8" w:rsidRPr="005A3173" w:rsidRDefault="006A6F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A6FA8" w:rsidTr="005A3173">
      <w:trPr>
        <w:trHeight w:val="151"/>
      </w:trPr>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6FA8" w:rsidRPr="005A3173" w:rsidRDefault="006A6FA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A6FA8" w:rsidRPr="005A3173" w:rsidRDefault="006A6FA8" w:rsidP="005A3173">
          <w:pPr>
            <w:pStyle w:val="Header"/>
            <w:spacing w:line="276" w:lineRule="auto"/>
            <w:rPr>
              <w:rFonts w:ascii="Calibri" w:eastAsia="MS Gothic" w:hAnsi="Calibri"/>
              <w:b/>
              <w:bCs/>
              <w:color w:val="4F81BD"/>
            </w:rPr>
          </w:pPr>
        </w:p>
      </w:tc>
    </w:tr>
    <w:tr w:rsidR="006A6FA8" w:rsidTr="005A3173">
      <w:trPr>
        <w:trHeight w:val="150"/>
      </w:trPr>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c>
        <w:tcPr>
          <w:tcW w:w="0" w:type="auto"/>
          <w:vMerge/>
          <w:vAlign w:val="center"/>
          <w:hideMark/>
        </w:tcPr>
        <w:p w:rsidR="006A6FA8" w:rsidRPr="005A3173" w:rsidRDefault="006A6FA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A6FA8" w:rsidRPr="005A3173" w:rsidRDefault="006A6FA8" w:rsidP="005A3173">
          <w:pPr>
            <w:pStyle w:val="Header"/>
            <w:spacing w:line="276" w:lineRule="auto"/>
            <w:rPr>
              <w:rFonts w:ascii="Calibri" w:eastAsia="MS Gothic" w:hAnsi="Calibri"/>
              <w:b/>
              <w:bCs/>
              <w:color w:val="4F81BD"/>
            </w:rPr>
          </w:pPr>
        </w:p>
      </w:tc>
    </w:tr>
  </w:tbl>
  <w:p w:rsidR="006A6FA8" w:rsidRPr="007C0F57" w:rsidRDefault="006A6FA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A6FA8" w:rsidRPr="007C0F57" w:rsidRDefault="006A6FA8" w:rsidP="007C0F57">
    <w:pPr>
      <w:pStyle w:val="Footer"/>
      <w:jc w:val="center"/>
      <w:rPr>
        <w:b/>
        <w:i/>
        <w:sz w:val="20"/>
        <w:szCs w:val="20"/>
      </w:rPr>
    </w:pPr>
    <w:r w:rsidRPr="007C0F57">
      <w:rPr>
        <w:b/>
        <w:i/>
        <w:sz w:val="20"/>
        <w:szCs w:val="20"/>
      </w:rPr>
      <w:t>Commercial-in-Confidence</w:t>
    </w:r>
  </w:p>
  <w:p w:rsidR="006A6FA8" w:rsidRDefault="006A6F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31" w:rsidRDefault="00D86531">
      <w:r>
        <w:separator/>
      </w:r>
    </w:p>
    <w:p w:rsidR="00D86531" w:rsidRDefault="00D86531"/>
  </w:footnote>
  <w:footnote w:type="continuationSeparator" w:id="0">
    <w:p w:rsidR="00D86531" w:rsidRDefault="00D86531">
      <w:r>
        <w:continuationSeparator/>
      </w:r>
    </w:p>
    <w:p w:rsidR="00D86531" w:rsidRDefault="00D86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A6FA8" w:rsidRPr="008E0D90" w:rsidTr="00A06225">
      <w:trPr>
        <w:trHeight w:val="151"/>
      </w:trPr>
      <w:tc>
        <w:tcPr>
          <w:tcW w:w="2389" w:type="pct"/>
          <w:tcBorders>
            <w:top w:val="nil"/>
            <w:left w:val="nil"/>
            <w:bottom w:val="single" w:sz="4" w:space="0" w:color="4F81BD"/>
            <w:right w:val="nil"/>
          </w:tcBorders>
        </w:tcPr>
        <w:p w:rsidR="006A6FA8" w:rsidRPr="00A06225" w:rsidRDefault="006A6FA8">
          <w:pPr>
            <w:pStyle w:val="Header"/>
            <w:spacing w:line="276" w:lineRule="auto"/>
            <w:rPr>
              <w:rFonts w:ascii="Cambria" w:eastAsia="MS Gothic" w:hAnsi="Cambria"/>
              <w:b/>
              <w:bCs/>
              <w:color w:val="4F81BD"/>
            </w:rPr>
          </w:pPr>
        </w:p>
      </w:tc>
      <w:tc>
        <w:tcPr>
          <w:tcW w:w="333" w:type="pct"/>
          <w:vMerge w:val="restart"/>
          <w:noWrap/>
          <w:vAlign w:val="center"/>
          <w:hideMark/>
        </w:tcPr>
        <w:p w:rsidR="006A6FA8" w:rsidRPr="00A06225" w:rsidRDefault="006A6FA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A6FA8" w:rsidRPr="00A06225" w:rsidRDefault="006A6FA8">
          <w:pPr>
            <w:pStyle w:val="Header"/>
            <w:spacing w:line="276" w:lineRule="auto"/>
            <w:rPr>
              <w:rFonts w:ascii="Cambria" w:eastAsia="MS Gothic" w:hAnsi="Cambria"/>
              <w:b/>
              <w:bCs/>
              <w:color w:val="4F81BD"/>
            </w:rPr>
          </w:pPr>
        </w:p>
      </w:tc>
    </w:tr>
    <w:tr w:rsidR="006A6FA8" w:rsidRPr="008E0D90" w:rsidTr="00A06225">
      <w:trPr>
        <w:trHeight w:val="150"/>
      </w:trPr>
      <w:tc>
        <w:tcPr>
          <w:tcW w:w="2389" w:type="pct"/>
          <w:tcBorders>
            <w:top w:val="single" w:sz="4" w:space="0" w:color="4F81BD"/>
            <w:left w:val="nil"/>
            <w:bottom w:val="nil"/>
            <w:right w:val="nil"/>
          </w:tcBorders>
        </w:tcPr>
        <w:p w:rsidR="006A6FA8" w:rsidRPr="00A06225" w:rsidRDefault="006A6FA8">
          <w:pPr>
            <w:pStyle w:val="Header"/>
            <w:spacing w:line="276" w:lineRule="auto"/>
            <w:rPr>
              <w:rFonts w:ascii="Cambria" w:eastAsia="MS Gothic" w:hAnsi="Cambria"/>
              <w:b/>
              <w:bCs/>
              <w:color w:val="4F81BD"/>
            </w:rPr>
          </w:pPr>
        </w:p>
      </w:tc>
      <w:tc>
        <w:tcPr>
          <w:tcW w:w="0" w:type="auto"/>
          <w:vMerge/>
          <w:vAlign w:val="center"/>
          <w:hideMark/>
        </w:tcPr>
        <w:p w:rsidR="006A6FA8" w:rsidRPr="00A06225" w:rsidRDefault="006A6FA8">
          <w:pPr>
            <w:rPr>
              <w:rFonts w:ascii="Cambria" w:hAnsi="Cambria"/>
              <w:color w:val="4F81BD"/>
              <w:sz w:val="22"/>
              <w:szCs w:val="22"/>
            </w:rPr>
          </w:pPr>
        </w:p>
      </w:tc>
      <w:tc>
        <w:tcPr>
          <w:tcW w:w="2278" w:type="pct"/>
          <w:tcBorders>
            <w:top w:val="single" w:sz="4" w:space="0" w:color="4F81BD"/>
            <w:left w:val="nil"/>
            <w:bottom w:val="nil"/>
            <w:right w:val="nil"/>
          </w:tcBorders>
        </w:tcPr>
        <w:p w:rsidR="006A6FA8" w:rsidRPr="00A06225" w:rsidRDefault="006A6FA8">
          <w:pPr>
            <w:pStyle w:val="Header"/>
            <w:spacing w:line="276" w:lineRule="auto"/>
            <w:rPr>
              <w:rFonts w:ascii="Cambria" w:eastAsia="MS Gothic" w:hAnsi="Cambria"/>
              <w:b/>
              <w:bCs/>
              <w:color w:val="4F81BD"/>
            </w:rPr>
          </w:pPr>
        </w:p>
      </w:tc>
    </w:tr>
  </w:tbl>
  <w:p w:rsidR="006A6FA8" w:rsidRDefault="006A6FA8">
    <w:pPr>
      <w:pStyle w:val="Header"/>
    </w:pPr>
  </w:p>
  <w:p w:rsidR="006A6FA8" w:rsidRDefault="006A6F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30" w:rsidRPr="00660EF1" w:rsidRDefault="00536DB6" w:rsidP="00F22A30">
    <w:pPr>
      <w:pStyle w:val="Header"/>
      <w:tabs>
        <w:tab w:val="left" w:pos="1725"/>
      </w:tabs>
      <w:jc w:val="center"/>
      <w:rPr>
        <w:rFonts w:asciiTheme="minorHAnsi" w:hAnsiTheme="minorHAnsi"/>
        <w:i/>
        <w:noProof/>
      </w:rPr>
    </w:pPr>
    <w:r>
      <w:rPr>
        <w:rFonts w:asciiTheme="minorHAnsi" w:hAnsiTheme="minorHAnsi"/>
        <w:i/>
        <w:noProof/>
      </w:rPr>
      <w:t>Public Summary Document</w:t>
    </w:r>
    <w:r w:rsidR="00A46559" w:rsidRPr="00660EF1">
      <w:rPr>
        <w:rFonts w:asciiTheme="minorHAnsi" w:hAnsiTheme="minorHAnsi"/>
        <w:i/>
        <w:noProof/>
      </w:rPr>
      <w:t xml:space="preserve"> </w:t>
    </w:r>
    <w:r w:rsidR="00F22A30" w:rsidRPr="00660EF1">
      <w:rPr>
        <w:rFonts w:asciiTheme="minorHAnsi" w:hAnsiTheme="minorHAnsi"/>
        <w:i/>
        <w:noProof/>
      </w:rPr>
      <w:t xml:space="preserve"> – July 2017 PBAC Meeting</w:t>
    </w:r>
  </w:p>
  <w:p w:rsidR="00F22A30" w:rsidRPr="00660EF1" w:rsidRDefault="00F22A30" w:rsidP="00F22A30">
    <w:pPr>
      <w:pStyle w:val="Header"/>
      <w:tabs>
        <w:tab w:val="left" w:pos="1725"/>
        <w:tab w:val="left" w:pos="2970"/>
      </w:tabs>
      <w:rPr>
        <w:rFonts w:asciiTheme="minorHAnsi" w:hAnsiTheme="minorHAnsi"/>
        <w:i/>
        <w:noProof/>
      </w:rPr>
    </w:pPr>
    <w:r w:rsidRPr="00660EF1">
      <w:rPr>
        <w:rFonts w:asciiTheme="minorHAnsi" w:hAnsiTheme="minorHAnsi"/>
        <w:i/>
        <w:noProof/>
      </w:rPr>
      <w:tab/>
    </w:r>
    <w:r w:rsidRPr="00660EF1">
      <w:rPr>
        <w:rFonts w:asciiTheme="minorHAnsi" w:hAnsiTheme="minorHAnsi"/>
        <w:i/>
        <w:noProof/>
      </w:rPr>
      <w:tab/>
    </w:r>
  </w:p>
  <w:p w:rsidR="006A6FA8" w:rsidRDefault="006A6FA8"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EE1598A"/>
    <w:multiLevelType w:val="multilevel"/>
    <w:tmpl w:val="B5E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27AAEE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5"/>
  </w:num>
  <w:num w:numId="20">
    <w:abstractNumId w:val="2"/>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E1A"/>
    <w:rsid w:val="0002464A"/>
    <w:rsid w:val="0003106B"/>
    <w:rsid w:val="000421A1"/>
    <w:rsid w:val="0004240E"/>
    <w:rsid w:val="00045E26"/>
    <w:rsid w:val="000514B5"/>
    <w:rsid w:val="000534DE"/>
    <w:rsid w:val="00060E64"/>
    <w:rsid w:val="00066755"/>
    <w:rsid w:val="00077143"/>
    <w:rsid w:val="000969AD"/>
    <w:rsid w:val="000B558D"/>
    <w:rsid w:val="000C6996"/>
    <w:rsid w:val="000D23BA"/>
    <w:rsid w:val="000E14ED"/>
    <w:rsid w:val="000E681E"/>
    <w:rsid w:val="000E753C"/>
    <w:rsid w:val="000F4E6A"/>
    <w:rsid w:val="001107BF"/>
    <w:rsid w:val="001172F5"/>
    <w:rsid w:val="0012417C"/>
    <w:rsid w:val="00142395"/>
    <w:rsid w:val="00142714"/>
    <w:rsid w:val="00143942"/>
    <w:rsid w:val="001452ED"/>
    <w:rsid w:val="00167285"/>
    <w:rsid w:val="001830CE"/>
    <w:rsid w:val="001850D1"/>
    <w:rsid w:val="0018643B"/>
    <w:rsid w:val="00195AA1"/>
    <w:rsid w:val="00196307"/>
    <w:rsid w:val="001A33EA"/>
    <w:rsid w:val="001B017F"/>
    <w:rsid w:val="001B5129"/>
    <w:rsid w:val="001B6494"/>
    <w:rsid w:val="001C1195"/>
    <w:rsid w:val="00213CFB"/>
    <w:rsid w:val="002248BD"/>
    <w:rsid w:val="00230E71"/>
    <w:rsid w:val="00271BA1"/>
    <w:rsid w:val="002762FA"/>
    <w:rsid w:val="00277505"/>
    <w:rsid w:val="00291A74"/>
    <w:rsid w:val="0029458F"/>
    <w:rsid w:val="002A104C"/>
    <w:rsid w:val="002A4960"/>
    <w:rsid w:val="002B1AE6"/>
    <w:rsid w:val="002B30F8"/>
    <w:rsid w:val="002C212F"/>
    <w:rsid w:val="002E133E"/>
    <w:rsid w:val="002E3153"/>
    <w:rsid w:val="002E72CA"/>
    <w:rsid w:val="00300AD6"/>
    <w:rsid w:val="00326E79"/>
    <w:rsid w:val="003367EF"/>
    <w:rsid w:val="00341AE4"/>
    <w:rsid w:val="00357B23"/>
    <w:rsid w:val="003604F6"/>
    <w:rsid w:val="00376C27"/>
    <w:rsid w:val="00380C87"/>
    <w:rsid w:val="003872CF"/>
    <w:rsid w:val="0039782C"/>
    <w:rsid w:val="003A5B4A"/>
    <w:rsid w:val="003B23C5"/>
    <w:rsid w:val="003B2A75"/>
    <w:rsid w:val="003C25AB"/>
    <w:rsid w:val="003D4AC4"/>
    <w:rsid w:val="003D63B7"/>
    <w:rsid w:val="003E468B"/>
    <w:rsid w:val="003F5C8C"/>
    <w:rsid w:val="00416C9D"/>
    <w:rsid w:val="0044379A"/>
    <w:rsid w:val="004465BD"/>
    <w:rsid w:val="00463E00"/>
    <w:rsid w:val="00466ADA"/>
    <w:rsid w:val="00476245"/>
    <w:rsid w:val="00485940"/>
    <w:rsid w:val="00491C8B"/>
    <w:rsid w:val="004A2484"/>
    <w:rsid w:val="004A4AC0"/>
    <w:rsid w:val="004A5A85"/>
    <w:rsid w:val="004B2807"/>
    <w:rsid w:val="004B5640"/>
    <w:rsid w:val="004B6ECD"/>
    <w:rsid w:val="004C1BD7"/>
    <w:rsid w:val="004C404B"/>
    <w:rsid w:val="004C691D"/>
    <w:rsid w:val="004D2EDC"/>
    <w:rsid w:val="004D3A9F"/>
    <w:rsid w:val="004E692D"/>
    <w:rsid w:val="00501554"/>
    <w:rsid w:val="00514CD7"/>
    <w:rsid w:val="005319B2"/>
    <w:rsid w:val="00532C74"/>
    <w:rsid w:val="00534E2E"/>
    <w:rsid w:val="00536DB6"/>
    <w:rsid w:val="00544552"/>
    <w:rsid w:val="00575F27"/>
    <w:rsid w:val="00581932"/>
    <w:rsid w:val="005963BB"/>
    <w:rsid w:val="005A3173"/>
    <w:rsid w:val="005A3223"/>
    <w:rsid w:val="005A3DA3"/>
    <w:rsid w:val="005A47AF"/>
    <w:rsid w:val="005A52C4"/>
    <w:rsid w:val="005D03AB"/>
    <w:rsid w:val="005D5017"/>
    <w:rsid w:val="005E572C"/>
    <w:rsid w:val="005F3667"/>
    <w:rsid w:val="00601A91"/>
    <w:rsid w:val="00602BA3"/>
    <w:rsid w:val="00614159"/>
    <w:rsid w:val="00617C00"/>
    <w:rsid w:val="006201D0"/>
    <w:rsid w:val="00621872"/>
    <w:rsid w:val="0062331B"/>
    <w:rsid w:val="006263BF"/>
    <w:rsid w:val="0062748A"/>
    <w:rsid w:val="00630A2C"/>
    <w:rsid w:val="006436CD"/>
    <w:rsid w:val="00646B18"/>
    <w:rsid w:val="00650FFD"/>
    <w:rsid w:val="00651169"/>
    <w:rsid w:val="00653D69"/>
    <w:rsid w:val="00660EF1"/>
    <w:rsid w:val="00670A76"/>
    <w:rsid w:val="006711AA"/>
    <w:rsid w:val="00672B57"/>
    <w:rsid w:val="00675622"/>
    <w:rsid w:val="006906DB"/>
    <w:rsid w:val="0069117F"/>
    <w:rsid w:val="006970A2"/>
    <w:rsid w:val="006A12A5"/>
    <w:rsid w:val="006A6FA8"/>
    <w:rsid w:val="006A7C88"/>
    <w:rsid w:val="006B0D94"/>
    <w:rsid w:val="006B1791"/>
    <w:rsid w:val="006B485D"/>
    <w:rsid w:val="006C4E37"/>
    <w:rsid w:val="006C708E"/>
    <w:rsid w:val="006D0B66"/>
    <w:rsid w:val="006D6EC7"/>
    <w:rsid w:val="006F5125"/>
    <w:rsid w:val="007015E6"/>
    <w:rsid w:val="00705019"/>
    <w:rsid w:val="007052BB"/>
    <w:rsid w:val="007174BB"/>
    <w:rsid w:val="00734F8B"/>
    <w:rsid w:val="007351AC"/>
    <w:rsid w:val="007359DF"/>
    <w:rsid w:val="0074678C"/>
    <w:rsid w:val="0076420C"/>
    <w:rsid w:val="007753C2"/>
    <w:rsid w:val="007838B8"/>
    <w:rsid w:val="0079093F"/>
    <w:rsid w:val="00793F25"/>
    <w:rsid w:val="007C0C1C"/>
    <w:rsid w:val="007C0F57"/>
    <w:rsid w:val="007C343D"/>
    <w:rsid w:val="007C40B6"/>
    <w:rsid w:val="007C729F"/>
    <w:rsid w:val="007E0441"/>
    <w:rsid w:val="007E1D28"/>
    <w:rsid w:val="007E79C6"/>
    <w:rsid w:val="007F2641"/>
    <w:rsid w:val="007F7C36"/>
    <w:rsid w:val="00806796"/>
    <w:rsid w:val="008151D6"/>
    <w:rsid w:val="008154F1"/>
    <w:rsid w:val="00826F6D"/>
    <w:rsid w:val="00827596"/>
    <w:rsid w:val="00853F4A"/>
    <w:rsid w:val="00856DDD"/>
    <w:rsid w:val="00863E68"/>
    <w:rsid w:val="00882085"/>
    <w:rsid w:val="00883188"/>
    <w:rsid w:val="00883F68"/>
    <w:rsid w:val="00897D58"/>
    <w:rsid w:val="008A1956"/>
    <w:rsid w:val="008A4937"/>
    <w:rsid w:val="008A50F1"/>
    <w:rsid w:val="008D1B5C"/>
    <w:rsid w:val="008D3837"/>
    <w:rsid w:val="008D3C82"/>
    <w:rsid w:val="008D447E"/>
    <w:rsid w:val="008D7A41"/>
    <w:rsid w:val="008E0811"/>
    <w:rsid w:val="008E09EB"/>
    <w:rsid w:val="008E3680"/>
    <w:rsid w:val="008E5870"/>
    <w:rsid w:val="008F1434"/>
    <w:rsid w:val="008F7355"/>
    <w:rsid w:val="00903D92"/>
    <w:rsid w:val="009067B7"/>
    <w:rsid w:val="0091342B"/>
    <w:rsid w:val="00923D41"/>
    <w:rsid w:val="00930937"/>
    <w:rsid w:val="00933E6C"/>
    <w:rsid w:val="00942160"/>
    <w:rsid w:val="0095146F"/>
    <w:rsid w:val="009602C5"/>
    <w:rsid w:val="00962223"/>
    <w:rsid w:val="00974C21"/>
    <w:rsid w:val="009A62C2"/>
    <w:rsid w:val="009B0F67"/>
    <w:rsid w:val="009C0903"/>
    <w:rsid w:val="009C703C"/>
    <w:rsid w:val="009D0635"/>
    <w:rsid w:val="009D3CAA"/>
    <w:rsid w:val="009E1AE1"/>
    <w:rsid w:val="009E1DBB"/>
    <w:rsid w:val="009F475D"/>
    <w:rsid w:val="009F4E46"/>
    <w:rsid w:val="009F5B65"/>
    <w:rsid w:val="009F5F2E"/>
    <w:rsid w:val="009F72BD"/>
    <w:rsid w:val="00A06225"/>
    <w:rsid w:val="00A128E6"/>
    <w:rsid w:val="00A158A5"/>
    <w:rsid w:val="00A37C8D"/>
    <w:rsid w:val="00A46559"/>
    <w:rsid w:val="00A5273B"/>
    <w:rsid w:val="00A53A9D"/>
    <w:rsid w:val="00A55FEE"/>
    <w:rsid w:val="00A62C1A"/>
    <w:rsid w:val="00A6426D"/>
    <w:rsid w:val="00A666F4"/>
    <w:rsid w:val="00A70622"/>
    <w:rsid w:val="00A70977"/>
    <w:rsid w:val="00A72051"/>
    <w:rsid w:val="00A77613"/>
    <w:rsid w:val="00A81298"/>
    <w:rsid w:val="00A8390C"/>
    <w:rsid w:val="00A928BD"/>
    <w:rsid w:val="00AA4D1C"/>
    <w:rsid w:val="00AB33BE"/>
    <w:rsid w:val="00AC193C"/>
    <w:rsid w:val="00AC5206"/>
    <w:rsid w:val="00AE0570"/>
    <w:rsid w:val="00AE11A5"/>
    <w:rsid w:val="00AE13E2"/>
    <w:rsid w:val="00AE1E9C"/>
    <w:rsid w:val="00AE4420"/>
    <w:rsid w:val="00AF68CC"/>
    <w:rsid w:val="00B079A3"/>
    <w:rsid w:val="00B07E9B"/>
    <w:rsid w:val="00B1059E"/>
    <w:rsid w:val="00B172A7"/>
    <w:rsid w:val="00B205AA"/>
    <w:rsid w:val="00B20A50"/>
    <w:rsid w:val="00B22E84"/>
    <w:rsid w:val="00B25F75"/>
    <w:rsid w:val="00B375CC"/>
    <w:rsid w:val="00B43E90"/>
    <w:rsid w:val="00B467DC"/>
    <w:rsid w:val="00B56118"/>
    <w:rsid w:val="00B57246"/>
    <w:rsid w:val="00B6773F"/>
    <w:rsid w:val="00B71875"/>
    <w:rsid w:val="00B801BA"/>
    <w:rsid w:val="00BB69F5"/>
    <w:rsid w:val="00BB7EC3"/>
    <w:rsid w:val="00BC4B9A"/>
    <w:rsid w:val="00BD784C"/>
    <w:rsid w:val="00BE4D65"/>
    <w:rsid w:val="00BF4CB6"/>
    <w:rsid w:val="00C00DA7"/>
    <w:rsid w:val="00C05E59"/>
    <w:rsid w:val="00C12768"/>
    <w:rsid w:val="00C27B58"/>
    <w:rsid w:val="00C35996"/>
    <w:rsid w:val="00C5342C"/>
    <w:rsid w:val="00C603D4"/>
    <w:rsid w:val="00C6256A"/>
    <w:rsid w:val="00C91449"/>
    <w:rsid w:val="00C92D10"/>
    <w:rsid w:val="00CA5C6F"/>
    <w:rsid w:val="00CD6B17"/>
    <w:rsid w:val="00CE10C4"/>
    <w:rsid w:val="00CE27B5"/>
    <w:rsid w:val="00D02D65"/>
    <w:rsid w:val="00D0321E"/>
    <w:rsid w:val="00D1455A"/>
    <w:rsid w:val="00D3138B"/>
    <w:rsid w:val="00D3280C"/>
    <w:rsid w:val="00D3406A"/>
    <w:rsid w:val="00D4160C"/>
    <w:rsid w:val="00D469B2"/>
    <w:rsid w:val="00D741EB"/>
    <w:rsid w:val="00D7725B"/>
    <w:rsid w:val="00D83605"/>
    <w:rsid w:val="00D84934"/>
    <w:rsid w:val="00D86531"/>
    <w:rsid w:val="00D91271"/>
    <w:rsid w:val="00DA1C4E"/>
    <w:rsid w:val="00DA2CB5"/>
    <w:rsid w:val="00DA4BAC"/>
    <w:rsid w:val="00DA7915"/>
    <w:rsid w:val="00DE3E4A"/>
    <w:rsid w:val="00DE6D27"/>
    <w:rsid w:val="00DF217D"/>
    <w:rsid w:val="00DF26A7"/>
    <w:rsid w:val="00DF3F36"/>
    <w:rsid w:val="00E01BC5"/>
    <w:rsid w:val="00E10B4C"/>
    <w:rsid w:val="00E15627"/>
    <w:rsid w:val="00E164B3"/>
    <w:rsid w:val="00E16910"/>
    <w:rsid w:val="00E3480D"/>
    <w:rsid w:val="00E47991"/>
    <w:rsid w:val="00E556B0"/>
    <w:rsid w:val="00E60E2D"/>
    <w:rsid w:val="00E65E54"/>
    <w:rsid w:val="00E80155"/>
    <w:rsid w:val="00E835EC"/>
    <w:rsid w:val="00E848C0"/>
    <w:rsid w:val="00E91B96"/>
    <w:rsid w:val="00E941A1"/>
    <w:rsid w:val="00E95CE3"/>
    <w:rsid w:val="00EA2825"/>
    <w:rsid w:val="00EA6085"/>
    <w:rsid w:val="00EB5088"/>
    <w:rsid w:val="00ED1644"/>
    <w:rsid w:val="00ED2593"/>
    <w:rsid w:val="00EF44A0"/>
    <w:rsid w:val="00EF4FED"/>
    <w:rsid w:val="00F050BD"/>
    <w:rsid w:val="00F05657"/>
    <w:rsid w:val="00F22A30"/>
    <w:rsid w:val="00F25578"/>
    <w:rsid w:val="00F258E5"/>
    <w:rsid w:val="00F27548"/>
    <w:rsid w:val="00F300BC"/>
    <w:rsid w:val="00F3334E"/>
    <w:rsid w:val="00F36CCB"/>
    <w:rsid w:val="00F50EC4"/>
    <w:rsid w:val="00F57A6D"/>
    <w:rsid w:val="00F638CC"/>
    <w:rsid w:val="00F64CC1"/>
    <w:rsid w:val="00F8247A"/>
    <w:rsid w:val="00F91CAD"/>
    <w:rsid w:val="00F9629A"/>
    <w:rsid w:val="00FA5883"/>
    <w:rsid w:val="00FA6055"/>
    <w:rsid w:val="00FB322F"/>
    <w:rsid w:val="00FB442F"/>
    <w:rsid w:val="00FC1929"/>
    <w:rsid w:val="00FC5B46"/>
    <w:rsid w:val="00FC729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2248BD"/>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NormalWeb">
    <w:name w:val="Normal (Web)"/>
    <w:basedOn w:val="Normal"/>
    <w:uiPriority w:val="99"/>
    <w:unhideWhenUsed/>
    <w:rsid w:val="000E753C"/>
    <w:pPr>
      <w:spacing w:before="100" w:beforeAutospacing="1" w:after="100" w:afterAutospacing="1"/>
    </w:pPr>
  </w:style>
  <w:style w:type="paragraph" w:customStyle="1" w:styleId="PBACheading10">
    <w:name w:val="PBAC heading 1"/>
    <w:uiPriority w:val="99"/>
    <w:qFormat/>
    <w:rsid w:val="00E01BC5"/>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2248BD"/>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NormalWeb">
    <w:name w:val="Normal (Web)"/>
    <w:basedOn w:val="Normal"/>
    <w:uiPriority w:val="99"/>
    <w:unhideWhenUsed/>
    <w:rsid w:val="000E753C"/>
    <w:pPr>
      <w:spacing w:before="100" w:beforeAutospacing="1" w:after="100" w:afterAutospacing="1"/>
    </w:pPr>
  </w:style>
  <w:style w:type="paragraph" w:customStyle="1" w:styleId="PBACheading10">
    <w:name w:val="PBAC heading 1"/>
    <w:uiPriority w:val="99"/>
    <w:qFormat/>
    <w:rsid w:val="00E01BC5"/>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209F-B743-4D2A-B5EC-1F9E622B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2017-10-12T00:25:00Z</dcterms:created>
  <dcterms:modified xsi:type="dcterms:W3CDTF">2017-10-12T00:26:00Z</dcterms:modified>
</cp:coreProperties>
</file>