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2E" w:rsidRPr="00CE5C86" w:rsidRDefault="00E21FF4" w:rsidP="00D44EEE">
      <w:pPr>
        <w:spacing w:after="120"/>
        <w:ind w:left="993" w:hanging="993"/>
        <w:jc w:val="left"/>
        <w:outlineLvl w:val="0"/>
        <w:rPr>
          <w:b/>
          <w:sz w:val="36"/>
          <w:szCs w:val="36"/>
        </w:rPr>
      </w:pPr>
      <w:r w:rsidRPr="00CE5C86">
        <w:rPr>
          <w:b/>
          <w:sz w:val="36"/>
          <w:szCs w:val="36"/>
        </w:rPr>
        <w:t>6.02</w:t>
      </w:r>
      <w:r w:rsidR="00DC6D2E" w:rsidRPr="00CE5C86">
        <w:rPr>
          <w:b/>
          <w:sz w:val="36"/>
          <w:szCs w:val="36"/>
        </w:rPr>
        <w:tab/>
        <w:t>GLATIRAMER,</w:t>
      </w:r>
      <w:r w:rsidR="00DC6D2E" w:rsidRPr="00CE5C86">
        <w:rPr>
          <w:b/>
          <w:sz w:val="36"/>
          <w:szCs w:val="36"/>
        </w:rPr>
        <w:br/>
      </w:r>
      <w:r w:rsidR="009809BC" w:rsidRPr="00CE5C86">
        <w:rPr>
          <w:b/>
          <w:sz w:val="36"/>
          <w:szCs w:val="36"/>
        </w:rPr>
        <w:t>Injection containing glatiramer acetate 20</w:t>
      </w:r>
      <w:r w:rsidR="0048112C">
        <w:rPr>
          <w:b/>
          <w:sz w:val="36"/>
          <w:szCs w:val="36"/>
        </w:rPr>
        <w:t> </w:t>
      </w:r>
      <w:r w:rsidR="009809BC" w:rsidRPr="00CE5C86">
        <w:rPr>
          <w:b/>
          <w:sz w:val="36"/>
          <w:szCs w:val="36"/>
        </w:rPr>
        <w:t>mg in 1 mL single dose pre-filled syringe</w:t>
      </w:r>
      <w:r w:rsidR="0033089E" w:rsidRPr="00CE5C86">
        <w:rPr>
          <w:b/>
          <w:sz w:val="36"/>
          <w:szCs w:val="36"/>
        </w:rPr>
        <w:t>,</w:t>
      </w:r>
      <w:r w:rsidR="0033089E" w:rsidRPr="00CE5C86">
        <w:rPr>
          <w:b/>
          <w:sz w:val="36"/>
          <w:szCs w:val="36"/>
        </w:rPr>
        <w:br/>
      </w:r>
      <w:r w:rsidR="009809BC" w:rsidRPr="00CE5C86">
        <w:rPr>
          <w:b/>
          <w:sz w:val="36"/>
          <w:szCs w:val="36"/>
        </w:rPr>
        <w:t>Injection c</w:t>
      </w:r>
      <w:r w:rsidR="0048112C">
        <w:rPr>
          <w:b/>
          <w:sz w:val="36"/>
          <w:szCs w:val="36"/>
        </w:rPr>
        <w:t>ontaining glatiramer acetate 40 </w:t>
      </w:r>
      <w:r w:rsidR="009809BC" w:rsidRPr="00CE5C86">
        <w:rPr>
          <w:b/>
          <w:sz w:val="36"/>
          <w:szCs w:val="36"/>
        </w:rPr>
        <w:t>mg in 1 mL single dose pre-filled syringe</w:t>
      </w:r>
      <w:r w:rsidR="00DC6D2E" w:rsidRPr="00CE5C86">
        <w:rPr>
          <w:b/>
          <w:sz w:val="36"/>
          <w:szCs w:val="36"/>
        </w:rPr>
        <w:t xml:space="preserve">, </w:t>
      </w:r>
      <w:r w:rsidR="00DC6D2E" w:rsidRPr="00CE5C86">
        <w:rPr>
          <w:b/>
          <w:sz w:val="36"/>
          <w:szCs w:val="36"/>
        </w:rPr>
        <w:br/>
      </w:r>
      <w:proofErr w:type="spellStart"/>
      <w:r w:rsidR="00DC6D2E" w:rsidRPr="00CE5C86">
        <w:rPr>
          <w:b/>
          <w:sz w:val="36"/>
          <w:szCs w:val="36"/>
        </w:rPr>
        <w:t>Copaxone</w:t>
      </w:r>
      <w:proofErr w:type="spellEnd"/>
      <w:r w:rsidR="00DC6D2E" w:rsidRPr="00CE5C86">
        <w:rPr>
          <w:b/>
          <w:sz w:val="36"/>
          <w:szCs w:val="36"/>
        </w:rPr>
        <w:t>®, TEVA Pharma Australia</w:t>
      </w:r>
      <w:r w:rsidR="005703C7" w:rsidRPr="00CE5C86">
        <w:rPr>
          <w:b/>
          <w:sz w:val="36"/>
          <w:szCs w:val="36"/>
        </w:rPr>
        <w:t xml:space="preserve"> Pty. Ltd.</w:t>
      </w:r>
    </w:p>
    <w:p w:rsidR="00DC6D2E" w:rsidRPr="00CE5C86" w:rsidRDefault="00DC6D2E" w:rsidP="00435D84">
      <w:pPr>
        <w:pStyle w:val="Heading1"/>
      </w:pPr>
      <w:bookmarkStart w:id="0" w:name="_Toc413139271"/>
      <w:bookmarkStart w:id="1" w:name="_Toc476306881"/>
      <w:bookmarkStart w:id="2" w:name="_Toc482710342"/>
      <w:r w:rsidRPr="00CE5C86">
        <w:t>Purpose of Application</w:t>
      </w:r>
      <w:bookmarkEnd w:id="0"/>
      <w:bookmarkEnd w:id="1"/>
      <w:bookmarkEnd w:id="2"/>
    </w:p>
    <w:p w:rsidR="00DC6D2E" w:rsidRPr="00CE5C86" w:rsidRDefault="00DC6D2E" w:rsidP="005875D1">
      <w:pPr>
        <w:numPr>
          <w:ilvl w:val="1"/>
          <w:numId w:val="3"/>
        </w:numPr>
        <w:spacing w:before="0" w:after="120"/>
        <w:rPr>
          <w:rFonts w:ascii="Calibri" w:hAnsi="Calibri"/>
        </w:rPr>
      </w:pPr>
      <w:r w:rsidRPr="00CE5C86">
        <w:rPr>
          <w:rFonts w:ascii="Calibri" w:hAnsi="Calibri"/>
        </w:rPr>
        <w:t xml:space="preserve">The submission requested an Authority </w:t>
      </w:r>
      <w:proofErr w:type="gramStart"/>
      <w:r w:rsidRPr="00CE5C86">
        <w:rPr>
          <w:rFonts w:ascii="Calibri" w:hAnsi="Calibri"/>
        </w:rPr>
        <w:t>Required</w:t>
      </w:r>
      <w:proofErr w:type="gramEnd"/>
      <w:r w:rsidRPr="00CE5C86">
        <w:rPr>
          <w:rFonts w:ascii="Calibri" w:hAnsi="Calibri"/>
        </w:rPr>
        <w:t xml:space="preserve"> listing for glatiramer </w:t>
      </w:r>
      <w:r w:rsidR="00435D84" w:rsidRPr="00CE5C86">
        <w:rPr>
          <w:rFonts w:ascii="Calibri" w:hAnsi="Calibri"/>
        </w:rPr>
        <w:t xml:space="preserve">(as glatiramer </w:t>
      </w:r>
      <w:r w:rsidRPr="00CE5C86">
        <w:rPr>
          <w:rFonts w:ascii="Calibri" w:hAnsi="Calibri"/>
        </w:rPr>
        <w:t>acetate</w:t>
      </w:r>
      <w:r w:rsidR="00435D84" w:rsidRPr="00CE5C86">
        <w:rPr>
          <w:rFonts w:ascii="Calibri" w:hAnsi="Calibri"/>
        </w:rPr>
        <w:t>)</w:t>
      </w:r>
      <w:r w:rsidRPr="00CE5C86">
        <w:rPr>
          <w:rFonts w:ascii="Calibri" w:hAnsi="Calibri"/>
        </w:rPr>
        <w:t xml:space="preserve"> for the treatment of a clinically isolated syndrome suggestive of multiple sclerosis in patients thought to be at high risk of subsequent diagnosis with multiple sclerosis.</w:t>
      </w:r>
    </w:p>
    <w:p w:rsidR="002744AA" w:rsidRPr="00CE5C86" w:rsidRDefault="002744AA" w:rsidP="002744AA">
      <w:pPr>
        <w:pStyle w:val="Caption"/>
      </w:pPr>
      <w:r w:rsidRPr="00CE5C86">
        <w:t xml:space="preserve">Table </w:t>
      </w:r>
      <w:r w:rsidR="007E6A8F">
        <w:rPr>
          <w:noProof/>
        </w:rPr>
        <w:t>1</w:t>
      </w:r>
      <w:r w:rsidRPr="00CE5C86">
        <w:t>: Key components of the clinical issues addressed in the submission</w:t>
      </w:r>
    </w:p>
    <w:tbl>
      <w:tblPr>
        <w:tblStyle w:val="TableGridbeth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Caption w:val="Key components of the clinical issues addressed in the submission"/>
      </w:tblPr>
      <w:tblGrid>
        <w:gridCol w:w="1021"/>
        <w:gridCol w:w="8061"/>
      </w:tblGrid>
      <w:tr w:rsidR="00DC6D2E" w:rsidRPr="00CE5C86" w:rsidTr="0097308C">
        <w:trPr>
          <w:cnfStyle w:val="100000000000" w:firstRow="1" w:lastRow="0" w:firstColumn="0" w:lastColumn="0" w:oddVBand="0" w:evenVBand="0" w:oddHBand="0" w:evenHBand="0" w:firstRowFirstColumn="0" w:firstRowLastColumn="0" w:lastRowFirstColumn="0" w:lastRowLastColumn="0"/>
          <w:cantSplit/>
          <w:tblHeader/>
        </w:trPr>
        <w:tc>
          <w:tcPr>
            <w:tcW w:w="1021" w:type="dxa"/>
            <w:shd w:val="clear" w:color="auto" w:fill="auto"/>
          </w:tcPr>
          <w:p w:rsidR="00DC6D2E" w:rsidRPr="00CE5C86" w:rsidRDefault="00DC6D2E" w:rsidP="00DC6D2E">
            <w:pPr>
              <w:keepNext/>
              <w:spacing w:before="40" w:after="40"/>
              <w:rPr>
                <w:rFonts w:ascii="Arial Narrow" w:eastAsia="Calibri" w:hAnsi="Arial Narrow" w:cs="Arial"/>
                <w:b w:val="0"/>
                <w:sz w:val="20"/>
              </w:rPr>
            </w:pPr>
            <w:r w:rsidRPr="00CE5C86">
              <w:rPr>
                <w:rFonts w:ascii="Arial Narrow" w:eastAsia="Calibri" w:hAnsi="Arial Narrow" w:cs="Arial"/>
                <w:sz w:val="20"/>
              </w:rPr>
              <w:t>Component</w:t>
            </w:r>
          </w:p>
        </w:tc>
        <w:tc>
          <w:tcPr>
            <w:tcW w:w="8061" w:type="dxa"/>
            <w:shd w:val="clear" w:color="auto" w:fill="auto"/>
          </w:tcPr>
          <w:p w:rsidR="00DC6D2E" w:rsidRPr="00CE5C86" w:rsidRDefault="00DC6D2E" w:rsidP="00DC6D2E">
            <w:pPr>
              <w:keepNext/>
              <w:spacing w:before="40" w:after="40"/>
              <w:rPr>
                <w:rFonts w:ascii="Arial Narrow" w:eastAsia="Calibri" w:hAnsi="Arial Narrow" w:cs="Arial"/>
                <w:b w:val="0"/>
                <w:sz w:val="20"/>
              </w:rPr>
            </w:pPr>
            <w:r w:rsidRPr="00CE5C86">
              <w:rPr>
                <w:rFonts w:ascii="Arial Narrow" w:eastAsia="Calibri" w:hAnsi="Arial Narrow" w:cs="Arial"/>
                <w:sz w:val="20"/>
              </w:rPr>
              <w:t>Description</w:t>
            </w:r>
          </w:p>
        </w:tc>
      </w:tr>
      <w:tr w:rsidR="00DC6D2E" w:rsidRPr="00CE5C86" w:rsidTr="0097308C">
        <w:trPr>
          <w:cantSplit/>
        </w:trPr>
        <w:tc>
          <w:tcPr>
            <w:tcW w:w="1021" w:type="dxa"/>
          </w:tcPr>
          <w:p w:rsidR="00DC6D2E" w:rsidRPr="00CE5C86" w:rsidRDefault="00DC6D2E" w:rsidP="00DC6D2E">
            <w:pPr>
              <w:keepNext/>
              <w:spacing w:before="40" w:after="40"/>
              <w:rPr>
                <w:rFonts w:ascii="Arial Narrow" w:eastAsia="Calibri" w:hAnsi="Arial Narrow" w:cs="Arial"/>
                <w:sz w:val="20"/>
              </w:rPr>
            </w:pPr>
            <w:r w:rsidRPr="00CE5C86">
              <w:rPr>
                <w:rFonts w:ascii="Arial Narrow" w:eastAsia="Calibri" w:hAnsi="Arial Narrow" w:cs="Arial"/>
                <w:sz w:val="20"/>
              </w:rPr>
              <w:t>Population</w:t>
            </w:r>
          </w:p>
        </w:tc>
        <w:tc>
          <w:tcPr>
            <w:tcW w:w="8061" w:type="dxa"/>
          </w:tcPr>
          <w:p w:rsidR="00DC6D2E" w:rsidRPr="00CE5C86" w:rsidRDefault="00DC6D2E" w:rsidP="00DC6D2E">
            <w:pPr>
              <w:keepNext/>
              <w:spacing w:before="40" w:after="40"/>
              <w:rPr>
                <w:rFonts w:ascii="Times" w:eastAsia="Times New Roman" w:hAnsi="Times" w:cs="Times New Roman"/>
                <w:sz w:val="20"/>
              </w:rPr>
            </w:pPr>
            <w:r w:rsidRPr="00CE5C86">
              <w:rPr>
                <w:rFonts w:ascii="Arial Narrow" w:eastAsia="Calibri" w:hAnsi="Arial Narrow" w:cs="Arial"/>
                <w:sz w:val="20"/>
              </w:rPr>
              <w:t xml:space="preserve">Patients with a demyelinating event indicative of multiple sclerosis, including at least one clinical event and positive magnetic resonance imaging (MRI) of the brain. Other diagnoses need to have been excluded. </w:t>
            </w:r>
          </w:p>
        </w:tc>
      </w:tr>
      <w:tr w:rsidR="00DC6D2E" w:rsidRPr="00CE5C86" w:rsidTr="0097308C">
        <w:trPr>
          <w:cantSplit/>
        </w:trPr>
        <w:tc>
          <w:tcPr>
            <w:tcW w:w="1021" w:type="dxa"/>
          </w:tcPr>
          <w:p w:rsidR="00DC6D2E" w:rsidRPr="00CE5C86" w:rsidRDefault="00DC6D2E" w:rsidP="00DC6D2E">
            <w:pPr>
              <w:keepNext/>
              <w:spacing w:before="40" w:after="40"/>
              <w:rPr>
                <w:rFonts w:ascii="Times" w:eastAsia="Times New Roman" w:hAnsi="Times" w:cs="Times New Roman"/>
                <w:sz w:val="20"/>
              </w:rPr>
            </w:pPr>
            <w:r w:rsidRPr="00CE5C86">
              <w:rPr>
                <w:rFonts w:ascii="Arial Narrow" w:eastAsia="Calibri" w:hAnsi="Arial Narrow" w:cs="Arial"/>
                <w:sz w:val="20"/>
              </w:rPr>
              <w:t>Intervention</w:t>
            </w:r>
          </w:p>
        </w:tc>
        <w:tc>
          <w:tcPr>
            <w:tcW w:w="8061" w:type="dxa"/>
          </w:tcPr>
          <w:p w:rsidR="00DC6D2E" w:rsidRPr="00CE5C86" w:rsidRDefault="00DC6D2E" w:rsidP="00DC6D2E">
            <w:pPr>
              <w:keepNext/>
              <w:spacing w:before="40" w:after="40"/>
              <w:rPr>
                <w:rFonts w:ascii="Times" w:eastAsia="Times New Roman" w:hAnsi="Times" w:cs="Times New Roman"/>
                <w:sz w:val="20"/>
              </w:rPr>
            </w:pPr>
            <w:r w:rsidRPr="00CE5C86">
              <w:rPr>
                <w:rFonts w:ascii="Arial Narrow" w:eastAsia="Calibri" w:hAnsi="Arial Narrow" w:cs="Arial"/>
                <w:sz w:val="20"/>
              </w:rPr>
              <w:t>Glatiramer acetate (20 mg injected subcutaneously once daily or 40 mg injected subcutaneously three times a week).</w:t>
            </w:r>
          </w:p>
        </w:tc>
      </w:tr>
      <w:tr w:rsidR="00DC6D2E" w:rsidRPr="00CE5C86" w:rsidTr="0097308C">
        <w:trPr>
          <w:cantSplit/>
        </w:trPr>
        <w:tc>
          <w:tcPr>
            <w:tcW w:w="1021" w:type="dxa"/>
          </w:tcPr>
          <w:p w:rsidR="00DC6D2E" w:rsidRPr="00CE5C86" w:rsidRDefault="00DC6D2E" w:rsidP="00DC6D2E">
            <w:pPr>
              <w:keepNext/>
              <w:spacing w:before="40" w:after="40"/>
              <w:rPr>
                <w:rFonts w:ascii="Times" w:eastAsia="Times New Roman" w:hAnsi="Times" w:cs="Times New Roman"/>
                <w:sz w:val="20"/>
              </w:rPr>
            </w:pPr>
            <w:r w:rsidRPr="00CE5C86">
              <w:rPr>
                <w:rFonts w:ascii="Arial Narrow" w:eastAsia="Calibri" w:hAnsi="Arial Narrow" w:cs="Arial"/>
                <w:sz w:val="20"/>
              </w:rPr>
              <w:t>Comparator</w:t>
            </w:r>
          </w:p>
        </w:tc>
        <w:tc>
          <w:tcPr>
            <w:tcW w:w="8061" w:type="dxa"/>
          </w:tcPr>
          <w:p w:rsidR="00DC6D2E" w:rsidRPr="00CE5C86" w:rsidRDefault="00DC6D2E" w:rsidP="00DC6D2E">
            <w:pPr>
              <w:keepNext/>
              <w:spacing w:before="40" w:after="40"/>
              <w:rPr>
                <w:rFonts w:ascii="Times" w:eastAsia="Times New Roman" w:hAnsi="Times" w:cs="Times New Roman"/>
                <w:sz w:val="20"/>
              </w:rPr>
            </w:pPr>
            <w:r w:rsidRPr="00CE5C86">
              <w:rPr>
                <w:rFonts w:ascii="Arial Narrow" w:eastAsia="Calibri" w:hAnsi="Arial Narrow" w:cs="Arial"/>
                <w:sz w:val="20"/>
              </w:rPr>
              <w:t>Placebo.</w:t>
            </w:r>
          </w:p>
        </w:tc>
      </w:tr>
      <w:tr w:rsidR="00DC6D2E" w:rsidRPr="00CE5C86" w:rsidTr="0097308C">
        <w:trPr>
          <w:cantSplit/>
        </w:trPr>
        <w:tc>
          <w:tcPr>
            <w:tcW w:w="1021" w:type="dxa"/>
          </w:tcPr>
          <w:p w:rsidR="00DC6D2E" w:rsidRPr="00CE5C86" w:rsidRDefault="00DC6D2E" w:rsidP="00DC6D2E">
            <w:pPr>
              <w:keepNext/>
              <w:spacing w:before="40" w:after="40"/>
              <w:rPr>
                <w:rFonts w:ascii="Times" w:eastAsia="Times New Roman" w:hAnsi="Times" w:cs="Times New Roman"/>
                <w:sz w:val="20"/>
              </w:rPr>
            </w:pPr>
            <w:r w:rsidRPr="00CE5C86">
              <w:rPr>
                <w:rFonts w:ascii="Arial Narrow" w:eastAsia="Calibri" w:hAnsi="Arial Narrow" w:cs="Arial"/>
                <w:sz w:val="20"/>
              </w:rPr>
              <w:t>Outcomes</w:t>
            </w:r>
          </w:p>
        </w:tc>
        <w:tc>
          <w:tcPr>
            <w:tcW w:w="8061" w:type="dxa"/>
          </w:tcPr>
          <w:p w:rsidR="00DC6D2E" w:rsidRPr="00CE5C86" w:rsidRDefault="00DC6D2E" w:rsidP="00FA34F0">
            <w:pPr>
              <w:keepNext/>
              <w:spacing w:before="40" w:after="40"/>
              <w:rPr>
                <w:rFonts w:ascii="Times" w:eastAsia="Times New Roman" w:hAnsi="Times" w:cs="Times New Roman"/>
                <w:sz w:val="20"/>
              </w:rPr>
            </w:pPr>
            <w:r w:rsidRPr="00CE5C86">
              <w:rPr>
                <w:rFonts w:ascii="Arial Narrow" w:eastAsia="Calibri" w:hAnsi="Arial Narrow" w:cs="Arial"/>
                <w:sz w:val="20"/>
              </w:rPr>
              <w:t>Delay</w:t>
            </w:r>
            <w:r w:rsidR="00C2599B" w:rsidRPr="00CE5C86">
              <w:rPr>
                <w:rFonts w:ascii="Arial Narrow" w:eastAsia="Calibri" w:hAnsi="Arial Narrow" w:cs="Arial"/>
                <w:sz w:val="20"/>
              </w:rPr>
              <w:t>ed</w:t>
            </w:r>
            <w:r w:rsidRPr="00CE5C86">
              <w:rPr>
                <w:rFonts w:ascii="Arial Narrow" w:eastAsia="Calibri" w:hAnsi="Arial Narrow" w:cs="Arial"/>
                <w:sz w:val="20"/>
              </w:rPr>
              <w:t xml:space="preserve"> development of multiple sclerosis, reduce</w:t>
            </w:r>
            <w:r w:rsidR="00BF0C5D" w:rsidRPr="00CE5C86">
              <w:rPr>
                <w:rFonts w:ascii="Arial Narrow" w:eastAsia="Calibri" w:hAnsi="Arial Narrow" w:cs="Arial"/>
                <w:sz w:val="20"/>
              </w:rPr>
              <w:t>d</w:t>
            </w:r>
            <w:r w:rsidRPr="00CE5C86">
              <w:rPr>
                <w:rFonts w:ascii="Arial Narrow" w:eastAsia="Calibri" w:hAnsi="Arial Narrow" w:cs="Arial"/>
                <w:sz w:val="20"/>
              </w:rPr>
              <w:t xml:space="preserve"> subclinical measures (based on MRI) of disease activity.</w:t>
            </w:r>
          </w:p>
        </w:tc>
      </w:tr>
      <w:tr w:rsidR="00DC6D2E" w:rsidRPr="00CE5C86" w:rsidTr="0097308C">
        <w:trPr>
          <w:cantSplit/>
        </w:trPr>
        <w:tc>
          <w:tcPr>
            <w:tcW w:w="1021" w:type="dxa"/>
          </w:tcPr>
          <w:p w:rsidR="00DC6D2E" w:rsidRPr="00CE5C86" w:rsidRDefault="00DC6D2E" w:rsidP="00DC6D2E">
            <w:pPr>
              <w:keepNext/>
              <w:spacing w:before="40" w:after="40"/>
              <w:rPr>
                <w:rFonts w:ascii="Times" w:eastAsia="Times New Roman" w:hAnsi="Times" w:cs="Times New Roman"/>
                <w:sz w:val="20"/>
              </w:rPr>
            </w:pPr>
            <w:r w:rsidRPr="00CE5C86">
              <w:rPr>
                <w:rFonts w:ascii="Arial Narrow" w:eastAsia="Calibri" w:hAnsi="Arial Narrow" w:cs="Arial"/>
                <w:sz w:val="20"/>
              </w:rPr>
              <w:t>Clinical claim</w:t>
            </w:r>
          </w:p>
        </w:tc>
        <w:tc>
          <w:tcPr>
            <w:tcW w:w="8061" w:type="dxa"/>
          </w:tcPr>
          <w:p w:rsidR="00DC6D2E" w:rsidRPr="00CE5C86" w:rsidRDefault="00DC6D2E" w:rsidP="00DC6D2E">
            <w:pPr>
              <w:keepNext/>
              <w:spacing w:before="40" w:after="40"/>
              <w:rPr>
                <w:rFonts w:ascii="Times" w:eastAsia="Times New Roman" w:hAnsi="Times" w:cs="Times New Roman"/>
                <w:sz w:val="20"/>
              </w:rPr>
            </w:pPr>
            <w:r w:rsidRPr="00CE5C86">
              <w:rPr>
                <w:rFonts w:ascii="Arial Narrow" w:eastAsia="Calibri" w:hAnsi="Arial Narrow" w:cs="Arial"/>
                <w:sz w:val="20"/>
              </w:rPr>
              <w:t xml:space="preserve">In patients with clinically isolated syndrome, </w:t>
            </w:r>
            <w:r w:rsidRPr="00CE5C86">
              <w:rPr>
                <w:rFonts w:ascii="Arial Narrow" w:eastAsia="Calibri" w:hAnsi="Arial Narrow" w:cs="Arial"/>
                <w:sz w:val="20"/>
                <w:lang w:val="en-AU"/>
              </w:rPr>
              <w:t>glatiramer acetate has superior effectiveness, and inferior (but tolerable) safety to placebo in extending time to diagnosis of clinically definite multiple sclerosis.</w:t>
            </w:r>
          </w:p>
        </w:tc>
      </w:tr>
    </w:tbl>
    <w:p w:rsidR="00DC6D2E" w:rsidRPr="00CE5C86" w:rsidRDefault="00DC6D2E" w:rsidP="00AC1EB5">
      <w:pPr>
        <w:widowControl w:val="0"/>
        <w:spacing w:before="0" w:after="240"/>
        <w:rPr>
          <w:rFonts w:ascii="Arial Narrow" w:eastAsia="Times New Roman" w:hAnsi="Arial Narrow" w:cs="Arial"/>
          <w:snapToGrid w:val="0"/>
          <w:sz w:val="18"/>
          <w:szCs w:val="20"/>
        </w:rPr>
      </w:pPr>
      <w:r w:rsidRPr="00CE5C86">
        <w:rPr>
          <w:rFonts w:ascii="Arial Narrow" w:eastAsia="Times New Roman" w:hAnsi="Arial Narrow" w:cs="Arial"/>
          <w:snapToGrid w:val="0"/>
          <w:sz w:val="18"/>
          <w:szCs w:val="20"/>
        </w:rPr>
        <w:t>Source: Table 1-1, p.1-9 Section 1 of the submission</w:t>
      </w:r>
    </w:p>
    <w:p w:rsidR="00DC6D2E" w:rsidRPr="00CE5C86" w:rsidRDefault="00DC6D2E" w:rsidP="005875D1">
      <w:pPr>
        <w:numPr>
          <w:ilvl w:val="1"/>
          <w:numId w:val="3"/>
        </w:numPr>
        <w:spacing w:after="120"/>
        <w:rPr>
          <w:rFonts w:ascii="Calibri" w:hAnsi="Calibri"/>
        </w:rPr>
      </w:pPr>
      <w:r w:rsidRPr="00CE5C86">
        <w:rPr>
          <w:rFonts w:ascii="Calibri" w:hAnsi="Calibri"/>
        </w:rPr>
        <w:t xml:space="preserve">There were a number of </w:t>
      </w:r>
      <w:r w:rsidR="00BF0C5D" w:rsidRPr="00CE5C86">
        <w:rPr>
          <w:rFonts w:ascii="Calibri" w:hAnsi="Calibri"/>
        </w:rPr>
        <w:t xml:space="preserve">key clinical </w:t>
      </w:r>
      <w:r w:rsidRPr="00CE5C86">
        <w:rPr>
          <w:rFonts w:ascii="Calibri" w:hAnsi="Calibri"/>
        </w:rPr>
        <w:t xml:space="preserve">issues associated with the </w:t>
      </w:r>
      <w:r w:rsidR="00BF0C5D" w:rsidRPr="00CE5C86">
        <w:rPr>
          <w:rFonts w:ascii="Calibri" w:hAnsi="Calibri"/>
        </w:rPr>
        <w:t>submission</w:t>
      </w:r>
      <w:r w:rsidRPr="00CE5C86">
        <w:rPr>
          <w:rFonts w:ascii="Calibri" w:hAnsi="Calibri"/>
        </w:rPr>
        <w:t xml:space="preserve">, including the patient population (definition of high risk group; use of diagnostic criteria) and outcomes (time to next </w:t>
      </w:r>
      <w:r w:rsidR="0048112C">
        <w:rPr>
          <w:rFonts w:ascii="Calibri" w:hAnsi="Calibri"/>
        </w:rPr>
        <w:t>relapse or time to conversion).</w:t>
      </w:r>
    </w:p>
    <w:p w:rsidR="00DC6D2E" w:rsidRPr="00CE5C86" w:rsidRDefault="00DC6D2E" w:rsidP="00435D84">
      <w:pPr>
        <w:pStyle w:val="Heading1"/>
      </w:pPr>
      <w:bookmarkStart w:id="3" w:name="_Toc413139272"/>
      <w:bookmarkStart w:id="4" w:name="_Toc476306882"/>
      <w:bookmarkStart w:id="5" w:name="_Toc482710343"/>
      <w:r w:rsidRPr="00CE5C86">
        <w:t>Requested listing</w:t>
      </w:r>
      <w:bookmarkEnd w:id="3"/>
      <w:bookmarkEnd w:id="4"/>
      <w:bookmarkEnd w:id="5"/>
    </w:p>
    <w:tbl>
      <w:tblPr>
        <w:tblW w:w="5010" w:type="pct"/>
        <w:tblCellMar>
          <w:left w:w="28" w:type="dxa"/>
          <w:right w:w="28" w:type="dxa"/>
        </w:tblCellMar>
        <w:tblLook w:val="0000" w:firstRow="0" w:lastRow="0" w:firstColumn="0" w:lastColumn="0" w:noHBand="0" w:noVBand="0"/>
      </w:tblPr>
      <w:tblGrid>
        <w:gridCol w:w="1729"/>
        <w:gridCol w:w="1600"/>
        <w:gridCol w:w="744"/>
        <w:gridCol w:w="901"/>
        <w:gridCol w:w="1638"/>
        <w:gridCol w:w="883"/>
        <w:gridCol w:w="1605"/>
      </w:tblGrid>
      <w:tr w:rsidR="00DC6D2E" w:rsidRPr="00CE5C86" w:rsidTr="00DC6D2E">
        <w:trPr>
          <w:cantSplit/>
          <w:trHeight w:val="463"/>
        </w:trPr>
        <w:tc>
          <w:tcPr>
            <w:tcW w:w="1829" w:type="pct"/>
            <w:gridSpan w:val="2"/>
            <w:tcBorders>
              <w:bottom w:val="single" w:sz="4" w:space="0" w:color="auto"/>
            </w:tcBorders>
            <w:vAlign w:val="center"/>
          </w:tcPr>
          <w:p w:rsidR="00DC6D2E" w:rsidRPr="00CE5C86" w:rsidRDefault="00DC6D2E" w:rsidP="00DC6D2E">
            <w:pPr>
              <w:widowControl w:val="0"/>
              <w:spacing w:before="40" w:after="40"/>
              <w:rPr>
                <w:rFonts w:ascii="Arial Narrow" w:hAnsi="Arial Narrow"/>
                <w:b/>
                <w:sz w:val="20"/>
              </w:rPr>
            </w:pPr>
            <w:r w:rsidRPr="00CE5C86">
              <w:rPr>
                <w:rFonts w:ascii="Arial Narrow" w:hAnsi="Arial Narrow"/>
                <w:b/>
                <w:sz w:val="20"/>
              </w:rPr>
              <w:t>Name, Restriction,</w:t>
            </w:r>
          </w:p>
          <w:p w:rsidR="00DC6D2E" w:rsidRPr="00CE5C86" w:rsidRDefault="00DC6D2E" w:rsidP="00DC6D2E">
            <w:pPr>
              <w:widowControl w:val="0"/>
              <w:spacing w:before="40" w:after="40"/>
              <w:rPr>
                <w:rFonts w:ascii="Arial Narrow" w:hAnsi="Arial Narrow"/>
                <w:b/>
                <w:sz w:val="20"/>
              </w:rPr>
            </w:pPr>
            <w:r w:rsidRPr="00CE5C86">
              <w:rPr>
                <w:rFonts w:ascii="Arial Narrow" w:hAnsi="Arial Narrow"/>
                <w:b/>
                <w:sz w:val="20"/>
              </w:rPr>
              <w:t>Manner of administration and form</w:t>
            </w:r>
          </w:p>
        </w:tc>
        <w:tc>
          <w:tcPr>
            <w:tcW w:w="409" w:type="pct"/>
            <w:tcBorders>
              <w:bottom w:val="single" w:sz="4" w:space="0" w:color="auto"/>
            </w:tcBorders>
            <w:vAlign w:val="center"/>
          </w:tcPr>
          <w:p w:rsidR="00DC6D2E" w:rsidRPr="00CE5C86" w:rsidRDefault="00DC6D2E" w:rsidP="00DC6D2E">
            <w:pPr>
              <w:widowControl w:val="0"/>
              <w:spacing w:before="40" w:after="40"/>
              <w:rPr>
                <w:rFonts w:ascii="Arial Narrow" w:hAnsi="Arial Narrow"/>
                <w:b/>
                <w:sz w:val="20"/>
              </w:rPr>
            </w:pPr>
            <w:r w:rsidRPr="00CE5C86">
              <w:rPr>
                <w:rFonts w:ascii="Arial Narrow" w:hAnsi="Arial Narrow"/>
                <w:b/>
                <w:sz w:val="20"/>
              </w:rPr>
              <w:t>Max.</w:t>
            </w:r>
          </w:p>
          <w:p w:rsidR="00DC6D2E" w:rsidRPr="00CE5C86" w:rsidRDefault="00DC6D2E" w:rsidP="00DC6D2E">
            <w:pPr>
              <w:widowControl w:val="0"/>
              <w:spacing w:before="40" w:after="40"/>
              <w:rPr>
                <w:rFonts w:ascii="Arial Narrow" w:hAnsi="Arial Narrow"/>
                <w:b/>
                <w:sz w:val="20"/>
              </w:rPr>
            </w:pPr>
            <w:proofErr w:type="spellStart"/>
            <w:r w:rsidRPr="00CE5C86">
              <w:rPr>
                <w:rFonts w:ascii="Arial Narrow" w:hAnsi="Arial Narrow"/>
                <w:b/>
                <w:sz w:val="20"/>
              </w:rPr>
              <w:t>Qty</w:t>
            </w:r>
            <w:proofErr w:type="spellEnd"/>
          </w:p>
        </w:tc>
        <w:tc>
          <w:tcPr>
            <w:tcW w:w="495" w:type="pct"/>
            <w:tcBorders>
              <w:bottom w:val="single" w:sz="4" w:space="0" w:color="auto"/>
            </w:tcBorders>
            <w:vAlign w:val="center"/>
          </w:tcPr>
          <w:p w:rsidR="00DC6D2E" w:rsidRPr="00CE5C86" w:rsidRDefault="00DC6D2E" w:rsidP="00DC6D2E">
            <w:pPr>
              <w:widowControl w:val="0"/>
              <w:spacing w:before="40" w:after="40"/>
              <w:rPr>
                <w:rFonts w:ascii="Arial Narrow" w:hAnsi="Arial Narrow"/>
                <w:b/>
                <w:sz w:val="20"/>
              </w:rPr>
            </w:pPr>
            <w:r w:rsidRPr="00CE5C86">
              <w:rPr>
                <w:rFonts w:ascii="Arial Narrow" w:hAnsi="Arial Narrow"/>
                <w:b/>
                <w:sz w:val="20"/>
              </w:rPr>
              <w:t>№.of</w:t>
            </w:r>
          </w:p>
          <w:p w:rsidR="00DC6D2E" w:rsidRPr="00CE5C86" w:rsidRDefault="00DC6D2E" w:rsidP="00DC6D2E">
            <w:pPr>
              <w:widowControl w:val="0"/>
              <w:spacing w:before="40" w:after="40"/>
              <w:rPr>
                <w:rFonts w:ascii="Arial Narrow" w:hAnsi="Arial Narrow"/>
                <w:b/>
                <w:sz w:val="20"/>
              </w:rPr>
            </w:pPr>
            <w:proofErr w:type="spellStart"/>
            <w:r w:rsidRPr="00CE5C86">
              <w:rPr>
                <w:rFonts w:ascii="Arial Narrow" w:hAnsi="Arial Narrow"/>
                <w:b/>
                <w:sz w:val="20"/>
              </w:rPr>
              <w:t>Rpts</w:t>
            </w:r>
            <w:proofErr w:type="spellEnd"/>
          </w:p>
        </w:tc>
        <w:tc>
          <w:tcPr>
            <w:tcW w:w="900" w:type="pct"/>
            <w:tcBorders>
              <w:bottom w:val="single" w:sz="4" w:space="0" w:color="auto"/>
            </w:tcBorders>
            <w:vAlign w:val="center"/>
          </w:tcPr>
          <w:p w:rsidR="00DC6D2E" w:rsidRPr="00CE5C86" w:rsidRDefault="00DC6D2E" w:rsidP="00DC6D2E">
            <w:pPr>
              <w:widowControl w:val="0"/>
              <w:spacing w:before="40" w:after="40"/>
              <w:rPr>
                <w:rFonts w:ascii="Arial Narrow" w:hAnsi="Arial Narrow"/>
                <w:b/>
                <w:sz w:val="20"/>
              </w:rPr>
            </w:pPr>
            <w:r w:rsidRPr="00CE5C86">
              <w:rPr>
                <w:rFonts w:ascii="Arial Narrow" w:hAnsi="Arial Narrow"/>
                <w:b/>
                <w:sz w:val="20"/>
              </w:rPr>
              <w:t xml:space="preserve">DPMQ  </w:t>
            </w:r>
          </w:p>
        </w:tc>
        <w:tc>
          <w:tcPr>
            <w:tcW w:w="1367" w:type="pct"/>
            <w:gridSpan w:val="2"/>
            <w:tcBorders>
              <w:bottom w:val="single" w:sz="4" w:space="0" w:color="auto"/>
            </w:tcBorders>
            <w:vAlign w:val="center"/>
          </w:tcPr>
          <w:p w:rsidR="00DC6D2E" w:rsidRPr="00CE5C86" w:rsidRDefault="00DC6D2E" w:rsidP="00DC6D2E">
            <w:pPr>
              <w:widowControl w:val="0"/>
              <w:spacing w:before="40" w:after="40"/>
              <w:rPr>
                <w:rFonts w:ascii="Arial Narrow" w:hAnsi="Arial Narrow"/>
                <w:b/>
                <w:sz w:val="20"/>
                <w:lang w:val="fr-FR"/>
              </w:rPr>
            </w:pPr>
            <w:r w:rsidRPr="00CE5C86">
              <w:rPr>
                <w:rFonts w:ascii="Arial Narrow" w:hAnsi="Arial Narrow"/>
                <w:b/>
                <w:sz w:val="20"/>
              </w:rPr>
              <w:t>Proprietary Name and Manufacturer</w:t>
            </w:r>
          </w:p>
        </w:tc>
      </w:tr>
      <w:tr w:rsidR="00DC6D2E" w:rsidRPr="00CE5C86" w:rsidTr="00DC6D2E">
        <w:trPr>
          <w:cantSplit/>
          <w:trHeight w:val="567"/>
        </w:trPr>
        <w:tc>
          <w:tcPr>
            <w:tcW w:w="1829" w:type="pct"/>
            <w:gridSpan w:val="2"/>
            <w:vAlign w:val="center"/>
          </w:tcPr>
          <w:p w:rsidR="00DC6D2E" w:rsidRPr="00CE5C86" w:rsidRDefault="00DC6D2E" w:rsidP="00DC6D2E">
            <w:pPr>
              <w:widowControl w:val="0"/>
              <w:spacing w:before="40" w:after="40"/>
              <w:rPr>
                <w:rFonts w:ascii="Arial Narrow" w:hAnsi="Arial Narrow"/>
                <w:sz w:val="20"/>
              </w:rPr>
            </w:pPr>
            <w:r w:rsidRPr="00CE5C86">
              <w:rPr>
                <w:rFonts w:ascii="Arial Narrow" w:hAnsi="Arial Narrow"/>
                <w:smallCaps/>
                <w:sz w:val="20"/>
              </w:rPr>
              <w:t>Glatiramer acetate</w:t>
            </w:r>
          </w:p>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20 mg/mL injection, 28 x 1 mL syringes</w:t>
            </w:r>
          </w:p>
        </w:tc>
        <w:tc>
          <w:tcPr>
            <w:tcW w:w="409" w:type="pct"/>
            <w:vAlign w:val="center"/>
          </w:tcPr>
          <w:p w:rsidR="00DC6D2E" w:rsidRPr="00CE5C86" w:rsidRDefault="00DC6D2E" w:rsidP="00DC6D2E">
            <w:pPr>
              <w:widowControl w:val="0"/>
              <w:spacing w:before="40" w:after="40"/>
              <w:rPr>
                <w:rFonts w:ascii="Arial Narrow" w:hAnsi="Arial Narrow"/>
                <w:sz w:val="20"/>
              </w:rPr>
            </w:pPr>
          </w:p>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1</w:t>
            </w:r>
          </w:p>
        </w:tc>
        <w:tc>
          <w:tcPr>
            <w:tcW w:w="495" w:type="pct"/>
            <w:vAlign w:val="center"/>
          </w:tcPr>
          <w:p w:rsidR="00DC6D2E" w:rsidRPr="0035683F" w:rsidRDefault="00DC6D2E" w:rsidP="00DC6D2E">
            <w:pPr>
              <w:widowControl w:val="0"/>
              <w:spacing w:before="40" w:after="40"/>
              <w:rPr>
                <w:rFonts w:ascii="Arial Narrow" w:hAnsi="Arial Narrow"/>
                <w:sz w:val="20"/>
              </w:rPr>
            </w:pPr>
          </w:p>
          <w:p w:rsidR="00DC6D2E" w:rsidRPr="0035683F" w:rsidRDefault="00DC6D2E" w:rsidP="00DC6D2E">
            <w:pPr>
              <w:widowControl w:val="0"/>
              <w:spacing w:before="40" w:after="40"/>
              <w:rPr>
                <w:rFonts w:ascii="Arial Narrow" w:hAnsi="Arial Narrow"/>
                <w:sz w:val="20"/>
              </w:rPr>
            </w:pPr>
            <w:r w:rsidRPr="0035683F">
              <w:rPr>
                <w:rFonts w:ascii="Arial Narrow" w:hAnsi="Arial Narrow"/>
                <w:sz w:val="20"/>
              </w:rPr>
              <w:t>5</w:t>
            </w:r>
          </w:p>
        </w:tc>
        <w:tc>
          <w:tcPr>
            <w:tcW w:w="900" w:type="pct"/>
            <w:vAlign w:val="center"/>
          </w:tcPr>
          <w:p w:rsidR="00DC6D2E" w:rsidRPr="00CE5C86" w:rsidRDefault="00DC6D2E" w:rsidP="00DC6D2E">
            <w:pPr>
              <w:widowControl w:val="0"/>
              <w:spacing w:before="40" w:after="40"/>
              <w:rPr>
                <w:rFonts w:ascii="Arial Narrow" w:hAnsi="Arial Narrow"/>
                <w:sz w:val="20"/>
              </w:rPr>
            </w:pPr>
          </w:p>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w:t>
            </w:r>
            <w:r w:rsidR="00AF06E3">
              <w:rPr>
                <w:rFonts w:ascii="Arial Narrow" w:hAnsi="Arial Narrow"/>
                <w:noProof/>
                <w:color w:val="000000"/>
                <w:sz w:val="20"/>
                <w:highlight w:val="black"/>
              </w:rPr>
              <w:t>'''''''''''''''''''''</w:t>
            </w:r>
          </w:p>
        </w:tc>
        <w:tc>
          <w:tcPr>
            <w:tcW w:w="485" w:type="pct"/>
            <w:vMerge w:val="restart"/>
            <w:vAlign w:val="center"/>
          </w:tcPr>
          <w:p w:rsidR="00DC6D2E" w:rsidRPr="00CE5C86" w:rsidRDefault="00DC6D2E" w:rsidP="00DC6D2E">
            <w:pPr>
              <w:widowControl w:val="0"/>
              <w:spacing w:before="40" w:after="40"/>
              <w:rPr>
                <w:rFonts w:ascii="Arial Narrow" w:hAnsi="Arial Narrow"/>
                <w:sz w:val="20"/>
              </w:rPr>
            </w:pPr>
            <w:proofErr w:type="spellStart"/>
            <w:r w:rsidRPr="00CE5C86">
              <w:rPr>
                <w:rFonts w:ascii="Arial Narrow" w:hAnsi="Arial Narrow"/>
                <w:sz w:val="20"/>
              </w:rPr>
              <w:t>Copaxone</w:t>
            </w:r>
            <w:proofErr w:type="spellEnd"/>
            <w:r w:rsidRPr="00CE5C86">
              <w:rPr>
                <w:rFonts w:ascii="Arial Narrow" w:hAnsi="Arial Narrow"/>
                <w:sz w:val="20"/>
                <w:vertAlign w:val="superscript"/>
              </w:rPr>
              <w:t>®</w:t>
            </w:r>
          </w:p>
        </w:tc>
        <w:tc>
          <w:tcPr>
            <w:tcW w:w="882" w:type="pct"/>
            <w:vMerge w:val="restart"/>
            <w:vAlign w:val="center"/>
          </w:tcPr>
          <w:p w:rsidR="00DC6D2E" w:rsidRPr="00CE5C86" w:rsidRDefault="00DC6D2E" w:rsidP="00DC6D2E">
            <w:pPr>
              <w:widowControl w:val="0"/>
              <w:spacing w:before="40" w:after="40"/>
              <w:jc w:val="center"/>
              <w:rPr>
                <w:rFonts w:ascii="Arial Narrow" w:hAnsi="Arial Narrow"/>
                <w:sz w:val="20"/>
              </w:rPr>
            </w:pPr>
            <w:proofErr w:type="spellStart"/>
            <w:r w:rsidRPr="00CE5C86">
              <w:rPr>
                <w:rFonts w:ascii="Arial Narrow" w:hAnsi="Arial Narrow"/>
                <w:sz w:val="20"/>
              </w:rPr>
              <w:t>Teva</w:t>
            </w:r>
            <w:proofErr w:type="spellEnd"/>
            <w:r w:rsidRPr="00CE5C86">
              <w:rPr>
                <w:rFonts w:ascii="Arial Narrow" w:hAnsi="Arial Narrow"/>
                <w:sz w:val="20"/>
              </w:rPr>
              <w:t xml:space="preserve"> Pharma  Australia Pty Ltd.</w:t>
            </w:r>
          </w:p>
        </w:tc>
      </w:tr>
      <w:tr w:rsidR="00DC6D2E" w:rsidRPr="00CE5C86" w:rsidTr="0048112C">
        <w:trPr>
          <w:cantSplit/>
          <w:trHeight w:val="295"/>
        </w:trPr>
        <w:tc>
          <w:tcPr>
            <w:tcW w:w="1829" w:type="pct"/>
            <w:gridSpan w:val="2"/>
            <w:vAlign w:val="center"/>
          </w:tcPr>
          <w:p w:rsidR="00DC6D2E" w:rsidRPr="00CE5C86" w:rsidRDefault="00DC6D2E" w:rsidP="00DC6D2E">
            <w:pPr>
              <w:widowControl w:val="0"/>
              <w:spacing w:before="40" w:after="40"/>
              <w:rPr>
                <w:rFonts w:ascii="Arial Narrow" w:hAnsi="Arial Narrow"/>
                <w:smallCaps/>
                <w:sz w:val="20"/>
              </w:rPr>
            </w:pPr>
            <w:r w:rsidRPr="00CE5C86">
              <w:rPr>
                <w:rFonts w:ascii="Arial Narrow" w:hAnsi="Arial Narrow"/>
                <w:sz w:val="20"/>
              </w:rPr>
              <w:t>40 mg/mL injection, 12 x 1 mL syringes</w:t>
            </w:r>
          </w:p>
        </w:tc>
        <w:tc>
          <w:tcPr>
            <w:tcW w:w="409" w:type="pct"/>
            <w:vAlign w:val="center"/>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1</w:t>
            </w:r>
          </w:p>
        </w:tc>
        <w:tc>
          <w:tcPr>
            <w:tcW w:w="495" w:type="pct"/>
            <w:vAlign w:val="center"/>
          </w:tcPr>
          <w:p w:rsidR="00DC6D2E" w:rsidRPr="0035683F" w:rsidRDefault="00DC6D2E" w:rsidP="00DC6D2E">
            <w:pPr>
              <w:widowControl w:val="0"/>
              <w:spacing w:before="40" w:after="40"/>
              <w:rPr>
                <w:rFonts w:ascii="Arial Narrow" w:hAnsi="Arial Narrow"/>
                <w:sz w:val="20"/>
              </w:rPr>
            </w:pPr>
            <w:r w:rsidRPr="0035683F">
              <w:rPr>
                <w:rFonts w:ascii="Arial Narrow" w:hAnsi="Arial Narrow"/>
                <w:sz w:val="20"/>
              </w:rPr>
              <w:t>5</w:t>
            </w:r>
          </w:p>
        </w:tc>
        <w:tc>
          <w:tcPr>
            <w:tcW w:w="900" w:type="pct"/>
            <w:vAlign w:val="center"/>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w:t>
            </w:r>
            <w:r w:rsidR="00AF06E3">
              <w:rPr>
                <w:rFonts w:ascii="Arial Narrow" w:hAnsi="Arial Narrow"/>
                <w:noProof/>
                <w:color w:val="000000"/>
                <w:sz w:val="20"/>
                <w:highlight w:val="black"/>
              </w:rPr>
              <w:t>''''''''''''''''''''</w:t>
            </w:r>
          </w:p>
        </w:tc>
        <w:tc>
          <w:tcPr>
            <w:tcW w:w="485" w:type="pct"/>
            <w:vMerge/>
            <w:vAlign w:val="center"/>
          </w:tcPr>
          <w:p w:rsidR="00DC6D2E" w:rsidRPr="00CE5C86" w:rsidRDefault="00DC6D2E" w:rsidP="00DC6D2E">
            <w:pPr>
              <w:widowControl w:val="0"/>
              <w:spacing w:before="40" w:after="40"/>
              <w:rPr>
                <w:rFonts w:ascii="Arial Narrow" w:hAnsi="Arial Narrow"/>
                <w:sz w:val="20"/>
              </w:rPr>
            </w:pPr>
          </w:p>
        </w:tc>
        <w:tc>
          <w:tcPr>
            <w:tcW w:w="882" w:type="pct"/>
            <w:vMerge/>
            <w:vAlign w:val="center"/>
          </w:tcPr>
          <w:p w:rsidR="00DC6D2E" w:rsidRPr="00CE5C86" w:rsidRDefault="00DC6D2E" w:rsidP="00DC6D2E">
            <w:pPr>
              <w:widowControl w:val="0"/>
              <w:spacing w:before="40" w:after="40"/>
              <w:rPr>
                <w:rFonts w:ascii="Arial Narrow" w:hAnsi="Arial Narrow"/>
                <w:sz w:val="20"/>
              </w:rPr>
            </w:pPr>
          </w:p>
        </w:tc>
      </w:tr>
      <w:tr w:rsidR="00DC6D2E" w:rsidRPr="00CE5C86" w:rsidTr="00FA34F0">
        <w:trPr>
          <w:cantSplit/>
          <w:trHeight w:val="360"/>
        </w:trPr>
        <w:tc>
          <w:tcPr>
            <w:tcW w:w="950" w:type="pct"/>
            <w:tcBorders>
              <w:top w:val="single" w:sz="4" w:space="0" w:color="auto"/>
              <w:left w:val="single" w:sz="4" w:space="0" w:color="auto"/>
              <w:bottom w:val="single" w:sz="4" w:space="0" w:color="auto"/>
              <w:right w:val="single" w:sz="4" w:space="0" w:color="auto"/>
            </w:tcBorders>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Category / Program:</w:t>
            </w:r>
          </w:p>
        </w:tc>
        <w:tc>
          <w:tcPr>
            <w:tcW w:w="4050" w:type="pct"/>
            <w:gridSpan w:val="6"/>
            <w:tcBorders>
              <w:top w:val="single" w:sz="4" w:space="0" w:color="auto"/>
              <w:left w:val="single" w:sz="4" w:space="0" w:color="auto"/>
              <w:bottom w:val="single" w:sz="4" w:space="0" w:color="auto"/>
              <w:right w:val="single" w:sz="4" w:space="0" w:color="auto"/>
            </w:tcBorders>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Section 85 (general schedule)</w:t>
            </w:r>
          </w:p>
        </w:tc>
      </w:tr>
      <w:tr w:rsidR="00DC6D2E" w:rsidRPr="00CE5C86" w:rsidTr="00FA34F0">
        <w:trPr>
          <w:cantSplit/>
          <w:trHeight w:val="360"/>
        </w:trPr>
        <w:tc>
          <w:tcPr>
            <w:tcW w:w="950" w:type="pct"/>
            <w:tcBorders>
              <w:top w:val="single" w:sz="4" w:space="0" w:color="auto"/>
              <w:left w:val="single" w:sz="4" w:space="0" w:color="auto"/>
              <w:bottom w:val="single" w:sz="4" w:space="0" w:color="auto"/>
              <w:right w:val="single" w:sz="4" w:space="0" w:color="auto"/>
            </w:tcBorders>
          </w:tcPr>
          <w:p w:rsidR="00DC6D2E" w:rsidRPr="00CE5C86" w:rsidRDefault="00DC6D2E" w:rsidP="00DC6D2E">
            <w:pPr>
              <w:widowControl w:val="0"/>
              <w:spacing w:before="40" w:after="40"/>
              <w:rPr>
                <w:rFonts w:ascii="Times" w:eastAsia="Times New Roman" w:hAnsi="Times" w:cs="Times New Roman"/>
                <w:sz w:val="20"/>
                <w:szCs w:val="20"/>
                <w:lang w:val="en-US"/>
              </w:rPr>
            </w:pPr>
            <w:r w:rsidRPr="00CE5C86">
              <w:rPr>
                <w:rFonts w:ascii="Arial Narrow" w:hAnsi="Arial Narrow"/>
                <w:sz w:val="20"/>
              </w:rPr>
              <w:t>PBS Indication:</w:t>
            </w:r>
          </w:p>
        </w:tc>
        <w:tc>
          <w:tcPr>
            <w:tcW w:w="4050" w:type="pct"/>
            <w:gridSpan w:val="6"/>
            <w:tcBorders>
              <w:top w:val="single" w:sz="4" w:space="0" w:color="auto"/>
              <w:left w:val="single" w:sz="4" w:space="0" w:color="auto"/>
              <w:bottom w:val="single" w:sz="4" w:space="0" w:color="auto"/>
              <w:right w:val="single" w:sz="4" w:space="0" w:color="auto"/>
            </w:tcBorders>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Clinically isolated syndrome</w:t>
            </w:r>
          </w:p>
        </w:tc>
      </w:tr>
      <w:tr w:rsidR="00DC6D2E" w:rsidRPr="00CE5C86" w:rsidTr="00FA34F0">
        <w:trPr>
          <w:cantSplit/>
          <w:trHeight w:val="360"/>
        </w:trPr>
        <w:tc>
          <w:tcPr>
            <w:tcW w:w="950" w:type="pct"/>
            <w:tcBorders>
              <w:top w:val="single" w:sz="4" w:space="0" w:color="auto"/>
              <w:left w:val="single" w:sz="4" w:space="0" w:color="auto"/>
              <w:bottom w:val="single" w:sz="4" w:space="0" w:color="auto"/>
              <w:right w:val="single" w:sz="4" w:space="0" w:color="auto"/>
            </w:tcBorders>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Treatment phase:</w:t>
            </w:r>
          </w:p>
        </w:tc>
        <w:tc>
          <w:tcPr>
            <w:tcW w:w="4050" w:type="pct"/>
            <w:gridSpan w:val="6"/>
            <w:tcBorders>
              <w:top w:val="single" w:sz="4" w:space="0" w:color="auto"/>
              <w:left w:val="single" w:sz="4" w:space="0" w:color="auto"/>
              <w:bottom w:val="single" w:sz="4" w:space="0" w:color="auto"/>
              <w:right w:val="single" w:sz="4" w:space="0" w:color="auto"/>
            </w:tcBorders>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Initial/continuing</w:t>
            </w:r>
          </w:p>
        </w:tc>
      </w:tr>
      <w:tr w:rsidR="00DC6D2E" w:rsidRPr="00CE5C86" w:rsidTr="00FA34F0">
        <w:trPr>
          <w:cantSplit/>
          <w:trHeight w:val="360"/>
        </w:trPr>
        <w:tc>
          <w:tcPr>
            <w:tcW w:w="950" w:type="pct"/>
            <w:tcBorders>
              <w:top w:val="single" w:sz="4" w:space="0" w:color="auto"/>
              <w:left w:val="single" w:sz="4" w:space="0" w:color="auto"/>
              <w:bottom w:val="single" w:sz="4" w:space="0" w:color="auto"/>
              <w:right w:val="single" w:sz="4" w:space="0" w:color="auto"/>
            </w:tcBorders>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lastRenderedPageBreak/>
              <w:t>Restriction:</w:t>
            </w:r>
          </w:p>
        </w:tc>
        <w:tc>
          <w:tcPr>
            <w:tcW w:w="4050" w:type="pct"/>
            <w:gridSpan w:val="6"/>
            <w:tcBorders>
              <w:top w:val="single" w:sz="4" w:space="0" w:color="auto"/>
              <w:left w:val="single" w:sz="4" w:space="0" w:color="auto"/>
              <w:bottom w:val="single" w:sz="4" w:space="0" w:color="auto"/>
              <w:right w:val="single" w:sz="4" w:space="0" w:color="auto"/>
            </w:tcBorders>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Authority required (STREAMLINED)</w:t>
            </w:r>
          </w:p>
        </w:tc>
      </w:tr>
      <w:tr w:rsidR="00DC6D2E" w:rsidRPr="00CE5C86" w:rsidTr="00FA34F0">
        <w:trPr>
          <w:cantSplit/>
          <w:trHeight w:val="360"/>
        </w:trPr>
        <w:tc>
          <w:tcPr>
            <w:tcW w:w="950" w:type="pct"/>
            <w:tcBorders>
              <w:top w:val="single" w:sz="4" w:space="0" w:color="auto"/>
              <w:left w:val="single" w:sz="4" w:space="0" w:color="auto"/>
              <w:bottom w:val="single" w:sz="4" w:space="0" w:color="auto"/>
              <w:right w:val="single" w:sz="4" w:space="0" w:color="auto"/>
            </w:tcBorders>
          </w:tcPr>
          <w:p w:rsidR="00DC6D2E" w:rsidRPr="00CE5C86" w:rsidRDefault="00DC6D2E" w:rsidP="00DC6D2E">
            <w:pPr>
              <w:widowControl w:val="0"/>
              <w:spacing w:before="40" w:after="40"/>
              <w:rPr>
                <w:rFonts w:ascii="Times" w:eastAsia="Times New Roman" w:hAnsi="Times" w:cs="Times New Roman"/>
                <w:sz w:val="20"/>
                <w:szCs w:val="20"/>
                <w:lang w:val="en-US"/>
              </w:rPr>
            </w:pPr>
            <w:r w:rsidRPr="00CE5C86">
              <w:rPr>
                <w:rFonts w:ascii="Arial Narrow" w:hAnsi="Arial Narrow"/>
                <w:sz w:val="20"/>
              </w:rPr>
              <w:t>Treatment criteria:</w:t>
            </w:r>
          </w:p>
        </w:tc>
        <w:tc>
          <w:tcPr>
            <w:tcW w:w="4050" w:type="pct"/>
            <w:gridSpan w:val="6"/>
            <w:tcBorders>
              <w:top w:val="single" w:sz="4" w:space="0" w:color="auto"/>
              <w:left w:val="single" w:sz="4" w:space="0" w:color="auto"/>
              <w:bottom w:val="single" w:sz="4" w:space="0" w:color="auto"/>
              <w:right w:val="single" w:sz="4" w:space="0" w:color="auto"/>
            </w:tcBorders>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Patient must be diagnosed by a neurologist</w:t>
            </w:r>
          </w:p>
        </w:tc>
      </w:tr>
      <w:tr w:rsidR="00DC6D2E" w:rsidRPr="00CE5C86" w:rsidTr="00FA34F0">
        <w:trPr>
          <w:cantSplit/>
          <w:trHeight w:val="360"/>
        </w:trPr>
        <w:tc>
          <w:tcPr>
            <w:tcW w:w="950" w:type="pct"/>
            <w:tcBorders>
              <w:top w:val="single" w:sz="4" w:space="0" w:color="auto"/>
              <w:left w:val="single" w:sz="4" w:space="0" w:color="auto"/>
              <w:bottom w:val="single" w:sz="4" w:space="0" w:color="auto"/>
              <w:right w:val="single" w:sz="4" w:space="0" w:color="auto"/>
            </w:tcBorders>
          </w:tcPr>
          <w:p w:rsidR="00DC6D2E" w:rsidRPr="00CE5C86" w:rsidRDefault="00DC6D2E" w:rsidP="00DC6D2E">
            <w:pPr>
              <w:widowControl w:val="0"/>
              <w:spacing w:before="40" w:after="40"/>
              <w:rPr>
                <w:rFonts w:ascii="Times" w:eastAsia="Times New Roman" w:hAnsi="Times" w:cs="Times New Roman"/>
                <w:sz w:val="20"/>
                <w:szCs w:val="20"/>
                <w:lang w:val="en-US"/>
              </w:rPr>
            </w:pPr>
            <w:r w:rsidRPr="00CE5C86">
              <w:rPr>
                <w:rFonts w:ascii="Arial Narrow" w:hAnsi="Arial Narrow"/>
                <w:sz w:val="20"/>
              </w:rPr>
              <w:t>Clinical criteria:</w:t>
            </w:r>
          </w:p>
        </w:tc>
        <w:tc>
          <w:tcPr>
            <w:tcW w:w="4050" w:type="pct"/>
            <w:gridSpan w:val="6"/>
            <w:tcBorders>
              <w:top w:val="single" w:sz="4" w:space="0" w:color="auto"/>
              <w:left w:val="single" w:sz="4" w:space="0" w:color="auto"/>
              <w:bottom w:val="single" w:sz="4" w:space="0" w:color="auto"/>
              <w:right w:val="single" w:sz="4" w:space="0" w:color="auto"/>
            </w:tcBorders>
          </w:tcPr>
          <w:p w:rsidR="00DC6D2E" w:rsidRPr="00CE5C86" w:rsidRDefault="00DC6D2E" w:rsidP="00DC6D2E">
            <w:pPr>
              <w:widowControl w:val="0"/>
              <w:spacing w:before="40" w:after="40"/>
              <w:jc w:val="left"/>
              <w:rPr>
                <w:rFonts w:ascii="Arial Narrow" w:eastAsia="Times New Roman" w:hAnsi="Arial Narrow" w:cs="Arial"/>
                <w:sz w:val="20"/>
                <w:lang w:val="en-GB"/>
              </w:rPr>
            </w:pPr>
            <w:r w:rsidRPr="00CE5C86">
              <w:rPr>
                <w:rFonts w:ascii="Arial Narrow" w:eastAsia="Times New Roman" w:hAnsi="Arial Narrow" w:cs="Arial"/>
                <w:sz w:val="20"/>
                <w:lang w:val="en-GB"/>
              </w:rPr>
              <w:t xml:space="preserve">Patient must have had a demyelinating event that is indicative of </w:t>
            </w:r>
            <w:r w:rsidR="00CE3CA8">
              <w:rPr>
                <w:rFonts w:ascii="Arial Narrow" w:eastAsia="Times New Roman" w:hAnsi="Arial Narrow" w:cs="Arial"/>
                <w:sz w:val="20"/>
                <w:lang w:val="en-GB"/>
              </w:rPr>
              <w:t>multiple sclerosis</w:t>
            </w:r>
            <w:r w:rsidRPr="00CE5C86">
              <w:rPr>
                <w:rFonts w:ascii="Arial Narrow" w:eastAsia="Times New Roman" w:hAnsi="Arial Narrow" w:cs="Arial"/>
                <w:sz w:val="20"/>
                <w:lang w:val="en-GB"/>
              </w:rPr>
              <w:t>. Other diagnoses need to have been excluded.</w:t>
            </w:r>
          </w:p>
          <w:p w:rsidR="00DC6D2E" w:rsidRPr="00CE5C86" w:rsidRDefault="00DC6D2E" w:rsidP="00DC6D2E">
            <w:pPr>
              <w:widowControl w:val="0"/>
              <w:rPr>
                <w:rFonts w:ascii="Arial Narrow" w:hAnsi="Arial Narrow"/>
                <w:sz w:val="20"/>
                <w:szCs w:val="20"/>
                <w:lang w:val="en-GB"/>
              </w:rPr>
            </w:pPr>
            <w:r w:rsidRPr="00CE5C86">
              <w:rPr>
                <w:rFonts w:ascii="Arial Narrow" w:hAnsi="Arial Narrow"/>
                <w:iCs/>
                <w:sz w:val="20"/>
                <w:szCs w:val="20"/>
                <w:u w:val="single"/>
                <w:lang w:val="en-GB"/>
              </w:rPr>
              <w:t>Criteria:</w:t>
            </w:r>
          </w:p>
          <w:p w:rsidR="00DC6D2E" w:rsidRPr="00CE5C86" w:rsidRDefault="00DC6D2E" w:rsidP="005875D1">
            <w:pPr>
              <w:widowControl w:val="0"/>
              <w:numPr>
                <w:ilvl w:val="0"/>
                <w:numId w:val="6"/>
              </w:numPr>
              <w:spacing w:before="40" w:after="40"/>
              <w:jc w:val="left"/>
              <w:rPr>
                <w:rFonts w:ascii="Arial Narrow" w:eastAsia="Times New Roman" w:hAnsi="Arial Narrow" w:cs="Arial"/>
                <w:sz w:val="20"/>
                <w:lang w:val="en-GB"/>
              </w:rPr>
            </w:pPr>
            <w:r w:rsidRPr="00CE5C86">
              <w:rPr>
                <w:rFonts w:ascii="Arial Narrow" w:eastAsia="Times New Roman" w:hAnsi="Arial Narrow" w:cs="Arial"/>
                <w:sz w:val="20"/>
                <w:lang w:val="en-GB"/>
              </w:rPr>
              <w:t xml:space="preserve">Patient must have experienced at least 1 documented attack due to a demyelinating event (clinically isolated syndrome), </w:t>
            </w:r>
            <w:r w:rsidRPr="00CE5C86">
              <w:rPr>
                <w:rFonts w:ascii="Arial Narrow" w:eastAsia="Times New Roman" w:hAnsi="Arial Narrow" w:cs="Arial"/>
                <w:b/>
                <w:bCs/>
                <w:sz w:val="20"/>
                <w:lang w:val="en-GB"/>
              </w:rPr>
              <w:t>AND</w:t>
            </w:r>
          </w:p>
          <w:p w:rsidR="00DC6D2E" w:rsidRPr="00CE5C86" w:rsidRDefault="00DC6D2E" w:rsidP="005875D1">
            <w:pPr>
              <w:widowControl w:val="0"/>
              <w:numPr>
                <w:ilvl w:val="0"/>
                <w:numId w:val="6"/>
              </w:numPr>
              <w:spacing w:before="40" w:after="40"/>
              <w:jc w:val="left"/>
              <w:rPr>
                <w:rFonts w:ascii="Arial Narrow" w:eastAsia="Times New Roman" w:hAnsi="Arial Narrow" w:cs="Arial"/>
                <w:sz w:val="20"/>
                <w:lang w:val="en-GB"/>
              </w:rPr>
            </w:pPr>
            <w:r w:rsidRPr="00CE5C86">
              <w:rPr>
                <w:rFonts w:ascii="Arial Narrow" w:eastAsia="Times New Roman" w:hAnsi="Arial Narrow" w:cs="Arial"/>
                <w:sz w:val="20"/>
                <w:lang w:val="en-GB"/>
              </w:rPr>
              <w:t xml:space="preserve">The diagnosis must be supported by positive MRI imaging of the brain </w:t>
            </w:r>
            <w:r w:rsidRPr="00CE5C86">
              <w:rPr>
                <w:rFonts w:ascii="Arial Narrow" w:eastAsia="Times New Roman" w:hAnsi="Arial Narrow" w:cs="Arial"/>
                <w:b/>
                <w:bCs/>
                <w:sz w:val="20"/>
                <w:lang w:val="en-GB"/>
              </w:rPr>
              <w:t>AND</w:t>
            </w:r>
          </w:p>
          <w:p w:rsidR="00DC6D2E" w:rsidRPr="00CE5C86" w:rsidRDefault="00DC6D2E" w:rsidP="005875D1">
            <w:pPr>
              <w:widowControl w:val="0"/>
              <w:numPr>
                <w:ilvl w:val="0"/>
                <w:numId w:val="6"/>
              </w:numPr>
              <w:spacing w:before="40" w:after="40"/>
              <w:jc w:val="left"/>
              <w:rPr>
                <w:rFonts w:ascii="Arial Narrow" w:eastAsia="Times New Roman" w:hAnsi="Arial Narrow" w:cs="Arial"/>
                <w:sz w:val="20"/>
                <w:lang w:val="en-GB"/>
              </w:rPr>
            </w:pPr>
            <w:r w:rsidRPr="00CE5C86">
              <w:rPr>
                <w:rFonts w:ascii="Arial Narrow" w:eastAsia="Times New Roman" w:hAnsi="Arial Narrow" w:cs="Arial"/>
                <w:sz w:val="20"/>
                <w:lang w:val="en-GB"/>
              </w:rPr>
              <w:t>Patient must meet the following clinical and brain MRI criteria:</w:t>
            </w:r>
          </w:p>
          <w:p w:rsidR="00DC6D2E" w:rsidRPr="00CE5C86" w:rsidRDefault="00DC6D2E" w:rsidP="005875D1">
            <w:pPr>
              <w:widowControl w:val="0"/>
              <w:numPr>
                <w:ilvl w:val="1"/>
                <w:numId w:val="9"/>
              </w:numPr>
              <w:spacing w:before="40" w:after="40"/>
              <w:jc w:val="left"/>
              <w:rPr>
                <w:rFonts w:ascii="Arial Narrow" w:eastAsia="Times New Roman" w:hAnsi="Arial Narrow" w:cs="Arial"/>
                <w:sz w:val="20"/>
                <w:lang w:val="en-GB"/>
              </w:rPr>
            </w:pPr>
            <w:r w:rsidRPr="00CE5C86">
              <w:rPr>
                <w:rFonts w:ascii="Arial Narrow" w:eastAsia="Times New Roman" w:hAnsi="Arial Narrow" w:cs="Arial"/>
                <w:iCs/>
                <w:sz w:val="20"/>
                <w:lang w:val="en-GB"/>
              </w:rPr>
              <w:t xml:space="preserve">T2 </w:t>
            </w:r>
            <w:proofErr w:type="spellStart"/>
            <w:r w:rsidRPr="00CE5C86">
              <w:rPr>
                <w:rFonts w:ascii="Arial Narrow" w:eastAsia="Times New Roman" w:hAnsi="Arial Narrow" w:cs="Arial"/>
                <w:iCs/>
                <w:sz w:val="20"/>
                <w:lang w:val="en-GB"/>
              </w:rPr>
              <w:t>hyperintense</w:t>
            </w:r>
            <w:proofErr w:type="spellEnd"/>
            <w:r w:rsidRPr="00CE5C86">
              <w:rPr>
                <w:rFonts w:ascii="Arial Narrow" w:eastAsia="Times New Roman" w:hAnsi="Arial Narrow" w:cs="Arial"/>
                <w:iCs/>
                <w:sz w:val="20"/>
                <w:lang w:val="en-GB"/>
              </w:rPr>
              <w:t xml:space="preserve"> MRI brain lesions ≥ 9 </w:t>
            </w:r>
            <w:r w:rsidRPr="00CE5C86">
              <w:rPr>
                <w:rFonts w:ascii="Arial Narrow" w:eastAsia="Times New Roman" w:hAnsi="Arial Narrow" w:cs="Arial"/>
                <w:b/>
                <w:bCs/>
                <w:iCs/>
                <w:sz w:val="20"/>
                <w:lang w:val="en-GB"/>
              </w:rPr>
              <w:t>or</w:t>
            </w:r>
            <w:r w:rsidRPr="00CE5C86">
              <w:rPr>
                <w:rFonts w:ascii="Arial Narrow" w:eastAsia="Times New Roman" w:hAnsi="Arial Narrow" w:cs="Arial"/>
                <w:iCs/>
                <w:sz w:val="20"/>
                <w:lang w:val="en-GB"/>
              </w:rPr>
              <w:t xml:space="preserve"> OCB positive; </w:t>
            </w:r>
            <w:r w:rsidRPr="00CE5C86">
              <w:rPr>
                <w:rFonts w:ascii="Arial Narrow" w:eastAsia="Times New Roman" w:hAnsi="Arial Narrow" w:cs="Arial"/>
                <w:b/>
                <w:bCs/>
                <w:iCs/>
                <w:sz w:val="20"/>
                <w:lang w:val="en-GB"/>
              </w:rPr>
              <w:t>and</w:t>
            </w:r>
          </w:p>
          <w:p w:rsidR="00DC6D2E" w:rsidRPr="00CE5C86" w:rsidRDefault="00DC6D2E" w:rsidP="005875D1">
            <w:pPr>
              <w:widowControl w:val="0"/>
              <w:numPr>
                <w:ilvl w:val="1"/>
                <w:numId w:val="9"/>
              </w:numPr>
              <w:spacing w:before="40" w:after="40"/>
              <w:jc w:val="left"/>
              <w:rPr>
                <w:rFonts w:ascii="Arial Narrow" w:eastAsia="Times New Roman" w:hAnsi="Arial Narrow" w:cs="Arial"/>
                <w:sz w:val="20"/>
                <w:lang w:val="en-GB"/>
              </w:rPr>
            </w:pPr>
            <w:r w:rsidRPr="00CE5C86">
              <w:rPr>
                <w:rFonts w:ascii="Arial Narrow" w:eastAsia="Times New Roman" w:hAnsi="Arial Narrow" w:cs="Arial"/>
                <w:iCs/>
                <w:sz w:val="20"/>
                <w:lang w:val="en-GB"/>
              </w:rPr>
              <w:t xml:space="preserve">EDSS ≥2; </w:t>
            </w:r>
            <w:r w:rsidRPr="00CE5C86">
              <w:rPr>
                <w:rFonts w:ascii="Arial Narrow" w:eastAsia="Times New Roman" w:hAnsi="Arial Narrow" w:cs="Arial"/>
                <w:b/>
                <w:bCs/>
                <w:iCs/>
                <w:sz w:val="20"/>
                <w:lang w:val="en-GB"/>
              </w:rPr>
              <w:t>and</w:t>
            </w:r>
          </w:p>
          <w:p w:rsidR="00DC6D2E" w:rsidRPr="00CE5C86" w:rsidRDefault="00DC6D2E" w:rsidP="005875D1">
            <w:pPr>
              <w:widowControl w:val="0"/>
              <w:numPr>
                <w:ilvl w:val="1"/>
                <w:numId w:val="9"/>
              </w:numPr>
              <w:spacing w:before="40" w:after="40"/>
              <w:rPr>
                <w:rFonts w:ascii="Arial Narrow" w:hAnsi="Arial Narrow"/>
                <w:sz w:val="20"/>
              </w:rPr>
            </w:pPr>
            <w:r w:rsidRPr="00CE5C86">
              <w:rPr>
                <w:rFonts w:ascii="Arial Narrow" w:hAnsi="Arial Narrow"/>
                <w:iCs/>
                <w:sz w:val="20"/>
              </w:rPr>
              <w:t xml:space="preserve">Brain MRI with at least one T1 </w:t>
            </w:r>
            <w:proofErr w:type="spellStart"/>
            <w:r w:rsidRPr="00CE5C86">
              <w:rPr>
                <w:rFonts w:ascii="Arial Narrow" w:hAnsi="Arial Narrow"/>
                <w:iCs/>
                <w:sz w:val="20"/>
              </w:rPr>
              <w:t>GdE</w:t>
            </w:r>
            <w:proofErr w:type="spellEnd"/>
            <w:r w:rsidRPr="00CE5C86">
              <w:rPr>
                <w:rFonts w:ascii="Arial Narrow" w:hAnsi="Arial Narrow"/>
                <w:iCs/>
                <w:sz w:val="20"/>
              </w:rPr>
              <w:t xml:space="preserve"> lesions </w:t>
            </w:r>
            <w:r w:rsidRPr="00CE5C86">
              <w:rPr>
                <w:rFonts w:ascii="Arial Narrow" w:hAnsi="Arial Narrow"/>
                <w:b/>
                <w:bCs/>
                <w:iCs/>
                <w:sz w:val="20"/>
              </w:rPr>
              <w:t>or</w:t>
            </w:r>
            <w:r w:rsidRPr="00CE5C86">
              <w:rPr>
                <w:rFonts w:ascii="Arial Narrow" w:hAnsi="Arial Narrow"/>
                <w:iCs/>
                <w:sz w:val="20"/>
              </w:rPr>
              <w:t xml:space="preserve"> at least one T2 </w:t>
            </w:r>
            <w:proofErr w:type="spellStart"/>
            <w:r w:rsidRPr="00CE5C86">
              <w:rPr>
                <w:rFonts w:ascii="Arial Narrow" w:hAnsi="Arial Narrow"/>
                <w:iCs/>
                <w:sz w:val="20"/>
              </w:rPr>
              <w:t>hyperintense</w:t>
            </w:r>
            <w:proofErr w:type="spellEnd"/>
            <w:r w:rsidRPr="00CE5C86">
              <w:rPr>
                <w:rFonts w:ascii="Arial Narrow" w:hAnsi="Arial Narrow"/>
                <w:iCs/>
                <w:sz w:val="20"/>
              </w:rPr>
              <w:t xml:space="preserve"> MRI brain lesion in a </w:t>
            </w:r>
            <w:proofErr w:type="spellStart"/>
            <w:r w:rsidRPr="00CE5C86">
              <w:rPr>
                <w:rFonts w:ascii="Arial Narrow" w:hAnsi="Arial Narrow"/>
                <w:iCs/>
                <w:sz w:val="20"/>
              </w:rPr>
              <w:t>juxtacortical</w:t>
            </w:r>
            <w:proofErr w:type="spellEnd"/>
            <w:r w:rsidRPr="00CE5C86">
              <w:rPr>
                <w:rFonts w:ascii="Arial Narrow" w:hAnsi="Arial Narrow"/>
                <w:iCs/>
                <w:sz w:val="20"/>
              </w:rPr>
              <w:t xml:space="preserve"> </w:t>
            </w:r>
            <w:r w:rsidRPr="00CE5C86">
              <w:rPr>
                <w:rFonts w:ascii="Arial Narrow" w:hAnsi="Arial Narrow"/>
                <w:b/>
                <w:bCs/>
                <w:iCs/>
                <w:sz w:val="20"/>
              </w:rPr>
              <w:t>or</w:t>
            </w:r>
            <w:r w:rsidRPr="00CE5C86">
              <w:rPr>
                <w:rFonts w:ascii="Arial Narrow" w:hAnsi="Arial Narrow"/>
                <w:iCs/>
                <w:sz w:val="20"/>
              </w:rPr>
              <w:t xml:space="preserve"> </w:t>
            </w:r>
            <w:proofErr w:type="spellStart"/>
            <w:r w:rsidRPr="00CE5C86">
              <w:rPr>
                <w:rFonts w:ascii="Arial Narrow" w:hAnsi="Arial Narrow"/>
                <w:iCs/>
                <w:sz w:val="20"/>
              </w:rPr>
              <w:t>infratentorial</w:t>
            </w:r>
            <w:proofErr w:type="spellEnd"/>
            <w:r w:rsidRPr="00CE5C86">
              <w:rPr>
                <w:rFonts w:ascii="Arial Narrow" w:hAnsi="Arial Narrow"/>
                <w:iCs/>
                <w:sz w:val="20"/>
              </w:rPr>
              <w:t xml:space="preserve"> </w:t>
            </w:r>
            <w:r w:rsidRPr="00CE5C86">
              <w:rPr>
                <w:rFonts w:ascii="Arial Narrow" w:hAnsi="Arial Narrow"/>
                <w:b/>
                <w:bCs/>
                <w:iCs/>
                <w:sz w:val="20"/>
              </w:rPr>
              <w:t>or</w:t>
            </w:r>
            <w:r w:rsidRPr="00CE5C86">
              <w:rPr>
                <w:rFonts w:ascii="Arial Narrow" w:hAnsi="Arial Narrow"/>
                <w:iCs/>
                <w:sz w:val="20"/>
              </w:rPr>
              <w:t xml:space="preserve"> periventricular location.</w:t>
            </w:r>
          </w:p>
        </w:tc>
      </w:tr>
      <w:tr w:rsidR="00DC6D2E" w:rsidRPr="00CE5C86" w:rsidTr="00FA34F0">
        <w:trPr>
          <w:cantSplit/>
          <w:trHeight w:val="360"/>
        </w:trPr>
        <w:tc>
          <w:tcPr>
            <w:tcW w:w="950" w:type="pct"/>
            <w:tcBorders>
              <w:top w:val="single" w:sz="4" w:space="0" w:color="auto"/>
              <w:left w:val="single" w:sz="4" w:space="0" w:color="auto"/>
              <w:bottom w:val="single" w:sz="4" w:space="0" w:color="auto"/>
              <w:right w:val="single" w:sz="4" w:space="0" w:color="auto"/>
            </w:tcBorders>
          </w:tcPr>
          <w:p w:rsidR="00DC6D2E" w:rsidRPr="00CE5C86" w:rsidRDefault="00DC6D2E" w:rsidP="00DC6D2E">
            <w:pPr>
              <w:widowControl w:val="0"/>
              <w:spacing w:before="40" w:after="40"/>
              <w:rPr>
                <w:rFonts w:ascii="Times" w:eastAsia="Times New Roman" w:hAnsi="Times" w:cs="Times New Roman"/>
                <w:sz w:val="20"/>
                <w:szCs w:val="20"/>
                <w:lang w:val="en-US"/>
              </w:rPr>
            </w:pPr>
            <w:r w:rsidRPr="00CE5C86">
              <w:rPr>
                <w:rFonts w:ascii="Arial Narrow" w:hAnsi="Arial Narrow"/>
                <w:sz w:val="20"/>
              </w:rPr>
              <w:t>Population criteria:</w:t>
            </w:r>
          </w:p>
        </w:tc>
        <w:tc>
          <w:tcPr>
            <w:tcW w:w="4050" w:type="pct"/>
            <w:gridSpan w:val="6"/>
            <w:tcBorders>
              <w:top w:val="single" w:sz="4" w:space="0" w:color="auto"/>
              <w:left w:val="single" w:sz="4" w:space="0" w:color="auto"/>
              <w:bottom w:val="single" w:sz="4" w:space="0" w:color="auto"/>
              <w:right w:val="single" w:sz="4" w:space="0" w:color="auto"/>
            </w:tcBorders>
          </w:tcPr>
          <w:p w:rsidR="00DC6D2E" w:rsidRPr="00CE5C86" w:rsidRDefault="00DC6D2E" w:rsidP="00CE3CA8">
            <w:pPr>
              <w:widowControl w:val="0"/>
              <w:spacing w:before="0" w:after="120"/>
              <w:rPr>
                <w:rFonts w:ascii="Arial Narrow" w:hAnsi="Arial Narrow"/>
                <w:sz w:val="20"/>
              </w:rPr>
            </w:pPr>
            <w:r w:rsidRPr="00CE5C86">
              <w:rPr>
                <w:rFonts w:ascii="Arial Narrow" w:hAnsi="Arial Narrow"/>
                <w:sz w:val="20"/>
              </w:rPr>
              <w:t xml:space="preserve">Patient must have had a demyelinating event that is indicative of </w:t>
            </w:r>
            <w:r w:rsidR="00CE3CA8">
              <w:rPr>
                <w:rFonts w:ascii="Arial Narrow" w:hAnsi="Arial Narrow"/>
                <w:sz w:val="20"/>
              </w:rPr>
              <w:t>multiple sclerosis</w:t>
            </w:r>
            <w:r w:rsidRPr="00CE5C86">
              <w:rPr>
                <w:rFonts w:ascii="Arial Narrow" w:hAnsi="Arial Narrow"/>
                <w:sz w:val="20"/>
              </w:rPr>
              <w:t>. Other diagnoses need to have been excluded.</w:t>
            </w:r>
          </w:p>
        </w:tc>
      </w:tr>
    </w:tbl>
    <w:p w:rsidR="005A5857" w:rsidRPr="005A5857" w:rsidRDefault="005A5857" w:rsidP="005A5857">
      <w:pPr>
        <w:pStyle w:val="ListParagraph"/>
        <w:numPr>
          <w:ilvl w:val="0"/>
          <w:numId w:val="12"/>
        </w:numPr>
        <w:spacing w:after="120"/>
        <w:contextualSpacing w:val="0"/>
        <w:rPr>
          <w:vanish/>
        </w:rPr>
      </w:pPr>
    </w:p>
    <w:p w:rsidR="005A5857" w:rsidRPr="005A5857" w:rsidRDefault="005A5857" w:rsidP="005A5857">
      <w:pPr>
        <w:pStyle w:val="ListParagraph"/>
        <w:numPr>
          <w:ilvl w:val="0"/>
          <w:numId w:val="12"/>
        </w:numPr>
        <w:spacing w:after="120"/>
        <w:contextualSpacing w:val="0"/>
        <w:rPr>
          <w:vanish/>
        </w:rPr>
      </w:pPr>
    </w:p>
    <w:p w:rsidR="00DC6D2E" w:rsidRPr="00CE5C86" w:rsidRDefault="00DC6D2E" w:rsidP="005A5857">
      <w:pPr>
        <w:numPr>
          <w:ilvl w:val="1"/>
          <w:numId w:val="12"/>
        </w:numPr>
        <w:spacing w:after="120"/>
        <w:ind w:left="720"/>
        <w:rPr>
          <w:rFonts w:ascii="Calibri" w:hAnsi="Calibri"/>
        </w:rPr>
      </w:pPr>
      <w:r w:rsidRPr="00CE5C86">
        <w:t>Listing was requested on the basis of a cost-utility analysis compared with placebo.</w:t>
      </w:r>
    </w:p>
    <w:p w:rsidR="000A4A99" w:rsidRPr="00CE5C86" w:rsidRDefault="00DC6D2E" w:rsidP="005875D1">
      <w:pPr>
        <w:numPr>
          <w:ilvl w:val="1"/>
          <w:numId w:val="12"/>
        </w:numPr>
        <w:spacing w:after="120"/>
        <w:ind w:left="720"/>
        <w:rPr>
          <w:iCs/>
        </w:rPr>
      </w:pPr>
      <w:r w:rsidRPr="00CE5C86">
        <w:t xml:space="preserve">The proposed restriction </w:t>
      </w:r>
      <w:r w:rsidR="0048112C">
        <w:t>would require</w:t>
      </w:r>
      <w:r w:rsidRPr="00CE5C86">
        <w:t xml:space="preserve"> additional patient characteristics to identify those thought to be at high risk of conversion to clinically definite multiple sclerosis.</w:t>
      </w:r>
      <w:r w:rsidR="00904419" w:rsidRPr="00CE5C86">
        <w:t xml:space="preserve"> These criteria were based on a multivariable regression analysis conducted using a cohort of patients with clinically isolated syndrome from the </w:t>
      </w:r>
      <w:proofErr w:type="spellStart"/>
      <w:r w:rsidR="00904419" w:rsidRPr="00CE5C86">
        <w:t>MSBase</w:t>
      </w:r>
      <w:proofErr w:type="spellEnd"/>
      <w:r w:rsidR="00904419" w:rsidRPr="00CE5C86">
        <w:t xml:space="preserve"> multiple sclerosis database to identify patients</w:t>
      </w:r>
      <w:r w:rsidR="00DB23C8">
        <w:t>’</w:t>
      </w:r>
      <w:r w:rsidR="00904419" w:rsidRPr="00CE5C86">
        <w:t xml:space="preserve"> characteristics associated with increased risk of subsequent diagnosis with multiple sclerosis. It is unclear whether the regression model is robust enough to identify high risk patients in a clinical population. The submission claimed that internal validation was </w:t>
      </w:r>
      <w:r w:rsidR="007D2F06" w:rsidRPr="00CE5C86">
        <w:t>undertaken;</w:t>
      </w:r>
      <w:r w:rsidR="00904419" w:rsidRPr="00CE5C86">
        <w:t xml:space="preserve"> however the results of this were not provided. </w:t>
      </w:r>
      <w:r w:rsidR="000A4A99" w:rsidRPr="00CE5C86">
        <w:t xml:space="preserve">The PSCR (p3) provided additional details </w:t>
      </w:r>
      <w:r w:rsidR="000A4A99" w:rsidRPr="00CE5C86">
        <w:rPr>
          <w:iCs/>
        </w:rPr>
        <w:t xml:space="preserve">on the statistical analysis used to identify a high risk subgroup of the </w:t>
      </w:r>
      <w:proofErr w:type="spellStart"/>
      <w:r w:rsidR="000A4A99" w:rsidRPr="00CE5C86">
        <w:rPr>
          <w:iCs/>
        </w:rPr>
        <w:t>MSBase</w:t>
      </w:r>
      <w:proofErr w:type="spellEnd"/>
      <w:r w:rsidR="000A4A99" w:rsidRPr="00CE5C86">
        <w:rPr>
          <w:iCs/>
        </w:rPr>
        <w:t xml:space="preserve"> population. The PSCR assumed that the validation of the published </w:t>
      </w:r>
      <w:proofErr w:type="spellStart"/>
      <w:r w:rsidR="000A4A99" w:rsidRPr="00CE5C86">
        <w:rPr>
          <w:iCs/>
        </w:rPr>
        <w:t>MSBasis</w:t>
      </w:r>
      <w:proofErr w:type="spellEnd"/>
      <w:r w:rsidR="000A4A99" w:rsidRPr="00CE5C86">
        <w:rPr>
          <w:iCs/>
        </w:rPr>
        <w:t xml:space="preserve"> analysis also represents validation of the </w:t>
      </w:r>
      <w:proofErr w:type="spellStart"/>
      <w:r w:rsidR="000A4A99" w:rsidRPr="00CE5C86">
        <w:rPr>
          <w:iCs/>
        </w:rPr>
        <w:t>MSBase</w:t>
      </w:r>
      <w:proofErr w:type="spellEnd"/>
      <w:r w:rsidR="000A4A99" w:rsidRPr="00CE5C86">
        <w:rPr>
          <w:iCs/>
        </w:rPr>
        <w:t xml:space="preserve"> analysis presented in the submission. While related, these were two separate studies that identified two different risk nomograms for patients with clinically isolated syndrome and therefore validation of </w:t>
      </w:r>
      <w:proofErr w:type="spellStart"/>
      <w:r w:rsidR="000A4A99" w:rsidRPr="00CE5C86">
        <w:rPr>
          <w:iCs/>
        </w:rPr>
        <w:t>MSBasis</w:t>
      </w:r>
      <w:proofErr w:type="spellEnd"/>
      <w:r w:rsidR="000A4A99" w:rsidRPr="00CE5C86">
        <w:rPr>
          <w:iCs/>
        </w:rPr>
        <w:t xml:space="preserve"> does not constitute validation of </w:t>
      </w:r>
      <w:proofErr w:type="spellStart"/>
      <w:r w:rsidR="000A4A99" w:rsidRPr="00CE5C86">
        <w:rPr>
          <w:iCs/>
        </w:rPr>
        <w:t>MSBase</w:t>
      </w:r>
      <w:proofErr w:type="spellEnd"/>
      <w:r w:rsidR="000A4A99" w:rsidRPr="00CE5C86">
        <w:rPr>
          <w:iCs/>
        </w:rPr>
        <w:t xml:space="preserve">. Overall, </w:t>
      </w:r>
      <w:r w:rsidR="0048112C">
        <w:rPr>
          <w:iCs/>
        </w:rPr>
        <w:t xml:space="preserve">the ESC advised that </w:t>
      </w:r>
      <w:r w:rsidR="000A4A99" w:rsidRPr="00CE5C86">
        <w:rPr>
          <w:iCs/>
        </w:rPr>
        <w:t xml:space="preserve">the </w:t>
      </w:r>
      <w:proofErr w:type="spellStart"/>
      <w:r w:rsidR="000A4A99" w:rsidRPr="00CE5C86">
        <w:rPr>
          <w:iCs/>
        </w:rPr>
        <w:t>MSBasis</w:t>
      </w:r>
      <w:proofErr w:type="spellEnd"/>
      <w:r w:rsidR="000A4A99" w:rsidRPr="00CE5C86">
        <w:rPr>
          <w:iCs/>
        </w:rPr>
        <w:t xml:space="preserve"> study appears to be a more robustly conducted analysis with prospective follow-up of patients (including data from 2004) rather than retrospective analysis of patient registry data (including data from 1993) pre</w:t>
      </w:r>
      <w:r w:rsidR="0048112C">
        <w:rPr>
          <w:iCs/>
        </w:rPr>
        <w:t xml:space="preserve">sented for the </w:t>
      </w:r>
      <w:proofErr w:type="spellStart"/>
      <w:r w:rsidR="0048112C">
        <w:rPr>
          <w:iCs/>
        </w:rPr>
        <w:t>MSBase</w:t>
      </w:r>
      <w:proofErr w:type="spellEnd"/>
      <w:r w:rsidR="0048112C">
        <w:rPr>
          <w:iCs/>
        </w:rPr>
        <w:t xml:space="preserve"> analysis.</w:t>
      </w:r>
    </w:p>
    <w:p w:rsidR="004273E3" w:rsidRPr="00CE5C86" w:rsidRDefault="00904419" w:rsidP="005875D1">
      <w:pPr>
        <w:numPr>
          <w:ilvl w:val="1"/>
          <w:numId w:val="12"/>
        </w:numPr>
        <w:spacing w:after="120"/>
        <w:ind w:left="720"/>
      </w:pPr>
      <w:r w:rsidRPr="00CE5C86">
        <w:t xml:space="preserve">The identified model </w:t>
      </w:r>
      <w:r w:rsidR="0048112C">
        <w:t>wa</w:t>
      </w:r>
      <w:r w:rsidRPr="00CE5C86">
        <w:t xml:space="preserve">s very narrowly defined; it identified 16.8% of patients in the initial treatment naïve </w:t>
      </w:r>
      <w:proofErr w:type="spellStart"/>
      <w:r w:rsidR="004273E3" w:rsidRPr="00CE5C86">
        <w:t>MSBase</w:t>
      </w:r>
      <w:proofErr w:type="spellEnd"/>
      <w:r w:rsidR="004273E3" w:rsidRPr="00CE5C86">
        <w:t xml:space="preserve"> </w:t>
      </w:r>
      <w:r w:rsidRPr="00CE5C86">
        <w:t>cohort used for the analysis</w:t>
      </w:r>
      <w:r w:rsidR="004273E3" w:rsidRPr="00CE5C86">
        <w:t xml:space="preserve">, and only 7% in the </w:t>
      </w:r>
      <w:proofErr w:type="spellStart"/>
      <w:proofErr w:type="gramStart"/>
      <w:r w:rsidR="004273E3" w:rsidRPr="00CE5C86">
        <w:t>PreCISe</w:t>
      </w:r>
      <w:proofErr w:type="spellEnd"/>
      <w:proofErr w:type="gramEnd"/>
      <w:r w:rsidR="004273E3" w:rsidRPr="00CE5C86">
        <w:t xml:space="preserve"> trial</w:t>
      </w:r>
      <w:r w:rsidR="00F56DF4" w:rsidRPr="00CE5C86">
        <w:t>. The proportion of patients in the high risk group subsequently diagnosed with multiple sclerosis within a five year period was 93% compared with 85% in the complement group.</w:t>
      </w:r>
      <w:r w:rsidRPr="00CE5C86">
        <w:t xml:space="preserve"> </w:t>
      </w:r>
      <w:r w:rsidR="00C73075">
        <w:t>The evaluation considered that u</w:t>
      </w:r>
      <w:r w:rsidRPr="00CE5C86">
        <w:t>se of the model will exclude patients who will benefit from treatment.</w:t>
      </w:r>
      <w:r w:rsidR="00A50274" w:rsidRPr="00CE5C86">
        <w:t xml:space="preserve"> </w:t>
      </w:r>
      <w:r w:rsidR="004273E3" w:rsidRPr="00CE5C86">
        <w:t xml:space="preserve">The ESC noted that the submission did not adequately discuss these discrepancies in the proportion of potential eligible </w:t>
      </w:r>
      <w:r w:rsidR="004273E3" w:rsidRPr="00CE5C86">
        <w:lastRenderedPageBreak/>
        <w:t>patients, which is likely to be an issue regarding the applicability of evidence to the defined population.</w:t>
      </w:r>
      <w:r w:rsidR="00954E88">
        <w:t xml:space="preserve"> </w:t>
      </w:r>
      <w:r w:rsidR="00954E88" w:rsidRPr="005A3BF2">
        <w:t xml:space="preserve">The pre-PBAC response (p2) stated that the sponsor </w:t>
      </w:r>
      <w:r w:rsidR="0048112C">
        <w:t>w</w:t>
      </w:r>
      <w:r w:rsidR="000E5131">
        <w:t>ould be</w:t>
      </w:r>
      <w:r w:rsidR="00954E88" w:rsidRPr="005A3BF2">
        <w:t xml:space="preserve"> amenable to discussing less severe restriction criteria for the proposed PBS listing.</w:t>
      </w:r>
      <w:r w:rsidR="00C73075" w:rsidRPr="005A3BF2">
        <w:t xml:space="preserve"> </w:t>
      </w:r>
      <w:r w:rsidR="008D6AAE" w:rsidRPr="005A3BF2">
        <w:t>The PBAC was uncertain as to whether the population defined in the restriction</w:t>
      </w:r>
      <w:r w:rsidR="008D6AAE">
        <w:t xml:space="preserve">, which was based on analysis of the </w:t>
      </w:r>
      <w:proofErr w:type="spellStart"/>
      <w:r w:rsidR="008D6AAE">
        <w:t>MSBase</w:t>
      </w:r>
      <w:proofErr w:type="spellEnd"/>
      <w:r w:rsidR="008D6AAE">
        <w:t xml:space="preserve"> dataset, was representative of patients at high risk of developing </w:t>
      </w:r>
      <w:r w:rsidR="009F3DB8">
        <w:t xml:space="preserve">clinically </w:t>
      </w:r>
      <w:proofErr w:type="gramStart"/>
      <w:r w:rsidR="009F3DB8">
        <w:t>definite</w:t>
      </w:r>
      <w:proofErr w:type="gramEnd"/>
      <w:r w:rsidR="009F3DB8">
        <w:t xml:space="preserve"> multiple sclerosis</w:t>
      </w:r>
      <w:r w:rsidR="008D6AAE">
        <w:t xml:space="preserve">. </w:t>
      </w:r>
      <w:r w:rsidR="00C73075">
        <w:t xml:space="preserve">The PBAC agreed with the evaluation that the restriction criteria proposed by the submission may exclude patients who may benefit from treatment. </w:t>
      </w:r>
      <w:r w:rsidR="008D6AAE">
        <w:t>The Committee also noted the submission did not propose discontinuation criteria in the restriction.</w:t>
      </w:r>
    </w:p>
    <w:p w:rsidR="00DC6D2E" w:rsidRPr="00CE5C86" w:rsidRDefault="00DC6D2E" w:rsidP="005875D1">
      <w:pPr>
        <w:numPr>
          <w:ilvl w:val="1"/>
          <w:numId w:val="12"/>
        </w:numPr>
        <w:spacing w:after="120"/>
        <w:ind w:left="720"/>
      </w:pPr>
      <w:r w:rsidRPr="00CE5C86">
        <w:t xml:space="preserve">The risk of use outside the restriction in this population </w:t>
      </w:r>
      <w:r w:rsidR="0048112C">
        <w:t>was considered to be</w:t>
      </w:r>
      <w:r w:rsidRPr="00CE5C86">
        <w:t xml:space="preserve"> high. The submission did not present any </w:t>
      </w:r>
      <w:r w:rsidR="00870E6F" w:rsidRPr="00CE5C86">
        <w:t xml:space="preserve">specific </w:t>
      </w:r>
      <w:r w:rsidRPr="00CE5C86">
        <w:t>clinical evidence for treatment effect in th</w:t>
      </w:r>
      <w:r w:rsidR="00500924" w:rsidRPr="00CE5C86">
        <w:t>e</w:t>
      </w:r>
      <w:r w:rsidRPr="00CE5C86">
        <w:t xml:space="preserve"> population</w:t>
      </w:r>
      <w:r w:rsidR="00500924" w:rsidRPr="00CE5C86">
        <w:t xml:space="preserve"> eligible for treatment under the requested restriction</w:t>
      </w:r>
      <w:r w:rsidR="00FA34F0" w:rsidRPr="00CE5C86">
        <w:t>.</w:t>
      </w:r>
      <w:r w:rsidRPr="00CE5C86">
        <w:t xml:space="preserve"> </w:t>
      </w:r>
      <w:r w:rsidR="00FA34F0" w:rsidRPr="00CE5C86">
        <w:t>The key trial was based on a broader clinically isolated syndrome population and post hoc analyses in high risk subgroups were not sufficiently powered to assess the treatment effect in a population simil</w:t>
      </w:r>
      <w:r w:rsidR="004273E3" w:rsidRPr="00CE5C86">
        <w:t>ar to the requested restriction, although the effect in these populations w</w:t>
      </w:r>
      <w:r w:rsidR="0048112C">
        <w:t>as</w:t>
      </w:r>
      <w:r w:rsidR="004273E3" w:rsidRPr="00CE5C86">
        <w:t xml:space="preserve"> generally less favourable.</w:t>
      </w:r>
    </w:p>
    <w:p w:rsidR="00CE5C86" w:rsidRPr="00CE5C86" w:rsidRDefault="00CE5C86" w:rsidP="0048112C">
      <w:pPr>
        <w:spacing w:after="120"/>
        <w:ind w:left="709"/>
        <w:rPr>
          <w:i/>
        </w:rPr>
      </w:pPr>
      <w:r w:rsidRPr="00CE5C86">
        <w:rPr>
          <w:i/>
        </w:rPr>
        <w:t>For more detail on PBAC’s view, see section 7 “PBAC outcome”</w:t>
      </w:r>
      <w:r w:rsidR="0048112C">
        <w:rPr>
          <w:i/>
        </w:rPr>
        <w:t>.</w:t>
      </w:r>
    </w:p>
    <w:p w:rsidR="00DC6D2E" w:rsidRPr="00CE5C86" w:rsidRDefault="00DC6D2E" w:rsidP="00435D84">
      <w:pPr>
        <w:pStyle w:val="Heading1"/>
      </w:pPr>
      <w:bookmarkStart w:id="6" w:name="_Toc413139273"/>
      <w:bookmarkStart w:id="7" w:name="_Toc476306883"/>
      <w:bookmarkStart w:id="8" w:name="_Toc482710344"/>
      <w:r w:rsidRPr="00CE5C86">
        <w:t>Background</w:t>
      </w:r>
      <w:bookmarkEnd w:id="6"/>
      <w:bookmarkEnd w:id="7"/>
      <w:bookmarkEnd w:id="8"/>
    </w:p>
    <w:p w:rsidR="0056392D" w:rsidRPr="0056392D" w:rsidRDefault="0056392D" w:rsidP="0056392D">
      <w:pPr>
        <w:pStyle w:val="ListParagraph"/>
        <w:numPr>
          <w:ilvl w:val="0"/>
          <w:numId w:val="3"/>
        </w:numPr>
        <w:spacing w:before="0" w:after="120"/>
        <w:contextualSpacing w:val="0"/>
        <w:rPr>
          <w:rFonts w:ascii="Calibri" w:hAnsi="Calibri"/>
          <w:vanish/>
        </w:rPr>
      </w:pPr>
    </w:p>
    <w:p w:rsidR="0056392D" w:rsidRPr="0056392D" w:rsidRDefault="0056392D" w:rsidP="0056392D">
      <w:pPr>
        <w:pStyle w:val="ListParagraph"/>
        <w:numPr>
          <w:ilvl w:val="0"/>
          <w:numId w:val="3"/>
        </w:numPr>
        <w:spacing w:before="0" w:after="120"/>
        <w:contextualSpacing w:val="0"/>
        <w:rPr>
          <w:rFonts w:ascii="Calibri" w:hAnsi="Calibri"/>
          <w:vanish/>
        </w:rPr>
      </w:pPr>
    </w:p>
    <w:p w:rsidR="00DC6D2E" w:rsidRPr="00AD51EC" w:rsidRDefault="00DC6D2E" w:rsidP="0056392D">
      <w:pPr>
        <w:numPr>
          <w:ilvl w:val="1"/>
          <w:numId w:val="3"/>
        </w:numPr>
        <w:spacing w:before="0" w:after="120"/>
        <w:rPr>
          <w:rFonts w:ascii="Calibri" w:hAnsi="Calibri"/>
        </w:rPr>
      </w:pPr>
      <w:r w:rsidRPr="00AD51EC">
        <w:rPr>
          <w:rFonts w:ascii="Calibri" w:hAnsi="Calibri"/>
        </w:rPr>
        <w:t xml:space="preserve">TGA status: </w:t>
      </w:r>
      <w:r w:rsidR="006E0D46" w:rsidRPr="00AD51EC">
        <w:rPr>
          <w:rFonts w:ascii="Calibri" w:hAnsi="Calibri"/>
        </w:rPr>
        <w:t>g</w:t>
      </w:r>
      <w:r w:rsidRPr="00AD51EC">
        <w:rPr>
          <w:rFonts w:ascii="Calibri" w:hAnsi="Calibri"/>
        </w:rPr>
        <w:t>latiramer acetate 20</w:t>
      </w:r>
      <w:r w:rsidR="0048112C">
        <w:rPr>
          <w:rFonts w:ascii="Calibri" w:hAnsi="Calibri"/>
        </w:rPr>
        <w:t> </w:t>
      </w:r>
      <w:r w:rsidRPr="00AD51EC">
        <w:rPr>
          <w:rFonts w:ascii="Calibri" w:hAnsi="Calibri"/>
        </w:rPr>
        <w:t>mg was TGA registered on 17 December 2003 for the reduction of frequency of relapses in relapsing remitting multiple sclerosis</w:t>
      </w:r>
      <w:r w:rsidR="00C10A8F" w:rsidRPr="00AD51EC">
        <w:rPr>
          <w:rFonts w:ascii="Calibri" w:hAnsi="Calibri"/>
        </w:rPr>
        <w:t xml:space="preserve"> (RRMS)</w:t>
      </w:r>
      <w:r w:rsidRPr="00AD51EC">
        <w:rPr>
          <w:rFonts w:ascii="Calibri" w:hAnsi="Calibri"/>
        </w:rPr>
        <w:t xml:space="preserve">. </w:t>
      </w:r>
    </w:p>
    <w:p w:rsidR="00DC6D2E" w:rsidRPr="00AD51EC" w:rsidRDefault="00DC6D2E" w:rsidP="005875D1">
      <w:pPr>
        <w:numPr>
          <w:ilvl w:val="1"/>
          <w:numId w:val="3"/>
        </w:numPr>
        <w:spacing w:before="0" w:after="120"/>
        <w:rPr>
          <w:rFonts w:ascii="Calibri" w:hAnsi="Calibri"/>
        </w:rPr>
      </w:pPr>
      <w:r w:rsidRPr="00AD51EC">
        <w:rPr>
          <w:rFonts w:ascii="Calibri" w:hAnsi="Calibri"/>
        </w:rPr>
        <w:t>Glatiramer acetate 20</w:t>
      </w:r>
      <w:r w:rsidR="0048112C">
        <w:rPr>
          <w:rFonts w:ascii="Calibri" w:hAnsi="Calibri"/>
        </w:rPr>
        <w:t> </w:t>
      </w:r>
      <w:r w:rsidRPr="00AD51EC">
        <w:rPr>
          <w:rFonts w:ascii="Calibri" w:hAnsi="Calibri"/>
        </w:rPr>
        <w:t xml:space="preserve">mg was approved for registration by the TGA on 4 December 2008 for the treatment of patients with a single clinical event suggestive of multiple sclerosis and at least two clinically silent </w:t>
      </w:r>
      <w:r w:rsidR="00B7183B" w:rsidRPr="00AD51EC">
        <w:rPr>
          <w:rFonts w:ascii="Calibri" w:hAnsi="Calibri"/>
        </w:rPr>
        <w:t>magnetic resonance imaging (</w:t>
      </w:r>
      <w:r w:rsidRPr="00AD51EC">
        <w:rPr>
          <w:rFonts w:ascii="Calibri" w:hAnsi="Calibri"/>
        </w:rPr>
        <w:t>MRI</w:t>
      </w:r>
      <w:r w:rsidR="00B7183B" w:rsidRPr="00AD51EC">
        <w:rPr>
          <w:rFonts w:ascii="Calibri" w:hAnsi="Calibri"/>
        </w:rPr>
        <w:t>)</w:t>
      </w:r>
      <w:r w:rsidRPr="00AD51EC">
        <w:rPr>
          <w:rFonts w:ascii="Calibri" w:hAnsi="Calibri"/>
        </w:rPr>
        <w:t xml:space="preserve"> lesions characteristic of multiple sclerosis, if alternative diagnoses have been excluded.</w:t>
      </w:r>
    </w:p>
    <w:p w:rsidR="00DC6D2E" w:rsidRPr="00CE5C86" w:rsidRDefault="00DC6D2E" w:rsidP="005875D1">
      <w:pPr>
        <w:numPr>
          <w:ilvl w:val="1"/>
          <w:numId w:val="3"/>
        </w:numPr>
        <w:spacing w:before="0" w:after="120"/>
        <w:rPr>
          <w:rFonts w:ascii="Calibri" w:hAnsi="Calibri"/>
        </w:rPr>
      </w:pPr>
      <w:r w:rsidRPr="00CE5C86">
        <w:rPr>
          <w:rFonts w:ascii="Calibri" w:hAnsi="Calibri"/>
        </w:rPr>
        <w:t>Glatiramer acetate is currently PBS-listed for the treatment of RRMS.</w:t>
      </w:r>
    </w:p>
    <w:p w:rsidR="00A21759" w:rsidRPr="00CE5C86" w:rsidRDefault="00DC6D2E" w:rsidP="005875D1">
      <w:pPr>
        <w:numPr>
          <w:ilvl w:val="1"/>
          <w:numId w:val="3"/>
        </w:numPr>
        <w:spacing w:before="0" w:after="120"/>
        <w:rPr>
          <w:rFonts w:ascii="Calibri" w:hAnsi="Calibri"/>
        </w:rPr>
      </w:pPr>
      <w:r w:rsidRPr="00CE5C86">
        <w:rPr>
          <w:rFonts w:ascii="Calibri" w:hAnsi="Calibri"/>
        </w:rPr>
        <w:t xml:space="preserve">Glatiramer acetate has not previously been considered by the PBAC for </w:t>
      </w:r>
      <w:r w:rsidR="00775367" w:rsidRPr="00CE5C86">
        <w:rPr>
          <w:rFonts w:ascii="Calibri" w:hAnsi="Calibri"/>
        </w:rPr>
        <w:t>clinically isolated syndrome</w:t>
      </w:r>
      <w:r w:rsidRPr="00CE5C86">
        <w:rPr>
          <w:rFonts w:ascii="Calibri" w:hAnsi="Calibri"/>
        </w:rPr>
        <w:t>.</w:t>
      </w:r>
    </w:p>
    <w:p w:rsidR="00516FAD" w:rsidRPr="00CE5C86" w:rsidRDefault="00A21759" w:rsidP="005875D1">
      <w:pPr>
        <w:numPr>
          <w:ilvl w:val="1"/>
          <w:numId w:val="3"/>
        </w:numPr>
        <w:spacing w:before="0" w:after="120"/>
        <w:rPr>
          <w:rFonts w:ascii="Calibri" w:hAnsi="Calibri"/>
        </w:rPr>
      </w:pPr>
      <w:r w:rsidRPr="00CE5C86">
        <w:t xml:space="preserve"> </w:t>
      </w:r>
      <w:r w:rsidRPr="00CE5C86">
        <w:rPr>
          <w:rFonts w:ascii="Calibri" w:hAnsi="Calibri"/>
        </w:rPr>
        <w:t xml:space="preserve">The PBAC has previously considered the effectiveness and safety of interferons in </w:t>
      </w:r>
      <w:r w:rsidR="00DD19F1" w:rsidRPr="00CE5C86">
        <w:rPr>
          <w:rFonts w:ascii="Calibri" w:hAnsi="Calibri"/>
        </w:rPr>
        <w:t>clinically isolated syndrome (for interferon beta-1a) and in early multiple sclerosis as defined by the McDonald criteria (for interferon beta-1b).</w:t>
      </w:r>
    </w:p>
    <w:p w:rsidR="00DC6D2E" w:rsidRPr="00CE5C86" w:rsidRDefault="00B22888" w:rsidP="005875D1">
      <w:pPr>
        <w:numPr>
          <w:ilvl w:val="2"/>
          <w:numId w:val="3"/>
        </w:numPr>
        <w:spacing w:before="0" w:after="120"/>
        <w:ind w:left="1106" w:hanging="386"/>
        <w:rPr>
          <w:rFonts w:ascii="Calibri" w:hAnsi="Calibri"/>
        </w:rPr>
      </w:pPr>
      <w:r w:rsidRPr="00CE5C86">
        <w:t>Interferon beta-1a (</w:t>
      </w:r>
      <w:proofErr w:type="spellStart"/>
      <w:r w:rsidRPr="00CE5C86">
        <w:t>Avonex</w:t>
      </w:r>
      <w:proofErr w:type="spellEnd"/>
      <w:r w:rsidRPr="00CE5C86">
        <w:t>) was considered by the PBAC in July 2004 for patients who have had a single demyelinating event at risk of developing clinically definite multiple sclerosis. The PBAC rejected the submission due to uncertain clinical benefit and the resulting uncertain</w:t>
      </w:r>
      <w:r w:rsidR="00516FAD" w:rsidRPr="00CE5C86">
        <w:t xml:space="preserve"> and unfavourable cost-effectiveness. The PBAC expressed doubt over whether the evidence provided an adequate basis to define a high-risk patient group. The PBAC considered there was no clear evidence to support the </w:t>
      </w:r>
      <w:r w:rsidR="00FB7423" w:rsidRPr="00CE5C86">
        <w:t>submission’s</w:t>
      </w:r>
      <w:r w:rsidR="00516FAD" w:rsidRPr="00CE5C86">
        <w:t xml:space="preserve"> argument that early intervention can alter lon</w:t>
      </w:r>
      <w:r w:rsidR="0048112C">
        <w:t>g-term outcomes of the disease.</w:t>
      </w:r>
    </w:p>
    <w:p w:rsidR="00516FAD" w:rsidRPr="00CE5C86" w:rsidRDefault="00516FAD" w:rsidP="005875D1">
      <w:pPr>
        <w:numPr>
          <w:ilvl w:val="2"/>
          <w:numId w:val="3"/>
        </w:numPr>
        <w:spacing w:before="0" w:after="120"/>
        <w:ind w:left="1106" w:hanging="386"/>
      </w:pPr>
      <w:r w:rsidRPr="00CE5C86">
        <w:t>Interferon beta-1b (</w:t>
      </w:r>
      <w:proofErr w:type="spellStart"/>
      <w:r w:rsidRPr="00CE5C86">
        <w:t>Betaferon</w:t>
      </w:r>
      <w:proofErr w:type="spellEnd"/>
      <w:r w:rsidRPr="00CE5C86">
        <w:t>) was considered by the PBAC in March 2007 to extend the existing multiple sclerosis listing to include patients matching the McDonald criteria (</w:t>
      </w:r>
      <w:r w:rsidR="00775367" w:rsidRPr="00CE5C86">
        <w:t>allow</w:t>
      </w:r>
      <w:r w:rsidR="00DD7BCE" w:rsidRPr="00CE5C86">
        <w:t>ing</w:t>
      </w:r>
      <w:r w:rsidR="00775367" w:rsidRPr="00CE5C86">
        <w:t xml:space="preserve"> for a second attack in time to be defined by a new lesion</w:t>
      </w:r>
      <w:r w:rsidR="00DD7BCE" w:rsidRPr="00CE5C86">
        <w:t xml:space="preserve"> </w:t>
      </w:r>
      <w:r w:rsidR="00775367" w:rsidRPr="00CE5C86">
        <w:t>appearing on MRI rather than a second clinical attack</w:t>
      </w:r>
      <w:r w:rsidRPr="00CE5C86">
        <w:t>). The PBAC rejected the submission due to the uncertain specificity of the proposed restriction and the uncertain long-term benefits and harms associated with treatment.</w:t>
      </w:r>
    </w:p>
    <w:p w:rsidR="00CE5C86" w:rsidRPr="00CE5C86" w:rsidRDefault="00CE5C86" w:rsidP="0048112C">
      <w:pPr>
        <w:spacing w:before="0" w:after="120"/>
        <w:ind w:left="709"/>
        <w:rPr>
          <w:i/>
        </w:rPr>
      </w:pPr>
      <w:r w:rsidRPr="00CE5C86">
        <w:rPr>
          <w:i/>
        </w:rPr>
        <w:t>For more detail on PBAC’s view, see section 7 “PBAC outcome”</w:t>
      </w:r>
    </w:p>
    <w:p w:rsidR="00DC6D2E" w:rsidRPr="00CE5C86" w:rsidRDefault="00DC6D2E" w:rsidP="00435D84">
      <w:pPr>
        <w:pStyle w:val="Heading1"/>
      </w:pPr>
      <w:bookmarkStart w:id="9" w:name="_Toc476306884"/>
      <w:bookmarkStart w:id="10" w:name="_Toc482710345"/>
      <w:r w:rsidRPr="00CE5C86">
        <w:t>Population and disease</w:t>
      </w:r>
      <w:bookmarkEnd w:id="9"/>
      <w:bookmarkEnd w:id="10"/>
    </w:p>
    <w:p w:rsidR="0056392D" w:rsidRPr="0056392D" w:rsidRDefault="0056392D" w:rsidP="0056392D">
      <w:pPr>
        <w:pStyle w:val="ListParagraph"/>
        <w:numPr>
          <w:ilvl w:val="0"/>
          <w:numId w:val="3"/>
        </w:numPr>
        <w:spacing w:before="0" w:after="120"/>
        <w:contextualSpacing w:val="0"/>
        <w:rPr>
          <w:rFonts w:ascii="Calibri" w:hAnsi="Calibri"/>
          <w:vanish/>
        </w:rPr>
      </w:pPr>
    </w:p>
    <w:p w:rsidR="00DC6D2E" w:rsidRPr="00CE5C86" w:rsidRDefault="00DC6D2E" w:rsidP="0056392D">
      <w:pPr>
        <w:numPr>
          <w:ilvl w:val="1"/>
          <w:numId w:val="3"/>
        </w:numPr>
        <w:spacing w:before="0" w:after="120"/>
        <w:rPr>
          <w:rFonts w:ascii="Calibri" w:hAnsi="Calibri"/>
        </w:rPr>
      </w:pPr>
      <w:r w:rsidRPr="00CE5C86">
        <w:rPr>
          <w:rFonts w:ascii="Calibri" w:hAnsi="Calibri"/>
        </w:rPr>
        <w:t xml:space="preserve">Clinically isolated syndrome refers to an initial clinical episode of central nervous system inflammatory demyelinating symptoms (such as optic neuritis, a brain stem and/or cerebellar syndrome, a spinal cord syndrome, or cerebral hemispheric dysfunction) lasting for at least 24 hours, accompanied by abnormal </w:t>
      </w:r>
      <w:r w:rsidR="00910ABC" w:rsidRPr="00CE5C86">
        <w:rPr>
          <w:rFonts w:ascii="Calibri" w:hAnsi="Calibri"/>
        </w:rPr>
        <w:t>MRI</w:t>
      </w:r>
      <w:r w:rsidRPr="00CE5C86">
        <w:rPr>
          <w:rFonts w:ascii="Calibri" w:hAnsi="Calibri"/>
        </w:rPr>
        <w:t xml:space="preserve"> scans that are su</w:t>
      </w:r>
      <w:r w:rsidR="0048112C">
        <w:rPr>
          <w:rFonts w:ascii="Calibri" w:hAnsi="Calibri"/>
        </w:rPr>
        <w:t>ggestive of multiple sclerosis.</w:t>
      </w:r>
    </w:p>
    <w:p w:rsidR="00DC6D2E" w:rsidRPr="00CE5C86" w:rsidRDefault="00DC6D2E" w:rsidP="005875D1">
      <w:pPr>
        <w:numPr>
          <w:ilvl w:val="1"/>
          <w:numId w:val="3"/>
        </w:numPr>
        <w:spacing w:before="0" w:after="120"/>
        <w:rPr>
          <w:rFonts w:ascii="Calibri" w:hAnsi="Calibri"/>
        </w:rPr>
      </w:pPr>
      <w:r w:rsidRPr="00CE5C86">
        <w:rPr>
          <w:rFonts w:ascii="Calibri" w:hAnsi="Calibri"/>
        </w:rPr>
        <w:t>Conversion from clinically isolated syndrome to multiple sclerosis is highly variable</w:t>
      </w:r>
      <w:r w:rsidR="00485090" w:rsidRPr="00CE5C86">
        <w:rPr>
          <w:rFonts w:ascii="Calibri" w:hAnsi="Calibri"/>
        </w:rPr>
        <w:t>,</w:t>
      </w:r>
      <w:r w:rsidRPr="00CE5C86">
        <w:rPr>
          <w:rFonts w:ascii="Calibri" w:hAnsi="Calibri"/>
        </w:rPr>
        <w:t xml:space="preserve"> ranging from several months to more than 10 years, with some patients never converting to typical multiple sclerosis disease courses.</w:t>
      </w:r>
    </w:p>
    <w:p w:rsidR="00DC6D2E" w:rsidRPr="00CE5C86" w:rsidRDefault="00DC6D2E" w:rsidP="005875D1">
      <w:pPr>
        <w:numPr>
          <w:ilvl w:val="1"/>
          <w:numId w:val="3"/>
        </w:numPr>
        <w:spacing w:before="0" w:after="120"/>
        <w:rPr>
          <w:rFonts w:ascii="Calibri" w:hAnsi="Calibri"/>
        </w:rPr>
      </w:pPr>
      <w:r w:rsidRPr="00CE5C86">
        <w:rPr>
          <w:rFonts w:ascii="Calibri" w:hAnsi="Calibri"/>
        </w:rPr>
        <w:t>The proposed algorithm position</w:t>
      </w:r>
      <w:r w:rsidR="0048112C">
        <w:rPr>
          <w:rFonts w:ascii="Calibri" w:hAnsi="Calibri"/>
        </w:rPr>
        <w:t>ed</w:t>
      </w:r>
      <w:r w:rsidRPr="00CE5C86">
        <w:rPr>
          <w:rFonts w:ascii="Calibri" w:hAnsi="Calibri"/>
        </w:rPr>
        <w:t xml:space="preserve"> glatiramer acetate as a first line treatment option in a subgroup of patients with clinically isolated syndrome thought to be at high risk of being diagnosed with multiple sclerosis within five years. The use of glatiramer acetate </w:t>
      </w:r>
      <w:r w:rsidR="0048112C">
        <w:rPr>
          <w:rFonts w:ascii="Calibri" w:hAnsi="Calibri"/>
        </w:rPr>
        <w:t>according to</w:t>
      </w:r>
      <w:r w:rsidRPr="00CE5C86">
        <w:rPr>
          <w:rFonts w:ascii="Calibri" w:hAnsi="Calibri"/>
        </w:rPr>
        <w:t xml:space="preserve"> the requested restriction </w:t>
      </w:r>
      <w:r w:rsidR="0048112C">
        <w:rPr>
          <w:rFonts w:ascii="Calibri" w:hAnsi="Calibri"/>
        </w:rPr>
        <w:t>would be</w:t>
      </w:r>
      <w:r w:rsidRPr="00CE5C86">
        <w:rPr>
          <w:rFonts w:ascii="Calibri" w:hAnsi="Calibri"/>
        </w:rPr>
        <w:t xml:space="preserve"> narrower than</w:t>
      </w:r>
      <w:r w:rsidR="00B13A60" w:rsidRPr="00CE5C86">
        <w:rPr>
          <w:rFonts w:ascii="Calibri" w:hAnsi="Calibri"/>
        </w:rPr>
        <w:t xml:space="preserve"> both the TGA indication, and</w:t>
      </w:r>
      <w:r w:rsidRPr="00CE5C86">
        <w:rPr>
          <w:rFonts w:ascii="Calibri" w:hAnsi="Calibri"/>
        </w:rPr>
        <w:t xml:space="preserve"> that recommended by clinical treatment guidelines.</w:t>
      </w:r>
      <w:r w:rsidR="00732891" w:rsidRPr="00CE5C86">
        <w:rPr>
          <w:rFonts w:ascii="Calibri" w:hAnsi="Calibri"/>
        </w:rPr>
        <w:t xml:space="preserve"> The PSCR</w:t>
      </w:r>
      <w:r w:rsidR="00A31721" w:rsidRPr="00CE5C86">
        <w:rPr>
          <w:rFonts w:ascii="Calibri" w:hAnsi="Calibri"/>
        </w:rPr>
        <w:t xml:space="preserve"> (p4) stated that</w:t>
      </w:r>
      <w:r w:rsidR="000E5131">
        <w:rPr>
          <w:rFonts w:ascii="Calibri" w:hAnsi="Calibri"/>
        </w:rPr>
        <w:t>,</w:t>
      </w:r>
      <w:r w:rsidR="00A31721" w:rsidRPr="00CE5C86">
        <w:rPr>
          <w:rFonts w:ascii="Calibri" w:hAnsi="Calibri"/>
        </w:rPr>
        <w:t xml:space="preserve"> if the PBAC believes that a broader population of patients with clinically isolated syndrome should be treated, the sponsor </w:t>
      </w:r>
      <w:r w:rsidR="000E5131">
        <w:rPr>
          <w:rFonts w:ascii="Calibri" w:hAnsi="Calibri"/>
        </w:rPr>
        <w:t>would be</w:t>
      </w:r>
      <w:r w:rsidR="00A31721" w:rsidRPr="00CE5C86">
        <w:rPr>
          <w:rFonts w:ascii="Calibri" w:hAnsi="Calibri"/>
        </w:rPr>
        <w:t xml:space="preserve"> amenable to discussing this. </w:t>
      </w:r>
      <w:r w:rsidR="00980B46" w:rsidRPr="00CE5C86">
        <w:rPr>
          <w:rFonts w:ascii="Calibri" w:hAnsi="Calibri"/>
        </w:rPr>
        <w:t>The ESC noted the use of glatiramer for clinically isolated syndrome would impact on the treatments used for RRMS.</w:t>
      </w:r>
    </w:p>
    <w:p w:rsidR="00000E7E" w:rsidRPr="00CE5C86" w:rsidRDefault="00000E7E" w:rsidP="005875D1">
      <w:pPr>
        <w:numPr>
          <w:ilvl w:val="1"/>
          <w:numId w:val="3"/>
        </w:numPr>
        <w:spacing w:before="0" w:after="120"/>
        <w:rPr>
          <w:rFonts w:ascii="Calibri" w:hAnsi="Calibri"/>
        </w:rPr>
      </w:pPr>
      <w:r w:rsidRPr="00CE5C86">
        <w:rPr>
          <w:rFonts w:ascii="Calibri" w:hAnsi="Calibri"/>
        </w:rPr>
        <w:t xml:space="preserve">The ESC noted that the submission did not discuss patient preferences in the management of clinically isolated syndrome. </w:t>
      </w:r>
      <w:r w:rsidR="00BF67D9" w:rsidRPr="00CE5C86">
        <w:rPr>
          <w:rFonts w:ascii="Calibri" w:hAnsi="Calibri"/>
        </w:rPr>
        <w:t xml:space="preserve">The ESC considered that some patients may choose not to seek treatment given the relatively lower impact on disability compared to, for example, </w:t>
      </w:r>
      <w:r w:rsidR="002730F4" w:rsidRPr="00CE5C86">
        <w:rPr>
          <w:rFonts w:ascii="Calibri" w:hAnsi="Calibri"/>
        </w:rPr>
        <w:t xml:space="preserve">treatment of </w:t>
      </w:r>
      <w:r w:rsidR="00BF67D9" w:rsidRPr="00CE5C86">
        <w:rPr>
          <w:rFonts w:ascii="Calibri" w:hAnsi="Calibri"/>
        </w:rPr>
        <w:t>RRMS, and that treatment is associated with adverse events suc</w:t>
      </w:r>
      <w:r w:rsidR="000E5131">
        <w:rPr>
          <w:rFonts w:ascii="Calibri" w:hAnsi="Calibri"/>
        </w:rPr>
        <w:t>h as injection site reactions.</w:t>
      </w:r>
    </w:p>
    <w:p w:rsidR="00DC6D2E" w:rsidRPr="00CE5C86" w:rsidRDefault="00DC6D2E" w:rsidP="00435D84">
      <w:pPr>
        <w:pStyle w:val="Heading1"/>
      </w:pPr>
      <w:bookmarkStart w:id="11" w:name="_Toc413139275"/>
      <w:bookmarkStart w:id="12" w:name="_Toc476306885"/>
      <w:bookmarkStart w:id="13" w:name="_Toc482710346"/>
      <w:r w:rsidRPr="00CE5C86">
        <w:t>Comparator</w:t>
      </w:r>
      <w:bookmarkEnd w:id="11"/>
      <w:bookmarkEnd w:id="12"/>
      <w:bookmarkEnd w:id="13"/>
    </w:p>
    <w:p w:rsidR="0056392D" w:rsidRPr="0056392D" w:rsidRDefault="0056392D" w:rsidP="0056392D">
      <w:pPr>
        <w:pStyle w:val="ListParagraph"/>
        <w:numPr>
          <w:ilvl w:val="0"/>
          <w:numId w:val="3"/>
        </w:numPr>
        <w:spacing w:before="0" w:after="120"/>
        <w:contextualSpacing w:val="0"/>
        <w:rPr>
          <w:rFonts w:ascii="Calibri" w:hAnsi="Calibri"/>
          <w:vanish/>
        </w:rPr>
      </w:pPr>
    </w:p>
    <w:p w:rsidR="00DC6D2E" w:rsidRPr="00CE5C86" w:rsidRDefault="00DC6D2E" w:rsidP="0056392D">
      <w:pPr>
        <w:numPr>
          <w:ilvl w:val="1"/>
          <w:numId w:val="3"/>
        </w:numPr>
        <w:spacing w:before="0" w:after="120"/>
        <w:rPr>
          <w:rFonts w:ascii="Calibri" w:hAnsi="Calibri"/>
        </w:rPr>
      </w:pPr>
      <w:r w:rsidRPr="00CE5C86">
        <w:rPr>
          <w:rFonts w:ascii="Calibri" w:hAnsi="Calibri"/>
        </w:rPr>
        <w:t>The submission nominated placebo a</w:t>
      </w:r>
      <w:r w:rsidR="000E5131">
        <w:rPr>
          <w:rFonts w:ascii="Calibri" w:hAnsi="Calibri"/>
        </w:rPr>
        <w:t>s</w:t>
      </w:r>
      <w:r w:rsidRPr="00CE5C86">
        <w:rPr>
          <w:rFonts w:ascii="Calibri" w:hAnsi="Calibri"/>
        </w:rPr>
        <w:t xml:space="preserve"> the main comparator. Th</w:t>
      </w:r>
      <w:r w:rsidR="000E5131">
        <w:rPr>
          <w:rFonts w:ascii="Calibri" w:hAnsi="Calibri"/>
        </w:rPr>
        <w:t>e PBAC considered th</w:t>
      </w:r>
      <w:r w:rsidRPr="00CE5C86">
        <w:rPr>
          <w:rFonts w:ascii="Calibri" w:hAnsi="Calibri"/>
        </w:rPr>
        <w:t xml:space="preserve">is </w:t>
      </w:r>
      <w:r w:rsidR="000E5131">
        <w:rPr>
          <w:rFonts w:ascii="Calibri" w:hAnsi="Calibri"/>
        </w:rPr>
        <w:t>to be the appropriate comparator.</w:t>
      </w:r>
    </w:p>
    <w:p w:rsidR="00DC6D2E" w:rsidRDefault="00DC6D2E" w:rsidP="005875D1">
      <w:pPr>
        <w:numPr>
          <w:ilvl w:val="1"/>
          <w:numId w:val="3"/>
        </w:numPr>
        <w:spacing w:before="0" w:after="120"/>
        <w:rPr>
          <w:rFonts w:ascii="Calibri" w:hAnsi="Calibri"/>
        </w:rPr>
      </w:pPr>
      <w:r w:rsidRPr="00CE5C86">
        <w:rPr>
          <w:rFonts w:ascii="Calibri" w:hAnsi="Calibri"/>
        </w:rPr>
        <w:t>The submission acknowledged that the BRACE therapies (intramuscular interferon beta-1a, subcutaneous interferon beta-1a, interferon beta-1b and glatiramer acetate</w:t>
      </w:r>
      <w:r w:rsidR="00D7578B" w:rsidRPr="00CE5C86">
        <w:rPr>
          <w:rFonts w:ascii="Calibri" w:hAnsi="Calibri"/>
        </w:rPr>
        <w:t>; also referred to as ABCR therapies</w:t>
      </w:r>
      <w:r w:rsidRPr="00CE5C86">
        <w:rPr>
          <w:rFonts w:ascii="Calibri" w:hAnsi="Calibri"/>
        </w:rPr>
        <w:t xml:space="preserve">) are likely being used outside the current PBS restrictions for the treatment of clinically isolated syndrome. These therapies are currently </w:t>
      </w:r>
      <w:r w:rsidR="00D55D79" w:rsidRPr="00CE5C86">
        <w:rPr>
          <w:rFonts w:ascii="Calibri" w:hAnsi="Calibri"/>
        </w:rPr>
        <w:t>TGA registered</w:t>
      </w:r>
      <w:r w:rsidR="000E5131">
        <w:rPr>
          <w:rFonts w:ascii="Calibri" w:hAnsi="Calibri"/>
        </w:rPr>
        <w:t>,</w:t>
      </w:r>
      <w:r w:rsidR="00D55D79" w:rsidRPr="00CE5C86">
        <w:rPr>
          <w:rFonts w:ascii="Calibri" w:hAnsi="Calibri"/>
        </w:rPr>
        <w:t xml:space="preserve"> </w:t>
      </w:r>
      <w:r w:rsidR="00130CC8" w:rsidRPr="00CE5C86">
        <w:rPr>
          <w:rFonts w:ascii="Calibri" w:hAnsi="Calibri"/>
        </w:rPr>
        <w:t xml:space="preserve">but not PBS subsidised </w:t>
      </w:r>
      <w:r w:rsidRPr="00CE5C86">
        <w:rPr>
          <w:rFonts w:ascii="Calibri" w:hAnsi="Calibri"/>
        </w:rPr>
        <w:t>for clinically isolated syndrome. The submission argued that these were not secondary comparators</w:t>
      </w:r>
      <w:r w:rsidR="000E5131">
        <w:rPr>
          <w:rFonts w:ascii="Calibri" w:hAnsi="Calibri"/>
        </w:rPr>
        <w:t>,</w:t>
      </w:r>
      <w:r w:rsidRPr="00CE5C86">
        <w:rPr>
          <w:rFonts w:ascii="Calibri" w:hAnsi="Calibri"/>
        </w:rPr>
        <w:t xml:space="preserve"> but were included to address issues raised in previous unsuccessful submissions for other drugs in ‘early multiple sclerosis’. During the evaluation, these therapies were considered as secondary comparators given the utilisation estimates presented in the submission predict</w:t>
      </w:r>
      <w:r w:rsidR="00130CC8" w:rsidRPr="00CE5C86">
        <w:rPr>
          <w:rFonts w:ascii="Calibri" w:hAnsi="Calibri"/>
        </w:rPr>
        <w:t>ed</w:t>
      </w:r>
      <w:r w:rsidRPr="00CE5C86">
        <w:rPr>
          <w:rFonts w:ascii="Calibri" w:hAnsi="Calibri"/>
        </w:rPr>
        <w:t xml:space="preserve"> substantial substitution of interferons </w:t>
      </w:r>
      <w:r w:rsidR="000E5131">
        <w:rPr>
          <w:rFonts w:ascii="Calibri" w:hAnsi="Calibri"/>
        </w:rPr>
        <w:t>by</w:t>
      </w:r>
      <w:r w:rsidRPr="00CE5C86">
        <w:rPr>
          <w:rFonts w:ascii="Calibri" w:hAnsi="Calibri"/>
        </w:rPr>
        <w:t xml:space="preserve"> glatiramer acetate for this</w:t>
      </w:r>
      <w:r w:rsidR="0033089E" w:rsidRPr="00CE5C86">
        <w:rPr>
          <w:rFonts w:ascii="Calibri" w:hAnsi="Calibri"/>
        </w:rPr>
        <w:t xml:space="preserve"> patient population on the PBS</w:t>
      </w:r>
      <w:r w:rsidR="000E5131">
        <w:rPr>
          <w:rFonts w:ascii="Calibri" w:hAnsi="Calibri"/>
        </w:rPr>
        <w:t>.</w:t>
      </w:r>
    </w:p>
    <w:p w:rsidR="00CE5C86" w:rsidRPr="00CE5C86" w:rsidRDefault="00CE5C86" w:rsidP="000E5131">
      <w:pPr>
        <w:spacing w:before="0" w:after="120"/>
        <w:ind w:left="709"/>
        <w:rPr>
          <w:rFonts w:ascii="Calibri" w:hAnsi="Calibri"/>
          <w:i/>
        </w:rPr>
      </w:pPr>
      <w:r w:rsidRPr="00CE5C86">
        <w:rPr>
          <w:rFonts w:ascii="Calibri" w:hAnsi="Calibri"/>
          <w:i/>
        </w:rPr>
        <w:t>For more detail on PBAC’s view, see section 7 “PBAC outcome”</w:t>
      </w:r>
      <w:r w:rsidR="000E5131">
        <w:rPr>
          <w:rFonts w:ascii="Calibri" w:hAnsi="Calibri"/>
          <w:i/>
        </w:rPr>
        <w:t>.</w:t>
      </w:r>
    </w:p>
    <w:p w:rsidR="00DC6D2E" w:rsidRPr="00CE5C86" w:rsidRDefault="00DC6D2E" w:rsidP="00435D84">
      <w:pPr>
        <w:pStyle w:val="Heading1"/>
      </w:pPr>
      <w:bookmarkStart w:id="14" w:name="_Toc413139276"/>
      <w:bookmarkStart w:id="15" w:name="_Toc476306886"/>
      <w:bookmarkStart w:id="16" w:name="_Toc482710347"/>
      <w:r w:rsidRPr="00CE5C86">
        <w:t>Consideration of the evidence</w:t>
      </w:r>
      <w:bookmarkEnd w:id="14"/>
      <w:bookmarkEnd w:id="15"/>
      <w:bookmarkEnd w:id="16"/>
    </w:p>
    <w:p w:rsidR="002720C1" w:rsidRPr="00CC5F08" w:rsidRDefault="002720C1" w:rsidP="00CC5F08">
      <w:pPr>
        <w:pStyle w:val="V50Heading2nonumbers"/>
      </w:pPr>
      <w:bookmarkStart w:id="17" w:name="_Toc413139277"/>
      <w:bookmarkStart w:id="18" w:name="_Toc476306887"/>
      <w:bookmarkStart w:id="19" w:name="_Toc482710348"/>
      <w:r w:rsidRPr="00AD51EC">
        <w:t>Sponsor hearing</w:t>
      </w:r>
    </w:p>
    <w:p w:rsidR="0056392D" w:rsidRPr="0056392D" w:rsidRDefault="0056392D" w:rsidP="0056392D">
      <w:pPr>
        <w:pStyle w:val="ListParagraph"/>
        <w:numPr>
          <w:ilvl w:val="0"/>
          <w:numId w:val="3"/>
        </w:numPr>
        <w:spacing w:before="0" w:after="120"/>
        <w:contextualSpacing w:val="0"/>
        <w:rPr>
          <w:vanish/>
        </w:rPr>
      </w:pPr>
    </w:p>
    <w:p w:rsidR="002720C1" w:rsidRPr="00506AAC" w:rsidRDefault="009C17C4" w:rsidP="0056392D">
      <w:pPr>
        <w:numPr>
          <w:ilvl w:val="1"/>
          <w:numId w:val="3"/>
        </w:numPr>
        <w:spacing w:before="0" w:after="120"/>
      </w:pPr>
      <w:r w:rsidRPr="00AD51EC">
        <w:t xml:space="preserve">The sponsor requested a hearing for this item. The clinician discussed the natural history of the disease, how the drug would be used in practice and clarified the relationship between clinically isolated syndrome and multiple sclerosis </w:t>
      </w:r>
      <w:r w:rsidR="000A1DDF">
        <w:t xml:space="preserve">diagnosed </w:t>
      </w:r>
      <w:r w:rsidRPr="00AD51EC">
        <w:t xml:space="preserve">by the McDonald Criteria </w:t>
      </w:r>
      <w:r w:rsidR="00CE3CA8">
        <w:t>or</w:t>
      </w:r>
      <w:r w:rsidRPr="00AD51EC">
        <w:t xml:space="preserve"> the Poser Criteria. The PBAC considered that the hearing was informative as it provided a clinical perspective on how the diagnosis of multiple sclerosis has evolved since the first treatments for relapsing-remitting multiple sclerosis were listed on the PBS</w:t>
      </w:r>
      <w:r w:rsidR="000E5131">
        <w:t>,</w:t>
      </w:r>
      <w:r w:rsidRPr="00AD51EC">
        <w:t xml:space="preserve"> and clarified how clinically isolated syndrome and clinically definite multiple sclerosis are diagnosed in practice.</w:t>
      </w:r>
    </w:p>
    <w:p w:rsidR="002720C1" w:rsidRPr="00CC5F08" w:rsidRDefault="002720C1" w:rsidP="00CC5F08">
      <w:pPr>
        <w:pStyle w:val="V50Heading2nonumbers"/>
      </w:pPr>
      <w:r w:rsidRPr="00506AAC">
        <w:t>Consumer comments</w:t>
      </w:r>
    </w:p>
    <w:p w:rsidR="002720C1" w:rsidRPr="00506AAC" w:rsidRDefault="002720C1" w:rsidP="005875D1">
      <w:pPr>
        <w:numPr>
          <w:ilvl w:val="1"/>
          <w:numId w:val="3"/>
        </w:numPr>
        <w:spacing w:before="0" w:after="120"/>
      </w:pPr>
      <w:r w:rsidRPr="00506AAC">
        <w:t>The PBAC noted and welcomed the input from health care professionals (</w:t>
      </w:r>
      <w:r w:rsidR="002E2625" w:rsidRPr="00506AAC">
        <w:t>5</w:t>
      </w:r>
      <w:r w:rsidRPr="00506AAC">
        <w:t>) and organisations (</w:t>
      </w:r>
      <w:r w:rsidR="002E2625" w:rsidRPr="00506AAC">
        <w:t>2</w:t>
      </w:r>
      <w:r w:rsidRPr="00506AAC">
        <w:t>) via the Consumer Comments facility on the PBS website. The</w:t>
      </w:r>
      <w:r w:rsidR="000E5131">
        <w:t>y</w:t>
      </w:r>
      <w:r w:rsidRPr="00506AAC">
        <w:t xml:space="preserve"> </w:t>
      </w:r>
      <w:r w:rsidR="002E2625" w:rsidRPr="00506AAC">
        <w:t xml:space="preserve">strongly supported PBS listing of glatiramer acetate in CIS, and all comments consistently argued </w:t>
      </w:r>
      <w:r w:rsidR="000E5131">
        <w:t xml:space="preserve">that </w:t>
      </w:r>
      <w:r w:rsidR="002E2625" w:rsidRPr="00506AAC">
        <w:t xml:space="preserve">the current PBS criteria to access medicines for the treatment of multiple sclerosis were out-dated and not in step with current medical practice. The comments strongly argued that patients should be able to access effective treatments in CIS and early </w:t>
      </w:r>
      <w:r w:rsidR="00CE3CA8">
        <w:t>multiple sclerosis (</w:t>
      </w:r>
      <w:r w:rsidR="002E2625" w:rsidRPr="00506AAC">
        <w:t>MS</w:t>
      </w:r>
      <w:r w:rsidR="00CE3CA8">
        <w:t>)</w:t>
      </w:r>
      <w:r w:rsidR="002E2625" w:rsidRPr="00506AAC">
        <w:t xml:space="preserve"> using the McDonald criteria rather than </w:t>
      </w:r>
      <w:r w:rsidR="000E5131">
        <w:t xml:space="preserve">the </w:t>
      </w:r>
      <w:r w:rsidR="002E2625" w:rsidRPr="00506AAC">
        <w:t>current PBS restrictions.</w:t>
      </w:r>
    </w:p>
    <w:p w:rsidR="002720C1" w:rsidRPr="00506AAC" w:rsidRDefault="002720C1" w:rsidP="005875D1">
      <w:pPr>
        <w:numPr>
          <w:ilvl w:val="1"/>
          <w:numId w:val="3"/>
        </w:numPr>
        <w:spacing w:before="0" w:after="120"/>
      </w:pPr>
      <w:r w:rsidRPr="00506AAC">
        <w:t xml:space="preserve">The PBAC noted the advice received from </w:t>
      </w:r>
      <w:r w:rsidR="002E2625" w:rsidRPr="00506AAC">
        <w:t xml:space="preserve">MS Australia and MS Research Australia </w:t>
      </w:r>
      <w:r w:rsidRPr="00506AAC">
        <w:t xml:space="preserve">clarifying the likely use of </w:t>
      </w:r>
      <w:r w:rsidR="002E2625" w:rsidRPr="00506AAC">
        <w:t>glatiramer acetate</w:t>
      </w:r>
      <w:r w:rsidRPr="00506AAC">
        <w:t xml:space="preserve"> in </w:t>
      </w:r>
      <w:r w:rsidR="002E2625" w:rsidRPr="00506AAC">
        <w:t>CIS</w:t>
      </w:r>
      <w:r w:rsidRPr="00506AAC">
        <w:t>. The PBAC specifically no</w:t>
      </w:r>
      <w:r w:rsidR="002E2625" w:rsidRPr="00506AAC">
        <w:t xml:space="preserve">ted the advice that the use of glatiramer acetate was associated with a 45% reduction in risk of developing MS and time to conversion to MS prolonged by 115% in the </w:t>
      </w:r>
      <w:proofErr w:type="spellStart"/>
      <w:proofErr w:type="gramStart"/>
      <w:r w:rsidR="002E2625" w:rsidRPr="00506AAC">
        <w:t>PreCISe</w:t>
      </w:r>
      <w:proofErr w:type="spellEnd"/>
      <w:proofErr w:type="gramEnd"/>
      <w:r w:rsidR="002E2625" w:rsidRPr="00506AAC">
        <w:t xml:space="preserve"> trial. Both organisations also stated that earlier treatment in CIS or MS provides multiple health and wellbeing benefits, such as many patients retaining their employment, reduced medical investigations, tr</w:t>
      </w:r>
      <w:r w:rsidR="000E5131">
        <w:t>eatments and hospitalisations.</w:t>
      </w:r>
    </w:p>
    <w:p w:rsidR="00506AAC" w:rsidRPr="00506AAC" w:rsidRDefault="00506AAC" w:rsidP="005875D1">
      <w:pPr>
        <w:numPr>
          <w:ilvl w:val="1"/>
          <w:numId w:val="3"/>
        </w:numPr>
        <w:spacing w:before="0" w:after="120"/>
      </w:pPr>
      <w:r w:rsidRPr="00506AAC">
        <w:t>Representatives of the PBAC met with MS Australia prior to the PBAC meeting. The following points provide a summary of the perspectives presented by MS Australia to the PBAC representatives:</w:t>
      </w:r>
    </w:p>
    <w:p w:rsidR="00506AAC" w:rsidRDefault="00506AAC" w:rsidP="000E5131">
      <w:pPr>
        <w:pStyle w:val="ListParagraph"/>
        <w:numPr>
          <w:ilvl w:val="0"/>
          <w:numId w:val="22"/>
        </w:numPr>
        <w:spacing w:before="0" w:after="0"/>
      </w:pPr>
      <w:r w:rsidRPr="00506AAC">
        <w:t>CIS</w:t>
      </w:r>
      <w:r>
        <w:t xml:space="preserve"> is not a well-defined patient group as many patients may not be aware that they have CIS. Commonly, patients are diagnosed as likely having or not having multiple sclerosis, rather than CIS. Therefore, the experience of MS Australia is predominately with patients who have clinical</w:t>
      </w:r>
      <w:r w:rsidR="000E5131">
        <w:t>ly definite multiple sclerosis.</w:t>
      </w:r>
    </w:p>
    <w:p w:rsidR="00506AAC" w:rsidRDefault="00506AAC" w:rsidP="000E5131">
      <w:pPr>
        <w:pStyle w:val="ListParagraph"/>
        <w:numPr>
          <w:ilvl w:val="0"/>
          <w:numId w:val="22"/>
        </w:numPr>
        <w:spacing w:before="0" w:after="0"/>
      </w:pPr>
      <w:r>
        <w:t>The population of patients diagnosed with CIS is small and both incidence and prevalence are difficult to assess, however the population may decrease over time as improvements in magnetic resonance imaging (MRI) technology allow earlier diagnosis of clinically definite multiple sclerosis. Some patients may never progress from CIS to clinically definite multiple sclerosis.</w:t>
      </w:r>
    </w:p>
    <w:p w:rsidR="00506AAC" w:rsidRDefault="00506AAC" w:rsidP="000E5131">
      <w:pPr>
        <w:pStyle w:val="ListParagraph"/>
        <w:numPr>
          <w:ilvl w:val="0"/>
          <w:numId w:val="22"/>
        </w:numPr>
        <w:spacing w:before="0" w:after="0"/>
      </w:pPr>
      <w:r>
        <w:t xml:space="preserve">Patients with clinically definite multiple sclerosis and their clinicians value early treatment to slow the disease course by minimising relapses, delaying disability progression, reducing the number of new lesions and delaying brain atrophy. However, not all patients choose to adopt pharmacological treatment, with some patients preferring non-pharmacological options to manage symptoms such as through diet or exercise. </w:t>
      </w:r>
    </w:p>
    <w:p w:rsidR="00506AAC" w:rsidRDefault="00506AAC" w:rsidP="000E5131">
      <w:pPr>
        <w:pStyle w:val="ListParagraph"/>
        <w:numPr>
          <w:ilvl w:val="0"/>
          <w:numId w:val="22"/>
        </w:numPr>
        <w:spacing w:before="0" w:after="0"/>
      </w:pPr>
      <w:r>
        <w:t>Early treatment is particularly valued by younger patients with clinically definite multiple sclerosis, for example, the cohort of women aged 20 – 40 years, who may be planning a family and are le</w:t>
      </w:r>
      <w:r w:rsidR="000A1DDF">
        <w:t>ss willing to “watch and wait”.</w:t>
      </w:r>
    </w:p>
    <w:p w:rsidR="00506AAC" w:rsidRDefault="00506AAC" w:rsidP="000E5131">
      <w:pPr>
        <w:pStyle w:val="ListParagraph"/>
        <w:numPr>
          <w:ilvl w:val="0"/>
          <w:numId w:val="22"/>
        </w:numPr>
        <w:spacing w:before="0" w:after="0"/>
      </w:pPr>
      <w:r>
        <w:t>The current PBS eligibility criteria for the treatment of multiple sclerosis are not aligned with the current clinical guidelines and diagnostic tools for multiple sclerosis, such as the McDonald criteria. Overall</w:t>
      </w:r>
      <w:r w:rsidR="000A1DDF">
        <w:t>,</w:t>
      </w:r>
      <w:r>
        <w:t xml:space="preserve"> however, patients do not report experiencing issues with a lack of acces</w:t>
      </w:r>
      <w:r w:rsidR="000A1DDF">
        <w:t>s to PBS subsidised treatments.</w:t>
      </w:r>
    </w:p>
    <w:p w:rsidR="00506AAC" w:rsidRDefault="00506AAC" w:rsidP="000E5131">
      <w:pPr>
        <w:pStyle w:val="ListParagraph"/>
        <w:numPr>
          <w:ilvl w:val="0"/>
          <w:numId w:val="22"/>
        </w:numPr>
        <w:spacing w:before="0" w:after="0"/>
      </w:pPr>
      <w:r>
        <w:t xml:space="preserve">Anecdotally, the manner of administration of treatments (e.g. oral versus injectable) has not been a major driver of </w:t>
      </w:r>
      <w:r w:rsidR="000A1DDF">
        <w:t>treatment choice for patients.</w:t>
      </w:r>
    </w:p>
    <w:p w:rsidR="00506AAC" w:rsidRPr="00506AAC" w:rsidRDefault="00506AAC" w:rsidP="000E5131">
      <w:pPr>
        <w:pStyle w:val="ListParagraph"/>
        <w:numPr>
          <w:ilvl w:val="0"/>
          <w:numId w:val="22"/>
        </w:numPr>
        <w:spacing w:before="0" w:after="0"/>
      </w:pPr>
      <w:r>
        <w:t>Fatigue and neuropathic pain are reported as the top two symptoms impacting on patients’ quality of life; anecdotally, treatment assist</w:t>
      </w:r>
      <w:r w:rsidR="000A1DDF">
        <w:t>s</w:t>
      </w:r>
      <w:r>
        <w:t xml:space="preserve"> patients in managing the </w:t>
      </w:r>
      <w:r w:rsidRPr="00506AAC">
        <w:t>impact of fatigue and neuropathic pain to allow improv</w:t>
      </w:r>
      <w:r w:rsidR="000A1DDF">
        <w:t>ed functioning in daily living.</w:t>
      </w:r>
    </w:p>
    <w:p w:rsidR="00506AAC" w:rsidRPr="00506AAC" w:rsidRDefault="00506AAC" w:rsidP="000E5131">
      <w:pPr>
        <w:pStyle w:val="ListParagraph"/>
        <w:numPr>
          <w:ilvl w:val="0"/>
          <w:numId w:val="22"/>
        </w:numPr>
        <w:spacing w:before="0" w:after="120"/>
      </w:pPr>
      <w:r w:rsidRPr="00506AAC">
        <w:t xml:space="preserve">Patients and clinicians value the availability of multiple treatment options that are safe, effective, </w:t>
      </w:r>
      <w:proofErr w:type="gramStart"/>
      <w:r w:rsidRPr="00506AAC">
        <w:t>affordable</w:t>
      </w:r>
      <w:proofErr w:type="gramEnd"/>
      <w:r w:rsidRPr="00506AAC">
        <w:t xml:space="preserve"> and represent equitable access across the spectrum of multiple sclerosis types and severities.</w:t>
      </w:r>
    </w:p>
    <w:p w:rsidR="00DC6D2E" w:rsidRPr="00506AAC" w:rsidRDefault="00DC6D2E" w:rsidP="007A7D24">
      <w:pPr>
        <w:pStyle w:val="V50Heading2nonumbers"/>
      </w:pPr>
      <w:r w:rsidRPr="00506AAC">
        <w:t>Clinical trials</w:t>
      </w:r>
      <w:bookmarkEnd w:id="17"/>
      <w:bookmarkEnd w:id="18"/>
      <w:bookmarkEnd w:id="19"/>
    </w:p>
    <w:p w:rsidR="00DC6D2E" w:rsidRPr="00CE5C86" w:rsidRDefault="00DC6D2E" w:rsidP="005875D1">
      <w:pPr>
        <w:numPr>
          <w:ilvl w:val="1"/>
          <w:numId w:val="3"/>
        </w:numPr>
        <w:spacing w:before="0" w:after="120"/>
        <w:rPr>
          <w:rFonts w:ascii="Calibri" w:hAnsi="Calibri"/>
        </w:rPr>
      </w:pPr>
      <w:r w:rsidRPr="00506AAC">
        <w:rPr>
          <w:rFonts w:ascii="Calibri" w:hAnsi="Calibri"/>
        </w:rPr>
        <w:t>The submission</w:t>
      </w:r>
      <w:r w:rsidRPr="00CE5C86">
        <w:rPr>
          <w:rFonts w:ascii="Calibri" w:hAnsi="Calibri"/>
        </w:rPr>
        <w:t xml:space="preserve"> was based on one head-to-head trial</w:t>
      </w:r>
      <w:r w:rsidR="00C10A8F" w:rsidRPr="00CE5C86">
        <w:rPr>
          <w:rFonts w:ascii="Calibri" w:hAnsi="Calibri"/>
        </w:rPr>
        <w:t xml:space="preserve"> (</w:t>
      </w:r>
      <w:proofErr w:type="spellStart"/>
      <w:r w:rsidR="00C10A8F" w:rsidRPr="00CE5C86">
        <w:rPr>
          <w:rFonts w:ascii="Calibri" w:hAnsi="Calibri"/>
        </w:rPr>
        <w:t>PreCISe</w:t>
      </w:r>
      <w:proofErr w:type="spellEnd"/>
      <w:r w:rsidR="00C10A8F" w:rsidRPr="00CE5C86">
        <w:rPr>
          <w:rFonts w:ascii="Calibri" w:hAnsi="Calibri"/>
        </w:rPr>
        <w:t>)</w:t>
      </w:r>
      <w:r w:rsidRPr="00CE5C86">
        <w:rPr>
          <w:rFonts w:ascii="Calibri" w:hAnsi="Calibri"/>
        </w:rPr>
        <w:t xml:space="preserve"> comparing glatiramer acetate to placebo, in patients with clinically isolated </w:t>
      </w:r>
      <w:r w:rsidR="00C10A8F" w:rsidRPr="00CE5C86">
        <w:rPr>
          <w:rFonts w:ascii="Calibri" w:hAnsi="Calibri"/>
        </w:rPr>
        <w:t>syndrome.</w:t>
      </w:r>
      <w:r w:rsidRPr="00CE5C86">
        <w:rPr>
          <w:rFonts w:ascii="Calibri" w:hAnsi="Calibri"/>
        </w:rPr>
        <w:t xml:space="preserve"> Additional longer-term data were provided from the </w:t>
      </w:r>
      <w:proofErr w:type="spellStart"/>
      <w:proofErr w:type="gramStart"/>
      <w:r w:rsidRPr="00CE5C86">
        <w:rPr>
          <w:rFonts w:ascii="Calibri" w:hAnsi="Calibri"/>
        </w:rPr>
        <w:t>PreCI</w:t>
      </w:r>
      <w:r w:rsidR="000E5131">
        <w:rPr>
          <w:rFonts w:ascii="Calibri" w:hAnsi="Calibri"/>
        </w:rPr>
        <w:t>Se</w:t>
      </w:r>
      <w:proofErr w:type="spellEnd"/>
      <w:proofErr w:type="gramEnd"/>
      <w:r w:rsidR="000E5131">
        <w:rPr>
          <w:rFonts w:ascii="Calibri" w:hAnsi="Calibri"/>
        </w:rPr>
        <w:t xml:space="preserve"> open-label extension study.</w:t>
      </w:r>
    </w:p>
    <w:p w:rsidR="00DC6D2E" w:rsidRPr="00CE5C86" w:rsidRDefault="00DC6D2E" w:rsidP="005875D1">
      <w:pPr>
        <w:numPr>
          <w:ilvl w:val="1"/>
          <w:numId w:val="3"/>
        </w:numPr>
        <w:spacing w:before="0" w:after="120"/>
        <w:rPr>
          <w:rFonts w:ascii="Calibri" w:hAnsi="Calibri"/>
        </w:rPr>
      </w:pPr>
      <w:r w:rsidRPr="00CE5C86">
        <w:rPr>
          <w:rFonts w:ascii="Calibri" w:hAnsi="Calibri"/>
        </w:rPr>
        <w:t>The submission also included two supplementary comparisons:</w:t>
      </w:r>
    </w:p>
    <w:p w:rsidR="00DC6D2E" w:rsidRPr="00CE5C86" w:rsidRDefault="00DC6D2E" w:rsidP="005875D1">
      <w:pPr>
        <w:numPr>
          <w:ilvl w:val="1"/>
          <w:numId w:val="13"/>
        </w:numPr>
        <w:spacing w:before="0" w:after="120"/>
        <w:ind w:left="1106" w:hanging="386"/>
        <w:rPr>
          <w:rFonts w:ascii="Calibri" w:hAnsi="Calibri"/>
        </w:rPr>
      </w:pPr>
      <w:r w:rsidRPr="00CE5C86">
        <w:rPr>
          <w:rFonts w:ascii="Calibri" w:hAnsi="Calibri"/>
        </w:rPr>
        <w:t>Indirect comparison of glatiramer acetate in clinically isolated syndrome (</w:t>
      </w:r>
      <w:proofErr w:type="spellStart"/>
      <w:r w:rsidRPr="00CE5C86">
        <w:rPr>
          <w:rFonts w:ascii="Calibri" w:hAnsi="Calibri"/>
        </w:rPr>
        <w:t>PreCISe</w:t>
      </w:r>
      <w:proofErr w:type="spellEnd"/>
      <w:r w:rsidRPr="00CE5C86">
        <w:rPr>
          <w:rFonts w:ascii="Calibri" w:hAnsi="Calibri"/>
        </w:rPr>
        <w:t xml:space="preserve">) versus a meta-analysis of trials of intramuscular interferon beta-1a (CHAMPS, </w:t>
      </w:r>
      <w:proofErr w:type="spellStart"/>
      <w:r w:rsidRPr="00CE5C86">
        <w:rPr>
          <w:rFonts w:ascii="Calibri" w:hAnsi="Calibri"/>
        </w:rPr>
        <w:t>Pakdaman</w:t>
      </w:r>
      <w:proofErr w:type="spellEnd"/>
      <w:r w:rsidRPr="00CE5C86">
        <w:rPr>
          <w:rFonts w:ascii="Calibri" w:hAnsi="Calibri"/>
        </w:rPr>
        <w:t xml:space="preserve"> 2007), subcutaneous</w:t>
      </w:r>
      <w:r w:rsidR="008B6883" w:rsidRPr="00CE5C86">
        <w:rPr>
          <w:rFonts w:ascii="Calibri" w:hAnsi="Calibri"/>
        </w:rPr>
        <w:t xml:space="preserve"> interferon</w:t>
      </w:r>
      <w:r w:rsidRPr="00CE5C86">
        <w:rPr>
          <w:rFonts w:ascii="Calibri" w:hAnsi="Calibri"/>
        </w:rPr>
        <w:t xml:space="preserve"> beta-1a (ETOMS, REFLEX) and interferon beta-1b (BENEFIT) i</w:t>
      </w:r>
      <w:r w:rsidR="000A1DDF">
        <w:rPr>
          <w:rFonts w:ascii="Calibri" w:hAnsi="Calibri"/>
        </w:rPr>
        <w:t>n clinically isolated syndrome.</w:t>
      </w:r>
    </w:p>
    <w:p w:rsidR="00DC6D2E" w:rsidRPr="00CE5C86" w:rsidRDefault="00DC6D2E" w:rsidP="005875D1">
      <w:pPr>
        <w:numPr>
          <w:ilvl w:val="1"/>
          <w:numId w:val="13"/>
        </w:numPr>
        <w:spacing w:before="0" w:after="120"/>
        <w:ind w:left="1106" w:hanging="386"/>
        <w:rPr>
          <w:rFonts w:ascii="Calibri" w:hAnsi="Calibri"/>
        </w:rPr>
      </w:pPr>
      <w:r w:rsidRPr="00CE5C86">
        <w:rPr>
          <w:rFonts w:ascii="Calibri" w:hAnsi="Calibri"/>
        </w:rPr>
        <w:t>A comparison of glatiramer acetate in clinically isolated syndrome (</w:t>
      </w:r>
      <w:proofErr w:type="spellStart"/>
      <w:r w:rsidRPr="00CE5C86">
        <w:rPr>
          <w:rFonts w:ascii="Calibri" w:hAnsi="Calibri"/>
        </w:rPr>
        <w:t>PreCISe</w:t>
      </w:r>
      <w:proofErr w:type="spellEnd"/>
      <w:r w:rsidRPr="00CE5C86">
        <w:rPr>
          <w:rFonts w:ascii="Calibri" w:hAnsi="Calibri"/>
        </w:rPr>
        <w:t xml:space="preserve">) versus meta-analysis of trials of glatiramer acetate in </w:t>
      </w:r>
      <w:r w:rsidR="00C10A8F" w:rsidRPr="00CE5C86">
        <w:rPr>
          <w:rFonts w:ascii="Calibri" w:hAnsi="Calibri"/>
        </w:rPr>
        <w:t>RRMS</w:t>
      </w:r>
      <w:r w:rsidRPr="00CE5C86">
        <w:rPr>
          <w:rFonts w:ascii="Calibri" w:hAnsi="Calibri"/>
        </w:rPr>
        <w:t xml:space="preserve"> (Bornstein et al., 1987; Johnson et al., 1995; </w:t>
      </w:r>
      <w:proofErr w:type="spellStart"/>
      <w:r w:rsidRPr="00CE5C86">
        <w:rPr>
          <w:rFonts w:ascii="Calibri" w:hAnsi="Calibri"/>
        </w:rPr>
        <w:t>Comi</w:t>
      </w:r>
      <w:proofErr w:type="spellEnd"/>
      <w:r w:rsidRPr="00CE5C86">
        <w:rPr>
          <w:rFonts w:ascii="Calibri" w:hAnsi="Calibri"/>
        </w:rPr>
        <w:t xml:space="preserve"> et al., 2001)</w:t>
      </w:r>
      <w:r w:rsidR="00802914" w:rsidRPr="00CE5C86">
        <w:rPr>
          <w:rFonts w:ascii="Calibri" w:hAnsi="Calibri"/>
        </w:rPr>
        <w:t>, to calculate the benefit</w:t>
      </w:r>
      <w:r w:rsidR="007D2F06" w:rsidRPr="00CE5C86">
        <w:rPr>
          <w:rFonts w:ascii="Calibri" w:hAnsi="Calibri"/>
        </w:rPr>
        <w:t>: harms</w:t>
      </w:r>
      <w:r w:rsidR="00802914" w:rsidRPr="00CE5C86">
        <w:rPr>
          <w:rFonts w:ascii="Calibri" w:hAnsi="Calibri"/>
        </w:rPr>
        <w:t xml:space="preserve"> ratio of glatiramer acetate in these two patient populations</w:t>
      </w:r>
      <w:r w:rsidRPr="00CE5C86">
        <w:rPr>
          <w:rFonts w:ascii="Calibri" w:hAnsi="Calibri"/>
        </w:rPr>
        <w:t xml:space="preserve">. This comparison was considered to be largely non-informative, as it failed to take into account </w:t>
      </w:r>
      <w:r w:rsidR="004073BA" w:rsidRPr="00CE5C86">
        <w:rPr>
          <w:rFonts w:ascii="Calibri" w:hAnsi="Calibri"/>
        </w:rPr>
        <w:t>the</w:t>
      </w:r>
      <w:r w:rsidRPr="00CE5C86">
        <w:rPr>
          <w:rFonts w:ascii="Calibri" w:hAnsi="Calibri"/>
        </w:rPr>
        <w:t xml:space="preserve"> underlying differences between study populations.</w:t>
      </w:r>
    </w:p>
    <w:p w:rsidR="00DC6D2E" w:rsidRPr="00CE5C86" w:rsidRDefault="00DC6D2E" w:rsidP="005875D1">
      <w:pPr>
        <w:numPr>
          <w:ilvl w:val="1"/>
          <w:numId w:val="3"/>
        </w:numPr>
        <w:spacing w:before="0" w:after="120"/>
        <w:rPr>
          <w:rFonts w:ascii="Calibri" w:hAnsi="Calibri"/>
        </w:rPr>
      </w:pPr>
      <w:r w:rsidRPr="00CE5C86">
        <w:rPr>
          <w:rFonts w:ascii="Calibri" w:hAnsi="Calibri"/>
        </w:rPr>
        <w:t>Details of the trials presented in the submission are provided in the table below.</w:t>
      </w:r>
    </w:p>
    <w:p w:rsidR="00225B33" w:rsidRPr="00CE5C86" w:rsidRDefault="00225B33">
      <w:pPr>
        <w:spacing w:before="0" w:line="259" w:lineRule="auto"/>
        <w:jc w:val="left"/>
        <w:rPr>
          <w:rFonts w:ascii="Arial Narrow" w:eastAsia="Calibri" w:hAnsi="Arial Narrow" w:cs="Arial"/>
          <w:b/>
          <w:sz w:val="20"/>
        </w:rPr>
      </w:pPr>
      <w:r w:rsidRPr="00CE5C86">
        <w:br w:type="page"/>
      </w:r>
    </w:p>
    <w:p w:rsidR="002744AA" w:rsidRPr="00CE5C86" w:rsidRDefault="002744AA" w:rsidP="002744AA">
      <w:pPr>
        <w:pStyle w:val="Caption"/>
      </w:pPr>
      <w:r w:rsidRPr="00CE5C86">
        <w:t xml:space="preserve">Table </w:t>
      </w:r>
      <w:r w:rsidR="007E6A8F">
        <w:rPr>
          <w:noProof/>
        </w:rPr>
        <w:t>2</w:t>
      </w:r>
      <w:r w:rsidRPr="00CE5C86">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63"/>
        <w:gridCol w:w="5954"/>
        <w:gridCol w:w="1965"/>
      </w:tblGrid>
      <w:tr w:rsidR="00DC6D2E" w:rsidRPr="00CE5C86" w:rsidTr="00FB5A17">
        <w:trPr>
          <w:tblHeader/>
        </w:trPr>
        <w:tc>
          <w:tcPr>
            <w:tcW w:w="640" w:type="pct"/>
          </w:tcPr>
          <w:p w:rsidR="00DC6D2E" w:rsidRPr="00CE5C86" w:rsidRDefault="00DC6D2E" w:rsidP="00500924">
            <w:pPr>
              <w:widowControl w:val="0"/>
              <w:spacing w:before="40" w:after="40"/>
              <w:jc w:val="left"/>
              <w:rPr>
                <w:rFonts w:ascii="Arial Narrow" w:hAnsi="Arial Narrow"/>
                <w:b/>
                <w:sz w:val="20"/>
              </w:rPr>
            </w:pPr>
            <w:r w:rsidRPr="00CE5C86">
              <w:rPr>
                <w:rFonts w:ascii="Arial Narrow" w:hAnsi="Arial Narrow"/>
                <w:b/>
                <w:sz w:val="20"/>
              </w:rPr>
              <w:t>Trial ID/First Author</w:t>
            </w:r>
          </w:p>
        </w:tc>
        <w:tc>
          <w:tcPr>
            <w:tcW w:w="3278" w:type="pct"/>
          </w:tcPr>
          <w:p w:rsidR="00DC6D2E" w:rsidRPr="00CE5C86" w:rsidRDefault="00DC6D2E" w:rsidP="00DC6D2E">
            <w:pPr>
              <w:widowControl w:val="0"/>
              <w:spacing w:before="40" w:after="40"/>
              <w:rPr>
                <w:rFonts w:ascii="Arial Narrow" w:hAnsi="Arial Narrow"/>
                <w:b/>
                <w:sz w:val="20"/>
              </w:rPr>
            </w:pPr>
            <w:r w:rsidRPr="00CE5C86">
              <w:rPr>
                <w:rFonts w:ascii="Arial Narrow" w:hAnsi="Arial Narrow"/>
                <w:b/>
                <w:sz w:val="20"/>
              </w:rPr>
              <w:t>Protocol title/ Publication title</w:t>
            </w:r>
          </w:p>
        </w:tc>
        <w:tc>
          <w:tcPr>
            <w:tcW w:w="1082" w:type="pct"/>
          </w:tcPr>
          <w:p w:rsidR="00DC6D2E" w:rsidRPr="00CE5C86" w:rsidRDefault="00DC6D2E" w:rsidP="00DC6D2E">
            <w:pPr>
              <w:widowControl w:val="0"/>
              <w:spacing w:before="40" w:after="40"/>
              <w:rPr>
                <w:rFonts w:ascii="Arial Narrow" w:hAnsi="Arial Narrow"/>
                <w:b/>
                <w:sz w:val="20"/>
              </w:rPr>
            </w:pPr>
            <w:r w:rsidRPr="00CE5C86">
              <w:rPr>
                <w:rFonts w:ascii="Arial Narrow" w:hAnsi="Arial Narrow"/>
                <w:b/>
                <w:sz w:val="20"/>
              </w:rPr>
              <w:t>Publication citation</w:t>
            </w:r>
          </w:p>
        </w:tc>
      </w:tr>
      <w:tr w:rsidR="00DC6D2E" w:rsidRPr="00CE5C86" w:rsidTr="00D1713A">
        <w:tc>
          <w:tcPr>
            <w:tcW w:w="5000" w:type="pct"/>
            <w:gridSpan w:val="3"/>
          </w:tcPr>
          <w:p w:rsidR="00DC6D2E" w:rsidRPr="00CE5C86" w:rsidRDefault="00DC6D2E" w:rsidP="00DC6D2E">
            <w:pPr>
              <w:widowControl w:val="0"/>
              <w:spacing w:before="40" w:after="40"/>
              <w:rPr>
                <w:rFonts w:ascii="Arial Narrow" w:hAnsi="Arial Narrow"/>
                <w:b/>
                <w:sz w:val="20"/>
              </w:rPr>
            </w:pPr>
            <w:r w:rsidRPr="00CE5C86">
              <w:rPr>
                <w:rFonts w:ascii="Arial Narrow" w:hAnsi="Arial Narrow"/>
                <w:b/>
                <w:sz w:val="20"/>
              </w:rPr>
              <w:t>Direct randomised trials</w:t>
            </w:r>
          </w:p>
        </w:tc>
      </w:tr>
      <w:tr w:rsidR="00DC6D2E" w:rsidRPr="00CE5C86" w:rsidTr="00FB5A17">
        <w:tc>
          <w:tcPr>
            <w:tcW w:w="640" w:type="pct"/>
          </w:tcPr>
          <w:p w:rsidR="00DC6D2E" w:rsidRPr="00CE5C86" w:rsidRDefault="00DC6D2E" w:rsidP="00DC6D2E">
            <w:pPr>
              <w:widowControl w:val="0"/>
              <w:spacing w:before="40" w:after="40"/>
              <w:rPr>
                <w:rFonts w:ascii="Times" w:eastAsia="Times New Roman" w:hAnsi="Times" w:cs="Times New Roman"/>
                <w:sz w:val="20"/>
              </w:rPr>
            </w:pPr>
            <w:proofErr w:type="spellStart"/>
            <w:r w:rsidRPr="00CE5C86">
              <w:rPr>
                <w:rFonts w:ascii="Arial Narrow" w:hAnsi="Arial Narrow"/>
                <w:sz w:val="20"/>
              </w:rPr>
              <w:t>PreCISe</w:t>
            </w:r>
            <w:proofErr w:type="spellEnd"/>
          </w:p>
        </w:tc>
        <w:tc>
          <w:tcPr>
            <w:tcW w:w="3278" w:type="pct"/>
          </w:tcPr>
          <w:p w:rsidR="00DC6D2E" w:rsidRPr="00CE5C86" w:rsidRDefault="00DC6D2E" w:rsidP="00DC6D2E">
            <w:pPr>
              <w:widowControl w:val="0"/>
              <w:spacing w:before="0" w:after="0"/>
              <w:rPr>
                <w:rFonts w:ascii="Arial Narrow" w:hAnsi="Arial Narrow"/>
                <w:sz w:val="20"/>
              </w:rPr>
            </w:pPr>
            <w:r w:rsidRPr="00CE5C86">
              <w:rPr>
                <w:rFonts w:ascii="Arial Narrow" w:hAnsi="Arial Narrow"/>
                <w:sz w:val="20"/>
              </w:rPr>
              <w:t>A Multinational Multi-</w:t>
            </w:r>
            <w:proofErr w:type="spellStart"/>
            <w:r w:rsidRPr="00CE5C86">
              <w:rPr>
                <w:rFonts w:ascii="Arial Narrow" w:hAnsi="Arial Narrow"/>
                <w:sz w:val="20"/>
              </w:rPr>
              <w:t>Center</w:t>
            </w:r>
            <w:proofErr w:type="spellEnd"/>
            <w:r w:rsidRPr="00CE5C86">
              <w:rPr>
                <w:rFonts w:ascii="Arial Narrow" w:hAnsi="Arial Narrow"/>
                <w:sz w:val="20"/>
              </w:rPr>
              <w:t>, Randomized, Double-Blind, Placebo-Controlled, Parallel Group Study to Evaluate the Effect of Early Glatiramer Acetate Treatment in Delaying the Conversion to Clinically Definite Multiple Sclerosis (CDMS) of Subjects Presenting with a Clinically Isolated Syndrome (CIS) Protocol GA/9010 (</w:t>
            </w:r>
            <w:proofErr w:type="spellStart"/>
            <w:r w:rsidRPr="00CE5C86">
              <w:rPr>
                <w:rFonts w:ascii="Arial Narrow" w:hAnsi="Arial Narrow"/>
                <w:sz w:val="20"/>
              </w:rPr>
              <w:t>PreCISe</w:t>
            </w:r>
            <w:proofErr w:type="spellEnd"/>
            <w:r w:rsidRPr="00CE5C86">
              <w:rPr>
                <w:rFonts w:ascii="Arial Narrow" w:hAnsi="Arial Narrow"/>
                <w:sz w:val="20"/>
              </w:rPr>
              <w:t>)</w:t>
            </w:r>
          </w:p>
          <w:p w:rsidR="00DC6D2E" w:rsidRPr="00CE5C86" w:rsidRDefault="00DC6D2E" w:rsidP="00DC6D2E">
            <w:pPr>
              <w:widowControl w:val="0"/>
              <w:spacing w:before="0" w:after="0"/>
              <w:rPr>
                <w:rFonts w:ascii="Arial Narrow" w:hAnsi="Arial Narrow"/>
                <w:sz w:val="20"/>
              </w:rPr>
            </w:pPr>
          </w:p>
          <w:p w:rsidR="00DC6D2E" w:rsidRPr="00CE5C86" w:rsidRDefault="00DC6D2E" w:rsidP="00DC6D2E">
            <w:pPr>
              <w:widowControl w:val="0"/>
              <w:spacing w:before="0" w:after="0"/>
              <w:rPr>
                <w:rFonts w:ascii="Arial Narrow" w:hAnsi="Arial Narrow"/>
                <w:sz w:val="20"/>
              </w:rPr>
            </w:pPr>
            <w:r w:rsidRPr="00CE5C86">
              <w:rPr>
                <w:rFonts w:ascii="Arial Narrow" w:hAnsi="Arial Narrow"/>
                <w:sz w:val="20"/>
              </w:rPr>
              <w:t>A Multinational Multi-</w:t>
            </w:r>
            <w:proofErr w:type="spellStart"/>
            <w:r w:rsidRPr="00CE5C86">
              <w:rPr>
                <w:rFonts w:ascii="Arial Narrow" w:hAnsi="Arial Narrow"/>
                <w:sz w:val="20"/>
              </w:rPr>
              <w:t>Center</w:t>
            </w:r>
            <w:proofErr w:type="spellEnd"/>
            <w:r w:rsidRPr="00CE5C86">
              <w:rPr>
                <w:rFonts w:ascii="Arial Narrow" w:hAnsi="Arial Narrow"/>
                <w:sz w:val="20"/>
              </w:rPr>
              <w:t>, Randomized, Double-Blind, Placebo-Controlled, Parallel Group Study to Evaluate the Effect of Early Glatiramer Acetate Treatment in Delaying the Conversion to Clinically Definite Multiple Sclerosis (CDMS) of Subjects Presenting with a Clinically Isolated Syndrome (CIS). Results of the long term study period (up to 5-years) following the study report of interim analysis data, issued February 2008</w:t>
            </w:r>
          </w:p>
          <w:p w:rsidR="00DC6D2E" w:rsidRPr="00CE5C86" w:rsidRDefault="00DC6D2E" w:rsidP="00DC6D2E">
            <w:pPr>
              <w:widowControl w:val="0"/>
              <w:spacing w:before="0" w:after="0"/>
              <w:rPr>
                <w:rFonts w:ascii="Arial Narrow" w:hAnsi="Arial Narrow"/>
                <w:sz w:val="20"/>
              </w:rPr>
            </w:pPr>
          </w:p>
          <w:p w:rsidR="00DC6D2E" w:rsidRPr="00CE5C86" w:rsidRDefault="00DC6D2E" w:rsidP="00DC6D2E">
            <w:pPr>
              <w:widowControl w:val="0"/>
              <w:spacing w:before="0" w:after="0"/>
              <w:rPr>
                <w:rFonts w:ascii="Arial Narrow" w:hAnsi="Arial Narrow"/>
                <w:sz w:val="20"/>
              </w:rPr>
            </w:pPr>
            <w:proofErr w:type="spellStart"/>
            <w:r w:rsidRPr="00CE5C86">
              <w:rPr>
                <w:rFonts w:ascii="Arial Narrow" w:hAnsi="Arial Narrow"/>
                <w:sz w:val="20"/>
              </w:rPr>
              <w:t>Comi</w:t>
            </w:r>
            <w:proofErr w:type="spellEnd"/>
            <w:r w:rsidRPr="00CE5C86">
              <w:rPr>
                <w:rFonts w:ascii="Arial Narrow" w:hAnsi="Arial Narrow"/>
                <w:sz w:val="20"/>
              </w:rPr>
              <w:t xml:space="preserve">, G., </w:t>
            </w:r>
            <w:proofErr w:type="spellStart"/>
            <w:r w:rsidRPr="00CE5C86">
              <w:rPr>
                <w:rFonts w:ascii="Arial Narrow" w:hAnsi="Arial Narrow"/>
                <w:sz w:val="20"/>
              </w:rPr>
              <w:t>Martinelli</w:t>
            </w:r>
            <w:proofErr w:type="spellEnd"/>
            <w:r w:rsidRPr="00CE5C86">
              <w:rPr>
                <w:rFonts w:ascii="Arial Narrow" w:hAnsi="Arial Narrow"/>
                <w:sz w:val="20"/>
              </w:rPr>
              <w:t>, V., et al. Effect of glatiramer acetate on conversion to clinically definite multiple sclerosis in patients with clinically isolated syndrome (</w:t>
            </w:r>
            <w:proofErr w:type="spellStart"/>
            <w:r w:rsidRPr="00CE5C86">
              <w:rPr>
                <w:rFonts w:ascii="Arial Narrow" w:hAnsi="Arial Narrow"/>
                <w:sz w:val="20"/>
              </w:rPr>
              <w:t>PreCISe</w:t>
            </w:r>
            <w:proofErr w:type="spellEnd"/>
            <w:r w:rsidRPr="00CE5C86">
              <w:rPr>
                <w:rFonts w:ascii="Arial Narrow" w:hAnsi="Arial Narrow"/>
                <w:sz w:val="20"/>
              </w:rPr>
              <w:t xml:space="preserve"> study): A randomised, double-blind, placebo-controlled trial</w:t>
            </w:r>
          </w:p>
          <w:p w:rsidR="00DC6D2E" w:rsidRPr="00CE5C86" w:rsidRDefault="00DC6D2E" w:rsidP="00DC6D2E">
            <w:pPr>
              <w:widowControl w:val="0"/>
              <w:spacing w:before="0" w:after="0"/>
              <w:rPr>
                <w:rFonts w:ascii="Arial Narrow" w:hAnsi="Arial Narrow"/>
                <w:sz w:val="20"/>
              </w:rPr>
            </w:pPr>
          </w:p>
          <w:p w:rsidR="00DC6D2E" w:rsidRPr="00CE5C86" w:rsidRDefault="00DC6D2E" w:rsidP="00DC6D2E">
            <w:pPr>
              <w:widowControl w:val="0"/>
              <w:spacing w:before="0" w:after="0"/>
              <w:rPr>
                <w:rFonts w:ascii="Arial Narrow" w:hAnsi="Arial Narrow"/>
                <w:sz w:val="20"/>
              </w:rPr>
            </w:pPr>
            <w:proofErr w:type="spellStart"/>
            <w:r w:rsidRPr="00CE5C86">
              <w:rPr>
                <w:rFonts w:ascii="Arial Narrow" w:hAnsi="Arial Narrow"/>
                <w:sz w:val="20"/>
              </w:rPr>
              <w:t>Comi</w:t>
            </w:r>
            <w:proofErr w:type="spellEnd"/>
            <w:r w:rsidRPr="00CE5C86">
              <w:rPr>
                <w:rFonts w:ascii="Arial Narrow" w:hAnsi="Arial Narrow"/>
                <w:sz w:val="20"/>
              </w:rPr>
              <w:t xml:space="preserve"> G and </w:t>
            </w:r>
            <w:proofErr w:type="spellStart"/>
            <w:r w:rsidRPr="00CE5C86">
              <w:rPr>
                <w:rFonts w:ascii="Arial Narrow" w:hAnsi="Arial Narrow"/>
                <w:sz w:val="20"/>
              </w:rPr>
              <w:t>Filippi</w:t>
            </w:r>
            <w:proofErr w:type="spellEnd"/>
            <w:r w:rsidRPr="00CE5C86">
              <w:rPr>
                <w:rFonts w:ascii="Arial Narrow" w:hAnsi="Arial Narrow"/>
                <w:sz w:val="20"/>
              </w:rPr>
              <w:t xml:space="preserve"> M. Treatment with glatiramer acetate delays conversion to clinically definite multiple sclerosis (CDMS) in patients with clinically isolated syndromes (CIS)</w:t>
            </w:r>
          </w:p>
          <w:p w:rsidR="00DC6D2E" w:rsidRPr="00CE5C86" w:rsidRDefault="00DC6D2E" w:rsidP="00DC6D2E">
            <w:pPr>
              <w:widowControl w:val="0"/>
              <w:spacing w:before="0" w:after="0"/>
              <w:rPr>
                <w:rFonts w:ascii="Arial Narrow" w:hAnsi="Arial Narrow"/>
                <w:sz w:val="20"/>
              </w:rPr>
            </w:pPr>
          </w:p>
          <w:p w:rsidR="00DC6D2E" w:rsidRPr="00CE5C86" w:rsidRDefault="00DC6D2E" w:rsidP="00DC6D2E">
            <w:pPr>
              <w:widowControl w:val="0"/>
              <w:spacing w:before="0" w:after="0"/>
              <w:rPr>
                <w:rFonts w:ascii="Arial Narrow" w:hAnsi="Arial Narrow"/>
                <w:sz w:val="20"/>
              </w:rPr>
            </w:pPr>
            <w:proofErr w:type="spellStart"/>
            <w:r w:rsidRPr="00CE5C86">
              <w:rPr>
                <w:rFonts w:ascii="Arial Narrow" w:hAnsi="Arial Narrow"/>
                <w:sz w:val="20"/>
              </w:rPr>
              <w:t>Comi</w:t>
            </w:r>
            <w:proofErr w:type="spellEnd"/>
            <w:r w:rsidRPr="00CE5C86">
              <w:rPr>
                <w:rFonts w:ascii="Arial Narrow" w:hAnsi="Arial Narrow"/>
                <w:sz w:val="20"/>
              </w:rPr>
              <w:t xml:space="preserve">, G., </w:t>
            </w:r>
            <w:proofErr w:type="spellStart"/>
            <w:r w:rsidRPr="00CE5C86">
              <w:rPr>
                <w:rFonts w:ascii="Arial Narrow" w:hAnsi="Arial Narrow"/>
                <w:sz w:val="20"/>
              </w:rPr>
              <w:t>Martinelli</w:t>
            </w:r>
            <w:proofErr w:type="spellEnd"/>
            <w:r w:rsidRPr="00CE5C86">
              <w:rPr>
                <w:rFonts w:ascii="Arial Narrow" w:hAnsi="Arial Narrow"/>
                <w:sz w:val="20"/>
              </w:rPr>
              <w:t>, V., et al. Effects of early treatment with glatiramer acetate in patients with clinically isolated syndrome</w:t>
            </w:r>
          </w:p>
          <w:p w:rsidR="00DC6D2E" w:rsidRPr="00CE5C86" w:rsidRDefault="00DC6D2E" w:rsidP="00DC6D2E">
            <w:pPr>
              <w:widowControl w:val="0"/>
              <w:spacing w:before="0" w:after="0"/>
              <w:rPr>
                <w:rFonts w:ascii="Arial Narrow" w:hAnsi="Arial Narrow"/>
                <w:sz w:val="20"/>
              </w:rPr>
            </w:pPr>
          </w:p>
          <w:p w:rsidR="00DC6D2E" w:rsidRPr="00CE5C86" w:rsidRDefault="00DC6D2E" w:rsidP="00DC6D2E">
            <w:pPr>
              <w:widowControl w:val="0"/>
              <w:spacing w:before="40" w:after="40"/>
              <w:rPr>
                <w:rFonts w:ascii="Times" w:eastAsia="Times New Roman" w:hAnsi="Times" w:cs="Times New Roman"/>
                <w:sz w:val="20"/>
              </w:rPr>
            </w:pPr>
            <w:r w:rsidRPr="00CE5C86">
              <w:rPr>
                <w:rFonts w:ascii="Arial Narrow" w:hAnsi="Arial Narrow"/>
                <w:sz w:val="20"/>
              </w:rPr>
              <w:t xml:space="preserve">Arnold, D. L., Narayanan, S. and </w:t>
            </w:r>
            <w:proofErr w:type="spellStart"/>
            <w:r w:rsidRPr="00CE5C86">
              <w:rPr>
                <w:rFonts w:ascii="Arial Narrow" w:hAnsi="Arial Narrow"/>
                <w:sz w:val="20"/>
              </w:rPr>
              <w:t>Antel</w:t>
            </w:r>
            <w:proofErr w:type="spellEnd"/>
            <w:r w:rsidRPr="00CE5C86">
              <w:rPr>
                <w:rFonts w:ascii="Arial Narrow" w:hAnsi="Arial Narrow"/>
                <w:sz w:val="20"/>
              </w:rPr>
              <w:t xml:space="preserve">, S. Neuroprotection with glatiramer acetate: Evidence from the </w:t>
            </w:r>
            <w:proofErr w:type="spellStart"/>
            <w:r w:rsidRPr="00CE5C86">
              <w:rPr>
                <w:rFonts w:ascii="Arial Narrow" w:hAnsi="Arial Narrow"/>
                <w:sz w:val="20"/>
              </w:rPr>
              <w:t>PreCISe</w:t>
            </w:r>
            <w:proofErr w:type="spellEnd"/>
            <w:r w:rsidRPr="00CE5C86">
              <w:rPr>
                <w:rFonts w:ascii="Arial Narrow" w:hAnsi="Arial Narrow"/>
                <w:sz w:val="20"/>
              </w:rPr>
              <w:t xml:space="preserve"> trial</w:t>
            </w:r>
          </w:p>
        </w:tc>
        <w:tc>
          <w:tcPr>
            <w:tcW w:w="1082" w:type="pct"/>
          </w:tcPr>
          <w:p w:rsidR="00DC6D2E" w:rsidRPr="00CE5C86" w:rsidRDefault="00DC6D2E" w:rsidP="00DC6D2E">
            <w:pPr>
              <w:widowControl w:val="0"/>
              <w:spacing w:before="0" w:after="0"/>
              <w:rPr>
                <w:rFonts w:ascii="Arial Narrow" w:hAnsi="Arial Narrow"/>
                <w:sz w:val="20"/>
              </w:rPr>
            </w:pPr>
            <w:r w:rsidRPr="00CE5C86">
              <w:rPr>
                <w:rFonts w:ascii="Arial Narrow" w:hAnsi="Arial Narrow"/>
                <w:sz w:val="20"/>
              </w:rPr>
              <w:t>February 2008</w:t>
            </w:r>
          </w:p>
          <w:p w:rsidR="00DC6D2E" w:rsidRPr="00CE5C86" w:rsidRDefault="00DC6D2E" w:rsidP="00DC6D2E">
            <w:pPr>
              <w:widowControl w:val="0"/>
              <w:spacing w:before="0" w:after="0"/>
              <w:rPr>
                <w:rFonts w:ascii="Arial Narrow" w:hAnsi="Arial Narrow"/>
                <w:sz w:val="20"/>
              </w:rPr>
            </w:pPr>
          </w:p>
          <w:p w:rsidR="00DC6D2E" w:rsidRPr="00CE5C86" w:rsidRDefault="00DC6D2E" w:rsidP="00DC6D2E">
            <w:pPr>
              <w:widowControl w:val="0"/>
              <w:spacing w:before="0" w:after="0"/>
              <w:rPr>
                <w:rFonts w:ascii="Arial Narrow" w:hAnsi="Arial Narrow"/>
                <w:sz w:val="20"/>
              </w:rPr>
            </w:pPr>
          </w:p>
          <w:p w:rsidR="00DC6D2E" w:rsidRPr="00CE5C86" w:rsidRDefault="00DC6D2E" w:rsidP="00DC6D2E">
            <w:pPr>
              <w:widowControl w:val="0"/>
              <w:spacing w:before="0" w:after="0"/>
              <w:rPr>
                <w:rFonts w:ascii="Arial Narrow" w:hAnsi="Arial Narrow"/>
                <w:sz w:val="20"/>
              </w:rPr>
            </w:pPr>
          </w:p>
          <w:p w:rsidR="00DC6D2E" w:rsidRPr="00CE5C86" w:rsidRDefault="00DC6D2E" w:rsidP="00DC6D2E">
            <w:pPr>
              <w:widowControl w:val="0"/>
              <w:spacing w:before="0" w:after="0"/>
              <w:rPr>
                <w:rFonts w:ascii="Arial Narrow" w:hAnsi="Arial Narrow"/>
                <w:sz w:val="20"/>
              </w:rPr>
            </w:pPr>
          </w:p>
          <w:p w:rsidR="00DC6D2E" w:rsidRPr="00CE5C86" w:rsidRDefault="00DC6D2E" w:rsidP="00DC6D2E">
            <w:pPr>
              <w:widowControl w:val="0"/>
              <w:spacing w:before="0" w:after="0"/>
              <w:rPr>
                <w:rFonts w:ascii="Arial Narrow" w:hAnsi="Arial Narrow"/>
                <w:sz w:val="20"/>
              </w:rPr>
            </w:pPr>
          </w:p>
          <w:p w:rsidR="00DC6D2E" w:rsidRPr="00CE5C86" w:rsidRDefault="00DC6D2E" w:rsidP="00DC6D2E">
            <w:pPr>
              <w:widowControl w:val="0"/>
              <w:spacing w:before="0" w:after="0"/>
              <w:rPr>
                <w:rFonts w:ascii="Arial Narrow" w:hAnsi="Arial Narrow"/>
                <w:sz w:val="20"/>
              </w:rPr>
            </w:pPr>
            <w:r w:rsidRPr="00CE5C86">
              <w:rPr>
                <w:rFonts w:ascii="Arial Narrow" w:hAnsi="Arial Narrow"/>
                <w:sz w:val="20"/>
              </w:rPr>
              <w:t>May 2012</w:t>
            </w:r>
          </w:p>
          <w:p w:rsidR="00DC6D2E" w:rsidRPr="00CE5C86" w:rsidRDefault="00DC6D2E" w:rsidP="00DC6D2E">
            <w:pPr>
              <w:widowControl w:val="0"/>
              <w:spacing w:before="0" w:after="0"/>
              <w:rPr>
                <w:rFonts w:ascii="Arial Narrow" w:hAnsi="Arial Narrow"/>
                <w:sz w:val="20"/>
              </w:rPr>
            </w:pPr>
          </w:p>
          <w:p w:rsidR="00DC6D2E" w:rsidRPr="00CE5C86" w:rsidRDefault="00DC6D2E" w:rsidP="00DC6D2E">
            <w:pPr>
              <w:widowControl w:val="0"/>
              <w:spacing w:before="0" w:after="0"/>
              <w:rPr>
                <w:rFonts w:ascii="Arial Narrow" w:hAnsi="Arial Narrow"/>
                <w:sz w:val="20"/>
              </w:rPr>
            </w:pPr>
          </w:p>
          <w:p w:rsidR="00DC6D2E" w:rsidRPr="00CE5C86" w:rsidRDefault="00DC6D2E" w:rsidP="00DC6D2E">
            <w:pPr>
              <w:widowControl w:val="0"/>
              <w:spacing w:before="0" w:after="0"/>
              <w:rPr>
                <w:rFonts w:ascii="Arial Narrow" w:hAnsi="Arial Narrow"/>
                <w:sz w:val="20"/>
              </w:rPr>
            </w:pPr>
          </w:p>
          <w:p w:rsidR="00DC6D2E" w:rsidRPr="00CE5C86" w:rsidRDefault="00DC6D2E" w:rsidP="00DC6D2E">
            <w:pPr>
              <w:widowControl w:val="0"/>
              <w:spacing w:before="0" w:after="0"/>
              <w:rPr>
                <w:rFonts w:ascii="Arial Narrow" w:hAnsi="Arial Narrow"/>
                <w:sz w:val="20"/>
              </w:rPr>
            </w:pPr>
          </w:p>
          <w:p w:rsidR="00DC6D2E" w:rsidRPr="00CE5C86" w:rsidRDefault="00DC6D2E" w:rsidP="00DC6D2E">
            <w:pPr>
              <w:widowControl w:val="0"/>
              <w:spacing w:before="0" w:after="0"/>
              <w:rPr>
                <w:rFonts w:ascii="Arial Narrow" w:hAnsi="Arial Narrow"/>
                <w:sz w:val="20"/>
              </w:rPr>
            </w:pPr>
          </w:p>
          <w:p w:rsidR="00DC6D2E" w:rsidRPr="00CE5C86" w:rsidRDefault="00DC6D2E" w:rsidP="00DC6D2E">
            <w:pPr>
              <w:widowControl w:val="0"/>
              <w:spacing w:before="0" w:after="0"/>
              <w:rPr>
                <w:rFonts w:ascii="Arial Narrow" w:hAnsi="Arial Narrow"/>
                <w:sz w:val="20"/>
              </w:rPr>
            </w:pPr>
          </w:p>
          <w:p w:rsidR="00DC6D2E" w:rsidRPr="00CE5C86" w:rsidRDefault="00DC6D2E" w:rsidP="00500924">
            <w:pPr>
              <w:widowControl w:val="0"/>
              <w:spacing w:before="0" w:after="0"/>
              <w:jc w:val="left"/>
              <w:rPr>
                <w:rFonts w:ascii="Arial Narrow" w:hAnsi="Arial Narrow"/>
                <w:sz w:val="20"/>
              </w:rPr>
            </w:pPr>
            <w:r w:rsidRPr="00CE5C86">
              <w:rPr>
                <w:rFonts w:ascii="Arial Narrow" w:hAnsi="Arial Narrow"/>
                <w:sz w:val="20"/>
              </w:rPr>
              <w:t>Lancet 2009; 374(9700): 1503-1511</w:t>
            </w:r>
          </w:p>
          <w:p w:rsidR="00DC6D2E" w:rsidRPr="00CE5C86" w:rsidRDefault="00DC6D2E" w:rsidP="00DC6D2E">
            <w:pPr>
              <w:widowControl w:val="0"/>
              <w:spacing w:before="0" w:after="0"/>
              <w:rPr>
                <w:rFonts w:ascii="Arial Narrow" w:hAnsi="Arial Narrow"/>
                <w:sz w:val="20"/>
              </w:rPr>
            </w:pPr>
          </w:p>
          <w:p w:rsidR="00DC6D2E" w:rsidRPr="00CE5C86" w:rsidRDefault="00DC6D2E" w:rsidP="00DC6D2E">
            <w:pPr>
              <w:widowControl w:val="0"/>
              <w:spacing w:before="0" w:after="0"/>
              <w:rPr>
                <w:rFonts w:ascii="Arial Narrow" w:hAnsi="Arial Narrow"/>
                <w:sz w:val="20"/>
              </w:rPr>
            </w:pPr>
          </w:p>
          <w:p w:rsidR="00DC6D2E" w:rsidRPr="00CE5C86" w:rsidRDefault="00DC6D2E" w:rsidP="00500924">
            <w:pPr>
              <w:widowControl w:val="0"/>
              <w:spacing w:before="0" w:after="0"/>
              <w:jc w:val="left"/>
              <w:rPr>
                <w:rFonts w:ascii="Arial Narrow" w:hAnsi="Arial Narrow"/>
                <w:sz w:val="20"/>
              </w:rPr>
            </w:pPr>
            <w:r w:rsidRPr="00CE5C86">
              <w:rPr>
                <w:rFonts w:ascii="Arial Narrow" w:hAnsi="Arial Narrow"/>
                <w:sz w:val="20"/>
              </w:rPr>
              <w:t>Neurology 2008; 71(2): 153</w:t>
            </w:r>
          </w:p>
          <w:p w:rsidR="00DC6D2E" w:rsidRPr="00CE5C86" w:rsidRDefault="00DC6D2E" w:rsidP="00500924">
            <w:pPr>
              <w:widowControl w:val="0"/>
              <w:spacing w:before="0" w:after="0"/>
              <w:jc w:val="left"/>
              <w:rPr>
                <w:rFonts w:ascii="Arial Narrow" w:hAnsi="Arial Narrow"/>
                <w:sz w:val="20"/>
              </w:rPr>
            </w:pPr>
          </w:p>
          <w:p w:rsidR="00DC6D2E" w:rsidRPr="00CE5C86" w:rsidRDefault="00DC6D2E" w:rsidP="00500924">
            <w:pPr>
              <w:widowControl w:val="0"/>
              <w:spacing w:before="0" w:after="0"/>
              <w:jc w:val="left"/>
              <w:rPr>
                <w:rFonts w:ascii="Arial Narrow" w:hAnsi="Arial Narrow"/>
                <w:sz w:val="20"/>
              </w:rPr>
            </w:pPr>
          </w:p>
          <w:p w:rsidR="00DC6D2E" w:rsidRPr="00CE5C86" w:rsidRDefault="00DC6D2E" w:rsidP="00FB5A17">
            <w:pPr>
              <w:widowControl w:val="0"/>
              <w:spacing w:before="0" w:after="0"/>
              <w:jc w:val="left"/>
              <w:rPr>
                <w:rFonts w:ascii="Arial Narrow" w:hAnsi="Arial Narrow"/>
                <w:sz w:val="20"/>
              </w:rPr>
            </w:pPr>
            <w:r w:rsidRPr="00CE5C86">
              <w:rPr>
                <w:rFonts w:ascii="Arial Narrow" w:hAnsi="Arial Narrow"/>
                <w:sz w:val="20"/>
              </w:rPr>
              <w:t>Multiple Sclerosis Journal 2013: 19(8): 1074-1083</w:t>
            </w:r>
          </w:p>
          <w:p w:rsidR="00FB5A17" w:rsidRDefault="00FB5A17" w:rsidP="00FB5A17">
            <w:pPr>
              <w:widowControl w:val="0"/>
              <w:spacing w:before="0" w:after="0"/>
              <w:jc w:val="left"/>
              <w:rPr>
                <w:rFonts w:ascii="Arial Narrow" w:hAnsi="Arial Narrow"/>
                <w:sz w:val="20"/>
              </w:rPr>
            </w:pPr>
          </w:p>
          <w:p w:rsidR="00DC6D2E" w:rsidRPr="00CE5C86" w:rsidRDefault="00DC6D2E" w:rsidP="00500924">
            <w:pPr>
              <w:widowControl w:val="0"/>
              <w:spacing w:before="40" w:after="40"/>
              <w:jc w:val="left"/>
              <w:rPr>
                <w:rFonts w:ascii="Times" w:eastAsia="Times New Roman" w:hAnsi="Times" w:cs="Times New Roman"/>
                <w:sz w:val="20"/>
              </w:rPr>
            </w:pPr>
            <w:r w:rsidRPr="00CE5C86">
              <w:rPr>
                <w:rFonts w:ascii="Arial Narrow" w:hAnsi="Arial Narrow"/>
                <w:sz w:val="20"/>
              </w:rPr>
              <w:t>Journal of Neurology 2013: 260(7): 1901-1906</w:t>
            </w:r>
          </w:p>
        </w:tc>
      </w:tr>
      <w:tr w:rsidR="00DC6D2E" w:rsidRPr="00CE5C86" w:rsidTr="00D1713A">
        <w:tc>
          <w:tcPr>
            <w:tcW w:w="5000" w:type="pct"/>
            <w:gridSpan w:val="3"/>
          </w:tcPr>
          <w:p w:rsidR="00DC6D2E" w:rsidRPr="00CE5C86" w:rsidRDefault="00DC6D2E" w:rsidP="00DC6D2E">
            <w:pPr>
              <w:widowControl w:val="0"/>
              <w:spacing w:before="40" w:after="40"/>
              <w:jc w:val="left"/>
              <w:rPr>
                <w:rFonts w:ascii="Arial Narrow" w:hAnsi="Arial Narrow"/>
                <w:b/>
                <w:sz w:val="20"/>
              </w:rPr>
            </w:pPr>
            <w:r w:rsidRPr="00CE5C86">
              <w:rPr>
                <w:rFonts w:ascii="Arial Narrow" w:hAnsi="Arial Narrow"/>
                <w:b/>
                <w:sz w:val="20"/>
              </w:rPr>
              <w:t>Supplementary randomised trials</w:t>
            </w:r>
          </w:p>
        </w:tc>
      </w:tr>
      <w:tr w:rsidR="00DC6D2E" w:rsidRPr="00CE5C86" w:rsidTr="00FB5A17">
        <w:tc>
          <w:tcPr>
            <w:tcW w:w="640" w:type="pct"/>
          </w:tcPr>
          <w:p w:rsidR="00DC6D2E" w:rsidRPr="00CE5C86" w:rsidRDefault="00DC6D2E" w:rsidP="00DC6D2E">
            <w:pPr>
              <w:widowControl w:val="0"/>
              <w:spacing w:before="40" w:after="40"/>
              <w:rPr>
                <w:rFonts w:ascii="Times" w:eastAsia="Times New Roman" w:hAnsi="Times" w:cs="Times New Roman"/>
                <w:sz w:val="20"/>
              </w:rPr>
            </w:pPr>
            <w:proofErr w:type="spellStart"/>
            <w:r w:rsidRPr="00CE5C86">
              <w:rPr>
                <w:rFonts w:ascii="Arial Narrow" w:hAnsi="Arial Narrow"/>
                <w:sz w:val="20"/>
              </w:rPr>
              <w:t>Pakdaman</w:t>
            </w:r>
            <w:proofErr w:type="spellEnd"/>
          </w:p>
        </w:tc>
        <w:tc>
          <w:tcPr>
            <w:tcW w:w="3278" w:type="pct"/>
          </w:tcPr>
          <w:p w:rsidR="00DC6D2E" w:rsidRPr="00CE5C86" w:rsidRDefault="00DC6D2E" w:rsidP="00DC6D2E">
            <w:pPr>
              <w:widowControl w:val="0"/>
              <w:spacing w:before="40" w:after="40"/>
              <w:rPr>
                <w:rFonts w:ascii="Times" w:eastAsia="Times New Roman" w:hAnsi="Times" w:cs="Times New Roman"/>
                <w:sz w:val="20"/>
              </w:rPr>
            </w:pPr>
            <w:proofErr w:type="spellStart"/>
            <w:r w:rsidRPr="00CE5C86">
              <w:rPr>
                <w:rFonts w:ascii="Arial Narrow" w:hAnsi="Arial Narrow"/>
                <w:sz w:val="20"/>
              </w:rPr>
              <w:t>Pakdaman</w:t>
            </w:r>
            <w:proofErr w:type="spellEnd"/>
            <w:r w:rsidRPr="00CE5C86">
              <w:rPr>
                <w:rFonts w:ascii="Arial Narrow" w:hAnsi="Arial Narrow"/>
                <w:sz w:val="20"/>
              </w:rPr>
              <w:t xml:space="preserve">, H., </w:t>
            </w:r>
            <w:proofErr w:type="spellStart"/>
            <w:r w:rsidRPr="00CE5C86">
              <w:rPr>
                <w:rFonts w:ascii="Arial Narrow" w:hAnsi="Arial Narrow"/>
                <w:sz w:val="20"/>
              </w:rPr>
              <w:t>Sahraian</w:t>
            </w:r>
            <w:proofErr w:type="spellEnd"/>
            <w:r w:rsidRPr="00CE5C86">
              <w:rPr>
                <w:rFonts w:ascii="Arial Narrow" w:hAnsi="Arial Narrow"/>
                <w:sz w:val="20"/>
              </w:rPr>
              <w:t>, M.A., et al. Effect of early interferon beta-1a therapy on conversion to multiple sclerosis in Iranian patients with a first demyelinating event</w:t>
            </w:r>
          </w:p>
        </w:tc>
        <w:tc>
          <w:tcPr>
            <w:tcW w:w="1082" w:type="pct"/>
          </w:tcPr>
          <w:p w:rsidR="00DC6D2E" w:rsidRPr="00CE5C86" w:rsidRDefault="00DC6D2E" w:rsidP="00DC6D2E">
            <w:pPr>
              <w:widowControl w:val="0"/>
              <w:spacing w:before="40" w:after="40"/>
              <w:jc w:val="left"/>
              <w:rPr>
                <w:rFonts w:ascii="Times" w:eastAsia="Times New Roman" w:hAnsi="Times" w:cs="Times New Roman"/>
                <w:sz w:val="20"/>
              </w:rPr>
            </w:pPr>
            <w:proofErr w:type="spellStart"/>
            <w:r w:rsidRPr="00CE5C86">
              <w:rPr>
                <w:rFonts w:ascii="Arial Narrow" w:hAnsi="Arial Narrow"/>
                <w:sz w:val="20"/>
              </w:rPr>
              <w:t>Acta</w:t>
            </w:r>
            <w:proofErr w:type="spellEnd"/>
            <w:r w:rsidRPr="00CE5C86">
              <w:rPr>
                <w:rFonts w:ascii="Arial Narrow" w:hAnsi="Arial Narrow"/>
                <w:sz w:val="20"/>
              </w:rPr>
              <w:t xml:space="preserve"> </w:t>
            </w:r>
            <w:proofErr w:type="spellStart"/>
            <w:r w:rsidRPr="00CE5C86">
              <w:rPr>
                <w:rFonts w:ascii="Arial Narrow" w:hAnsi="Arial Narrow"/>
                <w:sz w:val="20"/>
              </w:rPr>
              <w:t>Neurologica</w:t>
            </w:r>
            <w:proofErr w:type="spellEnd"/>
            <w:r w:rsidRPr="00CE5C86">
              <w:rPr>
                <w:rFonts w:ascii="Arial Narrow" w:hAnsi="Arial Narrow"/>
                <w:sz w:val="20"/>
              </w:rPr>
              <w:t xml:space="preserve"> </w:t>
            </w:r>
            <w:proofErr w:type="spellStart"/>
            <w:r w:rsidRPr="00CE5C86">
              <w:rPr>
                <w:rFonts w:ascii="Arial Narrow" w:hAnsi="Arial Narrow"/>
                <w:sz w:val="20"/>
              </w:rPr>
              <w:t>Scandinavica</w:t>
            </w:r>
            <w:proofErr w:type="spellEnd"/>
            <w:r w:rsidRPr="00CE5C86">
              <w:rPr>
                <w:rFonts w:ascii="Arial Narrow" w:hAnsi="Arial Narrow"/>
                <w:sz w:val="20"/>
              </w:rPr>
              <w:t xml:space="preserve"> 2007; 115(6): 429-431</w:t>
            </w:r>
          </w:p>
        </w:tc>
      </w:tr>
      <w:tr w:rsidR="00DC6D2E" w:rsidRPr="00CE5C86" w:rsidTr="00FB5A17">
        <w:tc>
          <w:tcPr>
            <w:tcW w:w="640" w:type="pct"/>
          </w:tcPr>
          <w:p w:rsidR="00DC6D2E" w:rsidRPr="00CE5C86" w:rsidRDefault="00DC6D2E" w:rsidP="00DC6D2E">
            <w:pPr>
              <w:widowControl w:val="0"/>
              <w:spacing w:before="40" w:after="40"/>
              <w:rPr>
                <w:rFonts w:ascii="Times" w:eastAsia="Times New Roman" w:hAnsi="Times" w:cs="Times New Roman"/>
                <w:sz w:val="20"/>
              </w:rPr>
            </w:pPr>
            <w:r w:rsidRPr="00CE5C86">
              <w:rPr>
                <w:rFonts w:ascii="Arial Narrow" w:hAnsi="Arial Narrow"/>
                <w:sz w:val="20"/>
              </w:rPr>
              <w:t>BENEFIT</w:t>
            </w:r>
          </w:p>
        </w:tc>
        <w:tc>
          <w:tcPr>
            <w:tcW w:w="3278" w:type="pct"/>
          </w:tcPr>
          <w:p w:rsidR="00DC6D2E" w:rsidRPr="00CE5C86" w:rsidRDefault="00DC6D2E" w:rsidP="00DC6D2E">
            <w:pPr>
              <w:widowControl w:val="0"/>
              <w:spacing w:before="40" w:after="40"/>
              <w:rPr>
                <w:rFonts w:ascii="Times" w:eastAsia="Times New Roman" w:hAnsi="Times" w:cs="Times New Roman"/>
                <w:sz w:val="20"/>
              </w:rPr>
            </w:pPr>
            <w:proofErr w:type="spellStart"/>
            <w:r w:rsidRPr="00CE5C86">
              <w:rPr>
                <w:rFonts w:ascii="Arial Narrow" w:hAnsi="Arial Narrow"/>
                <w:sz w:val="20"/>
                <w:lang w:val="en-GB"/>
              </w:rPr>
              <w:t>Kappos</w:t>
            </w:r>
            <w:proofErr w:type="spellEnd"/>
            <w:r w:rsidRPr="00CE5C86">
              <w:rPr>
                <w:rFonts w:ascii="Arial Narrow" w:hAnsi="Arial Narrow"/>
                <w:sz w:val="20"/>
                <w:lang w:val="en-GB"/>
              </w:rPr>
              <w:t xml:space="preserve">, L., </w:t>
            </w:r>
            <w:proofErr w:type="spellStart"/>
            <w:r w:rsidRPr="00CE5C86">
              <w:rPr>
                <w:rFonts w:ascii="Arial Narrow" w:hAnsi="Arial Narrow"/>
                <w:sz w:val="20"/>
                <w:lang w:val="en-GB"/>
              </w:rPr>
              <w:t>Polman</w:t>
            </w:r>
            <w:proofErr w:type="spellEnd"/>
            <w:r w:rsidRPr="00CE5C86">
              <w:rPr>
                <w:rFonts w:ascii="Arial Narrow" w:hAnsi="Arial Narrow"/>
                <w:sz w:val="20"/>
                <w:lang w:val="en-GB"/>
              </w:rPr>
              <w:t>, C.H., et al. Treatment with interferon beta-1b delays conversion to clinically definite and McDonald MS in patients with clinically isolated syndromes</w:t>
            </w:r>
          </w:p>
        </w:tc>
        <w:tc>
          <w:tcPr>
            <w:tcW w:w="1082" w:type="pct"/>
          </w:tcPr>
          <w:p w:rsidR="00DC6D2E" w:rsidRPr="00CE5C86" w:rsidRDefault="00DC6D2E" w:rsidP="00DC6D2E">
            <w:pPr>
              <w:widowControl w:val="0"/>
              <w:spacing w:before="40" w:after="40"/>
              <w:jc w:val="left"/>
              <w:rPr>
                <w:rFonts w:ascii="Times" w:eastAsia="Times New Roman" w:hAnsi="Times" w:cs="Times New Roman"/>
                <w:sz w:val="20"/>
              </w:rPr>
            </w:pPr>
            <w:r w:rsidRPr="00CE5C86">
              <w:rPr>
                <w:rFonts w:ascii="Arial Narrow" w:hAnsi="Arial Narrow"/>
                <w:sz w:val="20"/>
                <w:lang w:val="en-GB"/>
              </w:rPr>
              <w:t>Neurology 2006; 67(7): 1242-1249</w:t>
            </w:r>
          </w:p>
        </w:tc>
      </w:tr>
      <w:tr w:rsidR="00DC6D2E" w:rsidRPr="00CE5C86" w:rsidTr="00FB5A17">
        <w:tc>
          <w:tcPr>
            <w:tcW w:w="640" w:type="pct"/>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CHAMPS</w:t>
            </w:r>
          </w:p>
        </w:tc>
        <w:tc>
          <w:tcPr>
            <w:tcW w:w="3278" w:type="pct"/>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 xml:space="preserve">Jacobs, L.D., Beck, R.W., et al. Intramuscular interferon beta-1a therapy initiated during a first demyelinating event in multiple sclerosis </w:t>
            </w:r>
          </w:p>
        </w:tc>
        <w:tc>
          <w:tcPr>
            <w:tcW w:w="1082" w:type="pct"/>
          </w:tcPr>
          <w:p w:rsidR="00DC6D2E" w:rsidRPr="00CE5C86" w:rsidRDefault="00DC6D2E" w:rsidP="00DC6D2E">
            <w:pPr>
              <w:widowControl w:val="0"/>
              <w:spacing w:before="40" w:after="40"/>
              <w:jc w:val="left"/>
              <w:rPr>
                <w:rFonts w:ascii="Arial Narrow" w:hAnsi="Arial Narrow"/>
                <w:sz w:val="20"/>
              </w:rPr>
            </w:pPr>
            <w:r w:rsidRPr="00CE5C86">
              <w:rPr>
                <w:rFonts w:ascii="Arial Narrow" w:hAnsi="Arial Narrow"/>
                <w:sz w:val="20"/>
                <w:lang w:val="en-GB"/>
              </w:rPr>
              <w:t>New England Journal of Medicine 2000; 343(13): 898-904</w:t>
            </w:r>
          </w:p>
        </w:tc>
      </w:tr>
      <w:tr w:rsidR="00DC6D2E" w:rsidRPr="00CE5C86" w:rsidTr="00FB5A17">
        <w:tc>
          <w:tcPr>
            <w:tcW w:w="640" w:type="pct"/>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ETOMS</w:t>
            </w:r>
          </w:p>
        </w:tc>
        <w:tc>
          <w:tcPr>
            <w:tcW w:w="3278" w:type="pct"/>
          </w:tcPr>
          <w:p w:rsidR="00DC6D2E" w:rsidRPr="00CE5C86" w:rsidRDefault="00DC6D2E" w:rsidP="00DC6D2E">
            <w:pPr>
              <w:widowControl w:val="0"/>
              <w:spacing w:before="40" w:after="40"/>
              <w:rPr>
                <w:rFonts w:ascii="Arial Narrow" w:hAnsi="Arial Narrow"/>
                <w:sz w:val="20"/>
              </w:rPr>
            </w:pPr>
            <w:proofErr w:type="spellStart"/>
            <w:r w:rsidRPr="00CE5C86">
              <w:rPr>
                <w:rFonts w:ascii="Arial Narrow" w:hAnsi="Arial Narrow"/>
                <w:sz w:val="20"/>
              </w:rPr>
              <w:t>Comi</w:t>
            </w:r>
            <w:proofErr w:type="spellEnd"/>
            <w:r w:rsidRPr="00CE5C86">
              <w:rPr>
                <w:rFonts w:ascii="Arial Narrow" w:hAnsi="Arial Narrow"/>
                <w:sz w:val="20"/>
              </w:rPr>
              <w:t xml:space="preserve">, G., </w:t>
            </w:r>
            <w:proofErr w:type="spellStart"/>
            <w:r w:rsidRPr="00CE5C86">
              <w:rPr>
                <w:rFonts w:ascii="Arial Narrow" w:hAnsi="Arial Narrow"/>
                <w:sz w:val="20"/>
              </w:rPr>
              <w:t>Filippi</w:t>
            </w:r>
            <w:proofErr w:type="spellEnd"/>
            <w:r w:rsidRPr="00CE5C86">
              <w:rPr>
                <w:rFonts w:ascii="Arial Narrow" w:hAnsi="Arial Narrow"/>
                <w:sz w:val="20"/>
              </w:rPr>
              <w:t>, M., et al. Effect of early interferon treatment on conversion to definite multiple sclerosis: A randomised study</w:t>
            </w:r>
          </w:p>
        </w:tc>
        <w:tc>
          <w:tcPr>
            <w:tcW w:w="1082" w:type="pct"/>
          </w:tcPr>
          <w:p w:rsidR="00DC6D2E" w:rsidRPr="00CE5C86" w:rsidRDefault="00DC6D2E" w:rsidP="00DC6D2E">
            <w:pPr>
              <w:widowControl w:val="0"/>
              <w:spacing w:before="40" w:after="40"/>
              <w:jc w:val="left"/>
              <w:rPr>
                <w:rFonts w:ascii="Arial Narrow" w:hAnsi="Arial Narrow"/>
                <w:sz w:val="20"/>
              </w:rPr>
            </w:pPr>
            <w:r w:rsidRPr="00CE5C86">
              <w:rPr>
                <w:rFonts w:ascii="Arial Narrow" w:hAnsi="Arial Narrow"/>
                <w:sz w:val="20"/>
                <w:lang w:val="en-GB"/>
              </w:rPr>
              <w:t>Lancet 2001; 357(9268): 1576-1582</w:t>
            </w:r>
          </w:p>
        </w:tc>
      </w:tr>
      <w:tr w:rsidR="00DC6D2E" w:rsidRPr="00CE5C86" w:rsidTr="00FB5A17">
        <w:tc>
          <w:tcPr>
            <w:tcW w:w="640" w:type="pct"/>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REFLEX</w:t>
            </w:r>
          </w:p>
        </w:tc>
        <w:tc>
          <w:tcPr>
            <w:tcW w:w="3278" w:type="pct"/>
          </w:tcPr>
          <w:p w:rsidR="00DC6D2E" w:rsidRPr="00CE5C86" w:rsidRDefault="00DC6D2E" w:rsidP="00DC6D2E">
            <w:pPr>
              <w:widowControl w:val="0"/>
              <w:spacing w:before="40" w:after="40"/>
              <w:rPr>
                <w:rFonts w:ascii="Arial Narrow" w:hAnsi="Arial Narrow"/>
                <w:sz w:val="20"/>
              </w:rPr>
            </w:pPr>
            <w:proofErr w:type="spellStart"/>
            <w:r w:rsidRPr="00CE5C86">
              <w:rPr>
                <w:rFonts w:ascii="Arial Narrow" w:hAnsi="Arial Narrow"/>
                <w:sz w:val="20"/>
              </w:rPr>
              <w:t>Comi</w:t>
            </w:r>
            <w:proofErr w:type="spellEnd"/>
            <w:r w:rsidRPr="00CE5C86">
              <w:rPr>
                <w:rFonts w:ascii="Arial Narrow" w:hAnsi="Arial Narrow"/>
                <w:sz w:val="20"/>
              </w:rPr>
              <w:t>, G., De Stefano, N., et al. Comparison of two dosing frequencies of subcutaneous interferon beta-1a in patients with a first clinical demyelinating event suggestive of multiple sclerosis (reflex): A phase 3 randomised controlled trial</w:t>
            </w:r>
          </w:p>
        </w:tc>
        <w:tc>
          <w:tcPr>
            <w:tcW w:w="1082" w:type="pct"/>
          </w:tcPr>
          <w:p w:rsidR="00DC6D2E" w:rsidRPr="00CE5C86" w:rsidRDefault="00DC6D2E" w:rsidP="00DC6D2E">
            <w:pPr>
              <w:widowControl w:val="0"/>
              <w:spacing w:before="40" w:after="40"/>
              <w:jc w:val="left"/>
              <w:rPr>
                <w:rFonts w:ascii="Arial Narrow" w:hAnsi="Arial Narrow"/>
                <w:sz w:val="20"/>
              </w:rPr>
            </w:pPr>
            <w:r w:rsidRPr="00CE5C86">
              <w:rPr>
                <w:rFonts w:ascii="Arial Narrow" w:hAnsi="Arial Narrow"/>
                <w:sz w:val="20"/>
                <w:lang w:val="en-GB"/>
              </w:rPr>
              <w:t>Lancet Neurology 2012; 11(1): 33-41</w:t>
            </w:r>
          </w:p>
        </w:tc>
      </w:tr>
    </w:tbl>
    <w:p w:rsidR="00986F2E" w:rsidRPr="00CE5C86" w:rsidRDefault="00DC6D2E" w:rsidP="00AC1EB5">
      <w:pPr>
        <w:widowControl w:val="0"/>
        <w:spacing w:before="0" w:after="240"/>
        <w:rPr>
          <w:rFonts w:ascii="Arial Narrow" w:eastAsia="Times New Roman" w:hAnsi="Arial Narrow" w:cs="Arial"/>
          <w:snapToGrid w:val="0"/>
          <w:sz w:val="18"/>
          <w:szCs w:val="20"/>
        </w:rPr>
      </w:pPr>
      <w:r w:rsidRPr="00CE5C86">
        <w:rPr>
          <w:rFonts w:ascii="Arial Narrow" w:eastAsia="Times New Roman" w:hAnsi="Arial Narrow" w:cs="Arial"/>
          <w:snapToGrid w:val="0"/>
          <w:sz w:val="18"/>
          <w:szCs w:val="20"/>
        </w:rPr>
        <w:t>Source: Table 2-4, pp.2-10 to 2-11 of Section 2 of the submission; Table 1-1, p.3 of ‘</w:t>
      </w:r>
      <w:proofErr w:type="spellStart"/>
      <w:r w:rsidRPr="00CE5C86">
        <w:rPr>
          <w:rFonts w:ascii="Arial Narrow" w:eastAsia="Times New Roman" w:hAnsi="Arial Narrow" w:cs="Arial"/>
          <w:snapToGrid w:val="0"/>
          <w:sz w:val="18"/>
          <w:szCs w:val="20"/>
        </w:rPr>
        <w:t>Copaxone</w:t>
      </w:r>
      <w:proofErr w:type="spellEnd"/>
      <w:r w:rsidRPr="00CE5C86">
        <w:rPr>
          <w:rFonts w:ascii="Arial Narrow" w:eastAsia="Times New Roman" w:hAnsi="Arial Narrow" w:cs="Arial"/>
          <w:snapToGrid w:val="0"/>
          <w:sz w:val="18"/>
          <w:szCs w:val="20"/>
        </w:rPr>
        <w:t xml:space="preserve"> July 2017 Part of Attachment 7- Indirect comparisons summary’, Attachment 7 of the submission. </w:t>
      </w:r>
    </w:p>
    <w:p w:rsidR="00DC6D2E" w:rsidRPr="00CE5C86" w:rsidRDefault="00DC6D2E" w:rsidP="005875D1">
      <w:pPr>
        <w:numPr>
          <w:ilvl w:val="1"/>
          <w:numId w:val="3"/>
        </w:numPr>
        <w:spacing w:before="0" w:after="120"/>
        <w:rPr>
          <w:rFonts w:ascii="Calibri" w:hAnsi="Calibri"/>
        </w:rPr>
      </w:pPr>
      <w:r w:rsidRPr="00CE5C86">
        <w:rPr>
          <w:rFonts w:ascii="Calibri" w:hAnsi="Calibri"/>
        </w:rPr>
        <w:t>The key features of the randomised trials are</w:t>
      </w:r>
      <w:r w:rsidR="00FB5A17">
        <w:rPr>
          <w:rFonts w:ascii="Calibri" w:hAnsi="Calibri"/>
        </w:rPr>
        <w:t xml:space="preserve"> summarised in the table below.</w:t>
      </w:r>
    </w:p>
    <w:p w:rsidR="002744AA" w:rsidRPr="00CE5C86" w:rsidRDefault="002744AA" w:rsidP="002744AA">
      <w:pPr>
        <w:pStyle w:val="Caption"/>
      </w:pPr>
      <w:r w:rsidRPr="00CE5C86">
        <w:t xml:space="preserve">Table </w:t>
      </w:r>
      <w:r w:rsidR="007E6A8F">
        <w:rPr>
          <w:noProof/>
        </w:rPr>
        <w:t>3</w:t>
      </w:r>
      <w:r w:rsidRPr="00CE5C86">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3"/>
        <w:gridCol w:w="707"/>
        <w:gridCol w:w="2125"/>
        <w:gridCol w:w="852"/>
        <w:gridCol w:w="1558"/>
        <w:gridCol w:w="1602"/>
        <w:gridCol w:w="1215"/>
      </w:tblGrid>
      <w:tr w:rsidR="00DC6D2E" w:rsidRPr="00CE5C86" w:rsidTr="00FB5A17">
        <w:trPr>
          <w:tblHeader/>
        </w:trPr>
        <w:tc>
          <w:tcPr>
            <w:tcW w:w="563" w:type="pct"/>
            <w:shd w:val="clear" w:color="auto" w:fill="auto"/>
            <w:vAlign w:val="center"/>
          </w:tcPr>
          <w:p w:rsidR="00DC6D2E" w:rsidRPr="00CE5C86" w:rsidRDefault="00DC6D2E" w:rsidP="00DC6D2E">
            <w:pPr>
              <w:widowControl w:val="0"/>
              <w:spacing w:before="40" w:after="40"/>
              <w:jc w:val="left"/>
              <w:rPr>
                <w:rFonts w:ascii="Arial Narrow" w:hAnsi="Arial Narrow"/>
                <w:b/>
                <w:sz w:val="20"/>
                <w:szCs w:val="20"/>
              </w:rPr>
            </w:pPr>
            <w:r w:rsidRPr="00CE5C86">
              <w:rPr>
                <w:rFonts w:ascii="Arial Narrow" w:hAnsi="Arial Narrow"/>
                <w:b/>
                <w:sz w:val="20"/>
                <w:szCs w:val="20"/>
              </w:rPr>
              <w:t>Trial</w:t>
            </w:r>
          </w:p>
        </w:tc>
        <w:tc>
          <w:tcPr>
            <w:tcW w:w="389" w:type="pct"/>
            <w:shd w:val="clear" w:color="auto" w:fill="auto"/>
            <w:vAlign w:val="center"/>
          </w:tcPr>
          <w:p w:rsidR="00DC6D2E" w:rsidRPr="00CE5C86" w:rsidRDefault="00DC6D2E" w:rsidP="00DC6D2E">
            <w:pPr>
              <w:widowControl w:val="0"/>
              <w:spacing w:before="40" w:after="40"/>
              <w:jc w:val="center"/>
              <w:rPr>
                <w:rFonts w:ascii="Arial Narrow" w:hAnsi="Arial Narrow"/>
                <w:b/>
                <w:sz w:val="20"/>
                <w:szCs w:val="20"/>
              </w:rPr>
            </w:pPr>
            <w:r w:rsidRPr="00CE5C86">
              <w:rPr>
                <w:rFonts w:ascii="Arial Narrow" w:hAnsi="Arial Narrow"/>
                <w:b/>
                <w:sz w:val="20"/>
                <w:szCs w:val="20"/>
              </w:rPr>
              <w:t>N</w:t>
            </w:r>
          </w:p>
        </w:tc>
        <w:tc>
          <w:tcPr>
            <w:tcW w:w="1170" w:type="pct"/>
            <w:shd w:val="clear" w:color="auto" w:fill="auto"/>
            <w:vAlign w:val="center"/>
          </w:tcPr>
          <w:p w:rsidR="00DC6D2E" w:rsidRPr="00CE5C86" w:rsidRDefault="00DC6D2E" w:rsidP="00DC6D2E">
            <w:pPr>
              <w:widowControl w:val="0"/>
              <w:spacing w:before="40" w:after="40"/>
              <w:jc w:val="center"/>
              <w:rPr>
                <w:rFonts w:ascii="Arial Narrow" w:hAnsi="Arial Narrow"/>
                <w:b/>
                <w:sz w:val="20"/>
                <w:szCs w:val="20"/>
              </w:rPr>
            </w:pPr>
            <w:r w:rsidRPr="00CE5C86">
              <w:rPr>
                <w:rFonts w:ascii="Arial Narrow" w:hAnsi="Arial Narrow"/>
                <w:b/>
                <w:sz w:val="20"/>
                <w:szCs w:val="20"/>
              </w:rPr>
              <w:t>Design/ duration of follow-up</w:t>
            </w:r>
          </w:p>
        </w:tc>
        <w:tc>
          <w:tcPr>
            <w:tcW w:w="469" w:type="pct"/>
            <w:shd w:val="clear" w:color="auto" w:fill="auto"/>
            <w:vAlign w:val="center"/>
          </w:tcPr>
          <w:p w:rsidR="00DC6D2E" w:rsidRPr="00CE5C86" w:rsidRDefault="00DC6D2E" w:rsidP="00DC6D2E">
            <w:pPr>
              <w:widowControl w:val="0"/>
              <w:spacing w:before="40" w:after="40"/>
              <w:jc w:val="center"/>
              <w:rPr>
                <w:rFonts w:ascii="Arial Narrow" w:hAnsi="Arial Narrow"/>
                <w:b/>
                <w:sz w:val="20"/>
                <w:szCs w:val="20"/>
              </w:rPr>
            </w:pPr>
            <w:r w:rsidRPr="00CE5C86">
              <w:rPr>
                <w:rFonts w:ascii="Arial Narrow" w:hAnsi="Arial Narrow"/>
                <w:b/>
                <w:sz w:val="20"/>
                <w:szCs w:val="20"/>
              </w:rPr>
              <w:t>Risk of bias</w:t>
            </w:r>
          </w:p>
        </w:tc>
        <w:tc>
          <w:tcPr>
            <w:tcW w:w="858" w:type="pct"/>
            <w:shd w:val="clear" w:color="auto" w:fill="auto"/>
            <w:vAlign w:val="center"/>
          </w:tcPr>
          <w:p w:rsidR="00DC6D2E" w:rsidRPr="00CE5C86" w:rsidRDefault="00DC6D2E" w:rsidP="00DC6D2E">
            <w:pPr>
              <w:widowControl w:val="0"/>
              <w:spacing w:before="40" w:after="40"/>
              <w:jc w:val="center"/>
              <w:rPr>
                <w:rFonts w:ascii="Arial Narrow" w:hAnsi="Arial Narrow"/>
                <w:b/>
                <w:sz w:val="20"/>
                <w:szCs w:val="20"/>
              </w:rPr>
            </w:pPr>
            <w:r w:rsidRPr="00CE5C86">
              <w:rPr>
                <w:rFonts w:ascii="Arial Narrow" w:hAnsi="Arial Narrow"/>
                <w:b/>
                <w:sz w:val="20"/>
                <w:szCs w:val="20"/>
              </w:rPr>
              <w:t>Patient population</w:t>
            </w:r>
          </w:p>
        </w:tc>
        <w:tc>
          <w:tcPr>
            <w:tcW w:w="882" w:type="pct"/>
            <w:shd w:val="clear" w:color="auto" w:fill="auto"/>
            <w:vAlign w:val="center"/>
          </w:tcPr>
          <w:p w:rsidR="00DC6D2E" w:rsidRPr="00CE5C86" w:rsidRDefault="00DC6D2E" w:rsidP="00DC6D2E">
            <w:pPr>
              <w:widowControl w:val="0"/>
              <w:spacing w:before="40" w:after="40"/>
              <w:jc w:val="center"/>
              <w:rPr>
                <w:rFonts w:ascii="Arial Narrow" w:hAnsi="Arial Narrow"/>
                <w:b/>
                <w:sz w:val="20"/>
                <w:szCs w:val="20"/>
              </w:rPr>
            </w:pPr>
            <w:r w:rsidRPr="00CE5C86">
              <w:rPr>
                <w:rFonts w:ascii="Arial Narrow" w:hAnsi="Arial Narrow"/>
                <w:b/>
                <w:sz w:val="20"/>
                <w:szCs w:val="20"/>
              </w:rPr>
              <w:t>Outcomes</w:t>
            </w:r>
          </w:p>
        </w:tc>
        <w:tc>
          <w:tcPr>
            <w:tcW w:w="669" w:type="pct"/>
            <w:shd w:val="clear" w:color="auto" w:fill="auto"/>
            <w:vAlign w:val="center"/>
          </w:tcPr>
          <w:p w:rsidR="00DC6D2E" w:rsidRPr="00CE5C86" w:rsidRDefault="00DC6D2E" w:rsidP="00DC6D2E">
            <w:pPr>
              <w:widowControl w:val="0"/>
              <w:spacing w:before="40" w:after="40"/>
              <w:jc w:val="center"/>
              <w:rPr>
                <w:rFonts w:ascii="Arial Narrow" w:hAnsi="Arial Narrow"/>
                <w:b/>
                <w:sz w:val="20"/>
                <w:szCs w:val="20"/>
              </w:rPr>
            </w:pPr>
            <w:r w:rsidRPr="00CE5C86">
              <w:rPr>
                <w:rFonts w:ascii="Arial Narrow" w:hAnsi="Arial Narrow"/>
                <w:b/>
                <w:sz w:val="20"/>
                <w:szCs w:val="20"/>
              </w:rPr>
              <w:t>Use in modelled evaluation</w:t>
            </w:r>
          </w:p>
        </w:tc>
      </w:tr>
      <w:tr w:rsidR="00DC6D2E" w:rsidRPr="00CE5C86" w:rsidTr="00DC6D2E">
        <w:tc>
          <w:tcPr>
            <w:tcW w:w="5000" w:type="pct"/>
            <w:gridSpan w:val="7"/>
            <w:shd w:val="clear" w:color="auto" w:fill="auto"/>
            <w:vAlign w:val="center"/>
          </w:tcPr>
          <w:p w:rsidR="00DC6D2E" w:rsidRPr="00CE5C86" w:rsidRDefault="00DC6D2E" w:rsidP="00DC6D2E">
            <w:pPr>
              <w:widowControl w:val="0"/>
              <w:spacing w:before="40" w:after="40"/>
              <w:jc w:val="left"/>
              <w:rPr>
                <w:rFonts w:ascii="Arial Narrow" w:hAnsi="Arial Narrow"/>
                <w:b/>
                <w:sz w:val="20"/>
                <w:szCs w:val="20"/>
              </w:rPr>
            </w:pPr>
            <w:r w:rsidRPr="00CE5C86">
              <w:rPr>
                <w:rFonts w:ascii="Arial Narrow" w:hAnsi="Arial Narrow"/>
                <w:b/>
                <w:sz w:val="20"/>
                <w:szCs w:val="20"/>
              </w:rPr>
              <w:t>Glatiramer acetate versus placebo</w:t>
            </w:r>
          </w:p>
        </w:tc>
      </w:tr>
      <w:tr w:rsidR="00DC6D2E" w:rsidRPr="00CE5C86" w:rsidTr="00FB5A17">
        <w:tc>
          <w:tcPr>
            <w:tcW w:w="563" w:type="pct"/>
            <w:shd w:val="clear" w:color="auto" w:fill="auto"/>
            <w:vAlign w:val="center"/>
          </w:tcPr>
          <w:p w:rsidR="00DC6D2E" w:rsidRPr="00CE5C86" w:rsidRDefault="00DC6D2E" w:rsidP="00DC6D2E">
            <w:pPr>
              <w:widowControl w:val="0"/>
              <w:spacing w:before="40" w:after="40"/>
              <w:jc w:val="left"/>
              <w:rPr>
                <w:rFonts w:ascii="Arial Narrow" w:hAnsi="Arial Narrow"/>
                <w:sz w:val="20"/>
                <w:szCs w:val="20"/>
              </w:rPr>
            </w:pPr>
            <w:proofErr w:type="spellStart"/>
            <w:r w:rsidRPr="00CE5C86">
              <w:rPr>
                <w:rFonts w:ascii="Arial Narrow" w:hAnsi="Arial Narrow"/>
                <w:sz w:val="20"/>
                <w:szCs w:val="20"/>
              </w:rPr>
              <w:t>PreCISe</w:t>
            </w:r>
            <w:proofErr w:type="spellEnd"/>
          </w:p>
        </w:tc>
        <w:tc>
          <w:tcPr>
            <w:tcW w:w="389"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481</w:t>
            </w:r>
          </w:p>
        </w:tc>
        <w:tc>
          <w:tcPr>
            <w:tcW w:w="1170"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Randomised, double-blind, placebo-controlled multi-centre trial up to 3 years + 2 year extension study</w:t>
            </w:r>
          </w:p>
        </w:tc>
        <w:tc>
          <w:tcPr>
            <w:tcW w:w="469"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Low</w:t>
            </w:r>
          </w:p>
        </w:tc>
        <w:tc>
          <w:tcPr>
            <w:tcW w:w="858"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Clinically isolated syndrome</w:t>
            </w:r>
          </w:p>
        </w:tc>
        <w:tc>
          <w:tcPr>
            <w:tcW w:w="882"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Time to second clinical attack (clinically definite multiple sclerosis)</w:t>
            </w:r>
          </w:p>
        </w:tc>
        <w:tc>
          <w:tcPr>
            <w:tcW w:w="669"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Hazard ratio</w:t>
            </w:r>
          </w:p>
        </w:tc>
      </w:tr>
      <w:tr w:rsidR="00DC6D2E" w:rsidRPr="00CE5C86" w:rsidTr="00DC6D2E">
        <w:tc>
          <w:tcPr>
            <w:tcW w:w="5000" w:type="pct"/>
            <w:gridSpan w:val="7"/>
            <w:shd w:val="clear" w:color="auto" w:fill="auto"/>
            <w:vAlign w:val="center"/>
          </w:tcPr>
          <w:p w:rsidR="00DC6D2E" w:rsidRPr="00CE5C86" w:rsidRDefault="00DC6D2E" w:rsidP="00DC6D2E">
            <w:pPr>
              <w:widowControl w:val="0"/>
              <w:spacing w:before="40" w:after="40"/>
              <w:jc w:val="left"/>
              <w:rPr>
                <w:rFonts w:ascii="Arial Narrow" w:eastAsia="Times New Roman" w:hAnsi="Arial Narrow" w:cs="Times New Roman"/>
                <w:b/>
                <w:sz w:val="20"/>
                <w:szCs w:val="20"/>
              </w:rPr>
            </w:pPr>
            <w:r w:rsidRPr="00CE5C86">
              <w:rPr>
                <w:rFonts w:ascii="Arial Narrow" w:eastAsia="Times New Roman" w:hAnsi="Arial Narrow" w:cs="Times New Roman"/>
                <w:b/>
                <w:sz w:val="20"/>
                <w:szCs w:val="20"/>
              </w:rPr>
              <w:t>Interferon versus placebo</w:t>
            </w:r>
          </w:p>
        </w:tc>
      </w:tr>
      <w:tr w:rsidR="00DC6D2E" w:rsidRPr="00CE5C86" w:rsidTr="00FB5A17">
        <w:tc>
          <w:tcPr>
            <w:tcW w:w="563" w:type="pct"/>
            <w:shd w:val="clear" w:color="auto" w:fill="auto"/>
            <w:vAlign w:val="center"/>
          </w:tcPr>
          <w:p w:rsidR="00DC6D2E" w:rsidRPr="00CE5C86" w:rsidRDefault="00DC6D2E" w:rsidP="00DC6D2E">
            <w:pPr>
              <w:widowControl w:val="0"/>
              <w:spacing w:before="40" w:after="40"/>
              <w:jc w:val="left"/>
              <w:rPr>
                <w:rFonts w:ascii="Arial Narrow" w:eastAsia="Times New Roman" w:hAnsi="Arial Narrow" w:cs="Times New Roman"/>
                <w:sz w:val="20"/>
                <w:szCs w:val="20"/>
              </w:rPr>
            </w:pPr>
            <w:proofErr w:type="spellStart"/>
            <w:r w:rsidRPr="00CE5C86">
              <w:rPr>
                <w:rFonts w:ascii="Arial Narrow" w:hAnsi="Arial Narrow"/>
                <w:sz w:val="20"/>
                <w:szCs w:val="20"/>
              </w:rPr>
              <w:t>Pakdaman</w:t>
            </w:r>
            <w:proofErr w:type="spellEnd"/>
          </w:p>
        </w:tc>
        <w:tc>
          <w:tcPr>
            <w:tcW w:w="389"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202</w:t>
            </w:r>
          </w:p>
        </w:tc>
        <w:tc>
          <w:tcPr>
            <w:tcW w:w="1170"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Randomised, double-blind, placebo-controlled multi-centre trial</w:t>
            </w:r>
          </w:p>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3 years</w:t>
            </w:r>
          </w:p>
        </w:tc>
        <w:tc>
          <w:tcPr>
            <w:tcW w:w="469"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Unclear</w:t>
            </w:r>
          </w:p>
        </w:tc>
        <w:tc>
          <w:tcPr>
            <w:tcW w:w="858"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Clinically isolated syndrome</w:t>
            </w:r>
          </w:p>
        </w:tc>
        <w:tc>
          <w:tcPr>
            <w:tcW w:w="882"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Time to second clinical attack (clinically definite multiple sclerosis)</w:t>
            </w:r>
          </w:p>
        </w:tc>
        <w:tc>
          <w:tcPr>
            <w:tcW w:w="669"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Not used</w:t>
            </w:r>
          </w:p>
        </w:tc>
      </w:tr>
      <w:tr w:rsidR="00DC6D2E" w:rsidRPr="00CE5C86" w:rsidTr="00FB5A17">
        <w:tc>
          <w:tcPr>
            <w:tcW w:w="563" w:type="pct"/>
            <w:shd w:val="clear" w:color="auto" w:fill="auto"/>
            <w:vAlign w:val="center"/>
          </w:tcPr>
          <w:p w:rsidR="00DC6D2E" w:rsidRPr="00CE5C86" w:rsidRDefault="00DC6D2E" w:rsidP="00DC6D2E">
            <w:pPr>
              <w:widowControl w:val="0"/>
              <w:spacing w:before="40" w:after="40"/>
              <w:jc w:val="left"/>
              <w:rPr>
                <w:rFonts w:ascii="Arial Narrow" w:eastAsia="Times New Roman" w:hAnsi="Arial Narrow" w:cs="Times New Roman"/>
                <w:sz w:val="20"/>
                <w:szCs w:val="20"/>
              </w:rPr>
            </w:pPr>
            <w:r w:rsidRPr="00CE5C86">
              <w:rPr>
                <w:rFonts w:ascii="Arial Narrow" w:hAnsi="Arial Narrow"/>
                <w:sz w:val="20"/>
                <w:szCs w:val="20"/>
              </w:rPr>
              <w:t>BENEFIT</w:t>
            </w:r>
          </w:p>
        </w:tc>
        <w:tc>
          <w:tcPr>
            <w:tcW w:w="389"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468</w:t>
            </w:r>
          </w:p>
        </w:tc>
        <w:tc>
          <w:tcPr>
            <w:tcW w:w="1170"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Randomised, double-blind, placebo-controlled multi-centre trial</w:t>
            </w:r>
          </w:p>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2 years</w:t>
            </w:r>
          </w:p>
        </w:tc>
        <w:tc>
          <w:tcPr>
            <w:tcW w:w="469"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Low</w:t>
            </w:r>
          </w:p>
        </w:tc>
        <w:tc>
          <w:tcPr>
            <w:tcW w:w="858"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Clinically isolated syndrome</w:t>
            </w:r>
          </w:p>
        </w:tc>
        <w:tc>
          <w:tcPr>
            <w:tcW w:w="882"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Time to second clinical attack (clinically definite multiple sclerosis); Time to McDonald multiple sclerosis</w:t>
            </w:r>
          </w:p>
        </w:tc>
        <w:tc>
          <w:tcPr>
            <w:tcW w:w="669"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Not used</w:t>
            </w:r>
          </w:p>
        </w:tc>
      </w:tr>
      <w:tr w:rsidR="00DC6D2E" w:rsidRPr="00CE5C86" w:rsidTr="00FB5A17">
        <w:tc>
          <w:tcPr>
            <w:tcW w:w="563" w:type="pct"/>
            <w:shd w:val="clear" w:color="auto" w:fill="auto"/>
            <w:vAlign w:val="center"/>
          </w:tcPr>
          <w:p w:rsidR="00DC6D2E" w:rsidRPr="00CE5C86" w:rsidRDefault="00DC6D2E" w:rsidP="00DC6D2E">
            <w:pPr>
              <w:widowControl w:val="0"/>
              <w:spacing w:before="40" w:after="40"/>
              <w:jc w:val="left"/>
              <w:rPr>
                <w:rFonts w:ascii="Arial Narrow" w:eastAsia="Times New Roman" w:hAnsi="Arial Narrow" w:cs="Times New Roman"/>
                <w:sz w:val="20"/>
                <w:szCs w:val="20"/>
              </w:rPr>
            </w:pPr>
            <w:r w:rsidRPr="00CE5C86">
              <w:rPr>
                <w:rFonts w:ascii="Arial Narrow" w:hAnsi="Arial Narrow"/>
                <w:sz w:val="20"/>
                <w:szCs w:val="20"/>
              </w:rPr>
              <w:t>CHAMPS</w:t>
            </w:r>
          </w:p>
        </w:tc>
        <w:tc>
          <w:tcPr>
            <w:tcW w:w="389"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383</w:t>
            </w:r>
          </w:p>
        </w:tc>
        <w:tc>
          <w:tcPr>
            <w:tcW w:w="1170"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Randomised, double-blind, placebo-controlled multi-centre trial</w:t>
            </w:r>
          </w:p>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Stopped after 18 month interim analysis</w:t>
            </w:r>
          </w:p>
        </w:tc>
        <w:tc>
          <w:tcPr>
            <w:tcW w:w="469"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Low</w:t>
            </w:r>
          </w:p>
        </w:tc>
        <w:tc>
          <w:tcPr>
            <w:tcW w:w="858"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Clinically isolated syndrome</w:t>
            </w:r>
          </w:p>
        </w:tc>
        <w:tc>
          <w:tcPr>
            <w:tcW w:w="882"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Time to second clinical attack (clinically definite multiple sclerosis)</w:t>
            </w:r>
          </w:p>
        </w:tc>
        <w:tc>
          <w:tcPr>
            <w:tcW w:w="669"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Not used</w:t>
            </w:r>
          </w:p>
        </w:tc>
      </w:tr>
      <w:tr w:rsidR="00DC6D2E" w:rsidRPr="00CE5C86" w:rsidTr="00FB5A17">
        <w:tc>
          <w:tcPr>
            <w:tcW w:w="563" w:type="pct"/>
            <w:shd w:val="clear" w:color="auto" w:fill="auto"/>
            <w:vAlign w:val="center"/>
          </w:tcPr>
          <w:p w:rsidR="00DC6D2E" w:rsidRPr="00CE5C86" w:rsidRDefault="00DC6D2E" w:rsidP="00DC6D2E">
            <w:pPr>
              <w:widowControl w:val="0"/>
              <w:spacing w:before="40" w:after="40"/>
              <w:jc w:val="left"/>
              <w:rPr>
                <w:rFonts w:ascii="Arial Narrow" w:eastAsia="Times New Roman" w:hAnsi="Arial Narrow" w:cs="Times New Roman"/>
                <w:sz w:val="20"/>
                <w:szCs w:val="20"/>
              </w:rPr>
            </w:pPr>
            <w:r w:rsidRPr="00CE5C86">
              <w:rPr>
                <w:rFonts w:ascii="Arial Narrow" w:hAnsi="Arial Narrow"/>
                <w:sz w:val="20"/>
                <w:szCs w:val="20"/>
              </w:rPr>
              <w:t>ETOMS</w:t>
            </w:r>
          </w:p>
        </w:tc>
        <w:tc>
          <w:tcPr>
            <w:tcW w:w="389" w:type="pct"/>
            <w:shd w:val="clear" w:color="auto" w:fill="auto"/>
            <w:vAlign w:val="center"/>
          </w:tcPr>
          <w:p w:rsidR="00DC6D2E" w:rsidRPr="00CE5C86" w:rsidRDefault="00DC6D2E" w:rsidP="00DC6D2E">
            <w:pPr>
              <w:widowControl w:val="0"/>
              <w:spacing w:before="40" w:after="40"/>
              <w:jc w:val="center"/>
              <w:rPr>
                <w:rFonts w:ascii="Arial Narrow" w:hAnsi="Arial Narrow"/>
                <w:sz w:val="20"/>
                <w:szCs w:val="20"/>
              </w:rPr>
            </w:pPr>
            <w:r w:rsidRPr="00CE5C86">
              <w:rPr>
                <w:rFonts w:ascii="Arial Narrow" w:hAnsi="Arial Narrow"/>
                <w:sz w:val="20"/>
                <w:szCs w:val="20"/>
              </w:rPr>
              <w:t>309</w:t>
            </w:r>
          </w:p>
        </w:tc>
        <w:tc>
          <w:tcPr>
            <w:tcW w:w="1170"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Randomised, double-blind, placebo-controlled multi-centre trial</w:t>
            </w:r>
          </w:p>
          <w:p w:rsidR="00DC6D2E" w:rsidRPr="00CE5C86" w:rsidRDefault="00DC6D2E" w:rsidP="00DC6D2E">
            <w:pPr>
              <w:widowControl w:val="0"/>
              <w:spacing w:before="40" w:after="40"/>
              <w:jc w:val="center"/>
              <w:rPr>
                <w:rFonts w:ascii="Arial Narrow" w:hAnsi="Arial Narrow"/>
                <w:sz w:val="20"/>
                <w:szCs w:val="20"/>
              </w:rPr>
            </w:pPr>
            <w:r w:rsidRPr="00CE5C86">
              <w:rPr>
                <w:rFonts w:ascii="Arial Narrow" w:eastAsia="Times New Roman" w:hAnsi="Arial Narrow" w:cs="Times New Roman"/>
                <w:sz w:val="20"/>
                <w:szCs w:val="20"/>
              </w:rPr>
              <w:t>2 years</w:t>
            </w:r>
          </w:p>
        </w:tc>
        <w:tc>
          <w:tcPr>
            <w:tcW w:w="469" w:type="pct"/>
            <w:shd w:val="clear" w:color="auto" w:fill="auto"/>
            <w:vAlign w:val="center"/>
          </w:tcPr>
          <w:p w:rsidR="00DC6D2E" w:rsidRPr="00CE5C86" w:rsidRDefault="00DC6D2E" w:rsidP="00DC6D2E">
            <w:pPr>
              <w:widowControl w:val="0"/>
              <w:spacing w:before="40" w:after="40"/>
              <w:jc w:val="center"/>
              <w:rPr>
                <w:rFonts w:ascii="Arial Narrow" w:hAnsi="Arial Narrow"/>
                <w:sz w:val="20"/>
                <w:szCs w:val="20"/>
              </w:rPr>
            </w:pPr>
            <w:r w:rsidRPr="00CE5C86">
              <w:rPr>
                <w:rFonts w:ascii="Arial Narrow" w:hAnsi="Arial Narrow"/>
                <w:sz w:val="20"/>
                <w:szCs w:val="20"/>
              </w:rPr>
              <w:t>Low</w:t>
            </w:r>
          </w:p>
        </w:tc>
        <w:tc>
          <w:tcPr>
            <w:tcW w:w="858" w:type="pct"/>
            <w:shd w:val="clear" w:color="auto" w:fill="auto"/>
            <w:vAlign w:val="center"/>
          </w:tcPr>
          <w:p w:rsidR="00DC6D2E" w:rsidRPr="00CE5C86" w:rsidRDefault="00DC6D2E" w:rsidP="00DC6D2E">
            <w:pPr>
              <w:widowControl w:val="0"/>
              <w:spacing w:before="40" w:after="40"/>
              <w:jc w:val="center"/>
              <w:rPr>
                <w:rFonts w:ascii="Arial Narrow" w:hAnsi="Arial Narrow"/>
                <w:sz w:val="20"/>
                <w:szCs w:val="20"/>
              </w:rPr>
            </w:pPr>
            <w:r w:rsidRPr="00CE5C86">
              <w:rPr>
                <w:rFonts w:ascii="Arial Narrow" w:eastAsia="Times New Roman" w:hAnsi="Arial Narrow" w:cs="Times New Roman"/>
                <w:sz w:val="20"/>
                <w:szCs w:val="20"/>
              </w:rPr>
              <w:t>Clinically isolated syndrome</w:t>
            </w:r>
          </w:p>
        </w:tc>
        <w:tc>
          <w:tcPr>
            <w:tcW w:w="882" w:type="pct"/>
            <w:shd w:val="clear" w:color="auto" w:fill="auto"/>
            <w:vAlign w:val="center"/>
          </w:tcPr>
          <w:p w:rsidR="00DC6D2E" w:rsidRPr="00CE5C86" w:rsidRDefault="00DC6D2E" w:rsidP="00DC6D2E">
            <w:pPr>
              <w:widowControl w:val="0"/>
              <w:spacing w:before="40" w:after="40"/>
              <w:jc w:val="center"/>
              <w:rPr>
                <w:rFonts w:ascii="Arial Narrow" w:hAnsi="Arial Narrow"/>
                <w:sz w:val="20"/>
                <w:szCs w:val="20"/>
              </w:rPr>
            </w:pPr>
            <w:r w:rsidRPr="00CE5C86">
              <w:rPr>
                <w:rFonts w:ascii="Arial Narrow" w:eastAsia="Times New Roman" w:hAnsi="Arial Narrow" w:cs="Times New Roman"/>
                <w:sz w:val="20"/>
                <w:szCs w:val="20"/>
              </w:rPr>
              <w:t>Time to second clinical attack (clinically definite multiple sclerosis)</w:t>
            </w:r>
          </w:p>
        </w:tc>
        <w:tc>
          <w:tcPr>
            <w:tcW w:w="669" w:type="pct"/>
            <w:shd w:val="clear" w:color="auto" w:fill="auto"/>
            <w:vAlign w:val="center"/>
          </w:tcPr>
          <w:p w:rsidR="00DC6D2E" w:rsidRPr="00CE5C86" w:rsidRDefault="00DC6D2E" w:rsidP="00DC6D2E">
            <w:pPr>
              <w:widowControl w:val="0"/>
              <w:spacing w:before="40" w:after="40"/>
              <w:jc w:val="center"/>
              <w:rPr>
                <w:rFonts w:ascii="Arial Narrow" w:hAnsi="Arial Narrow"/>
                <w:sz w:val="20"/>
                <w:szCs w:val="20"/>
              </w:rPr>
            </w:pPr>
            <w:r w:rsidRPr="00CE5C86">
              <w:rPr>
                <w:rFonts w:ascii="Arial Narrow" w:eastAsia="Times New Roman" w:hAnsi="Arial Narrow" w:cs="Times New Roman"/>
                <w:sz w:val="20"/>
                <w:szCs w:val="20"/>
              </w:rPr>
              <w:t>Not used</w:t>
            </w:r>
          </w:p>
        </w:tc>
      </w:tr>
      <w:tr w:rsidR="00DC6D2E" w:rsidRPr="00CE5C86" w:rsidTr="00FB5A17">
        <w:tc>
          <w:tcPr>
            <w:tcW w:w="563" w:type="pct"/>
            <w:shd w:val="clear" w:color="auto" w:fill="auto"/>
            <w:vAlign w:val="center"/>
          </w:tcPr>
          <w:p w:rsidR="00DC6D2E" w:rsidRPr="00CE5C86" w:rsidRDefault="00DC6D2E" w:rsidP="00DC6D2E">
            <w:pPr>
              <w:widowControl w:val="0"/>
              <w:spacing w:before="40" w:after="40"/>
              <w:jc w:val="left"/>
              <w:rPr>
                <w:rFonts w:ascii="Arial Narrow" w:eastAsia="Times New Roman" w:hAnsi="Arial Narrow" w:cs="Times New Roman"/>
                <w:sz w:val="20"/>
                <w:szCs w:val="20"/>
              </w:rPr>
            </w:pPr>
            <w:r w:rsidRPr="00CE5C86">
              <w:rPr>
                <w:rFonts w:ascii="Arial Narrow" w:hAnsi="Arial Narrow"/>
                <w:sz w:val="20"/>
                <w:szCs w:val="20"/>
              </w:rPr>
              <w:t>REFLEX</w:t>
            </w:r>
          </w:p>
        </w:tc>
        <w:tc>
          <w:tcPr>
            <w:tcW w:w="389" w:type="pct"/>
            <w:shd w:val="clear" w:color="auto" w:fill="auto"/>
            <w:vAlign w:val="center"/>
          </w:tcPr>
          <w:p w:rsidR="00DC6D2E" w:rsidRPr="00CE5C86" w:rsidRDefault="00DC6D2E" w:rsidP="00DC6D2E">
            <w:pPr>
              <w:widowControl w:val="0"/>
              <w:spacing w:before="40" w:after="40"/>
              <w:jc w:val="center"/>
              <w:rPr>
                <w:rFonts w:ascii="Arial Narrow" w:hAnsi="Arial Narrow"/>
                <w:sz w:val="20"/>
                <w:szCs w:val="20"/>
              </w:rPr>
            </w:pPr>
            <w:r w:rsidRPr="00CE5C86">
              <w:rPr>
                <w:rFonts w:ascii="Arial Narrow" w:hAnsi="Arial Narrow"/>
                <w:sz w:val="20"/>
                <w:szCs w:val="20"/>
              </w:rPr>
              <w:t>517</w:t>
            </w:r>
          </w:p>
        </w:tc>
        <w:tc>
          <w:tcPr>
            <w:tcW w:w="1170" w:type="pct"/>
            <w:shd w:val="clear" w:color="auto" w:fill="auto"/>
            <w:vAlign w:val="center"/>
          </w:tcPr>
          <w:p w:rsidR="00DC6D2E" w:rsidRPr="00CE5C86" w:rsidRDefault="00DC6D2E" w:rsidP="00DC6D2E">
            <w:pPr>
              <w:widowControl w:val="0"/>
              <w:spacing w:before="40" w:after="40"/>
              <w:jc w:val="center"/>
              <w:rPr>
                <w:rFonts w:ascii="Arial Narrow" w:eastAsia="Times New Roman" w:hAnsi="Arial Narrow" w:cs="Times New Roman"/>
                <w:sz w:val="20"/>
                <w:szCs w:val="20"/>
              </w:rPr>
            </w:pPr>
            <w:r w:rsidRPr="00CE5C86">
              <w:rPr>
                <w:rFonts w:ascii="Arial Narrow" w:eastAsia="Times New Roman" w:hAnsi="Arial Narrow" w:cs="Times New Roman"/>
                <w:sz w:val="20"/>
                <w:szCs w:val="20"/>
              </w:rPr>
              <w:t>Randomised, double-blind, placebo-controlled multi-centre trial</w:t>
            </w:r>
          </w:p>
          <w:p w:rsidR="00DC6D2E" w:rsidRPr="00CE5C86" w:rsidRDefault="00DC6D2E" w:rsidP="00DC6D2E">
            <w:pPr>
              <w:widowControl w:val="0"/>
              <w:spacing w:before="40" w:after="40"/>
              <w:jc w:val="center"/>
              <w:rPr>
                <w:rFonts w:ascii="Arial Narrow" w:hAnsi="Arial Narrow"/>
                <w:sz w:val="20"/>
                <w:szCs w:val="20"/>
              </w:rPr>
            </w:pPr>
            <w:r w:rsidRPr="00CE5C86">
              <w:rPr>
                <w:rFonts w:ascii="Arial Narrow" w:eastAsia="Times New Roman" w:hAnsi="Arial Narrow" w:cs="Times New Roman"/>
                <w:sz w:val="20"/>
                <w:szCs w:val="20"/>
              </w:rPr>
              <w:t>2 years</w:t>
            </w:r>
          </w:p>
        </w:tc>
        <w:tc>
          <w:tcPr>
            <w:tcW w:w="469" w:type="pct"/>
            <w:shd w:val="clear" w:color="auto" w:fill="auto"/>
            <w:vAlign w:val="center"/>
          </w:tcPr>
          <w:p w:rsidR="00DC6D2E" w:rsidRPr="00CE5C86" w:rsidRDefault="00DC6D2E" w:rsidP="00DC6D2E">
            <w:pPr>
              <w:widowControl w:val="0"/>
              <w:spacing w:before="40" w:after="40"/>
              <w:jc w:val="center"/>
              <w:rPr>
                <w:rFonts w:ascii="Arial Narrow" w:hAnsi="Arial Narrow"/>
                <w:sz w:val="20"/>
                <w:szCs w:val="20"/>
              </w:rPr>
            </w:pPr>
            <w:r w:rsidRPr="00CE5C86">
              <w:rPr>
                <w:rFonts w:ascii="Arial Narrow" w:hAnsi="Arial Narrow"/>
                <w:sz w:val="20"/>
                <w:szCs w:val="20"/>
              </w:rPr>
              <w:t>Low</w:t>
            </w:r>
          </w:p>
        </w:tc>
        <w:tc>
          <w:tcPr>
            <w:tcW w:w="858" w:type="pct"/>
            <w:shd w:val="clear" w:color="auto" w:fill="auto"/>
            <w:vAlign w:val="center"/>
          </w:tcPr>
          <w:p w:rsidR="00DC6D2E" w:rsidRPr="00CE5C86" w:rsidRDefault="00DC6D2E" w:rsidP="00DC6D2E">
            <w:pPr>
              <w:widowControl w:val="0"/>
              <w:spacing w:before="40" w:after="40"/>
              <w:jc w:val="center"/>
              <w:rPr>
                <w:rFonts w:ascii="Arial Narrow" w:hAnsi="Arial Narrow"/>
                <w:sz w:val="20"/>
                <w:szCs w:val="20"/>
              </w:rPr>
            </w:pPr>
            <w:r w:rsidRPr="00CE5C86">
              <w:rPr>
                <w:rFonts w:ascii="Arial Narrow" w:eastAsia="Times New Roman" w:hAnsi="Arial Narrow" w:cs="Times New Roman"/>
                <w:sz w:val="20"/>
                <w:szCs w:val="20"/>
              </w:rPr>
              <w:t>Clinically isolated syndrome</w:t>
            </w:r>
          </w:p>
        </w:tc>
        <w:tc>
          <w:tcPr>
            <w:tcW w:w="882" w:type="pct"/>
            <w:shd w:val="clear" w:color="auto" w:fill="auto"/>
            <w:vAlign w:val="center"/>
          </w:tcPr>
          <w:p w:rsidR="00DC6D2E" w:rsidRPr="00CE5C86" w:rsidRDefault="00DC6D2E" w:rsidP="00DC6D2E">
            <w:pPr>
              <w:widowControl w:val="0"/>
              <w:spacing w:before="40" w:after="40"/>
              <w:jc w:val="center"/>
              <w:rPr>
                <w:rFonts w:ascii="Arial Narrow" w:hAnsi="Arial Narrow"/>
                <w:sz w:val="20"/>
                <w:szCs w:val="20"/>
              </w:rPr>
            </w:pPr>
            <w:r w:rsidRPr="00CE5C86">
              <w:rPr>
                <w:rFonts w:ascii="Arial Narrow" w:hAnsi="Arial Narrow"/>
                <w:sz w:val="20"/>
                <w:szCs w:val="20"/>
              </w:rPr>
              <w:t>Time to McDonald multiple sclerosis</w:t>
            </w:r>
          </w:p>
        </w:tc>
        <w:tc>
          <w:tcPr>
            <w:tcW w:w="669" w:type="pct"/>
            <w:shd w:val="clear" w:color="auto" w:fill="auto"/>
            <w:vAlign w:val="center"/>
          </w:tcPr>
          <w:p w:rsidR="00DC6D2E" w:rsidRPr="00CE5C86" w:rsidRDefault="00DC6D2E" w:rsidP="00DC6D2E">
            <w:pPr>
              <w:widowControl w:val="0"/>
              <w:spacing w:before="40" w:after="40"/>
              <w:jc w:val="center"/>
              <w:rPr>
                <w:rFonts w:ascii="Arial Narrow" w:hAnsi="Arial Narrow"/>
                <w:sz w:val="20"/>
                <w:szCs w:val="20"/>
              </w:rPr>
            </w:pPr>
            <w:r w:rsidRPr="00CE5C86">
              <w:rPr>
                <w:rFonts w:ascii="Arial Narrow" w:eastAsia="Times New Roman" w:hAnsi="Arial Narrow" w:cs="Times New Roman"/>
                <w:sz w:val="20"/>
                <w:szCs w:val="20"/>
              </w:rPr>
              <w:t>Not used</w:t>
            </w:r>
          </w:p>
        </w:tc>
      </w:tr>
    </w:tbl>
    <w:p w:rsidR="00DC6D2E" w:rsidRPr="00CE5C86" w:rsidRDefault="00DC6D2E" w:rsidP="00AC1EB5">
      <w:pPr>
        <w:widowControl w:val="0"/>
        <w:spacing w:before="0" w:after="240"/>
        <w:rPr>
          <w:rFonts w:ascii="Arial Narrow" w:eastAsia="Times New Roman" w:hAnsi="Arial Narrow" w:cs="Arial"/>
          <w:snapToGrid w:val="0"/>
          <w:sz w:val="18"/>
          <w:szCs w:val="20"/>
        </w:rPr>
      </w:pPr>
      <w:r w:rsidRPr="00CE5C86">
        <w:rPr>
          <w:rFonts w:ascii="Arial Narrow" w:eastAsia="Times New Roman" w:hAnsi="Arial Narrow" w:cs="Arial"/>
          <w:snapToGrid w:val="0"/>
          <w:sz w:val="18"/>
          <w:szCs w:val="20"/>
        </w:rPr>
        <w:t>Source: compiled during the evaluation</w:t>
      </w:r>
    </w:p>
    <w:p w:rsidR="00DD3E4F" w:rsidRPr="00CE5C86" w:rsidRDefault="00DC6D2E" w:rsidP="005875D1">
      <w:pPr>
        <w:numPr>
          <w:ilvl w:val="1"/>
          <w:numId w:val="3"/>
        </w:numPr>
        <w:spacing w:before="0" w:after="120"/>
        <w:rPr>
          <w:rFonts w:ascii="Calibri" w:hAnsi="Calibri"/>
        </w:rPr>
      </w:pPr>
      <w:r w:rsidRPr="00CE5C86">
        <w:rPr>
          <w:rFonts w:ascii="Calibri" w:hAnsi="Calibri"/>
        </w:rPr>
        <w:t xml:space="preserve">The primary efficacy outcome in the </w:t>
      </w:r>
      <w:proofErr w:type="spellStart"/>
      <w:r w:rsidRPr="00CE5C86">
        <w:rPr>
          <w:rFonts w:ascii="Calibri" w:hAnsi="Calibri"/>
        </w:rPr>
        <w:t>PreCISe</w:t>
      </w:r>
      <w:proofErr w:type="spellEnd"/>
      <w:r w:rsidRPr="00CE5C86">
        <w:rPr>
          <w:rFonts w:ascii="Calibri" w:hAnsi="Calibri"/>
        </w:rPr>
        <w:t xml:space="preserve"> trial was time to diagnosis with clinically definite multiple sclerosis, </w:t>
      </w:r>
      <w:r w:rsidR="00B3308D" w:rsidRPr="00CE5C86">
        <w:rPr>
          <w:rFonts w:ascii="Calibri" w:hAnsi="Calibri"/>
        </w:rPr>
        <w:t>using the</w:t>
      </w:r>
      <w:r w:rsidRPr="00CE5C86">
        <w:rPr>
          <w:rFonts w:ascii="Calibri" w:hAnsi="Calibri"/>
        </w:rPr>
        <w:t xml:space="preserve"> Poser (1983) diagnostic criteria.</w:t>
      </w:r>
      <w:r w:rsidR="00B3308D" w:rsidRPr="00CE5C86">
        <w:rPr>
          <w:rFonts w:ascii="Calibri" w:hAnsi="Calibri"/>
        </w:rPr>
        <w:t xml:space="preserve"> The Poser </w:t>
      </w:r>
      <w:r w:rsidR="00141BDD" w:rsidRPr="00CE5C86">
        <w:rPr>
          <w:rFonts w:ascii="Calibri" w:hAnsi="Calibri"/>
        </w:rPr>
        <w:t>criteria require</w:t>
      </w:r>
      <w:r w:rsidR="00A31721" w:rsidRPr="00CE5C86">
        <w:rPr>
          <w:rFonts w:ascii="Calibri" w:hAnsi="Calibri"/>
        </w:rPr>
        <w:t xml:space="preserve"> two </w:t>
      </w:r>
      <w:r w:rsidR="00141BDD" w:rsidRPr="00CE5C86">
        <w:rPr>
          <w:rFonts w:ascii="Calibri" w:hAnsi="Calibri"/>
        </w:rPr>
        <w:t xml:space="preserve">clinical </w:t>
      </w:r>
      <w:r w:rsidR="00A31721" w:rsidRPr="00AF06E3">
        <w:rPr>
          <w:rFonts w:ascii="Calibri" w:hAnsi="Calibri"/>
        </w:rPr>
        <w:t>attacks</w:t>
      </w:r>
      <w:r w:rsidR="00A31721" w:rsidRPr="00CE5C86">
        <w:rPr>
          <w:rFonts w:ascii="Calibri" w:hAnsi="Calibri"/>
        </w:rPr>
        <w:t xml:space="preserve"> more than one month apart, together with clinical evidence of lesions in two places within the central nervous system</w:t>
      </w:r>
      <w:r w:rsidR="00141BDD" w:rsidRPr="00CE5C86">
        <w:rPr>
          <w:rFonts w:ascii="Calibri" w:hAnsi="Calibri"/>
        </w:rPr>
        <w:t>.</w:t>
      </w:r>
      <w:r w:rsidRPr="00CE5C86">
        <w:rPr>
          <w:rFonts w:ascii="Calibri" w:hAnsi="Calibri"/>
        </w:rPr>
        <w:t xml:space="preserve"> The McDonald (2010) criteria are more likely to be used in current clinical practice; these allow </w:t>
      </w:r>
      <w:r w:rsidR="004F1B15" w:rsidRPr="00CE5C86">
        <w:rPr>
          <w:rFonts w:ascii="Calibri" w:hAnsi="Calibri"/>
        </w:rPr>
        <w:t>for a second attack to be defined by a new lesion appearing on MRI rather than a second clinical attack</w:t>
      </w:r>
      <w:r w:rsidR="00141BDD" w:rsidRPr="00CE5C86">
        <w:rPr>
          <w:rFonts w:ascii="Calibri" w:hAnsi="Calibri"/>
        </w:rPr>
        <w:t>. Due to</w:t>
      </w:r>
      <w:r w:rsidR="00B3308D" w:rsidRPr="00CE5C86">
        <w:rPr>
          <w:rFonts w:ascii="Calibri" w:hAnsi="Calibri"/>
        </w:rPr>
        <w:t xml:space="preserve"> the differences in these criteri</w:t>
      </w:r>
      <w:r w:rsidR="00141BDD" w:rsidRPr="00CE5C86">
        <w:rPr>
          <w:rFonts w:ascii="Calibri" w:hAnsi="Calibri"/>
        </w:rPr>
        <w:t>a</w:t>
      </w:r>
      <w:r w:rsidR="00B3308D" w:rsidRPr="00CE5C86">
        <w:rPr>
          <w:rFonts w:ascii="Calibri" w:hAnsi="Calibri"/>
        </w:rPr>
        <w:t xml:space="preserve">, </w:t>
      </w:r>
      <w:r w:rsidRPr="00CE5C86">
        <w:rPr>
          <w:rFonts w:ascii="Calibri" w:hAnsi="Calibri"/>
        </w:rPr>
        <w:t>diagnosis with multiple sclerosis frequently occurs earlier</w:t>
      </w:r>
      <w:r w:rsidR="00B3308D" w:rsidRPr="00CE5C86">
        <w:rPr>
          <w:rFonts w:ascii="Calibri" w:hAnsi="Calibri"/>
        </w:rPr>
        <w:t xml:space="preserve"> under the McDonald criteria</w:t>
      </w:r>
      <w:r w:rsidRPr="00CE5C86">
        <w:rPr>
          <w:rFonts w:ascii="Calibri" w:hAnsi="Calibri"/>
        </w:rPr>
        <w:t xml:space="preserve"> than under the Poser criteria. </w:t>
      </w:r>
      <w:r w:rsidR="005A70F5" w:rsidRPr="00CE5C86">
        <w:rPr>
          <w:rFonts w:ascii="Calibri" w:hAnsi="Calibri"/>
        </w:rPr>
        <w:t xml:space="preserve">The PSCR </w:t>
      </w:r>
      <w:r w:rsidR="00091A67" w:rsidRPr="00CE5C86">
        <w:rPr>
          <w:rFonts w:ascii="Calibri" w:hAnsi="Calibri"/>
        </w:rPr>
        <w:t xml:space="preserve">(p3) </w:t>
      </w:r>
      <w:r w:rsidR="005A70F5" w:rsidRPr="00CE5C86">
        <w:rPr>
          <w:rFonts w:ascii="Calibri" w:hAnsi="Calibri"/>
        </w:rPr>
        <w:t>stated</w:t>
      </w:r>
      <w:r w:rsidR="00091A67" w:rsidRPr="00CE5C86">
        <w:rPr>
          <w:rFonts w:ascii="Calibri" w:hAnsi="Calibri"/>
        </w:rPr>
        <w:t xml:space="preserve"> that the Poser and McDonald criteria converge for patients with two clinical attacks, which was the endpoint in these analyses. </w:t>
      </w:r>
      <w:r w:rsidR="005A70F5" w:rsidRPr="00CE5C86">
        <w:rPr>
          <w:rFonts w:ascii="Calibri" w:hAnsi="Calibri"/>
        </w:rPr>
        <w:t>The PSCR (p3) argued that given the complexity of the diagnosis landscape for multiple sclerosis (with multiple versions of the McDonald criteria), that a solid clinical endpoint, such as a</w:t>
      </w:r>
      <w:r w:rsidR="00B24E20" w:rsidRPr="00CE5C86">
        <w:rPr>
          <w:rFonts w:ascii="Calibri" w:hAnsi="Calibri"/>
        </w:rPr>
        <w:t xml:space="preserve"> clinical</w:t>
      </w:r>
      <w:r w:rsidR="005A70F5" w:rsidRPr="00CE5C86">
        <w:rPr>
          <w:rFonts w:ascii="Calibri" w:hAnsi="Calibri"/>
        </w:rPr>
        <w:t xml:space="preserve"> relapse, is a strong endpoint for the analysis, and is consistent with current PBS criteria for initiating therapy.</w:t>
      </w:r>
    </w:p>
    <w:p w:rsidR="00C73075" w:rsidRDefault="00DD3E4F" w:rsidP="005875D1">
      <w:pPr>
        <w:numPr>
          <w:ilvl w:val="1"/>
          <w:numId w:val="3"/>
        </w:numPr>
        <w:spacing w:before="0" w:after="120"/>
        <w:rPr>
          <w:rFonts w:ascii="Calibri" w:hAnsi="Calibri"/>
        </w:rPr>
      </w:pPr>
      <w:r w:rsidRPr="00CE5C86">
        <w:rPr>
          <w:rFonts w:ascii="Calibri" w:hAnsi="Calibri"/>
        </w:rPr>
        <w:t>Whilst the primary outcome (time to next multiple sclerosis relapse)</w:t>
      </w:r>
      <w:r w:rsidR="00E371AC" w:rsidRPr="00CE5C86">
        <w:rPr>
          <w:rFonts w:ascii="Calibri" w:hAnsi="Calibri"/>
        </w:rPr>
        <w:t xml:space="preserve"> in the </w:t>
      </w:r>
      <w:proofErr w:type="spellStart"/>
      <w:r w:rsidR="00E371AC" w:rsidRPr="00CE5C86">
        <w:rPr>
          <w:rFonts w:ascii="Calibri" w:hAnsi="Calibri"/>
        </w:rPr>
        <w:t>PreCISe</w:t>
      </w:r>
      <w:proofErr w:type="spellEnd"/>
      <w:r w:rsidR="00E371AC" w:rsidRPr="00CE5C86">
        <w:rPr>
          <w:rFonts w:ascii="Calibri" w:hAnsi="Calibri"/>
        </w:rPr>
        <w:t xml:space="preserve"> trial</w:t>
      </w:r>
      <w:r w:rsidRPr="00CE5C86">
        <w:rPr>
          <w:rFonts w:ascii="Calibri" w:hAnsi="Calibri"/>
        </w:rPr>
        <w:t xml:space="preserve"> is clinically important, it is unclear how many high risk patients </w:t>
      </w:r>
      <w:r w:rsidR="00E371AC" w:rsidRPr="00CE5C86">
        <w:rPr>
          <w:rFonts w:ascii="Calibri" w:hAnsi="Calibri"/>
        </w:rPr>
        <w:t>may</w:t>
      </w:r>
      <w:r w:rsidRPr="00CE5C86">
        <w:rPr>
          <w:rFonts w:ascii="Calibri" w:hAnsi="Calibri"/>
        </w:rPr>
        <w:t xml:space="preserve"> have already converted to a multiple sclerosis disease course. Further, the extent to which delayed time to diagnosis with multiple sclerosis impacts upon patient relevant outcomes such as disability progression was unclear. No significant impact on disability (according to </w:t>
      </w:r>
      <w:r w:rsidR="00737F5D" w:rsidRPr="00CE5C86">
        <w:rPr>
          <w:rFonts w:ascii="Calibri" w:hAnsi="Calibri"/>
        </w:rPr>
        <w:t xml:space="preserve">the </w:t>
      </w:r>
      <w:r w:rsidRPr="00CE5C86">
        <w:rPr>
          <w:rFonts w:ascii="Calibri" w:hAnsi="Calibri"/>
        </w:rPr>
        <w:t xml:space="preserve">Expanded Disability Status Scale [EDSS] score) was shown in the </w:t>
      </w:r>
      <w:proofErr w:type="spellStart"/>
      <w:proofErr w:type="gramStart"/>
      <w:r w:rsidRPr="00CE5C86">
        <w:rPr>
          <w:rFonts w:ascii="Calibri" w:hAnsi="Calibri"/>
        </w:rPr>
        <w:t>PreCISe</w:t>
      </w:r>
      <w:proofErr w:type="spellEnd"/>
      <w:proofErr w:type="gramEnd"/>
      <w:r w:rsidRPr="00CE5C86">
        <w:rPr>
          <w:rFonts w:ascii="Calibri" w:hAnsi="Calibri"/>
        </w:rPr>
        <w:t xml:space="preserve"> trial at either 3 or 5 years of follow up.</w:t>
      </w:r>
    </w:p>
    <w:p w:rsidR="00DC6D2E" w:rsidRPr="00C73075" w:rsidRDefault="00732891" w:rsidP="005875D1">
      <w:pPr>
        <w:numPr>
          <w:ilvl w:val="1"/>
          <w:numId w:val="3"/>
        </w:numPr>
        <w:spacing w:before="0" w:after="120"/>
        <w:rPr>
          <w:rFonts w:ascii="Calibri" w:hAnsi="Calibri"/>
        </w:rPr>
      </w:pPr>
      <w:r w:rsidRPr="00CE5C86">
        <w:rPr>
          <w:rFonts w:ascii="Calibri" w:hAnsi="Calibri"/>
        </w:rPr>
        <w:t>The PSCR</w:t>
      </w:r>
      <w:r w:rsidR="00737F5D" w:rsidRPr="00CE5C86">
        <w:rPr>
          <w:rFonts w:ascii="Calibri" w:hAnsi="Calibri"/>
        </w:rPr>
        <w:t xml:space="preserve"> (p2)</w:t>
      </w:r>
      <w:r w:rsidRPr="00CE5C86">
        <w:rPr>
          <w:rFonts w:ascii="Calibri" w:hAnsi="Calibri"/>
        </w:rPr>
        <w:t xml:space="preserve"> </w:t>
      </w:r>
      <w:r w:rsidR="00737F5D" w:rsidRPr="00CE5C86">
        <w:rPr>
          <w:rFonts w:ascii="Calibri" w:hAnsi="Calibri"/>
        </w:rPr>
        <w:t>stated that the population of patients with clinically isolated syndrome is dynamic, and that patients with two or more events would be eligible for currently listed PBS medicines for multiple sclerosis. The PSCR (p2) reiterated that the proposed PBS population is for patients with clinically isolated syndrome who have certain high risk prognostic variables and have had only one event.</w:t>
      </w:r>
      <w:r w:rsidR="004273E3" w:rsidRPr="00CE5C86">
        <w:rPr>
          <w:rFonts w:ascii="Calibri" w:hAnsi="Calibri"/>
        </w:rPr>
        <w:t xml:space="preserve"> The ESC considered that the </w:t>
      </w:r>
      <w:r w:rsidR="002730F4" w:rsidRPr="00CE5C86">
        <w:rPr>
          <w:rFonts w:ascii="Calibri" w:hAnsi="Calibri"/>
        </w:rPr>
        <w:t xml:space="preserve">lack of </w:t>
      </w:r>
      <w:r w:rsidR="004273E3" w:rsidRPr="00CE5C86">
        <w:rPr>
          <w:rFonts w:ascii="Calibri" w:hAnsi="Calibri"/>
        </w:rPr>
        <w:t xml:space="preserve">significant impact on disability according to EDSS in the </w:t>
      </w:r>
      <w:proofErr w:type="spellStart"/>
      <w:proofErr w:type="gramStart"/>
      <w:r w:rsidR="004273E3" w:rsidRPr="00CE5C86">
        <w:rPr>
          <w:rFonts w:ascii="Calibri" w:hAnsi="Calibri"/>
        </w:rPr>
        <w:t>PreCISe</w:t>
      </w:r>
      <w:proofErr w:type="spellEnd"/>
      <w:proofErr w:type="gramEnd"/>
      <w:r w:rsidR="004273E3" w:rsidRPr="00CE5C86">
        <w:rPr>
          <w:rFonts w:ascii="Calibri" w:hAnsi="Calibri"/>
        </w:rPr>
        <w:t xml:space="preserve"> trial was </w:t>
      </w:r>
      <w:r w:rsidR="002730F4" w:rsidRPr="00CE5C86">
        <w:rPr>
          <w:rFonts w:ascii="Calibri" w:hAnsi="Calibri"/>
        </w:rPr>
        <w:t xml:space="preserve">an </w:t>
      </w:r>
      <w:r w:rsidR="004273E3" w:rsidRPr="00CE5C86">
        <w:rPr>
          <w:rFonts w:ascii="Calibri" w:hAnsi="Calibri"/>
        </w:rPr>
        <w:t>important</w:t>
      </w:r>
      <w:r w:rsidR="002730F4" w:rsidRPr="00CE5C86">
        <w:rPr>
          <w:rFonts w:ascii="Calibri" w:hAnsi="Calibri"/>
        </w:rPr>
        <w:t xml:space="preserve"> issue</w:t>
      </w:r>
      <w:r w:rsidR="004273E3" w:rsidRPr="00CE5C86">
        <w:rPr>
          <w:rFonts w:ascii="Calibri" w:hAnsi="Calibri"/>
        </w:rPr>
        <w:t xml:space="preserve">, given that health </w:t>
      </w:r>
      <w:r w:rsidR="00870E6F" w:rsidRPr="00CE5C86">
        <w:rPr>
          <w:rFonts w:ascii="Calibri" w:hAnsi="Calibri"/>
        </w:rPr>
        <w:t>states in the economic model were</w:t>
      </w:r>
      <w:r w:rsidR="004273E3" w:rsidRPr="00CE5C86">
        <w:rPr>
          <w:rFonts w:ascii="Calibri" w:hAnsi="Calibri"/>
        </w:rPr>
        <w:t xml:space="preserve"> based on the EDSS.</w:t>
      </w:r>
      <w:r w:rsidR="00C73075">
        <w:rPr>
          <w:rFonts w:ascii="Calibri" w:hAnsi="Calibri"/>
        </w:rPr>
        <w:t xml:space="preserve"> </w:t>
      </w:r>
      <w:r w:rsidR="00C73075">
        <w:t>The PBAC noted that results of the</w:t>
      </w:r>
      <w:r w:rsidR="00C73075" w:rsidRPr="00044E36">
        <w:t xml:space="preserve"> open label extension phase of</w:t>
      </w:r>
      <w:r w:rsidR="00C73075">
        <w:t xml:space="preserve"> the</w:t>
      </w:r>
      <w:r w:rsidR="00C73075" w:rsidRPr="00044E36">
        <w:t xml:space="preserve"> </w:t>
      </w:r>
      <w:proofErr w:type="spellStart"/>
      <w:proofErr w:type="gramStart"/>
      <w:r w:rsidR="00C73075">
        <w:t>PreCISe</w:t>
      </w:r>
      <w:proofErr w:type="spellEnd"/>
      <w:proofErr w:type="gramEnd"/>
      <w:r w:rsidR="00C73075">
        <w:t xml:space="preserve"> trial showed no significant impact on disability progression at 5 years of follow up. Therefore the PBAC considered that there was insufficient evidence to determine whether the delay in progression to clinically definite multiple sclerosis was also indicati</w:t>
      </w:r>
      <w:r w:rsidR="004F1017">
        <w:t>ve of reductions in disability.</w:t>
      </w:r>
    </w:p>
    <w:p w:rsidR="00DC6D2E" w:rsidRPr="009C17C4" w:rsidRDefault="00DC6D2E" w:rsidP="005875D1">
      <w:pPr>
        <w:numPr>
          <w:ilvl w:val="1"/>
          <w:numId w:val="3"/>
        </w:numPr>
        <w:spacing w:before="0" w:after="120"/>
        <w:rPr>
          <w:rFonts w:ascii="Calibri" w:hAnsi="Calibri"/>
        </w:rPr>
      </w:pPr>
      <w:bookmarkStart w:id="20" w:name="_Toc413139278"/>
      <w:bookmarkStart w:id="21" w:name="_Toc476306888"/>
      <w:r w:rsidRPr="00CE5C86">
        <w:rPr>
          <w:rFonts w:ascii="Calibri" w:hAnsi="Calibri"/>
        </w:rPr>
        <w:t xml:space="preserve">The population in the </w:t>
      </w:r>
      <w:proofErr w:type="spellStart"/>
      <w:r w:rsidRPr="00CE5C86">
        <w:rPr>
          <w:rFonts w:ascii="Calibri" w:hAnsi="Calibri"/>
        </w:rPr>
        <w:t>PreCISe</w:t>
      </w:r>
      <w:proofErr w:type="spellEnd"/>
      <w:r w:rsidRPr="00CE5C86">
        <w:rPr>
          <w:rFonts w:ascii="Calibri" w:hAnsi="Calibri"/>
        </w:rPr>
        <w:t xml:space="preserve"> trial </w:t>
      </w:r>
      <w:r w:rsidR="00802914" w:rsidRPr="00CE5C86">
        <w:rPr>
          <w:rFonts w:ascii="Calibri" w:hAnsi="Calibri"/>
        </w:rPr>
        <w:t xml:space="preserve">(all patients with clinically isolated syndrome) </w:t>
      </w:r>
      <w:r w:rsidRPr="00CE5C86">
        <w:rPr>
          <w:rFonts w:ascii="Calibri" w:hAnsi="Calibri"/>
        </w:rPr>
        <w:t>was not the high risk group requested in the PBS restriction</w:t>
      </w:r>
      <w:r w:rsidR="00904419" w:rsidRPr="00CE5C86">
        <w:rPr>
          <w:rFonts w:ascii="Calibri" w:hAnsi="Calibri"/>
        </w:rPr>
        <w:t xml:space="preserve"> (</w:t>
      </w:r>
      <w:r w:rsidR="00F56DF4" w:rsidRPr="00CE5C86">
        <w:rPr>
          <w:rFonts w:ascii="Calibri" w:hAnsi="Calibri"/>
        </w:rPr>
        <w:t>≥</w:t>
      </w:r>
      <w:r w:rsidR="00904419" w:rsidRPr="00CE5C86">
        <w:rPr>
          <w:rFonts w:ascii="Calibri" w:hAnsi="Calibri"/>
        </w:rPr>
        <w:t xml:space="preserve">9 T2 </w:t>
      </w:r>
      <w:proofErr w:type="spellStart"/>
      <w:r w:rsidR="00904419" w:rsidRPr="00CE5C86">
        <w:rPr>
          <w:rFonts w:ascii="Calibri" w:hAnsi="Calibri"/>
        </w:rPr>
        <w:t>hyperintense</w:t>
      </w:r>
      <w:proofErr w:type="spellEnd"/>
      <w:r w:rsidR="00904419" w:rsidRPr="00CE5C86">
        <w:rPr>
          <w:rFonts w:ascii="Calibri" w:hAnsi="Calibri"/>
        </w:rPr>
        <w:t xml:space="preserve"> MRI brain lesions or OCB positive; EDSS ≥2; brain MRI with </w:t>
      </w:r>
      <w:r w:rsidR="00F56DF4" w:rsidRPr="00CE5C86">
        <w:rPr>
          <w:rFonts w:ascii="Calibri" w:hAnsi="Calibri"/>
        </w:rPr>
        <w:t>≥1</w:t>
      </w:r>
      <w:r w:rsidR="00904419" w:rsidRPr="00CE5C86">
        <w:rPr>
          <w:rFonts w:ascii="Calibri" w:hAnsi="Calibri"/>
        </w:rPr>
        <w:t xml:space="preserve"> T1 </w:t>
      </w:r>
      <w:proofErr w:type="spellStart"/>
      <w:r w:rsidR="00904419" w:rsidRPr="00CE5C86">
        <w:rPr>
          <w:rFonts w:ascii="Calibri" w:hAnsi="Calibri"/>
        </w:rPr>
        <w:t>GdE</w:t>
      </w:r>
      <w:proofErr w:type="spellEnd"/>
      <w:r w:rsidR="00904419" w:rsidRPr="00CE5C86">
        <w:rPr>
          <w:rFonts w:ascii="Calibri" w:hAnsi="Calibri"/>
        </w:rPr>
        <w:t xml:space="preserve"> lesions or </w:t>
      </w:r>
      <w:r w:rsidR="00F56DF4" w:rsidRPr="00CE5C86">
        <w:rPr>
          <w:rFonts w:ascii="Calibri" w:hAnsi="Calibri"/>
        </w:rPr>
        <w:t>≥1</w:t>
      </w:r>
      <w:r w:rsidR="00904419" w:rsidRPr="00CE5C86">
        <w:rPr>
          <w:rFonts w:ascii="Calibri" w:hAnsi="Calibri"/>
        </w:rPr>
        <w:t xml:space="preserve"> T2 </w:t>
      </w:r>
      <w:proofErr w:type="spellStart"/>
      <w:r w:rsidR="00904419" w:rsidRPr="00CE5C86">
        <w:rPr>
          <w:rFonts w:ascii="Calibri" w:hAnsi="Calibri"/>
        </w:rPr>
        <w:t>hyperintense</w:t>
      </w:r>
      <w:proofErr w:type="spellEnd"/>
      <w:r w:rsidR="00904419" w:rsidRPr="00CE5C86">
        <w:rPr>
          <w:rFonts w:ascii="Calibri" w:hAnsi="Calibri"/>
        </w:rPr>
        <w:t xml:space="preserve"> MRI brain lesion in a </w:t>
      </w:r>
      <w:proofErr w:type="spellStart"/>
      <w:r w:rsidR="00904419" w:rsidRPr="00CE5C86">
        <w:rPr>
          <w:rFonts w:ascii="Calibri" w:hAnsi="Calibri"/>
        </w:rPr>
        <w:t>juxtacortical</w:t>
      </w:r>
      <w:proofErr w:type="spellEnd"/>
      <w:r w:rsidR="00F56DF4" w:rsidRPr="00CE5C86">
        <w:rPr>
          <w:rFonts w:ascii="Calibri" w:hAnsi="Calibri"/>
        </w:rPr>
        <w:t>,</w:t>
      </w:r>
      <w:r w:rsidR="00904419" w:rsidRPr="00CE5C86">
        <w:rPr>
          <w:rFonts w:ascii="Calibri" w:hAnsi="Calibri"/>
        </w:rPr>
        <w:t xml:space="preserve"> </w:t>
      </w:r>
      <w:proofErr w:type="spellStart"/>
      <w:r w:rsidR="00904419" w:rsidRPr="00CE5C86">
        <w:rPr>
          <w:rFonts w:ascii="Calibri" w:hAnsi="Calibri"/>
        </w:rPr>
        <w:t>infratentorial</w:t>
      </w:r>
      <w:proofErr w:type="spellEnd"/>
      <w:r w:rsidR="00904419" w:rsidRPr="00CE5C86">
        <w:rPr>
          <w:rFonts w:ascii="Calibri" w:hAnsi="Calibri"/>
        </w:rPr>
        <w:t xml:space="preserve"> or periventricular location)</w:t>
      </w:r>
      <w:r w:rsidRPr="00CE5C86">
        <w:rPr>
          <w:rFonts w:ascii="Calibri" w:hAnsi="Calibri"/>
        </w:rPr>
        <w:t>. The trial population was therefore not representative of the eligible population under the proposed PBS listing.</w:t>
      </w:r>
      <w:r w:rsidR="00DD3E4F" w:rsidRPr="00CE5C86">
        <w:rPr>
          <w:rFonts w:ascii="Calibri" w:hAnsi="Calibri"/>
          <w:b/>
          <w:szCs w:val="24"/>
        </w:rPr>
        <w:t xml:space="preserve"> </w:t>
      </w:r>
      <w:r w:rsidR="00DD3E4F" w:rsidRPr="00CE5C86">
        <w:rPr>
          <w:rFonts w:ascii="Calibri" w:hAnsi="Calibri"/>
        </w:rPr>
        <w:t xml:space="preserve">It is unknown whether the treatment </w:t>
      </w:r>
      <w:r w:rsidR="007D2F06" w:rsidRPr="00CE5C86">
        <w:rPr>
          <w:rFonts w:ascii="Calibri" w:hAnsi="Calibri"/>
        </w:rPr>
        <w:t>effect from</w:t>
      </w:r>
      <w:r w:rsidR="00DD3E4F" w:rsidRPr="00CE5C86">
        <w:rPr>
          <w:rFonts w:ascii="Calibri" w:hAnsi="Calibri"/>
        </w:rPr>
        <w:t xml:space="preserve"> the </w:t>
      </w:r>
      <w:proofErr w:type="spellStart"/>
      <w:proofErr w:type="gramStart"/>
      <w:r w:rsidR="00DD3E4F" w:rsidRPr="00CE5C86">
        <w:rPr>
          <w:rFonts w:ascii="Calibri" w:hAnsi="Calibri"/>
        </w:rPr>
        <w:t>PreCISe</w:t>
      </w:r>
      <w:proofErr w:type="spellEnd"/>
      <w:proofErr w:type="gramEnd"/>
      <w:r w:rsidR="00DD3E4F" w:rsidRPr="00CE5C86">
        <w:rPr>
          <w:rFonts w:ascii="Calibri" w:hAnsi="Calibri"/>
        </w:rPr>
        <w:t xml:space="preserve"> trial can be generalised to the proposed PBS population (high risk group identified in a multivariable analysis of </w:t>
      </w:r>
      <w:proofErr w:type="spellStart"/>
      <w:r w:rsidR="00DD3E4F" w:rsidRPr="00CE5C86">
        <w:rPr>
          <w:rFonts w:ascii="Calibri" w:hAnsi="Calibri"/>
        </w:rPr>
        <w:t>MSBase</w:t>
      </w:r>
      <w:proofErr w:type="spellEnd"/>
      <w:r w:rsidR="00DD3E4F" w:rsidRPr="00CE5C86">
        <w:rPr>
          <w:rFonts w:ascii="Calibri" w:hAnsi="Calibri"/>
        </w:rPr>
        <w:t xml:space="preserve">). </w:t>
      </w:r>
      <w:r w:rsidR="008C0252" w:rsidRPr="00CE5C86">
        <w:rPr>
          <w:rFonts w:ascii="Calibri" w:hAnsi="Calibri"/>
        </w:rPr>
        <w:t xml:space="preserve">The PSCR </w:t>
      </w:r>
      <w:r w:rsidR="001115DE" w:rsidRPr="00CE5C86">
        <w:rPr>
          <w:rFonts w:ascii="Calibri" w:hAnsi="Calibri"/>
        </w:rPr>
        <w:t xml:space="preserve">(p1) </w:t>
      </w:r>
      <w:r w:rsidR="004F1017">
        <w:rPr>
          <w:rFonts w:ascii="Calibri" w:hAnsi="Calibri"/>
        </w:rPr>
        <w:t xml:space="preserve">indicated </w:t>
      </w:r>
      <w:r w:rsidR="008C0252" w:rsidRPr="00CE5C86">
        <w:rPr>
          <w:rFonts w:ascii="Calibri" w:hAnsi="Calibri"/>
        </w:rPr>
        <w:t>that</w:t>
      </w:r>
      <w:r w:rsidR="004F1017">
        <w:rPr>
          <w:rFonts w:ascii="Calibri" w:hAnsi="Calibri"/>
        </w:rPr>
        <w:t xml:space="preserve">, compared to </w:t>
      </w:r>
      <w:r w:rsidR="004F1017" w:rsidRPr="00CE5C86">
        <w:rPr>
          <w:rFonts w:ascii="Calibri" w:hAnsi="Calibri"/>
        </w:rPr>
        <w:t>the full trial population</w:t>
      </w:r>
      <w:r w:rsidR="004F1017">
        <w:rPr>
          <w:rFonts w:ascii="Calibri" w:hAnsi="Calibri"/>
        </w:rPr>
        <w:t xml:space="preserve">, </w:t>
      </w:r>
      <w:r w:rsidR="004F1017" w:rsidRPr="00CE5C86">
        <w:rPr>
          <w:rFonts w:ascii="Calibri" w:hAnsi="Calibri"/>
        </w:rPr>
        <w:t>the time to conversion was similar</w:t>
      </w:r>
      <w:r w:rsidR="008C0252" w:rsidRPr="00CE5C86">
        <w:rPr>
          <w:rFonts w:ascii="Calibri" w:hAnsi="Calibri"/>
        </w:rPr>
        <w:t xml:space="preserve"> in </w:t>
      </w:r>
      <w:r w:rsidR="008F629A">
        <w:rPr>
          <w:rFonts w:ascii="Calibri" w:hAnsi="Calibri"/>
        </w:rPr>
        <w:t xml:space="preserve">the </w:t>
      </w:r>
      <w:r w:rsidR="001115DE" w:rsidRPr="00CE5C86">
        <w:rPr>
          <w:rFonts w:ascii="Calibri" w:hAnsi="Calibri"/>
        </w:rPr>
        <w:t>exploratory</w:t>
      </w:r>
      <w:r w:rsidR="008C0252" w:rsidRPr="00CE5C86">
        <w:rPr>
          <w:rFonts w:ascii="Calibri" w:hAnsi="Calibri"/>
        </w:rPr>
        <w:t xml:space="preserve"> subgroup analyses </w:t>
      </w:r>
      <w:r w:rsidR="001115DE" w:rsidRPr="00CE5C86">
        <w:rPr>
          <w:rFonts w:ascii="Calibri" w:hAnsi="Calibri"/>
        </w:rPr>
        <w:t>of baseline characteristics that are part of, or similar to, the</w:t>
      </w:r>
      <w:r w:rsidR="003F0A36" w:rsidRPr="00CE5C86">
        <w:rPr>
          <w:rFonts w:ascii="Calibri" w:hAnsi="Calibri"/>
        </w:rPr>
        <w:t xml:space="preserve"> high risk group </w:t>
      </w:r>
      <w:r w:rsidR="001115DE" w:rsidRPr="00CE5C86">
        <w:rPr>
          <w:rFonts w:ascii="Calibri" w:hAnsi="Calibri"/>
        </w:rPr>
        <w:t xml:space="preserve">patients with clinically isolated syndrome, where patient numbers were large enough for T2≥9 and T≥1. The PSCR (p1) argued that the subgroup sample sizes were insufficient to determine statistical significance, but that the similar results indicated that the proposed PBS population would likely experience the outcomes seen in the </w:t>
      </w:r>
      <w:proofErr w:type="spellStart"/>
      <w:proofErr w:type="gramStart"/>
      <w:r w:rsidR="001115DE" w:rsidRPr="00CE5C86">
        <w:rPr>
          <w:rFonts w:ascii="Calibri" w:hAnsi="Calibri"/>
        </w:rPr>
        <w:t>PreCISe</w:t>
      </w:r>
      <w:proofErr w:type="spellEnd"/>
      <w:proofErr w:type="gramEnd"/>
      <w:r w:rsidR="001115DE" w:rsidRPr="00CE5C86">
        <w:rPr>
          <w:rFonts w:ascii="Calibri" w:hAnsi="Calibri"/>
        </w:rPr>
        <w:t xml:space="preserve"> trial.</w:t>
      </w:r>
      <w:r w:rsidR="00EA7DD6" w:rsidRPr="00CE5C86">
        <w:rPr>
          <w:rFonts w:ascii="Calibri" w:hAnsi="Calibri"/>
        </w:rPr>
        <w:t xml:space="preserve"> The ESC considered there was insufficient data to conclude that the effect observed in the trial population would be observed in the proposed high risk subgroup (</w:t>
      </w:r>
      <w:r w:rsidR="00EA7DD6" w:rsidRPr="00E616D1">
        <w:rPr>
          <w:rFonts w:ascii="Calibri" w:hAnsi="Calibri"/>
        </w:rPr>
        <w:t>see 6.1</w:t>
      </w:r>
      <w:r w:rsidR="002A4F20" w:rsidRPr="00E616D1">
        <w:rPr>
          <w:rFonts w:ascii="Calibri" w:hAnsi="Calibri"/>
        </w:rPr>
        <w:t>3</w:t>
      </w:r>
      <w:r w:rsidR="00EA7DD6" w:rsidRPr="00E616D1">
        <w:rPr>
          <w:rFonts w:ascii="Calibri" w:hAnsi="Calibri"/>
        </w:rPr>
        <w:t xml:space="preserve"> below</w:t>
      </w:r>
      <w:r w:rsidR="00EA7DD6" w:rsidRPr="00CE5C86">
        <w:rPr>
          <w:rFonts w:ascii="Calibri" w:hAnsi="Calibri"/>
        </w:rPr>
        <w:t>).</w:t>
      </w:r>
    </w:p>
    <w:p w:rsidR="009C17C4" w:rsidRPr="009A7E4F" w:rsidRDefault="009C17C4" w:rsidP="005875D1">
      <w:pPr>
        <w:numPr>
          <w:ilvl w:val="1"/>
          <w:numId w:val="3"/>
        </w:numPr>
        <w:spacing w:before="0" w:after="120"/>
        <w:rPr>
          <w:rFonts w:ascii="Calibri" w:hAnsi="Calibri"/>
        </w:rPr>
      </w:pPr>
      <w:r w:rsidRPr="009A7E4F">
        <w:rPr>
          <w:rFonts w:ascii="Calibri" w:hAnsi="Calibri"/>
        </w:rPr>
        <w:t>The PBAC noted that</w:t>
      </w:r>
      <w:r w:rsidR="009A7E4F" w:rsidRPr="009A7E4F">
        <w:rPr>
          <w:rFonts w:ascii="Calibri" w:hAnsi="Calibri"/>
        </w:rPr>
        <w:t xml:space="preserve"> the submission proposed a minimal clinically important difference (MCID) of a 20% relative reduction i</w:t>
      </w:r>
      <w:r w:rsidR="009F3DB8">
        <w:rPr>
          <w:rFonts w:ascii="Calibri" w:hAnsi="Calibri"/>
        </w:rPr>
        <w:t xml:space="preserve">n the risk of conversion to </w:t>
      </w:r>
      <w:r w:rsidR="009F3DB8">
        <w:t>clinically definite multiple sclerosis</w:t>
      </w:r>
      <w:r w:rsidR="009A7E4F" w:rsidRPr="009A7E4F">
        <w:rPr>
          <w:rFonts w:ascii="Calibri" w:hAnsi="Calibri"/>
        </w:rPr>
        <w:t>. The PBAC considered that the submission’</w:t>
      </w:r>
      <w:r w:rsidR="009A7E4F">
        <w:rPr>
          <w:rFonts w:ascii="Calibri" w:hAnsi="Calibri"/>
        </w:rPr>
        <w:t>s proposed MCID</w:t>
      </w:r>
      <w:r w:rsidR="009A7E4F" w:rsidRPr="009A7E4F">
        <w:rPr>
          <w:rFonts w:ascii="Calibri" w:hAnsi="Calibri"/>
        </w:rPr>
        <w:t xml:space="preserve"> appeared arbitrary, and that applying a MCID based on a proportional change to an outcome based on rates ma</w:t>
      </w:r>
      <w:r w:rsidR="004F1017">
        <w:rPr>
          <w:rFonts w:ascii="Calibri" w:hAnsi="Calibri"/>
        </w:rPr>
        <w:t>y not be clinically meaningful.</w:t>
      </w:r>
    </w:p>
    <w:p w:rsidR="00DC6D2E" w:rsidRPr="002720C1" w:rsidRDefault="00DC6D2E" w:rsidP="00772C75">
      <w:pPr>
        <w:pStyle w:val="V50Heading2nonumbers"/>
      </w:pPr>
      <w:bookmarkStart w:id="22" w:name="_Toc482710349"/>
      <w:r w:rsidRPr="002720C1">
        <w:t>Comparative effectiveness</w:t>
      </w:r>
      <w:bookmarkEnd w:id="20"/>
      <w:bookmarkEnd w:id="21"/>
      <w:bookmarkEnd w:id="22"/>
    </w:p>
    <w:p w:rsidR="00DC6D2E" w:rsidRPr="00CE5C86" w:rsidRDefault="00DC6D2E" w:rsidP="005875D1">
      <w:pPr>
        <w:numPr>
          <w:ilvl w:val="1"/>
          <w:numId w:val="3"/>
        </w:numPr>
        <w:spacing w:before="0" w:after="120"/>
        <w:rPr>
          <w:rFonts w:ascii="Calibri" w:hAnsi="Calibri"/>
        </w:rPr>
      </w:pPr>
      <w:r w:rsidRPr="00CE5C86">
        <w:rPr>
          <w:rFonts w:ascii="Calibri" w:hAnsi="Calibri"/>
        </w:rPr>
        <w:t xml:space="preserve">Time to diagnosis with clinically definite multiple sclerosis (primary outcome) with glatiramer acetate versus placebo is summarised in Figure </w:t>
      </w:r>
      <w:r w:rsidR="00442AEA" w:rsidRPr="00CE5C86">
        <w:rPr>
          <w:rFonts w:ascii="Calibri" w:hAnsi="Calibri"/>
        </w:rPr>
        <w:t>1</w:t>
      </w:r>
      <w:r w:rsidRPr="00CE5C86">
        <w:rPr>
          <w:rFonts w:ascii="Calibri" w:hAnsi="Calibri"/>
        </w:rPr>
        <w:t xml:space="preserve"> below.</w:t>
      </w:r>
    </w:p>
    <w:p w:rsidR="002744AA" w:rsidRPr="00CE5C86" w:rsidRDefault="002744AA" w:rsidP="002744AA">
      <w:pPr>
        <w:pStyle w:val="Caption"/>
      </w:pPr>
      <w:r w:rsidRPr="00CE5C86">
        <w:t xml:space="preserve">Figure </w:t>
      </w:r>
      <w:r w:rsidR="002722E0">
        <w:rPr>
          <w:noProof/>
        </w:rPr>
        <w:t>1</w:t>
      </w:r>
      <w:r w:rsidR="002730F4" w:rsidRPr="00CE5C86">
        <w:rPr>
          <w:noProof/>
        </w:rPr>
        <w:t>:</w:t>
      </w:r>
      <w:r w:rsidRPr="00CE5C86">
        <w:t xml:space="preserve"> Kaplan-Meier cumulative incidence curves for time to diagnosis with clinically definite multiple sclerosis </w:t>
      </w:r>
      <w:r w:rsidR="00AB6424" w:rsidRPr="00AB6424">
        <w:t xml:space="preserve">using the Poser (1983) diagnostic criteria </w:t>
      </w:r>
      <w:r w:rsidR="00AB6424">
        <w:t xml:space="preserve">as reported by </w:t>
      </w:r>
      <w:r w:rsidR="00111A53">
        <w:t>during</w:t>
      </w:r>
      <w:r w:rsidRPr="00CE5C86">
        <w:t xml:space="preserve"> the placebo controlled phase of </w:t>
      </w:r>
      <w:proofErr w:type="spellStart"/>
      <w:r w:rsidRPr="00CE5C86">
        <w:t>PreCISe</w:t>
      </w:r>
      <w:proofErr w:type="spellEnd"/>
      <w:r w:rsidRPr="00CE5C86">
        <w:t xml:space="preserve"> (ITT)</w:t>
      </w:r>
    </w:p>
    <w:p w:rsidR="00DC6D2E" w:rsidRPr="00CE5C86" w:rsidRDefault="00DC6D2E" w:rsidP="002730F4">
      <w:pPr>
        <w:spacing w:before="0" w:after="120"/>
        <w:rPr>
          <w:rFonts w:ascii="Calibri" w:hAnsi="Calibri"/>
        </w:rPr>
      </w:pPr>
      <w:r w:rsidRPr="00CE5C86">
        <w:rPr>
          <w:noProof/>
          <w:lang w:eastAsia="en-AU"/>
        </w:rPr>
        <w:drawing>
          <wp:inline distT="0" distB="0" distL="0" distR="0" wp14:anchorId="61E49B9F" wp14:editId="1A33072B">
            <wp:extent cx="5328462" cy="4038600"/>
            <wp:effectExtent l="0" t="0" r="5715" b="0"/>
            <wp:docPr id="4" name="Picture 4" title="Kaplan-Meier cumulative incidence curves for time to diagnosis with clinically definite multiple sclero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65536" cy="4066700"/>
                    </a:xfrm>
                    <a:prstGeom prst="rect">
                      <a:avLst/>
                    </a:prstGeom>
                  </pic:spPr>
                </pic:pic>
              </a:graphicData>
            </a:graphic>
          </wp:inline>
        </w:drawing>
      </w:r>
    </w:p>
    <w:p w:rsidR="00DC6D2E" w:rsidRPr="00CE5C86" w:rsidRDefault="00DC6D2E" w:rsidP="00DC6D2E">
      <w:pPr>
        <w:widowControl w:val="0"/>
        <w:spacing w:before="0" w:after="240"/>
      </w:pPr>
      <w:r w:rsidRPr="00CE5C86">
        <w:rPr>
          <w:rFonts w:ascii="Arial Narrow" w:eastAsia="Times New Roman" w:hAnsi="Arial Narrow" w:cs="Arial"/>
          <w:snapToGrid w:val="0"/>
          <w:sz w:val="18"/>
          <w:szCs w:val="18"/>
        </w:rPr>
        <w:t>Source: Figure 2.5, p.84 of Section 2 of the submission</w:t>
      </w:r>
    </w:p>
    <w:p w:rsidR="00DD3E4F" w:rsidRPr="00CE5C86" w:rsidRDefault="00DC6D2E" w:rsidP="005875D1">
      <w:pPr>
        <w:numPr>
          <w:ilvl w:val="1"/>
          <w:numId w:val="3"/>
        </w:numPr>
        <w:spacing w:before="0" w:after="120"/>
        <w:rPr>
          <w:rFonts w:ascii="Calibri" w:hAnsi="Calibri"/>
        </w:rPr>
      </w:pPr>
      <w:r w:rsidRPr="00CE5C86">
        <w:t xml:space="preserve">Treatment with glatiramer acetate was associated with a statistically significant increase in time to diagnosis with clinically definite multiple sclerosis (HR: 0.55; 95% CI 0.44, 0.77). The extent to which time to relapse relates to on-going patient disability and quality of life, is unclear. </w:t>
      </w:r>
    </w:p>
    <w:p w:rsidR="00944D30" w:rsidRDefault="00DD3E4F" w:rsidP="005875D1">
      <w:pPr>
        <w:numPr>
          <w:ilvl w:val="1"/>
          <w:numId w:val="3"/>
        </w:numPr>
        <w:spacing w:before="0" w:after="120"/>
        <w:rPr>
          <w:rFonts w:ascii="Calibri" w:hAnsi="Calibri"/>
        </w:rPr>
      </w:pPr>
      <w:r w:rsidRPr="00CE5C86">
        <w:rPr>
          <w:rFonts w:ascii="Calibri" w:hAnsi="Calibri"/>
        </w:rPr>
        <w:t xml:space="preserve">The </w:t>
      </w:r>
      <w:r w:rsidR="00B44D64">
        <w:rPr>
          <w:rFonts w:ascii="Calibri" w:hAnsi="Calibri"/>
        </w:rPr>
        <w:t xml:space="preserve">extent </w:t>
      </w:r>
      <w:r w:rsidRPr="00CE5C86">
        <w:rPr>
          <w:rFonts w:ascii="Calibri" w:hAnsi="Calibri"/>
        </w:rPr>
        <w:t>of treatment effect is unknown</w:t>
      </w:r>
      <w:r w:rsidR="00B44D64">
        <w:rPr>
          <w:rFonts w:ascii="Calibri" w:hAnsi="Calibri"/>
        </w:rPr>
        <w:t xml:space="preserve"> in the longer term</w:t>
      </w:r>
      <w:r w:rsidRPr="00CE5C86">
        <w:rPr>
          <w:rFonts w:ascii="Calibri" w:hAnsi="Calibri"/>
        </w:rPr>
        <w:t xml:space="preserve">, with the data beyond the initial 3 year follow up period </w:t>
      </w:r>
      <w:r w:rsidR="008C790A">
        <w:rPr>
          <w:rFonts w:ascii="Calibri" w:hAnsi="Calibri"/>
        </w:rPr>
        <w:t xml:space="preserve">of the randomised trial </w:t>
      </w:r>
      <w:r w:rsidRPr="00CE5C86">
        <w:rPr>
          <w:rFonts w:ascii="Calibri" w:hAnsi="Calibri"/>
        </w:rPr>
        <w:t xml:space="preserve">being </w:t>
      </w:r>
      <w:r w:rsidR="008C790A">
        <w:rPr>
          <w:rFonts w:ascii="Calibri" w:hAnsi="Calibri"/>
        </w:rPr>
        <w:t xml:space="preserve">contaminated in the open-label follow-up </w:t>
      </w:r>
      <w:r w:rsidRPr="00CE5C86">
        <w:rPr>
          <w:rFonts w:ascii="Calibri" w:hAnsi="Calibri"/>
        </w:rPr>
        <w:t xml:space="preserve">due to </w:t>
      </w:r>
      <w:r w:rsidR="008C790A">
        <w:rPr>
          <w:rFonts w:ascii="Calibri" w:hAnsi="Calibri"/>
        </w:rPr>
        <w:t xml:space="preserve">all patients on </w:t>
      </w:r>
      <w:r w:rsidRPr="00CE5C86">
        <w:rPr>
          <w:rFonts w:ascii="Calibri" w:hAnsi="Calibri"/>
        </w:rPr>
        <w:t xml:space="preserve">placebo </w:t>
      </w:r>
      <w:r w:rsidR="008C790A">
        <w:rPr>
          <w:rFonts w:ascii="Calibri" w:hAnsi="Calibri"/>
        </w:rPr>
        <w:t xml:space="preserve">being able to </w:t>
      </w:r>
      <w:r w:rsidRPr="00CE5C86">
        <w:rPr>
          <w:rFonts w:ascii="Calibri" w:hAnsi="Calibri"/>
        </w:rPr>
        <w:t>cross</w:t>
      </w:r>
      <w:r w:rsidR="008C790A">
        <w:rPr>
          <w:rFonts w:ascii="Calibri" w:hAnsi="Calibri"/>
        </w:rPr>
        <w:t xml:space="preserve"> </w:t>
      </w:r>
      <w:r w:rsidRPr="00CE5C86">
        <w:rPr>
          <w:rFonts w:ascii="Calibri" w:hAnsi="Calibri"/>
        </w:rPr>
        <w:t>over to treatment with glatiramer acetate</w:t>
      </w:r>
      <w:r w:rsidR="008C790A">
        <w:rPr>
          <w:rFonts w:ascii="Calibri" w:hAnsi="Calibri"/>
        </w:rPr>
        <w:t xml:space="preserve"> at the end of the placebo-controlled phase of the trial</w:t>
      </w:r>
      <w:r w:rsidRPr="00CE5C86">
        <w:rPr>
          <w:rFonts w:ascii="Calibri" w:hAnsi="Calibri"/>
        </w:rPr>
        <w:t>.</w:t>
      </w:r>
      <w:r w:rsidR="004E3248">
        <w:rPr>
          <w:rFonts w:ascii="Calibri" w:hAnsi="Calibri"/>
        </w:rPr>
        <w:t xml:space="preserve"> </w:t>
      </w:r>
      <w:r w:rsidR="00121217" w:rsidRPr="00121217">
        <w:rPr>
          <w:rFonts w:ascii="Calibri" w:hAnsi="Calibri"/>
        </w:rPr>
        <w:t xml:space="preserve">The PSCR (p2) referred to published literature to argue that reduction in relapses is associated with delays in disability progression. The ESC considered that this may be plausible, however in the absence of long term </w:t>
      </w:r>
      <w:proofErr w:type="gramStart"/>
      <w:r w:rsidR="00121217" w:rsidRPr="00121217">
        <w:rPr>
          <w:rFonts w:ascii="Calibri" w:hAnsi="Calibri"/>
        </w:rPr>
        <w:t>data,</w:t>
      </w:r>
      <w:proofErr w:type="gramEnd"/>
      <w:r w:rsidR="00121217" w:rsidRPr="00121217">
        <w:rPr>
          <w:rFonts w:ascii="Calibri" w:hAnsi="Calibri"/>
        </w:rPr>
        <w:t xml:space="preserve"> it is more conservative to assume that patients treated with glatiramer eventually “catch up” in disability. The ESC noted that there was no evidence of any mortality gains with glatiramer treatment.</w:t>
      </w:r>
    </w:p>
    <w:p w:rsidR="00C73075" w:rsidRDefault="00C73075" w:rsidP="005875D1">
      <w:pPr>
        <w:numPr>
          <w:ilvl w:val="1"/>
          <w:numId w:val="3"/>
        </w:numPr>
        <w:spacing w:before="0" w:after="120"/>
        <w:rPr>
          <w:rFonts w:ascii="Calibri" w:hAnsi="Calibri"/>
        </w:rPr>
      </w:pPr>
      <w:r w:rsidRPr="00C73075">
        <w:rPr>
          <w:rFonts w:ascii="Calibri" w:hAnsi="Calibri"/>
        </w:rPr>
        <w:t>The</w:t>
      </w:r>
      <w:r>
        <w:rPr>
          <w:rFonts w:ascii="Calibri" w:hAnsi="Calibri"/>
        </w:rPr>
        <w:t xml:space="preserve"> PBAC noted the</w:t>
      </w:r>
      <w:r w:rsidRPr="00C73075">
        <w:rPr>
          <w:rFonts w:ascii="Calibri" w:hAnsi="Calibri"/>
        </w:rPr>
        <w:t xml:space="preserve"> </w:t>
      </w:r>
      <w:proofErr w:type="spellStart"/>
      <w:r w:rsidRPr="00C73075">
        <w:rPr>
          <w:rFonts w:ascii="Calibri" w:hAnsi="Calibri"/>
        </w:rPr>
        <w:t>PreCISe</w:t>
      </w:r>
      <w:proofErr w:type="spellEnd"/>
      <w:r w:rsidRPr="00C73075">
        <w:rPr>
          <w:rFonts w:ascii="Calibri" w:hAnsi="Calibri"/>
        </w:rPr>
        <w:t xml:space="preserve"> trial was designed and conducted based on the Poser criteria (minimum of two clinical attacks required to diagnose multiple sclerosis); however the McDonald criteria (which allow for a second attack in time to be defined by a new lesion appearing on MRI rather than a second clinical attack) are more likely to be used in clinical practice</w:t>
      </w:r>
      <w:r w:rsidR="00AB6424">
        <w:rPr>
          <w:rFonts w:ascii="Calibri" w:hAnsi="Calibri"/>
        </w:rPr>
        <w:t xml:space="preserve"> to diagnose multiple sclerosis.</w:t>
      </w:r>
    </w:p>
    <w:p w:rsidR="00044E36" w:rsidRPr="00AB6424" w:rsidRDefault="00E64A9A" w:rsidP="005875D1">
      <w:pPr>
        <w:numPr>
          <w:ilvl w:val="1"/>
          <w:numId w:val="3"/>
        </w:numPr>
        <w:spacing w:before="0" w:after="120"/>
      </w:pPr>
      <w:r>
        <w:t>The PBAC noted</w:t>
      </w:r>
      <w:r w:rsidR="00044E36" w:rsidRPr="00044E36">
        <w:t xml:space="preserve"> </w:t>
      </w:r>
      <w:r w:rsidR="00C73075">
        <w:t>i</w:t>
      </w:r>
      <w:r w:rsidR="00C73075" w:rsidRPr="00354848">
        <w:t xml:space="preserve">n the open label extension phase of the </w:t>
      </w:r>
      <w:proofErr w:type="spellStart"/>
      <w:r w:rsidR="00C73075" w:rsidRPr="00354848">
        <w:t>PreCISe</w:t>
      </w:r>
      <w:proofErr w:type="spellEnd"/>
      <w:r w:rsidR="00C73075" w:rsidRPr="00354848">
        <w:t xml:space="preserve"> trial</w:t>
      </w:r>
      <w:r w:rsidR="00C73075">
        <w:t xml:space="preserve">, </w:t>
      </w:r>
      <w:r w:rsidR="00044E36" w:rsidRPr="00044E36">
        <w:t>a higher proportion of subjects in the delayed start treatment group were diagnosed with clinically definite multiple sclerosis, as determined by Poser criteria, than in the early start group, 49.6% versus 32.9%, respectively (HR: 0.59; CI: 0.44, 0.80; p=0.0005). Based on the Kaplan Meier survival time estimates for the 35th percentile, subjects in the early start treatment group had a longer time to diagnosis with clinically definite multiple sclerosis (1497 days) compared to subjects in the delayed start treatment group (525 days)</w:t>
      </w:r>
      <w:r w:rsidR="00AB6424">
        <w:rPr>
          <w:i/>
        </w:rPr>
        <w:t>.</w:t>
      </w:r>
    </w:p>
    <w:p w:rsidR="00044E36" w:rsidRPr="005A3BF2" w:rsidRDefault="00044E36" w:rsidP="005875D1">
      <w:pPr>
        <w:numPr>
          <w:ilvl w:val="1"/>
          <w:numId w:val="3"/>
        </w:numPr>
        <w:spacing w:before="0" w:after="120"/>
      </w:pPr>
      <w:r>
        <w:t xml:space="preserve">The PBAC </w:t>
      </w:r>
      <w:r w:rsidR="00C432DF">
        <w:t xml:space="preserve">also </w:t>
      </w:r>
      <w:r>
        <w:t>noted</w:t>
      </w:r>
      <w:r w:rsidR="00AB6424">
        <w:t xml:space="preserve"> that</w:t>
      </w:r>
      <w:r w:rsidRPr="00044E36">
        <w:t xml:space="preserve"> a higher proportion of subjects in the delayed start treatment group were diagnosed with clinically definite multiple sclerosis, as determined by the McDonald criteria, than in the early start group, 84.9% versus 77.4%, respectively, however the difference between treatment groups was not </w:t>
      </w:r>
      <w:r w:rsidR="00C73075">
        <w:t xml:space="preserve">statistically </w:t>
      </w:r>
      <w:r w:rsidRPr="00044E36">
        <w:t xml:space="preserve">significant (HR: 0.83; CI: 0.66, 1.03; p=0.0829). </w:t>
      </w:r>
      <w:r w:rsidRPr="005A3BF2">
        <w:t>The number</w:t>
      </w:r>
      <w:r w:rsidR="00C432DF">
        <w:t>s</w:t>
      </w:r>
      <w:r w:rsidRPr="005A3BF2">
        <w:t xml:space="preserve"> of patients diagnosed with multiple sclerosis using the McDonald criteria </w:t>
      </w:r>
      <w:r w:rsidR="00C432DF">
        <w:t>were</w:t>
      </w:r>
      <w:r w:rsidRPr="005A3BF2">
        <w:t xml:space="preserve"> substantially higher than the number</w:t>
      </w:r>
      <w:r w:rsidR="00C432DF">
        <w:t>s</w:t>
      </w:r>
      <w:r w:rsidRPr="005A3BF2">
        <w:t xml:space="preserve"> diagnosed with the Poser criteria. The number of patients with McDonald multiple sclerosis at baseline was not reported, however </w:t>
      </w:r>
      <w:r w:rsidR="00C73075" w:rsidRPr="005A3BF2">
        <w:t>it is likely</w:t>
      </w:r>
      <w:r w:rsidRPr="005A3BF2">
        <w:t xml:space="preserve"> that a number of patients would have met these criteria prior to the commencement of the trial.</w:t>
      </w:r>
    </w:p>
    <w:p w:rsidR="00802914" w:rsidRPr="00CE5C86" w:rsidRDefault="00802914" w:rsidP="005875D1">
      <w:pPr>
        <w:numPr>
          <w:ilvl w:val="1"/>
          <w:numId w:val="3"/>
        </w:numPr>
        <w:spacing w:before="0" w:after="120"/>
        <w:rPr>
          <w:rFonts w:ascii="Calibri" w:hAnsi="Calibri"/>
        </w:rPr>
      </w:pPr>
      <w:r w:rsidRPr="00CE5C86">
        <w:rPr>
          <w:rFonts w:ascii="Calibri" w:hAnsi="Calibri"/>
        </w:rPr>
        <w:t xml:space="preserve">Subgroup analyses of the </w:t>
      </w:r>
      <w:proofErr w:type="spellStart"/>
      <w:proofErr w:type="gramStart"/>
      <w:r w:rsidRPr="00CE5C86">
        <w:rPr>
          <w:rFonts w:ascii="Calibri" w:hAnsi="Calibri"/>
        </w:rPr>
        <w:t>PreCISe</w:t>
      </w:r>
      <w:proofErr w:type="spellEnd"/>
      <w:proofErr w:type="gramEnd"/>
      <w:r w:rsidRPr="00CE5C86">
        <w:rPr>
          <w:rFonts w:ascii="Calibri" w:hAnsi="Calibri"/>
        </w:rPr>
        <w:t xml:space="preserve"> trial using available patient characteristics of the proposed high risk group are summarised in Table 4 below.</w:t>
      </w:r>
    </w:p>
    <w:p w:rsidR="002744AA" w:rsidRPr="00CE5C86" w:rsidRDefault="002744AA" w:rsidP="002744AA">
      <w:pPr>
        <w:pStyle w:val="Caption"/>
      </w:pPr>
      <w:r w:rsidRPr="00CE5C86">
        <w:t xml:space="preserve">Table </w:t>
      </w:r>
      <w:r w:rsidR="007E6A8F">
        <w:rPr>
          <w:noProof/>
        </w:rPr>
        <w:t>4</w:t>
      </w:r>
      <w:r w:rsidRPr="00CE5C86">
        <w:t xml:space="preserve">: Analysis of time to conversion for subgroups of the </w:t>
      </w:r>
      <w:proofErr w:type="spellStart"/>
      <w:proofErr w:type="gramStart"/>
      <w:r w:rsidRPr="00CE5C86">
        <w:t>PreCISe</w:t>
      </w:r>
      <w:proofErr w:type="spellEnd"/>
      <w:proofErr w:type="gramEnd"/>
      <w:r w:rsidRPr="00CE5C86">
        <w:t xml:space="preserve"> trial</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alysis of time to conversion for subgroups of the PreCISe trial"/>
      </w:tblPr>
      <w:tblGrid>
        <w:gridCol w:w="1848"/>
        <w:gridCol w:w="2087"/>
        <w:gridCol w:w="1843"/>
        <w:gridCol w:w="1701"/>
        <w:gridCol w:w="1763"/>
      </w:tblGrid>
      <w:tr w:rsidR="00802914" w:rsidRPr="00CE5C86" w:rsidTr="00C432DF">
        <w:trPr>
          <w:cnfStyle w:val="100000000000" w:firstRow="1" w:lastRow="0" w:firstColumn="0" w:lastColumn="0" w:oddVBand="0" w:evenVBand="0" w:oddHBand="0" w:evenHBand="0" w:firstRowFirstColumn="0" w:firstRowLastColumn="0" w:lastRowFirstColumn="0" w:lastRowLastColumn="0"/>
          <w:tblHeader/>
        </w:trPr>
        <w:tc>
          <w:tcPr>
            <w:tcW w:w="1000" w:type="pct"/>
            <w:vMerge w:val="restart"/>
            <w:shd w:val="clear" w:color="auto" w:fill="FFFFFF" w:themeFill="background1"/>
          </w:tcPr>
          <w:p w:rsidR="00802914" w:rsidRPr="00CE5C86" w:rsidRDefault="00802914" w:rsidP="000E5311">
            <w:pPr>
              <w:spacing w:before="0"/>
              <w:rPr>
                <w:rFonts w:ascii="Arial Narrow" w:hAnsi="Arial Narrow"/>
                <w:sz w:val="20"/>
                <w:szCs w:val="20"/>
              </w:rPr>
            </w:pPr>
            <w:r w:rsidRPr="00CE5C86">
              <w:rPr>
                <w:rFonts w:ascii="Arial Narrow" w:hAnsi="Arial Narrow"/>
                <w:sz w:val="20"/>
                <w:szCs w:val="20"/>
              </w:rPr>
              <w:t xml:space="preserve">Subgroup </w:t>
            </w:r>
          </w:p>
        </w:tc>
        <w:tc>
          <w:tcPr>
            <w:tcW w:w="2126" w:type="pct"/>
            <w:gridSpan w:val="2"/>
            <w:shd w:val="clear" w:color="auto" w:fill="FFFFFF" w:themeFill="background1"/>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Estimated conversion (2 years), % (95% CI)</w:t>
            </w:r>
          </w:p>
        </w:tc>
        <w:tc>
          <w:tcPr>
            <w:tcW w:w="920" w:type="pct"/>
            <w:vMerge w:val="restart"/>
            <w:shd w:val="clear" w:color="auto" w:fill="FFFFFF" w:themeFill="background1"/>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Difference</w:t>
            </w:r>
          </w:p>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(95% CI)</w:t>
            </w:r>
          </w:p>
        </w:tc>
        <w:tc>
          <w:tcPr>
            <w:tcW w:w="954" w:type="pct"/>
            <w:vMerge w:val="restart"/>
            <w:shd w:val="clear" w:color="auto" w:fill="FFFFFF" w:themeFill="background1"/>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Hazard ratio</w:t>
            </w:r>
          </w:p>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(95% CI)</w:t>
            </w:r>
          </w:p>
        </w:tc>
      </w:tr>
      <w:tr w:rsidR="00802914" w:rsidRPr="00CE5C86" w:rsidTr="00C432DF">
        <w:trPr>
          <w:cnfStyle w:val="100000000000" w:firstRow="1" w:lastRow="0" w:firstColumn="0" w:lastColumn="0" w:oddVBand="0" w:evenVBand="0" w:oddHBand="0" w:evenHBand="0" w:firstRowFirstColumn="0" w:firstRowLastColumn="0" w:lastRowFirstColumn="0" w:lastRowLastColumn="0"/>
          <w:tblHeader/>
        </w:trPr>
        <w:tc>
          <w:tcPr>
            <w:tcW w:w="1000" w:type="pct"/>
            <w:vMerge/>
          </w:tcPr>
          <w:p w:rsidR="00802914" w:rsidRPr="00CE5C86" w:rsidRDefault="00802914" w:rsidP="000E5311">
            <w:pPr>
              <w:spacing w:before="0"/>
              <w:rPr>
                <w:rFonts w:ascii="Arial Narrow" w:hAnsi="Arial Narrow"/>
                <w:b w:val="0"/>
                <w:sz w:val="20"/>
                <w:szCs w:val="20"/>
              </w:rPr>
            </w:pPr>
          </w:p>
        </w:tc>
        <w:tc>
          <w:tcPr>
            <w:tcW w:w="1129" w:type="pct"/>
            <w:vAlign w:val="center"/>
          </w:tcPr>
          <w:p w:rsidR="00802914" w:rsidRPr="00CE5C86" w:rsidRDefault="00802914" w:rsidP="000E5311">
            <w:pPr>
              <w:spacing w:before="0"/>
              <w:jc w:val="center"/>
              <w:rPr>
                <w:rFonts w:ascii="Arial Narrow" w:hAnsi="Arial Narrow"/>
                <w:b w:val="0"/>
                <w:sz w:val="20"/>
                <w:szCs w:val="20"/>
              </w:rPr>
            </w:pPr>
            <w:r w:rsidRPr="00CE5C86">
              <w:rPr>
                <w:rFonts w:ascii="Arial Narrow" w:hAnsi="Arial Narrow"/>
                <w:b w:val="0"/>
                <w:sz w:val="20"/>
                <w:szCs w:val="20"/>
              </w:rPr>
              <w:t>Glatiramer acetate (early)</w:t>
            </w:r>
          </w:p>
        </w:tc>
        <w:tc>
          <w:tcPr>
            <w:tcW w:w="997" w:type="pct"/>
            <w:vAlign w:val="center"/>
          </w:tcPr>
          <w:p w:rsidR="00802914" w:rsidRPr="00CE5C86" w:rsidRDefault="00802914" w:rsidP="000E5311">
            <w:pPr>
              <w:spacing w:before="0"/>
              <w:jc w:val="center"/>
              <w:rPr>
                <w:rFonts w:ascii="Arial Narrow" w:hAnsi="Arial Narrow"/>
                <w:b w:val="0"/>
                <w:sz w:val="20"/>
                <w:szCs w:val="20"/>
              </w:rPr>
            </w:pPr>
            <w:r w:rsidRPr="00CE5C86">
              <w:rPr>
                <w:rFonts w:ascii="Arial Narrow" w:hAnsi="Arial Narrow"/>
                <w:b w:val="0"/>
                <w:sz w:val="20"/>
                <w:szCs w:val="20"/>
              </w:rPr>
              <w:t>Placebo (delayed)</w:t>
            </w:r>
          </w:p>
        </w:tc>
        <w:tc>
          <w:tcPr>
            <w:tcW w:w="920" w:type="pct"/>
            <w:vMerge/>
            <w:vAlign w:val="center"/>
          </w:tcPr>
          <w:p w:rsidR="00802914" w:rsidRPr="00CE5C86" w:rsidRDefault="00802914" w:rsidP="000E5311">
            <w:pPr>
              <w:spacing w:before="0"/>
              <w:jc w:val="center"/>
              <w:rPr>
                <w:rFonts w:ascii="Arial Narrow" w:hAnsi="Arial Narrow"/>
                <w:b w:val="0"/>
                <w:sz w:val="20"/>
                <w:szCs w:val="20"/>
              </w:rPr>
            </w:pPr>
          </w:p>
        </w:tc>
        <w:tc>
          <w:tcPr>
            <w:tcW w:w="954" w:type="pct"/>
            <w:vMerge/>
            <w:vAlign w:val="center"/>
          </w:tcPr>
          <w:p w:rsidR="00802914" w:rsidRPr="00CE5C86" w:rsidRDefault="00802914" w:rsidP="000E5311">
            <w:pPr>
              <w:spacing w:before="0"/>
              <w:jc w:val="center"/>
              <w:rPr>
                <w:rFonts w:ascii="Arial Narrow" w:hAnsi="Arial Narrow"/>
                <w:b w:val="0"/>
                <w:sz w:val="20"/>
                <w:szCs w:val="20"/>
              </w:rPr>
            </w:pPr>
          </w:p>
        </w:tc>
      </w:tr>
      <w:tr w:rsidR="00802914" w:rsidRPr="00CE5C86" w:rsidTr="00C432DF">
        <w:tc>
          <w:tcPr>
            <w:tcW w:w="1000" w:type="pct"/>
          </w:tcPr>
          <w:p w:rsidR="00802914" w:rsidRPr="00CE5C86" w:rsidRDefault="00802914" w:rsidP="000E5311">
            <w:pPr>
              <w:spacing w:before="0"/>
              <w:rPr>
                <w:rFonts w:ascii="Arial Narrow" w:hAnsi="Arial Narrow"/>
                <w:sz w:val="20"/>
                <w:szCs w:val="20"/>
              </w:rPr>
            </w:pPr>
            <w:r w:rsidRPr="00CE5C86">
              <w:rPr>
                <w:rFonts w:ascii="Arial Narrow" w:hAnsi="Arial Narrow"/>
                <w:sz w:val="20"/>
                <w:szCs w:val="20"/>
              </w:rPr>
              <w:t>All subjects (n=481)</w:t>
            </w:r>
          </w:p>
        </w:tc>
        <w:tc>
          <w:tcPr>
            <w:tcW w:w="1129"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25.1 (19.3, 30.9)</w:t>
            </w:r>
          </w:p>
        </w:tc>
        <w:tc>
          <w:tcPr>
            <w:tcW w:w="997"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42.0 (35.4, 48.6)</w:t>
            </w:r>
          </w:p>
        </w:tc>
        <w:tc>
          <w:tcPr>
            <w:tcW w:w="920"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-16.9 (-25.7, -8.1)</w:t>
            </w:r>
          </w:p>
        </w:tc>
        <w:tc>
          <w:tcPr>
            <w:tcW w:w="954"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0.54 (0.39, 0.74)</w:t>
            </w:r>
          </w:p>
        </w:tc>
      </w:tr>
      <w:tr w:rsidR="00802914" w:rsidRPr="00CE5C86" w:rsidTr="00C432DF">
        <w:tc>
          <w:tcPr>
            <w:tcW w:w="1000" w:type="pct"/>
          </w:tcPr>
          <w:p w:rsidR="00802914" w:rsidRPr="00CE5C86" w:rsidRDefault="00802914" w:rsidP="000E5311">
            <w:pPr>
              <w:spacing w:before="0"/>
              <w:rPr>
                <w:rFonts w:ascii="Arial Narrow" w:hAnsi="Arial Narrow"/>
                <w:sz w:val="20"/>
                <w:szCs w:val="20"/>
              </w:rPr>
            </w:pPr>
            <w:r w:rsidRPr="00CE5C86">
              <w:rPr>
                <w:rFonts w:ascii="Arial Narrow" w:hAnsi="Arial Narrow"/>
                <w:sz w:val="20"/>
                <w:szCs w:val="20"/>
              </w:rPr>
              <w:t>T2≥9 only (n=404)</w:t>
            </w:r>
          </w:p>
        </w:tc>
        <w:tc>
          <w:tcPr>
            <w:tcW w:w="1129"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26.8 (20.2, 33.3)</w:t>
            </w:r>
          </w:p>
        </w:tc>
        <w:tc>
          <w:tcPr>
            <w:tcW w:w="997"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43.5 (36.2, 50.7)</w:t>
            </w:r>
          </w:p>
        </w:tc>
        <w:tc>
          <w:tcPr>
            <w:tcW w:w="920"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-16.7 (-26.5, -6.9)</w:t>
            </w:r>
          </w:p>
        </w:tc>
        <w:tc>
          <w:tcPr>
            <w:tcW w:w="954"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0.56 (0.40, 0.78)</w:t>
            </w:r>
          </w:p>
        </w:tc>
      </w:tr>
      <w:tr w:rsidR="00802914" w:rsidRPr="00CE5C86" w:rsidTr="00C432DF">
        <w:tc>
          <w:tcPr>
            <w:tcW w:w="1000" w:type="pct"/>
          </w:tcPr>
          <w:p w:rsidR="00802914" w:rsidRPr="00CE5C86" w:rsidRDefault="00802914" w:rsidP="000E5311">
            <w:pPr>
              <w:spacing w:before="0"/>
              <w:rPr>
                <w:rFonts w:ascii="Arial Narrow" w:hAnsi="Arial Narrow"/>
                <w:sz w:val="20"/>
                <w:szCs w:val="20"/>
              </w:rPr>
            </w:pPr>
            <w:r w:rsidRPr="00CE5C86">
              <w:rPr>
                <w:rFonts w:ascii="Arial Narrow" w:hAnsi="Arial Narrow"/>
                <w:sz w:val="20"/>
                <w:szCs w:val="20"/>
              </w:rPr>
              <w:t>T1≥1 only (n=209)</w:t>
            </w:r>
          </w:p>
        </w:tc>
        <w:tc>
          <w:tcPr>
            <w:tcW w:w="1129"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29.5 (19.8, 39.1)</w:t>
            </w:r>
          </w:p>
        </w:tc>
        <w:tc>
          <w:tcPr>
            <w:tcW w:w="997"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49.0 (39.4, 58.6)</w:t>
            </w:r>
          </w:p>
        </w:tc>
        <w:tc>
          <w:tcPr>
            <w:tcW w:w="920"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-19.5 (-33.1, -5.9)</w:t>
            </w:r>
          </w:p>
        </w:tc>
        <w:tc>
          <w:tcPr>
            <w:tcW w:w="954"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0.50 (0.32, 0.79)</w:t>
            </w:r>
          </w:p>
        </w:tc>
      </w:tr>
      <w:tr w:rsidR="00802914" w:rsidRPr="00CE5C86" w:rsidTr="00C432DF">
        <w:tc>
          <w:tcPr>
            <w:tcW w:w="1000" w:type="pct"/>
          </w:tcPr>
          <w:p w:rsidR="00802914" w:rsidRPr="00CE5C86" w:rsidRDefault="00802914" w:rsidP="000E5311">
            <w:pPr>
              <w:spacing w:before="0"/>
              <w:rPr>
                <w:rFonts w:ascii="Arial Narrow" w:hAnsi="Arial Narrow"/>
                <w:sz w:val="20"/>
                <w:szCs w:val="20"/>
              </w:rPr>
            </w:pPr>
            <w:r w:rsidRPr="00CE5C86">
              <w:rPr>
                <w:rFonts w:ascii="Arial Narrow" w:hAnsi="Arial Narrow"/>
                <w:sz w:val="20"/>
                <w:szCs w:val="20"/>
              </w:rPr>
              <w:t>T2≥9 and EDSS≥2 (n=80)</w:t>
            </w:r>
          </w:p>
        </w:tc>
        <w:tc>
          <w:tcPr>
            <w:tcW w:w="1129"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42.8 (27.6, 58.1)</w:t>
            </w:r>
          </w:p>
        </w:tc>
        <w:tc>
          <w:tcPr>
            <w:tcW w:w="997"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60.4 (43.0, 77.8)</w:t>
            </w:r>
          </w:p>
        </w:tc>
        <w:tc>
          <w:tcPr>
            <w:tcW w:w="920"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-17.6 (-40.7, 5.6)</w:t>
            </w:r>
          </w:p>
        </w:tc>
        <w:tc>
          <w:tcPr>
            <w:tcW w:w="954"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0.76 (0.41, 1.43)</w:t>
            </w:r>
          </w:p>
        </w:tc>
      </w:tr>
      <w:tr w:rsidR="00802914" w:rsidRPr="00CE5C86" w:rsidTr="00C432DF">
        <w:tc>
          <w:tcPr>
            <w:tcW w:w="1000" w:type="pct"/>
          </w:tcPr>
          <w:p w:rsidR="00802914" w:rsidRPr="00CE5C86" w:rsidRDefault="00802914" w:rsidP="000E5311">
            <w:pPr>
              <w:spacing w:before="0"/>
              <w:rPr>
                <w:rFonts w:ascii="Arial Narrow" w:hAnsi="Arial Narrow"/>
                <w:sz w:val="20"/>
                <w:szCs w:val="20"/>
              </w:rPr>
            </w:pPr>
            <w:r w:rsidRPr="00CE5C86">
              <w:rPr>
                <w:rFonts w:ascii="Arial Narrow" w:hAnsi="Arial Narrow"/>
                <w:sz w:val="20"/>
                <w:szCs w:val="20"/>
              </w:rPr>
              <w:t>T2≥9 and EDSS≥2 and T1≥1 (n=32)</w:t>
            </w:r>
          </w:p>
        </w:tc>
        <w:tc>
          <w:tcPr>
            <w:tcW w:w="1129"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47.1 (23.3, 70.8)</w:t>
            </w:r>
          </w:p>
        </w:tc>
        <w:tc>
          <w:tcPr>
            <w:tcW w:w="997"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73.8 (49.4, 98.2)</w:t>
            </w:r>
          </w:p>
        </w:tc>
        <w:tc>
          <w:tcPr>
            <w:tcW w:w="920"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-26.7 (-60.8, 7.3)</w:t>
            </w:r>
          </w:p>
        </w:tc>
        <w:tc>
          <w:tcPr>
            <w:tcW w:w="954"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0.67 (0.26, 1.70)</w:t>
            </w:r>
          </w:p>
        </w:tc>
      </w:tr>
      <w:tr w:rsidR="00802914" w:rsidRPr="00CE5C86" w:rsidTr="00C432DF">
        <w:tc>
          <w:tcPr>
            <w:tcW w:w="1000" w:type="pct"/>
          </w:tcPr>
          <w:p w:rsidR="00802914" w:rsidRPr="00CE5C86" w:rsidRDefault="00802914" w:rsidP="000E5311">
            <w:pPr>
              <w:spacing w:before="0"/>
              <w:rPr>
                <w:rFonts w:ascii="Arial Narrow" w:hAnsi="Arial Narrow"/>
                <w:sz w:val="20"/>
                <w:szCs w:val="20"/>
              </w:rPr>
            </w:pPr>
            <w:r w:rsidRPr="00CE5C86">
              <w:rPr>
                <w:rFonts w:ascii="Arial Narrow" w:hAnsi="Arial Narrow"/>
                <w:sz w:val="20"/>
                <w:szCs w:val="20"/>
              </w:rPr>
              <w:t>EDSS≥2 and T1≥1 (n=34)</w:t>
            </w:r>
          </w:p>
        </w:tc>
        <w:tc>
          <w:tcPr>
            <w:tcW w:w="1129"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45.0 (21.8, 68.2)</w:t>
            </w:r>
          </w:p>
        </w:tc>
        <w:tc>
          <w:tcPr>
            <w:tcW w:w="997"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68.4 (43.8, 93.0)</w:t>
            </w:r>
          </w:p>
        </w:tc>
        <w:tc>
          <w:tcPr>
            <w:tcW w:w="920"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-23.4 (-57.2, 10.4)</w:t>
            </w:r>
          </w:p>
        </w:tc>
        <w:tc>
          <w:tcPr>
            <w:tcW w:w="954"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0.70 (0.27, 1.77)</w:t>
            </w:r>
          </w:p>
        </w:tc>
      </w:tr>
      <w:tr w:rsidR="00802914" w:rsidRPr="00CE5C86" w:rsidTr="00C432DF">
        <w:tc>
          <w:tcPr>
            <w:tcW w:w="1000" w:type="pct"/>
          </w:tcPr>
          <w:p w:rsidR="00802914" w:rsidRPr="00CE5C86" w:rsidRDefault="00802914" w:rsidP="000E5311">
            <w:pPr>
              <w:spacing w:before="0"/>
              <w:rPr>
                <w:rFonts w:ascii="Arial Narrow" w:hAnsi="Arial Narrow"/>
                <w:sz w:val="20"/>
                <w:szCs w:val="20"/>
              </w:rPr>
            </w:pPr>
            <w:r w:rsidRPr="00CE5C86">
              <w:rPr>
                <w:rFonts w:ascii="Arial Narrow" w:hAnsi="Arial Narrow"/>
                <w:sz w:val="20"/>
                <w:szCs w:val="20"/>
              </w:rPr>
              <w:t>T2≥9 and T1≥1 (n=193)</w:t>
            </w:r>
          </w:p>
        </w:tc>
        <w:tc>
          <w:tcPr>
            <w:tcW w:w="1129"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30.2 (20.2, 40.2)</w:t>
            </w:r>
          </w:p>
        </w:tc>
        <w:tc>
          <w:tcPr>
            <w:tcW w:w="997"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46.9 (36.7, 57.0)</w:t>
            </w:r>
          </w:p>
        </w:tc>
        <w:tc>
          <w:tcPr>
            <w:tcW w:w="920"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-16.7 (-30.9, -2.4)</w:t>
            </w:r>
          </w:p>
        </w:tc>
        <w:tc>
          <w:tcPr>
            <w:tcW w:w="954" w:type="pct"/>
            <w:vAlign w:val="center"/>
          </w:tcPr>
          <w:p w:rsidR="00802914" w:rsidRPr="00CE5C86" w:rsidRDefault="00802914" w:rsidP="000E5311">
            <w:pPr>
              <w:spacing w:before="0"/>
              <w:jc w:val="center"/>
              <w:rPr>
                <w:rFonts w:ascii="Arial Narrow" w:hAnsi="Arial Narrow"/>
                <w:sz w:val="20"/>
                <w:szCs w:val="20"/>
              </w:rPr>
            </w:pPr>
            <w:r w:rsidRPr="00CE5C86">
              <w:rPr>
                <w:rFonts w:ascii="Arial Narrow" w:hAnsi="Arial Narrow"/>
                <w:sz w:val="20"/>
                <w:szCs w:val="20"/>
              </w:rPr>
              <w:t>0.54 (0.34, 0.87)</w:t>
            </w:r>
          </w:p>
        </w:tc>
      </w:tr>
    </w:tbl>
    <w:p w:rsidR="00802914" w:rsidRPr="00CE5C86" w:rsidRDefault="00802914" w:rsidP="003F0A36">
      <w:pPr>
        <w:spacing w:before="0" w:after="240"/>
        <w:rPr>
          <w:rFonts w:ascii="Arial Narrow" w:hAnsi="Arial Narrow"/>
          <w:sz w:val="18"/>
          <w:szCs w:val="18"/>
        </w:rPr>
      </w:pPr>
      <w:r w:rsidRPr="00CE5C86">
        <w:rPr>
          <w:rFonts w:ascii="Arial Narrow" w:hAnsi="Arial Narrow"/>
          <w:sz w:val="18"/>
          <w:szCs w:val="18"/>
        </w:rPr>
        <w:t>Source: Table 2-61, p.2-104, Table 2-62, p.2-105, Table 2-63, p.2-106, Table 2-64, p.2-107, Table 2-65, p.2-108, Table 2-66, p.2-</w:t>
      </w:r>
      <w:r w:rsidR="003F0A36" w:rsidRPr="00CE5C86">
        <w:rPr>
          <w:rFonts w:ascii="Arial Narrow" w:hAnsi="Arial Narrow"/>
          <w:sz w:val="18"/>
          <w:szCs w:val="18"/>
        </w:rPr>
        <w:t>109 Section 2 of the submission</w:t>
      </w:r>
    </w:p>
    <w:p w:rsidR="006131F9" w:rsidRPr="00CE5C86" w:rsidRDefault="006131F9" w:rsidP="005875D1">
      <w:pPr>
        <w:pStyle w:val="ListParagraph"/>
        <w:numPr>
          <w:ilvl w:val="1"/>
          <w:numId w:val="3"/>
        </w:numPr>
        <w:spacing w:before="0" w:after="120"/>
        <w:contextualSpacing w:val="0"/>
        <w:rPr>
          <w:rFonts w:ascii="Calibri" w:hAnsi="Calibri"/>
        </w:rPr>
      </w:pPr>
      <w:r w:rsidRPr="00CE5C86">
        <w:rPr>
          <w:rFonts w:ascii="Calibri" w:hAnsi="Calibri"/>
        </w:rPr>
        <w:t xml:space="preserve">The ESC noted </w:t>
      </w:r>
      <w:r w:rsidR="004942B2">
        <w:rPr>
          <w:rFonts w:ascii="Calibri" w:hAnsi="Calibri"/>
        </w:rPr>
        <w:t xml:space="preserve">that </w:t>
      </w:r>
      <w:r w:rsidRPr="00CE5C86">
        <w:rPr>
          <w:rFonts w:ascii="Calibri" w:hAnsi="Calibri"/>
        </w:rPr>
        <w:t>the submission stated that the difference in the hazard ratios for the ITT population in Table 4 and Figure 1 (0.54 vs 0.55) was due to an adjustment for covaria</w:t>
      </w:r>
      <w:r w:rsidR="004942B2">
        <w:rPr>
          <w:rFonts w:ascii="Calibri" w:hAnsi="Calibri"/>
        </w:rPr>
        <w:t>tes in the results in Figure 1.</w:t>
      </w:r>
    </w:p>
    <w:p w:rsidR="008D011B" w:rsidRPr="005A3BF2" w:rsidRDefault="002730F4" w:rsidP="005875D1">
      <w:pPr>
        <w:pStyle w:val="ListParagraph"/>
        <w:numPr>
          <w:ilvl w:val="1"/>
          <w:numId w:val="3"/>
        </w:numPr>
        <w:spacing w:before="0" w:after="120"/>
        <w:contextualSpacing w:val="0"/>
        <w:rPr>
          <w:rFonts w:ascii="Calibri" w:hAnsi="Calibri"/>
        </w:rPr>
      </w:pPr>
      <w:r w:rsidRPr="00CE5C86">
        <w:rPr>
          <w:rFonts w:ascii="Calibri" w:hAnsi="Calibri"/>
        </w:rPr>
        <w:t>T</w:t>
      </w:r>
      <w:r w:rsidR="007D1B50" w:rsidRPr="00CE5C86">
        <w:rPr>
          <w:rFonts w:ascii="Calibri" w:hAnsi="Calibri"/>
        </w:rPr>
        <w:t xml:space="preserve">he economic model assumed that the treatment effect from the entire population of the </w:t>
      </w:r>
      <w:proofErr w:type="spellStart"/>
      <w:proofErr w:type="gramStart"/>
      <w:r w:rsidR="007D1B50" w:rsidRPr="00CE5C86">
        <w:rPr>
          <w:rFonts w:ascii="Calibri" w:hAnsi="Calibri"/>
        </w:rPr>
        <w:t>PreCISe</w:t>
      </w:r>
      <w:proofErr w:type="spellEnd"/>
      <w:proofErr w:type="gramEnd"/>
      <w:r w:rsidR="007D1B50" w:rsidRPr="00CE5C86">
        <w:rPr>
          <w:rFonts w:ascii="Calibri" w:hAnsi="Calibri"/>
        </w:rPr>
        <w:t xml:space="preserve"> trial would apply to the high risk group identified in the proposed restriction. </w:t>
      </w:r>
      <w:r w:rsidR="008C0252" w:rsidRPr="00CE5C86">
        <w:rPr>
          <w:rFonts w:ascii="Calibri" w:hAnsi="Calibri"/>
        </w:rPr>
        <w:t xml:space="preserve">The ESC </w:t>
      </w:r>
      <w:r w:rsidR="003F0A36" w:rsidRPr="00CE5C86">
        <w:rPr>
          <w:rFonts w:ascii="Calibri" w:hAnsi="Calibri"/>
        </w:rPr>
        <w:t xml:space="preserve">noted that the analyses for the high risk subgroups </w:t>
      </w:r>
      <w:r w:rsidR="00EA7DD6" w:rsidRPr="00CE5C86">
        <w:rPr>
          <w:rFonts w:ascii="Calibri" w:hAnsi="Calibri"/>
        </w:rPr>
        <w:t xml:space="preserve">when EDSS≥2 was included </w:t>
      </w:r>
      <w:r w:rsidR="003A28FE" w:rsidRPr="00CE5C86">
        <w:rPr>
          <w:rFonts w:ascii="Calibri" w:hAnsi="Calibri"/>
        </w:rPr>
        <w:t>suggested a smaller treatment effect (</w:t>
      </w:r>
      <w:r w:rsidR="004942B2">
        <w:rPr>
          <w:rFonts w:ascii="Calibri" w:hAnsi="Calibri"/>
        </w:rPr>
        <w:t xml:space="preserve">with </w:t>
      </w:r>
      <w:r w:rsidR="00C73075">
        <w:rPr>
          <w:rFonts w:ascii="Calibri" w:hAnsi="Calibri"/>
        </w:rPr>
        <w:t>HR</w:t>
      </w:r>
      <w:r w:rsidR="004942B2">
        <w:rPr>
          <w:rFonts w:ascii="Calibri" w:hAnsi="Calibri"/>
        </w:rPr>
        <w:t xml:space="preserve"> ranging</w:t>
      </w:r>
      <w:r w:rsidR="00C73075">
        <w:rPr>
          <w:rFonts w:ascii="Calibri" w:hAnsi="Calibri"/>
        </w:rPr>
        <w:t xml:space="preserve"> between</w:t>
      </w:r>
      <w:r w:rsidR="003A28FE" w:rsidRPr="00CE5C86">
        <w:rPr>
          <w:rFonts w:ascii="Calibri" w:hAnsi="Calibri"/>
        </w:rPr>
        <w:t xml:space="preserve"> </w:t>
      </w:r>
      <w:r w:rsidR="003F0A36" w:rsidRPr="00CE5C86">
        <w:rPr>
          <w:rFonts w:ascii="Calibri" w:hAnsi="Calibri"/>
        </w:rPr>
        <w:t xml:space="preserve">0.67 </w:t>
      </w:r>
      <w:r w:rsidR="004942B2">
        <w:rPr>
          <w:rFonts w:ascii="Calibri" w:hAnsi="Calibri"/>
        </w:rPr>
        <w:t xml:space="preserve">and </w:t>
      </w:r>
      <w:r w:rsidR="003F0A36" w:rsidRPr="00CE5C86">
        <w:rPr>
          <w:rFonts w:ascii="Calibri" w:hAnsi="Calibri"/>
        </w:rPr>
        <w:t xml:space="preserve">0.76) compared </w:t>
      </w:r>
      <w:r w:rsidR="003A28FE" w:rsidRPr="00CE5C86">
        <w:rPr>
          <w:rFonts w:ascii="Calibri" w:hAnsi="Calibri"/>
        </w:rPr>
        <w:t>with the full trial population</w:t>
      </w:r>
      <w:r w:rsidR="00C73075">
        <w:rPr>
          <w:rFonts w:ascii="Calibri" w:hAnsi="Calibri"/>
        </w:rPr>
        <w:t xml:space="preserve"> (HR = 0.54)</w:t>
      </w:r>
      <w:r w:rsidR="003A28FE" w:rsidRPr="00CE5C86">
        <w:rPr>
          <w:rFonts w:ascii="Calibri" w:hAnsi="Calibri"/>
        </w:rPr>
        <w:t xml:space="preserve">, although acknowledged the small sample sizes for these subgroups. </w:t>
      </w:r>
      <w:r w:rsidR="003A28FE" w:rsidRPr="00CE5C86">
        <w:t>The ESC noted this may have been due to the higher conversion rate in the placebo arm for these subgroups.</w:t>
      </w:r>
      <w:r w:rsidR="003F0A36" w:rsidRPr="00CE5C86">
        <w:rPr>
          <w:rFonts w:ascii="Calibri" w:hAnsi="Calibri"/>
        </w:rPr>
        <w:t xml:space="preserve"> The ESC therefore considered that the treatment effect of glatiramer acetate may be less in the high risk group</w:t>
      </w:r>
      <w:r w:rsidR="00C601B2" w:rsidRPr="00CE5C86">
        <w:rPr>
          <w:rFonts w:ascii="Calibri" w:hAnsi="Calibri"/>
        </w:rPr>
        <w:t xml:space="preserve"> (which includes EDSS in the nomogra</w:t>
      </w:r>
      <w:r w:rsidR="003730E3" w:rsidRPr="00CE5C86">
        <w:rPr>
          <w:rFonts w:ascii="Calibri" w:hAnsi="Calibri"/>
        </w:rPr>
        <w:t>m</w:t>
      </w:r>
      <w:r w:rsidR="00C601B2" w:rsidRPr="00CE5C86">
        <w:rPr>
          <w:rFonts w:ascii="Calibri" w:hAnsi="Calibri"/>
        </w:rPr>
        <w:t>)</w:t>
      </w:r>
      <w:r w:rsidR="003F0A36" w:rsidRPr="00CE5C86">
        <w:rPr>
          <w:rFonts w:ascii="Calibri" w:hAnsi="Calibri"/>
        </w:rPr>
        <w:t xml:space="preserve"> than in the overall population of patients with clinically isolated syndrome</w:t>
      </w:r>
      <w:r w:rsidR="003F0A36" w:rsidRPr="005A3BF2">
        <w:rPr>
          <w:rFonts w:ascii="Calibri" w:hAnsi="Calibri"/>
        </w:rPr>
        <w:t xml:space="preserve">. </w:t>
      </w:r>
      <w:r w:rsidR="00C73075" w:rsidRPr="005A3BF2">
        <w:rPr>
          <w:rFonts w:ascii="Calibri" w:hAnsi="Calibri"/>
        </w:rPr>
        <w:t xml:space="preserve">The pre-PBAC response (p1) argued that the difference in treatment effect between the glatiramer acetate and placebo arms was maintained, but the results were not statistically significant due to the small patient numbers in the subgroups. The pre-PBAC response argued that the proposed high risk PBS population would </w:t>
      </w:r>
      <w:r w:rsidR="004942B2" w:rsidRPr="005A3BF2">
        <w:rPr>
          <w:rFonts w:ascii="Calibri" w:hAnsi="Calibri"/>
        </w:rPr>
        <w:t xml:space="preserve">therefore </w:t>
      </w:r>
      <w:r w:rsidR="00C73075" w:rsidRPr="005A3BF2">
        <w:rPr>
          <w:rFonts w:ascii="Calibri" w:hAnsi="Calibri"/>
        </w:rPr>
        <w:t>likely experience the same treatment effect as the popu</w:t>
      </w:r>
      <w:r w:rsidR="004942B2">
        <w:rPr>
          <w:rFonts w:ascii="Calibri" w:hAnsi="Calibri"/>
        </w:rPr>
        <w:t xml:space="preserve">lation in the </w:t>
      </w:r>
      <w:proofErr w:type="spellStart"/>
      <w:proofErr w:type="gramStart"/>
      <w:r w:rsidR="004942B2">
        <w:rPr>
          <w:rFonts w:ascii="Calibri" w:hAnsi="Calibri"/>
        </w:rPr>
        <w:t>PreCISe</w:t>
      </w:r>
      <w:proofErr w:type="spellEnd"/>
      <w:proofErr w:type="gramEnd"/>
      <w:r w:rsidR="004942B2">
        <w:rPr>
          <w:rFonts w:ascii="Calibri" w:hAnsi="Calibri"/>
        </w:rPr>
        <w:t xml:space="preserve"> trial.</w:t>
      </w:r>
    </w:p>
    <w:p w:rsidR="002D4CE5" w:rsidRPr="00CE5C86" w:rsidRDefault="002D4CE5" w:rsidP="005875D1">
      <w:pPr>
        <w:pStyle w:val="ListParagraph"/>
        <w:numPr>
          <w:ilvl w:val="1"/>
          <w:numId w:val="3"/>
        </w:numPr>
        <w:spacing w:before="0" w:after="120"/>
        <w:contextualSpacing w:val="0"/>
        <w:rPr>
          <w:rFonts w:ascii="Calibri" w:hAnsi="Calibri"/>
        </w:rPr>
      </w:pPr>
      <w:r>
        <w:rPr>
          <w:rFonts w:ascii="Calibri" w:hAnsi="Calibri"/>
        </w:rPr>
        <w:t xml:space="preserve">The PBAC considered it was unclear if the treatment effect was maintained in the nominated high risk subgroup, as the subgroup had only 32 patients (7% of the trial population). The PBAC therefore considered that there was inadequate clinical evidence to conclude that the </w:t>
      </w:r>
      <w:r w:rsidR="004942B2">
        <w:rPr>
          <w:rFonts w:ascii="Calibri" w:hAnsi="Calibri"/>
        </w:rPr>
        <w:t xml:space="preserve">extent of </w:t>
      </w:r>
      <w:r>
        <w:rPr>
          <w:rFonts w:ascii="Calibri" w:hAnsi="Calibri"/>
        </w:rPr>
        <w:t>treatment effect of glatiramer acetate in the overall trial population would be th</w:t>
      </w:r>
      <w:r w:rsidR="004942B2">
        <w:rPr>
          <w:rFonts w:ascii="Calibri" w:hAnsi="Calibri"/>
        </w:rPr>
        <w:t>e same in the high risk group.</w:t>
      </w:r>
    </w:p>
    <w:p w:rsidR="00DC6D2E" w:rsidRPr="00CE5C86" w:rsidRDefault="00DC6D2E" w:rsidP="005875D1">
      <w:pPr>
        <w:numPr>
          <w:ilvl w:val="1"/>
          <w:numId w:val="3"/>
        </w:numPr>
        <w:spacing w:before="0" w:after="120"/>
        <w:rPr>
          <w:rFonts w:ascii="Calibri" w:hAnsi="Calibri"/>
        </w:rPr>
      </w:pPr>
      <w:r w:rsidRPr="00CE5C86">
        <w:t xml:space="preserve">Table </w:t>
      </w:r>
      <w:r w:rsidR="008D011B" w:rsidRPr="00CE5C86">
        <w:t>5</w:t>
      </w:r>
      <w:r w:rsidRPr="00CE5C86">
        <w:t xml:space="preserve"> summarises the results of the indirect comparison of glatiramer with the</w:t>
      </w:r>
      <w:r w:rsidRPr="00CE5C86">
        <w:rPr>
          <w:rFonts w:ascii="Calibri" w:hAnsi="Calibri"/>
        </w:rPr>
        <w:t xml:space="preserve"> meta-analysis of interferon trials i</w:t>
      </w:r>
      <w:r w:rsidR="004942B2">
        <w:rPr>
          <w:rFonts w:ascii="Calibri" w:hAnsi="Calibri"/>
        </w:rPr>
        <w:t>n clinically isolated syndrome.</w:t>
      </w:r>
    </w:p>
    <w:p w:rsidR="002744AA" w:rsidRPr="00CE5C86" w:rsidRDefault="002744AA" w:rsidP="002744AA">
      <w:pPr>
        <w:pStyle w:val="Caption"/>
      </w:pPr>
      <w:r w:rsidRPr="00CE5C86">
        <w:t xml:space="preserve">Table </w:t>
      </w:r>
      <w:r w:rsidR="007E6A8F">
        <w:rPr>
          <w:noProof/>
        </w:rPr>
        <w:t>5</w:t>
      </w:r>
      <w:r w:rsidRPr="00CE5C86">
        <w:t>: Indirect comparison of hazard ratios for time to diagnosis with multiple sclerosis with glatiramer acetate vs. meta-analysed interferon trials using a placebo common comparator</w:t>
      </w:r>
    </w:p>
    <w:tbl>
      <w:tblPr>
        <w:tblW w:w="482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6"/>
        <w:gridCol w:w="1491"/>
        <w:gridCol w:w="1492"/>
        <w:gridCol w:w="1492"/>
        <w:gridCol w:w="2974"/>
      </w:tblGrid>
      <w:tr w:rsidR="00DC6D2E" w:rsidRPr="00CE5C86" w:rsidTr="002744AA">
        <w:trPr>
          <w:trHeight w:val="53"/>
          <w:tblHeader/>
        </w:trPr>
        <w:tc>
          <w:tcPr>
            <w:tcW w:w="1466" w:type="dxa"/>
            <w:tcBorders>
              <w:left w:val="single" w:sz="4" w:space="0" w:color="auto"/>
              <w:bottom w:val="single" w:sz="4" w:space="0" w:color="auto"/>
              <w:right w:val="single" w:sz="4" w:space="0" w:color="auto"/>
            </w:tcBorders>
            <w:tcMar>
              <w:right w:w="28" w:type="dxa"/>
            </w:tcMar>
            <w:vAlign w:val="center"/>
          </w:tcPr>
          <w:p w:rsidR="00DC6D2E" w:rsidRPr="00CE5C86" w:rsidRDefault="00DC6D2E" w:rsidP="00DC6D2E">
            <w:pPr>
              <w:spacing w:before="0" w:after="0"/>
              <w:jc w:val="center"/>
              <w:rPr>
                <w:rFonts w:ascii="Arial Narrow" w:eastAsia="Times New Roman" w:hAnsi="Arial Narrow" w:cs="Arial"/>
                <w:b/>
                <w:bCs/>
                <w:sz w:val="20"/>
                <w:szCs w:val="20"/>
              </w:rPr>
            </w:pPr>
            <w:r w:rsidRPr="00CE5C86">
              <w:rPr>
                <w:rFonts w:ascii="Arial Narrow" w:eastAsia="Times New Roman" w:hAnsi="Arial Narrow" w:cs="Arial"/>
                <w:b/>
                <w:bCs/>
                <w:sz w:val="20"/>
                <w:szCs w:val="20"/>
              </w:rPr>
              <w:t>Trial</w:t>
            </w:r>
          </w:p>
        </w:tc>
        <w:tc>
          <w:tcPr>
            <w:tcW w:w="1491" w:type="dxa"/>
            <w:tcBorders>
              <w:top w:val="single" w:sz="4" w:space="0" w:color="auto"/>
              <w:left w:val="nil"/>
              <w:right w:val="single" w:sz="4" w:space="0" w:color="auto"/>
            </w:tcBorders>
            <w:vAlign w:val="center"/>
          </w:tcPr>
          <w:p w:rsidR="00DC6D2E" w:rsidRPr="00CE5C86" w:rsidRDefault="00DC6D2E" w:rsidP="00DC6D2E">
            <w:pPr>
              <w:spacing w:before="0" w:after="0"/>
              <w:jc w:val="center"/>
              <w:rPr>
                <w:rFonts w:ascii="Arial Narrow" w:eastAsia="Times New Roman" w:hAnsi="Arial Narrow" w:cs="Arial"/>
                <w:b/>
                <w:bCs/>
                <w:sz w:val="20"/>
                <w:szCs w:val="20"/>
              </w:rPr>
            </w:pPr>
            <w:r w:rsidRPr="00CE5C86">
              <w:rPr>
                <w:rFonts w:ascii="Arial Narrow" w:eastAsia="Times New Roman" w:hAnsi="Arial Narrow" w:cs="Arial"/>
                <w:b/>
                <w:bCs/>
                <w:sz w:val="20"/>
                <w:szCs w:val="20"/>
              </w:rPr>
              <w:t>Glatiramer acetate</w:t>
            </w:r>
          </w:p>
          <w:p w:rsidR="00DC6D2E" w:rsidRPr="00CE5C86" w:rsidRDefault="00DC6D2E" w:rsidP="00DC6D2E">
            <w:pPr>
              <w:spacing w:before="0" w:after="0"/>
              <w:jc w:val="center"/>
              <w:rPr>
                <w:rFonts w:ascii="Arial Narrow" w:eastAsia="Times New Roman" w:hAnsi="Arial Narrow" w:cs="Arial"/>
                <w:b/>
                <w:bCs/>
                <w:sz w:val="20"/>
                <w:szCs w:val="20"/>
              </w:rPr>
            </w:pPr>
            <w:proofErr w:type="gramStart"/>
            <w:r w:rsidRPr="00CE5C86">
              <w:rPr>
                <w:rFonts w:ascii="Arial Narrow" w:eastAsia="Times New Roman" w:hAnsi="Arial Narrow" w:cs="Arial"/>
                <w:b/>
                <w:bCs/>
                <w:sz w:val="20"/>
                <w:szCs w:val="20"/>
              </w:rPr>
              <w:t>n/N</w:t>
            </w:r>
            <w:proofErr w:type="gramEnd"/>
            <w:r w:rsidRPr="00CE5C86">
              <w:rPr>
                <w:rFonts w:ascii="Arial Narrow" w:eastAsia="Times New Roman" w:hAnsi="Arial Narrow" w:cs="Arial"/>
                <w:b/>
                <w:bCs/>
                <w:sz w:val="20"/>
                <w:szCs w:val="20"/>
              </w:rPr>
              <w:t xml:space="preserve"> (%)</w:t>
            </w:r>
          </w:p>
        </w:tc>
        <w:tc>
          <w:tcPr>
            <w:tcW w:w="1492" w:type="dxa"/>
            <w:tcBorders>
              <w:top w:val="single" w:sz="4" w:space="0" w:color="auto"/>
              <w:left w:val="single" w:sz="4" w:space="0" w:color="auto"/>
              <w:right w:val="single" w:sz="4" w:space="0" w:color="auto"/>
            </w:tcBorders>
            <w:vAlign w:val="center"/>
          </w:tcPr>
          <w:p w:rsidR="00DC6D2E" w:rsidRPr="00CE5C86" w:rsidRDefault="00DC6D2E" w:rsidP="00DC6D2E">
            <w:pPr>
              <w:spacing w:before="0" w:after="0"/>
              <w:jc w:val="center"/>
              <w:rPr>
                <w:rFonts w:ascii="Arial Narrow" w:eastAsia="Times New Roman" w:hAnsi="Arial Narrow" w:cs="Arial"/>
                <w:b/>
                <w:bCs/>
                <w:sz w:val="20"/>
                <w:szCs w:val="20"/>
              </w:rPr>
            </w:pPr>
            <w:r w:rsidRPr="00CE5C86">
              <w:rPr>
                <w:rFonts w:ascii="Arial Narrow" w:eastAsia="Times New Roman" w:hAnsi="Arial Narrow" w:cs="Arial"/>
                <w:b/>
                <w:bCs/>
                <w:sz w:val="20"/>
                <w:szCs w:val="20"/>
              </w:rPr>
              <w:t>Placebo</w:t>
            </w:r>
          </w:p>
          <w:p w:rsidR="00DC6D2E" w:rsidRPr="00CE5C86" w:rsidRDefault="00DC6D2E" w:rsidP="00DC6D2E">
            <w:pPr>
              <w:spacing w:before="0" w:after="0"/>
              <w:jc w:val="center"/>
              <w:rPr>
                <w:rFonts w:ascii="Arial Narrow" w:eastAsia="Times New Roman" w:hAnsi="Arial Narrow" w:cs="Arial"/>
                <w:b/>
                <w:bCs/>
                <w:sz w:val="20"/>
                <w:szCs w:val="20"/>
              </w:rPr>
            </w:pPr>
            <w:proofErr w:type="gramStart"/>
            <w:r w:rsidRPr="00CE5C86">
              <w:rPr>
                <w:rFonts w:ascii="Arial Narrow" w:eastAsia="Times New Roman" w:hAnsi="Arial Narrow" w:cs="Arial"/>
                <w:b/>
                <w:bCs/>
                <w:sz w:val="20"/>
                <w:szCs w:val="20"/>
              </w:rPr>
              <w:t>n/N</w:t>
            </w:r>
            <w:proofErr w:type="gramEnd"/>
            <w:r w:rsidRPr="00CE5C86">
              <w:rPr>
                <w:rFonts w:ascii="Arial Narrow" w:eastAsia="Times New Roman" w:hAnsi="Arial Narrow" w:cs="Arial"/>
                <w:b/>
                <w:bCs/>
                <w:sz w:val="20"/>
                <w:szCs w:val="20"/>
              </w:rPr>
              <w:t xml:space="preserve"> (%)</w:t>
            </w:r>
          </w:p>
        </w:tc>
        <w:tc>
          <w:tcPr>
            <w:tcW w:w="1492" w:type="dxa"/>
            <w:tcBorders>
              <w:top w:val="single" w:sz="4" w:space="0" w:color="auto"/>
              <w:left w:val="single" w:sz="4" w:space="0" w:color="auto"/>
              <w:right w:val="double" w:sz="4" w:space="0" w:color="auto"/>
            </w:tcBorders>
            <w:vAlign w:val="center"/>
          </w:tcPr>
          <w:p w:rsidR="00DC6D2E" w:rsidRPr="00CE5C86" w:rsidRDefault="00DC6D2E" w:rsidP="00DC6D2E">
            <w:pPr>
              <w:spacing w:before="0" w:after="0"/>
              <w:jc w:val="center"/>
              <w:rPr>
                <w:rFonts w:ascii="Arial Narrow" w:eastAsia="Times New Roman" w:hAnsi="Arial Narrow" w:cs="Arial"/>
                <w:b/>
                <w:bCs/>
                <w:sz w:val="20"/>
                <w:szCs w:val="20"/>
              </w:rPr>
            </w:pPr>
            <w:r w:rsidRPr="00CE5C86">
              <w:rPr>
                <w:rFonts w:ascii="Arial Narrow" w:eastAsia="Times New Roman" w:hAnsi="Arial Narrow" w:cs="Arial"/>
                <w:b/>
                <w:bCs/>
                <w:sz w:val="20"/>
                <w:szCs w:val="20"/>
              </w:rPr>
              <w:t>Interferon</w:t>
            </w:r>
          </w:p>
        </w:tc>
        <w:tc>
          <w:tcPr>
            <w:tcW w:w="2974" w:type="dxa"/>
            <w:tcBorders>
              <w:left w:val="double" w:sz="4" w:space="0" w:color="auto"/>
              <w:right w:val="single" w:sz="4" w:space="0" w:color="auto"/>
            </w:tcBorders>
            <w:vAlign w:val="center"/>
          </w:tcPr>
          <w:p w:rsidR="00DC6D2E" w:rsidRPr="00CE5C86" w:rsidRDefault="00DC6D2E" w:rsidP="00DC6D2E">
            <w:pPr>
              <w:spacing w:before="0" w:after="0"/>
              <w:jc w:val="center"/>
              <w:rPr>
                <w:rFonts w:ascii="Arial Narrow" w:eastAsia="Times New Roman" w:hAnsi="Arial Narrow" w:cs="Arial"/>
                <w:b/>
                <w:bCs/>
                <w:sz w:val="20"/>
                <w:szCs w:val="20"/>
              </w:rPr>
            </w:pPr>
            <w:r w:rsidRPr="00CE5C86">
              <w:rPr>
                <w:rFonts w:ascii="Arial Narrow" w:eastAsia="Times New Roman" w:hAnsi="Arial Narrow" w:cs="Arial"/>
                <w:b/>
                <w:bCs/>
                <w:sz w:val="20"/>
                <w:szCs w:val="20"/>
              </w:rPr>
              <w:t xml:space="preserve">Treatment difference </w:t>
            </w:r>
          </w:p>
          <w:p w:rsidR="00DC6D2E" w:rsidRPr="00CE5C86" w:rsidRDefault="00DC6D2E" w:rsidP="00DC6D2E">
            <w:pPr>
              <w:spacing w:before="0" w:after="0"/>
              <w:jc w:val="center"/>
              <w:rPr>
                <w:rFonts w:ascii="Arial Narrow" w:eastAsia="Times New Roman" w:hAnsi="Arial Narrow" w:cs="Arial"/>
                <w:b/>
                <w:bCs/>
                <w:sz w:val="20"/>
                <w:szCs w:val="20"/>
              </w:rPr>
            </w:pPr>
            <w:r w:rsidRPr="00CE5C86">
              <w:rPr>
                <w:rFonts w:ascii="Arial Narrow" w:eastAsia="Times New Roman" w:hAnsi="Arial Narrow" w:cs="Arial"/>
                <w:b/>
                <w:bCs/>
                <w:sz w:val="20"/>
                <w:szCs w:val="20"/>
              </w:rPr>
              <w:t>(95% CI)</w:t>
            </w:r>
          </w:p>
        </w:tc>
      </w:tr>
      <w:tr w:rsidR="00DC6D2E" w:rsidRPr="00CE5C86" w:rsidTr="002744AA">
        <w:trPr>
          <w:trHeight w:val="70"/>
        </w:trPr>
        <w:tc>
          <w:tcPr>
            <w:tcW w:w="8915"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DC6D2E" w:rsidRPr="00CE5C86" w:rsidRDefault="00DC6D2E" w:rsidP="00DC6D2E">
            <w:pPr>
              <w:spacing w:before="0" w:after="0"/>
              <w:rPr>
                <w:rFonts w:ascii="Arial Narrow" w:eastAsia="Times New Roman" w:hAnsi="Arial Narrow" w:cs="Arial"/>
                <w:b/>
                <w:sz w:val="20"/>
                <w:szCs w:val="20"/>
                <w:vertAlign w:val="superscript"/>
              </w:rPr>
            </w:pPr>
            <w:r w:rsidRPr="00CE5C86">
              <w:rPr>
                <w:rFonts w:ascii="Arial Narrow" w:eastAsia="Times New Roman" w:hAnsi="Arial Narrow" w:cs="Arial"/>
                <w:b/>
                <w:sz w:val="20"/>
                <w:szCs w:val="20"/>
              </w:rPr>
              <w:t>Diagnosis with multiple sclerosis</w:t>
            </w:r>
          </w:p>
        </w:tc>
      </w:tr>
      <w:tr w:rsidR="00DC6D2E" w:rsidRPr="00CE5C86" w:rsidTr="002744AA">
        <w:tc>
          <w:tcPr>
            <w:tcW w:w="1466" w:type="dxa"/>
            <w:tcBorders>
              <w:top w:val="single" w:sz="4" w:space="0" w:color="auto"/>
              <w:left w:val="single" w:sz="4" w:space="0" w:color="auto"/>
              <w:bottom w:val="single" w:sz="4" w:space="0" w:color="auto"/>
              <w:right w:val="single" w:sz="4" w:space="0" w:color="auto"/>
            </w:tcBorders>
            <w:tcMar>
              <w:right w:w="28" w:type="dxa"/>
            </w:tcMar>
            <w:vAlign w:val="center"/>
          </w:tcPr>
          <w:p w:rsidR="00DC6D2E" w:rsidRPr="00CE5C86" w:rsidRDefault="00DC6D2E" w:rsidP="00B42A44">
            <w:pPr>
              <w:spacing w:before="0" w:after="0"/>
              <w:jc w:val="left"/>
              <w:rPr>
                <w:rFonts w:ascii="Arial Narrow" w:eastAsia="Times New Roman" w:hAnsi="Arial Narrow" w:cs="Arial"/>
                <w:sz w:val="20"/>
                <w:szCs w:val="20"/>
              </w:rPr>
            </w:pPr>
            <w:proofErr w:type="spellStart"/>
            <w:r w:rsidRPr="00CE5C86">
              <w:rPr>
                <w:rFonts w:ascii="Arial Narrow" w:eastAsia="Times New Roman" w:hAnsi="Arial Narrow" w:cs="Arial"/>
                <w:sz w:val="20"/>
                <w:szCs w:val="20"/>
              </w:rPr>
              <w:t>PreCISe</w:t>
            </w:r>
            <w:proofErr w:type="spellEnd"/>
          </w:p>
        </w:tc>
        <w:tc>
          <w:tcPr>
            <w:tcW w:w="1491" w:type="dxa"/>
            <w:tcBorders>
              <w:top w:val="single" w:sz="4" w:space="0" w:color="auto"/>
              <w:left w:val="single" w:sz="4" w:space="0" w:color="auto"/>
              <w:bottom w:val="single" w:sz="4" w:space="0" w:color="auto"/>
              <w:right w:val="sing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60/243 (24.7)</w:t>
            </w:r>
          </w:p>
        </w:tc>
        <w:tc>
          <w:tcPr>
            <w:tcW w:w="1492" w:type="dxa"/>
            <w:tcBorders>
              <w:top w:val="single" w:sz="4" w:space="0" w:color="auto"/>
              <w:left w:val="single" w:sz="4" w:space="0" w:color="auto"/>
              <w:bottom w:val="single" w:sz="4" w:space="0" w:color="auto"/>
              <w:right w:val="sing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102/238 (42.9)</w:t>
            </w:r>
          </w:p>
        </w:tc>
        <w:tc>
          <w:tcPr>
            <w:tcW w:w="1492" w:type="dxa"/>
            <w:tcBorders>
              <w:top w:val="single" w:sz="4" w:space="0" w:color="auto"/>
              <w:left w:val="single" w:sz="4" w:space="0" w:color="auto"/>
              <w:bottom w:val="single" w:sz="4" w:space="0" w:color="auto"/>
              <w:right w:val="doub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w:t>
            </w:r>
          </w:p>
        </w:tc>
        <w:tc>
          <w:tcPr>
            <w:tcW w:w="2974" w:type="dxa"/>
            <w:tcBorders>
              <w:top w:val="single" w:sz="4" w:space="0" w:color="auto"/>
              <w:left w:val="double" w:sz="4" w:space="0" w:color="auto"/>
              <w:bottom w:val="single" w:sz="4" w:space="0" w:color="auto"/>
              <w:right w:val="sing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Hazard ratio: 0.55 (0.44, 0.77)</w:t>
            </w:r>
          </w:p>
        </w:tc>
      </w:tr>
      <w:tr w:rsidR="00DC6D2E" w:rsidRPr="00CE5C86" w:rsidTr="002744AA">
        <w:tc>
          <w:tcPr>
            <w:tcW w:w="1466" w:type="dxa"/>
            <w:tcBorders>
              <w:top w:val="single" w:sz="4" w:space="0" w:color="auto"/>
              <w:left w:val="single" w:sz="4" w:space="0" w:color="auto"/>
              <w:bottom w:val="single" w:sz="4" w:space="0" w:color="auto"/>
              <w:right w:val="single" w:sz="4" w:space="0" w:color="auto"/>
            </w:tcBorders>
            <w:tcMar>
              <w:right w:w="28" w:type="dxa"/>
            </w:tcMar>
            <w:vAlign w:val="center"/>
          </w:tcPr>
          <w:p w:rsidR="00DC6D2E" w:rsidRPr="00CE5C86" w:rsidRDefault="00DC6D2E" w:rsidP="00B42A44">
            <w:pPr>
              <w:spacing w:before="0" w:after="0"/>
              <w:jc w:val="left"/>
              <w:rPr>
                <w:rFonts w:ascii="Arial Narrow" w:eastAsia="Times New Roman" w:hAnsi="Arial Narrow" w:cs="Arial"/>
                <w:sz w:val="20"/>
                <w:szCs w:val="20"/>
              </w:rPr>
            </w:pPr>
            <w:proofErr w:type="spellStart"/>
            <w:r w:rsidRPr="00CE5C86">
              <w:rPr>
                <w:rFonts w:ascii="Arial Narrow" w:eastAsia="Times New Roman" w:hAnsi="Arial Narrow" w:cs="Arial"/>
                <w:sz w:val="20"/>
                <w:szCs w:val="20"/>
              </w:rPr>
              <w:t>Pakdaman</w:t>
            </w:r>
            <w:proofErr w:type="spellEnd"/>
            <w:r w:rsidRPr="00CE5C86">
              <w:rPr>
                <w:rFonts w:ascii="Arial Narrow" w:eastAsia="Times New Roman" w:hAnsi="Arial Narrow" w:cs="Arial"/>
                <w:sz w:val="20"/>
                <w:szCs w:val="20"/>
              </w:rPr>
              <w:t xml:space="preserve"> 2007</w:t>
            </w:r>
          </w:p>
        </w:tc>
        <w:tc>
          <w:tcPr>
            <w:tcW w:w="1491" w:type="dxa"/>
            <w:tcBorders>
              <w:top w:val="single" w:sz="4" w:space="0" w:color="auto"/>
              <w:left w:val="single" w:sz="4" w:space="0" w:color="auto"/>
              <w:bottom w:val="single" w:sz="4" w:space="0" w:color="auto"/>
              <w:right w:val="sing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w:t>
            </w:r>
          </w:p>
        </w:tc>
        <w:tc>
          <w:tcPr>
            <w:tcW w:w="1492" w:type="dxa"/>
            <w:tcBorders>
              <w:top w:val="single" w:sz="4" w:space="0" w:color="auto"/>
              <w:left w:val="single" w:sz="4" w:space="0" w:color="auto"/>
              <w:bottom w:val="single" w:sz="4" w:space="0" w:color="auto"/>
              <w:right w:val="sing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57/98 (58.2)</w:t>
            </w:r>
          </w:p>
        </w:tc>
        <w:tc>
          <w:tcPr>
            <w:tcW w:w="1492" w:type="dxa"/>
            <w:tcBorders>
              <w:top w:val="single" w:sz="4" w:space="0" w:color="auto"/>
              <w:left w:val="single" w:sz="4" w:space="0" w:color="auto"/>
              <w:bottom w:val="single" w:sz="4" w:space="0" w:color="auto"/>
              <w:right w:val="doub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38/104 (36.5)</w:t>
            </w:r>
          </w:p>
        </w:tc>
        <w:tc>
          <w:tcPr>
            <w:tcW w:w="2974" w:type="dxa"/>
            <w:tcBorders>
              <w:top w:val="single" w:sz="4" w:space="0" w:color="auto"/>
              <w:left w:val="double" w:sz="4" w:space="0" w:color="auto"/>
              <w:bottom w:val="single" w:sz="4" w:space="0" w:color="auto"/>
              <w:right w:val="single" w:sz="4" w:space="0" w:color="auto"/>
            </w:tcBorders>
            <w:shd w:val="clear" w:color="auto" w:fill="FFFFFF"/>
            <w:vAlign w:val="center"/>
          </w:tcPr>
          <w:p w:rsidR="00DC6D2E" w:rsidRPr="00CE5C86" w:rsidRDefault="00DC6D2E" w:rsidP="00DC6D2E">
            <w:pPr>
              <w:keepNext/>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Hazard ratio: 0.54 (0.36, 0.81)</w:t>
            </w:r>
          </w:p>
        </w:tc>
      </w:tr>
      <w:tr w:rsidR="00DC6D2E" w:rsidRPr="00CE5C86" w:rsidTr="002744AA">
        <w:trPr>
          <w:trHeight w:val="52"/>
        </w:trPr>
        <w:tc>
          <w:tcPr>
            <w:tcW w:w="1466" w:type="dxa"/>
            <w:tcBorders>
              <w:top w:val="single" w:sz="4" w:space="0" w:color="auto"/>
              <w:left w:val="single" w:sz="4" w:space="0" w:color="auto"/>
              <w:bottom w:val="single" w:sz="4" w:space="0" w:color="auto"/>
              <w:right w:val="single" w:sz="4" w:space="0" w:color="auto"/>
            </w:tcBorders>
            <w:tcMar>
              <w:right w:w="28" w:type="dxa"/>
            </w:tcMar>
            <w:vAlign w:val="center"/>
          </w:tcPr>
          <w:p w:rsidR="00DC6D2E" w:rsidRPr="00CE5C86" w:rsidRDefault="00DC6D2E" w:rsidP="00B42A44">
            <w:pPr>
              <w:spacing w:before="0" w:after="0"/>
              <w:jc w:val="left"/>
              <w:rPr>
                <w:rFonts w:ascii="Arial Narrow" w:eastAsia="Times New Roman" w:hAnsi="Arial Narrow" w:cs="Arial"/>
                <w:sz w:val="20"/>
                <w:szCs w:val="20"/>
              </w:rPr>
            </w:pPr>
            <w:proofErr w:type="spellStart"/>
            <w:r w:rsidRPr="00CE5C86">
              <w:rPr>
                <w:rFonts w:ascii="Arial Narrow" w:eastAsia="Times New Roman" w:hAnsi="Arial Narrow" w:cs="Arial"/>
                <w:sz w:val="20"/>
                <w:szCs w:val="20"/>
              </w:rPr>
              <w:t>Kappos</w:t>
            </w:r>
            <w:proofErr w:type="spellEnd"/>
            <w:r w:rsidRPr="00CE5C86">
              <w:rPr>
                <w:rFonts w:ascii="Arial Narrow" w:eastAsia="Times New Roman" w:hAnsi="Arial Narrow" w:cs="Arial"/>
                <w:sz w:val="20"/>
                <w:szCs w:val="20"/>
              </w:rPr>
              <w:t xml:space="preserve"> 2006</w:t>
            </w:r>
          </w:p>
        </w:tc>
        <w:tc>
          <w:tcPr>
            <w:tcW w:w="1491" w:type="dxa"/>
            <w:tcBorders>
              <w:top w:val="single" w:sz="4" w:space="0" w:color="auto"/>
              <w:left w:val="single" w:sz="4" w:space="0" w:color="auto"/>
              <w:bottom w:val="single" w:sz="4" w:space="0" w:color="auto"/>
              <w:right w:val="sing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w:t>
            </w:r>
          </w:p>
        </w:tc>
        <w:tc>
          <w:tcPr>
            <w:tcW w:w="1492" w:type="dxa"/>
            <w:tcBorders>
              <w:top w:val="single" w:sz="4" w:space="0" w:color="auto"/>
              <w:left w:val="single" w:sz="4" w:space="0" w:color="auto"/>
              <w:bottom w:val="single" w:sz="4" w:space="0" w:color="auto"/>
              <w:right w:val="sing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45/176 (25.6)</w:t>
            </w:r>
          </w:p>
        </w:tc>
        <w:tc>
          <w:tcPr>
            <w:tcW w:w="1492" w:type="dxa"/>
            <w:tcBorders>
              <w:top w:val="single" w:sz="4" w:space="0" w:color="auto"/>
              <w:left w:val="single" w:sz="4" w:space="0" w:color="auto"/>
              <w:bottom w:val="single" w:sz="4" w:space="0" w:color="auto"/>
              <w:right w:val="doub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28/292 (9.6)</w:t>
            </w:r>
          </w:p>
        </w:tc>
        <w:tc>
          <w:tcPr>
            <w:tcW w:w="2974" w:type="dxa"/>
            <w:tcBorders>
              <w:top w:val="single" w:sz="4" w:space="0" w:color="auto"/>
              <w:left w:val="double" w:sz="4" w:space="0" w:color="auto"/>
              <w:bottom w:val="single" w:sz="4" w:space="0" w:color="auto"/>
              <w:right w:val="single" w:sz="4" w:space="0" w:color="auto"/>
            </w:tcBorders>
            <w:shd w:val="clear" w:color="auto" w:fill="FFFFFF"/>
            <w:vAlign w:val="center"/>
          </w:tcPr>
          <w:p w:rsidR="00DC6D2E" w:rsidRPr="00CE5C86" w:rsidRDefault="00DC6D2E" w:rsidP="00DC6D2E">
            <w:pPr>
              <w:keepNext/>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Hazard ratio: 0.50 (0.36, 0.70)</w:t>
            </w:r>
          </w:p>
        </w:tc>
      </w:tr>
      <w:tr w:rsidR="00DC6D2E" w:rsidRPr="00CE5C86" w:rsidTr="002744AA">
        <w:trPr>
          <w:trHeight w:val="52"/>
        </w:trPr>
        <w:tc>
          <w:tcPr>
            <w:tcW w:w="1466" w:type="dxa"/>
            <w:tcBorders>
              <w:top w:val="single" w:sz="4" w:space="0" w:color="auto"/>
              <w:left w:val="single" w:sz="4" w:space="0" w:color="auto"/>
              <w:bottom w:val="single" w:sz="4" w:space="0" w:color="auto"/>
              <w:right w:val="single" w:sz="4" w:space="0" w:color="auto"/>
            </w:tcBorders>
            <w:tcMar>
              <w:right w:w="28" w:type="dxa"/>
            </w:tcMar>
            <w:vAlign w:val="center"/>
          </w:tcPr>
          <w:p w:rsidR="00DC6D2E" w:rsidRPr="00CE5C86" w:rsidRDefault="00DC6D2E" w:rsidP="00B42A44">
            <w:pPr>
              <w:spacing w:before="0" w:after="0"/>
              <w:jc w:val="left"/>
              <w:rPr>
                <w:rFonts w:ascii="Arial Narrow" w:eastAsia="Times New Roman" w:hAnsi="Arial Narrow" w:cs="Arial"/>
                <w:sz w:val="20"/>
                <w:szCs w:val="20"/>
              </w:rPr>
            </w:pPr>
            <w:r w:rsidRPr="00CE5C86">
              <w:rPr>
                <w:rFonts w:ascii="Arial Narrow" w:eastAsia="Times New Roman" w:hAnsi="Arial Narrow" w:cs="Arial"/>
                <w:sz w:val="20"/>
                <w:szCs w:val="20"/>
              </w:rPr>
              <w:t>Jacobs 2000</w:t>
            </w:r>
          </w:p>
        </w:tc>
        <w:tc>
          <w:tcPr>
            <w:tcW w:w="1491" w:type="dxa"/>
            <w:tcBorders>
              <w:top w:val="single" w:sz="4" w:space="0" w:color="auto"/>
              <w:left w:val="single" w:sz="4" w:space="0" w:color="auto"/>
              <w:bottom w:val="single" w:sz="4" w:space="0" w:color="auto"/>
              <w:right w:val="sing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w:t>
            </w:r>
          </w:p>
        </w:tc>
        <w:tc>
          <w:tcPr>
            <w:tcW w:w="1492" w:type="dxa"/>
            <w:tcBorders>
              <w:top w:val="single" w:sz="4" w:space="0" w:color="auto"/>
              <w:left w:val="single" w:sz="4" w:space="0" w:color="auto"/>
              <w:bottom w:val="single" w:sz="4" w:space="0" w:color="auto"/>
              <w:right w:val="sing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73/190 (38.4)</w:t>
            </w:r>
          </w:p>
        </w:tc>
        <w:tc>
          <w:tcPr>
            <w:tcW w:w="1492" w:type="dxa"/>
            <w:tcBorders>
              <w:top w:val="single" w:sz="4" w:space="0" w:color="auto"/>
              <w:left w:val="single" w:sz="4" w:space="0" w:color="auto"/>
              <w:bottom w:val="single" w:sz="4" w:space="0" w:color="auto"/>
              <w:right w:val="doub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46/193 (23.8)</w:t>
            </w:r>
          </w:p>
        </w:tc>
        <w:tc>
          <w:tcPr>
            <w:tcW w:w="2974" w:type="dxa"/>
            <w:tcBorders>
              <w:top w:val="single" w:sz="4" w:space="0" w:color="auto"/>
              <w:left w:val="double" w:sz="4" w:space="0" w:color="auto"/>
              <w:bottom w:val="single" w:sz="4" w:space="0" w:color="auto"/>
              <w:right w:val="single" w:sz="4" w:space="0" w:color="auto"/>
            </w:tcBorders>
            <w:shd w:val="clear" w:color="auto" w:fill="FFFFFF"/>
            <w:vAlign w:val="center"/>
          </w:tcPr>
          <w:p w:rsidR="00DC6D2E" w:rsidRPr="00CE5C86" w:rsidRDefault="00DC6D2E" w:rsidP="00DC6D2E">
            <w:pPr>
              <w:keepNext/>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Hazard ratio: 0.56 (0.38, 0.81)</w:t>
            </w:r>
          </w:p>
        </w:tc>
      </w:tr>
      <w:tr w:rsidR="00DC6D2E" w:rsidRPr="00CE5C86" w:rsidTr="002744AA">
        <w:trPr>
          <w:trHeight w:val="52"/>
        </w:trPr>
        <w:tc>
          <w:tcPr>
            <w:tcW w:w="1466" w:type="dxa"/>
            <w:tcBorders>
              <w:top w:val="single" w:sz="4" w:space="0" w:color="auto"/>
              <w:left w:val="single" w:sz="4" w:space="0" w:color="auto"/>
              <w:bottom w:val="single" w:sz="4" w:space="0" w:color="auto"/>
              <w:right w:val="single" w:sz="4" w:space="0" w:color="auto"/>
            </w:tcBorders>
            <w:tcMar>
              <w:right w:w="28" w:type="dxa"/>
            </w:tcMar>
            <w:vAlign w:val="center"/>
          </w:tcPr>
          <w:p w:rsidR="00DC6D2E" w:rsidRPr="00CE5C86" w:rsidRDefault="00DC6D2E" w:rsidP="00B42A44">
            <w:pPr>
              <w:spacing w:before="0" w:after="0"/>
              <w:jc w:val="left"/>
              <w:rPr>
                <w:rFonts w:ascii="Arial Narrow" w:eastAsia="Times New Roman" w:hAnsi="Arial Narrow" w:cs="Arial"/>
                <w:sz w:val="20"/>
                <w:szCs w:val="20"/>
              </w:rPr>
            </w:pPr>
            <w:proofErr w:type="spellStart"/>
            <w:r w:rsidRPr="00CE5C86">
              <w:rPr>
                <w:rFonts w:ascii="Arial Narrow" w:eastAsia="Times New Roman" w:hAnsi="Arial Narrow" w:cs="Arial"/>
                <w:sz w:val="20"/>
                <w:szCs w:val="20"/>
              </w:rPr>
              <w:t>Comi</w:t>
            </w:r>
            <w:proofErr w:type="spellEnd"/>
            <w:r w:rsidRPr="00CE5C86">
              <w:rPr>
                <w:rFonts w:ascii="Arial Narrow" w:eastAsia="Times New Roman" w:hAnsi="Arial Narrow" w:cs="Arial"/>
                <w:sz w:val="20"/>
                <w:szCs w:val="20"/>
              </w:rPr>
              <w:t xml:space="preserve"> &amp; </w:t>
            </w:r>
            <w:proofErr w:type="spellStart"/>
            <w:r w:rsidRPr="00CE5C86">
              <w:rPr>
                <w:rFonts w:ascii="Arial Narrow" w:eastAsia="Times New Roman" w:hAnsi="Arial Narrow" w:cs="Arial"/>
                <w:sz w:val="20"/>
                <w:szCs w:val="20"/>
              </w:rPr>
              <w:t>Filippi</w:t>
            </w:r>
            <w:proofErr w:type="spellEnd"/>
            <w:r w:rsidRPr="00CE5C86">
              <w:rPr>
                <w:rFonts w:ascii="Arial Narrow" w:eastAsia="Times New Roman" w:hAnsi="Arial Narrow" w:cs="Arial"/>
                <w:sz w:val="20"/>
                <w:szCs w:val="20"/>
              </w:rPr>
              <w:t xml:space="preserve"> 2001</w:t>
            </w:r>
          </w:p>
        </w:tc>
        <w:tc>
          <w:tcPr>
            <w:tcW w:w="1491" w:type="dxa"/>
            <w:tcBorders>
              <w:top w:val="single" w:sz="4" w:space="0" w:color="auto"/>
              <w:left w:val="single" w:sz="4" w:space="0" w:color="auto"/>
              <w:bottom w:val="single" w:sz="4" w:space="0" w:color="auto"/>
              <w:right w:val="sing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w:t>
            </w:r>
          </w:p>
        </w:tc>
        <w:tc>
          <w:tcPr>
            <w:tcW w:w="1492" w:type="dxa"/>
            <w:tcBorders>
              <w:top w:val="single" w:sz="4" w:space="0" w:color="auto"/>
              <w:left w:val="single" w:sz="4" w:space="0" w:color="auto"/>
              <w:bottom w:val="single" w:sz="4" w:space="0" w:color="auto"/>
              <w:right w:val="sing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69/154 (44.8)</w:t>
            </w:r>
          </w:p>
        </w:tc>
        <w:tc>
          <w:tcPr>
            <w:tcW w:w="1492" w:type="dxa"/>
            <w:tcBorders>
              <w:top w:val="single" w:sz="4" w:space="0" w:color="auto"/>
              <w:left w:val="single" w:sz="4" w:space="0" w:color="auto"/>
              <w:bottom w:val="single" w:sz="4" w:space="0" w:color="auto"/>
              <w:right w:val="doub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52/154 (33.8)</w:t>
            </w:r>
          </w:p>
        </w:tc>
        <w:tc>
          <w:tcPr>
            <w:tcW w:w="2974" w:type="dxa"/>
            <w:tcBorders>
              <w:top w:val="single" w:sz="4" w:space="0" w:color="auto"/>
              <w:left w:val="double" w:sz="4" w:space="0" w:color="auto"/>
              <w:bottom w:val="single" w:sz="4" w:space="0" w:color="auto"/>
              <w:right w:val="single" w:sz="4" w:space="0" w:color="auto"/>
            </w:tcBorders>
            <w:shd w:val="clear" w:color="auto" w:fill="FFFFFF"/>
            <w:vAlign w:val="center"/>
          </w:tcPr>
          <w:p w:rsidR="00DC6D2E" w:rsidRPr="00CE5C86" w:rsidRDefault="00DC6D2E" w:rsidP="00DC6D2E">
            <w:pPr>
              <w:keepNext/>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Hazard ratio: 0.65 (0.45, 0.94)</w:t>
            </w:r>
          </w:p>
        </w:tc>
      </w:tr>
      <w:tr w:rsidR="00DC6D2E" w:rsidRPr="00CE5C86" w:rsidTr="002744AA">
        <w:trPr>
          <w:trHeight w:val="52"/>
        </w:trPr>
        <w:tc>
          <w:tcPr>
            <w:tcW w:w="1466" w:type="dxa"/>
            <w:tcBorders>
              <w:top w:val="single" w:sz="4" w:space="0" w:color="auto"/>
              <w:left w:val="single" w:sz="4" w:space="0" w:color="auto"/>
              <w:bottom w:val="single" w:sz="4" w:space="0" w:color="auto"/>
              <w:right w:val="single" w:sz="4" w:space="0" w:color="auto"/>
            </w:tcBorders>
            <w:tcMar>
              <w:right w:w="28" w:type="dxa"/>
            </w:tcMar>
            <w:vAlign w:val="center"/>
          </w:tcPr>
          <w:p w:rsidR="00DC6D2E" w:rsidRPr="00CE5C86" w:rsidRDefault="00DC6D2E" w:rsidP="00B42A44">
            <w:pPr>
              <w:spacing w:before="0" w:after="0"/>
              <w:jc w:val="left"/>
              <w:rPr>
                <w:rFonts w:ascii="Arial Narrow" w:eastAsia="Times New Roman" w:hAnsi="Arial Narrow" w:cs="Arial"/>
                <w:sz w:val="20"/>
                <w:szCs w:val="20"/>
              </w:rPr>
            </w:pPr>
            <w:proofErr w:type="spellStart"/>
            <w:r w:rsidRPr="00CE5C86">
              <w:rPr>
                <w:rFonts w:ascii="Arial Narrow" w:eastAsia="Times New Roman" w:hAnsi="Arial Narrow" w:cs="Arial"/>
                <w:sz w:val="20"/>
                <w:szCs w:val="20"/>
              </w:rPr>
              <w:t>Comi</w:t>
            </w:r>
            <w:proofErr w:type="spellEnd"/>
            <w:r w:rsidRPr="00CE5C86">
              <w:rPr>
                <w:rFonts w:ascii="Arial Narrow" w:eastAsia="Times New Roman" w:hAnsi="Arial Narrow" w:cs="Arial"/>
                <w:sz w:val="20"/>
                <w:szCs w:val="20"/>
              </w:rPr>
              <w:t xml:space="preserve"> 2012</w:t>
            </w:r>
          </w:p>
        </w:tc>
        <w:tc>
          <w:tcPr>
            <w:tcW w:w="1491" w:type="dxa"/>
            <w:tcBorders>
              <w:top w:val="single" w:sz="4" w:space="0" w:color="auto"/>
              <w:left w:val="single" w:sz="4" w:space="0" w:color="auto"/>
              <w:bottom w:val="single" w:sz="4" w:space="0" w:color="auto"/>
              <w:right w:val="sing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w:t>
            </w:r>
          </w:p>
        </w:tc>
        <w:tc>
          <w:tcPr>
            <w:tcW w:w="1492" w:type="dxa"/>
            <w:tcBorders>
              <w:top w:val="single" w:sz="4" w:space="0" w:color="auto"/>
              <w:left w:val="single" w:sz="4" w:space="0" w:color="auto"/>
              <w:bottom w:val="single" w:sz="4" w:space="0" w:color="auto"/>
              <w:right w:val="sing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98/171 (57.3)</w:t>
            </w:r>
          </w:p>
        </w:tc>
        <w:tc>
          <w:tcPr>
            <w:tcW w:w="1492" w:type="dxa"/>
            <w:tcBorders>
              <w:top w:val="single" w:sz="4" w:space="0" w:color="auto"/>
              <w:left w:val="single" w:sz="4" w:space="0" w:color="auto"/>
              <w:bottom w:val="single" w:sz="4" w:space="0" w:color="auto"/>
              <w:right w:val="double" w:sz="4" w:space="0" w:color="auto"/>
            </w:tcBorders>
            <w:vAlign w:val="center"/>
          </w:tcPr>
          <w:p w:rsidR="00DC6D2E" w:rsidRPr="00CE5C86" w:rsidRDefault="00DC6D2E" w:rsidP="00DC6D2E">
            <w:pPr>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63/171 (36.8)</w:t>
            </w:r>
          </w:p>
        </w:tc>
        <w:tc>
          <w:tcPr>
            <w:tcW w:w="2974" w:type="dxa"/>
            <w:tcBorders>
              <w:top w:val="single" w:sz="4" w:space="0" w:color="auto"/>
              <w:left w:val="double" w:sz="4" w:space="0" w:color="auto"/>
              <w:bottom w:val="single" w:sz="4" w:space="0" w:color="auto"/>
              <w:right w:val="single" w:sz="4" w:space="0" w:color="auto"/>
            </w:tcBorders>
            <w:shd w:val="clear" w:color="auto" w:fill="FFFFFF"/>
            <w:vAlign w:val="center"/>
          </w:tcPr>
          <w:p w:rsidR="00DC6D2E" w:rsidRPr="00CE5C86" w:rsidRDefault="00DC6D2E" w:rsidP="00DC6D2E">
            <w:pPr>
              <w:keepNext/>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Hazard ratio: 0.48 (0.31, 0.73)</w:t>
            </w:r>
          </w:p>
        </w:tc>
      </w:tr>
      <w:tr w:rsidR="00DC6D2E" w:rsidRPr="00CE5C86" w:rsidTr="002744AA">
        <w:trPr>
          <w:trHeight w:val="52"/>
        </w:trPr>
        <w:tc>
          <w:tcPr>
            <w:tcW w:w="5941"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DC6D2E" w:rsidRPr="00CE5C86" w:rsidRDefault="00DC6D2E" w:rsidP="00DC6D2E">
            <w:pPr>
              <w:spacing w:before="0" w:after="0"/>
              <w:jc w:val="right"/>
              <w:rPr>
                <w:rFonts w:ascii="Arial Narrow" w:eastAsia="Times New Roman" w:hAnsi="Arial Narrow" w:cs="Arial"/>
                <w:sz w:val="20"/>
                <w:szCs w:val="20"/>
              </w:rPr>
            </w:pPr>
            <w:r w:rsidRPr="00CE5C86">
              <w:rPr>
                <w:rFonts w:ascii="Arial Narrow" w:eastAsia="Times New Roman" w:hAnsi="Arial Narrow" w:cs="Arial"/>
                <w:sz w:val="20"/>
                <w:szCs w:val="20"/>
              </w:rPr>
              <w:t>Meta-analysis of interferon trials (I</w:t>
            </w:r>
            <w:r w:rsidRPr="00CE5C86">
              <w:rPr>
                <w:rFonts w:ascii="Arial Narrow" w:eastAsia="Times New Roman" w:hAnsi="Arial Narrow" w:cs="Arial"/>
                <w:sz w:val="20"/>
                <w:szCs w:val="20"/>
                <w:vertAlign w:val="superscript"/>
              </w:rPr>
              <w:t>2</w:t>
            </w:r>
            <w:r w:rsidRPr="00CE5C86">
              <w:rPr>
                <w:rFonts w:ascii="Arial Narrow" w:eastAsia="Times New Roman" w:hAnsi="Arial Narrow" w:cs="Arial"/>
                <w:sz w:val="20"/>
                <w:szCs w:val="20"/>
              </w:rPr>
              <w:t xml:space="preserve"> = 0%)</w:t>
            </w:r>
          </w:p>
        </w:tc>
        <w:tc>
          <w:tcPr>
            <w:tcW w:w="2974" w:type="dxa"/>
            <w:tcBorders>
              <w:top w:val="single" w:sz="4" w:space="0" w:color="auto"/>
              <w:left w:val="double" w:sz="4" w:space="0" w:color="auto"/>
              <w:bottom w:val="single" w:sz="4" w:space="0" w:color="auto"/>
              <w:right w:val="single" w:sz="4" w:space="0" w:color="auto"/>
            </w:tcBorders>
            <w:shd w:val="clear" w:color="auto" w:fill="FFFFFF"/>
            <w:vAlign w:val="center"/>
          </w:tcPr>
          <w:p w:rsidR="00DC6D2E" w:rsidRPr="00CE5C86" w:rsidRDefault="00DC6D2E" w:rsidP="00DC6D2E">
            <w:pPr>
              <w:keepNext/>
              <w:spacing w:before="0" w:after="0"/>
              <w:jc w:val="center"/>
              <w:rPr>
                <w:rFonts w:ascii="Arial Narrow" w:eastAsia="Times New Roman" w:hAnsi="Arial Narrow" w:cs="Arial"/>
                <w:sz w:val="20"/>
                <w:szCs w:val="20"/>
              </w:rPr>
            </w:pPr>
            <w:r w:rsidRPr="00CE5C86">
              <w:rPr>
                <w:rFonts w:ascii="Arial Narrow" w:eastAsia="Times New Roman" w:hAnsi="Arial Narrow" w:cs="Arial"/>
                <w:sz w:val="20"/>
                <w:szCs w:val="20"/>
              </w:rPr>
              <w:t>Hazard ratio: 0.54 (0.46, 0.64)</w:t>
            </w:r>
          </w:p>
        </w:tc>
      </w:tr>
      <w:tr w:rsidR="00DC6D2E" w:rsidRPr="00CE5C86" w:rsidTr="002744AA">
        <w:trPr>
          <w:trHeight w:val="52"/>
        </w:trPr>
        <w:tc>
          <w:tcPr>
            <w:tcW w:w="5941"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DC6D2E" w:rsidRPr="00CE5C86" w:rsidRDefault="00DC6D2E" w:rsidP="00DC6D2E">
            <w:pPr>
              <w:keepNext/>
              <w:spacing w:before="0" w:after="0"/>
              <w:jc w:val="right"/>
              <w:rPr>
                <w:rFonts w:ascii="Arial Narrow" w:eastAsia="Times New Roman" w:hAnsi="Arial Narrow" w:cs="Arial"/>
                <w:sz w:val="20"/>
                <w:szCs w:val="20"/>
              </w:rPr>
            </w:pPr>
            <w:r w:rsidRPr="00CE5C86">
              <w:rPr>
                <w:rFonts w:ascii="Arial Narrow" w:eastAsia="Times New Roman" w:hAnsi="Arial Narrow" w:cs="Arial"/>
                <w:sz w:val="20"/>
                <w:szCs w:val="20"/>
              </w:rPr>
              <w:t xml:space="preserve">Indirect estimate of effect </w:t>
            </w:r>
          </w:p>
          <w:p w:rsidR="00DC6D2E" w:rsidRPr="00CE5C86" w:rsidRDefault="00DC6D2E" w:rsidP="00DC6D2E">
            <w:pPr>
              <w:spacing w:before="0" w:after="0"/>
              <w:jc w:val="right"/>
              <w:rPr>
                <w:rFonts w:ascii="Arial Narrow" w:eastAsia="Times New Roman" w:hAnsi="Arial Narrow" w:cs="Arial"/>
                <w:sz w:val="20"/>
                <w:szCs w:val="20"/>
              </w:rPr>
            </w:pPr>
            <w:r w:rsidRPr="00CE5C86">
              <w:rPr>
                <w:rFonts w:ascii="Arial Narrow" w:eastAsia="Times New Roman" w:hAnsi="Arial Narrow" w:cs="Arial"/>
                <w:sz w:val="20"/>
                <w:szCs w:val="20"/>
              </w:rPr>
              <w:t>(results &lt; 1 favour glatiramer acetate)</w:t>
            </w:r>
          </w:p>
        </w:tc>
        <w:tc>
          <w:tcPr>
            <w:tcW w:w="2974" w:type="dxa"/>
            <w:tcBorders>
              <w:top w:val="single" w:sz="4" w:space="0" w:color="auto"/>
              <w:left w:val="double" w:sz="4" w:space="0" w:color="auto"/>
              <w:bottom w:val="single" w:sz="4" w:space="0" w:color="auto"/>
              <w:right w:val="single" w:sz="4" w:space="0" w:color="auto"/>
            </w:tcBorders>
            <w:shd w:val="clear" w:color="auto" w:fill="FFFFFF"/>
            <w:vAlign w:val="center"/>
          </w:tcPr>
          <w:p w:rsidR="00DC6D2E" w:rsidRPr="00CE5C86" w:rsidRDefault="00DC6D2E" w:rsidP="00DC6D2E">
            <w:pPr>
              <w:keepNext/>
              <w:spacing w:before="0" w:after="0"/>
              <w:jc w:val="center"/>
              <w:rPr>
                <w:rFonts w:ascii="Arial Narrow" w:eastAsia="Times New Roman" w:hAnsi="Arial Narrow" w:cs="Arial"/>
                <w:b/>
                <w:sz w:val="20"/>
                <w:szCs w:val="20"/>
              </w:rPr>
            </w:pPr>
            <w:r w:rsidRPr="00CE5C86">
              <w:rPr>
                <w:rFonts w:ascii="Arial Narrow" w:eastAsia="Times New Roman" w:hAnsi="Arial Narrow" w:cs="Arial"/>
                <w:b/>
                <w:sz w:val="20"/>
                <w:szCs w:val="20"/>
              </w:rPr>
              <w:t>Hazard ratio: 1.02 (0.70, 1.47)</w:t>
            </w:r>
          </w:p>
        </w:tc>
      </w:tr>
    </w:tbl>
    <w:p w:rsidR="00DC6D2E" w:rsidRPr="00CE5C86" w:rsidRDefault="00DC6D2E" w:rsidP="00DC6D2E">
      <w:pPr>
        <w:spacing w:before="0" w:after="0"/>
        <w:rPr>
          <w:rFonts w:ascii="Arial Narrow" w:hAnsi="Arial Narrow"/>
          <w:sz w:val="18"/>
          <w:szCs w:val="18"/>
        </w:rPr>
      </w:pPr>
      <w:r w:rsidRPr="00CE5C86">
        <w:rPr>
          <w:rFonts w:ascii="Arial Narrow" w:hAnsi="Arial Narrow"/>
          <w:sz w:val="18"/>
          <w:szCs w:val="18"/>
        </w:rPr>
        <w:t xml:space="preserve">Source: compiled during the evaluation from Table 49, p.76 of E3518 </w:t>
      </w:r>
      <w:proofErr w:type="spellStart"/>
      <w:r w:rsidRPr="00CE5C86">
        <w:rPr>
          <w:rFonts w:ascii="Arial Narrow" w:hAnsi="Arial Narrow"/>
          <w:sz w:val="18"/>
          <w:szCs w:val="18"/>
        </w:rPr>
        <w:t>Copaxone</w:t>
      </w:r>
      <w:proofErr w:type="spellEnd"/>
      <w:r w:rsidRPr="00CE5C86">
        <w:rPr>
          <w:rFonts w:ascii="Arial Narrow" w:hAnsi="Arial Narrow"/>
          <w:sz w:val="18"/>
          <w:szCs w:val="18"/>
        </w:rPr>
        <w:t xml:space="preserve"> for CIS 2017 03 07 report (Attachment 7 of the submission); trial reports and publications</w:t>
      </w:r>
    </w:p>
    <w:p w:rsidR="00DC6D2E" w:rsidRPr="00CE5C86" w:rsidRDefault="00DC6D2E" w:rsidP="00DC6D2E">
      <w:pPr>
        <w:spacing w:before="0" w:after="0"/>
        <w:rPr>
          <w:rFonts w:ascii="Arial Narrow" w:hAnsi="Arial Narrow"/>
          <w:sz w:val="18"/>
          <w:szCs w:val="18"/>
        </w:rPr>
      </w:pPr>
    </w:p>
    <w:p w:rsidR="00DC6D2E" w:rsidRPr="00CE5C86" w:rsidRDefault="00DC6D2E" w:rsidP="005875D1">
      <w:pPr>
        <w:numPr>
          <w:ilvl w:val="1"/>
          <w:numId w:val="3"/>
        </w:numPr>
        <w:spacing w:before="0" w:after="120"/>
        <w:rPr>
          <w:rFonts w:ascii="Calibri" w:hAnsi="Calibri"/>
        </w:rPr>
      </w:pPr>
      <w:r w:rsidRPr="00CE5C86">
        <w:t xml:space="preserve">Overall, there is no difference in treatment effect between glatiramer acetate and interferons in treating clinically isolated syndrome. This result should be interpreted with caution, as the meta-analysis of the interferons may not be appropriate and there were significant differences between trials. There was variability in the rates of diagnosis with multiple sclerosis in the placebo arm across trials, differences in diagnostic criteria applied to the primary outcomes, and wide confidence intervals in the indirect estimate of effect. </w:t>
      </w:r>
      <w:r w:rsidR="003A28FE" w:rsidRPr="00CE5C86">
        <w:t xml:space="preserve">A </w:t>
      </w:r>
      <w:r w:rsidRPr="00CE5C86">
        <w:t xml:space="preserve">non-inferiority margin was </w:t>
      </w:r>
      <w:r w:rsidR="003A28FE" w:rsidRPr="00CE5C86">
        <w:t xml:space="preserve">not </w:t>
      </w:r>
      <w:r w:rsidRPr="00CE5C86">
        <w:t>nominated for this outcome.</w:t>
      </w:r>
      <w:r w:rsidR="00E1267A">
        <w:t xml:space="preserve"> </w:t>
      </w:r>
      <w:r w:rsidR="004942B2">
        <w:t>Overall</w:t>
      </w:r>
      <w:r w:rsidR="00E1267A">
        <w:t xml:space="preserve">, the PBAC considered that the </w:t>
      </w:r>
      <w:r w:rsidR="00E1267A" w:rsidRPr="00CE5C86">
        <w:t>indirect comparison of glatiramer with the</w:t>
      </w:r>
      <w:r w:rsidR="00E1267A" w:rsidRPr="00CE5C86">
        <w:rPr>
          <w:rFonts w:ascii="Calibri" w:hAnsi="Calibri"/>
        </w:rPr>
        <w:t xml:space="preserve"> meta-analysis of interferon trials in clinically isolated syndrome</w:t>
      </w:r>
      <w:r w:rsidR="004942B2">
        <w:rPr>
          <w:rFonts w:ascii="Calibri" w:hAnsi="Calibri"/>
        </w:rPr>
        <w:t xml:space="preserve"> was not informative.</w:t>
      </w:r>
    </w:p>
    <w:p w:rsidR="00DC6D2E" w:rsidRPr="002720C1" w:rsidRDefault="00DC6D2E" w:rsidP="00772C75">
      <w:pPr>
        <w:pStyle w:val="V50Heading2nonumbers"/>
      </w:pPr>
      <w:bookmarkStart w:id="23" w:name="_Toc413139279"/>
      <w:bookmarkStart w:id="24" w:name="_Toc476306889"/>
      <w:bookmarkStart w:id="25" w:name="_Toc482710350"/>
      <w:r w:rsidRPr="002720C1">
        <w:t>Comparative harms</w:t>
      </w:r>
      <w:bookmarkEnd w:id="23"/>
      <w:bookmarkEnd w:id="24"/>
      <w:bookmarkEnd w:id="25"/>
    </w:p>
    <w:p w:rsidR="00DC6D2E" w:rsidRPr="00CE5C86" w:rsidRDefault="00DC6D2E" w:rsidP="005875D1">
      <w:pPr>
        <w:numPr>
          <w:ilvl w:val="1"/>
          <w:numId w:val="3"/>
        </w:numPr>
        <w:spacing w:before="0" w:after="120"/>
        <w:rPr>
          <w:rFonts w:ascii="Calibri" w:hAnsi="Calibri"/>
        </w:rPr>
      </w:pPr>
      <w:r w:rsidRPr="00CE5C86">
        <w:t xml:space="preserve">In the </w:t>
      </w:r>
      <w:proofErr w:type="spellStart"/>
      <w:r w:rsidRPr="00CE5C86">
        <w:t>PreCISe</w:t>
      </w:r>
      <w:proofErr w:type="spellEnd"/>
      <w:r w:rsidRPr="00CE5C86">
        <w:t xml:space="preserve"> trial, the incidence of adverse events leading to discontinuation was higher in the glatiramer acetate treatment group than in the placebo group. The adverse event profile primarily included injection site reactions and immediate post-injection reaction.</w:t>
      </w:r>
      <w:r w:rsidR="00F774B7" w:rsidRPr="00CE5C86">
        <w:t xml:space="preserve"> The ESC noted that the literature ha</w:t>
      </w:r>
      <w:r w:rsidR="003A28FE" w:rsidRPr="00CE5C86">
        <w:t>s</w:t>
      </w:r>
      <w:r w:rsidR="00F774B7" w:rsidRPr="00CE5C86">
        <w:t xml:space="preserve"> raised the possibility that increased injection site reactions in the active treatment arm may lead to a degree of </w:t>
      </w:r>
      <w:proofErr w:type="spellStart"/>
      <w:r w:rsidR="00F774B7" w:rsidRPr="00CE5C86">
        <w:t>unblinding</w:t>
      </w:r>
      <w:proofErr w:type="spellEnd"/>
      <w:r w:rsidR="00F774B7" w:rsidRPr="00CE5C86">
        <w:t xml:space="preserve"> in the trial</w:t>
      </w:r>
      <w:r w:rsidR="00F774B7" w:rsidRPr="00CE5C86">
        <w:rPr>
          <w:rStyle w:val="FootnoteReference"/>
        </w:rPr>
        <w:footnoteReference w:id="1"/>
      </w:r>
      <w:r w:rsidR="00F774B7" w:rsidRPr="00CE5C86">
        <w:t>.</w:t>
      </w:r>
    </w:p>
    <w:p w:rsidR="00DC6D2E" w:rsidRPr="00CE5C86" w:rsidRDefault="00DC6D2E" w:rsidP="005875D1">
      <w:pPr>
        <w:numPr>
          <w:ilvl w:val="1"/>
          <w:numId w:val="3"/>
        </w:numPr>
        <w:spacing w:before="0" w:after="120"/>
        <w:rPr>
          <w:rFonts w:ascii="Calibri" w:hAnsi="Calibri"/>
        </w:rPr>
      </w:pPr>
      <w:r w:rsidRPr="00CE5C86">
        <w:t xml:space="preserve">Other common adverse events reported in the </w:t>
      </w:r>
      <w:proofErr w:type="spellStart"/>
      <w:r w:rsidRPr="00CE5C86">
        <w:t>PreCISe</w:t>
      </w:r>
      <w:proofErr w:type="spellEnd"/>
      <w:r w:rsidRPr="00CE5C86">
        <w:t xml:space="preserve"> trial included lymphadenopathy, </w:t>
      </w:r>
      <w:proofErr w:type="spellStart"/>
      <w:r w:rsidRPr="00CE5C86">
        <w:t>urticaria</w:t>
      </w:r>
      <w:proofErr w:type="spellEnd"/>
      <w:r w:rsidRPr="00CE5C86">
        <w:t xml:space="preserve">, influenza-like illness, constipation, pruritus, erythema, vomiting, rash and blurred vision. </w:t>
      </w:r>
    </w:p>
    <w:p w:rsidR="00DC6D2E" w:rsidRPr="00CE5C86" w:rsidRDefault="00DC6D2E" w:rsidP="005875D1">
      <w:pPr>
        <w:numPr>
          <w:ilvl w:val="1"/>
          <w:numId w:val="3"/>
        </w:numPr>
        <w:spacing w:before="0" w:after="120"/>
        <w:rPr>
          <w:rFonts w:ascii="Calibri" w:hAnsi="Calibri"/>
        </w:rPr>
      </w:pPr>
      <w:r w:rsidRPr="00CE5C86">
        <w:t xml:space="preserve">Based on an extended assessment of harms, identified and potential risks associated with glatiramer acetate include: immediate post injection reaction, injection site reactions, injection site necrosis and atrophy, hypersensitivity, benign neoplasms of the skin and soft tissues, convulsions and anxiety, and liver injury and </w:t>
      </w:r>
      <w:proofErr w:type="spellStart"/>
      <w:r w:rsidRPr="00CE5C86">
        <w:t>glomerulonephropathies</w:t>
      </w:r>
      <w:proofErr w:type="spellEnd"/>
      <w:r w:rsidRPr="00CE5C86">
        <w:t>.</w:t>
      </w:r>
    </w:p>
    <w:p w:rsidR="00DC6D2E" w:rsidRPr="005A3BF2" w:rsidRDefault="00DC6D2E" w:rsidP="005875D1">
      <w:pPr>
        <w:numPr>
          <w:ilvl w:val="1"/>
          <w:numId w:val="3"/>
        </w:numPr>
        <w:spacing w:before="0" w:after="120"/>
        <w:rPr>
          <w:rFonts w:ascii="Calibri" w:hAnsi="Calibri"/>
        </w:rPr>
      </w:pPr>
      <w:r w:rsidRPr="00CE5C86">
        <w:t xml:space="preserve">There were no statistically significant differences between </w:t>
      </w:r>
      <w:r w:rsidR="00695F4D" w:rsidRPr="00CE5C86">
        <w:t xml:space="preserve">results of the </w:t>
      </w:r>
      <w:r w:rsidRPr="00CE5C86">
        <w:t>glatiramer acetate</w:t>
      </w:r>
      <w:r w:rsidR="00695F4D" w:rsidRPr="00CE5C86">
        <w:t xml:space="preserve"> trial</w:t>
      </w:r>
      <w:r w:rsidRPr="00CE5C86">
        <w:t xml:space="preserve"> and </w:t>
      </w:r>
      <w:r w:rsidR="00695F4D" w:rsidRPr="00CE5C86">
        <w:t xml:space="preserve">the </w:t>
      </w:r>
      <w:r w:rsidRPr="00CE5C86">
        <w:t>meta-analyse</w:t>
      </w:r>
      <w:r w:rsidR="00695F4D" w:rsidRPr="00CE5C86">
        <w:t>s of the</w:t>
      </w:r>
      <w:r w:rsidRPr="00CE5C86">
        <w:t xml:space="preserve"> interferon</w:t>
      </w:r>
      <w:r w:rsidR="00695F4D" w:rsidRPr="00CE5C86">
        <w:t xml:space="preserve"> trials</w:t>
      </w:r>
      <w:r w:rsidRPr="00CE5C86">
        <w:t xml:space="preserve"> for either total discontinuations, or discontinuations due to adverse events (used as a proxy outcome for safety). There was a high degree of </w:t>
      </w:r>
      <w:r w:rsidR="00802914" w:rsidRPr="00CE5C86">
        <w:t>heterogeneity between trials</w:t>
      </w:r>
      <w:r w:rsidRPr="00CE5C86">
        <w:t>. Treatment with either glatiramer acetate or interferons is associated with known tolerability issues.</w:t>
      </w:r>
    </w:p>
    <w:p w:rsidR="00E1267A" w:rsidRPr="00CE5C86" w:rsidRDefault="00E1267A" w:rsidP="005875D1">
      <w:pPr>
        <w:numPr>
          <w:ilvl w:val="1"/>
          <w:numId w:val="3"/>
        </w:numPr>
        <w:spacing w:before="0" w:after="120"/>
        <w:rPr>
          <w:rFonts w:ascii="Calibri" w:hAnsi="Calibri"/>
        </w:rPr>
      </w:pPr>
      <w:r>
        <w:t xml:space="preserve">The PBAC noted that glatiramer acetate has been PBS subsidised since 1999 and has a well-established safety profile. The PBAC also noted a recent TGA Periodic Safety Update Report (PSUR) to 30 November 2016, which did not identify any new safety issues or signals with glatiramer acetate. </w:t>
      </w:r>
    </w:p>
    <w:p w:rsidR="00DC6D2E" w:rsidRPr="002720C1" w:rsidRDefault="00DC6D2E" w:rsidP="00772C75">
      <w:pPr>
        <w:pStyle w:val="V50Heading2nonumbers"/>
      </w:pPr>
      <w:bookmarkStart w:id="26" w:name="_Toc476306890"/>
      <w:bookmarkStart w:id="27" w:name="_Toc482710351"/>
      <w:bookmarkStart w:id="28" w:name="_Toc413139281"/>
      <w:r w:rsidRPr="002720C1">
        <w:t>Benefits and harms</w:t>
      </w:r>
      <w:bookmarkEnd w:id="26"/>
      <w:bookmarkEnd w:id="27"/>
    </w:p>
    <w:p w:rsidR="00225B33" w:rsidRPr="00986F2E" w:rsidRDefault="00DC6D2E" w:rsidP="00986F2E">
      <w:pPr>
        <w:numPr>
          <w:ilvl w:val="1"/>
          <w:numId w:val="3"/>
        </w:numPr>
        <w:spacing w:before="0" w:after="120" w:line="259" w:lineRule="auto"/>
        <w:jc w:val="left"/>
        <w:rPr>
          <w:rFonts w:ascii="Arial Narrow" w:eastAsia="Calibri" w:hAnsi="Arial Narrow" w:cs="Arial"/>
          <w:b/>
          <w:sz w:val="20"/>
        </w:rPr>
      </w:pPr>
      <w:r w:rsidRPr="00CE5C86">
        <w:t xml:space="preserve">A summary of the comparative benefits and harms for glatiramer acetate versus placebo is presented in Table </w:t>
      </w:r>
      <w:r w:rsidR="008D011B" w:rsidRPr="00CE5C86">
        <w:t>6</w:t>
      </w:r>
      <w:r w:rsidRPr="00CE5C86">
        <w:t>.</w:t>
      </w:r>
    </w:p>
    <w:p w:rsidR="002744AA" w:rsidRPr="00CE5C86" w:rsidRDefault="002744AA" w:rsidP="002744AA">
      <w:pPr>
        <w:pStyle w:val="Caption"/>
      </w:pPr>
      <w:r w:rsidRPr="00CE5C86">
        <w:t xml:space="preserve">Table </w:t>
      </w:r>
      <w:r w:rsidR="007E6A8F">
        <w:rPr>
          <w:noProof/>
        </w:rPr>
        <w:t>6</w:t>
      </w:r>
      <w:r w:rsidRPr="00CE5C86">
        <w:t>: Summary of comparative benefits and harms for glatiramer acetate and placebo</w:t>
      </w:r>
    </w:p>
    <w:tbl>
      <w:tblPr>
        <w:tblStyle w:val="TableGridbeth5"/>
        <w:tblW w:w="499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Summary of comparative benefits and harms for glatiramer acetate and placebo"/>
      </w:tblPr>
      <w:tblGrid>
        <w:gridCol w:w="2835"/>
        <w:gridCol w:w="1419"/>
        <w:gridCol w:w="1558"/>
        <w:gridCol w:w="1704"/>
        <w:gridCol w:w="1555"/>
      </w:tblGrid>
      <w:tr w:rsidR="00DC6D2E" w:rsidRPr="00CE5C86" w:rsidTr="002744AA">
        <w:trPr>
          <w:cnfStyle w:val="100000000000" w:firstRow="1" w:lastRow="0" w:firstColumn="0" w:lastColumn="0" w:oddVBand="0" w:evenVBand="0" w:oddHBand="0" w:evenHBand="0" w:firstRowFirstColumn="0" w:firstRowLastColumn="0" w:lastRowFirstColumn="0" w:lastRowLastColumn="0"/>
          <w:tblHeader/>
        </w:trPr>
        <w:tc>
          <w:tcPr>
            <w:tcW w:w="1563" w:type="pct"/>
            <w:shd w:val="clear" w:color="auto" w:fill="auto"/>
            <w:vAlign w:val="center"/>
          </w:tcPr>
          <w:p w:rsidR="00DC6D2E" w:rsidRPr="00CE5C86" w:rsidRDefault="00DC6D2E" w:rsidP="00DC6D2E">
            <w:pPr>
              <w:spacing w:before="40" w:after="40"/>
              <w:jc w:val="left"/>
              <w:rPr>
                <w:rFonts w:ascii="Arial Narrow" w:hAnsi="Arial Narrow"/>
                <w:b w:val="0"/>
                <w:sz w:val="20"/>
                <w:szCs w:val="20"/>
              </w:rPr>
            </w:pPr>
            <w:r w:rsidRPr="00CE5C86">
              <w:rPr>
                <w:rFonts w:ascii="Arial Narrow" w:hAnsi="Arial Narrow"/>
                <w:sz w:val="20"/>
                <w:szCs w:val="20"/>
              </w:rPr>
              <w:t>Benefits</w:t>
            </w:r>
          </w:p>
        </w:tc>
        <w:tc>
          <w:tcPr>
            <w:tcW w:w="782" w:type="pct"/>
            <w:shd w:val="clear" w:color="auto" w:fill="FFFFFF" w:themeFill="background1"/>
            <w:vAlign w:val="center"/>
          </w:tcPr>
          <w:p w:rsidR="00DC6D2E" w:rsidRPr="00CE5C86" w:rsidRDefault="00DC6D2E" w:rsidP="00DC6D2E">
            <w:pPr>
              <w:spacing w:before="40" w:after="40"/>
              <w:jc w:val="center"/>
              <w:rPr>
                <w:rFonts w:ascii="Arial Narrow" w:hAnsi="Arial Narrow"/>
                <w:b w:val="0"/>
                <w:sz w:val="20"/>
                <w:szCs w:val="20"/>
              </w:rPr>
            </w:pPr>
            <w:r w:rsidRPr="00CE5C86">
              <w:rPr>
                <w:rFonts w:ascii="Arial Narrow" w:hAnsi="Arial Narrow"/>
                <w:sz w:val="20"/>
                <w:szCs w:val="20"/>
              </w:rPr>
              <w:t>Glatiramer acetate</w:t>
            </w:r>
          </w:p>
        </w:tc>
        <w:tc>
          <w:tcPr>
            <w:tcW w:w="859" w:type="pct"/>
            <w:shd w:val="clear" w:color="auto" w:fill="FFFFFF" w:themeFill="background1"/>
            <w:vAlign w:val="center"/>
          </w:tcPr>
          <w:p w:rsidR="00DC6D2E" w:rsidRPr="00CE5C86" w:rsidRDefault="00DC6D2E" w:rsidP="00DC6D2E">
            <w:pPr>
              <w:spacing w:before="40" w:after="40"/>
              <w:jc w:val="center"/>
              <w:rPr>
                <w:rFonts w:ascii="Arial Narrow" w:hAnsi="Arial Narrow"/>
                <w:b w:val="0"/>
                <w:sz w:val="20"/>
                <w:szCs w:val="20"/>
              </w:rPr>
            </w:pPr>
            <w:r w:rsidRPr="00CE5C86">
              <w:rPr>
                <w:rFonts w:ascii="Arial Narrow" w:hAnsi="Arial Narrow"/>
                <w:sz w:val="20"/>
                <w:szCs w:val="20"/>
              </w:rPr>
              <w:t>Placebo</w:t>
            </w:r>
          </w:p>
        </w:tc>
        <w:tc>
          <w:tcPr>
            <w:tcW w:w="939" w:type="pct"/>
            <w:shd w:val="clear" w:color="auto" w:fill="FFFFFF" w:themeFill="background1"/>
            <w:vAlign w:val="center"/>
          </w:tcPr>
          <w:p w:rsidR="00DC6D2E" w:rsidRPr="00CE5C86" w:rsidRDefault="00DC6D2E" w:rsidP="00DC6D2E">
            <w:pPr>
              <w:spacing w:before="40" w:after="40"/>
              <w:jc w:val="center"/>
              <w:rPr>
                <w:rFonts w:ascii="Arial Narrow" w:hAnsi="Arial Narrow"/>
                <w:sz w:val="20"/>
                <w:szCs w:val="20"/>
              </w:rPr>
            </w:pPr>
            <w:r w:rsidRPr="00CE5C86">
              <w:rPr>
                <w:rFonts w:ascii="Arial Narrow" w:hAnsi="Arial Narrow"/>
                <w:sz w:val="20"/>
                <w:szCs w:val="20"/>
              </w:rPr>
              <w:t xml:space="preserve">Absolute </w:t>
            </w:r>
            <w:r w:rsidR="004942B2">
              <w:rPr>
                <w:rFonts w:ascii="Arial Narrow" w:hAnsi="Arial Narrow"/>
                <w:sz w:val="20"/>
                <w:szCs w:val="20"/>
              </w:rPr>
              <w:t>d</w:t>
            </w:r>
            <w:r w:rsidRPr="00CE5C86">
              <w:rPr>
                <w:rFonts w:ascii="Arial Narrow" w:hAnsi="Arial Narrow"/>
                <w:sz w:val="20"/>
                <w:szCs w:val="20"/>
              </w:rPr>
              <w:t>ifference</w:t>
            </w:r>
          </w:p>
          <w:p w:rsidR="008D011B" w:rsidRPr="00CE5C86" w:rsidRDefault="008D011B" w:rsidP="00DC6D2E">
            <w:pPr>
              <w:spacing w:before="40" w:after="40"/>
              <w:jc w:val="center"/>
              <w:rPr>
                <w:rFonts w:ascii="Arial Narrow" w:hAnsi="Arial Narrow"/>
                <w:b w:val="0"/>
                <w:sz w:val="20"/>
                <w:szCs w:val="20"/>
              </w:rPr>
            </w:pPr>
            <w:r w:rsidRPr="00CE5C86">
              <w:rPr>
                <w:rFonts w:ascii="Arial Narrow" w:hAnsi="Arial Narrow"/>
                <w:sz w:val="20"/>
                <w:szCs w:val="20"/>
              </w:rPr>
              <w:t>(25</w:t>
            </w:r>
            <w:r w:rsidRPr="00CE5C86">
              <w:rPr>
                <w:rFonts w:ascii="Arial Narrow" w:hAnsi="Arial Narrow"/>
                <w:sz w:val="20"/>
                <w:szCs w:val="20"/>
                <w:vertAlign w:val="superscript"/>
              </w:rPr>
              <w:t>th</w:t>
            </w:r>
            <w:r w:rsidRPr="00CE5C86">
              <w:rPr>
                <w:rFonts w:ascii="Arial Narrow" w:hAnsi="Arial Narrow"/>
                <w:sz w:val="20"/>
                <w:szCs w:val="20"/>
              </w:rPr>
              <w:t xml:space="preserve"> percentile)</w:t>
            </w:r>
          </w:p>
        </w:tc>
        <w:tc>
          <w:tcPr>
            <w:tcW w:w="857" w:type="pct"/>
            <w:shd w:val="clear" w:color="auto" w:fill="FFFFFF" w:themeFill="background1"/>
            <w:vAlign w:val="center"/>
          </w:tcPr>
          <w:p w:rsidR="00DC6D2E" w:rsidRPr="00CE5C86" w:rsidRDefault="00DC6D2E" w:rsidP="00DC6D2E">
            <w:pPr>
              <w:spacing w:before="40" w:after="40"/>
              <w:jc w:val="center"/>
              <w:rPr>
                <w:rFonts w:ascii="Arial Narrow" w:hAnsi="Arial Narrow"/>
                <w:b w:val="0"/>
                <w:sz w:val="20"/>
                <w:szCs w:val="20"/>
              </w:rPr>
            </w:pPr>
            <w:r w:rsidRPr="00CE5C86">
              <w:rPr>
                <w:rFonts w:ascii="Arial Narrow" w:hAnsi="Arial Narrow"/>
                <w:sz w:val="20"/>
                <w:szCs w:val="20"/>
              </w:rPr>
              <w:t>HR (95% CI)</w:t>
            </w:r>
          </w:p>
        </w:tc>
      </w:tr>
      <w:tr w:rsidR="00DC6D2E" w:rsidRPr="00CE5C86" w:rsidTr="00DC6D2E">
        <w:tc>
          <w:tcPr>
            <w:tcW w:w="5000" w:type="pct"/>
            <w:gridSpan w:val="5"/>
            <w:shd w:val="clear" w:color="auto" w:fill="auto"/>
            <w:vAlign w:val="center"/>
          </w:tcPr>
          <w:p w:rsidR="00DC6D2E" w:rsidRPr="00CE5C86" w:rsidRDefault="00DC6D2E" w:rsidP="00DC6D2E">
            <w:pPr>
              <w:spacing w:before="40" w:after="40"/>
              <w:jc w:val="left"/>
              <w:rPr>
                <w:rFonts w:ascii="Arial Narrow" w:hAnsi="Arial Narrow"/>
                <w:b/>
                <w:sz w:val="20"/>
                <w:szCs w:val="20"/>
              </w:rPr>
            </w:pPr>
            <w:proofErr w:type="spellStart"/>
            <w:r w:rsidRPr="00CE5C86">
              <w:rPr>
                <w:rFonts w:ascii="Arial Narrow" w:hAnsi="Arial Narrow"/>
                <w:b/>
                <w:sz w:val="20"/>
                <w:szCs w:val="20"/>
              </w:rPr>
              <w:t>PreCISe</w:t>
            </w:r>
            <w:proofErr w:type="spellEnd"/>
            <w:r w:rsidRPr="00CE5C86">
              <w:rPr>
                <w:rFonts w:ascii="Arial Narrow" w:hAnsi="Arial Narrow"/>
                <w:b/>
                <w:sz w:val="20"/>
                <w:szCs w:val="20"/>
              </w:rPr>
              <w:t xml:space="preserve"> (ITT analysis)</w:t>
            </w:r>
          </w:p>
        </w:tc>
      </w:tr>
      <w:tr w:rsidR="00DC6D2E" w:rsidRPr="00CE5C86" w:rsidTr="00DC6D2E">
        <w:tc>
          <w:tcPr>
            <w:tcW w:w="1563" w:type="pct"/>
            <w:shd w:val="clear" w:color="auto" w:fill="auto"/>
            <w:vAlign w:val="center"/>
          </w:tcPr>
          <w:p w:rsidR="00DC6D2E" w:rsidRPr="00CE5C86" w:rsidRDefault="00DC6D2E" w:rsidP="00DC6D2E">
            <w:pPr>
              <w:spacing w:before="40" w:after="40"/>
              <w:rPr>
                <w:rFonts w:ascii="Arial Narrow" w:hAnsi="Arial Narrow"/>
                <w:sz w:val="20"/>
                <w:szCs w:val="20"/>
              </w:rPr>
            </w:pPr>
            <w:r w:rsidRPr="00CE5C86">
              <w:rPr>
                <w:rFonts w:ascii="Arial Narrow" w:hAnsi="Arial Narrow"/>
                <w:sz w:val="20"/>
                <w:szCs w:val="20"/>
              </w:rPr>
              <w:t>Diagnosis with clinically definite multiple sclerosis, n/</w:t>
            </w:r>
            <w:proofErr w:type="gramStart"/>
            <w:r w:rsidRPr="00CE5C86">
              <w:rPr>
                <w:rFonts w:ascii="Arial Narrow" w:hAnsi="Arial Narrow"/>
                <w:sz w:val="20"/>
                <w:szCs w:val="20"/>
              </w:rPr>
              <w:t>N(</w:t>
            </w:r>
            <w:proofErr w:type="gramEnd"/>
            <w:r w:rsidRPr="00CE5C86">
              <w:rPr>
                <w:rFonts w:ascii="Arial Narrow" w:hAnsi="Arial Narrow"/>
                <w:sz w:val="20"/>
                <w:szCs w:val="20"/>
              </w:rPr>
              <w:t>%)</w:t>
            </w:r>
          </w:p>
        </w:tc>
        <w:tc>
          <w:tcPr>
            <w:tcW w:w="782" w:type="pct"/>
            <w:vAlign w:val="center"/>
          </w:tcPr>
          <w:p w:rsidR="00DC6D2E" w:rsidRPr="00CE5C86" w:rsidRDefault="00DC6D2E" w:rsidP="00DC6D2E">
            <w:pPr>
              <w:spacing w:before="40" w:after="40"/>
              <w:jc w:val="center"/>
              <w:rPr>
                <w:rFonts w:ascii="Arial Narrow" w:hAnsi="Arial Narrow"/>
                <w:sz w:val="20"/>
                <w:szCs w:val="20"/>
              </w:rPr>
            </w:pPr>
            <w:r w:rsidRPr="00CE5C86">
              <w:rPr>
                <w:rFonts w:ascii="Arial Narrow" w:hAnsi="Arial Narrow" w:cs="Arial"/>
                <w:snapToGrid w:val="0"/>
                <w:sz w:val="20"/>
              </w:rPr>
              <w:t>60/243 (24.7%)</w:t>
            </w:r>
          </w:p>
        </w:tc>
        <w:tc>
          <w:tcPr>
            <w:tcW w:w="859" w:type="pct"/>
            <w:vAlign w:val="center"/>
          </w:tcPr>
          <w:p w:rsidR="00DC6D2E" w:rsidRPr="00CE5C86" w:rsidRDefault="00DC6D2E" w:rsidP="00DC6D2E">
            <w:pPr>
              <w:spacing w:before="40" w:after="40"/>
              <w:jc w:val="center"/>
              <w:rPr>
                <w:rFonts w:ascii="Arial Narrow" w:hAnsi="Arial Narrow"/>
                <w:sz w:val="20"/>
                <w:szCs w:val="20"/>
              </w:rPr>
            </w:pPr>
            <w:r w:rsidRPr="00CE5C86">
              <w:rPr>
                <w:rFonts w:ascii="Arial Narrow" w:hAnsi="Arial Narrow" w:cs="Arial"/>
                <w:snapToGrid w:val="0"/>
                <w:sz w:val="20"/>
              </w:rPr>
              <w:t>102/238 (42.9%)</w:t>
            </w:r>
          </w:p>
        </w:tc>
        <w:tc>
          <w:tcPr>
            <w:tcW w:w="939" w:type="pct"/>
            <w:vMerge w:val="restart"/>
            <w:vAlign w:val="center"/>
          </w:tcPr>
          <w:p w:rsidR="00DC6D2E" w:rsidRPr="00CE5C86" w:rsidRDefault="00DC6D2E" w:rsidP="00DC6D2E">
            <w:pPr>
              <w:spacing w:before="40" w:after="40"/>
              <w:jc w:val="center"/>
              <w:rPr>
                <w:rFonts w:ascii="Arial Narrow" w:hAnsi="Arial Narrow"/>
                <w:sz w:val="20"/>
                <w:szCs w:val="20"/>
              </w:rPr>
            </w:pPr>
            <w:r w:rsidRPr="00CE5C86">
              <w:rPr>
                <w:rFonts w:ascii="Arial Narrow" w:hAnsi="Arial Narrow"/>
                <w:sz w:val="20"/>
                <w:szCs w:val="20"/>
              </w:rPr>
              <w:t>386 days</w:t>
            </w:r>
          </w:p>
        </w:tc>
        <w:tc>
          <w:tcPr>
            <w:tcW w:w="857" w:type="pct"/>
            <w:vMerge w:val="restart"/>
            <w:vAlign w:val="center"/>
          </w:tcPr>
          <w:p w:rsidR="00DC6D2E" w:rsidRPr="00CE5C86" w:rsidRDefault="00DC6D2E" w:rsidP="00DC6D2E">
            <w:pPr>
              <w:spacing w:before="40" w:after="40"/>
              <w:jc w:val="center"/>
              <w:rPr>
                <w:rFonts w:ascii="Arial Narrow" w:hAnsi="Arial Narrow"/>
                <w:sz w:val="20"/>
                <w:szCs w:val="20"/>
              </w:rPr>
            </w:pPr>
            <w:r w:rsidRPr="00CE5C86">
              <w:rPr>
                <w:rFonts w:ascii="Arial Narrow" w:hAnsi="Arial Narrow" w:cs="Arial"/>
                <w:snapToGrid w:val="0"/>
                <w:sz w:val="20"/>
              </w:rPr>
              <w:t>0.55 (0.44, 0.77)</w:t>
            </w:r>
          </w:p>
        </w:tc>
      </w:tr>
      <w:tr w:rsidR="00DC6D2E" w:rsidRPr="00CE5C86" w:rsidTr="00DC6D2E">
        <w:tc>
          <w:tcPr>
            <w:tcW w:w="1563" w:type="pct"/>
            <w:shd w:val="clear" w:color="auto" w:fill="auto"/>
            <w:vAlign w:val="center"/>
          </w:tcPr>
          <w:p w:rsidR="00DC6D2E" w:rsidRPr="00CE5C86" w:rsidRDefault="00DC6D2E" w:rsidP="00DC6D2E">
            <w:pPr>
              <w:spacing w:before="40" w:after="40"/>
              <w:jc w:val="left"/>
              <w:rPr>
                <w:rFonts w:ascii="Arial Narrow" w:hAnsi="Arial Narrow"/>
                <w:sz w:val="20"/>
                <w:szCs w:val="20"/>
              </w:rPr>
            </w:pPr>
            <w:r w:rsidRPr="00CE5C86">
              <w:rPr>
                <w:rFonts w:ascii="Arial Narrow" w:hAnsi="Arial Narrow"/>
                <w:sz w:val="20"/>
                <w:szCs w:val="20"/>
              </w:rPr>
              <w:t>Time at which 25% of patients diagnosed, days (95% CI)</w:t>
            </w:r>
          </w:p>
        </w:tc>
        <w:tc>
          <w:tcPr>
            <w:tcW w:w="782" w:type="pct"/>
            <w:vAlign w:val="center"/>
          </w:tcPr>
          <w:p w:rsidR="00DC6D2E" w:rsidRPr="00CE5C86" w:rsidRDefault="00DC6D2E" w:rsidP="00DC6D2E">
            <w:pPr>
              <w:spacing w:before="40" w:after="40"/>
              <w:jc w:val="center"/>
              <w:rPr>
                <w:rFonts w:ascii="Arial Narrow" w:hAnsi="Arial Narrow"/>
                <w:sz w:val="20"/>
                <w:szCs w:val="20"/>
              </w:rPr>
            </w:pPr>
            <w:r w:rsidRPr="00CE5C86">
              <w:rPr>
                <w:rFonts w:ascii="Arial Narrow" w:hAnsi="Arial Narrow" w:cs="Arial"/>
                <w:snapToGrid w:val="0"/>
                <w:sz w:val="20"/>
              </w:rPr>
              <w:t>722 (505, NE)</w:t>
            </w:r>
          </w:p>
        </w:tc>
        <w:tc>
          <w:tcPr>
            <w:tcW w:w="859" w:type="pct"/>
            <w:vAlign w:val="center"/>
          </w:tcPr>
          <w:p w:rsidR="00DC6D2E" w:rsidRPr="00CE5C86" w:rsidRDefault="00DC6D2E" w:rsidP="00DC6D2E">
            <w:pPr>
              <w:spacing w:before="40" w:after="40"/>
              <w:jc w:val="center"/>
              <w:rPr>
                <w:rFonts w:ascii="Arial Narrow" w:hAnsi="Arial Narrow"/>
                <w:sz w:val="20"/>
                <w:szCs w:val="20"/>
              </w:rPr>
            </w:pPr>
            <w:r w:rsidRPr="00CE5C86">
              <w:rPr>
                <w:rFonts w:ascii="Arial Narrow" w:hAnsi="Arial Narrow"/>
                <w:sz w:val="20"/>
                <w:szCs w:val="20"/>
              </w:rPr>
              <w:t>336 (260, 456)</w:t>
            </w:r>
          </w:p>
        </w:tc>
        <w:tc>
          <w:tcPr>
            <w:tcW w:w="939" w:type="pct"/>
            <w:vMerge/>
            <w:vAlign w:val="center"/>
          </w:tcPr>
          <w:p w:rsidR="00DC6D2E" w:rsidRPr="00CE5C86" w:rsidRDefault="00DC6D2E" w:rsidP="00DC6D2E">
            <w:pPr>
              <w:spacing w:before="40" w:after="40"/>
              <w:jc w:val="center"/>
              <w:rPr>
                <w:rFonts w:ascii="Arial Narrow" w:hAnsi="Arial Narrow"/>
                <w:sz w:val="20"/>
                <w:szCs w:val="20"/>
              </w:rPr>
            </w:pPr>
          </w:p>
        </w:tc>
        <w:tc>
          <w:tcPr>
            <w:tcW w:w="857" w:type="pct"/>
            <w:vMerge/>
            <w:vAlign w:val="center"/>
          </w:tcPr>
          <w:p w:rsidR="00DC6D2E" w:rsidRPr="00CE5C86" w:rsidRDefault="00DC6D2E" w:rsidP="00DC6D2E">
            <w:pPr>
              <w:spacing w:before="40" w:after="40"/>
              <w:jc w:val="center"/>
              <w:rPr>
                <w:rFonts w:ascii="Arial Narrow" w:hAnsi="Arial Narrow"/>
                <w:sz w:val="20"/>
                <w:szCs w:val="20"/>
              </w:rPr>
            </w:pPr>
          </w:p>
        </w:tc>
      </w:tr>
      <w:tr w:rsidR="00DC6D2E" w:rsidRPr="00CE5C86" w:rsidTr="00DC6D2E">
        <w:tc>
          <w:tcPr>
            <w:tcW w:w="1563" w:type="pct"/>
            <w:vMerge w:val="restart"/>
            <w:shd w:val="clear" w:color="auto" w:fill="auto"/>
            <w:vAlign w:val="center"/>
          </w:tcPr>
          <w:p w:rsidR="00DC6D2E" w:rsidRPr="00CE5C86" w:rsidRDefault="00DC6D2E" w:rsidP="00DC6D2E">
            <w:pPr>
              <w:spacing w:before="40" w:after="40"/>
              <w:jc w:val="left"/>
              <w:rPr>
                <w:rFonts w:ascii="Arial Narrow" w:hAnsi="Arial Narrow"/>
                <w:b/>
                <w:sz w:val="20"/>
                <w:szCs w:val="20"/>
              </w:rPr>
            </w:pPr>
            <w:r w:rsidRPr="00CE5C86">
              <w:rPr>
                <w:rFonts w:ascii="Arial Narrow" w:hAnsi="Arial Narrow"/>
                <w:b/>
                <w:sz w:val="20"/>
                <w:szCs w:val="20"/>
              </w:rPr>
              <w:t>Harms</w:t>
            </w:r>
          </w:p>
        </w:tc>
        <w:tc>
          <w:tcPr>
            <w:tcW w:w="782" w:type="pct"/>
            <w:vMerge w:val="restart"/>
            <w:vAlign w:val="center"/>
          </w:tcPr>
          <w:p w:rsidR="00DC6D2E" w:rsidRPr="00CE5C86" w:rsidRDefault="00DC6D2E" w:rsidP="00DC6D2E">
            <w:pPr>
              <w:spacing w:before="40" w:after="40"/>
              <w:jc w:val="center"/>
              <w:rPr>
                <w:rFonts w:ascii="Arial Narrow" w:hAnsi="Arial Narrow" w:cs="Arial"/>
                <w:b/>
                <w:snapToGrid w:val="0"/>
                <w:sz w:val="20"/>
              </w:rPr>
            </w:pPr>
            <w:r w:rsidRPr="00CE5C86">
              <w:rPr>
                <w:rFonts w:ascii="Arial Narrow" w:hAnsi="Arial Narrow" w:cs="Arial"/>
                <w:b/>
                <w:snapToGrid w:val="0"/>
                <w:sz w:val="20"/>
              </w:rPr>
              <w:t>Glatiramer acetate</w:t>
            </w:r>
          </w:p>
        </w:tc>
        <w:tc>
          <w:tcPr>
            <w:tcW w:w="859" w:type="pct"/>
            <w:vMerge w:val="restart"/>
            <w:vAlign w:val="center"/>
          </w:tcPr>
          <w:p w:rsidR="00DC6D2E" w:rsidRPr="00CE5C86" w:rsidRDefault="00DC6D2E" w:rsidP="00DC6D2E">
            <w:pPr>
              <w:spacing w:before="40" w:after="40"/>
              <w:jc w:val="center"/>
              <w:rPr>
                <w:rFonts w:ascii="Arial Narrow" w:hAnsi="Arial Narrow"/>
                <w:b/>
                <w:sz w:val="20"/>
                <w:szCs w:val="20"/>
              </w:rPr>
            </w:pPr>
            <w:r w:rsidRPr="00CE5C86">
              <w:rPr>
                <w:rFonts w:ascii="Arial Narrow" w:hAnsi="Arial Narrow"/>
                <w:b/>
                <w:sz w:val="20"/>
                <w:szCs w:val="20"/>
              </w:rPr>
              <w:t>Placebo</w:t>
            </w:r>
          </w:p>
        </w:tc>
        <w:tc>
          <w:tcPr>
            <w:tcW w:w="1796" w:type="pct"/>
            <w:gridSpan w:val="2"/>
            <w:vAlign w:val="center"/>
          </w:tcPr>
          <w:p w:rsidR="00DC6D2E" w:rsidRPr="00CE5C86" w:rsidRDefault="00DC6D2E" w:rsidP="00DC6D2E">
            <w:pPr>
              <w:spacing w:before="40" w:after="40"/>
              <w:jc w:val="center"/>
              <w:rPr>
                <w:rFonts w:ascii="Arial Narrow" w:hAnsi="Arial Narrow"/>
                <w:b/>
                <w:sz w:val="20"/>
                <w:szCs w:val="20"/>
                <w:vertAlign w:val="superscript"/>
              </w:rPr>
            </w:pPr>
            <w:r w:rsidRPr="00CE5C86">
              <w:rPr>
                <w:rFonts w:ascii="Arial Narrow" w:hAnsi="Arial Narrow"/>
                <w:b/>
                <w:sz w:val="20"/>
                <w:szCs w:val="20"/>
              </w:rPr>
              <w:t>Incidence rate</w:t>
            </w:r>
            <w:r w:rsidRPr="00CE5C86">
              <w:rPr>
                <w:rFonts w:ascii="Arial Narrow" w:hAnsi="Arial Narrow"/>
                <w:b/>
                <w:sz w:val="20"/>
                <w:szCs w:val="20"/>
                <w:vertAlign w:val="superscript"/>
              </w:rPr>
              <w:t>1</w:t>
            </w:r>
          </w:p>
        </w:tc>
      </w:tr>
      <w:tr w:rsidR="00DC6D2E" w:rsidRPr="00CE5C86" w:rsidTr="00DC6D2E">
        <w:tc>
          <w:tcPr>
            <w:tcW w:w="1563" w:type="pct"/>
            <w:vMerge/>
            <w:shd w:val="clear" w:color="auto" w:fill="auto"/>
            <w:vAlign w:val="center"/>
          </w:tcPr>
          <w:p w:rsidR="00DC6D2E" w:rsidRPr="00CE5C86" w:rsidRDefault="00DC6D2E" w:rsidP="00DC6D2E">
            <w:pPr>
              <w:spacing w:before="40" w:after="40"/>
              <w:jc w:val="left"/>
              <w:rPr>
                <w:rFonts w:ascii="Arial Narrow" w:hAnsi="Arial Narrow"/>
                <w:b/>
                <w:sz w:val="20"/>
                <w:szCs w:val="20"/>
              </w:rPr>
            </w:pPr>
          </w:p>
        </w:tc>
        <w:tc>
          <w:tcPr>
            <w:tcW w:w="782" w:type="pct"/>
            <w:vMerge/>
            <w:vAlign w:val="center"/>
          </w:tcPr>
          <w:p w:rsidR="00DC6D2E" w:rsidRPr="00CE5C86" w:rsidRDefault="00DC6D2E" w:rsidP="00DC6D2E">
            <w:pPr>
              <w:spacing w:before="40" w:after="40"/>
              <w:jc w:val="center"/>
              <w:rPr>
                <w:rFonts w:ascii="Arial Narrow" w:hAnsi="Arial Narrow" w:cs="Arial"/>
                <w:b/>
                <w:snapToGrid w:val="0"/>
                <w:sz w:val="20"/>
              </w:rPr>
            </w:pPr>
          </w:p>
        </w:tc>
        <w:tc>
          <w:tcPr>
            <w:tcW w:w="859" w:type="pct"/>
            <w:vMerge/>
            <w:vAlign w:val="center"/>
          </w:tcPr>
          <w:p w:rsidR="00DC6D2E" w:rsidRPr="00CE5C86" w:rsidRDefault="00DC6D2E" w:rsidP="00DC6D2E">
            <w:pPr>
              <w:spacing w:before="40" w:after="40"/>
              <w:jc w:val="center"/>
              <w:rPr>
                <w:rFonts w:ascii="Arial Narrow" w:hAnsi="Arial Narrow"/>
                <w:b/>
                <w:sz w:val="20"/>
                <w:szCs w:val="20"/>
              </w:rPr>
            </w:pPr>
          </w:p>
        </w:tc>
        <w:tc>
          <w:tcPr>
            <w:tcW w:w="939" w:type="pct"/>
            <w:vAlign w:val="center"/>
          </w:tcPr>
          <w:p w:rsidR="00DC6D2E" w:rsidRPr="00CE5C86" w:rsidRDefault="00DC6D2E" w:rsidP="00DC6D2E">
            <w:pPr>
              <w:spacing w:before="40" w:after="40"/>
              <w:jc w:val="center"/>
              <w:rPr>
                <w:rFonts w:ascii="Arial Narrow" w:hAnsi="Arial Narrow"/>
                <w:b/>
                <w:sz w:val="20"/>
                <w:szCs w:val="20"/>
              </w:rPr>
            </w:pPr>
            <w:r w:rsidRPr="00CE5C86">
              <w:rPr>
                <w:rFonts w:ascii="Arial Narrow" w:hAnsi="Arial Narrow" w:cs="Arial"/>
                <w:b/>
                <w:snapToGrid w:val="0"/>
                <w:sz w:val="20"/>
              </w:rPr>
              <w:t>Glatiramer acetate</w:t>
            </w:r>
          </w:p>
        </w:tc>
        <w:tc>
          <w:tcPr>
            <w:tcW w:w="857" w:type="pct"/>
            <w:vAlign w:val="center"/>
          </w:tcPr>
          <w:p w:rsidR="00DC6D2E" w:rsidRPr="00CE5C86" w:rsidRDefault="00DC6D2E" w:rsidP="00DC6D2E">
            <w:pPr>
              <w:spacing w:before="40" w:after="40"/>
              <w:jc w:val="center"/>
              <w:rPr>
                <w:rFonts w:ascii="Arial Narrow" w:hAnsi="Arial Narrow"/>
                <w:b/>
                <w:sz w:val="20"/>
                <w:szCs w:val="20"/>
              </w:rPr>
            </w:pPr>
            <w:r w:rsidRPr="00CE5C86">
              <w:rPr>
                <w:rFonts w:ascii="Arial Narrow" w:hAnsi="Arial Narrow"/>
                <w:b/>
                <w:sz w:val="20"/>
                <w:szCs w:val="20"/>
              </w:rPr>
              <w:t>Placebo</w:t>
            </w:r>
          </w:p>
        </w:tc>
      </w:tr>
      <w:tr w:rsidR="00DC6D2E" w:rsidRPr="00CE5C86" w:rsidTr="00DC6D2E">
        <w:tc>
          <w:tcPr>
            <w:tcW w:w="1563" w:type="pct"/>
            <w:shd w:val="clear" w:color="auto" w:fill="auto"/>
          </w:tcPr>
          <w:p w:rsidR="00DC6D2E" w:rsidRPr="00CE5C86" w:rsidRDefault="00DC6D2E" w:rsidP="00DC6D2E">
            <w:pPr>
              <w:spacing w:before="40" w:after="40"/>
              <w:jc w:val="left"/>
              <w:rPr>
                <w:rFonts w:ascii="Arial Narrow" w:hAnsi="Arial Narrow"/>
                <w:sz w:val="20"/>
                <w:szCs w:val="20"/>
              </w:rPr>
            </w:pPr>
            <w:r w:rsidRPr="00CE5C86">
              <w:rPr>
                <w:rFonts w:ascii="Arial Narrow" w:hAnsi="Arial Narrow"/>
                <w:sz w:val="20"/>
                <w:szCs w:val="20"/>
              </w:rPr>
              <w:t>Immediate post-injection reaction</w:t>
            </w:r>
          </w:p>
        </w:tc>
        <w:tc>
          <w:tcPr>
            <w:tcW w:w="782" w:type="pct"/>
          </w:tcPr>
          <w:p w:rsidR="00DC6D2E" w:rsidRPr="00CE5C86" w:rsidRDefault="00DC6D2E" w:rsidP="00DC6D2E">
            <w:pPr>
              <w:spacing w:before="40" w:after="40"/>
              <w:jc w:val="center"/>
              <w:rPr>
                <w:rFonts w:ascii="Arial Narrow" w:hAnsi="Arial Narrow" w:cs="Arial"/>
                <w:snapToGrid w:val="0"/>
                <w:sz w:val="20"/>
              </w:rPr>
            </w:pPr>
            <w:r w:rsidRPr="00CE5C86">
              <w:rPr>
                <w:rFonts w:ascii="Arial Narrow" w:hAnsi="Arial Narrow"/>
                <w:sz w:val="20"/>
                <w:szCs w:val="20"/>
              </w:rPr>
              <w:t>134/47 (19.3%)</w:t>
            </w:r>
          </w:p>
        </w:tc>
        <w:tc>
          <w:tcPr>
            <w:tcW w:w="859" w:type="pct"/>
          </w:tcPr>
          <w:p w:rsidR="00DC6D2E" w:rsidRPr="00CE5C86" w:rsidRDefault="00DC6D2E" w:rsidP="00DC6D2E">
            <w:pPr>
              <w:spacing w:before="40" w:after="40"/>
              <w:jc w:val="center"/>
              <w:rPr>
                <w:rFonts w:ascii="Arial Narrow" w:hAnsi="Arial Narrow"/>
                <w:sz w:val="20"/>
                <w:szCs w:val="20"/>
              </w:rPr>
            </w:pPr>
            <w:r w:rsidRPr="00CE5C86">
              <w:rPr>
                <w:rFonts w:ascii="Arial Narrow" w:hAnsi="Arial Narrow"/>
                <w:sz w:val="20"/>
                <w:szCs w:val="20"/>
              </w:rPr>
              <w:t>17/12 (5.0%)</w:t>
            </w:r>
          </w:p>
        </w:tc>
        <w:tc>
          <w:tcPr>
            <w:tcW w:w="939" w:type="pct"/>
          </w:tcPr>
          <w:p w:rsidR="00DC6D2E" w:rsidRPr="00CE5C86" w:rsidRDefault="00DC6D2E" w:rsidP="00DC6D2E">
            <w:pPr>
              <w:spacing w:before="40" w:after="40"/>
              <w:jc w:val="center"/>
              <w:rPr>
                <w:rFonts w:ascii="Arial Narrow" w:hAnsi="Arial Narrow"/>
                <w:sz w:val="20"/>
                <w:szCs w:val="20"/>
              </w:rPr>
            </w:pPr>
            <w:r w:rsidRPr="00CE5C86">
              <w:rPr>
                <w:rFonts w:ascii="Arial Narrow" w:hAnsi="Arial Narrow"/>
                <w:sz w:val="20"/>
                <w:szCs w:val="20"/>
              </w:rPr>
              <w:t>10.9</w:t>
            </w:r>
          </w:p>
        </w:tc>
        <w:tc>
          <w:tcPr>
            <w:tcW w:w="857" w:type="pct"/>
          </w:tcPr>
          <w:p w:rsidR="00DC6D2E" w:rsidRPr="00CE5C86" w:rsidRDefault="00DC6D2E" w:rsidP="00DC6D2E">
            <w:pPr>
              <w:spacing w:before="40" w:after="40"/>
              <w:jc w:val="center"/>
              <w:rPr>
                <w:rFonts w:ascii="Arial Narrow" w:hAnsi="Arial Narrow"/>
                <w:sz w:val="20"/>
                <w:szCs w:val="20"/>
              </w:rPr>
            </w:pPr>
            <w:r w:rsidRPr="00CE5C86">
              <w:rPr>
                <w:rFonts w:ascii="Arial Narrow" w:hAnsi="Arial Narrow"/>
                <w:sz w:val="20"/>
                <w:szCs w:val="20"/>
              </w:rPr>
              <w:t>3.1</w:t>
            </w:r>
          </w:p>
        </w:tc>
      </w:tr>
      <w:tr w:rsidR="00DC6D2E" w:rsidRPr="00CE5C86" w:rsidTr="00DC6D2E">
        <w:tc>
          <w:tcPr>
            <w:tcW w:w="1563" w:type="pct"/>
            <w:shd w:val="clear" w:color="auto" w:fill="auto"/>
          </w:tcPr>
          <w:p w:rsidR="00DC6D2E" w:rsidRPr="00CE5C86" w:rsidRDefault="00DC6D2E" w:rsidP="00DC6D2E">
            <w:pPr>
              <w:spacing w:before="40" w:after="40"/>
              <w:jc w:val="left"/>
              <w:rPr>
                <w:rFonts w:ascii="Arial Narrow" w:hAnsi="Arial Narrow"/>
                <w:sz w:val="20"/>
                <w:szCs w:val="20"/>
              </w:rPr>
            </w:pPr>
            <w:r w:rsidRPr="00CE5C86">
              <w:rPr>
                <w:rFonts w:ascii="Arial Narrow" w:hAnsi="Arial Narrow"/>
                <w:sz w:val="20"/>
                <w:szCs w:val="20"/>
              </w:rPr>
              <w:t>Injection site reactions</w:t>
            </w:r>
          </w:p>
        </w:tc>
        <w:tc>
          <w:tcPr>
            <w:tcW w:w="782" w:type="pct"/>
          </w:tcPr>
          <w:p w:rsidR="00DC6D2E" w:rsidRPr="00CE5C86" w:rsidRDefault="00DC6D2E" w:rsidP="00DC6D2E">
            <w:pPr>
              <w:spacing w:before="40" w:after="40"/>
              <w:jc w:val="center"/>
              <w:rPr>
                <w:rFonts w:ascii="Arial Narrow" w:hAnsi="Arial Narrow" w:cs="Arial"/>
                <w:snapToGrid w:val="0"/>
                <w:sz w:val="20"/>
              </w:rPr>
            </w:pPr>
            <w:r w:rsidRPr="00CE5C86">
              <w:rPr>
                <w:rFonts w:ascii="Arial Narrow" w:hAnsi="Arial Narrow"/>
                <w:sz w:val="20"/>
                <w:szCs w:val="20"/>
              </w:rPr>
              <w:t>347/135 (55.6%)</w:t>
            </w:r>
          </w:p>
        </w:tc>
        <w:tc>
          <w:tcPr>
            <w:tcW w:w="859" w:type="pct"/>
          </w:tcPr>
          <w:p w:rsidR="00DC6D2E" w:rsidRPr="00CE5C86" w:rsidRDefault="00DC6D2E" w:rsidP="00DC6D2E">
            <w:pPr>
              <w:spacing w:before="40" w:after="40"/>
              <w:jc w:val="center"/>
              <w:rPr>
                <w:rFonts w:ascii="Arial Narrow" w:hAnsi="Arial Narrow"/>
                <w:sz w:val="20"/>
                <w:szCs w:val="20"/>
              </w:rPr>
            </w:pPr>
            <w:r w:rsidRPr="00CE5C86">
              <w:rPr>
                <w:rFonts w:ascii="Arial Narrow" w:hAnsi="Arial Narrow"/>
                <w:sz w:val="20"/>
                <w:szCs w:val="20"/>
              </w:rPr>
              <w:t>96/56 (23.5%)</w:t>
            </w:r>
          </w:p>
        </w:tc>
        <w:tc>
          <w:tcPr>
            <w:tcW w:w="939" w:type="pct"/>
          </w:tcPr>
          <w:p w:rsidR="00DC6D2E" w:rsidRPr="00CE5C86" w:rsidRDefault="00DC6D2E" w:rsidP="00DC6D2E">
            <w:pPr>
              <w:spacing w:before="40" w:after="40"/>
              <w:jc w:val="center"/>
              <w:rPr>
                <w:rFonts w:ascii="Arial Narrow" w:hAnsi="Arial Narrow"/>
                <w:sz w:val="20"/>
                <w:szCs w:val="20"/>
              </w:rPr>
            </w:pPr>
            <w:r w:rsidRPr="00CE5C86">
              <w:rPr>
                <w:rFonts w:ascii="Arial Narrow" w:hAnsi="Arial Narrow"/>
                <w:sz w:val="20"/>
                <w:szCs w:val="20"/>
              </w:rPr>
              <w:t>31.3</w:t>
            </w:r>
          </w:p>
        </w:tc>
        <w:tc>
          <w:tcPr>
            <w:tcW w:w="857" w:type="pct"/>
          </w:tcPr>
          <w:p w:rsidR="00DC6D2E" w:rsidRPr="00CE5C86" w:rsidRDefault="00DC6D2E" w:rsidP="00DC6D2E">
            <w:pPr>
              <w:spacing w:before="40" w:after="40"/>
              <w:jc w:val="center"/>
              <w:rPr>
                <w:rFonts w:ascii="Arial Narrow" w:hAnsi="Arial Narrow"/>
                <w:sz w:val="20"/>
                <w:szCs w:val="20"/>
              </w:rPr>
            </w:pPr>
            <w:r w:rsidRPr="00CE5C86">
              <w:rPr>
                <w:rFonts w:ascii="Arial Narrow" w:hAnsi="Arial Narrow"/>
                <w:sz w:val="20"/>
                <w:szCs w:val="20"/>
              </w:rPr>
              <w:t>14.7</w:t>
            </w:r>
          </w:p>
        </w:tc>
      </w:tr>
    </w:tbl>
    <w:p w:rsidR="00DC6D2E" w:rsidRPr="00CE5C86" w:rsidRDefault="00DC6D2E" w:rsidP="00DC6D2E">
      <w:pPr>
        <w:spacing w:before="0" w:after="240"/>
        <w:contextualSpacing/>
        <w:rPr>
          <w:rFonts w:ascii="Arial Narrow" w:hAnsi="Arial Narrow"/>
          <w:sz w:val="18"/>
        </w:rPr>
      </w:pPr>
      <w:r w:rsidRPr="00CE5C86">
        <w:rPr>
          <w:rFonts w:ascii="Arial Narrow" w:hAnsi="Arial Narrow"/>
          <w:sz w:val="18"/>
        </w:rPr>
        <w:t>Source: Table 2-48, p.2-81, Table 2-49, p.2-83, Section 2 of the submission; clinical trial report</w:t>
      </w:r>
    </w:p>
    <w:p w:rsidR="00DC6D2E" w:rsidRPr="00CE5C86" w:rsidRDefault="00DC6D2E" w:rsidP="00AC1EB5">
      <w:pPr>
        <w:spacing w:before="0" w:after="240"/>
        <w:rPr>
          <w:rFonts w:ascii="Arial Narrow" w:hAnsi="Arial Narrow"/>
          <w:sz w:val="18"/>
        </w:rPr>
      </w:pPr>
      <w:r w:rsidRPr="00CE5C86">
        <w:rPr>
          <w:rFonts w:ascii="Arial Narrow" w:hAnsi="Arial Narrow"/>
          <w:sz w:val="18"/>
          <w:vertAlign w:val="superscript"/>
        </w:rPr>
        <w:t xml:space="preserve">1 </w:t>
      </w:r>
      <w:r w:rsidRPr="00CE5C86">
        <w:rPr>
          <w:rFonts w:ascii="Arial Narrow" w:hAnsi="Arial Narrow"/>
          <w:sz w:val="18"/>
        </w:rPr>
        <w:t>Incidence rate = (number of subjects who experienced the event/subject years) × 100</w:t>
      </w:r>
    </w:p>
    <w:p w:rsidR="008D011B" w:rsidRPr="00CE5C86" w:rsidRDefault="0024782A" w:rsidP="005875D1">
      <w:pPr>
        <w:numPr>
          <w:ilvl w:val="1"/>
          <w:numId w:val="3"/>
        </w:numPr>
        <w:spacing w:before="0" w:after="120"/>
      </w:pPr>
      <w:r w:rsidRPr="00CE5C86">
        <w:t>Over a period of approximately 36 months, 24.7% of patients with clinically isolated syndrome treated with glatiramer acetate would be diagnosed with multiple sclerosis, versus 42.9% of patients treated with placebo.</w:t>
      </w:r>
    </w:p>
    <w:p w:rsidR="00DC6D2E" w:rsidRPr="00CE5C86" w:rsidRDefault="00DC6D2E" w:rsidP="005875D1">
      <w:pPr>
        <w:numPr>
          <w:ilvl w:val="1"/>
          <w:numId w:val="3"/>
        </w:numPr>
        <w:spacing w:before="0" w:after="120"/>
      </w:pPr>
      <w:r w:rsidRPr="00CE5C86">
        <w:t>On the basis of the direct evidence presented in the submission, for every 100 patients with clinically isolated syndrome treated with glatiramer acetate compared with placebo there would be:</w:t>
      </w:r>
    </w:p>
    <w:p w:rsidR="00DC6D2E" w:rsidRPr="00CE5C86" w:rsidRDefault="00DC6D2E" w:rsidP="005875D1">
      <w:pPr>
        <w:numPr>
          <w:ilvl w:val="0"/>
          <w:numId w:val="5"/>
        </w:numPr>
        <w:spacing w:before="0" w:after="240"/>
        <w:ind w:left="993" w:hanging="284"/>
        <w:contextualSpacing/>
      </w:pPr>
      <w:r w:rsidRPr="00CE5C86">
        <w:t>Approximately 18 additional patients would have delayed diagnosis with clinically definite multiple sclerosis over a period of approximately 36 months</w:t>
      </w:r>
    </w:p>
    <w:p w:rsidR="00DC6D2E" w:rsidRPr="00CE5C86" w:rsidRDefault="00DC6D2E" w:rsidP="005875D1">
      <w:pPr>
        <w:numPr>
          <w:ilvl w:val="0"/>
          <w:numId w:val="5"/>
        </w:numPr>
        <w:spacing w:before="0" w:after="240"/>
        <w:ind w:left="993" w:hanging="284"/>
        <w:contextualSpacing/>
      </w:pPr>
      <w:r w:rsidRPr="00CE5C86">
        <w:t>Approximately 14 additional patients who would experience immediate post injection reaction over a period of approximately 36 months</w:t>
      </w:r>
    </w:p>
    <w:p w:rsidR="006D6400" w:rsidRPr="00CE5C86" w:rsidRDefault="00DC6D2E" w:rsidP="005875D1">
      <w:pPr>
        <w:numPr>
          <w:ilvl w:val="0"/>
          <w:numId w:val="5"/>
        </w:numPr>
        <w:spacing w:before="0" w:after="240"/>
        <w:ind w:left="993" w:hanging="284"/>
        <w:contextualSpacing/>
      </w:pPr>
      <w:r w:rsidRPr="00CE5C86">
        <w:t>Approximately 32 additional patients who would experience injection site reactions (including pain, inflammation and hypersensitivity) over a period of approximately 36 months</w:t>
      </w:r>
    </w:p>
    <w:p w:rsidR="00783C45" w:rsidRPr="00CE5C86" w:rsidRDefault="00783C45" w:rsidP="004942B2">
      <w:pPr>
        <w:spacing w:before="0" w:after="240"/>
        <w:contextualSpacing/>
      </w:pPr>
    </w:p>
    <w:p w:rsidR="005A069F" w:rsidRPr="00CE5C86" w:rsidRDefault="005A069F" w:rsidP="005875D1">
      <w:pPr>
        <w:numPr>
          <w:ilvl w:val="1"/>
          <w:numId w:val="3"/>
        </w:numPr>
        <w:spacing w:before="0" w:after="120"/>
      </w:pPr>
      <w:r w:rsidRPr="00CE5C86">
        <w:t xml:space="preserve">These results were based on an analysis of the entire </w:t>
      </w:r>
      <w:proofErr w:type="spellStart"/>
      <w:proofErr w:type="gramStart"/>
      <w:r w:rsidRPr="00CE5C86">
        <w:t>PreCISe</w:t>
      </w:r>
      <w:proofErr w:type="spellEnd"/>
      <w:proofErr w:type="gramEnd"/>
      <w:r w:rsidRPr="00CE5C86">
        <w:t xml:space="preserve"> trial population, and not the high risk group identified in the proposed restriction.</w:t>
      </w:r>
    </w:p>
    <w:p w:rsidR="0024782A" w:rsidRPr="00CE5C86" w:rsidRDefault="00A5491D" w:rsidP="005875D1">
      <w:pPr>
        <w:numPr>
          <w:ilvl w:val="1"/>
          <w:numId w:val="3"/>
        </w:numPr>
        <w:spacing w:before="0" w:after="120"/>
      </w:pPr>
      <w:r w:rsidRPr="00CE5C86">
        <w:t xml:space="preserve">The PSCR </w:t>
      </w:r>
      <w:r w:rsidR="006D6400" w:rsidRPr="00CE5C86">
        <w:t xml:space="preserve">(p1) </w:t>
      </w:r>
      <w:r w:rsidRPr="00CE5C86">
        <w:t>argued that the benefits</w:t>
      </w:r>
      <w:r w:rsidR="006D6400" w:rsidRPr="00CE5C86">
        <w:t xml:space="preserve"> and </w:t>
      </w:r>
      <w:r w:rsidRPr="00CE5C86">
        <w:t xml:space="preserve">harms ratios </w:t>
      </w:r>
      <w:r w:rsidR="005A069F" w:rsidRPr="00CE5C86">
        <w:t xml:space="preserve">were </w:t>
      </w:r>
      <w:r w:rsidRPr="00CE5C86">
        <w:t xml:space="preserve">misleading, </w:t>
      </w:r>
      <w:r w:rsidR="006D6400" w:rsidRPr="00CE5C86">
        <w:t xml:space="preserve">as </w:t>
      </w:r>
      <w:r w:rsidRPr="00CE5C86">
        <w:t xml:space="preserve">they showed absolute incidence, rather than incidence rates for adverse event outcomes. The PSCR </w:t>
      </w:r>
      <w:r w:rsidR="004942B2">
        <w:t xml:space="preserve">also </w:t>
      </w:r>
      <w:r w:rsidRPr="00CE5C86">
        <w:t xml:space="preserve">contended </w:t>
      </w:r>
      <w:r w:rsidR="006D6400" w:rsidRPr="00CE5C86">
        <w:t xml:space="preserve">that using incidence is incorrect </w:t>
      </w:r>
      <w:r w:rsidRPr="00CE5C86">
        <w:t xml:space="preserve">because patients on glatiramer acetate received a longer duration of therapy (as </w:t>
      </w:r>
      <w:r w:rsidR="006D6400" w:rsidRPr="00CE5C86">
        <w:t xml:space="preserve">placebo </w:t>
      </w:r>
      <w:r w:rsidRPr="00CE5C86">
        <w:t>patients switched to active therapy after relapse)</w:t>
      </w:r>
      <w:r w:rsidR="006D6400" w:rsidRPr="00CE5C86">
        <w:t xml:space="preserve">, hence experiencing </w:t>
      </w:r>
      <w:r w:rsidRPr="00CE5C86">
        <w:t>a greater exposure to treatment</w:t>
      </w:r>
      <w:r w:rsidR="006D6400" w:rsidRPr="00CE5C86">
        <w:t xml:space="preserve"> </w:t>
      </w:r>
      <w:r w:rsidRPr="00CE5C86">
        <w:t>and a greater risk of adverse events compared with placebo.</w:t>
      </w:r>
      <w:r w:rsidR="004942B2">
        <w:t xml:space="preserve"> The PBAC considered that the </w:t>
      </w:r>
      <w:r w:rsidR="008C790A">
        <w:t xml:space="preserve">placebo-controlled phase of the randomised </w:t>
      </w:r>
      <w:r w:rsidR="004942B2">
        <w:t>trial accurately reflected the relevant question of whether to start treatment earlier than is possible according to the current PBS criteria</w:t>
      </w:r>
      <w:r w:rsidR="008C790A">
        <w:t xml:space="preserve">, </w:t>
      </w:r>
      <w:r w:rsidR="00403A08">
        <w:t>because</w:t>
      </w:r>
      <w:r w:rsidR="008C790A">
        <w:t xml:space="preserve"> </w:t>
      </w:r>
      <w:r w:rsidR="00403A08">
        <w:t xml:space="preserve">Australian </w:t>
      </w:r>
      <w:r w:rsidR="008C790A">
        <w:t>patients</w:t>
      </w:r>
      <w:r w:rsidR="00403A08">
        <w:t>,</w:t>
      </w:r>
      <w:r w:rsidR="008C790A">
        <w:t xml:space="preserve"> </w:t>
      </w:r>
      <w:r w:rsidR="00403A08">
        <w:t xml:space="preserve">who are required to have two relapses (thus consistent with the primary outcome of the trial) in order to be eligible to start PBS-subsidised active therapy, </w:t>
      </w:r>
      <w:r w:rsidR="008C790A">
        <w:t>are reflecting the placebo arm of the trial</w:t>
      </w:r>
      <w:r w:rsidR="004942B2">
        <w:t>.</w:t>
      </w:r>
    </w:p>
    <w:p w:rsidR="00DC6D2E" w:rsidRPr="002720C1" w:rsidRDefault="00DC6D2E" w:rsidP="00716951">
      <w:pPr>
        <w:pStyle w:val="V50Heading2nonumbers"/>
      </w:pPr>
      <w:bookmarkStart w:id="29" w:name="_Toc476306891"/>
      <w:bookmarkStart w:id="30" w:name="_Toc482710352"/>
      <w:r w:rsidRPr="002720C1">
        <w:t>Clinical claim</w:t>
      </w:r>
      <w:bookmarkEnd w:id="28"/>
      <w:bookmarkEnd w:id="29"/>
      <w:bookmarkEnd w:id="30"/>
    </w:p>
    <w:p w:rsidR="0048010C" w:rsidRPr="00CE5C86" w:rsidRDefault="00DC6D2E" w:rsidP="005875D1">
      <w:pPr>
        <w:numPr>
          <w:ilvl w:val="1"/>
          <w:numId w:val="3"/>
        </w:numPr>
        <w:spacing w:before="0" w:after="120"/>
      </w:pPr>
      <w:r w:rsidRPr="00CE5C86">
        <w:t xml:space="preserve">The submission described glatiramer acetate 20 mg injected subcutaneously once </w:t>
      </w:r>
      <w:proofErr w:type="gramStart"/>
      <w:r w:rsidRPr="00CE5C86">
        <w:t>daily,</w:t>
      </w:r>
      <w:proofErr w:type="gramEnd"/>
      <w:r w:rsidRPr="00CE5C86">
        <w:t xml:space="preserve"> or 40 mg injected subcutaneously three times weekly, as superior in terms of effectiveness and inferior, but tolerable, in terms of safety compared to placebo. The efficacy and safety claims are </w:t>
      </w:r>
      <w:proofErr w:type="gramStart"/>
      <w:r w:rsidRPr="00CE5C86">
        <w:t>reasonable,</w:t>
      </w:r>
      <w:proofErr w:type="gramEnd"/>
      <w:r w:rsidRPr="00CE5C86">
        <w:t xml:space="preserve"> however the impact of any advantages in terms of on-going patien</w:t>
      </w:r>
      <w:r w:rsidR="00870E6F" w:rsidRPr="00CE5C86">
        <w:t>t disability</w:t>
      </w:r>
      <w:r w:rsidRPr="00CE5C86">
        <w:t xml:space="preserve"> is unclear</w:t>
      </w:r>
      <w:r w:rsidR="00870E6F" w:rsidRPr="00CE5C86">
        <w:t>, given the non-statistically significant results for these outcomes in the trial</w:t>
      </w:r>
      <w:r w:rsidRPr="00CE5C86">
        <w:t xml:space="preserve">. </w:t>
      </w:r>
      <w:r w:rsidR="00726631" w:rsidRPr="00CE5C86">
        <w:t xml:space="preserve">The PSCR (p2) acknowledged that the </w:t>
      </w:r>
      <w:proofErr w:type="spellStart"/>
      <w:r w:rsidR="00726631" w:rsidRPr="00CE5C86">
        <w:t>PreCISe</w:t>
      </w:r>
      <w:proofErr w:type="spellEnd"/>
      <w:r w:rsidR="00726631" w:rsidRPr="00CE5C86">
        <w:t xml:space="preserve"> trial had limited follow up, however explained that this was for ethical reasons as patients must be allowed to switc</w:t>
      </w:r>
      <w:r w:rsidR="009F3DB8">
        <w:t>h to active treatment once clinically definite multiple sclerosis</w:t>
      </w:r>
      <w:r w:rsidR="009F3DB8" w:rsidRPr="00CE5C86">
        <w:t xml:space="preserve"> </w:t>
      </w:r>
      <w:r w:rsidR="00726631" w:rsidRPr="00CE5C86">
        <w:t xml:space="preserve">occurs or if they reached the end of the 2-3 year trial period. The PSCR (p2) referenced the CHAMPS extension study </w:t>
      </w:r>
      <w:r w:rsidR="00583891" w:rsidRPr="00CE5C86">
        <w:t xml:space="preserve">(Kinkel et. al., 2015) </w:t>
      </w:r>
      <w:r w:rsidR="00726631" w:rsidRPr="00CE5C86">
        <w:t xml:space="preserve">as evidence that there were quality of life benefits (based on the </w:t>
      </w:r>
      <w:r w:rsidR="009A7AEF" w:rsidRPr="00CE5C86">
        <w:t>36-item Short Form Health Status Survey (</w:t>
      </w:r>
      <w:r w:rsidR="00726631" w:rsidRPr="00CE5C86">
        <w:t>SF-36</w:t>
      </w:r>
      <w:r w:rsidR="009A7AEF" w:rsidRPr="00CE5C86">
        <w:t>) physical and mental component summary scores</w:t>
      </w:r>
      <w:r w:rsidR="00726631" w:rsidRPr="00CE5C86">
        <w:t xml:space="preserve">) in patients who had delayed development of </w:t>
      </w:r>
      <w:r w:rsidR="009F3DB8">
        <w:t>clinically definite multiple sclerosis</w:t>
      </w:r>
      <w:r w:rsidR="007F7A5E">
        <w:t>.</w:t>
      </w:r>
    </w:p>
    <w:p w:rsidR="0048010C" w:rsidRPr="00CE5C86" w:rsidRDefault="00726631" w:rsidP="005875D1">
      <w:pPr>
        <w:numPr>
          <w:ilvl w:val="1"/>
          <w:numId w:val="3"/>
        </w:numPr>
        <w:spacing w:before="0" w:after="120"/>
      </w:pPr>
      <w:r w:rsidRPr="00CE5C86">
        <w:t xml:space="preserve">The PSCR (p2) referred to a systematic review </w:t>
      </w:r>
      <w:r w:rsidR="00583891" w:rsidRPr="00CE5C86">
        <w:t>(</w:t>
      </w:r>
      <w:proofErr w:type="spellStart"/>
      <w:r w:rsidR="00583891" w:rsidRPr="00CE5C86">
        <w:t>Fahrbach</w:t>
      </w:r>
      <w:proofErr w:type="spellEnd"/>
      <w:r w:rsidR="00583891" w:rsidRPr="00CE5C86">
        <w:t xml:space="preserve"> et al., 2013) that </w:t>
      </w:r>
      <w:r w:rsidRPr="00CE5C86">
        <w:t>demonstrated a sig</w:t>
      </w:r>
      <w:r w:rsidR="00583891" w:rsidRPr="00CE5C86">
        <w:t>nificant association between disease modifying therapy</w:t>
      </w:r>
      <w:r w:rsidRPr="00CE5C86">
        <w:t xml:space="preserve"> treatment ef</w:t>
      </w:r>
      <w:r w:rsidR="00583891" w:rsidRPr="00CE5C86">
        <w:t>fects on relapse rate and EDSS</w:t>
      </w:r>
      <w:r w:rsidRPr="00CE5C86">
        <w:t>, with lower treatment effect associated with higher relative rates of disease progression</w:t>
      </w:r>
      <w:r w:rsidR="00583891" w:rsidRPr="00CE5C86">
        <w:t xml:space="preserve">. </w:t>
      </w:r>
      <w:r w:rsidR="0048010C" w:rsidRPr="00CE5C86">
        <w:t xml:space="preserve">The ESC considered that the applicability of the systematic review was </w:t>
      </w:r>
      <w:r w:rsidR="00641A37" w:rsidRPr="00CE5C86">
        <w:t xml:space="preserve">limited </w:t>
      </w:r>
      <w:r w:rsidR="0048010C" w:rsidRPr="00CE5C86">
        <w:t xml:space="preserve">as the majority of studies were conducted in RRMS and </w:t>
      </w:r>
      <w:r w:rsidR="00000E7E" w:rsidRPr="00CE5C86">
        <w:t>secondary progressive multiple sclerosis (</w:t>
      </w:r>
      <w:r w:rsidR="0048010C" w:rsidRPr="00CE5C86">
        <w:t>SPMS</w:t>
      </w:r>
      <w:r w:rsidR="00000E7E" w:rsidRPr="00CE5C86">
        <w:t>)</w:t>
      </w:r>
      <w:r w:rsidR="0048010C" w:rsidRPr="00CE5C86">
        <w:t xml:space="preserve"> populations (there were insufficient data to conduct</w:t>
      </w:r>
      <w:r w:rsidR="00807A48" w:rsidRPr="00CE5C86">
        <w:t xml:space="preserve"> an independent analysis of clinically isolated syndrome </w:t>
      </w:r>
      <w:r w:rsidR="0048010C" w:rsidRPr="00CE5C86">
        <w:t>studies) and the main relapse outcome was annualised relapse rate rather than time to next relapse. The ESC considered that it was not possible to assess the surrogate to final outcome relationship between relapses and disability progression</w:t>
      </w:r>
      <w:r w:rsidR="00641A37" w:rsidRPr="00CE5C86">
        <w:t xml:space="preserve"> based on this study</w:t>
      </w:r>
      <w:r w:rsidR="0048010C" w:rsidRPr="00CE5C86">
        <w:t>.</w:t>
      </w:r>
    </w:p>
    <w:p w:rsidR="00726631" w:rsidRPr="00CE5C86" w:rsidRDefault="00583891" w:rsidP="005875D1">
      <w:pPr>
        <w:numPr>
          <w:ilvl w:val="1"/>
          <w:numId w:val="3"/>
        </w:numPr>
        <w:spacing w:before="0" w:after="120"/>
      </w:pPr>
      <w:r w:rsidRPr="00CE5C86">
        <w:t xml:space="preserve">The PSCR (p2) stated that the goals of treating multiple sclerosis lies in preventing relapses and minimising disease progression and that a key benefit of early treatment focuses on the importance of irreversible brain atrophy, and the delay/avoidance of this outcome and minimising long term disability. </w:t>
      </w:r>
    </w:p>
    <w:p w:rsidR="00DC6D2E" w:rsidRDefault="002A1368" w:rsidP="005875D1">
      <w:pPr>
        <w:numPr>
          <w:ilvl w:val="1"/>
          <w:numId w:val="3"/>
        </w:numPr>
        <w:spacing w:before="0" w:after="120"/>
      </w:pPr>
      <w:r w:rsidRPr="00CE5C86">
        <w:t xml:space="preserve">The ESC noted that the underlying premise throughout the submission and PSCR is that patients cannot convert to </w:t>
      </w:r>
      <w:r w:rsidR="009F3DB8">
        <w:t>clinically definite multiple sclerosis</w:t>
      </w:r>
      <w:r w:rsidRPr="00CE5C86">
        <w:t xml:space="preserve"> prior to a second </w:t>
      </w:r>
      <w:r w:rsidR="00D332F4" w:rsidRPr="00CE5C86">
        <w:t>clinical attack</w:t>
      </w:r>
      <w:r w:rsidRPr="00CE5C86">
        <w:t xml:space="preserve">. This approach is not consistent with the current understanding of multiple sclerosis, in which patients may be diagnosed with </w:t>
      </w:r>
      <w:r w:rsidR="009F3DB8">
        <w:t>clinically definite multiple sclerosis</w:t>
      </w:r>
      <w:r w:rsidRPr="00CE5C86">
        <w:t xml:space="preserve"> prior to the second </w:t>
      </w:r>
      <w:r w:rsidR="00D332F4" w:rsidRPr="00CE5C86">
        <w:t>clinical attack (as per the McDonald criteria)</w:t>
      </w:r>
      <w:r w:rsidR="007F7A5E">
        <w:t>.</w:t>
      </w:r>
    </w:p>
    <w:p w:rsidR="007A7D24" w:rsidRPr="00AD51EC" w:rsidRDefault="007A7D24" w:rsidP="005875D1">
      <w:pPr>
        <w:pStyle w:val="ListParagraph"/>
        <w:numPr>
          <w:ilvl w:val="1"/>
          <w:numId w:val="3"/>
        </w:numPr>
        <w:spacing w:before="0" w:after="120"/>
        <w:contextualSpacing w:val="0"/>
      </w:pPr>
      <w:r w:rsidRPr="00AD51EC">
        <w:t>The PBAC considered t</w:t>
      </w:r>
      <w:r w:rsidR="00153D37" w:rsidRPr="00AD51EC">
        <w:t xml:space="preserve">hat the claim of </w:t>
      </w:r>
      <w:r w:rsidRPr="00AD51EC">
        <w:t>superior comparative effectiveness</w:t>
      </w:r>
      <w:r w:rsidR="00153D37" w:rsidRPr="00AD51EC">
        <w:t xml:space="preserve"> of glatiramer acetate versus placebo</w:t>
      </w:r>
      <w:r w:rsidRPr="00AD51EC">
        <w:t xml:space="preserve"> was reasonable</w:t>
      </w:r>
      <w:r w:rsidR="00153D37" w:rsidRPr="00AD51EC">
        <w:t xml:space="preserve"> only for the overall trial population of </w:t>
      </w:r>
      <w:proofErr w:type="spellStart"/>
      <w:r w:rsidR="00153D37" w:rsidRPr="00AD51EC">
        <w:t>PreCISe</w:t>
      </w:r>
      <w:proofErr w:type="spellEnd"/>
      <w:r w:rsidR="00153D37" w:rsidRPr="00AD51EC">
        <w:t xml:space="preserve">, but </w:t>
      </w:r>
      <w:r w:rsidRPr="00AD51EC">
        <w:t>was not adequately supported by the data</w:t>
      </w:r>
      <w:r w:rsidR="00153D37" w:rsidRPr="00AD51EC">
        <w:t xml:space="preserve"> for the proposed high risk group</w:t>
      </w:r>
      <w:r w:rsidRPr="00AD51EC">
        <w:t>.</w:t>
      </w:r>
      <w:r w:rsidR="00153D37" w:rsidRPr="00AD51EC">
        <w:t xml:space="preserve"> The PBAC also considered that the long term impact on disability and quality of life remained unclear</w:t>
      </w:r>
      <w:r w:rsidR="00403A08">
        <w:t xml:space="preserve"> beyond the duration of the placebo-controlled phase of the trial, after which all patients remaining on placebo were permitted to switch to glatiramer acetate</w:t>
      </w:r>
      <w:r w:rsidR="007F7A5E">
        <w:t>.</w:t>
      </w:r>
    </w:p>
    <w:p w:rsidR="007A7D24" w:rsidRPr="00AD51EC" w:rsidRDefault="007A7D24" w:rsidP="005875D1">
      <w:pPr>
        <w:pStyle w:val="ListParagraph"/>
        <w:numPr>
          <w:ilvl w:val="1"/>
          <w:numId w:val="3"/>
        </w:numPr>
        <w:spacing w:before="0" w:after="120"/>
        <w:contextualSpacing w:val="0"/>
      </w:pPr>
      <w:r w:rsidRPr="00AD51EC">
        <w:t>The PBAC considered that the claim o</w:t>
      </w:r>
      <w:r w:rsidR="00153D37" w:rsidRPr="00AD51EC">
        <w:t>f inferior</w:t>
      </w:r>
      <w:r w:rsidRPr="00AD51EC">
        <w:t xml:space="preserve"> comparative safety</w:t>
      </w:r>
      <w:r w:rsidR="00153D37" w:rsidRPr="00AD51EC">
        <w:t xml:space="preserve"> of</w:t>
      </w:r>
      <w:r w:rsidRPr="00AD51EC">
        <w:t xml:space="preserve"> </w:t>
      </w:r>
      <w:r w:rsidR="00153D37" w:rsidRPr="00AD51EC">
        <w:t xml:space="preserve">glatiramer acetate versus placebo </w:t>
      </w:r>
      <w:r w:rsidRPr="00AD51EC">
        <w:t>was reasonable.</w:t>
      </w:r>
    </w:p>
    <w:p w:rsidR="00DC6D2E" w:rsidRPr="002720C1" w:rsidRDefault="00DC6D2E" w:rsidP="00716951">
      <w:pPr>
        <w:pStyle w:val="V50Heading2nonumbers"/>
      </w:pPr>
      <w:bookmarkStart w:id="31" w:name="_Toc413139282"/>
      <w:bookmarkStart w:id="32" w:name="_Toc476306892"/>
      <w:bookmarkStart w:id="33" w:name="_Toc482710353"/>
      <w:r w:rsidRPr="002720C1">
        <w:t>Economic analysis</w:t>
      </w:r>
      <w:bookmarkEnd w:id="31"/>
      <w:bookmarkEnd w:id="32"/>
      <w:bookmarkEnd w:id="33"/>
    </w:p>
    <w:p w:rsidR="00DC6D2E" w:rsidRPr="00CE5C86" w:rsidRDefault="00DC6D2E" w:rsidP="005875D1">
      <w:pPr>
        <w:numPr>
          <w:ilvl w:val="1"/>
          <w:numId w:val="3"/>
        </w:numPr>
        <w:spacing w:before="0" w:after="120"/>
      </w:pPr>
      <w:r w:rsidRPr="00CE5C86">
        <w:t>The submission presented a modelled cost-utility analysis comparing glatiramer acetate to placebo in patients wit</w:t>
      </w:r>
      <w:r w:rsidR="007F7A5E">
        <w:t>h clinically isolated syndrome.</w:t>
      </w:r>
    </w:p>
    <w:p w:rsidR="002744AA" w:rsidRPr="00CE5C86" w:rsidRDefault="002744AA" w:rsidP="002744AA">
      <w:pPr>
        <w:pStyle w:val="Caption"/>
      </w:pPr>
      <w:r w:rsidRPr="00CE5C86">
        <w:t xml:space="preserve">Table </w:t>
      </w:r>
      <w:r w:rsidR="007E6A8F">
        <w:rPr>
          <w:noProof/>
        </w:rPr>
        <w:t>7</w:t>
      </w:r>
      <w:r w:rsidRPr="00CE5C86">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88"/>
        <w:gridCol w:w="7494"/>
      </w:tblGrid>
      <w:tr w:rsidR="00DC6D2E" w:rsidRPr="00CE5C86" w:rsidTr="00B42A44">
        <w:trPr>
          <w:tblHeader/>
        </w:trPr>
        <w:tc>
          <w:tcPr>
            <w:tcW w:w="874" w:type="pct"/>
            <w:shd w:val="clear" w:color="auto" w:fill="auto"/>
            <w:vAlign w:val="center"/>
          </w:tcPr>
          <w:p w:rsidR="00DC6D2E" w:rsidRPr="00CE5C86" w:rsidRDefault="00DC6D2E" w:rsidP="00DC6D2E">
            <w:pPr>
              <w:keepNext/>
              <w:spacing w:before="40" w:after="40"/>
              <w:rPr>
                <w:rFonts w:ascii="Arial Narrow" w:hAnsi="Arial Narrow"/>
                <w:b/>
                <w:sz w:val="20"/>
              </w:rPr>
            </w:pPr>
            <w:r w:rsidRPr="00CE5C86">
              <w:rPr>
                <w:rFonts w:ascii="Arial Narrow" w:hAnsi="Arial Narrow"/>
                <w:b/>
                <w:sz w:val="20"/>
              </w:rPr>
              <w:t>Component</w:t>
            </w:r>
          </w:p>
        </w:tc>
        <w:tc>
          <w:tcPr>
            <w:tcW w:w="4126" w:type="pct"/>
            <w:shd w:val="clear" w:color="auto" w:fill="auto"/>
            <w:vAlign w:val="center"/>
          </w:tcPr>
          <w:p w:rsidR="00DC6D2E" w:rsidRPr="00CE5C86" w:rsidRDefault="00DC6D2E" w:rsidP="00DC6D2E">
            <w:pPr>
              <w:keepNext/>
              <w:spacing w:before="40" w:after="40"/>
              <w:rPr>
                <w:rFonts w:ascii="Arial Narrow" w:hAnsi="Arial Narrow"/>
                <w:b/>
                <w:sz w:val="20"/>
              </w:rPr>
            </w:pPr>
            <w:r w:rsidRPr="00CE5C86">
              <w:rPr>
                <w:rFonts w:ascii="Arial Narrow" w:hAnsi="Arial Narrow"/>
                <w:b/>
                <w:sz w:val="20"/>
              </w:rPr>
              <w:t>Summary</w:t>
            </w:r>
          </w:p>
        </w:tc>
      </w:tr>
      <w:tr w:rsidR="00DC6D2E" w:rsidRPr="00CE5C86" w:rsidTr="00B42A44">
        <w:tc>
          <w:tcPr>
            <w:tcW w:w="874" w:type="pct"/>
            <w:shd w:val="clear" w:color="auto" w:fill="auto"/>
            <w:vAlign w:val="center"/>
          </w:tcPr>
          <w:p w:rsidR="00DC6D2E" w:rsidRPr="00CE5C86" w:rsidRDefault="00DC6D2E" w:rsidP="00DC6D2E">
            <w:pPr>
              <w:keepNext/>
              <w:spacing w:before="40" w:after="40"/>
              <w:rPr>
                <w:rFonts w:ascii="Arial Narrow" w:hAnsi="Arial Narrow"/>
                <w:sz w:val="20"/>
              </w:rPr>
            </w:pPr>
            <w:r w:rsidRPr="00CE5C86">
              <w:rPr>
                <w:rFonts w:ascii="Arial Narrow" w:hAnsi="Arial Narrow"/>
                <w:sz w:val="20"/>
              </w:rPr>
              <w:t>Time horizon</w:t>
            </w:r>
          </w:p>
        </w:tc>
        <w:tc>
          <w:tcPr>
            <w:tcW w:w="4126" w:type="pct"/>
            <w:shd w:val="clear" w:color="auto" w:fill="auto"/>
            <w:vAlign w:val="center"/>
          </w:tcPr>
          <w:p w:rsidR="00DC6D2E" w:rsidRPr="00CE5C86" w:rsidRDefault="00DC6D2E" w:rsidP="00DC6D2E">
            <w:pPr>
              <w:keepNext/>
              <w:spacing w:before="40" w:after="40"/>
              <w:rPr>
                <w:rFonts w:ascii="Times" w:eastAsia="Times New Roman" w:hAnsi="Times" w:cs="Times New Roman"/>
                <w:sz w:val="20"/>
              </w:rPr>
            </w:pPr>
            <w:r w:rsidRPr="00CE5C86">
              <w:rPr>
                <w:rFonts w:ascii="Arial Narrow" w:hAnsi="Arial Narrow"/>
                <w:sz w:val="20"/>
              </w:rPr>
              <w:t>Life time (80 years) in economic model base case versus up to 3 years in the key trial (with an open-label extension phase up to 5 years)</w:t>
            </w:r>
          </w:p>
        </w:tc>
      </w:tr>
      <w:tr w:rsidR="00DC6D2E" w:rsidRPr="00CE5C86" w:rsidTr="00B42A44">
        <w:tc>
          <w:tcPr>
            <w:tcW w:w="874" w:type="pct"/>
            <w:shd w:val="clear" w:color="auto" w:fill="auto"/>
            <w:vAlign w:val="center"/>
          </w:tcPr>
          <w:p w:rsidR="00DC6D2E" w:rsidRPr="00CE5C86" w:rsidRDefault="00DC6D2E" w:rsidP="00DC6D2E">
            <w:pPr>
              <w:keepNext/>
              <w:spacing w:before="40" w:after="40"/>
              <w:rPr>
                <w:rFonts w:ascii="Times" w:eastAsia="Times New Roman" w:hAnsi="Times" w:cs="Times New Roman"/>
                <w:sz w:val="20"/>
              </w:rPr>
            </w:pPr>
            <w:r w:rsidRPr="00CE5C86">
              <w:rPr>
                <w:rFonts w:ascii="Arial Narrow" w:hAnsi="Arial Narrow"/>
                <w:sz w:val="20"/>
              </w:rPr>
              <w:t>Outcomes</w:t>
            </w:r>
          </w:p>
        </w:tc>
        <w:tc>
          <w:tcPr>
            <w:tcW w:w="4126" w:type="pct"/>
            <w:shd w:val="clear" w:color="auto" w:fill="auto"/>
            <w:vAlign w:val="center"/>
          </w:tcPr>
          <w:p w:rsidR="00DC6D2E" w:rsidRPr="00CE5C86" w:rsidRDefault="00DC6D2E" w:rsidP="00DC6D2E">
            <w:pPr>
              <w:keepNext/>
              <w:spacing w:before="40" w:after="40"/>
              <w:rPr>
                <w:rFonts w:ascii="Times" w:eastAsia="Times New Roman" w:hAnsi="Times" w:cs="Times New Roman"/>
                <w:sz w:val="20"/>
              </w:rPr>
            </w:pPr>
            <w:r w:rsidRPr="00CE5C86">
              <w:rPr>
                <w:rFonts w:ascii="Arial Narrow" w:hAnsi="Arial Narrow"/>
                <w:sz w:val="20"/>
              </w:rPr>
              <w:t xml:space="preserve">Quality-adjusted life years gained, delay </w:t>
            </w:r>
            <w:r w:rsidR="0024782A" w:rsidRPr="00CE5C86">
              <w:rPr>
                <w:rFonts w:ascii="Arial Narrow" w:hAnsi="Arial Narrow"/>
                <w:sz w:val="20"/>
              </w:rPr>
              <w:t xml:space="preserve">in time </w:t>
            </w:r>
            <w:r w:rsidRPr="00CE5C86">
              <w:rPr>
                <w:rFonts w:ascii="Arial Narrow" w:hAnsi="Arial Narrow"/>
                <w:sz w:val="20"/>
              </w:rPr>
              <w:t>to clinically definite multiple sclerosis progression</w:t>
            </w:r>
          </w:p>
        </w:tc>
      </w:tr>
      <w:tr w:rsidR="00DC6D2E" w:rsidRPr="00CE5C86" w:rsidTr="00B42A44">
        <w:tc>
          <w:tcPr>
            <w:tcW w:w="874" w:type="pct"/>
            <w:shd w:val="clear" w:color="auto" w:fill="auto"/>
            <w:vAlign w:val="center"/>
          </w:tcPr>
          <w:p w:rsidR="00DC6D2E" w:rsidRPr="00CE5C86" w:rsidRDefault="00DC6D2E" w:rsidP="00DC6D2E">
            <w:pPr>
              <w:keepNext/>
              <w:spacing w:before="40" w:after="40"/>
              <w:jc w:val="left"/>
              <w:rPr>
                <w:rFonts w:ascii="Times" w:eastAsia="Times New Roman" w:hAnsi="Times" w:cs="Times New Roman"/>
                <w:sz w:val="20"/>
              </w:rPr>
            </w:pPr>
            <w:r w:rsidRPr="00CE5C86">
              <w:rPr>
                <w:rFonts w:ascii="Arial Narrow" w:hAnsi="Arial Narrow"/>
                <w:sz w:val="20"/>
              </w:rPr>
              <w:t>Methods used to generate results</w:t>
            </w:r>
          </w:p>
        </w:tc>
        <w:tc>
          <w:tcPr>
            <w:tcW w:w="4126" w:type="pct"/>
            <w:shd w:val="clear" w:color="auto" w:fill="auto"/>
            <w:vAlign w:val="center"/>
          </w:tcPr>
          <w:p w:rsidR="00DC6D2E" w:rsidRPr="00CE5C86" w:rsidRDefault="00DC6D2E" w:rsidP="00DC6D2E">
            <w:pPr>
              <w:keepNext/>
              <w:spacing w:before="40" w:after="40"/>
              <w:rPr>
                <w:rFonts w:ascii="Times" w:eastAsia="Times New Roman" w:hAnsi="Times" w:cs="Times New Roman"/>
                <w:sz w:val="20"/>
              </w:rPr>
            </w:pPr>
            <w:r w:rsidRPr="00CE5C86">
              <w:rPr>
                <w:rFonts w:ascii="Arial Narrow" w:hAnsi="Arial Narrow"/>
                <w:sz w:val="20"/>
              </w:rPr>
              <w:t>Markov microsimulation model</w:t>
            </w:r>
          </w:p>
        </w:tc>
      </w:tr>
      <w:tr w:rsidR="00DC6D2E" w:rsidRPr="00CE5C86" w:rsidTr="00B42A44">
        <w:tc>
          <w:tcPr>
            <w:tcW w:w="874" w:type="pct"/>
            <w:shd w:val="clear" w:color="auto" w:fill="auto"/>
            <w:vAlign w:val="center"/>
          </w:tcPr>
          <w:p w:rsidR="00DC6D2E" w:rsidRPr="00CE5C86" w:rsidRDefault="00DC6D2E" w:rsidP="00DC6D2E">
            <w:pPr>
              <w:keepNext/>
              <w:spacing w:before="40" w:after="40"/>
              <w:rPr>
                <w:rFonts w:ascii="Times" w:eastAsia="Times New Roman" w:hAnsi="Times" w:cs="Times New Roman"/>
                <w:sz w:val="20"/>
              </w:rPr>
            </w:pPr>
            <w:r w:rsidRPr="00CE5C86">
              <w:rPr>
                <w:rFonts w:ascii="Arial Narrow" w:hAnsi="Arial Narrow"/>
                <w:sz w:val="20"/>
              </w:rPr>
              <w:t>Health states</w:t>
            </w:r>
          </w:p>
        </w:tc>
        <w:tc>
          <w:tcPr>
            <w:tcW w:w="4126" w:type="pct"/>
            <w:shd w:val="clear" w:color="auto" w:fill="auto"/>
            <w:vAlign w:val="center"/>
          </w:tcPr>
          <w:p w:rsidR="00DC6D2E" w:rsidRPr="00CE5C86" w:rsidRDefault="00DC6D2E" w:rsidP="00DC6D2E">
            <w:pPr>
              <w:keepNext/>
              <w:spacing w:before="40" w:after="40"/>
              <w:rPr>
                <w:rFonts w:ascii="Arial Narrow" w:hAnsi="Arial Narrow"/>
                <w:sz w:val="20"/>
              </w:rPr>
            </w:pPr>
            <w:r w:rsidRPr="00CE5C86">
              <w:rPr>
                <w:rFonts w:ascii="Arial Narrow" w:hAnsi="Arial Narrow"/>
                <w:sz w:val="20"/>
              </w:rPr>
              <w:t>The 18 modelled health states are defined by multiple sclerosis status (clinically isolated syndrome, relapsing remitting multiple sclerosis, or secondary progressive multiple sclerosis),</w:t>
            </w:r>
            <w:r w:rsidR="00084F65" w:rsidRPr="00CE5C86">
              <w:rPr>
                <w:rFonts w:ascii="Arial Narrow" w:hAnsi="Arial Narrow"/>
                <w:sz w:val="20"/>
              </w:rPr>
              <w:t xml:space="preserve"> Expanded Disability Status Scale</w:t>
            </w:r>
            <w:r w:rsidRPr="00CE5C86">
              <w:rPr>
                <w:rFonts w:ascii="Arial Narrow" w:hAnsi="Arial Narrow"/>
                <w:sz w:val="20"/>
              </w:rPr>
              <w:t xml:space="preserve"> </w:t>
            </w:r>
            <w:r w:rsidR="00084F65" w:rsidRPr="00CE5C86">
              <w:rPr>
                <w:rFonts w:ascii="Arial Narrow" w:hAnsi="Arial Narrow"/>
                <w:sz w:val="20"/>
              </w:rPr>
              <w:t>(</w:t>
            </w:r>
            <w:r w:rsidRPr="00CE5C86">
              <w:rPr>
                <w:rFonts w:ascii="Arial Narrow" w:hAnsi="Arial Narrow"/>
                <w:sz w:val="20"/>
              </w:rPr>
              <w:t>EDSS</w:t>
            </w:r>
            <w:r w:rsidR="00084F65" w:rsidRPr="00CE5C86">
              <w:rPr>
                <w:rFonts w:ascii="Arial Narrow" w:hAnsi="Arial Narrow"/>
                <w:sz w:val="20"/>
              </w:rPr>
              <w:t>)</w:t>
            </w:r>
            <w:r w:rsidRPr="00CE5C86">
              <w:rPr>
                <w:rFonts w:ascii="Arial Narrow" w:hAnsi="Arial Narrow"/>
                <w:sz w:val="20"/>
              </w:rPr>
              <w:t xml:space="preserve"> score, and death:</w:t>
            </w:r>
          </w:p>
          <w:p w:rsidR="00DC6D2E" w:rsidRPr="00CE5C86" w:rsidRDefault="00DC6D2E" w:rsidP="005875D1">
            <w:pPr>
              <w:keepNext/>
              <w:numPr>
                <w:ilvl w:val="0"/>
                <w:numId w:val="10"/>
              </w:numPr>
              <w:spacing w:before="40" w:after="40"/>
              <w:ind w:left="170" w:hanging="170"/>
              <w:rPr>
                <w:rFonts w:ascii="Arial Narrow" w:hAnsi="Arial Narrow"/>
                <w:sz w:val="20"/>
              </w:rPr>
            </w:pPr>
            <w:r w:rsidRPr="00CE5C86">
              <w:rPr>
                <w:rFonts w:ascii="Arial Narrow" w:hAnsi="Arial Narrow"/>
                <w:sz w:val="20"/>
              </w:rPr>
              <w:t>Clinically isolated syndrome (EDSS=2)</w:t>
            </w:r>
          </w:p>
          <w:p w:rsidR="00DC6D2E" w:rsidRPr="00CE5C86" w:rsidRDefault="00DC6D2E" w:rsidP="005875D1">
            <w:pPr>
              <w:keepNext/>
              <w:numPr>
                <w:ilvl w:val="0"/>
                <w:numId w:val="10"/>
              </w:numPr>
              <w:spacing w:before="40" w:after="40"/>
              <w:ind w:left="170" w:hanging="170"/>
              <w:rPr>
                <w:rFonts w:ascii="Arial Narrow" w:hAnsi="Arial Narrow"/>
                <w:sz w:val="20"/>
              </w:rPr>
            </w:pPr>
            <w:r w:rsidRPr="00CE5C86">
              <w:rPr>
                <w:rFonts w:ascii="Arial Narrow" w:hAnsi="Arial Narrow"/>
                <w:sz w:val="20"/>
              </w:rPr>
              <w:t>Clinically definite multiple sclerosis/ relapsing remitting multiple sclerosis (EDSS=2, 3, 4, 5, 6, 7, 8, 9)</w:t>
            </w:r>
          </w:p>
          <w:p w:rsidR="00DC6D2E" w:rsidRPr="00CE5C86" w:rsidRDefault="00DC6D2E" w:rsidP="005875D1">
            <w:pPr>
              <w:keepNext/>
              <w:numPr>
                <w:ilvl w:val="0"/>
                <w:numId w:val="10"/>
              </w:numPr>
              <w:spacing w:before="40" w:after="40"/>
              <w:ind w:left="170" w:hanging="170"/>
              <w:rPr>
                <w:rFonts w:ascii="Arial Narrow" w:hAnsi="Arial Narrow"/>
                <w:sz w:val="20"/>
              </w:rPr>
            </w:pPr>
            <w:r w:rsidRPr="00CE5C86">
              <w:rPr>
                <w:rFonts w:ascii="Arial Narrow" w:hAnsi="Arial Narrow"/>
                <w:sz w:val="20"/>
              </w:rPr>
              <w:t>Secondary progressive multiple sclerosis (EDSS=2, 3, 4, 5, 6, 7, 8, 9)</w:t>
            </w:r>
          </w:p>
          <w:p w:rsidR="00DC6D2E" w:rsidRPr="00CE5C86" w:rsidRDefault="00DC6D2E" w:rsidP="005875D1">
            <w:pPr>
              <w:keepNext/>
              <w:numPr>
                <w:ilvl w:val="0"/>
                <w:numId w:val="10"/>
              </w:numPr>
              <w:spacing w:before="40" w:after="40"/>
              <w:ind w:left="170" w:hanging="170"/>
              <w:rPr>
                <w:rFonts w:ascii="Arial Narrow" w:hAnsi="Arial Narrow"/>
                <w:sz w:val="20"/>
              </w:rPr>
            </w:pPr>
            <w:r w:rsidRPr="00CE5C86">
              <w:rPr>
                <w:rFonts w:ascii="Arial Narrow" w:hAnsi="Arial Narrow"/>
                <w:sz w:val="20"/>
              </w:rPr>
              <w:t>Death (all cause and multiple sclerosis-related (transition from EDSS 9 to EDSS 10) mortality)</w:t>
            </w:r>
          </w:p>
          <w:p w:rsidR="00DC6D2E" w:rsidRPr="00CE5C86" w:rsidRDefault="00DC6D2E" w:rsidP="00DC6D2E">
            <w:pPr>
              <w:keepNext/>
              <w:spacing w:before="40" w:after="40"/>
              <w:rPr>
                <w:rFonts w:ascii="Times" w:eastAsia="Times New Roman" w:hAnsi="Times" w:cs="Times New Roman"/>
                <w:sz w:val="20"/>
              </w:rPr>
            </w:pPr>
            <w:r w:rsidRPr="00CE5C86">
              <w:rPr>
                <w:rFonts w:ascii="Arial Narrow" w:hAnsi="Arial Narrow"/>
                <w:sz w:val="20"/>
                <w:szCs w:val="20"/>
              </w:rPr>
              <w:t>Two treatment arms are modelled: early treatment, delayed treatment; with two additional arms modelled to capture the life expectancy of non-CIS/MS patients (all-cause mortality) and a ‘Natural History’ of multiple sclerosis cohort, natural history of multiple sclerosis (untreated), and standard Australian life expectancy.</w:t>
            </w:r>
          </w:p>
        </w:tc>
      </w:tr>
      <w:tr w:rsidR="00DC6D2E" w:rsidRPr="00CE5C86" w:rsidTr="00B42A44">
        <w:tc>
          <w:tcPr>
            <w:tcW w:w="874" w:type="pct"/>
            <w:shd w:val="clear" w:color="auto" w:fill="auto"/>
            <w:vAlign w:val="center"/>
          </w:tcPr>
          <w:p w:rsidR="00DC6D2E" w:rsidRPr="00CE5C86" w:rsidRDefault="00DC6D2E" w:rsidP="00DC6D2E">
            <w:pPr>
              <w:keepNext/>
              <w:spacing w:before="40" w:after="40"/>
              <w:rPr>
                <w:rFonts w:ascii="Times" w:eastAsia="Times New Roman" w:hAnsi="Times" w:cs="Times New Roman"/>
                <w:sz w:val="20"/>
              </w:rPr>
            </w:pPr>
            <w:r w:rsidRPr="00CE5C86">
              <w:rPr>
                <w:rFonts w:ascii="Arial Narrow" w:hAnsi="Arial Narrow"/>
                <w:sz w:val="20"/>
              </w:rPr>
              <w:t>Utilities</w:t>
            </w:r>
          </w:p>
        </w:tc>
        <w:tc>
          <w:tcPr>
            <w:tcW w:w="4126" w:type="pct"/>
            <w:shd w:val="clear" w:color="auto" w:fill="auto"/>
            <w:vAlign w:val="center"/>
          </w:tcPr>
          <w:p w:rsidR="00DC6D2E" w:rsidRPr="00CE5C86" w:rsidRDefault="00DC6D2E" w:rsidP="00DC6D2E">
            <w:pPr>
              <w:keepNext/>
              <w:spacing w:before="40" w:after="40"/>
              <w:rPr>
                <w:rFonts w:ascii="Times" w:eastAsia="Times New Roman" w:hAnsi="Times" w:cs="Times New Roman"/>
                <w:sz w:val="20"/>
              </w:rPr>
            </w:pPr>
            <w:r w:rsidRPr="00CE5C86">
              <w:rPr>
                <w:rFonts w:ascii="Arial Narrow" w:hAnsi="Arial Narrow"/>
                <w:sz w:val="20"/>
              </w:rPr>
              <w:t xml:space="preserve">Derived from literature </w:t>
            </w:r>
          </w:p>
        </w:tc>
      </w:tr>
      <w:tr w:rsidR="00DC6D2E" w:rsidRPr="00CE5C86" w:rsidTr="00B42A44">
        <w:tc>
          <w:tcPr>
            <w:tcW w:w="874" w:type="pct"/>
            <w:shd w:val="clear" w:color="auto" w:fill="auto"/>
            <w:vAlign w:val="center"/>
          </w:tcPr>
          <w:p w:rsidR="00DC6D2E" w:rsidRPr="00CE5C86" w:rsidRDefault="00DC6D2E" w:rsidP="00DC6D2E">
            <w:pPr>
              <w:keepNext/>
              <w:spacing w:before="40" w:after="40"/>
              <w:rPr>
                <w:rFonts w:ascii="Times" w:eastAsia="Times New Roman" w:hAnsi="Times" w:cs="Times New Roman"/>
                <w:sz w:val="20"/>
              </w:rPr>
            </w:pPr>
            <w:r w:rsidRPr="00CE5C86">
              <w:rPr>
                <w:rFonts w:ascii="Arial Narrow" w:hAnsi="Arial Narrow"/>
                <w:sz w:val="20"/>
              </w:rPr>
              <w:t>Cycle length</w:t>
            </w:r>
          </w:p>
        </w:tc>
        <w:tc>
          <w:tcPr>
            <w:tcW w:w="4126" w:type="pct"/>
            <w:shd w:val="clear" w:color="auto" w:fill="auto"/>
            <w:vAlign w:val="center"/>
          </w:tcPr>
          <w:p w:rsidR="00DC6D2E" w:rsidRPr="00CE5C86" w:rsidRDefault="00DC6D2E" w:rsidP="00DC6D2E">
            <w:pPr>
              <w:keepNext/>
              <w:spacing w:before="40" w:after="40"/>
              <w:rPr>
                <w:rFonts w:ascii="Times" w:eastAsia="Times New Roman" w:hAnsi="Times" w:cs="Times New Roman"/>
                <w:sz w:val="20"/>
              </w:rPr>
            </w:pPr>
            <w:r w:rsidRPr="00CE5C86">
              <w:rPr>
                <w:rFonts w:ascii="Arial Narrow" w:hAnsi="Arial Narrow"/>
                <w:sz w:val="20"/>
              </w:rPr>
              <w:t>1 year</w:t>
            </w:r>
          </w:p>
        </w:tc>
      </w:tr>
      <w:tr w:rsidR="00DC6D2E" w:rsidRPr="00CE5C86" w:rsidTr="00B42A44">
        <w:tc>
          <w:tcPr>
            <w:tcW w:w="874" w:type="pct"/>
            <w:shd w:val="clear" w:color="auto" w:fill="auto"/>
            <w:vAlign w:val="center"/>
          </w:tcPr>
          <w:p w:rsidR="00DC6D2E" w:rsidRPr="00CE5C86" w:rsidRDefault="00DC6D2E" w:rsidP="00DC6D2E">
            <w:pPr>
              <w:keepNext/>
              <w:spacing w:before="40" w:after="40"/>
              <w:rPr>
                <w:rFonts w:ascii="Times" w:eastAsia="Times New Roman" w:hAnsi="Times" w:cs="Times New Roman"/>
                <w:sz w:val="20"/>
              </w:rPr>
            </w:pPr>
            <w:r w:rsidRPr="00CE5C86">
              <w:rPr>
                <w:rFonts w:ascii="Arial Narrow" w:hAnsi="Arial Narrow"/>
                <w:sz w:val="20"/>
              </w:rPr>
              <w:t>Transition probabilities</w:t>
            </w:r>
          </w:p>
        </w:tc>
        <w:tc>
          <w:tcPr>
            <w:tcW w:w="4126" w:type="pct"/>
            <w:shd w:val="clear" w:color="auto" w:fill="auto"/>
            <w:vAlign w:val="center"/>
          </w:tcPr>
          <w:p w:rsidR="00DC6D2E" w:rsidRPr="00CE5C86" w:rsidRDefault="00DC6D2E" w:rsidP="00DC6D2E">
            <w:pPr>
              <w:keepNext/>
              <w:spacing w:before="40" w:after="40"/>
              <w:rPr>
                <w:rFonts w:ascii="Times" w:eastAsia="Times New Roman" w:hAnsi="Times" w:cs="Times New Roman"/>
                <w:sz w:val="20"/>
              </w:rPr>
            </w:pPr>
            <w:r w:rsidRPr="00CE5C86">
              <w:rPr>
                <w:rFonts w:ascii="Arial Narrow" w:hAnsi="Arial Narrow"/>
                <w:sz w:val="20"/>
              </w:rPr>
              <w:t>Derived from literature and clinical trials</w:t>
            </w:r>
          </w:p>
        </w:tc>
      </w:tr>
    </w:tbl>
    <w:p w:rsidR="00DC6D2E" w:rsidRPr="00CE5C86" w:rsidRDefault="00DC6D2E" w:rsidP="00AC1EB5">
      <w:pPr>
        <w:widowControl w:val="0"/>
        <w:spacing w:before="0" w:after="240"/>
        <w:rPr>
          <w:rFonts w:ascii="Arial Narrow" w:eastAsia="Times New Roman" w:hAnsi="Arial Narrow" w:cs="Arial"/>
          <w:snapToGrid w:val="0"/>
          <w:sz w:val="18"/>
          <w:szCs w:val="20"/>
        </w:rPr>
      </w:pPr>
      <w:r w:rsidRPr="00CE5C86">
        <w:rPr>
          <w:rFonts w:ascii="Arial Narrow" w:eastAsia="Times New Roman" w:hAnsi="Arial Narrow" w:cs="Arial"/>
          <w:snapToGrid w:val="0"/>
          <w:sz w:val="18"/>
          <w:szCs w:val="20"/>
        </w:rPr>
        <w:t>Source: Table 3-1, p4, Section 3 of the submission</w:t>
      </w:r>
    </w:p>
    <w:p w:rsidR="0024782A" w:rsidRPr="00CE5C86" w:rsidRDefault="0024782A" w:rsidP="005875D1">
      <w:pPr>
        <w:pStyle w:val="ListParagraph"/>
        <w:numPr>
          <w:ilvl w:val="1"/>
          <w:numId w:val="3"/>
        </w:numPr>
      </w:pPr>
      <w:r w:rsidRPr="00CE5C86">
        <w:t>The model structure was consistent with other economic models for clinically isolated syndrome and multiple sclerosis in that health states were defined by EDSS stage, however there were substantial differences:</w:t>
      </w:r>
    </w:p>
    <w:p w:rsidR="0024782A" w:rsidRPr="00CE5C86" w:rsidRDefault="00807A48" w:rsidP="005875D1">
      <w:pPr>
        <w:pStyle w:val="ListParagraph"/>
        <w:numPr>
          <w:ilvl w:val="1"/>
          <w:numId w:val="15"/>
        </w:numPr>
        <w:ind w:left="1106" w:hanging="386"/>
      </w:pPr>
      <w:r w:rsidRPr="00CE5C86">
        <w:t>patients in the clinically isolated syndrome</w:t>
      </w:r>
      <w:r w:rsidR="0024782A" w:rsidRPr="00CE5C86">
        <w:t xml:space="preserve"> state could not move to improved or more severe levels of disability </w:t>
      </w:r>
    </w:p>
    <w:p w:rsidR="0024782A" w:rsidRPr="00CE5C86" w:rsidRDefault="0024782A" w:rsidP="005875D1">
      <w:pPr>
        <w:pStyle w:val="ListParagraph"/>
        <w:numPr>
          <w:ilvl w:val="1"/>
          <w:numId w:val="15"/>
        </w:numPr>
        <w:ind w:left="1106" w:hanging="386"/>
      </w:pPr>
      <w:r w:rsidRPr="00CE5C86">
        <w:t xml:space="preserve">patients in multiple sclerosis health states could not transition more than once or more than one step on the EDSS scale within each annual cycle </w:t>
      </w:r>
    </w:p>
    <w:p w:rsidR="00F774B7" w:rsidRPr="00CE5C86" w:rsidRDefault="0024782A" w:rsidP="007F7A5E">
      <w:pPr>
        <w:pStyle w:val="ListParagraph"/>
        <w:numPr>
          <w:ilvl w:val="1"/>
          <w:numId w:val="15"/>
        </w:numPr>
        <w:spacing w:after="0"/>
        <w:ind w:left="1106" w:hanging="386"/>
      </w:pPr>
      <w:proofErr w:type="gramStart"/>
      <w:r w:rsidRPr="00CE5C86">
        <w:t>patients</w:t>
      </w:r>
      <w:proofErr w:type="gramEnd"/>
      <w:r w:rsidRPr="00CE5C86">
        <w:t xml:space="preserve"> could not progress t</w:t>
      </w:r>
      <w:r w:rsidR="007F7A5E">
        <w:t>o a lower (improved) EDSS state.</w:t>
      </w:r>
    </w:p>
    <w:p w:rsidR="00C03CA5" w:rsidRPr="00CE5C86" w:rsidRDefault="00C03CA5" w:rsidP="007F7A5E">
      <w:pPr>
        <w:numPr>
          <w:ilvl w:val="1"/>
          <w:numId w:val="3"/>
        </w:numPr>
        <w:spacing w:before="200" w:after="120"/>
      </w:pPr>
      <w:r w:rsidRPr="00CE5C86">
        <w:t xml:space="preserve">The PSCR (p7) stated that modelled patients </w:t>
      </w:r>
      <w:r w:rsidR="00BF67D9" w:rsidRPr="00CE5C86">
        <w:t xml:space="preserve">with clinically isolated syndrome </w:t>
      </w:r>
      <w:r w:rsidRPr="00CE5C86">
        <w:t>are assumed to not transition to improved EDSS scores because these are patients with an EDSS≥2 (in accordance with the proposed indication) and therefore these patients are more likely to be on the progression pathway. The PSCR stated that limiting RRMS patients to annual EDSS decline was a simplifying assumption in the model and across the cohort, on average, patients decline, even if individual patients experience temporary respites.</w:t>
      </w:r>
    </w:p>
    <w:p w:rsidR="00251066" w:rsidRPr="00CE5C86" w:rsidRDefault="0024782A" w:rsidP="007F7A5E">
      <w:pPr>
        <w:numPr>
          <w:ilvl w:val="1"/>
          <w:numId w:val="3"/>
        </w:numPr>
        <w:spacing w:before="0" w:after="120"/>
      </w:pPr>
      <w:r w:rsidRPr="00CE5C86">
        <w:t>The model may not be an accurate representation of the</w:t>
      </w:r>
      <w:r w:rsidR="00870E6F" w:rsidRPr="00CE5C86">
        <w:t xml:space="preserve"> true </w:t>
      </w:r>
      <w:r w:rsidRPr="00CE5C86">
        <w:t>relapsing remitting mu</w:t>
      </w:r>
      <w:r w:rsidR="00870E6F" w:rsidRPr="00CE5C86">
        <w:t xml:space="preserve">ltiple sclerosis disease </w:t>
      </w:r>
      <w:proofErr w:type="gramStart"/>
      <w:r w:rsidR="00870E6F" w:rsidRPr="00CE5C86">
        <w:t>course</w:t>
      </w:r>
      <w:proofErr w:type="gramEnd"/>
      <w:r w:rsidR="00870E6F" w:rsidRPr="00CE5C86">
        <w:t xml:space="preserve">, </w:t>
      </w:r>
      <w:r w:rsidRPr="00CE5C86">
        <w:t>which frequently includes remission</w:t>
      </w:r>
      <w:r w:rsidR="00870E6F" w:rsidRPr="00CE5C86">
        <w:t xml:space="preserve"> back to the baseline level of disability prior to the relapse</w:t>
      </w:r>
      <w:r w:rsidRPr="00CE5C86">
        <w:t xml:space="preserve"> as well as worsening of disability symptoms.</w:t>
      </w:r>
    </w:p>
    <w:p w:rsidR="00DC6D2E" w:rsidRPr="00CE5C86" w:rsidRDefault="00DC6D2E" w:rsidP="005875D1">
      <w:pPr>
        <w:numPr>
          <w:ilvl w:val="1"/>
          <w:numId w:val="3"/>
        </w:numPr>
        <w:spacing w:before="0" w:after="120"/>
      </w:pPr>
      <w:r w:rsidRPr="00CE5C86">
        <w:t xml:space="preserve">Key issues with the economic model are summarised in Table </w:t>
      </w:r>
      <w:r w:rsidR="0024782A" w:rsidRPr="00CE5C86">
        <w:t>8</w:t>
      </w:r>
      <w:r w:rsidRPr="00CE5C86">
        <w:t>.</w:t>
      </w:r>
    </w:p>
    <w:p w:rsidR="002744AA" w:rsidRPr="00CE5C86" w:rsidRDefault="002744AA" w:rsidP="002744AA">
      <w:pPr>
        <w:pStyle w:val="Caption"/>
      </w:pPr>
      <w:r w:rsidRPr="00CE5C86">
        <w:t xml:space="preserve">Table </w:t>
      </w:r>
      <w:r w:rsidR="007E6A8F">
        <w:rPr>
          <w:noProof/>
        </w:rPr>
        <w:t>8</w:t>
      </w:r>
      <w:r w:rsidRPr="00CE5C86">
        <w:t>: Key issues with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0"/>
        <w:gridCol w:w="7088"/>
        <w:gridCol w:w="974"/>
      </w:tblGrid>
      <w:tr w:rsidR="00DC6D2E" w:rsidRPr="00CE5C86" w:rsidTr="007F7A5E">
        <w:trPr>
          <w:tblHeader/>
        </w:trPr>
        <w:tc>
          <w:tcPr>
            <w:tcW w:w="562" w:type="pct"/>
            <w:shd w:val="clear" w:color="auto" w:fill="auto"/>
            <w:vAlign w:val="center"/>
          </w:tcPr>
          <w:p w:rsidR="00DC6D2E" w:rsidRPr="00CE5C86" w:rsidRDefault="00DC6D2E" w:rsidP="00DC6D2E">
            <w:pPr>
              <w:keepNext/>
              <w:keepLines/>
              <w:widowControl w:val="0"/>
              <w:spacing w:before="40" w:after="40"/>
              <w:rPr>
                <w:rFonts w:ascii="Arial Narrow" w:hAnsi="Arial Narrow"/>
                <w:b/>
                <w:sz w:val="20"/>
              </w:rPr>
            </w:pPr>
            <w:r w:rsidRPr="00CE5C86">
              <w:rPr>
                <w:rFonts w:ascii="Arial Narrow" w:hAnsi="Arial Narrow"/>
                <w:b/>
                <w:sz w:val="20"/>
              </w:rPr>
              <w:t>Description</w:t>
            </w:r>
          </w:p>
        </w:tc>
        <w:tc>
          <w:tcPr>
            <w:tcW w:w="3902" w:type="pct"/>
            <w:shd w:val="clear" w:color="auto" w:fill="auto"/>
            <w:vAlign w:val="center"/>
          </w:tcPr>
          <w:p w:rsidR="00DC6D2E" w:rsidRPr="00CE5C86" w:rsidRDefault="00DC6D2E" w:rsidP="00DC6D2E">
            <w:pPr>
              <w:keepNext/>
              <w:keepLines/>
              <w:widowControl w:val="0"/>
              <w:spacing w:before="40" w:after="40"/>
              <w:rPr>
                <w:rFonts w:ascii="Arial Narrow" w:hAnsi="Arial Narrow"/>
                <w:b/>
                <w:sz w:val="20"/>
              </w:rPr>
            </w:pPr>
            <w:r w:rsidRPr="00CE5C86">
              <w:rPr>
                <w:rFonts w:ascii="Arial Narrow" w:hAnsi="Arial Narrow"/>
                <w:b/>
                <w:sz w:val="20"/>
              </w:rPr>
              <w:t>Method/Value</w:t>
            </w:r>
          </w:p>
        </w:tc>
        <w:tc>
          <w:tcPr>
            <w:tcW w:w="536" w:type="pct"/>
            <w:shd w:val="clear" w:color="auto" w:fill="auto"/>
            <w:vAlign w:val="center"/>
          </w:tcPr>
          <w:p w:rsidR="00DC6D2E" w:rsidRPr="00CE5C86" w:rsidRDefault="00DC6D2E" w:rsidP="00DC6D2E">
            <w:pPr>
              <w:keepNext/>
              <w:keepLines/>
              <w:widowControl w:val="0"/>
              <w:spacing w:before="40" w:after="40"/>
              <w:rPr>
                <w:rFonts w:ascii="Arial Narrow" w:hAnsi="Arial Narrow"/>
                <w:b/>
                <w:sz w:val="20"/>
              </w:rPr>
            </w:pPr>
            <w:r w:rsidRPr="00CE5C86">
              <w:rPr>
                <w:rFonts w:ascii="Arial Narrow" w:hAnsi="Arial Narrow"/>
                <w:b/>
                <w:sz w:val="20"/>
              </w:rPr>
              <w:t>Impact</w:t>
            </w:r>
          </w:p>
        </w:tc>
      </w:tr>
      <w:tr w:rsidR="00DC6D2E" w:rsidRPr="00CE5C86" w:rsidTr="007F7A5E">
        <w:tc>
          <w:tcPr>
            <w:tcW w:w="562" w:type="pct"/>
            <w:shd w:val="clear" w:color="auto" w:fill="auto"/>
            <w:vAlign w:val="center"/>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Model structure</w:t>
            </w:r>
          </w:p>
        </w:tc>
        <w:tc>
          <w:tcPr>
            <w:tcW w:w="3902" w:type="pct"/>
            <w:shd w:val="clear" w:color="auto" w:fill="auto"/>
            <w:vAlign w:val="center"/>
          </w:tcPr>
          <w:p w:rsidR="00DC6D2E" w:rsidRPr="00CE5C86" w:rsidRDefault="00DC6D2E" w:rsidP="00DC6D2E">
            <w:pPr>
              <w:widowControl w:val="0"/>
              <w:spacing w:before="40" w:after="40"/>
              <w:jc w:val="left"/>
              <w:rPr>
                <w:rFonts w:ascii="Arial Narrow" w:hAnsi="Arial Narrow"/>
                <w:sz w:val="20"/>
              </w:rPr>
            </w:pPr>
            <w:r w:rsidRPr="00CE5C86">
              <w:rPr>
                <w:rFonts w:ascii="Arial Narrow" w:hAnsi="Arial Narrow"/>
                <w:sz w:val="20"/>
              </w:rPr>
              <w:t>The trial outcome, delay in time to diagnosis with multiple sclerosis, is linked to QALYs via an inflexible model structure which does not allow patients with delayed diagnosis of multiple sclerosis to “catch up” in disability and mortality terms to those with earlier onset.</w:t>
            </w:r>
            <w:r w:rsidR="007D0216" w:rsidRPr="00CE5C86">
              <w:rPr>
                <w:rFonts w:ascii="Arial Narrow" w:hAnsi="Arial Narrow"/>
                <w:sz w:val="20"/>
              </w:rPr>
              <w:t xml:space="preserve"> The ESC considered given the lack of EDSS differences in the </w:t>
            </w:r>
            <w:proofErr w:type="spellStart"/>
            <w:r w:rsidR="007D0216" w:rsidRPr="00CE5C86">
              <w:rPr>
                <w:rFonts w:ascii="Arial Narrow" w:hAnsi="Arial Narrow"/>
                <w:sz w:val="20"/>
              </w:rPr>
              <w:t>PreCISe</w:t>
            </w:r>
            <w:proofErr w:type="spellEnd"/>
            <w:r w:rsidR="007D0216" w:rsidRPr="00CE5C86">
              <w:rPr>
                <w:rFonts w:ascii="Arial Narrow" w:hAnsi="Arial Narrow"/>
                <w:sz w:val="20"/>
              </w:rPr>
              <w:t xml:space="preserve"> trial, this is important.</w:t>
            </w:r>
            <w:r w:rsidRPr="00CE5C86">
              <w:rPr>
                <w:rFonts w:ascii="Arial Narrow" w:hAnsi="Arial Narrow"/>
                <w:sz w:val="20"/>
              </w:rPr>
              <w:t xml:space="preserve"> The assumption of sustained benefit is unjustified. The model’s representation of the impact of early treatment on the natural history of MS may not be valid.</w:t>
            </w:r>
          </w:p>
        </w:tc>
        <w:tc>
          <w:tcPr>
            <w:tcW w:w="536" w:type="pct"/>
            <w:shd w:val="clear" w:color="auto" w:fill="auto"/>
            <w:vAlign w:val="center"/>
          </w:tcPr>
          <w:p w:rsidR="00DC6D2E" w:rsidRPr="00CE5C86" w:rsidRDefault="00DC6D2E" w:rsidP="00DC6D2E">
            <w:pPr>
              <w:widowControl w:val="0"/>
              <w:spacing w:before="40" w:after="40"/>
              <w:jc w:val="left"/>
              <w:rPr>
                <w:rFonts w:ascii="Arial Narrow" w:hAnsi="Arial Narrow"/>
                <w:sz w:val="20"/>
              </w:rPr>
            </w:pPr>
            <w:r w:rsidRPr="00CE5C86">
              <w:rPr>
                <w:rFonts w:ascii="Arial Narrow" w:hAnsi="Arial Narrow"/>
                <w:sz w:val="20"/>
              </w:rPr>
              <w:t>High, favours glatiramer</w:t>
            </w:r>
          </w:p>
        </w:tc>
      </w:tr>
      <w:tr w:rsidR="00DC6D2E" w:rsidRPr="00CE5C86" w:rsidTr="007F7A5E">
        <w:tc>
          <w:tcPr>
            <w:tcW w:w="562" w:type="pct"/>
            <w:shd w:val="clear" w:color="auto" w:fill="auto"/>
            <w:vAlign w:val="center"/>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Treatment effect</w:t>
            </w:r>
          </w:p>
        </w:tc>
        <w:tc>
          <w:tcPr>
            <w:tcW w:w="3902" w:type="pct"/>
            <w:shd w:val="clear" w:color="auto" w:fill="auto"/>
            <w:vAlign w:val="center"/>
          </w:tcPr>
          <w:p w:rsidR="00DC6D2E" w:rsidRPr="00CE5C86" w:rsidRDefault="00DC6D2E" w:rsidP="003730E3">
            <w:pPr>
              <w:widowControl w:val="0"/>
              <w:spacing w:before="40" w:after="40"/>
              <w:jc w:val="left"/>
              <w:rPr>
                <w:rFonts w:ascii="Arial Narrow" w:hAnsi="Arial Narrow"/>
                <w:b/>
                <w:sz w:val="20"/>
              </w:rPr>
            </w:pPr>
            <w:r w:rsidRPr="00CE5C86">
              <w:rPr>
                <w:rFonts w:ascii="Arial Narrow" w:hAnsi="Arial Narrow"/>
                <w:sz w:val="20"/>
              </w:rPr>
              <w:t>The treatment effect</w:t>
            </w:r>
            <w:r w:rsidR="007D1B50" w:rsidRPr="00CE5C86">
              <w:rPr>
                <w:rFonts w:ascii="Arial Narrow" w:hAnsi="Arial Narrow"/>
                <w:sz w:val="20"/>
              </w:rPr>
              <w:t>, based on the overall</w:t>
            </w:r>
            <w:r w:rsidR="00807A48" w:rsidRPr="00CE5C86">
              <w:t xml:space="preserve"> </w:t>
            </w:r>
            <w:r w:rsidR="00807A48" w:rsidRPr="00CE5C86">
              <w:rPr>
                <w:rFonts w:ascii="Arial Narrow" w:hAnsi="Arial Narrow"/>
                <w:sz w:val="20"/>
              </w:rPr>
              <w:t xml:space="preserve">clinically isolated syndrome </w:t>
            </w:r>
            <w:r w:rsidR="007D1B50" w:rsidRPr="00CE5C86">
              <w:rPr>
                <w:rFonts w:ascii="Arial Narrow" w:hAnsi="Arial Narrow"/>
                <w:sz w:val="20"/>
              </w:rPr>
              <w:t xml:space="preserve">population from the </w:t>
            </w:r>
            <w:proofErr w:type="spellStart"/>
            <w:r w:rsidR="007D1B50" w:rsidRPr="00CE5C86">
              <w:rPr>
                <w:rFonts w:ascii="Arial Narrow" w:hAnsi="Arial Narrow"/>
                <w:sz w:val="20"/>
              </w:rPr>
              <w:t>PreCISe</w:t>
            </w:r>
            <w:proofErr w:type="spellEnd"/>
            <w:r w:rsidR="007D1B50" w:rsidRPr="00CE5C86">
              <w:rPr>
                <w:rFonts w:ascii="Arial Narrow" w:hAnsi="Arial Narrow"/>
                <w:sz w:val="20"/>
              </w:rPr>
              <w:t xml:space="preserve"> trial,</w:t>
            </w:r>
            <w:r w:rsidRPr="00CE5C86">
              <w:rPr>
                <w:rFonts w:ascii="Arial Narrow" w:hAnsi="Arial Narrow"/>
                <w:sz w:val="20"/>
              </w:rPr>
              <w:t xml:space="preserve"> </w:t>
            </w:r>
            <w:r w:rsidR="007D1B50" w:rsidRPr="00CE5C86">
              <w:rPr>
                <w:rFonts w:ascii="Arial Narrow" w:hAnsi="Arial Narrow"/>
                <w:sz w:val="20"/>
              </w:rPr>
              <w:t>wa</w:t>
            </w:r>
            <w:r w:rsidRPr="00CE5C86">
              <w:rPr>
                <w:rFonts w:ascii="Arial Narrow" w:hAnsi="Arial Narrow"/>
                <w:sz w:val="20"/>
              </w:rPr>
              <w:t>s assumed to</w:t>
            </w:r>
            <w:r w:rsidR="007D1B50" w:rsidRPr="00CE5C86">
              <w:rPr>
                <w:rFonts w:ascii="Arial Narrow" w:hAnsi="Arial Narrow"/>
                <w:sz w:val="20"/>
              </w:rPr>
              <w:t xml:space="preserve"> apply to the high risk population and to</w:t>
            </w:r>
            <w:r w:rsidRPr="00CE5C86">
              <w:rPr>
                <w:rFonts w:ascii="Arial Narrow" w:hAnsi="Arial Narrow"/>
                <w:sz w:val="20"/>
              </w:rPr>
              <w:t xml:space="preserve"> remain constant over the duration of the model. The hazard ratio used in the economic model is based on the placebo-controlled phase of the </w:t>
            </w:r>
            <w:proofErr w:type="spellStart"/>
            <w:r w:rsidRPr="00CE5C86">
              <w:rPr>
                <w:rFonts w:ascii="Arial Narrow" w:hAnsi="Arial Narrow"/>
                <w:sz w:val="20"/>
              </w:rPr>
              <w:t>PreCISe</w:t>
            </w:r>
            <w:proofErr w:type="spellEnd"/>
            <w:r w:rsidRPr="00CE5C86">
              <w:rPr>
                <w:rFonts w:ascii="Arial Narrow" w:hAnsi="Arial Narrow"/>
                <w:sz w:val="20"/>
              </w:rPr>
              <w:t xml:space="preserve"> trial (up to 3 years of treatment), extrapolated over 80 years. The model is likely to over-estimate trea</w:t>
            </w:r>
            <w:r w:rsidR="007D0216" w:rsidRPr="00CE5C86">
              <w:rPr>
                <w:rFonts w:ascii="Arial Narrow" w:hAnsi="Arial Narrow"/>
                <w:sz w:val="20"/>
              </w:rPr>
              <w:t>tment effect.</w:t>
            </w:r>
            <w:r w:rsidR="007B0421" w:rsidRPr="00CE5C86">
              <w:rPr>
                <w:rFonts w:ascii="Arial Narrow" w:hAnsi="Arial Narrow"/>
                <w:sz w:val="20"/>
              </w:rPr>
              <w:t xml:space="preserve"> The ESC noted this result</w:t>
            </w:r>
            <w:r w:rsidR="00BF67D9" w:rsidRPr="00CE5C86">
              <w:rPr>
                <w:rFonts w:ascii="Arial Narrow" w:hAnsi="Arial Narrow"/>
                <w:sz w:val="20"/>
              </w:rPr>
              <w:t>ed</w:t>
            </w:r>
            <w:r w:rsidR="007B0421" w:rsidRPr="00CE5C86">
              <w:rPr>
                <w:rFonts w:ascii="Arial Narrow" w:hAnsi="Arial Narrow"/>
                <w:sz w:val="20"/>
              </w:rPr>
              <w:t xml:space="preserve"> in some patients never converting to </w:t>
            </w:r>
            <w:r w:rsidR="009F3DB8" w:rsidRPr="009F3DB8">
              <w:rPr>
                <w:rFonts w:ascii="Arial Narrow" w:hAnsi="Arial Narrow"/>
                <w:sz w:val="20"/>
              </w:rPr>
              <w:t>clinically definite multiple sclerosis</w:t>
            </w:r>
            <w:r w:rsidR="007B0421" w:rsidRPr="00CE5C86">
              <w:rPr>
                <w:rFonts w:ascii="Arial Narrow" w:hAnsi="Arial Narrow"/>
                <w:sz w:val="20"/>
              </w:rPr>
              <w:t xml:space="preserve"> (cure</w:t>
            </w:r>
            <w:r w:rsidR="003730E3" w:rsidRPr="00CE5C86">
              <w:rPr>
                <w:rFonts w:ascii="Arial Narrow" w:hAnsi="Arial Narrow"/>
                <w:sz w:val="20"/>
              </w:rPr>
              <w:t xml:space="preserve"> rather than delay</w:t>
            </w:r>
            <w:r w:rsidR="007B0421" w:rsidRPr="00CE5C86">
              <w:rPr>
                <w:rFonts w:ascii="Arial Narrow" w:hAnsi="Arial Narrow"/>
                <w:sz w:val="20"/>
              </w:rPr>
              <w:t>).</w:t>
            </w:r>
          </w:p>
        </w:tc>
        <w:tc>
          <w:tcPr>
            <w:tcW w:w="536" w:type="pct"/>
            <w:shd w:val="clear" w:color="auto" w:fill="auto"/>
            <w:vAlign w:val="center"/>
          </w:tcPr>
          <w:p w:rsidR="00DC6D2E" w:rsidRPr="00CE5C86" w:rsidRDefault="00DC6D2E" w:rsidP="00DC6D2E">
            <w:pPr>
              <w:widowControl w:val="0"/>
              <w:spacing w:before="40" w:after="40"/>
              <w:jc w:val="left"/>
              <w:rPr>
                <w:rFonts w:ascii="Arial Narrow" w:hAnsi="Arial Narrow"/>
                <w:sz w:val="20"/>
              </w:rPr>
            </w:pPr>
            <w:r w:rsidRPr="00CE5C86">
              <w:rPr>
                <w:rFonts w:ascii="Arial Narrow" w:hAnsi="Arial Narrow"/>
                <w:sz w:val="20"/>
              </w:rPr>
              <w:t>High, favours glatiramer</w:t>
            </w:r>
          </w:p>
        </w:tc>
      </w:tr>
      <w:tr w:rsidR="00DC6D2E" w:rsidRPr="00CE5C86" w:rsidTr="007F7A5E">
        <w:tc>
          <w:tcPr>
            <w:tcW w:w="562" w:type="pct"/>
            <w:shd w:val="clear" w:color="auto" w:fill="auto"/>
            <w:vAlign w:val="center"/>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Modelled population</w:t>
            </w:r>
          </w:p>
        </w:tc>
        <w:tc>
          <w:tcPr>
            <w:tcW w:w="3902" w:type="pct"/>
            <w:shd w:val="clear" w:color="auto" w:fill="auto"/>
            <w:vAlign w:val="center"/>
          </w:tcPr>
          <w:p w:rsidR="00DC6D2E" w:rsidRPr="00CE5C86" w:rsidRDefault="00DC6D2E" w:rsidP="00DC6D2E">
            <w:pPr>
              <w:widowControl w:val="0"/>
              <w:spacing w:before="40" w:after="40"/>
              <w:jc w:val="left"/>
              <w:rPr>
                <w:rFonts w:ascii="Arial Narrow" w:hAnsi="Arial Narrow"/>
                <w:sz w:val="20"/>
              </w:rPr>
            </w:pPr>
            <w:r w:rsidRPr="00CE5C86">
              <w:rPr>
                <w:rFonts w:ascii="Arial Narrow" w:hAnsi="Arial Narrow"/>
                <w:sz w:val="20"/>
              </w:rPr>
              <w:t xml:space="preserve">The model calculations were based on a hypothetical cohort of patients thought to be at high risk of diagnosis with multiple sclerosis within 5 years, based on an analysis of the </w:t>
            </w:r>
            <w:proofErr w:type="spellStart"/>
            <w:r w:rsidRPr="00CE5C86">
              <w:rPr>
                <w:rFonts w:ascii="Arial Narrow" w:hAnsi="Arial Narrow"/>
                <w:sz w:val="20"/>
              </w:rPr>
              <w:t>MSBase</w:t>
            </w:r>
            <w:proofErr w:type="spellEnd"/>
            <w:r w:rsidRPr="00CE5C86">
              <w:rPr>
                <w:rFonts w:ascii="Arial Narrow" w:hAnsi="Arial Narrow"/>
                <w:sz w:val="20"/>
              </w:rPr>
              <w:t xml:space="preserve"> patient database. The predictive nomogram derived from this analysis has not been validated; it is unclear whether it will identify patients at equally high risk of diagnosis </w:t>
            </w:r>
            <w:r w:rsidR="007D0216" w:rsidRPr="00CE5C86">
              <w:rPr>
                <w:rFonts w:ascii="Arial Narrow" w:hAnsi="Arial Narrow"/>
                <w:sz w:val="20"/>
              </w:rPr>
              <w:t>with multiple sclerosis in a routine</w:t>
            </w:r>
            <w:r w:rsidRPr="00CE5C86">
              <w:rPr>
                <w:rFonts w:ascii="Arial Narrow" w:hAnsi="Arial Narrow"/>
                <w:sz w:val="20"/>
              </w:rPr>
              <w:t xml:space="preserve"> Australian population.</w:t>
            </w:r>
            <w:r w:rsidR="007D0216" w:rsidRPr="00CE5C86">
              <w:rPr>
                <w:rFonts w:ascii="Arial Narrow" w:hAnsi="Arial Narrow"/>
                <w:sz w:val="20"/>
              </w:rPr>
              <w:t xml:space="preserve"> The ESC considered there may also be patients who do not meet the nomogram criteria who may benefit from the intervention. </w:t>
            </w:r>
          </w:p>
        </w:tc>
        <w:tc>
          <w:tcPr>
            <w:tcW w:w="536" w:type="pct"/>
            <w:shd w:val="clear" w:color="auto" w:fill="auto"/>
            <w:vAlign w:val="center"/>
          </w:tcPr>
          <w:p w:rsidR="00DC6D2E" w:rsidRPr="00CE5C86" w:rsidRDefault="00DC6D2E" w:rsidP="00DC6D2E">
            <w:pPr>
              <w:widowControl w:val="0"/>
              <w:spacing w:before="40" w:after="40"/>
              <w:jc w:val="left"/>
              <w:rPr>
                <w:rFonts w:ascii="Arial Narrow" w:hAnsi="Arial Narrow"/>
                <w:sz w:val="20"/>
              </w:rPr>
            </w:pPr>
            <w:r w:rsidRPr="00CE5C86">
              <w:rPr>
                <w:rFonts w:ascii="Arial Narrow" w:hAnsi="Arial Narrow"/>
                <w:sz w:val="20"/>
              </w:rPr>
              <w:t>Unclear</w:t>
            </w:r>
          </w:p>
        </w:tc>
      </w:tr>
      <w:tr w:rsidR="00DC6D2E" w:rsidRPr="00CE5C86" w:rsidTr="007F7A5E">
        <w:tc>
          <w:tcPr>
            <w:tcW w:w="562" w:type="pct"/>
            <w:shd w:val="clear" w:color="auto" w:fill="auto"/>
            <w:vAlign w:val="center"/>
          </w:tcPr>
          <w:p w:rsidR="00DC6D2E" w:rsidRPr="00CE5C86" w:rsidRDefault="00DC6D2E" w:rsidP="00DC6D2E">
            <w:pPr>
              <w:widowControl w:val="0"/>
              <w:spacing w:before="40" w:after="40"/>
              <w:rPr>
                <w:rFonts w:ascii="Arial Narrow" w:hAnsi="Arial Narrow"/>
                <w:sz w:val="20"/>
              </w:rPr>
            </w:pPr>
            <w:r w:rsidRPr="00CE5C86">
              <w:rPr>
                <w:rFonts w:ascii="Arial Narrow" w:hAnsi="Arial Narrow"/>
                <w:sz w:val="20"/>
              </w:rPr>
              <w:t>Extrapolation</w:t>
            </w:r>
          </w:p>
        </w:tc>
        <w:tc>
          <w:tcPr>
            <w:tcW w:w="3902" w:type="pct"/>
            <w:shd w:val="clear" w:color="auto" w:fill="auto"/>
            <w:vAlign w:val="center"/>
          </w:tcPr>
          <w:p w:rsidR="00DC6D2E" w:rsidRPr="00CE5C86" w:rsidRDefault="00DC6D2E" w:rsidP="002730F4">
            <w:pPr>
              <w:widowControl w:val="0"/>
              <w:spacing w:before="40" w:after="40"/>
              <w:jc w:val="left"/>
              <w:rPr>
                <w:rFonts w:ascii="Arial Narrow" w:hAnsi="Arial Narrow"/>
                <w:sz w:val="20"/>
              </w:rPr>
            </w:pPr>
            <w:r w:rsidRPr="00CE5C86">
              <w:rPr>
                <w:rFonts w:ascii="Arial Narrow" w:hAnsi="Arial Narrow"/>
                <w:sz w:val="20"/>
              </w:rPr>
              <w:t xml:space="preserve">The submission extrapolated estimates of time to diagnosis with multiple sclerosis by fitting a Weibull curve to data from the </w:t>
            </w:r>
            <w:proofErr w:type="spellStart"/>
            <w:r w:rsidRPr="00CE5C86">
              <w:rPr>
                <w:rFonts w:ascii="Arial Narrow" w:hAnsi="Arial Narrow"/>
                <w:sz w:val="20"/>
              </w:rPr>
              <w:t>MSBase</w:t>
            </w:r>
            <w:proofErr w:type="spellEnd"/>
            <w:r w:rsidRPr="00CE5C86">
              <w:rPr>
                <w:rFonts w:ascii="Arial Narrow" w:hAnsi="Arial Narrow"/>
                <w:sz w:val="20"/>
              </w:rPr>
              <w:t xml:space="preserve"> cohort analysis.  Overall extrapolation was severely limited by the small number of values (conversion probabilities at 2 and 5 years) used to inform estimates. Extrapolated time to diagnosis with multiple sclerosis was substantially higher than estimates from the </w:t>
            </w:r>
            <w:proofErr w:type="spellStart"/>
            <w:r w:rsidRPr="00CE5C86">
              <w:rPr>
                <w:rFonts w:ascii="Arial Narrow" w:hAnsi="Arial Narrow"/>
                <w:sz w:val="20"/>
              </w:rPr>
              <w:t>PreCISe</w:t>
            </w:r>
            <w:proofErr w:type="spellEnd"/>
            <w:r w:rsidRPr="00CE5C86">
              <w:rPr>
                <w:rFonts w:ascii="Arial Narrow" w:hAnsi="Arial Narrow"/>
                <w:sz w:val="20"/>
              </w:rPr>
              <w:t xml:space="preserve"> trial. </w:t>
            </w:r>
            <w:r w:rsidR="00FA3CB8" w:rsidRPr="00CE5C86">
              <w:rPr>
                <w:rFonts w:ascii="Arial Narrow" w:hAnsi="Arial Narrow"/>
                <w:sz w:val="20"/>
              </w:rPr>
              <w:t xml:space="preserve"> The PSCR</w:t>
            </w:r>
            <w:r w:rsidR="00DE6F97" w:rsidRPr="00CE5C86">
              <w:rPr>
                <w:rFonts w:ascii="Arial Narrow" w:hAnsi="Arial Narrow"/>
                <w:sz w:val="20"/>
              </w:rPr>
              <w:t xml:space="preserve"> (p7)</w:t>
            </w:r>
            <w:r w:rsidR="00FA3CB8" w:rsidRPr="00CE5C86">
              <w:rPr>
                <w:rFonts w:ascii="Arial Narrow" w:hAnsi="Arial Narrow"/>
                <w:sz w:val="20"/>
              </w:rPr>
              <w:t xml:space="preserve"> argued that with discounting, the uncertainty over the model timeframe is substantially mitigated.</w:t>
            </w:r>
            <w:r w:rsidR="0021739D" w:rsidRPr="00CE5C86">
              <w:t xml:space="preserve"> </w:t>
            </w:r>
            <w:r w:rsidR="0021739D" w:rsidRPr="00CE5C86">
              <w:rPr>
                <w:rFonts w:ascii="Arial Narrow" w:hAnsi="Arial Narrow"/>
                <w:sz w:val="20"/>
              </w:rPr>
              <w:t xml:space="preserve">The ESC considered that a </w:t>
            </w:r>
            <w:r w:rsidR="002730F4" w:rsidRPr="00CE5C86">
              <w:rPr>
                <w:rFonts w:ascii="Arial Narrow" w:hAnsi="Arial Narrow"/>
                <w:sz w:val="20"/>
              </w:rPr>
              <w:t xml:space="preserve">shorter </w:t>
            </w:r>
            <w:r w:rsidR="0021739D" w:rsidRPr="00CE5C86">
              <w:rPr>
                <w:rFonts w:ascii="Arial Narrow" w:hAnsi="Arial Narrow"/>
                <w:sz w:val="20"/>
              </w:rPr>
              <w:t>time horizon may be more appropriate</w:t>
            </w:r>
            <w:r w:rsidR="0020138B" w:rsidRPr="00CE5C86">
              <w:rPr>
                <w:rFonts w:ascii="Arial Narrow" w:hAnsi="Arial Narrow"/>
                <w:sz w:val="20"/>
              </w:rPr>
              <w:t>; in this regard, the ESC noted that treatment with glatiramer in the model was limited to 20 years</w:t>
            </w:r>
            <w:r w:rsidR="0021739D" w:rsidRPr="00CE5C86">
              <w:rPr>
                <w:rFonts w:ascii="Arial Narrow" w:hAnsi="Arial Narrow"/>
                <w:sz w:val="20"/>
              </w:rPr>
              <w:t>.</w:t>
            </w:r>
            <w:r w:rsidR="00FD2149">
              <w:rPr>
                <w:rFonts w:ascii="Arial Narrow" w:hAnsi="Arial Narrow"/>
                <w:sz w:val="20"/>
              </w:rPr>
              <w:t xml:space="preserve"> The PBAC considered that the time horizon in the model was long and inconsistent with published economic models for clinically isolated syndrome, which typically had time horizons ranging from 15 – 50 years. </w:t>
            </w:r>
          </w:p>
        </w:tc>
        <w:tc>
          <w:tcPr>
            <w:tcW w:w="536" w:type="pct"/>
            <w:shd w:val="clear" w:color="auto" w:fill="auto"/>
            <w:vAlign w:val="center"/>
          </w:tcPr>
          <w:p w:rsidR="00DC6D2E" w:rsidRPr="00CE5C86" w:rsidRDefault="00DC6D2E" w:rsidP="00DC6D2E">
            <w:pPr>
              <w:widowControl w:val="0"/>
              <w:spacing w:before="40" w:after="40"/>
              <w:jc w:val="left"/>
              <w:rPr>
                <w:rFonts w:ascii="Arial Narrow" w:hAnsi="Arial Narrow"/>
                <w:sz w:val="20"/>
              </w:rPr>
            </w:pPr>
            <w:r w:rsidRPr="00CE5C86">
              <w:rPr>
                <w:rFonts w:ascii="Arial Narrow" w:hAnsi="Arial Narrow"/>
                <w:sz w:val="20"/>
              </w:rPr>
              <w:t>High, favours glatiramer acetate</w:t>
            </w:r>
          </w:p>
        </w:tc>
      </w:tr>
      <w:tr w:rsidR="00DC6D2E" w:rsidRPr="00CE5C86" w:rsidTr="007F7A5E">
        <w:tc>
          <w:tcPr>
            <w:tcW w:w="562" w:type="pct"/>
            <w:shd w:val="clear" w:color="auto" w:fill="auto"/>
            <w:vAlign w:val="center"/>
          </w:tcPr>
          <w:p w:rsidR="00DC6D2E" w:rsidRPr="00CE5C86" w:rsidRDefault="00DC6D2E" w:rsidP="00DC6D2E">
            <w:pPr>
              <w:widowControl w:val="0"/>
              <w:spacing w:before="40" w:after="40"/>
              <w:jc w:val="left"/>
              <w:rPr>
                <w:rFonts w:ascii="Arial Narrow" w:hAnsi="Arial Narrow"/>
                <w:sz w:val="20"/>
              </w:rPr>
            </w:pPr>
            <w:r w:rsidRPr="00CE5C86">
              <w:rPr>
                <w:rFonts w:ascii="Arial Narrow" w:hAnsi="Arial Narrow"/>
                <w:sz w:val="20"/>
              </w:rPr>
              <w:t>Utilities</w:t>
            </w:r>
          </w:p>
        </w:tc>
        <w:tc>
          <w:tcPr>
            <w:tcW w:w="3902" w:type="pct"/>
            <w:shd w:val="clear" w:color="auto" w:fill="auto"/>
            <w:vAlign w:val="center"/>
          </w:tcPr>
          <w:p w:rsidR="00DC6D2E" w:rsidRPr="00CE5C86" w:rsidRDefault="00DC6D2E" w:rsidP="00FA3CB8">
            <w:pPr>
              <w:widowControl w:val="0"/>
              <w:spacing w:before="40" w:after="40"/>
              <w:jc w:val="left"/>
              <w:rPr>
                <w:rFonts w:ascii="Arial Narrow" w:hAnsi="Arial Narrow"/>
                <w:sz w:val="20"/>
              </w:rPr>
            </w:pPr>
            <w:r w:rsidRPr="00CE5C86">
              <w:rPr>
                <w:rFonts w:ascii="Arial Narrow" w:hAnsi="Arial Narrow"/>
                <w:sz w:val="20"/>
              </w:rPr>
              <w:t xml:space="preserve">Utilities for MS-related health states were based on Prosser (2004). This source was inadequately justified and may not adequately reflect different levels of severity in EDSS states. The disutility for relapse was also based on Prosser (2004). The average disutility did not adequately adjust for severity level or duration of relapse. Treatment related </w:t>
            </w:r>
            <w:proofErr w:type="spellStart"/>
            <w:r w:rsidRPr="00CE5C86">
              <w:rPr>
                <w:rFonts w:ascii="Arial Narrow" w:hAnsi="Arial Narrow"/>
                <w:sz w:val="20"/>
              </w:rPr>
              <w:t>disutilities</w:t>
            </w:r>
            <w:proofErr w:type="spellEnd"/>
            <w:r w:rsidRPr="00CE5C86">
              <w:rPr>
                <w:rFonts w:ascii="Arial Narrow" w:hAnsi="Arial Narrow"/>
                <w:sz w:val="20"/>
              </w:rPr>
              <w:t xml:space="preserve"> were derived from a cost-effectiveness analysis of major depressive disorder treatments (Soini and </w:t>
            </w:r>
            <w:proofErr w:type="spellStart"/>
            <w:r w:rsidRPr="00CE5C86">
              <w:rPr>
                <w:rFonts w:ascii="Arial Narrow" w:hAnsi="Arial Narrow"/>
                <w:sz w:val="20"/>
              </w:rPr>
              <w:t>Hallinen</w:t>
            </w:r>
            <w:proofErr w:type="spellEnd"/>
            <w:r w:rsidRPr="00CE5C86">
              <w:rPr>
                <w:rFonts w:ascii="Arial Narrow" w:hAnsi="Arial Narrow"/>
                <w:sz w:val="20"/>
              </w:rPr>
              <w:t xml:space="preserve">, 2009). The estimates were based on numerous poorly supported assumptions and the disutility associated with glatiramer treatment is likely to be substantially underestimated. </w:t>
            </w:r>
            <w:r w:rsidR="00FA3CB8" w:rsidRPr="00CE5C86">
              <w:rPr>
                <w:rFonts w:ascii="Arial Narrow" w:hAnsi="Arial Narrow"/>
                <w:sz w:val="20"/>
              </w:rPr>
              <w:t xml:space="preserve"> </w:t>
            </w:r>
          </w:p>
        </w:tc>
        <w:tc>
          <w:tcPr>
            <w:tcW w:w="536" w:type="pct"/>
            <w:shd w:val="clear" w:color="auto" w:fill="auto"/>
            <w:vAlign w:val="center"/>
          </w:tcPr>
          <w:p w:rsidR="00DC6D2E" w:rsidRPr="00CE5C86" w:rsidRDefault="00DC6D2E" w:rsidP="00DC6D2E">
            <w:pPr>
              <w:widowControl w:val="0"/>
              <w:spacing w:before="40" w:after="40"/>
              <w:jc w:val="left"/>
              <w:rPr>
                <w:rFonts w:ascii="Arial Narrow" w:hAnsi="Arial Narrow"/>
                <w:sz w:val="20"/>
              </w:rPr>
            </w:pPr>
            <w:r w:rsidRPr="00CE5C86">
              <w:rPr>
                <w:rFonts w:ascii="Arial Narrow" w:hAnsi="Arial Narrow"/>
                <w:sz w:val="20"/>
              </w:rPr>
              <w:t>Moderate, favours glatiramer</w:t>
            </w:r>
          </w:p>
        </w:tc>
      </w:tr>
      <w:tr w:rsidR="0031423A" w:rsidRPr="00CE5C86" w:rsidTr="007F7A5E">
        <w:tc>
          <w:tcPr>
            <w:tcW w:w="562" w:type="pct"/>
            <w:shd w:val="clear" w:color="auto" w:fill="auto"/>
            <w:vAlign w:val="center"/>
          </w:tcPr>
          <w:p w:rsidR="0031423A" w:rsidRPr="00CE5C86" w:rsidRDefault="0031423A" w:rsidP="00DC6D2E">
            <w:pPr>
              <w:widowControl w:val="0"/>
              <w:spacing w:before="40" w:after="40"/>
              <w:jc w:val="left"/>
              <w:rPr>
                <w:rFonts w:ascii="Arial Narrow" w:hAnsi="Arial Narrow"/>
                <w:sz w:val="20"/>
              </w:rPr>
            </w:pPr>
            <w:r w:rsidRPr="00CE5C86">
              <w:rPr>
                <w:rFonts w:ascii="Arial Narrow" w:hAnsi="Arial Narrow"/>
                <w:sz w:val="20"/>
              </w:rPr>
              <w:t>Transition probabilities</w:t>
            </w:r>
          </w:p>
        </w:tc>
        <w:tc>
          <w:tcPr>
            <w:tcW w:w="3902" w:type="pct"/>
            <w:shd w:val="clear" w:color="auto" w:fill="auto"/>
            <w:vAlign w:val="center"/>
          </w:tcPr>
          <w:p w:rsidR="0031423A" w:rsidRPr="00CE5C86" w:rsidDel="00D6520C" w:rsidRDefault="0031423A" w:rsidP="0031423A">
            <w:pPr>
              <w:widowControl w:val="0"/>
              <w:spacing w:before="40" w:after="40"/>
              <w:jc w:val="left"/>
              <w:rPr>
                <w:rFonts w:ascii="Arial Narrow" w:hAnsi="Arial Narrow"/>
                <w:sz w:val="20"/>
              </w:rPr>
            </w:pPr>
            <w:r w:rsidRPr="00CE5C86">
              <w:rPr>
                <w:rFonts w:ascii="Arial Narrow" w:hAnsi="Arial Narrow"/>
                <w:sz w:val="20"/>
              </w:rPr>
              <w:t>The ESC noted the source for the transition probabilities was the London Ontario study with data collected from 1972-1984. The ESC noted it was not possible to transition to a lower EDSS state and that this does not reflect the progression of disease for RRMS.</w:t>
            </w:r>
          </w:p>
        </w:tc>
        <w:tc>
          <w:tcPr>
            <w:tcW w:w="536" w:type="pct"/>
            <w:shd w:val="clear" w:color="auto" w:fill="auto"/>
            <w:vAlign w:val="center"/>
          </w:tcPr>
          <w:p w:rsidR="0031423A" w:rsidRPr="00CE5C86" w:rsidRDefault="003730E3" w:rsidP="00DC6D2E">
            <w:pPr>
              <w:widowControl w:val="0"/>
              <w:spacing w:before="40" w:after="40"/>
              <w:jc w:val="left"/>
              <w:rPr>
                <w:rFonts w:ascii="Arial Narrow" w:hAnsi="Arial Narrow"/>
                <w:sz w:val="20"/>
              </w:rPr>
            </w:pPr>
            <w:r w:rsidRPr="00CE5C86">
              <w:rPr>
                <w:rFonts w:ascii="Arial Narrow" w:hAnsi="Arial Narrow"/>
                <w:sz w:val="20"/>
              </w:rPr>
              <w:t>Unclear</w:t>
            </w:r>
          </w:p>
        </w:tc>
      </w:tr>
      <w:tr w:rsidR="00FE346C" w:rsidRPr="00CE5C86" w:rsidTr="007F7A5E">
        <w:tc>
          <w:tcPr>
            <w:tcW w:w="562" w:type="pct"/>
            <w:shd w:val="clear" w:color="auto" w:fill="auto"/>
            <w:vAlign w:val="center"/>
          </w:tcPr>
          <w:p w:rsidR="00FE346C" w:rsidRPr="00CE5C86" w:rsidRDefault="00245B39" w:rsidP="00DC6D2E">
            <w:pPr>
              <w:widowControl w:val="0"/>
              <w:spacing w:before="40" w:after="40"/>
              <w:jc w:val="left"/>
              <w:rPr>
                <w:rFonts w:ascii="Arial Narrow" w:hAnsi="Arial Narrow"/>
                <w:sz w:val="20"/>
              </w:rPr>
            </w:pPr>
            <w:r w:rsidRPr="00CE5C86">
              <w:rPr>
                <w:rFonts w:ascii="Arial Narrow" w:hAnsi="Arial Narrow"/>
                <w:sz w:val="20"/>
              </w:rPr>
              <w:t>Costs associated with treatment</w:t>
            </w:r>
          </w:p>
        </w:tc>
        <w:tc>
          <w:tcPr>
            <w:tcW w:w="3902" w:type="pct"/>
            <w:shd w:val="clear" w:color="auto" w:fill="auto"/>
            <w:vAlign w:val="center"/>
          </w:tcPr>
          <w:p w:rsidR="00FE346C" w:rsidRPr="00CE5C86" w:rsidRDefault="00245B39" w:rsidP="00FA3CB8">
            <w:pPr>
              <w:widowControl w:val="0"/>
              <w:spacing w:before="40" w:after="40"/>
              <w:jc w:val="left"/>
              <w:rPr>
                <w:rFonts w:ascii="Arial Narrow" w:hAnsi="Arial Narrow"/>
                <w:sz w:val="20"/>
              </w:rPr>
            </w:pPr>
            <w:r w:rsidRPr="00CE5C86">
              <w:rPr>
                <w:rFonts w:ascii="Arial Narrow" w:hAnsi="Arial Narrow"/>
                <w:sz w:val="20"/>
              </w:rPr>
              <w:t>The submission failed to separate costs of disease modifying therapies</w:t>
            </w:r>
            <w:r w:rsidR="00D6520C" w:rsidRPr="00CE5C86">
              <w:rPr>
                <w:rFonts w:ascii="Arial Narrow" w:hAnsi="Arial Narrow"/>
                <w:sz w:val="20"/>
              </w:rPr>
              <w:t xml:space="preserve"> for RRMS</w:t>
            </w:r>
            <w:r w:rsidRPr="00CE5C86">
              <w:rPr>
                <w:rFonts w:ascii="Arial Narrow" w:hAnsi="Arial Narrow"/>
                <w:sz w:val="20"/>
              </w:rPr>
              <w:t xml:space="preserve"> from other disease-management associated costs. These costs should have been applied separately in the model, to enable the costs of disease modifying therapies to be removed from the health states where treatment is not expected to occur.</w:t>
            </w:r>
          </w:p>
          <w:p w:rsidR="00245B39" w:rsidRDefault="00D6520C" w:rsidP="00FA3CB8">
            <w:pPr>
              <w:widowControl w:val="0"/>
              <w:spacing w:before="40" w:after="40"/>
              <w:jc w:val="left"/>
              <w:rPr>
                <w:rFonts w:ascii="Arial Narrow" w:hAnsi="Arial Narrow"/>
                <w:iCs/>
                <w:sz w:val="20"/>
              </w:rPr>
            </w:pPr>
            <w:r w:rsidRPr="00CE5C86">
              <w:rPr>
                <w:rFonts w:ascii="Arial Narrow" w:hAnsi="Arial Narrow"/>
                <w:sz w:val="20"/>
              </w:rPr>
              <w:t xml:space="preserve">Annual disease management costs were based on a study which reviewed the economic impact of multiple sclerosis using longitudinal data from the Australian Multiple Sclerosis Longitudinal Study (AMSLS; Covance et al., 2010). The PBAC has previously raised concerns regarding the appropriateness of the source data for annual disease management costs (contradictory costs between different levels of disability; November 2012 </w:t>
            </w:r>
            <w:proofErr w:type="spellStart"/>
            <w:r w:rsidRPr="00CE5C86">
              <w:rPr>
                <w:rFonts w:ascii="Arial Narrow" w:hAnsi="Arial Narrow"/>
                <w:sz w:val="20"/>
              </w:rPr>
              <w:t>fampridine</w:t>
            </w:r>
            <w:proofErr w:type="spellEnd"/>
            <w:r w:rsidRPr="00CE5C86">
              <w:rPr>
                <w:rFonts w:ascii="Arial Narrow" w:hAnsi="Arial Narrow"/>
                <w:sz w:val="20"/>
              </w:rPr>
              <w:t xml:space="preserve"> PSD). Further</w:t>
            </w:r>
            <w:r w:rsidR="003730E3" w:rsidRPr="00CE5C86">
              <w:rPr>
                <w:rFonts w:ascii="Arial Narrow" w:hAnsi="Arial Narrow"/>
                <w:sz w:val="20"/>
              </w:rPr>
              <w:t>more</w:t>
            </w:r>
            <w:r w:rsidRPr="00CE5C86">
              <w:rPr>
                <w:rFonts w:ascii="Arial Narrow" w:hAnsi="Arial Narrow"/>
                <w:sz w:val="20"/>
              </w:rPr>
              <w:t xml:space="preserve">, </w:t>
            </w:r>
            <w:r w:rsidRPr="00CE5C86">
              <w:rPr>
                <w:rFonts w:ascii="Arial Narrow" w:hAnsi="Arial Narrow"/>
                <w:iCs/>
                <w:sz w:val="20"/>
              </w:rPr>
              <w:t>EDSS state was not directly measured during the costing study, but was mapped from the self-reported Disease Steps scale data obtained as part of the Australian MS Longitudinal Study (AMSLS) and therefore may not be reliable.</w:t>
            </w:r>
          </w:p>
          <w:p w:rsidR="006C09A0" w:rsidRPr="00CE5C86" w:rsidRDefault="006C09A0" w:rsidP="00FA3CB8">
            <w:pPr>
              <w:widowControl w:val="0"/>
              <w:spacing w:before="40" w:after="40"/>
              <w:jc w:val="left"/>
              <w:rPr>
                <w:rFonts w:ascii="Arial Narrow" w:hAnsi="Arial Narrow"/>
                <w:sz w:val="20"/>
              </w:rPr>
            </w:pPr>
            <w:r w:rsidRPr="00CB4017">
              <w:rPr>
                <w:rFonts w:ascii="Arial Narrow" w:hAnsi="Arial Narrow"/>
                <w:sz w:val="20"/>
              </w:rPr>
              <w:t>The PSCR identified that the commentary incorrectly stated that comparator cost was one of the main drivers of the economic model. The evaluation mislabel</w:t>
            </w:r>
            <w:r>
              <w:rPr>
                <w:rFonts w:ascii="Arial Narrow" w:hAnsi="Arial Narrow"/>
                <w:sz w:val="20"/>
              </w:rPr>
              <w:t xml:space="preserve">led disease management costs </w:t>
            </w:r>
            <w:r w:rsidRPr="00CB4017">
              <w:rPr>
                <w:rFonts w:ascii="Arial Narrow" w:hAnsi="Arial Narrow"/>
                <w:sz w:val="20"/>
              </w:rPr>
              <w:t>as comparator costs.</w:t>
            </w:r>
          </w:p>
        </w:tc>
        <w:tc>
          <w:tcPr>
            <w:tcW w:w="536" w:type="pct"/>
            <w:shd w:val="clear" w:color="auto" w:fill="auto"/>
            <w:vAlign w:val="center"/>
          </w:tcPr>
          <w:p w:rsidR="00FE346C" w:rsidRPr="00CE5C86" w:rsidRDefault="00DE6F97" w:rsidP="00DC6D2E">
            <w:pPr>
              <w:widowControl w:val="0"/>
              <w:spacing w:before="40" w:after="40"/>
              <w:jc w:val="left"/>
              <w:rPr>
                <w:rFonts w:ascii="Arial Narrow" w:hAnsi="Arial Narrow"/>
                <w:sz w:val="20"/>
              </w:rPr>
            </w:pPr>
            <w:r w:rsidRPr="00CE5C86">
              <w:rPr>
                <w:rFonts w:ascii="Arial Narrow" w:hAnsi="Arial Narrow"/>
                <w:sz w:val="20"/>
              </w:rPr>
              <w:t>Unclear</w:t>
            </w:r>
          </w:p>
        </w:tc>
      </w:tr>
    </w:tbl>
    <w:p w:rsidR="00301A76" w:rsidRPr="00CE5C86" w:rsidRDefault="00DC6D2E" w:rsidP="00DE6F97">
      <w:pPr>
        <w:widowControl w:val="0"/>
        <w:spacing w:before="0" w:after="240"/>
        <w:rPr>
          <w:rFonts w:ascii="Arial Narrow" w:eastAsia="Times New Roman" w:hAnsi="Arial Narrow" w:cs="Arial"/>
          <w:snapToGrid w:val="0"/>
          <w:sz w:val="18"/>
          <w:szCs w:val="20"/>
        </w:rPr>
      </w:pPr>
      <w:r w:rsidRPr="00CE5C86">
        <w:rPr>
          <w:rFonts w:ascii="Arial Narrow" w:eastAsia="Times New Roman" w:hAnsi="Arial Narrow" w:cs="Arial"/>
          <w:snapToGrid w:val="0"/>
          <w:sz w:val="18"/>
          <w:szCs w:val="20"/>
        </w:rPr>
        <w:t>Source: compiled during the evaluation (reference sections/tables/spre</w:t>
      </w:r>
      <w:r w:rsidR="00DE6F97" w:rsidRPr="00CE5C86">
        <w:rPr>
          <w:rFonts w:ascii="Arial Narrow" w:eastAsia="Times New Roman" w:hAnsi="Arial Narrow" w:cs="Arial"/>
          <w:snapToGrid w:val="0"/>
          <w:sz w:val="18"/>
          <w:szCs w:val="20"/>
        </w:rPr>
        <w:t>adsheets within the submission)</w:t>
      </w:r>
    </w:p>
    <w:p w:rsidR="00DE6F97" w:rsidRPr="00CE5C86" w:rsidRDefault="00DE6F97" w:rsidP="005875D1">
      <w:pPr>
        <w:numPr>
          <w:ilvl w:val="1"/>
          <w:numId w:val="3"/>
        </w:numPr>
        <w:spacing w:before="0" w:after="120"/>
      </w:pPr>
      <w:r w:rsidRPr="00CE5C86">
        <w:t xml:space="preserve">The proportion of patients in each health state (combining the EDSS states in RRMS and SPMS) over the 80 year duration of the model is shown in Figure </w:t>
      </w:r>
      <w:r w:rsidR="002A4F20" w:rsidRPr="00CE5C86">
        <w:t>2</w:t>
      </w:r>
      <w:r w:rsidRPr="00CE5C86">
        <w:t>.</w:t>
      </w:r>
    </w:p>
    <w:p w:rsidR="002A4F20" w:rsidRPr="00CE5C86" w:rsidRDefault="002A4F20" w:rsidP="002A4F20">
      <w:pPr>
        <w:pStyle w:val="Caption"/>
      </w:pPr>
      <w:r w:rsidRPr="00CE5C86">
        <w:t xml:space="preserve">Figure </w:t>
      </w:r>
      <w:r w:rsidR="002722E0">
        <w:rPr>
          <w:noProof/>
        </w:rPr>
        <w:t>2</w:t>
      </w:r>
      <w:r w:rsidRPr="00CE5C86">
        <w:t>: Model traces of the proportions of patients in CIS, RRMS, SPMS and dead health states</w:t>
      </w:r>
    </w:p>
    <w:p w:rsidR="00DE6F97" w:rsidRPr="00CE5C86" w:rsidRDefault="00DE6F97" w:rsidP="00DE6F97">
      <w:pPr>
        <w:pStyle w:val="TableHeading"/>
      </w:pPr>
      <w:r w:rsidRPr="00CE5C86">
        <w:rPr>
          <w:noProof/>
          <w:lang w:eastAsia="en-AU"/>
        </w:rPr>
        <w:drawing>
          <wp:inline distT="0" distB="0" distL="0" distR="0" wp14:anchorId="32A6BF62" wp14:editId="4208E65F">
            <wp:extent cx="5731510" cy="3743960"/>
            <wp:effectExtent l="0" t="0" r="2540" b="8890"/>
            <wp:docPr id="11" name="Chart 11" title="Model traces of the proportions of patients in CIS, RRMS, SPMS and dead health sta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6F97" w:rsidRPr="00CE5C86" w:rsidRDefault="00DE6F97" w:rsidP="00DE6F97">
      <w:pPr>
        <w:pStyle w:val="TableFooter"/>
      </w:pPr>
      <w:r w:rsidRPr="00CE5C86">
        <w:t xml:space="preserve">Source: constructed during the evaluation from the ‘CIS – (Step 4 Base Case’ </w:t>
      </w:r>
      <w:proofErr w:type="spellStart"/>
      <w:r w:rsidRPr="00CE5C86">
        <w:t>TreeAge</w:t>
      </w:r>
      <w:proofErr w:type="spellEnd"/>
      <w:r w:rsidRPr="00CE5C86">
        <w:t xml:space="preserve"> model provided with the submission</w:t>
      </w:r>
    </w:p>
    <w:p w:rsidR="00DE6F97" w:rsidRPr="00CE5C86" w:rsidRDefault="00DE6F97" w:rsidP="00DE6F97">
      <w:pPr>
        <w:pStyle w:val="TableFooter"/>
      </w:pPr>
      <w:r w:rsidRPr="00CE5C86">
        <w:t>Abbreviations: CIS, clinically isolated syndrome; RRMS, relapsing remitting multiple sclerosis; SPMS, secondary progressive multiple sclerosis.</w:t>
      </w:r>
    </w:p>
    <w:p w:rsidR="00DE6F97" w:rsidRPr="00CE5C86" w:rsidRDefault="00DE6F97" w:rsidP="005875D1">
      <w:pPr>
        <w:numPr>
          <w:ilvl w:val="1"/>
          <w:numId w:val="3"/>
        </w:numPr>
        <w:spacing w:before="0" w:after="120"/>
      </w:pPr>
      <w:r w:rsidRPr="00CE5C86">
        <w:t>The model delays progression to RRMS in patients treated wi</w:t>
      </w:r>
      <w:r w:rsidR="00460D2D" w:rsidRPr="00CE5C86">
        <w:t>th glatiramer acetate in the clinically isolated syndrome</w:t>
      </w:r>
      <w:r w:rsidRPr="00CE5C86">
        <w:t xml:space="preserve"> state (CIS: Early), which leads to a reduction in the time spent in RRMS, SPMS and in the dead state. There was no clinical evidence presented to support the effect of early treatment with glatiramer acetate on the reduction in time spen</w:t>
      </w:r>
      <w:r w:rsidR="007F7A5E">
        <w:t>t in multiple sclerosis states.</w:t>
      </w:r>
    </w:p>
    <w:p w:rsidR="00DE6F97" w:rsidRPr="00CE5C86" w:rsidRDefault="00DE6F97" w:rsidP="005875D1">
      <w:pPr>
        <w:numPr>
          <w:ilvl w:val="1"/>
          <w:numId w:val="3"/>
        </w:numPr>
        <w:spacing w:before="0" w:after="120"/>
      </w:pPr>
      <w:r w:rsidRPr="00CE5C86">
        <w:t>The average time in health states from the mo</w:t>
      </w:r>
      <w:r w:rsidR="00460D2D" w:rsidRPr="00CE5C86">
        <w:t xml:space="preserve">del is summarised in Table </w:t>
      </w:r>
      <w:r w:rsidR="002A4F20" w:rsidRPr="00CE5C86">
        <w:t>9</w:t>
      </w:r>
      <w:r w:rsidRPr="00CE5C86">
        <w:t>.</w:t>
      </w:r>
    </w:p>
    <w:p w:rsidR="002A4F20" w:rsidRPr="00CE5C86" w:rsidRDefault="002A4F20" w:rsidP="002A4F20">
      <w:pPr>
        <w:pStyle w:val="Caption"/>
      </w:pPr>
      <w:r w:rsidRPr="00CE5C86">
        <w:t xml:space="preserve">Table </w:t>
      </w:r>
      <w:r w:rsidR="007E6A8F">
        <w:rPr>
          <w:noProof/>
        </w:rPr>
        <w:t>9</w:t>
      </w:r>
      <w:r w:rsidRPr="00CE5C86">
        <w:t>: Average time in health states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11"/>
        <w:gridCol w:w="1909"/>
        <w:gridCol w:w="1911"/>
        <w:gridCol w:w="1911"/>
      </w:tblGrid>
      <w:tr w:rsidR="00DE6F97" w:rsidRPr="00CE5C86" w:rsidTr="00870E6F">
        <w:trPr>
          <w:cantSplit/>
          <w:tblHeader/>
        </w:trPr>
        <w:tc>
          <w:tcPr>
            <w:tcW w:w="1899" w:type="pct"/>
            <w:shd w:val="clear" w:color="auto" w:fill="FFFFFF" w:themeFill="background1"/>
            <w:vAlign w:val="center"/>
          </w:tcPr>
          <w:p w:rsidR="00DE6F97" w:rsidRPr="00CE5C86" w:rsidRDefault="00DE6F97" w:rsidP="00870E6F">
            <w:pPr>
              <w:pStyle w:val="TableText"/>
              <w:rPr>
                <w:b/>
                <w:szCs w:val="20"/>
              </w:rPr>
            </w:pPr>
            <w:r w:rsidRPr="00CE5C86">
              <w:rPr>
                <w:b/>
                <w:szCs w:val="20"/>
              </w:rPr>
              <w:t>Health state in model</w:t>
            </w:r>
          </w:p>
        </w:tc>
        <w:tc>
          <w:tcPr>
            <w:tcW w:w="1033" w:type="pct"/>
            <w:shd w:val="clear" w:color="auto" w:fill="FFFFFF" w:themeFill="background1"/>
            <w:vAlign w:val="center"/>
          </w:tcPr>
          <w:p w:rsidR="00DE6F97" w:rsidRPr="00CE5C86" w:rsidRDefault="00DE6F97" w:rsidP="00870E6F">
            <w:pPr>
              <w:pStyle w:val="TableText"/>
              <w:jc w:val="center"/>
              <w:rPr>
                <w:b/>
                <w:szCs w:val="20"/>
              </w:rPr>
            </w:pPr>
            <w:r w:rsidRPr="00CE5C86">
              <w:rPr>
                <w:b/>
                <w:szCs w:val="20"/>
              </w:rPr>
              <w:t>Glatiramer</w:t>
            </w:r>
          </w:p>
        </w:tc>
        <w:tc>
          <w:tcPr>
            <w:tcW w:w="1034" w:type="pct"/>
            <w:shd w:val="clear" w:color="auto" w:fill="FFFFFF" w:themeFill="background1"/>
            <w:vAlign w:val="center"/>
          </w:tcPr>
          <w:p w:rsidR="00DE6F97" w:rsidRPr="00CE5C86" w:rsidRDefault="00DE6F97" w:rsidP="00870E6F">
            <w:pPr>
              <w:pStyle w:val="TableText"/>
              <w:jc w:val="center"/>
              <w:rPr>
                <w:b/>
                <w:szCs w:val="20"/>
              </w:rPr>
            </w:pPr>
            <w:r w:rsidRPr="00CE5C86">
              <w:rPr>
                <w:b/>
                <w:szCs w:val="20"/>
              </w:rPr>
              <w:t>Placebo</w:t>
            </w:r>
          </w:p>
        </w:tc>
        <w:tc>
          <w:tcPr>
            <w:tcW w:w="1034" w:type="pct"/>
            <w:shd w:val="clear" w:color="auto" w:fill="FFFFFF" w:themeFill="background1"/>
            <w:vAlign w:val="center"/>
          </w:tcPr>
          <w:p w:rsidR="00DE6F97" w:rsidRPr="00CE5C86" w:rsidRDefault="00DE6F97" w:rsidP="00870E6F">
            <w:pPr>
              <w:pStyle w:val="TableText"/>
              <w:jc w:val="center"/>
              <w:rPr>
                <w:b/>
                <w:szCs w:val="20"/>
              </w:rPr>
            </w:pPr>
            <w:r w:rsidRPr="00CE5C86">
              <w:rPr>
                <w:b/>
                <w:szCs w:val="20"/>
              </w:rPr>
              <w:t>Increment</w:t>
            </w:r>
          </w:p>
        </w:tc>
      </w:tr>
      <w:tr w:rsidR="00DE6F97" w:rsidRPr="00CE5C86" w:rsidTr="00870E6F">
        <w:trPr>
          <w:cantSplit/>
        </w:trPr>
        <w:tc>
          <w:tcPr>
            <w:tcW w:w="1899" w:type="pct"/>
            <w:shd w:val="clear" w:color="auto" w:fill="FFFFFF" w:themeFill="background1"/>
            <w:vAlign w:val="center"/>
          </w:tcPr>
          <w:p w:rsidR="00DE6F97" w:rsidRPr="00CE5C86" w:rsidRDefault="00DE6F97" w:rsidP="00870E6F">
            <w:pPr>
              <w:pStyle w:val="TableText"/>
              <w:jc w:val="left"/>
              <w:rPr>
                <w:rFonts w:eastAsia="Times New Roman" w:cs="Times New Roman"/>
                <w:szCs w:val="20"/>
              </w:rPr>
            </w:pPr>
            <w:r w:rsidRPr="00CE5C86">
              <w:rPr>
                <w:rFonts w:eastAsia="Times New Roman" w:cs="Times New Roman"/>
                <w:szCs w:val="20"/>
              </w:rPr>
              <w:t>Clinically isolated syndrome</w:t>
            </w:r>
          </w:p>
        </w:tc>
        <w:tc>
          <w:tcPr>
            <w:tcW w:w="1033" w:type="pct"/>
            <w:shd w:val="clear" w:color="auto" w:fill="FFFFFF" w:themeFill="background1"/>
            <w:vAlign w:val="center"/>
          </w:tcPr>
          <w:p w:rsidR="00DE6F97" w:rsidRPr="00CE5C86" w:rsidRDefault="00DE6F97" w:rsidP="00870E6F">
            <w:pPr>
              <w:pStyle w:val="TableText"/>
              <w:jc w:val="center"/>
              <w:rPr>
                <w:rFonts w:eastAsia="Times New Roman" w:cs="Times New Roman"/>
                <w:szCs w:val="20"/>
              </w:rPr>
            </w:pPr>
            <w:r w:rsidRPr="00CE5C86">
              <w:rPr>
                <w:rFonts w:eastAsia="Times New Roman" w:cs="Times New Roman"/>
                <w:szCs w:val="20"/>
              </w:rPr>
              <w:t>6.24</w:t>
            </w:r>
          </w:p>
        </w:tc>
        <w:tc>
          <w:tcPr>
            <w:tcW w:w="1034" w:type="pct"/>
            <w:shd w:val="clear" w:color="auto" w:fill="FFFFFF" w:themeFill="background1"/>
            <w:vAlign w:val="center"/>
          </w:tcPr>
          <w:p w:rsidR="00DE6F97" w:rsidRPr="00CE5C86" w:rsidRDefault="00DE6F97" w:rsidP="00870E6F">
            <w:pPr>
              <w:pStyle w:val="TableText"/>
              <w:jc w:val="center"/>
              <w:rPr>
                <w:rFonts w:eastAsia="Times New Roman" w:cs="Times New Roman"/>
                <w:szCs w:val="20"/>
              </w:rPr>
            </w:pPr>
            <w:r w:rsidRPr="00CE5C86">
              <w:rPr>
                <w:rFonts w:eastAsia="Times New Roman" w:cs="Times New Roman"/>
                <w:szCs w:val="20"/>
              </w:rPr>
              <w:t>2.19</w:t>
            </w:r>
          </w:p>
        </w:tc>
        <w:tc>
          <w:tcPr>
            <w:tcW w:w="1034" w:type="pct"/>
            <w:shd w:val="clear" w:color="auto" w:fill="FFFFFF" w:themeFill="background1"/>
            <w:vAlign w:val="center"/>
          </w:tcPr>
          <w:p w:rsidR="00DE6F97" w:rsidRPr="00CE5C86" w:rsidRDefault="00DE6F97" w:rsidP="00870E6F">
            <w:pPr>
              <w:pStyle w:val="TableText"/>
              <w:jc w:val="center"/>
              <w:rPr>
                <w:rFonts w:eastAsia="Times New Roman" w:cs="Times New Roman"/>
                <w:szCs w:val="20"/>
              </w:rPr>
            </w:pPr>
            <w:r w:rsidRPr="00CE5C86">
              <w:rPr>
                <w:rFonts w:eastAsia="Times New Roman" w:cs="Times New Roman"/>
                <w:szCs w:val="20"/>
              </w:rPr>
              <w:t>4.05</w:t>
            </w:r>
          </w:p>
        </w:tc>
      </w:tr>
      <w:tr w:rsidR="00DE6F97" w:rsidRPr="00CE5C86" w:rsidTr="00870E6F">
        <w:trPr>
          <w:cantSplit/>
        </w:trPr>
        <w:tc>
          <w:tcPr>
            <w:tcW w:w="1899" w:type="pct"/>
            <w:shd w:val="clear" w:color="auto" w:fill="FFFFFF" w:themeFill="background1"/>
            <w:vAlign w:val="center"/>
          </w:tcPr>
          <w:p w:rsidR="00DE6F97" w:rsidRPr="00CE5C86" w:rsidRDefault="00DE6F97" w:rsidP="00870E6F">
            <w:pPr>
              <w:pStyle w:val="TableText"/>
              <w:jc w:val="left"/>
              <w:rPr>
                <w:rFonts w:eastAsia="Times New Roman" w:cs="Times New Roman"/>
                <w:szCs w:val="20"/>
              </w:rPr>
            </w:pPr>
            <w:r w:rsidRPr="00CE5C86">
              <w:rPr>
                <w:rFonts w:eastAsia="Times New Roman" w:cs="Times New Roman"/>
                <w:szCs w:val="20"/>
              </w:rPr>
              <w:t>Relapsing remitting multiple sclerosis</w:t>
            </w:r>
          </w:p>
        </w:tc>
        <w:tc>
          <w:tcPr>
            <w:tcW w:w="1033" w:type="pct"/>
            <w:shd w:val="clear" w:color="auto" w:fill="FFFFFF" w:themeFill="background1"/>
            <w:vAlign w:val="center"/>
          </w:tcPr>
          <w:p w:rsidR="00DE6F97" w:rsidRPr="00CE5C86" w:rsidRDefault="00DE6F97" w:rsidP="00870E6F">
            <w:pPr>
              <w:pStyle w:val="TableText"/>
              <w:jc w:val="center"/>
              <w:rPr>
                <w:rFonts w:eastAsia="Times New Roman" w:cs="Times New Roman"/>
                <w:szCs w:val="20"/>
              </w:rPr>
            </w:pPr>
            <w:r w:rsidRPr="00CE5C86">
              <w:rPr>
                <w:rFonts w:eastAsia="Times New Roman" w:cs="Times New Roman"/>
                <w:szCs w:val="20"/>
              </w:rPr>
              <w:t>13.06</w:t>
            </w:r>
          </w:p>
        </w:tc>
        <w:tc>
          <w:tcPr>
            <w:tcW w:w="1034" w:type="pct"/>
            <w:shd w:val="clear" w:color="auto" w:fill="FFFFFF" w:themeFill="background1"/>
            <w:vAlign w:val="center"/>
          </w:tcPr>
          <w:p w:rsidR="00DE6F97" w:rsidRPr="00CE5C86" w:rsidRDefault="00DE6F97" w:rsidP="00870E6F">
            <w:pPr>
              <w:pStyle w:val="TableText"/>
              <w:jc w:val="center"/>
              <w:rPr>
                <w:rFonts w:eastAsia="Times New Roman" w:cs="Times New Roman"/>
                <w:szCs w:val="20"/>
              </w:rPr>
            </w:pPr>
            <w:r w:rsidRPr="00CE5C86">
              <w:rPr>
                <w:rFonts w:eastAsia="Times New Roman" w:cs="Times New Roman"/>
                <w:szCs w:val="20"/>
              </w:rPr>
              <w:t>13.64</w:t>
            </w:r>
          </w:p>
        </w:tc>
        <w:tc>
          <w:tcPr>
            <w:tcW w:w="1034" w:type="pct"/>
            <w:shd w:val="clear" w:color="auto" w:fill="FFFFFF" w:themeFill="background1"/>
            <w:vAlign w:val="center"/>
          </w:tcPr>
          <w:p w:rsidR="00DE6F97" w:rsidRPr="00CE5C86" w:rsidRDefault="00DE6F97" w:rsidP="00870E6F">
            <w:pPr>
              <w:pStyle w:val="TableText"/>
              <w:jc w:val="center"/>
              <w:rPr>
                <w:rFonts w:eastAsia="Times New Roman" w:cs="Times New Roman"/>
                <w:szCs w:val="20"/>
              </w:rPr>
            </w:pPr>
            <w:r w:rsidRPr="00CE5C86">
              <w:rPr>
                <w:rFonts w:eastAsia="Times New Roman" w:cs="Times New Roman"/>
                <w:szCs w:val="20"/>
              </w:rPr>
              <w:t>-0.58</w:t>
            </w:r>
          </w:p>
        </w:tc>
      </w:tr>
      <w:tr w:rsidR="00DE6F97" w:rsidRPr="00CE5C86" w:rsidTr="00870E6F">
        <w:trPr>
          <w:cantSplit/>
        </w:trPr>
        <w:tc>
          <w:tcPr>
            <w:tcW w:w="1899" w:type="pct"/>
            <w:shd w:val="clear" w:color="auto" w:fill="FFFFFF" w:themeFill="background1"/>
            <w:vAlign w:val="center"/>
          </w:tcPr>
          <w:p w:rsidR="00DE6F97" w:rsidRPr="00CE5C86" w:rsidRDefault="00DE6F97" w:rsidP="00870E6F">
            <w:pPr>
              <w:pStyle w:val="TableText"/>
              <w:jc w:val="left"/>
              <w:rPr>
                <w:rFonts w:eastAsia="Times New Roman" w:cs="Times New Roman"/>
                <w:szCs w:val="20"/>
              </w:rPr>
            </w:pPr>
            <w:r w:rsidRPr="00CE5C86">
              <w:rPr>
                <w:rFonts w:eastAsia="Times New Roman" w:cs="Times New Roman"/>
                <w:szCs w:val="20"/>
              </w:rPr>
              <w:t>Secondary progressive multiple sclerosis</w:t>
            </w:r>
          </w:p>
        </w:tc>
        <w:tc>
          <w:tcPr>
            <w:tcW w:w="1033" w:type="pct"/>
            <w:shd w:val="clear" w:color="auto" w:fill="FFFFFF" w:themeFill="background1"/>
            <w:vAlign w:val="center"/>
          </w:tcPr>
          <w:p w:rsidR="00DE6F97" w:rsidRPr="00CE5C86" w:rsidRDefault="00DE6F97" w:rsidP="00870E6F">
            <w:pPr>
              <w:pStyle w:val="TableText"/>
              <w:jc w:val="center"/>
              <w:rPr>
                <w:rFonts w:eastAsia="Times New Roman" w:cs="Times New Roman"/>
                <w:szCs w:val="20"/>
              </w:rPr>
            </w:pPr>
            <w:r w:rsidRPr="00CE5C86">
              <w:rPr>
                <w:rFonts w:eastAsia="Times New Roman" w:cs="Times New Roman"/>
                <w:szCs w:val="20"/>
              </w:rPr>
              <w:t>25.47</w:t>
            </w:r>
          </w:p>
        </w:tc>
        <w:tc>
          <w:tcPr>
            <w:tcW w:w="1034" w:type="pct"/>
            <w:shd w:val="clear" w:color="auto" w:fill="FFFFFF" w:themeFill="background1"/>
            <w:vAlign w:val="center"/>
          </w:tcPr>
          <w:p w:rsidR="00DE6F97" w:rsidRPr="00CE5C86" w:rsidRDefault="00DE6F97" w:rsidP="00870E6F">
            <w:pPr>
              <w:pStyle w:val="TableText"/>
              <w:jc w:val="center"/>
              <w:rPr>
                <w:rFonts w:eastAsia="Times New Roman" w:cs="Times New Roman"/>
                <w:szCs w:val="20"/>
              </w:rPr>
            </w:pPr>
            <w:r w:rsidRPr="00CE5C86">
              <w:rPr>
                <w:rFonts w:eastAsia="Times New Roman" w:cs="Times New Roman"/>
                <w:szCs w:val="20"/>
              </w:rPr>
              <w:t>27.69</w:t>
            </w:r>
          </w:p>
        </w:tc>
        <w:tc>
          <w:tcPr>
            <w:tcW w:w="1034" w:type="pct"/>
            <w:shd w:val="clear" w:color="auto" w:fill="FFFFFF" w:themeFill="background1"/>
            <w:vAlign w:val="center"/>
          </w:tcPr>
          <w:p w:rsidR="00DE6F97" w:rsidRPr="00CE5C86" w:rsidRDefault="00DE6F97" w:rsidP="00870E6F">
            <w:pPr>
              <w:pStyle w:val="TableText"/>
              <w:jc w:val="center"/>
              <w:rPr>
                <w:rFonts w:eastAsia="Times New Roman" w:cs="Times New Roman"/>
                <w:szCs w:val="20"/>
              </w:rPr>
            </w:pPr>
            <w:r w:rsidRPr="00CE5C86">
              <w:rPr>
                <w:rFonts w:eastAsia="Times New Roman" w:cs="Times New Roman"/>
                <w:szCs w:val="20"/>
              </w:rPr>
              <w:t>-2.22</w:t>
            </w:r>
          </w:p>
        </w:tc>
      </w:tr>
      <w:tr w:rsidR="00DE6F97" w:rsidRPr="00CE5C86" w:rsidTr="00870E6F">
        <w:trPr>
          <w:cantSplit/>
        </w:trPr>
        <w:tc>
          <w:tcPr>
            <w:tcW w:w="1899" w:type="pct"/>
            <w:shd w:val="clear" w:color="auto" w:fill="FFFFFF" w:themeFill="background1"/>
            <w:vAlign w:val="center"/>
          </w:tcPr>
          <w:p w:rsidR="00DE6F97" w:rsidRPr="00CE5C86" w:rsidRDefault="00DE6F97" w:rsidP="00870E6F">
            <w:pPr>
              <w:pStyle w:val="TableText"/>
              <w:jc w:val="left"/>
              <w:rPr>
                <w:rFonts w:eastAsia="Times New Roman" w:cs="Times New Roman"/>
                <w:szCs w:val="20"/>
              </w:rPr>
            </w:pPr>
            <w:r w:rsidRPr="00CE5C86">
              <w:rPr>
                <w:rFonts w:eastAsia="Times New Roman" w:cs="Times New Roman"/>
                <w:szCs w:val="20"/>
              </w:rPr>
              <w:t>Total time</w:t>
            </w:r>
          </w:p>
        </w:tc>
        <w:tc>
          <w:tcPr>
            <w:tcW w:w="1033" w:type="pct"/>
            <w:shd w:val="clear" w:color="auto" w:fill="FFFFFF" w:themeFill="background1"/>
            <w:vAlign w:val="center"/>
          </w:tcPr>
          <w:p w:rsidR="00DE6F97" w:rsidRPr="00CE5C86" w:rsidRDefault="00DE6F97" w:rsidP="00870E6F">
            <w:pPr>
              <w:pStyle w:val="TableText"/>
              <w:jc w:val="center"/>
              <w:rPr>
                <w:rFonts w:eastAsia="Times New Roman" w:cs="Times New Roman"/>
                <w:szCs w:val="20"/>
              </w:rPr>
            </w:pPr>
            <w:r w:rsidRPr="00CE5C86">
              <w:rPr>
                <w:rFonts w:eastAsia="Times New Roman" w:cs="Times New Roman"/>
                <w:szCs w:val="20"/>
              </w:rPr>
              <w:t>44.77</w:t>
            </w:r>
          </w:p>
        </w:tc>
        <w:tc>
          <w:tcPr>
            <w:tcW w:w="1034" w:type="pct"/>
            <w:shd w:val="clear" w:color="auto" w:fill="FFFFFF" w:themeFill="background1"/>
            <w:vAlign w:val="center"/>
          </w:tcPr>
          <w:p w:rsidR="00DE6F97" w:rsidRPr="00CE5C86" w:rsidRDefault="00DE6F97" w:rsidP="00870E6F">
            <w:pPr>
              <w:pStyle w:val="TableText"/>
              <w:jc w:val="center"/>
              <w:rPr>
                <w:rFonts w:eastAsia="Times New Roman" w:cs="Times New Roman"/>
                <w:szCs w:val="20"/>
              </w:rPr>
            </w:pPr>
            <w:r w:rsidRPr="00CE5C86">
              <w:rPr>
                <w:rFonts w:eastAsia="Times New Roman" w:cs="Times New Roman"/>
                <w:szCs w:val="20"/>
              </w:rPr>
              <w:t>43.52</w:t>
            </w:r>
          </w:p>
        </w:tc>
        <w:tc>
          <w:tcPr>
            <w:tcW w:w="1034" w:type="pct"/>
            <w:shd w:val="clear" w:color="auto" w:fill="FFFFFF" w:themeFill="background1"/>
            <w:vAlign w:val="center"/>
          </w:tcPr>
          <w:p w:rsidR="00DE6F97" w:rsidRPr="00CE5C86" w:rsidRDefault="00DE6F97" w:rsidP="00870E6F">
            <w:pPr>
              <w:pStyle w:val="TableText"/>
              <w:jc w:val="center"/>
              <w:rPr>
                <w:rFonts w:eastAsia="Times New Roman" w:cs="Times New Roman"/>
                <w:szCs w:val="20"/>
              </w:rPr>
            </w:pPr>
            <w:r w:rsidRPr="00CE5C86">
              <w:rPr>
                <w:rFonts w:eastAsia="Times New Roman" w:cs="Times New Roman"/>
                <w:szCs w:val="20"/>
              </w:rPr>
              <w:t>1.25</w:t>
            </w:r>
          </w:p>
        </w:tc>
      </w:tr>
    </w:tbl>
    <w:p w:rsidR="00DE6F97" w:rsidRPr="00CE5C86" w:rsidRDefault="00DE6F97" w:rsidP="00DE6F97">
      <w:pPr>
        <w:pStyle w:val="TableFooter"/>
      </w:pPr>
      <w:r w:rsidRPr="00CE5C86">
        <w:t>Source: Table 3-23, p63, Section 3 of the submission</w:t>
      </w:r>
    </w:p>
    <w:p w:rsidR="00DE6F97" w:rsidRPr="00CE5C86" w:rsidRDefault="00DE6F97" w:rsidP="005875D1">
      <w:pPr>
        <w:numPr>
          <w:ilvl w:val="1"/>
          <w:numId w:val="3"/>
        </w:numPr>
        <w:spacing w:before="0" w:after="120"/>
      </w:pPr>
      <w:r w:rsidRPr="00CE5C86">
        <w:t>The</w:t>
      </w:r>
      <w:r w:rsidR="007F7A5E">
        <w:t xml:space="preserve"> model estimated </w:t>
      </w:r>
      <w:r w:rsidRPr="00CE5C86">
        <w:t xml:space="preserve">an approximately four year delay on average in time to diagnosis with clinically isolated syndrome. This is significantly longer than the delay to diagnosis with clinically definite multiple sclerosis in the </w:t>
      </w:r>
      <w:proofErr w:type="spellStart"/>
      <w:r w:rsidRPr="00CE5C86">
        <w:t>PreCISe</w:t>
      </w:r>
      <w:proofErr w:type="spellEnd"/>
      <w:r w:rsidRPr="00CE5C86">
        <w:t xml:space="preserve"> trial (2.66 years</w:t>
      </w:r>
      <w:r w:rsidR="00E371AC" w:rsidRPr="00CE5C86">
        <w:t xml:space="preserve"> based on the difference at the 35</w:t>
      </w:r>
      <w:r w:rsidR="00E371AC" w:rsidRPr="00CE5C86">
        <w:rPr>
          <w:vertAlign w:val="superscript"/>
        </w:rPr>
        <w:t>th</w:t>
      </w:r>
      <w:r w:rsidR="00E371AC" w:rsidRPr="00CE5C86">
        <w:t xml:space="preserve"> percentile for the open label follow-up of the </w:t>
      </w:r>
      <w:proofErr w:type="spellStart"/>
      <w:r w:rsidR="00E371AC" w:rsidRPr="00CE5C86">
        <w:t>PreCISe</w:t>
      </w:r>
      <w:proofErr w:type="spellEnd"/>
      <w:r w:rsidR="00E371AC" w:rsidRPr="00CE5C86">
        <w:t xml:space="preserve"> trial</w:t>
      </w:r>
      <w:r w:rsidRPr="00CE5C86">
        <w:t xml:space="preserve">). The submission claimed that this is due to the modelled population being restricted to patients with a high risk of rapid conversion. The economic model could not be robustly validated against the </w:t>
      </w:r>
      <w:proofErr w:type="spellStart"/>
      <w:proofErr w:type="gramStart"/>
      <w:r w:rsidRPr="00CE5C86">
        <w:t>PreCIS</w:t>
      </w:r>
      <w:r w:rsidR="00403A08">
        <w:t>e</w:t>
      </w:r>
      <w:proofErr w:type="spellEnd"/>
      <w:proofErr w:type="gramEnd"/>
      <w:r w:rsidRPr="00CE5C86">
        <w:t xml:space="preserve"> trial as the model was not structured to include lower risk patients (and therefore it was unclear whether other factors may also be affecting the time to RRMS conversion).</w:t>
      </w:r>
      <w:r w:rsidR="006C09A0">
        <w:t xml:space="preserve"> The pre-PBAC response (p3) argued that the modelled delay in progression is longer than the trial’s 2.66 years because the open label phase underestimates the clinical benefit as placebo patients were actively treated once they progressed. The pre-PBAC response (p3) argued that the true number of years delayed (if there was no crossover in the trial) would have been greater. </w:t>
      </w:r>
      <w:r w:rsidR="00403A08">
        <w:t>T</w:t>
      </w:r>
      <w:r w:rsidR="00FD2149">
        <w:t>he PBAC considered that applying a longer delay in average time to diagnosis with clinically isolated syndrome in the model compared to the trial results (4 years instead of 2.66 years) was not appropriate a</w:t>
      </w:r>
      <w:r w:rsidR="00F25EB1">
        <w:t>nd favoured glatiramer acetate.</w:t>
      </w:r>
    </w:p>
    <w:p w:rsidR="00A52367" w:rsidRPr="00CE5C86" w:rsidRDefault="004A04B5" w:rsidP="005875D1">
      <w:pPr>
        <w:numPr>
          <w:ilvl w:val="1"/>
          <w:numId w:val="3"/>
        </w:numPr>
        <w:spacing w:before="0" w:after="120"/>
      </w:pPr>
      <w:r w:rsidRPr="00CE5C86">
        <w:t xml:space="preserve">The trial outcome of delay in time to diagnosis with multiple sclerosis is linked to the final outcome of QALYs via an inflexible model structure which does not allow patients with delayed diagnosis of multiple sclerosis to “catch up” in disability and mortality terms to those with earlier onset. </w:t>
      </w:r>
      <w:r w:rsidR="00A52367" w:rsidRPr="00CE5C86">
        <w:t xml:space="preserve">The ESC </w:t>
      </w:r>
      <w:r w:rsidRPr="00CE5C86">
        <w:t xml:space="preserve">therefore </w:t>
      </w:r>
      <w:r w:rsidR="00A52367" w:rsidRPr="00CE5C86">
        <w:t>considered that the model may have overestimated mortality due to multiple sclerosis, as the difference in median mortality for the natural history arm versus all-cause mortality is high (approximately 12 years, greater than the 7-8 years quoted in the submission). This contributes to a mortality benefit associated with early treatment with glatiramer acetate. The assumption of sustained</w:t>
      </w:r>
      <w:r w:rsidRPr="00CE5C86">
        <w:t xml:space="preserve"> mortality</w:t>
      </w:r>
      <w:r w:rsidR="00A52367" w:rsidRPr="00CE5C86">
        <w:t xml:space="preserve"> benefit is unjustified.</w:t>
      </w:r>
      <w:r w:rsidR="006C09A0">
        <w:t xml:space="preserve"> The pre-PBAC response (p3) stated that the central clinical proposition of the submission lies in the clinical rationale that treatment prevents brain atrophy. The pre-PBAC response argued that once brain atrophy occurs it cannot be </w:t>
      </w:r>
      <w:proofErr w:type="gramStart"/>
      <w:r w:rsidR="006C09A0">
        <w:t>reversed,</w:t>
      </w:r>
      <w:proofErr w:type="gramEnd"/>
      <w:r w:rsidR="006C09A0">
        <w:t xml:space="preserve"> therefore treating patients later does not allow “catch up” of brain atrophy. </w:t>
      </w:r>
      <w:r w:rsidR="00FD2149">
        <w:t>The PBAC noted that the clinical evidence presented by the submission did not indicate any significant i</w:t>
      </w:r>
      <w:r w:rsidR="00F25EB1">
        <w:t>mpact on long term disability.</w:t>
      </w:r>
    </w:p>
    <w:p w:rsidR="00360C88" w:rsidRPr="00CE5C86" w:rsidRDefault="00301A76" w:rsidP="005875D1">
      <w:pPr>
        <w:numPr>
          <w:ilvl w:val="1"/>
          <w:numId w:val="3"/>
        </w:numPr>
        <w:spacing w:before="0" w:after="120"/>
      </w:pPr>
      <w:r w:rsidRPr="00CE5C86">
        <w:t xml:space="preserve">The ESC </w:t>
      </w:r>
      <w:r w:rsidR="00460D2D" w:rsidRPr="00CE5C86">
        <w:t>noted that the Weibull extrapolation</w:t>
      </w:r>
      <w:r w:rsidR="00107804" w:rsidRPr="00CE5C86">
        <w:t xml:space="preserve"> for time to diagnosis with multiple sclerosis relied on only 2 data points from the </w:t>
      </w:r>
      <w:proofErr w:type="spellStart"/>
      <w:r w:rsidR="00107804" w:rsidRPr="00CE5C86">
        <w:t>MSBase</w:t>
      </w:r>
      <w:proofErr w:type="spellEnd"/>
      <w:r w:rsidR="00107804" w:rsidRPr="00CE5C86">
        <w:t xml:space="preserve"> cohort analysis</w:t>
      </w:r>
      <w:r w:rsidR="00460D2D" w:rsidRPr="00CE5C86">
        <w:t xml:space="preserve"> and considered that this </w:t>
      </w:r>
      <w:r w:rsidR="002730F4" w:rsidRPr="00CE5C86">
        <w:t xml:space="preserve">led to considerable </w:t>
      </w:r>
      <w:r w:rsidR="00460D2D" w:rsidRPr="00CE5C86">
        <w:t xml:space="preserve">uncertainty </w:t>
      </w:r>
      <w:r w:rsidR="002730F4" w:rsidRPr="00CE5C86">
        <w:t xml:space="preserve">in </w:t>
      </w:r>
      <w:r w:rsidR="00460D2D" w:rsidRPr="00CE5C86">
        <w:t xml:space="preserve">the modelled results, </w:t>
      </w:r>
      <w:r w:rsidR="002730F4" w:rsidRPr="00CE5C86">
        <w:t xml:space="preserve">and </w:t>
      </w:r>
      <w:r w:rsidR="00460D2D" w:rsidRPr="00CE5C86">
        <w:t xml:space="preserve">likely favoured glatiramer acetate. </w:t>
      </w:r>
      <w:r w:rsidR="006C09A0">
        <w:t xml:space="preserve">The pre-PBAC response (p3) argued that using only 2 time points to fit the Weibull extrapolation was reasonable given that only 2 time-points were available. The pre-PBAC response argued that given 92.7% of patients are taken to have progressed without treatment by 5 </w:t>
      </w:r>
      <w:proofErr w:type="gramStart"/>
      <w:r w:rsidR="006C09A0">
        <w:t>years,</w:t>
      </w:r>
      <w:proofErr w:type="gramEnd"/>
      <w:r w:rsidR="006C09A0">
        <w:t xml:space="preserve"> this did</w:t>
      </w:r>
      <w:r w:rsidR="00F25EB1">
        <w:t xml:space="preserve"> not favour glatiramer acetate.</w:t>
      </w:r>
    </w:p>
    <w:p w:rsidR="00482023" w:rsidRPr="00CE5C86" w:rsidRDefault="00482023" w:rsidP="00482023">
      <w:pPr>
        <w:pStyle w:val="Caption"/>
      </w:pPr>
      <w:r w:rsidRPr="00CE5C86">
        <w:t xml:space="preserve">Table </w:t>
      </w:r>
      <w:r w:rsidR="007E6A8F">
        <w:rPr>
          <w:noProof/>
        </w:rPr>
        <w:t>10</w:t>
      </w:r>
      <w:r w:rsidRPr="00CE5C86">
        <w:t>: A summary of health state utilities used in the submission using utilities identified in published literature</w:t>
      </w:r>
    </w:p>
    <w:tbl>
      <w:tblPr>
        <w:tblStyle w:val="TableGridbeth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 summary of health state utilities used in the submission using utilities identified in published literature"/>
      </w:tblPr>
      <w:tblGrid>
        <w:gridCol w:w="1440"/>
        <w:gridCol w:w="1950"/>
        <w:gridCol w:w="1951"/>
        <w:gridCol w:w="1950"/>
        <w:gridCol w:w="1951"/>
      </w:tblGrid>
      <w:tr w:rsidR="00360C88" w:rsidRPr="00CE5C86" w:rsidTr="00D20B47">
        <w:trPr>
          <w:cnfStyle w:val="100000000000" w:firstRow="1" w:lastRow="0" w:firstColumn="0" w:lastColumn="0" w:oddVBand="0" w:evenVBand="0" w:oddHBand="0" w:evenHBand="0" w:firstRowFirstColumn="0" w:firstRowLastColumn="0" w:lastRowFirstColumn="0" w:lastRowLastColumn="0"/>
          <w:tblHeader/>
        </w:trPr>
        <w:tc>
          <w:tcPr>
            <w:tcW w:w="1440" w:type="dxa"/>
            <w:shd w:val="clear" w:color="auto" w:fill="FFFFFF" w:themeFill="background1"/>
          </w:tcPr>
          <w:p w:rsidR="00360C88" w:rsidRPr="00CE5C86" w:rsidRDefault="00360C88" w:rsidP="00870E6F">
            <w:pPr>
              <w:keepNext/>
              <w:spacing w:before="40" w:after="40"/>
              <w:rPr>
                <w:rFonts w:ascii="Arial Narrow" w:eastAsia="Calibri" w:hAnsi="Arial Narrow" w:cs="Arial"/>
                <w:sz w:val="20"/>
              </w:rPr>
            </w:pPr>
            <w:r w:rsidRPr="00CE5C86">
              <w:rPr>
                <w:rFonts w:ascii="Arial Narrow" w:eastAsia="Calibri" w:hAnsi="Arial Narrow" w:cs="Arial"/>
                <w:sz w:val="20"/>
              </w:rPr>
              <w:t>EDSS</w:t>
            </w:r>
          </w:p>
        </w:tc>
        <w:tc>
          <w:tcPr>
            <w:tcW w:w="1950" w:type="dxa"/>
            <w:shd w:val="clear" w:color="auto" w:fill="FFFFFF" w:themeFill="background1"/>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rPr>
              <w:t>Prosser (2004)</w:t>
            </w:r>
          </w:p>
        </w:tc>
        <w:tc>
          <w:tcPr>
            <w:tcW w:w="1951" w:type="dxa"/>
            <w:shd w:val="clear" w:color="auto" w:fill="FFFFFF" w:themeFill="background1"/>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rPr>
              <w:t>Orme (2007)</w:t>
            </w:r>
          </w:p>
        </w:tc>
        <w:tc>
          <w:tcPr>
            <w:tcW w:w="1950" w:type="dxa"/>
            <w:shd w:val="clear" w:color="auto" w:fill="FFFFFF" w:themeFill="background1"/>
          </w:tcPr>
          <w:p w:rsidR="00360C88" w:rsidRPr="00CE5C86" w:rsidRDefault="00360C88" w:rsidP="00870E6F">
            <w:pPr>
              <w:keepNext/>
              <w:spacing w:before="40" w:after="40"/>
              <w:jc w:val="center"/>
              <w:rPr>
                <w:rFonts w:ascii="Arial Narrow" w:eastAsia="Calibri" w:hAnsi="Arial Narrow" w:cs="Arial"/>
                <w:sz w:val="20"/>
              </w:rPr>
            </w:pPr>
            <w:proofErr w:type="spellStart"/>
            <w:r w:rsidRPr="00CE5C86">
              <w:rPr>
                <w:rFonts w:ascii="Arial Narrow" w:eastAsia="Calibri" w:hAnsi="Arial Narrow" w:cs="Arial"/>
                <w:sz w:val="20"/>
              </w:rPr>
              <w:t>Kobelt</w:t>
            </w:r>
            <w:proofErr w:type="spellEnd"/>
            <w:r w:rsidRPr="00CE5C86">
              <w:rPr>
                <w:rFonts w:ascii="Arial Narrow" w:eastAsia="Calibri" w:hAnsi="Arial Narrow" w:cs="Arial"/>
                <w:sz w:val="20"/>
              </w:rPr>
              <w:t xml:space="preserve"> (2006)</w:t>
            </w:r>
          </w:p>
        </w:tc>
        <w:tc>
          <w:tcPr>
            <w:tcW w:w="1951" w:type="dxa"/>
            <w:shd w:val="clear" w:color="auto" w:fill="FFFFFF" w:themeFill="background1"/>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rPr>
              <w:t>Ahmad (2016)</w:t>
            </w:r>
          </w:p>
        </w:tc>
      </w:tr>
      <w:tr w:rsidR="00360C88" w:rsidRPr="00CE5C86" w:rsidTr="00D20B47">
        <w:trPr>
          <w:cnfStyle w:val="100000000000" w:firstRow="1" w:lastRow="0" w:firstColumn="0" w:lastColumn="0" w:oddVBand="0" w:evenVBand="0" w:oddHBand="0" w:evenHBand="0" w:firstRowFirstColumn="0" w:firstRowLastColumn="0" w:lastRowFirstColumn="0" w:lastRowLastColumn="0"/>
          <w:tblHeader/>
        </w:trPr>
        <w:tc>
          <w:tcPr>
            <w:tcW w:w="1440" w:type="dxa"/>
          </w:tcPr>
          <w:p w:rsidR="00360C88" w:rsidRPr="00CE5C86" w:rsidRDefault="00360C88" w:rsidP="00870E6F">
            <w:pPr>
              <w:keepNext/>
              <w:spacing w:before="40" w:after="40"/>
              <w:rPr>
                <w:rFonts w:ascii="Arial Narrow" w:eastAsia="Calibri" w:hAnsi="Arial Narrow" w:cs="Arial"/>
                <w:sz w:val="20"/>
              </w:rPr>
            </w:pPr>
            <w:r w:rsidRPr="00CE5C86">
              <w:rPr>
                <w:rFonts w:ascii="Arial Narrow" w:eastAsia="Calibri" w:hAnsi="Arial Narrow" w:cs="Arial"/>
                <w:sz w:val="20"/>
              </w:rPr>
              <w:t>2</w:t>
            </w:r>
          </w:p>
        </w:tc>
        <w:tc>
          <w:tcPr>
            <w:tcW w:w="1950"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0.954</w:t>
            </w:r>
          </w:p>
        </w:tc>
        <w:tc>
          <w:tcPr>
            <w:tcW w:w="1951"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0.71</w:t>
            </w:r>
          </w:p>
        </w:tc>
        <w:tc>
          <w:tcPr>
            <w:tcW w:w="1950"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0.73</w:t>
            </w:r>
          </w:p>
        </w:tc>
        <w:tc>
          <w:tcPr>
            <w:tcW w:w="1951" w:type="dxa"/>
            <w:vAlign w:val="bottom"/>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0.61</w:t>
            </w:r>
          </w:p>
        </w:tc>
      </w:tr>
      <w:tr w:rsidR="00360C88" w:rsidRPr="00CE5C86" w:rsidTr="00D20B47">
        <w:trPr>
          <w:cnfStyle w:val="100000000000" w:firstRow="1" w:lastRow="0" w:firstColumn="0" w:lastColumn="0" w:oddVBand="0" w:evenVBand="0" w:oddHBand="0" w:evenHBand="0" w:firstRowFirstColumn="0" w:firstRowLastColumn="0" w:lastRowFirstColumn="0" w:lastRowLastColumn="0"/>
          <w:tblHeader/>
        </w:trPr>
        <w:tc>
          <w:tcPr>
            <w:tcW w:w="1440" w:type="dxa"/>
          </w:tcPr>
          <w:p w:rsidR="00360C88" w:rsidRPr="00CE5C86" w:rsidRDefault="00360C88" w:rsidP="00870E6F">
            <w:pPr>
              <w:keepNext/>
              <w:spacing w:before="40" w:after="40"/>
              <w:rPr>
                <w:rFonts w:ascii="Arial Narrow" w:eastAsia="Calibri" w:hAnsi="Arial Narrow" w:cs="Arial"/>
                <w:sz w:val="20"/>
              </w:rPr>
            </w:pPr>
            <w:r w:rsidRPr="00CE5C86">
              <w:rPr>
                <w:rFonts w:ascii="Arial Narrow" w:eastAsia="Calibri" w:hAnsi="Arial Narrow" w:cs="Arial"/>
                <w:sz w:val="20"/>
              </w:rPr>
              <w:t>3</w:t>
            </w:r>
          </w:p>
        </w:tc>
        <w:tc>
          <w:tcPr>
            <w:tcW w:w="1950"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0.87</w:t>
            </w:r>
          </w:p>
        </w:tc>
        <w:tc>
          <w:tcPr>
            <w:tcW w:w="1951" w:type="dxa"/>
            <w:shd w:val="clear" w:color="auto" w:fill="auto"/>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0.58</w:t>
            </w:r>
          </w:p>
        </w:tc>
        <w:tc>
          <w:tcPr>
            <w:tcW w:w="1950" w:type="dxa"/>
            <w:shd w:val="clear" w:color="auto" w:fill="auto"/>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0.58</w:t>
            </w:r>
          </w:p>
        </w:tc>
        <w:tc>
          <w:tcPr>
            <w:tcW w:w="1951" w:type="dxa"/>
            <w:vAlign w:val="bottom"/>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0.61</w:t>
            </w:r>
          </w:p>
        </w:tc>
      </w:tr>
      <w:tr w:rsidR="00360C88" w:rsidRPr="00CE5C86" w:rsidTr="00D20B47">
        <w:trPr>
          <w:cnfStyle w:val="100000000000" w:firstRow="1" w:lastRow="0" w:firstColumn="0" w:lastColumn="0" w:oddVBand="0" w:evenVBand="0" w:oddHBand="0" w:evenHBand="0" w:firstRowFirstColumn="0" w:firstRowLastColumn="0" w:lastRowFirstColumn="0" w:lastRowLastColumn="0"/>
          <w:tblHeader/>
        </w:trPr>
        <w:tc>
          <w:tcPr>
            <w:tcW w:w="1440" w:type="dxa"/>
          </w:tcPr>
          <w:p w:rsidR="00360C88" w:rsidRPr="00CE5C86" w:rsidRDefault="00360C88" w:rsidP="00870E6F">
            <w:pPr>
              <w:keepNext/>
              <w:spacing w:before="40" w:after="40"/>
              <w:rPr>
                <w:rFonts w:ascii="Arial Narrow" w:eastAsia="Calibri" w:hAnsi="Arial Narrow" w:cs="Arial"/>
                <w:sz w:val="20"/>
              </w:rPr>
            </w:pPr>
            <w:r w:rsidRPr="00CE5C86">
              <w:rPr>
                <w:rFonts w:ascii="Arial Narrow" w:eastAsia="Calibri" w:hAnsi="Arial Narrow" w:cs="Arial"/>
                <w:sz w:val="20"/>
              </w:rPr>
              <w:t>4</w:t>
            </w:r>
          </w:p>
        </w:tc>
        <w:tc>
          <w:tcPr>
            <w:tcW w:w="1950"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0.87</w:t>
            </w:r>
          </w:p>
        </w:tc>
        <w:tc>
          <w:tcPr>
            <w:tcW w:w="1951" w:type="dxa"/>
            <w:shd w:val="clear" w:color="auto" w:fill="auto"/>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0.62</w:t>
            </w:r>
          </w:p>
        </w:tc>
        <w:tc>
          <w:tcPr>
            <w:tcW w:w="1950" w:type="dxa"/>
            <w:shd w:val="clear" w:color="auto" w:fill="auto"/>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0.63</w:t>
            </w:r>
          </w:p>
        </w:tc>
        <w:tc>
          <w:tcPr>
            <w:tcW w:w="1951" w:type="dxa"/>
            <w:vAlign w:val="bottom"/>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0.51</w:t>
            </w:r>
          </w:p>
        </w:tc>
      </w:tr>
      <w:tr w:rsidR="00360C88" w:rsidRPr="00CE5C86" w:rsidTr="00D20B47">
        <w:trPr>
          <w:cnfStyle w:val="100000000000" w:firstRow="1" w:lastRow="0" w:firstColumn="0" w:lastColumn="0" w:oddVBand="0" w:evenVBand="0" w:oddHBand="0" w:evenHBand="0" w:firstRowFirstColumn="0" w:firstRowLastColumn="0" w:lastRowFirstColumn="0" w:lastRowLastColumn="0"/>
          <w:tblHeader/>
        </w:trPr>
        <w:tc>
          <w:tcPr>
            <w:tcW w:w="1440" w:type="dxa"/>
          </w:tcPr>
          <w:p w:rsidR="00360C88" w:rsidRPr="00CE5C86" w:rsidRDefault="00360C88" w:rsidP="00870E6F">
            <w:pPr>
              <w:keepNext/>
              <w:spacing w:before="40" w:after="40"/>
              <w:rPr>
                <w:rFonts w:ascii="Arial Narrow" w:eastAsia="Calibri" w:hAnsi="Arial Narrow" w:cs="Arial"/>
                <w:sz w:val="20"/>
              </w:rPr>
            </w:pPr>
            <w:r w:rsidRPr="00CE5C86">
              <w:rPr>
                <w:rFonts w:ascii="Arial Narrow" w:eastAsia="Calibri" w:hAnsi="Arial Narrow" w:cs="Arial"/>
                <w:sz w:val="20"/>
              </w:rPr>
              <w:t>5</w:t>
            </w:r>
          </w:p>
        </w:tc>
        <w:tc>
          <w:tcPr>
            <w:tcW w:w="1950"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0.87</w:t>
            </w:r>
          </w:p>
        </w:tc>
        <w:tc>
          <w:tcPr>
            <w:tcW w:w="1951"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0.52</w:t>
            </w:r>
          </w:p>
        </w:tc>
        <w:tc>
          <w:tcPr>
            <w:tcW w:w="1950"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0.52</w:t>
            </w:r>
          </w:p>
        </w:tc>
        <w:tc>
          <w:tcPr>
            <w:tcW w:w="1951" w:type="dxa"/>
            <w:vAlign w:val="bottom"/>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0.51</w:t>
            </w:r>
          </w:p>
        </w:tc>
      </w:tr>
      <w:tr w:rsidR="00360C88" w:rsidRPr="00CE5C86" w:rsidTr="00D20B47">
        <w:trPr>
          <w:cnfStyle w:val="100000000000" w:firstRow="1" w:lastRow="0" w:firstColumn="0" w:lastColumn="0" w:oddVBand="0" w:evenVBand="0" w:oddHBand="0" w:evenHBand="0" w:firstRowFirstColumn="0" w:firstRowLastColumn="0" w:lastRowFirstColumn="0" w:lastRowLastColumn="0"/>
          <w:tblHeader/>
        </w:trPr>
        <w:tc>
          <w:tcPr>
            <w:tcW w:w="1440" w:type="dxa"/>
          </w:tcPr>
          <w:p w:rsidR="00360C88" w:rsidRPr="00CE5C86" w:rsidRDefault="00360C88" w:rsidP="00870E6F">
            <w:pPr>
              <w:keepNext/>
              <w:spacing w:before="40" w:after="40"/>
              <w:rPr>
                <w:rFonts w:ascii="Arial Narrow" w:eastAsia="Calibri" w:hAnsi="Arial Narrow" w:cs="Arial"/>
                <w:sz w:val="20"/>
              </w:rPr>
            </w:pPr>
            <w:r w:rsidRPr="00CE5C86">
              <w:rPr>
                <w:rFonts w:ascii="Arial Narrow" w:eastAsia="Calibri" w:hAnsi="Arial Narrow" w:cs="Arial"/>
                <w:sz w:val="20"/>
              </w:rPr>
              <w:t>6</w:t>
            </w:r>
          </w:p>
        </w:tc>
        <w:tc>
          <w:tcPr>
            <w:tcW w:w="1950"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0.769</w:t>
            </w:r>
          </w:p>
        </w:tc>
        <w:tc>
          <w:tcPr>
            <w:tcW w:w="1951"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0.46</w:t>
            </w:r>
          </w:p>
        </w:tc>
        <w:tc>
          <w:tcPr>
            <w:tcW w:w="1950"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0.47</w:t>
            </w:r>
          </w:p>
        </w:tc>
        <w:tc>
          <w:tcPr>
            <w:tcW w:w="1951" w:type="dxa"/>
            <w:vAlign w:val="bottom"/>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0.51</w:t>
            </w:r>
          </w:p>
        </w:tc>
      </w:tr>
      <w:tr w:rsidR="00360C88" w:rsidRPr="00CE5C86" w:rsidTr="00D20B47">
        <w:trPr>
          <w:cnfStyle w:val="100000000000" w:firstRow="1" w:lastRow="0" w:firstColumn="0" w:lastColumn="0" w:oddVBand="0" w:evenVBand="0" w:oddHBand="0" w:evenHBand="0" w:firstRowFirstColumn="0" w:firstRowLastColumn="0" w:lastRowFirstColumn="0" w:lastRowLastColumn="0"/>
          <w:tblHeader/>
        </w:trPr>
        <w:tc>
          <w:tcPr>
            <w:tcW w:w="1440" w:type="dxa"/>
          </w:tcPr>
          <w:p w:rsidR="00360C88" w:rsidRPr="00CE5C86" w:rsidRDefault="00360C88" w:rsidP="00870E6F">
            <w:pPr>
              <w:keepNext/>
              <w:spacing w:before="40" w:after="40"/>
              <w:rPr>
                <w:rFonts w:ascii="Arial Narrow" w:eastAsia="Calibri" w:hAnsi="Arial Narrow" w:cs="Arial"/>
                <w:sz w:val="20"/>
              </w:rPr>
            </w:pPr>
            <w:r w:rsidRPr="00CE5C86">
              <w:rPr>
                <w:rFonts w:ascii="Arial Narrow" w:eastAsia="Calibri" w:hAnsi="Arial Narrow" w:cs="Arial"/>
                <w:sz w:val="20"/>
              </w:rPr>
              <w:t>7</w:t>
            </w:r>
          </w:p>
        </w:tc>
        <w:tc>
          <w:tcPr>
            <w:tcW w:w="1950"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0.769</w:t>
            </w:r>
          </w:p>
        </w:tc>
        <w:tc>
          <w:tcPr>
            <w:tcW w:w="1951"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0.3</w:t>
            </w:r>
          </w:p>
        </w:tc>
        <w:tc>
          <w:tcPr>
            <w:tcW w:w="1950"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0.32</w:t>
            </w:r>
          </w:p>
        </w:tc>
        <w:tc>
          <w:tcPr>
            <w:tcW w:w="1951" w:type="dxa"/>
            <w:vAlign w:val="bottom"/>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0.4</w:t>
            </w:r>
          </w:p>
        </w:tc>
      </w:tr>
      <w:tr w:rsidR="00360C88" w:rsidRPr="00CE5C86" w:rsidTr="00D20B47">
        <w:trPr>
          <w:cnfStyle w:val="100000000000" w:firstRow="1" w:lastRow="0" w:firstColumn="0" w:lastColumn="0" w:oddVBand="0" w:evenVBand="0" w:oddHBand="0" w:evenHBand="0" w:firstRowFirstColumn="0" w:firstRowLastColumn="0" w:lastRowFirstColumn="0" w:lastRowLastColumn="0"/>
          <w:tblHeader/>
        </w:trPr>
        <w:tc>
          <w:tcPr>
            <w:tcW w:w="1440" w:type="dxa"/>
          </w:tcPr>
          <w:p w:rsidR="00360C88" w:rsidRPr="00CE5C86" w:rsidRDefault="00360C88" w:rsidP="00870E6F">
            <w:pPr>
              <w:keepNext/>
              <w:spacing w:before="40" w:after="40"/>
              <w:rPr>
                <w:rFonts w:ascii="Arial Narrow" w:eastAsia="Calibri" w:hAnsi="Arial Narrow" w:cs="Arial"/>
                <w:sz w:val="20"/>
              </w:rPr>
            </w:pPr>
            <w:r w:rsidRPr="00CE5C86">
              <w:rPr>
                <w:rFonts w:ascii="Arial Narrow" w:eastAsia="Calibri" w:hAnsi="Arial Narrow" w:cs="Arial"/>
                <w:sz w:val="20"/>
              </w:rPr>
              <w:t>8</w:t>
            </w:r>
          </w:p>
        </w:tc>
        <w:tc>
          <w:tcPr>
            <w:tcW w:w="1950"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0.491</w:t>
            </w:r>
          </w:p>
        </w:tc>
        <w:tc>
          <w:tcPr>
            <w:tcW w:w="1951"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-0.04</w:t>
            </w:r>
          </w:p>
        </w:tc>
        <w:tc>
          <w:tcPr>
            <w:tcW w:w="1950"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-0.03</w:t>
            </w:r>
          </w:p>
        </w:tc>
        <w:tc>
          <w:tcPr>
            <w:tcW w:w="1951" w:type="dxa"/>
            <w:vAlign w:val="bottom"/>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0.4</w:t>
            </w:r>
          </w:p>
        </w:tc>
      </w:tr>
      <w:tr w:rsidR="00360C88" w:rsidRPr="00CE5C86" w:rsidTr="00D20B47">
        <w:trPr>
          <w:cnfStyle w:val="100000000000" w:firstRow="1" w:lastRow="0" w:firstColumn="0" w:lastColumn="0" w:oddVBand="0" w:evenVBand="0" w:oddHBand="0" w:evenHBand="0" w:firstRowFirstColumn="0" w:firstRowLastColumn="0" w:lastRowFirstColumn="0" w:lastRowLastColumn="0"/>
          <w:tblHeader/>
        </w:trPr>
        <w:tc>
          <w:tcPr>
            <w:tcW w:w="1440" w:type="dxa"/>
          </w:tcPr>
          <w:p w:rsidR="00360C88" w:rsidRPr="00CE5C86" w:rsidRDefault="00360C88" w:rsidP="00870E6F">
            <w:pPr>
              <w:keepNext/>
              <w:spacing w:before="40" w:after="40"/>
              <w:rPr>
                <w:rFonts w:ascii="Arial Narrow" w:eastAsia="Calibri" w:hAnsi="Arial Narrow" w:cs="Arial"/>
                <w:sz w:val="20"/>
              </w:rPr>
            </w:pPr>
            <w:r w:rsidRPr="00CE5C86">
              <w:rPr>
                <w:rFonts w:ascii="Arial Narrow" w:eastAsia="Calibri" w:hAnsi="Arial Narrow" w:cs="Arial"/>
                <w:sz w:val="20"/>
              </w:rPr>
              <w:t>9</w:t>
            </w:r>
          </w:p>
        </w:tc>
        <w:tc>
          <w:tcPr>
            <w:tcW w:w="1950"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0.491</w:t>
            </w:r>
          </w:p>
        </w:tc>
        <w:tc>
          <w:tcPr>
            <w:tcW w:w="1951"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-0.19</w:t>
            </w:r>
          </w:p>
        </w:tc>
        <w:tc>
          <w:tcPr>
            <w:tcW w:w="1950" w:type="dxa"/>
            <w:vAlign w:val="center"/>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-0.18</w:t>
            </w:r>
          </w:p>
        </w:tc>
        <w:tc>
          <w:tcPr>
            <w:tcW w:w="1951" w:type="dxa"/>
            <w:vAlign w:val="bottom"/>
          </w:tcPr>
          <w:p w:rsidR="00360C88" w:rsidRPr="00CE5C86" w:rsidRDefault="00360C88" w:rsidP="00870E6F">
            <w:pPr>
              <w:keepNext/>
              <w:spacing w:before="40" w:after="40"/>
              <w:jc w:val="center"/>
              <w:rPr>
                <w:rFonts w:ascii="Arial Narrow" w:eastAsia="Calibri" w:hAnsi="Arial Narrow" w:cs="Arial"/>
                <w:sz w:val="20"/>
              </w:rPr>
            </w:pPr>
            <w:r w:rsidRPr="00CE5C86">
              <w:rPr>
                <w:rFonts w:ascii="Arial Narrow" w:eastAsia="Calibri" w:hAnsi="Arial Narrow" w:cs="Arial"/>
                <w:sz w:val="20"/>
                <w:lang w:eastAsia="en-AU"/>
              </w:rPr>
              <w:t>0.4</w:t>
            </w:r>
          </w:p>
        </w:tc>
      </w:tr>
    </w:tbl>
    <w:p w:rsidR="00360C88" w:rsidRPr="00CE5C86" w:rsidRDefault="00360C88" w:rsidP="00360C88">
      <w:pPr>
        <w:pStyle w:val="TableFooter"/>
        <w:rPr>
          <w:rFonts w:eastAsia="Calibri"/>
        </w:rPr>
      </w:pPr>
      <w:r w:rsidRPr="00CE5C86">
        <w:rPr>
          <w:rFonts w:eastAsia="Calibri"/>
        </w:rPr>
        <w:t>Source: Table 3-5, p.30 Section 3 of the submission</w:t>
      </w:r>
    </w:p>
    <w:p w:rsidR="00360C88" w:rsidRPr="00CE5C86" w:rsidRDefault="008469A7" w:rsidP="005875D1">
      <w:pPr>
        <w:pStyle w:val="ListParagraph"/>
        <w:numPr>
          <w:ilvl w:val="1"/>
          <w:numId w:val="3"/>
        </w:numPr>
      </w:pPr>
      <w:r w:rsidRPr="00CE5C86">
        <w:t xml:space="preserve">The submission assumed utility estimates for each EDSS score (2-8) based on the Prosser (2004) publication for the base case and used Orme (2007) RRMS utilities, </w:t>
      </w:r>
      <w:proofErr w:type="spellStart"/>
      <w:r w:rsidRPr="00CE5C86">
        <w:t>Kobelt</w:t>
      </w:r>
      <w:proofErr w:type="spellEnd"/>
      <w:r w:rsidRPr="00CE5C86">
        <w:t xml:space="preserve"> (2006) and Ahmad (2016) to derive utility estimates for sensitivity analyses. There was no justification provided for the selected estimates for each EDSS score. All identified studies derived utilities for health states defined by different groups based on EDSS score (e.g. Prosser 2004 reported utilities for EDSS 0-2.5, 3-5.5, 6-7.5 and 8-9.5). The use of utilities derived using health states based on different definitions to the model may not be appropriate as the approach assumes no utility decrement with increasing disability (e.g. no change in utility between EDSS 3 to EDSS 5).</w:t>
      </w:r>
    </w:p>
    <w:p w:rsidR="008469A7" w:rsidRPr="00CE5C86" w:rsidRDefault="008469A7" w:rsidP="00F25EB1">
      <w:pPr>
        <w:numPr>
          <w:ilvl w:val="1"/>
          <w:numId w:val="3"/>
        </w:numPr>
        <w:spacing w:before="0" w:after="120"/>
      </w:pPr>
      <w:r w:rsidRPr="00CE5C86">
        <w:t>The ESC considered that</w:t>
      </w:r>
      <w:r w:rsidR="00F25EB1">
        <w:t>,</w:t>
      </w:r>
      <w:r w:rsidRPr="00CE5C86">
        <w:t xml:space="preserve"> given an EDSS 3 </w:t>
      </w:r>
      <w:r w:rsidR="00F25EB1">
        <w:t xml:space="preserve">score </w:t>
      </w:r>
      <w:r w:rsidRPr="00CE5C86">
        <w:t>represent</w:t>
      </w:r>
      <w:r w:rsidR="00F25EB1">
        <w:t>s</w:t>
      </w:r>
      <w:r w:rsidRPr="00CE5C86">
        <w:t xml:space="preserve"> moderate disability with no impairment to walking, and an EDSS 5 </w:t>
      </w:r>
      <w:r w:rsidR="00F25EB1">
        <w:t xml:space="preserve">score </w:t>
      </w:r>
      <w:r w:rsidRPr="00CE5C86">
        <w:t>represent</w:t>
      </w:r>
      <w:r w:rsidR="00F25EB1">
        <w:t>s</w:t>
      </w:r>
      <w:r w:rsidRPr="00CE5C86">
        <w:t xml:space="preserve"> disability severe enough to impair full daily activities and the patient can only walk without aid or rest for 200m, </w:t>
      </w:r>
      <w:r w:rsidR="003730E3" w:rsidRPr="00CE5C86">
        <w:t>usage of the same utilities for these two health states lack</w:t>
      </w:r>
      <w:r w:rsidR="00435D84" w:rsidRPr="00CE5C86">
        <w:t>ed</w:t>
      </w:r>
      <w:r w:rsidR="003730E3" w:rsidRPr="00CE5C86">
        <w:t xml:space="preserve"> face validity</w:t>
      </w:r>
      <w:r w:rsidR="00F25EB1">
        <w:t>.</w:t>
      </w:r>
    </w:p>
    <w:p w:rsidR="00DC6D2E" w:rsidRPr="00CE5C86" w:rsidRDefault="00DC6D2E" w:rsidP="005875D1">
      <w:pPr>
        <w:numPr>
          <w:ilvl w:val="1"/>
          <w:numId w:val="3"/>
        </w:numPr>
        <w:spacing w:before="0" w:after="120"/>
      </w:pPr>
      <w:r w:rsidRPr="00CE5C86">
        <w:t xml:space="preserve">The results of the modelled economic evaluation are summarised in Table </w:t>
      </w:r>
      <w:r w:rsidR="00482023" w:rsidRPr="00CE5C86">
        <w:t>11</w:t>
      </w:r>
      <w:r w:rsidR="007C3CE8" w:rsidRPr="00CE5C86">
        <w:t>.</w:t>
      </w:r>
    </w:p>
    <w:p w:rsidR="00986F2E" w:rsidRDefault="00986F2E">
      <w:pPr>
        <w:spacing w:before="0" w:line="259" w:lineRule="auto"/>
        <w:jc w:val="left"/>
        <w:rPr>
          <w:rFonts w:ascii="Arial Narrow" w:eastAsia="Calibri" w:hAnsi="Arial Narrow" w:cs="Arial"/>
          <w:b/>
          <w:sz w:val="20"/>
        </w:rPr>
      </w:pPr>
      <w:r>
        <w:br w:type="page"/>
      </w:r>
    </w:p>
    <w:p w:rsidR="002744AA" w:rsidRPr="00CE5C86" w:rsidRDefault="002744AA" w:rsidP="002744AA">
      <w:pPr>
        <w:pStyle w:val="Caption"/>
      </w:pPr>
      <w:r w:rsidRPr="00CE5C86">
        <w:t xml:space="preserve">Table </w:t>
      </w:r>
      <w:r w:rsidR="007E6A8F">
        <w:rPr>
          <w:noProof/>
        </w:rPr>
        <w:t>11</w:t>
      </w:r>
      <w:r w:rsidRPr="00CE5C86">
        <w:t>: Results of the stepped economic evaluation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Results of the stepped economic evaluation "/>
      </w:tblPr>
      <w:tblGrid>
        <w:gridCol w:w="2285"/>
        <w:gridCol w:w="2285"/>
        <w:gridCol w:w="2284"/>
        <w:gridCol w:w="2286"/>
      </w:tblGrid>
      <w:tr w:rsidR="007D1B50" w:rsidRPr="00CE5C86" w:rsidTr="002744AA">
        <w:trPr>
          <w:cnfStyle w:val="100000000000" w:firstRow="1" w:lastRow="0" w:firstColumn="0" w:lastColumn="0" w:oddVBand="0" w:evenVBand="0" w:oddHBand="0" w:evenHBand="0" w:firstRowFirstColumn="0" w:firstRowLastColumn="0" w:lastRowFirstColumn="0" w:lastRowLastColumn="0"/>
          <w:tblHeader/>
        </w:trPr>
        <w:tc>
          <w:tcPr>
            <w:tcW w:w="2285" w:type="dxa"/>
            <w:shd w:val="clear" w:color="auto" w:fill="auto"/>
          </w:tcPr>
          <w:p w:rsidR="007D1B50" w:rsidRPr="00CE5C86" w:rsidRDefault="007D1B50" w:rsidP="000E5311">
            <w:pPr>
              <w:pStyle w:val="TableHeading"/>
              <w:keepNext w:val="0"/>
              <w:widowControl w:val="0"/>
              <w:spacing w:before="40" w:after="40"/>
            </w:pPr>
          </w:p>
        </w:tc>
        <w:tc>
          <w:tcPr>
            <w:tcW w:w="2285" w:type="dxa"/>
            <w:shd w:val="clear" w:color="auto" w:fill="auto"/>
          </w:tcPr>
          <w:p w:rsidR="007D1B50" w:rsidRPr="00CE5C86" w:rsidRDefault="007D1B50" w:rsidP="000E5311">
            <w:pPr>
              <w:pStyle w:val="TableHeading"/>
              <w:keepNext w:val="0"/>
              <w:widowControl w:val="0"/>
              <w:spacing w:before="40" w:after="40"/>
              <w:jc w:val="center"/>
              <w:rPr>
                <w:b/>
              </w:rPr>
            </w:pPr>
            <w:r w:rsidRPr="00CE5C86">
              <w:rPr>
                <w:b/>
              </w:rPr>
              <w:t>Glatiramer</w:t>
            </w:r>
          </w:p>
        </w:tc>
        <w:tc>
          <w:tcPr>
            <w:tcW w:w="2284" w:type="dxa"/>
            <w:shd w:val="clear" w:color="auto" w:fill="auto"/>
          </w:tcPr>
          <w:p w:rsidR="007D1B50" w:rsidRPr="00CE5C86" w:rsidRDefault="007D1B50" w:rsidP="000E5311">
            <w:pPr>
              <w:pStyle w:val="TableHeading"/>
              <w:keepNext w:val="0"/>
              <w:widowControl w:val="0"/>
              <w:spacing w:before="40" w:after="40"/>
              <w:jc w:val="center"/>
              <w:rPr>
                <w:b/>
              </w:rPr>
            </w:pPr>
            <w:r w:rsidRPr="00CE5C86">
              <w:rPr>
                <w:b/>
              </w:rPr>
              <w:t>Placebo</w:t>
            </w:r>
          </w:p>
        </w:tc>
        <w:tc>
          <w:tcPr>
            <w:tcW w:w="2286" w:type="dxa"/>
            <w:shd w:val="clear" w:color="auto" w:fill="auto"/>
          </w:tcPr>
          <w:p w:rsidR="007D1B50" w:rsidRPr="00CE5C86" w:rsidRDefault="007D1B50" w:rsidP="000E5311">
            <w:pPr>
              <w:pStyle w:val="TableHeading"/>
              <w:keepNext w:val="0"/>
              <w:widowControl w:val="0"/>
              <w:spacing w:before="40" w:after="40"/>
              <w:jc w:val="center"/>
              <w:rPr>
                <w:b/>
              </w:rPr>
            </w:pPr>
            <w:r w:rsidRPr="00CE5C86">
              <w:rPr>
                <w:b/>
              </w:rPr>
              <w:t>Increment</w:t>
            </w:r>
          </w:p>
        </w:tc>
      </w:tr>
      <w:tr w:rsidR="007D1B50" w:rsidRPr="00CE5C86" w:rsidTr="002744AA">
        <w:tc>
          <w:tcPr>
            <w:tcW w:w="9140" w:type="dxa"/>
            <w:gridSpan w:val="4"/>
            <w:shd w:val="clear" w:color="auto" w:fill="auto"/>
          </w:tcPr>
          <w:p w:rsidR="007D1B50" w:rsidRPr="00CE5C86" w:rsidRDefault="007D1B50" w:rsidP="000E5311">
            <w:pPr>
              <w:pStyle w:val="TableHeading"/>
              <w:keepNext w:val="0"/>
              <w:widowControl w:val="0"/>
              <w:spacing w:before="40" w:after="40"/>
            </w:pPr>
            <w:r w:rsidRPr="00CE5C86">
              <w:t>Step 1: trial based costs (placebo controlled phase) per year delay in diagnosis with clinically definite multiple sclerosis (approx. 3 year time horizon)</w:t>
            </w:r>
          </w:p>
        </w:tc>
      </w:tr>
      <w:tr w:rsidR="007D1B50" w:rsidRPr="00CE5C86" w:rsidTr="002744AA">
        <w:tc>
          <w:tcPr>
            <w:tcW w:w="2285" w:type="dxa"/>
            <w:shd w:val="clear" w:color="auto" w:fill="auto"/>
          </w:tcPr>
          <w:p w:rsidR="007D1B50" w:rsidRPr="00CE5C86" w:rsidRDefault="007D1B50" w:rsidP="000E5311">
            <w:pPr>
              <w:pStyle w:val="TableHeading"/>
              <w:keepNext w:val="0"/>
              <w:widowControl w:val="0"/>
              <w:spacing w:before="40" w:after="40"/>
              <w:rPr>
                <w:b w:val="0"/>
              </w:rPr>
            </w:pPr>
            <w:r w:rsidRPr="00CE5C86">
              <w:rPr>
                <w:b w:val="0"/>
              </w:rPr>
              <w:t>Costs</w:t>
            </w:r>
          </w:p>
        </w:tc>
        <w:tc>
          <w:tcPr>
            <w:tcW w:w="2285" w:type="dxa"/>
            <w:shd w:val="clear" w:color="auto" w:fill="FFFFFF" w:themeFill="background1"/>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c>
          <w:tcPr>
            <w:tcW w:w="2284" w:type="dxa"/>
            <w:shd w:val="clear" w:color="auto" w:fill="FFFFFF" w:themeFill="background1"/>
          </w:tcPr>
          <w:p w:rsidR="007D1B50" w:rsidRPr="00CE5C86" w:rsidRDefault="007D1B50" w:rsidP="000E5311">
            <w:pPr>
              <w:pStyle w:val="TableHeading"/>
              <w:keepNext w:val="0"/>
              <w:widowControl w:val="0"/>
              <w:spacing w:before="40" w:after="40"/>
              <w:jc w:val="center"/>
              <w:rPr>
                <w:b w:val="0"/>
              </w:rPr>
            </w:pPr>
            <w:r w:rsidRPr="00CE5C86">
              <w:rPr>
                <w:b w:val="0"/>
              </w:rPr>
              <w:t>$0</w:t>
            </w:r>
          </w:p>
        </w:tc>
        <w:tc>
          <w:tcPr>
            <w:tcW w:w="2286" w:type="dxa"/>
            <w:shd w:val="clear" w:color="auto" w:fill="FFFFFF" w:themeFill="background1"/>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r>
      <w:tr w:rsidR="007D1B50" w:rsidRPr="00CE5C86" w:rsidTr="002744AA">
        <w:tc>
          <w:tcPr>
            <w:tcW w:w="2285" w:type="dxa"/>
            <w:shd w:val="clear" w:color="auto" w:fill="auto"/>
          </w:tcPr>
          <w:p w:rsidR="007D1B50" w:rsidRPr="00CE5C86" w:rsidRDefault="007D1B50" w:rsidP="000E5311">
            <w:pPr>
              <w:pStyle w:val="TableHeading"/>
              <w:keepNext w:val="0"/>
              <w:widowControl w:val="0"/>
              <w:spacing w:before="40" w:after="40"/>
            </w:pPr>
            <w:r w:rsidRPr="00CE5C86">
              <w:rPr>
                <w:b w:val="0"/>
              </w:rPr>
              <w:t>Time to conversion to MS</w:t>
            </w:r>
          </w:p>
        </w:tc>
        <w:tc>
          <w:tcPr>
            <w:tcW w:w="2285"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722 days (2.0 years)</w:t>
            </w:r>
          </w:p>
        </w:tc>
        <w:tc>
          <w:tcPr>
            <w:tcW w:w="2284"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336 days (0.9 years)</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386 days (1.1 years)</w:t>
            </w:r>
          </w:p>
        </w:tc>
      </w:tr>
      <w:tr w:rsidR="007D1B50" w:rsidRPr="00CE5C86" w:rsidTr="002744AA">
        <w:tc>
          <w:tcPr>
            <w:tcW w:w="6854" w:type="dxa"/>
            <w:gridSpan w:val="3"/>
            <w:shd w:val="clear" w:color="auto" w:fill="auto"/>
          </w:tcPr>
          <w:p w:rsidR="007D1B50" w:rsidRPr="00CE5C86" w:rsidRDefault="007D1B50" w:rsidP="000E5311">
            <w:pPr>
              <w:pStyle w:val="TableHeading"/>
              <w:keepNext w:val="0"/>
              <w:widowControl w:val="0"/>
              <w:spacing w:before="40" w:after="40"/>
              <w:jc w:val="left"/>
              <w:rPr>
                <w:b w:val="0"/>
              </w:rPr>
            </w:pPr>
            <w:r w:rsidRPr="00CE5C86">
              <w:rPr>
                <w:b w:val="0"/>
              </w:rPr>
              <w:t>Incremental cost per additional year delay to MS diagnosis</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r>
      <w:tr w:rsidR="007D1B50" w:rsidRPr="00CE5C86" w:rsidTr="002744AA">
        <w:tc>
          <w:tcPr>
            <w:tcW w:w="9140" w:type="dxa"/>
            <w:gridSpan w:val="4"/>
            <w:shd w:val="clear" w:color="auto" w:fill="auto"/>
          </w:tcPr>
          <w:p w:rsidR="007D1B50" w:rsidRPr="00CE5C86" w:rsidRDefault="007D1B50" w:rsidP="000E5311">
            <w:pPr>
              <w:pStyle w:val="TableHeading"/>
              <w:keepNext w:val="0"/>
              <w:widowControl w:val="0"/>
              <w:spacing w:before="40" w:after="40"/>
            </w:pPr>
            <w:r w:rsidRPr="00CE5C86">
              <w:t>Step 2A: trial based costs (open label extension phase) per year delay in diagnosis with clinically definite multiple sclerosis (approx. 5 year time horizon)</w:t>
            </w:r>
          </w:p>
        </w:tc>
      </w:tr>
      <w:tr w:rsidR="007D1B50" w:rsidRPr="00CE5C86" w:rsidTr="002744AA">
        <w:tc>
          <w:tcPr>
            <w:tcW w:w="2285" w:type="dxa"/>
            <w:shd w:val="clear" w:color="auto" w:fill="auto"/>
          </w:tcPr>
          <w:p w:rsidR="007D1B50" w:rsidRPr="00CE5C86" w:rsidRDefault="007D1B50" w:rsidP="000E5311">
            <w:pPr>
              <w:pStyle w:val="TableHeading"/>
              <w:keepNext w:val="0"/>
              <w:widowControl w:val="0"/>
              <w:spacing w:before="40" w:after="40"/>
            </w:pPr>
            <w:r w:rsidRPr="00CE5C86">
              <w:rPr>
                <w:b w:val="0"/>
              </w:rPr>
              <w:t>Costs</w:t>
            </w:r>
          </w:p>
        </w:tc>
        <w:tc>
          <w:tcPr>
            <w:tcW w:w="2285" w:type="dxa"/>
            <w:shd w:val="clear" w:color="auto" w:fill="FFFFFF" w:themeFill="background1"/>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c>
          <w:tcPr>
            <w:tcW w:w="2284" w:type="dxa"/>
            <w:shd w:val="clear" w:color="auto" w:fill="FFFFFF" w:themeFill="background1"/>
          </w:tcPr>
          <w:p w:rsidR="007D1B50" w:rsidRPr="00CE5C86" w:rsidRDefault="007D1B50" w:rsidP="000E5311">
            <w:pPr>
              <w:pStyle w:val="TableHeading"/>
              <w:keepNext w:val="0"/>
              <w:widowControl w:val="0"/>
              <w:spacing w:before="40" w:after="40"/>
              <w:jc w:val="center"/>
              <w:rPr>
                <w:b w:val="0"/>
              </w:rPr>
            </w:pPr>
            <w:r w:rsidRPr="00CE5C86">
              <w:rPr>
                <w:b w:val="0"/>
              </w:rPr>
              <w:t>$0</w:t>
            </w:r>
          </w:p>
        </w:tc>
        <w:tc>
          <w:tcPr>
            <w:tcW w:w="2286" w:type="dxa"/>
            <w:shd w:val="clear" w:color="auto" w:fill="FFFFFF" w:themeFill="background1"/>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r>
      <w:tr w:rsidR="007D1B50" w:rsidRPr="00CE5C86" w:rsidTr="002744AA">
        <w:trPr>
          <w:trHeight w:val="64"/>
        </w:trPr>
        <w:tc>
          <w:tcPr>
            <w:tcW w:w="2285" w:type="dxa"/>
            <w:shd w:val="clear" w:color="auto" w:fill="auto"/>
          </w:tcPr>
          <w:p w:rsidR="007D1B50" w:rsidRPr="00CE5C86" w:rsidRDefault="007D1B50" w:rsidP="000E5311">
            <w:pPr>
              <w:pStyle w:val="TableHeading"/>
              <w:keepNext w:val="0"/>
              <w:widowControl w:val="0"/>
              <w:spacing w:before="40" w:after="40"/>
            </w:pPr>
            <w:r w:rsidRPr="00CE5C86">
              <w:rPr>
                <w:b w:val="0"/>
              </w:rPr>
              <w:t>Time to conversion to MS</w:t>
            </w:r>
          </w:p>
        </w:tc>
        <w:tc>
          <w:tcPr>
            <w:tcW w:w="2285" w:type="dxa"/>
            <w:shd w:val="clear" w:color="auto" w:fill="FFFFFF" w:themeFill="background1"/>
          </w:tcPr>
          <w:p w:rsidR="007D1B50" w:rsidRPr="00CE5C86" w:rsidRDefault="007D1B50" w:rsidP="000E5311">
            <w:pPr>
              <w:pStyle w:val="TableHeading"/>
              <w:keepNext w:val="0"/>
              <w:widowControl w:val="0"/>
              <w:spacing w:before="40" w:after="40"/>
              <w:jc w:val="center"/>
              <w:rPr>
                <w:b w:val="0"/>
              </w:rPr>
            </w:pPr>
            <w:r w:rsidRPr="00CE5C86">
              <w:rPr>
                <w:b w:val="0"/>
              </w:rPr>
              <w:t>1,497 days (4.1 years)</w:t>
            </w:r>
          </w:p>
        </w:tc>
        <w:tc>
          <w:tcPr>
            <w:tcW w:w="2284" w:type="dxa"/>
            <w:shd w:val="clear" w:color="auto" w:fill="FFFFFF" w:themeFill="background1"/>
          </w:tcPr>
          <w:p w:rsidR="007D1B50" w:rsidRPr="00CE5C86" w:rsidRDefault="007D1B50" w:rsidP="000E5311">
            <w:pPr>
              <w:pStyle w:val="TableHeading"/>
              <w:keepNext w:val="0"/>
              <w:widowControl w:val="0"/>
              <w:spacing w:before="40" w:after="40"/>
              <w:jc w:val="center"/>
              <w:rPr>
                <w:b w:val="0"/>
              </w:rPr>
            </w:pPr>
            <w:r w:rsidRPr="00CE5C86">
              <w:rPr>
                <w:b w:val="0"/>
              </w:rPr>
              <w:t>525 days (1.4 years)</w:t>
            </w:r>
          </w:p>
        </w:tc>
        <w:tc>
          <w:tcPr>
            <w:tcW w:w="2286" w:type="dxa"/>
            <w:shd w:val="clear" w:color="auto" w:fill="FFFFFF" w:themeFill="background1"/>
          </w:tcPr>
          <w:p w:rsidR="007D1B50" w:rsidRPr="00CE5C86" w:rsidRDefault="007D1B50" w:rsidP="000E5311">
            <w:pPr>
              <w:pStyle w:val="TableHeading"/>
              <w:keepNext w:val="0"/>
              <w:widowControl w:val="0"/>
              <w:spacing w:before="40" w:after="40"/>
              <w:jc w:val="center"/>
              <w:rPr>
                <w:b w:val="0"/>
              </w:rPr>
            </w:pPr>
            <w:r w:rsidRPr="00CE5C86">
              <w:rPr>
                <w:b w:val="0"/>
              </w:rPr>
              <w:t>972 days (2.7 years)</w:t>
            </w:r>
          </w:p>
        </w:tc>
      </w:tr>
      <w:tr w:rsidR="007D1B50" w:rsidRPr="00CE5C86" w:rsidTr="002744AA">
        <w:tc>
          <w:tcPr>
            <w:tcW w:w="6854" w:type="dxa"/>
            <w:gridSpan w:val="3"/>
            <w:shd w:val="clear" w:color="auto" w:fill="auto"/>
          </w:tcPr>
          <w:p w:rsidR="007D1B50" w:rsidRPr="00CE5C86" w:rsidRDefault="007D1B50" w:rsidP="000E5311">
            <w:pPr>
              <w:pStyle w:val="TableHeading"/>
              <w:keepNext w:val="0"/>
              <w:widowControl w:val="0"/>
              <w:spacing w:before="40" w:after="40"/>
              <w:jc w:val="left"/>
              <w:rPr>
                <w:b w:val="0"/>
              </w:rPr>
            </w:pPr>
            <w:r w:rsidRPr="00CE5C86">
              <w:rPr>
                <w:b w:val="0"/>
              </w:rPr>
              <w:t>Incremental cost per additional year delay to MS diagnosis</w:t>
            </w:r>
          </w:p>
        </w:tc>
        <w:tc>
          <w:tcPr>
            <w:tcW w:w="2286" w:type="dxa"/>
            <w:shd w:val="clear" w:color="auto" w:fill="FFFFFF" w:themeFill="background1"/>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r>
      <w:tr w:rsidR="007D1B50" w:rsidRPr="00CE5C86" w:rsidTr="002744AA">
        <w:tc>
          <w:tcPr>
            <w:tcW w:w="9140" w:type="dxa"/>
            <w:gridSpan w:val="4"/>
            <w:shd w:val="clear" w:color="auto" w:fill="auto"/>
          </w:tcPr>
          <w:p w:rsidR="007D1B50" w:rsidRPr="00CE5C86" w:rsidRDefault="007D1B50" w:rsidP="000E5311">
            <w:pPr>
              <w:pStyle w:val="TableHeading"/>
              <w:keepNext w:val="0"/>
              <w:widowControl w:val="0"/>
              <w:spacing w:before="40" w:after="40"/>
            </w:pPr>
            <w:r w:rsidRPr="00CE5C86">
              <w:t>Step 2B: trial based costs (open label extension phase) per year delay in diagnosis with clinically definite multiple sclerosis (approx. 5 year time horizon) including comparator costs</w:t>
            </w:r>
          </w:p>
        </w:tc>
      </w:tr>
      <w:tr w:rsidR="007D1B50" w:rsidRPr="00CE5C86" w:rsidTr="002744AA">
        <w:tc>
          <w:tcPr>
            <w:tcW w:w="2285" w:type="dxa"/>
            <w:shd w:val="clear" w:color="auto" w:fill="auto"/>
          </w:tcPr>
          <w:p w:rsidR="007D1B50" w:rsidRPr="00CE5C86" w:rsidRDefault="007D1B50" w:rsidP="000E5311">
            <w:pPr>
              <w:pStyle w:val="TableHeading"/>
              <w:keepNext w:val="0"/>
              <w:widowControl w:val="0"/>
              <w:spacing w:before="40" w:after="40"/>
            </w:pPr>
            <w:r w:rsidRPr="00CE5C86">
              <w:rPr>
                <w:b w:val="0"/>
              </w:rPr>
              <w:t>Costs</w:t>
            </w:r>
          </w:p>
        </w:tc>
        <w:tc>
          <w:tcPr>
            <w:tcW w:w="2285"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c>
          <w:tcPr>
            <w:tcW w:w="2284"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r>
      <w:tr w:rsidR="007D1B50" w:rsidRPr="00CE5C86" w:rsidTr="002744AA">
        <w:tc>
          <w:tcPr>
            <w:tcW w:w="2285" w:type="dxa"/>
            <w:shd w:val="clear" w:color="auto" w:fill="auto"/>
          </w:tcPr>
          <w:p w:rsidR="007D1B50" w:rsidRPr="00CE5C86" w:rsidRDefault="007D1B50" w:rsidP="000E5311">
            <w:pPr>
              <w:pStyle w:val="TableHeading"/>
              <w:keepNext w:val="0"/>
              <w:widowControl w:val="0"/>
              <w:spacing w:before="40" w:after="40"/>
            </w:pPr>
            <w:r w:rsidRPr="00CE5C86">
              <w:rPr>
                <w:b w:val="0"/>
              </w:rPr>
              <w:t>Time to conversion to MS</w:t>
            </w:r>
          </w:p>
        </w:tc>
        <w:tc>
          <w:tcPr>
            <w:tcW w:w="2285"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1,497 days (4.1 years)</w:t>
            </w:r>
          </w:p>
        </w:tc>
        <w:tc>
          <w:tcPr>
            <w:tcW w:w="2284"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525 days (1.4 years)</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972 days (2.7 years)</w:t>
            </w:r>
          </w:p>
        </w:tc>
      </w:tr>
      <w:tr w:rsidR="007D1B50" w:rsidRPr="00CE5C86" w:rsidTr="002744AA">
        <w:tc>
          <w:tcPr>
            <w:tcW w:w="6854" w:type="dxa"/>
            <w:gridSpan w:val="3"/>
            <w:shd w:val="clear" w:color="auto" w:fill="auto"/>
          </w:tcPr>
          <w:p w:rsidR="007D1B50" w:rsidRPr="00CE5C86" w:rsidRDefault="007D1B50" w:rsidP="000E5311">
            <w:pPr>
              <w:pStyle w:val="TableHeading"/>
              <w:keepNext w:val="0"/>
              <w:widowControl w:val="0"/>
              <w:spacing w:before="40" w:after="40"/>
              <w:rPr>
                <w:b w:val="0"/>
              </w:rPr>
            </w:pPr>
            <w:r w:rsidRPr="00CE5C86">
              <w:rPr>
                <w:b w:val="0"/>
              </w:rPr>
              <w:t>Incremental cost per additional year delay to MS diagnosis</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r>
      <w:tr w:rsidR="007D1B50" w:rsidRPr="00CE5C86" w:rsidTr="002744AA">
        <w:tc>
          <w:tcPr>
            <w:tcW w:w="9140" w:type="dxa"/>
            <w:gridSpan w:val="4"/>
            <w:shd w:val="clear" w:color="auto" w:fill="auto"/>
          </w:tcPr>
          <w:p w:rsidR="007D1B50" w:rsidRPr="00CE5C86" w:rsidRDefault="007D1B50" w:rsidP="000E5311">
            <w:pPr>
              <w:pStyle w:val="TableHeading"/>
              <w:keepNext w:val="0"/>
              <w:widowControl w:val="0"/>
              <w:spacing w:before="40" w:after="40"/>
            </w:pPr>
            <w:r w:rsidRPr="00CE5C86">
              <w:t>Step 3A: modelled cost per year delay in diagnosis with clinically definite multiple sclerosis for high risk group (5 year time horizon; drug costs only)</w:t>
            </w:r>
          </w:p>
        </w:tc>
      </w:tr>
      <w:tr w:rsidR="007D1B50" w:rsidRPr="00CE5C86" w:rsidTr="002744AA">
        <w:tc>
          <w:tcPr>
            <w:tcW w:w="2285" w:type="dxa"/>
            <w:shd w:val="clear" w:color="auto" w:fill="auto"/>
          </w:tcPr>
          <w:p w:rsidR="007D1B50" w:rsidRPr="00CE5C86" w:rsidRDefault="007D1B50" w:rsidP="000E5311">
            <w:pPr>
              <w:pStyle w:val="TableHeading"/>
              <w:keepNext w:val="0"/>
              <w:widowControl w:val="0"/>
              <w:spacing w:before="40" w:after="40"/>
              <w:rPr>
                <w:b w:val="0"/>
              </w:rPr>
            </w:pPr>
            <w:r w:rsidRPr="00CE5C86">
              <w:rPr>
                <w:b w:val="0"/>
              </w:rPr>
              <w:t>Costs</w:t>
            </w:r>
          </w:p>
        </w:tc>
        <w:tc>
          <w:tcPr>
            <w:tcW w:w="2285"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c>
          <w:tcPr>
            <w:tcW w:w="2284"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$0</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 '''''''''</w:t>
            </w:r>
          </w:p>
        </w:tc>
      </w:tr>
      <w:tr w:rsidR="007D1B50" w:rsidRPr="00CE5C86" w:rsidTr="002744AA">
        <w:tc>
          <w:tcPr>
            <w:tcW w:w="2285" w:type="dxa"/>
            <w:shd w:val="clear" w:color="auto" w:fill="auto"/>
          </w:tcPr>
          <w:p w:rsidR="007D1B50" w:rsidRPr="00CE5C86" w:rsidRDefault="007D1B50" w:rsidP="000E5311">
            <w:pPr>
              <w:pStyle w:val="TableHeading"/>
              <w:keepNext w:val="0"/>
              <w:widowControl w:val="0"/>
              <w:spacing w:before="40" w:after="40"/>
              <w:rPr>
                <w:b w:val="0"/>
              </w:rPr>
            </w:pPr>
            <w:r w:rsidRPr="00CE5C86">
              <w:rPr>
                <w:b w:val="0"/>
              </w:rPr>
              <w:t>Time to conversion to MS</w:t>
            </w:r>
          </w:p>
        </w:tc>
        <w:tc>
          <w:tcPr>
            <w:tcW w:w="2285"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894 days (2.4 years)</w:t>
            </w:r>
          </w:p>
        </w:tc>
        <w:tc>
          <w:tcPr>
            <w:tcW w:w="2284"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565 days (1.5 years)</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329 days (0.9 years)</w:t>
            </w:r>
          </w:p>
        </w:tc>
      </w:tr>
      <w:tr w:rsidR="007D1B50" w:rsidRPr="00CE5C86" w:rsidTr="002744AA">
        <w:tc>
          <w:tcPr>
            <w:tcW w:w="6854" w:type="dxa"/>
            <w:gridSpan w:val="3"/>
            <w:shd w:val="clear" w:color="auto" w:fill="auto"/>
          </w:tcPr>
          <w:p w:rsidR="007D1B50" w:rsidRPr="00CE5C86" w:rsidRDefault="007D1B50" w:rsidP="000E5311">
            <w:pPr>
              <w:pStyle w:val="TableHeading"/>
              <w:keepNext w:val="0"/>
              <w:widowControl w:val="0"/>
              <w:spacing w:before="40" w:after="40"/>
              <w:jc w:val="left"/>
              <w:rPr>
                <w:b w:val="0"/>
              </w:rPr>
            </w:pPr>
            <w:r w:rsidRPr="00CE5C86">
              <w:rPr>
                <w:b w:val="0"/>
              </w:rPr>
              <w:t>Incremental cost per additional year delay to MS diagnosis</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r>
      <w:tr w:rsidR="007D1B50" w:rsidRPr="00CE5C86" w:rsidTr="002744AA">
        <w:tc>
          <w:tcPr>
            <w:tcW w:w="9140" w:type="dxa"/>
            <w:gridSpan w:val="4"/>
            <w:shd w:val="clear" w:color="auto" w:fill="auto"/>
          </w:tcPr>
          <w:p w:rsidR="007D1B50" w:rsidRPr="00CE5C86" w:rsidRDefault="007D1B50" w:rsidP="000E5311">
            <w:pPr>
              <w:pStyle w:val="TableHeading"/>
              <w:keepNext w:val="0"/>
              <w:widowControl w:val="0"/>
              <w:spacing w:before="40" w:after="40"/>
            </w:pPr>
            <w:r w:rsidRPr="00CE5C86">
              <w:t>Step 3B: modelled cost per year delay in diagnosis with clinically definite multiple sclerosis for high risk group including comparator costs (5 year time horizon)</w:t>
            </w:r>
          </w:p>
        </w:tc>
      </w:tr>
      <w:tr w:rsidR="007D1B50" w:rsidRPr="00CE5C86" w:rsidTr="002744AA">
        <w:tc>
          <w:tcPr>
            <w:tcW w:w="2285" w:type="dxa"/>
            <w:shd w:val="clear" w:color="auto" w:fill="auto"/>
          </w:tcPr>
          <w:p w:rsidR="007D1B50" w:rsidRPr="00CE5C86" w:rsidRDefault="007D1B50" w:rsidP="000E5311">
            <w:pPr>
              <w:pStyle w:val="TableHeading"/>
              <w:keepNext w:val="0"/>
              <w:widowControl w:val="0"/>
              <w:spacing w:before="40" w:after="40"/>
            </w:pPr>
            <w:r w:rsidRPr="00CE5C86">
              <w:rPr>
                <w:b w:val="0"/>
              </w:rPr>
              <w:t>Costs</w:t>
            </w:r>
          </w:p>
        </w:tc>
        <w:tc>
          <w:tcPr>
            <w:tcW w:w="2285"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c>
          <w:tcPr>
            <w:tcW w:w="2284"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r>
      <w:tr w:rsidR="007D1B50" w:rsidRPr="00CE5C86" w:rsidTr="002744AA">
        <w:tc>
          <w:tcPr>
            <w:tcW w:w="2285" w:type="dxa"/>
            <w:shd w:val="clear" w:color="auto" w:fill="auto"/>
          </w:tcPr>
          <w:p w:rsidR="007D1B50" w:rsidRPr="00CE5C86" w:rsidRDefault="007D1B50" w:rsidP="000E5311">
            <w:pPr>
              <w:pStyle w:val="TableHeading"/>
              <w:keepNext w:val="0"/>
              <w:widowControl w:val="0"/>
              <w:spacing w:before="40" w:after="40"/>
            </w:pPr>
            <w:r w:rsidRPr="00CE5C86">
              <w:rPr>
                <w:b w:val="0"/>
              </w:rPr>
              <w:t>Time to conversion to MS</w:t>
            </w:r>
          </w:p>
        </w:tc>
        <w:tc>
          <w:tcPr>
            <w:tcW w:w="2285"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887 days (2.4 years)</w:t>
            </w:r>
          </w:p>
        </w:tc>
        <w:tc>
          <w:tcPr>
            <w:tcW w:w="2284"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562 days (1.5 years)</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325 days (0.9 years)</w:t>
            </w:r>
          </w:p>
        </w:tc>
      </w:tr>
      <w:tr w:rsidR="007D1B50" w:rsidRPr="00CE5C86" w:rsidTr="002744AA">
        <w:tc>
          <w:tcPr>
            <w:tcW w:w="6854" w:type="dxa"/>
            <w:gridSpan w:val="3"/>
            <w:shd w:val="clear" w:color="auto" w:fill="auto"/>
          </w:tcPr>
          <w:p w:rsidR="007D1B50" w:rsidRPr="00CE5C86" w:rsidRDefault="007D1B50" w:rsidP="000E5311">
            <w:pPr>
              <w:pStyle w:val="TableHeading"/>
              <w:keepNext w:val="0"/>
              <w:widowControl w:val="0"/>
              <w:spacing w:before="40" w:after="40"/>
              <w:jc w:val="left"/>
              <w:rPr>
                <w:b w:val="0"/>
              </w:rPr>
            </w:pPr>
            <w:r w:rsidRPr="00CE5C86">
              <w:rPr>
                <w:b w:val="0"/>
              </w:rPr>
              <w:t>Incremental cost per additional year delay to MS diagnosis</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r>
      <w:tr w:rsidR="007D1B50" w:rsidRPr="00CE5C86" w:rsidTr="002744AA">
        <w:tc>
          <w:tcPr>
            <w:tcW w:w="9140" w:type="dxa"/>
            <w:gridSpan w:val="4"/>
            <w:shd w:val="clear" w:color="auto" w:fill="auto"/>
          </w:tcPr>
          <w:p w:rsidR="007D1B50" w:rsidRPr="00CE5C86" w:rsidRDefault="007D1B50" w:rsidP="000E5311">
            <w:pPr>
              <w:pStyle w:val="TableHeading"/>
              <w:keepNext w:val="0"/>
              <w:widowControl w:val="0"/>
              <w:spacing w:before="40" w:after="40"/>
            </w:pPr>
            <w:r w:rsidRPr="00CE5C86">
              <w:t>Step 4: modelled cost per year delay in diagnosis with clinically definite multiple sclerosis for high risk group including comparator costs (lifetime [80 year] time horizon; 5% discounting applied)</w:t>
            </w:r>
          </w:p>
        </w:tc>
      </w:tr>
      <w:tr w:rsidR="007D1B50" w:rsidRPr="00CE5C86" w:rsidTr="002744AA">
        <w:tc>
          <w:tcPr>
            <w:tcW w:w="2285" w:type="dxa"/>
            <w:shd w:val="clear" w:color="auto" w:fill="auto"/>
          </w:tcPr>
          <w:p w:rsidR="007D1B50" w:rsidRPr="00CE5C86" w:rsidRDefault="007D1B50" w:rsidP="000E5311">
            <w:pPr>
              <w:pStyle w:val="TableHeading"/>
              <w:keepNext w:val="0"/>
              <w:widowControl w:val="0"/>
              <w:spacing w:before="40" w:after="40"/>
            </w:pPr>
            <w:r w:rsidRPr="00CE5C86">
              <w:rPr>
                <w:b w:val="0"/>
              </w:rPr>
              <w:t>Costs</w:t>
            </w:r>
          </w:p>
        </w:tc>
        <w:tc>
          <w:tcPr>
            <w:tcW w:w="2285"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c>
          <w:tcPr>
            <w:tcW w:w="2284"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r>
      <w:tr w:rsidR="007D1B50" w:rsidRPr="00CE5C86" w:rsidTr="002744AA">
        <w:tc>
          <w:tcPr>
            <w:tcW w:w="2285" w:type="dxa"/>
            <w:shd w:val="clear" w:color="auto" w:fill="auto"/>
          </w:tcPr>
          <w:p w:rsidR="007D1B50" w:rsidRPr="00CE5C86" w:rsidRDefault="007D1B50" w:rsidP="000E5311">
            <w:pPr>
              <w:pStyle w:val="TableHeading"/>
              <w:keepNext w:val="0"/>
              <w:widowControl w:val="0"/>
              <w:spacing w:before="40" w:after="40"/>
            </w:pPr>
            <w:r w:rsidRPr="00CE5C86">
              <w:rPr>
                <w:b w:val="0"/>
              </w:rPr>
              <w:t>Time to conversion to MS</w:t>
            </w:r>
          </w:p>
        </w:tc>
        <w:tc>
          <w:tcPr>
            <w:tcW w:w="2285" w:type="dxa"/>
            <w:shd w:val="clear" w:color="auto" w:fill="auto"/>
          </w:tcPr>
          <w:p w:rsidR="007D1B50" w:rsidRPr="00CE5C86" w:rsidRDefault="007D1B50" w:rsidP="000E5311">
            <w:pPr>
              <w:pStyle w:val="KMC16-Tablecontent"/>
              <w:widowControl w:val="0"/>
              <w:jc w:val="center"/>
            </w:pPr>
            <w:r w:rsidRPr="00CE5C86">
              <w:t>2,278 days (6.2 years)</w:t>
            </w:r>
          </w:p>
        </w:tc>
        <w:tc>
          <w:tcPr>
            <w:tcW w:w="2284" w:type="dxa"/>
            <w:shd w:val="clear" w:color="auto" w:fill="auto"/>
          </w:tcPr>
          <w:p w:rsidR="007D1B50" w:rsidRPr="00CE5C86" w:rsidRDefault="007D1B50" w:rsidP="000E5311">
            <w:pPr>
              <w:pStyle w:val="KMC16-Tablecontent"/>
              <w:widowControl w:val="0"/>
              <w:jc w:val="center"/>
            </w:pPr>
            <w:r w:rsidRPr="00CE5C86">
              <w:t>799 days (2.2 years)</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1,479 days (4.1 years)</w:t>
            </w:r>
          </w:p>
        </w:tc>
      </w:tr>
      <w:tr w:rsidR="007D1B50" w:rsidRPr="00CE5C86" w:rsidTr="002744AA">
        <w:tc>
          <w:tcPr>
            <w:tcW w:w="6854" w:type="dxa"/>
            <w:gridSpan w:val="3"/>
            <w:shd w:val="clear" w:color="auto" w:fill="auto"/>
          </w:tcPr>
          <w:p w:rsidR="007D1B50" w:rsidRPr="00CE5C86" w:rsidRDefault="007D1B50" w:rsidP="000E5311">
            <w:pPr>
              <w:pStyle w:val="TableHeading"/>
              <w:keepNext w:val="0"/>
              <w:widowControl w:val="0"/>
              <w:spacing w:before="40" w:after="40"/>
              <w:jc w:val="left"/>
              <w:rPr>
                <w:b w:val="0"/>
              </w:rPr>
            </w:pPr>
            <w:r w:rsidRPr="00CE5C86">
              <w:rPr>
                <w:b w:val="0"/>
              </w:rPr>
              <w:t>Incremental cost per additional year delay to MS diagnosis</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r>
      <w:tr w:rsidR="007D1B50" w:rsidRPr="00CE5C86" w:rsidTr="002744AA">
        <w:tc>
          <w:tcPr>
            <w:tcW w:w="9140" w:type="dxa"/>
            <w:gridSpan w:val="4"/>
            <w:shd w:val="clear" w:color="auto" w:fill="auto"/>
          </w:tcPr>
          <w:p w:rsidR="007D1B50" w:rsidRPr="00CE5C86" w:rsidRDefault="007D1B50" w:rsidP="000E5311">
            <w:pPr>
              <w:pStyle w:val="TableHeading"/>
              <w:keepNext w:val="0"/>
              <w:widowControl w:val="0"/>
              <w:spacing w:before="40" w:after="40"/>
            </w:pPr>
            <w:r w:rsidRPr="00CE5C86">
              <w:t>Base case modelled economic evaluation: modelled cost per QALY for high risk group including comparator costs (lifetime [80 year] time horizon; 5% discounting applied)</w:t>
            </w:r>
          </w:p>
        </w:tc>
      </w:tr>
      <w:tr w:rsidR="007D1B50" w:rsidRPr="00CE5C86" w:rsidTr="002744AA">
        <w:tc>
          <w:tcPr>
            <w:tcW w:w="2285" w:type="dxa"/>
            <w:shd w:val="clear" w:color="auto" w:fill="auto"/>
          </w:tcPr>
          <w:p w:rsidR="007D1B50" w:rsidRPr="00CE5C86" w:rsidRDefault="007D1B50" w:rsidP="000E5311">
            <w:pPr>
              <w:pStyle w:val="TableHeading"/>
              <w:keepNext w:val="0"/>
              <w:widowControl w:val="0"/>
              <w:spacing w:before="40" w:after="40"/>
              <w:rPr>
                <w:b w:val="0"/>
              </w:rPr>
            </w:pPr>
            <w:r w:rsidRPr="00CE5C86">
              <w:rPr>
                <w:b w:val="0"/>
              </w:rPr>
              <w:t>Costs</w:t>
            </w:r>
          </w:p>
        </w:tc>
        <w:tc>
          <w:tcPr>
            <w:tcW w:w="2285"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c>
          <w:tcPr>
            <w:tcW w:w="2284"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r>
      <w:tr w:rsidR="007D1B50" w:rsidRPr="00CE5C86" w:rsidTr="002744AA">
        <w:tc>
          <w:tcPr>
            <w:tcW w:w="2285" w:type="dxa"/>
            <w:shd w:val="clear" w:color="auto" w:fill="auto"/>
          </w:tcPr>
          <w:p w:rsidR="007D1B50" w:rsidRPr="00CE5C86" w:rsidRDefault="007D1B50" w:rsidP="000E5311">
            <w:pPr>
              <w:pStyle w:val="TableHeading"/>
              <w:keepNext w:val="0"/>
              <w:widowControl w:val="0"/>
              <w:spacing w:before="40" w:after="40"/>
              <w:rPr>
                <w:b w:val="0"/>
              </w:rPr>
            </w:pPr>
            <w:r w:rsidRPr="00CE5C86">
              <w:rPr>
                <w:b w:val="0"/>
              </w:rPr>
              <w:t>QALYs</w:t>
            </w:r>
          </w:p>
        </w:tc>
        <w:tc>
          <w:tcPr>
            <w:tcW w:w="2285"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13.93</w:t>
            </w:r>
          </w:p>
        </w:tc>
        <w:tc>
          <w:tcPr>
            <w:tcW w:w="2284"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13.42</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0.51</w:t>
            </w:r>
          </w:p>
        </w:tc>
      </w:tr>
      <w:tr w:rsidR="007D1B50" w:rsidRPr="00CE5C86" w:rsidTr="002744AA">
        <w:tc>
          <w:tcPr>
            <w:tcW w:w="6854" w:type="dxa"/>
            <w:gridSpan w:val="3"/>
            <w:shd w:val="clear" w:color="auto" w:fill="auto"/>
          </w:tcPr>
          <w:p w:rsidR="007D1B50" w:rsidRPr="00CE5C86" w:rsidRDefault="007D1B50" w:rsidP="000E5311">
            <w:pPr>
              <w:pStyle w:val="TableHeading"/>
              <w:keepNext w:val="0"/>
              <w:widowControl w:val="0"/>
              <w:spacing w:before="40" w:after="40"/>
              <w:jc w:val="left"/>
              <w:rPr>
                <w:b w:val="0"/>
              </w:rPr>
            </w:pPr>
            <w:r w:rsidRPr="00CE5C86">
              <w:rPr>
                <w:b w:val="0"/>
              </w:rPr>
              <w:t>Incremental cost per QALY gained</w:t>
            </w:r>
          </w:p>
        </w:tc>
        <w:tc>
          <w:tcPr>
            <w:tcW w:w="2286" w:type="dxa"/>
            <w:shd w:val="clear" w:color="auto" w:fill="auto"/>
          </w:tcPr>
          <w:p w:rsidR="007D1B50" w:rsidRPr="00CE5C86" w:rsidRDefault="007D1B50" w:rsidP="000E5311">
            <w:pPr>
              <w:pStyle w:val="TableHeading"/>
              <w:keepNext w:val="0"/>
              <w:widowControl w:val="0"/>
              <w:spacing w:before="40" w:after="40"/>
              <w:jc w:val="center"/>
              <w:rPr>
                <w:b w:val="0"/>
              </w:rPr>
            </w:pPr>
            <w:r w:rsidRPr="00CE5C86">
              <w:rPr>
                <w:b w:val="0"/>
              </w:rPr>
              <w:t>$</w:t>
            </w:r>
            <w:r w:rsidR="00AF06E3">
              <w:rPr>
                <w:b w:val="0"/>
                <w:noProof/>
                <w:color w:val="000000"/>
                <w:highlight w:val="black"/>
              </w:rPr>
              <w:t>''''''''''''''''</w:t>
            </w:r>
          </w:p>
        </w:tc>
      </w:tr>
    </w:tbl>
    <w:p w:rsidR="007D1B50" w:rsidRPr="00CE5C86" w:rsidRDefault="007D1B50" w:rsidP="007D1B50">
      <w:pPr>
        <w:pStyle w:val="TableFooter"/>
      </w:pPr>
      <w:r w:rsidRPr="00CE5C86">
        <w:t>Source: Table 3-20, p.62 of the submission</w:t>
      </w:r>
    </w:p>
    <w:p w:rsidR="007D1B50" w:rsidRPr="00CE5C86" w:rsidRDefault="00B42A44" w:rsidP="00B42A44">
      <w:pPr>
        <w:pStyle w:val="TableFooter"/>
      </w:pPr>
      <w:r w:rsidRPr="00CE5C86">
        <w:t>Abbreviations: MS, multiple sclerosis; QALY, quality adjusted life year</w:t>
      </w:r>
    </w:p>
    <w:p w:rsidR="00660E47" w:rsidRPr="00CE5C86" w:rsidRDefault="00DC6D2E" w:rsidP="005641BE">
      <w:pPr>
        <w:numPr>
          <w:ilvl w:val="1"/>
          <w:numId w:val="3"/>
        </w:numPr>
        <w:spacing w:before="0" w:after="120"/>
      </w:pPr>
      <w:r w:rsidRPr="00CE5C86">
        <w:t>Based on the economic model, treatment with glatiramer acetate was associated with an incremental cost per</w:t>
      </w:r>
      <w:r w:rsidR="00A07436" w:rsidRPr="00CE5C86">
        <w:t xml:space="preserve"> quality adjusted life year (</w:t>
      </w:r>
      <w:r w:rsidRPr="00CE5C86">
        <w:t>QALY</w:t>
      </w:r>
      <w:r w:rsidR="00A07436" w:rsidRPr="00CE5C86">
        <w:t>)</w:t>
      </w:r>
      <w:r w:rsidRPr="00CE5C86">
        <w:t xml:space="preserve"> gained of </w:t>
      </w:r>
      <w:r w:rsidR="00C75995">
        <w:t>$15,000 - $45,000</w:t>
      </w:r>
      <w:r w:rsidR="005641BE">
        <w:t xml:space="preserve"> </w:t>
      </w:r>
      <w:r w:rsidRPr="00CE5C86">
        <w:t>compared with placebo.</w:t>
      </w:r>
    </w:p>
    <w:p w:rsidR="00DC6D2E" w:rsidRPr="00CE5C86" w:rsidRDefault="00660E47" w:rsidP="005875D1">
      <w:pPr>
        <w:numPr>
          <w:ilvl w:val="1"/>
          <w:numId w:val="3"/>
        </w:numPr>
        <w:spacing w:before="0" w:after="120"/>
      </w:pPr>
      <w:r w:rsidRPr="00CE5C86">
        <w:t xml:space="preserve">The ESC </w:t>
      </w:r>
      <w:r w:rsidR="003942CE" w:rsidRPr="00CE5C86">
        <w:t xml:space="preserve">noted </w:t>
      </w:r>
      <w:r w:rsidRPr="00CE5C86">
        <w:t xml:space="preserve">that, based on the stepped economic analysis, glatiramer acetate </w:t>
      </w:r>
      <w:r w:rsidR="003942CE" w:rsidRPr="00CE5C86">
        <w:t>is</w:t>
      </w:r>
      <w:r w:rsidRPr="00CE5C86">
        <w:t xml:space="preserve"> less cost effective in the high risk group th</w:t>
      </w:r>
      <w:r w:rsidR="004A04B5" w:rsidRPr="00CE5C86">
        <w:t>a</w:t>
      </w:r>
      <w:r w:rsidRPr="00CE5C86">
        <w:t xml:space="preserve">n </w:t>
      </w:r>
      <w:r w:rsidR="004A04B5" w:rsidRPr="00CE5C86">
        <w:t xml:space="preserve">when used in </w:t>
      </w:r>
      <w:r w:rsidRPr="00CE5C86">
        <w:t xml:space="preserve">the </w:t>
      </w:r>
      <w:r w:rsidR="004A04B5" w:rsidRPr="00CE5C86">
        <w:t>overall</w:t>
      </w:r>
      <w:r w:rsidRPr="00CE5C86">
        <w:t xml:space="preserve"> population</w:t>
      </w:r>
      <w:r w:rsidR="004A04B5" w:rsidRPr="00CE5C86">
        <w:t xml:space="preserve"> of patients with clinically isolated syndrome</w:t>
      </w:r>
      <w:r w:rsidR="003942CE" w:rsidRPr="00CE5C86">
        <w:t xml:space="preserve"> (the cost per additional year delay to MS is $</w:t>
      </w:r>
      <w:r w:rsidR="00AF06E3">
        <w:rPr>
          <w:noProof/>
          <w:color w:val="000000"/>
          <w:highlight w:val="black"/>
        </w:rPr>
        <w:t>''''''''''''</w:t>
      </w:r>
      <w:r w:rsidR="003942CE" w:rsidRPr="00CE5C86">
        <w:t xml:space="preserve"> for the overall population [Step 2A] compared with $</w:t>
      </w:r>
      <w:r w:rsidR="00AF06E3">
        <w:rPr>
          <w:noProof/>
          <w:color w:val="000000"/>
          <w:highlight w:val="black"/>
        </w:rPr>
        <w:t>''''''''''''''</w:t>
      </w:r>
      <w:r w:rsidR="003942CE" w:rsidRPr="00CE5C86">
        <w:t xml:space="preserve"> for the high risk group [Step 3A])</w:t>
      </w:r>
      <w:r w:rsidRPr="00CE5C86">
        <w:t>.</w:t>
      </w:r>
      <w:r w:rsidR="00FD2149">
        <w:t xml:space="preserve"> The PBAC remained concerned that the treatment effect of glatiramer acetate in the overall population may not be maintained in the high risk group, and that this will further reduce the cost-effectiveness of glatiramer acetate in the proposed PBS population.</w:t>
      </w:r>
    </w:p>
    <w:p w:rsidR="00DC6D2E" w:rsidRPr="00CE5C86" w:rsidRDefault="00DC6D2E" w:rsidP="005875D1">
      <w:pPr>
        <w:numPr>
          <w:ilvl w:val="1"/>
          <w:numId w:val="3"/>
        </w:numPr>
        <w:spacing w:before="0" w:after="120"/>
      </w:pPr>
      <w:r w:rsidRPr="00CE5C86">
        <w:t xml:space="preserve">Table </w:t>
      </w:r>
      <w:r w:rsidR="003953DA" w:rsidRPr="00CE5C86">
        <w:t>1</w:t>
      </w:r>
      <w:r w:rsidR="00482023" w:rsidRPr="00CE5C86">
        <w:t>2</w:t>
      </w:r>
      <w:r w:rsidRPr="00CE5C86">
        <w:t xml:space="preserve"> summarises the results of key sensitivity analyses. The submission did not specify a randomisation seed or number of iterations used to generate the base case results. During the evaluation, analyses were performed using 100,000 iterations and a randomisation seed of 3.</w:t>
      </w:r>
    </w:p>
    <w:p w:rsidR="002744AA" w:rsidRPr="00CE5C86" w:rsidRDefault="002744AA" w:rsidP="002744AA">
      <w:pPr>
        <w:pStyle w:val="Caption"/>
      </w:pPr>
      <w:r w:rsidRPr="00CE5C86">
        <w:t xml:space="preserve">Table </w:t>
      </w:r>
      <w:r w:rsidR="007E6A8F">
        <w:rPr>
          <w:noProof/>
        </w:rPr>
        <w:t>12</w:t>
      </w:r>
      <w:r w:rsidRPr="00CE5C86">
        <w:t>: Results of key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52"/>
        <w:gridCol w:w="1562"/>
        <w:gridCol w:w="1563"/>
        <w:gridCol w:w="1563"/>
      </w:tblGrid>
      <w:tr w:rsidR="00DC6D2E" w:rsidRPr="00CE5C86" w:rsidTr="00DC6D2E">
        <w:tc>
          <w:tcPr>
            <w:tcW w:w="4452" w:type="dxa"/>
          </w:tcPr>
          <w:p w:rsidR="00DC6D2E" w:rsidRPr="00CE5C86" w:rsidRDefault="00DC6D2E" w:rsidP="00DC6D2E">
            <w:pPr>
              <w:spacing w:before="40" w:after="40"/>
              <w:rPr>
                <w:rFonts w:ascii="Arial Narrow" w:eastAsia="Times New Roman" w:hAnsi="Arial Narrow" w:cs="Arial"/>
                <w:sz w:val="20"/>
                <w:szCs w:val="20"/>
                <w:lang w:eastAsia="en-AU"/>
              </w:rPr>
            </w:pPr>
          </w:p>
        </w:tc>
        <w:tc>
          <w:tcPr>
            <w:tcW w:w="1562" w:type="dxa"/>
            <w:vAlign w:val="center"/>
          </w:tcPr>
          <w:p w:rsidR="00DC6D2E" w:rsidRPr="00CE5C86" w:rsidRDefault="00DC6D2E" w:rsidP="00DC6D2E">
            <w:pPr>
              <w:spacing w:before="40" w:after="40"/>
              <w:jc w:val="center"/>
              <w:rPr>
                <w:rFonts w:ascii="Arial Narrow" w:eastAsia="Times New Roman" w:hAnsi="Arial Narrow" w:cs="Arial"/>
                <w:b/>
                <w:sz w:val="20"/>
                <w:szCs w:val="20"/>
                <w:lang w:eastAsia="en-AU"/>
              </w:rPr>
            </w:pPr>
            <w:proofErr w:type="spellStart"/>
            <w:r w:rsidRPr="00CE5C86">
              <w:rPr>
                <w:rFonts w:ascii="Arial Narrow" w:eastAsia="Times New Roman" w:hAnsi="Arial Narrow" w:cs="Arial"/>
                <w:b/>
                <w:sz w:val="20"/>
                <w:szCs w:val="20"/>
                <w:lang w:eastAsia="en-AU"/>
              </w:rPr>
              <w:t>Incr</w:t>
            </w:r>
            <w:proofErr w:type="spellEnd"/>
            <w:r w:rsidRPr="00CE5C86">
              <w:rPr>
                <w:rFonts w:ascii="Arial Narrow" w:eastAsia="Times New Roman" w:hAnsi="Arial Narrow" w:cs="Arial"/>
                <w:b/>
                <w:sz w:val="20"/>
                <w:szCs w:val="20"/>
                <w:lang w:eastAsia="en-AU"/>
              </w:rPr>
              <w:t xml:space="preserve"> cost</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b/>
                <w:sz w:val="20"/>
                <w:szCs w:val="20"/>
                <w:lang w:eastAsia="en-AU"/>
              </w:rPr>
            </w:pPr>
            <w:proofErr w:type="spellStart"/>
            <w:r w:rsidRPr="00CE5C86">
              <w:rPr>
                <w:rFonts w:ascii="Arial Narrow" w:eastAsia="Times New Roman" w:hAnsi="Arial Narrow" w:cs="Arial"/>
                <w:b/>
                <w:sz w:val="20"/>
                <w:szCs w:val="20"/>
                <w:lang w:eastAsia="en-AU"/>
              </w:rPr>
              <w:t>Incr</w:t>
            </w:r>
            <w:proofErr w:type="spellEnd"/>
            <w:r w:rsidRPr="00CE5C86">
              <w:rPr>
                <w:rFonts w:ascii="Arial Narrow" w:eastAsia="Times New Roman" w:hAnsi="Arial Narrow" w:cs="Arial"/>
                <w:b/>
                <w:sz w:val="20"/>
                <w:szCs w:val="20"/>
                <w:lang w:eastAsia="en-AU"/>
              </w:rPr>
              <w:t xml:space="preserve"> QALYs</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b/>
                <w:sz w:val="20"/>
                <w:szCs w:val="20"/>
                <w:lang w:eastAsia="en-AU"/>
              </w:rPr>
            </w:pPr>
            <w:r w:rsidRPr="00CE5C86">
              <w:rPr>
                <w:rFonts w:ascii="Arial Narrow" w:eastAsia="Times New Roman" w:hAnsi="Arial Narrow" w:cs="Arial"/>
                <w:b/>
                <w:sz w:val="20"/>
                <w:szCs w:val="20"/>
                <w:lang w:eastAsia="en-AU"/>
              </w:rPr>
              <w:t>ICER</w:t>
            </w:r>
          </w:p>
        </w:tc>
      </w:tr>
      <w:tr w:rsidR="00DC6D2E" w:rsidRPr="00CE5C86" w:rsidTr="00DC6D2E">
        <w:tc>
          <w:tcPr>
            <w:tcW w:w="4452" w:type="dxa"/>
          </w:tcPr>
          <w:p w:rsidR="00DC6D2E" w:rsidRPr="00CE5C86" w:rsidRDefault="00DC6D2E" w:rsidP="00DC6D2E">
            <w:pPr>
              <w:spacing w:before="40" w:after="40"/>
              <w:rPr>
                <w:rFonts w:ascii="Arial Narrow" w:eastAsia="Times New Roman" w:hAnsi="Arial Narrow" w:cs="Arial"/>
                <w:b/>
                <w:sz w:val="20"/>
                <w:szCs w:val="20"/>
                <w:lang w:eastAsia="en-AU"/>
              </w:rPr>
            </w:pPr>
            <w:r w:rsidRPr="00CE5C86">
              <w:rPr>
                <w:rFonts w:ascii="Arial Narrow" w:eastAsia="Times New Roman" w:hAnsi="Arial Narrow" w:cs="Arial"/>
                <w:b/>
                <w:sz w:val="20"/>
                <w:szCs w:val="20"/>
                <w:lang w:eastAsia="en-AU"/>
              </w:rPr>
              <w:t>Base case</w:t>
            </w:r>
          </w:p>
        </w:tc>
        <w:tc>
          <w:tcPr>
            <w:tcW w:w="1562" w:type="dxa"/>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0.505</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r>
      <w:tr w:rsidR="00DC6D2E" w:rsidRPr="00CE5C86" w:rsidTr="00DC6D2E">
        <w:tc>
          <w:tcPr>
            <w:tcW w:w="4452" w:type="dxa"/>
          </w:tcPr>
          <w:p w:rsidR="00DC6D2E" w:rsidRPr="00CE5C86" w:rsidRDefault="00DC6D2E" w:rsidP="00DC6D2E">
            <w:pPr>
              <w:spacing w:before="40" w:after="40"/>
              <w:jc w:val="left"/>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 xml:space="preserve">Using upper limit of 95% CI from </w:t>
            </w:r>
            <w:proofErr w:type="spellStart"/>
            <w:r w:rsidRPr="00CE5C86">
              <w:rPr>
                <w:rFonts w:ascii="Arial Narrow" w:eastAsia="Times New Roman" w:hAnsi="Arial Narrow" w:cs="Arial"/>
                <w:sz w:val="20"/>
                <w:szCs w:val="20"/>
                <w:lang w:eastAsia="en-AU"/>
              </w:rPr>
              <w:t>PreCISe</w:t>
            </w:r>
            <w:proofErr w:type="spellEnd"/>
            <w:r w:rsidRPr="00CE5C86">
              <w:rPr>
                <w:rFonts w:ascii="Arial Narrow" w:eastAsia="Times New Roman" w:hAnsi="Arial Narrow" w:cs="Arial"/>
                <w:sz w:val="20"/>
                <w:szCs w:val="20"/>
                <w:lang w:eastAsia="en-AU"/>
              </w:rPr>
              <w:t xml:space="preserve"> 3 year placebo-controlled phase (HR=0.77)</w:t>
            </w:r>
          </w:p>
        </w:tc>
        <w:tc>
          <w:tcPr>
            <w:tcW w:w="1562" w:type="dxa"/>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0.173</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r>
      <w:tr w:rsidR="00DC6D2E" w:rsidRPr="00CE5C86" w:rsidTr="00DC6D2E">
        <w:tc>
          <w:tcPr>
            <w:tcW w:w="4452" w:type="dxa"/>
          </w:tcPr>
          <w:p w:rsidR="00DC6D2E" w:rsidRPr="00CE5C86" w:rsidRDefault="00DC6D2E" w:rsidP="00DC6D2E">
            <w:pPr>
              <w:spacing w:before="40" w:after="40"/>
              <w:jc w:val="left"/>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 xml:space="preserve">RR relapse and progression from </w:t>
            </w:r>
            <w:proofErr w:type="spellStart"/>
            <w:r w:rsidRPr="00CE5C86">
              <w:rPr>
                <w:rFonts w:ascii="Arial Narrow" w:eastAsia="Times New Roman" w:hAnsi="Arial Narrow" w:cs="Arial"/>
                <w:sz w:val="20"/>
                <w:szCs w:val="20"/>
                <w:lang w:eastAsia="en-AU"/>
              </w:rPr>
              <w:t>alemtuzumab</w:t>
            </w:r>
            <w:proofErr w:type="spellEnd"/>
            <w:r w:rsidRPr="00CE5C86">
              <w:rPr>
                <w:rFonts w:ascii="Arial Narrow" w:eastAsia="Times New Roman" w:hAnsi="Arial Narrow" w:cs="Arial"/>
                <w:sz w:val="20"/>
                <w:szCs w:val="20"/>
                <w:lang w:eastAsia="en-AU"/>
              </w:rPr>
              <w:t xml:space="preserve"> (base case estimates based on glatiramer)</w:t>
            </w:r>
          </w:p>
        </w:tc>
        <w:tc>
          <w:tcPr>
            <w:tcW w:w="1562" w:type="dxa"/>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0.427</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r>
      <w:tr w:rsidR="00DC6D2E" w:rsidRPr="00CE5C86" w:rsidTr="00DC6D2E">
        <w:tc>
          <w:tcPr>
            <w:tcW w:w="9140" w:type="dxa"/>
            <w:gridSpan w:val="4"/>
          </w:tcPr>
          <w:p w:rsidR="00DC6D2E" w:rsidRPr="00CE5C86" w:rsidRDefault="00DC6D2E" w:rsidP="00DC6D2E">
            <w:pPr>
              <w:spacing w:before="40" w:after="40"/>
              <w:jc w:val="left"/>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Model time horizon (base case 80 years)</w:t>
            </w:r>
          </w:p>
        </w:tc>
      </w:tr>
      <w:tr w:rsidR="00DC6D2E" w:rsidRPr="00CE5C86" w:rsidTr="00DC6D2E">
        <w:tc>
          <w:tcPr>
            <w:tcW w:w="4452" w:type="dxa"/>
          </w:tcPr>
          <w:p w:rsidR="00DC6D2E" w:rsidRPr="00CE5C86" w:rsidRDefault="00DC6D2E" w:rsidP="00DC6D2E">
            <w:pPr>
              <w:spacing w:before="40" w:after="40"/>
              <w:jc w:val="left"/>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Model time horizon 50 years</w:t>
            </w:r>
          </w:p>
        </w:tc>
        <w:tc>
          <w:tcPr>
            <w:tcW w:w="1562" w:type="dxa"/>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0.478</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r>
      <w:tr w:rsidR="00DC6D2E" w:rsidRPr="00CE5C86" w:rsidTr="00DC6D2E">
        <w:tc>
          <w:tcPr>
            <w:tcW w:w="4452" w:type="dxa"/>
          </w:tcPr>
          <w:p w:rsidR="00DC6D2E" w:rsidRPr="00CE5C86" w:rsidRDefault="00DC6D2E" w:rsidP="00DC6D2E">
            <w:pPr>
              <w:spacing w:before="40" w:after="40"/>
              <w:jc w:val="left"/>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Model time horizon 20 years</w:t>
            </w:r>
          </w:p>
        </w:tc>
        <w:tc>
          <w:tcPr>
            <w:tcW w:w="1562" w:type="dxa"/>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0.260</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r>
      <w:tr w:rsidR="00DC6D2E" w:rsidRPr="00CE5C86" w:rsidTr="00DC6D2E">
        <w:tc>
          <w:tcPr>
            <w:tcW w:w="4452" w:type="dxa"/>
          </w:tcPr>
          <w:p w:rsidR="00DC6D2E" w:rsidRPr="00CE5C86" w:rsidRDefault="00DC6D2E" w:rsidP="00DC6D2E">
            <w:pPr>
              <w:spacing w:before="40" w:after="40"/>
              <w:jc w:val="left"/>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Health state utilities (base case: based on Prosser (2004)</w:t>
            </w:r>
          </w:p>
        </w:tc>
        <w:tc>
          <w:tcPr>
            <w:tcW w:w="1562" w:type="dxa"/>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p>
        </w:tc>
      </w:tr>
      <w:tr w:rsidR="00DC6D2E" w:rsidRPr="00CE5C86" w:rsidTr="00DC6D2E">
        <w:tc>
          <w:tcPr>
            <w:tcW w:w="4452" w:type="dxa"/>
          </w:tcPr>
          <w:p w:rsidR="00DC6D2E" w:rsidRPr="00CE5C86" w:rsidRDefault="00DC6D2E" w:rsidP="00DC6D2E">
            <w:pPr>
              <w:spacing w:before="40" w:after="40"/>
              <w:jc w:val="left"/>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 utilities based on Orme (2007)</w:t>
            </w:r>
          </w:p>
        </w:tc>
        <w:tc>
          <w:tcPr>
            <w:tcW w:w="1562" w:type="dxa"/>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0.562</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r>
      <w:tr w:rsidR="00DC6D2E" w:rsidRPr="00CE5C86" w:rsidTr="00DC6D2E">
        <w:tc>
          <w:tcPr>
            <w:tcW w:w="4452" w:type="dxa"/>
          </w:tcPr>
          <w:p w:rsidR="00DC6D2E" w:rsidRPr="00CE5C86" w:rsidRDefault="00DC6D2E" w:rsidP="00DC6D2E">
            <w:pPr>
              <w:spacing w:before="40" w:after="40"/>
              <w:jc w:val="left"/>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 xml:space="preserve">- utilities based on </w:t>
            </w:r>
            <w:proofErr w:type="spellStart"/>
            <w:r w:rsidRPr="00CE5C86">
              <w:rPr>
                <w:rFonts w:ascii="Arial Narrow" w:eastAsia="Times New Roman" w:hAnsi="Arial Narrow" w:cs="Arial"/>
                <w:sz w:val="20"/>
                <w:szCs w:val="20"/>
                <w:lang w:eastAsia="en-AU"/>
              </w:rPr>
              <w:t>Kobelt</w:t>
            </w:r>
            <w:proofErr w:type="spellEnd"/>
            <w:r w:rsidRPr="00CE5C86">
              <w:rPr>
                <w:rFonts w:ascii="Arial Narrow" w:eastAsia="Times New Roman" w:hAnsi="Arial Narrow" w:cs="Arial"/>
                <w:sz w:val="20"/>
                <w:szCs w:val="20"/>
                <w:lang w:eastAsia="en-AU"/>
              </w:rPr>
              <w:t xml:space="preserve"> (2006)</w:t>
            </w:r>
          </w:p>
        </w:tc>
        <w:tc>
          <w:tcPr>
            <w:tcW w:w="1562" w:type="dxa"/>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0.495</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r>
      <w:tr w:rsidR="00DC6D2E" w:rsidRPr="00CE5C86" w:rsidTr="00DC6D2E">
        <w:tc>
          <w:tcPr>
            <w:tcW w:w="9140" w:type="dxa"/>
            <w:gridSpan w:val="4"/>
          </w:tcPr>
          <w:p w:rsidR="00DC6D2E" w:rsidRPr="00CE5C86" w:rsidRDefault="00DC6D2E" w:rsidP="00DC6D2E">
            <w:pPr>
              <w:spacing w:before="40" w:after="40"/>
              <w:jc w:val="left"/>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Relapse disutility</w:t>
            </w:r>
          </w:p>
        </w:tc>
      </w:tr>
      <w:tr w:rsidR="00DC6D2E" w:rsidRPr="00CE5C86" w:rsidTr="00DC6D2E">
        <w:tc>
          <w:tcPr>
            <w:tcW w:w="4452" w:type="dxa"/>
          </w:tcPr>
          <w:p w:rsidR="00DC6D2E" w:rsidRPr="00CE5C86" w:rsidRDefault="00DC6D2E" w:rsidP="00DC6D2E">
            <w:pPr>
              <w:spacing w:before="40" w:after="40"/>
              <w:jc w:val="left"/>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Adjusting disutility relapse for time in state (as per ‘CIS - variables list’ spreadsheet’; -0.026 versus -0.13953)</w:t>
            </w:r>
          </w:p>
        </w:tc>
        <w:tc>
          <w:tcPr>
            <w:tcW w:w="1562" w:type="dxa"/>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0.431</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r>
      <w:tr w:rsidR="00DC6D2E" w:rsidRPr="00CE5C86" w:rsidTr="00DC6D2E">
        <w:tc>
          <w:tcPr>
            <w:tcW w:w="4452" w:type="dxa"/>
          </w:tcPr>
          <w:p w:rsidR="00DC6D2E" w:rsidRPr="00CE5C86" w:rsidRDefault="00DC6D2E" w:rsidP="00DC6D2E">
            <w:pPr>
              <w:spacing w:before="40" w:after="40"/>
              <w:jc w:val="left"/>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Alternative estimate for the disutility of relapse from Orme (2007): -0.071</w:t>
            </w:r>
          </w:p>
        </w:tc>
        <w:tc>
          <w:tcPr>
            <w:tcW w:w="1562" w:type="dxa"/>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0.460</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r>
      <w:tr w:rsidR="00DC6D2E" w:rsidRPr="00CE5C86" w:rsidTr="00DC6D2E">
        <w:tc>
          <w:tcPr>
            <w:tcW w:w="9140" w:type="dxa"/>
            <w:gridSpan w:val="4"/>
          </w:tcPr>
          <w:p w:rsidR="00DC6D2E" w:rsidRPr="00CE5C86" w:rsidRDefault="00DC6D2E" w:rsidP="00DC6D2E">
            <w:pPr>
              <w:spacing w:before="40" w:after="40"/>
              <w:jc w:val="left"/>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Treatment related disutility (base case: glatiramer -0.00034; placebo -0.00009)</w:t>
            </w:r>
          </w:p>
        </w:tc>
      </w:tr>
      <w:tr w:rsidR="00DC6D2E" w:rsidRPr="00CE5C86" w:rsidTr="00DC6D2E">
        <w:tc>
          <w:tcPr>
            <w:tcW w:w="4452" w:type="dxa"/>
          </w:tcPr>
          <w:p w:rsidR="00DC6D2E" w:rsidRPr="00CE5C86" w:rsidRDefault="00DC6D2E" w:rsidP="00DC6D2E">
            <w:pPr>
              <w:spacing w:before="40" w:after="40"/>
              <w:jc w:val="left"/>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Glatiramer: -0.01; placebo 0</w:t>
            </w:r>
          </w:p>
        </w:tc>
        <w:tc>
          <w:tcPr>
            <w:tcW w:w="1562" w:type="dxa"/>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0.468</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r>
      <w:tr w:rsidR="00DC6D2E" w:rsidRPr="00CE5C86" w:rsidTr="00DC6D2E">
        <w:tc>
          <w:tcPr>
            <w:tcW w:w="4452" w:type="dxa"/>
          </w:tcPr>
          <w:p w:rsidR="00DC6D2E" w:rsidRPr="00CE5C86" w:rsidRDefault="00DC6D2E" w:rsidP="00DC6D2E">
            <w:pPr>
              <w:spacing w:before="40" w:after="40"/>
              <w:jc w:val="left"/>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Glatiramer: -0.02; placebo 0</w:t>
            </w:r>
          </w:p>
        </w:tc>
        <w:tc>
          <w:tcPr>
            <w:tcW w:w="1562" w:type="dxa"/>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0.429</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r>
      <w:tr w:rsidR="00DC6D2E" w:rsidRPr="00CE5C86" w:rsidTr="00DC6D2E">
        <w:tc>
          <w:tcPr>
            <w:tcW w:w="4452" w:type="dxa"/>
          </w:tcPr>
          <w:p w:rsidR="00DC6D2E" w:rsidRPr="00CE5C86" w:rsidRDefault="00DC6D2E" w:rsidP="00DC6D2E">
            <w:pPr>
              <w:spacing w:before="40" w:after="40"/>
              <w:jc w:val="left"/>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Glatiramer: -0.05; placebo 0</w:t>
            </w:r>
          </w:p>
        </w:tc>
        <w:tc>
          <w:tcPr>
            <w:tcW w:w="1562" w:type="dxa"/>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0.312</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r>
      <w:tr w:rsidR="00DC6D2E" w:rsidRPr="00CE5C86" w:rsidTr="00DC6D2E">
        <w:tc>
          <w:tcPr>
            <w:tcW w:w="4452" w:type="dxa"/>
          </w:tcPr>
          <w:p w:rsidR="00DC6D2E" w:rsidRPr="00CE5C86" w:rsidRDefault="00DC6D2E" w:rsidP="00DC6D2E">
            <w:pPr>
              <w:spacing w:before="40" w:after="40"/>
              <w:jc w:val="left"/>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MS costs by EDSS state: reduce by 25%</w:t>
            </w:r>
          </w:p>
        </w:tc>
        <w:tc>
          <w:tcPr>
            <w:tcW w:w="1562" w:type="dxa"/>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0.505</w:t>
            </w:r>
          </w:p>
        </w:tc>
        <w:tc>
          <w:tcPr>
            <w:tcW w:w="1563" w:type="dxa"/>
            <w:shd w:val="clear" w:color="auto" w:fill="auto"/>
            <w:noWrap/>
            <w:vAlign w:val="center"/>
          </w:tcPr>
          <w:p w:rsidR="00DC6D2E" w:rsidRPr="00CE5C86" w:rsidRDefault="00DC6D2E" w:rsidP="00DC6D2E">
            <w:pPr>
              <w:spacing w:before="40" w:after="40"/>
              <w:jc w:val="center"/>
              <w:rPr>
                <w:rFonts w:ascii="Arial Narrow" w:eastAsia="Times New Roman" w:hAnsi="Arial Narrow" w:cs="Arial"/>
                <w:sz w:val="20"/>
                <w:szCs w:val="20"/>
                <w:lang w:eastAsia="en-AU"/>
              </w:rPr>
            </w:pPr>
            <w:r w:rsidRPr="00CE5C86">
              <w:rPr>
                <w:rFonts w:ascii="Arial Narrow" w:eastAsia="Times New Roman" w:hAnsi="Arial Narrow" w:cs="Arial"/>
                <w:sz w:val="20"/>
                <w:szCs w:val="20"/>
                <w:lang w:eastAsia="en-AU"/>
              </w:rPr>
              <w:t>$</w:t>
            </w:r>
            <w:r w:rsidR="00AF06E3">
              <w:rPr>
                <w:rFonts w:ascii="Arial Narrow" w:eastAsia="Times New Roman" w:hAnsi="Arial Narrow" w:cs="Arial"/>
                <w:noProof/>
                <w:color w:val="000000"/>
                <w:sz w:val="20"/>
                <w:szCs w:val="20"/>
                <w:highlight w:val="black"/>
                <w:lang w:eastAsia="en-AU"/>
              </w:rPr>
              <w:t>''''''''''''''''''</w:t>
            </w:r>
          </w:p>
        </w:tc>
      </w:tr>
    </w:tbl>
    <w:p w:rsidR="00DC6D2E" w:rsidRPr="00CE5C86" w:rsidRDefault="00DC6D2E" w:rsidP="00DC6D2E">
      <w:pPr>
        <w:widowControl w:val="0"/>
        <w:spacing w:before="0" w:after="240"/>
        <w:contextualSpacing/>
        <w:rPr>
          <w:rFonts w:ascii="Arial Narrow" w:eastAsia="Times New Roman" w:hAnsi="Arial Narrow" w:cs="Arial"/>
          <w:snapToGrid w:val="0"/>
          <w:sz w:val="18"/>
          <w:szCs w:val="20"/>
        </w:rPr>
      </w:pPr>
      <w:r w:rsidRPr="00CE5C86">
        <w:rPr>
          <w:rFonts w:ascii="Arial Narrow" w:eastAsia="Times New Roman" w:hAnsi="Arial Narrow" w:cs="Arial"/>
          <w:snapToGrid w:val="0"/>
          <w:sz w:val="18"/>
          <w:szCs w:val="20"/>
        </w:rPr>
        <w:t>Abbreviations:</w:t>
      </w:r>
      <w:r w:rsidR="007D1B50" w:rsidRPr="00CE5C86">
        <w:rPr>
          <w:rFonts w:ascii="Arial Narrow" w:eastAsia="Times New Roman" w:hAnsi="Arial Narrow" w:cs="Arial"/>
          <w:snapToGrid w:val="0"/>
          <w:sz w:val="18"/>
          <w:szCs w:val="20"/>
        </w:rPr>
        <w:t xml:space="preserve">; </w:t>
      </w:r>
      <w:r w:rsidRPr="00CE5C86">
        <w:rPr>
          <w:rFonts w:ascii="Arial Narrow" w:eastAsia="Times New Roman" w:hAnsi="Arial Narrow" w:cs="Arial"/>
          <w:snapToGrid w:val="0"/>
          <w:sz w:val="18"/>
          <w:szCs w:val="20"/>
        </w:rPr>
        <w:t xml:space="preserve">CIS, clinically isolated syndrome; </w:t>
      </w:r>
      <w:r w:rsidR="00B42A44" w:rsidRPr="00CE5C86">
        <w:rPr>
          <w:rFonts w:ascii="Arial Narrow" w:eastAsia="Times New Roman" w:hAnsi="Arial Narrow" w:cs="Arial"/>
          <w:snapToGrid w:val="0"/>
          <w:sz w:val="18"/>
          <w:szCs w:val="20"/>
        </w:rPr>
        <w:t xml:space="preserve">ICER, incremental cost-effectiveness ratio; </w:t>
      </w:r>
      <w:r w:rsidRPr="00CE5C86">
        <w:rPr>
          <w:rFonts w:ascii="Arial Narrow" w:eastAsia="Times New Roman" w:hAnsi="Arial Narrow" w:cs="Arial"/>
          <w:snapToGrid w:val="0"/>
          <w:sz w:val="18"/>
          <w:szCs w:val="20"/>
        </w:rPr>
        <w:t xml:space="preserve">MS, multiple sclerosis; </w:t>
      </w:r>
      <w:r w:rsidR="00B42A44" w:rsidRPr="00CE5C86">
        <w:rPr>
          <w:rFonts w:ascii="Arial Narrow" w:eastAsia="Times New Roman" w:hAnsi="Arial Narrow" w:cs="Arial"/>
          <w:snapToGrid w:val="0"/>
          <w:sz w:val="18"/>
          <w:szCs w:val="20"/>
        </w:rPr>
        <w:t xml:space="preserve">QALY, quality-adjusted life year; </w:t>
      </w:r>
      <w:r w:rsidRPr="00CE5C86">
        <w:rPr>
          <w:rFonts w:ascii="Arial Narrow" w:eastAsia="Times New Roman" w:hAnsi="Arial Narrow" w:cs="Arial"/>
          <w:snapToGrid w:val="0"/>
          <w:sz w:val="18"/>
          <w:szCs w:val="20"/>
        </w:rPr>
        <w:t>RRMS, relapsing remitting multiple sclerosis; RR, relative risk; SPMS, secondary progressive multiple sclerosis</w:t>
      </w:r>
      <w:r w:rsidR="00084F65" w:rsidRPr="00CE5C86">
        <w:rPr>
          <w:rFonts w:ascii="Arial Narrow" w:eastAsia="Times New Roman" w:hAnsi="Arial Narrow" w:cs="Arial"/>
          <w:snapToGrid w:val="0"/>
          <w:sz w:val="18"/>
          <w:szCs w:val="20"/>
        </w:rPr>
        <w:t>; EDSS, Expanded Disability Status Score</w:t>
      </w:r>
    </w:p>
    <w:p w:rsidR="00DC6D2E" w:rsidRPr="00CE5C86" w:rsidRDefault="00DC6D2E" w:rsidP="00AC1EB5">
      <w:pPr>
        <w:widowControl w:val="0"/>
        <w:spacing w:before="0" w:after="240"/>
        <w:rPr>
          <w:rFonts w:ascii="Arial Narrow" w:eastAsia="Times New Roman" w:hAnsi="Arial Narrow" w:cs="Arial"/>
          <w:snapToGrid w:val="0"/>
          <w:sz w:val="18"/>
          <w:szCs w:val="20"/>
        </w:rPr>
      </w:pPr>
      <w:r w:rsidRPr="00CE5C86">
        <w:rPr>
          <w:rFonts w:ascii="Arial Narrow" w:eastAsia="Times New Roman" w:hAnsi="Arial Narrow" w:cs="Arial"/>
          <w:snapToGrid w:val="0"/>
          <w:sz w:val="18"/>
          <w:szCs w:val="20"/>
        </w:rPr>
        <w:t xml:space="preserve">Source: Table 3-25, p66, Section 3 of the submission and additional calculations performed during the evaluation using ‘CIS - (Step 4) Base Case’ </w:t>
      </w:r>
      <w:proofErr w:type="spellStart"/>
      <w:r w:rsidRPr="00CE5C86">
        <w:rPr>
          <w:rFonts w:ascii="Arial Narrow" w:eastAsia="Times New Roman" w:hAnsi="Arial Narrow" w:cs="Arial"/>
          <w:snapToGrid w:val="0"/>
          <w:sz w:val="18"/>
          <w:szCs w:val="20"/>
        </w:rPr>
        <w:t>TreeAge</w:t>
      </w:r>
      <w:proofErr w:type="spellEnd"/>
      <w:r w:rsidRPr="00CE5C86">
        <w:rPr>
          <w:rFonts w:ascii="Arial Narrow" w:eastAsia="Times New Roman" w:hAnsi="Arial Narrow" w:cs="Arial"/>
          <w:snapToGrid w:val="0"/>
          <w:sz w:val="18"/>
          <w:szCs w:val="20"/>
        </w:rPr>
        <w:t xml:space="preserve"> model provided with the submission</w:t>
      </w:r>
    </w:p>
    <w:p w:rsidR="00660E47" w:rsidRPr="00CE5C86" w:rsidRDefault="00DC6D2E" w:rsidP="001F680A">
      <w:pPr>
        <w:numPr>
          <w:ilvl w:val="1"/>
          <w:numId w:val="3"/>
        </w:numPr>
        <w:spacing w:before="0" w:after="120"/>
      </w:pPr>
      <w:r w:rsidRPr="00CE5C86">
        <w:t xml:space="preserve">The model is most sensitive to assumptions regarding the treatment effect of glatiramer in patients with clinically isolated syndrome, the modelled time horizon, and treatment-related </w:t>
      </w:r>
      <w:proofErr w:type="spellStart"/>
      <w:r w:rsidRPr="00CE5C86">
        <w:t>disutilities</w:t>
      </w:r>
      <w:proofErr w:type="spellEnd"/>
      <w:r w:rsidRPr="00CE5C86">
        <w:t xml:space="preserve">. </w:t>
      </w:r>
      <w:r w:rsidR="006729AB" w:rsidRPr="00CE5C86">
        <w:t xml:space="preserve">The ESC </w:t>
      </w:r>
      <w:r w:rsidR="008F65CF" w:rsidRPr="00CE5C86">
        <w:t>noted that when a more conservative hazard ratio was applied (0.77, per the sensitivity analyses in Table 1</w:t>
      </w:r>
      <w:r w:rsidR="00482023" w:rsidRPr="00CE5C86">
        <w:t>2</w:t>
      </w:r>
      <w:r w:rsidR="008F65CF" w:rsidRPr="00CE5C86">
        <w:t xml:space="preserve">), the ICER increased to </w:t>
      </w:r>
      <w:r w:rsidR="001F680A" w:rsidRPr="001F680A">
        <w:t>$105,000/QALY – $200,000/QALY</w:t>
      </w:r>
      <w:r w:rsidR="008F65CF" w:rsidRPr="00CE5C86">
        <w:t>.</w:t>
      </w:r>
      <w:r w:rsidR="00BF67D9" w:rsidRPr="00CE5C86">
        <w:t xml:space="preserve"> </w:t>
      </w:r>
      <w:r w:rsidR="003F285A" w:rsidRPr="00CE5C86">
        <w:t xml:space="preserve">The ESC noted that the hazard ratio of 0.77 was closer to results for the </w:t>
      </w:r>
      <w:r w:rsidR="003F285A" w:rsidRPr="00CE5C86">
        <w:rPr>
          <w:rFonts w:ascii="Calibri" w:hAnsi="Calibri"/>
        </w:rPr>
        <w:t>high risk subgroups when EDSS≥2 was included</w:t>
      </w:r>
      <w:r w:rsidR="003F285A" w:rsidRPr="00CE5C86">
        <w:t xml:space="preserve"> (refer to paragraph 6.1</w:t>
      </w:r>
      <w:r w:rsidR="00482023" w:rsidRPr="00CE5C86">
        <w:t>3</w:t>
      </w:r>
      <w:r w:rsidR="003F285A" w:rsidRPr="00CE5C86">
        <w:t xml:space="preserve">) and considered that applying a more conservative hazard ratio in the economic model may be appropriate. </w:t>
      </w:r>
      <w:r w:rsidR="00BF67D9" w:rsidRPr="00CE5C86">
        <w:t xml:space="preserve">The ESC also noted that the model was sensitive to the discount rate (5%) </w:t>
      </w:r>
      <w:r w:rsidR="00F25EB1">
        <w:t>and that this favoured placebo.</w:t>
      </w:r>
    </w:p>
    <w:p w:rsidR="00DC6D2E" w:rsidRPr="00CE5C86" w:rsidRDefault="00DC6D2E" w:rsidP="005875D1">
      <w:pPr>
        <w:numPr>
          <w:ilvl w:val="1"/>
          <w:numId w:val="3"/>
        </w:numPr>
        <w:spacing w:before="0" w:after="120"/>
      </w:pPr>
      <w:r w:rsidRPr="00CE5C86">
        <w:t xml:space="preserve">The model structure is inflexible and does not allow modelling of alternative populations such as the broader population included in the </w:t>
      </w:r>
      <w:proofErr w:type="spellStart"/>
      <w:proofErr w:type="gramStart"/>
      <w:r w:rsidRPr="00CE5C86">
        <w:t>PreCISe</w:t>
      </w:r>
      <w:proofErr w:type="spellEnd"/>
      <w:proofErr w:type="gramEnd"/>
      <w:r w:rsidRPr="00CE5C86">
        <w:t xml:space="preserve"> trial.</w:t>
      </w:r>
    </w:p>
    <w:p w:rsidR="00DC6D2E" w:rsidRPr="002720C1" w:rsidRDefault="00DC6D2E" w:rsidP="00716951">
      <w:pPr>
        <w:pStyle w:val="V50Heading2nonumbers"/>
      </w:pPr>
      <w:bookmarkStart w:id="34" w:name="_Toc413139283"/>
      <w:bookmarkStart w:id="35" w:name="_Toc476306893"/>
      <w:bookmarkStart w:id="36" w:name="_Toc482710354"/>
      <w:bookmarkStart w:id="37" w:name="_GoBack"/>
      <w:bookmarkEnd w:id="37"/>
      <w:r w:rsidRPr="002720C1">
        <w:t>Drug cost/patient/year: $</w:t>
      </w:r>
      <w:bookmarkEnd w:id="34"/>
      <w:bookmarkEnd w:id="35"/>
      <w:bookmarkEnd w:id="36"/>
      <w:r w:rsidR="00AF06E3">
        <w:rPr>
          <w:noProof/>
          <w:color w:val="000000"/>
          <w:highlight w:val="black"/>
        </w:rPr>
        <w:t>''''' '''''''</w:t>
      </w:r>
    </w:p>
    <w:p w:rsidR="00DC6D2E" w:rsidRPr="00CE5C86" w:rsidRDefault="00DC6D2E" w:rsidP="005875D1">
      <w:pPr>
        <w:numPr>
          <w:ilvl w:val="1"/>
          <w:numId w:val="3"/>
        </w:numPr>
        <w:spacing w:before="0" w:after="120"/>
      </w:pPr>
      <w:r w:rsidRPr="00CE5C86">
        <w:t>The drug cost per patient per year for early treatment with glatiramer acetate is $</w:t>
      </w:r>
      <w:r w:rsidR="00AF06E3">
        <w:rPr>
          <w:noProof/>
          <w:color w:val="000000"/>
          <w:highlight w:val="black"/>
        </w:rPr>
        <w:t>''''''''''''</w:t>
      </w:r>
      <w:r w:rsidRPr="00CE5C86">
        <w:t>, equivalent to 13.04 prescriptions per year at the proposed DPMQ ($</w:t>
      </w:r>
      <w:r w:rsidR="00AF06E3">
        <w:rPr>
          <w:noProof/>
          <w:color w:val="000000"/>
          <w:highlight w:val="black"/>
        </w:rPr>
        <w:t>'''''''''''''''''</w:t>
      </w:r>
      <w:r w:rsidRPr="00CE5C86">
        <w:t xml:space="preserve">). </w:t>
      </w:r>
      <w:r w:rsidR="007D1B50" w:rsidRPr="00CE5C86">
        <w:t>This is equivalent to the DPMQ for glatiramer acetate</w:t>
      </w:r>
      <w:r w:rsidR="003953DA" w:rsidRPr="00CE5C86">
        <w:t xml:space="preserve"> for RRMS.</w:t>
      </w:r>
    </w:p>
    <w:p w:rsidR="00DC6D2E" w:rsidRPr="002720C1" w:rsidRDefault="00DC6D2E" w:rsidP="00716951">
      <w:pPr>
        <w:pStyle w:val="V50Heading2nonumbers"/>
      </w:pPr>
      <w:bookmarkStart w:id="38" w:name="_Toc413139284"/>
      <w:bookmarkStart w:id="39" w:name="_Toc476306894"/>
      <w:bookmarkStart w:id="40" w:name="_Toc482710355"/>
      <w:r w:rsidRPr="002720C1">
        <w:t>Estimated PBS usage &amp; financial implications</w:t>
      </w:r>
      <w:bookmarkEnd w:id="38"/>
      <w:bookmarkEnd w:id="39"/>
      <w:bookmarkEnd w:id="40"/>
    </w:p>
    <w:p w:rsidR="0033089E" w:rsidRPr="002120A0" w:rsidRDefault="002120A0" w:rsidP="005875D1">
      <w:pPr>
        <w:numPr>
          <w:ilvl w:val="1"/>
          <w:numId w:val="3"/>
        </w:numPr>
        <w:spacing w:before="0" w:after="120"/>
      </w:pPr>
      <w:r w:rsidRPr="002120A0">
        <w:t>This submission was considered by DUSC.</w:t>
      </w:r>
    </w:p>
    <w:p w:rsidR="002120A0" w:rsidRPr="002120A0" w:rsidRDefault="002120A0" w:rsidP="005875D1">
      <w:pPr>
        <w:numPr>
          <w:ilvl w:val="1"/>
          <w:numId w:val="3"/>
        </w:numPr>
        <w:spacing w:before="0" w:after="120"/>
      </w:pPr>
      <w:r w:rsidRPr="002120A0">
        <w:t xml:space="preserve">The submission used a combined epidemiology/market share approach to estimate the utilisation and financial implications associated with the PBS listing of glatiramer acetate for the treatment of clinically isolated syndrome over </w:t>
      </w:r>
      <w:r w:rsidR="00F25EB1">
        <w:t>the first six years of listing.</w:t>
      </w:r>
    </w:p>
    <w:p w:rsidR="007E6A8F" w:rsidRDefault="007E6A8F" w:rsidP="007E6A8F">
      <w:pPr>
        <w:pStyle w:val="Caption"/>
      </w:pPr>
      <w:r>
        <w:t xml:space="preserve">Table </w:t>
      </w:r>
      <w:r>
        <w:rPr>
          <w:noProof/>
        </w:rPr>
        <w:t>13</w:t>
      </w:r>
      <w:r w:rsidRPr="00294CA0">
        <w:t>: Estimated utilisation and cost to the PBS in the first six years of listing</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4"/>
        <w:gridCol w:w="1033"/>
        <w:gridCol w:w="1033"/>
        <w:gridCol w:w="1032"/>
        <w:gridCol w:w="1032"/>
        <w:gridCol w:w="1030"/>
        <w:gridCol w:w="1024"/>
      </w:tblGrid>
      <w:tr w:rsidR="002120A0" w:rsidRPr="002120A0" w:rsidTr="009C17C4">
        <w:trPr>
          <w:tblHeader/>
        </w:trPr>
        <w:tc>
          <w:tcPr>
            <w:tcW w:w="1631" w:type="pct"/>
            <w:tcBorders>
              <w:left w:val="single" w:sz="4" w:space="0" w:color="auto"/>
              <w:bottom w:val="single" w:sz="4" w:space="0" w:color="auto"/>
            </w:tcBorders>
            <w:shd w:val="clear" w:color="auto" w:fill="auto"/>
            <w:vAlign w:val="center"/>
            <w:hideMark/>
          </w:tcPr>
          <w:p w:rsidR="002120A0" w:rsidRPr="002120A0" w:rsidRDefault="002120A0" w:rsidP="009C17C4">
            <w:pPr>
              <w:widowControl w:val="0"/>
              <w:spacing w:before="40" w:after="40"/>
              <w:rPr>
                <w:rFonts w:ascii="Arial Narrow" w:hAnsi="Arial Narrow"/>
                <w:sz w:val="20"/>
                <w:szCs w:val="20"/>
                <w:lang w:eastAsia="en-AU"/>
              </w:rPr>
            </w:pPr>
          </w:p>
        </w:tc>
        <w:tc>
          <w:tcPr>
            <w:tcW w:w="563" w:type="pct"/>
            <w:tcBorders>
              <w:bottom w:val="single" w:sz="4" w:space="0" w:color="auto"/>
            </w:tcBorders>
            <w:shd w:val="clear" w:color="auto" w:fill="auto"/>
            <w:vAlign w:val="center"/>
            <w:hideMark/>
          </w:tcPr>
          <w:p w:rsidR="002120A0" w:rsidRPr="002120A0" w:rsidRDefault="002120A0" w:rsidP="009C17C4">
            <w:pPr>
              <w:widowControl w:val="0"/>
              <w:spacing w:before="40" w:after="40"/>
              <w:jc w:val="center"/>
              <w:rPr>
                <w:rFonts w:ascii="Arial Narrow" w:hAnsi="Arial Narrow"/>
                <w:b/>
                <w:bCs/>
                <w:sz w:val="20"/>
                <w:szCs w:val="20"/>
                <w:lang w:eastAsia="en-AU"/>
              </w:rPr>
            </w:pPr>
            <w:r w:rsidRPr="002120A0">
              <w:rPr>
                <w:rFonts w:ascii="Arial Narrow" w:hAnsi="Arial Narrow"/>
                <w:b/>
                <w:bCs/>
                <w:sz w:val="20"/>
                <w:szCs w:val="20"/>
                <w:lang w:eastAsia="en-AU"/>
              </w:rPr>
              <w:t>Year 1</w:t>
            </w:r>
          </w:p>
          <w:p w:rsidR="002120A0" w:rsidRPr="002120A0" w:rsidRDefault="002120A0" w:rsidP="009C17C4">
            <w:pPr>
              <w:widowControl w:val="0"/>
              <w:spacing w:before="40" w:after="40"/>
              <w:jc w:val="center"/>
              <w:rPr>
                <w:rFonts w:ascii="Arial Narrow" w:hAnsi="Arial Narrow"/>
                <w:b/>
                <w:bCs/>
                <w:sz w:val="20"/>
                <w:szCs w:val="20"/>
                <w:lang w:eastAsia="en-AU"/>
              </w:rPr>
            </w:pPr>
            <w:r w:rsidRPr="002120A0">
              <w:rPr>
                <w:rFonts w:ascii="Arial Narrow" w:hAnsi="Arial Narrow"/>
                <w:b/>
                <w:bCs/>
                <w:sz w:val="20"/>
                <w:szCs w:val="20"/>
                <w:lang w:eastAsia="en-AU"/>
              </w:rPr>
              <w:t>(2018)</w:t>
            </w:r>
          </w:p>
        </w:tc>
        <w:tc>
          <w:tcPr>
            <w:tcW w:w="563" w:type="pct"/>
            <w:tcBorders>
              <w:bottom w:val="single" w:sz="4" w:space="0" w:color="auto"/>
            </w:tcBorders>
            <w:shd w:val="clear" w:color="auto" w:fill="auto"/>
            <w:vAlign w:val="center"/>
            <w:hideMark/>
          </w:tcPr>
          <w:p w:rsidR="002120A0" w:rsidRPr="002120A0" w:rsidRDefault="002120A0" w:rsidP="009C17C4">
            <w:pPr>
              <w:widowControl w:val="0"/>
              <w:spacing w:before="40" w:after="40"/>
              <w:jc w:val="center"/>
              <w:rPr>
                <w:rFonts w:ascii="Arial Narrow" w:hAnsi="Arial Narrow"/>
                <w:b/>
                <w:bCs/>
                <w:sz w:val="20"/>
                <w:szCs w:val="20"/>
                <w:lang w:eastAsia="en-AU"/>
              </w:rPr>
            </w:pPr>
            <w:r w:rsidRPr="002120A0">
              <w:rPr>
                <w:rFonts w:ascii="Arial Narrow" w:hAnsi="Arial Narrow"/>
                <w:b/>
                <w:bCs/>
                <w:sz w:val="20"/>
                <w:szCs w:val="20"/>
                <w:lang w:eastAsia="en-AU"/>
              </w:rPr>
              <w:t>Year 2</w:t>
            </w:r>
          </w:p>
          <w:p w:rsidR="002120A0" w:rsidRPr="002120A0" w:rsidRDefault="002120A0" w:rsidP="009C17C4">
            <w:pPr>
              <w:widowControl w:val="0"/>
              <w:spacing w:before="40" w:after="40"/>
              <w:jc w:val="center"/>
              <w:rPr>
                <w:rFonts w:ascii="Arial Narrow" w:hAnsi="Arial Narrow"/>
                <w:b/>
                <w:bCs/>
                <w:sz w:val="20"/>
                <w:szCs w:val="20"/>
                <w:lang w:eastAsia="en-AU"/>
              </w:rPr>
            </w:pPr>
            <w:r w:rsidRPr="002120A0">
              <w:rPr>
                <w:rFonts w:ascii="Arial Narrow" w:hAnsi="Arial Narrow"/>
                <w:b/>
                <w:bCs/>
                <w:sz w:val="20"/>
                <w:szCs w:val="20"/>
                <w:lang w:eastAsia="en-AU"/>
              </w:rPr>
              <w:t>(2019)</w:t>
            </w:r>
          </w:p>
        </w:tc>
        <w:tc>
          <w:tcPr>
            <w:tcW w:w="562" w:type="pct"/>
            <w:tcBorders>
              <w:bottom w:val="single" w:sz="4" w:space="0" w:color="auto"/>
            </w:tcBorders>
            <w:shd w:val="clear" w:color="auto" w:fill="auto"/>
            <w:vAlign w:val="center"/>
            <w:hideMark/>
          </w:tcPr>
          <w:p w:rsidR="002120A0" w:rsidRPr="002120A0" w:rsidRDefault="002120A0" w:rsidP="009C17C4">
            <w:pPr>
              <w:widowControl w:val="0"/>
              <w:spacing w:before="40" w:after="40"/>
              <w:jc w:val="center"/>
              <w:rPr>
                <w:rFonts w:ascii="Arial Narrow" w:hAnsi="Arial Narrow"/>
                <w:b/>
                <w:bCs/>
                <w:sz w:val="20"/>
                <w:szCs w:val="20"/>
                <w:lang w:eastAsia="en-AU"/>
              </w:rPr>
            </w:pPr>
            <w:r w:rsidRPr="002120A0">
              <w:rPr>
                <w:rFonts w:ascii="Arial Narrow" w:hAnsi="Arial Narrow"/>
                <w:b/>
                <w:bCs/>
                <w:sz w:val="20"/>
                <w:szCs w:val="20"/>
                <w:lang w:eastAsia="en-AU"/>
              </w:rPr>
              <w:t>Year 3</w:t>
            </w:r>
            <w:r w:rsidRPr="002120A0">
              <w:rPr>
                <w:rFonts w:ascii="Arial Narrow" w:hAnsi="Arial Narrow"/>
                <w:b/>
                <w:bCs/>
                <w:sz w:val="20"/>
                <w:szCs w:val="20"/>
                <w:lang w:eastAsia="en-AU"/>
              </w:rPr>
              <w:br/>
              <w:t>(2020)</w:t>
            </w:r>
          </w:p>
        </w:tc>
        <w:tc>
          <w:tcPr>
            <w:tcW w:w="562" w:type="pct"/>
            <w:tcBorders>
              <w:bottom w:val="single" w:sz="4" w:space="0" w:color="auto"/>
            </w:tcBorders>
            <w:shd w:val="clear" w:color="auto" w:fill="auto"/>
            <w:vAlign w:val="center"/>
            <w:hideMark/>
          </w:tcPr>
          <w:p w:rsidR="002120A0" w:rsidRPr="002120A0" w:rsidRDefault="002120A0" w:rsidP="009C17C4">
            <w:pPr>
              <w:widowControl w:val="0"/>
              <w:spacing w:before="40" w:after="40"/>
              <w:jc w:val="center"/>
              <w:rPr>
                <w:rFonts w:ascii="Arial Narrow" w:hAnsi="Arial Narrow"/>
                <w:b/>
                <w:bCs/>
                <w:sz w:val="20"/>
                <w:szCs w:val="20"/>
                <w:lang w:eastAsia="en-AU"/>
              </w:rPr>
            </w:pPr>
            <w:r w:rsidRPr="002120A0">
              <w:rPr>
                <w:rFonts w:ascii="Arial Narrow" w:hAnsi="Arial Narrow"/>
                <w:b/>
                <w:bCs/>
                <w:sz w:val="20"/>
                <w:szCs w:val="20"/>
                <w:lang w:eastAsia="en-AU"/>
              </w:rPr>
              <w:t>Year 4</w:t>
            </w:r>
          </w:p>
          <w:p w:rsidR="002120A0" w:rsidRPr="002120A0" w:rsidRDefault="002120A0" w:rsidP="009C17C4">
            <w:pPr>
              <w:widowControl w:val="0"/>
              <w:spacing w:before="40" w:after="40"/>
              <w:jc w:val="center"/>
              <w:rPr>
                <w:rFonts w:ascii="Arial Narrow" w:hAnsi="Arial Narrow"/>
                <w:b/>
                <w:bCs/>
                <w:sz w:val="20"/>
                <w:szCs w:val="20"/>
                <w:lang w:eastAsia="en-AU"/>
              </w:rPr>
            </w:pPr>
            <w:r w:rsidRPr="002120A0">
              <w:rPr>
                <w:rFonts w:ascii="Arial Narrow" w:hAnsi="Arial Narrow"/>
                <w:b/>
                <w:bCs/>
                <w:sz w:val="20"/>
                <w:szCs w:val="20"/>
                <w:lang w:eastAsia="en-AU"/>
              </w:rPr>
              <w:t>(2021)</w:t>
            </w:r>
          </w:p>
        </w:tc>
        <w:tc>
          <w:tcPr>
            <w:tcW w:w="561" w:type="pct"/>
            <w:tcBorders>
              <w:bottom w:val="single" w:sz="4" w:space="0" w:color="auto"/>
              <w:right w:val="single" w:sz="4" w:space="0" w:color="auto"/>
            </w:tcBorders>
            <w:shd w:val="clear" w:color="auto" w:fill="auto"/>
            <w:vAlign w:val="center"/>
            <w:hideMark/>
          </w:tcPr>
          <w:p w:rsidR="002120A0" w:rsidRPr="002120A0" w:rsidRDefault="002120A0" w:rsidP="009C17C4">
            <w:pPr>
              <w:widowControl w:val="0"/>
              <w:spacing w:before="40" w:after="40"/>
              <w:jc w:val="center"/>
              <w:rPr>
                <w:rFonts w:ascii="Arial Narrow" w:hAnsi="Arial Narrow"/>
                <w:b/>
                <w:bCs/>
                <w:sz w:val="20"/>
                <w:szCs w:val="20"/>
                <w:lang w:eastAsia="en-AU"/>
              </w:rPr>
            </w:pPr>
            <w:r w:rsidRPr="002120A0">
              <w:rPr>
                <w:rFonts w:ascii="Arial Narrow" w:hAnsi="Arial Narrow"/>
                <w:b/>
                <w:bCs/>
                <w:sz w:val="20"/>
                <w:szCs w:val="20"/>
                <w:lang w:eastAsia="en-AU"/>
              </w:rPr>
              <w:t>Year 5</w:t>
            </w:r>
          </w:p>
          <w:p w:rsidR="002120A0" w:rsidRPr="002120A0" w:rsidRDefault="002120A0" w:rsidP="009C17C4">
            <w:pPr>
              <w:widowControl w:val="0"/>
              <w:spacing w:before="40" w:after="40"/>
              <w:jc w:val="center"/>
              <w:rPr>
                <w:rFonts w:ascii="Arial Narrow" w:hAnsi="Arial Narrow"/>
                <w:b/>
                <w:bCs/>
                <w:sz w:val="20"/>
                <w:szCs w:val="20"/>
                <w:lang w:eastAsia="en-AU"/>
              </w:rPr>
            </w:pPr>
            <w:r w:rsidRPr="002120A0">
              <w:rPr>
                <w:rFonts w:ascii="Arial Narrow" w:hAnsi="Arial Narrow"/>
                <w:b/>
                <w:bCs/>
                <w:sz w:val="20"/>
                <w:szCs w:val="20"/>
                <w:lang w:eastAsia="en-AU"/>
              </w:rPr>
              <w:t>(2022)</w:t>
            </w:r>
          </w:p>
        </w:tc>
        <w:tc>
          <w:tcPr>
            <w:tcW w:w="558" w:type="pct"/>
            <w:tcBorders>
              <w:bottom w:val="single" w:sz="4" w:space="0" w:color="auto"/>
              <w:right w:val="single" w:sz="4" w:space="0" w:color="auto"/>
            </w:tcBorders>
            <w:vAlign w:val="center"/>
          </w:tcPr>
          <w:p w:rsidR="002120A0" w:rsidRPr="002120A0" w:rsidRDefault="002120A0" w:rsidP="009C17C4">
            <w:pPr>
              <w:widowControl w:val="0"/>
              <w:spacing w:before="40" w:after="40"/>
              <w:jc w:val="center"/>
              <w:rPr>
                <w:rFonts w:ascii="Arial Narrow" w:hAnsi="Arial Narrow"/>
                <w:b/>
                <w:bCs/>
                <w:sz w:val="20"/>
                <w:szCs w:val="20"/>
                <w:lang w:eastAsia="en-AU"/>
              </w:rPr>
            </w:pPr>
            <w:r w:rsidRPr="002120A0">
              <w:rPr>
                <w:rFonts w:ascii="Arial Narrow" w:hAnsi="Arial Narrow"/>
                <w:b/>
                <w:bCs/>
                <w:sz w:val="20"/>
                <w:szCs w:val="20"/>
                <w:lang w:eastAsia="en-AU"/>
              </w:rPr>
              <w:t>Year 6</w:t>
            </w:r>
          </w:p>
          <w:p w:rsidR="002120A0" w:rsidRPr="002120A0" w:rsidRDefault="002120A0" w:rsidP="009C17C4">
            <w:pPr>
              <w:widowControl w:val="0"/>
              <w:spacing w:before="40" w:after="40"/>
              <w:jc w:val="center"/>
              <w:rPr>
                <w:rFonts w:ascii="Arial Narrow" w:hAnsi="Arial Narrow"/>
                <w:b/>
                <w:bCs/>
                <w:sz w:val="20"/>
                <w:szCs w:val="20"/>
                <w:lang w:eastAsia="en-AU"/>
              </w:rPr>
            </w:pPr>
            <w:r w:rsidRPr="002120A0">
              <w:rPr>
                <w:rFonts w:ascii="Arial Narrow" w:hAnsi="Arial Narrow"/>
                <w:b/>
                <w:bCs/>
                <w:sz w:val="20"/>
                <w:szCs w:val="20"/>
                <w:lang w:eastAsia="en-AU"/>
              </w:rPr>
              <w:t>(2023)</w:t>
            </w:r>
          </w:p>
        </w:tc>
      </w:tr>
      <w:tr w:rsidR="002120A0" w:rsidRPr="002120A0" w:rsidTr="009C17C4">
        <w:tc>
          <w:tcPr>
            <w:tcW w:w="1631" w:type="pct"/>
            <w:tcBorders>
              <w:left w:val="single" w:sz="4" w:space="0" w:color="auto"/>
              <w:bottom w:val="single" w:sz="4" w:space="0" w:color="auto"/>
            </w:tcBorders>
            <w:shd w:val="clear" w:color="auto" w:fill="auto"/>
            <w:vAlign w:val="center"/>
          </w:tcPr>
          <w:p w:rsidR="002120A0" w:rsidRPr="002120A0" w:rsidRDefault="002120A0" w:rsidP="009C17C4">
            <w:pPr>
              <w:widowControl w:val="0"/>
              <w:spacing w:before="40" w:after="40"/>
              <w:jc w:val="left"/>
              <w:rPr>
                <w:rFonts w:ascii="Arial Narrow" w:hAnsi="Arial Narrow"/>
                <w:sz w:val="20"/>
                <w:szCs w:val="20"/>
                <w:lang w:eastAsia="en-AU"/>
              </w:rPr>
            </w:pPr>
            <w:r w:rsidRPr="002120A0">
              <w:rPr>
                <w:rFonts w:ascii="Arial Narrow" w:hAnsi="Arial Narrow"/>
                <w:sz w:val="20"/>
                <w:szCs w:val="20"/>
                <w:lang w:eastAsia="en-AU"/>
              </w:rPr>
              <w:t>Australian population</w:t>
            </w:r>
          </w:p>
        </w:tc>
        <w:tc>
          <w:tcPr>
            <w:tcW w:w="563" w:type="pct"/>
            <w:shd w:val="clear" w:color="auto" w:fill="auto"/>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63" w:type="pct"/>
            <w:shd w:val="clear" w:color="auto" w:fill="auto"/>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62" w:type="pct"/>
            <w:shd w:val="clear" w:color="auto" w:fill="auto"/>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62" w:type="pct"/>
            <w:shd w:val="clear" w:color="auto" w:fill="auto"/>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61" w:type="pct"/>
            <w:tcBorders>
              <w:right w:val="single" w:sz="4" w:space="0" w:color="auto"/>
            </w:tcBorders>
            <w:shd w:val="clear" w:color="auto" w:fill="auto"/>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58" w:type="pct"/>
            <w:tcBorders>
              <w:right w:val="single" w:sz="4" w:space="0" w:color="auto"/>
            </w:tcBorders>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r>
      <w:tr w:rsidR="002120A0" w:rsidRPr="002120A0" w:rsidTr="009C17C4">
        <w:tc>
          <w:tcPr>
            <w:tcW w:w="1631" w:type="pct"/>
            <w:tcBorders>
              <w:left w:val="single" w:sz="4" w:space="0" w:color="auto"/>
              <w:bottom w:val="single" w:sz="4" w:space="0" w:color="auto"/>
            </w:tcBorders>
            <w:shd w:val="clear" w:color="auto" w:fill="auto"/>
            <w:vAlign w:val="center"/>
          </w:tcPr>
          <w:p w:rsidR="002120A0" w:rsidRPr="002120A0" w:rsidRDefault="002120A0" w:rsidP="009C17C4">
            <w:pPr>
              <w:widowControl w:val="0"/>
              <w:spacing w:before="40" w:after="40"/>
              <w:jc w:val="left"/>
              <w:rPr>
                <w:rFonts w:ascii="Arial Narrow" w:hAnsi="Arial Narrow"/>
                <w:sz w:val="20"/>
                <w:szCs w:val="20"/>
                <w:lang w:eastAsia="en-AU"/>
              </w:rPr>
            </w:pPr>
            <w:r w:rsidRPr="002120A0">
              <w:rPr>
                <w:rFonts w:ascii="Arial Narrow" w:hAnsi="Arial Narrow"/>
                <w:sz w:val="20"/>
                <w:szCs w:val="20"/>
                <w:lang w:eastAsia="en-AU"/>
              </w:rPr>
              <w:t>CIS incidence rate per 100,000</w:t>
            </w:r>
          </w:p>
        </w:tc>
        <w:tc>
          <w:tcPr>
            <w:tcW w:w="563" w:type="pct"/>
            <w:shd w:val="clear" w:color="auto" w:fill="auto"/>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63" w:type="pct"/>
            <w:shd w:val="clear" w:color="auto" w:fill="auto"/>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62" w:type="pct"/>
            <w:shd w:val="clear" w:color="auto" w:fill="auto"/>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62" w:type="pct"/>
            <w:shd w:val="clear" w:color="auto" w:fill="auto"/>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61" w:type="pct"/>
            <w:tcBorders>
              <w:right w:val="single" w:sz="4" w:space="0" w:color="auto"/>
            </w:tcBorders>
            <w:shd w:val="clear" w:color="auto" w:fill="auto"/>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58" w:type="pct"/>
            <w:tcBorders>
              <w:right w:val="single" w:sz="4" w:space="0" w:color="auto"/>
            </w:tcBorders>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r>
      <w:tr w:rsidR="002120A0" w:rsidRPr="002120A0" w:rsidTr="009C17C4">
        <w:tc>
          <w:tcPr>
            <w:tcW w:w="1631" w:type="pct"/>
            <w:tcBorders>
              <w:left w:val="single" w:sz="4" w:space="0" w:color="auto"/>
              <w:bottom w:val="single" w:sz="4" w:space="0" w:color="auto"/>
            </w:tcBorders>
            <w:shd w:val="clear" w:color="auto" w:fill="auto"/>
            <w:vAlign w:val="center"/>
          </w:tcPr>
          <w:p w:rsidR="002120A0" w:rsidRPr="002120A0" w:rsidRDefault="002120A0" w:rsidP="009C17C4">
            <w:pPr>
              <w:widowControl w:val="0"/>
              <w:spacing w:before="40" w:after="40"/>
              <w:jc w:val="left"/>
              <w:rPr>
                <w:rFonts w:ascii="Arial Narrow" w:hAnsi="Arial Narrow"/>
                <w:sz w:val="20"/>
                <w:szCs w:val="20"/>
                <w:lang w:eastAsia="en-AU"/>
              </w:rPr>
            </w:pPr>
            <w:r w:rsidRPr="002120A0">
              <w:rPr>
                <w:rFonts w:ascii="Arial Narrow" w:hAnsi="Arial Narrow"/>
                <w:sz w:val="20"/>
                <w:szCs w:val="20"/>
                <w:lang w:eastAsia="en-AU"/>
              </w:rPr>
              <w:t>Number of incident CIS patients</w:t>
            </w:r>
          </w:p>
        </w:tc>
        <w:tc>
          <w:tcPr>
            <w:tcW w:w="563" w:type="pct"/>
            <w:shd w:val="clear" w:color="auto" w:fill="auto"/>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63" w:type="pct"/>
            <w:shd w:val="clear" w:color="auto" w:fill="auto"/>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62" w:type="pct"/>
            <w:shd w:val="clear" w:color="auto" w:fill="auto"/>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62" w:type="pct"/>
            <w:shd w:val="clear" w:color="auto" w:fill="auto"/>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61" w:type="pct"/>
            <w:tcBorders>
              <w:right w:val="single" w:sz="4" w:space="0" w:color="auto"/>
            </w:tcBorders>
            <w:shd w:val="clear" w:color="auto" w:fill="auto"/>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58" w:type="pct"/>
            <w:tcBorders>
              <w:right w:val="single" w:sz="4" w:space="0" w:color="auto"/>
            </w:tcBorders>
            <w:vAlign w:val="center"/>
          </w:tcPr>
          <w:p w:rsidR="002120A0" w:rsidRPr="00AF06E3" w:rsidRDefault="00AF06E3" w:rsidP="009C17C4">
            <w:pPr>
              <w:widowControl w:val="0"/>
              <w:spacing w:before="40" w:after="4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r>
      <w:tr w:rsidR="002120A0" w:rsidRPr="002120A0" w:rsidTr="009C17C4">
        <w:tc>
          <w:tcPr>
            <w:tcW w:w="1631" w:type="pct"/>
            <w:tcBorders>
              <w:left w:val="single" w:sz="4" w:space="0" w:color="auto"/>
              <w:bottom w:val="single" w:sz="4" w:space="0" w:color="auto"/>
            </w:tcBorders>
            <w:shd w:val="clear" w:color="auto" w:fill="auto"/>
            <w:vAlign w:val="center"/>
          </w:tcPr>
          <w:p w:rsidR="002120A0" w:rsidRPr="002120A0" w:rsidRDefault="002120A0" w:rsidP="009C17C4">
            <w:pPr>
              <w:widowControl w:val="0"/>
              <w:spacing w:before="40" w:after="40"/>
              <w:jc w:val="left"/>
              <w:rPr>
                <w:rFonts w:ascii="Arial Narrow" w:hAnsi="Arial Narrow"/>
                <w:sz w:val="20"/>
                <w:szCs w:val="20"/>
                <w:lang w:eastAsia="en-AU"/>
              </w:rPr>
            </w:pPr>
            <w:r w:rsidRPr="002120A0">
              <w:rPr>
                <w:rFonts w:ascii="Arial Narrow" w:hAnsi="Arial Narrow"/>
                <w:sz w:val="20"/>
                <w:szCs w:val="20"/>
                <w:lang w:eastAsia="en-AU"/>
              </w:rPr>
              <w:t>Number of prevalent CIS patients</w:t>
            </w:r>
          </w:p>
          <w:p w:rsidR="002120A0" w:rsidRPr="002120A0" w:rsidRDefault="002120A0" w:rsidP="009C17C4">
            <w:pPr>
              <w:widowControl w:val="0"/>
              <w:spacing w:before="40" w:after="40"/>
              <w:jc w:val="left"/>
              <w:rPr>
                <w:rFonts w:ascii="Arial Narrow" w:hAnsi="Arial Narrow"/>
                <w:sz w:val="20"/>
                <w:szCs w:val="20"/>
                <w:lang w:eastAsia="en-AU"/>
              </w:rPr>
            </w:pPr>
            <w:r w:rsidRPr="002120A0">
              <w:rPr>
                <w:rFonts w:ascii="Arial Narrow" w:hAnsi="Arial Narrow"/>
                <w:sz w:val="20"/>
                <w:szCs w:val="20"/>
                <w:lang w:eastAsia="en-AU"/>
              </w:rPr>
              <w:t>(incident population × 5 years)</w:t>
            </w:r>
          </w:p>
        </w:tc>
        <w:tc>
          <w:tcPr>
            <w:tcW w:w="563" w:type="pct"/>
            <w:shd w:val="clear" w:color="auto" w:fill="auto"/>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3" w:type="pct"/>
            <w:shd w:val="clear" w:color="auto" w:fill="auto"/>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2" w:type="pct"/>
            <w:shd w:val="clear" w:color="auto" w:fill="auto"/>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2" w:type="pct"/>
            <w:shd w:val="clear" w:color="auto" w:fill="auto"/>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1" w:type="pct"/>
            <w:tcBorders>
              <w:right w:val="single" w:sz="4" w:space="0" w:color="auto"/>
            </w:tcBorders>
            <w:shd w:val="clear" w:color="auto" w:fill="auto"/>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58" w:type="pct"/>
            <w:tcBorders>
              <w:right w:val="single" w:sz="4" w:space="0" w:color="auto"/>
            </w:tcBorders>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2120A0" w:rsidRPr="002120A0" w:rsidTr="009C17C4">
        <w:trPr>
          <w:trHeight w:val="60"/>
        </w:trPr>
        <w:tc>
          <w:tcPr>
            <w:tcW w:w="1631" w:type="pct"/>
            <w:tcBorders>
              <w:left w:val="single" w:sz="4" w:space="0" w:color="auto"/>
              <w:bottom w:val="single" w:sz="4" w:space="0" w:color="auto"/>
            </w:tcBorders>
            <w:shd w:val="clear" w:color="auto" w:fill="auto"/>
            <w:vAlign w:val="center"/>
          </w:tcPr>
          <w:p w:rsidR="002120A0" w:rsidRPr="002120A0" w:rsidRDefault="002120A0" w:rsidP="009C17C4">
            <w:pPr>
              <w:widowControl w:val="0"/>
              <w:spacing w:before="40" w:after="40"/>
              <w:jc w:val="left"/>
              <w:rPr>
                <w:rFonts w:ascii="Arial Narrow" w:hAnsi="Arial Narrow"/>
                <w:sz w:val="20"/>
                <w:szCs w:val="20"/>
                <w:lang w:eastAsia="en-AU"/>
              </w:rPr>
            </w:pPr>
            <w:r w:rsidRPr="002120A0">
              <w:rPr>
                <w:rFonts w:ascii="Arial Narrow" w:hAnsi="Arial Narrow"/>
                <w:sz w:val="20"/>
                <w:szCs w:val="20"/>
                <w:lang w:eastAsia="en-AU"/>
              </w:rPr>
              <w:t>Total CIS patients</w:t>
            </w:r>
          </w:p>
        </w:tc>
        <w:tc>
          <w:tcPr>
            <w:tcW w:w="563" w:type="pct"/>
            <w:tcBorders>
              <w:bottom w:val="single" w:sz="4" w:space="0" w:color="auto"/>
            </w:tcBorders>
            <w:shd w:val="clear" w:color="auto" w:fill="auto"/>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3" w:type="pct"/>
            <w:tcBorders>
              <w:bottom w:val="single" w:sz="4" w:space="0" w:color="auto"/>
            </w:tcBorders>
            <w:shd w:val="clear" w:color="auto" w:fill="auto"/>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2" w:type="pct"/>
            <w:tcBorders>
              <w:bottom w:val="single" w:sz="4" w:space="0" w:color="auto"/>
            </w:tcBorders>
            <w:shd w:val="clear" w:color="auto" w:fill="auto"/>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2" w:type="pct"/>
            <w:tcBorders>
              <w:bottom w:val="single" w:sz="4" w:space="0" w:color="auto"/>
            </w:tcBorders>
            <w:shd w:val="clear" w:color="auto" w:fill="auto"/>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1" w:type="pct"/>
            <w:tcBorders>
              <w:bottom w:val="single" w:sz="4" w:space="0" w:color="auto"/>
              <w:right w:val="single" w:sz="4" w:space="0" w:color="auto"/>
            </w:tcBorders>
            <w:shd w:val="clear" w:color="auto" w:fill="auto"/>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58" w:type="pct"/>
            <w:tcBorders>
              <w:bottom w:val="single" w:sz="4" w:space="0" w:color="auto"/>
              <w:right w:val="single" w:sz="4" w:space="0" w:color="auto"/>
            </w:tcBorders>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2120A0" w:rsidRPr="002120A0" w:rsidTr="009C17C4">
        <w:tc>
          <w:tcPr>
            <w:tcW w:w="1631" w:type="pct"/>
            <w:tcBorders>
              <w:left w:val="single" w:sz="4" w:space="0" w:color="auto"/>
              <w:bottom w:val="single" w:sz="4" w:space="0" w:color="auto"/>
            </w:tcBorders>
            <w:shd w:val="clear" w:color="auto" w:fill="auto"/>
            <w:vAlign w:val="center"/>
          </w:tcPr>
          <w:p w:rsidR="002120A0" w:rsidRPr="002120A0" w:rsidRDefault="002120A0" w:rsidP="009C17C4">
            <w:pPr>
              <w:widowControl w:val="0"/>
              <w:spacing w:before="40" w:after="40"/>
              <w:jc w:val="left"/>
              <w:rPr>
                <w:rFonts w:ascii="Arial Narrow" w:hAnsi="Arial Narrow"/>
                <w:sz w:val="20"/>
                <w:szCs w:val="20"/>
                <w:lang w:eastAsia="en-AU"/>
              </w:rPr>
            </w:pPr>
            <w:r w:rsidRPr="002120A0">
              <w:rPr>
                <w:rFonts w:ascii="Arial Narrow" w:hAnsi="Arial Narrow"/>
                <w:sz w:val="20"/>
                <w:szCs w:val="20"/>
                <w:lang w:eastAsia="en-AU"/>
              </w:rPr>
              <w:t>No. eligible for treatment: high risk (25%)</w:t>
            </w:r>
          </w:p>
        </w:tc>
        <w:tc>
          <w:tcPr>
            <w:tcW w:w="563" w:type="pct"/>
            <w:tcBorders>
              <w:top w:val="single" w:sz="4" w:space="0" w:color="auto"/>
              <w:left w:val="nil"/>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2120A0" w:rsidRPr="002120A0" w:rsidTr="009C17C4">
        <w:tc>
          <w:tcPr>
            <w:tcW w:w="1631" w:type="pct"/>
            <w:tcBorders>
              <w:left w:val="single" w:sz="4" w:space="0" w:color="auto"/>
              <w:bottom w:val="single" w:sz="4" w:space="0" w:color="auto"/>
            </w:tcBorders>
            <w:shd w:val="clear" w:color="auto" w:fill="auto"/>
            <w:vAlign w:val="center"/>
          </w:tcPr>
          <w:p w:rsidR="002120A0" w:rsidRPr="002120A0" w:rsidRDefault="002120A0" w:rsidP="009C17C4">
            <w:pPr>
              <w:widowControl w:val="0"/>
              <w:spacing w:before="40" w:after="40"/>
              <w:jc w:val="left"/>
              <w:rPr>
                <w:rFonts w:ascii="Arial Narrow" w:hAnsi="Arial Narrow"/>
                <w:sz w:val="20"/>
                <w:szCs w:val="20"/>
                <w:lang w:eastAsia="en-AU"/>
              </w:rPr>
            </w:pPr>
            <w:r w:rsidRPr="002120A0">
              <w:rPr>
                <w:rFonts w:ascii="Arial Narrow" w:hAnsi="Arial Narrow"/>
                <w:sz w:val="20"/>
                <w:szCs w:val="20"/>
                <w:lang w:eastAsia="en-AU"/>
              </w:rPr>
              <w:t>Proportion of patients willing to be treated</w:t>
            </w:r>
          </w:p>
        </w:tc>
        <w:tc>
          <w:tcPr>
            <w:tcW w:w="563" w:type="pct"/>
            <w:tcBorders>
              <w:top w:val="single" w:sz="4" w:space="0" w:color="auto"/>
              <w:bottom w:val="single" w:sz="4" w:space="0" w:color="auto"/>
            </w:tcBorders>
            <w:shd w:val="clear" w:color="auto" w:fill="auto"/>
            <w:vAlign w:val="center"/>
          </w:tcPr>
          <w:p w:rsidR="002120A0" w:rsidRPr="001F680A" w:rsidRDefault="002120A0" w:rsidP="009C17C4">
            <w:pPr>
              <w:widowControl w:val="0"/>
              <w:spacing w:before="40" w:after="40"/>
              <w:jc w:val="center"/>
              <w:rPr>
                <w:rFonts w:ascii="Arial Narrow" w:hAnsi="Arial Narrow" w:cs="Arial"/>
                <w:sz w:val="20"/>
                <w:szCs w:val="20"/>
              </w:rPr>
            </w:pPr>
            <w:r w:rsidRPr="001F680A">
              <w:rPr>
                <w:rFonts w:ascii="Arial Narrow" w:hAnsi="Arial Narrow" w:cs="Arial"/>
                <w:sz w:val="20"/>
                <w:szCs w:val="20"/>
              </w:rPr>
              <w:t>80%</w:t>
            </w:r>
          </w:p>
        </w:tc>
        <w:tc>
          <w:tcPr>
            <w:tcW w:w="563" w:type="pct"/>
            <w:tcBorders>
              <w:top w:val="single" w:sz="4" w:space="0" w:color="auto"/>
              <w:bottom w:val="single" w:sz="4" w:space="0" w:color="auto"/>
            </w:tcBorders>
            <w:shd w:val="clear" w:color="auto" w:fill="auto"/>
            <w:vAlign w:val="center"/>
          </w:tcPr>
          <w:p w:rsidR="002120A0" w:rsidRPr="001F680A" w:rsidRDefault="002120A0" w:rsidP="009C17C4">
            <w:pPr>
              <w:widowControl w:val="0"/>
              <w:spacing w:before="40" w:after="40"/>
              <w:jc w:val="center"/>
              <w:rPr>
                <w:rFonts w:ascii="Arial Narrow" w:hAnsi="Arial Narrow" w:cs="Arial"/>
                <w:sz w:val="20"/>
                <w:szCs w:val="20"/>
              </w:rPr>
            </w:pPr>
            <w:r w:rsidRPr="001F680A">
              <w:rPr>
                <w:rFonts w:ascii="Arial Narrow" w:hAnsi="Arial Narrow" w:cs="Arial"/>
                <w:sz w:val="20"/>
                <w:szCs w:val="20"/>
              </w:rPr>
              <w:t>80%</w:t>
            </w:r>
          </w:p>
        </w:tc>
        <w:tc>
          <w:tcPr>
            <w:tcW w:w="562" w:type="pct"/>
            <w:tcBorders>
              <w:top w:val="single" w:sz="4" w:space="0" w:color="auto"/>
              <w:bottom w:val="single" w:sz="4" w:space="0" w:color="auto"/>
            </w:tcBorders>
            <w:shd w:val="clear" w:color="auto" w:fill="auto"/>
            <w:vAlign w:val="center"/>
          </w:tcPr>
          <w:p w:rsidR="002120A0" w:rsidRPr="001F680A" w:rsidRDefault="002120A0" w:rsidP="009C17C4">
            <w:pPr>
              <w:widowControl w:val="0"/>
              <w:spacing w:before="40" w:after="40"/>
              <w:jc w:val="center"/>
              <w:rPr>
                <w:rFonts w:ascii="Arial Narrow" w:hAnsi="Arial Narrow" w:cs="Arial"/>
                <w:sz w:val="20"/>
                <w:szCs w:val="20"/>
              </w:rPr>
            </w:pPr>
            <w:r w:rsidRPr="001F680A">
              <w:rPr>
                <w:rFonts w:ascii="Arial Narrow" w:hAnsi="Arial Narrow" w:cs="Arial"/>
                <w:sz w:val="20"/>
                <w:szCs w:val="20"/>
              </w:rPr>
              <w:t>85%</w:t>
            </w:r>
          </w:p>
        </w:tc>
        <w:tc>
          <w:tcPr>
            <w:tcW w:w="562" w:type="pct"/>
            <w:tcBorders>
              <w:top w:val="single" w:sz="4" w:space="0" w:color="auto"/>
              <w:bottom w:val="single" w:sz="4" w:space="0" w:color="auto"/>
            </w:tcBorders>
            <w:shd w:val="clear" w:color="auto" w:fill="auto"/>
            <w:vAlign w:val="center"/>
          </w:tcPr>
          <w:p w:rsidR="002120A0" w:rsidRPr="001F680A" w:rsidRDefault="002120A0" w:rsidP="009C17C4">
            <w:pPr>
              <w:widowControl w:val="0"/>
              <w:spacing w:before="40" w:after="40"/>
              <w:jc w:val="center"/>
              <w:rPr>
                <w:rFonts w:ascii="Arial Narrow" w:hAnsi="Arial Narrow" w:cs="Arial"/>
                <w:sz w:val="20"/>
                <w:szCs w:val="20"/>
              </w:rPr>
            </w:pPr>
            <w:r w:rsidRPr="001F680A">
              <w:rPr>
                <w:rFonts w:ascii="Arial Narrow" w:hAnsi="Arial Narrow" w:cs="Arial"/>
                <w:sz w:val="20"/>
                <w:szCs w:val="20"/>
              </w:rPr>
              <w:t>85%</w:t>
            </w:r>
          </w:p>
        </w:tc>
        <w:tc>
          <w:tcPr>
            <w:tcW w:w="561" w:type="pct"/>
            <w:tcBorders>
              <w:top w:val="single" w:sz="4" w:space="0" w:color="auto"/>
              <w:bottom w:val="single" w:sz="4" w:space="0" w:color="auto"/>
              <w:right w:val="single" w:sz="4" w:space="0" w:color="auto"/>
            </w:tcBorders>
            <w:shd w:val="clear" w:color="auto" w:fill="auto"/>
            <w:vAlign w:val="center"/>
          </w:tcPr>
          <w:p w:rsidR="002120A0" w:rsidRPr="001F680A" w:rsidRDefault="002120A0" w:rsidP="009C17C4">
            <w:pPr>
              <w:widowControl w:val="0"/>
              <w:spacing w:before="40" w:after="40"/>
              <w:jc w:val="center"/>
              <w:rPr>
                <w:rFonts w:ascii="Arial Narrow" w:hAnsi="Arial Narrow" w:cs="Arial"/>
                <w:sz w:val="20"/>
                <w:szCs w:val="20"/>
              </w:rPr>
            </w:pPr>
            <w:r w:rsidRPr="001F680A">
              <w:rPr>
                <w:rFonts w:ascii="Arial Narrow" w:hAnsi="Arial Narrow" w:cs="Arial"/>
                <w:sz w:val="20"/>
                <w:szCs w:val="20"/>
              </w:rPr>
              <w:t>90%</w:t>
            </w:r>
          </w:p>
        </w:tc>
        <w:tc>
          <w:tcPr>
            <w:tcW w:w="558" w:type="pct"/>
            <w:tcBorders>
              <w:top w:val="single" w:sz="4" w:space="0" w:color="auto"/>
              <w:bottom w:val="single" w:sz="4" w:space="0" w:color="auto"/>
              <w:right w:val="single" w:sz="4" w:space="0" w:color="auto"/>
            </w:tcBorders>
            <w:vAlign w:val="center"/>
          </w:tcPr>
          <w:p w:rsidR="002120A0" w:rsidRPr="001F680A" w:rsidRDefault="002120A0" w:rsidP="009C17C4">
            <w:pPr>
              <w:widowControl w:val="0"/>
              <w:spacing w:before="40" w:after="40"/>
              <w:jc w:val="center"/>
              <w:rPr>
                <w:rFonts w:ascii="Arial Narrow" w:hAnsi="Arial Narrow" w:cs="Arial"/>
                <w:sz w:val="20"/>
                <w:szCs w:val="20"/>
              </w:rPr>
            </w:pPr>
            <w:r w:rsidRPr="001F680A">
              <w:rPr>
                <w:rFonts w:ascii="Arial Narrow" w:hAnsi="Arial Narrow" w:cs="Arial"/>
                <w:sz w:val="20"/>
                <w:szCs w:val="20"/>
              </w:rPr>
              <w:t>95%</w:t>
            </w:r>
          </w:p>
        </w:tc>
      </w:tr>
      <w:tr w:rsidR="002120A0" w:rsidRPr="002120A0" w:rsidTr="009C17C4">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2120A0" w:rsidRPr="002120A0" w:rsidRDefault="002120A0" w:rsidP="009C17C4">
            <w:pPr>
              <w:widowControl w:val="0"/>
              <w:spacing w:before="40" w:after="40"/>
              <w:jc w:val="left"/>
              <w:rPr>
                <w:rFonts w:ascii="Arial Narrow" w:hAnsi="Arial Narrow"/>
                <w:sz w:val="20"/>
                <w:szCs w:val="20"/>
                <w:lang w:eastAsia="en-AU"/>
              </w:rPr>
            </w:pPr>
            <w:r w:rsidRPr="002120A0">
              <w:rPr>
                <w:rFonts w:ascii="Arial Narrow" w:hAnsi="Arial Narrow"/>
                <w:sz w:val="20"/>
                <w:szCs w:val="20"/>
                <w:lang w:eastAsia="en-AU"/>
              </w:rPr>
              <w:t>Total high risk CIS patients willing to be treated</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2120A0" w:rsidRPr="002120A0" w:rsidTr="009C17C4">
        <w:tc>
          <w:tcPr>
            <w:tcW w:w="5000" w:type="pct"/>
            <w:gridSpan w:val="7"/>
            <w:tcBorders>
              <w:left w:val="single" w:sz="4" w:space="0" w:color="auto"/>
              <w:bottom w:val="single" w:sz="4" w:space="0" w:color="auto"/>
              <w:right w:val="single" w:sz="4" w:space="0" w:color="auto"/>
            </w:tcBorders>
            <w:shd w:val="clear" w:color="auto" w:fill="auto"/>
            <w:vAlign w:val="center"/>
          </w:tcPr>
          <w:p w:rsidR="002120A0" w:rsidRPr="002120A0" w:rsidRDefault="002120A0" w:rsidP="009C17C4">
            <w:pPr>
              <w:widowControl w:val="0"/>
              <w:spacing w:before="40" w:after="40"/>
              <w:jc w:val="left"/>
              <w:rPr>
                <w:rFonts w:ascii="Arial Narrow" w:hAnsi="Arial Narrow"/>
                <w:sz w:val="20"/>
                <w:szCs w:val="20"/>
              </w:rPr>
            </w:pPr>
            <w:r w:rsidRPr="002120A0">
              <w:rPr>
                <w:rFonts w:ascii="Arial Narrow" w:hAnsi="Arial Narrow"/>
                <w:sz w:val="20"/>
                <w:szCs w:val="20"/>
                <w:lang w:eastAsia="en-AU"/>
              </w:rPr>
              <w:t>Patients otherwise treated if glatiramer not listed (80%)</w:t>
            </w:r>
          </w:p>
        </w:tc>
      </w:tr>
      <w:tr w:rsidR="002120A0" w:rsidRPr="002120A0" w:rsidTr="009C17C4">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2120A0" w:rsidRPr="002120A0" w:rsidRDefault="002120A0" w:rsidP="005875D1">
            <w:pPr>
              <w:widowControl w:val="0"/>
              <w:numPr>
                <w:ilvl w:val="0"/>
                <w:numId w:val="8"/>
              </w:numPr>
              <w:spacing w:before="40" w:after="40"/>
              <w:ind w:left="142" w:hanging="142"/>
              <w:jc w:val="left"/>
              <w:rPr>
                <w:rFonts w:ascii="Arial Narrow" w:hAnsi="Arial Narrow"/>
                <w:sz w:val="20"/>
                <w:szCs w:val="20"/>
                <w:lang w:eastAsia="en-AU"/>
              </w:rPr>
            </w:pPr>
            <w:r w:rsidRPr="002120A0">
              <w:rPr>
                <w:rFonts w:ascii="Arial Narrow" w:hAnsi="Arial Narrow"/>
                <w:sz w:val="20"/>
                <w:szCs w:val="20"/>
                <w:lang w:eastAsia="en-AU"/>
              </w:rPr>
              <w:t>Patients receiving treatment (CIS patients outside PBS restriction)</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2120A0" w:rsidRPr="002120A0" w:rsidTr="009C17C4">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2120A0" w:rsidRPr="002120A0" w:rsidRDefault="002120A0" w:rsidP="005875D1">
            <w:pPr>
              <w:widowControl w:val="0"/>
              <w:numPr>
                <w:ilvl w:val="0"/>
                <w:numId w:val="8"/>
              </w:numPr>
              <w:spacing w:before="40" w:after="40"/>
              <w:ind w:left="142" w:hanging="142"/>
              <w:jc w:val="left"/>
              <w:rPr>
                <w:rFonts w:ascii="Arial Narrow" w:hAnsi="Arial Narrow"/>
                <w:sz w:val="20"/>
                <w:szCs w:val="20"/>
                <w:lang w:eastAsia="en-AU"/>
              </w:rPr>
            </w:pPr>
            <w:r w:rsidRPr="002120A0">
              <w:rPr>
                <w:rFonts w:ascii="Arial Narrow" w:hAnsi="Arial Narrow"/>
                <w:sz w:val="20"/>
                <w:szCs w:val="20"/>
                <w:lang w:eastAsia="en-AU"/>
              </w:rPr>
              <w:t>Proportion willing to switch to glatiramer acetate</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75%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100%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100%</w:t>
            </w:r>
          </w:p>
        </w:tc>
        <w:tc>
          <w:tcPr>
            <w:tcW w:w="558" w:type="pct"/>
            <w:tcBorders>
              <w:top w:val="single" w:sz="4" w:space="0" w:color="auto"/>
              <w:left w:val="single" w:sz="4" w:space="0" w:color="auto"/>
              <w:bottom w:val="single" w:sz="4" w:space="0" w:color="auto"/>
              <w:right w:val="single" w:sz="4" w:space="0" w:color="auto"/>
            </w:tcBorders>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100%</w:t>
            </w:r>
          </w:p>
        </w:tc>
      </w:tr>
      <w:tr w:rsidR="002120A0" w:rsidRPr="002120A0" w:rsidTr="009C17C4">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2120A0" w:rsidRPr="002120A0" w:rsidRDefault="002120A0" w:rsidP="005875D1">
            <w:pPr>
              <w:widowControl w:val="0"/>
              <w:numPr>
                <w:ilvl w:val="0"/>
                <w:numId w:val="8"/>
              </w:numPr>
              <w:spacing w:before="40" w:after="40"/>
              <w:ind w:left="142" w:hanging="142"/>
              <w:jc w:val="left"/>
              <w:rPr>
                <w:rFonts w:ascii="Arial Narrow" w:hAnsi="Arial Narrow"/>
                <w:sz w:val="20"/>
                <w:szCs w:val="20"/>
                <w:lang w:eastAsia="en-AU"/>
              </w:rPr>
            </w:pPr>
            <w:r w:rsidRPr="002120A0">
              <w:rPr>
                <w:rFonts w:ascii="Arial Narrow" w:hAnsi="Arial Narrow"/>
                <w:sz w:val="20"/>
                <w:szCs w:val="20"/>
                <w:lang w:eastAsia="en-AU"/>
              </w:rPr>
              <w:t>Number glatiramer patients switching from other therapies</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2120A0" w:rsidRPr="002120A0" w:rsidTr="009C17C4">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2120A0" w:rsidRPr="002120A0" w:rsidRDefault="002120A0" w:rsidP="009C17C4">
            <w:pPr>
              <w:widowControl w:val="0"/>
              <w:spacing w:before="40" w:after="40"/>
              <w:jc w:val="left"/>
              <w:rPr>
                <w:rFonts w:ascii="Arial Narrow" w:hAnsi="Arial Narrow"/>
                <w:sz w:val="20"/>
                <w:szCs w:val="20"/>
                <w:lang w:eastAsia="en-AU"/>
              </w:rPr>
            </w:pPr>
            <w:r w:rsidRPr="002120A0">
              <w:rPr>
                <w:rFonts w:ascii="Arial Narrow" w:hAnsi="Arial Narrow"/>
                <w:sz w:val="20"/>
                <w:szCs w:val="20"/>
                <w:lang w:eastAsia="en-AU"/>
              </w:rPr>
              <w:t>Newly treated patients (20%)</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highlight w:val="black"/>
              </w:rPr>
            </w:pPr>
            <w:r>
              <w:rPr>
                <w:rFonts w:ascii="Arial Narrow" w:hAnsi="Arial Narrow" w:cs="Arial"/>
                <w:noProof/>
                <w:color w:val="000000"/>
                <w:sz w:val="20"/>
                <w:highlight w:val="black"/>
              </w:rPr>
              <w:t>'''''''''</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highlight w:val="black"/>
              </w:rPr>
            </w:pPr>
            <w:r>
              <w:rPr>
                <w:rFonts w:ascii="Arial Narrow" w:hAnsi="Arial Narrow" w:cs="Arial"/>
                <w:noProof/>
                <w:color w:val="000000"/>
                <w:sz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highlight w:val="black"/>
              </w:rPr>
            </w:pPr>
            <w:r>
              <w:rPr>
                <w:rFonts w:ascii="Arial Narrow" w:hAnsi="Arial Narrow" w:cs="Arial"/>
                <w:noProof/>
                <w:color w:val="000000"/>
                <w:sz w:val="20"/>
                <w:highlight w:val="black"/>
              </w:rPr>
              <w:t>''''''''''</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highlight w:val="black"/>
              </w:rPr>
            </w:pPr>
            <w:r>
              <w:rPr>
                <w:rFonts w:ascii="Arial Narrow" w:hAnsi="Arial Narrow" w:cs="Arial"/>
                <w:noProof/>
                <w:color w:val="000000"/>
                <w:sz w:val="20"/>
                <w:highlight w:val="black"/>
              </w:rPr>
              <w:t>'''''''''</w:t>
            </w:r>
          </w:p>
        </w:tc>
        <w:tc>
          <w:tcPr>
            <w:tcW w:w="561"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highlight w:val="black"/>
              </w:rPr>
            </w:pPr>
            <w:r>
              <w:rPr>
                <w:rFonts w:ascii="Arial Narrow" w:hAnsi="Arial Narrow" w:cs="Arial"/>
                <w:noProof/>
                <w:color w:val="000000"/>
                <w:sz w:val="20"/>
                <w:highlight w:val="black"/>
              </w:rPr>
              <w:t>'''''''''</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rsidR="002120A0" w:rsidRPr="00AF06E3" w:rsidRDefault="00AF06E3" w:rsidP="009C17C4">
            <w:pPr>
              <w:widowControl w:val="0"/>
              <w:spacing w:before="40" w:after="40"/>
              <w:jc w:val="center"/>
              <w:rPr>
                <w:rFonts w:ascii="Arial Narrow" w:hAnsi="Arial Narrow" w:cs="Arial"/>
                <w:sz w:val="20"/>
                <w:highlight w:val="black"/>
              </w:rPr>
            </w:pPr>
            <w:r>
              <w:rPr>
                <w:rFonts w:ascii="Arial Narrow" w:hAnsi="Arial Narrow" w:cs="Arial"/>
                <w:noProof/>
                <w:color w:val="000000"/>
                <w:sz w:val="20"/>
                <w:highlight w:val="black"/>
              </w:rPr>
              <w:t>'''''''''</w:t>
            </w:r>
          </w:p>
        </w:tc>
      </w:tr>
      <w:tr w:rsidR="002120A0" w:rsidRPr="002120A0" w:rsidTr="009C17C4">
        <w:tc>
          <w:tcPr>
            <w:tcW w:w="1631" w:type="pct"/>
            <w:tcBorders>
              <w:left w:val="single" w:sz="4" w:space="0" w:color="auto"/>
            </w:tcBorders>
            <w:shd w:val="clear" w:color="auto" w:fill="auto"/>
            <w:vAlign w:val="center"/>
          </w:tcPr>
          <w:p w:rsidR="002120A0" w:rsidRPr="002120A0" w:rsidRDefault="002120A0" w:rsidP="009C17C4">
            <w:pPr>
              <w:widowControl w:val="0"/>
              <w:spacing w:before="40" w:after="40"/>
              <w:jc w:val="left"/>
              <w:rPr>
                <w:rFonts w:ascii="Arial Narrow" w:hAnsi="Arial Narrow"/>
                <w:b/>
                <w:sz w:val="20"/>
                <w:szCs w:val="20"/>
                <w:lang w:eastAsia="en-AU"/>
              </w:rPr>
            </w:pPr>
            <w:r w:rsidRPr="002120A0">
              <w:rPr>
                <w:rFonts w:ascii="Arial Narrow" w:hAnsi="Arial Narrow"/>
                <w:b/>
                <w:sz w:val="20"/>
                <w:szCs w:val="20"/>
                <w:lang w:eastAsia="en-AU"/>
              </w:rPr>
              <w:t>Total patients treated with glatiramer</w:t>
            </w:r>
          </w:p>
        </w:tc>
        <w:tc>
          <w:tcPr>
            <w:tcW w:w="563" w:type="pct"/>
            <w:shd w:val="clear" w:color="auto" w:fill="auto"/>
            <w:vAlign w:val="center"/>
          </w:tcPr>
          <w:p w:rsidR="002120A0" w:rsidRPr="00AF06E3" w:rsidRDefault="00AF06E3" w:rsidP="009C17C4">
            <w:pPr>
              <w:widowControl w:val="0"/>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63" w:type="pct"/>
            <w:shd w:val="clear" w:color="auto" w:fill="auto"/>
            <w:vAlign w:val="center"/>
          </w:tcPr>
          <w:p w:rsidR="002120A0" w:rsidRPr="00AF06E3" w:rsidRDefault="00AF06E3" w:rsidP="009C17C4">
            <w:pPr>
              <w:widowControl w:val="0"/>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62" w:type="pct"/>
            <w:shd w:val="clear" w:color="auto" w:fill="auto"/>
            <w:vAlign w:val="center"/>
          </w:tcPr>
          <w:p w:rsidR="002120A0" w:rsidRPr="00AF06E3" w:rsidRDefault="00AF06E3" w:rsidP="009C17C4">
            <w:pPr>
              <w:widowControl w:val="0"/>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62" w:type="pct"/>
            <w:shd w:val="clear" w:color="auto" w:fill="auto"/>
            <w:vAlign w:val="center"/>
          </w:tcPr>
          <w:p w:rsidR="002120A0" w:rsidRPr="00AF06E3" w:rsidRDefault="00AF06E3" w:rsidP="009C17C4">
            <w:pPr>
              <w:widowControl w:val="0"/>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61" w:type="pct"/>
            <w:tcBorders>
              <w:right w:val="single" w:sz="4" w:space="0" w:color="auto"/>
            </w:tcBorders>
            <w:shd w:val="clear" w:color="auto" w:fill="auto"/>
            <w:vAlign w:val="center"/>
          </w:tcPr>
          <w:p w:rsidR="002120A0" w:rsidRPr="00AF06E3" w:rsidRDefault="00AF06E3" w:rsidP="009C17C4">
            <w:pPr>
              <w:widowControl w:val="0"/>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58" w:type="pct"/>
            <w:tcBorders>
              <w:right w:val="single" w:sz="4" w:space="0" w:color="auto"/>
            </w:tcBorders>
            <w:vAlign w:val="center"/>
          </w:tcPr>
          <w:p w:rsidR="002120A0" w:rsidRPr="00AF06E3" w:rsidRDefault="00AF06E3" w:rsidP="009C17C4">
            <w:pPr>
              <w:widowControl w:val="0"/>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2120A0" w:rsidRPr="002120A0" w:rsidTr="009C17C4">
        <w:tc>
          <w:tcPr>
            <w:tcW w:w="1631" w:type="pct"/>
            <w:tcBorders>
              <w:left w:val="single" w:sz="4" w:space="0" w:color="auto"/>
            </w:tcBorders>
            <w:shd w:val="clear" w:color="auto" w:fill="auto"/>
            <w:vAlign w:val="center"/>
          </w:tcPr>
          <w:p w:rsidR="002120A0" w:rsidRPr="002120A0" w:rsidRDefault="002120A0" w:rsidP="009C17C4">
            <w:pPr>
              <w:widowControl w:val="0"/>
              <w:spacing w:before="40" w:after="40"/>
              <w:jc w:val="left"/>
              <w:rPr>
                <w:rFonts w:ascii="Arial Narrow" w:hAnsi="Arial Narrow"/>
                <w:b/>
                <w:sz w:val="20"/>
                <w:szCs w:val="20"/>
                <w:vertAlign w:val="superscript"/>
                <w:lang w:eastAsia="en-AU"/>
              </w:rPr>
            </w:pPr>
            <w:r w:rsidRPr="002120A0">
              <w:rPr>
                <w:rFonts w:ascii="Arial Narrow" w:hAnsi="Arial Narrow"/>
                <w:b/>
                <w:sz w:val="20"/>
                <w:szCs w:val="20"/>
                <w:lang w:eastAsia="en-AU"/>
              </w:rPr>
              <w:t>Total scripts glatiramer (13.04/year)</w:t>
            </w:r>
            <w:r w:rsidRPr="002120A0">
              <w:rPr>
                <w:rFonts w:ascii="Arial Narrow" w:hAnsi="Arial Narrow"/>
                <w:b/>
                <w:sz w:val="20"/>
                <w:szCs w:val="20"/>
                <w:vertAlign w:val="superscript"/>
                <w:lang w:eastAsia="en-AU"/>
              </w:rPr>
              <w:t>a</w:t>
            </w:r>
          </w:p>
        </w:tc>
        <w:tc>
          <w:tcPr>
            <w:tcW w:w="563" w:type="pct"/>
            <w:shd w:val="clear" w:color="auto" w:fill="auto"/>
            <w:vAlign w:val="center"/>
          </w:tcPr>
          <w:p w:rsidR="002120A0" w:rsidRPr="00AF06E3" w:rsidRDefault="00AF06E3" w:rsidP="009C17C4">
            <w:pPr>
              <w:widowControl w:val="0"/>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63" w:type="pct"/>
            <w:shd w:val="clear" w:color="auto" w:fill="auto"/>
            <w:vAlign w:val="center"/>
          </w:tcPr>
          <w:p w:rsidR="002120A0" w:rsidRPr="00AF06E3" w:rsidRDefault="00AF06E3" w:rsidP="009C17C4">
            <w:pPr>
              <w:widowControl w:val="0"/>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62" w:type="pct"/>
            <w:shd w:val="clear" w:color="auto" w:fill="auto"/>
            <w:vAlign w:val="center"/>
          </w:tcPr>
          <w:p w:rsidR="002120A0" w:rsidRPr="00AF06E3" w:rsidRDefault="00AF06E3" w:rsidP="009C17C4">
            <w:pPr>
              <w:widowControl w:val="0"/>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62" w:type="pct"/>
            <w:shd w:val="clear" w:color="auto" w:fill="auto"/>
            <w:vAlign w:val="center"/>
          </w:tcPr>
          <w:p w:rsidR="002120A0" w:rsidRPr="00AF06E3" w:rsidRDefault="00AF06E3" w:rsidP="009C17C4">
            <w:pPr>
              <w:widowControl w:val="0"/>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61" w:type="pct"/>
            <w:tcBorders>
              <w:right w:val="single" w:sz="4" w:space="0" w:color="auto"/>
            </w:tcBorders>
            <w:shd w:val="clear" w:color="auto" w:fill="auto"/>
            <w:vAlign w:val="center"/>
          </w:tcPr>
          <w:p w:rsidR="002120A0" w:rsidRPr="00AF06E3" w:rsidRDefault="00AF06E3" w:rsidP="009C17C4">
            <w:pPr>
              <w:widowControl w:val="0"/>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58" w:type="pct"/>
            <w:tcBorders>
              <w:right w:val="single" w:sz="4" w:space="0" w:color="auto"/>
            </w:tcBorders>
            <w:vAlign w:val="center"/>
          </w:tcPr>
          <w:p w:rsidR="002120A0" w:rsidRPr="00AF06E3" w:rsidRDefault="00AF06E3" w:rsidP="009C17C4">
            <w:pPr>
              <w:widowControl w:val="0"/>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2120A0" w:rsidRPr="002120A0" w:rsidTr="009C17C4">
        <w:tc>
          <w:tcPr>
            <w:tcW w:w="1631" w:type="pct"/>
            <w:tcBorders>
              <w:left w:val="single" w:sz="4" w:space="0" w:color="auto"/>
            </w:tcBorders>
            <w:shd w:val="clear" w:color="auto" w:fill="auto"/>
            <w:vAlign w:val="center"/>
          </w:tcPr>
          <w:p w:rsidR="002120A0" w:rsidRPr="002120A0" w:rsidRDefault="002120A0" w:rsidP="009C17C4">
            <w:pPr>
              <w:widowControl w:val="0"/>
              <w:spacing w:before="40" w:after="40"/>
              <w:jc w:val="left"/>
              <w:rPr>
                <w:rFonts w:ascii="Arial Narrow" w:hAnsi="Arial Narrow"/>
                <w:sz w:val="20"/>
                <w:szCs w:val="20"/>
                <w:lang w:eastAsia="en-AU"/>
              </w:rPr>
            </w:pPr>
            <w:r w:rsidRPr="002120A0">
              <w:rPr>
                <w:rFonts w:ascii="Arial Narrow" w:hAnsi="Arial Narrow"/>
                <w:sz w:val="20"/>
                <w:szCs w:val="20"/>
                <w:lang w:eastAsia="en-AU"/>
              </w:rPr>
              <w:t>Total cost glatiramer (DPMQ $</w:t>
            </w:r>
            <w:r w:rsidR="00AF06E3">
              <w:rPr>
                <w:rFonts w:ascii="Arial Narrow" w:hAnsi="Arial Narrow"/>
                <w:noProof/>
                <w:color w:val="000000"/>
                <w:sz w:val="20"/>
                <w:szCs w:val="20"/>
                <w:highlight w:val="black"/>
                <w:lang w:eastAsia="en-AU"/>
              </w:rPr>
              <w:t>'''''''''''''''''''</w:t>
            </w:r>
            <w:r w:rsidRPr="002120A0">
              <w:rPr>
                <w:rFonts w:ascii="Arial Narrow" w:hAnsi="Arial Narrow"/>
                <w:sz w:val="20"/>
                <w:szCs w:val="20"/>
                <w:lang w:eastAsia="en-AU"/>
              </w:rPr>
              <w:t xml:space="preserve">) </w:t>
            </w:r>
          </w:p>
        </w:tc>
        <w:tc>
          <w:tcPr>
            <w:tcW w:w="563" w:type="pct"/>
            <w:shd w:val="clear" w:color="auto" w:fill="auto"/>
            <w:tcMar>
              <w:right w:w="57" w:type="dxa"/>
            </w:tcMar>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63" w:type="pct"/>
            <w:shd w:val="clear" w:color="auto" w:fill="auto"/>
            <w:tcMar>
              <w:right w:w="57" w:type="dxa"/>
            </w:tcMar>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62" w:type="pct"/>
            <w:shd w:val="clear" w:color="auto" w:fill="auto"/>
            <w:tcMar>
              <w:right w:w="57" w:type="dxa"/>
            </w:tcMar>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62" w:type="pct"/>
            <w:shd w:val="clear" w:color="auto" w:fill="auto"/>
            <w:tcMar>
              <w:right w:w="57" w:type="dxa"/>
            </w:tcMar>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61" w:type="pct"/>
            <w:tcBorders>
              <w:right w:val="single" w:sz="4" w:space="0" w:color="auto"/>
            </w:tcBorders>
            <w:shd w:val="clear" w:color="auto" w:fill="auto"/>
            <w:tcMar>
              <w:right w:w="57" w:type="dxa"/>
            </w:tcMar>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58" w:type="pct"/>
            <w:tcBorders>
              <w:right w:val="single" w:sz="4" w:space="0" w:color="auto"/>
            </w:tcBorders>
            <w:tcMar>
              <w:right w:w="57" w:type="dxa"/>
            </w:tcMar>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r>
      <w:tr w:rsidR="002120A0" w:rsidRPr="002120A0" w:rsidTr="009C17C4">
        <w:tc>
          <w:tcPr>
            <w:tcW w:w="1631" w:type="pct"/>
            <w:tcBorders>
              <w:left w:val="single" w:sz="4" w:space="0" w:color="auto"/>
              <w:bottom w:val="single" w:sz="4" w:space="0" w:color="auto"/>
            </w:tcBorders>
            <w:shd w:val="clear" w:color="auto" w:fill="auto"/>
            <w:vAlign w:val="center"/>
          </w:tcPr>
          <w:p w:rsidR="002120A0" w:rsidRPr="002120A0" w:rsidRDefault="002120A0" w:rsidP="009C17C4">
            <w:pPr>
              <w:widowControl w:val="0"/>
              <w:spacing w:before="40" w:after="40"/>
              <w:jc w:val="left"/>
              <w:rPr>
                <w:rFonts w:ascii="Arial Narrow" w:hAnsi="Arial Narrow"/>
                <w:sz w:val="20"/>
                <w:szCs w:val="20"/>
                <w:lang w:eastAsia="en-AU"/>
              </w:rPr>
            </w:pPr>
            <w:r w:rsidRPr="002120A0">
              <w:rPr>
                <w:rFonts w:ascii="Arial Narrow" w:hAnsi="Arial Narrow"/>
                <w:sz w:val="20"/>
                <w:szCs w:val="20"/>
                <w:lang w:eastAsia="en-AU"/>
              </w:rPr>
              <w:t>Total patient co-payments ($</w:t>
            </w:r>
            <w:r w:rsidR="00AF06E3">
              <w:rPr>
                <w:rFonts w:ascii="Arial Narrow" w:hAnsi="Arial Narrow"/>
                <w:noProof/>
                <w:color w:val="000000"/>
                <w:sz w:val="20"/>
                <w:szCs w:val="20"/>
                <w:highlight w:val="black"/>
                <w:lang w:eastAsia="en-AU"/>
              </w:rPr>
              <w:t>'''''''''''''''</w:t>
            </w:r>
            <w:r w:rsidRPr="002120A0">
              <w:rPr>
                <w:rFonts w:ascii="Arial Narrow" w:hAnsi="Arial Narrow"/>
                <w:sz w:val="20"/>
                <w:szCs w:val="20"/>
                <w:lang w:eastAsia="en-AU"/>
              </w:rPr>
              <w:t>/ script)</w:t>
            </w:r>
          </w:p>
        </w:tc>
        <w:tc>
          <w:tcPr>
            <w:tcW w:w="563" w:type="pct"/>
            <w:tcBorders>
              <w:bottom w:val="single" w:sz="4" w:space="0" w:color="auto"/>
            </w:tcBorders>
            <w:shd w:val="clear" w:color="auto" w:fill="auto"/>
            <w:tcMar>
              <w:right w:w="57" w:type="dxa"/>
            </w:tcMar>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63" w:type="pct"/>
            <w:tcBorders>
              <w:bottom w:val="single" w:sz="4" w:space="0" w:color="auto"/>
            </w:tcBorders>
            <w:shd w:val="clear" w:color="auto" w:fill="auto"/>
            <w:tcMar>
              <w:right w:w="57" w:type="dxa"/>
            </w:tcMar>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62" w:type="pct"/>
            <w:tcBorders>
              <w:bottom w:val="single" w:sz="4" w:space="0" w:color="auto"/>
            </w:tcBorders>
            <w:shd w:val="clear" w:color="auto" w:fill="auto"/>
            <w:tcMar>
              <w:right w:w="57" w:type="dxa"/>
            </w:tcMar>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62" w:type="pct"/>
            <w:tcBorders>
              <w:bottom w:val="single" w:sz="4" w:space="0" w:color="auto"/>
            </w:tcBorders>
            <w:shd w:val="clear" w:color="auto" w:fill="auto"/>
            <w:tcMar>
              <w:right w:w="57" w:type="dxa"/>
            </w:tcMar>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61" w:type="pct"/>
            <w:tcBorders>
              <w:bottom w:val="single" w:sz="4" w:space="0" w:color="auto"/>
              <w:right w:val="single" w:sz="4" w:space="0" w:color="auto"/>
            </w:tcBorders>
            <w:shd w:val="clear" w:color="auto" w:fill="auto"/>
            <w:tcMar>
              <w:right w:w="57" w:type="dxa"/>
            </w:tcMar>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58" w:type="pct"/>
            <w:tcBorders>
              <w:bottom w:val="single" w:sz="4" w:space="0" w:color="auto"/>
              <w:right w:val="single" w:sz="4" w:space="0" w:color="auto"/>
            </w:tcBorders>
            <w:tcMar>
              <w:right w:w="57" w:type="dxa"/>
            </w:tcMar>
            <w:vAlign w:val="center"/>
          </w:tcPr>
          <w:p w:rsidR="002120A0" w:rsidRPr="002120A0" w:rsidRDefault="002120A0" w:rsidP="009C17C4">
            <w:pPr>
              <w:widowControl w:val="0"/>
              <w:spacing w:before="40" w:after="4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r>
      <w:tr w:rsidR="002120A0" w:rsidRPr="002120A0" w:rsidTr="009C17C4">
        <w:tc>
          <w:tcPr>
            <w:tcW w:w="1631" w:type="pct"/>
            <w:tcBorders>
              <w:left w:val="single" w:sz="4" w:space="0" w:color="auto"/>
              <w:bottom w:val="single" w:sz="4" w:space="0" w:color="auto"/>
            </w:tcBorders>
            <w:shd w:val="clear" w:color="auto" w:fill="auto"/>
            <w:vAlign w:val="center"/>
          </w:tcPr>
          <w:p w:rsidR="002120A0" w:rsidRPr="002120A0" w:rsidRDefault="002120A0" w:rsidP="009C17C4">
            <w:pPr>
              <w:widowControl w:val="0"/>
              <w:spacing w:before="40" w:after="40"/>
              <w:jc w:val="left"/>
              <w:rPr>
                <w:rFonts w:ascii="Arial Narrow" w:hAnsi="Arial Narrow"/>
                <w:b/>
                <w:sz w:val="20"/>
                <w:szCs w:val="20"/>
                <w:lang w:eastAsia="en-AU"/>
              </w:rPr>
            </w:pPr>
            <w:r w:rsidRPr="002120A0">
              <w:rPr>
                <w:rFonts w:ascii="Arial Narrow" w:hAnsi="Arial Narrow"/>
                <w:b/>
                <w:sz w:val="20"/>
                <w:szCs w:val="20"/>
                <w:lang w:eastAsia="en-AU"/>
              </w:rPr>
              <w:t>Total cost (DPMQ excluding co-payments)</w:t>
            </w:r>
          </w:p>
        </w:tc>
        <w:tc>
          <w:tcPr>
            <w:tcW w:w="563" w:type="pct"/>
            <w:tcBorders>
              <w:bottom w:val="single" w:sz="4" w:space="0" w:color="auto"/>
            </w:tcBorders>
            <w:shd w:val="clear" w:color="auto" w:fill="auto"/>
            <w:tcMar>
              <w:right w:w="57" w:type="dxa"/>
            </w:tcMar>
            <w:vAlign w:val="center"/>
          </w:tcPr>
          <w:p w:rsidR="002120A0" w:rsidRPr="002120A0" w:rsidRDefault="002120A0" w:rsidP="009C17C4">
            <w:pPr>
              <w:widowControl w:val="0"/>
              <w:spacing w:before="40" w:after="40"/>
              <w:jc w:val="center"/>
              <w:rPr>
                <w:rFonts w:ascii="Arial Narrow" w:hAnsi="Arial Narrow"/>
                <w:b/>
                <w:sz w:val="20"/>
                <w:szCs w:val="20"/>
              </w:rPr>
            </w:pPr>
            <w:r w:rsidRPr="002120A0">
              <w:rPr>
                <w:rFonts w:ascii="Arial Narrow" w:hAnsi="Arial Narrow"/>
                <w:b/>
                <w:sz w:val="20"/>
                <w:szCs w:val="20"/>
              </w:rPr>
              <w:t>$</w:t>
            </w:r>
            <w:r w:rsidR="00AF06E3">
              <w:rPr>
                <w:rFonts w:ascii="Arial Narrow" w:hAnsi="Arial Narrow"/>
                <w:b/>
                <w:noProof/>
                <w:color w:val="000000"/>
                <w:sz w:val="20"/>
                <w:szCs w:val="20"/>
                <w:highlight w:val="black"/>
              </w:rPr>
              <w:t>''''''''''''''''''''</w:t>
            </w:r>
          </w:p>
        </w:tc>
        <w:tc>
          <w:tcPr>
            <w:tcW w:w="563" w:type="pct"/>
            <w:tcBorders>
              <w:bottom w:val="single" w:sz="4" w:space="0" w:color="auto"/>
            </w:tcBorders>
            <w:shd w:val="clear" w:color="auto" w:fill="auto"/>
            <w:tcMar>
              <w:right w:w="57" w:type="dxa"/>
            </w:tcMar>
            <w:vAlign w:val="center"/>
          </w:tcPr>
          <w:p w:rsidR="002120A0" w:rsidRPr="002120A0" w:rsidRDefault="002120A0" w:rsidP="009C17C4">
            <w:pPr>
              <w:widowControl w:val="0"/>
              <w:spacing w:before="40" w:after="40"/>
              <w:jc w:val="center"/>
              <w:rPr>
                <w:rFonts w:ascii="Arial Narrow" w:hAnsi="Arial Narrow"/>
                <w:b/>
                <w:sz w:val="20"/>
                <w:szCs w:val="20"/>
              </w:rPr>
            </w:pPr>
            <w:r w:rsidRPr="002120A0">
              <w:rPr>
                <w:rFonts w:ascii="Arial Narrow" w:hAnsi="Arial Narrow"/>
                <w:b/>
                <w:sz w:val="20"/>
                <w:szCs w:val="20"/>
              </w:rPr>
              <w:t>$</w:t>
            </w:r>
            <w:r w:rsidR="00AF06E3">
              <w:rPr>
                <w:rFonts w:ascii="Arial Narrow" w:hAnsi="Arial Narrow"/>
                <w:b/>
                <w:noProof/>
                <w:color w:val="000000"/>
                <w:sz w:val="20"/>
                <w:szCs w:val="20"/>
                <w:highlight w:val="black"/>
              </w:rPr>
              <w:t>''''''''''''''''''''</w:t>
            </w:r>
          </w:p>
        </w:tc>
        <w:tc>
          <w:tcPr>
            <w:tcW w:w="562" w:type="pct"/>
            <w:tcBorders>
              <w:bottom w:val="single" w:sz="4" w:space="0" w:color="auto"/>
            </w:tcBorders>
            <w:shd w:val="clear" w:color="auto" w:fill="auto"/>
            <w:tcMar>
              <w:right w:w="57" w:type="dxa"/>
            </w:tcMar>
            <w:vAlign w:val="center"/>
          </w:tcPr>
          <w:p w:rsidR="002120A0" w:rsidRPr="002120A0" w:rsidRDefault="002120A0" w:rsidP="009C17C4">
            <w:pPr>
              <w:widowControl w:val="0"/>
              <w:spacing w:before="40" w:after="40"/>
              <w:jc w:val="center"/>
              <w:rPr>
                <w:rFonts w:ascii="Arial Narrow" w:hAnsi="Arial Narrow"/>
                <w:b/>
                <w:sz w:val="20"/>
                <w:szCs w:val="20"/>
              </w:rPr>
            </w:pPr>
            <w:r w:rsidRPr="002120A0">
              <w:rPr>
                <w:rFonts w:ascii="Arial Narrow" w:hAnsi="Arial Narrow"/>
                <w:b/>
                <w:sz w:val="20"/>
                <w:szCs w:val="20"/>
              </w:rPr>
              <w:t>$</w:t>
            </w:r>
            <w:r w:rsidR="00AF06E3">
              <w:rPr>
                <w:rFonts w:ascii="Arial Narrow" w:hAnsi="Arial Narrow"/>
                <w:b/>
                <w:noProof/>
                <w:color w:val="000000"/>
                <w:sz w:val="20"/>
                <w:szCs w:val="20"/>
                <w:highlight w:val="black"/>
              </w:rPr>
              <w:t>'''''''''''''''''''</w:t>
            </w:r>
          </w:p>
        </w:tc>
        <w:tc>
          <w:tcPr>
            <w:tcW w:w="562" w:type="pct"/>
            <w:tcBorders>
              <w:bottom w:val="single" w:sz="4" w:space="0" w:color="auto"/>
            </w:tcBorders>
            <w:shd w:val="clear" w:color="auto" w:fill="auto"/>
            <w:tcMar>
              <w:right w:w="57" w:type="dxa"/>
            </w:tcMar>
            <w:vAlign w:val="center"/>
          </w:tcPr>
          <w:p w:rsidR="002120A0" w:rsidRPr="002120A0" w:rsidRDefault="002120A0" w:rsidP="009C17C4">
            <w:pPr>
              <w:widowControl w:val="0"/>
              <w:spacing w:before="40" w:after="40"/>
              <w:jc w:val="center"/>
              <w:rPr>
                <w:rFonts w:ascii="Arial Narrow" w:hAnsi="Arial Narrow"/>
                <w:b/>
                <w:sz w:val="20"/>
                <w:szCs w:val="20"/>
              </w:rPr>
            </w:pPr>
            <w:r w:rsidRPr="002120A0">
              <w:rPr>
                <w:rFonts w:ascii="Arial Narrow" w:hAnsi="Arial Narrow"/>
                <w:b/>
                <w:sz w:val="20"/>
                <w:szCs w:val="20"/>
              </w:rPr>
              <w:t>$</w:t>
            </w:r>
            <w:r w:rsidR="00AF06E3">
              <w:rPr>
                <w:rFonts w:ascii="Arial Narrow" w:hAnsi="Arial Narrow"/>
                <w:b/>
                <w:noProof/>
                <w:color w:val="000000"/>
                <w:sz w:val="20"/>
                <w:szCs w:val="20"/>
                <w:highlight w:val="black"/>
              </w:rPr>
              <w:t>''''''''''''''''''''</w:t>
            </w:r>
          </w:p>
        </w:tc>
        <w:tc>
          <w:tcPr>
            <w:tcW w:w="561" w:type="pct"/>
            <w:tcBorders>
              <w:bottom w:val="single" w:sz="4" w:space="0" w:color="auto"/>
              <w:right w:val="single" w:sz="4" w:space="0" w:color="auto"/>
            </w:tcBorders>
            <w:shd w:val="clear" w:color="auto" w:fill="auto"/>
            <w:tcMar>
              <w:right w:w="57" w:type="dxa"/>
            </w:tcMar>
            <w:vAlign w:val="center"/>
          </w:tcPr>
          <w:p w:rsidR="002120A0" w:rsidRPr="002120A0" w:rsidRDefault="002120A0" w:rsidP="009C17C4">
            <w:pPr>
              <w:widowControl w:val="0"/>
              <w:spacing w:before="40" w:after="40"/>
              <w:jc w:val="center"/>
              <w:rPr>
                <w:rFonts w:ascii="Arial Narrow" w:hAnsi="Arial Narrow"/>
                <w:b/>
                <w:sz w:val="20"/>
                <w:szCs w:val="20"/>
              </w:rPr>
            </w:pPr>
            <w:r w:rsidRPr="002120A0">
              <w:rPr>
                <w:rFonts w:ascii="Arial Narrow" w:hAnsi="Arial Narrow"/>
                <w:b/>
                <w:sz w:val="20"/>
                <w:szCs w:val="20"/>
              </w:rPr>
              <w:t>$</w:t>
            </w:r>
            <w:r w:rsidR="00AF06E3">
              <w:rPr>
                <w:rFonts w:ascii="Arial Narrow" w:hAnsi="Arial Narrow"/>
                <w:b/>
                <w:noProof/>
                <w:color w:val="000000"/>
                <w:sz w:val="20"/>
                <w:szCs w:val="20"/>
                <w:highlight w:val="black"/>
              </w:rPr>
              <w:t>'''''''''''''''''''''''</w:t>
            </w:r>
          </w:p>
        </w:tc>
        <w:tc>
          <w:tcPr>
            <w:tcW w:w="558" w:type="pct"/>
            <w:tcBorders>
              <w:bottom w:val="single" w:sz="4" w:space="0" w:color="auto"/>
              <w:right w:val="single" w:sz="4" w:space="0" w:color="auto"/>
            </w:tcBorders>
            <w:tcMar>
              <w:right w:w="57" w:type="dxa"/>
            </w:tcMar>
            <w:vAlign w:val="center"/>
          </w:tcPr>
          <w:p w:rsidR="002120A0" w:rsidRPr="002120A0" w:rsidRDefault="002120A0" w:rsidP="009C17C4">
            <w:pPr>
              <w:widowControl w:val="0"/>
              <w:spacing w:before="40" w:after="40"/>
              <w:jc w:val="center"/>
              <w:rPr>
                <w:rFonts w:ascii="Arial Narrow" w:hAnsi="Arial Narrow"/>
                <w:b/>
                <w:sz w:val="20"/>
                <w:szCs w:val="20"/>
              </w:rPr>
            </w:pPr>
            <w:r w:rsidRPr="002120A0">
              <w:rPr>
                <w:rFonts w:ascii="Arial Narrow" w:hAnsi="Arial Narrow"/>
                <w:b/>
                <w:sz w:val="20"/>
                <w:szCs w:val="20"/>
              </w:rPr>
              <w:t>$</w:t>
            </w:r>
            <w:r w:rsidR="00AF06E3">
              <w:rPr>
                <w:rFonts w:ascii="Arial Narrow" w:hAnsi="Arial Narrow"/>
                <w:b/>
                <w:noProof/>
                <w:color w:val="000000"/>
                <w:sz w:val="20"/>
                <w:szCs w:val="20"/>
                <w:highlight w:val="black"/>
              </w:rPr>
              <w:t>'''''''''''''''''''''</w:t>
            </w:r>
          </w:p>
        </w:tc>
      </w:tr>
    </w:tbl>
    <w:p w:rsidR="002120A0" w:rsidRPr="002120A0" w:rsidRDefault="002120A0" w:rsidP="002120A0">
      <w:pPr>
        <w:widowControl w:val="0"/>
        <w:spacing w:before="0" w:after="240"/>
        <w:contextualSpacing/>
        <w:rPr>
          <w:rFonts w:ascii="Arial Narrow" w:eastAsia="Times New Roman" w:hAnsi="Arial Narrow" w:cs="Arial"/>
          <w:snapToGrid w:val="0"/>
          <w:sz w:val="18"/>
          <w:szCs w:val="20"/>
        </w:rPr>
      </w:pPr>
      <w:r w:rsidRPr="002120A0">
        <w:rPr>
          <w:rFonts w:ascii="Arial Narrow" w:eastAsia="Times New Roman" w:hAnsi="Arial Narrow" w:cs="Arial"/>
          <w:snapToGrid w:val="0"/>
          <w:sz w:val="18"/>
          <w:szCs w:val="20"/>
        </w:rPr>
        <w:t>Abbreviations: CIS, clinically isolated syndrome; DPMQ, dispensed price for maximum quantity;</w:t>
      </w:r>
    </w:p>
    <w:p w:rsidR="002120A0" w:rsidRPr="002120A0" w:rsidRDefault="002120A0" w:rsidP="002120A0">
      <w:pPr>
        <w:widowControl w:val="0"/>
        <w:spacing w:before="0" w:after="240"/>
        <w:contextualSpacing/>
        <w:rPr>
          <w:rFonts w:ascii="Arial Narrow" w:eastAsia="Times New Roman" w:hAnsi="Arial Narrow" w:cs="Arial"/>
          <w:snapToGrid w:val="0"/>
          <w:sz w:val="18"/>
          <w:szCs w:val="20"/>
        </w:rPr>
      </w:pPr>
      <w:r w:rsidRPr="002120A0">
        <w:rPr>
          <w:rFonts w:ascii="Arial Narrow" w:eastAsia="Times New Roman" w:hAnsi="Arial Narrow" w:cs="Arial"/>
          <w:snapToGrid w:val="0"/>
          <w:sz w:val="18"/>
          <w:szCs w:val="20"/>
        </w:rPr>
        <w:t>Source: constructed during the evaluation using ‘CIS - Section 4 Base Case (6 March 2017)’ spreadsheet provided with the submission</w:t>
      </w:r>
    </w:p>
    <w:p w:rsidR="002120A0" w:rsidRPr="002120A0" w:rsidRDefault="002120A0" w:rsidP="0056392D">
      <w:pPr>
        <w:widowControl w:val="0"/>
        <w:spacing w:before="0" w:after="240"/>
        <w:rPr>
          <w:rFonts w:ascii="Arial Narrow" w:eastAsia="Times New Roman" w:hAnsi="Arial Narrow" w:cs="Arial"/>
          <w:snapToGrid w:val="0"/>
          <w:sz w:val="18"/>
          <w:szCs w:val="20"/>
        </w:rPr>
      </w:pPr>
      <w:proofErr w:type="spellStart"/>
      <w:proofErr w:type="gramStart"/>
      <w:r w:rsidRPr="002120A0">
        <w:rPr>
          <w:rFonts w:ascii="Arial Narrow" w:eastAsia="Times New Roman" w:hAnsi="Arial Narrow" w:cs="Arial"/>
          <w:snapToGrid w:val="0"/>
          <w:sz w:val="18"/>
          <w:szCs w:val="20"/>
          <w:vertAlign w:val="superscript"/>
        </w:rPr>
        <w:t>a</w:t>
      </w:r>
      <w:r w:rsidRPr="002120A0">
        <w:rPr>
          <w:rFonts w:ascii="Arial Narrow" w:eastAsia="Times New Roman" w:hAnsi="Arial Narrow" w:cs="Arial"/>
          <w:snapToGrid w:val="0"/>
          <w:sz w:val="18"/>
          <w:szCs w:val="20"/>
        </w:rPr>
        <w:t>Assumed</w:t>
      </w:r>
      <w:proofErr w:type="spellEnd"/>
      <w:proofErr w:type="gramEnd"/>
      <w:r w:rsidRPr="002120A0">
        <w:rPr>
          <w:rFonts w:ascii="Arial Narrow" w:eastAsia="Times New Roman" w:hAnsi="Arial Narrow" w:cs="Arial"/>
          <w:snapToGrid w:val="0"/>
          <w:sz w:val="18"/>
          <w:szCs w:val="20"/>
        </w:rPr>
        <w:t xml:space="preserve"> 41.92% 20 mg and 58.08% 40 mg scripts; both have the same DPMQ</w:t>
      </w:r>
    </w:p>
    <w:p w:rsidR="002120A0" w:rsidRPr="002120A0" w:rsidRDefault="00C75995" w:rsidP="00A67434">
      <w:pPr>
        <w:numPr>
          <w:ilvl w:val="1"/>
          <w:numId w:val="3"/>
        </w:numPr>
        <w:spacing w:before="0" w:after="120"/>
      </w:pPr>
      <w:r>
        <w:t xml:space="preserve">The redacted table shows that at year 6, the estimated number of patients was less than 10,000. </w:t>
      </w:r>
      <w:r w:rsidR="002120A0" w:rsidRPr="002120A0">
        <w:t xml:space="preserve">The net cost of listing glatiramer acetate for clinically isolated syndrome on the PBS was estimated to be </w:t>
      </w:r>
      <w:r w:rsidR="008E0A62" w:rsidRPr="008E0A62">
        <w:t xml:space="preserve">$20 – $30 million </w:t>
      </w:r>
      <w:r w:rsidR="008E0A62">
        <w:t xml:space="preserve">in </w:t>
      </w:r>
      <w:r w:rsidR="002120A0" w:rsidRPr="002120A0">
        <w:t xml:space="preserve">Year 6, with an estimated cumulative cost in the first six years of listing of </w:t>
      </w:r>
      <w:r w:rsidR="00A67434">
        <w:t>$60 – $100 million</w:t>
      </w:r>
      <w:r w:rsidR="002120A0" w:rsidRPr="002120A0">
        <w:t>. The estimates were highly uncertain due to the following issues:</w:t>
      </w:r>
    </w:p>
    <w:p w:rsidR="002120A0" w:rsidRPr="002120A0" w:rsidRDefault="002120A0" w:rsidP="005875D1">
      <w:pPr>
        <w:numPr>
          <w:ilvl w:val="0"/>
          <w:numId w:val="11"/>
        </w:numPr>
        <w:contextualSpacing/>
      </w:pPr>
      <w:r w:rsidRPr="002120A0">
        <w:t>The proposed listing of glatiramer acetate for clinically isolated syndrome is associated with significant uncertainties regarding the number of p</w:t>
      </w:r>
      <w:r w:rsidR="00F25EB1">
        <w:t>atients eligible for treatment.</w:t>
      </w:r>
    </w:p>
    <w:p w:rsidR="002120A0" w:rsidRPr="002120A0" w:rsidRDefault="002120A0" w:rsidP="005875D1">
      <w:pPr>
        <w:numPr>
          <w:ilvl w:val="0"/>
          <w:numId w:val="11"/>
        </w:numPr>
        <w:contextualSpacing/>
      </w:pPr>
      <w:r w:rsidRPr="002120A0">
        <w:t>The su</w:t>
      </w:r>
      <w:r w:rsidR="00782C3F">
        <w:t>bmission assumed that 25% of</w:t>
      </w:r>
      <w:r w:rsidRPr="002120A0">
        <w:t xml:space="preserve"> patients</w:t>
      </w:r>
      <w:r w:rsidR="00782C3F">
        <w:t xml:space="preserve"> with </w:t>
      </w:r>
      <w:r w:rsidR="00782C3F" w:rsidRPr="002120A0">
        <w:t>clinically isolated syndrome</w:t>
      </w:r>
      <w:r w:rsidRPr="002120A0">
        <w:t xml:space="preserve"> would be considered high risk and eligible for glatiramer treatment based on the </w:t>
      </w:r>
      <w:proofErr w:type="spellStart"/>
      <w:r w:rsidRPr="002120A0">
        <w:t>MSBase</w:t>
      </w:r>
      <w:proofErr w:type="spellEnd"/>
      <w:r w:rsidRPr="002120A0">
        <w:t xml:space="preserve"> dataset (inflated to account for the availability of a subsidised treatment option). Patients in the </w:t>
      </w:r>
      <w:proofErr w:type="spellStart"/>
      <w:r w:rsidRPr="002120A0">
        <w:t>MSBase</w:t>
      </w:r>
      <w:proofErr w:type="spellEnd"/>
      <w:r w:rsidRPr="002120A0">
        <w:t xml:space="preserve"> dataset were a selected group of patients and may not be representative of </w:t>
      </w:r>
      <w:r w:rsidR="00782C3F">
        <w:t>the broader</w:t>
      </w:r>
      <w:r w:rsidRPr="002120A0">
        <w:t xml:space="preserve"> population</w:t>
      </w:r>
      <w:r w:rsidR="00782C3F">
        <w:t xml:space="preserve"> with </w:t>
      </w:r>
      <w:r w:rsidR="00782C3F" w:rsidRPr="002120A0">
        <w:t>clinically isolated syndrome</w:t>
      </w:r>
      <w:r w:rsidRPr="002120A0">
        <w:t>.</w:t>
      </w:r>
    </w:p>
    <w:p w:rsidR="002120A0" w:rsidRPr="002120A0" w:rsidRDefault="002120A0" w:rsidP="005875D1">
      <w:pPr>
        <w:numPr>
          <w:ilvl w:val="0"/>
          <w:numId w:val="11"/>
        </w:numPr>
        <w:contextualSpacing/>
      </w:pPr>
      <w:r w:rsidRPr="002120A0">
        <w:t>There is a substantial risk of use outside the proposed restriction, given that if recommended this would be the first PBS listed treatment for clinically isolated syndrome, and it is likely that</w:t>
      </w:r>
      <w:r w:rsidR="00782C3F">
        <w:t xml:space="preserve"> a substantial proportion of</w:t>
      </w:r>
      <w:r w:rsidRPr="002120A0">
        <w:t xml:space="preserve"> patients</w:t>
      </w:r>
      <w:r w:rsidR="00782C3F">
        <w:t xml:space="preserve"> with </w:t>
      </w:r>
      <w:r w:rsidR="00782C3F" w:rsidRPr="002120A0">
        <w:t>clinically isolated syndrome</w:t>
      </w:r>
      <w:r w:rsidRPr="002120A0">
        <w:t xml:space="preserve"> are already being treated with disease modifying therapies.</w:t>
      </w:r>
    </w:p>
    <w:p w:rsidR="002120A0" w:rsidRPr="002120A0" w:rsidRDefault="002120A0" w:rsidP="005875D1">
      <w:pPr>
        <w:numPr>
          <w:ilvl w:val="0"/>
          <w:numId w:val="11"/>
        </w:numPr>
      </w:pPr>
      <w:r w:rsidRPr="002120A0">
        <w:t>The submission claimed substantial cost offsets due to displaced therapies, which were poorly described in the submission.</w:t>
      </w:r>
    </w:p>
    <w:p w:rsidR="002120A0" w:rsidRPr="002120A0" w:rsidRDefault="002120A0" w:rsidP="005875D1">
      <w:pPr>
        <w:numPr>
          <w:ilvl w:val="1"/>
          <w:numId w:val="3"/>
        </w:numPr>
        <w:spacing w:before="0" w:after="120"/>
      </w:pPr>
      <w:r w:rsidRPr="002120A0">
        <w:t>The corresponding changes in number of scripts displaced and MBS items accessed by clinically isolated syndrome patients associated with the listing of glatiramer acetate are summarised in Table 1</w:t>
      </w:r>
      <w:r w:rsidR="007E6A8F">
        <w:t>4</w:t>
      </w:r>
      <w:r w:rsidRPr="002120A0">
        <w:t>.</w:t>
      </w:r>
    </w:p>
    <w:p w:rsidR="00D46BE3" w:rsidRDefault="00D46BE3">
      <w:pPr>
        <w:spacing w:before="0" w:line="259" w:lineRule="auto"/>
        <w:jc w:val="left"/>
        <w:rPr>
          <w:rFonts w:ascii="Arial Narrow" w:hAnsi="Arial Narrow"/>
          <w:b/>
          <w:sz w:val="20"/>
        </w:rPr>
      </w:pPr>
      <w:r>
        <w:rPr>
          <w:rFonts w:ascii="Arial Narrow" w:hAnsi="Arial Narrow"/>
          <w:b/>
          <w:sz w:val="20"/>
        </w:rPr>
        <w:br w:type="page"/>
      </w:r>
    </w:p>
    <w:p w:rsidR="007E6A8F" w:rsidRDefault="007E6A8F" w:rsidP="007E6A8F">
      <w:pPr>
        <w:pStyle w:val="Caption"/>
      </w:pPr>
      <w:r>
        <w:t xml:space="preserve">Table </w:t>
      </w:r>
      <w:r>
        <w:rPr>
          <w:noProof/>
        </w:rPr>
        <w:t>14</w:t>
      </w:r>
      <w:r w:rsidRPr="00273CDE">
        <w:t>: Estimated change in utilisation and cost of displaced treatments and MBS items</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4"/>
        <w:gridCol w:w="1033"/>
        <w:gridCol w:w="1033"/>
        <w:gridCol w:w="1032"/>
        <w:gridCol w:w="1032"/>
        <w:gridCol w:w="1030"/>
        <w:gridCol w:w="1024"/>
      </w:tblGrid>
      <w:tr w:rsidR="002120A0" w:rsidRPr="002120A0" w:rsidTr="009C17C4">
        <w:trPr>
          <w:tblHeader/>
        </w:trPr>
        <w:tc>
          <w:tcPr>
            <w:tcW w:w="1631" w:type="pct"/>
            <w:tcBorders>
              <w:left w:val="single" w:sz="4" w:space="0" w:color="auto"/>
              <w:bottom w:val="double" w:sz="4" w:space="0" w:color="auto"/>
            </w:tcBorders>
            <w:shd w:val="clear" w:color="auto" w:fill="auto"/>
            <w:vAlign w:val="center"/>
            <w:hideMark/>
          </w:tcPr>
          <w:p w:rsidR="002120A0" w:rsidRPr="002120A0" w:rsidRDefault="002120A0" w:rsidP="009C17C4">
            <w:pPr>
              <w:spacing w:before="0" w:after="0"/>
              <w:rPr>
                <w:rFonts w:ascii="Arial Narrow" w:hAnsi="Arial Narrow"/>
                <w:sz w:val="20"/>
                <w:szCs w:val="20"/>
                <w:lang w:eastAsia="en-AU"/>
              </w:rPr>
            </w:pPr>
          </w:p>
        </w:tc>
        <w:tc>
          <w:tcPr>
            <w:tcW w:w="563" w:type="pct"/>
            <w:tcBorders>
              <w:bottom w:val="double" w:sz="4" w:space="0" w:color="auto"/>
            </w:tcBorders>
            <w:shd w:val="clear" w:color="auto" w:fill="auto"/>
            <w:vAlign w:val="center"/>
            <w:hideMark/>
          </w:tcPr>
          <w:p w:rsidR="002120A0" w:rsidRPr="002120A0" w:rsidRDefault="002120A0" w:rsidP="009C17C4">
            <w:pPr>
              <w:spacing w:before="0" w:after="0"/>
              <w:jc w:val="center"/>
              <w:rPr>
                <w:rFonts w:ascii="Arial Narrow" w:hAnsi="Arial Narrow"/>
                <w:b/>
                <w:bCs/>
                <w:sz w:val="20"/>
                <w:szCs w:val="20"/>
                <w:lang w:eastAsia="en-AU"/>
              </w:rPr>
            </w:pPr>
            <w:r w:rsidRPr="002120A0">
              <w:rPr>
                <w:rFonts w:ascii="Arial Narrow" w:hAnsi="Arial Narrow"/>
                <w:b/>
                <w:bCs/>
                <w:sz w:val="20"/>
                <w:szCs w:val="20"/>
                <w:lang w:eastAsia="en-AU"/>
              </w:rPr>
              <w:t>Year 1</w:t>
            </w:r>
          </w:p>
          <w:p w:rsidR="002120A0" w:rsidRPr="002120A0" w:rsidRDefault="002120A0" w:rsidP="009C17C4">
            <w:pPr>
              <w:spacing w:before="0" w:after="0"/>
              <w:jc w:val="center"/>
              <w:rPr>
                <w:rFonts w:ascii="Arial Narrow" w:hAnsi="Arial Narrow"/>
                <w:b/>
                <w:bCs/>
                <w:sz w:val="20"/>
                <w:szCs w:val="20"/>
                <w:lang w:eastAsia="en-AU"/>
              </w:rPr>
            </w:pPr>
            <w:r w:rsidRPr="002120A0">
              <w:rPr>
                <w:rFonts w:ascii="Arial Narrow" w:hAnsi="Arial Narrow"/>
                <w:b/>
                <w:bCs/>
                <w:sz w:val="20"/>
                <w:szCs w:val="20"/>
                <w:lang w:eastAsia="en-AU"/>
              </w:rPr>
              <w:t>(2018)</w:t>
            </w:r>
          </w:p>
        </w:tc>
        <w:tc>
          <w:tcPr>
            <w:tcW w:w="563" w:type="pct"/>
            <w:tcBorders>
              <w:bottom w:val="double" w:sz="4" w:space="0" w:color="auto"/>
            </w:tcBorders>
            <w:shd w:val="clear" w:color="auto" w:fill="auto"/>
            <w:vAlign w:val="center"/>
            <w:hideMark/>
          </w:tcPr>
          <w:p w:rsidR="002120A0" w:rsidRPr="002120A0" w:rsidRDefault="002120A0" w:rsidP="009C17C4">
            <w:pPr>
              <w:spacing w:before="0" w:after="0"/>
              <w:jc w:val="center"/>
              <w:rPr>
                <w:rFonts w:ascii="Arial Narrow" w:hAnsi="Arial Narrow"/>
                <w:b/>
                <w:bCs/>
                <w:sz w:val="20"/>
                <w:szCs w:val="20"/>
                <w:lang w:eastAsia="en-AU"/>
              </w:rPr>
            </w:pPr>
            <w:r w:rsidRPr="002120A0">
              <w:rPr>
                <w:rFonts w:ascii="Arial Narrow" w:hAnsi="Arial Narrow"/>
                <w:b/>
                <w:bCs/>
                <w:sz w:val="20"/>
                <w:szCs w:val="20"/>
                <w:lang w:eastAsia="en-AU"/>
              </w:rPr>
              <w:t>Year 2</w:t>
            </w:r>
          </w:p>
          <w:p w:rsidR="002120A0" w:rsidRPr="002120A0" w:rsidRDefault="002120A0" w:rsidP="009C17C4">
            <w:pPr>
              <w:spacing w:before="0" w:after="0"/>
              <w:jc w:val="center"/>
              <w:rPr>
                <w:rFonts w:ascii="Arial Narrow" w:hAnsi="Arial Narrow"/>
                <w:b/>
                <w:bCs/>
                <w:sz w:val="20"/>
                <w:szCs w:val="20"/>
                <w:lang w:eastAsia="en-AU"/>
              </w:rPr>
            </w:pPr>
            <w:r w:rsidRPr="002120A0">
              <w:rPr>
                <w:rFonts w:ascii="Arial Narrow" w:hAnsi="Arial Narrow"/>
                <w:b/>
                <w:bCs/>
                <w:sz w:val="20"/>
                <w:szCs w:val="20"/>
                <w:lang w:eastAsia="en-AU"/>
              </w:rPr>
              <w:t>(2019)</w:t>
            </w:r>
          </w:p>
        </w:tc>
        <w:tc>
          <w:tcPr>
            <w:tcW w:w="562" w:type="pct"/>
            <w:tcBorders>
              <w:bottom w:val="double" w:sz="4" w:space="0" w:color="auto"/>
            </w:tcBorders>
            <w:shd w:val="clear" w:color="auto" w:fill="auto"/>
            <w:vAlign w:val="center"/>
            <w:hideMark/>
          </w:tcPr>
          <w:p w:rsidR="002120A0" w:rsidRPr="002120A0" w:rsidRDefault="002120A0" w:rsidP="009C17C4">
            <w:pPr>
              <w:spacing w:before="0" w:after="0"/>
              <w:jc w:val="center"/>
              <w:rPr>
                <w:rFonts w:ascii="Arial Narrow" w:hAnsi="Arial Narrow"/>
                <w:b/>
                <w:bCs/>
                <w:sz w:val="20"/>
                <w:szCs w:val="20"/>
                <w:lang w:eastAsia="en-AU"/>
              </w:rPr>
            </w:pPr>
            <w:r w:rsidRPr="002120A0">
              <w:rPr>
                <w:rFonts w:ascii="Arial Narrow" w:hAnsi="Arial Narrow"/>
                <w:b/>
                <w:bCs/>
                <w:sz w:val="20"/>
                <w:szCs w:val="20"/>
                <w:lang w:eastAsia="en-AU"/>
              </w:rPr>
              <w:t>Year 3</w:t>
            </w:r>
            <w:r w:rsidRPr="002120A0">
              <w:rPr>
                <w:rFonts w:ascii="Arial Narrow" w:hAnsi="Arial Narrow"/>
                <w:b/>
                <w:bCs/>
                <w:sz w:val="20"/>
                <w:szCs w:val="20"/>
                <w:lang w:eastAsia="en-AU"/>
              </w:rPr>
              <w:br/>
              <w:t>(2020)</w:t>
            </w:r>
          </w:p>
        </w:tc>
        <w:tc>
          <w:tcPr>
            <w:tcW w:w="562" w:type="pct"/>
            <w:tcBorders>
              <w:bottom w:val="double" w:sz="4" w:space="0" w:color="auto"/>
            </w:tcBorders>
            <w:shd w:val="clear" w:color="auto" w:fill="auto"/>
            <w:vAlign w:val="center"/>
            <w:hideMark/>
          </w:tcPr>
          <w:p w:rsidR="002120A0" w:rsidRPr="002120A0" w:rsidRDefault="002120A0" w:rsidP="009C17C4">
            <w:pPr>
              <w:spacing w:before="0" w:after="0"/>
              <w:jc w:val="center"/>
              <w:rPr>
                <w:rFonts w:ascii="Arial Narrow" w:hAnsi="Arial Narrow"/>
                <w:b/>
                <w:bCs/>
                <w:sz w:val="20"/>
                <w:szCs w:val="20"/>
                <w:lang w:eastAsia="en-AU"/>
              </w:rPr>
            </w:pPr>
            <w:r w:rsidRPr="002120A0">
              <w:rPr>
                <w:rFonts w:ascii="Arial Narrow" w:hAnsi="Arial Narrow"/>
                <w:b/>
                <w:bCs/>
                <w:sz w:val="20"/>
                <w:szCs w:val="20"/>
                <w:lang w:eastAsia="en-AU"/>
              </w:rPr>
              <w:t>Year 4</w:t>
            </w:r>
          </w:p>
          <w:p w:rsidR="002120A0" w:rsidRPr="002120A0" w:rsidRDefault="002120A0" w:rsidP="009C17C4">
            <w:pPr>
              <w:spacing w:before="0" w:after="0"/>
              <w:jc w:val="center"/>
              <w:rPr>
                <w:rFonts w:ascii="Arial Narrow" w:hAnsi="Arial Narrow"/>
                <w:b/>
                <w:bCs/>
                <w:sz w:val="20"/>
                <w:szCs w:val="20"/>
                <w:lang w:eastAsia="en-AU"/>
              </w:rPr>
            </w:pPr>
            <w:r w:rsidRPr="002120A0">
              <w:rPr>
                <w:rFonts w:ascii="Arial Narrow" w:hAnsi="Arial Narrow"/>
                <w:b/>
                <w:bCs/>
                <w:sz w:val="20"/>
                <w:szCs w:val="20"/>
                <w:lang w:eastAsia="en-AU"/>
              </w:rPr>
              <w:t>(2021)</w:t>
            </w:r>
          </w:p>
        </w:tc>
        <w:tc>
          <w:tcPr>
            <w:tcW w:w="561" w:type="pct"/>
            <w:tcBorders>
              <w:bottom w:val="double" w:sz="4" w:space="0" w:color="auto"/>
              <w:right w:val="single" w:sz="4" w:space="0" w:color="auto"/>
            </w:tcBorders>
            <w:shd w:val="clear" w:color="auto" w:fill="auto"/>
            <w:vAlign w:val="center"/>
            <w:hideMark/>
          </w:tcPr>
          <w:p w:rsidR="002120A0" w:rsidRPr="002120A0" w:rsidRDefault="002120A0" w:rsidP="009C17C4">
            <w:pPr>
              <w:spacing w:before="0" w:after="0"/>
              <w:jc w:val="center"/>
              <w:rPr>
                <w:rFonts w:ascii="Arial Narrow" w:hAnsi="Arial Narrow"/>
                <w:b/>
                <w:bCs/>
                <w:sz w:val="20"/>
                <w:szCs w:val="20"/>
                <w:lang w:eastAsia="en-AU"/>
              </w:rPr>
            </w:pPr>
            <w:r w:rsidRPr="002120A0">
              <w:rPr>
                <w:rFonts w:ascii="Arial Narrow" w:hAnsi="Arial Narrow"/>
                <w:b/>
                <w:bCs/>
                <w:sz w:val="20"/>
                <w:szCs w:val="20"/>
                <w:lang w:eastAsia="en-AU"/>
              </w:rPr>
              <w:t>Year 5</w:t>
            </w:r>
          </w:p>
          <w:p w:rsidR="002120A0" w:rsidRPr="002120A0" w:rsidRDefault="002120A0" w:rsidP="009C17C4">
            <w:pPr>
              <w:spacing w:before="0" w:after="0"/>
              <w:jc w:val="center"/>
              <w:rPr>
                <w:rFonts w:ascii="Arial Narrow" w:hAnsi="Arial Narrow"/>
                <w:b/>
                <w:bCs/>
                <w:sz w:val="20"/>
                <w:szCs w:val="20"/>
                <w:lang w:eastAsia="en-AU"/>
              </w:rPr>
            </w:pPr>
            <w:r w:rsidRPr="002120A0">
              <w:rPr>
                <w:rFonts w:ascii="Arial Narrow" w:hAnsi="Arial Narrow"/>
                <w:b/>
                <w:bCs/>
                <w:sz w:val="20"/>
                <w:szCs w:val="20"/>
                <w:lang w:eastAsia="en-AU"/>
              </w:rPr>
              <w:t>(2022)</w:t>
            </w:r>
          </w:p>
        </w:tc>
        <w:tc>
          <w:tcPr>
            <w:tcW w:w="558" w:type="pct"/>
            <w:tcBorders>
              <w:bottom w:val="double" w:sz="4" w:space="0" w:color="auto"/>
              <w:right w:val="single" w:sz="4" w:space="0" w:color="auto"/>
            </w:tcBorders>
            <w:vAlign w:val="center"/>
          </w:tcPr>
          <w:p w:rsidR="002120A0" w:rsidRPr="002120A0" w:rsidRDefault="002120A0" w:rsidP="009C17C4">
            <w:pPr>
              <w:spacing w:before="0" w:after="0"/>
              <w:jc w:val="center"/>
              <w:rPr>
                <w:rFonts w:ascii="Arial Narrow" w:hAnsi="Arial Narrow"/>
                <w:b/>
                <w:bCs/>
                <w:sz w:val="20"/>
                <w:szCs w:val="20"/>
                <w:lang w:eastAsia="en-AU"/>
              </w:rPr>
            </w:pPr>
            <w:r w:rsidRPr="002120A0">
              <w:rPr>
                <w:rFonts w:ascii="Arial Narrow" w:hAnsi="Arial Narrow"/>
                <w:b/>
                <w:bCs/>
                <w:sz w:val="20"/>
                <w:szCs w:val="20"/>
                <w:lang w:eastAsia="en-AU"/>
              </w:rPr>
              <w:t>Year 6</w:t>
            </w:r>
          </w:p>
          <w:p w:rsidR="002120A0" w:rsidRPr="002120A0" w:rsidRDefault="002120A0" w:rsidP="009C17C4">
            <w:pPr>
              <w:spacing w:before="0" w:after="0"/>
              <w:jc w:val="center"/>
              <w:rPr>
                <w:rFonts w:ascii="Arial Narrow" w:hAnsi="Arial Narrow"/>
                <w:b/>
                <w:bCs/>
                <w:sz w:val="20"/>
                <w:szCs w:val="20"/>
                <w:lang w:eastAsia="en-AU"/>
              </w:rPr>
            </w:pPr>
            <w:r w:rsidRPr="002120A0">
              <w:rPr>
                <w:rFonts w:ascii="Arial Narrow" w:hAnsi="Arial Narrow"/>
                <w:b/>
                <w:bCs/>
                <w:sz w:val="20"/>
                <w:szCs w:val="20"/>
                <w:lang w:eastAsia="en-AU"/>
              </w:rPr>
              <w:t>(2023)</w:t>
            </w:r>
          </w:p>
        </w:tc>
      </w:tr>
      <w:tr w:rsidR="002120A0" w:rsidRPr="002120A0" w:rsidTr="009C17C4">
        <w:tc>
          <w:tcPr>
            <w:tcW w:w="1631" w:type="pct"/>
            <w:tcBorders>
              <w:top w:val="double" w:sz="4" w:space="0" w:color="auto"/>
              <w:left w:val="single" w:sz="4" w:space="0" w:color="auto"/>
            </w:tcBorders>
            <w:shd w:val="clear" w:color="auto" w:fill="auto"/>
            <w:vAlign w:val="center"/>
          </w:tcPr>
          <w:p w:rsidR="002120A0" w:rsidRPr="002120A0" w:rsidRDefault="002120A0" w:rsidP="009C17C4">
            <w:pPr>
              <w:spacing w:before="0" w:after="0"/>
              <w:jc w:val="left"/>
              <w:rPr>
                <w:rFonts w:ascii="Arial Narrow" w:hAnsi="Arial Narrow"/>
                <w:b/>
                <w:sz w:val="20"/>
                <w:szCs w:val="20"/>
                <w:lang w:eastAsia="en-AU"/>
              </w:rPr>
            </w:pPr>
            <w:r w:rsidRPr="002120A0">
              <w:rPr>
                <w:rFonts w:ascii="Arial Narrow" w:hAnsi="Arial Narrow"/>
                <w:b/>
                <w:sz w:val="20"/>
                <w:szCs w:val="20"/>
                <w:lang w:eastAsia="en-AU"/>
              </w:rPr>
              <w:t>Patients switching from other therapies to glatiramer</w:t>
            </w:r>
          </w:p>
        </w:tc>
        <w:tc>
          <w:tcPr>
            <w:tcW w:w="563" w:type="pct"/>
            <w:tcBorders>
              <w:top w:val="double" w:sz="4" w:space="0" w:color="auto"/>
              <w:left w:val="nil"/>
              <w:bottom w:val="single" w:sz="4" w:space="0" w:color="auto"/>
              <w:right w:val="single" w:sz="4" w:space="0" w:color="auto"/>
            </w:tcBorders>
            <w:shd w:val="clear" w:color="000000" w:fill="FFFFFF"/>
            <w:tcMar>
              <w:right w:w="57" w:type="dxa"/>
            </w:tcMar>
            <w:vAlign w:val="center"/>
          </w:tcPr>
          <w:p w:rsidR="002120A0" w:rsidRPr="00AF06E3" w:rsidRDefault="00AF06E3" w:rsidP="009C17C4">
            <w:pPr>
              <w:spacing w:before="0" w:after="0"/>
              <w:jc w:val="center"/>
              <w:rPr>
                <w:rFonts w:ascii="Arial Narrow" w:hAnsi="Arial Narrow" w:cs="Arial"/>
                <w:b/>
                <w:sz w:val="20"/>
                <w:szCs w:val="20"/>
                <w:highlight w:val="black"/>
              </w:rPr>
            </w:pPr>
            <w:r>
              <w:rPr>
                <w:rFonts w:ascii="Arial Narrow" w:hAnsi="Arial Narrow" w:cs="Arial"/>
                <w:b/>
                <w:noProof/>
                <w:color w:val="000000"/>
                <w:sz w:val="20"/>
                <w:szCs w:val="20"/>
                <w:highlight w:val="black"/>
              </w:rPr>
              <w:t>'''''''</w:t>
            </w:r>
          </w:p>
        </w:tc>
        <w:tc>
          <w:tcPr>
            <w:tcW w:w="563" w:type="pct"/>
            <w:tcBorders>
              <w:top w:val="double" w:sz="4" w:space="0" w:color="auto"/>
              <w:left w:val="single" w:sz="4" w:space="0" w:color="auto"/>
              <w:bottom w:val="single" w:sz="4" w:space="0" w:color="auto"/>
              <w:right w:val="single" w:sz="4" w:space="0" w:color="auto"/>
            </w:tcBorders>
            <w:shd w:val="clear" w:color="000000" w:fill="FFFFFF"/>
            <w:tcMar>
              <w:right w:w="57" w:type="dxa"/>
            </w:tcMar>
            <w:vAlign w:val="center"/>
          </w:tcPr>
          <w:p w:rsidR="002120A0" w:rsidRPr="00AF06E3" w:rsidRDefault="00AF06E3" w:rsidP="009C17C4">
            <w:pPr>
              <w:spacing w:before="0" w:after="0"/>
              <w:jc w:val="center"/>
              <w:rPr>
                <w:rFonts w:ascii="Arial Narrow" w:hAnsi="Arial Narrow" w:cs="Arial"/>
                <w:b/>
                <w:sz w:val="20"/>
                <w:szCs w:val="20"/>
                <w:highlight w:val="black"/>
              </w:rPr>
            </w:pPr>
            <w:r>
              <w:rPr>
                <w:rFonts w:ascii="Arial Narrow" w:hAnsi="Arial Narrow" w:cs="Arial"/>
                <w:b/>
                <w:noProof/>
                <w:color w:val="000000"/>
                <w:sz w:val="20"/>
                <w:szCs w:val="20"/>
                <w:highlight w:val="black"/>
              </w:rPr>
              <w:t>''''''''</w:t>
            </w:r>
          </w:p>
        </w:tc>
        <w:tc>
          <w:tcPr>
            <w:tcW w:w="562" w:type="pct"/>
            <w:tcBorders>
              <w:top w:val="double" w:sz="4" w:space="0" w:color="auto"/>
              <w:left w:val="single" w:sz="4" w:space="0" w:color="auto"/>
              <w:bottom w:val="single" w:sz="4" w:space="0" w:color="auto"/>
              <w:right w:val="single" w:sz="4" w:space="0" w:color="auto"/>
            </w:tcBorders>
            <w:shd w:val="clear" w:color="000000" w:fill="FFFFFF"/>
            <w:tcMar>
              <w:right w:w="57" w:type="dxa"/>
            </w:tcMar>
            <w:vAlign w:val="center"/>
          </w:tcPr>
          <w:p w:rsidR="002120A0" w:rsidRPr="00AF06E3" w:rsidRDefault="00AF06E3" w:rsidP="009C17C4">
            <w:pPr>
              <w:spacing w:before="0" w:after="0"/>
              <w:jc w:val="center"/>
              <w:rPr>
                <w:rFonts w:ascii="Arial Narrow" w:hAnsi="Arial Narrow" w:cs="Arial"/>
                <w:b/>
                <w:sz w:val="20"/>
                <w:szCs w:val="20"/>
                <w:highlight w:val="black"/>
              </w:rPr>
            </w:pPr>
            <w:r>
              <w:rPr>
                <w:rFonts w:ascii="Arial Narrow" w:hAnsi="Arial Narrow" w:cs="Arial"/>
                <w:b/>
                <w:noProof/>
                <w:color w:val="000000"/>
                <w:sz w:val="20"/>
                <w:szCs w:val="20"/>
                <w:highlight w:val="black"/>
              </w:rPr>
              <w:t>''''''''''''</w:t>
            </w:r>
          </w:p>
        </w:tc>
        <w:tc>
          <w:tcPr>
            <w:tcW w:w="562" w:type="pct"/>
            <w:tcBorders>
              <w:top w:val="double" w:sz="4" w:space="0" w:color="auto"/>
              <w:left w:val="single" w:sz="4" w:space="0" w:color="auto"/>
              <w:bottom w:val="single" w:sz="4" w:space="0" w:color="auto"/>
              <w:right w:val="single" w:sz="4" w:space="0" w:color="auto"/>
            </w:tcBorders>
            <w:shd w:val="clear" w:color="000000" w:fill="FFFFFF"/>
            <w:tcMar>
              <w:right w:w="57" w:type="dxa"/>
            </w:tcMar>
            <w:vAlign w:val="center"/>
          </w:tcPr>
          <w:p w:rsidR="002120A0" w:rsidRPr="00AF06E3" w:rsidRDefault="00AF06E3" w:rsidP="009C17C4">
            <w:pPr>
              <w:spacing w:before="0" w:after="0"/>
              <w:jc w:val="center"/>
              <w:rPr>
                <w:rFonts w:ascii="Arial Narrow" w:hAnsi="Arial Narrow" w:cs="Arial"/>
                <w:b/>
                <w:sz w:val="20"/>
                <w:szCs w:val="20"/>
                <w:highlight w:val="black"/>
              </w:rPr>
            </w:pPr>
            <w:r>
              <w:rPr>
                <w:rFonts w:ascii="Arial Narrow" w:hAnsi="Arial Narrow" w:cs="Arial"/>
                <w:b/>
                <w:noProof/>
                <w:color w:val="000000"/>
                <w:sz w:val="20"/>
                <w:szCs w:val="20"/>
                <w:highlight w:val="black"/>
              </w:rPr>
              <w:t>'''''''''''</w:t>
            </w:r>
          </w:p>
        </w:tc>
        <w:tc>
          <w:tcPr>
            <w:tcW w:w="561" w:type="pct"/>
            <w:tcBorders>
              <w:top w:val="double" w:sz="4" w:space="0" w:color="auto"/>
              <w:left w:val="single" w:sz="4" w:space="0" w:color="auto"/>
              <w:bottom w:val="single" w:sz="4" w:space="0" w:color="auto"/>
              <w:right w:val="single" w:sz="4" w:space="0" w:color="auto"/>
            </w:tcBorders>
            <w:shd w:val="clear" w:color="000000" w:fill="FFFFFF"/>
            <w:tcMar>
              <w:right w:w="57" w:type="dxa"/>
            </w:tcMar>
            <w:vAlign w:val="center"/>
          </w:tcPr>
          <w:p w:rsidR="002120A0" w:rsidRPr="00AF06E3" w:rsidRDefault="00AF06E3" w:rsidP="009C17C4">
            <w:pPr>
              <w:spacing w:before="0" w:after="0"/>
              <w:jc w:val="center"/>
              <w:rPr>
                <w:rFonts w:ascii="Arial Narrow" w:hAnsi="Arial Narrow" w:cs="Arial"/>
                <w:b/>
                <w:sz w:val="20"/>
                <w:szCs w:val="20"/>
                <w:highlight w:val="black"/>
              </w:rPr>
            </w:pPr>
            <w:r>
              <w:rPr>
                <w:rFonts w:ascii="Arial Narrow" w:hAnsi="Arial Narrow" w:cs="Arial"/>
                <w:b/>
                <w:noProof/>
                <w:color w:val="000000"/>
                <w:sz w:val="20"/>
                <w:szCs w:val="20"/>
                <w:highlight w:val="black"/>
              </w:rPr>
              <w:t>'''''''''''</w:t>
            </w:r>
          </w:p>
        </w:tc>
        <w:tc>
          <w:tcPr>
            <w:tcW w:w="558" w:type="pct"/>
            <w:tcBorders>
              <w:top w:val="double" w:sz="4" w:space="0" w:color="auto"/>
              <w:left w:val="single" w:sz="4" w:space="0" w:color="auto"/>
              <w:bottom w:val="single" w:sz="4" w:space="0" w:color="auto"/>
              <w:right w:val="single" w:sz="4" w:space="0" w:color="auto"/>
            </w:tcBorders>
            <w:shd w:val="clear" w:color="000000" w:fill="FFFFFF"/>
            <w:tcMar>
              <w:right w:w="57" w:type="dxa"/>
            </w:tcMar>
            <w:vAlign w:val="center"/>
          </w:tcPr>
          <w:p w:rsidR="002120A0" w:rsidRPr="00AF06E3" w:rsidRDefault="00AF06E3" w:rsidP="009C17C4">
            <w:pPr>
              <w:spacing w:before="0" w:after="0"/>
              <w:jc w:val="center"/>
              <w:rPr>
                <w:rFonts w:ascii="Arial Narrow" w:hAnsi="Arial Narrow" w:cs="Arial"/>
                <w:b/>
                <w:sz w:val="20"/>
                <w:szCs w:val="20"/>
                <w:highlight w:val="black"/>
              </w:rPr>
            </w:pPr>
            <w:r>
              <w:rPr>
                <w:rFonts w:ascii="Arial Narrow" w:hAnsi="Arial Narrow" w:cs="Arial"/>
                <w:b/>
                <w:noProof/>
                <w:color w:val="000000"/>
                <w:sz w:val="20"/>
                <w:szCs w:val="20"/>
                <w:highlight w:val="black"/>
              </w:rPr>
              <w:t>''''''''''</w:t>
            </w:r>
          </w:p>
        </w:tc>
      </w:tr>
      <w:tr w:rsidR="002120A0" w:rsidRPr="002120A0" w:rsidTr="009C17C4">
        <w:tc>
          <w:tcPr>
            <w:tcW w:w="1631" w:type="pct"/>
            <w:tcBorders>
              <w:left w:val="single" w:sz="4" w:space="0" w:color="auto"/>
            </w:tcBorders>
            <w:shd w:val="clear" w:color="auto" w:fill="auto"/>
            <w:vAlign w:val="center"/>
          </w:tcPr>
          <w:p w:rsidR="002120A0" w:rsidRPr="002120A0" w:rsidRDefault="002120A0" w:rsidP="009C17C4">
            <w:pPr>
              <w:spacing w:before="0" w:after="0"/>
              <w:jc w:val="left"/>
              <w:rPr>
                <w:rFonts w:ascii="Arial Narrow" w:hAnsi="Arial Narrow"/>
                <w:b/>
                <w:sz w:val="20"/>
                <w:szCs w:val="20"/>
                <w:lang w:eastAsia="en-AU"/>
              </w:rPr>
            </w:pPr>
            <w:r w:rsidRPr="002120A0">
              <w:rPr>
                <w:rFonts w:ascii="Arial Narrow" w:hAnsi="Arial Narrow"/>
                <w:b/>
                <w:sz w:val="20"/>
                <w:szCs w:val="20"/>
                <w:lang w:eastAsia="en-AU"/>
              </w:rPr>
              <w:t>Total scripts displaced (13.04/year)</w:t>
            </w:r>
          </w:p>
        </w:tc>
        <w:tc>
          <w:tcPr>
            <w:tcW w:w="563" w:type="pct"/>
            <w:tcBorders>
              <w:top w:val="nil"/>
              <w:left w:val="nil"/>
              <w:bottom w:val="single" w:sz="4" w:space="0" w:color="auto"/>
              <w:right w:val="single" w:sz="4" w:space="0" w:color="auto"/>
            </w:tcBorders>
            <w:shd w:val="clear" w:color="000000" w:fill="FFFFFF"/>
            <w:tcMar>
              <w:right w:w="57" w:type="dxa"/>
            </w:tcMar>
            <w:vAlign w:val="center"/>
          </w:tcPr>
          <w:p w:rsidR="002120A0" w:rsidRPr="00AF06E3" w:rsidRDefault="00AF06E3" w:rsidP="009C17C4">
            <w:pPr>
              <w:spacing w:before="0" w:after="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63" w:type="pct"/>
            <w:tcBorders>
              <w:top w:val="nil"/>
              <w:left w:val="single" w:sz="4" w:space="0" w:color="auto"/>
              <w:bottom w:val="single" w:sz="4" w:space="0" w:color="auto"/>
              <w:right w:val="single" w:sz="4" w:space="0" w:color="auto"/>
            </w:tcBorders>
            <w:shd w:val="clear" w:color="000000" w:fill="FFFFFF"/>
            <w:tcMar>
              <w:right w:w="57" w:type="dxa"/>
            </w:tcMar>
            <w:vAlign w:val="center"/>
          </w:tcPr>
          <w:p w:rsidR="002120A0" w:rsidRPr="00AF06E3" w:rsidRDefault="00AF06E3" w:rsidP="009C17C4">
            <w:pPr>
              <w:spacing w:before="0" w:after="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62" w:type="pct"/>
            <w:tcBorders>
              <w:top w:val="nil"/>
              <w:left w:val="single" w:sz="4" w:space="0" w:color="auto"/>
              <w:bottom w:val="single" w:sz="4" w:space="0" w:color="auto"/>
              <w:right w:val="single" w:sz="4" w:space="0" w:color="auto"/>
            </w:tcBorders>
            <w:shd w:val="clear" w:color="000000" w:fill="FFFFFF"/>
            <w:tcMar>
              <w:right w:w="57" w:type="dxa"/>
            </w:tcMar>
            <w:vAlign w:val="center"/>
          </w:tcPr>
          <w:p w:rsidR="002120A0" w:rsidRPr="00AF06E3" w:rsidRDefault="00AF06E3" w:rsidP="009C17C4">
            <w:pPr>
              <w:spacing w:before="0" w:after="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62" w:type="pct"/>
            <w:tcBorders>
              <w:top w:val="nil"/>
              <w:left w:val="single" w:sz="4" w:space="0" w:color="auto"/>
              <w:bottom w:val="single" w:sz="4" w:space="0" w:color="auto"/>
              <w:right w:val="single" w:sz="4" w:space="0" w:color="auto"/>
            </w:tcBorders>
            <w:shd w:val="clear" w:color="000000" w:fill="FFFFFF"/>
            <w:tcMar>
              <w:right w:w="57" w:type="dxa"/>
            </w:tcMar>
            <w:vAlign w:val="center"/>
          </w:tcPr>
          <w:p w:rsidR="002120A0" w:rsidRPr="00AF06E3" w:rsidRDefault="00AF06E3" w:rsidP="009C17C4">
            <w:pPr>
              <w:spacing w:before="0" w:after="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61" w:type="pct"/>
            <w:tcBorders>
              <w:top w:val="nil"/>
              <w:left w:val="single" w:sz="4" w:space="0" w:color="auto"/>
              <w:bottom w:val="single" w:sz="4" w:space="0" w:color="auto"/>
              <w:right w:val="single" w:sz="4" w:space="0" w:color="auto"/>
            </w:tcBorders>
            <w:shd w:val="clear" w:color="000000" w:fill="FFFFFF"/>
            <w:tcMar>
              <w:right w:w="57" w:type="dxa"/>
            </w:tcMar>
            <w:vAlign w:val="center"/>
          </w:tcPr>
          <w:p w:rsidR="002120A0" w:rsidRPr="00AF06E3" w:rsidRDefault="00AF06E3" w:rsidP="009C17C4">
            <w:pPr>
              <w:spacing w:before="0" w:after="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58" w:type="pct"/>
            <w:tcBorders>
              <w:top w:val="nil"/>
              <w:left w:val="single" w:sz="4" w:space="0" w:color="auto"/>
              <w:bottom w:val="single" w:sz="4" w:space="0" w:color="auto"/>
              <w:right w:val="single" w:sz="4" w:space="0" w:color="auto"/>
            </w:tcBorders>
            <w:shd w:val="clear" w:color="000000" w:fill="FFFFFF"/>
            <w:tcMar>
              <w:right w:w="57" w:type="dxa"/>
            </w:tcMar>
            <w:vAlign w:val="center"/>
          </w:tcPr>
          <w:p w:rsidR="002120A0" w:rsidRPr="00AF06E3" w:rsidRDefault="00AF06E3" w:rsidP="009C17C4">
            <w:pPr>
              <w:spacing w:before="0" w:after="0"/>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2120A0" w:rsidRPr="002120A0" w:rsidTr="009C17C4">
        <w:tc>
          <w:tcPr>
            <w:tcW w:w="1631" w:type="pct"/>
            <w:tcBorders>
              <w:left w:val="single" w:sz="4" w:space="0" w:color="auto"/>
            </w:tcBorders>
            <w:shd w:val="clear" w:color="auto" w:fill="auto"/>
            <w:vAlign w:val="center"/>
          </w:tcPr>
          <w:p w:rsidR="002120A0" w:rsidRPr="002120A0" w:rsidRDefault="002120A0" w:rsidP="009C17C4">
            <w:pPr>
              <w:spacing w:before="0" w:after="0"/>
              <w:jc w:val="left"/>
              <w:rPr>
                <w:rFonts w:ascii="Arial Narrow" w:hAnsi="Arial Narrow"/>
                <w:sz w:val="20"/>
                <w:szCs w:val="20"/>
                <w:lang w:eastAsia="en-AU"/>
              </w:rPr>
            </w:pPr>
            <w:r w:rsidRPr="002120A0">
              <w:rPr>
                <w:rFonts w:ascii="Arial Narrow" w:hAnsi="Arial Narrow"/>
                <w:sz w:val="20"/>
                <w:szCs w:val="20"/>
                <w:lang w:eastAsia="en-AU"/>
              </w:rPr>
              <w:t>Cost of displaced medicines (DPMQ)</w:t>
            </w:r>
          </w:p>
        </w:tc>
        <w:tc>
          <w:tcPr>
            <w:tcW w:w="563" w:type="pct"/>
            <w:shd w:val="clear" w:color="auto" w:fill="auto"/>
            <w:tcMar>
              <w:right w:w="57" w:type="dxa"/>
            </w:tcMar>
            <w:vAlign w:val="center"/>
          </w:tcPr>
          <w:p w:rsidR="002120A0" w:rsidRPr="002120A0" w:rsidRDefault="002120A0" w:rsidP="009C17C4">
            <w:pPr>
              <w:spacing w:before="0" w:after="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63" w:type="pct"/>
            <w:shd w:val="clear" w:color="auto" w:fill="auto"/>
            <w:tcMar>
              <w:right w:w="57" w:type="dxa"/>
            </w:tcMar>
            <w:vAlign w:val="center"/>
          </w:tcPr>
          <w:p w:rsidR="002120A0" w:rsidRPr="002120A0" w:rsidRDefault="002120A0" w:rsidP="009C17C4">
            <w:pPr>
              <w:spacing w:before="0" w:after="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62" w:type="pct"/>
            <w:shd w:val="clear" w:color="auto" w:fill="auto"/>
            <w:tcMar>
              <w:right w:w="57" w:type="dxa"/>
            </w:tcMar>
            <w:vAlign w:val="center"/>
          </w:tcPr>
          <w:p w:rsidR="002120A0" w:rsidRPr="002120A0" w:rsidRDefault="002120A0" w:rsidP="009C17C4">
            <w:pPr>
              <w:spacing w:before="0" w:after="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62" w:type="pct"/>
            <w:shd w:val="clear" w:color="auto" w:fill="auto"/>
            <w:tcMar>
              <w:right w:w="57" w:type="dxa"/>
            </w:tcMar>
            <w:vAlign w:val="center"/>
          </w:tcPr>
          <w:p w:rsidR="002120A0" w:rsidRPr="002120A0" w:rsidRDefault="002120A0" w:rsidP="009C17C4">
            <w:pPr>
              <w:spacing w:before="0" w:after="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61" w:type="pct"/>
            <w:tcBorders>
              <w:right w:val="single" w:sz="4" w:space="0" w:color="auto"/>
            </w:tcBorders>
            <w:shd w:val="clear" w:color="auto" w:fill="auto"/>
            <w:tcMar>
              <w:right w:w="57" w:type="dxa"/>
            </w:tcMar>
            <w:vAlign w:val="center"/>
          </w:tcPr>
          <w:p w:rsidR="002120A0" w:rsidRPr="002120A0" w:rsidRDefault="002120A0" w:rsidP="009C17C4">
            <w:pPr>
              <w:spacing w:before="0" w:after="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58" w:type="pct"/>
            <w:tcBorders>
              <w:right w:val="single" w:sz="4" w:space="0" w:color="auto"/>
            </w:tcBorders>
            <w:tcMar>
              <w:right w:w="57" w:type="dxa"/>
            </w:tcMar>
            <w:vAlign w:val="center"/>
          </w:tcPr>
          <w:p w:rsidR="002120A0" w:rsidRPr="002120A0" w:rsidRDefault="002120A0" w:rsidP="009C17C4">
            <w:pPr>
              <w:spacing w:before="0" w:after="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r>
      <w:tr w:rsidR="002120A0" w:rsidRPr="002120A0" w:rsidTr="009C17C4">
        <w:tc>
          <w:tcPr>
            <w:tcW w:w="1631" w:type="pct"/>
            <w:tcBorders>
              <w:left w:val="single" w:sz="4" w:space="0" w:color="auto"/>
              <w:bottom w:val="single" w:sz="4" w:space="0" w:color="auto"/>
            </w:tcBorders>
            <w:shd w:val="clear" w:color="auto" w:fill="auto"/>
            <w:vAlign w:val="center"/>
          </w:tcPr>
          <w:p w:rsidR="002120A0" w:rsidRPr="002120A0" w:rsidRDefault="002120A0" w:rsidP="009C17C4">
            <w:pPr>
              <w:spacing w:before="0" w:after="0"/>
              <w:jc w:val="left"/>
              <w:rPr>
                <w:rFonts w:ascii="Arial Narrow" w:hAnsi="Arial Narrow"/>
                <w:sz w:val="20"/>
                <w:szCs w:val="20"/>
                <w:lang w:eastAsia="en-AU"/>
              </w:rPr>
            </w:pPr>
            <w:r w:rsidRPr="002120A0">
              <w:rPr>
                <w:rFonts w:ascii="Arial Narrow" w:hAnsi="Arial Narrow"/>
                <w:sz w:val="20"/>
                <w:szCs w:val="20"/>
                <w:lang w:eastAsia="en-AU"/>
              </w:rPr>
              <w:t>Displaced medicines patient co-payments ($</w:t>
            </w:r>
            <w:r w:rsidR="00AF06E3">
              <w:rPr>
                <w:rFonts w:ascii="Arial Narrow" w:hAnsi="Arial Narrow"/>
                <w:noProof/>
                <w:color w:val="000000"/>
                <w:sz w:val="20"/>
                <w:szCs w:val="20"/>
                <w:highlight w:val="black"/>
                <w:lang w:eastAsia="en-AU"/>
              </w:rPr>
              <w:t>'''''''''''''''</w:t>
            </w:r>
            <w:r w:rsidRPr="002120A0">
              <w:rPr>
                <w:rFonts w:ascii="Arial Narrow" w:hAnsi="Arial Narrow"/>
                <w:sz w:val="20"/>
                <w:szCs w:val="20"/>
                <w:lang w:eastAsia="en-AU"/>
              </w:rPr>
              <w:t xml:space="preserve"> per script)</w:t>
            </w:r>
          </w:p>
        </w:tc>
        <w:tc>
          <w:tcPr>
            <w:tcW w:w="563" w:type="pct"/>
            <w:tcBorders>
              <w:bottom w:val="single" w:sz="4" w:space="0" w:color="auto"/>
            </w:tcBorders>
            <w:shd w:val="clear" w:color="auto" w:fill="auto"/>
            <w:tcMar>
              <w:right w:w="57" w:type="dxa"/>
            </w:tcMar>
            <w:vAlign w:val="center"/>
          </w:tcPr>
          <w:p w:rsidR="002120A0" w:rsidRPr="002120A0" w:rsidRDefault="002120A0" w:rsidP="009C17C4">
            <w:pPr>
              <w:spacing w:before="0" w:after="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63" w:type="pct"/>
            <w:tcBorders>
              <w:bottom w:val="single" w:sz="4" w:space="0" w:color="auto"/>
            </w:tcBorders>
            <w:shd w:val="clear" w:color="auto" w:fill="auto"/>
            <w:tcMar>
              <w:right w:w="57" w:type="dxa"/>
            </w:tcMar>
            <w:vAlign w:val="center"/>
          </w:tcPr>
          <w:p w:rsidR="002120A0" w:rsidRPr="002120A0" w:rsidRDefault="002120A0" w:rsidP="009C17C4">
            <w:pPr>
              <w:spacing w:before="0" w:after="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62" w:type="pct"/>
            <w:tcBorders>
              <w:bottom w:val="single" w:sz="4" w:space="0" w:color="auto"/>
            </w:tcBorders>
            <w:shd w:val="clear" w:color="auto" w:fill="auto"/>
            <w:tcMar>
              <w:right w:w="57" w:type="dxa"/>
            </w:tcMar>
            <w:vAlign w:val="center"/>
          </w:tcPr>
          <w:p w:rsidR="002120A0" w:rsidRPr="002120A0" w:rsidRDefault="002120A0" w:rsidP="009C17C4">
            <w:pPr>
              <w:spacing w:before="0" w:after="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62" w:type="pct"/>
            <w:tcBorders>
              <w:bottom w:val="single" w:sz="4" w:space="0" w:color="auto"/>
            </w:tcBorders>
            <w:shd w:val="clear" w:color="auto" w:fill="auto"/>
            <w:tcMar>
              <w:right w:w="57" w:type="dxa"/>
            </w:tcMar>
            <w:vAlign w:val="center"/>
          </w:tcPr>
          <w:p w:rsidR="002120A0" w:rsidRPr="002120A0" w:rsidRDefault="002120A0" w:rsidP="009C17C4">
            <w:pPr>
              <w:spacing w:before="0" w:after="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61" w:type="pct"/>
            <w:tcBorders>
              <w:bottom w:val="single" w:sz="4" w:space="0" w:color="auto"/>
              <w:right w:val="single" w:sz="4" w:space="0" w:color="auto"/>
            </w:tcBorders>
            <w:shd w:val="clear" w:color="auto" w:fill="auto"/>
            <w:tcMar>
              <w:right w:w="57" w:type="dxa"/>
            </w:tcMar>
            <w:vAlign w:val="center"/>
          </w:tcPr>
          <w:p w:rsidR="002120A0" w:rsidRPr="002120A0" w:rsidRDefault="002120A0" w:rsidP="009C17C4">
            <w:pPr>
              <w:spacing w:before="0" w:after="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c>
          <w:tcPr>
            <w:tcW w:w="558" w:type="pct"/>
            <w:tcBorders>
              <w:bottom w:val="single" w:sz="4" w:space="0" w:color="auto"/>
              <w:right w:val="single" w:sz="4" w:space="0" w:color="auto"/>
            </w:tcBorders>
            <w:tcMar>
              <w:right w:w="57" w:type="dxa"/>
            </w:tcMar>
            <w:vAlign w:val="center"/>
          </w:tcPr>
          <w:p w:rsidR="002120A0" w:rsidRPr="002120A0" w:rsidRDefault="002120A0" w:rsidP="009C17C4">
            <w:pPr>
              <w:spacing w:before="0" w:after="0"/>
              <w:jc w:val="center"/>
              <w:rPr>
                <w:rFonts w:ascii="Arial Narrow" w:hAnsi="Arial Narrow"/>
                <w:sz w:val="20"/>
                <w:szCs w:val="20"/>
              </w:rPr>
            </w:pPr>
            <w:r w:rsidRPr="002120A0">
              <w:rPr>
                <w:rFonts w:ascii="Arial Narrow" w:hAnsi="Arial Narrow"/>
                <w:sz w:val="20"/>
                <w:szCs w:val="20"/>
              </w:rPr>
              <w:t>-$</w:t>
            </w:r>
            <w:r w:rsidR="00AF06E3">
              <w:rPr>
                <w:rFonts w:ascii="Arial Narrow" w:hAnsi="Arial Narrow"/>
                <w:noProof/>
                <w:color w:val="000000"/>
                <w:sz w:val="20"/>
                <w:szCs w:val="20"/>
                <w:highlight w:val="black"/>
              </w:rPr>
              <w:t>'''''''''''''''''''''</w:t>
            </w:r>
          </w:p>
        </w:tc>
      </w:tr>
      <w:tr w:rsidR="002120A0" w:rsidRPr="002120A0" w:rsidTr="009C17C4">
        <w:tc>
          <w:tcPr>
            <w:tcW w:w="1631" w:type="pct"/>
            <w:tcBorders>
              <w:left w:val="single" w:sz="4" w:space="0" w:color="auto"/>
              <w:bottom w:val="double" w:sz="4" w:space="0" w:color="auto"/>
            </w:tcBorders>
            <w:shd w:val="clear" w:color="auto" w:fill="auto"/>
            <w:vAlign w:val="center"/>
          </w:tcPr>
          <w:p w:rsidR="002120A0" w:rsidRPr="002120A0" w:rsidRDefault="002120A0" w:rsidP="009C17C4">
            <w:pPr>
              <w:spacing w:before="0" w:after="0"/>
              <w:jc w:val="left"/>
              <w:rPr>
                <w:rFonts w:ascii="Arial Narrow" w:hAnsi="Arial Narrow"/>
                <w:b/>
                <w:sz w:val="20"/>
                <w:szCs w:val="20"/>
                <w:lang w:eastAsia="en-AU"/>
              </w:rPr>
            </w:pPr>
            <w:r w:rsidRPr="002120A0">
              <w:rPr>
                <w:rFonts w:ascii="Arial Narrow" w:hAnsi="Arial Narrow"/>
                <w:b/>
                <w:sz w:val="20"/>
                <w:szCs w:val="20"/>
                <w:lang w:eastAsia="en-AU"/>
              </w:rPr>
              <w:t>Total savings from displaced medicines (DPMQ excluding co-payments)</w:t>
            </w:r>
          </w:p>
        </w:tc>
        <w:tc>
          <w:tcPr>
            <w:tcW w:w="563" w:type="pct"/>
            <w:tcBorders>
              <w:bottom w:val="double" w:sz="4" w:space="0" w:color="auto"/>
            </w:tcBorders>
            <w:shd w:val="clear" w:color="auto" w:fill="auto"/>
            <w:tcMar>
              <w:right w:w="57" w:type="dxa"/>
            </w:tcMar>
            <w:vAlign w:val="center"/>
          </w:tcPr>
          <w:p w:rsidR="002120A0" w:rsidRPr="002120A0" w:rsidRDefault="002120A0" w:rsidP="009C17C4">
            <w:pPr>
              <w:spacing w:before="0" w:after="0"/>
              <w:jc w:val="center"/>
              <w:rPr>
                <w:rFonts w:ascii="Arial Narrow" w:hAnsi="Arial Narrow"/>
                <w:b/>
                <w:sz w:val="20"/>
                <w:szCs w:val="20"/>
              </w:rPr>
            </w:pPr>
            <w:r w:rsidRPr="002120A0">
              <w:rPr>
                <w:rFonts w:ascii="Arial Narrow" w:hAnsi="Arial Narrow"/>
                <w:b/>
                <w:sz w:val="20"/>
                <w:szCs w:val="20"/>
              </w:rPr>
              <w:t>$</w:t>
            </w:r>
            <w:r w:rsidR="00AF06E3">
              <w:rPr>
                <w:rFonts w:ascii="Arial Narrow" w:hAnsi="Arial Narrow"/>
                <w:b/>
                <w:noProof/>
                <w:color w:val="000000"/>
                <w:sz w:val="20"/>
                <w:szCs w:val="20"/>
                <w:highlight w:val="black"/>
              </w:rPr>
              <w:t>'''''''''''''''''</w:t>
            </w:r>
          </w:p>
        </w:tc>
        <w:tc>
          <w:tcPr>
            <w:tcW w:w="563" w:type="pct"/>
            <w:tcBorders>
              <w:bottom w:val="double" w:sz="4" w:space="0" w:color="auto"/>
            </w:tcBorders>
            <w:shd w:val="clear" w:color="auto" w:fill="auto"/>
            <w:tcMar>
              <w:right w:w="57" w:type="dxa"/>
            </w:tcMar>
            <w:vAlign w:val="center"/>
          </w:tcPr>
          <w:p w:rsidR="002120A0" w:rsidRPr="002120A0" w:rsidRDefault="002120A0" w:rsidP="009C17C4">
            <w:pPr>
              <w:spacing w:before="0" w:after="0"/>
              <w:jc w:val="center"/>
              <w:rPr>
                <w:rFonts w:ascii="Arial Narrow" w:hAnsi="Arial Narrow"/>
                <w:b/>
                <w:sz w:val="20"/>
                <w:szCs w:val="20"/>
              </w:rPr>
            </w:pPr>
            <w:r w:rsidRPr="002120A0">
              <w:rPr>
                <w:rFonts w:ascii="Arial Narrow" w:hAnsi="Arial Narrow"/>
                <w:b/>
                <w:sz w:val="20"/>
                <w:szCs w:val="20"/>
              </w:rPr>
              <w:t>$</w:t>
            </w:r>
            <w:r w:rsidR="00AF06E3">
              <w:rPr>
                <w:rFonts w:ascii="Arial Narrow" w:hAnsi="Arial Narrow"/>
                <w:b/>
                <w:noProof/>
                <w:color w:val="000000"/>
                <w:sz w:val="20"/>
                <w:szCs w:val="20"/>
                <w:highlight w:val="black"/>
              </w:rPr>
              <w:t>''''''''''''''''''''''</w:t>
            </w:r>
          </w:p>
        </w:tc>
        <w:tc>
          <w:tcPr>
            <w:tcW w:w="562" w:type="pct"/>
            <w:tcBorders>
              <w:bottom w:val="double" w:sz="4" w:space="0" w:color="auto"/>
            </w:tcBorders>
            <w:shd w:val="clear" w:color="auto" w:fill="auto"/>
            <w:tcMar>
              <w:right w:w="57" w:type="dxa"/>
            </w:tcMar>
            <w:vAlign w:val="center"/>
          </w:tcPr>
          <w:p w:rsidR="002120A0" w:rsidRPr="002120A0" w:rsidRDefault="002120A0" w:rsidP="009C17C4">
            <w:pPr>
              <w:spacing w:before="0" w:after="0"/>
              <w:jc w:val="center"/>
              <w:rPr>
                <w:rFonts w:ascii="Arial Narrow" w:hAnsi="Arial Narrow"/>
                <w:b/>
                <w:sz w:val="20"/>
                <w:szCs w:val="20"/>
              </w:rPr>
            </w:pPr>
            <w:r w:rsidRPr="002120A0">
              <w:rPr>
                <w:rFonts w:ascii="Arial Narrow" w:hAnsi="Arial Narrow"/>
                <w:b/>
                <w:sz w:val="20"/>
                <w:szCs w:val="20"/>
              </w:rPr>
              <w:t>$</w:t>
            </w:r>
            <w:r w:rsidR="00AF06E3">
              <w:rPr>
                <w:rFonts w:ascii="Arial Narrow" w:hAnsi="Arial Narrow"/>
                <w:b/>
                <w:noProof/>
                <w:color w:val="000000"/>
                <w:sz w:val="20"/>
                <w:szCs w:val="20"/>
                <w:highlight w:val="black"/>
              </w:rPr>
              <w:t>''''''''''''''''''''</w:t>
            </w:r>
          </w:p>
        </w:tc>
        <w:tc>
          <w:tcPr>
            <w:tcW w:w="562" w:type="pct"/>
            <w:tcBorders>
              <w:bottom w:val="double" w:sz="4" w:space="0" w:color="auto"/>
            </w:tcBorders>
            <w:shd w:val="clear" w:color="auto" w:fill="auto"/>
            <w:tcMar>
              <w:right w:w="57" w:type="dxa"/>
            </w:tcMar>
            <w:vAlign w:val="center"/>
          </w:tcPr>
          <w:p w:rsidR="002120A0" w:rsidRPr="002120A0" w:rsidRDefault="002120A0" w:rsidP="009C17C4">
            <w:pPr>
              <w:spacing w:before="0" w:after="0"/>
              <w:jc w:val="center"/>
              <w:rPr>
                <w:rFonts w:ascii="Arial Narrow" w:hAnsi="Arial Narrow"/>
                <w:b/>
                <w:sz w:val="20"/>
                <w:szCs w:val="20"/>
              </w:rPr>
            </w:pPr>
            <w:r w:rsidRPr="002120A0">
              <w:rPr>
                <w:rFonts w:ascii="Arial Narrow" w:hAnsi="Arial Narrow"/>
                <w:b/>
                <w:sz w:val="20"/>
                <w:szCs w:val="20"/>
              </w:rPr>
              <w:t>$</w:t>
            </w:r>
            <w:r w:rsidR="00AF06E3">
              <w:rPr>
                <w:rFonts w:ascii="Arial Narrow" w:hAnsi="Arial Narrow"/>
                <w:b/>
                <w:noProof/>
                <w:color w:val="000000"/>
                <w:sz w:val="20"/>
                <w:szCs w:val="20"/>
                <w:highlight w:val="black"/>
              </w:rPr>
              <w:t>'''''''''''''''''''</w:t>
            </w:r>
          </w:p>
        </w:tc>
        <w:tc>
          <w:tcPr>
            <w:tcW w:w="561" w:type="pct"/>
            <w:tcBorders>
              <w:bottom w:val="double" w:sz="4" w:space="0" w:color="auto"/>
              <w:right w:val="single" w:sz="4" w:space="0" w:color="auto"/>
            </w:tcBorders>
            <w:shd w:val="clear" w:color="auto" w:fill="auto"/>
            <w:tcMar>
              <w:right w:w="57" w:type="dxa"/>
            </w:tcMar>
            <w:vAlign w:val="center"/>
          </w:tcPr>
          <w:p w:rsidR="002120A0" w:rsidRPr="002120A0" w:rsidRDefault="002120A0" w:rsidP="009C17C4">
            <w:pPr>
              <w:spacing w:before="0" w:after="0"/>
              <w:jc w:val="center"/>
              <w:rPr>
                <w:rFonts w:ascii="Arial Narrow" w:hAnsi="Arial Narrow"/>
                <w:b/>
                <w:sz w:val="20"/>
                <w:szCs w:val="20"/>
              </w:rPr>
            </w:pPr>
            <w:r w:rsidRPr="002120A0">
              <w:rPr>
                <w:rFonts w:ascii="Arial Narrow" w:hAnsi="Arial Narrow"/>
                <w:b/>
                <w:sz w:val="20"/>
                <w:szCs w:val="20"/>
              </w:rPr>
              <w:t>$</w:t>
            </w:r>
            <w:r w:rsidR="00AF06E3">
              <w:rPr>
                <w:rFonts w:ascii="Arial Narrow" w:hAnsi="Arial Narrow"/>
                <w:b/>
                <w:noProof/>
                <w:color w:val="000000"/>
                <w:sz w:val="20"/>
                <w:szCs w:val="20"/>
                <w:highlight w:val="black"/>
              </w:rPr>
              <w:t>''''''''''''''''''''</w:t>
            </w:r>
          </w:p>
        </w:tc>
        <w:tc>
          <w:tcPr>
            <w:tcW w:w="558" w:type="pct"/>
            <w:tcBorders>
              <w:bottom w:val="double" w:sz="4" w:space="0" w:color="auto"/>
              <w:right w:val="single" w:sz="4" w:space="0" w:color="auto"/>
            </w:tcBorders>
            <w:tcMar>
              <w:right w:w="57" w:type="dxa"/>
            </w:tcMar>
            <w:vAlign w:val="center"/>
          </w:tcPr>
          <w:p w:rsidR="002120A0" w:rsidRPr="002120A0" w:rsidRDefault="002120A0" w:rsidP="009C17C4">
            <w:pPr>
              <w:spacing w:before="0" w:after="0"/>
              <w:jc w:val="center"/>
              <w:rPr>
                <w:rFonts w:ascii="Arial Narrow" w:hAnsi="Arial Narrow"/>
                <w:b/>
                <w:sz w:val="20"/>
                <w:szCs w:val="20"/>
              </w:rPr>
            </w:pPr>
            <w:r w:rsidRPr="002120A0">
              <w:rPr>
                <w:rFonts w:ascii="Arial Narrow" w:hAnsi="Arial Narrow"/>
                <w:b/>
                <w:sz w:val="20"/>
                <w:szCs w:val="20"/>
              </w:rPr>
              <w:t>$</w:t>
            </w:r>
            <w:r w:rsidR="00AF06E3">
              <w:rPr>
                <w:rFonts w:ascii="Arial Narrow" w:hAnsi="Arial Narrow"/>
                <w:b/>
                <w:noProof/>
                <w:color w:val="000000"/>
                <w:sz w:val="20"/>
                <w:szCs w:val="20"/>
                <w:highlight w:val="black"/>
              </w:rPr>
              <w:t>'''''''''''''''''''''''</w:t>
            </w:r>
          </w:p>
        </w:tc>
      </w:tr>
      <w:tr w:rsidR="002120A0" w:rsidRPr="002120A0" w:rsidTr="009C17C4">
        <w:tc>
          <w:tcPr>
            <w:tcW w:w="5000" w:type="pct"/>
            <w:gridSpan w:val="7"/>
            <w:tcBorders>
              <w:top w:val="double" w:sz="4" w:space="0" w:color="auto"/>
              <w:left w:val="single" w:sz="4" w:space="0" w:color="auto"/>
              <w:right w:val="single" w:sz="4" w:space="0" w:color="auto"/>
            </w:tcBorders>
            <w:shd w:val="clear" w:color="auto" w:fill="auto"/>
            <w:vAlign w:val="center"/>
          </w:tcPr>
          <w:p w:rsidR="002120A0" w:rsidRPr="002120A0" w:rsidRDefault="002120A0" w:rsidP="009C17C4">
            <w:pPr>
              <w:spacing w:before="0" w:after="0"/>
              <w:jc w:val="left"/>
              <w:rPr>
                <w:rFonts w:ascii="Arial Narrow" w:hAnsi="Arial Narrow"/>
                <w:b/>
                <w:sz w:val="20"/>
                <w:szCs w:val="20"/>
              </w:rPr>
            </w:pPr>
            <w:r w:rsidRPr="002120A0">
              <w:rPr>
                <w:rFonts w:ascii="Arial Narrow" w:hAnsi="Arial Narrow"/>
                <w:b/>
                <w:sz w:val="20"/>
                <w:szCs w:val="20"/>
                <w:lang w:eastAsia="en-AU"/>
              </w:rPr>
              <w:t>Net changes to MBS items</w:t>
            </w:r>
          </w:p>
        </w:tc>
      </w:tr>
      <w:tr w:rsidR="002120A0" w:rsidRPr="002120A0" w:rsidTr="009C17C4">
        <w:tc>
          <w:tcPr>
            <w:tcW w:w="1631" w:type="pct"/>
            <w:tcBorders>
              <w:top w:val="single" w:sz="4" w:space="0" w:color="auto"/>
              <w:left w:val="single" w:sz="4" w:space="0" w:color="auto"/>
              <w:bottom w:val="single" w:sz="4" w:space="0" w:color="auto"/>
            </w:tcBorders>
            <w:shd w:val="clear" w:color="auto" w:fill="auto"/>
            <w:vAlign w:val="center"/>
          </w:tcPr>
          <w:p w:rsidR="002120A0" w:rsidRPr="002120A0" w:rsidRDefault="002120A0" w:rsidP="009C17C4">
            <w:pPr>
              <w:spacing w:before="0" w:after="0"/>
              <w:jc w:val="left"/>
              <w:rPr>
                <w:rFonts w:ascii="Arial Narrow" w:hAnsi="Arial Narrow"/>
                <w:b/>
                <w:sz w:val="20"/>
                <w:szCs w:val="20"/>
                <w:lang w:eastAsia="en-AU"/>
              </w:rPr>
            </w:pPr>
            <w:r w:rsidRPr="002120A0">
              <w:rPr>
                <w:rFonts w:ascii="Arial Narrow" w:hAnsi="Arial Narrow"/>
                <w:sz w:val="20"/>
                <w:szCs w:val="20"/>
                <w:lang w:eastAsia="en-AU"/>
              </w:rPr>
              <w:t>Reduction in MRIs (MBS #63049)</w:t>
            </w:r>
          </w:p>
        </w:tc>
        <w:tc>
          <w:tcPr>
            <w:tcW w:w="563" w:type="pct"/>
            <w:tcBorders>
              <w:top w:val="single" w:sz="4" w:space="0" w:color="auto"/>
              <w:bottom w:val="single" w:sz="4" w:space="0" w:color="auto"/>
            </w:tcBorders>
            <w:shd w:val="clear" w:color="auto" w:fill="auto"/>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eastAsia="Times New Roman" w:hAnsi="Arial Narrow" w:cs="Arial"/>
                <w:sz w:val="20"/>
                <w:lang w:eastAsia="en-AU"/>
              </w:rPr>
              <w:t>-$</w:t>
            </w:r>
            <w:r w:rsidR="00AF06E3">
              <w:rPr>
                <w:rFonts w:ascii="Arial Narrow" w:eastAsia="Times New Roman" w:hAnsi="Arial Narrow" w:cs="Arial"/>
                <w:noProof/>
                <w:color w:val="000000"/>
                <w:sz w:val="20"/>
                <w:highlight w:val="black"/>
                <w:lang w:eastAsia="en-AU"/>
              </w:rPr>
              <w:t>'''''''''''''''''''</w:t>
            </w:r>
          </w:p>
        </w:tc>
        <w:tc>
          <w:tcPr>
            <w:tcW w:w="563" w:type="pct"/>
            <w:tcBorders>
              <w:top w:val="single" w:sz="4" w:space="0" w:color="auto"/>
              <w:bottom w:val="single" w:sz="4" w:space="0" w:color="auto"/>
            </w:tcBorders>
            <w:shd w:val="clear" w:color="auto" w:fill="auto"/>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eastAsia="Times New Roman" w:hAnsi="Arial Narrow" w:cs="Arial"/>
                <w:sz w:val="20"/>
                <w:lang w:eastAsia="en-AU"/>
              </w:rPr>
              <w:t>-$</w:t>
            </w:r>
            <w:r w:rsidR="00AF06E3">
              <w:rPr>
                <w:rFonts w:ascii="Arial Narrow" w:eastAsia="Times New Roman" w:hAnsi="Arial Narrow" w:cs="Arial"/>
                <w:noProof/>
                <w:color w:val="000000"/>
                <w:sz w:val="20"/>
                <w:highlight w:val="black"/>
                <w:lang w:eastAsia="en-AU"/>
              </w:rPr>
              <w:t>'''''''''''''''''</w:t>
            </w:r>
          </w:p>
        </w:tc>
        <w:tc>
          <w:tcPr>
            <w:tcW w:w="562" w:type="pct"/>
            <w:tcBorders>
              <w:top w:val="single" w:sz="4" w:space="0" w:color="auto"/>
              <w:bottom w:val="single" w:sz="4" w:space="0" w:color="auto"/>
            </w:tcBorders>
            <w:shd w:val="clear" w:color="auto" w:fill="auto"/>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eastAsia="Times New Roman" w:hAnsi="Arial Narrow" w:cs="Arial"/>
                <w:sz w:val="20"/>
                <w:lang w:eastAsia="en-AU"/>
              </w:rPr>
              <w:t>-$</w:t>
            </w:r>
            <w:r w:rsidR="00AF06E3">
              <w:rPr>
                <w:rFonts w:ascii="Arial Narrow" w:eastAsia="Times New Roman" w:hAnsi="Arial Narrow" w:cs="Arial"/>
                <w:noProof/>
                <w:color w:val="000000"/>
                <w:sz w:val="20"/>
                <w:highlight w:val="black"/>
                <w:lang w:eastAsia="en-AU"/>
              </w:rPr>
              <w:t>''''''''''''''''</w:t>
            </w:r>
          </w:p>
        </w:tc>
        <w:tc>
          <w:tcPr>
            <w:tcW w:w="562" w:type="pct"/>
            <w:tcBorders>
              <w:top w:val="single" w:sz="4" w:space="0" w:color="auto"/>
              <w:bottom w:val="single" w:sz="4" w:space="0" w:color="auto"/>
            </w:tcBorders>
            <w:shd w:val="clear" w:color="auto" w:fill="auto"/>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eastAsia="Times New Roman" w:hAnsi="Arial Narrow" w:cs="Arial"/>
                <w:sz w:val="20"/>
                <w:lang w:eastAsia="en-AU"/>
              </w:rPr>
              <w:t>-$</w:t>
            </w:r>
            <w:r w:rsidR="00AF06E3">
              <w:rPr>
                <w:rFonts w:ascii="Arial Narrow" w:eastAsia="Times New Roman" w:hAnsi="Arial Narrow" w:cs="Arial"/>
                <w:noProof/>
                <w:color w:val="000000"/>
                <w:sz w:val="20"/>
                <w:highlight w:val="black"/>
                <w:lang w:eastAsia="en-AU"/>
              </w:rPr>
              <w:t>''''''''''''''''</w:t>
            </w:r>
          </w:p>
        </w:tc>
        <w:tc>
          <w:tcPr>
            <w:tcW w:w="561" w:type="pct"/>
            <w:tcBorders>
              <w:top w:val="single" w:sz="4" w:space="0" w:color="auto"/>
              <w:bottom w:val="single" w:sz="4" w:space="0" w:color="auto"/>
              <w:right w:val="single" w:sz="4" w:space="0" w:color="auto"/>
            </w:tcBorders>
            <w:shd w:val="clear" w:color="auto" w:fill="auto"/>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eastAsia="Times New Roman" w:hAnsi="Arial Narrow" w:cs="Arial"/>
                <w:sz w:val="20"/>
                <w:lang w:eastAsia="en-AU"/>
              </w:rPr>
              <w:t>-$</w:t>
            </w:r>
            <w:r w:rsidR="00AF06E3">
              <w:rPr>
                <w:rFonts w:ascii="Arial Narrow" w:eastAsia="Times New Roman" w:hAnsi="Arial Narrow" w:cs="Arial"/>
                <w:noProof/>
                <w:color w:val="000000"/>
                <w:sz w:val="20"/>
                <w:highlight w:val="black"/>
                <w:lang w:eastAsia="en-AU"/>
              </w:rPr>
              <w:t>''''''''''''''''''</w:t>
            </w:r>
          </w:p>
        </w:tc>
        <w:tc>
          <w:tcPr>
            <w:tcW w:w="558" w:type="pct"/>
            <w:tcBorders>
              <w:top w:val="single" w:sz="4" w:space="0" w:color="auto"/>
              <w:bottom w:val="single" w:sz="4" w:space="0" w:color="auto"/>
              <w:right w:val="single" w:sz="4" w:space="0" w:color="auto"/>
            </w:tcBorders>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eastAsia="Times New Roman" w:hAnsi="Arial Narrow" w:cs="Arial"/>
                <w:sz w:val="20"/>
                <w:lang w:eastAsia="en-AU"/>
              </w:rPr>
              <w:t>-$</w:t>
            </w:r>
            <w:r w:rsidR="00AF06E3">
              <w:rPr>
                <w:rFonts w:ascii="Arial Narrow" w:eastAsia="Times New Roman" w:hAnsi="Arial Narrow" w:cs="Arial"/>
                <w:noProof/>
                <w:color w:val="000000"/>
                <w:sz w:val="20"/>
                <w:highlight w:val="black"/>
                <w:lang w:eastAsia="en-AU"/>
              </w:rPr>
              <w:t>'''''''''''''''''''''</w:t>
            </w:r>
          </w:p>
        </w:tc>
      </w:tr>
      <w:tr w:rsidR="002120A0" w:rsidRPr="002120A0" w:rsidTr="009C17C4">
        <w:tc>
          <w:tcPr>
            <w:tcW w:w="1631" w:type="pct"/>
            <w:tcBorders>
              <w:top w:val="single" w:sz="4" w:space="0" w:color="auto"/>
              <w:left w:val="single" w:sz="4" w:space="0" w:color="auto"/>
              <w:bottom w:val="single" w:sz="4" w:space="0" w:color="auto"/>
            </w:tcBorders>
            <w:shd w:val="clear" w:color="auto" w:fill="auto"/>
            <w:vAlign w:val="center"/>
          </w:tcPr>
          <w:p w:rsidR="002120A0" w:rsidRPr="002120A0" w:rsidRDefault="002120A0" w:rsidP="009C17C4">
            <w:pPr>
              <w:spacing w:before="0" w:after="0"/>
              <w:jc w:val="left"/>
              <w:rPr>
                <w:rFonts w:ascii="Arial Narrow" w:hAnsi="Arial Narrow"/>
                <w:b/>
                <w:sz w:val="20"/>
                <w:szCs w:val="20"/>
                <w:lang w:eastAsia="en-AU"/>
              </w:rPr>
            </w:pPr>
            <w:r w:rsidRPr="002120A0">
              <w:rPr>
                <w:rFonts w:ascii="Arial Narrow" w:hAnsi="Arial Narrow"/>
                <w:sz w:val="20"/>
                <w:szCs w:val="20"/>
                <w:lang w:eastAsia="en-AU"/>
              </w:rPr>
              <w:t>Increase in consultations (MBS #116)</w:t>
            </w:r>
          </w:p>
        </w:tc>
        <w:tc>
          <w:tcPr>
            <w:tcW w:w="563" w:type="pct"/>
            <w:tcBorders>
              <w:top w:val="single" w:sz="4" w:space="0" w:color="auto"/>
              <w:bottom w:val="single" w:sz="4" w:space="0" w:color="auto"/>
            </w:tcBorders>
            <w:shd w:val="clear" w:color="auto" w:fill="auto"/>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eastAsia="Times New Roman" w:hAnsi="Arial Narrow" w:cs="Arial"/>
                <w:sz w:val="20"/>
                <w:lang w:eastAsia="en-AU"/>
              </w:rPr>
              <w:t>$</w:t>
            </w:r>
            <w:r w:rsidR="00AF06E3">
              <w:rPr>
                <w:rFonts w:ascii="Arial Narrow" w:eastAsia="Times New Roman" w:hAnsi="Arial Narrow" w:cs="Arial"/>
                <w:noProof/>
                <w:color w:val="000000"/>
                <w:sz w:val="20"/>
                <w:highlight w:val="black"/>
                <w:lang w:eastAsia="en-AU"/>
              </w:rPr>
              <w:t>''''''''''''''''''</w:t>
            </w:r>
          </w:p>
        </w:tc>
        <w:tc>
          <w:tcPr>
            <w:tcW w:w="563" w:type="pct"/>
            <w:tcBorders>
              <w:top w:val="single" w:sz="4" w:space="0" w:color="auto"/>
              <w:bottom w:val="single" w:sz="4" w:space="0" w:color="auto"/>
            </w:tcBorders>
            <w:shd w:val="clear" w:color="auto" w:fill="auto"/>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eastAsia="Times New Roman" w:hAnsi="Arial Narrow" w:cs="Arial"/>
                <w:sz w:val="20"/>
                <w:lang w:eastAsia="en-AU"/>
              </w:rPr>
              <w:t>$</w:t>
            </w:r>
            <w:r w:rsidR="00AF06E3">
              <w:rPr>
                <w:rFonts w:ascii="Arial Narrow" w:eastAsia="Times New Roman" w:hAnsi="Arial Narrow" w:cs="Arial"/>
                <w:noProof/>
                <w:color w:val="000000"/>
                <w:sz w:val="20"/>
                <w:highlight w:val="black"/>
                <w:lang w:eastAsia="en-AU"/>
              </w:rPr>
              <w:t>''''''''''''''''</w:t>
            </w:r>
          </w:p>
        </w:tc>
        <w:tc>
          <w:tcPr>
            <w:tcW w:w="562" w:type="pct"/>
            <w:tcBorders>
              <w:top w:val="single" w:sz="4" w:space="0" w:color="auto"/>
              <w:bottom w:val="single" w:sz="4" w:space="0" w:color="auto"/>
            </w:tcBorders>
            <w:shd w:val="clear" w:color="auto" w:fill="auto"/>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eastAsia="Times New Roman" w:hAnsi="Arial Narrow" w:cs="Arial"/>
                <w:sz w:val="20"/>
                <w:lang w:eastAsia="en-AU"/>
              </w:rPr>
              <w:t>$</w:t>
            </w:r>
            <w:r w:rsidR="00AF06E3">
              <w:rPr>
                <w:rFonts w:ascii="Arial Narrow" w:eastAsia="Times New Roman" w:hAnsi="Arial Narrow" w:cs="Arial"/>
                <w:noProof/>
                <w:color w:val="000000"/>
                <w:sz w:val="20"/>
                <w:highlight w:val="black"/>
                <w:lang w:eastAsia="en-AU"/>
              </w:rPr>
              <w:t>'''''''''''''''''</w:t>
            </w:r>
          </w:p>
        </w:tc>
        <w:tc>
          <w:tcPr>
            <w:tcW w:w="562" w:type="pct"/>
            <w:tcBorders>
              <w:top w:val="single" w:sz="4" w:space="0" w:color="auto"/>
              <w:bottom w:val="single" w:sz="4" w:space="0" w:color="auto"/>
            </w:tcBorders>
            <w:shd w:val="clear" w:color="auto" w:fill="auto"/>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eastAsia="Times New Roman" w:hAnsi="Arial Narrow" w:cs="Arial"/>
                <w:sz w:val="20"/>
                <w:lang w:eastAsia="en-AU"/>
              </w:rPr>
              <w:t>$</w:t>
            </w:r>
            <w:r w:rsidR="00AF06E3">
              <w:rPr>
                <w:rFonts w:ascii="Arial Narrow" w:eastAsia="Times New Roman" w:hAnsi="Arial Narrow" w:cs="Arial"/>
                <w:noProof/>
                <w:color w:val="000000"/>
                <w:sz w:val="20"/>
                <w:highlight w:val="black"/>
                <w:lang w:eastAsia="en-AU"/>
              </w:rPr>
              <w:t>''''''''''''''''</w:t>
            </w:r>
          </w:p>
        </w:tc>
        <w:tc>
          <w:tcPr>
            <w:tcW w:w="561" w:type="pct"/>
            <w:tcBorders>
              <w:top w:val="single" w:sz="4" w:space="0" w:color="auto"/>
              <w:bottom w:val="single" w:sz="4" w:space="0" w:color="auto"/>
              <w:right w:val="single" w:sz="4" w:space="0" w:color="auto"/>
            </w:tcBorders>
            <w:shd w:val="clear" w:color="auto" w:fill="auto"/>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eastAsia="Times New Roman" w:hAnsi="Arial Narrow" w:cs="Arial"/>
                <w:sz w:val="20"/>
                <w:lang w:eastAsia="en-AU"/>
              </w:rPr>
              <w:t>$</w:t>
            </w:r>
            <w:r w:rsidR="00AF06E3">
              <w:rPr>
                <w:rFonts w:ascii="Arial Narrow" w:eastAsia="Times New Roman" w:hAnsi="Arial Narrow" w:cs="Arial"/>
                <w:noProof/>
                <w:color w:val="000000"/>
                <w:sz w:val="20"/>
                <w:highlight w:val="black"/>
                <w:lang w:eastAsia="en-AU"/>
              </w:rPr>
              <w:t>'''''''''''''''</w:t>
            </w:r>
          </w:p>
        </w:tc>
        <w:tc>
          <w:tcPr>
            <w:tcW w:w="558" w:type="pct"/>
            <w:tcBorders>
              <w:top w:val="single" w:sz="4" w:space="0" w:color="auto"/>
              <w:bottom w:val="single" w:sz="4" w:space="0" w:color="auto"/>
              <w:right w:val="single" w:sz="4" w:space="0" w:color="auto"/>
            </w:tcBorders>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eastAsia="Times New Roman" w:hAnsi="Arial Narrow" w:cs="Arial"/>
                <w:sz w:val="20"/>
                <w:lang w:eastAsia="en-AU"/>
              </w:rPr>
              <w:t>$</w:t>
            </w:r>
            <w:r w:rsidR="00AF06E3">
              <w:rPr>
                <w:rFonts w:ascii="Arial Narrow" w:eastAsia="Times New Roman" w:hAnsi="Arial Narrow" w:cs="Arial"/>
                <w:noProof/>
                <w:color w:val="000000"/>
                <w:sz w:val="20"/>
                <w:highlight w:val="black"/>
                <w:lang w:eastAsia="en-AU"/>
              </w:rPr>
              <w:t>'''''''''''''''</w:t>
            </w:r>
          </w:p>
        </w:tc>
      </w:tr>
      <w:tr w:rsidR="002120A0" w:rsidRPr="002120A0" w:rsidTr="009C17C4">
        <w:tc>
          <w:tcPr>
            <w:tcW w:w="1631" w:type="pct"/>
            <w:tcBorders>
              <w:top w:val="single" w:sz="4" w:space="0" w:color="auto"/>
              <w:left w:val="single" w:sz="4" w:space="0" w:color="auto"/>
              <w:bottom w:val="single" w:sz="4" w:space="0" w:color="auto"/>
            </w:tcBorders>
            <w:shd w:val="clear" w:color="auto" w:fill="auto"/>
            <w:vAlign w:val="center"/>
          </w:tcPr>
          <w:p w:rsidR="002120A0" w:rsidRPr="002120A0" w:rsidRDefault="002120A0" w:rsidP="009C17C4">
            <w:pPr>
              <w:spacing w:before="0" w:after="0"/>
              <w:jc w:val="left"/>
              <w:rPr>
                <w:rFonts w:ascii="Arial Narrow" w:hAnsi="Arial Narrow"/>
                <w:b/>
                <w:sz w:val="20"/>
                <w:szCs w:val="20"/>
                <w:lang w:eastAsia="en-AU"/>
              </w:rPr>
            </w:pPr>
            <w:r w:rsidRPr="002120A0">
              <w:rPr>
                <w:rFonts w:ascii="Arial Narrow" w:hAnsi="Arial Narrow"/>
                <w:b/>
                <w:sz w:val="20"/>
                <w:szCs w:val="20"/>
                <w:lang w:eastAsia="en-AU"/>
              </w:rPr>
              <w:t>Net cost to the MBS</w:t>
            </w:r>
          </w:p>
        </w:tc>
        <w:tc>
          <w:tcPr>
            <w:tcW w:w="563" w:type="pct"/>
            <w:tcBorders>
              <w:top w:val="single" w:sz="4" w:space="0" w:color="auto"/>
              <w:left w:val="single" w:sz="4" w:space="0" w:color="auto"/>
              <w:bottom w:val="single" w:sz="4" w:space="0" w:color="auto"/>
              <w:right w:val="single" w:sz="4" w:space="0" w:color="auto"/>
            </w:tcBorders>
            <w:shd w:val="clear" w:color="auto" w:fill="auto"/>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hAnsi="Arial Narrow" w:cs="Arial"/>
                <w:b/>
                <w:bCs/>
                <w:sz w:val="20"/>
              </w:rPr>
              <w:t>-$</w:t>
            </w:r>
            <w:r w:rsidR="00AF06E3">
              <w:rPr>
                <w:rFonts w:ascii="Arial Narrow" w:hAnsi="Arial Narrow" w:cs="Arial"/>
                <w:b/>
                <w:bCs/>
                <w:noProof/>
                <w:color w:val="000000"/>
                <w:sz w:val="20"/>
                <w:highlight w:val="black"/>
              </w:rPr>
              <w:t>'''''''''''''''''</w:t>
            </w:r>
          </w:p>
        </w:tc>
        <w:tc>
          <w:tcPr>
            <w:tcW w:w="563" w:type="pct"/>
            <w:tcBorders>
              <w:top w:val="single" w:sz="4" w:space="0" w:color="auto"/>
              <w:left w:val="nil"/>
              <w:bottom w:val="single" w:sz="4" w:space="0" w:color="auto"/>
              <w:right w:val="single" w:sz="4" w:space="0" w:color="auto"/>
            </w:tcBorders>
            <w:shd w:val="clear" w:color="auto" w:fill="auto"/>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hAnsi="Arial Narrow" w:cs="Arial"/>
                <w:b/>
                <w:bCs/>
                <w:sz w:val="20"/>
              </w:rPr>
              <w:t>-$</w:t>
            </w:r>
            <w:r w:rsidR="00AF06E3">
              <w:rPr>
                <w:rFonts w:ascii="Arial Narrow" w:hAnsi="Arial Narrow" w:cs="Arial"/>
                <w:b/>
                <w:bCs/>
                <w:noProof/>
                <w:color w:val="000000"/>
                <w:sz w:val="20"/>
                <w:highlight w:val="black"/>
              </w:rPr>
              <w:t>''''''''''''</w:t>
            </w:r>
          </w:p>
        </w:tc>
        <w:tc>
          <w:tcPr>
            <w:tcW w:w="562" w:type="pct"/>
            <w:tcBorders>
              <w:top w:val="single" w:sz="4" w:space="0" w:color="auto"/>
              <w:left w:val="nil"/>
              <w:bottom w:val="single" w:sz="4" w:space="0" w:color="auto"/>
              <w:right w:val="single" w:sz="4" w:space="0" w:color="auto"/>
            </w:tcBorders>
            <w:shd w:val="clear" w:color="auto" w:fill="auto"/>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hAnsi="Arial Narrow" w:cs="Arial"/>
                <w:b/>
                <w:bCs/>
                <w:sz w:val="20"/>
              </w:rPr>
              <w:t>-$</w:t>
            </w:r>
            <w:r w:rsidR="00AF06E3">
              <w:rPr>
                <w:rFonts w:ascii="Arial Narrow" w:hAnsi="Arial Narrow" w:cs="Arial"/>
                <w:b/>
                <w:bCs/>
                <w:noProof/>
                <w:color w:val="000000"/>
                <w:sz w:val="20"/>
                <w:highlight w:val="black"/>
              </w:rPr>
              <w:t>'''''''''''''</w:t>
            </w:r>
          </w:p>
        </w:tc>
        <w:tc>
          <w:tcPr>
            <w:tcW w:w="562" w:type="pct"/>
            <w:tcBorders>
              <w:top w:val="single" w:sz="4" w:space="0" w:color="auto"/>
              <w:left w:val="nil"/>
              <w:bottom w:val="single" w:sz="4" w:space="0" w:color="auto"/>
              <w:right w:val="single" w:sz="4" w:space="0" w:color="auto"/>
            </w:tcBorders>
            <w:shd w:val="clear" w:color="auto" w:fill="auto"/>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hAnsi="Arial Narrow" w:cs="Arial"/>
                <w:b/>
                <w:bCs/>
                <w:sz w:val="20"/>
              </w:rPr>
              <w:t>-$</w:t>
            </w:r>
            <w:r w:rsidR="00AF06E3">
              <w:rPr>
                <w:rFonts w:ascii="Arial Narrow" w:hAnsi="Arial Narrow" w:cs="Arial"/>
                <w:b/>
                <w:bCs/>
                <w:noProof/>
                <w:color w:val="000000"/>
                <w:sz w:val="20"/>
                <w:highlight w:val="black"/>
              </w:rPr>
              <w:t>'''''''''''''</w:t>
            </w:r>
          </w:p>
        </w:tc>
        <w:tc>
          <w:tcPr>
            <w:tcW w:w="561" w:type="pct"/>
            <w:tcBorders>
              <w:top w:val="single" w:sz="4" w:space="0" w:color="auto"/>
              <w:left w:val="nil"/>
              <w:bottom w:val="single" w:sz="4" w:space="0" w:color="auto"/>
              <w:right w:val="single" w:sz="4" w:space="0" w:color="auto"/>
            </w:tcBorders>
            <w:shd w:val="clear" w:color="auto" w:fill="auto"/>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hAnsi="Arial Narrow" w:cs="Arial"/>
                <w:b/>
                <w:bCs/>
                <w:sz w:val="20"/>
              </w:rPr>
              <w:t>-$</w:t>
            </w:r>
            <w:r w:rsidR="00AF06E3">
              <w:rPr>
                <w:rFonts w:ascii="Arial Narrow" w:hAnsi="Arial Narrow" w:cs="Arial"/>
                <w:b/>
                <w:bCs/>
                <w:noProof/>
                <w:color w:val="000000"/>
                <w:sz w:val="20"/>
                <w:highlight w:val="black"/>
              </w:rPr>
              <w:t>'''''''''''''</w:t>
            </w:r>
          </w:p>
        </w:tc>
        <w:tc>
          <w:tcPr>
            <w:tcW w:w="558" w:type="pct"/>
            <w:tcBorders>
              <w:top w:val="single" w:sz="4" w:space="0" w:color="auto"/>
              <w:left w:val="nil"/>
              <w:bottom w:val="single" w:sz="4" w:space="0" w:color="auto"/>
              <w:right w:val="single" w:sz="4" w:space="0" w:color="auto"/>
            </w:tcBorders>
            <w:shd w:val="clear" w:color="auto" w:fill="auto"/>
            <w:tcMar>
              <w:right w:w="57" w:type="dxa"/>
            </w:tcMar>
            <w:vAlign w:val="bottom"/>
          </w:tcPr>
          <w:p w:rsidR="002120A0" w:rsidRPr="002120A0" w:rsidRDefault="002120A0" w:rsidP="009C17C4">
            <w:pPr>
              <w:spacing w:before="0" w:after="0"/>
              <w:jc w:val="center"/>
              <w:rPr>
                <w:rFonts w:ascii="Arial Narrow" w:hAnsi="Arial Narrow"/>
                <w:b/>
                <w:sz w:val="20"/>
                <w:szCs w:val="20"/>
              </w:rPr>
            </w:pPr>
            <w:r w:rsidRPr="002120A0">
              <w:rPr>
                <w:rFonts w:ascii="Arial Narrow" w:hAnsi="Arial Narrow" w:cs="Arial"/>
                <w:b/>
                <w:bCs/>
                <w:sz w:val="20"/>
              </w:rPr>
              <w:t>-$</w:t>
            </w:r>
            <w:r w:rsidR="00AF06E3">
              <w:rPr>
                <w:rFonts w:ascii="Arial Narrow" w:hAnsi="Arial Narrow" w:cs="Arial"/>
                <w:b/>
                <w:bCs/>
                <w:noProof/>
                <w:color w:val="000000"/>
                <w:sz w:val="20"/>
                <w:highlight w:val="black"/>
              </w:rPr>
              <w:t>''''''''''''</w:t>
            </w:r>
          </w:p>
        </w:tc>
      </w:tr>
    </w:tbl>
    <w:p w:rsidR="002120A0" w:rsidRPr="002120A0" w:rsidRDefault="002120A0" w:rsidP="002120A0">
      <w:pPr>
        <w:widowControl w:val="0"/>
        <w:spacing w:before="0" w:after="240"/>
        <w:contextualSpacing/>
        <w:rPr>
          <w:rFonts w:ascii="Arial Narrow" w:eastAsia="Times New Roman" w:hAnsi="Arial Narrow" w:cs="Arial"/>
          <w:snapToGrid w:val="0"/>
          <w:sz w:val="18"/>
          <w:szCs w:val="20"/>
        </w:rPr>
      </w:pPr>
      <w:r w:rsidRPr="002120A0">
        <w:rPr>
          <w:rFonts w:ascii="Arial Narrow" w:eastAsia="Times New Roman" w:hAnsi="Arial Narrow" w:cs="Arial"/>
          <w:snapToGrid w:val="0"/>
          <w:sz w:val="18"/>
          <w:szCs w:val="20"/>
        </w:rPr>
        <w:t>Abbreviations: DPMQ, dispensed price for maximum quantity; IM, intramuscular; SC, subcutaneous; MRI, magnetic resonance imaging; MBS, Medicare Benefits Schedule</w:t>
      </w:r>
    </w:p>
    <w:p w:rsidR="002120A0" w:rsidRPr="002120A0" w:rsidRDefault="002120A0" w:rsidP="002120A0">
      <w:pPr>
        <w:widowControl w:val="0"/>
        <w:spacing w:before="0" w:after="240"/>
        <w:contextualSpacing/>
        <w:rPr>
          <w:rFonts w:ascii="Arial Narrow" w:eastAsia="Times New Roman" w:hAnsi="Arial Narrow" w:cs="Arial"/>
          <w:snapToGrid w:val="0"/>
          <w:sz w:val="18"/>
          <w:szCs w:val="20"/>
        </w:rPr>
      </w:pPr>
      <w:r w:rsidRPr="002120A0">
        <w:rPr>
          <w:rFonts w:ascii="Arial Narrow" w:eastAsia="Times New Roman" w:hAnsi="Arial Narrow" w:cs="Arial"/>
          <w:snapToGrid w:val="0"/>
          <w:sz w:val="18"/>
          <w:szCs w:val="20"/>
        </w:rPr>
        <w:t>Source: constructed during the evaluation using ‘CIS - Section 4 Base Case (6 March 2017)’ spreadsheet provided with the submission</w:t>
      </w:r>
    </w:p>
    <w:p w:rsidR="002120A0" w:rsidRPr="002120A0" w:rsidRDefault="002120A0" w:rsidP="002120A0">
      <w:pPr>
        <w:widowControl w:val="0"/>
        <w:spacing w:before="0" w:after="240"/>
        <w:rPr>
          <w:rFonts w:ascii="Arial Narrow" w:eastAsia="Times New Roman" w:hAnsi="Arial Narrow" w:cs="Arial"/>
          <w:snapToGrid w:val="0"/>
          <w:sz w:val="18"/>
          <w:szCs w:val="20"/>
        </w:rPr>
      </w:pPr>
      <w:proofErr w:type="spellStart"/>
      <w:proofErr w:type="gramStart"/>
      <w:r w:rsidRPr="002120A0">
        <w:rPr>
          <w:rFonts w:ascii="Arial Narrow" w:eastAsia="Times New Roman" w:hAnsi="Arial Narrow" w:cs="Arial"/>
          <w:snapToGrid w:val="0"/>
          <w:sz w:val="18"/>
          <w:szCs w:val="20"/>
          <w:vertAlign w:val="superscript"/>
        </w:rPr>
        <w:t>a</w:t>
      </w:r>
      <w:r w:rsidRPr="002120A0">
        <w:rPr>
          <w:rFonts w:ascii="Arial Narrow" w:eastAsia="Times New Roman" w:hAnsi="Arial Narrow" w:cs="Arial"/>
          <w:snapToGrid w:val="0"/>
          <w:sz w:val="18"/>
          <w:szCs w:val="20"/>
        </w:rPr>
        <w:t>Includes</w:t>
      </w:r>
      <w:proofErr w:type="spellEnd"/>
      <w:proofErr w:type="gramEnd"/>
      <w:r w:rsidRPr="002120A0">
        <w:rPr>
          <w:rFonts w:ascii="Arial Narrow" w:eastAsia="Times New Roman" w:hAnsi="Arial Narrow" w:cs="Arial"/>
          <w:snapToGrid w:val="0"/>
          <w:sz w:val="18"/>
          <w:szCs w:val="20"/>
        </w:rPr>
        <w:t xml:space="preserve"> </w:t>
      </w:r>
      <w:proofErr w:type="spellStart"/>
      <w:r w:rsidRPr="002120A0">
        <w:rPr>
          <w:rFonts w:ascii="Arial Narrow" w:eastAsia="Times New Roman" w:hAnsi="Arial Narrow" w:cs="Arial"/>
          <w:snapToGrid w:val="0"/>
          <w:sz w:val="18"/>
          <w:szCs w:val="20"/>
        </w:rPr>
        <w:t>fingolimod</w:t>
      </w:r>
      <w:proofErr w:type="spellEnd"/>
      <w:r w:rsidRPr="002120A0">
        <w:rPr>
          <w:rFonts w:ascii="Arial Narrow" w:eastAsia="Times New Roman" w:hAnsi="Arial Narrow" w:cs="Arial"/>
          <w:snapToGrid w:val="0"/>
          <w:sz w:val="18"/>
          <w:szCs w:val="20"/>
        </w:rPr>
        <w:t xml:space="preserve">, </w:t>
      </w:r>
      <w:proofErr w:type="spellStart"/>
      <w:r w:rsidRPr="002120A0">
        <w:rPr>
          <w:rFonts w:ascii="Arial Narrow" w:eastAsia="Times New Roman" w:hAnsi="Arial Narrow" w:cs="Arial"/>
          <w:snapToGrid w:val="0"/>
          <w:sz w:val="18"/>
          <w:szCs w:val="20"/>
        </w:rPr>
        <w:t>teriflunomide</w:t>
      </w:r>
      <w:proofErr w:type="spellEnd"/>
      <w:r w:rsidRPr="002120A0">
        <w:rPr>
          <w:rFonts w:ascii="Arial Narrow" w:eastAsia="Times New Roman" w:hAnsi="Arial Narrow" w:cs="Arial"/>
          <w:snapToGrid w:val="0"/>
          <w:sz w:val="18"/>
          <w:szCs w:val="20"/>
        </w:rPr>
        <w:t xml:space="preserve">, </w:t>
      </w:r>
      <w:proofErr w:type="spellStart"/>
      <w:r w:rsidRPr="002120A0">
        <w:rPr>
          <w:rFonts w:ascii="Arial Narrow" w:eastAsia="Times New Roman" w:hAnsi="Arial Narrow" w:cs="Arial"/>
          <w:snapToGrid w:val="0"/>
          <w:sz w:val="18"/>
          <w:szCs w:val="20"/>
        </w:rPr>
        <w:t>natalizumab</w:t>
      </w:r>
      <w:proofErr w:type="spellEnd"/>
      <w:r w:rsidRPr="002120A0">
        <w:rPr>
          <w:rFonts w:ascii="Arial Narrow" w:eastAsia="Times New Roman" w:hAnsi="Arial Narrow" w:cs="Arial"/>
          <w:snapToGrid w:val="0"/>
          <w:sz w:val="18"/>
          <w:szCs w:val="20"/>
        </w:rPr>
        <w:t xml:space="preserve"> and dimethyl fumarate</w:t>
      </w:r>
    </w:p>
    <w:p w:rsidR="002120A0" w:rsidRPr="002120A0" w:rsidRDefault="002120A0" w:rsidP="008D481E">
      <w:pPr>
        <w:numPr>
          <w:ilvl w:val="1"/>
          <w:numId w:val="3"/>
        </w:numPr>
        <w:spacing w:before="0" w:after="120"/>
      </w:pPr>
      <w:r w:rsidRPr="002120A0">
        <w:t xml:space="preserve">The total cost savings due to displaced therapies (primarily interferons and glatiramer acetate) was estimated to be </w:t>
      </w:r>
      <w:r w:rsidR="008D481E" w:rsidRPr="008D481E">
        <w:t xml:space="preserve">less than $10 million </w:t>
      </w:r>
      <w:r w:rsidRPr="002120A0">
        <w:t xml:space="preserve">in Year 1, increasing to </w:t>
      </w:r>
      <w:r w:rsidR="008D481E" w:rsidRPr="008D481E">
        <w:t xml:space="preserve">$10 – $20 million </w:t>
      </w:r>
      <w:r w:rsidRPr="002120A0">
        <w:t>in Year 6. The estimated cumulative cost saving in the first six year</w:t>
      </w:r>
      <w:r w:rsidR="00F25EB1">
        <w:t xml:space="preserve">s of listing was </w:t>
      </w:r>
      <w:r w:rsidR="008D481E" w:rsidRPr="008D481E">
        <w:t>$60 – $100 million</w:t>
      </w:r>
      <w:r w:rsidR="00F25EB1">
        <w:t>.</w:t>
      </w:r>
    </w:p>
    <w:p w:rsidR="002120A0" w:rsidRPr="002120A0" w:rsidRDefault="002120A0" w:rsidP="005875D1">
      <w:pPr>
        <w:numPr>
          <w:ilvl w:val="1"/>
          <w:numId w:val="3"/>
        </w:numPr>
        <w:spacing w:before="0" w:after="120"/>
      </w:pPr>
      <w:r w:rsidRPr="002120A0">
        <w:t>The listing of glatiramer acetate for</w:t>
      </w:r>
      <w:r w:rsidR="00782C3F">
        <w:t xml:space="preserve"> the treatment of </w:t>
      </w:r>
      <w:r w:rsidR="00782C3F" w:rsidRPr="002120A0">
        <w:t>clinically isolated syndrome</w:t>
      </w:r>
      <w:r w:rsidRPr="002120A0">
        <w:t xml:space="preserve"> is expected to increase the number of specialist consultations in this population but decrease the number of MRI scans, based on expert advice (not provided with the submission). The estimated cumulative net saving to the MBS was $</w:t>
      </w:r>
      <w:r w:rsidR="00AF06E3">
        <w:rPr>
          <w:noProof/>
          <w:color w:val="000000"/>
          <w:highlight w:val="black"/>
        </w:rPr>
        <w:t>''''''''''''''</w:t>
      </w:r>
      <w:r w:rsidRPr="002120A0">
        <w:t xml:space="preserve"> over 6 years. These estimates were highly uncertain. It was unclear whether the estimates are b</w:t>
      </w:r>
      <w:r w:rsidR="00782C3F">
        <w:t xml:space="preserve">ased solely on treatment for </w:t>
      </w:r>
      <w:r w:rsidR="00782C3F" w:rsidRPr="002120A0">
        <w:t>clinically isolated syndrome</w:t>
      </w:r>
      <w:r w:rsidRPr="002120A0">
        <w:t xml:space="preserve"> or also inc</w:t>
      </w:r>
      <w:r w:rsidR="00782C3F">
        <w:t>lude downstream treatment for multiple sclerosis</w:t>
      </w:r>
      <w:r w:rsidR="00F25EB1">
        <w:t>.</w:t>
      </w:r>
    </w:p>
    <w:p w:rsidR="002120A0" w:rsidRPr="00DC6D2E" w:rsidRDefault="002120A0" w:rsidP="005875D1">
      <w:pPr>
        <w:numPr>
          <w:ilvl w:val="1"/>
          <w:numId w:val="3"/>
        </w:numPr>
        <w:spacing w:before="0" w:after="120"/>
      </w:pPr>
      <w:r w:rsidRPr="00DC6D2E">
        <w:t>The net cost to government is summarised in Table 1</w:t>
      </w:r>
      <w:r w:rsidR="007E6A8F">
        <w:t>5</w:t>
      </w:r>
      <w:r w:rsidRPr="00DC6D2E">
        <w:t>.</w:t>
      </w:r>
    </w:p>
    <w:p w:rsidR="007E6A8F" w:rsidRDefault="007E6A8F" w:rsidP="007E6A8F">
      <w:pPr>
        <w:pStyle w:val="Caption"/>
      </w:pPr>
      <w:r>
        <w:t xml:space="preserve">Table </w:t>
      </w:r>
      <w:r>
        <w:rPr>
          <w:noProof/>
        </w:rPr>
        <w:t>15</w:t>
      </w:r>
      <w:r w:rsidRPr="00593929">
        <w:t>: Net cost to government</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4"/>
        <w:gridCol w:w="1033"/>
        <w:gridCol w:w="1033"/>
        <w:gridCol w:w="1032"/>
        <w:gridCol w:w="1032"/>
        <w:gridCol w:w="1030"/>
        <w:gridCol w:w="1024"/>
      </w:tblGrid>
      <w:tr w:rsidR="002120A0" w:rsidRPr="00DC6D2E" w:rsidTr="009C17C4">
        <w:trPr>
          <w:tblHeader/>
        </w:trPr>
        <w:tc>
          <w:tcPr>
            <w:tcW w:w="1631" w:type="pct"/>
            <w:tcBorders>
              <w:left w:val="single" w:sz="4" w:space="0" w:color="auto"/>
              <w:bottom w:val="single" w:sz="4" w:space="0" w:color="auto"/>
            </w:tcBorders>
            <w:shd w:val="clear" w:color="auto" w:fill="auto"/>
            <w:vAlign w:val="center"/>
            <w:hideMark/>
          </w:tcPr>
          <w:p w:rsidR="002120A0" w:rsidRPr="00DC6D2E" w:rsidRDefault="002120A0" w:rsidP="009C17C4">
            <w:pPr>
              <w:spacing w:before="0" w:after="0"/>
              <w:rPr>
                <w:rFonts w:ascii="Arial Narrow" w:hAnsi="Arial Narrow"/>
                <w:sz w:val="20"/>
                <w:szCs w:val="20"/>
                <w:lang w:eastAsia="en-AU"/>
              </w:rPr>
            </w:pPr>
          </w:p>
        </w:tc>
        <w:tc>
          <w:tcPr>
            <w:tcW w:w="563" w:type="pct"/>
            <w:tcBorders>
              <w:bottom w:val="single" w:sz="4" w:space="0" w:color="auto"/>
            </w:tcBorders>
            <w:shd w:val="clear" w:color="auto" w:fill="auto"/>
            <w:vAlign w:val="center"/>
            <w:hideMark/>
          </w:tcPr>
          <w:p w:rsidR="002120A0" w:rsidRPr="00DC6D2E" w:rsidRDefault="002120A0" w:rsidP="009C17C4">
            <w:pPr>
              <w:spacing w:before="0" w:after="0"/>
              <w:jc w:val="center"/>
              <w:rPr>
                <w:rFonts w:ascii="Arial Narrow" w:hAnsi="Arial Narrow"/>
                <w:b/>
                <w:bCs/>
                <w:sz w:val="20"/>
                <w:szCs w:val="20"/>
                <w:lang w:eastAsia="en-AU"/>
              </w:rPr>
            </w:pPr>
            <w:r w:rsidRPr="00DC6D2E">
              <w:rPr>
                <w:rFonts w:ascii="Arial Narrow" w:hAnsi="Arial Narrow"/>
                <w:b/>
                <w:bCs/>
                <w:sz w:val="20"/>
                <w:szCs w:val="20"/>
                <w:lang w:eastAsia="en-AU"/>
              </w:rPr>
              <w:t>Year 1</w:t>
            </w:r>
          </w:p>
          <w:p w:rsidR="002120A0" w:rsidRPr="00DC6D2E" w:rsidRDefault="002120A0" w:rsidP="009C17C4">
            <w:pPr>
              <w:spacing w:before="0" w:after="0"/>
              <w:jc w:val="center"/>
              <w:rPr>
                <w:rFonts w:ascii="Arial Narrow" w:hAnsi="Arial Narrow"/>
                <w:b/>
                <w:bCs/>
                <w:sz w:val="20"/>
                <w:szCs w:val="20"/>
                <w:lang w:eastAsia="en-AU"/>
              </w:rPr>
            </w:pPr>
            <w:r w:rsidRPr="00DC6D2E">
              <w:rPr>
                <w:rFonts w:ascii="Arial Narrow" w:hAnsi="Arial Narrow"/>
                <w:b/>
                <w:bCs/>
                <w:sz w:val="20"/>
                <w:szCs w:val="20"/>
                <w:lang w:eastAsia="en-AU"/>
              </w:rPr>
              <w:t>(2018)</w:t>
            </w:r>
          </w:p>
        </w:tc>
        <w:tc>
          <w:tcPr>
            <w:tcW w:w="563" w:type="pct"/>
            <w:tcBorders>
              <w:bottom w:val="single" w:sz="4" w:space="0" w:color="auto"/>
            </w:tcBorders>
            <w:shd w:val="clear" w:color="auto" w:fill="auto"/>
            <w:vAlign w:val="center"/>
            <w:hideMark/>
          </w:tcPr>
          <w:p w:rsidR="002120A0" w:rsidRPr="00DC6D2E" w:rsidRDefault="002120A0" w:rsidP="009C17C4">
            <w:pPr>
              <w:spacing w:before="0" w:after="0"/>
              <w:jc w:val="center"/>
              <w:rPr>
                <w:rFonts w:ascii="Arial Narrow" w:hAnsi="Arial Narrow"/>
                <w:b/>
                <w:bCs/>
                <w:sz w:val="20"/>
                <w:szCs w:val="20"/>
                <w:lang w:eastAsia="en-AU"/>
              </w:rPr>
            </w:pPr>
            <w:r w:rsidRPr="00DC6D2E">
              <w:rPr>
                <w:rFonts w:ascii="Arial Narrow" w:hAnsi="Arial Narrow"/>
                <w:b/>
                <w:bCs/>
                <w:sz w:val="20"/>
                <w:szCs w:val="20"/>
                <w:lang w:eastAsia="en-AU"/>
              </w:rPr>
              <w:t>Year 2</w:t>
            </w:r>
          </w:p>
          <w:p w:rsidR="002120A0" w:rsidRPr="00DC6D2E" w:rsidRDefault="002120A0" w:rsidP="009C17C4">
            <w:pPr>
              <w:spacing w:before="0" w:after="0"/>
              <w:jc w:val="center"/>
              <w:rPr>
                <w:rFonts w:ascii="Arial Narrow" w:hAnsi="Arial Narrow"/>
                <w:b/>
                <w:bCs/>
                <w:sz w:val="20"/>
                <w:szCs w:val="20"/>
                <w:lang w:eastAsia="en-AU"/>
              </w:rPr>
            </w:pPr>
            <w:r w:rsidRPr="00DC6D2E">
              <w:rPr>
                <w:rFonts w:ascii="Arial Narrow" w:hAnsi="Arial Narrow"/>
                <w:b/>
                <w:bCs/>
                <w:sz w:val="20"/>
                <w:szCs w:val="20"/>
                <w:lang w:eastAsia="en-AU"/>
              </w:rPr>
              <w:t>(2019)</w:t>
            </w:r>
          </w:p>
        </w:tc>
        <w:tc>
          <w:tcPr>
            <w:tcW w:w="562" w:type="pct"/>
            <w:tcBorders>
              <w:bottom w:val="single" w:sz="4" w:space="0" w:color="auto"/>
            </w:tcBorders>
            <w:shd w:val="clear" w:color="auto" w:fill="auto"/>
            <w:vAlign w:val="center"/>
            <w:hideMark/>
          </w:tcPr>
          <w:p w:rsidR="002120A0" w:rsidRPr="00DC6D2E" w:rsidRDefault="002120A0" w:rsidP="009C17C4">
            <w:pPr>
              <w:spacing w:before="0" w:after="0"/>
              <w:jc w:val="center"/>
              <w:rPr>
                <w:rFonts w:ascii="Arial Narrow" w:hAnsi="Arial Narrow"/>
                <w:b/>
                <w:bCs/>
                <w:sz w:val="20"/>
                <w:szCs w:val="20"/>
                <w:lang w:eastAsia="en-AU"/>
              </w:rPr>
            </w:pPr>
            <w:r w:rsidRPr="00DC6D2E">
              <w:rPr>
                <w:rFonts w:ascii="Arial Narrow" w:hAnsi="Arial Narrow"/>
                <w:b/>
                <w:bCs/>
                <w:sz w:val="20"/>
                <w:szCs w:val="20"/>
                <w:lang w:eastAsia="en-AU"/>
              </w:rPr>
              <w:t>Year 3</w:t>
            </w:r>
            <w:r w:rsidRPr="00DC6D2E">
              <w:rPr>
                <w:rFonts w:ascii="Arial Narrow" w:hAnsi="Arial Narrow"/>
                <w:b/>
                <w:bCs/>
                <w:sz w:val="20"/>
                <w:szCs w:val="20"/>
                <w:lang w:eastAsia="en-AU"/>
              </w:rPr>
              <w:br/>
              <w:t>(2020)</w:t>
            </w:r>
          </w:p>
        </w:tc>
        <w:tc>
          <w:tcPr>
            <w:tcW w:w="562" w:type="pct"/>
            <w:tcBorders>
              <w:bottom w:val="single" w:sz="4" w:space="0" w:color="auto"/>
            </w:tcBorders>
            <w:shd w:val="clear" w:color="auto" w:fill="auto"/>
            <w:vAlign w:val="center"/>
            <w:hideMark/>
          </w:tcPr>
          <w:p w:rsidR="002120A0" w:rsidRPr="00DC6D2E" w:rsidRDefault="002120A0" w:rsidP="009C17C4">
            <w:pPr>
              <w:spacing w:before="0" w:after="0"/>
              <w:jc w:val="center"/>
              <w:rPr>
                <w:rFonts w:ascii="Arial Narrow" w:hAnsi="Arial Narrow"/>
                <w:b/>
                <w:bCs/>
                <w:sz w:val="20"/>
                <w:szCs w:val="20"/>
                <w:lang w:eastAsia="en-AU"/>
              </w:rPr>
            </w:pPr>
            <w:r w:rsidRPr="00DC6D2E">
              <w:rPr>
                <w:rFonts w:ascii="Arial Narrow" w:hAnsi="Arial Narrow"/>
                <w:b/>
                <w:bCs/>
                <w:sz w:val="20"/>
                <w:szCs w:val="20"/>
                <w:lang w:eastAsia="en-AU"/>
              </w:rPr>
              <w:t>Year 4</w:t>
            </w:r>
          </w:p>
          <w:p w:rsidR="002120A0" w:rsidRPr="00DC6D2E" w:rsidRDefault="002120A0" w:rsidP="009C17C4">
            <w:pPr>
              <w:spacing w:before="0" w:after="0"/>
              <w:jc w:val="center"/>
              <w:rPr>
                <w:rFonts w:ascii="Arial Narrow" w:hAnsi="Arial Narrow"/>
                <w:b/>
                <w:bCs/>
                <w:sz w:val="20"/>
                <w:szCs w:val="20"/>
                <w:lang w:eastAsia="en-AU"/>
              </w:rPr>
            </w:pPr>
            <w:r w:rsidRPr="00DC6D2E">
              <w:rPr>
                <w:rFonts w:ascii="Arial Narrow" w:hAnsi="Arial Narrow"/>
                <w:b/>
                <w:bCs/>
                <w:sz w:val="20"/>
                <w:szCs w:val="20"/>
                <w:lang w:eastAsia="en-AU"/>
              </w:rPr>
              <w:t>(2021)</w:t>
            </w:r>
          </w:p>
        </w:tc>
        <w:tc>
          <w:tcPr>
            <w:tcW w:w="561" w:type="pct"/>
            <w:tcBorders>
              <w:bottom w:val="single" w:sz="4" w:space="0" w:color="auto"/>
              <w:right w:val="single" w:sz="4" w:space="0" w:color="auto"/>
            </w:tcBorders>
            <w:shd w:val="clear" w:color="auto" w:fill="auto"/>
            <w:vAlign w:val="center"/>
            <w:hideMark/>
          </w:tcPr>
          <w:p w:rsidR="002120A0" w:rsidRPr="00DC6D2E" w:rsidRDefault="002120A0" w:rsidP="009C17C4">
            <w:pPr>
              <w:spacing w:before="0" w:after="0"/>
              <w:jc w:val="center"/>
              <w:rPr>
                <w:rFonts w:ascii="Arial Narrow" w:hAnsi="Arial Narrow"/>
                <w:b/>
                <w:bCs/>
                <w:sz w:val="20"/>
                <w:szCs w:val="20"/>
                <w:lang w:eastAsia="en-AU"/>
              </w:rPr>
            </w:pPr>
            <w:r w:rsidRPr="00DC6D2E">
              <w:rPr>
                <w:rFonts w:ascii="Arial Narrow" w:hAnsi="Arial Narrow"/>
                <w:b/>
                <w:bCs/>
                <w:sz w:val="20"/>
                <w:szCs w:val="20"/>
                <w:lang w:eastAsia="en-AU"/>
              </w:rPr>
              <w:t>Year 5</w:t>
            </w:r>
          </w:p>
          <w:p w:rsidR="002120A0" w:rsidRPr="00DC6D2E" w:rsidRDefault="002120A0" w:rsidP="009C17C4">
            <w:pPr>
              <w:spacing w:before="0" w:after="0"/>
              <w:jc w:val="center"/>
              <w:rPr>
                <w:rFonts w:ascii="Arial Narrow" w:hAnsi="Arial Narrow"/>
                <w:b/>
                <w:bCs/>
                <w:sz w:val="20"/>
                <w:szCs w:val="20"/>
                <w:lang w:eastAsia="en-AU"/>
              </w:rPr>
            </w:pPr>
            <w:r w:rsidRPr="00DC6D2E">
              <w:rPr>
                <w:rFonts w:ascii="Arial Narrow" w:hAnsi="Arial Narrow"/>
                <w:b/>
                <w:bCs/>
                <w:sz w:val="20"/>
                <w:szCs w:val="20"/>
                <w:lang w:eastAsia="en-AU"/>
              </w:rPr>
              <w:t>(2022)</w:t>
            </w:r>
          </w:p>
        </w:tc>
        <w:tc>
          <w:tcPr>
            <w:tcW w:w="558" w:type="pct"/>
            <w:tcBorders>
              <w:bottom w:val="single" w:sz="4" w:space="0" w:color="auto"/>
              <w:right w:val="single" w:sz="4" w:space="0" w:color="auto"/>
            </w:tcBorders>
            <w:vAlign w:val="center"/>
          </w:tcPr>
          <w:p w:rsidR="002120A0" w:rsidRPr="00DC6D2E" w:rsidRDefault="002120A0" w:rsidP="009C17C4">
            <w:pPr>
              <w:spacing w:before="0" w:after="0"/>
              <w:jc w:val="center"/>
              <w:rPr>
                <w:rFonts w:ascii="Arial Narrow" w:hAnsi="Arial Narrow"/>
                <w:b/>
                <w:bCs/>
                <w:sz w:val="20"/>
                <w:szCs w:val="20"/>
                <w:lang w:eastAsia="en-AU"/>
              </w:rPr>
            </w:pPr>
            <w:r w:rsidRPr="00DC6D2E">
              <w:rPr>
                <w:rFonts w:ascii="Arial Narrow" w:hAnsi="Arial Narrow"/>
                <w:b/>
                <w:bCs/>
                <w:sz w:val="20"/>
                <w:szCs w:val="20"/>
                <w:lang w:eastAsia="en-AU"/>
              </w:rPr>
              <w:t>Year 6</w:t>
            </w:r>
          </w:p>
          <w:p w:rsidR="002120A0" w:rsidRPr="00DC6D2E" w:rsidRDefault="002120A0" w:rsidP="009C17C4">
            <w:pPr>
              <w:spacing w:before="0" w:after="0"/>
              <w:jc w:val="center"/>
              <w:rPr>
                <w:rFonts w:ascii="Arial Narrow" w:hAnsi="Arial Narrow"/>
                <w:b/>
                <w:bCs/>
                <w:sz w:val="20"/>
                <w:szCs w:val="20"/>
                <w:lang w:eastAsia="en-AU"/>
              </w:rPr>
            </w:pPr>
            <w:r w:rsidRPr="00DC6D2E">
              <w:rPr>
                <w:rFonts w:ascii="Arial Narrow" w:hAnsi="Arial Narrow"/>
                <w:b/>
                <w:bCs/>
                <w:sz w:val="20"/>
                <w:szCs w:val="20"/>
                <w:lang w:eastAsia="en-AU"/>
              </w:rPr>
              <w:t>(2023)</w:t>
            </w:r>
          </w:p>
        </w:tc>
      </w:tr>
      <w:tr w:rsidR="002120A0" w:rsidRPr="00DC6D2E" w:rsidTr="009C17C4">
        <w:tc>
          <w:tcPr>
            <w:tcW w:w="1631" w:type="pct"/>
            <w:tcBorders>
              <w:left w:val="single" w:sz="4" w:space="0" w:color="auto"/>
              <w:bottom w:val="single" w:sz="4" w:space="0" w:color="auto"/>
            </w:tcBorders>
            <w:shd w:val="clear" w:color="auto" w:fill="auto"/>
            <w:vAlign w:val="center"/>
          </w:tcPr>
          <w:p w:rsidR="002120A0" w:rsidRPr="00DC6D2E" w:rsidRDefault="002120A0" w:rsidP="009C17C4">
            <w:pPr>
              <w:spacing w:before="0" w:after="0"/>
              <w:jc w:val="left"/>
              <w:rPr>
                <w:rFonts w:ascii="Arial Narrow" w:hAnsi="Arial Narrow"/>
                <w:sz w:val="20"/>
                <w:szCs w:val="20"/>
                <w:lang w:eastAsia="en-AU"/>
              </w:rPr>
            </w:pPr>
            <w:r w:rsidRPr="00DC6D2E">
              <w:rPr>
                <w:rFonts w:ascii="Arial Narrow" w:hAnsi="Arial Narrow"/>
                <w:sz w:val="20"/>
                <w:szCs w:val="20"/>
                <w:lang w:eastAsia="en-AU"/>
              </w:rPr>
              <w:t>Cost of glatiramer</w:t>
            </w:r>
            <w:r w:rsidRPr="00DC6D2E">
              <w:rPr>
                <w:rFonts w:ascii="Arial Narrow" w:hAnsi="Arial Narrow"/>
                <w:sz w:val="20"/>
                <w:szCs w:val="20"/>
                <w:lang w:eastAsia="en-AU"/>
              </w:rPr>
              <w:br/>
              <w:t>(DPMQ excluding co-payments)</w:t>
            </w:r>
          </w:p>
        </w:tc>
        <w:tc>
          <w:tcPr>
            <w:tcW w:w="563" w:type="pct"/>
            <w:tcBorders>
              <w:bottom w:val="single" w:sz="4" w:space="0" w:color="auto"/>
            </w:tcBorders>
            <w:shd w:val="clear" w:color="auto" w:fill="auto"/>
            <w:tcMar>
              <w:right w:w="57" w:type="dxa"/>
            </w:tcMar>
            <w:vAlign w:val="center"/>
          </w:tcPr>
          <w:p w:rsidR="002120A0" w:rsidRPr="00DC6D2E" w:rsidRDefault="002120A0" w:rsidP="009C17C4">
            <w:pPr>
              <w:spacing w:before="0" w:after="0"/>
              <w:jc w:val="center"/>
              <w:rPr>
                <w:rFonts w:ascii="Arial Narrow" w:hAnsi="Arial Narrow"/>
                <w:sz w:val="20"/>
                <w:szCs w:val="20"/>
              </w:rPr>
            </w:pPr>
            <w:r w:rsidRPr="00DC6D2E">
              <w:rPr>
                <w:rFonts w:ascii="Arial Narrow" w:hAnsi="Arial Narrow"/>
                <w:sz w:val="20"/>
                <w:szCs w:val="20"/>
              </w:rPr>
              <w:t>$</w:t>
            </w:r>
            <w:r w:rsidR="00AF06E3">
              <w:rPr>
                <w:rFonts w:ascii="Arial Narrow" w:hAnsi="Arial Narrow"/>
                <w:noProof/>
                <w:color w:val="000000"/>
                <w:sz w:val="20"/>
                <w:szCs w:val="20"/>
                <w:highlight w:val="black"/>
              </w:rPr>
              <w:t>'''''''''''''''''''''''''</w:t>
            </w:r>
          </w:p>
        </w:tc>
        <w:tc>
          <w:tcPr>
            <w:tcW w:w="563" w:type="pct"/>
            <w:tcBorders>
              <w:bottom w:val="single" w:sz="4" w:space="0" w:color="auto"/>
            </w:tcBorders>
            <w:shd w:val="clear" w:color="auto" w:fill="auto"/>
            <w:tcMar>
              <w:right w:w="57" w:type="dxa"/>
            </w:tcMar>
            <w:vAlign w:val="center"/>
          </w:tcPr>
          <w:p w:rsidR="002120A0" w:rsidRPr="00DC6D2E" w:rsidRDefault="002120A0" w:rsidP="009C17C4">
            <w:pPr>
              <w:spacing w:before="0" w:after="0"/>
              <w:jc w:val="center"/>
              <w:rPr>
                <w:rFonts w:ascii="Arial Narrow" w:hAnsi="Arial Narrow"/>
                <w:sz w:val="20"/>
                <w:szCs w:val="20"/>
              </w:rPr>
            </w:pPr>
            <w:r w:rsidRPr="00DC6D2E">
              <w:rPr>
                <w:rFonts w:ascii="Arial Narrow" w:hAnsi="Arial Narrow"/>
                <w:sz w:val="20"/>
                <w:szCs w:val="20"/>
              </w:rPr>
              <w:t>$</w:t>
            </w:r>
            <w:r w:rsidR="00AF06E3">
              <w:rPr>
                <w:rFonts w:ascii="Arial Narrow" w:hAnsi="Arial Narrow"/>
                <w:noProof/>
                <w:color w:val="000000"/>
                <w:sz w:val="20"/>
                <w:szCs w:val="20"/>
                <w:highlight w:val="black"/>
              </w:rPr>
              <w:t>''''''''''''''''''''''''''</w:t>
            </w:r>
          </w:p>
        </w:tc>
        <w:tc>
          <w:tcPr>
            <w:tcW w:w="562" w:type="pct"/>
            <w:tcBorders>
              <w:bottom w:val="single" w:sz="4" w:space="0" w:color="auto"/>
            </w:tcBorders>
            <w:shd w:val="clear" w:color="auto" w:fill="auto"/>
            <w:tcMar>
              <w:right w:w="57" w:type="dxa"/>
            </w:tcMar>
            <w:vAlign w:val="center"/>
          </w:tcPr>
          <w:p w:rsidR="002120A0" w:rsidRPr="00DC6D2E" w:rsidRDefault="002120A0" w:rsidP="009C17C4">
            <w:pPr>
              <w:spacing w:before="0" w:after="0"/>
              <w:jc w:val="center"/>
              <w:rPr>
                <w:rFonts w:ascii="Arial Narrow" w:hAnsi="Arial Narrow"/>
                <w:sz w:val="20"/>
                <w:szCs w:val="20"/>
              </w:rPr>
            </w:pPr>
            <w:r w:rsidRPr="00DC6D2E">
              <w:rPr>
                <w:rFonts w:ascii="Arial Narrow" w:hAnsi="Arial Narrow"/>
                <w:sz w:val="20"/>
                <w:szCs w:val="20"/>
              </w:rPr>
              <w:t>$</w:t>
            </w:r>
            <w:r w:rsidR="00AF06E3">
              <w:rPr>
                <w:rFonts w:ascii="Arial Narrow" w:hAnsi="Arial Narrow"/>
                <w:noProof/>
                <w:color w:val="000000"/>
                <w:sz w:val="20"/>
                <w:szCs w:val="20"/>
                <w:highlight w:val="black"/>
              </w:rPr>
              <w:t>''''''''''''''''''''''''''''</w:t>
            </w:r>
          </w:p>
        </w:tc>
        <w:tc>
          <w:tcPr>
            <w:tcW w:w="562" w:type="pct"/>
            <w:tcBorders>
              <w:bottom w:val="single" w:sz="4" w:space="0" w:color="auto"/>
            </w:tcBorders>
            <w:shd w:val="clear" w:color="auto" w:fill="auto"/>
            <w:tcMar>
              <w:right w:w="57" w:type="dxa"/>
            </w:tcMar>
            <w:vAlign w:val="center"/>
          </w:tcPr>
          <w:p w:rsidR="002120A0" w:rsidRPr="00DC6D2E" w:rsidRDefault="002120A0" w:rsidP="009C17C4">
            <w:pPr>
              <w:spacing w:before="0" w:after="0"/>
              <w:jc w:val="center"/>
              <w:rPr>
                <w:rFonts w:ascii="Arial Narrow" w:hAnsi="Arial Narrow"/>
                <w:sz w:val="20"/>
                <w:szCs w:val="20"/>
              </w:rPr>
            </w:pPr>
            <w:r w:rsidRPr="00DC6D2E">
              <w:rPr>
                <w:rFonts w:ascii="Arial Narrow" w:hAnsi="Arial Narrow"/>
                <w:sz w:val="20"/>
                <w:szCs w:val="20"/>
              </w:rPr>
              <w:t>$</w:t>
            </w:r>
            <w:r w:rsidR="00AF06E3">
              <w:rPr>
                <w:rFonts w:ascii="Arial Narrow" w:hAnsi="Arial Narrow"/>
                <w:noProof/>
                <w:color w:val="000000"/>
                <w:sz w:val="20"/>
                <w:szCs w:val="20"/>
                <w:highlight w:val="black"/>
              </w:rPr>
              <w:t>'''''''''''''''''''''''''</w:t>
            </w:r>
          </w:p>
        </w:tc>
        <w:tc>
          <w:tcPr>
            <w:tcW w:w="561" w:type="pct"/>
            <w:tcBorders>
              <w:bottom w:val="single" w:sz="4" w:space="0" w:color="auto"/>
              <w:right w:val="single" w:sz="4" w:space="0" w:color="auto"/>
            </w:tcBorders>
            <w:shd w:val="clear" w:color="auto" w:fill="auto"/>
            <w:tcMar>
              <w:right w:w="57" w:type="dxa"/>
            </w:tcMar>
            <w:vAlign w:val="center"/>
          </w:tcPr>
          <w:p w:rsidR="002120A0" w:rsidRPr="00DC6D2E" w:rsidRDefault="002120A0" w:rsidP="009C17C4">
            <w:pPr>
              <w:spacing w:before="0" w:after="0"/>
              <w:jc w:val="center"/>
              <w:rPr>
                <w:rFonts w:ascii="Arial Narrow" w:hAnsi="Arial Narrow"/>
                <w:sz w:val="20"/>
                <w:szCs w:val="20"/>
              </w:rPr>
            </w:pPr>
            <w:r w:rsidRPr="00DC6D2E">
              <w:rPr>
                <w:rFonts w:ascii="Arial Narrow" w:hAnsi="Arial Narrow"/>
                <w:sz w:val="20"/>
                <w:szCs w:val="20"/>
              </w:rPr>
              <w:t>$</w:t>
            </w:r>
            <w:r w:rsidR="00AF06E3">
              <w:rPr>
                <w:rFonts w:ascii="Arial Narrow" w:hAnsi="Arial Narrow"/>
                <w:noProof/>
                <w:color w:val="000000"/>
                <w:sz w:val="20"/>
                <w:szCs w:val="20"/>
                <w:highlight w:val="black"/>
              </w:rPr>
              <w:t>''''''''''''''''''''''''''</w:t>
            </w:r>
          </w:p>
        </w:tc>
        <w:tc>
          <w:tcPr>
            <w:tcW w:w="558" w:type="pct"/>
            <w:tcBorders>
              <w:bottom w:val="single" w:sz="4" w:space="0" w:color="auto"/>
              <w:right w:val="single" w:sz="4" w:space="0" w:color="auto"/>
            </w:tcBorders>
            <w:tcMar>
              <w:right w:w="57" w:type="dxa"/>
            </w:tcMar>
            <w:vAlign w:val="center"/>
          </w:tcPr>
          <w:p w:rsidR="002120A0" w:rsidRPr="00DC6D2E" w:rsidRDefault="002120A0" w:rsidP="009C17C4">
            <w:pPr>
              <w:spacing w:before="0" w:after="0"/>
              <w:jc w:val="center"/>
              <w:rPr>
                <w:rFonts w:ascii="Arial Narrow" w:hAnsi="Arial Narrow"/>
                <w:sz w:val="20"/>
                <w:szCs w:val="20"/>
              </w:rPr>
            </w:pPr>
            <w:r w:rsidRPr="00DC6D2E">
              <w:rPr>
                <w:rFonts w:ascii="Arial Narrow" w:hAnsi="Arial Narrow"/>
                <w:sz w:val="20"/>
                <w:szCs w:val="20"/>
              </w:rPr>
              <w:t>$</w:t>
            </w:r>
            <w:r w:rsidR="00AF06E3">
              <w:rPr>
                <w:rFonts w:ascii="Arial Narrow" w:hAnsi="Arial Narrow"/>
                <w:noProof/>
                <w:color w:val="000000"/>
                <w:sz w:val="20"/>
                <w:szCs w:val="20"/>
                <w:highlight w:val="black"/>
              </w:rPr>
              <w:t>''''''''''''''''''''''''</w:t>
            </w:r>
          </w:p>
        </w:tc>
      </w:tr>
      <w:tr w:rsidR="002120A0" w:rsidRPr="00DC6D2E" w:rsidTr="009C17C4">
        <w:tc>
          <w:tcPr>
            <w:tcW w:w="1631" w:type="pct"/>
            <w:tcBorders>
              <w:left w:val="single" w:sz="4" w:space="0" w:color="auto"/>
              <w:bottom w:val="single" w:sz="4" w:space="0" w:color="auto"/>
            </w:tcBorders>
            <w:shd w:val="clear" w:color="auto" w:fill="auto"/>
            <w:vAlign w:val="center"/>
          </w:tcPr>
          <w:p w:rsidR="002120A0" w:rsidRPr="00DC6D2E" w:rsidRDefault="002120A0" w:rsidP="009C17C4">
            <w:pPr>
              <w:spacing w:before="0" w:after="0"/>
              <w:jc w:val="left"/>
              <w:rPr>
                <w:rFonts w:ascii="Arial Narrow" w:hAnsi="Arial Narrow"/>
                <w:sz w:val="20"/>
                <w:szCs w:val="20"/>
                <w:lang w:eastAsia="en-AU"/>
              </w:rPr>
            </w:pPr>
            <w:r w:rsidRPr="00DC6D2E">
              <w:rPr>
                <w:rFonts w:ascii="Arial Narrow" w:hAnsi="Arial Narrow"/>
                <w:sz w:val="20"/>
                <w:szCs w:val="20"/>
                <w:lang w:eastAsia="en-AU"/>
              </w:rPr>
              <w:t xml:space="preserve">Cost of displaced medicines </w:t>
            </w:r>
            <w:r w:rsidRPr="00DC6D2E">
              <w:rPr>
                <w:rFonts w:ascii="Arial Narrow" w:hAnsi="Arial Narrow"/>
                <w:sz w:val="20"/>
                <w:szCs w:val="20"/>
                <w:lang w:eastAsia="en-AU"/>
              </w:rPr>
              <w:br/>
              <w:t>(DPMQ excluding co-payments</w:t>
            </w:r>
          </w:p>
        </w:tc>
        <w:tc>
          <w:tcPr>
            <w:tcW w:w="563" w:type="pct"/>
            <w:tcBorders>
              <w:bottom w:val="single" w:sz="4" w:space="0" w:color="auto"/>
            </w:tcBorders>
            <w:shd w:val="clear" w:color="auto" w:fill="auto"/>
            <w:tcMar>
              <w:right w:w="57" w:type="dxa"/>
            </w:tcMar>
            <w:vAlign w:val="center"/>
          </w:tcPr>
          <w:p w:rsidR="002120A0" w:rsidRPr="00DC6D2E" w:rsidRDefault="002120A0" w:rsidP="009C17C4">
            <w:pPr>
              <w:spacing w:before="0" w:after="0"/>
              <w:jc w:val="center"/>
              <w:rPr>
                <w:rFonts w:ascii="Arial Narrow" w:hAnsi="Arial Narrow"/>
                <w:sz w:val="20"/>
                <w:szCs w:val="20"/>
              </w:rPr>
            </w:pPr>
            <w:r w:rsidRPr="00DC6D2E">
              <w:rPr>
                <w:rFonts w:ascii="Arial Narrow" w:hAnsi="Arial Narrow"/>
                <w:sz w:val="20"/>
                <w:szCs w:val="20"/>
              </w:rPr>
              <w:t>$</w:t>
            </w:r>
            <w:r w:rsidR="00AF06E3">
              <w:rPr>
                <w:rFonts w:ascii="Arial Narrow" w:hAnsi="Arial Narrow"/>
                <w:noProof/>
                <w:color w:val="000000"/>
                <w:sz w:val="20"/>
                <w:szCs w:val="20"/>
                <w:highlight w:val="black"/>
              </w:rPr>
              <w:t>'''''''''''''''''''''''''</w:t>
            </w:r>
          </w:p>
        </w:tc>
        <w:tc>
          <w:tcPr>
            <w:tcW w:w="563" w:type="pct"/>
            <w:tcBorders>
              <w:bottom w:val="single" w:sz="4" w:space="0" w:color="auto"/>
            </w:tcBorders>
            <w:shd w:val="clear" w:color="auto" w:fill="auto"/>
            <w:tcMar>
              <w:right w:w="57" w:type="dxa"/>
            </w:tcMar>
            <w:vAlign w:val="center"/>
          </w:tcPr>
          <w:p w:rsidR="002120A0" w:rsidRPr="00DC6D2E" w:rsidRDefault="002120A0" w:rsidP="009C17C4">
            <w:pPr>
              <w:spacing w:before="0" w:after="0"/>
              <w:jc w:val="center"/>
              <w:rPr>
                <w:rFonts w:ascii="Arial Narrow" w:hAnsi="Arial Narrow"/>
                <w:sz w:val="20"/>
                <w:szCs w:val="20"/>
              </w:rPr>
            </w:pPr>
            <w:r w:rsidRPr="00DC6D2E">
              <w:rPr>
                <w:rFonts w:ascii="Arial Narrow" w:hAnsi="Arial Narrow"/>
                <w:sz w:val="20"/>
                <w:szCs w:val="20"/>
              </w:rPr>
              <w:t>$</w:t>
            </w:r>
            <w:r w:rsidR="00AF06E3">
              <w:rPr>
                <w:rFonts w:ascii="Arial Narrow" w:hAnsi="Arial Narrow"/>
                <w:noProof/>
                <w:color w:val="000000"/>
                <w:sz w:val="20"/>
                <w:szCs w:val="20"/>
                <w:highlight w:val="black"/>
              </w:rPr>
              <w:t>'''''''''''''''''''''''''''''</w:t>
            </w:r>
          </w:p>
        </w:tc>
        <w:tc>
          <w:tcPr>
            <w:tcW w:w="562" w:type="pct"/>
            <w:tcBorders>
              <w:bottom w:val="single" w:sz="4" w:space="0" w:color="auto"/>
            </w:tcBorders>
            <w:shd w:val="clear" w:color="auto" w:fill="auto"/>
            <w:tcMar>
              <w:right w:w="57" w:type="dxa"/>
            </w:tcMar>
            <w:vAlign w:val="center"/>
          </w:tcPr>
          <w:p w:rsidR="002120A0" w:rsidRPr="00DC6D2E" w:rsidRDefault="002120A0" w:rsidP="009C17C4">
            <w:pPr>
              <w:spacing w:before="0" w:after="0"/>
              <w:jc w:val="center"/>
              <w:rPr>
                <w:rFonts w:ascii="Arial Narrow" w:hAnsi="Arial Narrow"/>
                <w:sz w:val="20"/>
                <w:szCs w:val="20"/>
              </w:rPr>
            </w:pPr>
            <w:r w:rsidRPr="00DC6D2E">
              <w:rPr>
                <w:rFonts w:ascii="Arial Narrow" w:hAnsi="Arial Narrow"/>
                <w:sz w:val="20"/>
                <w:szCs w:val="20"/>
              </w:rPr>
              <w:t>$</w:t>
            </w:r>
            <w:r w:rsidR="00AF06E3">
              <w:rPr>
                <w:rFonts w:ascii="Arial Narrow" w:hAnsi="Arial Narrow"/>
                <w:noProof/>
                <w:color w:val="000000"/>
                <w:sz w:val="20"/>
                <w:szCs w:val="20"/>
                <w:highlight w:val="black"/>
              </w:rPr>
              <w:t>'''''''''''''''''''''''''''</w:t>
            </w:r>
          </w:p>
        </w:tc>
        <w:tc>
          <w:tcPr>
            <w:tcW w:w="562" w:type="pct"/>
            <w:tcBorders>
              <w:bottom w:val="single" w:sz="4" w:space="0" w:color="auto"/>
            </w:tcBorders>
            <w:shd w:val="clear" w:color="auto" w:fill="auto"/>
            <w:tcMar>
              <w:right w:w="57" w:type="dxa"/>
            </w:tcMar>
            <w:vAlign w:val="center"/>
          </w:tcPr>
          <w:p w:rsidR="002120A0" w:rsidRPr="00DC6D2E" w:rsidRDefault="002120A0" w:rsidP="009C17C4">
            <w:pPr>
              <w:spacing w:before="0" w:after="0"/>
              <w:jc w:val="center"/>
              <w:rPr>
                <w:rFonts w:ascii="Arial Narrow" w:hAnsi="Arial Narrow"/>
                <w:sz w:val="20"/>
                <w:szCs w:val="20"/>
              </w:rPr>
            </w:pPr>
            <w:r w:rsidRPr="00DC6D2E">
              <w:rPr>
                <w:rFonts w:ascii="Arial Narrow" w:hAnsi="Arial Narrow"/>
                <w:sz w:val="20"/>
                <w:szCs w:val="20"/>
              </w:rPr>
              <w:t>$</w:t>
            </w:r>
            <w:r w:rsidR="00AF06E3">
              <w:rPr>
                <w:rFonts w:ascii="Arial Narrow" w:hAnsi="Arial Narrow"/>
                <w:noProof/>
                <w:color w:val="000000"/>
                <w:sz w:val="20"/>
                <w:szCs w:val="20"/>
                <w:highlight w:val="black"/>
              </w:rPr>
              <w:t>''''''''''''''''''''''''''''</w:t>
            </w:r>
          </w:p>
        </w:tc>
        <w:tc>
          <w:tcPr>
            <w:tcW w:w="561" w:type="pct"/>
            <w:tcBorders>
              <w:bottom w:val="single" w:sz="4" w:space="0" w:color="auto"/>
              <w:right w:val="single" w:sz="4" w:space="0" w:color="auto"/>
            </w:tcBorders>
            <w:shd w:val="clear" w:color="auto" w:fill="auto"/>
            <w:tcMar>
              <w:right w:w="57" w:type="dxa"/>
            </w:tcMar>
            <w:vAlign w:val="center"/>
          </w:tcPr>
          <w:p w:rsidR="002120A0" w:rsidRPr="00DC6D2E" w:rsidRDefault="002120A0" w:rsidP="009C17C4">
            <w:pPr>
              <w:spacing w:before="0" w:after="0"/>
              <w:jc w:val="center"/>
              <w:rPr>
                <w:rFonts w:ascii="Arial Narrow" w:hAnsi="Arial Narrow"/>
                <w:sz w:val="20"/>
                <w:szCs w:val="20"/>
              </w:rPr>
            </w:pPr>
            <w:r w:rsidRPr="00DC6D2E">
              <w:rPr>
                <w:rFonts w:ascii="Arial Narrow" w:hAnsi="Arial Narrow"/>
                <w:sz w:val="20"/>
                <w:szCs w:val="20"/>
              </w:rPr>
              <w:t>$</w:t>
            </w:r>
            <w:r w:rsidR="00AF06E3">
              <w:rPr>
                <w:rFonts w:ascii="Arial Narrow" w:hAnsi="Arial Narrow"/>
                <w:noProof/>
                <w:color w:val="000000"/>
                <w:sz w:val="20"/>
                <w:szCs w:val="20"/>
                <w:highlight w:val="black"/>
              </w:rPr>
              <w:t>''''''''''''''''''''''''''</w:t>
            </w:r>
          </w:p>
        </w:tc>
        <w:tc>
          <w:tcPr>
            <w:tcW w:w="558" w:type="pct"/>
            <w:tcBorders>
              <w:bottom w:val="single" w:sz="4" w:space="0" w:color="auto"/>
              <w:right w:val="single" w:sz="4" w:space="0" w:color="auto"/>
            </w:tcBorders>
            <w:tcMar>
              <w:right w:w="57" w:type="dxa"/>
            </w:tcMar>
            <w:vAlign w:val="center"/>
          </w:tcPr>
          <w:p w:rsidR="002120A0" w:rsidRPr="00DC6D2E" w:rsidRDefault="002120A0" w:rsidP="009C17C4">
            <w:pPr>
              <w:spacing w:before="0" w:after="0"/>
              <w:jc w:val="center"/>
              <w:rPr>
                <w:rFonts w:ascii="Arial Narrow" w:hAnsi="Arial Narrow"/>
                <w:sz w:val="20"/>
                <w:szCs w:val="20"/>
              </w:rPr>
            </w:pPr>
            <w:r w:rsidRPr="00DC6D2E">
              <w:rPr>
                <w:rFonts w:ascii="Arial Narrow" w:hAnsi="Arial Narrow"/>
                <w:sz w:val="20"/>
                <w:szCs w:val="20"/>
              </w:rPr>
              <w:t>$</w:t>
            </w:r>
            <w:r w:rsidR="00AF06E3">
              <w:rPr>
                <w:rFonts w:ascii="Arial Narrow" w:hAnsi="Arial Narrow"/>
                <w:noProof/>
                <w:color w:val="000000"/>
                <w:sz w:val="20"/>
                <w:szCs w:val="20"/>
                <w:highlight w:val="black"/>
              </w:rPr>
              <w:t>'''''''''''''''''''''''</w:t>
            </w:r>
          </w:p>
        </w:tc>
      </w:tr>
      <w:tr w:rsidR="002120A0" w:rsidRPr="00DC6D2E" w:rsidTr="009C17C4">
        <w:tc>
          <w:tcPr>
            <w:tcW w:w="1631" w:type="pct"/>
            <w:tcBorders>
              <w:top w:val="single" w:sz="4" w:space="0" w:color="auto"/>
              <w:left w:val="single" w:sz="4" w:space="0" w:color="auto"/>
              <w:bottom w:val="single" w:sz="4" w:space="0" w:color="auto"/>
            </w:tcBorders>
            <w:shd w:val="clear" w:color="auto" w:fill="auto"/>
            <w:vAlign w:val="center"/>
          </w:tcPr>
          <w:p w:rsidR="002120A0" w:rsidRPr="00DC6D2E" w:rsidRDefault="002120A0" w:rsidP="009C17C4">
            <w:pPr>
              <w:spacing w:before="0" w:after="0"/>
              <w:jc w:val="left"/>
              <w:rPr>
                <w:rFonts w:ascii="Arial Narrow" w:hAnsi="Arial Narrow"/>
                <w:b/>
                <w:sz w:val="20"/>
                <w:szCs w:val="20"/>
                <w:lang w:eastAsia="en-AU"/>
              </w:rPr>
            </w:pPr>
            <w:r w:rsidRPr="00DC6D2E">
              <w:rPr>
                <w:rFonts w:ascii="Arial Narrow" w:hAnsi="Arial Narrow"/>
                <w:b/>
                <w:sz w:val="20"/>
                <w:szCs w:val="20"/>
                <w:lang w:eastAsia="en-AU"/>
              </w:rPr>
              <w:t xml:space="preserve">Net cost to PBS/RPBS </w:t>
            </w:r>
          </w:p>
        </w:tc>
        <w:tc>
          <w:tcPr>
            <w:tcW w:w="563" w:type="pct"/>
            <w:tcBorders>
              <w:top w:val="single" w:sz="4" w:space="0" w:color="auto"/>
              <w:bottom w:val="single" w:sz="4" w:space="0" w:color="auto"/>
            </w:tcBorders>
            <w:shd w:val="clear" w:color="auto" w:fill="auto"/>
            <w:tcMar>
              <w:right w:w="57" w:type="dxa"/>
            </w:tcMar>
            <w:vAlign w:val="center"/>
          </w:tcPr>
          <w:p w:rsidR="002120A0" w:rsidRPr="00DC6D2E" w:rsidRDefault="002120A0" w:rsidP="009C17C4">
            <w:pPr>
              <w:spacing w:before="0" w:after="0"/>
              <w:jc w:val="center"/>
              <w:rPr>
                <w:rFonts w:ascii="Arial Narrow" w:hAnsi="Arial Narrow"/>
                <w:b/>
                <w:sz w:val="20"/>
                <w:szCs w:val="20"/>
              </w:rPr>
            </w:pPr>
            <w:r w:rsidRPr="00DC6D2E">
              <w:rPr>
                <w:rFonts w:ascii="Arial Narrow" w:hAnsi="Arial Narrow"/>
                <w:b/>
                <w:sz w:val="20"/>
                <w:szCs w:val="20"/>
              </w:rPr>
              <w:t>$</w:t>
            </w:r>
            <w:r w:rsidR="00AF06E3">
              <w:rPr>
                <w:rFonts w:ascii="Arial Narrow" w:hAnsi="Arial Narrow"/>
                <w:b/>
                <w:noProof/>
                <w:color w:val="000000"/>
                <w:sz w:val="20"/>
                <w:szCs w:val="20"/>
                <w:highlight w:val="black"/>
              </w:rPr>
              <w:t>'''''''''''''''''''''</w:t>
            </w:r>
          </w:p>
        </w:tc>
        <w:tc>
          <w:tcPr>
            <w:tcW w:w="563" w:type="pct"/>
            <w:tcBorders>
              <w:top w:val="single" w:sz="4" w:space="0" w:color="auto"/>
              <w:bottom w:val="single" w:sz="4" w:space="0" w:color="auto"/>
            </w:tcBorders>
            <w:shd w:val="clear" w:color="auto" w:fill="auto"/>
            <w:tcMar>
              <w:right w:w="57" w:type="dxa"/>
            </w:tcMar>
            <w:vAlign w:val="center"/>
          </w:tcPr>
          <w:p w:rsidR="002120A0" w:rsidRPr="00DC6D2E" w:rsidRDefault="002120A0" w:rsidP="009C17C4">
            <w:pPr>
              <w:spacing w:before="0" w:after="0"/>
              <w:jc w:val="center"/>
              <w:rPr>
                <w:rFonts w:ascii="Arial Narrow" w:hAnsi="Arial Narrow"/>
                <w:b/>
                <w:sz w:val="20"/>
                <w:szCs w:val="20"/>
              </w:rPr>
            </w:pPr>
            <w:r w:rsidRPr="00DC6D2E">
              <w:rPr>
                <w:rFonts w:ascii="Arial Narrow" w:hAnsi="Arial Narrow"/>
                <w:b/>
                <w:sz w:val="20"/>
                <w:szCs w:val="20"/>
              </w:rPr>
              <w:t>$</w:t>
            </w:r>
            <w:r w:rsidR="00AF06E3">
              <w:rPr>
                <w:rFonts w:ascii="Arial Narrow" w:hAnsi="Arial Narrow"/>
                <w:b/>
                <w:noProof/>
                <w:color w:val="000000"/>
                <w:sz w:val="20"/>
                <w:szCs w:val="20"/>
                <w:highlight w:val="black"/>
              </w:rPr>
              <w:t>''''''''''''''</w:t>
            </w:r>
          </w:p>
        </w:tc>
        <w:tc>
          <w:tcPr>
            <w:tcW w:w="562" w:type="pct"/>
            <w:tcBorders>
              <w:top w:val="single" w:sz="4" w:space="0" w:color="auto"/>
              <w:bottom w:val="single" w:sz="4" w:space="0" w:color="auto"/>
            </w:tcBorders>
            <w:shd w:val="clear" w:color="auto" w:fill="auto"/>
            <w:tcMar>
              <w:right w:w="57" w:type="dxa"/>
            </w:tcMar>
            <w:vAlign w:val="center"/>
          </w:tcPr>
          <w:p w:rsidR="002120A0" w:rsidRPr="00DC6D2E" w:rsidRDefault="002120A0" w:rsidP="009C17C4">
            <w:pPr>
              <w:spacing w:before="0" w:after="0"/>
              <w:jc w:val="center"/>
              <w:rPr>
                <w:rFonts w:ascii="Arial Narrow" w:hAnsi="Arial Narrow"/>
                <w:b/>
                <w:sz w:val="20"/>
                <w:szCs w:val="20"/>
              </w:rPr>
            </w:pPr>
            <w:r w:rsidRPr="00DC6D2E">
              <w:rPr>
                <w:rFonts w:ascii="Arial Narrow" w:hAnsi="Arial Narrow"/>
                <w:b/>
                <w:sz w:val="20"/>
                <w:szCs w:val="20"/>
              </w:rPr>
              <w:t>$</w:t>
            </w:r>
            <w:r w:rsidR="00AF06E3">
              <w:rPr>
                <w:rFonts w:ascii="Arial Narrow" w:hAnsi="Arial Narrow"/>
                <w:b/>
                <w:noProof/>
                <w:color w:val="000000"/>
                <w:sz w:val="20"/>
                <w:szCs w:val="20"/>
                <w:highlight w:val="black"/>
              </w:rPr>
              <w:t>''''''''''''''</w:t>
            </w:r>
          </w:p>
        </w:tc>
        <w:tc>
          <w:tcPr>
            <w:tcW w:w="562" w:type="pct"/>
            <w:tcBorders>
              <w:top w:val="single" w:sz="4" w:space="0" w:color="auto"/>
              <w:bottom w:val="single" w:sz="4" w:space="0" w:color="auto"/>
            </w:tcBorders>
            <w:shd w:val="clear" w:color="auto" w:fill="auto"/>
            <w:tcMar>
              <w:right w:w="57" w:type="dxa"/>
            </w:tcMar>
            <w:vAlign w:val="center"/>
          </w:tcPr>
          <w:p w:rsidR="002120A0" w:rsidRPr="00DC6D2E" w:rsidRDefault="002120A0" w:rsidP="009C17C4">
            <w:pPr>
              <w:spacing w:before="0" w:after="0"/>
              <w:jc w:val="center"/>
              <w:rPr>
                <w:rFonts w:ascii="Arial Narrow" w:hAnsi="Arial Narrow"/>
                <w:b/>
                <w:sz w:val="20"/>
                <w:szCs w:val="20"/>
              </w:rPr>
            </w:pPr>
            <w:r w:rsidRPr="00DC6D2E">
              <w:rPr>
                <w:rFonts w:ascii="Arial Narrow" w:hAnsi="Arial Narrow"/>
                <w:b/>
                <w:sz w:val="20"/>
                <w:szCs w:val="20"/>
              </w:rPr>
              <w:t>$</w:t>
            </w:r>
            <w:r w:rsidR="00AF06E3">
              <w:rPr>
                <w:rFonts w:ascii="Arial Narrow" w:hAnsi="Arial Narrow"/>
                <w:b/>
                <w:noProof/>
                <w:color w:val="000000"/>
                <w:sz w:val="20"/>
                <w:szCs w:val="20"/>
                <w:highlight w:val="black"/>
              </w:rPr>
              <w:t>'''''''''''''</w:t>
            </w:r>
          </w:p>
        </w:tc>
        <w:tc>
          <w:tcPr>
            <w:tcW w:w="561" w:type="pct"/>
            <w:tcBorders>
              <w:top w:val="single" w:sz="4" w:space="0" w:color="auto"/>
              <w:bottom w:val="single" w:sz="4" w:space="0" w:color="auto"/>
              <w:right w:val="single" w:sz="4" w:space="0" w:color="auto"/>
            </w:tcBorders>
            <w:shd w:val="clear" w:color="auto" w:fill="auto"/>
            <w:tcMar>
              <w:right w:w="57" w:type="dxa"/>
            </w:tcMar>
            <w:vAlign w:val="center"/>
          </w:tcPr>
          <w:p w:rsidR="002120A0" w:rsidRPr="00DC6D2E" w:rsidRDefault="002120A0" w:rsidP="009C17C4">
            <w:pPr>
              <w:spacing w:before="0" w:after="0"/>
              <w:jc w:val="center"/>
              <w:rPr>
                <w:rFonts w:ascii="Arial Narrow" w:hAnsi="Arial Narrow"/>
                <w:b/>
                <w:sz w:val="20"/>
                <w:szCs w:val="20"/>
              </w:rPr>
            </w:pPr>
            <w:r w:rsidRPr="00DC6D2E">
              <w:rPr>
                <w:rFonts w:ascii="Arial Narrow" w:hAnsi="Arial Narrow"/>
                <w:b/>
                <w:sz w:val="20"/>
                <w:szCs w:val="20"/>
              </w:rPr>
              <w:t>$</w:t>
            </w:r>
            <w:r w:rsidR="00AF06E3">
              <w:rPr>
                <w:rFonts w:ascii="Arial Narrow" w:hAnsi="Arial Narrow"/>
                <w:b/>
                <w:noProof/>
                <w:color w:val="000000"/>
                <w:sz w:val="20"/>
                <w:szCs w:val="20"/>
                <w:highlight w:val="black"/>
              </w:rPr>
              <w:t>'''''''''''''</w:t>
            </w:r>
          </w:p>
        </w:tc>
        <w:tc>
          <w:tcPr>
            <w:tcW w:w="558" w:type="pct"/>
            <w:tcBorders>
              <w:top w:val="single" w:sz="4" w:space="0" w:color="auto"/>
              <w:bottom w:val="single" w:sz="4" w:space="0" w:color="auto"/>
              <w:right w:val="single" w:sz="4" w:space="0" w:color="auto"/>
            </w:tcBorders>
            <w:tcMar>
              <w:right w:w="57" w:type="dxa"/>
            </w:tcMar>
            <w:vAlign w:val="center"/>
          </w:tcPr>
          <w:p w:rsidR="002120A0" w:rsidRPr="00DC6D2E" w:rsidRDefault="002120A0" w:rsidP="009C17C4">
            <w:pPr>
              <w:spacing w:before="0" w:after="0"/>
              <w:jc w:val="center"/>
              <w:rPr>
                <w:rFonts w:ascii="Arial Narrow" w:hAnsi="Arial Narrow"/>
                <w:b/>
                <w:sz w:val="20"/>
                <w:szCs w:val="20"/>
              </w:rPr>
            </w:pPr>
            <w:r w:rsidRPr="00DC6D2E">
              <w:rPr>
                <w:rFonts w:ascii="Arial Narrow" w:hAnsi="Arial Narrow"/>
                <w:b/>
                <w:sz w:val="20"/>
                <w:szCs w:val="20"/>
              </w:rPr>
              <w:t>$</w:t>
            </w:r>
            <w:r w:rsidR="00AF06E3">
              <w:rPr>
                <w:rFonts w:ascii="Arial Narrow" w:hAnsi="Arial Narrow"/>
                <w:b/>
                <w:noProof/>
                <w:color w:val="000000"/>
                <w:sz w:val="20"/>
                <w:szCs w:val="20"/>
                <w:highlight w:val="black"/>
              </w:rPr>
              <w:t>'''''''''''''</w:t>
            </w:r>
          </w:p>
        </w:tc>
      </w:tr>
      <w:tr w:rsidR="002120A0" w:rsidRPr="00DC6D2E" w:rsidTr="009C17C4">
        <w:tc>
          <w:tcPr>
            <w:tcW w:w="1631" w:type="pct"/>
            <w:tcBorders>
              <w:top w:val="single" w:sz="4" w:space="0" w:color="auto"/>
              <w:left w:val="single" w:sz="4" w:space="0" w:color="auto"/>
              <w:bottom w:val="single" w:sz="4" w:space="0" w:color="auto"/>
            </w:tcBorders>
            <w:shd w:val="clear" w:color="auto" w:fill="auto"/>
            <w:vAlign w:val="center"/>
          </w:tcPr>
          <w:p w:rsidR="002120A0" w:rsidRPr="00DC6D2E" w:rsidRDefault="002120A0" w:rsidP="009C17C4">
            <w:pPr>
              <w:spacing w:before="0" w:after="0"/>
              <w:jc w:val="left"/>
              <w:rPr>
                <w:rFonts w:ascii="Arial Narrow" w:hAnsi="Arial Narrow"/>
                <w:b/>
                <w:sz w:val="20"/>
                <w:szCs w:val="20"/>
                <w:lang w:eastAsia="en-AU"/>
              </w:rPr>
            </w:pPr>
            <w:r w:rsidRPr="00DC6D2E">
              <w:rPr>
                <w:rFonts w:ascii="Arial Narrow" w:hAnsi="Arial Narrow"/>
                <w:b/>
                <w:sz w:val="20"/>
                <w:szCs w:val="20"/>
                <w:lang w:eastAsia="en-AU"/>
              </w:rPr>
              <w:t>Net cost to the MBS</w:t>
            </w:r>
          </w:p>
        </w:tc>
        <w:tc>
          <w:tcPr>
            <w:tcW w:w="563" w:type="pct"/>
            <w:tcBorders>
              <w:top w:val="single" w:sz="4" w:space="0" w:color="auto"/>
              <w:left w:val="single" w:sz="4" w:space="0" w:color="auto"/>
              <w:bottom w:val="single" w:sz="4" w:space="0" w:color="auto"/>
              <w:right w:val="single" w:sz="4" w:space="0" w:color="auto"/>
            </w:tcBorders>
            <w:shd w:val="clear" w:color="auto" w:fill="auto"/>
            <w:tcMar>
              <w:right w:w="57" w:type="dxa"/>
            </w:tcMar>
            <w:vAlign w:val="bottom"/>
          </w:tcPr>
          <w:p w:rsidR="002120A0" w:rsidRPr="00DC6D2E" w:rsidRDefault="002120A0" w:rsidP="009C17C4">
            <w:pPr>
              <w:spacing w:before="0" w:after="0"/>
              <w:jc w:val="center"/>
              <w:rPr>
                <w:rFonts w:ascii="Arial Narrow" w:eastAsia="Times New Roman" w:hAnsi="Arial Narrow" w:cs="Arial"/>
                <w:b/>
                <w:sz w:val="20"/>
                <w:lang w:eastAsia="en-AU"/>
              </w:rPr>
            </w:pPr>
            <w:r w:rsidRPr="00DC6D2E">
              <w:rPr>
                <w:rFonts w:ascii="Arial Narrow" w:hAnsi="Arial Narrow" w:cs="Arial"/>
                <w:b/>
                <w:bCs/>
                <w:sz w:val="20"/>
              </w:rPr>
              <w:t>-$</w:t>
            </w:r>
            <w:r w:rsidR="00AF06E3">
              <w:rPr>
                <w:rFonts w:ascii="Arial Narrow" w:hAnsi="Arial Narrow" w:cs="Arial"/>
                <w:b/>
                <w:bCs/>
                <w:noProof/>
                <w:color w:val="000000"/>
                <w:sz w:val="20"/>
                <w:highlight w:val="black"/>
              </w:rPr>
              <w:t>'''''''''''''''''</w:t>
            </w:r>
          </w:p>
        </w:tc>
        <w:tc>
          <w:tcPr>
            <w:tcW w:w="563" w:type="pct"/>
            <w:tcBorders>
              <w:top w:val="single" w:sz="4" w:space="0" w:color="auto"/>
              <w:left w:val="nil"/>
              <w:bottom w:val="single" w:sz="4" w:space="0" w:color="auto"/>
              <w:right w:val="single" w:sz="4" w:space="0" w:color="auto"/>
            </w:tcBorders>
            <w:shd w:val="clear" w:color="auto" w:fill="auto"/>
            <w:tcMar>
              <w:right w:w="57" w:type="dxa"/>
            </w:tcMar>
            <w:vAlign w:val="bottom"/>
          </w:tcPr>
          <w:p w:rsidR="002120A0" w:rsidRPr="00DC6D2E" w:rsidRDefault="002120A0" w:rsidP="009C17C4">
            <w:pPr>
              <w:spacing w:before="0" w:after="0"/>
              <w:jc w:val="center"/>
              <w:rPr>
                <w:rFonts w:ascii="Arial Narrow" w:eastAsia="Times New Roman" w:hAnsi="Arial Narrow" w:cs="Arial"/>
                <w:b/>
                <w:sz w:val="20"/>
                <w:lang w:eastAsia="en-AU"/>
              </w:rPr>
            </w:pPr>
            <w:r w:rsidRPr="00DC6D2E">
              <w:rPr>
                <w:rFonts w:ascii="Arial Narrow" w:hAnsi="Arial Narrow" w:cs="Arial"/>
                <w:b/>
                <w:bCs/>
                <w:sz w:val="20"/>
              </w:rPr>
              <w:t>-$</w:t>
            </w:r>
            <w:r w:rsidR="00AF06E3">
              <w:rPr>
                <w:rFonts w:ascii="Arial Narrow" w:hAnsi="Arial Narrow" w:cs="Arial"/>
                <w:b/>
                <w:bCs/>
                <w:noProof/>
                <w:color w:val="000000"/>
                <w:sz w:val="20"/>
                <w:highlight w:val="black"/>
              </w:rPr>
              <w:t>'''''''''''''</w:t>
            </w:r>
          </w:p>
        </w:tc>
        <w:tc>
          <w:tcPr>
            <w:tcW w:w="562" w:type="pct"/>
            <w:tcBorders>
              <w:top w:val="single" w:sz="4" w:space="0" w:color="auto"/>
              <w:left w:val="nil"/>
              <w:bottom w:val="single" w:sz="4" w:space="0" w:color="auto"/>
              <w:right w:val="single" w:sz="4" w:space="0" w:color="auto"/>
            </w:tcBorders>
            <w:shd w:val="clear" w:color="auto" w:fill="auto"/>
            <w:tcMar>
              <w:right w:w="57" w:type="dxa"/>
            </w:tcMar>
            <w:vAlign w:val="bottom"/>
          </w:tcPr>
          <w:p w:rsidR="002120A0" w:rsidRPr="00DC6D2E" w:rsidRDefault="002120A0" w:rsidP="009C17C4">
            <w:pPr>
              <w:spacing w:before="0" w:after="0"/>
              <w:jc w:val="center"/>
              <w:rPr>
                <w:rFonts w:ascii="Arial Narrow" w:eastAsia="Times New Roman" w:hAnsi="Arial Narrow" w:cs="Arial"/>
                <w:b/>
                <w:sz w:val="20"/>
                <w:lang w:eastAsia="en-AU"/>
              </w:rPr>
            </w:pPr>
            <w:r w:rsidRPr="00DC6D2E">
              <w:rPr>
                <w:rFonts w:ascii="Arial Narrow" w:hAnsi="Arial Narrow" w:cs="Arial"/>
                <w:b/>
                <w:bCs/>
                <w:sz w:val="20"/>
              </w:rPr>
              <w:t>-$</w:t>
            </w:r>
            <w:r w:rsidR="00AF06E3">
              <w:rPr>
                <w:rFonts w:ascii="Arial Narrow" w:hAnsi="Arial Narrow" w:cs="Arial"/>
                <w:b/>
                <w:bCs/>
                <w:noProof/>
                <w:color w:val="000000"/>
                <w:sz w:val="20"/>
                <w:highlight w:val="black"/>
              </w:rPr>
              <w:t>'''''''''''''</w:t>
            </w:r>
          </w:p>
        </w:tc>
        <w:tc>
          <w:tcPr>
            <w:tcW w:w="562" w:type="pct"/>
            <w:tcBorders>
              <w:top w:val="single" w:sz="4" w:space="0" w:color="auto"/>
              <w:left w:val="nil"/>
              <w:bottom w:val="single" w:sz="4" w:space="0" w:color="auto"/>
              <w:right w:val="single" w:sz="4" w:space="0" w:color="auto"/>
            </w:tcBorders>
            <w:shd w:val="clear" w:color="auto" w:fill="auto"/>
            <w:tcMar>
              <w:right w:w="57" w:type="dxa"/>
            </w:tcMar>
            <w:vAlign w:val="bottom"/>
          </w:tcPr>
          <w:p w:rsidR="002120A0" w:rsidRPr="00DC6D2E" w:rsidRDefault="002120A0" w:rsidP="009C17C4">
            <w:pPr>
              <w:spacing w:before="0" w:after="0"/>
              <w:jc w:val="center"/>
              <w:rPr>
                <w:rFonts w:ascii="Arial Narrow" w:eastAsia="Times New Roman" w:hAnsi="Arial Narrow" w:cs="Arial"/>
                <w:b/>
                <w:sz w:val="20"/>
                <w:lang w:eastAsia="en-AU"/>
              </w:rPr>
            </w:pPr>
            <w:r w:rsidRPr="00DC6D2E">
              <w:rPr>
                <w:rFonts w:ascii="Arial Narrow" w:hAnsi="Arial Narrow" w:cs="Arial"/>
                <w:b/>
                <w:bCs/>
                <w:sz w:val="20"/>
              </w:rPr>
              <w:t>-$</w:t>
            </w:r>
            <w:r w:rsidR="00AF06E3">
              <w:rPr>
                <w:rFonts w:ascii="Arial Narrow" w:hAnsi="Arial Narrow" w:cs="Arial"/>
                <w:b/>
                <w:bCs/>
                <w:noProof/>
                <w:color w:val="000000"/>
                <w:sz w:val="20"/>
                <w:highlight w:val="black"/>
              </w:rPr>
              <w:t>'''''''''''''</w:t>
            </w:r>
          </w:p>
        </w:tc>
        <w:tc>
          <w:tcPr>
            <w:tcW w:w="561" w:type="pct"/>
            <w:tcBorders>
              <w:top w:val="single" w:sz="4" w:space="0" w:color="auto"/>
              <w:left w:val="nil"/>
              <w:bottom w:val="single" w:sz="4" w:space="0" w:color="auto"/>
              <w:right w:val="single" w:sz="4" w:space="0" w:color="auto"/>
            </w:tcBorders>
            <w:shd w:val="clear" w:color="auto" w:fill="auto"/>
            <w:tcMar>
              <w:right w:w="57" w:type="dxa"/>
            </w:tcMar>
            <w:vAlign w:val="bottom"/>
          </w:tcPr>
          <w:p w:rsidR="002120A0" w:rsidRPr="00DC6D2E" w:rsidRDefault="002120A0" w:rsidP="009C17C4">
            <w:pPr>
              <w:spacing w:before="0" w:after="0"/>
              <w:jc w:val="center"/>
              <w:rPr>
                <w:rFonts w:ascii="Arial Narrow" w:eastAsia="Times New Roman" w:hAnsi="Arial Narrow" w:cs="Arial"/>
                <w:b/>
                <w:sz w:val="20"/>
                <w:lang w:eastAsia="en-AU"/>
              </w:rPr>
            </w:pPr>
            <w:r w:rsidRPr="00DC6D2E">
              <w:rPr>
                <w:rFonts w:ascii="Arial Narrow" w:hAnsi="Arial Narrow" w:cs="Arial"/>
                <w:b/>
                <w:bCs/>
                <w:sz w:val="20"/>
              </w:rPr>
              <w:t>-$</w:t>
            </w:r>
            <w:r w:rsidR="00AF06E3">
              <w:rPr>
                <w:rFonts w:ascii="Arial Narrow" w:hAnsi="Arial Narrow" w:cs="Arial"/>
                <w:b/>
                <w:bCs/>
                <w:noProof/>
                <w:color w:val="000000"/>
                <w:sz w:val="20"/>
                <w:highlight w:val="black"/>
              </w:rPr>
              <w:t>''''''''''''''</w:t>
            </w:r>
          </w:p>
        </w:tc>
        <w:tc>
          <w:tcPr>
            <w:tcW w:w="558" w:type="pct"/>
            <w:tcBorders>
              <w:top w:val="single" w:sz="4" w:space="0" w:color="auto"/>
              <w:left w:val="nil"/>
              <w:bottom w:val="single" w:sz="4" w:space="0" w:color="auto"/>
              <w:right w:val="single" w:sz="4" w:space="0" w:color="auto"/>
            </w:tcBorders>
            <w:shd w:val="clear" w:color="auto" w:fill="auto"/>
            <w:tcMar>
              <w:right w:w="57" w:type="dxa"/>
            </w:tcMar>
            <w:vAlign w:val="bottom"/>
          </w:tcPr>
          <w:p w:rsidR="002120A0" w:rsidRPr="00DC6D2E" w:rsidRDefault="002120A0" w:rsidP="009C17C4">
            <w:pPr>
              <w:spacing w:before="0" w:after="0"/>
              <w:jc w:val="center"/>
              <w:rPr>
                <w:rFonts w:ascii="Arial Narrow" w:eastAsia="Times New Roman" w:hAnsi="Arial Narrow" w:cs="Arial"/>
                <w:b/>
                <w:sz w:val="20"/>
                <w:lang w:eastAsia="en-AU"/>
              </w:rPr>
            </w:pPr>
            <w:r w:rsidRPr="00DC6D2E">
              <w:rPr>
                <w:rFonts w:ascii="Arial Narrow" w:hAnsi="Arial Narrow" w:cs="Arial"/>
                <w:b/>
                <w:bCs/>
                <w:sz w:val="20"/>
              </w:rPr>
              <w:t>-$</w:t>
            </w:r>
            <w:r w:rsidR="00AF06E3">
              <w:rPr>
                <w:rFonts w:ascii="Arial Narrow" w:hAnsi="Arial Narrow" w:cs="Arial"/>
                <w:b/>
                <w:bCs/>
                <w:noProof/>
                <w:color w:val="000000"/>
                <w:sz w:val="20"/>
                <w:highlight w:val="black"/>
              </w:rPr>
              <w:t>'''''''''''''''</w:t>
            </w:r>
          </w:p>
        </w:tc>
      </w:tr>
      <w:tr w:rsidR="002120A0" w:rsidRPr="00DC6D2E" w:rsidTr="009C17C4">
        <w:tc>
          <w:tcPr>
            <w:tcW w:w="1631" w:type="pct"/>
            <w:tcBorders>
              <w:top w:val="single" w:sz="4" w:space="0" w:color="auto"/>
              <w:left w:val="single" w:sz="4" w:space="0" w:color="auto"/>
              <w:bottom w:val="single" w:sz="4" w:space="0" w:color="auto"/>
            </w:tcBorders>
            <w:shd w:val="clear" w:color="auto" w:fill="auto"/>
            <w:vAlign w:val="center"/>
          </w:tcPr>
          <w:p w:rsidR="002120A0" w:rsidRPr="00DC6D2E" w:rsidRDefault="002120A0" w:rsidP="009C17C4">
            <w:pPr>
              <w:spacing w:before="0" w:after="0"/>
              <w:jc w:val="left"/>
              <w:rPr>
                <w:rFonts w:ascii="Arial Narrow" w:hAnsi="Arial Narrow"/>
                <w:b/>
                <w:sz w:val="20"/>
                <w:szCs w:val="20"/>
                <w:lang w:eastAsia="en-AU"/>
              </w:rPr>
            </w:pPr>
            <w:r w:rsidRPr="00DC6D2E">
              <w:rPr>
                <w:rFonts w:ascii="Arial Narrow" w:hAnsi="Arial Narrow"/>
                <w:b/>
                <w:sz w:val="20"/>
                <w:szCs w:val="20"/>
                <w:lang w:eastAsia="en-AU"/>
              </w:rPr>
              <w:t>Net cost to the government</w:t>
            </w:r>
          </w:p>
        </w:tc>
        <w:tc>
          <w:tcPr>
            <w:tcW w:w="563" w:type="pct"/>
            <w:tcBorders>
              <w:top w:val="single" w:sz="4" w:space="0" w:color="auto"/>
              <w:left w:val="nil"/>
              <w:bottom w:val="single" w:sz="4" w:space="0" w:color="auto"/>
              <w:right w:val="single" w:sz="4" w:space="0" w:color="auto"/>
            </w:tcBorders>
            <w:shd w:val="clear" w:color="auto" w:fill="auto"/>
            <w:tcMar>
              <w:right w:w="57" w:type="dxa"/>
            </w:tcMar>
            <w:vAlign w:val="bottom"/>
          </w:tcPr>
          <w:p w:rsidR="002120A0" w:rsidRPr="00DC6D2E" w:rsidRDefault="002120A0" w:rsidP="009C17C4">
            <w:pPr>
              <w:spacing w:before="0" w:after="0"/>
              <w:jc w:val="center"/>
              <w:rPr>
                <w:rFonts w:ascii="Arial Narrow" w:hAnsi="Arial Narrow"/>
                <w:b/>
                <w:sz w:val="20"/>
                <w:szCs w:val="20"/>
              </w:rPr>
            </w:pPr>
            <w:r w:rsidRPr="00DC6D2E">
              <w:rPr>
                <w:rFonts w:ascii="Arial Narrow" w:eastAsia="Times New Roman" w:hAnsi="Arial Narrow" w:cs="Arial"/>
                <w:b/>
                <w:bCs/>
                <w:sz w:val="20"/>
                <w:lang w:eastAsia="en-AU"/>
              </w:rPr>
              <w:t>$</w:t>
            </w:r>
            <w:r w:rsidR="00AF06E3">
              <w:rPr>
                <w:rFonts w:ascii="Arial Narrow" w:eastAsia="Times New Roman" w:hAnsi="Arial Narrow" w:cs="Arial"/>
                <w:b/>
                <w:bCs/>
                <w:noProof/>
                <w:color w:val="000000"/>
                <w:sz w:val="20"/>
                <w:highlight w:val="black"/>
                <w:lang w:eastAsia="en-AU"/>
              </w:rPr>
              <w:t>'''''''''''''''''''</w:t>
            </w:r>
          </w:p>
        </w:tc>
        <w:tc>
          <w:tcPr>
            <w:tcW w:w="563" w:type="pct"/>
            <w:tcBorders>
              <w:top w:val="single" w:sz="4" w:space="0" w:color="auto"/>
              <w:left w:val="nil"/>
              <w:bottom w:val="single" w:sz="4" w:space="0" w:color="auto"/>
              <w:right w:val="single" w:sz="4" w:space="0" w:color="auto"/>
            </w:tcBorders>
            <w:shd w:val="clear" w:color="auto" w:fill="auto"/>
            <w:tcMar>
              <w:right w:w="57" w:type="dxa"/>
            </w:tcMar>
            <w:vAlign w:val="bottom"/>
          </w:tcPr>
          <w:p w:rsidR="002120A0" w:rsidRPr="00DC6D2E" w:rsidRDefault="002120A0" w:rsidP="009C17C4">
            <w:pPr>
              <w:spacing w:before="0" w:after="0"/>
              <w:jc w:val="center"/>
              <w:rPr>
                <w:rFonts w:ascii="Arial Narrow" w:hAnsi="Arial Narrow"/>
                <w:b/>
                <w:sz w:val="20"/>
                <w:szCs w:val="20"/>
              </w:rPr>
            </w:pPr>
            <w:r w:rsidRPr="00DC6D2E">
              <w:rPr>
                <w:rFonts w:ascii="Arial Narrow" w:eastAsia="Times New Roman" w:hAnsi="Arial Narrow" w:cs="Arial"/>
                <w:b/>
                <w:bCs/>
                <w:sz w:val="20"/>
                <w:lang w:eastAsia="en-AU"/>
              </w:rPr>
              <w:t>$</w:t>
            </w:r>
            <w:r w:rsidR="00AF06E3">
              <w:rPr>
                <w:rFonts w:ascii="Arial Narrow" w:eastAsia="Times New Roman" w:hAnsi="Arial Narrow" w:cs="Arial"/>
                <w:b/>
                <w:bCs/>
                <w:noProof/>
                <w:color w:val="000000"/>
                <w:sz w:val="20"/>
                <w:highlight w:val="black"/>
                <w:lang w:eastAsia="en-AU"/>
              </w:rPr>
              <w:t>''''''''''''''''</w:t>
            </w:r>
          </w:p>
        </w:tc>
        <w:tc>
          <w:tcPr>
            <w:tcW w:w="562" w:type="pct"/>
            <w:tcBorders>
              <w:top w:val="single" w:sz="4" w:space="0" w:color="auto"/>
              <w:left w:val="nil"/>
              <w:bottom w:val="single" w:sz="4" w:space="0" w:color="auto"/>
              <w:right w:val="single" w:sz="4" w:space="0" w:color="auto"/>
            </w:tcBorders>
            <w:shd w:val="clear" w:color="auto" w:fill="auto"/>
            <w:tcMar>
              <w:right w:w="57" w:type="dxa"/>
            </w:tcMar>
            <w:vAlign w:val="bottom"/>
          </w:tcPr>
          <w:p w:rsidR="002120A0" w:rsidRPr="00DC6D2E" w:rsidRDefault="002120A0" w:rsidP="009C17C4">
            <w:pPr>
              <w:spacing w:before="0" w:after="0"/>
              <w:jc w:val="center"/>
              <w:rPr>
                <w:rFonts w:ascii="Arial Narrow" w:hAnsi="Arial Narrow"/>
                <w:b/>
                <w:sz w:val="20"/>
                <w:szCs w:val="20"/>
              </w:rPr>
            </w:pPr>
            <w:r w:rsidRPr="00DC6D2E">
              <w:rPr>
                <w:rFonts w:ascii="Arial Narrow" w:eastAsia="Times New Roman" w:hAnsi="Arial Narrow" w:cs="Arial"/>
                <w:b/>
                <w:bCs/>
                <w:sz w:val="20"/>
                <w:lang w:eastAsia="en-AU"/>
              </w:rPr>
              <w:t>-$</w:t>
            </w:r>
            <w:r w:rsidR="00AF06E3">
              <w:rPr>
                <w:rFonts w:ascii="Arial Narrow" w:eastAsia="Times New Roman" w:hAnsi="Arial Narrow" w:cs="Arial"/>
                <w:b/>
                <w:bCs/>
                <w:noProof/>
                <w:color w:val="000000"/>
                <w:sz w:val="20"/>
                <w:highlight w:val="black"/>
                <w:lang w:eastAsia="en-AU"/>
              </w:rPr>
              <w:t>''''''''''''</w:t>
            </w:r>
          </w:p>
        </w:tc>
        <w:tc>
          <w:tcPr>
            <w:tcW w:w="562" w:type="pct"/>
            <w:tcBorders>
              <w:top w:val="single" w:sz="4" w:space="0" w:color="auto"/>
              <w:left w:val="nil"/>
              <w:bottom w:val="single" w:sz="4" w:space="0" w:color="auto"/>
              <w:right w:val="single" w:sz="4" w:space="0" w:color="auto"/>
            </w:tcBorders>
            <w:shd w:val="clear" w:color="auto" w:fill="auto"/>
            <w:tcMar>
              <w:right w:w="57" w:type="dxa"/>
            </w:tcMar>
            <w:vAlign w:val="bottom"/>
          </w:tcPr>
          <w:p w:rsidR="002120A0" w:rsidRPr="00DC6D2E" w:rsidRDefault="002120A0" w:rsidP="009C17C4">
            <w:pPr>
              <w:spacing w:before="0" w:after="0"/>
              <w:jc w:val="center"/>
              <w:rPr>
                <w:rFonts w:ascii="Arial Narrow" w:hAnsi="Arial Narrow"/>
                <w:b/>
                <w:sz w:val="20"/>
                <w:szCs w:val="20"/>
              </w:rPr>
            </w:pPr>
            <w:r w:rsidRPr="00DC6D2E">
              <w:rPr>
                <w:rFonts w:ascii="Arial Narrow" w:eastAsia="Times New Roman" w:hAnsi="Arial Narrow" w:cs="Arial"/>
                <w:b/>
                <w:bCs/>
                <w:sz w:val="20"/>
                <w:lang w:eastAsia="en-AU"/>
              </w:rPr>
              <w:t>-$</w:t>
            </w:r>
            <w:r w:rsidR="00AF06E3">
              <w:rPr>
                <w:rFonts w:ascii="Arial Narrow" w:eastAsia="Times New Roman" w:hAnsi="Arial Narrow" w:cs="Arial"/>
                <w:b/>
                <w:bCs/>
                <w:noProof/>
                <w:color w:val="000000"/>
                <w:sz w:val="20"/>
                <w:highlight w:val="black"/>
                <w:lang w:eastAsia="en-AU"/>
              </w:rPr>
              <w:t>''''''''''''</w:t>
            </w:r>
          </w:p>
        </w:tc>
        <w:tc>
          <w:tcPr>
            <w:tcW w:w="561" w:type="pct"/>
            <w:tcBorders>
              <w:top w:val="single" w:sz="4" w:space="0" w:color="auto"/>
              <w:left w:val="nil"/>
              <w:bottom w:val="single" w:sz="4" w:space="0" w:color="auto"/>
              <w:right w:val="single" w:sz="4" w:space="0" w:color="auto"/>
            </w:tcBorders>
            <w:shd w:val="clear" w:color="auto" w:fill="auto"/>
            <w:tcMar>
              <w:right w:w="57" w:type="dxa"/>
            </w:tcMar>
            <w:vAlign w:val="bottom"/>
          </w:tcPr>
          <w:p w:rsidR="002120A0" w:rsidRPr="00DC6D2E" w:rsidRDefault="002120A0" w:rsidP="009C17C4">
            <w:pPr>
              <w:spacing w:before="0" w:after="0"/>
              <w:jc w:val="center"/>
              <w:rPr>
                <w:rFonts w:ascii="Arial Narrow" w:hAnsi="Arial Narrow"/>
                <w:b/>
                <w:sz w:val="20"/>
                <w:szCs w:val="20"/>
              </w:rPr>
            </w:pPr>
            <w:r w:rsidRPr="00DC6D2E">
              <w:rPr>
                <w:rFonts w:ascii="Arial Narrow" w:eastAsia="Times New Roman" w:hAnsi="Arial Narrow" w:cs="Arial"/>
                <w:b/>
                <w:bCs/>
                <w:sz w:val="20"/>
                <w:lang w:eastAsia="en-AU"/>
              </w:rPr>
              <w:t>-$</w:t>
            </w:r>
            <w:r w:rsidR="00AF06E3">
              <w:rPr>
                <w:rFonts w:ascii="Arial Narrow" w:eastAsia="Times New Roman" w:hAnsi="Arial Narrow" w:cs="Arial"/>
                <w:b/>
                <w:bCs/>
                <w:noProof/>
                <w:color w:val="000000"/>
                <w:sz w:val="20"/>
                <w:highlight w:val="black"/>
                <w:lang w:eastAsia="en-AU"/>
              </w:rPr>
              <w:t>''''''''''''''</w:t>
            </w:r>
          </w:p>
        </w:tc>
        <w:tc>
          <w:tcPr>
            <w:tcW w:w="558" w:type="pct"/>
            <w:tcBorders>
              <w:top w:val="single" w:sz="4" w:space="0" w:color="auto"/>
              <w:left w:val="nil"/>
              <w:bottom w:val="single" w:sz="4" w:space="0" w:color="auto"/>
              <w:right w:val="single" w:sz="4" w:space="0" w:color="auto"/>
            </w:tcBorders>
            <w:shd w:val="clear" w:color="auto" w:fill="auto"/>
            <w:tcMar>
              <w:right w:w="57" w:type="dxa"/>
            </w:tcMar>
            <w:vAlign w:val="bottom"/>
          </w:tcPr>
          <w:p w:rsidR="002120A0" w:rsidRPr="00DC6D2E" w:rsidRDefault="002120A0" w:rsidP="009C17C4">
            <w:pPr>
              <w:spacing w:before="0" w:after="0"/>
              <w:jc w:val="center"/>
              <w:rPr>
                <w:rFonts w:ascii="Arial Narrow" w:hAnsi="Arial Narrow"/>
                <w:b/>
                <w:sz w:val="20"/>
                <w:szCs w:val="20"/>
              </w:rPr>
            </w:pPr>
            <w:r w:rsidRPr="00DC6D2E">
              <w:rPr>
                <w:rFonts w:ascii="Arial Narrow" w:eastAsia="Times New Roman" w:hAnsi="Arial Narrow" w:cs="Arial"/>
                <w:b/>
                <w:bCs/>
                <w:sz w:val="20"/>
                <w:lang w:eastAsia="en-AU"/>
              </w:rPr>
              <w:t>-$</w:t>
            </w:r>
            <w:r w:rsidR="00AF06E3">
              <w:rPr>
                <w:rFonts w:ascii="Arial Narrow" w:eastAsia="Times New Roman" w:hAnsi="Arial Narrow" w:cs="Arial"/>
                <w:b/>
                <w:bCs/>
                <w:noProof/>
                <w:color w:val="000000"/>
                <w:sz w:val="20"/>
                <w:highlight w:val="black"/>
                <w:lang w:eastAsia="en-AU"/>
              </w:rPr>
              <w:t>''''''''''''</w:t>
            </w:r>
          </w:p>
        </w:tc>
      </w:tr>
    </w:tbl>
    <w:p w:rsidR="002120A0" w:rsidRPr="00DC6D2E" w:rsidRDefault="002120A0" w:rsidP="002120A0">
      <w:pPr>
        <w:widowControl w:val="0"/>
        <w:spacing w:before="0" w:after="240"/>
        <w:contextualSpacing/>
        <w:rPr>
          <w:rFonts w:ascii="Arial Narrow" w:eastAsia="Times New Roman" w:hAnsi="Arial Narrow" w:cs="Arial"/>
          <w:snapToGrid w:val="0"/>
          <w:sz w:val="18"/>
          <w:szCs w:val="20"/>
        </w:rPr>
      </w:pPr>
      <w:r w:rsidRPr="00DC6D2E">
        <w:rPr>
          <w:rFonts w:ascii="Arial Narrow" w:eastAsia="Times New Roman" w:hAnsi="Arial Narrow" w:cs="Arial"/>
          <w:snapToGrid w:val="0"/>
          <w:sz w:val="18"/>
          <w:szCs w:val="20"/>
        </w:rPr>
        <w:t>Abbreviations: DPMQ, dispensed price for maximum quantity</w:t>
      </w:r>
    </w:p>
    <w:p w:rsidR="002120A0" w:rsidRPr="00DC6D2E" w:rsidRDefault="002120A0" w:rsidP="002120A0">
      <w:pPr>
        <w:widowControl w:val="0"/>
        <w:spacing w:before="0" w:after="240"/>
        <w:rPr>
          <w:rFonts w:ascii="Arial Narrow" w:eastAsia="Times New Roman" w:hAnsi="Arial Narrow" w:cs="Arial"/>
          <w:snapToGrid w:val="0"/>
          <w:sz w:val="18"/>
          <w:szCs w:val="20"/>
        </w:rPr>
      </w:pPr>
      <w:r w:rsidRPr="00DC6D2E">
        <w:rPr>
          <w:rFonts w:ascii="Arial Narrow" w:eastAsia="Times New Roman" w:hAnsi="Arial Narrow" w:cs="Arial"/>
          <w:snapToGrid w:val="0"/>
          <w:sz w:val="18"/>
          <w:szCs w:val="20"/>
        </w:rPr>
        <w:t>Source: constructed during the evaluation using ‘CIS - Section 4 Base Case (6 March 2017)’ spreadsheet provided with the submission</w:t>
      </w:r>
    </w:p>
    <w:p w:rsidR="002120A0" w:rsidRPr="00DC6D2E" w:rsidRDefault="002120A0" w:rsidP="00A80CF3">
      <w:pPr>
        <w:numPr>
          <w:ilvl w:val="1"/>
          <w:numId w:val="3"/>
        </w:numPr>
        <w:spacing w:before="0" w:after="120"/>
      </w:pPr>
      <w:r w:rsidRPr="00DC6D2E">
        <w:t>The net cost to the PBS/RPBS of listing glatiramer acetate was estimated to be $</w:t>
      </w:r>
      <w:r w:rsidR="00AF06E3">
        <w:rPr>
          <w:noProof/>
          <w:color w:val="000000"/>
          <w:highlight w:val="black"/>
        </w:rPr>
        <w:t>''''''''</w:t>
      </w:r>
      <w:r w:rsidRPr="00DC6D2E">
        <w:t xml:space="preserve"> million in Year 1, with smaller costs in subsequent years, due to increasing switching rates from displaced therapies (50% in Year 1; 75% in Year 2; 100% in subsequent years). The estimated cumulative cost in the first six years of listing was </w:t>
      </w:r>
      <w:r w:rsidR="00A80CF3">
        <w:t>less than $10 million</w:t>
      </w:r>
      <w:r w:rsidRPr="00DC6D2E">
        <w:t>.</w:t>
      </w:r>
    </w:p>
    <w:p w:rsidR="002120A0" w:rsidRDefault="002120A0" w:rsidP="005875D1">
      <w:pPr>
        <w:numPr>
          <w:ilvl w:val="1"/>
          <w:numId w:val="3"/>
        </w:numPr>
        <w:spacing w:before="0" w:after="120"/>
      </w:pPr>
      <w:r>
        <w:t xml:space="preserve">The DUSC considered the estimates presented in the submission to be overestimated and highly uncertain. The main issues </w:t>
      </w:r>
      <w:r w:rsidR="00F25EB1">
        <w:t>were identified as follows.</w:t>
      </w:r>
    </w:p>
    <w:p w:rsidR="002120A0" w:rsidRDefault="002120A0" w:rsidP="005875D1">
      <w:pPr>
        <w:numPr>
          <w:ilvl w:val="1"/>
          <w:numId w:val="3"/>
        </w:numPr>
        <w:spacing w:before="0" w:after="120"/>
      </w:pPr>
      <w:r>
        <w:t>There was a lack of detail on the expert advice that was used to inform the assumptions for the financial estimates. As such, DUSC questioned the validity of all assumptions related to the expert advice.</w:t>
      </w:r>
    </w:p>
    <w:p w:rsidR="002120A0" w:rsidRDefault="002120A0" w:rsidP="005875D1">
      <w:pPr>
        <w:numPr>
          <w:ilvl w:val="1"/>
          <w:numId w:val="3"/>
        </w:numPr>
        <w:spacing w:before="0" w:after="120"/>
      </w:pPr>
      <w:r>
        <w:t>The estimate of incident patients was added to the estimate of prevalent patients which resul</w:t>
      </w:r>
      <w:r w:rsidR="00782C3F">
        <w:t>ts in an average</w:t>
      </w:r>
      <w:r>
        <w:t xml:space="preserve"> duration </w:t>
      </w:r>
      <w:r w:rsidR="00782C3F">
        <w:t xml:space="preserve">with </w:t>
      </w:r>
      <w:r w:rsidR="00782C3F" w:rsidRPr="002120A0">
        <w:t>clinically isolated syndrome</w:t>
      </w:r>
      <w:r w:rsidR="00782C3F">
        <w:t xml:space="preserve"> </w:t>
      </w:r>
      <w:r>
        <w:t>of six years rather than five years.</w:t>
      </w:r>
    </w:p>
    <w:p w:rsidR="002120A0" w:rsidRDefault="002120A0" w:rsidP="005875D1">
      <w:pPr>
        <w:numPr>
          <w:ilvl w:val="1"/>
          <w:numId w:val="3"/>
        </w:numPr>
        <w:spacing w:before="0" w:after="120"/>
      </w:pPr>
      <w:r>
        <w:t>The submission assumes patients defined as being in the high risk group are likely to co</w:t>
      </w:r>
      <w:r w:rsidR="00782C3F">
        <w:t xml:space="preserve">nvert to multiple sclerosis </w:t>
      </w:r>
      <w:r>
        <w:t xml:space="preserve">early. </w:t>
      </w:r>
      <w:r w:rsidR="00782C3F">
        <w:t xml:space="preserve">The </w:t>
      </w:r>
      <w:r>
        <w:t xml:space="preserve">DUSC commented </w:t>
      </w:r>
      <w:r w:rsidR="00770A58">
        <w:t xml:space="preserve">that </w:t>
      </w:r>
      <w:r>
        <w:t>it is therefore unlikely these patients will b</w:t>
      </w:r>
      <w:r w:rsidR="00782C3F">
        <w:t>e in the prevalent pool of</w:t>
      </w:r>
      <w:r>
        <w:t xml:space="preserve"> patients</w:t>
      </w:r>
      <w:r w:rsidR="00782C3F">
        <w:t xml:space="preserve"> with </w:t>
      </w:r>
      <w:r w:rsidR="00782C3F" w:rsidRPr="002120A0">
        <w:t>clinically isolated syndrome</w:t>
      </w:r>
      <w:r>
        <w:t xml:space="preserve"> five years after their initial attack. Calculating the prevalent pool from incident patients prior to applying the proportion of high risk patients is likely to overest</w:t>
      </w:r>
      <w:r w:rsidR="00782C3F">
        <w:t>imate the number of eligible</w:t>
      </w:r>
      <w:r>
        <w:t xml:space="preserve"> patients</w:t>
      </w:r>
      <w:r w:rsidR="00782C3F">
        <w:t xml:space="preserve"> with </w:t>
      </w:r>
      <w:r w:rsidR="00782C3F" w:rsidRPr="002120A0">
        <w:t>clinically isolated syndrome</w:t>
      </w:r>
      <w:r>
        <w:t>.</w:t>
      </w:r>
    </w:p>
    <w:p w:rsidR="002120A0" w:rsidRDefault="002120A0" w:rsidP="005875D1">
      <w:pPr>
        <w:numPr>
          <w:ilvl w:val="1"/>
          <w:numId w:val="3"/>
        </w:numPr>
        <w:spacing w:before="0" w:after="120"/>
      </w:pPr>
      <w:r>
        <w:t>The su</w:t>
      </w:r>
      <w:r w:rsidR="00782C3F">
        <w:t>bmission assumed that 25% of</w:t>
      </w:r>
      <w:r>
        <w:t xml:space="preserve"> patients</w:t>
      </w:r>
      <w:r w:rsidR="00782C3F">
        <w:t xml:space="preserve"> with </w:t>
      </w:r>
      <w:r w:rsidR="00782C3F" w:rsidRPr="002120A0">
        <w:t>clinically isolated syndrome</w:t>
      </w:r>
      <w:r>
        <w:t xml:space="preserve"> would be considered high risk and eligible for glatiramer treatment based on the MSBase dataset (inflated to account for the availability of a subsidised treatment option). The MSBase dataset may be biased, as enrolment was not compulsory and patients eligible for treatment may be more likely to be enrolled in the dataset. It is unknown if the MSBase data reflects overall Australian patients.</w:t>
      </w:r>
    </w:p>
    <w:p w:rsidR="002120A0" w:rsidRDefault="002120A0" w:rsidP="005875D1">
      <w:pPr>
        <w:numPr>
          <w:ilvl w:val="1"/>
          <w:numId w:val="3"/>
        </w:numPr>
        <w:spacing w:before="0" w:after="120"/>
      </w:pPr>
      <w:r>
        <w:t xml:space="preserve">It is very unlikely patients being treated with oral therapies for early </w:t>
      </w:r>
      <w:r w:rsidR="00782C3F">
        <w:t xml:space="preserve">stage multiple sclerosis or </w:t>
      </w:r>
      <w:r w:rsidR="00782C3F" w:rsidRPr="002120A0">
        <w:t>clinically isolated syndrome</w:t>
      </w:r>
      <w:r>
        <w:t xml:space="preserve"> outside PBS restrictions will be willing to switch to glatiramer.</w:t>
      </w:r>
    </w:p>
    <w:p w:rsidR="00FD2149" w:rsidRPr="00CE5C86" w:rsidRDefault="00FD2149" w:rsidP="005875D1">
      <w:pPr>
        <w:numPr>
          <w:ilvl w:val="1"/>
          <w:numId w:val="3"/>
        </w:numPr>
        <w:spacing w:before="0" w:after="120"/>
      </w:pPr>
      <w:r>
        <w:t>The PBAC agreed with the DUSC and considered the projected PBS usage and financial implications were uncertain, as the number of patients eligible for treatment was difficult to estimate and there was a significant risk of use outside the requested restriction. The PBAC also considered that the substantial cost offsets estimated due to displaced therapies being used outside the PBS restriction were highly uncertain.</w:t>
      </w:r>
    </w:p>
    <w:p w:rsidR="00DC6D2E" w:rsidRPr="002720C1" w:rsidRDefault="00DC6D2E" w:rsidP="00716951">
      <w:pPr>
        <w:pStyle w:val="V50Heading2nonumbers"/>
      </w:pPr>
      <w:bookmarkStart w:id="41" w:name="_Toc413139285"/>
      <w:bookmarkStart w:id="42" w:name="_Toc476306895"/>
      <w:bookmarkStart w:id="43" w:name="_Toc482710356"/>
      <w:r w:rsidRPr="002720C1">
        <w:t>Quality Use of Medicines</w:t>
      </w:r>
      <w:bookmarkEnd w:id="41"/>
      <w:bookmarkEnd w:id="42"/>
      <w:bookmarkEnd w:id="43"/>
    </w:p>
    <w:p w:rsidR="00DC6D2E" w:rsidRPr="00CE5C86" w:rsidRDefault="00DC6D2E" w:rsidP="005875D1">
      <w:pPr>
        <w:numPr>
          <w:ilvl w:val="1"/>
          <w:numId w:val="3"/>
        </w:numPr>
        <w:spacing w:before="0" w:after="120"/>
      </w:pPr>
      <w:r w:rsidRPr="00CE5C86">
        <w:t>The sponsor described a telephone-based support system and in-home injection training by nurse advisors to assist patients in ad</w:t>
      </w:r>
      <w:r w:rsidR="00770A58">
        <w:t>ministering glatiramer acetate.</w:t>
      </w:r>
    </w:p>
    <w:p w:rsidR="00DC7BE7" w:rsidRPr="00CE5C86" w:rsidRDefault="00DC7BE7" w:rsidP="005875D1">
      <w:pPr>
        <w:numPr>
          <w:ilvl w:val="1"/>
          <w:numId w:val="3"/>
        </w:numPr>
        <w:spacing w:before="0" w:after="120"/>
      </w:pPr>
      <w:r w:rsidRPr="00CE5C86">
        <w:t xml:space="preserve">The current PBS multiple sclerosis listings do not specify </w:t>
      </w:r>
      <w:r w:rsidR="00807A48" w:rsidRPr="00CE5C86">
        <w:t>the use of the Poser or McDonald criteria</w:t>
      </w:r>
      <w:r w:rsidRPr="00CE5C86">
        <w:t xml:space="preserve"> for the diagnosis </w:t>
      </w:r>
      <w:r w:rsidR="00807A48" w:rsidRPr="00CE5C86">
        <w:t>of multiple sclerosis. Rather</w:t>
      </w:r>
      <w:r w:rsidRPr="00CE5C86">
        <w:t xml:space="preserve">, the current PBS listings for relapsing-remitting multiple sclerosis </w:t>
      </w:r>
      <w:proofErr w:type="gramStart"/>
      <w:r w:rsidRPr="00CE5C86">
        <w:t>are</w:t>
      </w:r>
      <w:proofErr w:type="gramEnd"/>
      <w:r w:rsidRPr="00CE5C86">
        <w:t xml:space="preserve"> restricted to populations with active disease, defined as ‘patients who have had 2 or more relapses in the preceding 2 years’. PBS treatment of </w:t>
      </w:r>
      <w:r w:rsidR="00595BE1" w:rsidRPr="00CE5C86">
        <w:t>clinically isolated syndrome</w:t>
      </w:r>
      <w:r w:rsidRPr="00CE5C86">
        <w:t xml:space="preserve"> (1 clinical </w:t>
      </w:r>
      <w:r w:rsidR="00523304" w:rsidRPr="00CE5C86">
        <w:t>attack</w:t>
      </w:r>
      <w:r w:rsidRPr="00CE5C86">
        <w:t>) and patients with active disease (patients with 2 or more relapses in 2 years) leaves a potential gap for patients who have been diagnosed with multiple sclerosis</w:t>
      </w:r>
      <w:r w:rsidR="00523304" w:rsidRPr="00CE5C86">
        <w:t xml:space="preserve"> (e</w:t>
      </w:r>
      <w:r w:rsidR="00500129">
        <w:t>.</w:t>
      </w:r>
      <w:r w:rsidR="00523304" w:rsidRPr="00CE5C86">
        <w:t>g</w:t>
      </w:r>
      <w:r w:rsidR="00500129">
        <w:t>.</w:t>
      </w:r>
      <w:r w:rsidR="00523304" w:rsidRPr="00CE5C86">
        <w:t xml:space="preserve"> using the McDonald criteria)</w:t>
      </w:r>
      <w:r w:rsidR="00770A58">
        <w:t>,</w:t>
      </w:r>
      <w:r w:rsidRPr="00CE5C86">
        <w:t xml:space="preserve"> but have not yet reached a sufficient relapse frequency to justify treatment under curre</w:t>
      </w:r>
      <w:r w:rsidR="00770A58">
        <w:t>nt multiple sclerosis listings.</w:t>
      </w:r>
    </w:p>
    <w:p w:rsidR="00DC6D2E" w:rsidRDefault="00DC7BE7" w:rsidP="005875D1">
      <w:pPr>
        <w:numPr>
          <w:ilvl w:val="1"/>
          <w:numId w:val="3"/>
        </w:numPr>
        <w:spacing w:before="0" w:after="120"/>
      </w:pPr>
      <w:r w:rsidRPr="00CE5C86">
        <w:t xml:space="preserve">The proposed listing for glatiramer acetate (which does not include a discontinuation criterion) would allow treatment in former </w:t>
      </w:r>
      <w:r w:rsidR="00595BE1" w:rsidRPr="00CE5C86">
        <w:t>clinically isolated syndrome</w:t>
      </w:r>
      <w:r w:rsidRPr="00CE5C86">
        <w:t xml:space="preserve"> patients with less active multiple sclerosis. Cost-effectiveness has not been demonstrated in this population. Additionally, the introduction of glatiramer acetate for clinically isolated syndrome, which reduces relapse frequency (but not necessarily disability progression) may delay access to more effective multiple sclerosis treatments (which have demonstrated improvements in disability progression). </w:t>
      </w:r>
      <w:r w:rsidR="006729AB" w:rsidRPr="00CE5C86">
        <w:t>The PSCR argued that discontinuation criteria would not be in the best interest of patients, and cited a</w:t>
      </w:r>
      <w:r w:rsidR="0090365B" w:rsidRPr="00CE5C86">
        <w:t>n analysis of MSBase</w:t>
      </w:r>
      <w:r w:rsidR="006729AB" w:rsidRPr="00CE5C86">
        <w:t xml:space="preserve"> (Kirste et al 2016)</w:t>
      </w:r>
      <w:r w:rsidR="0090365B" w:rsidRPr="00CE5C86">
        <w:t xml:space="preserve"> that indicated</w:t>
      </w:r>
      <w:r w:rsidR="006729AB" w:rsidRPr="00CE5C86">
        <w:t xml:space="preserve"> the time to </w:t>
      </w:r>
      <w:proofErr w:type="gramStart"/>
      <w:r w:rsidR="006729AB" w:rsidRPr="00CE5C86">
        <w:t>confirmed</w:t>
      </w:r>
      <w:proofErr w:type="gramEnd"/>
      <w:r w:rsidR="006729AB" w:rsidRPr="00CE5C86">
        <w:t xml:space="preserve"> disability progression was significantly shorter amongst </w:t>
      </w:r>
      <w:r w:rsidR="0090365B" w:rsidRPr="00CE5C86">
        <w:t xml:space="preserve">patients </w:t>
      </w:r>
      <w:r w:rsidR="006729AB" w:rsidRPr="00CE5C86">
        <w:t>who stopped disease modifying therapies</w:t>
      </w:r>
      <w:r w:rsidR="0090365B" w:rsidRPr="00CE5C86">
        <w:t xml:space="preserve"> compared to</w:t>
      </w:r>
      <w:r w:rsidR="00770A58">
        <w:t xml:space="preserve"> those who continued treatment.</w:t>
      </w:r>
    </w:p>
    <w:p w:rsidR="002120A0" w:rsidRPr="00CE5C86" w:rsidRDefault="00013855" w:rsidP="005875D1">
      <w:pPr>
        <w:numPr>
          <w:ilvl w:val="1"/>
          <w:numId w:val="3"/>
        </w:numPr>
        <w:spacing w:before="0" w:after="120"/>
      </w:pPr>
      <w:r>
        <w:t>The DUSC considered that t</w:t>
      </w:r>
      <w:r w:rsidRPr="00013855">
        <w:t xml:space="preserve">he risk of injection site reactions is very high. In the pivotal trial, 55% of patients experienced injection site reactions. </w:t>
      </w:r>
      <w:r w:rsidR="001C4720">
        <w:t xml:space="preserve">The </w:t>
      </w:r>
      <w:r w:rsidRPr="00013855">
        <w:t>DUSC considered that patients would benefit from ongoing support to manage these events and in home injection training.</w:t>
      </w:r>
    </w:p>
    <w:p w:rsidR="00DC6D2E" w:rsidRPr="002720C1" w:rsidRDefault="00DC6D2E" w:rsidP="00716951">
      <w:pPr>
        <w:pStyle w:val="V50Heading2nonumbers"/>
      </w:pPr>
      <w:bookmarkStart w:id="44" w:name="_Toc413139286"/>
      <w:bookmarkStart w:id="45" w:name="_Toc476306896"/>
      <w:bookmarkStart w:id="46" w:name="_Toc482710357"/>
      <w:r w:rsidRPr="002720C1">
        <w:t>Financial Management – Risk Sharing Arrangements</w:t>
      </w:r>
      <w:bookmarkEnd w:id="44"/>
      <w:bookmarkEnd w:id="45"/>
      <w:bookmarkEnd w:id="46"/>
    </w:p>
    <w:p w:rsidR="00DC6D2E" w:rsidRPr="00CE5C86" w:rsidRDefault="00DC6D2E" w:rsidP="005875D1">
      <w:pPr>
        <w:numPr>
          <w:ilvl w:val="1"/>
          <w:numId w:val="3"/>
        </w:numPr>
        <w:spacing w:before="0" w:after="120"/>
      </w:pPr>
      <w:bookmarkStart w:id="47" w:name="_Toc413139287"/>
      <w:bookmarkStart w:id="48" w:name="_Toc476306897"/>
      <w:r w:rsidRPr="00CE5C86">
        <w:t xml:space="preserve">The sponsor did not propose a risk share arrangement, stating </w:t>
      </w:r>
      <w:r w:rsidR="00770A58">
        <w:t xml:space="preserve">that </w:t>
      </w:r>
      <w:r w:rsidRPr="00CE5C86">
        <w:t xml:space="preserve">it would be difficult in practice to effectively separate </w:t>
      </w:r>
      <w:r w:rsidR="00595BE1" w:rsidRPr="00CE5C86">
        <w:t>clinically isolated syndrome from multiple sclerosis</w:t>
      </w:r>
      <w:r w:rsidRPr="00CE5C86">
        <w:t xml:space="preserve"> prescribing, which would possibly result in pre-defined annual risk share caps being inadvertently exceeded. No special p</w:t>
      </w:r>
      <w:r w:rsidR="00CB55FC">
        <w:t>ricing arrangement was sought by</w:t>
      </w:r>
      <w:r w:rsidR="00770A58">
        <w:t xml:space="preserve"> the sponsor.</w:t>
      </w:r>
    </w:p>
    <w:p w:rsidR="0039468A" w:rsidRPr="00CE5C86" w:rsidRDefault="00DC6D2E" w:rsidP="005875D1">
      <w:pPr>
        <w:numPr>
          <w:ilvl w:val="1"/>
          <w:numId w:val="3"/>
        </w:numPr>
        <w:spacing w:before="0" w:after="120"/>
      </w:pPr>
      <w:r w:rsidRPr="00CE5C86">
        <w:t>The sponsor stated that</w:t>
      </w:r>
      <w:r w:rsidR="00770A58">
        <w:t>,</w:t>
      </w:r>
      <w:r w:rsidRPr="00CE5C86">
        <w:t xml:space="preserve"> in order to reduce uncertainty, the proposed restriction requires that a neurologist has made the diagnosis before treatment can be initiated.</w:t>
      </w:r>
      <w:bookmarkEnd w:id="47"/>
      <w:bookmarkEnd w:id="48"/>
    </w:p>
    <w:p w:rsidR="0033089E" w:rsidRPr="00CE5C86" w:rsidRDefault="00CE5C86" w:rsidP="00770A58">
      <w:pPr>
        <w:spacing w:after="120"/>
        <w:ind w:left="709"/>
        <w:rPr>
          <w:i/>
        </w:rPr>
      </w:pPr>
      <w:r w:rsidRPr="00CE5C86">
        <w:rPr>
          <w:i/>
        </w:rPr>
        <w:t>For more detail on PBAC’s view, see section 7 “PBAC outcome”</w:t>
      </w:r>
      <w:r w:rsidR="00770A58">
        <w:rPr>
          <w:i/>
        </w:rPr>
        <w:t>.</w:t>
      </w:r>
    </w:p>
    <w:p w:rsidR="007A7D24" w:rsidRPr="007A7D24" w:rsidRDefault="007A7D24" w:rsidP="007A7D24">
      <w:pPr>
        <w:pStyle w:val="Heading1"/>
        <w:ind w:left="709" w:hanging="709"/>
      </w:pPr>
      <w:r w:rsidRPr="00B24C96">
        <w:t>PBAC Outcome</w:t>
      </w:r>
    </w:p>
    <w:p w:rsidR="000E1FBE" w:rsidRPr="000165A9" w:rsidRDefault="000E1FBE" w:rsidP="00880D79">
      <w:pPr>
        <w:pStyle w:val="ListParagraph"/>
        <w:numPr>
          <w:ilvl w:val="1"/>
          <w:numId w:val="1"/>
        </w:numPr>
        <w:spacing w:before="0" w:after="120"/>
        <w:ind w:left="709" w:hanging="709"/>
        <w:contextualSpacing w:val="0"/>
        <w:rPr>
          <w:snapToGrid w:val="0"/>
        </w:rPr>
      </w:pPr>
      <w:r w:rsidRPr="00F55B3B">
        <w:rPr>
          <w:rFonts w:cs="Arial"/>
          <w:snapToGrid w:val="0"/>
          <w:szCs w:val="20"/>
        </w:rPr>
        <w:t>The PBAC did not recommend the listing of glatiramer acetate for the treatment of patients with cl</w:t>
      </w:r>
      <w:r>
        <w:rPr>
          <w:rFonts w:cs="Arial"/>
          <w:snapToGrid w:val="0"/>
          <w:szCs w:val="20"/>
        </w:rPr>
        <w:t>inically isolated syndrome</w:t>
      </w:r>
      <w:r w:rsidR="00EE5D81">
        <w:rPr>
          <w:rFonts w:cs="Arial"/>
          <w:snapToGrid w:val="0"/>
          <w:szCs w:val="20"/>
        </w:rPr>
        <w:t>,</w:t>
      </w:r>
      <w:r w:rsidRPr="00F55B3B">
        <w:rPr>
          <w:rFonts w:cs="Arial"/>
          <w:snapToGrid w:val="0"/>
          <w:szCs w:val="20"/>
        </w:rPr>
        <w:t xml:space="preserve"> </w:t>
      </w:r>
      <w:r w:rsidR="00EE5D81">
        <w:t xml:space="preserve">on the basis of </w:t>
      </w:r>
      <w:r w:rsidR="00EE5D81" w:rsidRPr="005C290A">
        <w:t>u</w:t>
      </w:r>
      <w:r w:rsidR="00EE5D81">
        <w:t xml:space="preserve">ncertain </w:t>
      </w:r>
      <w:r w:rsidR="00770A58">
        <w:t xml:space="preserve">extent of clinical benefit and resulting </w:t>
      </w:r>
      <w:r w:rsidR="00EE5D81">
        <w:t xml:space="preserve">cost-effectiveness, </w:t>
      </w:r>
      <w:r w:rsidR="00EE5D81" w:rsidRPr="005C290A">
        <w:t xml:space="preserve">concerns about </w:t>
      </w:r>
      <w:r w:rsidR="00EE5D81">
        <w:t>the plausibility of assumptions</w:t>
      </w:r>
      <w:r w:rsidR="00EE5D81" w:rsidRPr="005C290A">
        <w:t xml:space="preserve"> </w:t>
      </w:r>
      <w:r w:rsidR="00EE5D81">
        <w:t xml:space="preserve">used in the </w:t>
      </w:r>
      <w:r w:rsidR="00EE5D81" w:rsidRPr="005C290A">
        <w:t>economic</w:t>
      </w:r>
      <w:r w:rsidR="00EE5D81">
        <w:t xml:space="preserve"> model</w:t>
      </w:r>
      <w:r w:rsidR="00770A58">
        <w:t>,</w:t>
      </w:r>
      <w:r w:rsidR="00EE5D81">
        <w:t xml:space="preserve"> and uncertainty with</w:t>
      </w:r>
      <w:r w:rsidR="00F66382">
        <w:t xml:space="preserve"> the</w:t>
      </w:r>
      <w:r w:rsidR="00EE5D81">
        <w:t xml:space="preserve"> utilisation e</w:t>
      </w:r>
      <w:r w:rsidR="00F66382">
        <w:t>stimates due to issues with</w:t>
      </w:r>
      <w:r w:rsidR="00EE5D81">
        <w:t xml:space="preserve"> defining the target PBS population</w:t>
      </w:r>
      <w:r w:rsidRPr="00F55B3B">
        <w:rPr>
          <w:rFonts w:cs="Arial"/>
          <w:snapToGrid w:val="0"/>
          <w:szCs w:val="20"/>
        </w:rPr>
        <w:t>.</w:t>
      </w:r>
    </w:p>
    <w:p w:rsidR="00F66382" w:rsidRPr="002E0FEC" w:rsidRDefault="00F66382" w:rsidP="00880D79">
      <w:pPr>
        <w:pStyle w:val="ListParagraph"/>
        <w:numPr>
          <w:ilvl w:val="1"/>
          <w:numId w:val="1"/>
        </w:numPr>
        <w:spacing w:before="0" w:after="120"/>
        <w:ind w:left="709" w:hanging="709"/>
        <w:contextualSpacing w:val="0"/>
        <w:rPr>
          <w:snapToGrid w:val="0"/>
        </w:rPr>
      </w:pPr>
      <w:r>
        <w:t xml:space="preserve">The PBAC noted the consumer comments and acknowledged that there was a need to address the current PBS criteria for treatments for multiple sclerosis. </w:t>
      </w:r>
      <w:r w:rsidR="008E6AFD">
        <w:t xml:space="preserve">However, the PBAC considered that the need to review the PBS criteria for RRMS treatments was an issue applicable for all PBS listed medicines for multiple sclerosis, and not isolated to glatiramer acetate. The PBAC also noted the value placed by patients to </w:t>
      </w:r>
      <w:r w:rsidR="008E6AFD" w:rsidRPr="002E0FEC">
        <w:t>access treatment as early as possible in the mult</w:t>
      </w:r>
      <w:r w:rsidR="00770A58">
        <w:t xml:space="preserve">iple sclerosis disease </w:t>
      </w:r>
      <w:proofErr w:type="gramStart"/>
      <w:r w:rsidR="00770A58">
        <w:t>pathway</w:t>
      </w:r>
      <w:proofErr w:type="gramEnd"/>
      <w:r w:rsidR="00770A58">
        <w:t>.</w:t>
      </w:r>
    </w:p>
    <w:p w:rsidR="00F66382" w:rsidRPr="002E0FEC" w:rsidRDefault="00F66382" w:rsidP="00880D79">
      <w:pPr>
        <w:pStyle w:val="ListParagraph"/>
        <w:numPr>
          <w:ilvl w:val="1"/>
          <w:numId w:val="1"/>
        </w:numPr>
        <w:spacing w:before="0" w:after="120"/>
        <w:ind w:left="709" w:hanging="709"/>
        <w:contextualSpacing w:val="0"/>
        <w:rPr>
          <w:snapToGrid w:val="0"/>
        </w:rPr>
      </w:pPr>
      <w:r w:rsidRPr="002E0FEC">
        <w:rPr>
          <w:rFonts w:cs="Arial"/>
          <w:snapToGrid w:val="0"/>
          <w:szCs w:val="20"/>
        </w:rPr>
        <w:t>The PBAC considered that the requested restriction, which included only patients with clinically isolated syndrome at high risk of developing clinically de</w:t>
      </w:r>
      <w:r w:rsidR="002E0FEC">
        <w:rPr>
          <w:rFonts w:cs="Arial"/>
          <w:snapToGrid w:val="0"/>
          <w:szCs w:val="20"/>
        </w:rPr>
        <w:t>finite multiple sclerosis</w:t>
      </w:r>
      <w:r w:rsidRPr="002E0FEC">
        <w:rPr>
          <w:rFonts w:cs="Arial"/>
          <w:snapToGrid w:val="0"/>
          <w:szCs w:val="20"/>
        </w:rPr>
        <w:t xml:space="preserve">, </w:t>
      </w:r>
      <w:r w:rsidR="002E0FEC">
        <w:rPr>
          <w:rFonts w:cs="Arial"/>
          <w:snapToGrid w:val="0"/>
          <w:szCs w:val="20"/>
        </w:rPr>
        <w:t>was narrowly defined and may exclude patients likely to benefit from treatment. The PBAC was concerned that the regression model derived from the analysis of MSBase may not be a robust method to identify high risk patients in the PBS setting and was not the appropriate basis to develop the PBS restriction.</w:t>
      </w:r>
    </w:p>
    <w:p w:rsidR="008E6AFD" w:rsidRPr="00FD2CDA" w:rsidRDefault="008E6AFD" w:rsidP="00880D79">
      <w:pPr>
        <w:pStyle w:val="ListParagraph"/>
        <w:numPr>
          <w:ilvl w:val="1"/>
          <w:numId w:val="1"/>
        </w:numPr>
        <w:spacing w:before="0" w:after="120"/>
        <w:ind w:left="709" w:hanging="709"/>
        <w:contextualSpacing w:val="0"/>
        <w:rPr>
          <w:snapToGrid w:val="0"/>
        </w:rPr>
      </w:pPr>
      <w:r w:rsidRPr="002E0FEC">
        <w:rPr>
          <w:rFonts w:cs="Arial"/>
          <w:snapToGrid w:val="0"/>
          <w:szCs w:val="20"/>
        </w:rPr>
        <w:t xml:space="preserve">The PBAC accepted placebo as the appropriate </w:t>
      </w:r>
      <w:r w:rsidR="002722E0">
        <w:rPr>
          <w:rFonts w:cs="Arial"/>
          <w:snapToGrid w:val="0"/>
          <w:szCs w:val="20"/>
        </w:rPr>
        <w:t xml:space="preserve">main </w:t>
      </w:r>
      <w:r w:rsidRPr="002E0FEC">
        <w:rPr>
          <w:rFonts w:cs="Arial"/>
          <w:snapToGrid w:val="0"/>
          <w:szCs w:val="20"/>
        </w:rPr>
        <w:t>comparator</w:t>
      </w:r>
      <w:r w:rsidR="002722E0">
        <w:rPr>
          <w:rFonts w:cs="Arial"/>
          <w:snapToGrid w:val="0"/>
          <w:szCs w:val="20"/>
        </w:rPr>
        <w:t>. The PBAC also</w:t>
      </w:r>
      <w:r w:rsidRPr="002E0FEC">
        <w:rPr>
          <w:rFonts w:cs="Arial"/>
          <w:snapToGrid w:val="0"/>
          <w:szCs w:val="20"/>
        </w:rPr>
        <w:t xml:space="preserve"> considered that </w:t>
      </w:r>
      <w:r w:rsidR="002722E0">
        <w:rPr>
          <w:rFonts w:cs="Arial"/>
          <w:snapToGrid w:val="0"/>
          <w:szCs w:val="20"/>
        </w:rPr>
        <w:t>ABCR/BRACE</w:t>
      </w:r>
      <w:r>
        <w:rPr>
          <w:rFonts w:cs="Arial"/>
          <w:snapToGrid w:val="0"/>
          <w:szCs w:val="20"/>
        </w:rPr>
        <w:t xml:space="preserve"> therapies could be secondary comparators</w:t>
      </w:r>
      <w:r w:rsidR="002722E0">
        <w:rPr>
          <w:rFonts w:cs="Arial"/>
          <w:snapToGrid w:val="0"/>
          <w:szCs w:val="20"/>
        </w:rPr>
        <w:t>, and noted</w:t>
      </w:r>
      <w:r>
        <w:rPr>
          <w:rFonts w:cs="Arial"/>
          <w:snapToGrid w:val="0"/>
          <w:szCs w:val="20"/>
        </w:rPr>
        <w:t xml:space="preserve"> the submission</w:t>
      </w:r>
      <w:r w:rsidR="002722E0">
        <w:rPr>
          <w:rFonts w:cs="Arial"/>
          <w:snapToGrid w:val="0"/>
          <w:szCs w:val="20"/>
        </w:rPr>
        <w:t>’s utilisation estimates</w:t>
      </w:r>
      <w:r>
        <w:rPr>
          <w:rFonts w:cs="Arial"/>
          <w:snapToGrid w:val="0"/>
          <w:szCs w:val="20"/>
        </w:rPr>
        <w:t xml:space="preserve"> assumed substantial substitution of </w:t>
      </w:r>
      <w:r w:rsidR="002722E0" w:rsidRPr="00FD2CDA">
        <w:rPr>
          <w:rFonts w:cs="Arial"/>
          <w:snapToGrid w:val="0"/>
          <w:szCs w:val="20"/>
        </w:rPr>
        <w:t xml:space="preserve">interferons </w:t>
      </w:r>
      <w:r w:rsidR="001A433C">
        <w:rPr>
          <w:rFonts w:cs="Arial"/>
          <w:snapToGrid w:val="0"/>
          <w:szCs w:val="20"/>
        </w:rPr>
        <w:t>by</w:t>
      </w:r>
      <w:r w:rsidRPr="00FD2CDA">
        <w:rPr>
          <w:rFonts w:cs="Arial"/>
          <w:snapToGrid w:val="0"/>
          <w:szCs w:val="20"/>
        </w:rPr>
        <w:t xml:space="preserve"> glatiramer acetate.</w:t>
      </w:r>
    </w:p>
    <w:p w:rsidR="008E6AFD" w:rsidRPr="00FD2CDA" w:rsidRDefault="005E6758" w:rsidP="00880D79">
      <w:pPr>
        <w:pStyle w:val="ListParagraph"/>
        <w:numPr>
          <w:ilvl w:val="1"/>
          <w:numId w:val="1"/>
        </w:numPr>
        <w:spacing w:before="0" w:after="120"/>
        <w:ind w:left="709" w:hanging="709"/>
        <w:contextualSpacing w:val="0"/>
        <w:rPr>
          <w:snapToGrid w:val="0"/>
        </w:rPr>
      </w:pPr>
      <w:r w:rsidRPr="00FD2CDA">
        <w:rPr>
          <w:rFonts w:cs="Arial"/>
          <w:snapToGrid w:val="0"/>
          <w:szCs w:val="20"/>
        </w:rPr>
        <w:t xml:space="preserve">The PBAC noted that the </w:t>
      </w:r>
      <w:r w:rsidR="00770A58">
        <w:rPr>
          <w:rFonts w:cs="Arial"/>
          <w:snapToGrid w:val="0"/>
          <w:szCs w:val="20"/>
        </w:rPr>
        <w:t xml:space="preserve">primary analysis </w:t>
      </w:r>
      <w:r w:rsidR="00770A58" w:rsidRPr="00FD2CDA">
        <w:rPr>
          <w:rFonts w:cs="Arial"/>
          <w:snapToGrid w:val="0"/>
          <w:szCs w:val="20"/>
        </w:rPr>
        <w:t xml:space="preserve">in the </w:t>
      </w:r>
      <w:proofErr w:type="gramStart"/>
      <w:r w:rsidR="00770A58" w:rsidRPr="00FD2CDA">
        <w:rPr>
          <w:rFonts w:cs="Arial"/>
          <w:snapToGrid w:val="0"/>
          <w:szCs w:val="20"/>
        </w:rPr>
        <w:t>PreCISe</w:t>
      </w:r>
      <w:proofErr w:type="gramEnd"/>
      <w:r w:rsidR="00770A58" w:rsidRPr="00FD2CDA">
        <w:rPr>
          <w:rFonts w:cs="Arial"/>
          <w:snapToGrid w:val="0"/>
          <w:szCs w:val="20"/>
        </w:rPr>
        <w:t xml:space="preserve"> trial </w:t>
      </w:r>
      <w:r w:rsidR="00770A58">
        <w:rPr>
          <w:rFonts w:cs="Arial"/>
          <w:snapToGrid w:val="0"/>
          <w:szCs w:val="20"/>
        </w:rPr>
        <w:t xml:space="preserve">was based on the </w:t>
      </w:r>
      <w:r w:rsidRPr="00FD2CDA">
        <w:rPr>
          <w:rFonts w:cs="Arial"/>
          <w:snapToGrid w:val="0"/>
          <w:szCs w:val="20"/>
        </w:rPr>
        <w:t xml:space="preserve">Poser criteria. </w:t>
      </w:r>
      <w:r w:rsidR="008E6AFD" w:rsidRPr="00FD2CDA">
        <w:rPr>
          <w:rFonts w:cs="Arial"/>
          <w:snapToGrid w:val="0"/>
          <w:szCs w:val="20"/>
        </w:rPr>
        <w:t>The PBAC noted that during the open label extension phase of the PreCISe trial, a higher proportion of subjects in the delayed start to treatment group were diagnosed with</w:t>
      </w:r>
      <w:r w:rsidRPr="00FD2CDA">
        <w:rPr>
          <w:rFonts w:cs="Arial"/>
          <w:snapToGrid w:val="0"/>
          <w:szCs w:val="20"/>
        </w:rPr>
        <w:t xml:space="preserve"> clinically definite multiple sclerosis </w:t>
      </w:r>
      <w:r w:rsidR="008E6AFD" w:rsidRPr="00FD2CDA">
        <w:rPr>
          <w:rFonts w:cs="Arial"/>
          <w:snapToGrid w:val="0"/>
          <w:szCs w:val="20"/>
        </w:rPr>
        <w:t>by the Poser criteria than those in the early treatment group (49.6% in the delayed group vs. 32.9% in the early group).</w:t>
      </w:r>
      <w:r w:rsidRPr="00FD2CDA">
        <w:rPr>
          <w:rFonts w:cs="Arial"/>
          <w:snapToGrid w:val="0"/>
          <w:szCs w:val="20"/>
        </w:rPr>
        <w:t xml:space="preserve"> </w:t>
      </w:r>
      <w:r w:rsidR="008E6AFD" w:rsidRPr="00FD2CDA">
        <w:rPr>
          <w:rFonts w:cs="Arial"/>
          <w:snapToGrid w:val="0"/>
          <w:szCs w:val="20"/>
        </w:rPr>
        <w:t xml:space="preserve">The Committee noted that under the McDonald criteria it was likely that a number of patients diagnosed with </w:t>
      </w:r>
      <w:r w:rsidRPr="00FD2CDA">
        <w:rPr>
          <w:rFonts w:cs="Arial"/>
          <w:snapToGrid w:val="0"/>
          <w:szCs w:val="20"/>
        </w:rPr>
        <w:t>clinically isolated syndrome</w:t>
      </w:r>
      <w:r w:rsidR="008E6AFD" w:rsidRPr="00FD2CDA">
        <w:rPr>
          <w:rFonts w:cs="Arial"/>
          <w:snapToGrid w:val="0"/>
          <w:szCs w:val="20"/>
        </w:rPr>
        <w:t xml:space="preserve"> </w:t>
      </w:r>
      <w:r w:rsidR="00217742">
        <w:rPr>
          <w:rFonts w:cs="Arial"/>
          <w:snapToGrid w:val="0"/>
          <w:szCs w:val="20"/>
        </w:rPr>
        <w:t xml:space="preserve">at baseline </w:t>
      </w:r>
      <w:r w:rsidR="008E6AFD" w:rsidRPr="00FD2CDA">
        <w:rPr>
          <w:rFonts w:cs="Arial"/>
          <w:snapToGrid w:val="0"/>
          <w:szCs w:val="20"/>
        </w:rPr>
        <w:t xml:space="preserve">in the PreCISe trial would be diagnosed with </w:t>
      </w:r>
      <w:r w:rsidRPr="00FD2CDA">
        <w:rPr>
          <w:rFonts w:cs="Arial"/>
          <w:snapToGrid w:val="0"/>
          <w:szCs w:val="20"/>
        </w:rPr>
        <w:t>clinically definite multiple sclerosis</w:t>
      </w:r>
      <w:r w:rsidR="008E6AFD" w:rsidRPr="00FD2CDA">
        <w:rPr>
          <w:rFonts w:cs="Arial"/>
          <w:snapToGrid w:val="0"/>
          <w:szCs w:val="20"/>
        </w:rPr>
        <w:t>.</w:t>
      </w:r>
      <w:r w:rsidRPr="00FD2CDA">
        <w:rPr>
          <w:rFonts w:cs="Arial"/>
          <w:snapToGrid w:val="0"/>
          <w:szCs w:val="20"/>
        </w:rPr>
        <w:t xml:space="preserve"> The PBAC further noted that</w:t>
      </w:r>
      <w:r w:rsidR="00217742">
        <w:rPr>
          <w:rFonts w:cs="Arial"/>
          <w:snapToGrid w:val="0"/>
          <w:szCs w:val="20"/>
        </w:rPr>
        <w:t>,</w:t>
      </w:r>
      <w:r w:rsidRPr="00FD2CDA">
        <w:rPr>
          <w:rFonts w:cs="Arial"/>
          <w:snapToGrid w:val="0"/>
          <w:szCs w:val="20"/>
        </w:rPr>
        <w:t xml:space="preserve"> under the McDonald criteria, the time from randomisation to diagnosis with clinically definite multiple sclerosis was not statistically significant for glatiramer acetate over placebo.</w:t>
      </w:r>
    </w:p>
    <w:p w:rsidR="008E6AFD" w:rsidRPr="00FD2CDA" w:rsidRDefault="008E6AFD" w:rsidP="00880D79">
      <w:pPr>
        <w:pStyle w:val="ListParagraph"/>
        <w:numPr>
          <w:ilvl w:val="1"/>
          <w:numId w:val="1"/>
        </w:numPr>
        <w:spacing w:before="0" w:after="120"/>
        <w:ind w:left="709" w:hanging="709"/>
        <w:contextualSpacing w:val="0"/>
        <w:rPr>
          <w:snapToGrid w:val="0"/>
        </w:rPr>
      </w:pPr>
      <w:r w:rsidRPr="00FD2CDA">
        <w:rPr>
          <w:rFonts w:cs="Arial"/>
          <w:snapToGrid w:val="0"/>
          <w:szCs w:val="20"/>
        </w:rPr>
        <w:t xml:space="preserve">The PBAC considered that the </w:t>
      </w:r>
      <w:r w:rsidR="00B44D64">
        <w:rPr>
          <w:rFonts w:cs="Arial"/>
          <w:snapToGrid w:val="0"/>
          <w:szCs w:val="20"/>
        </w:rPr>
        <w:t xml:space="preserve">extent </w:t>
      </w:r>
      <w:r w:rsidRPr="00FD2CDA">
        <w:rPr>
          <w:rFonts w:cs="Arial"/>
          <w:snapToGrid w:val="0"/>
          <w:szCs w:val="20"/>
        </w:rPr>
        <w:t>of treatment effect was unclear</w:t>
      </w:r>
      <w:r w:rsidR="00B44D64">
        <w:rPr>
          <w:rFonts w:cs="Arial"/>
          <w:snapToGrid w:val="0"/>
          <w:szCs w:val="20"/>
        </w:rPr>
        <w:t xml:space="preserve"> in the longer term</w:t>
      </w:r>
      <w:r w:rsidRPr="00FD2CDA">
        <w:rPr>
          <w:rFonts w:cs="Arial"/>
          <w:snapToGrid w:val="0"/>
          <w:szCs w:val="20"/>
        </w:rPr>
        <w:t xml:space="preserve">, </w:t>
      </w:r>
      <w:r w:rsidR="005E6758" w:rsidRPr="00FD2CDA">
        <w:rPr>
          <w:rFonts w:cs="Arial"/>
          <w:snapToGrid w:val="0"/>
          <w:szCs w:val="20"/>
        </w:rPr>
        <w:t>given that the data beyond the initial 3 year follow up period of PreCISe included patients in the placebo arm of the trial who crossed over to treatment with glatiramer acetate. The PBAC noted that the open label extension phase of the PreCISe trial showed no significant impact on disability according to EDSS at 5 years follow up and considered that there was insufficient evidence to conclude whether a delay in progression to clinically definite multiple sclerosis is also reflective of l</w:t>
      </w:r>
      <w:r w:rsidR="00217742">
        <w:rPr>
          <w:rFonts w:cs="Arial"/>
          <w:snapToGrid w:val="0"/>
          <w:szCs w:val="20"/>
        </w:rPr>
        <w:t>ong term disability reductions.</w:t>
      </w:r>
    </w:p>
    <w:p w:rsidR="00853612" w:rsidRPr="00853612" w:rsidRDefault="008E6AFD" w:rsidP="00880D79">
      <w:pPr>
        <w:pStyle w:val="ListParagraph"/>
        <w:numPr>
          <w:ilvl w:val="1"/>
          <w:numId w:val="1"/>
        </w:numPr>
        <w:spacing w:before="0" w:after="120"/>
        <w:ind w:left="709" w:hanging="709"/>
        <w:contextualSpacing w:val="0"/>
        <w:rPr>
          <w:snapToGrid w:val="0"/>
        </w:rPr>
      </w:pPr>
      <w:r w:rsidRPr="00FD2CDA">
        <w:rPr>
          <w:rFonts w:cs="Arial"/>
          <w:snapToGrid w:val="0"/>
          <w:szCs w:val="20"/>
        </w:rPr>
        <w:t xml:space="preserve">The PBAC </w:t>
      </w:r>
      <w:r w:rsidR="00853612" w:rsidRPr="00FD2CDA">
        <w:rPr>
          <w:rFonts w:cs="Arial"/>
          <w:snapToGrid w:val="0"/>
          <w:szCs w:val="20"/>
        </w:rPr>
        <w:t>noted</w:t>
      </w:r>
      <w:r w:rsidR="00853612">
        <w:rPr>
          <w:rFonts w:cs="Arial"/>
          <w:snapToGrid w:val="0"/>
          <w:szCs w:val="20"/>
        </w:rPr>
        <w:t xml:space="preserve"> the subgroup analyses presented in the submission were post-hoc, based on very small patient numbers, and were associated with higher point estimates </w:t>
      </w:r>
      <w:r w:rsidR="00217742" w:rsidRPr="00CE5C86">
        <w:rPr>
          <w:rFonts w:ascii="Calibri" w:hAnsi="Calibri"/>
        </w:rPr>
        <w:t>(</w:t>
      </w:r>
      <w:r w:rsidR="00217742">
        <w:rPr>
          <w:rFonts w:ascii="Calibri" w:hAnsi="Calibri"/>
        </w:rPr>
        <w:t>with HR ranging between</w:t>
      </w:r>
      <w:r w:rsidR="00217742" w:rsidRPr="00CE5C86">
        <w:rPr>
          <w:rFonts w:ascii="Calibri" w:hAnsi="Calibri"/>
        </w:rPr>
        <w:t xml:space="preserve"> 0.67 </w:t>
      </w:r>
      <w:r w:rsidR="00217742">
        <w:rPr>
          <w:rFonts w:ascii="Calibri" w:hAnsi="Calibri"/>
        </w:rPr>
        <w:t xml:space="preserve">and </w:t>
      </w:r>
      <w:r w:rsidR="00217742" w:rsidRPr="00CE5C86">
        <w:rPr>
          <w:rFonts w:ascii="Calibri" w:hAnsi="Calibri"/>
        </w:rPr>
        <w:t>0.76)</w:t>
      </w:r>
      <w:r w:rsidR="00217742">
        <w:rPr>
          <w:rFonts w:cs="Arial"/>
          <w:snapToGrid w:val="0"/>
          <w:szCs w:val="20"/>
        </w:rPr>
        <w:t xml:space="preserve"> </w:t>
      </w:r>
      <w:r w:rsidR="00853612">
        <w:rPr>
          <w:rFonts w:cs="Arial"/>
          <w:snapToGrid w:val="0"/>
          <w:szCs w:val="20"/>
        </w:rPr>
        <w:t>and statistically insignificant results compared with the overall trial population (HR = 0.54). The PBAC was concerned that there was insufficient clinical evidence to determine whether the treatment effect of glatiramer acetate in the overall trial population would be the same i</w:t>
      </w:r>
      <w:r w:rsidR="00217742">
        <w:rPr>
          <w:rFonts w:cs="Arial"/>
          <w:snapToGrid w:val="0"/>
          <w:szCs w:val="20"/>
        </w:rPr>
        <w:t>n the proposed high risk group.</w:t>
      </w:r>
    </w:p>
    <w:p w:rsidR="008E6AFD" w:rsidRDefault="008E6AFD" w:rsidP="00880D79">
      <w:pPr>
        <w:pStyle w:val="ListParagraph"/>
        <w:numPr>
          <w:ilvl w:val="1"/>
          <w:numId w:val="1"/>
        </w:numPr>
        <w:spacing w:before="0" w:after="120"/>
        <w:ind w:left="709" w:hanging="709"/>
        <w:contextualSpacing w:val="0"/>
        <w:rPr>
          <w:snapToGrid w:val="0"/>
        </w:rPr>
      </w:pPr>
      <w:r>
        <w:rPr>
          <w:snapToGrid w:val="0"/>
        </w:rPr>
        <w:t>The PBAC considered that the claim of superior comparative effectiveness</w:t>
      </w:r>
      <w:r w:rsidR="00037A3E">
        <w:rPr>
          <w:snapToGrid w:val="0"/>
        </w:rPr>
        <w:t xml:space="preserve"> of glatiramer acetate</w:t>
      </w:r>
      <w:r>
        <w:rPr>
          <w:snapToGrid w:val="0"/>
        </w:rPr>
        <w:t xml:space="preserve"> compared to placebo was reasonable only for the primary outcome of extension of time to diagnosis with </w:t>
      </w:r>
      <w:r w:rsidR="00037A3E" w:rsidRPr="002E0FEC">
        <w:rPr>
          <w:rFonts w:cs="Arial"/>
          <w:snapToGrid w:val="0"/>
          <w:szCs w:val="20"/>
        </w:rPr>
        <w:t>clinically de</w:t>
      </w:r>
      <w:r w:rsidR="00037A3E">
        <w:rPr>
          <w:rFonts w:cs="Arial"/>
          <w:snapToGrid w:val="0"/>
          <w:szCs w:val="20"/>
        </w:rPr>
        <w:t>finite multiple sclerosis</w:t>
      </w:r>
      <w:r>
        <w:rPr>
          <w:snapToGrid w:val="0"/>
        </w:rPr>
        <w:t xml:space="preserve"> as defined by the Poser criteria (not the McDonald criteria). The PBAC considered the claim</w:t>
      </w:r>
      <w:r w:rsidR="00217742">
        <w:rPr>
          <w:snapToGrid w:val="0"/>
        </w:rPr>
        <w:t>s</w:t>
      </w:r>
      <w:r>
        <w:rPr>
          <w:snapToGrid w:val="0"/>
        </w:rPr>
        <w:t xml:space="preserve"> of superior comparative effectiveness for the outcomes of disability progression and quality of life outcomes were not adequately supported.</w:t>
      </w:r>
    </w:p>
    <w:p w:rsidR="008E6AFD" w:rsidRDefault="008E6AFD" w:rsidP="00880D79">
      <w:pPr>
        <w:pStyle w:val="ListParagraph"/>
        <w:numPr>
          <w:ilvl w:val="1"/>
          <w:numId w:val="1"/>
        </w:numPr>
        <w:spacing w:before="0" w:after="120"/>
        <w:ind w:left="709" w:hanging="709"/>
        <w:contextualSpacing w:val="0"/>
        <w:rPr>
          <w:snapToGrid w:val="0"/>
        </w:rPr>
      </w:pPr>
      <w:r>
        <w:rPr>
          <w:snapToGrid w:val="0"/>
        </w:rPr>
        <w:t xml:space="preserve">The PBAC noted that adverse events leading to treatment discontinuation in the </w:t>
      </w:r>
      <w:proofErr w:type="gramStart"/>
      <w:r>
        <w:rPr>
          <w:snapToGrid w:val="0"/>
        </w:rPr>
        <w:t>PreCISe</w:t>
      </w:r>
      <w:proofErr w:type="gramEnd"/>
      <w:r>
        <w:rPr>
          <w:snapToGrid w:val="0"/>
        </w:rPr>
        <w:t xml:space="preserve"> trial were higher in the glatiramer acetate group than the placebo group and noted that injection site reactions and immediate post-injection reactions were also higher in the glatiramer acetate group. The PBAC </w:t>
      </w:r>
      <w:r w:rsidR="00037A3E">
        <w:rPr>
          <w:snapToGrid w:val="0"/>
        </w:rPr>
        <w:t>considered the</w:t>
      </w:r>
      <w:r>
        <w:rPr>
          <w:snapToGrid w:val="0"/>
        </w:rPr>
        <w:t xml:space="preserve"> claim of inferior, but tolerable, comparative safety </w:t>
      </w:r>
      <w:r w:rsidR="00037A3E">
        <w:rPr>
          <w:snapToGrid w:val="0"/>
        </w:rPr>
        <w:t>of glatiramer acetate versus</w:t>
      </w:r>
      <w:r>
        <w:rPr>
          <w:snapToGrid w:val="0"/>
        </w:rPr>
        <w:t xml:space="preserve"> was adequately supported.</w:t>
      </w:r>
    </w:p>
    <w:p w:rsidR="00CB55FC" w:rsidRDefault="005875D1" w:rsidP="00B53F55">
      <w:pPr>
        <w:pStyle w:val="ListParagraph"/>
        <w:numPr>
          <w:ilvl w:val="1"/>
          <w:numId w:val="1"/>
        </w:numPr>
        <w:spacing w:before="0" w:after="120"/>
        <w:contextualSpacing w:val="0"/>
        <w:rPr>
          <w:snapToGrid w:val="0"/>
        </w:rPr>
      </w:pPr>
      <w:r>
        <w:rPr>
          <w:snapToGrid w:val="0"/>
        </w:rPr>
        <w:t xml:space="preserve">The PBAC considered that the incremental cost per QALY gained of </w:t>
      </w:r>
      <w:r w:rsidR="00B53F55">
        <w:rPr>
          <w:snapToGrid w:val="0"/>
        </w:rPr>
        <w:t xml:space="preserve">$15,000 - $45,000 </w:t>
      </w:r>
      <w:r>
        <w:rPr>
          <w:snapToGrid w:val="0"/>
        </w:rPr>
        <w:t>for glatiramer acetate over placebo, presented in the submission’s base case analysis, was highly uncertain and was likely to be significantly underestimated due to several issues with the economic model, including:</w:t>
      </w:r>
    </w:p>
    <w:p w:rsidR="003F08E4" w:rsidRPr="00A378C6" w:rsidRDefault="003F08E4" w:rsidP="00B53F55">
      <w:pPr>
        <w:pStyle w:val="ListParagraph"/>
        <w:numPr>
          <w:ilvl w:val="0"/>
          <w:numId w:val="24"/>
        </w:numPr>
        <w:spacing w:before="0" w:after="120"/>
        <w:ind w:left="1134" w:hanging="426"/>
        <w:contextualSpacing w:val="0"/>
        <w:rPr>
          <w:snapToGrid w:val="0"/>
        </w:rPr>
      </w:pPr>
      <w:proofErr w:type="gramStart"/>
      <w:r w:rsidRPr="00A378C6">
        <w:rPr>
          <w:snapToGrid w:val="0"/>
        </w:rPr>
        <w:t>the</w:t>
      </w:r>
      <w:proofErr w:type="gramEnd"/>
      <w:r w:rsidRPr="00A378C6">
        <w:rPr>
          <w:snapToGrid w:val="0"/>
        </w:rPr>
        <w:t xml:space="preserve"> treatment effect used in the base case analysis from the overall trial population (HR = 0.54) may have overestimated the treatment effect for the proposed high risk group (HR: 0.67 – 0.76). </w:t>
      </w:r>
      <w:r w:rsidRPr="00A378C6">
        <w:rPr>
          <w:rFonts w:cs="Arial"/>
          <w:snapToGrid w:val="0"/>
          <w:szCs w:val="20"/>
        </w:rPr>
        <w:t xml:space="preserve">The PBAC noted the economic model was most sensitive to the treatment </w:t>
      </w:r>
      <w:r w:rsidRPr="00A378C6">
        <w:rPr>
          <w:snapToGrid w:val="0"/>
        </w:rPr>
        <w:t>effect</w:t>
      </w:r>
      <w:r w:rsidRPr="00A378C6">
        <w:rPr>
          <w:rFonts w:cs="Arial"/>
          <w:snapToGrid w:val="0"/>
          <w:szCs w:val="20"/>
        </w:rPr>
        <w:t xml:space="preserve"> of glatiramer acetate, and that when a more conservative hazard ratio of the upper limit of the 95% confidence interval (0.77) for the overall population was applied, the ICER increased to</w:t>
      </w:r>
      <w:r w:rsidR="00A378C6" w:rsidRPr="00A378C6">
        <w:rPr>
          <w:rFonts w:cs="Arial"/>
          <w:snapToGrid w:val="0"/>
          <w:szCs w:val="20"/>
        </w:rPr>
        <w:t xml:space="preserve"> </w:t>
      </w:r>
      <w:r w:rsidR="00B53F55" w:rsidRPr="00A378C6">
        <w:rPr>
          <w:rFonts w:cs="Arial"/>
          <w:snapToGrid w:val="0"/>
          <w:szCs w:val="20"/>
        </w:rPr>
        <w:t>$105,000</w:t>
      </w:r>
      <w:r w:rsidR="00021245">
        <w:rPr>
          <w:rFonts w:cs="Arial"/>
          <w:snapToGrid w:val="0"/>
          <w:szCs w:val="20"/>
        </w:rPr>
        <w:t xml:space="preserve"> </w:t>
      </w:r>
      <w:r w:rsidR="00B53F55" w:rsidRPr="00A378C6">
        <w:rPr>
          <w:rFonts w:cs="Arial"/>
          <w:snapToGrid w:val="0"/>
          <w:szCs w:val="20"/>
        </w:rPr>
        <w:t>– $200,000/QALY</w:t>
      </w:r>
      <w:r w:rsidR="00A378C6" w:rsidRPr="00A378C6">
        <w:rPr>
          <w:rFonts w:cs="Arial"/>
          <w:snapToGrid w:val="0"/>
          <w:szCs w:val="20"/>
        </w:rPr>
        <w:t>;</w:t>
      </w:r>
    </w:p>
    <w:p w:rsidR="003F08E4" w:rsidRPr="003F08E4" w:rsidRDefault="003F08E4" w:rsidP="0056392D">
      <w:pPr>
        <w:pStyle w:val="ListParagraph"/>
        <w:numPr>
          <w:ilvl w:val="0"/>
          <w:numId w:val="24"/>
        </w:numPr>
        <w:spacing w:before="0" w:after="120"/>
        <w:ind w:left="1134" w:hanging="426"/>
        <w:contextualSpacing w:val="0"/>
        <w:rPr>
          <w:snapToGrid w:val="0"/>
        </w:rPr>
      </w:pPr>
      <w:r w:rsidRPr="003F08E4">
        <w:rPr>
          <w:snapToGrid w:val="0"/>
        </w:rPr>
        <w:t>most of the health benefit in the model is derived via quality of life improvements based on EDSS score progressions in diagnosed multiple sclerosis. This lacks face validity given a statistical difference in EDSS was no</w:t>
      </w:r>
      <w:r>
        <w:rPr>
          <w:snapToGrid w:val="0"/>
        </w:rPr>
        <w:t>t observed in the PreCISe trial;</w:t>
      </w:r>
    </w:p>
    <w:p w:rsidR="003F08E4" w:rsidRPr="003F08E4" w:rsidRDefault="003F08E4" w:rsidP="0056392D">
      <w:pPr>
        <w:pStyle w:val="ListParagraph"/>
        <w:numPr>
          <w:ilvl w:val="0"/>
          <w:numId w:val="24"/>
        </w:numPr>
        <w:spacing w:before="0" w:after="120"/>
        <w:ind w:left="1134" w:hanging="426"/>
        <w:contextualSpacing w:val="0"/>
        <w:rPr>
          <w:snapToGrid w:val="0"/>
        </w:rPr>
      </w:pPr>
      <w:proofErr w:type="gramStart"/>
      <w:r>
        <w:rPr>
          <w:snapToGrid w:val="0"/>
        </w:rPr>
        <w:t>t</w:t>
      </w:r>
      <w:r w:rsidRPr="003F08E4">
        <w:rPr>
          <w:snapToGrid w:val="0"/>
        </w:rPr>
        <w:t>he</w:t>
      </w:r>
      <w:proofErr w:type="gramEnd"/>
      <w:r w:rsidRPr="003F08E4">
        <w:rPr>
          <w:snapToGrid w:val="0"/>
        </w:rPr>
        <w:t xml:space="preserve"> hazard ratio used in the economic model was based on the placebo-controlled phase of the PreCISe trial (up to 3 years </w:t>
      </w:r>
      <w:r>
        <w:rPr>
          <w:snapToGrid w:val="0"/>
        </w:rPr>
        <w:t xml:space="preserve">of treatment), extrapolated to </w:t>
      </w:r>
      <w:r w:rsidRPr="003F08E4">
        <w:rPr>
          <w:snapToGrid w:val="0"/>
        </w:rPr>
        <w:t>80 years.</w:t>
      </w:r>
      <w:r>
        <w:rPr>
          <w:snapToGrid w:val="0"/>
        </w:rPr>
        <w:t xml:space="preserve"> This time horizon was not appropriate and likely </w:t>
      </w:r>
      <w:r w:rsidRPr="003F08E4">
        <w:rPr>
          <w:snapToGrid w:val="0"/>
        </w:rPr>
        <w:t>to have over-estimated the net effect of early treatment in the model</w:t>
      </w:r>
      <w:r>
        <w:rPr>
          <w:snapToGrid w:val="0"/>
        </w:rPr>
        <w:t>;</w:t>
      </w:r>
    </w:p>
    <w:p w:rsidR="005875D1" w:rsidRDefault="003F08E4" w:rsidP="0056392D">
      <w:pPr>
        <w:pStyle w:val="ListParagraph"/>
        <w:numPr>
          <w:ilvl w:val="0"/>
          <w:numId w:val="24"/>
        </w:numPr>
        <w:spacing w:before="0" w:after="120"/>
        <w:ind w:left="1134" w:hanging="426"/>
        <w:contextualSpacing w:val="0"/>
        <w:rPr>
          <w:snapToGrid w:val="0"/>
        </w:rPr>
      </w:pPr>
      <w:r w:rsidRPr="003F08E4">
        <w:rPr>
          <w:snapToGrid w:val="0"/>
        </w:rPr>
        <w:t>the Weibull extrapolation for time to diagnosis with multiple sclerosis relied on only 2 data points from the MSBase cohort analysis</w:t>
      </w:r>
      <w:r>
        <w:rPr>
          <w:snapToGrid w:val="0"/>
        </w:rPr>
        <w:t>, and is therefore uncertain;</w:t>
      </w:r>
    </w:p>
    <w:p w:rsidR="003F08E4" w:rsidRDefault="003F08E4" w:rsidP="0056392D">
      <w:pPr>
        <w:pStyle w:val="ListParagraph"/>
        <w:numPr>
          <w:ilvl w:val="0"/>
          <w:numId w:val="24"/>
        </w:numPr>
        <w:spacing w:before="0" w:after="120"/>
        <w:ind w:left="1134" w:hanging="426"/>
        <w:contextualSpacing w:val="0"/>
        <w:rPr>
          <w:snapToGrid w:val="0"/>
        </w:rPr>
      </w:pPr>
      <w:proofErr w:type="gramStart"/>
      <w:r>
        <w:rPr>
          <w:snapToGrid w:val="0"/>
        </w:rPr>
        <w:t>t</w:t>
      </w:r>
      <w:r w:rsidRPr="003F08E4">
        <w:rPr>
          <w:snapToGrid w:val="0"/>
        </w:rPr>
        <w:t>he</w:t>
      </w:r>
      <w:proofErr w:type="gramEnd"/>
      <w:r w:rsidRPr="003F08E4">
        <w:rPr>
          <w:snapToGrid w:val="0"/>
        </w:rPr>
        <w:t xml:space="preserve"> model did not allow treatment discontinuation in clinically isolated syndrome. The cost of glatiramer is applied in the clinically isolated syndrome health state for the first 20 years of the model only. However, the treatment effect from the </w:t>
      </w:r>
      <w:proofErr w:type="gramStart"/>
      <w:r w:rsidRPr="003F08E4">
        <w:rPr>
          <w:snapToGrid w:val="0"/>
        </w:rPr>
        <w:t>PreCISe</w:t>
      </w:r>
      <w:proofErr w:type="gramEnd"/>
      <w:r w:rsidRPr="003F08E4">
        <w:rPr>
          <w:snapToGrid w:val="0"/>
        </w:rPr>
        <w:t xml:space="preserve"> trial is applied for the 80 year duration of the model.</w:t>
      </w:r>
    </w:p>
    <w:p w:rsidR="001C4720" w:rsidRDefault="001C4720" w:rsidP="0056392D">
      <w:pPr>
        <w:pStyle w:val="ListParagraph"/>
        <w:numPr>
          <w:ilvl w:val="0"/>
          <w:numId w:val="24"/>
        </w:numPr>
        <w:ind w:left="1134" w:hanging="426"/>
        <w:rPr>
          <w:snapToGrid w:val="0"/>
        </w:rPr>
      </w:pPr>
      <w:proofErr w:type="gramStart"/>
      <w:r w:rsidRPr="001C4720">
        <w:rPr>
          <w:snapToGrid w:val="0"/>
        </w:rPr>
        <w:t>the</w:t>
      </w:r>
      <w:proofErr w:type="gramEnd"/>
      <w:r w:rsidRPr="001C4720">
        <w:rPr>
          <w:snapToGrid w:val="0"/>
        </w:rPr>
        <w:t xml:space="preserve"> model structure was inflexible and did not allow patients with clinically isolated syndrome to move to improved or more severe levels of disability. </w:t>
      </w:r>
      <w:r>
        <w:rPr>
          <w:snapToGrid w:val="0"/>
        </w:rPr>
        <w:t>P</w:t>
      </w:r>
      <w:r w:rsidRPr="001C4720">
        <w:rPr>
          <w:snapToGrid w:val="0"/>
        </w:rPr>
        <w:t xml:space="preserve">atients in multiple sclerosis health states cannot transition more than once or more than one step on the EDSS scale within each annual cycle. </w:t>
      </w:r>
      <w:r>
        <w:rPr>
          <w:snapToGrid w:val="0"/>
        </w:rPr>
        <w:t xml:space="preserve">The PBAC considered that this was implausible and did not </w:t>
      </w:r>
      <w:r w:rsidRPr="001C4720">
        <w:rPr>
          <w:snapToGrid w:val="0"/>
        </w:rPr>
        <w:t>adequately reflect the disease pathway of patients with clinically isolated syndrome/multiple sclerosis</w:t>
      </w:r>
      <w:r>
        <w:rPr>
          <w:snapToGrid w:val="0"/>
        </w:rPr>
        <w:t>.</w:t>
      </w:r>
    </w:p>
    <w:p w:rsidR="00CB55FC" w:rsidRPr="002C1D20" w:rsidRDefault="003F08E4" w:rsidP="00880D79">
      <w:pPr>
        <w:pStyle w:val="ListParagraph"/>
        <w:numPr>
          <w:ilvl w:val="1"/>
          <w:numId w:val="1"/>
        </w:numPr>
        <w:spacing w:before="240" w:after="120"/>
        <w:ind w:left="709" w:hanging="709"/>
        <w:contextualSpacing w:val="0"/>
        <w:rPr>
          <w:snapToGrid w:val="0"/>
        </w:rPr>
      </w:pPr>
      <w:r>
        <w:rPr>
          <w:snapToGrid w:val="0"/>
        </w:rPr>
        <w:t xml:space="preserve">The PBAC considered that earlier commencement of treatment for the multiple sclerosis disease </w:t>
      </w:r>
      <w:r w:rsidRPr="00217742">
        <w:rPr>
          <w:rFonts w:cs="Arial"/>
          <w:snapToGrid w:val="0"/>
          <w:szCs w:val="20"/>
        </w:rPr>
        <w:t>pathway</w:t>
      </w:r>
      <w:r>
        <w:rPr>
          <w:snapToGrid w:val="0"/>
        </w:rPr>
        <w:t xml:space="preserve"> (i.e. starting with clinically isolated syndrome) requires a larger absolute </w:t>
      </w:r>
      <w:r w:rsidRPr="00217742">
        <w:rPr>
          <w:rFonts w:cs="Arial"/>
          <w:snapToGrid w:val="0"/>
          <w:szCs w:val="20"/>
        </w:rPr>
        <w:t>reduction</w:t>
      </w:r>
      <w:r>
        <w:rPr>
          <w:snapToGrid w:val="0"/>
        </w:rPr>
        <w:t xml:space="preserve"> in the rate of subsequent exacerbations and/or a reduced price compared to the currently listed PBS price for RRMS. This is because when treatment is commenced earlier, its cost effectiveness is less favourable as the main disutilities and cost offsets generated </w:t>
      </w:r>
      <w:r w:rsidR="009A047F">
        <w:rPr>
          <w:snapToGrid w:val="0"/>
        </w:rPr>
        <w:t>are</w:t>
      </w:r>
      <w:r>
        <w:rPr>
          <w:snapToGrid w:val="0"/>
        </w:rPr>
        <w:t xml:space="preserve"> delayed (compared to later treatment) and thus d</w:t>
      </w:r>
      <w:r w:rsidR="00217742">
        <w:rPr>
          <w:snapToGrid w:val="0"/>
        </w:rPr>
        <w:t>iscounted to a greater extent.</w:t>
      </w:r>
    </w:p>
    <w:p w:rsidR="00CB55FC" w:rsidRPr="005B7088" w:rsidRDefault="00CB55FC" w:rsidP="00880D79">
      <w:pPr>
        <w:pStyle w:val="ListParagraph"/>
        <w:numPr>
          <w:ilvl w:val="1"/>
          <w:numId w:val="1"/>
        </w:numPr>
        <w:spacing w:before="0" w:after="120"/>
        <w:ind w:left="709" w:hanging="709"/>
        <w:contextualSpacing w:val="0"/>
        <w:rPr>
          <w:snapToGrid w:val="0"/>
        </w:rPr>
      </w:pPr>
      <w:r w:rsidRPr="005B7088">
        <w:rPr>
          <w:rFonts w:cs="Arial"/>
          <w:snapToGrid w:val="0"/>
          <w:szCs w:val="20"/>
        </w:rPr>
        <w:t>The PBAC noted the submission used a combined epidemiology and market share approach to estimate the use and financial implications of the listing of glatiramer acetate</w:t>
      </w:r>
      <w:r w:rsidR="005B7088" w:rsidRPr="005B7088">
        <w:rPr>
          <w:rFonts w:cs="Arial"/>
          <w:snapToGrid w:val="0"/>
          <w:szCs w:val="20"/>
        </w:rPr>
        <w:t xml:space="preserve">. </w:t>
      </w:r>
      <w:r w:rsidRPr="005B7088">
        <w:rPr>
          <w:rFonts w:cs="Arial"/>
          <w:snapToGrid w:val="0"/>
          <w:szCs w:val="20"/>
        </w:rPr>
        <w:t xml:space="preserve">The PBAC considered there was substantial uncertainty with the utilisation and financial estimates, </w:t>
      </w:r>
      <w:r w:rsidR="005B7088">
        <w:rPr>
          <w:rFonts w:cs="Arial"/>
          <w:snapToGrid w:val="0"/>
          <w:szCs w:val="20"/>
        </w:rPr>
        <w:t>due to</w:t>
      </w:r>
      <w:r w:rsidRPr="005B7088">
        <w:rPr>
          <w:rFonts w:cs="Arial"/>
          <w:snapToGrid w:val="0"/>
          <w:szCs w:val="20"/>
        </w:rPr>
        <w:t>:</w:t>
      </w:r>
    </w:p>
    <w:p w:rsidR="005B7088" w:rsidRPr="005B7088" w:rsidRDefault="009A047F" w:rsidP="00880D79">
      <w:pPr>
        <w:pStyle w:val="ListParagraph"/>
        <w:numPr>
          <w:ilvl w:val="0"/>
          <w:numId w:val="24"/>
        </w:numPr>
        <w:spacing w:before="0" w:after="120"/>
        <w:ind w:left="993" w:hanging="284"/>
        <w:contextualSpacing w:val="0"/>
        <w:rPr>
          <w:snapToGrid w:val="0"/>
        </w:rPr>
      </w:pPr>
      <w:r>
        <w:rPr>
          <w:snapToGrid w:val="0"/>
        </w:rPr>
        <w:t xml:space="preserve">the </w:t>
      </w:r>
      <w:r w:rsidR="005B7088">
        <w:rPr>
          <w:snapToGrid w:val="0"/>
        </w:rPr>
        <w:t xml:space="preserve">risk of use outside the proposed restriction, given that if recommended, glatiramer acetate </w:t>
      </w:r>
      <w:r w:rsidR="005B7088" w:rsidRPr="009A047F">
        <w:rPr>
          <w:rFonts w:cs="Arial"/>
          <w:snapToGrid w:val="0"/>
          <w:szCs w:val="20"/>
        </w:rPr>
        <w:t>would</w:t>
      </w:r>
      <w:r w:rsidR="005B7088">
        <w:rPr>
          <w:snapToGrid w:val="0"/>
        </w:rPr>
        <w:t xml:space="preserve"> be the first PBS subsidised treatment for clinically isolated syndrome;</w:t>
      </w:r>
    </w:p>
    <w:p w:rsidR="00CB55FC" w:rsidRPr="007727DF" w:rsidRDefault="00CB55FC" w:rsidP="00880D79">
      <w:pPr>
        <w:pStyle w:val="ListParagraph"/>
        <w:numPr>
          <w:ilvl w:val="0"/>
          <w:numId w:val="24"/>
        </w:numPr>
        <w:spacing w:before="0" w:after="120"/>
        <w:ind w:left="993" w:hanging="284"/>
        <w:contextualSpacing w:val="0"/>
        <w:rPr>
          <w:snapToGrid w:val="0"/>
        </w:rPr>
      </w:pPr>
      <w:proofErr w:type="gramStart"/>
      <w:r>
        <w:rPr>
          <w:rFonts w:cs="Arial"/>
          <w:snapToGrid w:val="0"/>
          <w:szCs w:val="20"/>
        </w:rPr>
        <w:t>a</w:t>
      </w:r>
      <w:proofErr w:type="gramEnd"/>
      <w:r>
        <w:rPr>
          <w:rFonts w:cs="Arial"/>
          <w:snapToGrid w:val="0"/>
          <w:szCs w:val="20"/>
        </w:rPr>
        <w:t xml:space="preserve"> </w:t>
      </w:r>
      <w:r w:rsidRPr="007727DF">
        <w:rPr>
          <w:rFonts w:cs="Arial"/>
          <w:snapToGrid w:val="0"/>
          <w:szCs w:val="20"/>
        </w:rPr>
        <w:t xml:space="preserve">lack of detail provided on the expert advice used to underpin the estimates. The PBAC considered that </w:t>
      </w:r>
      <w:r w:rsidRPr="009A047F">
        <w:rPr>
          <w:snapToGrid w:val="0"/>
        </w:rPr>
        <w:t>the</w:t>
      </w:r>
      <w:r w:rsidRPr="007727DF">
        <w:rPr>
          <w:rFonts w:cs="Arial"/>
          <w:snapToGrid w:val="0"/>
          <w:szCs w:val="20"/>
        </w:rPr>
        <w:t xml:space="preserve"> assumptions</w:t>
      </w:r>
      <w:r w:rsidR="005B7088">
        <w:rPr>
          <w:rFonts w:cs="Arial"/>
          <w:snapToGrid w:val="0"/>
          <w:szCs w:val="20"/>
        </w:rPr>
        <w:t xml:space="preserve"> for the incidence of clinically isolated syndrome</w:t>
      </w:r>
      <w:r w:rsidRPr="007727DF">
        <w:rPr>
          <w:rFonts w:cs="Arial"/>
          <w:snapToGrid w:val="0"/>
          <w:szCs w:val="20"/>
        </w:rPr>
        <w:t xml:space="preserve"> based on the expert advice were likely to be unreliable</w:t>
      </w:r>
      <w:r w:rsidR="005B7088">
        <w:rPr>
          <w:rFonts w:cs="Arial"/>
          <w:snapToGrid w:val="0"/>
          <w:szCs w:val="20"/>
        </w:rPr>
        <w:t>;</w:t>
      </w:r>
    </w:p>
    <w:p w:rsidR="00CB55FC" w:rsidRPr="005B7088" w:rsidRDefault="00CB55FC" w:rsidP="00880D79">
      <w:pPr>
        <w:pStyle w:val="ListParagraph"/>
        <w:numPr>
          <w:ilvl w:val="0"/>
          <w:numId w:val="24"/>
        </w:numPr>
        <w:spacing w:before="0" w:after="120"/>
        <w:ind w:left="993" w:hanging="284"/>
        <w:contextualSpacing w:val="0"/>
        <w:rPr>
          <w:snapToGrid w:val="0"/>
        </w:rPr>
      </w:pPr>
      <w:r>
        <w:rPr>
          <w:rFonts w:cs="Arial"/>
          <w:snapToGrid w:val="0"/>
          <w:szCs w:val="20"/>
        </w:rPr>
        <w:t>t</w:t>
      </w:r>
      <w:r w:rsidRPr="007727DF">
        <w:rPr>
          <w:rFonts w:cs="Arial"/>
          <w:snapToGrid w:val="0"/>
          <w:szCs w:val="20"/>
        </w:rPr>
        <w:t xml:space="preserve">he estimate of incident </w:t>
      </w:r>
      <w:r w:rsidRPr="009A047F">
        <w:rPr>
          <w:snapToGrid w:val="0"/>
        </w:rPr>
        <w:t>patients</w:t>
      </w:r>
      <w:r w:rsidRPr="007727DF">
        <w:rPr>
          <w:rFonts w:cs="Arial"/>
          <w:snapToGrid w:val="0"/>
          <w:szCs w:val="20"/>
        </w:rPr>
        <w:t xml:space="preserve"> was added to the estimate of prevalent patients, resulting in an average duration </w:t>
      </w:r>
      <w:r w:rsidR="005B7088">
        <w:rPr>
          <w:rFonts w:cs="Arial"/>
          <w:snapToGrid w:val="0"/>
          <w:szCs w:val="20"/>
        </w:rPr>
        <w:t>of clinically isolated syndrome</w:t>
      </w:r>
      <w:r w:rsidR="005B7088" w:rsidRPr="007727DF">
        <w:rPr>
          <w:rFonts w:cs="Arial"/>
          <w:snapToGrid w:val="0"/>
          <w:szCs w:val="20"/>
        </w:rPr>
        <w:t xml:space="preserve"> </w:t>
      </w:r>
      <w:r w:rsidRPr="007727DF">
        <w:rPr>
          <w:rFonts w:cs="Arial"/>
          <w:snapToGrid w:val="0"/>
          <w:szCs w:val="20"/>
        </w:rPr>
        <w:t xml:space="preserve">of six years rather than </w:t>
      </w:r>
      <w:r w:rsidR="005B7088">
        <w:rPr>
          <w:rFonts w:cs="Arial"/>
          <w:snapToGrid w:val="0"/>
          <w:szCs w:val="20"/>
        </w:rPr>
        <w:t xml:space="preserve">the </w:t>
      </w:r>
      <w:r w:rsidRPr="007727DF">
        <w:rPr>
          <w:rFonts w:cs="Arial"/>
          <w:snapToGrid w:val="0"/>
          <w:szCs w:val="20"/>
        </w:rPr>
        <w:t>five</w:t>
      </w:r>
      <w:r w:rsidR="005B7088">
        <w:rPr>
          <w:rFonts w:cs="Arial"/>
          <w:snapToGrid w:val="0"/>
          <w:szCs w:val="20"/>
        </w:rPr>
        <w:t xml:space="preserve"> years estimated in the economic model</w:t>
      </w:r>
      <w:r w:rsidRPr="007727DF">
        <w:rPr>
          <w:rFonts w:cs="Arial"/>
          <w:snapToGrid w:val="0"/>
          <w:szCs w:val="20"/>
        </w:rPr>
        <w:t>;</w:t>
      </w:r>
    </w:p>
    <w:p w:rsidR="00CB55FC" w:rsidRPr="0054001A" w:rsidRDefault="00CB55FC" w:rsidP="00880D79">
      <w:pPr>
        <w:pStyle w:val="ListParagraph"/>
        <w:numPr>
          <w:ilvl w:val="0"/>
          <w:numId w:val="24"/>
        </w:numPr>
        <w:spacing w:before="0" w:after="120"/>
        <w:ind w:left="993" w:hanging="284"/>
        <w:contextualSpacing w:val="0"/>
        <w:rPr>
          <w:snapToGrid w:val="0"/>
        </w:rPr>
      </w:pPr>
      <w:proofErr w:type="gramStart"/>
      <w:r>
        <w:rPr>
          <w:snapToGrid w:val="0"/>
        </w:rPr>
        <w:t>t</w:t>
      </w:r>
      <w:r w:rsidRPr="007727DF">
        <w:rPr>
          <w:snapToGrid w:val="0"/>
        </w:rPr>
        <w:t>he</w:t>
      </w:r>
      <w:proofErr w:type="gramEnd"/>
      <w:r w:rsidRPr="007727DF">
        <w:rPr>
          <w:snapToGrid w:val="0"/>
        </w:rPr>
        <w:t xml:space="preserve"> use of the MSBase dataset to inform the assumed proportion</w:t>
      </w:r>
      <w:r>
        <w:rPr>
          <w:snapToGrid w:val="0"/>
        </w:rPr>
        <w:t xml:space="preserve"> (25%)</w:t>
      </w:r>
      <w:r w:rsidRPr="007727DF">
        <w:rPr>
          <w:snapToGrid w:val="0"/>
        </w:rPr>
        <w:t xml:space="preserve"> of patients defined as high risk of converting to </w:t>
      </w:r>
      <w:r w:rsidR="005B7088">
        <w:rPr>
          <w:snapToGrid w:val="0"/>
        </w:rPr>
        <w:t>clinically definite multiple sclerosis</w:t>
      </w:r>
      <w:r w:rsidRPr="007727DF">
        <w:rPr>
          <w:snapToGrid w:val="0"/>
        </w:rPr>
        <w:t>. The PBAC noted that enrolment in the MSBase dataset was not compulsory and considered using that dataset as a bas</w:t>
      </w:r>
      <w:r w:rsidR="005B7088">
        <w:rPr>
          <w:snapToGrid w:val="0"/>
        </w:rPr>
        <w:t xml:space="preserve">is </w:t>
      </w:r>
      <w:r w:rsidRPr="007727DF">
        <w:rPr>
          <w:snapToGrid w:val="0"/>
        </w:rPr>
        <w:t>for estimat</w:t>
      </w:r>
      <w:r w:rsidR="005B7088">
        <w:rPr>
          <w:snapToGrid w:val="0"/>
        </w:rPr>
        <w:t xml:space="preserve">ing </w:t>
      </w:r>
      <w:r w:rsidRPr="007727DF">
        <w:rPr>
          <w:snapToGrid w:val="0"/>
        </w:rPr>
        <w:t>eligible patients may not be reliable</w:t>
      </w:r>
      <w:r>
        <w:rPr>
          <w:snapToGrid w:val="0"/>
        </w:rPr>
        <w:t xml:space="preserve"> or representative of the </w:t>
      </w:r>
      <w:r w:rsidR="005B7088">
        <w:rPr>
          <w:snapToGrid w:val="0"/>
        </w:rPr>
        <w:t>potential PBS</w:t>
      </w:r>
      <w:r>
        <w:rPr>
          <w:snapToGrid w:val="0"/>
        </w:rPr>
        <w:t xml:space="preserve"> population</w:t>
      </w:r>
      <w:r w:rsidRPr="007727DF">
        <w:rPr>
          <w:snapToGrid w:val="0"/>
        </w:rPr>
        <w:t>.</w:t>
      </w:r>
    </w:p>
    <w:p w:rsidR="00CB55FC" w:rsidRPr="007727DF" w:rsidRDefault="00CB55FC" w:rsidP="00880D79">
      <w:pPr>
        <w:pStyle w:val="ListParagraph"/>
        <w:numPr>
          <w:ilvl w:val="1"/>
          <w:numId w:val="1"/>
        </w:numPr>
        <w:spacing w:before="0" w:after="120"/>
        <w:ind w:left="709" w:hanging="709"/>
        <w:contextualSpacing w:val="0"/>
        <w:rPr>
          <w:snapToGrid w:val="0"/>
        </w:rPr>
      </w:pPr>
      <w:r w:rsidRPr="007727DF">
        <w:rPr>
          <w:rFonts w:cs="Arial"/>
          <w:snapToGrid w:val="0"/>
          <w:szCs w:val="20"/>
        </w:rPr>
        <w:t xml:space="preserve">The Committee agreed that some therapies which are currently subsidised for relapsing-remitting multiple sclerosis are likely being used outside their restriction, including in </w:t>
      </w:r>
      <w:r w:rsidR="005B7088">
        <w:rPr>
          <w:rFonts w:cs="Arial"/>
          <w:snapToGrid w:val="0"/>
          <w:szCs w:val="20"/>
        </w:rPr>
        <w:t>clinically isolated syndrome</w:t>
      </w:r>
      <w:r w:rsidRPr="007727DF">
        <w:rPr>
          <w:rFonts w:cs="Arial"/>
          <w:snapToGrid w:val="0"/>
          <w:szCs w:val="20"/>
        </w:rPr>
        <w:t>, however considered that it was difficult to predict the extent to which this was occurring.</w:t>
      </w:r>
      <w:r>
        <w:rPr>
          <w:rFonts w:cs="Arial"/>
          <w:snapToGrid w:val="0"/>
          <w:szCs w:val="20"/>
        </w:rPr>
        <w:t xml:space="preserve"> The PBAC considered that the claimed cost offsets for substituted therapies being used outside PBS restrictions were highly uncertain.</w:t>
      </w:r>
    </w:p>
    <w:p w:rsidR="00CB55FC" w:rsidRPr="007727DF" w:rsidRDefault="00CB55FC" w:rsidP="00880D79">
      <w:pPr>
        <w:pStyle w:val="ListParagraph"/>
        <w:numPr>
          <w:ilvl w:val="1"/>
          <w:numId w:val="1"/>
        </w:numPr>
        <w:spacing w:before="0" w:after="120"/>
        <w:ind w:left="709" w:hanging="709"/>
        <w:contextualSpacing w:val="0"/>
        <w:rPr>
          <w:snapToGrid w:val="0"/>
        </w:rPr>
      </w:pPr>
      <w:r w:rsidRPr="007727DF">
        <w:rPr>
          <w:rFonts w:cs="Arial"/>
          <w:snapToGrid w:val="0"/>
          <w:szCs w:val="20"/>
        </w:rPr>
        <w:t xml:space="preserve">The PBAC considered that any resubmission for glatiramer acetate for clinically isolated syndrome would require a major submission </w:t>
      </w:r>
      <w:r w:rsidR="005B7088">
        <w:rPr>
          <w:rFonts w:cs="Arial"/>
          <w:snapToGrid w:val="0"/>
          <w:szCs w:val="20"/>
        </w:rPr>
        <w:t xml:space="preserve">including a new economic model and financial estimates that addresses the Committee’s concerns. </w:t>
      </w:r>
      <w:r w:rsidRPr="007727DF">
        <w:rPr>
          <w:rFonts w:cs="Arial"/>
          <w:snapToGrid w:val="0"/>
          <w:szCs w:val="20"/>
        </w:rPr>
        <w:t>The PBAC considered that demonstration of a</w:t>
      </w:r>
      <w:r w:rsidR="005B7088">
        <w:rPr>
          <w:rFonts w:cs="Arial"/>
          <w:snapToGrid w:val="0"/>
          <w:szCs w:val="20"/>
        </w:rPr>
        <w:t xml:space="preserve"> greater</w:t>
      </w:r>
      <w:r w:rsidRPr="007727DF">
        <w:rPr>
          <w:rFonts w:cs="Arial"/>
          <w:snapToGrid w:val="0"/>
          <w:szCs w:val="20"/>
        </w:rPr>
        <w:t xml:space="preserve"> absolute benefit in </w:t>
      </w:r>
      <w:r w:rsidR="005B7088">
        <w:rPr>
          <w:rFonts w:cs="Arial"/>
          <w:snapToGrid w:val="0"/>
          <w:szCs w:val="20"/>
        </w:rPr>
        <w:t>treating clinically isolated syndrome</w:t>
      </w:r>
      <w:r w:rsidRPr="007727DF">
        <w:rPr>
          <w:rFonts w:cs="Arial"/>
          <w:snapToGrid w:val="0"/>
          <w:szCs w:val="20"/>
        </w:rPr>
        <w:t>,</w:t>
      </w:r>
      <w:r w:rsidR="005B7088">
        <w:rPr>
          <w:rFonts w:cs="Arial"/>
          <w:snapToGrid w:val="0"/>
          <w:szCs w:val="20"/>
        </w:rPr>
        <w:t xml:space="preserve"> and/</w:t>
      </w:r>
      <w:r w:rsidRPr="007727DF">
        <w:rPr>
          <w:rFonts w:cs="Arial"/>
          <w:snapToGrid w:val="0"/>
          <w:szCs w:val="20"/>
        </w:rPr>
        <w:t>or a price reduction would be required to achieve a cost-effective listing for glatiramer acetate for clinically isolated syndrome.</w:t>
      </w:r>
    </w:p>
    <w:p w:rsidR="00CB55FC" w:rsidRPr="007727DF" w:rsidRDefault="00CB55FC" w:rsidP="00880D79">
      <w:pPr>
        <w:pStyle w:val="ListParagraph"/>
        <w:numPr>
          <w:ilvl w:val="1"/>
          <w:numId w:val="1"/>
        </w:numPr>
        <w:spacing w:before="0" w:after="120"/>
        <w:ind w:left="709" w:hanging="709"/>
        <w:contextualSpacing w:val="0"/>
        <w:rPr>
          <w:rFonts w:cs="Arial"/>
          <w:b/>
          <w:bCs/>
          <w:snapToGrid w:val="0"/>
          <w:szCs w:val="24"/>
          <w:lang w:val="en-GB"/>
        </w:rPr>
      </w:pPr>
      <w:r w:rsidRPr="007727DF">
        <w:rPr>
          <w:rFonts w:cs="Arial"/>
          <w:snapToGrid w:val="0"/>
          <w:szCs w:val="20"/>
        </w:rPr>
        <w:t>The PBAC noted that this submission is elig</w:t>
      </w:r>
      <w:r w:rsidR="009A047F">
        <w:rPr>
          <w:rFonts w:cs="Arial"/>
          <w:snapToGrid w:val="0"/>
          <w:szCs w:val="20"/>
        </w:rPr>
        <w:t>ible for an Independent Review.</w:t>
      </w:r>
    </w:p>
    <w:p w:rsidR="007A7D24" w:rsidRPr="00B55C53" w:rsidRDefault="007A7D24" w:rsidP="007A7D24">
      <w:pPr>
        <w:widowControl w:val="0"/>
        <w:spacing w:after="0"/>
        <w:rPr>
          <w:rFonts w:cs="Arial"/>
          <w:b/>
          <w:bCs/>
          <w:snapToGrid w:val="0"/>
          <w:szCs w:val="24"/>
          <w:highlight w:val="yellow"/>
          <w:lang w:val="en-GB"/>
        </w:rPr>
      </w:pPr>
    </w:p>
    <w:p w:rsidR="007A7D24" w:rsidRPr="007E6A8F" w:rsidRDefault="007A7D24" w:rsidP="007E6A8F">
      <w:pPr>
        <w:pStyle w:val="Heading3"/>
        <w:rPr>
          <w:snapToGrid w:val="0"/>
          <w:lang w:val="en-GB"/>
        </w:rPr>
      </w:pPr>
      <w:r w:rsidRPr="005B7088">
        <w:rPr>
          <w:snapToGrid w:val="0"/>
          <w:lang w:val="en-GB"/>
        </w:rPr>
        <w:t>Outcome</w:t>
      </w:r>
      <w:proofErr w:type="gramStart"/>
      <w:r w:rsidRPr="005B7088">
        <w:rPr>
          <w:snapToGrid w:val="0"/>
          <w:lang w:val="en-GB"/>
        </w:rPr>
        <w:t>:</w:t>
      </w:r>
      <w:proofErr w:type="gramEnd"/>
      <w:r w:rsidR="007E6A8F">
        <w:rPr>
          <w:snapToGrid w:val="0"/>
          <w:lang w:val="en-GB"/>
        </w:rPr>
        <w:br/>
      </w:r>
      <w:r w:rsidRPr="007E6A8F">
        <w:rPr>
          <w:rFonts w:cs="Arial"/>
          <w:b w:val="0"/>
          <w:bCs/>
          <w:snapToGrid w:val="0"/>
          <w:sz w:val="24"/>
          <w:szCs w:val="24"/>
          <w:lang w:val="en-GB"/>
        </w:rPr>
        <w:t>Reje</w:t>
      </w:r>
      <w:r w:rsidR="005B7088" w:rsidRPr="007E6A8F">
        <w:rPr>
          <w:rFonts w:cs="Arial"/>
          <w:b w:val="0"/>
          <w:bCs/>
          <w:snapToGrid w:val="0"/>
          <w:sz w:val="24"/>
          <w:szCs w:val="24"/>
          <w:lang w:val="en-GB"/>
        </w:rPr>
        <w:t xml:space="preserve">cted </w:t>
      </w:r>
    </w:p>
    <w:p w:rsidR="007A7D24" w:rsidRDefault="007A7D24" w:rsidP="007A7D24">
      <w:pPr>
        <w:widowControl w:val="0"/>
        <w:spacing w:after="0"/>
        <w:rPr>
          <w:rFonts w:cs="Arial"/>
          <w:bCs/>
          <w:snapToGrid w:val="0"/>
          <w:szCs w:val="24"/>
          <w:highlight w:val="yellow"/>
          <w:lang w:val="en-GB"/>
        </w:rPr>
      </w:pPr>
    </w:p>
    <w:p w:rsidR="00056615" w:rsidRDefault="00056615" w:rsidP="007A7D24">
      <w:pPr>
        <w:widowControl w:val="0"/>
        <w:spacing w:after="0"/>
        <w:rPr>
          <w:rFonts w:cs="Arial"/>
          <w:bCs/>
          <w:snapToGrid w:val="0"/>
          <w:szCs w:val="24"/>
          <w:highlight w:val="yellow"/>
          <w:lang w:val="en-GB"/>
        </w:rPr>
      </w:pPr>
    </w:p>
    <w:p w:rsidR="00056615" w:rsidRDefault="00056615" w:rsidP="007A7D24">
      <w:pPr>
        <w:widowControl w:val="0"/>
        <w:spacing w:after="0"/>
        <w:rPr>
          <w:rFonts w:cs="Arial"/>
          <w:bCs/>
          <w:snapToGrid w:val="0"/>
          <w:szCs w:val="24"/>
          <w:highlight w:val="yellow"/>
          <w:lang w:val="en-GB"/>
        </w:rPr>
      </w:pPr>
    </w:p>
    <w:p w:rsidR="00056615" w:rsidRDefault="00056615" w:rsidP="007A7D24">
      <w:pPr>
        <w:widowControl w:val="0"/>
        <w:spacing w:after="0"/>
        <w:rPr>
          <w:rFonts w:cs="Arial"/>
          <w:bCs/>
          <w:snapToGrid w:val="0"/>
          <w:szCs w:val="24"/>
          <w:highlight w:val="yellow"/>
          <w:lang w:val="en-GB"/>
        </w:rPr>
      </w:pPr>
    </w:p>
    <w:p w:rsidR="00056615" w:rsidRPr="00CC5F08" w:rsidRDefault="00056615" w:rsidP="00CC5F08">
      <w:pPr>
        <w:pStyle w:val="Heading1"/>
        <w:ind w:left="709" w:hanging="709"/>
      </w:pPr>
      <w:r w:rsidRPr="00CC5F08">
        <w:t>Context for Decision</w:t>
      </w:r>
    </w:p>
    <w:p w:rsidR="00056615" w:rsidRPr="00056615" w:rsidRDefault="00056615" w:rsidP="00056615">
      <w:pPr>
        <w:spacing w:before="0" w:after="0" w:line="276" w:lineRule="auto"/>
        <w:ind w:left="426"/>
        <w:rPr>
          <w:rFonts w:eastAsia="Calibri" w:cs="Arial"/>
          <w:szCs w:val="24"/>
        </w:rPr>
      </w:pPr>
    </w:p>
    <w:p w:rsidR="00056615" w:rsidRPr="00056615" w:rsidRDefault="00056615" w:rsidP="00CC5F08">
      <w:pPr>
        <w:spacing w:before="0" w:after="0" w:line="276" w:lineRule="auto"/>
        <w:rPr>
          <w:rFonts w:eastAsia="Calibri" w:cs="Arial"/>
          <w:szCs w:val="24"/>
        </w:rPr>
      </w:pPr>
      <w:r w:rsidRPr="00056615">
        <w:rPr>
          <w:rFonts w:eastAsia="Calibri" w:cs="Arial"/>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56615" w:rsidRPr="00056615" w:rsidRDefault="00056615" w:rsidP="00056615">
      <w:pPr>
        <w:spacing w:before="0" w:after="200" w:line="276" w:lineRule="auto"/>
        <w:ind w:left="426"/>
        <w:rPr>
          <w:rFonts w:eastAsia="Calibri" w:cs="Arial"/>
          <w:szCs w:val="24"/>
        </w:rPr>
      </w:pPr>
    </w:p>
    <w:p w:rsidR="00056615" w:rsidRPr="00CC5F08" w:rsidRDefault="00056615" w:rsidP="00CC5F08">
      <w:pPr>
        <w:pStyle w:val="Heading1"/>
        <w:ind w:left="709" w:hanging="709"/>
      </w:pPr>
      <w:r w:rsidRPr="00CC5F08">
        <w:t>Sponsor’s Comment</w:t>
      </w:r>
    </w:p>
    <w:p w:rsidR="00056615" w:rsidRPr="00056615" w:rsidRDefault="00056615" w:rsidP="00056615">
      <w:pPr>
        <w:spacing w:before="0" w:after="0" w:line="276" w:lineRule="auto"/>
        <w:ind w:left="426"/>
        <w:rPr>
          <w:rFonts w:eastAsia="Calibri" w:cs="Arial"/>
          <w:bCs/>
          <w:szCs w:val="24"/>
          <w:highlight w:val="yellow"/>
          <w:lang w:val="en-GB"/>
        </w:rPr>
      </w:pPr>
    </w:p>
    <w:p w:rsidR="00D15B48" w:rsidRPr="00AF06E3" w:rsidRDefault="00D15B48" w:rsidP="00AF06E3">
      <w:pPr>
        <w:spacing w:before="0" w:after="0" w:line="276" w:lineRule="auto"/>
        <w:rPr>
          <w:rFonts w:eastAsia="Calibri" w:cs="Arial"/>
          <w:szCs w:val="24"/>
        </w:rPr>
      </w:pPr>
      <w:r w:rsidRPr="00AF06E3">
        <w:rPr>
          <w:rFonts w:eastAsia="Calibri" w:cs="Arial"/>
          <w:szCs w:val="24"/>
        </w:rPr>
        <w:t xml:space="preserve">The sponsor will work with the department towards resolution of the identified issues. </w:t>
      </w:r>
    </w:p>
    <w:p w:rsidR="00056615" w:rsidRPr="00B55C53" w:rsidRDefault="00056615" w:rsidP="007A7D24">
      <w:pPr>
        <w:widowControl w:val="0"/>
        <w:spacing w:after="0"/>
        <w:rPr>
          <w:rFonts w:cs="Arial"/>
          <w:bCs/>
          <w:snapToGrid w:val="0"/>
          <w:szCs w:val="24"/>
          <w:highlight w:val="yellow"/>
          <w:lang w:val="en-GB"/>
        </w:rPr>
      </w:pPr>
    </w:p>
    <w:sectPr w:rsidR="00056615" w:rsidRPr="00B55C53" w:rsidSect="0001419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17"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55F582" w15:done="0"/>
  <w15:commentEx w15:paraId="629BC206" w15:done="0"/>
  <w15:commentEx w15:paraId="6F548C80" w15:done="0"/>
  <w15:commentEx w15:paraId="34B17B70" w15:done="0"/>
  <w15:commentEx w15:paraId="5851924B" w15:done="0"/>
  <w15:commentEx w15:paraId="3A6A340A" w15:done="0"/>
  <w15:commentEx w15:paraId="5541140E" w15:paraIdParent="3A6A340A" w15:done="0"/>
  <w15:commentEx w15:paraId="0D35C100" w15:done="0"/>
  <w15:commentEx w15:paraId="133D82F7" w15:done="0"/>
  <w15:commentEx w15:paraId="059ECE11" w15:done="0"/>
  <w15:commentEx w15:paraId="2E7C3BE7" w15:done="0"/>
  <w15:commentEx w15:paraId="70BA4147" w15:paraIdParent="2E7C3BE7" w15:done="0"/>
  <w15:commentEx w15:paraId="670DEC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6E3" w:rsidRDefault="00AF06E3" w:rsidP="00BA3306">
      <w:pPr>
        <w:spacing w:before="0" w:after="0"/>
      </w:pPr>
      <w:r>
        <w:separator/>
      </w:r>
    </w:p>
    <w:p w:rsidR="00AF06E3" w:rsidRDefault="00AF06E3"/>
  </w:endnote>
  <w:endnote w:type="continuationSeparator" w:id="0">
    <w:p w:rsidR="00AF06E3" w:rsidRDefault="00AF06E3" w:rsidP="00BA3306">
      <w:pPr>
        <w:spacing w:before="0" w:after="0"/>
      </w:pPr>
      <w:r>
        <w:continuationSeparator/>
      </w:r>
    </w:p>
    <w:p w:rsidR="00AF06E3" w:rsidRDefault="00AF0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08" w:rsidRDefault="00CC5F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115731"/>
      <w:docPartObj>
        <w:docPartGallery w:val="Page Numbers (Bottom of Page)"/>
        <w:docPartUnique/>
      </w:docPartObj>
    </w:sdtPr>
    <w:sdtEndPr>
      <w:rPr>
        <w:noProof/>
      </w:rPr>
    </w:sdtEndPr>
    <w:sdtContent>
      <w:p w:rsidR="00CC5F08" w:rsidRDefault="00CC5F08">
        <w:pPr>
          <w:pStyle w:val="Footer"/>
          <w:jc w:val="center"/>
        </w:pPr>
        <w:r>
          <w:fldChar w:fldCharType="begin"/>
        </w:r>
        <w:r>
          <w:instrText xml:space="preserve"> PAGE   \* MERGEFORMAT </w:instrText>
        </w:r>
        <w:r>
          <w:fldChar w:fldCharType="separate"/>
        </w:r>
        <w:r w:rsidR="00AF06E3">
          <w:rPr>
            <w:noProof/>
          </w:rPr>
          <w:t>23</w:t>
        </w:r>
        <w:r>
          <w:rPr>
            <w:noProof/>
          </w:rPr>
          <w:fldChar w:fldCharType="end"/>
        </w:r>
      </w:p>
    </w:sdtContent>
  </w:sdt>
  <w:p w:rsidR="00CC5F08" w:rsidRDefault="00CC5F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08" w:rsidRDefault="00CC5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6E3" w:rsidRDefault="00AF06E3" w:rsidP="00BA3306">
      <w:pPr>
        <w:spacing w:before="0" w:after="0"/>
      </w:pPr>
      <w:r>
        <w:separator/>
      </w:r>
    </w:p>
    <w:p w:rsidR="00AF06E3" w:rsidRDefault="00AF06E3"/>
  </w:footnote>
  <w:footnote w:type="continuationSeparator" w:id="0">
    <w:p w:rsidR="00AF06E3" w:rsidRDefault="00AF06E3" w:rsidP="00BA3306">
      <w:pPr>
        <w:spacing w:before="0" w:after="0"/>
      </w:pPr>
      <w:r>
        <w:continuationSeparator/>
      </w:r>
    </w:p>
    <w:p w:rsidR="00AF06E3" w:rsidRDefault="00AF06E3"/>
  </w:footnote>
  <w:footnote w:id="1">
    <w:p w:rsidR="00CC5F08" w:rsidRPr="00F774B7" w:rsidRDefault="00CC5F08" w:rsidP="00F774B7">
      <w:pPr>
        <w:pStyle w:val="CommentText"/>
        <w:rPr>
          <w:i/>
        </w:rPr>
      </w:pPr>
      <w:r w:rsidRPr="00F774B7">
        <w:rPr>
          <w:rStyle w:val="FootnoteReference"/>
          <w:i/>
        </w:rPr>
        <w:footnoteRef/>
      </w:r>
      <w:r w:rsidRPr="00F774B7">
        <w:rPr>
          <w:i/>
        </w:rPr>
        <w:t xml:space="preserve"> Cottrell DA. The Case for delaying treatment of clinically isolated syndrome. Int J MS Care 2009; 11(2): 103-106.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08" w:rsidRDefault="00CC5F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08" w:rsidRPr="00DF217D" w:rsidRDefault="00CC5F08" w:rsidP="00DB2F27">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2017 </w:t>
    </w:r>
    <w:r w:rsidRPr="00DF217D">
      <w:rPr>
        <w:i/>
        <w:color w:val="808080"/>
      </w:rPr>
      <w:t>PBAC</w:t>
    </w:r>
    <w:r>
      <w:rPr>
        <w:i/>
        <w:color w:val="808080"/>
      </w:rPr>
      <w:t xml:space="preserve"> </w:t>
    </w:r>
    <w:r w:rsidRPr="00DF217D">
      <w:rPr>
        <w:i/>
        <w:color w:val="808080"/>
      </w:rPr>
      <w:t>Meeting</w:t>
    </w:r>
  </w:p>
  <w:p w:rsidR="00CC5F08" w:rsidRDefault="00CC5F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08" w:rsidRDefault="00CC5F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E1317C0"/>
    <w:multiLevelType w:val="multilevel"/>
    <w:tmpl w:val="8C1A48F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E551B5"/>
    <w:multiLevelType w:val="hybridMultilevel"/>
    <w:tmpl w:val="1EDA1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56409"/>
    <w:multiLevelType w:val="hybridMultilevel"/>
    <w:tmpl w:val="E0663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3E75B0"/>
    <w:multiLevelType w:val="hybridMultilevel"/>
    <w:tmpl w:val="78803A8C"/>
    <w:lvl w:ilvl="0" w:tplc="7C74FCA8">
      <w:start w:val="1"/>
      <w:numFmt w:val="bullet"/>
      <w:pStyle w:val="ESnon-numbere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nsid w:val="17455610"/>
    <w:multiLevelType w:val="hybridMultilevel"/>
    <w:tmpl w:val="C86E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815940"/>
    <w:multiLevelType w:val="multilevel"/>
    <w:tmpl w:val="1744D13E"/>
    <w:lvl w:ilvl="0">
      <w:start w:val="1"/>
      <w:numFmt w:val="decimal"/>
      <w:lvlText w:val="%1"/>
      <w:lvlJc w:val="left"/>
      <w:pPr>
        <w:ind w:left="720" w:hanging="720"/>
      </w:pPr>
      <w:rPr>
        <w:rFonts w:hint="default"/>
        <w:b/>
      </w:rPr>
    </w:lvl>
    <w:lvl w:ilvl="1">
      <w:start w:val="1"/>
      <w:numFmt w:val="decimal"/>
      <w:lvlText w:val="%1.%2"/>
      <w:lvlJc w:val="left"/>
      <w:pPr>
        <w:ind w:left="1146"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EF30C01"/>
    <w:multiLevelType w:val="hybridMultilevel"/>
    <w:tmpl w:val="6304F71C"/>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8">
    <w:nsid w:val="284E6825"/>
    <w:multiLevelType w:val="multilevel"/>
    <w:tmpl w:val="00AE8054"/>
    <w:lvl w:ilvl="0">
      <w:start w:val="1"/>
      <w:numFmt w:val="decimal"/>
      <w:pStyle w:val="Heading1"/>
      <w:lvlText w:val="%1"/>
      <w:lvlJc w:val="left"/>
      <w:pPr>
        <w:ind w:left="432" w:hanging="432"/>
      </w:pPr>
      <w:rPr>
        <w:rFonts w:hint="default"/>
        <w:i w:val="0"/>
      </w:rPr>
    </w:lvl>
    <w:lvl w:ilvl="1">
      <w:start w:val="1"/>
      <w:numFmt w:val="decimal"/>
      <w:lvlText w:val="%1.%2"/>
      <w:lvlJc w:val="left"/>
      <w:pPr>
        <w:ind w:left="718"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50F435C"/>
    <w:multiLevelType w:val="hybridMultilevel"/>
    <w:tmpl w:val="EA1CD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AA529C"/>
    <w:multiLevelType w:val="hybridMultilevel"/>
    <w:tmpl w:val="D90C30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FBC4D78"/>
    <w:multiLevelType w:val="hybridMultilevel"/>
    <w:tmpl w:val="6C601E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D848E5"/>
    <w:multiLevelType w:val="hybridMultilevel"/>
    <w:tmpl w:val="7654DE7A"/>
    <w:lvl w:ilvl="0" w:tplc="0C090001">
      <w:start w:val="1"/>
      <w:numFmt w:val="bullet"/>
      <w:lvlText w:val=""/>
      <w:lvlJc w:val="left"/>
      <w:pPr>
        <w:ind w:left="2358" w:hanging="360"/>
      </w:pPr>
      <w:rPr>
        <w:rFonts w:ascii="Symbol" w:hAnsi="Symbol" w:hint="default"/>
      </w:rPr>
    </w:lvl>
    <w:lvl w:ilvl="1" w:tplc="0C090003" w:tentative="1">
      <w:start w:val="1"/>
      <w:numFmt w:val="bullet"/>
      <w:lvlText w:val="o"/>
      <w:lvlJc w:val="left"/>
      <w:pPr>
        <w:ind w:left="3078" w:hanging="360"/>
      </w:pPr>
      <w:rPr>
        <w:rFonts w:ascii="Courier New" w:hAnsi="Courier New" w:cs="Courier New" w:hint="default"/>
      </w:rPr>
    </w:lvl>
    <w:lvl w:ilvl="2" w:tplc="0C090005" w:tentative="1">
      <w:start w:val="1"/>
      <w:numFmt w:val="bullet"/>
      <w:lvlText w:val=""/>
      <w:lvlJc w:val="left"/>
      <w:pPr>
        <w:ind w:left="3798" w:hanging="360"/>
      </w:pPr>
      <w:rPr>
        <w:rFonts w:ascii="Wingdings" w:hAnsi="Wingdings" w:hint="default"/>
      </w:rPr>
    </w:lvl>
    <w:lvl w:ilvl="3" w:tplc="0C090001" w:tentative="1">
      <w:start w:val="1"/>
      <w:numFmt w:val="bullet"/>
      <w:lvlText w:val=""/>
      <w:lvlJc w:val="left"/>
      <w:pPr>
        <w:ind w:left="4518" w:hanging="360"/>
      </w:pPr>
      <w:rPr>
        <w:rFonts w:ascii="Symbol" w:hAnsi="Symbol" w:hint="default"/>
      </w:rPr>
    </w:lvl>
    <w:lvl w:ilvl="4" w:tplc="0C090003" w:tentative="1">
      <w:start w:val="1"/>
      <w:numFmt w:val="bullet"/>
      <w:lvlText w:val="o"/>
      <w:lvlJc w:val="left"/>
      <w:pPr>
        <w:ind w:left="5238" w:hanging="360"/>
      </w:pPr>
      <w:rPr>
        <w:rFonts w:ascii="Courier New" w:hAnsi="Courier New" w:cs="Courier New" w:hint="default"/>
      </w:rPr>
    </w:lvl>
    <w:lvl w:ilvl="5" w:tplc="0C090005" w:tentative="1">
      <w:start w:val="1"/>
      <w:numFmt w:val="bullet"/>
      <w:lvlText w:val=""/>
      <w:lvlJc w:val="left"/>
      <w:pPr>
        <w:ind w:left="5958" w:hanging="360"/>
      </w:pPr>
      <w:rPr>
        <w:rFonts w:ascii="Wingdings" w:hAnsi="Wingdings" w:hint="default"/>
      </w:rPr>
    </w:lvl>
    <w:lvl w:ilvl="6" w:tplc="0C090001" w:tentative="1">
      <w:start w:val="1"/>
      <w:numFmt w:val="bullet"/>
      <w:lvlText w:val=""/>
      <w:lvlJc w:val="left"/>
      <w:pPr>
        <w:ind w:left="6678" w:hanging="360"/>
      </w:pPr>
      <w:rPr>
        <w:rFonts w:ascii="Symbol" w:hAnsi="Symbol" w:hint="default"/>
      </w:rPr>
    </w:lvl>
    <w:lvl w:ilvl="7" w:tplc="0C090003" w:tentative="1">
      <w:start w:val="1"/>
      <w:numFmt w:val="bullet"/>
      <w:lvlText w:val="o"/>
      <w:lvlJc w:val="left"/>
      <w:pPr>
        <w:ind w:left="7398" w:hanging="360"/>
      </w:pPr>
      <w:rPr>
        <w:rFonts w:ascii="Courier New" w:hAnsi="Courier New" w:cs="Courier New" w:hint="default"/>
      </w:rPr>
    </w:lvl>
    <w:lvl w:ilvl="8" w:tplc="0C090005" w:tentative="1">
      <w:start w:val="1"/>
      <w:numFmt w:val="bullet"/>
      <w:lvlText w:val=""/>
      <w:lvlJc w:val="left"/>
      <w:pPr>
        <w:ind w:left="8118" w:hanging="360"/>
      </w:pPr>
      <w:rPr>
        <w:rFonts w:ascii="Wingdings" w:hAnsi="Wingdings" w:hint="default"/>
      </w:rPr>
    </w:lvl>
  </w:abstractNum>
  <w:abstractNum w:abstractNumId="14">
    <w:nsid w:val="4B2875A5"/>
    <w:multiLevelType w:val="hybridMultilevel"/>
    <w:tmpl w:val="4D8C6658"/>
    <w:lvl w:ilvl="0" w:tplc="CF184C6A">
      <w:start w:val="1"/>
      <w:numFmt w:val="bullet"/>
      <w:pStyle w:val="V50InstructionsBullets"/>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3A115F"/>
    <w:multiLevelType w:val="hybridMultilevel"/>
    <w:tmpl w:val="E41EE932"/>
    <w:lvl w:ilvl="0" w:tplc="0C090001">
      <w:start w:val="1"/>
      <w:numFmt w:val="bullet"/>
      <w:lvlText w:val=""/>
      <w:lvlJc w:val="left"/>
      <w:pPr>
        <w:tabs>
          <w:tab w:val="num" w:pos="360"/>
        </w:tabs>
        <w:ind w:left="288"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8F1174"/>
    <w:multiLevelType w:val="hybridMultilevel"/>
    <w:tmpl w:val="62469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ED901BC"/>
    <w:multiLevelType w:val="hybridMultilevel"/>
    <w:tmpl w:val="F76EF92E"/>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9E67A33"/>
    <w:multiLevelType w:val="hybridMultilevel"/>
    <w:tmpl w:val="59B4A52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722F4647"/>
    <w:multiLevelType w:val="multilevel"/>
    <w:tmpl w:val="1744D13E"/>
    <w:lvl w:ilvl="0">
      <w:start w:val="1"/>
      <w:numFmt w:val="decimal"/>
      <w:lvlText w:val="%1"/>
      <w:lvlJc w:val="left"/>
      <w:pPr>
        <w:ind w:left="720" w:hanging="720"/>
      </w:pPr>
      <w:rPr>
        <w:rFonts w:hint="default"/>
        <w:b/>
      </w:rPr>
    </w:lvl>
    <w:lvl w:ilvl="1">
      <w:start w:val="1"/>
      <w:numFmt w:val="decimal"/>
      <w:lvlText w:val="%1.%2"/>
      <w:lvlJc w:val="left"/>
      <w:pPr>
        <w:ind w:left="1146"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52C7327"/>
    <w:multiLevelType w:val="multilevel"/>
    <w:tmpl w:val="DC309858"/>
    <w:lvl w:ilvl="0">
      <w:start w:val="1"/>
      <w:numFmt w:val="decimal"/>
      <w:lvlText w:val="%1"/>
      <w:lvlJc w:val="left"/>
      <w:pPr>
        <w:ind w:left="720" w:hanging="720"/>
      </w:pPr>
      <w:rPr>
        <w:rFonts w:hint="default"/>
        <w:b/>
      </w:rPr>
    </w:lvl>
    <w:lvl w:ilvl="1">
      <w:start w:val="1"/>
      <w:numFmt w:val="bullet"/>
      <w:lvlText w:val=""/>
      <w:lvlJc w:val="left"/>
      <w:pPr>
        <w:ind w:left="1146"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84D033C"/>
    <w:multiLevelType w:val="multilevel"/>
    <w:tmpl w:val="1E8C21E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4"/>
  </w:num>
  <w:num w:numId="3">
    <w:abstractNumId w:val="22"/>
  </w:num>
  <w:num w:numId="4">
    <w:abstractNumId w:val="9"/>
  </w:num>
  <w:num w:numId="5">
    <w:abstractNumId w:val="4"/>
  </w:num>
  <w:num w:numId="6">
    <w:abstractNumId w:val="2"/>
  </w:num>
  <w:num w:numId="7">
    <w:abstractNumId w:val="15"/>
  </w:num>
  <w:num w:numId="8">
    <w:abstractNumId w:val="18"/>
  </w:num>
  <w:num w:numId="9">
    <w:abstractNumId w:val="12"/>
  </w:num>
  <w:num w:numId="10">
    <w:abstractNumId w:val="3"/>
  </w:num>
  <w:num w:numId="11">
    <w:abstractNumId w:val="19"/>
  </w:num>
  <w:num w:numId="12">
    <w:abstractNumId w:val="6"/>
  </w:num>
  <w:num w:numId="13">
    <w:abstractNumId w:val="21"/>
  </w:num>
  <w:num w:numId="14">
    <w:abstractNumId w:val="8"/>
  </w:num>
  <w:num w:numId="15">
    <w:abstractNumId w:val="1"/>
  </w:num>
  <w:num w:numId="16">
    <w:abstractNumId w:val="20"/>
  </w:num>
  <w:num w:numId="17">
    <w:abstractNumId w:val="11"/>
  </w:num>
  <w:num w:numId="18">
    <w:abstractNumId w:val="17"/>
  </w:num>
  <w:num w:numId="19">
    <w:abstractNumId w:val="10"/>
  </w:num>
  <w:num w:numId="20">
    <w:abstractNumId w:val="16"/>
  </w:num>
  <w:num w:numId="21">
    <w:abstractNumId w:val="0"/>
  </w:num>
  <w:num w:numId="22">
    <w:abstractNumId w:val="5"/>
  </w:num>
  <w:num w:numId="23">
    <w:abstractNumId w:val="7"/>
  </w:num>
  <w:num w:numId="24">
    <w:abstractNumId w:val="1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hy Mihalopoulos">
    <w15:presenceInfo w15:providerId="AD" w15:userId="S-1-5-21-248963057-614103661-3067232799-24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0E7E"/>
    <w:rsid w:val="00001045"/>
    <w:rsid w:val="000016FA"/>
    <w:rsid w:val="00001AB4"/>
    <w:rsid w:val="00002A26"/>
    <w:rsid w:val="00003C85"/>
    <w:rsid w:val="00005727"/>
    <w:rsid w:val="0001066F"/>
    <w:rsid w:val="00013222"/>
    <w:rsid w:val="00013855"/>
    <w:rsid w:val="00014196"/>
    <w:rsid w:val="00015EF5"/>
    <w:rsid w:val="0002095B"/>
    <w:rsid w:val="00021245"/>
    <w:rsid w:val="0002235D"/>
    <w:rsid w:val="00022BD7"/>
    <w:rsid w:val="00033723"/>
    <w:rsid w:val="00034404"/>
    <w:rsid w:val="00034AD6"/>
    <w:rsid w:val="00034CA3"/>
    <w:rsid w:val="00036902"/>
    <w:rsid w:val="00036E7C"/>
    <w:rsid w:val="00037A3E"/>
    <w:rsid w:val="00037CD0"/>
    <w:rsid w:val="000403AB"/>
    <w:rsid w:val="000412BB"/>
    <w:rsid w:val="00042AC2"/>
    <w:rsid w:val="00044E36"/>
    <w:rsid w:val="00044F1D"/>
    <w:rsid w:val="000461CF"/>
    <w:rsid w:val="00046606"/>
    <w:rsid w:val="00046F2E"/>
    <w:rsid w:val="000503B8"/>
    <w:rsid w:val="00051EAB"/>
    <w:rsid w:val="00052B97"/>
    <w:rsid w:val="00054005"/>
    <w:rsid w:val="000540C7"/>
    <w:rsid w:val="00054680"/>
    <w:rsid w:val="000547F2"/>
    <w:rsid w:val="0005622B"/>
    <w:rsid w:val="00056615"/>
    <w:rsid w:val="00057F71"/>
    <w:rsid w:val="00062067"/>
    <w:rsid w:val="00065C62"/>
    <w:rsid w:val="00065CDE"/>
    <w:rsid w:val="00065F4A"/>
    <w:rsid w:val="00067646"/>
    <w:rsid w:val="000720A7"/>
    <w:rsid w:val="000720B6"/>
    <w:rsid w:val="000737CD"/>
    <w:rsid w:val="000751FE"/>
    <w:rsid w:val="000768E6"/>
    <w:rsid w:val="00077C40"/>
    <w:rsid w:val="00080FF3"/>
    <w:rsid w:val="00081312"/>
    <w:rsid w:val="000847FE"/>
    <w:rsid w:val="00084F65"/>
    <w:rsid w:val="00086133"/>
    <w:rsid w:val="00086A86"/>
    <w:rsid w:val="00091A67"/>
    <w:rsid w:val="0009579E"/>
    <w:rsid w:val="000A0679"/>
    <w:rsid w:val="000A1DDF"/>
    <w:rsid w:val="000A2694"/>
    <w:rsid w:val="000A2EF1"/>
    <w:rsid w:val="000A46B9"/>
    <w:rsid w:val="000A4A99"/>
    <w:rsid w:val="000A6FBD"/>
    <w:rsid w:val="000B0E53"/>
    <w:rsid w:val="000B56CD"/>
    <w:rsid w:val="000B56EF"/>
    <w:rsid w:val="000B6B69"/>
    <w:rsid w:val="000B7927"/>
    <w:rsid w:val="000C0142"/>
    <w:rsid w:val="000C2316"/>
    <w:rsid w:val="000C3A1E"/>
    <w:rsid w:val="000C572C"/>
    <w:rsid w:val="000C5E44"/>
    <w:rsid w:val="000C6A40"/>
    <w:rsid w:val="000D0023"/>
    <w:rsid w:val="000D032A"/>
    <w:rsid w:val="000D06F2"/>
    <w:rsid w:val="000D11D2"/>
    <w:rsid w:val="000D2074"/>
    <w:rsid w:val="000D38FC"/>
    <w:rsid w:val="000D3F87"/>
    <w:rsid w:val="000D4C2F"/>
    <w:rsid w:val="000D4C50"/>
    <w:rsid w:val="000E051D"/>
    <w:rsid w:val="000E10ED"/>
    <w:rsid w:val="000E1FBE"/>
    <w:rsid w:val="000E5131"/>
    <w:rsid w:val="000E5311"/>
    <w:rsid w:val="000E6EE7"/>
    <w:rsid w:val="000F20BC"/>
    <w:rsid w:val="000F2534"/>
    <w:rsid w:val="000F35CF"/>
    <w:rsid w:val="000F3652"/>
    <w:rsid w:val="000F45DD"/>
    <w:rsid w:val="00101A14"/>
    <w:rsid w:val="00103F5E"/>
    <w:rsid w:val="0010447E"/>
    <w:rsid w:val="00107804"/>
    <w:rsid w:val="00107EBF"/>
    <w:rsid w:val="001115DE"/>
    <w:rsid w:val="00111A53"/>
    <w:rsid w:val="0011201C"/>
    <w:rsid w:val="0011265C"/>
    <w:rsid w:val="00112C6B"/>
    <w:rsid w:val="00113034"/>
    <w:rsid w:val="00113BF2"/>
    <w:rsid w:val="0011518A"/>
    <w:rsid w:val="00116C79"/>
    <w:rsid w:val="001174B1"/>
    <w:rsid w:val="00121217"/>
    <w:rsid w:val="00126550"/>
    <w:rsid w:val="0012701F"/>
    <w:rsid w:val="001279AE"/>
    <w:rsid w:val="001305CA"/>
    <w:rsid w:val="00130CC8"/>
    <w:rsid w:val="0013573D"/>
    <w:rsid w:val="00135E0A"/>
    <w:rsid w:val="00136E76"/>
    <w:rsid w:val="00141BDD"/>
    <w:rsid w:val="001420A0"/>
    <w:rsid w:val="00143EB8"/>
    <w:rsid w:val="00144B13"/>
    <w:rsid w:val="001468C6"/>
    <w:rsid w:val="00146C47"/>
    <w:rsid w:val="0015075C"/>
    <w:rsid w:val="00151404"/>
    <w:rsid w:val="00151E51"/>
    <w:rsid w:val="001530B7"/>
    <w:rsid w:val="00153D37"/>
    <w:rsid w:val="001564B0"/>
    <w:rsid w:val="001565ED"/>
    <w:rsid w:val="00161D31"/>
    <w:rsid w:val="00162344"/>
    <w:rsid w:val="00162884"/>
    <w:rsid w:val="00163A47"/>
    <w:rsid w:val="001642F6"/>
    <w:rsid w:val="0016464C"/>
    <w:rsid w:val="00165A49"/>
    <w:rsid w:val="001705BA"/>
    <w:rsid w:val="00172D82"/>
    <w:rsid w:val="00173001"/>
    <w:rsid w:val="00173577"/>
    <w:rsid w:val="0017689B"/>
    <w:rsid w:val="00176AA5"/>
    <w:rsid w:val="0017720E"/>
    <w:rsid w:val="00177893"/>
    <w:rsid w:val="00184221"/>
    <w:rsid w:val="001857E9"/>
    <w:rsid w:val="00186307"/>
    <w:rsid w:val="00186EBC"/>
    <w:rsid w:val="0018796D"/>
    <w:rsid w:val="00190A82"/>
    <w:rsid w:val="00192322"/>
    <w:rsid w:val="00192346"/>
    <w:rsid w:val="00193362"/>
    <w:rsid w:val="00195DA4"/>
    <w:rsid w:val="001A0142"/>
    <w:rsid w:val="001A433C"/>
    <w:rsid w:val="001A5615"/>
    <w:rsid w:val="001A6F98"/>
    <w:rsid w:val="001B00CE"/>
    <w:rsid w:val="001B6389"/>
    <w:rsid w:val="001B7AB6"/>
    <w:rsid w:val="001C04CC"/>
    <w:rsid w:val="001C051E"/>
    <w:rsid w:val="001C4720"/>
    <w:rsid w:val="001D14BB"/>
    <w:rsid w:val="001D1AC4"/>
    <w:rsid w:val="001D5DE3"/>
    <w:rsid w:val="001D713C"/>
    <w:rsid w:val="001E20F5"/>
    <w:rsid w:val="001E5918"/>
    <w:rsid w:val="001E68DC"/>
    <w:rsid w:val="001E7975"/>
    <w:rsid w:val="001F073C"/>
    <w:rsid w:val="001F2912"/>
    <w:rsid w:val="001F3D00"/>
    <w:rsid w:val="001F680A"/>
    <w:rsid w:val="001F74E0"/>
    <w:rsid w:val="00200296"/>
    <w:rsid w:val="0020138B"/>
    <w:rsid w:val="00201ADB"/>
    <w:rsid w:val="00202036"/>
    <w:rsid w:val="00203DA7"/>
    <w:rsid w:val="00203E54"/>
    <w:rsid w:val="002058E5"/>
    <w:rsid w:val="00206022"/>
    <w:rsid w:val="00207C9B"/>
    <w:rsid w:val="00210FAA"/>
    <w:rsid w:val="002120A0"/>
    <w:rsid w:val="00213364"/>
    <w:rsid w:val="00213E01"/>
    <w:rsid w:val="0021739D"/>
    <w:rsid w:val="00217583"/>
    <w:rsid w:val="00217742"/>
    <w:rsid w:val="00220C9F"/>
    <w:rsid w:val="00222402"/>
    <w:rsid w:val="00222A1B"/>
    <w:rsid w:val="002234A6"/>
    <w:rsid w:val="0022390D"/>
    <w:rsid w:val="00225B33"/>
    <w:rsid w:val="00225BD1"/>
    <w:rsid w:val="00231272"/>
    <w:rsid w:val="00233A19"/>
    <w:rsid w:val="00234954"/>
    <w:rsid w:val="00235355"/>
    <w:rsid w:val="00240C2C"/>
    <w:rsid w:val="002425EA"/>
    <w:rsid w:val="00242EA0"/>
    <w:rsid w:val="00243685"/>
    <w:rsid w:val="00243831"/>
    <w:rsid w:val="00245448"/>
    <w:rsid w:val="002455D9"/>
    <w:rsid w:val="00245B39"/>
    <w:rsid w:val="00245DD7"/>
    <w:rsid w:val="0024782A"/>
    <w:rsid w:val="00250ACD"/>
    <w:rsid w:val="00250F3B"/>
    <w:rsid w:val="00251066"/>
    <w:rsid w:val="002519D7"/>
    <w:rsid w:val="00253A16"/>
    <w:rsid w:val="0025613F"/>
    <w:rsid w:val="002561C0"/>
    <w:rsid w:val="00261DC6"/>
    <w:rsid w:val="00264623"/>
    <w:rsid w:val="00265F5B"/>
    <w:rsid w:val="002720C1"/>
    <w:rsid w:val="002722E0"/>
    <w:rsid w:val="002730F4"/>
    <w:rsid w:val="002744AA"/>
    <w:rsid w:val="002773BF"/>
    <w:rsid w:val="00280848"/>
    <w:rsid w:val="00280B5B"/>
    <w:rsid w:val="0028147B"/>
    <w:rsid w:val="002836DF"/>
    <w:rsid w:val="002913FC"/>
    <w:rsid w:val="0029263E"/>
    <w:rsid w:val="002928F4"/>
    <w:rsid w:val="00293443"/>
    <w:rsid w:val="00294391"/>
    <w:rsid w:val="00296645"/>
    <w:rsid w:val="002A0842"/>
    <w:rsid w:val="002A1368"/>
    <w:rsid w:val="002A4010"/>
    <w:rsid w:val="002A4503"/>
    <w:rsid w:val="002A4F20"/>
    <w:rsid w:val="002A73B8"/>
    <w:rsid w:val="002B4941"/>
    <w:rsid w:val="002B4D8B"/>
    <w:rsid w:val="002B5D74"/>
    <w:rsid w:val="002B72D5"/>
    <w:rsid w:val="002B7ADB"/>
    <w:rsid w:val="002B7EC5"/>
    <w:rsid w:val="002C0D9B"/>
    <w:rsid w:val="002C14E8"/>
    <w:rsid w:val="002C1D2F"/>
    <w:rsid w:val="002C3CEC"/>
    <w:rsid w:val="002C451E"/>
    <w:rsid w:val="002C5264"/>
    <w:rsid w:val="002C6B7F"/>
    <w:rsid w:val="002D0384"/>
    <w:rsid w:val="002D175D"/>
    <w:rsid w:val="002D1F2C"/>
    <w:rsid w:val="002D2CB8"/>
    <w:rsid w:val="002D2FCA"/>
    <w:rsid w:val="002D3692"/>
    <w:rsid w:val="002D4CE5"/>
    <w:rsid w:val="002D5818"/>
    <w:rsid w:val="002D5B64"/>
    <w:rsid w:val="002D7823"/>
    <w:rsid w:val="002E0B01"/>
    <w:rsid w:val="002E0FEC"/>
    <w:rsid w:val="002E2497"/>
    <w:rsid w:val="002E2625"/>
    <w:rsid w:val="002E4C2D"/>
    <w:rsid w:val="002E5DEA"/>
    <w:rsid w:val="002E6F28"/>
    <w:rsid w:val="002E724A"/>
    <w:rsid w:val="002F0BC3"/>
    <w:rsid w:val="002F0CDD"/>
    <w:rsid w:val="002F311E"/>
    <w:rsid w:val="002F71B8"/>
    <w:rsid w:val="00301253"/>
    <w:rsid w:val="00301A76"/>
    <w:rsid w:val="00301EA1"/>
    <w:rsid w:val="0030217C"/>
    <w:rsid w:val="00302F8B"/>
    <w:rsid w:val="00302FCC"/>
    <w:rsid w:val="00303D58"/>
    <w:rsid w:val="00305B34"/>
    <w:rsid w:val="003062AE"/>
    <w:rsid w:val="00313805"/>
    <w:rsid w:val="003139A7"/>
    <w:rsid w:val="0031423A"/>
    <w:rsid w:val="00315514"/>
    <w:rsid w:val="00316700"/>
    <w:rsid w:val="00321D2E"/>
    <w:rsid w:val="00324BA6"/>
    <w:rsid w:val="0033089E"/>
    <w:rsid w:val="00330E72"/>
    <w:rsid w:val="00332B73"/>
    <w:rsid w:val="00333F5C"/>
    <w:rsid w:val="00334ACF"/>
    <w:rsid w:val="00336739"/>
    <w:rsid w:val="00341A14"/>
    <w:rsid w:val="00342793"/>
    <w:rsid w:val="00343FD2"/>
    <w:rsid w:val="00344196"/>
    <w:rsid w:val="0035076B"/>
    <w:rsid w:val="00351381"/>
    <w:rsid w:val="003513C8"/>
    <w:rsid w:val="003530A6"/>
    <w:rsid w:val="00353627"/>
    <w:rsid w:val="00354848"/>
    <w:rsid w:val="00355F72"/>
    <w:rsid w:val="0035683F"/>
    <w:rsid w:val="00357657"/>
    <w:rsid w:val="00360C88"/>
    <w:rsid w:val="00360FBE"/>
    <w:rsid w:val="00362578"/>
    <w:rsid w:val="003639A6"/>
    <w:rsid w:val="00367396"/>
    <w:rsid w:val="003679AE"/>
    <w:rsid w:val="003719A2"/>
    <w:rsid w:val="003730E3"/>
    <w:rsid w:val="003732A8"/>
    <w:rsid w:val="003743A5"/>
    <w:rsid w:val="00374A0E"/>
    <w:rsid w:val="0038281C"/>
    <w:rsid w:val="00382A87"/>
    <w:rsid w:val="00382C4E"/>
    <w:rsid w:val="00385A64"/>
    <w:rsid w:val="00386D1A"/>
    <w:rsid w:val="0039064C"/>
    <w:rsid w:val="00391502"/>
    <w:rsid w:val="00391660"/>
    <w:rsid w:val="00391C48"/>
    <w:rsid w:val="003942CE"/>
    <w:rsid w:val="0039468A"/>
    <w:rsid w:val="00394980"/>
    <w:rsid w:val="003953DA"/>
    <w:rsid w:val="00397170"/>
    <w:rsid w:val="003A28FE"/>
    <w:rsid w:val="003A3433"/>
    <w:rsid w:val="003A453F"/>
    <w:rsid w:val="003A537E"/>
    <w:rsid w:val="003A557E"/>
    <w:rsid w:val="003A660F"/>
    <w:rsid w:val="003B095E"/>
    <w:rsid w:val="003B1227"/>
    <w:rsid w:val="003B60F9"/>
    <w:rsid w:val="003C0EAF"/>
    <w:rsid w:val="003C1A9F"/>
    <w:rsid w:val="003C2017"/>
    <w:rsid w:val="003C4850"/>
    <w:rsid w:val="003C68C6"/>
    <w:rsid w:val="003D075B"/>
    <w:rsid w:val="003D11A9"/>
    <w:rsid w:val="003D186A"/>
    <w:rsid w:val="003D2A37"/>
    <w:rsid w:val="003D2E2F"/>
    <w:rsid w:val="003D42EA"/>
    <w:rsid w:val="003D69EF"/>
    <w:rsid w:val="003E0EB5"/>
    <w:rsid w:val="003E0EDB"/>
    <w:rsid w:val="003E1954"/>
    <w:rsid w:val="003E217D"/>
    <w:rsid w:val="003E6475"/>
    <w:rsid w:val="003E7639"/>
    <w:rsid w:val="003F051F"/>
    <w:rsid w:val="003F08E4"/>
    <w:rsid w:val="003F0A36"/>
    <w:rsid w:val="003F105A"/>
    <w:rsid w:val="003F12A8"/>
    <w:rsid w:val="003F285A"/>
    <w:rsid w:val="003F57D6"/>
    <w:rsid w:val="003F587C"/>
    <w:rsid w:val="003F5CC6"/>
    <w:rsid w:val="003F5CD5"/>
    <w:rsid w:val="003F6199"/>
    <w:rsid w:val="003F7D27"/>
    <w:rsid w:val="00400B36"/>
    <w:rsid w:val="00401E2F"/>
    <w:rsid w:val="00402695"/>
    <w:rsid w:val="004033BF"/>
    <w:rsid w:val="00403A08"/>
    <w:rsid w:val="004046D2"/>
    <w:rsid w:val="00404B03"/>
    <w:rsid w:val="0040610D"/>
    <w:rsid w:val="004073BA"/>
    <w:rsid w:val="004103F6"/>
    <w:rsid w:val="00413924"/>
    <w:rsid w:val="004200CF"/>
    <w:rsid w:val="00421450"/>
    <w:rsid w:val="00422052"/>
    <w:rsid w:val="0042286E"/>
    <w:rsid w:val="004248F5"/>
    <w:rsid w:val="00424E2B"/>
    <w:rsid w:val="004273E3"/>
    <w:rsid w:val="00427E55"/>
    <w:rsid w:val="00435D84"/>
    <w:rsid w:val="00437BB5"/>
    <w:rsid w:val="00437FD4"/>
    <w:rsid w:val="004411CC"/>
    <w:rsid w:val="0044229B"/>
    <w:rsid w:val="00442AEA"/>
    <w:rsid w:val="00445A5A"/>
    <w:rsid w:val="00453BAE"/>
    <w:rsid w:val="00453D59"/>
    <w:rsid w:val="0045504E"/>
    <w:rsid w:val="00455E9C"/>
    <w:rsid w:val="00457002"/>
    <w:rsid w:val="00460D2D"/>
    <w:rsid w:val="004619BB"/>
    <w:rsid w:val="00462C15"/>
    <w:rsid w:val="004639F2"/>
    <w:rsid w:val="004645D5"/>
    <w:rsid w:val="00464FAF"/>
    <w:rsid w:val="00465343"/>
    <w:rsid w:val="00465D3F"/>
    <w:rsid w:val="004661CB"/>
    <w:rsid w:val="0046621E"/>
    <w:rsid w:val="0046681B"/>
    <w:rsid w:val="00472D4D"/>
    <w:rsid w:val="004736C8"/>
    <w:rsid w:val="0047399E"/>
    <w:rsid w:val="00474B56"/>
    <w:rsid w:val="00475EA4"/>
    <w:rsid w:val="0048010C"/>
    <w:rsid w:val="00480171"/>
    <w:rsid w:val="004810F9"/>
    <w:rsid w:val="0048112C"/>
    <w:rsid w:val="00482023"/>
    <w:rsid w:val="004821A7"/>
    <w:rsid w:val="004824FE"/>
    <w:rsid w:val="004841DA"/>
    <w:rsid w:val="00485090"/>
    <w:rsid w:val="004854ED"/>
    <w:rsid w:val="00485E84"/>
    <w:rsid w:val="004864C7"/>
    <w:rsid w:val="00486ECC"/>
    <w:rsid w:val="00487460"/>
    <w:rsid w:val="004911FC"/>
    <w:rsid w:val="004919DD"/>
    <w:rsid w:val="00491DF2"/>
    <w:rsid w:val="004942B2"/>
    <w:rsid w:val="00494F7C"/>
    <w:rsid w:val="00497F44"/>
    <w:rsid w:val="004A020C"/>
    <w:rsid w:val="004A04B5"/>
    <w:rsid w:val="004A26AB"/>
    <w:rsid w:val="004A2DF5"/>
    <w:rsid w:val="004A331B"/>
    <w:rsid w:val="004A4EF3"/>
    <w:rsid w:val="004A610A"/>
    <w:rsid w:val="004B20C3"/>
    <w:rsid w:val="004B221A"/>
    <w:rsid w:val="004B2F80"/>
    <w:rsid w:val="004B3C00"/>
    <w:rsid w:val="004B435F"/>
    <w:rsid w:val="004B4650"/>
    <w:rsid w:val="004B470D"/>
    <w:rsid w:val="004B59DB"/>
    <w:rsid w:val="004B7216"/>
    <w:rsid w:val="004D1006"/>
    <w:rsid w:val="004D45DF"/>
    <w:rsid w:val="004D7A2B"/>
    <w:rsid w:val="004E02AE"/>
    <w:rsid w:val="004E0C0B"/>
    <w:rsid w:val="004E2125"/>
    <w:rsid w:val="004E3248"/>
    <w:rsid w:val="004E3E9C"/>
    <w:rsid w:val="004E57E1"/>
    <w:rsid w:val="004E5A80"/>
    <w:rsid w:val="004E77FD"/>
    <w:rsid w:val="004F1017"/>
    <w:rsid w:val="004F1B15"/>
    <w:rsid w:val="004F3688"/>
    <w:rsid w:val="004F3AAE"/>
    <w:rsid w:val="004F4BDE"/>
    <w:rsid w:val="004F7CAC"/>
    <w:rsid w:val="00500129"/>
    <w:rsid w:val="00500924"/>
    <w:rsid w:val="0050203A"/>
    <w:rsid w:val="005030E3"/>
    <w:rsid w:val="00505512"/>
    <w:rsid w:val="00506AAC"/>
    <w:rsid w:val="00510351"/>
    <w:rsid w:val="00510801"/>
    <w:rsid w:val="00511320"/>
    <w:rsid w:val="005127BE"/>
    <w:rsid w:val="00513BAF"/>
    <w:rsid w:val="005143F9"/>
    <w:rsid w:val="0051604F"/>
    <w:rsid w:val="00516566"/>
    <w:rsid w:val="00516FAD"/>
    <w:rsid w:val="0051721D"/>
    <w:rsid w:val="00517C0F"/>
    <w:rsid w:val="005218C3"/>
    <w:rsid w:val="00522097"/>
    <w:rsid w:val="00523304"/>
    <w:rsid w:val="00525316"/>
    <w:rsid w:val="00525A78"/>
    <w:rsid w:val="00531C11"/>
    <w:rsid w:val="005327E3"/>
    <w:rsid w:val="0053345B"/>
    <w:rsid w:val="00533724"/>
    <w:rsid w:val="00533D09"/>
    <w:rsid w:val="0053422C"/>
    <w:rsid w:val="00535C74"/>
    <w:rsid w:val="005361AB"/>
    <w:rsid w:val="0054001A"/>
    <w:rsid w:val="00540571"/>
    <w:rsid w:val="00541D43"/>
    <w:rsid w:val="0054203D"/>
    <w:rsid w:val="00542068"/>
    <w:rsid w:val="0054254E"/>
    <w:rsid w:val="00543AF9"/>
    <w:rsid w:val="00544A58"/>
    <w:rsid w:val="0055532F"/>
    <w:rsid w:val="005558A9"/>
    <w:rsid w:val="00555AEA"/>
    <w:rsid w:val="00556C10"/>
    <w:rsid w:val="00556E74"/>
    <w:rsid w:val="005572E5"/>
    <w:rsid w:val="0055742F"/>
    <w:rsid w:val="00557DC2"/>
    <w:rsid w:val="00557FC6"/>
    <w:rsid w:val="005614F5"/>
    <w:rsid w:val="00561D24"/>
    <w:rsid w:val="0056392D"/>
    <w:rsid w:val="005641BE"/>
    <w:rsid w:val="005703C7"/>
    <w:rsid w:val="0057407A"/>
    <w:rsid w:val="00576ADE"/>
    <w:rsid w:val="00577CFD"/>
    <w:rsid w:val="00577DEF"/>
    <w:rsid w:val="00580FC7"/>
    <w:rsid w:val="005825E8"/>
    <w:rsid w:val="00582980"/>
    <w:rsid w:val="00583767"/>
    <w:rsid w:val="00583891"/>
    <w:rsid w:val="005841FC"/>
    <w:rsid w:val="00584547"/>
    <w:rsid w:val="00584CD8"/>
    <w:rsid w:val="00586544"/>
    <w:rsid w:val="005875D1"/>
    <w:rsid w:val="00595BE1"/>
    <w:rsid w:val="00596784"/>
    <w:rsid w:val="00597972"/>
    <w:rsid w:val="00597D65"/>
    <w:rsid w:val="005A069F"/>
    <w:rsid w:val="005A0BE2"/>
    <w:rsid w:val="005A2270"/>
    <w:rsid w:val="005A22E6"/>
    <w:rsid w:val="005A262E"/>
    <w:rsid w:val="005A32D5"/>
    <w:rsid w:val="005A3BF2"/>
    <w:rsid w:val="005A4B3A"/>
    <w:rsid w:val="005A5857"/>
    <w:rsid w:val="005A60D1"/>
    <w:rsid w:val="005A6931"/>
    <w:rsid w:val="005A6976"/>
    <w:rsid w:val="005A70F5"/>
    <w:rsid w:val="005B11B1"/>
    <w:rsid w:val="005B2152"/>
    <w:rsid w:val="005B2A71"/>
    <w:rsid w:val="005B2AB6"/>
    <w:rsid w:val="005B7088"/>
    <w:rsid w:val="005C055F"/>
    <w:rsid w:val="005C0A44"/>
    <w:rsid w:val="005C375F"/>
    <w:rsid w:val="005C3FC0"/>
    <w:rsid w:val="005C417F"/>
    <w:rsid w:val="005C46FD"/>
    <w:rsid w:val="005C5256"/>
    <w:rsid w:val="005D1D11"/>
    <w:rsid w:val="005D2A92"/>
    <w:rsid w:val="005D30B4"/>
    <w:rsid w:val="005D45B2"/>
    <w:rsid w:val="005D5BA1"/>
    <w:rsid w:val="005D788E"/>
    <w:rsid w:val="005E18C3"/>
    <w:rsid w:val="005E2635"/>
    <w:rsid w:val="005E3211"/>
    <w:rsid w:val="005E49B2"/>
    <w:rsid w:val="005E4DE4"/>
    <w:rsid w:val="005E6758"/>
    <w:rsid w:val="005E6CEA"/>
    <w:rsid w:val="005F0AE8"/>
    <w:rsid w:val="005F2A6B"/>
    <w:rsid w:val="005F40C1"/>
    <w:rsid w:val="00600615"/>
    <w:rsid w:val="00601B73"/>
    <w:rsid w:val="006024D3"/>
    <w:rsid w:val="00603C2A"/>
    <w:rsid w:val="00606EF9"/>
    <w:rsid w:val="0060706A"/>
    <w:rsid w:val="00607758"/>
    <w:rsid w:val="006100A8"/>
    <w:rsid w:val="00610D5E"/>
    <w:rsid w:val="006110E8"/>
    <w:rsid w:val="00611D0D"/>
    <w:rsid w:val="006131F9"/>
    <w:rsid w:val="00613467"/>
    <w:rsid w:val="0061419E"/>
    <w:rsid w:val="006141D8"/>
    <w:rsid w:val="00614B09"/>
    <w:rsid w:val="00614BD7"/>
    <w:rsid w:val="00614F2D"/>
    <w:rsid w:val="006150EE"/>
    <w:rsid w:val="00617E7D"/>
    <w:rsid w:val="00621F86"/>
    <w:rsid w:val="006221F5"/>
    <w:rsid w:val="00624315"/>
    <w:rsid w:val="00624BF9"/>
    <w:rsid w:val="0062545B"/>
    <w:rsid w:val="0062552A"/>
    <w:rsid w:val="00626944"/>
    <w:rsid w:val="00627F19"/>
    <w:rsid w:val="00632C71"/>
    <w:rsid w:val="006332BE"/>
    <w:rsid w:val="00633B40"/>
    <w:rsid w:val="00633DAB"/>
    <w:rsid w:val="006341D4"/>
    <w:rsid w:val="00634A28"/>
    <w:rsid w:val="00637AF8"/>
    <w:rsid w:val="006408C3"/>
    <w:rsid w:val="00641A37"/>
    <w:rsid w:val="00645C64"/>
    <w:rsid w:val="0064620D"/>
    <w:rsid w:val="006505B5"/>
    <w:rsid w:val="006520FF"/>
    <w:rsid w:val="00652583"/>
    <w:rsid w:val="006529F3"/>
    <w:rsid w:val="00657754"/>
    <w:rsid w:val="00657BAB"/>
    <w:rsid w:val="00660E47"/>
    <w:rsid w:val="0066291D"/>
    <w:rsid w:val="00662DFF"/>
    <w:rsid w:val="00664356"/>
    <w:rsid w:val="006643E0"/>
    <w:rsid w:val="0066542F"/>
    <w:rsid w:val="00670482"/>
    <w:rsid w:val="006718D3"/>
    <w:rsid w:val="00672120"/>
    <w:rsid w:val="006727A9"/>
    <w:rsid w:val="006729AB"/>
    <w:rsid w:val="00672B6F"/>
    <w:rsid w:val="00673261"/>
    <w:rsid w:val="006741DD"/>
    <w:rsid w:val="00675B73"/>
    <w:rsid w:val="00677B4F"/>
    <w:rsid w:val="00687245"/>
    <w:rsid w:val="00687B54"/>
    <w:rsid w:val="006907FB"/>
    <w:rsid w:val="00691913"/>
    <w:rsid w:val="006931FA"/>
    <w:rsid w:val="00695F4D"/>
    <w:rsid w:val="006963E0"/>
    <w:rsid w:val="006976AC"/>
    <w:rsid w:val="006A138B"/>
    <w:rsid w:val="006A2BB8"/>
    <w:rsid w:val="006A30D3"/>
    <w:rsid w:val="006A505D"/>
    <w:rsid w:val="006A782E"/>
    <w:rsid w:val="006B045E"/>
    <w:rsid w:val="006B140A"/>
    <w:rsid w:val="006B2F10"/>
    <w:rsid w:val="006B3A8E"/>
    <w:rsid w:val="006B5A1A"/>
    <w:rsid w:val="006B7BAC"/>
    <w:rsid w:val="006C09A0"/>
    <w:rsid w:val="006C4906"/>
    <w:rsid w:val="006D0B9A"/>
    <w:rsid w:val="006D0D8B"/>
    <w:rsid w:val="006D3271"/>
    <w:rsid w:val="006D517C"/>
    <w:rsid w:val="006D6400"/>
    <w:rsid w:val="006D6AA6"/>
    <w:rsid w:val="006D7A8D"/>
    <w:rsid w:val="006E0D46"/>
    <w:rsid w:val="006E218B"/>
    <w:rsid w:val="006E2E97"/>
    <w:rsid w:val="006E31A5"/>
    <w:rsid w:val="006E5E4E"/>
    <w:rsid w:val="006E5E69"/>
    <w:rsid w:val="006E63DF"/>
    <w:rsid w:val="006E675E"/>
    <w:rsid w:val="006E7302"/>
    <w:rsid w:val="006E7725"/>
    <w:rsid w:val="006E7E76"/>
    <w:rsid w:val="006F0874"/>
    <w:rsid w:val="006F161E"/>
    <w:rsid w:val="006F21CC"/>
    <w:rsid w:val="006F4268"/>
    <w:rsid w:val="006F538F"/>
    <w:rsid w:val="006F6344"/>
    <w:rsid w:val="006F6B0A"/>
    <w:rsid w:val="0070275E"/>
    <w:rsid w:val="00707153"/>
    <w:rsid w:val="0070775A"/>
    <w:rsid w:val="00710174"/>
    <w:rsid w:val="00712C73"/>
    <w:rsid w:val="007134B5"/>
    <w:rsid w:val="00713DBA"/>
    <w:rsid w:val="00714037"/>
    <w:rsid w:val="00714310"/>
    <w:rsid w:val="00714FA8"/>
    <w:rsid w:val="00715799"/>
    <w:rsid w:val="00716951"/>
    <w:rsid w:val="00717820"/>
    <w:rsid w:val="00723180"/>
    <w:rsid w:val="00723E1E"/>
    <w:rsid w:val="00724A3E"/>
    <w:rsid w:val="00726631"/>
    <w:rsid w:val="0072729E"/>
    <w:rsid w:val="00727D5B"/>
    <w:rsid w:val="00727EC8"/>
    <w:rsid w:val="00730FC9"/>
    <w:rsid w:val="007310B2"/>
    <w:rsid w:val="00732891"/>
    <w:rsid w:val="00732DC5"/>
    <w:rsid w:val="0073463F"/>
    <w:rsid w:val="00734B9D"/>
    <w:rsid w:val="00735A79"/>
    <w:rsid w:val="00736A63"/>
    <w:rsid w:val="00737F5D"/>
    <w:rsid w:val="00741DB4"/>
    <w:rsid w:val="00744F52"/>
    <w:rsid w:val="00746FE1"/>
    <w:rsid w:val="00747931"/>
    <w:rsid w:val="0075040B"/>
    <w:rsid w:val="007509A6"/>
    <w:rsid w:val="00750B5A"/>
    <w:rsid w:val="00751C6C"/>
    <w:rsid w:val="00753B4D"/>
    <w:rsid w:val="00762B82"/>
    <w:rsid w:val="00763312"/>
    <w:rsid w:val="00765474"/>
    <w:rsid w:val="00766D6E"/>
    <w:rsid w:val="00770A58"/>
    <w:rsid w:val="00771EBA"/>
    <w:rsid w:val="00772C70"/>
    <w:rsid w:val="00772C75"/>
    <w:rsid w:val="00775367"/>
    <w:rsid w:val="00775A0F"/>
    <w:rsid w:val="0077623A"/>
    <w:rsid w:val="007773E8"/>
    <w:rsid w:val="0077776C"/>
    <w:rsid w:val="00782C3F"/>
    <w:rsid w:val="00783C45"/>
    <w:rsid w:val="00784117"/>
    <w:rsid w:val="007847FA"/>
    <w:rsid w:val="00785A38"/>
    <w:rsid w:val="00785EEF"/>
    <w:rsid w:val="00790910"/>
    <w:rsid w:val="00791792"/>
    <w:rsid w:val="00791C40"/>
    <w:rsid w:val="00791DE1"/>
    <w:rsid w:val="007933A7"/>
    <w:rsid w:val="007A018C"/>
    <w:rsid w:val="007A3A8C"/>
    <w:rsid w:val="007A3AC1"/>
    <w:rsid w:val="007A5C49"/>
    <w:rsid w:val="007A7BF5"/>
    <w:rsid w:val="007A7C36"/>
    <w:rsid w:val="007A7D24"/>
    <w:rsid w:val="007B0421"/>
    <w:rsid w:val="007B0E0C"/>
    <w:rsid w:val="007B33C7"/>
    <w:rsid w:val="007B3EE4"/>
    <w:rsid w:val="007B4B66"/>
    <w:rsid w:val="007B4CEC"/>
    <w:rsid w:val="007B7627"/>
    <w:rsid w:val="007B76A7"/>
    <w:rsid w:val="007C26E5"/>
    <w:rsid w:val="007C3CE8"/>
    <w:rsid w:val="007C720A"/>
    <w:rsid w:val="007C724E"/>
    <w:rsid w:val="007D0216"/>
    <w:rsid w:val="007D1092"/>
    <w:rsid w:val="007D1B50"/>
    <w:rsid w:val="007D2621"/>
    <w:rsid w:val="007D2F06"/>
    <w:rsid w:val="007D3998"/>
    <w:rsid w:val="007D3A97"/>
    <w:rsid w:val="007D48F9"/>
    <w:rsid w:val="007E0319"/>
    <w:rsid w:val="007E39AB"/>
    <w:rsid w:val="007E3FE7"/>
    <w:rsid w:val="007E5CCA"/>
    <w:rsid w:val="007E6A8F"/>
    <w:rsid w:val="007E6B50"/>
    <w:rsid w:val="007F08CA"/>
    <w:rsid w:val="007F3B6E"/>
    <w:rsid w:val="007F7A5E"/>
    <w:rsid w:val="0080020C"/>
    <w:rsid w:val="00802914"/>
    <w:rsid w:val="00803B77"/>
    <w:rsid w:val="00803B89"/>
    <w:rsid w:val="008040F0"/>
    <w:rsid w:val="00806434"/>
    <w:rsid w:val="00807A48"/>
    <w:rsid w:val="00807FFE"/>
    <w:rsid w:val="00812C05"/>
    <w:rsid w:val="00813288"/>
    <w:rsid w:val="00813C44"/>
    <w:rsid w:val="00815A5F"/>
    <w:rsid w:val="00816AAB"/>
    <w:rsid w:val="00821050"/>
    <w:rsid w:val="00821A29"/>
    <w:rsid w:val="00821D65"/>
    <w:rsid w:val="008225A4"/>
    <w:rsid w:val="00823233"/>
    <w:rsid w:val="00824426"/>
    <w:rsid w:val="00824CF7"/>
    <w:rsid w:val="00825110"/>
    <w:rsid w:val="008278F6"/>
    <w:rsid w:val="008308F1"/>
    <w:rsid w:val="00830E52"/>
    <w:rsid w:val="008324E3"/>
    <w:rsid w:val="00834980"/>
    <w:rsid w:val="0083621B"/>
    <w:rsid w:val="00836E8D"/>
    <w:rsid w:val="00841271"/>
    <w:rsid w:val="00845796"/>
    <w:rsid w:val="0084591A"/>
    <w:rsid w:val="00845946"/>
    <w:rsid w:val="008464F3"/>
    <w:rsid w:val="008469A7"/>
    <w:rsid w:val="00847509"/>
    <w:rsid w:val="008476A0"/>
    <w:rsid w:val="00851012"/>
    <w:rsid w:val="00851ECC"/>
    <w:rsid w:val="00852F38"/>
    <w:rsid w:val="00853612"/>
    <w:rsid w:val="0085539C"/>
    <w:rsid w:val="008557EC"/>
    <w:rsid w:val="00856C34"/>
    <w:rsid w:val="00861960"/>
    <w:rsid w:val="00862725"/>
    <w:rsid w:val="00862F4A"/>
    <w:rsid w:val="00865DC1"/>
    <w:rsid w:val="008674A2"/>
    <w:rsid w:val="00870E6F"/>
    <w:rsid w:val="008750F9"/>
    <w:rsid w:val="00875187"/>
    <w:rsid w:val="00875341"/>
    <w:rsid w:val="0087536F"/>
    <w:rsid w:val="008762DF"/>
    <w:rsid w:val="00876911"/>
    <w:rsid w:val="00880A40"/>
    <w:rsid w:val="00880D79"/>
    <w:rsid w:val="00881BD6"/>
    <w:rsid w:val="00882A21"/>
    <w:rsid w:val="00885B66"/>
    <w:rsid w:val="008869F4"/>
    <w:rsid w:val="008871FA"/>
    <w:rsid w:val="00891294"/>
    <w:rsid w:val="00891A5D"/>
    <w:rsid w:val="00893EEF"/>
    <w:rsid w:val="008973B4"/>
    <w:rsid w:val="0089762A"/>
    <w:rsid w:val="008A4880"/>
    <w:rsid w:val="008A4D08"/>
    <w:rsid w:val="008A52B1"/>
    <w:rsid w:val="008B13D3"/>
    <w:rsid w:val="008B2B40"/>
    <w:rsid w:val="008B2D89"/>
    <w:rsid w:val="008B5B32"/>
    <w:rsid w:val="008B6330"/>
    <w:rsid w:val="008B6883"/>
    <w:rsid w:val="008C0252"/>
    <w:rsid w:val="008C260F"/>
    <w:rsid w:val="008C42C1"/>
    <w:rsid w:val="008C50F5"/>
    <w:rsid w:val="008C5556"/>
    <w:rsid w:val="008C63AA"/>
    <w:rsid w:val="008C790A"/>
    <w:rsid w:val="008D011B"/>
    <w:rsid w:val="008D481E"/>
    <w:rsid w:val="008D58CD"/>
    <w:rsid w:val="008D6708"/>
    <w:rsid w:val="008D6AAE"/>
    <w:rsid w:val="008D78FF"/>
    <w:rsid w:val="008E0A62"/>
    <w:rsid w:val="008E1BB7"/>
    <w:rsid w:val="008E6AFD"/>
    <w:rsid w:val="008E6FB7"/>
    <w:rsid w:val="008E71C2"/>
    <w:rsid w:val="008E78B7"/>
    <w:rsid w:val="008F050A"/>
    <w:rsid w:val="008F3189"/>
    <w:rsid w:val="008F611E"/>
    <w:rsid w:val="008F629A"/>
    <w:rsid w:val="008F6413"/>
    <w:rsid w:val="008F65CF"/>
    <w:rsid w:val="008F6901"/>
    <w:rsid w:val="0090365B"/>
    <w:rsid w:val="009036F3"/>
    <w:rsid w:val="00904022"/>
    <w:rsid w:val="00904419"/>
    <w:rsid w:val="00904420"/>
    <w:rsid w:val="009072BD"/>
    <w:rsid w:val="00910559"/>
    <w:rsid w:val="00910ABC"/>
    <w:rsid w:val="0091157F"/>
    <w:rsid w:val="00913224"/>
    <w:rsid w:val="00913C61"/>
    <w:rsid w:val="00914415"/>
    <w:rsid w:val="00914B65"/>
    <w:rsid w:val="00914DA7"/>
    <w:rsid w:val="0091534C"/>
    <w:rsid w:val="00915F63"/>
    <w:rsid w:val="009174B3"/>
    <w:rsid w:val="009177E9"/>
    <w:rsid w:val="009200C5"/>
    <w:rsid w:val="009222DF"/>
    <w:rsid w:val="009277A8"/>
    <w:rsid w:val="009328AA"/>
    <w:rsid w:val="00932A4A"/>
    <w:rsid w:val="009331CF"/>
    <w:rsid w:val="009334AC"/>
    <w:rsid w:val="0093539C"/>
    <w:rsid w:val="00942010"/>
    <w:rsid w:val="009429B8"/>
    <w:rsid w:val="00942CDC"/>
    <w:rsid w:val="00942E0E"/>
    <w:rsid w:val="0094320A"/>
    <w:rsid w:val="00944D30"/>
    <w:rsid w:val="00944FD2"/>
    <w:rsid w:val="0095170D"/>
    <w:rsid w:val="00951798"/>
    <w:rsid w:val="00952941"/>
    <w:rsid w:val="0095307F"/>
    <w:rsid w:val="00953C39"/>
    <w:rsid w:val="00954E88"/>
    <w:rsid w:val="00955526"/>
    <w:rsid w:val="00955DA4"/>
    <w:rsid w:val="00957831"/>
    <w:rsid w:val="00965D6A"/>
    <w:rsid w:val="00966C09"/>
    <w:rsid w:val="00966D7A"/>
    <w:rsid w:val="00970FB5"/>
    <w:rsid w:val="0097308C"/>
    <w:rsid w:val="0097320D"/>
    <w:rsid w:val="00973C45"/>
    <w:rsid w:val="00976414"/>
    <w:rsid w:val="009809BC"/>
    <w:rsid w:val="00980B46"/>
    <w:rsid w:val="00980B7E"/>
    <w:rsid w:val="00983399"/>
    <w:rsid w:val="00984441"/>
    <w:rsid w:val="009844CF"/>
    <w:rsid w:val="00984DD8"/>
    <w:rsid w:val="00986F2E"/>
    <w:rsid w:val="0099085F"/>
    <w:rsid w:val="00990E50"/>
    <w:rsid w:val="0099174A"/>
    <w:rsid w:val="009925DB"/>
    <w:rsid w:val="00993B33"/>
    <w:rsid w:val="00993CC9"/>
    <w:rsid w:val="0099573E"/>
    <w:rsid w:val="00995976"/>
    <w:rsid w:val="009A047F"/>
    <w:rsid w:val="009A117E"/>
    <w:rsid w:val="009A3FCB"/>
    <w:rsid w:val="009A4A3C"/>
    <w:rsid w:val="009A6F74"/>
    <w:rsid w:val="009A6FC8"/>
    <w:rsid w:val="009A7AEF"/>
    <w:rsid w:val="009A7E4F"/>
    <w:rsid w:val="009B01E5"/>
    <w:rsid w:val="009B08E5"/>
    <w:rsid w:val="009B0994"/>
    <w:rsid w:val="009B0F30"/>
    <w:rsid w:val="009B311B"/>
    <w:rsid w:val="009B61C9"/>
    <w:rsid w:val="009B6332"/>
    <w:rsid w:val="009C050E"/>
    <w:rsid w:val="009C17C4"/>
    <w:rsid w:val="009C6C7F"/>
    <w:rsid w:val="009C7E39"/>
    <w:rsid w:val="009D0D8E"/>
    <w:rsid w:val="009D1907"/>
    <w:rsid w:val="009D2398"/>
    <w:rsid w:val="009D3628"/>
    <w:rsid w:val="009D4C2A"/>
    <w:rsid w:val="009D6914"/>
    <w:rsid w:val="009D750A"/>
    <w:rsid w:val="009D7CF3"/>
    <w:rsid w:val="009E1C22"/>
    <w:rsid w:val="009E2481"/>
    <w:rsid w:val="009E4398"/>
    <w:rsid w:val="009F0203"/>
    <w:rsid w:val="009F176F"/>
    <w:rsid w:val="009F3631"/>
    <w:rsid w:val="009F3790"/>
    <w:rsid w:val="009F3DB8"/>
    <w:rsid w:val="009F7CEB"/>
    <w:rsid w:val="009F7FD5"/>
    <w:rsid w:val="00A040FD"/>
    <w:rsid w:val="00A0426A"/>
    <w:rsid w:val="00A04C0D"/>
    <w:rsid w:val="00A05C4C"/>
    <w:rsid w:val="00A066D0"/>
    <w:rsid w:val="00A07436"/>
    <w:rsid w:val="00A07ED9"/>
    <w:rsid w:val="00A13F65"/>
    <w:rsid w:val="00A20B1A"/>
    <w:rsid w:val="00A21759"/>
    <w:rsid w:val="00A22A39"/>
    <w:rsid w:val="00A22FAF"/>
    <w:rsid w:val="00A237C4"/>
    <w:rsid w:val="00A30B1F"/>
    <w:rsid w:val="00A30F7B"/>
    <w:rsid w:val="00A31721"/>
    <w:rsid w:val="00A31D17"/>
    <w:rsid w:val="00A3235B"/>
    <w:rsid w:val="00A33176"/>
    <w:rsid w:val="00A3441B"/>
    <w:rsid w:val="00A3464B"/>
    <w:rsid w:val="00A34999"/>
    <w:rsid w:val="00A378C6"/>
    <w:rsid w:val="00A41E5D"/>
    <w:rsid w:val="00A43E61"/>
    <w:rsid w:val="00A47CFC"/>
    <w:rsid w:val="00A50274"/>
    <w:rsid w:val="00A51C21"/>
    <w:rsid w:val="00A52367"/>
    <w:rsid w:val="00A5323B"/>
    <w:rsid w:val="00A535FB"/>
    <w:rsid w:val="00A53F1A"/>
    <w:rsid w:val="00A5491D"/>
    <w:rsid w:val="00A6012D"/>
    <w:rsid w:val="00A6374D"/>
    <w:rsid w:val="00A63A8B"/>
    <w:rsid w:val="00A63BB9"/>
    <w:rsid w:val="00A63C12"/>
    <w:rsid w:val="00A64837"/>
    <w:rsid w:val="00A66539"/>
    <w:rsid w:val="00A67434"/>
    <w:rsid w:val="00A711E5"/>
    <w:rsid w:val="00A72F1A"/>
    <w:rsid w:val="00A80CF3"/>
    <w:rsid w:val="00A81372"/>
    <w:rsid w:val="00A81F82"/>
    <w:rsid w:val="00A8297A"/>
    <w:rsid w:val="00A841B0"/>
    <w:rsid w:val="00A85A2B"/>
    <w:rsid w:val="00A86F7F"/>
    <w:rsid w:val="00A93543"/>
    <w:rsid w:val="00A93A9D"/>
    <w:rsid w:val="00A94EFC"/>
    <w:rsid w:val="00AA1681"/>
    <w:rsid w:val="00AA2FA1"/>
    <w:rsid w:val="00AA51C1"/>
    <w:rsid w:val="00AA60CE"/>
    <w:rsid w:val="00AA6156"/>
    <w:rsid w:val="00AA73AC"/>
    <w:rsid w:val="00AA7B77"/>
    <w:rsid w:val="00AB187A"/>
    <w:rsid w:val="00AB258B"/>
    <w:rsid w:val="00AB514A"/>
    <w:rsid w:val="00AB6424"/>
    <w:rsid w:val="00AB6842"/>
    <w:rsid w:val="00AB6D4C"/>
    <w:rsid w:val="00AB7472"/>
    <w:rsid w:val="00AC1EB5"/>
    <w:rsid w:val="00AC4531"/>
    <w:rsid w:val="00AC50E3"/>
    <w:rsid w:val="00AC6E88"/>
    <w:rsid w:val="00AD05D0"/>
    <w:rsid w:val="00AD1AAF"/>
    <w:rsid w:val="00AD2AA0"/>
    <w:rsid w:val="00AD51C9"/>
    <w:rsid w:val="00AD51EC"/>
    <w:rsid w:val="00AD54D3"/>
    <w:rsid w:val="00AE16AC"/>
    <w:rsid w:val="00AE2A68"/>
    <w:rsid w:val="00AE300E"/>
    <w:rsid w:val="00AE45AB"/>
    <w:rsid w:val="00AE538C"/>
    <w:rsid w:val="00AF06E3"/>
    <w:rsid w:val="00AF0DF9"/>
    <w:rsid w:val="00AF13C5"/>
    <w:rsid w:val="00AF4BE4"/>
    <w:rsid w:val="00AF6032"/>
    <w:rsid w:val="00AF7F18"/>
    <w:rsid w:val="00B01A4D"/>
    <w:rsid w:val="00B02A08"/>
    <w:rsid w:val="00B0412D"/>
    <w:rsid w:val="00B05A6C"/>
    <w:rsid w:val="00B06CB7"/>
    <w:rsid w:val="00B11EA0"/>
    <w:rsid w:val="00B1234B"/>
    <w:rsid w:val="00B13A60"/>
    <w:rsid w:val="00B14724"/>
    <w:rsid w:val="00B17FDB"/>
    <w:rsid w:val="00B21314"/>
    <w:rsid w:val="00B21620"/>
    <w:rsid w:val="00B21BB1"/>
    <w:rsid w:val="00B22888"/>
    <w:rsid w:val="00B235AB"/>
    <w:rsid w:val="00B24E20"/>
    <w:rsid w:val="00B25C4E"/>
    <w:rsid w:val="00B25D68"/>
    <w:rsid w:val="00B2777B"/>
    <w:rsid w:val="00B31E0A"/>
    <w:rsid w:val="00B3308D"/>
    <w:rsid w:val="00B35C93"/>
    <w:rsid w:val="00B41D20"/>
    <w:rsid w:val="00B42A44"/>
    <w:rsid w:val="00B4402F"/>
    <w:rsid w:val="00B44D64"/>
    <w:rsid w:val="00B44DB9"/>
    <w:rsid w:val="00B53F55"/>
    <w:rsid w:val="00B568FC"/>
    <w:rsid w:val="00B572C7"/>
    <w:rsid w:val="00B61DBF"/>
    <w:rsid w:val="00B62B69"/>
    <w:rsid w:val="00B6335D"/>
    <w:rsid w:val="00B66170"/>
    <w:rsid w:val="00B66C37"/>
    <w:rsid w:val="00B67119"/>
    <w:rsid w:val="00B712B4"/>
    <w:rsid w:val="00B71675"/>
    <w:rsid w:val="00B7183B"/>
    <w:rsid w:val="00B71B62"/>
    <w:rsid w:val="00B75BC0"/>
    <w:rsid w:val="00B7796D"/>
    <w:rsid w:val="00B80B83"/>
    <w:rsid w:val="00B863A0"/>
    <w:rsid w:val="00B8729B"/>
    <w:rsid w:val="00B87F16"/>
    <w:rsid w:val="00B92FB8"/>
    <w:rsid w:val="00B9356F"/>
    <w:rsid w:val="00B94236"/>
    <w:rsid w:val="00B94C21"/>
    <w:rsid w:val="00B955FC"/>
    <w:rsid w:val="00BA01AB"/>
    <w:rsid w:val="00BA2291"/>
    <w:rsid w:val="00BA3306"/>
    <w:rsid w:val="00BA400F"/>
    <w:rsid w:val="00BA4379"/>
    <w:rsid w:val="00BA43AD"/>
    <w:rsid w:val="00BA4A27"/>
    <w:rsid w:val="00BA4F84"/>
    <w:rsid w:val="00BA5736"/>
    <w:rsid w:val="00BA73EE"/>
    <w:rsid w:val="00BA78F4"/>
    <w:rsid w:val="00BB38FC"/>
    <w:rsid w:val="00BB3E70"/>
    <w:rsid w:val="00BB7E8E"/>
    <w:rsid w:val="00BC062E"/>
    <w:rsid w:val="00BC1994"/>
    <w:rsid w:val="00BC3D88"/>
    <w:rsid w:val="00BC7BED"/>
    <w:rsid w:val="00BD03EC"/>
    <w:rsid w:val="00BD3DC8"/>
    <w:rsid w:val="00BD4FCF"/>
    <w:rsid w:val="00BD5E46"/>
    <w:rsid w:val="00BE09A1"/>
    <w:rsid w:val="00BE0D91"/>
    <w:rsid w:val="00BE2712"/>
    <w:rsid w:val="00BE3BB7"/>
    <w:rsid w:val="00BE3CAA"/>
    <w:rsid w:val="00BE3E5F"/>
    <w:rsid w:val="00BE583A"/>
    <w:rsid w:val="00BE6C53"/>
    <w:rsid w:val="00BE7434"/>
    <w:rsid w:val="00BF05B9"/>
    <w:rsid w:val="00BF0C5D"/>
    <w:rsid w:val="00BF5D1E"/>
    <w:rsid w:val="00BF67D9"/>
    <w:rsid w:val="00C03CA5"/>
    <w:rsid w:val="00C05426"/>
    <w:rsid w:val="00C07417"/>
    <w:rsid w:val="00C07BBA"/>
    <w:rsid w:val="00C10A8F"/>
    <w:rsid w:val="00C10B04"/>
    <w:rsid w:val="00C13077"/>
    <w:rsid w:val="00C13E61"/>
    <w:rsid w:val="00C20C79"/>
    <w:rsid w:val="00C2328D"/>
    <w:rsid w:val="00C23FEA"/>
    <w:rsid w:val="00C24AA9"/>
    <w:rsid w:val="00C2599B"/>
    <w:rsid w:val="00C317F3"/>
    <w:rsid w:val="00C432DF"/>
    <w:rsid w:val="00C44C37"/>
    <w:rsid w:val="00C44F13"/>
    <w:rsid w:val="00C460D9"/>
    <w:rsid w:val="00C46AE5"/>
    <w:rsid w:val="00C47654"/>
    <w:rsid w:val="00C50638"/>
    <w:rsid w:val="00C57D7C"/>
    <w:rsid w:val="00C57E4D"/>
    <w:rsid w:val="00C601B2"/>
    <w:rsid w:val="00C60DF0"/>
    <w:rsid w:val="00C626E2"/>
    <w:rsid w:val="00C628C8"/>
    <w:rsid w:val="00C62E87"/>
    <w:rsid w:val="00C66EA1"/>
    <w:rsid w:val="00C670B8"/>
    <w:rsid w:val="00C6722D"/>
    <w:rsid w:val="00C67F32"/>
    <w:rsid w:val="00C700DC"/>
    <w:rsid w:val="00C72041"/>
    <w:rsid w:val="00C73075"/>
    <w:rsid w:val="00C7519E"/>
    <w:rsid w:val="00C757CE"/>
    <w:rsid w:val="00C75995"/>
    <w:rsid w:val="00C81A12"/>
    <w:rsid w:val="00C844B3"/>
    <w:rsid w:val="00C846BE"/>
    <w:rsid w:val="00C874BA"/>
    <w:rsid w:val="00C954B9"/>
    <w:rsid w:val="00C958D9"/>
    <w:rsid w:val="00C963DE"/>
    <w:rsid w:val="00CA0C26"/>
    <w:rsid w:val="00CA1CBE"/>
    <w:rsid w:val="00CA2A14"/>
    <w:rsid w:val="00CA5B11"/>
    <w:rsid w:val="00CA61BD"/>
    <w:rsid w:val="00CA76E6"/>
    <w:rsid w:val="00CA7B45"/>
    <w:rsid w:val="00CB0146"/>
    <w:rsid w:val="00CB07A8"/>
    <w:rsid w:val="00CB1E46"/>
    <w:rsid w:val="00CB2B87"/>
    <w:rsid w:val="00CB3BC9"/>
    <w:rsid w:val="00CB5389"/>
    <w:rsid w:val="00CB55FC"/>
    <w:rsid w:val="00CB59DD"/>
    <w:rsid w:val="00CB7718"/>
    <w:rsid w:val="00CB797B"/>
    <w:rsid w:val="00CB7B6C"/>
    <w:rsid w:val="00CC10E1"/>
    <w:rsid w:val="00CC1739"/>
    <w:rsid w:val="00CC5F08"/>
    <w:rsid w:val="00CD066E"/>
    <w:rsid w:val="00CD108E"/>
    <w:rsid w:val="00CD12E3"/>
    <w:rsid w:val="00CD50F7"/>
    <w:rsid w:val="00CD6327"/>
    <w:rsid w:val="00CD65BA"/>
    <w:rsid w:val="00CE2B78"/>
    <w:rsid w:val="00CE2B8A"/>
    <w:rsid w:val="00CE35AB"/>
    <w:rsid w:val="00CE3CA8"/>
    <w:rsid w:val="00CE5C86"/>
    <w:rsid w:val="00CE74A3"/>
    <w:rsid w:val="00CE769B"/>
    <w:rsid w:val="00CF0720"/>
    <w:rsid w:val="00D009C3"/>
    <w:rsid w:val="00D01335"/>
    <w:rsid w:val="00D01666"/>
    <w:rsid w:val="00D03132"/>
    <w:rsid w:val="00D034DD"/>
    <w:rsid w:val="00D04952"/>
    <w:rsid w:val="00D052C1"/>
    <w:rsid w:val="00D05A89"/>
    <w:rsid w:val="00D06A16"/>
    <w:rsid w:val="00D1078F"/>
    <w:rsid w:val="00D10E60"/>
    <w:rsid w:val="00D110D5"/>
    <w:rsid w:val="00D11A8F"/>
    <w:rsid w:val="00D12CD2"/>
    <w:rsid w:val="00D1360E"/>
    <w:rsid w:val="00D14D23"/>
    <w:rsid w:val="00D14D95"/>
    <w:rsid w:val="00D15B48"/>
    <w:rsid w:val="00D15D8B"/>
    <w:rsid w:val="00D1713A"/>
    <w:rsid w:val="00D17984"/>
    <w:rsid w:val="00D20B47"/>
    <w:rsid w:val="00D24DAD"/>
    <w:rsid w:val="00D25916"/>
    <w:rsid w:val="00D2665C"/>
    <w:rsid w:val="00D27696"/>
    <w:rsid w:val="00D3011F"/>
    <w:rsid w:val="00D329E6"/>
    <w:rsid w:val="00D32AA6"/>
    <w:rsid w:val="00D332F4"/>
    <w:rsid w:val="00D33374"/>
    <w:rsid w:val="00D37972"/>
    <w:rsid w:val="00D40896"/>
    <w:rsid w:val="00D413B9"/>
    <w:rsid w:val="00D41534"/>
    <w:rsid w:val="00D44EEE"/>
    <w:rsid w:val="00D451FC"/>
    <w:rsid w:val="00D46BE3"/>
    <w:rsid w:val="00D50098"/>
    <w:rsid w:val="00D55D79"/>
    <w:rsid w:val="00D55F27"/>
    <w:rsid w:val="00D56B84"/>
    <w:rsid w:val="00D570EE"/>
    <w:rsid w:val="00D61A23"/>
    <w:rsid w:val="00D63C48"/>
    <w:rsid w:val="00D64289"/>
    <w:rsid w:val="00D648BE"/>
    <w:rsid w:val="00D6520C"/>
    <w:rsid w:val="00D655AF"/>
    <w:rsid w:val="00D6667B"/>
    <w:rsid w:val="00D6798A"/>
    <w:rsid w:val="00D67E37"/>
    <w:rsid w:val="00D71400"/>
    <w:rsid w:val="00D7328F"/>
    <w:rsid w:val="00D7578B"/>
    <w:rsid w:val="00D851AC"/>
    <w:rsid w:val="00D85232"/>
    <w:rsid w:val="00D87DC7"/>
    <w:rsid w:val="00D90C34"/>
    <w:rsid w:val="00D92155"/>
    <w:rsid w:val="00D93968"/>
    <w:rsid w:val="00D93A26"/>
    <w:rsid w:val="00D95394"/>
    <w:rsid w:val="00D9661C"/>
    <w:rsid w:val="00D96D7A"/>
    <w:rsid w:val="00D970E7"/>
    <w:rsid w:val="00DA011E"/>
    <w:rsid w:val="00DA032B"/>
    <w:rsid w:val="00DA0456"/>
    <w:rsid w:val="00DA2789"/>
    <w:rsid w:val="00DA4F09"/>
    <w:rsid w:val="00DA55BB"/>
    <w:rsid w:val="00DA73EE"/>
    <w:rsid w:val="00DB190B"/>
    <w:rsid w:val="00DB23C8"/>
    <w:rsid w:val="00DB2F27"/>
    <w:rsid w:val="00DB73F8"/>
    <w:rsid w:val="00DC1743"/>
    <w:rsid w:val="00DC49DE"/>
    <w:rsid w:val="00DC4CC9"/>
    <w:rsid w:val="00DC5439"/>
    <w:rsid w:val="00DC55E3"/>
    <w:rsid w:val="00DC6D2E"/>
    <w:rsid w:val="00DC7746"/>
    <w:rsid w:val="00DC7BE7"/>
    <w:rsid w:val="00DD19F1"/>
    <w:rsid w:val="00DD3049"/>
    <w:rsid w:val="00DD3E4F"/>
    <w:rsid w:val="00DD43DB"/>
    <w:rsid w:val="00DD6672"/>
    <w:rsid w:val="00DD721D"/>
    <w:rsid w:val="00DD76CF"/>
    <w:rsid w:val="00DD7BCE"/>
    <w:rsid w:val="00DE30E2"/>
    <w:rsid w:val="00DE3A9A"/>
    <w:rsid w:val="00DE4509"/>
    <w:rsid w:val="00DE5710"/>
    <w:rsid w:val="00DE6421"/>
    <w:rsid w:val="00DE6F97"/>
    <w:rsid w:val="00DE6FCE"/>
    <w:rsid w:val="00DF13CE"/>
    <w:rsid w:val="00DF16C0"/>
    <w:rsid w:val="00DF248A"/>
    <w:rsid w:val="00DF38A3"/>
    <w:rsid w:val="00DF548B"/>
    <w:rsid w:val="00DF7196"/>
    <w:rsid w:val="00DF7C93"/>
    <w:rsid w:val="00E05F74"/>
    <w:rsid w:val="00E05FBC"/>
    <w:rsid w:val="00E07664"/>
    <w:rsid w:val="00E10894"/>
    <w:rsid w:val="00E10B6C"/>
    <w:rsid w:val="00E10B7D"/>
    <w:rsid w:val="00E1267A"/>
    <w:rsid w:val="00E16D78"/>
    <w:rsid w:val="00E208BB"/>
    <w:rsid w:val="00E212CF"/>
    <w:rsid w:val="00E21D87"/>
    <w:rsid w:val="00E21FF4"/>
    <w:rsid w:val="00E227EA"/>
    <w:rsid w:val="00E22F0B"/>
    <w:rsid w:val="00E23660"/>
    <w:rsid w:val="00E24343"/>
    <w:rsid w:val="00E2436A"/>
    <w:rsid w:val="00E2447F"/>
    <w:rsid w:val="00E2521B"/>
    <w:rsid w:val="00E25B12"/>
    <w:rsid w:val="00E25DFC"/>
    <w:rsid w:val="00E2615D"/>
    <w:rsid w:val="00E26860"/>
    <w:rsid w:val="00E2761D"/>
    <w:rsid w:val="00E306F3"/>
    <w:rsid w:val="00E31A1E"/>
    <w:rsid w:val="00E34484"/>
    <w:rsid w:val="00E371AC"/>
    <w:rsid w:val="00E37424"/>
    <w:rsid w:val="00E41B92"/>
    <w:rsid w:val="00E4351F"/>
    <w:rsid w:val="00E43D32"/>
    <w:rsid w:val="00E45180"/>
    <w:rsid w:val="00E45305"/>
    <w:rsid w:val="00E4642D"/>
    <w:rsid w:val="00E468F9"/>
    <w:rsid w:val="00E46AC9"/>
    <w:rsid w:val="00E505E2"/>
    <w:rsid w:val="00E520D1"/>
    <w:rsid w:val="00E529AE"/>
    <w:rsid w:val="00E53DB6"/>
    <w:rsid w:val="00E54FB3"/>
    <w:rsid w:val="00E55904"/>
    <w:rsid w:val="00E55E72"/>
    <w:rsid w:val="00E60145"/>
    <w:rsid w:val="00E616D1"/>
    <w:rsid w:val="00E61A0B"/>
    <w:rsid w:val="00E647D4"/>
    <w:rsid w:val="00E64A9A"/>
    <w:rsid w:val="00E66614"/>
    <w:rsid w:val="00E7017A"/>
    <w:rsid w:val="00E73EEA"/>
    <w:rsid w:val="00E73F5B"/>
    <w:rsid w:val="00E7518B"/>
    <w:rsid w:val="00E77137"/>
    <w:rsid w:val="00E8230D"/>
    <w:rsid w:val="00E8269B"/>
    <w:rsid w:val="00E83045"/>
    <w:rsid w:val="00E832EA"/>
    <w:rsid w:val="00E85E47"/>
    <w:rsid w:val="00E866A6"/>
    <w:rsid w:val="00E86E3C"/>
    <w:rsid w:val="00E924BC"/>
    <w:rsid w:val="00E930FA"/>
    <w:rsid w:val="00E93975"/>
    <w:rsid w:val="00EA0576"/>
    <w:rsid w:val="00EA0B1A"/>
    <w:rsid w:val="00EA0CBA"/>
    <w:rsid w:val="00EA1B29"/>
    <w:rsid w:val="00EA30F6"/>
    <w:rsid w:val="00EA48ED"/>
    <w:rsid w:val="00EA66E6"/>
    <w:rsid w:val="00EA7039"/>
    <w:rsid w:val="00EA7DD6"/>
    <w:rsid w:val="00EB20B5"/>
    <w:rsid w:val="00EB2E59"/>
    <w:rsid w:val="00EB3A90"/>
    <w:rsid w:val="00EB426B"/>
    <w:rsid w:val="00EB49E1"/>
    <w:rsid w:val="00EB554B"/>
    <w:rsid w:val="00EB5E18"/>
    <w:rsid w:val="00EB5E6D"/>
    <w:rsid w:val="00EC24B7"/>
    <w:rsid w:val="00EC34CE"/>
    <w:rsid w:val="00EC642A"/>
    <w:rsid w:val="00ED23B5"/>
    <w:rsid w:val="00ED264C"/>
    <w:rsid w:val="00ED2BE4"/>
    <w:rsid w:val="00ED35F4"/>
    <w:rsid w:val="00ED5CFF"/>
    <w:rsid w:val="00ED5FB5"/>
    <w:rsid w:val="00EE5D81"/>
    <w:rsid w:val="00EF1100"/>
    <w:rsid w:val="00EF3278"/>
    <w:rsid w:val="00EF4810"/>
    <w:rsid w:val="00F049EC"/>
    <w:rsid w:val="00F071B3"/>
    <w:rsid w:val="00F103B2"/>
    <w:rsid w:val="00F114C2"/>
    <w:rsid w:val="00F15208"/>
    <w:rsid w:val="00F15AA3"/>
    <w:rsid w:val="00F17F13"/>
    <w:rsid w:val="00F203E0"/>
    <w:rsid w:val="00F25A84"/>
    <w:rsid w:val="00F25EB1"/>
    <w:rsid w:val="00F26B4B"/>
    <w:rsid w:val="00F2706C"/>
    <w:rsid w:val="00F3094A"/>
    <w:rsid w:val="00F314A5"/>
    <w:rsid w:val="00F31D32"/>
    <w:rsid w:val="00F32106"/>
    <w:rsid w:val="00F33281"/>
    <w:rsid w:val="00F33636"/>
    <w:rsid w:val="00F40384"/>
    <w:rsid w:val="00F43B02"/>
    <w:rsid w:val="00F505E8"/>
    <w:rsid w:val="00F55034"/>
    <w:rsid w:val="00F56314"/>
    <w:rsid w:val="00F56DF4"/>
    <w:rsid w:val="00F61CDA"/>
    <w:rsid w:val="00F62595"/>
    <w:rsid w:val="00F65A25"/>
    <w:rsid w:val="00F66382"/>
    <w:rsid w:val="00F71846"/>
    <w:rsid w:val="00F71964"/>
    <w:rsid w:val="00F71A0E"/>
    <w:rsid w:val="00F72B42"/>
    <w:rsid w:val="00F733F3"/>
    <w:rsid w:val="00F73A39"/>
    <w:rsid w:val="00F75699"/>
    <w:rsid w:val="00F75D3A"/>
    <w:rsid w:val="00F75F25"/>
    <w:rsid w:val="00F774B7"/>
    <w:rsid w:val="00F80139"/>
    <w:rsid w:val="00F8025A"/>
    <w:rsid w:val="00F8173D"/>
    <w:rsid w:val="00F825FB"/>
    <w:rsid w:val="00F84330"/>
    <w:rsid w:val="00F8548F"/>
    <w:rsid w:val="00F860D1"/>
    <w:rsid w:val="00F87C31"/>
    <w:rsid w:val="00F9212E"/>
    <w:rsid w:val="00F93BB5"/>
    <w:rsid w:val="00F94425"/>
    <w:rsid w:val="00F94F85"/>
    <w:rsid w:val="00F96580"/>
    <w:rsid w:val="00FA0329"/>
    <w:rsid w:val="00FA21BB"/>
    <w:rsid w:val="00FA34F0"/>
    <w:rsid w:val="00FA3857"/>
    <w:rsid w:val="00FA3CB8"/>
    <w:rsid w:val="00FA7AFD"/>
    <w:rsid w:val="00FB1ACE"/>
    <w:rsid w:val="00FB1D19"/>
    <w:rsid w:val="00FB2489"/>
    <w:rsid w:val="00FB2C0D"/>
    <w:rsid w:val="00FB57DB"/>
    <w:rsid w:val="00FB5A17"/>
    <w:rsid w:val="00FB61F1"/>
    <w:rsid w:val="00FB6772"/>
    <w:rsid w:val="00FB7361"/>
    <w:rsid w:val="00FB7423"/>
    <w:rsid w:val="00FB7D0E"/>
    <w:rsid w:val="00FC06E3"/>
    <w:rsid w:val="00FC2123"/>
    <w:rsid w:val="00FC22AB"/>
    <w:rsid w:val="00FC293F"/>
    <w:rsid w:val="00FC340D"/>
    <w:rsid w:val="00FC3707"/>
    <w:rsid w:val="00FC594B"/>
    <w:rsid w:val="00FC5DF6"/>
    <w:rsid w:val="00FD02B5"/>
    <w:rsid w:val="00FD0DA5"/>
    <w:rsid w:val="00FD0E25"/>
    <w:rsid w:val="00FD2149"/>
    <w:rsid w:val="00FD2CDA"/>
    <w:rsid w:val="00FD3520"/>
    <w:rsid w:val="00FD5400"/>
    <w:rsid w:val="00FD5DDD"/>
    <w:rsid w:val="00FD6FE3"/>
    <w:rsid w:val="00FD7841"/>
    <w:rsid w:val="00FD7D6D"/>
    <w:rsid w:val="00FE2431"/>
    <w:rsid w:val="00FE2933"/>
    <w:rsid w:val="00FE2B8E"/>
    <w:rsid w:val="00FE346C"/>
    <w:rsid w:val="00FE4C58"/>
    <w:rsid w:val="00FE536F"/>
    <w:rsid w:val="00FE5F19"/>
    <w:rsid w:val="00FE6746"/>
    <w:rsid w:val="00FE6E89"/>
    <w:rsid w:val="00FF21ED"/>
    <w:rsid w:val="00FF2550"/>
    <w:rsid w:val="00FF4BD7"/>
    <w:rsid w:val="00FF59FD"/>
    <w:rsid w:val="00FF610D"/>
    <w:rsid w:val="00FF747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7" w:unhideWhenUsed="0" w:qFormat="1"/>
    <w:lsdException w:name="Default Paragraph Font" w:uiPriority="1"/>
    <w:lsdException w:name="Body Text" w:uiPriority="1"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3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914"/>
    <w:pPr>
      <w:spacing w:before="120" w:line="240" w:lineRule="auto"/>
      <w:jc w:val="both"/>
    </w:pPr>
    <w:rPr>
      <w:sz w:val="24"/>
    </w:rPr>
  </w:style>
  <w:style w:type="paragraph" w:styleId="Heading1">
    <w:name w:val="heading 1"/>
    <w:basedOn w:val="Normal"/>
    <w:next w:val="Normal"/>
    <w:link w:val="Heading1Char"/>
    <w:uiPriority w:val="1"/>
    <w:qFormat/>
    <w:rsid w:val="00435D84"/>
    <w:pPr>
      <w:keepNext/>
      <w:keepLines/>
      <w:numPr>
        <w:numId w:val="14"/>
      </w:numPr>
      <w:spacing w:before="400" w:after="120"/>
      <w:outlineLvl w:val="0"/>
    </w:pPr>
    <w:rPr>
      <w:rFonts w:eastAsiaTheme="majorEastAsia" w:cstheme="majorBidi"/>
      <w:b/>
      <w:sz w:val="32"/>
      <w:szCs w:val="28"/>
    </w:rPr>
  </w:style>
  <w:style w:type="paragraph" w:styleId="Heading2">
    <w:name w:val="heading 2"/>
    <w:aliases w:val="Char,X.X Sub heading,Treb,Trebuchet, Char"/>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basedOn w:val="Heading7"/>
    <w:next w:val="Normal"/>
    <w:link w:val="Heading4Char"/>
    <w:uiPriority w:val="5"/>
    <w:unhideWhenUsed/>
    <w:qFormat/>
    <w:rsid w:val="00735A79"/>
    <w:pPr>
      <w:ind w:left="0" w:firstLine="0"/>
      <w:outlineLvl w:val="3"/>
    </w:pPr>
  </w:style>
  <w:style w:type="paragraph" w:styleId="Heading5">
    <w:name w:val="heading 5"/>
    <w:basedOn w:val="Heading4"/>
    <w:next w:val="Normal"/>
    <w:link w:val="Heading5Char"/>
    <w:uiPriority w:val="7"/>
    <w:unhideWhenUsed/>
    <w:qFormat/>
    <w:rsid w:val="003B095E"/>
    <w:pPr>
      <w:outlineLvl w:val="4"/>
    </w:pPr>
  </w:style>
  <w:style w:type="paragraph" w:styleId="Heading6">
    <w:name w:val="heading 6"/>
    <w:basedOn w:val="Heading5"/>
    <w:next w:val="Normal"/>
    <w:link w:val="Heading6Char"/>
    <w:uiPriority w:val="7"/>
    <w:unhideWhenUsed/>
    <w:qFormat/>
    <w:rsid w:val="00624315"/>
    <w:pPr>
      <w:outlineLvl w:val="5"/>
    </w:p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5D84"/>
    <w:rPr>
      <w:rFonts w:eastAsiaTheme="majorEastAsia" w:cstheme="majorBidi"/>
      <w:b/>
      <w:sz w:val="32"/>
      <w:szCs w:val="28"/>
    </w:rPr>
  </w:style>
  <w:style w:type="character" w:customStyle="1" w:styleId="Heading2Char">
    <w:name w:val="Heading 2 Char"/>
    <w:aliases w:val="Char Char,X.X Sub heading Char,Treb Char,Trebuchet Char, Char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customStyle="1" w:styleId="V50Heading2nonumbers">
    <w:name w:val="V5.0 Heading 2 no numbers"/>
    <w:basedOn w:val="Heading2"/>
    <w:qFormat/>
    <w:rsid w:val="00716951"/>
    <w:pPr>
      <w:ind w:left="578" w:hanging="578"/>
    </w:pPr>
  </w:style>
  <w:style w:type="paragraph" w:customStyle="1" w:styleId="V50Instructions">
    <w:name w:val="V5.0 Instructions"/>
    <w:basedOn w:val="Normal"/>
    <w:link w:val="V50InstructionsChar"/>
    <w:qFormat/>
    <w:rsid w:val="008762DF"/>
    <w:rPr>
      <w:color w:val="4472C4" w:themeColor="accent5"/>
    </w:rPr>
  </w:style>
  <w:style w:type="character" w:customStyle="1" w:styleId="Heading4Char">
    <w:name w:val="Heading 4 Char"/>
    <w:basedOn w:val="DefaultParagraphFont"/>
    <w:link w:val="Heading4"/>
    <w:uiPriority w:val="5"/>
    <w:rsid w:val="00735A79"/>
    <w:rPr>
      <w:rFonts w:ascii="Arial" w:eastAsiaTheme="majorEastAsia" w:hAnsi="Arial" w:cstheme="majorBidi"/>
      <w:b/>
      <w:i/>
      <w:sz w:val="24"/>
      <w:szCs w:val="24"/>
    </w:rPr>
  </w:style>
  <w:style w:type="character" w:customStyle="1" w:styleId="Heading5Char">
    <w:name w:val="Heading 5 Char"/>
    <w:basedOn w:val="DefaultParagraphFont"/>
    <w:link w:val="Heading5"/>
    <w:uiPriority w:val="7"/>
    <w:rsid w:val="006963E0"/>
    <w:rPr>
      <w:rFonts w:ascii="Arial" w:eastAsiaTheme="majorEastAsia" w:hAnsi="Arial" w:cstheme="majorBidi"/>
      <w:b/>
      <w:i/>
      <w:sz w:val="24"/>
      <w:szCs w:val="24"/>
    </w:rPr>
  </w:style>
  <w:style w:type="character" w:customStyle="1" w:styleId="Heading6Char">
    <w:name w:val="Heading 6 Char"/>
    <w:basedOn w:val="DefaultParagraphFont"/>
    <w:link w:val="Heading6"/>
    <w:uiPriority w:val="7"/>
    <w:rsid w:val="006963E0"/>
    <w:rPr>
      <w:rFonts w:ascii="Arial" w:eastAsiaTheme="majorEastAsia" w:hAnsi="Arial" w:cstheme="majorBidi"/>
      <w:b/>
      <w:i/>
      <w:sz w:val="24"/>
      <w:szCs w:val="24"/>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7"/>
    <w:rsid w:val="00422052"/>
    <w:rPr>
      <w:rFonts w:asciiTheme="majorHAnsi" w:eastAsiaTheme="majorEastAsia" w:hAnsiTheme="majorHAnsi" w:cstheme="majorBidi"/>
      <w:color w:val="272727" w:themeColor="text1" w:themeTint="D8"/>
      <w:sz w:val="36"/>
      <w:szCs w:val="21"/>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BalloonText">
    <w:name w:val="Balloon Text"/>
    <w:basedOn w:val="Normal"/>
    <w:link w:val="BalloonTextChar"/>
    <w:uiPriority w:val="9"/>
    <w:semiHidden/>
    <w:unhideWhenUsed/>
    <w:rsid w:val="00B1234B"/>
    <w:pPr>
      <w:spacing w:before="0" w:after="0"/>
    </w:pPr>
    <w:rPr>
      <w:rFonts w:ascii="Tahoma" w:hAnsi="Tahoma" w:cs="Tahoma"/>
      <w:sz w:val="16"/>
      <w:szCs w:val="16"/>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character" w:customStyle="1" w:styleId="BalloonTextChar">
    <w:name w:val="Balloon Text Char"/>
    <w:basedOn w:val="DefaultParagraphFont"/>
    <w:link w:val="BalloonText"/>
    <w:uiPriority w:val="9"/>
    <w:semiHidden/>
    <w:rsid w:val="00B1234B"/>
    <w:rPr>
      <w:rFonts w:ascii="Tahoma" w:hAnsi="Tahoma" w:cs="Tahoma"/>
      <w:sz w:val="16"/>
      <w:szCs w:val="16"/>
    </w:rPr>
  </w:style>
  <w:style w:type="character" w:styleId="FootnoteReference">
    <w:name w:val="footnote reference"/>
    <w:basedOn w:val="DefaultParagraphFont"/>
    <w:uiPriority w:val="99"/>
    <w:unhideWhenUsed/>
    <w:rsid w:val="00BA3306"/>
    <w:rPr>
      <w:vertAlign w:val="superscript"/>
    </w:rPr>
  </w:style>
  <w:style w:type="paragraph" w:customStyle="1" w:styleId="TableHeading">
    <w:name w:val="Table Heading"/>
    <w:basedOn w:val="Normal"/>
    <w:qFormat/>
    <w:rsid w:val="001F74E0"/>
    <w:pPr>
      <w:keepNext/>
      <w:spacing w:before="240" w:after="60"/>
    </w:pPr>
    <w:rPr>
      <w:rFonts w:ascii="Arial Narrow" w:hAnsi="Arial Narrow"/>
      <w:b/>
      <w:sz w:val="20"/>
    </w:rPr>
  </w:style>
  <w:style w:type="character" w:customStyle="1" w:styleId="V50InstructionsChar">
    <w:name w:val="V5.0 Instructions Char"/>
    <w:basedOn w:val="DefaultParagraphFont"/>
    <w:link w:val="V50Instructions"/>
    <w:rsid w:val="008762DF"/>
    <w:rPr>
      <w:rFonts w:ascii="Arial" w:hAnsi="Arial"/>
      <w:color w:val="4472C4" w:themeColor="accent5"/>
    </w:rPr>
  </w:style>
  <w:style w:type="paragraph" w:customStyle="1" w:styleId="TableFooter">
    <w:name w:val="Table Footer"/>
    <w:basedOn w:val="Normal"/>
    <w:link w:val="TableFooterChar"/>
    <w:qFormat/>
    <w:rsid w:val="00462C15"/>
    <w:pPr>
      <w:widowControl w:val="0"/>
      <w:spacing w:before="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462C15"/>
    <w:rPr>
      <w:rFonts w:ascii="Arial Narrow" w:eastAsia="Times New Roman" w:hAnsi="Arial Narrow" w:cs="Arial"/>
      <w:snapToGrid w:val="0"/>
      <w:sz w:val="18"/>
      <w:szCs w:val="20"/>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eastAsia="Times New Roman"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eastAsia="Times New Roman" w:cs="Arial"/>
      <w:bCs/>
      <w:snapToGrid w:val="0"/>
      <w:sz w:val="20"/>
      <w:szCs w:val="20"/>
    </w:rPr>
  </w:style>
  <w:style w:type="paragraph" w:styleId="TOCHeading">
    <w:name w:val="TOC Heading"/>
    <w:basedOn w:val="Heading1"/>
    <w:next w:val="Normal"/>
    <w:uiPriority w:val="39"/>
    <w:unhideWhenUsed/>
    <w:qFormat/>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styleId="Header">
    <w:name w:val="header"/>
    <w:aliases w:val="Page Header,Header title,he=header,cntr/bld"/>
    <w:basedOn w:val="Normal"/>
    <w:link w:val="HeaderChar"/>
    <w:uiPriority w:val="99"/>
    <w:unhideWhenUsed/>
    <w:rsid w:val="005A6976"/>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5A6976"/>
    <w:rPr>
      <w:sz w:val="24"/>
    </w:rPr>
  </w:style>
  <w:style w:type="paragraph" w:styleId="Footer">
    <w:name w:val="footer"/>
    <w:basedOn w:val="Normal"/>
    <w:link w:val="FooterChar"/>
    <w:uiPriority w:val="99"/>
    <w:unhideWhenUsed/>
    <w:rsid w:val="005A6976"/>
    <w:pPr>
      <w:tabs>
        <w:tab w:val="center" w:pos="4513"/>
        <w:tab w:val="right" w:pos="9026"/>
      </w:tabs>
      <w:spacing w:before="0" w:after="0"/>
    </w:pPr>
  </w:style>
  <w:style w:type="character" w:customStyle="1" w:styleId="FooterChar">
    <w:name w:val="Footer Char"/>
    <w:basedOn w:val="DefaultParagraphFont"/>
    <w:link w:val="Footer"/>
    <w:uiPriority w:val="99"/>
    <w:rsid w:val="005A6976"/>
    <w:rPr>
      <w:sz w:val="24"/>
    </w:rPr>
  </w:style>
  <w:style w:type="paragraph" w:customStyle="1" w:styleId="ESnumberedpara">
    <w:name w:val="ES numbered para"/>
    <w:basedOn w:val="Normal"/>
    <w:link w:val="ESnumberedparaChar"/>
    <w:qFormat/>
    <w:rsid w:val="00C757CE"/>
    <w:pPr>
      <w:spacing w:before="0" w:after="120"/>
    </w:pPr>
  </w:style>
  <w:style w:type="character" w:customStyle="1" w:styleId="ESnumberedparaChar">
    <w:name w:val="ES numbered para Char"/>
    <w:basedOn w:val="DefaultParagraphFont"/>
    <w:link w:val="ESnumberedpara"/>
    <w:rsid w:val="00C757CE"/>
    <w:rPr>
      <w:sz w:val="24"/>
    </w:rPr>
  </w:style>
  <w:style w:type="paragraph" w:customStyle="1" w:styleId="ESnumberedparablue">
    <w:name w:val="ES numbered para blue"/>
    <w:basedOn w:val="ESnumberedpara"/>
    <w:qFormat/>
    <w:rsid w:val="00C757CE"/>
    <w:rPr>
      <w:color w:val="4472C4" w:themeColor="accent5"/>
    </w:rPr>
  </w:style>
  <w:style w:type="paragraph" w:customStyle="1" w:styleId="ESnon-numberedpara">
    <w:name w:val="ES non-numbered para"/>
    <w:basedOn w:val="Normal"/>
    <w:qFormat/>
    <w:rsid w:val="00F8548F"/>
    <w:pPr>
      <w:spacing w:before="0" w:after="120"/>
      <w:ind w:left="709"/>
    </w:pPr>
  </w:style>
  <w:style w:type="paragraph" w:customStyle="1" w:styleId="ESnon-numberedparablue">
    <w:name w:val="ES non-numbered para blue"/>
    <w:basedOn w:val="ESnon-numberedpara"/>
    <w:qFormat/>
    <w:rsid w:val="00F8548F"/>
    <w:rPr>
      <w:color w:val="4472C4" w:themeColor="accent5"/>
    </w:rPr>
  </w:style>
  <w:style w:type="paragraph" w:customStyle="1" w:styleId="ESnon-numberedbullet">
    <w:name w:val="ES non-numbered bullet"/>
    <w:basedOn w:val="ESnon-numberedpara"/>
    <w:qFormat/>
    <w:rsid w:val="00462C15"/>
    <w:pPr>
      <w:numPr>
        <w:numId w:val="5"/>
      </w:numPr>
      <w:spacing w:after="240"/>
      <w:ind w:left="993" w:hanging="284"/>
      <w:contextualSpacing/>
    </w:pPr>
  </w:style>
  <w:style w:type="character" w:styleId="CommentReference">
    <w:name w:val="annotation reference"/>
    <w:aliases w:val="Table Title"/>
    <w:basedOn w:val="DefaultParagraphFont"/>
    <w:unhideWhenUsed/>
    <w:qFormat/>
    <w:rsid w:val="007B3EE4"/>
    <w:rPr>
      <w:sz w:val="16"/>
      <w:szCs w:val="16"/>
    </w:rPr>
  </w:style>
  <w:style w:type="paragraph" w:styleId="CommentText">
    <w:name w:val="annotation text"/>
    <w:basedOn w:val="Normal"/>
    <w:link w:val="CommentTextChar"/>
    <w:uiPriority w:val="99"/>
    <w:unhideWhenUsed/>
    <w:rsid w:val="007B3EE4"/>
    <w:rPr>
      <w:sz w:val="20"/>
      <w:szCs w:val="20"/>
    </w:rPr>
  </w:style>
  <w:style w:type="character" w:customStyle="1" w:styleId="CommentTextChar">
    <w:name w:val="Comment Text Char"/>
    <w:basedOn w:val="DefaultParagraphFont"/>
    <w:link w:val="CommentText"/>
    <w:uiPriority w:val="99"/>
    <w:rsid w:val="007B3EE4"/>
    <w:rPr>
      <w:rFonts w:ascii="Arial" w:hAnsi="Arial"/>
      <w:sz w:val="20"/>
      <w:szCs w:val="20"/>
    </w:rPr>
  </w:style>
  <w:style w:type="paragraph" w:styleId="CommentSubject">
    <w:name w:val="annotation subject"/>
    <w:basedOn w:val="CommentText"/>
    <w:next w:val="CommentText"/>
    <w:link w:val="CommentSubjectChar"/>
    <w:uiPriority w:val="9"/>
    <w:semiHidden/>
    <w:unhideWhenUsed/>
    <w:rsid w:val="007B3EE4"/>
    <w:rPr>
      <w:b/>
      <w:bCs/>
    </w:rPr>
  </w:style>
  <w:style w:type="character" w:customStyle="1" w:styleId="CommentSubjectChar">
    <w:name w:val="Comment Subject Char"/>
    <w:basedOn w:val="CommentTextChar"/>
    <w:link w:val="CommentSubject"/>
    <w:uiPriority w:val="9"/>
    <w:semiHidden/>
    <w:rsid w:val="007B3EE4"/>
    <w:rPr>
      <w:rFonts w:ascii="Arial" w:hAnsi="Arial"/>
      <w:b/>
      <w:bCs/>
      <w:sz w:val="20"/>
      <w:szCs w:val="20"/>
    </w:rPr>
  </w:style>
  <w:style w:type="paragraph" w:styleId="ListParagraph">
    <w:name w:val="List Paragraph"/>
    <w:aliases w:val="BulletPoints"/>
    <w:basedOn w:val="Normal"/>
    <w:link w:val="ListParagraphChar"/>
    <w:uiPriority w:val="72"/>
    <w:qFormat/>
    <w:rsid w:val="000503B8"/>
    <w:pPr>
      <w:ind w:left="720"/>
      <w:contextualSpacing/>
    </w:pPr>
  </w:style>
  <w:style w:type="paragraph" w:customStyle="1" w:styleId="KMC16-Tablecontent">
    <w:name w:val="KMC16 - Table content"/>
    <w:basedOn w:val="Normal"/>
    <w:link w:val="KMC16-TablecontentChar"/>
    <w:qFormat/>
    <w:rsid w:val="00784117"/>
    <w:pPr>
      <w:spacing w:before="40" w:after="40"/>
      <w:jc w:val="left"/>
    </w:pPr>
    <w:rPr>
      <w:rFonts w:ascii="Arial Narrow" w:eastAsia="Times New Roman" w:hAnsi="Arial Narrow" w:cs="Arial"/>
      <w:color w:val="000000"/>
      <w:sz w:val="20"/>
      <w:lang w:val="en-GB"/>
    </w:rPr>
  </w:style>
  <w:style w:type="character" w:customStyle="1" w:styleId="KMC16-TablecontentChar">
    <w:name w:val="KMC16 - Table content Char"/>
    <w:basedOn w:val="DefaultParagraphFont"/>
    <w:link w:val="KMC16-Tablecontent"/>
    <w:rsid w:val="00784117"/>
    <w:rPr>
      <w:rFonts w:ascii="Arial Narrow" w:eastAsia="Times New Roman" w:hAnsi="Arial Narrow" w:cs="Arial"/>
      <w:color w:val="000000"/>
      <w:sz w:val="20"/>
      <w:lang w:val="en-GB"/>
    </w:rPr>
  </w:style>
  <w:style w:type="table" w:customStyle="1" w:styleId="TableGridbeth1">
    <w:name w:val="Table Gridbeth1"/>
    <w:basedOn w:val="TableNormal"/>
    <w:next w:val="TableGrid"/>
    <w:uiPriority w:val="59"/>
    <w:rsid w:val="005E6CE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C16-Footnotes">
    <w:name w:val="KMC16 - Footnotes"/>
    <w:basedOn w:val="Normal"/>
    <w:qFormat/>
    <w:rsid w:val="003F5CC6"/>
    <w:pPr>
      <w:spacing w:before="40" w:after="40"/>
    </w:pPr>
    <w:rPr>
      <w:rFonts w:ascii="Arial" w:hAnsi="Arial"/>
      <w:sz w:val="18"/>
    </w:rPr>
  </w:style>
  <w:style w:type="paragraph" w:customStyle="1" w:styleId="KMC-TFNotes">
    <w:name w:val="KMC - TF Notes"/>
    <w:basedOn w:val="Normal"/>
    <w:link w:val="KMC-TFNotesChar"/>
    <w:semiHidden/>
    <w:qFormat/>
    <w:locked/>
    <w:rsid w:val="00362578"/>
    <w:pPr>
      <w:keepNext/>
      <w:spacing w:before="45" w:after="240"/>
      <w:contextualSpacing/>
    </w:pPr>
    <w:rPr>
      <w:rFonts w:ascii="Calibri" w:hAnsi="Calibri"/>
      <w:color w:val="000000" w:themeColor="text1"/>
      <w:sz w:val="16"/>
    </w:rPr>
  </w:style>
  <w:style w:type="character" w:customStyle="1" w:styleId="KMC-TFNotesChar">
    <w:name w:val="KMC - TF Notes Char"/>
    <w:basedOn w:val="DefaultParagraphFont"/>
    <w:link w:val="KMC-TFNotes"/>
    <w:semiHidden/>
    <w:rsid w:val="00362578"/>
    <w:rPr>
      <w:rFonts w:ascii="Calibri" w:hAnsi="Calibri"/>
      <w:color w:val="000000" w:themeColor="text1"/>
      <w:sz w:val="16"/>
    </w:rPr>
  </w:style>
  <w:style w:type="character" w:customStyle="1" w:styleId="COMBodyChar">
    <w:name w:val="COMBody Char"/>
    <w:basedOn w:val="DefaultParagraphFont"/>
    <w:link w:val="COMBody"/>
    <w:locked/>
    <w:rsid w:val="00A237C4"/>
    <w:rPr>
      <w:rFonts w:ascii="Calibri" w:eastAsia="Times New Roman" w:hAnsi="Calibri" w:cs="Arial"/>
      <w:sz w:val="24"/>
      <w:szCs w:val="20"/>
    </w:rPr>
  </w:style>
  <w:style w:type="paragraph" w:customStyle="1" w:styleId="COMBody">
    <w:name w:val="COMBody"/>
    <w:basedOn w:val="Normal"/>
    <w:link w:val="COMBodyChar"/>
    <w:qFormat/>
    <w:rsid w:val="00A237C4"/>
    <w:pPr>
      <w:widowControl w:val="0"/>
      <w:snapToGrid w:val="0"/>
      <w:spacing w:before="0" w:after="0"/>
    </w:pPr>
    <w:rPr>
      <w:rFonts w:ascii="Calibri" w:eastAsia="Times New Roman" w:hAnsi="Calibri" w:cs="Arial"/>
      <w:szCs w:val="20"/>
    </w:rPr>
  </w:style>
  <w:style w:type="table" w:customStyle="1" w:styleId="TableGridbeth2">
    <w:name w:val="Table Gridbeth2"/>
    <w:basedOn w:val="TableNormal"/>
    <w:next w:val="TableGrid"/>
    <w:uiPriority w:val="59"/>
    <w:rsid w:val="00EA48ED"/>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3">
    <w:name w:val="Table Gridbeth3"/>
    <w:basedOn w:val="TableNormal"/>
    <w:next w:val="TableGrid"/>
    <w:uiPriority w:val="59"/>
    <w:rsid w:val="00EA48ED"/>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4">
    <w:name w:val="Table Gridbeth4"/>
    <w:basedOn w:val="TableNormal"/>
    <w:next w:val="TableGrid"/>
    <w:uiPriority w:val="59"/>
    <w:rsid w:val="00EA48ED"/>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Tablecontent">
    <w:name w:val="Table content"/>
    <w:basedOn w:val="Normal"/>
    <w:link w:val="TablecontentChar"/>
    <w:qFormat/>
    <w:rsid w:val="001E20F5"/>
    <w:pPr>
      <w:spacing w:before="40" w:after="40"/>
    </w:pPr>
    <w:rPr>
      <w:rFonts w:ascii="Arial Narrow" w:hAnsi="Arial Narrow" w:cs="Arial"/>
      <w:sz w:val="20"/>
      <w:szCs w:val="20"/>
    </w:rPr>
  </w:style>
  <w:style w:type="character" w:customStyle="1" w:styleId="TablecontentChar">
    <w:name w:val="Table content Char"/>
    <w:basedOn w:val="DefaultParagraphFont"/>
    <w:link w:val="Tablecontent"/>
    <w:rsid w:val="001E20F5"/>
    <w:rPr>
      <w:rFonts w:ascii="Arial Narrow" w:hAnsi="Arial Narrow" w:cs="Arial"/>
      <w:sz w:val="20"/>
      <w:szCs w:val="20"/>
    </w:rPr>
  </w:style>
  <w:style w:type="paragraph" w:customStyle="1" w:styleId="EndNoteBibliography">
    <w:name w:val="EndNote Bibliography"/>
    <w:basedOn w:val="Normal"/>
    <w:link w:val="EndNoteBibliographyChar"/>
    <w:semiHidden/>
    <w:locked/>
    <w:rsid w:val="001A5615"/>
    <w:pPr>
      <w:spacing w:before="0"/>
      <w:jc w:val="left"/>
    </w:pPr>
    <w:rPr>
      <w:rFonts w:ascii="Arial" w:hAnsi="Arial" w:cs="Arial"/>
      <w:noProof/>
      <w:sz w:val="22"/>
      <w:lang w:val="en-US"/>
    </w:rPr>
  </w:style>
  <w:style w:type="character" w:customStyle="1" w:styleId="EndNoteBibliographyChar">
    <w:name w:val="EndNote Bibliography Char"/>
    <w:basedOn w:val="DefaultParagraphFont"/>
    <w:link w:val="EndNoteBibliography"/>
    <w:semiHidden/>
    <w:rsid w:val="001A5615"/>
    <w:rPr>
      <w:rFonts w:ascii="Arial" w:hAnsi="Arial" w:cs="Arial"/>
      <w:noProof/>
      <w:lang w:val="en-US"/>
    </w:rPr>
  </w:style>
  <w:style w:type="character" w:customStyle="1" w:styleId="ListParagraphChar">
    <w:name w:val="List Paragraph Char"/>
    <w:aliases w:val="BulletPoints Char"/>
    <w:basedOn w:val="DefaultParagraphFont"/>
    <w:link w:val="ListParagraph"/>
    <w:uiPriority w:val="72"/>
    <w:rsid w:val="004B470D"/>
    <w:rPr>
      <w:sz w:val="24"/>
    </w:rPr>
  </w:style>
  <w:style w:type="table" w:customStyle="1" w:styleId="TableGrid1">
    <w:name w:val="Table Grid1"/>
    <w:basedOn w:val="TableNormal"/>
    <w:next w:val="TableGrid"/>
    <w:uiPriority w:val="59"/>
    <w:rsid w:val="00081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C16-Text">
    <w:name w:val="KMC16 - Text"/>
    <w:basedOn w:val="Normal"/>
    <w:qFormat/>
    <w:rsid w:val="00DC6D2E"/>
    <w:pPr>
      <w:spacing w:after="240" w:line="360" w:lineRule="auto"/>
    </w:pPr>
    <w:rPr>
      <w:rFonts w:ascii="Arial" w:hAnsi="Arial"/>
      <w:color w:val="000000" w:themeColor="text1"/>
      <w:sz w:val="22"/>
    </w:rPr>
  </w:style>
  <w:style w:type="paragraph" w:customStyle="1" w:styleId="KMC16-Caption">
    <w:name w:val="KMC16 - Caption"/>
    <w:basedOn w:val="Normal"/>
    <w:qFormat/>
    <w:rsid w:val="00DC6D2E"/>
    <w:pPr>
      <w:keepNext/>
      <w:tabs>
        <w:tab w:val="left" w:pos="567"/>
      </w:tabs>
      <w:spacing w:before="240" w:after="40"/>
      <w:ind w:left="1588" w:hanging="1588"/>
      <w:contextualSpacing/>
      <w:jc w:val="left"/>
    </w:pPr>
    <w:rPr>
      <w:rFonts w:ascii="Arial" w:eastAsia="Times New Roman" w:hAnsi="Arial" w:cs="Times New Roman"/>
      <w:b/>
      <w:color w:val="000000"/>
      <w:sz w:val="20"/>
      <w:szCs w:val="20"/>
      <w:lang w:eastAsia="en-AU"/>
    </w:rPr>
  </w:style>
  <w:style w:type="paragraph" w:customStyle="1" w:styleId="KMC16-TableHeading">
    <w:name w:val="KMC16 - Table Heading"/>
    <w:basedOn w:val="Normal"/>
    <w:qFormat/>
    <w:rsid w:val="00DC6D2E"/>
    <w:pPr>
      <w:spacing w:before="40" w:after="40"/>
      <w:jc w:val="center"/>
    </w:pPr>
    <w:rPr>
      <w:rFonts w:ascii="Arial Narrow" w:eastAsia="Times New Roman" w:hAnsi="Arial Narrow" w:cs="Arial"/>
      <w:b/>
      <w:color w:val="000000"/>
      <w:sz w:val="20"/>
      <w:lang w:eastAsia="en-AU"/>
    </w:rPr>
  </w:style>
  <w:style w:type="paragraph" w:customStyle="1" w:styleId="KMC16-Footer">
    <w:name w:val="KMC16 - Footer"/>
    <w:basedOn w:val="Normal"/>
    <w:qFormat/>
    <w:rsid w:val="00DC6D2E"/>
    <w:pPr>
      <w:pBdr>
        <w:top w:val="single" w:sz="4" w:space="1" w:color="auto"/>
      </w:pBdr>
      <w:tabs>
        <w:tab w:val="center" w:pos="4147"/>
        <w:tab w:val="right" w:pos="9000"/>
      </w:tabs>
      <w:spacing w:before="0" w:after="0"/>
    </w:pPr>
    <w:rPr>
      <w:rFonts w:ascii="Calibri" w:hAnsi="Calibri"/>
      <w:b/>
      <w:color w:val="000000" w:themeColor="text1"/>
      <w:sz w:val="18"/>
    </w:rPr>
  </w:style>
  <w:style w:type="paragraph" w:styleId="BodyText">
    <w:name w:val="Body Text"/>
    <w:basedOn w:val="Normal"/>
    <w:link w:val="BodyTextChar"/>
    <w:uiPriority w:val="1"/>
    <w:qFormat/>
    <w:rsid w:val="00DC6D2E"/>
    <w:pPr>
      <w:autoSpaceDE w:val="0"/>
      <w:autoSpaceDN w:val="0"/>
      <w:adjustRightInd w:val="0"/>
      <w:spacing w:before="0" w:after="0"/>
      <w:ind w:left="19"/>
      <w:jc w:val="left"/>
    </w:pPr>
    <w:rPr>
      <w:rFonts w:ascii="Calibri" w:hAnsi="Calibri" w:cs="Calibri"/>
      <w:sz w:val="20"/>
      <w:szCs w:val="20"/>
    </w:rPr>
  </w:style>
  <w:style w:type="character" w:customStyle="1" w:styleId="BodyTextChar">
    <w:name w:val="Body Text Char"/>
    <w:basedOn w:val="DefaultParagraphFont"/>
    <w:link w:val="BodyText"/>
    <w:uiPriority w:val="1"/>
    <w:rsid w:val="00DC6D2E"/>
    <w:rPr>
      <w:rFonts w:ascii="Calibri" w:hAnsi="Calibri" w:cs="Calibri"/>
      <w:sz w:val="20"/>
      <w:szCs w:val="20"/>
    </w:rPr>
  </w:style>
  <w:style w:type="numbering" w:customStyle="1" w:styleId="NoList1">
    <w:name w:val="No List1"/>
    <w:next w:val="NoList"/>
    <w:uiPriority w:val="99"/>
    <w:semiHidden/>
    <w:unhideWhenUsed/>
    <w:rsid w:val="00DC6D2E"/>
  </w:style>
  <w:style w:type="table" w:customStyle="1" w:styleId="TableGridbeth5">
    <w:name w:val="Table Gridbeth5"/>
    <w:basedOn w:val="TableNormal"/>
    <w:next w:val="TableGrid"/>
    <w:uiPriority w:val="59"/>
    <w:rsid w:val="00DC6D2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1">
    <w:name w:val="Table Grid Light11"/>
    <w:basedOn w:val="TableNormal"/>
    <w:uiPriority w:val="40"/>
    <w:rsid w:val="00DC6D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1">
    <w:name w:val="Plain Table 211"/>
    <w:basedOn w:val="TableNormal"/>
    <w:uiPriority w:val="42"/>
    <w:rsid w:val="00DC6D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beth11">
    <w:name w:val="Table Gridbeth11"/>
    <w:basedOn w:val="TableNormal"/>
    <w:next w:val="TableGrid"/>
    <w:uiPriority w:val="59"/>
    <w:rsid w:val="00DC6D2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1">
    <w:name w:val="Table Gridbeth21"/>
    <w:basedOn w:val="TableNormal"/>
    <w:next w:val="TableGrid"/>
    <w:uiPriority w:val="59"/>
    <w:rsid w:val="00DC6D2E"/>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31">
    <w:name w:val="Table Gridbeth31"/>
    <w:basedOn w:val="TableNormal"/>
    <w:next w:val="TableGrid"/>
    <w:uiPriority w:val="59"/>
    <w:rsid w:val="00DC6D2E"/>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41">
    <w:name w:val="Table Gridbeth41"/>
    <w:basedOn w:val="TableNormal"/>
    <w:next w:val="TableGrid"/>
    <w:uiPriority w:val="59"/>
    <w:rsid w:val="00DC6D2E"/>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styleId="Caption">
    <w:name w:val="caption"/>
    <w:basedOn w:val="Normal"/>
    <w:next w:val="Normal"/>
    <w:uiPriority w:val="35"/>
    <w:unhideWhenUsed/>
    <w:qFormat/>
    <w:rsid w:val="002744AA"/>
    <w:pPr>
      <w:keepNext/>
      <w:spacing w:before="240" w:after="60"/>
    </w:pPr>
    <w:rPr>
      <w:rFonts w:ascii="Arial Narrow" w:eastAsia="Calibri" w:hAnsi="Arial Narrow" w:cs="Arial"/>
      <w:b/>
      <w:sz w:val="20"/>
    </w:rPr>
  </w:style>
  <w:style w:type="paragraph" w:styleId="FootnoteText">
    <w:name w:val="footnote text"/>
    <w:basedOn w:val="Normal"/>
    <w:link w:val="FootnoteTextChar"/>
    <w:uiPriority w:val="99"/>
    <w:semiHidden/>
    <w:unhideWhenUsed/>
    <w:rsid w:val="00F774B7"/>
    <w:pPr>
      <w:spacing w:before="0" w:after="0"/>
    </w:pPr>
    <w:rPr>
      <w:sz w:val="20"/>
      <w:szCs w:val="20"/>
    </w:rPr>
  </w:style>
  <w:style w:type="character" w:customStyle="1" w:styleId="FootnoteTextChar">
    <w:name w:val="Footnote Text Char"/>
    <w:basedOn w:val="DefaultParagraphFont"/>
    <w:link w:val="FootnoteText"/>
    <w:uiPriority w:val="99"/>
    <w:semiHidden/>
    <w:rsid w:val="00F774B7"/>
    <w:rPr>
      <w:sz w:val="20"/>
      <w:szCs w:val="20"/>
    </w:rPr>
  </w:style>
  <w:style w:type="paragraph" w:styleId="Subtitle">
    <w:name w:val="Subtitle"/>
    <w:basedOn w:val="Normal"/>
    <w:next w:val="Normal"/>
    <w:link w:val="SubtitleChar"/>
    <w:uiPriority w:val="9"/>
    <w:qFormat/>
    <w:rsid w:val="000A4A99"/>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9"/>
    <w:rsid w:val="000A4A99"/>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7" w:unhideWhenUsed="0" w:qFormat="1"/>
    <w:lsdException w:name="Default Paragraph Font" w:uiPriority="1"/>
    <w:lsdException w:name="Body Text" w:uiPriority="1"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3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914"/>
    <w:pPr>
      <w:spacing w:before="120" w:line="240" w:lineRule="auto"/>
      <w:jc w:val="both"/>
    </w:pPr>
    <w:rPr>
      <w:sz w:val="24"/>
    </w:rPr>
  </w:style>
  <w:style w:type="paragraph" w:styleId="Heading1">
    <w:name w:val="heading 1"/>
    <w:basedOn w:val="Normal"/>
    <w:next w:val="Normal"/>
    <w:link w:val="Heading1Char"/>
    <w:uiPriority w:val="1"/>
    <w:qFormat/>
    <w:rsid w:val="00435D84"/>
    <w:pPr>
      <w:keepNext/>
      <w:keepLines/>
      <w:numPr>
        <w:numId w:val="14"/>
      </w:numPr>
      <w:spacing w:before="400" w:after="120"/>
      <w:outlineLvl w:val="0"/>
    </w:pPr>
    <w:rPr>
      <w:rFonts w:eastAsiaTheme="majorEastAsia" w:cstheme="majorBidi"/>
      <w:b/>
      <w:sz w:val="32"/>
      <w:szCs w:val="28"/>
    </w:rPr>
  </w:style>
  <w:style w:type="paragraph" w:styleId="Heading2">
    <w:name w:val="heading 2"/>
    <w:aliases w:val="Char,X.X Sub heading,Treb,Trebuchet, Char"/>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basedOn w:val="Heading7"/>
    <w:next w:val="Normal"/>
    <w:link w:val="Heading4Char"/>
    <w:uiPriority w:val="5"/>
    <w:unhideWhenUsed/>
    <w:qFormat/>
    <w:rsid w:val="00735A79"/>
    <w:pPr>
      <w:ind w:left="0" w:firstLine="0"/>
      <w:outlineLvl w:val="3"/>
    </w:pPr>
  </w:style>
  <w:style w:type="paragraph" w:styleId="Heading5">
    <w:name w:val="heading 5"/>
    <w:basedOn w:val="Heading4"/>
    <w:next w:val="Normal"/>
    <w:link w:val="Heading5Char"/>
    <w:uiPriority w:val="7"/>
    <w:unhideWhenUsed/>
    <w:qFormat/>
    <w:rsid w:val="003B095E"/>
    <w:pPr>
      <w:outlineLvl w:val="4"/>
    </w:pPr>
  </w:style>
  <w:style w:type="paragraph" w:styleId="Heading6">
    <w:name w:val="heading 6"/>
    <w:basedOn w:val="Heading5"/>
    <w:next w:val="Normal"/>
    <w:link w:val="Heading6Char"/>
    <w:uiPriority w:val="7"/>
    <w:unhideWhenUsed/>
    <w:qFormat/>
    <w:rsid w:val="00624315"/>
    <w:pPr>
      <w:outlineLvl w:val="5"/>
    </w:p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5D84"/>
    <w:rPr>
      <w:rFonts w:eastAsiaTheme="majorEastAsia" w:cstheme="majorBidi"/>
      <w:b/>
      <w:sz w:val="32"/>
      <w:szCs w:val="28"/>
    </w:rPr>
  </w:style>
  <w:style w:type="character" w:customStyle="1" w:styleId="Heading2Char">
    <w:name w:val="Heading 2 Char"/>
    <w:aliases w:val="Char Char,X.X Sub heading Char,Treb Char,Trebuchet Char, Char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customStyle="1" w:styleId="V50Heading2nonumbers">
    <w:name w:val="V5.0 Heading 2 no numbers"/>
    <w:basedOn w:val="Heading2"/>
    <w:qFormat/>
    <w:rsid w:val="00716951"/>
    <w:pPr>
      <w:ind w:left="578" w:hanging="578"/>
    </w:pPr>
  </w:style>
  <w:style w:type="paragraph" w:customStyle="1" w:styleId="V50Instructions">
    <w:name w:val="V5.0 Instructions"/>
    <w:basedOn w:val="Normal"/>
    <w:link w:val="V50InstructionsChar"/>
    <w:qFormat/>
    <w:rsid w:val="008762DF"/>
    <w:rPr>
      <w:color w:val="4472C4" w:themeColor="accent5"/>
    </w:rPr>
  </w:style>
  <w:style w:type="character" w:customStyle="1" w:styleId="Heading4Char">
    <w:name w:val="Heading 4 Char"/>
    <w:basedOn w:val="DefaultParagraphFont"/>
    <w:link w:val="Heading4"/>
    <w:uiPriority w:val="5"/>
    <w:rsid w:val="00735A79"/>
    <w:rPr>
      <w:rFonts w:ascii="Arial" w:eastAsiaTheme="majorEastAsia" w:hAnsi="Arial" w:cstheme="majorBidi"/>
      <w:b/>
      <w:i/>
      <w:sz w:val="24"/>
      <w:szCs w:val="24"/>
    </w:rPr>
  </w:style>
  <w:style w:type="character" w:customStyle="1" w:styleId="Heading5Char">
    <w:name w:val="Heading 5 Char"/>
    <w:basedOn w:val="DefaultParagraphFont"/>
    <w:link w:val="Heading5"/>
    <w:uiPriority w:val="7"/>
    <w:rsid w:val="006963E0"/>
    <w:rPr>
      <w:rFonts w:ascii="Arial" w:eastAsiaTheme="majorEastAsia" w:hAnsi="Arial" w:cstheme="majorBidi"/>
      <w:b/>
      <w:i/>
      <w:sz w:val="24"/>
      <w:szCs w:val="24"/>
    </w:rPr>
  </w:style>
  <w:style w:type="character" w:customStyle="1" w:styleId="Heading6Char">
    <w:name w:val="Heading 6 Char"/>
    <w:basedOn w:val="DefaultParagraphFont"/>
    <w:link w:val="Heading6"/>
    <w:uiPriority w:val="7"/>
    <w:rsid w:val="006963E0"/>
    <w:rPr>
      <w:rFonts w:ascii="Arial" w:eastAsiaTheme="majorEastAsia" w:hAnsi="Arial" w:cstheme="majorBidi"/>
      <w:b/>
      <w:i/>
      <w:sz w:val="24"/>
      <w:szCs w:val="24"/>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7"/>
    <w:rsid w:val="00422052"/>
    <w:rPr>
      <w:rFonts w:asciiTheme="majorHAnsi" w:eastAsiaTheme="majorEastAsia" w:hAnsiTheme="majorHAnsi" w:cstheme="majorBidi"/>
      <w:color w:val="272727" w:themeColor="text1" w:themeTint="D8"/>
      <w:sz w:val="36"/>
      <w:szCs w:val="21"/>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BalloonText">
    <w:name w:val="Balloon Text"/>
    <w:basedOn w:val="Normal"/>
    <w:link w:val="BalloonTextChar"/>
    <w:uiPriority w:val="9"/>
    <w:semiHidden/>
    <w:unhideWhenUsed/>
    <w:rsid w:val="00B1234B"/>
    <w:pPr>
      <w:spacing w:before="0" w:after="0"/>
    </w:pPr>
    <w:rPr>
      <w:rFonts w:ascii="Tahoma" w:hAnsi="Tahoma" w:cs="Tahoma"/>
      <w:sz w:val="16"/>
      <w:szCs w:val="16"/>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character" w:customStyle="1" w:styleId="BalloonTextChar">
    <w:name w:val="Balloon Text Char"/>
    <w:basedOn w:val="DefaultParagraphFont"/>
    <w:link w:val="BalloonText"/>
    <w:uiPriority w:val="9"/>
    <w:semiHidden/>
    <w:rsid w:val="00B1234B"/>
    <w:rPr>
      <w:rFonts w:ascii="Tahoma" w:hAnsi="Tahoma" w:cs="Tahoma"/>
      <w:sz w:val="16"/>
      <w:szCs w:val="16"/>
    </w:rPr>
  </w:style>
  <w:style w:type="character" w:styleId="FootnoteReference">
    <w:name w:val="footnote reference"/>
    <w:basedOn w:val="DefaultParagraphFont"/>
    <w:uiPriority w:val="99"/>
    <w:unhideWhenUsed/>
    <w:rsid w:val="00BA3306"/>
    <w:rPr>
      <w:vertAlign w:val="superscript"/>
    </w:rPr>
  </w:style>
  <w:style w:type="paragraph" w:customStyle="1" w:styleId="TableHeading">
    <w:name w:val="Table Heading"/>
    <w:basedOn w:val="Normal"/>
    <w:qFormat/>
    <w:rsid w:val="001F74E0"/>
    <w:pPr>
      <w:keepNext/>
      <w:spacing w:before="240" w:after="60"/>
    </w:pPr>
    <w:rPr>
      <w:rFonts w:ascii="Arial Narrow" w:hAnsi="Arial Narrow"/>
      <w:b/>
      <w:sz w:val="20"/>
    </w:rPr>
  </w:style>
  <w:style w:type="character" w:customStyle="1" w:styleId="V50InstructionsChar">
    <w:name w:val="V5.0 Instructions Char"/>
    <w:basedOn w:val="DefaultParagraphFont"/>
    <w:link w:val="V50Instructions"/>
    <w:rsid w:val="008762DF"/>
    <w:rPr>
      <w:rFonts w:ascii="Arial" w:hAnsi="Arial"/>
      <w:color w:val="4472C4" w:themeColor="accent5"/>
    </w:rPr>
  </w:style>
  <w:style w:type="paragraph" w:customStyle="1" w:styleId="TableFooter">
    <w:name w:val="Table Footer"/>
    <w:basedOn w:val="Normal"/>
    <w:link w:val="TableFooterChar"/>
    <w:qFormat/>
    <w:rsid w:val="00462C15"/>
    <w:pPr>
      <w:widowControl w:val="0"/>
      <w:spacing w:before="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462C15"/>
    <w:rPr>
      <w:rFonts w:ascii="Arial Narrow" w:eastAsia="Times New Roman" w:hAnsi="Arial Narrow" w:cs="Arial"/>
      <w:snapToGrid w:val="0"/>
      <w:sz w:val="18"/>
      <w:szCs w:val="20"/>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eastAsia="Times New Roman"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eastAsia="Times New Roman" w:cs="Arial"/>
      <w:bCs/>
      <w:snapToGrid w:val="0"/>
      <w:sz w:val="20"/>
      <w:szCs w:val="20"/>
    </w:rPr>
  </w:style>
  <w:style w:type="paragraph" w:styleId="TOCHeading">
    <w:name w:val="TOC Heading"/>
    <w:basedOn w:val="Heading1"/>
    <w:next w:val="Normal"/>
    <w:uiPriority w:val="39"/>
    <w:unhideWhenUsed/>
    <w:qFormat/>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styleId="Header">
    <w:name w:val="header"/>
    <w:aliases w:val="Page Header,Header title,he=header,cntr/bld"/>
    <w:basedOn w:val="Normal"/>
    <w:link w:val="HeaderChar"/>
    <w:uiPriority w:val="99"/>
    <w:unhideWhenUsed/>
    <w:rsid w:val="005A6976"/>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5A6976"/>
    <w:rPr>
      <w:sz w:val="24"/>
    </w:rPr>
  </w:style>
  <w:style w:type="paragraph" w:styleId="Footer">
    <w:name w:val="footer"/>
    <w:basedOn w:val="Normal"/>
    <w:link w:val="FooterChar"/>
    <w:uiPriority w:val="99"/>
    <w:unhideWhenUsed/>
    <w:rsid w:val="005A6976"/>
    <w:pPr>
      <w:tabs>
        <w:tab w:val="center" w:pos="4513"/>
        <w:tab w:val="right" w:pos="9026"/>
      </w:tabs>
      <w:spacing w:before="0" w:after="0"/>
    </w:pPr>
  </w:style>
  <w:style w:type="character" w:customStyle="1" w:styleId="FooterChar">
    <w:name w:val="Footer Char"/>
    <w:basedOn w:val="DefaultParagraphFont"/>
    <w:link w:val="Footer"/>
    <w:uiPriority w:val="99"/>
    <w:rsid w:val="005A6976"/>
    <w:rPr>
      <w:sz w:val="24"/>
    </w:rPr>
  </w:style>
  <w:style w:type="paragraph" w:customStyle="1" w:styleId="ESnumberedpara">
    <w:name w:val="ES numbered para"/>
    <w:basedOn w:val="Normal"/>
    <w:link w:val="ESnumberedparaChar"/>
    <w:qFormat/>
    <w:rsid w:val="00C757CE"/>
    <w:pPr>
      <w:spacing w:before="0" w:after="120"/>
    </w:pPr>
  </w:style>
  <w:style w:type="character" w:customStyle="1" w:styleId="ESnumberedparaChar">
    <w:name w:val="ES numbered para Char"/>
    <w:basedOn w:val="DefaultParagraphFont"/>
    <w:link w:val="ESnumberedpara"/>
    <w:rsid w:val="00C757CE"/>
    <w:rPr>
      <w:sz w:val="24"/>
    </w:rPr>
  </w:style>
  <w:style w:type="paragraph" w:customStyle="1" w:styleId="ESnumberedparablue">
    <w:name w:val="ES numbered para blue"/>
    <w:basedOn w:val="ESnumberedpara"/>
    <w:qFormat/>
    <w:rsid w:val="00C757CE"/>
    <w:rPr>
      <w:color w:val="4472C4" w:themeColor="accent5"/>
    </w:rPr>
  </w:style>
  <w:style w:type="paragraph" w:customStyle="1" w:styleId="ESnon-numberedpara">
    <w:name w:val="ES non-numbered para"/>
    <w:basedOn w:val="Normal"/>
    <w:qFormat/>
    <w:rsid w:val="00F8548F"/>
    <w:pPr>
      <w:spacing w:before="0" w:after="120"/>
      <w:ind w:left="709"/>
    </w:pPr>
  </w:style>
  <w:style w:type="paragraph" w:customStyle="1" w:styleId="ESnon-numberedparablue">
    <w:name w:val="ES non-numbered para blue"/>
    <w:basedOn w:val="ESnon-numberedpara"/>
    <w:qFormat/>
    <w:rsid w:val="00F8548F"/>
    <w:rPr>
      <w:color w:val="4472C4" w:themeColor="accent5"/>
    </w:rPr>
  </w:style>
  <w:style w:type="paragraph" w:customStyle="1" w:styleId="ESnon-numberedbullet">
    <w:name w:val="ES non-numbered bullet"/>
    <w:basedOn w:val="ESnon-numberedpara"/>
    <w:qFormat/>
    <w:rsid w:val="00462C15"/>
    <w:pPr>
      <w:numPr>
        <w:numId w:val="5"/>
      </w:numPr>
      <w:spacing w:after="240"/>
      <w:ind w:left="993" w:hanging="284"/>
      <w:contextualSpacing/>
    </w:pPr>
  </w:style>
  <w:style w:type="character" w:styleId="CommentReference">
    <w:name w:val="annotation reference"/>
    <w:aliases w:val="Table Title"/>
    <w:basedOn w:val="DefaultParagraphFont"/>
    <w:unhideWhenUsed/>
    <w:qFormat/>
    <w:rsid w:val="007B3EE4"/>
    <w:rPr>
      <w:sz w:val="16"/>
      <w:szCs w:val="16"/>
    </w:rPr>
  </w:style>
  <w:style w:type="paragraph" w:styleId="CommentText">
    <w:name w:val="annotation text"/>
    <w:basedOn w:val="Normal"/>
    <w:link w:val="CommentTextChar"/>
    <w:uiPriority w:val="99"/>
    <w:unhideWhenUsed/>
    <w:rsid w:val="007B3EE4"/>
    <w:rPr>
      <w:sz w:val="20"/>
      <w:szCs w:val="20"/>
    </w:rPr>
  </w:style>
  <w:style w:type="character" w:customStyle="1" w:styleId="CommentTextChar">
    <w:name w:val="Comment Text Char"/>
    <w:basedOn w:val="DefaultParagraphFont"/>
    <w:link w:val="CommentText"/>
    <w:uiPriority w:val="99"/>
    <w:rsid w:val="007B3EE4"/>
    <w:rPr>
      <w:rFonts w:ascii="Arial" w:hAnsi="Arial"/>
      <w:sz w:val="20"/>
      <w:szCs w:val="20"/>
    </w:rPr>
  </w:style>
  <w:style w:type="paragraph" w:styleId="CommentSubject">
    <w:name w:val="annotation subject"/>
    <w:basedOn w:val="CommentText"/>
    <w:next w:val="CommentText"/>
    <w:link w:val="CommentSubjectChar"/>
    <w:uiPriority w:val="9"/>
    <w:semiHidden/>
    <w:unhideWhenUsed/>
    <w:rsid w:val="007B3EE4"/>
    <w:rPr>
      <w:b/>
      <w:bCs/>
    </w:rPr>
  </w:style>
  <w:style w:type="character" w:customStyle="1" w:styleId="CommentSubjectChar">
    <w:name w:val="Comment Subject Char"/>
    <w:basedOn w:val="CommentTextChar"/>
    <w:link w:val="CommentSubject"/>
    <w:uiPriority w:val="9"/>
    <w:semiHidden/>
    <w:rsid w:val="007B3EE4"/>
    <w:rPr>
      <w:rFonts w:ascii="Arial" w:hAnsi="Arial"/>
      <w:b/>
      <w:bCs/>
      <w:sz w:val="20"/>
      <w:szCs w:val="20"/>
    </w:rPr>
  </w:style>
  <w:style w:type="paragraph" w:styleId="ListParagraph">
    <w:name w:val="List Paragraph"/>
    <w:aliases w:val="BulletPoints"/>
    <w:basedOn w:val="Normal"/>
    <w:link w:val="ListParagraphChar"/>
    <w:uiPriority w:val="72"/>
    <w:qFormat/>
    <w:rsid w:val="000503B8"/>
    <w:pPr>
      <w:ind w:left="720"/>
      <w:contextualSpacing/>
    </w:pPr>
  </w:style>
  <w:style w:type="paragraph" w:customStyle="1" w:styleId="KMC16-Tablecontent">
    <w:name w:val="KMC16 - Table content"/>
    <w:basedOn w:val="Normal"/>
    <w:link w:val="KMC16-TablecontentChar"/>
    <w:qFormat/>
    <w:rsid w:val="00784117"/>
    <w:pPr>
      <w:spacing w:before="40" w:after="40"/>
      <w:jc w:val="left"/>
    </w:pPr>
    <w:rPr>
      <w:rFonts w:ascii="Arial Narrow" w:eastAsia="Times New Roman" w:hAnsi="Arial Narrow" w:cs="Arial"/>
      <w:color w:val="000000"/>
      <w:sz w:val="20"/>
      <w:lang w:val="en-GB"/>
    </w:rPr>
  </w:style>
  <w:style w:type="character" w:customStyle="1" w:styleId="KMC16-TablecontentChar">
    <w:name w:val="KMC16 - Table content Char"/>
    <w:basedOn w:val="DefaultParagraphFont"/>
    <w:link w:val="KMC16-Tablecontent"/>
    <w:rsid w:val="00784117"/>
    <w:rPr>
      <w:rFonts w:ascii="Arial Narrow" w:eastAsia="Times New Roman" w:hAnsi="Arial Narrow" w:cs="Arial"/>
      <w:color w:val="000000"/>
      <w:sz w:val="20"/>
      <w:lang w:val="en-GB"/>
    </w:rPr>
  </w:style>
  <w:style w:type="table" w:customStyle="1" w:styleId="TableGridbeth1">
    <w:name w:val="Table Gridbeth1"/>
    <w:basedOn w:val="TableNormal"/>
    <w:next w:val="TableGrid"/>
    <w:uiPriority w:val="59"/>
    <w:rsid w:val="005E6CE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C16-Footnotes">
    <w:name w:val="KMC16 - Footnotes"/>
    <w:basedOn w:val="Normal"/>
    <w:qFormat/>
    <w:rsid w:val="003F5CC6"/>
    <w:pPr>
      <w:spacing w:before="40" w:after="40"/>
    </w:pPr>
    <w:rPr>
      <w:rFonts w:ascii="Arial" w:hAnsi="Arial"/>
      <w:sz w:val="18"/>
    </w:rPr>
  </w:style>
  <w:style w:type="paragraph" w:customStyle="1" w:styleId="KMC-TFNotes">
    <w:name w:val="KMC - TF Notes"/>
    <w:basedOn w:val="Normal"/>
    <w:link w:val="KMC-TFNotesChar"/>
    <w:semiHidden/>
    <w:qFormat/>
    <w:locked/>
    <w:rsid w:val="00362578"/>
    <w:pPr>
      <w:keepNext/>
      <w:spacing w:before="45" w:after="240"/>
      <w:contextualSpacing/>
    </w:pPr>
    <w:rPr>
      <w:rFonts w:ascii="Calibri" w:hAnsi="Calibri"/>
      <w:color w:val="000000" w:themeColor="text1"/>
      <w:sz w:val="16"/>
    </w:rPr>
  </w:style>
  <w:style w:type="character" w:customStyle="1" w:styleId="KMC-TFNotesChar">
    <w:name w:val="KMC - TF Notes Char"/>
    <w:basedOn w:val="DefaultParagraphFont"/>
    <w:link w:val="KMC-TFNotes"/>
    <w:semiHidden/>
    <w:rsid w:val="00362578"/>
    <w:rPr>
      <w:rFonts w:ascii="Calibri" w:hAnsi="Calibri"/>
      <w:color w:val="000000" w:themeColor="text1"/>
      <w:sz w:val="16"/>
    </w:rPr>
  </w:style>
  <w:style w:type="character" w:customStyle="1" w:styleId="COMBodyChar">
    <w:name w:val="COMBody Char"/>
    <w:basedOn w:val="DefaultParagraphFont"/>
    <w:link w:val="COMBody"/>
    <w:locked/>
    <w:rsid w:val="00A237C4"/>
    <w:rPr>
      <w:rFonts w:ascii="Calibri" w:eastAsia="Times New Roman" w:hAnsi="Calibri" w:cs="Arial"/>
      <w:sz w:val="24"/>
      <w:szCs w:val="20"/>
    </w:rPr>
  </w:style>
  <w:style w:type="paragraph" w:customStyle="1" w:styleId="COMBody">
    <w:name w:val="COMBody"/>
    <w:basedOn w:val="Normal"/>
    <w:link w:val="COMBodyChar"/>
    <w:qFormat/>
    <w:rsid w:val="00A237C4"/>
    <w:pPr>
      <w:widowControl w:val="0"/>
      <w:snapToGrid w:val="0"/>
      <w:spacing w:before="0" w:after="0"/>
    </w:pPr>
    <w:rPr>
      <w:rFonts w:ascii="Calibri" w:eastAsia="Times New Roman" w:hAnsi="Calibri" w:cs="Arial"/>
      <w:szCs w:val="20"/>
    </w:rPr>
  </w:style>
  <w:style w:type="table" w:customStyle="1" w:styleId="TableGridbeth2">
    <w:name w:val="Table Gridbeth2"/>
    <w:basedOn w:val="TableNormal"/>
    <w:next w:val="TableGrid"/>
    <w:uiPriority w:val="59"/>
    <w:rsid w:val="00EA48ED"/>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3">
    <w:name w:val="Table Gridbeth3"/>
    <w:basedOn w:val="TableNormal"/>
    <w:next w:val="TableGrid"/>
    <w:uiPriority w:val="59"/>
    <w:rsid w:val="00EA48ED"/>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4">
    <w:name w:val="Table Gridbeth4"/>
    <w:basedOn w:val="TableNormal"/>
    <w:next w:val="TableGrid"/>
    <w:uiPriority w:val="59"/>
    <w:rsid w:val="00EA48ED"/>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Tablecontent">
    <w:name w:val="Table content"/>
    <w:basedOn w:val="Normal"/>
    <w:link w:val="TablecontentChar"/>
    <w:qFormat/>
    <w:rsid w:val="001E20F5"/>
    <w:pPr>
      <w:spacing w:before="40" w:after="40"/>
    </w:pPr>
    <w:rPr>
      <w:rFonts w:ascii="Arial Narrow" w:hAnsi="Arial Narrow" w:cs="Arial"/>
      <w:sz w:val="20"/>
      <w:szCs w:val="20"/>
    </w:rPr>
  </w:style>
  <w:style w:type="character" w:customStyle="1" w:styleId="TablecontentChar">
    <w:name w:val="Table content Char"/>
    <w:basedOn w:val="DefaultParagraphFont"/>
    <w:link w:val="Tablecontent"/>
    <w:rsid w:val="001E20F5"/>
    <w:rPr>
      <w:rFonts w:ascii="Arial Narrow" w:hAnsi="Arial Narrow" w:cs="Arial"/>
      <w:sz w:val="20"/>
      <w:szCs w:val="20"/>
    </w:rPr>
  </w:style>
  <w:style w:type="paragraph" w:customStyle="1" w:styleId="EndNoteBibliography">
    <w:name w:val="EndNote Bibliography"/>
    <w:basedOn w:val="Normal"/>
    <w:link w:val="EndNoteBibliographyChar"/>
    <w:semiHidden/>
    <w:locked/>
    <w:rsid w:val="001A5615"/>
    <w:pPr>
      <w:spacing w:before="0"/>
      <w:jc w:val="left"/>
    </w:pPr>
    <w:rPr>
      <w:rFonts w:ascii="Arial" w:hAnsi="Arial" w:cs="Arial"/>
      <w:noProof/>
      <w:sz w:val="22"/>
      <w:lang w:val="en-US"/>
    </w:rPr>
  </w:style>
  <w:style w:type="character" w:customStyle="1" w:styleId="EndNoteBibliographyChar">
    <w:name w:val="EndNote Bibliography Char"/>
    <w:basedOn w:val="DefaultParagraphFont"/>
    <w:link w:val="EndNoteBibliography"/>
    <w:semiHidden/>
    <w:rsid w:val="001A5615"/>
    <w:rPr>
      <w:rFonts w:ascii="Arial" w:hAnsi="Arial" w:cs="Arial"/>
      <w:noProof/>
      <w:lang w:val="en-US"/>
    </w:rPr>
  </w:style>
  <w:style w:type="character" w:customStyle="1" w:styleId="ListParagraphChar">
    <w:name w:val="List Paragraph Char"/>
    <w:aliases w:val="BulletPoints Char"/>
    <w:basedOn w:val="DefaultParagraphFont"/>
    <w:link w:val="ListParagraph"/>
    <w:uiPriority w:val="72"/>
    <w:rsid w:val="004B470D"/>
    <w:rPr>
      <w:sz w:val="24"/>
    </w:rPr>
  </w:style>
  <w:style w:type="table" w:customStyle="1" w:styleId="TableGrid1">
    <w:name w:val="Table Grid1"/>
    <w:basedOn w:val="TableNormal"/>
    <w:next w:val="TableGrid"/>
    <w:uiPriority w:val="59"/>
    <w:rsid w:val="00081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C16-Text">
    <w:name w:val="KMC16 - Text"/>
    <w:basedOn w:val="Normal"/>
    <w:qFormat/>
    <w:rsid w:val="00DC6D2E"/>
    <w:pPr>
      <w:spacing w:after="240" w:line="360" w:lineRule="auto"/>
    </w:pPr>
    <w:rPr>
      <w:rFonts w:ascii="Arial" w:hAnsi="Arial"/>
      <w:color w:val="000000" w:themeColor="text1"/>
      <w:sz w:val="22"/>
    </w:rPr>
  </w:style>
  <w:style w:type="paragraph" w:customStyle="1" w:styleId="KMC16-Caption">
    <w:name w:val="KMC16 - Caption"/>
    <w:basedOn w:val="Normal"/>
    <w:qFormat/>
    <w:rsid w:val="00DC6D2E"/>
    <w:pPr>
      <w:keepNext/>
      <w:tabs>
        <w:tab w:val="left" w:pos="567"/>
      </w:tabs>
      <w:spacing w:before="240" w:after="40"/>
      <w:ind w:left="1588" w:hanging="1588"/>
      <w:contextualSpacing/>
      <w:jc w:val="left"/>
    </w:pPr>
    <w:rPr>
      <w:rFonts w:ascii="Arial" w:eastAsia="Times New Roman" w:hAnsi="Arial" w:cs="Times New Roman"/>
      <w:b/>
      <w:color w:val="000000"/>
      <w:sz w:val="20"/>
      <w:szCs w:val="20"/>
      <w:lang w:eastAsia="en-AU"/>
    </w:rPr>
  </w:style>
  <w:style w:type="paragraph" w:customStyle="1" w:styleId="KMC16-TableHeading">
    <w:name w:val="KMC16 - Table Heading"/>
    <w:basedOn w:val="Normal"/>
    <w:qFormat/>
    <w:rsid w:val="00DC6D2E"/>
    <w:pPr>
      <w:spacing w:before="40" w:after="40"/>
      <w:jc w:val="center"/>
    </w:pPr>
    <w:rPr>
      <w:rFonts w:ascii="Arial Narrow" w:eastAsia="Times New Roman" w:hAnsi="Arial Narrow" w:cs="Arial"/>
      <w:b/>
      <w:color w:val="000000"/>
      <w:sz w:val="20"/>
      <w:lang w:eastAsia="en-AU"/>
    </w:rPr>
  </w:style>
  <w:style w:type="paragraph" w:customStyle="1" w:styleId="KMC16-Footer">
    <w:name w:val="KMC16 - Footer"/>
    <w:basedOn w:val="Normal"/>
    <w:qFormat/>
    <w:rsid w:val="00DC6D2E"/>
    <w:pPr>
      <w:pBdr>
        <w:top w:val="single" w:sz="4" w:space="1" w:color="auto"/>
      </w:pBdr>
      <w:tabs>
        <w:tab w:val="center" w:pos="4147"/>
        <w:tab w:val="right" w:pos="9000"/>
      </w:tabs>
      <w:spacing w:before="0" w:after="0"/>
    </w:pPr>
    <w:rPr>
      <w:rFonts w:ascii="Calibri" w:hAnsi="Calibri"/>
      <w:b/>
      <w:color w:val="000000" w:themeColor="text1"/>
      <w:sz w:val="18"/>
    </w:rPr>
  </w:style>
  <w:style w:type="paragraph" w:styleId="BodyText">
    <w:name w:val="Body Text"/>
    <w:basedOn w:val="Normal"/>
    <w:link w:val="BodyTextChar"/>
    <w:uiPriority w:val="1"/>
    <w:qFormat/>
    <w:rsid w:val="00DC6D2E"/>
    <w:pPr>
      <w:autoSpaceDE w:val="0"/>
      <w:autoSpaceDN w:val="0"/>
      <w:adjustRightInd w:val="0"/>
      <w:spacing w:before="0" w:after="0"/>
      <w:ind w:left="19"/>
      <w:jc w:val="left"/>
    </w:pPr>
    <w:rPr>
      <w:rFonts w:ascii="Calibri" w:hAnsi="Calibri" w:cs="Calibri"/>
      <w:sz w:val="20"/>
      <w:szCs w:val="20"/>
    </w:rPr>
  </w:style>
  <w:style w:type="character" w:customStyle="1" w:styleId="BodyTextChar">
    <w:name w:val="Body Text Char"/>
    <w:basedOn w:val="DefaultParagraphFont"/>
    <w:link w:val="BodyText"/>
    <w:uiPriority w:val="1"/>
    <w:rsid w:val="00DC6D2E"/>
    <w:rPr>
      <w:rFonts w:ascii="Calibri" w:hAnsi="Calibri" w:cs="Calibri"/>
      <w:sz w:val="20"/>
      <w:szCs w:val="20"/>
    </w:rPr>
  </w:style>
  <w:style w:type="numbering" w:customStyle="1" w:styleId="NoList1">
    <w:name w:val="No List1"/>
    <w:next w:val="NoList"/>
    <w:uiPriority w:val="99"/>
    <w:semiHidden/>
    <w:unhideWhenUsed/>
    <w:rsid w:val="00DC6D2E"/>
  </w:style>
  <w:style w:type="table" w:customStyle="1" w:styleId="TableGridbeth5">
    <w:name w:val="Table Gridbeth5"/>
    <w:basedOn w:val="TableNormal"/>
    <w:next w:val="TableGrid"/>
    <w:uiPriority w:val="59"/>
    <w:rsid w:val="00DC6D2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1">
    <w:name w:val="Table Grid Light11"/>
    <w:basedOn w:val="TableNormal"/>
    <w:uiPriority w:val="40"/>
    <w:rsid w:val="00DC6D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1">
    <w:name w:val="Plain Table 211"/>
    <w:basedOn w:val="TableNormal"/>
    <w:uiPriority w:val="42"/>
    <w:rsid w:val="00DC6D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beth11">
    <w:name w:val="Table Gridbeth11"/>
    <w:basedOn w:val="TableNormal"/>
    <w:next w:val="TableGrid"/>
    <w:uiPriority w:val="59"/>
    <w:rsid w:val="00DC6D2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1">
    <w:name w:val="Table Gridbeth21"/>
    <w:basedOn w:val="TableNormal"/>
    <w:next w:val="TableGrid"/>
    <w:uiPriority w:val="59"/>
    <w:rsid w:val="00DC6D2E"/>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31">
    <w:name w:val="Table Gridbeth31"/>
    <w:basedOn w:val="TableNormal"/>
    <w:next w:val="TableGrid"/>
    <w:uiPriority w:val="59"/>
    <w:rsid w:val="00DC6D2E"/>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41">
    <w:name w:val="Table Gridbeth41"/>
    <w:basedOn w:val="TableNormal"/>
    <w:next w:val="TableGrid"/>
    <w:uiPriority w:val="59"/>
    <w:rsid w:val="00DC6D2E"/>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styleId="Caption">
    <w:name w:val="caption"/>
    <w:basedOn w:val="Normal"/>
    <w:next w:val="Normal"/>
    <w:uiPriority w:val="35"/>
    <w:unhideWhenUsed/>
    <w:qFormat/>
    <w:rsid w:val="002744AA"/>
    <w:pPr>
      <w:keepNext/>
      <w:spacing w:before="240" w:after="60"/>
    </w:pPr>
    <w:rPr>
      <w:rFonts w:ascii="Arial Narrow" w:eastAsia="Calibri" w:hAnsi="Arial Narrow" w:cs="Arial"/>
      <w:b/>
      <w:sz w:val="20"/>
    </w:rPr>
  </w:style>
  <w:style w:type="paragraph" w:styleId="FootnoteText">
    <w:name w:val="footnote text"/>
    <w:basedOn w:val="Normal"/>
    <w:link w:val="FootnoteTextChar"/>
    <w:uiPriority w:val="99"/>
    <w:semiHidden/>
    <w:unhideWhenUsed/>
    <w:rsid w:val="00F774B7"/>
    <w:pPr>
      <w:spacing w:before="0" w:after="0"/>
    </w:pPr>
    <w:rPr>
      <w:sz w:val="20"/>
      <w:szCs w:val="20"/>
    </w:rPr>
  </w:style>
  <w:style w:type="character" w:customStyle="1" w:styleId="FootnoteTextChar">
    <w:name w:val="Footnote Text Char"/>
    <w:basedOn w:val="DefaultParagraphFont"/>
    <w:link w:val="FootnoteText"/>
    <w:uiPriority w:val="99"/>
    <w:semiHidden/>
    <w:rsid w:val="00F774B7"/>
    <w:rPr>
      <w:sz w:val="20"/>
      <w:szCs w:val="20"/>
    </w:rPr>
  </w:style>
  <w:style w:type="paragraph" w:styleId="Subtitle">
    <w:name w:val="Subtitle"/>
    <w:basedOn w:val="Normal"/>
    <w:next w:val="Normal"/>
    <w:link w:val="SubtitleChar"/>
    <w:uiPriority w:val="9"/>
    <w:qFormat/>
    <w:rsid w:val="000A4A99"/>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9"/>
    <w:rsid w:val="000A4A99"/>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98977618">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26446600">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637147675">
      <w:bodyDiv w:val="1"/>
      <w:marLeft w:val="0"/>
      <w:marRight w:val="0"/>
      <w:marTop w:val="0"/>
      <w:marBottom w:val="0"/>
      <w:divBdr>
        <w:top w:val="none" w:sz="0" w:space="0" w:color="auto"/>
        <w:left w:val="none" w:sz="0" w:space="0" w:color="auto"/>
        <w:bottom w:val="none" w:sz="0" w:space="0" w:color="auto"/>
        <w:right w:val="none" w:sz="0" w:space="0" w:color="auto"/>
      </w:divBdr>
    </w:div>
    <w:div w:id="1135686204">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16974326">
      <w:bodyDiv w:val="1"/>
      <w:marLeft w:val="0"/>
      <w:marRight w:val="0"/>
      <w:marTop w:val="0"/>
      <w:marBottom w:val="0"/>
      <w:divBdr>
        <w:top w:val="none" w:sz="0" w:space="0" w:color="auto"/>
        <w:left w:val="none" w:sz="0" w:space="0" w:color="auto"/>
        <w:bottom w:val="none" w:sz="0" w:space="0" w:color="auto"/>
        <w:right w:val="none" w:sz="0" w:space="0" w:color="auto"/>
      </w:divBdr>
    </w:div>
    <w:div w:id="1547638551">
      <w:bodyDiv w:val="1"/>
      <w:marLeft w:val="0"/>
      <w:marRight w:val="0"/>
      <w:marTop w:val="0"/>
      <w:marBottom w:val="0"/>
      <w:divBdr>
        <w:top w:val="none" w:sz="0" w:space="0" w:color="auto"/>
        <w:left w:val="none" w:sz="0" w:space="0" w:color="auto"/>
        <w:bottom w:val="none" w:sz="0" w:space="0" w:color="auto"/>
        <w:right w:val="none" w:sz="0" w:space="0" w:color="auto"/>
      </w:divBdr>
    </w:div>
    <w:div w:id="1958297299">
      <w:bodyDiv w:val="1"/>
      <w:marLeft w:val="0"/>
      <w:marRight w:val="0"/>
      <w:marTop w:val="0"/>
      <w:marBottom w:val="0"/>
      <w:divBdr>
        <w:top w:val="none" w:sz="0" w:space="0" w:color="auto"/>
        <w:left w:val="none" w:sz="0" w:space="0" w:color="auto"/>
        <w:bottom w:val="none" w:sz="0" w:space="0" w:color="auto"/>
        <w:right w:val="none" w:sz="0" w:space="0" w:color="auto"/>
      </w:divBdr>
    </w:div>
    <w:div w:id="20902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ll890\Documents\PBAC%20submissions\2017\July%202017\Glatiramer%20Clinically%20isolated%20syndrome\Model%20trac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'Health states'!$B$2</c:f>
              <c:strCache>
                <c:ptCount val="1"/>
                <c:pt idx="0">
                  <c:v>CIS: Early</c:v>
                </c:pt>
              </c:strCache>
            </c:strRef>
          </c:tx>
          <c:spPr>
            <a:ln w="28575" cap="rnd">
              <a:solidFill>
                <a:schemeClr val="accent5"/>
              </a:solidFill>
              <a:prstDash val="sysDash"/>
              <a:round/>
            </a:ln>
            <a:effectLst/>
          </c:spPr>
          <c:marker>
            <c:symbol val="none"/>
          </c:marker>
          <c:cat>
            <c:numRef>
              <c:f>'Health states'!$A$3:$A$83</c:f>
              <c:numCache>
                <c:formatCode>General</c:formatCode>
                <c:ptCount val="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numCache>
            </c:numRef>
          </c:cat>
          <c:val>
            <c:numRef>
              <c:f>'Health states'!$B$3:$B$83</c:f>
              <c:numCache>
                <c:formatCode>General</c:formatCode>
                <c:ptCount val="81"/>
                <c:pt idx="0">
                  <c:v>1</c:v>
                </c:pt>
                <c:pt idx="1">
                  <c:v>0.66375102940267239</c:v>
                </c:pt>
                <c:pt idx="2">
                  <c:v>0.4405508047850672</c:v>
                </c:pt>
                <c:pt idx="3">
                  <c:v>0.35880272302321869</c:v>
                </c:pt>
                <c:pt idx="4">
                  <c:v>0.30561350133597326</c:v>
                </c:pt>
                <c:pt idx="5">
                  <c:v>0.26676718453462717</c:v>
                </c:pt>
                <c:pt idx="6">
                  <c:v>0.23662982747354097</c:v>
                </c:pt>
                <c:pt idx="7">
                  <c:v>0.21233956870929244</c:v>
                </c:pt>
                <c:pt idx="8">
                  <c:v>0.19223323727886957</c:v>
                </c:pt>
                <c:pt idx="9">
                  <c:v>0.17525672052976915</c:v>
                </c:pt>
                <c:pt idx="10">
                  <c:v>0.16069968932860704</c:v>
                </c:pt>
                <c:pt idx="11">
                  <c:v>0.1480612781761671</c:v>
                </c:pt>
                <c:pt idx="12">
                  <c:v>0.13697546283656559</c:v>
                </c:pt>
                <c:pt idx="13">
                  <c:v>0.12716713931510576</c:v>
                </c:pt>
                <c:pt idx="14">
                  <c:v>0.11842465123518188</c:v>
                </c:pt>
                <c:pt idx="15">
                  <c:v>0.11058189367222016</c:v>
                </c:pt>
                <c:pt idx="16">
                  <c:v>0.10350634946127368</c:v>
                </c:pt>
                <c:pt idx="17">
                  <c:v>9.7090851065236725E-2</c:v>
                </c:pt>
                <c:pt idx="18">
                  <c:v>9.1247606150407001E-2</c:v>
                </c:pt>
                <c:pt idx="19">
                  <c:v>8.5903833759420956E-2</c:v>
                </c:pt>
                <c:pt idx="20">
                  <c:v>8.0998686600347508E-2</c:v>
                </c:pt>
                <c:pt idx="21">
                  <c:v>7.6480888169960279E-2</c:v>
                </c:pt>
                <c:pt idx="22">
                  <c:v>7.2306856516099208E-2</c:v>
                </c:pt>
                <c:pt idx="23">
                  <c:v>6.8439288186908906E-2</c:v>
                </c:pt>
                <c:pt idx="24">
                  <c:v>6.4846104293171322E-2</c:v>
                </c:pt>
                <c:pt idx="25">
                  <c:v>6.1499680916820981E-2</c:v>
                </c:pt>
                <c:pt idx="26">
                  <c:v>5.8375539258855781E-2</c:v>
                </c:pt>
                <c:pt idx="27">
                  <c:v>5.5451819954370714E-2</c:v>
                </c:pt>
                <c:pt idx="28">
                  <c:v>5.2708999667842094E-2</c:v>
                </c:pt>
                <c:pt idx="29">
                  <c:v>5.0129664095721303E-2</c:v>
                </c:pt>
                <c:pt idx="30">
                  <c:v>4.7698555743754339E-2</c:v>
                </c:pt>
                <c:pt idx="31">
                  <c:v>4.5402297555050375E-2</c:v>
                </c:pt>
                <c:pt idx="32">
                  <c:v>4.3229001162696942E-2</c:v>
                </c:pt>
                <c:pt idx="33">
                  <c:v>4.1167867598051404E-2</c:v>
                </c:pt>
                <c:pt idx="34">
                  <c:v>3.920898565055677E-2</c:v>
                </c:pt>
                <c:pt idx="35">
                  <c:v>3.7343246677721875E-2</c:v>
                </c:pt>
                <c:pt idx="36">
                  <c:v>3.5562322673218662E-2</c:v>
                </c:pt>
                <c:pt idx="37">
                  <c:v>3.3858457432779245E-2</c:v>
                </c:pt>
                <c:pt idx="38">
                  <c:v>3.2224195966487658E-2</c:v>
                </c:pt>
                <c:pt idx="39">
                  <c:v>3.06523709124857E-2</c:v>
                </c:pt>
                <c:pt idx="40">
                  <c:v>2.913619488830892E-2</c:v>
                </c:pt>
                <c:pt idx="41">
                  <c:v>2.7669334620913665E-2</c:v>
                </c:pt>
                <c:pt idx="42">
                  <c:v>2.624592824320816E-2</c:v>
                </c:pt>
                <c:pt idx="43">
                  <c:v>2.4860712393263616E-2</c:v>
                </c:pt>
                <c:pt idx="44">
                  <c:v>2.3509016883627661E-2</c:v>
                </c:pt>
                <c:pt idx="45">
                  <c:v>2.2186813854692077E-2</c:v>
                </c:pt>
                <c:pt idx="46">
                  <c:v>2.0890427246518444E-2</c:v>
                </c:pt>
                <c:pt idx="47">
                  <c:v>1.9615944318529428E-2</c:v>
                </c:pt>
                <c:pt idx="48">
                  <c:v>1.8359377254314309E-2</c:v>
                </c:pt>
                <c:pt idx="49">
                  <c:v>1.7116928588513155E-2</c:v>
                </c:pt>
                <c:pt idx="50">
                  <c:v>1.5885446468099203E-2</c:v>
                </c:pt>
                <c:pt idx="51">
                  <c:v>1.4662878897373244E-2</c:v>
                </c:pt>
                <c:pt idx="52">
                  <c:v>1.344868285035173E-2</c:v>
                </c:pt>
                <c:pt idx="53">
                  <c:v>1.2244157641459625E-2</c:v>
                </c:pt>
                <c:pt idx="54">
                  <c:v>1.1052713915846243E-2</c:v>
                </c:pt>
                <c:pt idx="55">
                  <c:v>9.879964251793865E-3</c:v>
                </c:pt>
                <c:pt idx="56">
                  <c:v>8.7336819389787421E-3</c:v>
                </c:pt>
                <c:pt idx="57">
                  <c:v>7.6235598844487324E-3</c:v>
                </c:pt>
                <c:pt idx="58">
                  <c:v>6.5607425227681123E-3</c:v>
                </c:pt>
                <c:pt idx="59">
                  <c:v>5.5571522350990844E-3</c:v>
                </c:pt>
                <c:pt idx="60">
                  <c:v>4.6246859325712372E-3</c:v>
                </c:pt>
                <c:pt idx="61">
                  <c:v>3.7744682968757037E-3</c:v>
                </c:pt>
                <c:pt idx="62">
                  <c:v>3.0162712146764468E-3</c:v>
                </c:pt>
                <c:pt idx="63">
                  <c:v>2.3572991576453462E-3</c:v>
                </c:pt>
                <c:pt idx="64">
                  <c:v>1.8004923925039728E-3</c:v>
                </c:pt>
                <c:pt idx="65">
                  <c:v>1.3437431393289137E-3</c:v>
                </c:pt>
                <c:pt idx="66">
                  <c:v>9.8021197490444681E-4</c:v>
                </c:pt>
                <c:pt idx="67">
                  <c:v>6.9943563393991455E-4</c:v>
                </c:pt>
                <c:pt idx="68">
                  <c:v>4.8883170256897881E-4</c:v>
                </c:pt>
                <c:pt idx="69">
                  <c:v>3.35064765327372E-4</c:v>
                </c:pt>
                <c:pt idx="70">
                  <c:v>2.2516450203956872E-4</c:v>
                </c:pt>
                <c:pt idx="71">
                  <c:v>1.4821419074043075E-4</c:v>
                </c:pt>
                <c:pt idx="72">
                  <c:v>9.5586317847027753E-5</c:v>
                </c:pt>
                <c:pt idx="73">
                  <c:v>6.0392838017153467E-5</c:v>
                </c:pt>
                <c:pt idx="74">
                  <c:v>3.7369676843471042E-5</c:v>
                </c:pt>
                <c:pt idx="75">
                  <c:v>2.2652889410066303E-5</c:v>
                </c:pt>
                <c:pt idx="76">
                  <c:v>1.3456054971863983E-5</c:v>
                </c:pt>
                <c:pt idx="77">
                  <c:v>7.8349208607251127E-6</c:v>
                </c:pt>
                <c:pt idx="78">
                  <c:v>4.4731969555872072E-6</c:v>
                </c:pt>
                <c:pt idx="79">
                  <c:v>2.5146401480684762E-6</c:v>
                </c:pt>
                <c:pt idx="80">
                  <c:v>1.4138823215017894E-6</c:v>
                </c:pt>
              </c:numCache>
            </c:numRef>
          </c:val>
          <c:smooth val="0"/>
          <c:extLst xmlns:c16r2="http://schemas.microsoft.com/office/drawing/2015/06/chart">
            <c:ext xmlns:c16="http://schemas.microsoft.com/office/drawing/2014/chart" uri="{C3380CC4-5D6E-409C-BE32-E72D297353CC}">
              <c16:uniqueId val="{00000000-8DD0-42DF-88C3-9D7B8C7BBE28}"/>
            </c:ext>
          </c:extLst>
        </c:ser>
        <c:ser>
          <c:idx val="1"/>
          <c:order val="1"/>
          <c:tx>
            <c:strRef>
              <c:f>'Health states'!$C$2</c:f>
              <c:strCache>
                <c:ptCount val="1"/>
                <c:pt idx="0">
                  <c:v>RRMS: Early</c:v>
                </c:pt>
              </c:strCache>
            </c:strRef>
          </c:tx>
          <c:spPr>
            <a:ln w="28575" cap="rnd">
              <a:solidFill>
                <a:schemeClr val="accent6"/>
              </a:solidFill>
              <a:prstDash val="sysDash"/>
              <a:round/>
            </a:ln>
            <a:effectLst/>
          </c:spPr>
          <c:marker>
            <c:symbol val="none"/>
          </c:marker>
          <c:cat>
            <c:numRef>
              <c:f>'Health states'!$A$3:$A$83</c:f>
              <c:numCache>
                <c:formatCode>General</c:formatCode>
                <c:ptCount val="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numCache>
            </c:numRef>
          </c:cat>
          <c:val>
            <c:numRef>
              <c:f>'Health states'!$C$3:$C$83</c:f>
              <c:numCache>
                <c:formatCode>General</c:formatCode>
                <c:ptCount val="81"/>
                <c:pt idx="0">
                  <c:v>0</c:v>
                </c:pt>
                <c:pt idx="1">
                  <c:v>0.33570458339732751</c:v>
                </c:pt>
                <c:pt idx="2">
                  <c:v>0.55011380209449801</c:v>
                </c:pt>
                <c:pt idx="3">
                  <c:v>0.61558832257964002</c:v>
                </c:pt>
                <c:pt idx="4">
                  <c:v>0.64718692209513862</c:v>
                </c:pt>
                <c:pt idx="5">
                  <c:v>0.65955010397872382</c:v>
                </c:pt>
                <c:pt idx="6">
                  <c:v>0.65881656648702869</c:v>
                </c:pt>
                <c:pt idx="7">
                  <c:v>0.64851325550899253</c:v>
                </c:pt>
                <c:pt idx="8">
                  <c:v>0.63107373784540621</c:v>
                </c:pt>
                <c:pt idx="9">
                  <c:v>0.60835721470696658</c:v>
                </c:pt>
                <c:pt idx="10">
                  <c:v>0.58185650029272018</c:v>
                </c:pt>
                <c:pt idx="11">
                  <c:v>0.55279434031793351</c:v>
                </c:pt>
                <c:pt idx="12">
                  <c:v>0.52217375399962307</c:v>
                </c:pt>
                <c:pt idx="13">
                  <c:v>0.4908108589459837</c:v>
                </c:pt>
                <c:pt idx="14">
                  <c:v>0.45935943192573275</c:v>
                </c:pt>
                <c:pt idx="15">
                  <c:v>0.4283320354059495</c:v>
                </c:pt>
                <c:pt idx="16">
                  <c:v>0.39811987313083913</c:v>
                </c:pt>
                <c:pt idx="17">
                  <c:v>0.36901154591012636</c:v>
                </c:pt>
                <c:pt idx="18">
                  <c:v>0.34120990260742329</c:v>
                </c:pt>
                <c:pt idx="19">
                  <c:v>0.31484732096518619</c:v>
                </c:pt>
                <c:pt idx="20">
                  <c:v>0.28999990306054374</c:v>
                </c:pt>
                <c:pt idx="21">
                  <c:v>0.26669956078070822</c:v>
                </c:pt>
                <c:pt idx="22">
                  <c:v>0.24494401536789312</c:v>
                </c:pt>
                <c:pt idx="23">
                  <c:v>0.22470527905805432</c:v>
                </c:pt>
                <c:pt idx="24">
                  <c:v>0.20593677329090987</c:v>
                </c:pt>
                <c:pt idx="25">
                  <c:v>0.18857921818583115</c:v>
                </c:pt>
                <c:pt idx="26">
                  <c:v>0.17256317144707561</c:v>
                </c:pt>
                <c:pt idx="27">
                  <c:v>0.15781284237997018</c:v>
                </c:pt>
                <c:pt idx="28">
                  <c:v>0.14424945088826877</c:v>
                </c:pt>
                <c:pt idx="29">
                  <c:v>0.13179374169372068</c:v>
                </c:pt>
                <c:pt idx="30">
                  <c:v>0.12036839855360811</c:v>
                </c:pt>
                <c:pt idx="31">
                  <c:v>0.10989890799319664</c:v>
                </c:pt>
                <c:pt idx="32">
                  <c:v>0.10031375624367184</c:v>
                </c:pt>
                <c:pt idx="33">
                  <c:v>9.154440013489952E-2</c:v>
                </c:pt>
                <c:pt idx="34">
                  <c:v>8.3525538050636797E-2</c:v>
                </c:pt>
                <c:pt idx="35">
                  <c:v>7.6195448347152153E-2</c:v>
                </c:pt>
                <c:pt idx="36">
                  <c:v>6.9496274075229805E-2</c:v>
                </c:pt>
                <c:pt idx="37">
                  <c:v>6.3373796792849393E-2</c:v>
                </c:pt>
                <c:pt idx="38">
                  <c:v>5.7777069678529094E-2</c:v>
                </c:pt>
                <c:pt idx="39">
                  <c:v>5.2658507785349362E-2</c:v>
                </c:pt>
                <c:pt idx="40">
                  <c:v>4.7974065894720114E-2</c:v>
                </c:pt>
                <c:pt idx="41">
                  <c:v>4.3683279522983065E-2</c:v>
                </c:pt>
                <c:pt idx="42">
                  <c:v>3.9749144103539753E-2</c:v>
                </c:pt>
                <c:pt idx="43">
                  <c:v>3.6138118977823264E-2</c:v>
                </c:pt>
                <c:pt idx="44">
                  <c:v>3.2819886233878708E-2</c:v>
                </c:pt>
                <c:pt idx="45">
                  <c:v>2.9767182865980509E-2</c:v>
                </c:pt>
                <c:pt idx="46">
                  <c:v>2.6955183648996069E-2</c:v>
                </c:pt>
                <c:pt idx="47">
                  <c:v>2.4360608820383031E-2</c:v>
                </c:pt>
                <c:pt idx="48">
                  <c:v>2.1961891464883525E-2</c:v>
                </c:pt>
                <c:pt idx="49">
                  <c:v>1.9739403580447994E-2</c:v>
                </c:pt>
                <c:pt idx="50">
                  <c:v>1.7675820303262584E-2</c:v>
                </c:pt>
                <c:pt idx="51">
                  <c:v>1.5756383379233494E-2</c:v>
                </c:pt>
                <c:pt idx="52">
                  <c:v>1.3969041159243325E-2</c:v>
                </c:pt>
                <c:pt idx="53">
                  <c:v>1.2304464198706828E-2</c:v>
                </c:pt>
                <c:pt idx="54">
                  <c:v>1.0755978269374973E-2</c:v>
                </c:pt>
                <c:pt idx="55">
                  <c:v>9.3193289312609607E-3</c:v>
                </c:pt>
                <c:pt idx="56">
                  <c:v>7.9923591830517553E-3</c:v>
                </c:pt>
                <c:pt idx="57">
                  <c:v>6.7745607976170737E-3</c:v>
                </c:pt>
                <c:pt idx="58">
                  <c:v>5.6665028759641098E-3</c:v>
                </c:pt>
                <c:pt idx="59">
                  <c:v>4.6691801355454692E-3</c:v>
                </c:pt>
                <c:pt idx="60">
                  <c:v>3.7833570749449489E-3</c:v>
                </c:pt>
                <c:pt idx="61">
                  <c:v>3.0090555242639522E-3</c:v>
                </c:pt>
                <c:pt idx="62">
                  <c:v>2.3452429981680751E-3</c:v>
                </c:pt>
                <c:pt idx="63">
                  <c:v>1.7890779627493976E-3</c:v>
                </c:pt>
                <c:pt idx="64">
                  <c:v>1.3348939598327651E-3</c:v>
                </c:pt>
                <c:pt idx="65">
                  <c:v>9.7397027076801196E-4</c:v>
                </c:pt>
                <c:pt idx="66">
                  <c:v>6.9509688265262154E-4</c:v>
                </c:pt>
                <c:pt idx="67">
                  <c:v>4.8560097457579668E-4</c:v>
                </c:pt>
                <c:pt idx="68">
                  <c:v>3.3250383699674247E-4</c:v>
                </c:pt>
                <c:pt idx="69">
                  <c:v>2.2343902753490955E-4</c:v>
                </c:pt>
                <c:pt idx="70">
                  <c:v>1.4729876277613544E-4</c:v>
                </c:pt>
                <c:pt idx="71">
                  <c:v>9.5174883733969041E-5</c:v>
                </c:pt>
                <c:pt idx="72">
                  <c:v>6.0285782904436759E-5</c:v>
                </c:pt>
                <c:pt idx="73">
                  <c:v>3.7431167467416766E-5</c:v>
                </c:pt>
                <c:pt idx="74">
                  <c:v>2.2773375064481677E-5</c:v>
                </c:pt>
                <c:pt idx="75">
                  <c:v>1.3580402775426059E-5</c:v>
                </c:pt>
                <c:pt idx="76">
                  <c:v>7.9395975837359128E-6</c:v>
                </c:pt>
                <c:pt idx="77">
                  <c:v>4.5520595333807985E-6</c:v>
                </c:pt>
                <c:pt idx="78">
                  <c:v>2.5602086708914001E-6</c:v>
                </c:pt>
                <c:pt idx="79">
                  <c:v>1.4184028307686631E-6</c:v>
                </c:pt>
                <c:pt idx="80">
                  <c:v>7.8627977402869726E-7</c:v>
                </c:pt>
              </c:numCache>
            </c:numRef>
          </c:val>
          <c:smooth val="0"/>
          <c:extLst xmlns:c16r2="http://schemas.microsoft.com/office/drawing/2015/06/chart">
            <c:ext xmlns:c16="http://schemas.microsoft.com/office/drawing/2014/chart" uri="{C3380CC4-5D6E-409C-BE32-E72D297353CC}">
              <c16:uniqueId val="{00000001-8DD0-42DF-88C3-9D7B8C7BBE28}"/>
            </c:ext>
          </c:extLst>
        </c:ser>
        <c:ser>
          <c:idx val="2"/>
          <c:order val="2"/>
          <c:tx>
            <c:strRef>
              <c:f>'Health states'!$D$2</c:f>
              <c:strCache>
                <c:ptCount val="1"/>
                <c:pt idx="0">
                  <c:v>SPMS: Early</c:v>
                </c:pt>
              </c:strCache>
            </c:strRef>
          </c:tx>
          <c:spPr>
            <a:ln w="28575" cap="rnd">
              <a:solidFill>
                <a:schemeClr val="accent3"/>
              </a:solidFill>
              <a:prstDash val="sysDash"/>
              <a:round/>
            </a:ln>
            <a:effectLst/>
          </c:spPr>
          <c:marker>
            <c:symbol val="none"/>
          </c:marker>
          <c:cat>
            <c:numRef>
              <c:f>'Health states'!$A$3:$A$83</c:f>
              <c:numCache>
                <c:formatCode>General</c:formatCode>
                <c:ptCount val="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numCache>
            </c:numRef>
          </c:cat>
          <c:val>
            <c:numRef>
              <c:f>'Health states'!$D$3:$D$83</c:f>
              <c:numCache>
                <c:formatCode>General</c:formatCode>
                <c:ptCount val="81"/>
                <c:pt idx="0">
                  <c:v>0</c:v>
                </c:pt>
                <c:pt idx="1">
                  <c:v>0</c:v>
                </c:pt>
                <c:pt idx="2">
                  <c:v>8.2137569385567696E-3</c:v>
                </c:pt>
                <c:pt idx="3">
                  <c:v>2.3874592042824404E-2</c:v>
                </c:pt>
                <c:pt idx="4">
                  <c:v>4.4814410904358414E-2</c:v>
                </c:pt>
                <c:pt idx="5">
                  <c:v>7.0605810669754174E-2</c:v>
                </c:pt>
                <c:pt idx="6">
                  <c:v>0.10073986919131372</c:v>
                </c:pt>
                <c:pt idx="7">
                  <c:v>0.13454629000505927</c:v>
                </c:pt>
                <c:pt idx="8">
                  <c:v>0.17124948975223764</c:v>
                </c:pt>
                <c:pt idx="9">
                  <c:v>0.21003863974487544</c:v>
                </c:pt>
                <c:pt idx="10">
                  <c:v>0.25012316739508034</c:v>
                </c:pt>
                <c:pt idx="11">
                  <c:v>0.29077037768734976</c:v>
                </c:pt>
                <c:pt idx="12">
                  <c:v>0.33132688980193287</c:v>
                </c:pt>
                <c:pt idx="13">
                  <c:v>0.37122826326489494</c:v>
                </c:pt>
                <c:pt idx="14">
                  <c:v>0.40999961006347851</c:v>
                </c:pt>
                <c:pt idx="15">
                  <c:v>0.44725009528154663</c:v>
                </c:pt>
                <c:pt idx="16">
                  <c:v>0.48266420604719962</c:v>
                </c:pt>
                <c:pt idx="17">
                  <c:v>0.51599181102430525</c:v>
                </c:pt>
                <c:pt idx="18">
                  <c:v>0.54703755839831547</c:v>
                </c:pt>
                <c:pt idx="19">
                  <c:v>0.57565081379515548</c:v>
                </c:pt>
                <c:pt idx="20">
                  <c:v>0.60171793584500965</c:v>
                </c:pt>
                <c:pt idx="21">
                  <c:v>0.6251560013479901</c:v>
                </c:pt>
                <c:pt idx="22">
                  <c:v>0.64590756176542941</c:v>
                </c:pt>
                <c:pt idx="23">
                  <c:v>0.66393705762293209</c:v>
                </c:pt>
                <c:pt idx="24">
                  <c:v>0.67922896668847876</c:v>
                </c:pt>
                <c:pt idx="25">
                  <c:v>0.69178767176489353</c:v>
                </c:pt>
                <c:pt idx="26">
                  <c:v>0.70162980353021598</c:v>
                </c:pt>
                <c:pt idx="27">
                  <c:v>0.70878240250115043</c:v>
                </c:pt>
                <c:pt idx="28">
                  <c:v>0.71328331214679885</c:v>
                </c:pt>
                <c:pt idx="29">
                  <c:v>0.71518207621600893</c:v>
                </c:pt>
                <c:pt idx="30">
                  <c:v>0.71454460847134671</c:v>
                </c:pt>
                <c:pt idx="31">
                  <c:v>0.71145336084605248</c:v>
                </c:pt>
                <c:pt idx="32">
                  <c:v>0.70600458371674191</c:v>
                </c:pt>
                <c:pt idx="33">
                  <c:v>0.69830391839154371</c:v>
                </c:pt>
                <c:pt idx="34">
                  <c:v>0.68846397337392362</c:v>
                </c:pt>
                <c:pt idx="35">
                  <c:v>0.6766033565345726</c:v>
                </c:pt>
                <c:pt idx="36">
                  <c:v>0.66284667429341615</c:v>
                </c:pt>
                <c:pt idx="37">
                  <c:v>0.64732093437117522</c:v>
                </c:pt>
                <c:pt idx="38">
                  <c:v>0.63015019851084952</c:v>
                </c:pt>
                <c:pt idx="39">
                  <c:v>0.61145481289054415</c:v>
                </c:pt>
                <c:pt idx="40">
                  <c:v>0.59135299612180303</c:v>
                </c:pt>
                <c:pt idx="41">
                  <c:v>0.56996243282210379</c:v>
                </c:pt>
                <c:pt idx="42">
                  <c:v>0.54740090984153378</c:v>
                </c:pt>
                <c:pt idx="43">
                  <c:v>0.52378931503871407</c:v>
                </c:pt>
                <c:pt idx="44">
                  <c:v>0.49925193191039252</c:v>
                </c:pt>
                <c:pt idx="45">
                  <c:v>0.47391776212629905</c:v>
                </c:pt>
                <c:pt idx="46">
                  <c:v>0.44791444028702032</c:v>
                </c:pt>
                <c:pt idx="47">
                  <c:v>0.42135548811459156</c:v>
                </c:pt>
                <c:pt idx="48">
                  <c:v>0.3943436681324019</c:v>
                </c:pt>
                <c:pt idx="49">
                  <c:v>0.36697683841576983</c:v>
                </c:pt>
                <c:pt idx="50">
                  <c:v>0.33935792059651526</c:v>
                </c:pt>
                <c:pt idx="51">
                  <c:v>0.31160455060443915</c:v>
                </c:pt>
                <c:pt idx="52">
                  <c:v>0.28385715109044007</c:v>
                </c:pt>
                <c:pt idx="53">
                  <c:v>0.25628456640074115</c:v>
                </c:pt>
                <c:pt idx="54">
                  <c:v>0.22908741563806179</c:v>
                </c:pt>
                <c:pt idx="55">
                  <c:v>0.20249683865626161</c:v>
                </c:pt>
                <c:pt idx="56">
                  <c:v>0.17676987762973906</c:v>
                </c:pt>
                <c:pt idx="57">
                  <c:v>0.1521804913119571</c:v>
                </c:pt>
                <c:pt idx="58">
                  <c:v>0.12900624390176924</c:v>
                </c:pt>
                <c:pt idx="59">
                  <c:v>0.10751181228199526</c:v>
                </c:pt>
                <c:pt idx="60">
                  <c:v>8.7931491853998123E-2</c:v>
                </c:pt>
                <c:pt idx="61">
                  <c:v>7.0454760319838799E-2</c:v>
                </c:pt>
                <c:pt idx="62">
                  <c:v>5.5216976191097875E-2</c:v>
                </c:pt>
                <c:pt idx="63">
                  <c:v>4.2280542281399103E-2</c:v>
                </c:pt>
                <c:pt idx="64">
                  <c:v>3.1610892514942313E-2</c:v>
                </c:pt>
                <c:pt idx="65">
                  <c:v>2.3072616566200393E-2</c:v>
                </c:pt>
                <c:pt idx="66">
                  <c:v>1.6446374993118486E-2</c:v>
                </c:pt>
                <c:pt idx="67">
                  <c:v>1.1458307664868522E-2</c:v>
                </c:pt>
                <c:pt idx="68">
                  <c:v>7.8131392893776228E-3</c:v>
                </c:pt>
                <c:pt idx="69">
                  <c:v>5.2212792335218352E-3</c:v>
                </c:pt>
                <c:pt idx="70">
                  <c:v>3.4185003245837927E-3</c:v>
                </c:pt>
                <c:pt idx="71">
                  <c:v>2.1909643816931919E-3</c:v>
                </c:pt>
                <c:pt idx="72">
                  <c:v>1.3749587990929107E-3</c:v>
                </c:pt>
                <c:pt idx="73">
                  <c:v>8.4485532175076886E-4</c:v>
                </c:pt>
                <c:pt idx="74">
                  <c:v>5.0814693797332651E-4</c:v>
                </c:pt>
                <c:pt idx="75">
                  <c:v>2.9926229120697825E-4</c:v>
                </c:pt>
                <c:pt idx="76">
                  <c:v>1.7262545716033417E-4</c:v>
                </c:pt>
                <c:pt idx="77">
                  <c:v>9.7565277808675117E-5</c:v>
                </c:pt>
                <c:pt idx="78">
                  <c:v>5.4048229410227036E-5</c:v>
                </c:pt>
                <c:pt idx="79">
                  <c:v>2.947035018715246E-5</c:v>
                </c:pt>
                <c:pt idx="80">
                  <c:v>1.6066663045517005E-5</c:v>
                </c:pt>
              </c:numCache>
            </c:numRef>
          </c:val>
          <c:smooth val="0"/>
          <c:extLst xmlns:c16r2="http://schemas.microsoft.com/office/drawing/2015/06/chart">
            <c:ext xmlns:c16="http://schemas.microsoft.com/office/drawing/2014/chart" uri="{C3380CC4-5D6E-409C-BE32-E72D297353CC}">
              <c16:uniqueId val="{00000002-8DD0-42DF-88C3-9D7B8C7BBE28}"/>
            </c:ext>
          </c:extLst>
        </c:ser>
        <c:ser>
          <c:idx val="3"/>
          <c:order val="3"/>
          <c:tx>
            <c:strRef>
              <c:f>'Health states'!$E$2</c:f>
              <c:strCache>
                <c:ptCount val="1"/>
                <c:pt idx="0">
                  <c:v>Dead: Early</c:v>
                </c:pt>
              </c:strCache>
            </c:strRef>
          </c:tx>
          <c:spPr>
            <a:ln w="28575" cap="rnd">
              <a:solidFill>
                <a:srgbClr val="FF0000"/>
              </a:solidFill>
              <a:prstDash val="sysDash"/>
              <a:round/>
            </a:ln>
            <a:effectLst/>
          </c:spPr>
          <c:marker>
            <c:symbol val="none"/>
          </c:marker>
          <c:cat>
            <c:numRef>
              <c:f>'Health states'!$A$3:$A$83</c:f>
              <c:numCache>
                <c:formatCode>General</c:formatCode>
                <c:ptCount val="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numCache>
            </c:numRef>
          </c:cat>
          <c:val>
            <c:numRef>
              <c:f>'Health states'!$E$3:$E$83</c:f>
              <c:numCache>
                <c:formatCode>General</c:formatCode>
                <c:ptCount val="81"/>
                <c:pt idx="0">
                  <c:v>0</c:v>
                </c:pt>
                <c:pt idx="1">
                  <c:v>5.4438719999999998E-4</c:v>
                </c:pt>
                <c:pt idx="2">
                  <c:v>1.1216361818778514E-3</c:v>
                </c:pt>
                <c:pt idx="3">
                  <c:v>1.7343623543166536E-3</c:v>
                </c:pt>
                <c:pt idx="4">
                  <c:v>2.3851656645295545E-3</c:v>
                </c:pt>
                <c:pt idx="5">
                  <c:v>3.0769008168945919E-3</c:v>
                </c:pt>
                <c:pt idx="6">
                  <c:v>3.8137368481164368E-3</c:v>
                </c:pt>
                <c:pt idx="7">
                  <c:v>4.60088577665556E-3</c:v>
                </c:pt>
                <c:pt idx="8">
                  <c:v>5.4435351234864704E-3</c:v>
                </c:pt>
                <c:pt idx="9">
                  <c:v>6.3474250183887517E-3</c:v>
                </c:pt>
                <c:pt idx="10">
                  <c:v>7.3206429835922428E-3</c:v>
                </c:pt>
                <c:pt idx="11">
                  <c:v>8.3740038185495386E-3</c:v>
                </c:pt>
                <c:pt idx="12">
                  <c:v>9.5238933618781753E-3</c:v>
                </c:pt>
                <c:pt idx="13">
                  <c:v>1.0793738474015482E-2</c:v>
                </c:pt>
                <c:pt idx="14">
                  <c:v>1.2216306775606636E-2</c:v>
                </c:pt>
                <c:pt idx="15">
                  <c:v>1.3835975640283542E-2</c:v>
                </c:pt>
                <c:pt idx="16">
                  <c:v>1.5709571360687478E-2</c:v>
                </c:pt>
                <c:pt idx="17">
                  <c:v>1.7905792000331638E-2</c:v>
                </c:pt>
                <c:pt idx="18">
                  <c:v>2.050493284385416E-2</c:v>
                </c:pt>
                <c:pt idx="19">
                  <c:v>2.3598031480237393E-2</c:v>
                </c:pt>
                <c:pt idx="20">
                  <c:v>2.72834744940991E-2</c:v>
                </c:pt>
                <c:pt idx="21">
                  <c:v>3.166354970134138E-2</c:v>
                </c:pt>
                <c:pt idx="22">
                  <c:v>3.6841566350578288E-2</c:v>
                </c:pt>
                <c:pt idx="23">
                  <c:v>4.2918375132104759E-2</c:v>
                </c:pt>
                <c:pt idx="24">
                  <c:v>4.9988155727440156E-2</c:v>
                </c:pt>
                <c:pt idx="25">
                  <c:v>5.8133429132454402E-2</c:v>
                </c:pt>
                <c:pt idx="26">
                  <c:v>6.7431485763852689E-2</c:v>
                </c:pt>
                <c:pt idx="27">
                  <c:v>7.7952935164508824E-2</c:v>
                </c:pt>
                <c:pt idx="28">
                  <c:v>8.9758237297090385E-2</c:v>
                </c:pt>
                <c:pt idx="29">
                  <c:v>0.10289451799454925</c:v>
                </c:pt>
                <c:pt idx="30">
                  <c:v>0.11738843723129096</c:v>
                </c:pt>
                <c:pt idx="31">
                  <c:v>0.13324543360570065</c:v>
                </c:pt>
                <c:pt idx="32">
                  <c:v>0.1504526588768893</c:v>
                </c:pt>
                <c:pt idx="33">
                  <c:v>0.16898381387550546</c:v>
                </c:pt>
                <c:pt idx="34">
                  <c:v>0.1888015029248829</c:v>
                </c:pt>
                <c:pt idx="35">
                  <c:v>0.20985794844055342</c:v>
                </c:pt>
                <c:pt idx="36">
                  <c:v>0.23209472895813554</c:v>
                </c:pt>
                <c:pt idx="37">
                  <c:v>0.25544681140319631</c:v>
                </c:pt>
                <c:pt idx="38">
                  <c:v>0.27984853584413383</c:v>
                </c:pt>
                <c:pt idx="39">
                  <c:v>0.3052343084116208</c:v>
                </c:pt>
                <c:pt idx="40">
                  <c:v>0.33153674309516806</c:v>
                </c:pt>
                <c:pt idx="41">
                  <c:v>0.35868495303399967</c:v>
                </c:pt>
                <c:pt idx="42">
                  <c:v>0.38660401781171844</c:v>
                </c:pt>
                <c:pt idx="43">
                  <c:v>0.41521185359019935</c:v>
                </c:pt>
                <c:pt idx="44">
                  <c:v>0.44441916497210132</c:v>
                </c:pt>
                <c:pt idx="45">
                  <c:v>0.47412824115302854</c:v>
                </c:pt>
                <c:pt idx="46">
                  <c:v>0.50423994881746526</c:v>
                </c:pt>
                <c:pt idx="47">
                  <c:v>0.53466795874649609</c:v>
                </c:pt>
                <c:pt idx="48">
                  <c:v>0.56533506314840032</c:v>
                </c:pt>
                <c:pt idx="49">
                  <c:v>0.59616682941526888</c:v>
                </c:pt>
                <c:pt idx="50">
                  <c:v>0.62708081263212267</c:v>
                </c:pt>
                <c:pt idx="51">
                  <c:v>0.65797618711895389</c:v>
                </c:pt>
                <c:pt idx="52">
                  <c:v>0.68872512489996462</c:v>
                </c:pt>
                <c:pt idx="53">
                  <c:v>0.71916681175909214</c:v>
                </c:pt>
                <c:pt idx="54">
                  <c:v>0.7491038921767168</c:v>
                </c:pt>
                <c:pt idx="55">
                  <c:v>0.77830386816068331</c:v>
                </c:pt>
                <c:pt idx="56">
                  <c:v>0.80650408124823014</c:v>
                </c:pt>
                <c:pt idx="57">
                  <c:v>0.83342138800597687</c:v>
                </c:pt>
                <c:pt idx="58">
                  <c:v>0.85876651069949828</c:v>
                </c:pt>
                <c:pt idx="59">
                  <c:v>0.88226185534736001</c:v>
                </c:pt>
                <c:pt idx="60">
                  <c:v>0.90366046513848552</c:v>
                </c:pt>
                <c:pt idx="61">
                  <c:v>0.92276171585902123</c:v>
                </c:pt>
                <c:pt idx="62">
                  <c:v>0.93942150959605719</c:v>
                </c:pt>
                <c:pt idx="63">
                  <c:v>0.95357308059820589</c:v>
                </c:pt>
                <c:pt idx="64">
                  <c:v>0.96525372113272057</c:v>
                </c:pt>
                <c:pt idx="65">
                  <c:v>0.97460967002370236</c:v>
                </c:pt>
                <c:pt idx="66">
                  <c:v>0.9818783161493243</c:v>
                </c:pt>
                <c:pt idx="67">
                  <c:v>0.98735665572661557</c:v>
                </c:pt>
                <c:pt idx="68">
                  <c:v>0.99136552517105636</c:v>
                </c:pt>
                <c:pt idx="69">
                  <c:v>0.99422021697361573</c:v>
                </c:pt>
                <c:pt idx="70">
                  <c:v>0.99620903641060043</c:v>
                </c:pt>
                <c:pt idx="71">
                  <c:v>0.99756564654383251</c:v>
                </c:pt>
                <c:pt idx="72">
                  <c:v>0.99846916910015571</c:v>
                </c:pt>
                <c:pt idx="73">
                  <c:v>0.99905732067276487</c:v>
                </c:pt>
                <c:pt idx="74">
                  <c:v>0.99943171001011877</c:v>
                </c:pt>
                <c:pt idx="75">
                  <c:v>0.9996645044166077</c:v>
                </c:pt>
                <c:pt idx="76">
                  <c:v>0.99980597889028433</c:v>
                </c:pt>
                <c:pt idx="77">
                  <c:v>0.99989004774179746</c:v>
                </c:pt>
                <c:pt idx="78">
                  <c:v>0.99993891836496329</c:v>
                </c:pt>
                <c:pt idx="79">
                  <c:v>0.99996659660683396</c:v>
                </c:pt>
                <c:pt idx="80">
                  <c:v>0.99998173317485883</c:v>
                </c:pt>
              </c:numCache>
            </c:numRef>
          </c:val>
          <c:smooth val="0"/>
          <c:extLst xmlns:c16r2="http://schemas.microsoft.com/office/drawing/2015/06/chart">
            <c:ext xmlns:c16="http://schemas.microsoft.com/office/drawing/2014/chart" uri="{C3380CC4-5D6E-409C-BE32-E72D297353CC}">
              <c16:uniqueId val="{00000003-8DD0-42DF-88C3-9D7B8C7BBE28}"/>
            </c:ext>
          </c:extLst>
        </c:ser>
        <c:ser>
          <c:idx val="4"/>
          <c:order val="4"/>
          <c:tx>
            <c:strRef>
              <c:f>'Health states'!$F$2</c:f>
              <c:strCache>
                <c:ptCount val="1"/>
                <c:pt idx="0">
                  <c:v>CIS: Delayed</c:v>
                </c:pt>
              </c:strCache>
            </c:strRef>
          </c:tx>
          <c:spPr>
            <a:ln w="28575" cap="rnd">
              <a:solidFill>
                <a:schemeClr val="accent5"/>
              </a:solidFill>
              <a:round/>
            </a:ln>
            <a:effectLst/>
          </c:spPr>
          <c:marker>
            <c:symbol val="none"/>
          </c:marker>
          <c:cat>
            <c:numRef>
              <c:f>'Health states'!$A$3:$A$83</c:f>
              <c:numCache>
                <c:formatCode>General</c:formatCode>
                <c:ptCount val="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numCache>
            </c:numRef>
          </c:cat>
          <c:val>
            <c:numRef>
              <c:f>'Health states'!$F$3:$F$83</c:f>
              <c:numCache>
                <c:formatCode>General</c:formatCode>
                <c:ptCount val="81"/>
                <c:pt idx="0">
                  <c:v>1</c:v>
                </c:pt>
                <c:pt idx="1">
                  <c:v>0.48136142032097651</c:v>
                </c:pt>
                <c:pt idx="2">
                  <c:v>0.23170112556827163</c:v>
                </c:pt>
                <c:pt idx="3">
                  <c:v>0.16070342184349934</c:v>
                </c:pt>
                <c:pt idx="4">
                  <c:v>0.12074396394846335</c:v>
                </c:pt>
                <c:pt idx="5">
                  <c:v>9.4780143803549377E-2</c:v>
                </c:pt>
                <c:pt idx="6">
                  <c:v>7.6566531087886261E-2</c:v>
                </c:pt>
                <c:pt idx="7">
                  <c:v>6.3146066683135119E-2</c:v>
                </c:pt>
                <c:pt idx="8">
                  <c:v>5.2907858506700926E-2</c:v>
                </c:pt>
                <c:pt idx="9">
                  <c:v>4.4890760902130525E-2</c:v>
                </c:pt>
                <c:pt idx="10">
                  <c:v>3.8483032214345396E-2</c:v>
                </c:pt>
                <c:pt idx="11">
                  <c:v>3.3276010397758321E-2</c:v>
                </c:pt>
                <c:pt idx="12">
                  <c:v>2.8986122020150867E-2</c:v>
                </c:pt>
                <c:pt idx="13">
                  <c:v>2.541050860083225E-2</c:v>
                </c:pt>
                <c:pt idx="14">
                  <c:v>2.2400344535451595E-2</c:v>
                </c:pt>
                <c:pt idx="15">
                  <c:v>1.9844096151826793E-2</c:v>
                </c:pt>
                <c:pt idx="16">
                  <c:v>1.765665577461329E-2</c:v>
                </c:pt>
                <c:pt idx="17">
                  <c:v>1.5772069002463047E-2</c:v>
                </c:pt>
                <c:pt idx="18">
                  <c:v>1.4138512679831718E-2</c:v>
                </c:pt>
                <c:pt idx="19">
                  <c:v>1.271476210930866E-2</c:v>
                </c:pt>
                <c:pt idx="20">
                  <c:v>1.1467681640027113E-2</c:v>
                </c:pt>
                <c:pt idx="21">
                  <c:v>1.0370384379815478E-2</c:v>
                </c:pt>
                <c:pt idx="22">
                  <c:v>9.4008583513681063E-3</c:v>
                </c:pt>
                <c:pt idx="23">
                  <c:v>8.5409400295430281E-3</c:v>
                </c:pt>
                <c:pt idx="24">
                  <c:v>7.7755400415695864E-3</c:v>
                </c:pt>
                <c:pt idx="25">
                  <c:v>7.0920535667327068E-3</c:v>
                </c:pt>
                <c:pt idx="26">
                  <c:v>6.4798223534616034E-3</c:v>
                </c:pt>
                <c:pt idx="27">
                  <c:v>5.9297820132039568E-3</c:v>
                </c:pt>
                <c:pt idx="28">
                  <c:v>5.4341971964164395E-3</c:v>
                </c:pt>
                <c:pt idx="29">
                  <c:v>4.9864476661688447E-3</c:v>
                </c:pt>
                <c:pt idx="30">
                  <c:v>4.580876280775515E-3</c:v>
                </c:pt>
                <c:pt idx="31">
                  <c:v>4.212630456042807E-3</c:v>
                </c:pt>
                <c:pt idx="32">
                  <c:v>3.8775186378764296E-3</c:v>
                </c:pt>
                <c:pt idx="33">
                  <c:v>3.5718890859426471E-3</c:v>
                </c:pt>
                <c:pt idx="34">
                  <c:v>3.2925444407624588E-3</c:v>
                </c:pt>
                <c:pt idx="35">
                  <c:v>3.0366786172719156E-3</c:v>
                </c:pt>
                <c:pt idx="36">
                  <c:v>2.801827690451497E-3</c:v>
                </c:pt>
                <c:pt idx="37">
                  <c:v>2.585813187841267E-3</c:v>
                </c:pt>
                <c:pt idx="38">
                  <c:v>2.3866890357104359E-3</c:v>
                </c:pt>
                <c:pt idx="39">
                  <c:v>2.202714788159497E-3</c:v>
                </c:pt>
                <c:pt idx="40">
                  <c:v>2.0323396369884214E-3</c:v>
                </c:pt>
                <c:pt idx="41">
                  <c:v>1.8741868112030369E-3</c:v>
                </c:pt>
                <c:pt idx="42">
                  <c:v>1.7270358564827845E-3</c:v>
                </c:pt>
                <c:pt idx="43">
                  <c:v>1.5898139708120176E-3</c:v>
                </c:pt>
                <c:pt idx="44">
                  <c:v>1.4615797014543483E-3</c:v>
                </c:pt>
                <c:pt idx="45">
                  <c:v>1.3415118192591042E-3</c:v>
                </c:pt>
                <c:pt idx="46">
                  <c:v>1.2288793173769505E-3</c:v>
                </c:pt>
                <c:pt idx="47">
                  <c:v>1.1229985387004606E-3</c:v>
                </c:pt>
                <c:pt idx="48">
                  <c:v>1.0232384521153795E-3</c:v>
                </c:pt>
                <c:pt idx="49">
                  <c:v>9.2903052022080433E-4</c:v>
                </c:pt>
                <c:pt idx="50">
                  <c:v>8.3988682856021813E-4</c:v>
                </c:pt>
                <c:pt idx="51">
                  <c:v>7.554150750747323E-4</c:v>
                </c:pt>
                <c:pt idx="52">
                  <c:v>6.7532861369200292E-4</c:v>
                </c:pt>
                <c:pt idx="53">
                  <c:v>5.994507956170762E-4</c:v>
                </c:pt>
                <c:pt idx="54">
                  <c:v>5.2771505188946267E-4</c:v>
                </c:pt>
                <c:pt idx="55">
                  <c:v>4.6015609240224604E-4</c:v>
                </c:pt>
                <c:pt idx="56">
                  <c:v>3.9689583489225513E-4</c:v>
                </c:pt>
                <c:pt idx="57">
                  <c:v>3.381219797979306E-4</c:v>
                </c:pt>
                <c:pt idx="58">
                  <c:v>2.8405937259109288E-4</c:v>
                </c:pt>
                <c:pt idx="59">
                  <c:v>2.3493639087201682E-4</c:v>
                </c:pt>
                <c:pt idx="60">
                  <c:v>1.9095048394106859E-4</c:v>
                </c:pt>
                <c:pt idx="61">
                  <c:v>1.5224074810851797E-4</c:v>
                </c:pt>
                <c:pt idx="62">
                  <c:v>1.1887095718392747E-4</c:v>
                </c:pt>
                <c:pt idx="63">
                  <c:v>9.0790748139972841E-5</c:v>
                </c:pt>
                <c:pt idx="64">
                  <c:v>6.7784239969787449E-5</c:v>
                </c:pt>
                <c:pt idx="65">
                  <c:v>4.94596571998399E-5</c:v>
                </c:pt>
                <c:pt idx="66">
                  <c:v>3.5280686014942045E-5</c:v>
                </c:pt>
                <c:pt idx="67">
                  <c:v>2.46223623860403E-5</c:v>
                </c:pt>
                <c:pt idx="68">
                  <c:v>1.6833992223208675E-5</c:v>
                </c:pt>
                <c:pt idx="69">
                  <c:v>1.1289671557817493E-5</c:v>
                </c:pt>
                <c:pt idx="70">
                  <c:v>7.4242821587019829E-6</c:v>
                </c:pt>
                <c:pt idx="71">
                  <c:v>4.7832361480110695E-6</c:v>
                </c:pt>
                <c:pt idx="72">
                  <c:v>3.0198063392373328E-6</c:v>
                </c:pt>
                <c:pt idx="73">
                  <c:v>1.8680666222078291E-6</c:v>
                </c:pt>
                <c:pt idx="74">
                  <c:v>1.1319324775000818E-6</c:v>
                </c:pt>
                <c:pt idx="75">
                  <c:v>6.7202935886293331E-7</c:v>
                </c:pt>
                <c:pt idx="76">
                  <c:v>3.9103319422427507E-7</c:v>
                </c:pt>
                <c:pt idx="77">
                  <c:v>2.2306328683781781E-7</c:v>
                </c:pt>
                <c:pt idx="78">
                  <c:v>1.247883808360712E-7</c:v>
                </c:pt>
                <c:pt idx="79">
                  <c:v>6.8747728991312192E-8</c:v>
                </c:pt>
                <c:pt idx="80">
                  <c:v>3.7886513103530045E-8</c:v>
                </c:pt>
              </c:numCache>
            </c:numRef>
          </c:val>
          <c:smooth val="0"/>
          <c:extLst xmlns:c16r2="http://schemas.microsoft.com/office/drawing/2015/06/chart">
            <c:ext xmlns:c16="http://schemas.microsoft.com/office/drawing/2014/chart" uri="{C3380CC4-5D6E-409C-BE32-E72D297353CC}">
              <c16:uniqueId val="{00000004-8DD0-42DF-88C3-9D7B8C7BBE28}"/>
            </c:ext>
          </c:extLst>
        </c:ser>
        <c:ser>
          <c:idx val="5"/>
          <c:order val="5"/>
          <c:tx>
            <c:strRef>
              <c:f>'Health states'!$G$2</c:f>
              <c:strCache>
                <c:ptCount val="1"/>
                <c:pt idx="0">
                  <c:v>RRMS: Delayed</c:v>
                </c:pt>
              </c:strCache>
            </c:strRef>
          </c:tx>
          <c:spPr>
            <a:ln w="28575" cap="rnd">
              <a:solidFill>
                <a:schemeClr val="accent6"/>
              </a:solidFill>
              <a:round/>
            </a:ln>
            <a:effectLst/>
          </c:spPr>
          <c:marker>
            <c:symbol val="none"/>
          </c:marker>
          <c:cat>
            <c:numRef>
              <c:f>'Health states'!$A$3:$A$83</c:f>
              <c:numCache>
                <c:formatCode>General</c:formatCode>
                <c:ptCount val="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numCache>
            </c:numRef>
          </c:cat>
          <c:val>
            <c:numRef>
              <c:f>'Health states'!$G$3:$G$83</c:f>
              <c:numCache>
                <c:formatCode>General</c:formatCode>
                <c:ptCount val="81"/>
                <c:pt idx="0">
                  <c:v>0</c:v>
                </c:pt>
                <c:pt idx="1">
                  <c:v>0.51809419247902344</c:v>
                </c:pt>
                <c:pt idx="2">
                  <c:v>0.75450091514089868</c:v>
                </c:pt>
                <c:pt idx="3">
                  <c:v>0.8030283347518038</c:v>
                </c:pt>
                <c:pt idx="4">
                  <c:v>0.81423672663058322</c:v>
                </c:pt>
                <c:pt idx="5">
                  <c:v>0.80582329322487212</c:v>
                </c:pt>
                <c:pt idx="6">
                  <c:v>0.78480498580148306</c:v>
                </c:pt>
                <c:pt idx="7">
                  <c:v>0.75509848249465816</c:v>
                </c:pt>
                <c:pt idx="8">
                  <c:v>0.71937101662253633</c:v>
                </c:pt>
                <c:pt idx="9">
                  <c:v>0.67963995787155462</c:v>
                </c:pt>
                <c:pt idx="10">
                  <c:v>0.63750248551581323</c:v>
                </c:pt>
                <c:pt idx="11">
                  <c:v>0.5942397708822531</c:v>
                </c:pt>
                <c:pt idx="12">
                  <c:v>0.55087253861785834</c:v>
                </c:pt>
                <c:pt idx="13">
                  <c:v>0.50819948679286508</c:v>
                </c:pt>
                <c:pt idx="14">
                  <c:v>0.46682798711710893</c:v>
                </c:pt>
                <c:pt idx="15">
                  <c:v>0.42720164153369206</c:v>
                </c:pt>
                <c:pt idx="16">
                  <c:v>0.38962642721230528</c:v>
                </c:pt>
                <c:pt idx="17">
                  <c:v>0.35429519368745965</c:v>
                </c:pt>
                <c:pt idx="18">
                  <c:v>0.32130948700354328</c:v>
                </c:pt>
                <c:pt idx="19">
                  <c:v>0.29069894868735247</c:v>
                </c:pt>
                <c:pt idx="20">
                  <c:v>0.26243869731343245</c:v>
                </c:pt>
                <c:pt idx="21">
                  <c:v>0.23646374920169502</c:v>
                </c:pt>
                <c:pt idx="22">
                  <c:v>0.21268064167639933</c:v>
                </c:pt>
                <c:pt idx="23">
                  <c:v>0.1909769163358635</c:v>
                </c:pt>
                <c:pt idx="24">
                  <c:v>0.17122871944465923</c:v>
                </c:pt>
                <c:pt idx="25">
                  <c:v>0.1533067582605015</c:v>
                </c:pt>
                <c:pt idx="26">
                  <c:v>0.13707905322332045</c:v>
                </c:pt>
                <c:pt idx="27">
                  <c:v>0.12241448717958403</c:v>
                </c:pt>
                <c:pt idx="28">
                  <c:v>0.1091856598767714</c:v>
                </c:pt>
                <c:pt idx="29">
                  <c:v>9.7270805585432482E-2</c:v>
                </c:pt>
                <c:pt idx="30">
                  <c:v>8.6555408821336277E-2</c:v>
                </c:pt>
                <c:pt idx="31">
                  <c:v>7.693250503545046E-2</c:v>
                </c:pt>
                <c:pt idx="32">
                  <c:v>6.8302465834849238E-2</c:v>
                </c:pt>
                <c:pt idx="33">
                  <c:v>6.0572643263794593E-2</c:v>
                </c:pt>
                <c:pt idx="34">
                  <c:v>5.3657236175360272E-2</c:v>
                </c:pt>
                <c:pt idx="35">
                  <c:v>4.7477188216185379E-2</c:v>
                </c:pt>
                <c:pt idx="36">
                  <c:v>4.1960030083630105E-2</c:v>
                </c:pt>
                <c:pt idx="37">
                  <c:v>3.7039401701102058E-2</c:v>
                </c:pt>
                <c:pt idx="38">
                  <c:v>3.2654528798280888E-2</c:v>
                </c:pt>
                <c:pt idx="39">
                  <c:v>2.8749996130992259E-2</c:v>
                </c:pt>
                <c:pt idx="40">
                  <c:v>2.5275558212490785E-2</c:v>
                </c:pt>
                <c:pt idx="41">
                  <c:v>2.2185860066375122E-2</c:v>
                </c:pt>
                <c:pt idx="42">
                  <c:v>1.9440073185158752E-2</c:v>
                </c:pt>
                <c:pt idx="43">
                  <c:v>1.7001602482858404E-2</c:v>
                </c:pt>
                <c:pt idx="44">
                  <c:v>1.4837680841571797E-2</c:v>
                </c:pt>
                <c:pt idx="45">
                  <c:v>1.2919021537608582E-2</c:v>
                </c:pt>
                <c:pt idx="46">
                  <c:v>1.1219301932034104E-2</c:v>
                </c:pt>
                <c:pt idx="47">
                  <c:v>9.714603258401221E-3</c:v>
                </c:pt>
                <c:pt idx="48">
                  <c:v>8.383345925504361E-3</c:v>
                </c:pt>
                <c:pt idx="49">
                  <c:v>7.2062252608389964E-3</c:v>
                </c:pt>
                <c:pt idx="50">
                  <c:v>6.1661711508950168E-3</c:v>
                </c:pt>
                <c:pt idx="51">
                  <c:v>5.2482401737557584E-3</c:v>
                </c:pt>
                <c:pt idx="52">
                  <c:v>4.4394490843098298E-3</c:v>
                </c:pt>
                <c:pt idx="53">
                  <c:v>3.728566795465463E-3</c:v>
                </c:pt>
                <c:pt idx="54">
                  <c:v>3.1058927481358144E-3</c:v>
                </c:pt>
                <c:pt idx="55">
                  <c:v>2.5630078371514124E-3</c:v>
                </c:pt>
                <c:pt idx="56">
                  <c:v>2.0925353631897781E-3</c:v>
                </c:pt>
                <c:pt idx="57">
                  <c:v>1.6879080883062179E-3</c:v>
                </c:pt>
                <c:pt idx="58">
                  <c:v>1.3431497483821523E-3</c:v>
                </c:pt>
                <c:pt idx="59">
                  <c:v>1.0526855688984095E-3</c:v>
                </c:pt>
                <c:pt idx="60">
                  <c:v>8.1119779576506392E-4</c:v>
                </c:pt>
                <c:pt idx="61">
                  <c:v>6.1354927042217664E-4</c:v>
                </c:pt>
                <c:pt idx="62">
                  <c:v>4.5476907058458066E-4</c:v>
                </c:pt>
                <c:pt idx="63">
                  <c:v>3.2996307159050686E-4</c:v>
                </c:pt>
                <c:pt idx="64">
                  <c:v>2.3420676982662157E-4</c:v>
                </c:pt>
                <c:pt idx="65">
                  <c:v>1.626043056710017E-4</c:v>
                </c:pt>
                <c:pt idx="66">
                  <c:v>1.1046243822640861E-4</c:v>
                </c:pt>
                <c:pt idx="67">
                  <c:v>7.3487218861881875E-5</c:v>
                </c:pt>
                <c:pt idx="68">
                  <c:v>4.7940329097036337E-5</c:v>
                </c:pt>
                <c:pt idx="69">
                  <c:v>3.0709432367993757E-5</c:v>
                </c:pt>
                <c:pt idx="70">
                  <c:v>1.930997721269737E-5</c:v>
                </c:pt>
                <c:pt idx="71">
                  <c:v>1.1908565183500266E-5</c:v>
                </c:pt>
                <c:pt idx="72">
                  <c:v>7.2046298339488104E-6</c:v>
                </c:pt>
                <c:pt idx="73">
                  <c:v>4.2757616659789998E-6</c:v>
                </c:pt>
                <c:pt idx="74">
                  <c:v>2.4884593195664206E-6</c:v>
                </c:pt>
                <c:pt idx="75">
                  <c:v>1.4206664313228929E-6</c:v>
                </c:pt>
                <c:pt idx="76">
                  <c:v>7.9582722367220814E-7</c:v>
                </c:pt>
                <c:pt idx="77">
                  <c:v>4.3756487137557038E-7</c:v>
                </c:pt>
                <c:pt idx="78">
                  <c:v>2.3621314634371726E-7</c:v>
                </c:pt>
                <c:pt idx="79">
                  <c:v>1.257207138310261E-7</c:v>
                </c:pt>
                <c:pt idx="80">
                  <c:v>6.7011536101854206E-8</c:v>
                </c:pt>
              </c:numCache>
            </c:numRef>
          </c:val>
          <c:smooth val="0"/>
          <c:extLst xmlns:c16r2="http://schemas.microsoft.com/office/drawing/2015/06/chart">
            <c:ext xmlns:c16="http://schemas.microsoft.com/office/drawing/2014/chart" uri="{C3380CC4-5D6E-409C-BE32-E72D297353CC}">
              <c16:uniqueId val="{00000005-8DD0-42DF-88C3-9D7B8C7BBE28}"/>
            </c:ext>
          </c:extLst>
        </c:ser>
        <c:ser>
          <c:idx val="6"/>
          <c:order val="6"/>
          <c:tx>
            <c:strRef>
              <c:f>'Health states'!$H$2</c:f>
              <c:strCache>
                <c:ptCount val="1"/>
                <c:pt idx="0">
                  <c:v>SPMS: Delayed</c:v>
                </c:pt>
              </c:strCache>
            </c:strRef>
          </c:tx>
          <c:spPr>
            <a:ln w="28575" cap="rnd">
              <a:solidFill>
                <a:schemeClr val="accent3"/>
              </a:solidFill>
              <a:round/>
            </a:ln>
            <a:effectLst/>
          </c:spPr>
          <c:marker>
            <c:symbol val="none"/>
          </c:marker>
          <c:cat>
            <c:numRef>
              <c:f>'Health states'!$A$3:$A$83</c:f>
              <c:numCache>
                <c:formatCode>General</c:formatCode>
                <c:ptCount val="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numCache>
            </c:numRef>
          </c:cat>
          <c:val>
            <c:numRef>
              <c:f>'Health states'!$H$3:$H$83</c:f>
              <c:numCache>
                <c:formatCode>General</c:formatCode>
                <c:ptCount val="81"/>
                <c:pt idx="0">
                  <c:v>0</c:v>
                </c:pt>
                <c:pt idx="1">
                  <c:v>0</c:v>
                </c:pt>
                <c:pt idx="2">
                  <c:v>1.2676323108951698E-2</c:v>
                </c:pt>
                <c:pt idx="3">
                  <c:v>3.4533881050379973E-2</c:v>
                </c:pt>
                <c:pt idx="4">
                  <c:v>6.2634143756423635E-2</c:v>
                </c:pt>
                <c:pt idx="5">
                  <c:v>9.6319662154683655E-2</c:v>
                </c:pt>
                <c:pt idx="6">
                  <c:v>0.13481474626251386</c:v>
                </c:pt>
                <c:pt idx="7">
                  <c:v>0.17715456504555088</c:v>
                </c:pt>
                <c:pt idx="8">
                  <c:v>0.22227758974727602</c:v>
                </c:pt>
                <c:pt idx="9">
                  <c:v>0.26912171929386014</c:v>
                </c:pt>
                <c:pt idx="10">
                  <c:v>0.31669279170733283</c:v>
                </c:pt>
                <c:pt idx="11">
                  <c:v>0.36410577579805908</c:v>
                </c:pt>
                <c:pt idx="12">
                  <c:v>0.41060368113651402</c:v>
                </c:pt>
                <c:pt idx="13">
                  <c:v>0.45556139916696414</c:v>
                </c:pt>
                <c:pt idx="14">
                  <c:v>0.49847891129253796</c:v>
                </c:pt>
                <c:pt idx="15">
                  <c:v>0.53896799995729106</c:v>
                </c:pt>
                <c:pt idx="16">
                  <c:v>0.57673624869449425</c:v>
                </c:pt>
                <c:pt idx="17">
                  <c:v>0.6115708375173261</c:v>
                </c:pt>
                <c:pt idx="18">
                  <c:v>0.64332274117127108</c:v>
                </c:pt>
                <c:pt idx="19">
                  <c:v>0.67189265525523867</c:v>
                </c:pt>
                <c:pt idx="20">
                  <c:v>0.69722057591695341</c:v>
                </c:pt>
                <c:pt idx="21">
                  <c:v>0.71927775397066873</c:v>
                </c:pt>
                <c:pt idx="22">
                  <c:v>0.73806035642345014</c:v>
                </c:pt>
                <c:pt idx="23">
                  <c:v>0.75358539351425935</c:v>
                </c:pt>
                <c:pt idx="24">
                  <c:v>0.76588882560337346</c:v>
                </c:pt>
                <c:pt idx="25">
                  <c:v>0.77502567967518132</c:v>
                </c:pt>
                <c:pt idx="26">
                  <c:v>0.78106175127340105</c:v>
                </c:pt>
                <c:pt idx="27">
                  <c:v>0.78407199096012259</c:v>
                </c:pt>
                <c:pt idx="28">
                  <c:v>0.78414131401555265</c:v>
                </c:pt>
                <c:pt idx="29">
                  <c:v>0.78136583203628385</c:v>
                </c:pt>
                <c:pt idx="30">
                  <c:v>0.77585803446502943</c:v>
                </c:pt>
                <c:pt idx="31">
                  <c:v>0.76774682291458118</c:v>
                </c:pt>
                <c:pt idx="32">
                  <c:v>0.75717433009811697</c:v>
                </c:pt>
                <c:pt idx="33">
                  <c:v>0.74429098922480963</c:v>
                </c:pt>
                <c:pt idx="34">
                  <c:v>0.72925280818683225</c:v>
                </c:pt>
                <c:pt idx="35">
                  <c:v>0.71222021169661098</c:v>
                </c:pt>
                <c:pt idx="36">
                  <c:v>0.69335788409722288</c:v>
                </c:pt>
                <c:pt idx="37">
                  <c:v>0.67283083528642984</c:v>
                </c:pt>
                <c:pt idx="38">
                  <c:v>0.65079877255670437</c:v>
                </c:pt>
                <c:pt idx="39">
                  <c:v>0.62741536168092904</c:v>
                </c:pt>
                <c:pt idx="40">
                  <c:v>0.60282990885837562</c:v>
                </c:pt>
                <c:pt idx="41">
                  <c:v>0.57718897655230128</c:v>
                </c:pt>
                <c:pt idx="42">
                  <c:v>0.55063696710180543</c:v>
                </c:pt>
                <c:pt idx="43">
                  <c:v>0.52331903790757395</c:v>
                </c:pt>
                <c:pt idx="44">
                  <c:v>0.49538120839298505</c:v>
                </c:pt>
                <c:pt idx="45">
                  <c:v>0.46697146458498728</c:v>
                </c:pt>
                <c:pt idx="46">
                  <c:v>0.43823355768468275</c:v>
                </c:pt>
                <c:pt idx="47">
                  <c:v>0.40929458424098453</c:v>
                </c:pt>
                <c:pt idx="48">
                  <c:v>0.38026863195171856</c:v>
                </c:pt>
                <c:pt idx="49">
                  <c:v>0.35126268754490053</c:v>
                </c:pt>
                <c:pt idx="50">
                  <c:v>0.32238620883279195</c:v>
                </c:pt>
                <c:pt idx="51">
                  <c:v>0.2937599676736441</c:v>
                </c:pt>
                <c:pt idx="52">
                  <c:v>0.26552298631648497</c:v>
                </c:pt>
                <c:pt idx="53">
                  <c:v>0.23783683653355553</c:v>
                </c:pt>
                <c:pt idx="54">
                  <c:v>0.2108875583290532</c:v>
                </c:pt>
                <c:pt idx="55">
                  <c:v>0.18488318487191099</c:v>
                </c:pt>
                <c:pt idx="56">
                  <c:v>0.16004823650971187</c:v>
                </c:pt>
                <c:pt idx="57">
                  <c:v>0.13661446422567486</c:v>
                </c:pt>
                <c:pt idx="58">
                  <c:v>0.11480812289673534</c:v>
                </c:pt>
                <c:pt idx="59">
                  <c:v>9.4835034713774566E-2</c:v>
                </c:pt>
                <c:pt idx="60">
                  <c:v>7.6865547844838719E-2</c:v>
                </c:pt>
                <c:pt idx="61">
                  <c:v>6.1022992293610509E-2</c:v>
                </c:pt>
                <c:pt idx="62">
                  <c:v>4.7377274746477016E-2</c:v>
                </c:pt>
                <c:pt idx="63">
                  <c:v>3.5930880614509414E-2</c:v>
                </c:pt>
                <c:pt idx="64">
                  <c:v>2.6601525415296402E-2</c:v>
                </c:pt>
                <c:pt idx="65">
                  <c:v>1.9222890409285986E-2</c:v>
                </c:pt>
                <c:pt idx="66">
                  <c:v>1.3562837802627662E-2</c:v>
                </c:pt>
                <c:pt idx="67">
                  <c:v>9.3510997516754891E-3</c:v>
                </c:pt>
                <c:pt idx="68">
                  <c:v>6.3085512013935068E-3</c:v>
                </c:pt>
                <c:pt idx="69">
                  <c:v>4.1700332329981772E-3</c:v>
                </c:pt>
                <c:pt idx="70">
                  <c:v>2.6999144418310534E-3</c:v>
                </c:pt>
                <c:pt idx="71">
                  <c:v>1.7107684011492866E-3</c:v>
                </c:pt>
                <c:pt idx="72">
                  <c:v>1.0611414548674359E-3</c:v>
                </c:pt>
                <c:pt idx="73">
                  <c:v>6.4428222696927219E-4</c:v>
                </c:pt>
                <c:pt idx="74">
                  <c:v>3.8280017440770793E-4</c:v>
                </c:pt>
                <c:pt idx="75">
                  <c:v>2.2263776177597837E-4</c:v>
                </c:pt>
                <c:pt idx="76">
                  <c:v>1.2679053943857085E-4</c:v>
                </c:pt>
                <c:pt idx="77">
                  <c:v>7.0726102196115923E-5</c:v>
                </c:pt>
                <c:pt idx="78">
                  <c:v>3.8657310404356772E-5</c:v>
                </c:pt>
                <c:pt idx="79">
                  <c:v>2.0790286326534028E-5</c:v>
                </c:pt>
                <c:pt idx="80">
                  <c:v>1.1175863992833108E-5</c:v>
                </c:pt>
              </c:numCache>
            </c:numRef>
          </c:val>
          <c:smooth val="0"/>
          <c:extLst xmlns:c16r2="http://schemas.microsoft.com/office/drawing/2015/06/chart">
            <c:ext xmlns:c16="http://schemas.microsoft.com/office/drawing/2014/chart" uri="{C3380CC4-5D6E-409C-BE32-E72D297353CC}">
              <c16:uniqueId val="{00000006-8DD0-42DF-88C3-9D7B8C7BBE28}"/>
            </c:ext>
          </c:extLst>
        </c:ser>
        <c:ser>
          <c:idx val="7"/>
          <c:order val="7"/>
          <c:tx>
            <c:strRef>
              <c:f>'Health states'!$I$2</c:f>
              <c:strCache>
                <c:ptCount val="1"/>
                <c:pt idx="0">
                  <c:v>Dead: Delayed</c:v>
                </c:pt>
              </c:strCache>
            </c:strRef>
          </c:tx>
          <c:spPr>
            <a:ln w="28575" cap="rnd">
              <a:solidFill>
                <a:srgbClr val="FF0000"/>
              </a:solidFill>
              <a:round/>
            </a:ln>
            <a:effectLst/>
          </c:spPr>
          <c:marker>
            <c:symbol val="none"/>
          </c:marker>
          <c:cat>
            <c:numRef>
              <c:f>'Health states'!$A$3:$A$83</c:f>
              <c:numCache>
                <c:formatCode>General</c:formatCode>
                <c:ptCount val="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numCache>
            </c:numRef>
          </c:cat>
          <c:val>
            <c:numRef>
              <c:f>'Health states'!$I$3:$I$83</c:f>
              <c:numCache>
                <c:formatCode>General</c:formatCode>
                <c:ptCount val="81"/>
                <c:pt idx="0">
                  <c:v>0</c:v>
                </c:pt>
                <c:pt idx="1">
                  <c:v>5.4438719999999998E-4</c:v>
                </c:pt>
                <c:pt idx="2">
                  <c:v>1.1216361818778514E-3</c:v>
                </c:pt>
                <c:pt idx="3">
                  <c:v>1.7343623543166536E-3</c:v>
                </c:pt>
                <c:pt idx="4">
                  <c:v>2.3851656645295545E-3</c:v>
                </c:pt>
                <c:pt idx="5">
                  <c:v>3.0769008168945919E-3</c:v>
                </c:pt>
                <c:pt idx="6">
                  <c:v>3.8137368481164363E-3</c:v>
                </c:pt>
                <c:pt idx="7">
                  <c:v>4.6008857766555592E-3</c:v>
                </c:pt>
                <c:pt idx="8">
                  <c:v>5.4435351234864695E-3</c:v>
                </c:pt>
                <c:pt idx="9">
                  <c:v>6.3475619324546394E-3</c:v>
                </c:pt>
                <c:pt idx="10">
                  <c:v>7.3216905625082601E-3</c:v>
                </c:pt>
                <c:pt idx="11">
                  <c:v>8.3784429219292411E-3</c:v>
                </c:pt>
                <c:pt idx="12">
                  <c:v>9.5376582254765446E-3</c:v>
                </c:pt>
                <c:pt idx="13">
                  <c:v>1.0828605439338179E-2</c:v>
                </c:pt>
                <c:pt idx="14">
                  <c:v>1.2292757054901279E-2</c:v>
                </c:pt>
                <c:pt idx="15">
                  <c:v>1.3986262357189657E-2</c:v>
                </c:pt>
                <c:pt idx="16">
                  <c:v>1.598066831858666E-2</c:v>
                </c:pt>
                <c:pt idx="17">
                  <c:v>1.8361899792751019E-2</c:v>
                </c:pt>
                <c:pt idx="18">
                  <c:v>2.1229259145353445E-2</c:v>
                </c:pt>
                <c:pt idx="19">
                  <c:v>2.4693633948099779E-2</c:v>
                </c:pt>
                <c:pt idx="20">
                  <c:v>2.8873045129586765E-2</c:v>
                </c:pt>
                <c:pt idx="21">
                  <c:v>3.3888112447820362E-2</c:v>
                </c:pt>
                <c:pt idx="22">
                  <c:v>3.9858143548782039E-2</c:v>
                </c:pt>
                <c:pt idx="23">
                  <c:v>4.6896750120333806E-2</c:v>
                </c:pt>
                <c:pt idx="24">
                  <c:v>5.5106914910397251E-2</c:v>
                </c:pt>
                <c:pt idx="25">
                  <c:v>6.4575508497584089E-2</c:v>
                </c:pt>
                <c:pt idx="26">
                  <c:v>7.5379373149816506E-2</c:v>
                </c:pt>
                <c:pt idx="27">
                  <c:v>8.7583739847089045E-2</c:v>
                </c:pt>
                <c:pt idx="28">
                  <c:v>0.10123882891125927</c:v>
                </c:pt>
                <c:pt idx="29">
                  <c:v>0.11637691471211456</c:v>
                </c:pt>
                <c:pt idx="30">
                  <c:v>0.13300568043285838</c:v>
                </c:pt>
                <c:pt idx="31">
                  <c:v>0.15110804159392505</c:v>
                </c:pt>
                <c:pt idx="32">
                  <c:v>0.17064568542915692</c:v>
                </c:pt>
                <c:pt idx="33">
                  <c:v>0.19156447842545257</c:v>
                </c:pt>
                <c:pt idx="34">
                  <c:v>0.21379741119704451</c:v>
                </c:pt>
                <c:pt idx="35">
                  <c:v>0.23726592146993114</c:v>
                </c:pt>
                <c:pt idx="36">
                  <c:v>0.26188025812869509</c:v>
                </c:pt>
                <c:pt idx="37">
                  <c:v>0.28754394982462644</c:v>
                </c:pt>
                <c:pt idx="38">
                  <c:v>0.31416000960930379</c:v>
                </c:pt>
                <c:pt idx="39">
                  <c:v>0.34163192739991871</c:v>
                </c:pt>
                <c:pt idx="40">
                  <c:v>0.36986219329214476</c:v>
                </c:pt>
                <c:pt idx="41">
                  <c:v>0.3987509765701201</c:v>
                </c:pt>
                <c:pt idx="42">
                  <c:v>0.42819592385655264</c:v>
                </c:pt>
                <c:pt idx="43">
                  <c:v>0.4580895456387552</c:v>
                </c:pt>
                <c:pt idx="44">
                  <c:v>0.48831953106398845</c:v>
                </c:pt>
                <c:pt idx="45">
                  <c:v>0.51876800205814477</c:v>
                </c:pt>
                <c:pt idx="46">
                  <c:v>0.54931826106590587</c:v>
                </c:pt>
                <c:pt idx="47">
                  <c:v>0.57986781396191345</c:v>
                </c:pt>
                <c:pt idx="48">
                  <c:v>0.61032478367066145</c:v>
                </c:pt>
                <c:pt idx="49">
                  <c:v>0.64060205667403947</c:v>
                </c:pt>
                <c:pt idx="50">
                  <c:v>0.67060773318775269</c:v>
                </c:pt>
                <c:pt idx="51">
                  <c:v>0.70023637707752528</c:v>
                </c:pt>
                <c:pt idx="52">
                  <c:v>0.72936223598551297</c:v>
                </c:pt>
                <c:pt idx="53">
                  <c:v>0.7578351458753616</c:v>
                </c:pt>
                <c:pt idx="54">
                  <c:v>0.7854788338709211</c:v>
                </c:pt>
                <c:pt idx="55">
                  <c:v>0.81209365119853494</c:v>
                </c:pt>
                <c:pt idx="56">
                  <c:v>0.83746233229220568</c:v>
                </c:pt>
                <c:pt idx="57">
                  <c:v>0.86135950570622044</c:v>
                </c:pt>
                <c:pt idx="58">
                  <c:v>0.88356466798229094</c:v>
                </c:pt>
                <c:pt idx="59">
                  <c:v>0.90387734332645464</c:v>
                </c:pt>
                <c:pt idx="60">
                  <c:v>0.92213230387545486</c:v>
                </c:pt>
                <c:pt idx="61">
                  <c:v>0.93821121768785853</c:v>
                </c:pt>
                <c:pt idx="62">
                  <c:v>0.95204908522575415</c:v>
                </c:pt>
                <c:pt idx="63">
                  <c:v>0.96364836556575995</c:v>
                </c:pt>
                <c:pt idx="64">
                  <c:v>0.97309648357490697</c:v>
                </c:pt>
                <c:pt idx="65">
                  <c:v>0.98056504562784297</c:v>
                </c:pt>
                <c:pt idx="66">
                  <c:v>0.98629141907313078</c:v>
                </c:pt>
                <c:pt idx="67">
                  <c:v>0.99055079066707641</c:v>
                </c:pt>
                <c:pt idx="68">
                  <c:v>0.99362667447728603</c:v>
                </c:pt>
                <c:pt idx="69">
                  <c:v>0.99578796766307587</c:v>
                </c:pt>
                <c:pt idx="70">
                  <c:v>0.99727335129879757</c:v>
                </c:pt>
                <c:pt idx="71">
                  <c:v>0.9982725397975194</c:v>
                </c:pt>
                <c:pt idx="72">
                  <c:v>0.99892863410895971</c:v>
                </c:pt>
                <c:pt idx="73">
                  <c:v>0.999349573944743</c:v>
                </c:pt>
                <c:pt idx="74">
                  <c:v>0.9996135794337957</c:v>
                </c:pt>
                <c:pt idx="75">
                  <c:v>0.99977526954243434</c:v>
                </c:pt>
                <c:pt idx="76">
                  <c:v>0.99987202260014396</c:v>
                </c:pt>
                <c:pt idx="77">
                  <c:v>0.99992861326964599</c:v>
                </c:pt>
                <c:pt idx="78">
                  <c:v>0.9999609816880688</c:v>
                </c:pt>
                <c:pt idx="79">
                  <c:v>0.99997901524523114</c:v>
                </c:pt>
                <c:pt idx="80">
                  <c:v>0.99998871923795851</c:v>
                </c:pt>
              </c:numCache>
            </c:numRef>
          </c:val>
          <c:smooth val="0"/>
          <c:extLst xmlns:c16r2="http://schemas.microsoft.com/office/drawing/2015/06/chart">
            <c:ext xmlns:c16="http://schemas.microsoft.com/office/drawing/2014/chart" uri="{C3380CC4-5D6E-409C-BE32-E72D297353CC}">
              <c16:uniqueId val="{00000007-8DD0-42DF-88C3-9D7B8C7BBE28}"/>
            </c:ext>
          </c:extLst>
        </c:ser>
        <c:dLbls>
          <c:showLegendKey val="0"/>
          <c:showVal val="0"/>
          <c:showCatName val="0"/>
          <c:showSerName val="0"/>
          <c:showPercent val="0"/>
          <c:showBubbleSize val="0"/>
        </c:dLbls>
        <c:marker val="1"/>
        <c:smooth val="0"/>
        <c:axId val="387864448"/>
        <c:axId val="387874816"/>
      </c:lineChart>
      <c:catAx>
        <c:axId val="387864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latin typeface="Arial Narrow" panose="020B0606020202030204" pitchFamily="34" charset="0"/>
                  </a:rPr>
                  <a:t>Time (years)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87874816"/>
        <c:crosses val="autoZero"/>
        <c:auto val="1"/>
        <c:lblAlgn val="ctr"/>
        <c:lblOffset val="100"/>
        <c:noMultiLvlLbl val="0"/>
      </c:catAx>
      <c:valAx>
        <c:axId val="38787481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latin typeface="Arial Narrow" panose="020B0606020202030204" pitchFamily="34" charset="0"/>
                  </a:rPr>
                  <a:t>Proportion of patients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87864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spcBef>
          <a:spcPts val="0"/>
        </a:spcBef>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0C988-DFCB-4911-AF77-0F86EBE0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13035</Words>
  <Characters>74302</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2017-10-10T02:16:00Z</dcterms:created>
  <dcterms:modified xsi:type="dcterms:W3CDTF">2017-10-10T02:23:00Z</dcterms:modified>
</cp:coreProperties>
</file>