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0D8" w:rsidRPr="00C86BAD" w:rsidRDefault="001940D8" w:rsidP="001940D8">
      <w:pPr>
        <w:ind w:left="1418" w:hanging="1418"/>
        <w:jc w:val="left"/>
        <w:outlineLvl w:val="0"/>
        <w:rPr>
          <w:rFonts w:asciiTheme="minorHAnsi" w:hAnsiTheme="minorHAnsi"/>
          <w:sz w:val="36"/>
          <w:szCs w:val="36"/>
        </w:rPr>
      </w:pPr>
      <w:r w:rsidRPr="00C86BAD">
        <w:rPr>
          <w:rFonts w:asciiTheme="minorHAnsi" w:hAnsiTheme="minorHAnsi"/>
          <w:b/>
          <w:sz w:val="36"/>
          <w:szCs w:val="36"/>
        </w:rPr>
        <w:t>5.05</w:t>
      </w:r>
      <w:r w:rsidRPr="00C86BAD">
        <w:rPr>
          <w:rFonts w:asciiTheme="minorHAnsi" w:hAnsiTheme="minorHAnsi"/>
          <w:b/>
          <w:sz w:val="36"/>
          <w:szCs w:val="36"/>
        </w:rPr>
        <w:tab/>
        <w:t xml:space="preserve">GLECAPREVIR with PIBRENTASVIR, Tablet containing 100 mg glecaprevir with 40 mg pibrentasvir, </w:t>
      </w:r>
      <w:r>
        <w:rPr>
          <w:rFonts w:asciiTheme="minorHAnsi" w:hAnsiTheme="minorHAnsi"/>
          <w:b/>
          <w:sz w:val="36"/>
          <w:szCs w:val="36"/>
        </w:rPr>
        <w:t>Maviret®</w:t>
      </w:r>
      <w:r w:rsidRPr="00C86BAD">
        <w:rPr>
          <w:rFonts w:asciiTheme="minorHAnsi" w:hAnsiTheme="minorHAnsi"/>
          <w:b/>
          <w:sz w:val="36"/>
          <w:szCs w:val="36"/>
        </w:rPr>
        <w:t>, AbbVie Pty Ltd.</w:t>
      </w:r>
    </w:p>
    <w:p w:rsidR="001940D8" w:rsidRPr="00C86BAD" w:rsidRDefault="001940D8" w:rsidP="001940D8">
      <w:pPr>
        <w:pStyle w:val="PBACHeading1"/>
        <w:rPr>
          <w:rFonts w:asciiTheme="minorHAnsi" w:hAnsiTheme="minorHAnsi"/>
          <w:sz w:val="32"/>
          <w:szCs w:val="32"/>
        </w:rPr>
      </w:pPr>
      <w:bookmarkStart w:id="0" w:name="_Toc482354736"/>
      <w:bookmarkStart w:id="1" w:name="_Toc476306881"/>
      <w:r w:rsidRPr="00C86BAD">
        <w:rPr>
          <w:rFonts w:asciiTheme="minorHAnsi" w:hAnsiTheme="minorHAnsi"/>
          <w:sz w:val="32"/>
          <w:szCs w:val="32"/>
        </w:rPr>
        <w:t>Purpose of Application</w:t>
      </w:r>
      <w:bookmarkEnd w:id="0"/>
      <w:r w:rsidRPr="00C86BAD">
        <w:rPr>
          <w:rFonts w:asciiTheme="minorHAnsi" w:hAnsiTheme="minorHAnsi"/>
          <w:sz w:val="32"/>
          <w:szCs w:val="32"/>
        </w:rPr>
        <w:t xml:space="preserve"> </w:t>
      </w:r>
      <w:bookmarkEnd w:id="1"/>
    </w:p>
    <w:p w:rsidR="001940D8" w:rsidRPr="004F5586" w:rsidRDefault="001940D8" w:rsidP="001940D8">
      <w:pPr>
        <w:pStyle w:val="ListParagraph"/>
        <w:widowControl/>
        <w:numPr>
          <w:ilvl w:val="1"/>
          <w:numId w:val="1"/>
        </w:numPr>
        <w:spacing w:after="120"/>
        <w:contextualSpacing w:val="0"/>
        <w:rPr>
          <w:rFonts w:asciiTheme="minorHAnsi" w:hAnsiTheme="minorHAnsi"/>
          <w:sz w:val="24"/>
        </w:rPr>
      </w:pPr>
      <w:r w:rsidRPr="004F5586">
        <w:rPr>
          <w:rFonts w:asciiTheme="minorHAnsi" w:hAnsiTheme="minorHAnsi"/>
          <w:sz w:val="24"/>
        </w:rPr>
        <w:t>The submission requested General Schedule and Section 100 (Highly Specialised Drugs Program) Authority Required (STREAMLINED) listings for the fixed dose combination (FDC) of glecaprevir and pibrentasvir (GLE-PIB) for the treatment of chronic hepatitis C (CHC) for genotypes 1-6.</w:t>
      </w:r>
    </w:p>
    <w:p w:rsidR="001940D8" w:rsidRPr="004F5586" w:rsidRDefault="001940D8" w:rsidP="001940D8">
      <w:pPr>
        <w:pStyle w:val="Caption"/>
        <w:keepNext/>
      </w:pPr>
      <w:r w:rsidRPr="004F5586">
        <w:t xml:space="preserve">Table </w:t>
      </w:r>
      <w:r w:rsidRPr="004F5586">
        <w:rPr>
          <w:noProof/>
        </w:rPr>
        <w:t>1</w:t>
      </w:r>
      <w:r w:rsidRPr="004F5586">
        <w:t>: Key components of the clinical issue addressed by the submission</w:t>
      </w:r>
    </w:p>
    <w:tbl>
      <w:tblPr>
        <w:tblStyle w:val="TableGridbeth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588"/>
        <w:gridCol w:w="7484"/>
      </w:tblGrid>
      <w:tr w:rsidR="001940D8" w:rsidRPr="004F5586" w:rsidTr="00E35312">
        <w:trPr>
          <w:cnfStyle w:val="100000000000" w:firstRow="1" w:lastRow="0" w:firstColumn="0" w:lastColumn="0" w:oddVBand="0" w:evenVBand="0" w:oddHBand="0" w:evenHBand="0" w:firstRowFirstColumn="0" w:firstRowLastColumn="0" w:lastRowFirstColumn="0" w:lastRowLastColumn="0"/>
          <w:cantSplit/>
          <w:tblHeader/>
        </w:trPr>
        <w:tc>
          <w:tcPr>
            <w:tcW w:w="1588" w:type="dxa"/>
            <w:shd w:val="clear" w:color="auto" w:fill="auto"/>
          </w:tcPr>
          <w:p w:rsidR="001940D8" w:rsidRPr="004F5586" w:rsidRDefault="001940D8" w:rsidP="00E35312">
            <w:pPr>
              <w:keepNext/>
              <w:rPr>
                <w:rFonts w:ascii="Arial Narrow" w:hAnsi="Arial Narrow"/>
                <w:sz w:val="20"/>
              </w:rPr>
            </w:pPr>
            <w:r w:rsidRPr="004F5586">
              <w:rPr>
                <w:rFonts w:ascii="Arial Narrow" w:hAnsi="Arial Narrow"/>
                <w:sz w:val="20"/>
              </w:rPr>
              <w:t>Component</w:t>
            </w:r>
          </w:p>
        </w:tc>
        <w:tc>
          <w:tcPr>
            <w:tcW w:w="7484" w:type="dxa"/>
            <w:shd w:val="clear" w:color="auto" w:fill="auto"/>
          </w:tcPr>
          <w:p w:rsidR="001940D8" w:rsidRPr="004F5586" w:rsidRDefault="001940D8" w:rsidP="00E35312">
            <w:pPr>
              <w:keepNext/>
              <w:rPr>
                <w:rFonts w:ascii="Arial Narrow" w:hAnsi="Arial Narrow"/>
                <w:sz w:val="20"/>
              </w:rPr>
            </w:pPr>
            <w:r w:rsidRPr="004F5586">
              <w:rPr>
                <w:rFonts w:ascii="Arial Narrow" w:hAnsi="Arial Narrow"/>
                <w:sz w:val="20"/>
              </w:rPr>
              <w:t>Description</w:t>
            </w:r>
          </w:p>
        </w:tc>
      </w:tr>
      <w:tr w:rsidR="001940D8" w:rsidRPr="004F5586" w:rsidTr="00E35312">
        <w:trPr>
          <w:cantSplit/>
        </w:trPr>
        <w:tc>
          <w:tcPr>
            <w:tcW w:w="1588" w:type="dxa"/>
            <w:shd w:val="clear" w:color="auto" w:fill="auto"/>
          </w:tcPr>
          <w:p w:rsidR="001940D8" w:rsidRPr="004F5586" w:rsidRDefault="001940D8" w:rsidP="00E35312">
            <w:pPr>
              <w:keepNext/>
              <w:rPr>
                <w:rFonts w:ascii="Arial Narrow" w:hAnsi="Arial Narrow"/>
                <w:sz w:val="20"/>
              </w:rPr>
            </w:pPr>
            <w:r w:rsidRPr="004F5586">
              <w:rPr>
                <w:rFonts w:ascii="Arial Narrow" w:hAnsi="Arial Narrow"/>
                <w:sz w:val="20"/>
              </w:rPr>
              <w:t>Population</w:t>
            </w:r>
          </w:p>
        </w:tc>
        <w:tc>
          <w:tcPr>
            <w:tcW w:w="7484" w:type="dxa"/>
            <w:shd w:val="clear" w:color="auto" w:fill="auto"/>
          </w:tcPr>
          <w:p w:rsidR="001940D8" w:rsidRPr="004F5586" w:rsidRDefault="001940D8" w:rsidP="00E35312">
            <w:pPr>
              <w:keepNext/>
              <w:rPr>
                <w:rFonts w:ascii="Arial Narrow" w:hAnsi="Arial Narrow"/>
                <w:iCs/>
                <w:sz w:val="20"/>
              </w:rPr>
            </w:pPr>
            <w:r w:rsidRPr="004F5586">
              <w:rPr>
                <w:rFonts w:ascii="Arial Narrow" w:hAnsi="Arial Narrow"/>
                <w:sz w:val="20"/>
              </w:rPr>
              <w:t xml:space="preserve">Patients with chronic hepatitis C (CHC), genotypes 1-6, </w:t>
            </w:r>
            <w:r w:rsidRPr="004F5586">
              <w:rPr>
                <w:rFonts w:ascii="Arial Narrow" w:hAnsi="Arial Narrow"/>
                <w:iCs/>
                <w:sz w:val="20"/>
              </w:rPr>
              <w:t>including those who have failed prior treatment with an NS5A inhibitor</w:t>
            </w:r>
            <w:r>
              <w:rPr>
                <w:rFonts w:ascii="Arial Narrow" w:hAnsi="Arial Narrow"/>
                <w:iCs/>
                <w:sz w:val="20"/>
              </w:rPr>
              <w:t>.</w:t>
            </w:r>
          </w:p>
        </w:tc>
      </w:tr>
      <w:tr w:rsidR="001940D8" w:rsidRPr="004F5586" w:rsidTr="00E35312">
        <w:trPr>
          <w:cantSplit/>
        </w:trPr>
        <w:tc>
          <w:tcPr>
            <w:tcW w:w="1588" w:type="dxa"/>
            <w:shd w:val="clear" w:color="auto" w:fill="auto"/>
          </w:tcPr>
          <w:p w:rsidR="001940D8" w:rsidRPr="004F5586" w:rsidRDefault="001940D8" w:rsidP="00E35312">
            <w:pPr>
              <w:keepNext/>
              <w:rPr>
                <w:rFonts w:ascii="Arial Narrow" w:hAnsi="Arial Narrow"/>
                <w:sz w:val="20"/>
              </w:rPr>
            </w:pPr>
            <w:r w:rsidRPr="004F5586">
              <w:rPr>
                <w:rFonts w:ascii="Arial Narrow" w:hAnsi="Arial Narrow"/>
                <w:sz w:val="20"/>
              </w:rPr>
              <w:t>Intervention</w:t>
            </w:r>
          </w:p>
        </w:tc>
        <w:tc>
          <w:tcPr>
            <w:tcW w:w="7484" w:type="dxa"/>
            <w:shd w:val="clear" w:color="auto" w:fill="auto"/>
          </w:tcPr>
          <w:p w:rsidR="001940D8" w:rsidRPr="004F5586" w:rsidRDefault="001940D8" w:rsidP="00E35312">
            <w:pPr>
              <w:keepNext/>
              <w:rPr>
                <w:rFonts w:ascii="Arial Narrow" w:hAnsi="Arial Narrow"/>
                <w:sz w:val="20"/>
              </w:rPr>
            </w:pPr>
            <w:r w:rsidRPr="004F5586">
              <w:rPr>
                <w:rFonts w:ascii="Arial Narrow" w:hAnsi="Arial Narrow"/>
                <w:sz w:val="20"/>
              </w:rPr>
              <w:t>100</w:t>
            </w:r>
            <w:r>
              <w:rPr>
                <w:rFonts w:ascii="Arial Narrow" w:hAnsi="Arial Narrow"/>
                <w:sz w:val="20"/>
              </w:rPr>
              <w:t> </w:t>
            </w:r>
            <w:r w:rsidRPr="004F5586">
              <w:rPr>
                <w:rFonts w:ascii="Arial Narrow" w:hAnsi="Arial Narrow"/>
                <w:sz w:val="20"/>
              </w:rPr>
              <w:t>mg glecaprevir with 40</w:t>
            </w:r>
            <w:r>
              <w:rPr>
                <w:rFonts w:ascii="Arial Narrow" w:hAnsi="Arial Narrow"/>
                <w:sz w:val="20"/>
              </w:rPr>
              <w:t> </w:t>
            </w:r>
            <w:r w:rsidRPr="004F5586">
              <w:rPr>
                <w:rFonts w:ascii="Arial Narrow" w:hAnsi="Arial Narrow"/>
                <w:sz w:val="20"/>
              </w:rPr>
              <w:t>mg pibrentasvir (GLE-PIB) tablets, 3 tablets taken once daily. Treatment duration depends on genotype, cirrhotic status and prior treatment experiences (refer to Table 2)</w:t>
            </w:r>
            <w:r>
              <w:rPr>
                <w:rFonts w:ascii="Arial Narrow" w:hAnsi="Arial Narrow"/>
                <w:sz w:val="20"/>
              </w:rPr>
              <w:t>.</w:t>
            </w:r>
          </w:p>
        </w:tc>
      </w:tr>
      <w:tr w:rsidR="001940D8" w:rsidRPr="004F5586" w:rsidTr="00E35312">
        <w:trPr>
          <w:cantSplit/>
        </w:trPr>
        <w:tc>
          <w:tcPr>
            <w:tcW w:w="1588" w:type="dxa"/>
            <w:shd w:val="clear" w:color="auto" w:fill="auto"/>
          </w:tcPr>
          <w:p w:rsidR="001940D8" w:rsidRPr="004F5586" w:rsidRDefault="001940D8" w:rsidP="00E35312">
            <w:pPr>
              <w:keepNext/>
              <w:rPr>
                <w:rFonts w:ascii="Arial Narrow" w:hAnsi="Arial Narrow"/>
                <w:sz w:val="20"/>
              </w:rPr>
            </w:pPr>
            <w:r w:rsidRPr="004F5586">
              <w:rPr>
                <w:rFonts w:ascii="Arial Narrow" w:hAnsi="Arial Narrow"/>
                <w:sz w:val="20"/>
              </w:rPr>
              <w:t>Comparator</w:t>
            </w:r>
          </w:p>
        </w:tc>
        <w:tc>
          <w:tcPr>
            <w:tcW w:w="7484" w:type="dxa"/>
            <w:shd w:val="clear" w:color="auto" w:fill="auto"/>
          </w:tcPr>
          <w:p w:rsidR="001940D8" w:rsidRPr="004F5586" w:rsidRDefault="001940D8" w:rsidP="00E35312">
            <w:pPr>
              <w:keepNext/>
              <w:rPr>
                <w:rFonts w:ascii="Arial Narrow" w:hAnsi="Arial Narrow"/>
                <w:sz w:val="20"/>
              </w:rPr>
            </w:pPr>
            <w:r w:rsidRPr="004F5586">
              <w:rPr>
                <w:rFonts w:ascii="Arial Narrow" w:hAnsi="Arial Narrow"/>
                <w:sz w:val="20"/>
              </w:rPr>
              <w:t xml:space="preserve">A fixed dose combination of sofosbuvir 400mg and velpatasvir 100mg (SOF-VEL), once daily, for 12 weeks, a pangenotypic regimen for the treatment of genotypes 1-6 CHC, </w:t>
            </w:r>
            <w:r w:rsidRPr="004F5586">
              <w:rPr>
                <w:rFonts w:ascii="Arial Narrow" w:hAnsi="Arial Narrow"/>
                <w:iCs/>
                <w:sz w:val="20"/>
              </w:rPr>
              <w:t>in NS5A inhibitor naïve patients</w:t>
            </w:r>
            <w:r w:rsidRPr="004F5586">
              <w:rPr>
                <w:rFonts w:ascii="Arial Narrow" w:hAnsi="Arial Narrow"/>
                <w:sz w:val="20"/>
              </w:rPr>
              <w:t>.</w:t>
            </w:r>
          </w:p>
          <w:p w:rsidR="001940D8" w:rsidRPr="004F5586" w:rsidRDefault="001940D8" w:rsidP="00E35312">
            <w:pPr>
              <w:keepNext/>
              <w:rPr>
                <w:rFonts w:ascii="Arial Narrow" w:hAnsi="Arial Narrow"/>
                <w:iCs/>
                <w:sz w:val="20"/>
              </w:rPr>
            </w:pPr>
            <w:r w:rsidRPr="004F5586">
              <w:rPr>
                <w:rFonts w:ascii="Arial Narrow" w:hAnsi="Arial Narrow"/>
                <w:iCs/>
                <w:sz w:val="20"/>
              </w:rPr>
              <w:t>In NS5A experienced patients, ‘no treatment’ may be an appropriate comparator.</w:t>
            </w:r>
          </w:p>
        </w:tc>
      </w:tr>
      <w:tr w:rsidR="001940D8" w:rsidRPr="004F5586" w:rsidTr="00E35312">
        <w:trPr>
          <w:cantSplit/>
        </w:trPr>
        <w:tc>
          <w:tcPr>
            <w:tcW w:w="1588" w:type="dxa"/>
            <w:shd w:val="clear" w:color="auto" w:fill="auto"/>
          </w:tcPr>
          <w:p w:rsidR="001940D8" w:rsidRPr="004F5586" w:rsidRDefault="001940D8" w:rsidP="00E35312">
            <w:pPr>
              <w:keepNext/>
              <w:rPr>
                <w:rFonts w:ascii="Arial Narrow" w:hAnsi="Arial Narrow"/>
                <w:sz w:val="20"/>
              </w:rPr>
            </w:pPr>
            <w:r w:rsidRPr="004F5586">
              <w:rPr>
                <w:rFonts w:ascii="Arial Narrow" w:hAnsi="Arial Narrow"/>
                <w:sz w:val="20"/>
              </w:rPr>
              <w:t>Outcomes</w:t>
            </w:r>
          </w:p>
        </w:tc>
        <w:tc>
          <w:tcPr>
            <w:tcW w:w="7484" w:type="dxa"/>
            <w:shd w:val="clear" w:color="auto" w:fill="auto"/>
          </w:tcPr>
          <w:p w:rsidR="001940D8" w:rsidRPr="004F5586" w:rsidRDefault="001940D8" w:rsidP="00E35312">
            <w:pPr>
              <w:keepNext/>
              <w:rPr>
                <w:rFonts w:ascii="Arial Narrow" w:hAnsi="Arial Narrow"/>
                <w:sz w:val="20"/>
              </w:rPr>
            </w:pPr>
            <w:r w:rsidRPr="004F5586">
              <w:rPr>
                <w:rFonts w:ascii="Arial Narrow" w:hAnsi="Arial Narrow"/>
                <w:sz w:val="20"/>
              </w:rPr>
              <w:t>Sustained virologic response at 12 weeks post treatment (SVR12) and rates of adverse events</w:t>
            </w:r>
          </w:p>
        </w:tc>
      </w:tr>
      <w:tr w:rsidR="001940D8" w:rsidRPr="004F5586" w:rsidTr="00E35312">
        <w:trPr>
          <w:cantSplit/>
        </w:trPr>
        <w:tc>
          <w:tcPr>
            <w:tcW w:w="1588" w:type="dxa"/>
            <w:shd w:val="clear" w:color="auto" w:fill="auto"/>
          </w:tcPr>
          <w:p w:rsidR="001940D8" w:rsidRPr="004F5586" w:rsidRDefault="001940D8" w:rsidP="00E35312">
            <w:pPr>
              <w:keepNext/>
              <w:rPr>
                <w:rFonts w:ascii="Arial Narrow" w:hAnsi="Arial Narrow"/>
                <w:sz w:val="20"/>
              </w:rPr>
            </w:pPr>
            <w:r w:rsidRPr="004F5586">
              <w:rPr>
                <w:rFonts w:ascii="Arial Narrow" w:hAnsi="Arial Narrow"/>
                <w:sz w:val="20"/>
              </w:rPr>
              <w:t>Clinical claim</w:t>
            </w:r>
          </w:p>
        </w:tc>
        <w:tc>
          <w:tcPr>
            <w:tcW w:w="7484" w:type="dxa"/>
            <w:shd w:val="clear" w:color="auto" w:fill="auto"/>
          </w:tcPr>
          <w:p w:rsidR="001940D8" w:rsidRPr="004F5586" w:rsidRDefault="001940D8" w:rsidP="00E35312">
            <w:pPr>
              <w:keepNext/>
              <w:rPr>
                <w:rFonts w:ascii="Arial Narrow" w:hAnsi="Arial Narrow"/>
                <w:sz w:val="20"/>
              </w:rPr>
            </w:pPr>
            <w:r w:rsidRPr="004F5586">
              <w:rPr>
                <w:rFonts w:ascii="Arial Narrow" w:hAnsi="Arial Narrow"/>
                <w:sz w:val="20"/>
              </w:rPr>
              <w:t>The submission claimed that GLE-PIB is non-inferior to SOF-VEL based on an informal comparison of single</w:t>
            </w:r>
            <w:r>
              <w:rPr>
                <w:rFonts w:ascii="Arial Narrow" w:hAnsi="Arial Narrow"/>
                <w:sz w:val="20"/>
              </w:rPr>
              <w:t>-</w:t>
            </w:r>
            <w:r w:rsidRPr="004F5586">
              <w:rPr>
                <w:rFonts w:ascii="Arial Narrow" w:hAnsi="Arial Narrow"/>
                <w:sz w:val="20"/>
              </w:rPr>
              <w:t>arm studies</w:t>
            </w:r>
            <w:r>
              <w:rPr>
                <w:rFonts w:ascii="Arial Narrow" w:hAnsi="Arial Narrow"/>
                <w:sz w:val="20"/>
              </w:rPr>
              <w:t>.</w:t>
            </w:r>
          </w:p>
        </w:tc>
      </w:tr>
    </w:tbl>
    <w:p w:rsidR="001940D8" w:rsidRPr="004F5586" w:rsidRDefault="001940D8" w:rsidP="001940D8">
      <w:pPr>
        <w:spacing w:after="120"/>
        <w:contextualSpacing/>
        <w:rPr>
          <w:rFonts w:ascii="Arial Narrow" w:hAnsi="Arial Narrow"/>
          <w:sz w:val="18"/>
        </w:rPr>
      </w:pPr>
      <w:r w:rsidRPr="004F5586">
        <w:rPr>
          <w:rFonts w:ascii="Arial Narrow" w:hAnsi="Arial Narrow"/>
          <w:sz w:val="18"/>
        </w:rPr>
        <w:t>Source: compiled during the evaluation</w:t>
      </w:r>
    </w:p>
    <w:p w:rsidR="001940D8" w:rsidRDefault="001940D8" w:rsidP="001940D8">
      <w:pPr>
        <w:pStyle w:val="PBACHeading1"/>
        <w:rPr>
          <w:rFonts w:asciiTheme="minorHAnsi" w:hAnsiTheme="minorHAnsi"/>
          <w:sz w:val="32"/>
        </w:rPr>
      </w:pPr>
      <w:bookmarkStart w:id="2" w:name="_Toc476306882"/>
      <w:bookmarkStart w:id="3" w:name="_Toc482354737"/>
      <w:r w:rsidRPr="004F5586">
        <w:rPr>
          <w:rFonts w:asciiTheme="minorHAnsi" w:hAnsiTheme="minorHAnsi"/>
          <w:sz w:val="32"/>
        </w:rPr>
        <w:t>Requested listing</w:t>
      </w:r>
      <w:bookmarkEnd w:id="2"/>
      <w:bookmarkEnd w:id="3"/>
    </w:p>
    <w:p w:rsidR="001940D8" w:rsidRDefault="001940D8" w:rsidP="001940D8">
      <w:pPr>
        <w:pStyle w:val="ListParagraph"/>
        <w:widowControl/>
        <w:numPr>
          <w:ilvl w:val="1"/>
          <w:numId w:val="1"/>
        </w:numPr>
        <w:spacing w:after="120"/>
        <w:contextualSpacing w:val="0"/>
        <w:rPr>
          <w:rFonts w:asciiTheme="minorHAnsi" w:hAnsiTheme="minorHAnsi"/>
          <w:sz w:val="24"/>
        </w:rPr>
      </w:pPr>
      <w:r w:rsidRPr="0064671F">
        <w:rPr>
          <w:rFonts w:asciiTheme="minorHAnsi" w:hAnsiTheme="minorHAnsi"/>
          <w:sz w:val="24"/>
        </w:rPr>
        <w:t>To be finalised.</w:t>
      </w:r>
      <w:r>
        <w:rPr>
          <w:rFonts w:asciiTheme="minorHAnsi" w:hAnsiTheme="minorHAnsi"/>
          <w:sz w:val="24"/>
        </w:rPr>
        <w:t xml:space="preserve">  The submission’s proposed restriction is given below.</w:t>
      </w:r>
    </w:p>
    <w:p w:rsidR="001940D8" w:rsidRDefault="001940D8" w:rsidP="001940D8">
      <w:pPr>
        <w:pStyle w:val="ListParagraph"/>
        <w:widowControl/>
        <w:numPr>
          <w:ilvl w:val="1"/>
          <w:numId w:val="1"/>
        </w:numPr>
        <w:spacing w:after="120"/>
        <w:contextualSpacing w:val="0"/>
        <w:rPr>
          <w:rFonts w:asciiTheme="minorHAnsi" w:hAnsiTheme="minorHAnsi"/>
          <w:sz w:val="24"/>
        </w:rPr>
      </w:pPr>
      <w:r w:rsidRPr="00B051D4">
        <w:rPr>
          <w:rFonts w:asciiTheme="minorHAnsi" w:hAnsiTheme="minorHAnsi"/>
          <w:sz w:val="24"/>
        </w:rPr>
        <w:t xml:space="preserve">The restriction requests an authority required (streamlined) listing, whereas the current PBS listings for the DAA for HCV infection are authority required (telephone).  The PBAC recommended an authority required (telephone) listing for sofosbuvir with velpatasvir in November 2016. Additionally, the different durations of treatment necessary for GLE-PIB in different settings (see Table 2) may make a telephone authority appropriate to ensure that the special pricing arrangement </w:t>
      </w:r>
      <w:r>
        <w:rPr>
          <w:rFonts w:asciiTheme="minorHAnsi" w:hAnsiTheme="minorHAnsi"/>
          <w:sz w:val="24"/>
        </w:rPr>
        <w:t xml:space="preserve">(SPA) </w:t>
      </w:r>
      <w:r w:rsidRPr="00B051D4">
        <w:rPr>
          <w:rFonts w:asciiTheme="minorHAnsi" w:hAnsiTheme="minorHAnsi"/>
          <w:sz w:val="24"/>
        </w:rPr>
        <w:t>requested by the sponsor can be properly administered (as is the case with the current DAA listings).</w:t>
      </w:r>
    </w:p>
    <w:p w:rsidR="001940D8" w:rsidRPr="006C06A7" w:rsidRDefault="001940D8" w:rsidP="001940D8">
      <w:pPr>
        <w:pStyle w:val="ListParagraph"/>
        <w:widowControl/>
        <w:numPr>
          <w:ilvl w:val="1"/>
          <w:numId w:val="1"/>
        </w:numPr>
        <w:contextualSpacing w:val="0"/>
        <w:rPr>
          <w:rFonts w:asciiTheme="minorHAnsi" w:hAnsiTheme="minorHAnsi"/>
          <w:sz w:val="24"/>
          <w:szCs w:val="24"/>
        </w:rPr>
      </w:pPr>
      <w:r w:rsidRPr="006C06A7">
        <w:rPr>
          <w:rFonts w:asciiTheme="minorHAnsi" w:hAnsiTheme="minorHAnsi"/>
          <w:sz w:val="24"/>
          <w:szCs w:val="24"/>
        </w:rPr>
        <w:t>The pre-PBAC Response argued that any SPA would be administered via distinct PBS codes associated with each treatment duration and that as the SPA is structured in such a way that the same cost for treatment is applied per patient, no risk is posed to the administration of the SPA by an authority required (streamlined) listing. The sponsor also argued that the request for a streamlined listing supports the simplification of treatment decisions and prescribing to support the management of HCV treatment to all people in Australia – noting that all oral DAA therapies are considered safe and well tolerated</w:t>
      </w:r>
      <w:r>
        <w:rPr>
          <w:rFonts w:asciiTheme="minorHAnsi" w:hAnsiTheme="minorHAnsi"/>
          <w:sz w:val="24"/>
          <w:szCs w:val="24"/>
        </w:rPr>
        <w:t>;</w:t>
      </w:r>
      <w:r w:rsidRPr="006C06A7">
        <w:rPr>
          <w:rFonts w:asciiTheme="minorHAnsi" w:hAnsiTheme="minorHAnsi"/>
          <w:sz w:val="24"/>
          <w:szCs w:val="24"/>
        </w:rPr>
        <w:t xml:space="preserve"> they are not restricted by patient population</w:t>
      </w:r>
      <w:r>
        <w:rPr>
          <w:rFonts w:asciiTheme="minorHAnsi" w:hAnsiTheme="minorHAnsi"/>
          <w:sz w:val="24"/>
          <w:szCs w:val="24"/>
        </w:rPr>
        <w:t>;</w:t>
      </w:r>
      <w:r w:rsidRPr="006C06A7">
        <w:rPr>
          <w:rFonts w:asciiTheme="minorHAnsi" w:hAnsiTheme="minorHAnsi"/>
          <w:sz w:val="24"/>
          <w:szCs w:val="24"/>
        </w:rPr>
        <w:t xml:space="preserve"> </w:t>
      </w:r>
      <w:r w:rsidRPr="006C06A7">
        <w:rPr>
          <w:rFonts w:asciiTheme="minorHAnsi" w:hAnsiTheme="minorHAnsi"/>
          <w:sz w:val="24"/>
          <w:szCs w:val="24"/>
        </w:rPr>
        <w:lastRenderedPageBreak/>
        <w:t>and are pan</w:t>
      </w:r>
      <w:r>
        <w:rPr>
          <w:rFonts w:asciiTheme="minorHAnsi" w:hAnsiTheme="minorHAnsi"/>
          <w:sz w:val="24"/>
          <w:szCs w:val="24"/>
        </w:rPr>
        <w:t>-</w:t>
      </w:r>
      <w:r w:rsidRPr="006C06A7">
        <w:rPr>
          <w:rFonts w:asciiTheme="minorHAnsi" w:hAnsiTheme="minorHAnsi"/>
          <w:sz w:val="24"/>
          <w:szCs w:val="24"/>
        </w:rPr>
        <w:t>genotypic</w:t>
      </w:r>
      <w:r>
        <w:rPr>
          <w:rFonts w:asciiTheme="minorHAnsi" w:hAnsiTheme="minorHAnsi"/>
          <w:sz w:val="24"/>
          <w:szCs w:val="24"/>
        </w:rPr>
        <w:t>,</w:t>
      </w:r>
      <w:r w:rsidRPr="006C06A7">
        <w:rPr>
          <w:rFonts w:asciiTheme="minorHAnsi" w:hAnsiTheme="minorHAnsi"/>
          <w:sz w:val="24"/>
          <w:szCs w:val="24"/>
        </w:rPr>
        <w:t xml:space="preserve"> eliminating the risk of prescribing to inapprop</w:t>
      </w:r>
      <w:r>
        <w:rPr>
          <w:rFonts w:asciiTheme="minorHAnsi" w:hAnsiTheme="minorHAnsi"/>
          <w:sz w:val="24"/>
          <w:szCs w:val="24"/>
        </w:rPr>
        <w:t>riate patient populations.</w:t>
      </w:r>
    </w:p>
    <w:p w:rsidR="001940D8" w:rsidRDefault="001940D8" w:rsidP="001940D8"/>
    <w:tbl>
      <w:tblPr>
        <w:tblW w:w="4909" w:type="pct"/>
        <w:tblInd w:w="170" w:type="dxa"/>
        <w:tblCellMar>
          <w:left w:w="28" w:type="dxa"/>
          <w:right w:w="28" w:type="dxa"/>
        </w:tblCellMar>
        <w:tblLook w:val="04A0" w:firstRow="1" w:lastRow="0" w:firstColumn="1" w:lastColumn="0" w:noHBand="0" w:noVBand="1"/>
      </w:tblPr>
      <w:tblGrid>
        <w:gridCol w:w="1355"/>
        <w:gridCol w:w="1033"/>
        <w:gridCol w:w="644"/>
        <w:gridCol w:w="644"/>
        <w:gridCol w:w="644"/>
        <w:gridCol w:w="2399"/>
        <w:gridCol w:w="877"/>
        <w:gridCol w:w="1321"/>
      </w:tblGrid>
      <w:tr w:rsidR="001940D8" w:rsidRPr="004F5586" w:rsidTr="00E35312">
        <w:trPr>
          <w:cantSplit/>
          <w:trHeight w:val="20"/>
        </w:trPr>
        <w:tc>
          <w:tcPr>
            <w:tcW w:w="1339" w:type="pct"/>
            <w:gridSpan w:val="2"/>
            <w:tcBorders>
              <w:top w:val="nil"/>
              <w:left w:val="nil"/>
              <w:bottom w:val="single" w:sz="4" w:space="0" w:color="auto"/>
              <w:right w:val="nil"/>
            </w:tcBorders>
            <w:hideMark/>
          </w:tcPr>
          <w:p w:rsidR="001940D8" w:rsidRPr="004F5586" w:rsidRDefault="001940D8" w:rsidP="00E35312">
            <w:pPr>
              <w:keepNext/>
              <w:rPr>
                <w:rFonts w:ascii="Arial Narrow" w:hAnsi="Arial Narrow"/>
                <w:b/>
                <w:sz w:val="20"/>
              </w:rPr>
            </w:pPr>
            <w:r w:rsidRPr="004F5586">
              <w:rPr>
                <w:rFonts w:ascii="Arial Narrow" w:hAnsi="Arial Narrow"/>
                <w:b/>
                <w:sz w:val="20"/>
              </w:rPr>
              <w:t>Name, Restriction,</w:t>
            </w:r>
          </w:p>
          <w:p w:rsidR="001940D8" w:rsidRPr="004F5586" w:rsidRDefault="001940D8" w:rsidP="00E35312">
            <w:pPr>
              <w:keepNext/>
              <w:rPr>
                <w:rFonts w:ascii="Arial Narrow" w:hAnsi="Arial Narrow"/>
                <w:b/>
                <w:sz w:val="20"/>
              </w:rPr>
            </w:pPr>
            <w:r w:rsidRPr="004F5586">
              <w:rPr>
                <w:rFonts w:ascii="Arial Narrow" w:hAnsi="Arial Narrow"/>
                <w:b/>
                <w:sz w:val="20"/>
              </w:rPr>
              <w:t>Manner of administration and form</w:t>
            </w:r>
          </w:p>
        </w:tc>
        <w:tc>
          <w:tcPr>
            <w:tcW w:w="361" w:type="pct"/>
            <w:tcBorders>
              <w:top w:val="nil"/>
              <w:left w:val="nil"/>
              <w:bottom w:val="single" w:sz="4" w:space="0" w:color="auto"/>
              <w:right w:val="nil"/>
            </w:tcBorders>
            <w:hideMark/>
          </w:tcPr>
          <w:p w:rsidR="001940D8" w:rsidRPr="004F5586" w:rsidRDefault="001940D8" w:rsidP="00E35312">
            <w:pPr>
              <w:keepNext/>
              <w:jc w:val="center"/>
              <w:rPr>
                <w:rFonts w:ascii="Arial Narrow" w:hAnsi="Arial Narrow"/>
                <w:b/>
                <w:sz w:val="20"/>
              </w:rPr>
            </w:pPr>
            <w:r w:rsidRPr="004F5586">
              <w:rPr>
                <w:rFonts w:ascii="Arial Narrow" w:hAnsi="Arial Narrow"/>
                <w:b/>
                <w:sz w:val="20"/>
              </w:rPr>
              <w:t>Max qty packs</w:t>
            </w:r>
          </w:p>
        </w:tc>
        <w:tc>
          <w:tcPr>
            <w:tcW w:w="361" w:type="pct"/>
            <w:tcBorders>
              <w:top w:val="nil"/>
              <w:left w:val="nil"/>
              <w:bottom w:val="single" w:sz="4" w:space="0" w:color="auto"/>
              <w:right w:val="nil"/>
            </w:tcBorders>
          </w:tcPr>
          <w:p w:rsidR="001940D8" w:rsidRPr="004F5586" w:rsidRDefault="001940D8" w:rsidP="00E35312">
            <w:pPr>
              <w:keepNext/>
              <w:jc w:val="center"/>
              <w:rPr>
                <w:rFonts w:ascii="Arial Narrow" w:hAnsi="Arial Narrow"/>
                <w:b/>
                <w:sz w:val="20"/>
              </w:rPr>
            </w:pPr>
            <w:r w:rsidRPr="004F5586">
              <w:rPr>
                <w:rFonts w:ascii="Arial Narrow" w:hAnsi="Arial Narrow"/>
                <w:b/>
                <w:sz w:val="20"/>
              </w:rPr>
              <w:t>Max qty units</w:t>
            </w:r>
          </w:p>
        </w:tc>
        <w:tc>
          <w:tcPr>
            <w:tcW w:w="361" w:type="pct"/>
            <w:tcBorders>
              <w:top w:val="nil"/>
              <w:left w:val="nil"/>
              <w:bottom w:val="single" w:sz="4" w:space="0" w:color="auto"/>
              <w:right w:val="nil"/>
            </w:tcBorders>
            <w:hideMark/>
          </w:tcPr>
          <w:p w:rsidR="001940D8" w:rsidRPr="004F5586" w:rsidRDefault="001940D8" w:rsidP="00E35312">
            <w:pPr>
              <w:keepNext/>
              <w:jc w:val="center"/>
              <w:rPr>
                <w:rFonts w:ascii="Arial Narrow" w:hAnsi="Arial Narrow"/>
                <w:b/>
                <w:sz w:val="20"/>
              </w:rPr>
            </w:pPr>
            <w:r w:rsidRPr="004F5586">
              <w:rPr>
                <w:rFonts w:ascii="Arial Narrow" w:hAnsi="Arial Narrow"/>
                <w:b/>
                <w:sz w:val="20"/>
              </w:rPr>
              <w:t>№.of</w:t>
            </w:r>
          </w:p>
          <w:p w:rsidR="001940D8" w:rsidRPr="004F5586" w:rsidRDefault="001940D8" w:rsidP="00E35312">
            <w:pPr>
              <w:keepNext/>
              <w:jc w:val="center"/>
              <w:rPr>
                <w:rFonts w:ascii="Arial Narrow" w:hAnsi="Arial Narrow"/>
                <w:b/>
                <w:sz w:val="20"/>
              </w:rPr>
            </w:pPr>
            <w:r w:rsidRPr="004F5586">
              <w:rPr>
                <w:rFonts w:ascii="Arial Narrow" w:hAnsi="Arial Narrow"/>
                <w:b/>
                <w:sz w:val="20"/>
              </w:rPr>
              <w:t>Rpts</w:t>
            </w:r>
          </w:p>
        </w:tc>
        <w:tc>
          <w:tcPr>
            <w:tcW w:w="1345" w:type="pct"/>
            <w:tcBorders>
              <w:top w:val="nil"/>
              <w:left w:val="nil"/>
              <w:bottom w:val="single" w:sz="4" w:space="0" w:color="auto"/>
              <w:right w:val="nil"/>
            </w:tcBorders>
            <w:hideMark/>
          </w:tcPr>
          <w:p w:rsidR="001940D8" w:rsidRPr="004F5586" w:rsidRDefault="001940D8" w:rsidP="00E35312">
            <w:pPr>
              <w:keepNext/>
              <w:jc w:val="center"/>
              <w:rPr>
                <w:rFonts w:ascii="Arial Narrow" w:hAnsi="Arial Narrow"/>
                <w:b/>
                <w:sz w:val="20"/>
              </w:rPr>
            </w:pPr>
            <w:r w:rsidRPr="004F5586">
              <w:rPr>
                <w:rFonts w:ascii="Arial Narrow" w:hAnsi="Arial Narrow"/>
                <w:b/>
                <w:sz w:val="20"/>
              </w:rPr>
              <w:t>Dispensed Price for Max. Qty*</w:t>
            </w:r>
          </w:p>
        </w:tc>
        <w:tc>
          <w:tcPr>
            <w:tcW w:w="1232" w:type="pct"/>
            <w:gridSpan w:val="2"/>
            <w:tcBorders>
              <w:top w:val="nil"/>
              <w:left w:val="nil"/>
              <w:bottom w:val="single" w:sz="4" w:space="0" w:color="auto"/>
              <w:right w:val="nil"/>
            </w:tcBorders>
            <w:hideMark/>
          </w:tcPr>
          <w:p w:rsidR="001940D8" w:rsidRPr="004F5586" w:rsidRDefault="001940D8" w:rsidP="00E35312">
            <w:pPr>
              <w:keepNext/>
              <w:jc w:val="center"/>
              <w:rPr>
                <w:rFonts w:ascii="Arial Narrow" w:hAnsi="Arial Narrow"/>
                <w:b/>
                <w:sz w:val="20"/>
              </w:rPr>
            </w:pPr>
            <w:r w:rsidRPr="004F5586">
              <w:rPr>
                <w:rFonts w:ascii="Arial Narrow" w:hAnsi="Arial Narrow"/>
                <w:b/>
                <w:sz w:val="20"/>
              </w:rPr>
              <w:t>Proprietary Name and Manufacturer</w:t>
            </w:r>
          </w:p>
        </w:tc>
      </w:tr>
      <w:tr w:rsidR="001940D8" w:rsidRPr="004F5586" w:rsidTr="00E35312">
        <w:trPr>
          <w:cantSplit/>
          <w:trHeight w:val="20"/>
        </w:trPr>
        <w:tc>
          <w:tcPr>
            <w:tcW w:w="1339" w:type="pct"/>
            <w:gridSpan w:val="2"/>
            <w:tcBorders>
              <w:top w:val="single" w:sz="4" w:space="0" w:color="auto"/>
            </w:tcBorders>
            <w:vAlign w:val="center"/>
            <w:hideMark/>
          </w:tcPr>
          <w:p w:rsidR="001940D8" w:rsidRPr="004F5586" w:rsidRDefault="001940D8" w:rsidP="00E35312">
            <w:pPr>
              <w:keepNext/>
              <w:rPr>
                <w:rFonts w:ascii="Arial Narrow" w:hAnsi="Arial Narrow"/>
                <w:sz w:val="20"/>
              </w:rPr>
            </w:pPr>
            <w:r w:rsidRPr="004F5586">
              <w:rPr>
                <w:rFonts w:ascii="Arial Narrow" w:hAnsi="Arial Narrow"/>
                <w:smallCaps/>
                <w:sz w:val="20"/>
              </w:rPr>
              <w:t>Glecaprevir/pibrentasvir</w:t>
            </w:r>
          </w:p>
          <w:p w:rsidR="001940D8" w:rsidRPr="004F5586" w:rsidRDefault="001940D8" w:rsidP="00E35312">
            <w:pPr>
              <w:keepNext/>
              <w:rPr>
                <w:rFonts w:ascii="Arial Narrow" w:hAnsi="Arial Narrow"/>
                <w:sz w:val="20"/>
              </w:rPr>
            </w:pPr>
            <w:r w:rsidRPr="004F5586">
              <w:rPr>
                <w:rFonts w:ascii="Arial Narrow" w:hAnsi="Arial Narrow"/>
                <w:sz w:val="20"/>
              </w:rPr>
              <w:t>Tablet 100</w:t>
            </w:r>
            <w:r>
              <w:rPr>
                <w:rFonts w:ascii="Arial Narrow" w:hAnsi="Arial Narrow"/>
                <w:sz w:val="20"/>
              </w:rPr>
              <w:t> </w:t>
            </w:r>
            <w:r w:rsidRPr="004F5586">
              <w:rPr>
                <w:rFonts w:ascii="Arial Narrow" w:hAnsi="Arial Narrow"/>
                <w:sz w:val="20"/>
              </w:rPr>
              <w:t>mg/40</w:t>
            </w:r>
            <w:r>
              <w:rPr>
                <w:rFonts w:ascii="Arial Narrow" w:hAnsi="Arial Narrow"/>
                <w:sz w:val="20"/>
              </w:rPr>
              <w:t> </w:t>
            </w:r>
            <w:r w:rsidRPr="004F5586">
              <w:rPr>
                <w:rFonts w:ascii="Arial Narrow" w:hAnsi="Arial Narrow"/>
                <w:sz w:val="20"/>
              </w:rPr>
              <w:t>mg, 84</w:t>
            </w:r>
          </w:p>
        </w:tc>
        <w:tc>
          <w:tcPr>
            <w:tcW w:w="361" w:type="pct"/>
            <w:tcBorders>
              <w:top w:val="single" w:sz="4" w:space="0" w:color="auto"/>
            </w:tcBorders>
            <w:vAlign w:val="center"/>
          </w:tcPr>
          <w:p w:rsidR="001940D8" w:rsidRPr="004F5586" w:rsidRDefault="001940D8" w:rsidP="00E35312">
            <w:pPr>
              <w:keepNext/>
              <w:jc w:val="center"/>
              <w:rPr>
                <w:rFonts w:ascii="Arial Narrow" w:hAnsi="Arial Narrow"/>
                <w:sz w:val="20"/>
              </w:rPr>
            </w:pPr>
            <w:r w:rsidRPr="004F5586">
              <w:rPr>
                <w:rFonts w:ascii="Arial Narrow" w:hAnsi="Arial Narrow"/>
                <w:sz w:val="20"/>
              </w:rPr>
              <w:t>1</w:t>
            </w:r>
          </w:p>
        </w:tc>
        <w:tc>
          <w:tcPr>
            <w:tcW w:w="361" w:type="pct"/>
            <w:tcBorders>
              <w:top w:val="single" w:sz="4" w:space="0" w:color="auto"/>
            </w:tcBorders>
            <w:vAlign w:val="center"/>
          </w:tcPr>
          <w:p w:rsidR="001940D8" w:rsidRPr="004F5586" w:rsidRDefault="001940D8" w:rsidP="00E35312">
            <w:pPr>
              <w:keepNext/>
              <w:jc w:val="center"/>
              <w:rPr>
                <w:rFonts w:ascii="Arial Narrow" w:hAnsi="Arial Narrow"/>
                <w:sz w:val="20"/>
              </w:rPr>
            </w:pPr>
            <w:r w:rsidRPr="004F5586">
              <w:rPr>
                <w:rFonts w:ascii="Arial Narrow" w:hAnsi="Arial Narrow"/>
                <w:sz w:val="20"/>
              </w:rPr>
              <w:t>84</w:t>
            </w:r>
          </w:p>
        </w:tc>
        <w:tc>
          <w:tcPr>
            <w:tcW w:w="361" w:type="pct"/>
            <w:tcBorders>
              <w:top w:val="single" w:sz="4" w:space="0" w:color="auto"/>
            </w:tcBorders>
            <w:vAlign w:val="center"/>
          </w:tcPr>
          <w:p w:rsidR="001940D8" w:rsidRPr="004F5586" w:rsidRDefault="001940D8" w:rsidP="00E35312">
            <w:pPr>
              <w:keepNext/>
              <w:jc w:val="center"/>
              <w:rPr>
                <w:rFonts w:ascii="Arial Narrow" w:hAnsi="Arial Narrow"/>
                <w:sz w:val="20"/>
              </w:rPr>
            </w:pPr>
            <w:r w:rsidRPr="004F5586">
              <w:rPr>
                <w:rFonts w:ascii="Arial Narrow" w:hAnsi="Arial Narrow"/>
                <w:sz w:val="20"/>
              </w:rPr>
              <w:t>3</w:t>
            </w:r>
          </w:p>
        </w:tc>
        <w:tc>
          <w:tcPr>
            <w:tcW w:w="1345" w:type="pct"/>
            <w:vAlign w:val="center"/>
          </w:tcPr>
          <w:p w:rsidR="001940D8" w:rsidRPr="004F5586" w:rsidRDefault="001940D8" w:rsidP="00E35312">
            <w:pPr>
              <w:keepNext/>
              <w:jc w:val="center"/>
              <w:rPr>
                <w:rFonts w:ascii="Arial Narrow" w:hAnsi="Arial Narrow"/>
                <w:sz w:val="20"/>
              </w:rPr>
            </w:pPr>
            <w:r w:rsidRPr="004F5586">
              <w:rPr>
                <w:rFonts w:ascii="Arial Narrow" w:hAnsi="Arial Narrow"/>
                <w:sz w:val="20"/>
              </w:rPr>
              <w:t>S100 Public: $</w:t>
            </w:r>
            <w:r>
              <w:rPr>
                <w:rFonts w:ascii="Arial Narrow" w:hAnsi="Arial Narrow"/>
                <w:noProof/>
                <w:color w:val="000000"/>
                <w:sz w:val="20"/>
                <w:highlight w:val="black"/>
              </w:rPr>
              <w:t>''''''''''''''''''''''''</w:t>
            </w:r>
          </w:p>
          <w:p w:rsidR="001940D8" w:rsidRPr="004F5586" w:rsidRDefault="001940D8" w:rsidP="00E35312">
            <w:pPr>
              <w:keepNext/>
              <w:jc w:val="center"/>
              <w:rPr>
                <w:rFonts w:ascii="Arial Narrow" w:hAnsi="Arial Narrow"/>
                <w:sz w:val="20"/>
              </w:rPr>
            </w:pPr>
            <w:r w:rsidRPr="004F5586">
              <w:rPr>
                <w:rFonts w:ascii="Arial Narrow" w:hAnsi="Arial Narrow"/>
                <w:sz w:val="20"/>
              </w:rPr>
              <w:t>S100 Private: $</w:t>
            </w:r>
            <w:r>
              <w:rPr>
                <w:rFonts w:ascii="Arial Narrow" w:hAnsi="Arial Narrow"/>
                <w:noProof/>
                <w:color w:val="000000"/>
                <w:sz w:val="20"/>
                <w:highlight w:val="black"/>
              </w:rPr>
              <w:t>'''''''''''''''''''''''</w:t>
            </w:r>
          </w:p>
          <w:p w:rsidR="001940D8" w:rsidRPr="004F5586" w:rsidRDefault="001940D8" w:rsidP="00E35312">
            <w:pPr>
              <w:keepNext/>
              <w:jc w:val="center"/>
              <w:rPr>
                <w:rFonts w:ascii="Arial Narrow" w:hAnsi="Arial Narrow"/>
                <w:sz w:val="20"/>
              </w:rPr>
            </w:pPr>
            <w:r w:rsidRPr="004F5586">
              <w:rPr>
                <w:rFonts w:ascii="Arial Narrow" w:hAnsi="Arial Narrow"/>
                <w:sz w:val="20"/>
              </w:rPr>
              <w:t>S85 General: $</w:t>
            </w:r>
            <w:r>
              <w:rPr>
                <w:rFonts w:ascii="Arial Narrow" w:hAnsi="Arial Narrow"/>
                <w:noProof/>
                <w:color w:val="000000"/>
                <w:sz w:val="20"/>
                <w:highlight w:val="black"/>
              </w:rPr>
              <w:t>''''''''''''''''''''''''''</w:t>
            </w:r>
          </w:p>
        </w:tc>
        <w:tc>
          <w:tcPr>
            <w:tcW w:w="492" w:type="pct"/>
            <w:vAlign w:val="center"/>
            <w:hideMark/>
          </w:tcPr>
          <w:p w:rsidR="001940D8" w:rsidRPr="004F5586" w:rsidRDefault="001940D8" w:rsidP="00E35312">
            <w:pPr>
              <w:keepNext/>
              <w:jc w:val="center"/>
              <w:rPr>
                <w:rFonts w:ascii="Arial Narrow" w:hAnsi="Arial Narrow"/>
                <w:sz w:val="20"/>
              </w:rPr>
            </w:pPr>
            <w:r w:rsidRPr="004F5586">
              <w:rPr>
                <w:rFonts w:ascii="Arial Narrow" w:hAnsi="Arial Narrow"/>
                <w:sz w:val="20"/>
              </w:rPr>
              <w:t>To be determined</w:t>
            </w:r>
          </w:p>
        </w:tc>
        <w:tc>
          <w:tcPr>
            <w:tcW w:w="741" w:type="pct"/>
            <w:vAlign w:val="center"/>
            <w:hideMark/>
          </w:tcPr>
          <w:p w:rsidR="001940D8" w:rsidRPr="004F5586" w:rsidRDefault="001940D8" w:rsidP="00E35312">
            <w:pPr>
              <w:keepNext/>
              <w:jc w:val="center"/>
              <w:rPr>
                <w:rFonts w:ascii="Arial Narrow" w:hAnsi="Arial Narrow"/>
                <w:sz w:val="20"/>
              </w:rPr>
            </w:pPr>
            <w:r w:rsidRPr="004F5586">
              <w:rPr>
                <w:rFonts w:ascii="Arial Narrow" w:hAnsi="Arial Narrow"/>
                <w:sz w:val="20"/>
              </w:rPr>
              <w:t>AbbVie Pty Ltd</w:t>
            </w:r>
          </w:p>
        </w:tc>
      </w:tr>
      <w:tr w:rsidR="001940D8" w:rsidRPr="004F5586" w:rsidTr="00E35312">
        <w:trPr>
          <w:cantSplit/>
          <w:trHeight w:val="20"/>
        </w:trPr>
        <w:tc>
          <w:tcPr>
            <w:tcW w:w="5000" w:type="pct"/>
            <w:gridSpan w:val="8"/>
            <w:vAlign w:val="center"/>
          </w:tcPr>
          <w:p w:rsidR="001940D8" w:rsidRPr="004F5586" w:rsidRDefault="001940D8" w:rsidP="00E35312">
            <w:pPr>
              <w:keepNext/>
              <w:rPr>
                <w:rFonts w:ascii="Arial Narrow" w:hAnsi="Arial Narrow"/>
                <w:sz w:val="20"/>
              </w:rPr>
            </w:pPr>
            <w:r w:rsidRPr="004F5586">
              <w:rPr>
                <w:rFonts w:ascii="Arial Narrow" w:hAnsi="Arial Narrow"/>
                <w:sz w:val="20"/>
              </w:rPr>
              <w:t>*The submission acknowledged that currently listed direct acting antivirals have special pricing arrangements and requested an effective price to match that of sofosbuvir/velpatasvir.</w:t>
            </w:r>
          </w:p>
        </w:tc>
      </w:tr>
      <w:tr w:rsidR="001940D8" w:rsidRPr="004F5586" w:rsidTr="00E35312">
        <w:tblPrEx>
          <w:tblLook w:val="0000" w:firstRow="0" w:lastRow="0" w:firstColumn="0" w:lastColumn="0" w:noHBand="0" w:noVBand="0"/>
        </w:tblPrEx>
        <w:trPr>
          <w:cantSplit/>
          <w:trHeight w:val="570"/>
        </w:trPr>
        <w:tc>
          <w:tcPr>
            <w:tcW w:w="760" w:type="pct"/>
            <w:tcBorders>
              <w:top w:val="single" w:sz="4" w:space="0" w:color="auto"/>
              <w:left w:val="single" w:sz="4" w:space="0" w:color="auto"/>
              <w:bottom w:val="single" w:sz="4" w:space="0" w:color="auto"/>
              <w:right w:val="single" w:sz="4" w:space="0" w:color="auto"/>
            </w:tcBorders>
          </w:tcPr>
          <w:p w:rsidR="001940D8" w:rsidRPr="004F5586" w:rsidRDefault="001940D8" w:rsidP="00E35312">
            <w:pPr>
              <w:rPr>
                <w:rFonts w:ascii="Arial Narrow" w:hAnsi="Arial Narrow"/>
                <w:b/>
                <w:sz w:val="20"/>
              </w:rPr>
            </w:pPr>
            <w:r w:rsidRPr="004F5586">
              <w:rPr>
                <w:rFonts w:ascii="Arial Narrow" w:hAnsi="Arial Narrow"/>
                <w:b/>
                <w:sz w:val="20"/>
              </w:rPr>
              <w:t>Category/ Program</w:t>
            </w:r>
          </w:p>
        </w:tc>
        <w:tc>
          <w:tcPr>
            <w:tcW w:w="4240" w:type="pct"/>
            <w:gridSpan w:val="7"/>
            <w:tcBorders>
              <w:top w:val="single" w:sz="4" w:space="0" w:color="auto"/>
              <w:left w:val="single" w:sz="4" w:space="0" w:color="auto"/>
              <w:bottom w:val="single" w:sz="4" w:space="0" w:color="auto"/>
              <w:right w:val="single" w:sz="4" w:space="0" w:color="auto"/>
            </w:tcBorders>
          </w:tcPr>
          <w:p w:rsidR="001940D8" w:rsidRPr="004F5586" w:rsidRDefault="001940D8" w:rsidP="00E35312">
            <w:pPr>
              <w:rPr>
                <w:rFonts w:ascii="Arial Narrow" w:hAnsi="Arial Narrow"/>
                <w:sz w:val="20"/>
              </w:rPr>
            </w:pPr>
            <w:r w:rsidRPr="004F5586">
              <w:rPr>
                <w:rFonts w:ascii="Arial Narrow" w:hAnsi="Arial Narrow"/>
                <w:sz w:val="20"/>
              </w:rPr>
              <w:t>General Schedule and S100 highly specialised drug program (Public and Private)</w:t>
            </w:r>
          </w:p>
        </w:tc>
      </w:tr>
      <w:tr w:rsidR="001940D8" w:rsidRPr="004F5586" w:rsidTr="00E35312">
        <w:tblPrEx>
          <w:tblLook w:val="0000" w:firstRow="0" w:lastRow="0" w:firstColumn="0" w:lastColumn="0" w:noHBand="0" w:noVBand="0"/>
        </w:tblPrEx>
        <w:trPr>
          <w:cantSplit/>
          <w:trHeight w:val="20"/>
        </w:trPr>
        <w:tc>
          <w:tcPr>
            <w:tcW w:w="760" w:type="pct"/>
            <w:tcBorders>
              <w:top w:val="single" w:sz="4" w:space="0" w:color="auto"/>
              <w:left w:val="single" w:sz="4" w:space="0" w:color="auto"/>
              <w:bottom w:val="single" w:sz="4" w:space="0" w:color="auto"/>
              <w:right w:val="single" w:sz="4" w:space="0" w:color="auto"/>
            </w:tcBorders>
          </w:tcPr>
          <w:p w:rsidR="001940D8" w:rsidRPr="004F5586" w:rsidRDefault="001940D8" w:rsidP="00E35312">
            <w:pPr>
              <w:rPr>
                <w:rFonts w:ascii="Arial Narrow" w:hAnsi="Arial Narrow"/>
                <w:b/>
                <w:sz w:val="20"/>
              </w:rPr>
            </w:pPr>
            <w:r w:rsidRPr="004F5586">
              <w:rPr>
                <w:rFonts w:ascii="Arial Narrow" w:hAnsi="Arial Narrow"/>
                <w:b/>
                <w:sz w:val="20"/>
              </w:rPr>
              <w:t>Prescriber type</w:t>
            </w:r>
          </w:p>
        </w:tc>
        <w:tc>
          <w:tcPr>
            <w:tcW w:w="4240" w:type="pct"/>
            <w:gridSpan w:val="7"/>
            <w:tcBorders>
              <w:top w:val="single" w:sz="4" w:space="0" w:color="auto"/>
              <w:left w:val="single" w:sz="4" w:space="0" w:color="auto"/>
              <w:bottom w:val="single" w:sz="4" w:space="0" w:color="auto"/>
              <w:right w:val="single" w:sz="4" w:space="0" w:color="auto"/>
            </w:tcBorders>
          </w:tcPr>
          <w:p w:rsidR="001940D8" w:rsidRPr="004F5586" w:rsidRDefault="001940D8" w:rsidP="00E35312">
            <w:pPr>
              <w:rPr>
                <w:rFonts w:ascii="Arial Narrow" w:hAnsi="Arial Narrow"/>
                <w:sz w:val="20"/>
              </w:rPr>
            </w:pPr>
            <w:r w:rsidRPr="004F5586">
              <w:rPr>
                <w:rFonts w:ascii="Arial Narrow" w:hAnsi="Arial Narrow"/>
                <w:sz w:val="20"/>
              </w:rPr>
              <w:fldChar w:fldCharType="begin">
                <w:ffData>
                  <w:name w:val="Check1"/>
                  <w:enabled/>
                  <w:calcOnExit w:val="0"/>
                  <w:checkBox>
                    <w:sizeAuto/>
                    <w:default w:val="0"/>
                  </w:checkBox>
                </w:ffData>
              </w:fldChar>
            </w:r>
            <w:r w:rsidRPr="004F5586">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 xml:space="preserve">Dental  </w:t>
            </w:r>
            <w:r w:rsidRPr="004F5586">
              <w:rPr>
                <w:rFonts w:ascii="Arial Narrow" w:hAnsi="Arial Narrow"/>
                <w:sz w:val="20"/>
              </w:rPr>
              <w:fldChar w:fldCharType="begin">
                <w:ffData>
                  <w:name w:val=""/>
                  <w:enabled/>
                  <w:calcOnExit w:val="0"/>
                  <w:checkBox>
                    <w:sizeAuto/>
                    <w:default w:val="1"/>
                  </w:checkBox>
                </w:ffData>
              </w:fldChar>
            </w:r>
            <w:r w:rsidRPr="004F5586">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 xml:space="preserve">Medical Practitioners  </w:t>
            </w:r>
            <w:r w:rsidRPr="004F5586">
              <w:rPr>
                <w:rFonts w:ascii="Arial Narrow" w:hAnsi="Arial Narrow"/>
                <w:sz w:val="20"/>
              </w:rPr>
              <w:fldChar w:fldCharType="begin">
                <w:ffData>
                  <w:name w:val="Check3"/>
                  <w:enabled/>
                  <w:calcOnExit w:val="0"/>
                  <w:checkBox>
                    <w:sizeAuto/>
                    <w:default w:val="0"/>
                  </w:checkBox>
                </w:ffData>
              </w:fldChar>
            </w:r>
            <w:r w:rsidRPr="004F5586">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 xml:space="preserve">Nurse practitioners  </w:t>
            </w:r>
            <w:r w:rsidRPr="004F5586">
              <w:rPr>
                <w:rFonts w:ascii="Arial Narrow" w:hAnsi="Arial Narrow"/>
                <w:sz w:val="20"/>
              </w:rPr>
              <w:fldChar w:fldCharType="begin">
                <w:ffData>
                  <w:name w:val=""/>
                  <w:enabled/>
                  <w:calcOnExit w:val="0"/>
                  <w:checkBox>
                    <w:sizeAuto/>
                    <w:default w:val="0"/>
                  </w:checkBox>
                </w:ffData>
              </w:fldChar>
            </w:r>
            <w:r w:rsidRPr="004F5586">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 xml:space="preserve">Optometrists </w:t>
            </w:r>
            <w:r w:rsidRPr="004F5586">
              <w:rPr>
                <w:rFonts w:ascii="Arial Narrow" w:hAnsi="Arial Narrow"/>
                <w:sz w:val="20"/>
              </w:rPr>
              <w:fldChar w:fldCharType="begin">
                <w:ffData>
                  <w:name w:val="Check5"/>
                  <w:enabled/>
                  <w:calcOnExit w:val="0"/>
                  <w:checkBox>
                    <w:sizeAuto/>
                    <w:default w:val="0"/>
                  </w:checkBox>
                </w:ffData>
              </w:fldChar>
            </w:r>
            <w:r w:rsidRPr="004F5586">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Midwives</w:t>
            </w:r>
          </w:p>
        </w:tc>
      </w:tr>
      <w:tr w:rsidR="001940D8" w:rsidRPr="004F5586" w:rsidTr="00E35312">
        <w:tblPrEx>
          <w:tblLook w:val="0000" w:firstRow="0" w:lastRow="0" w:firstColumn="0" w:lastColumn="0" w:noHBand="0" w:noVBand="0"/>
        </w:tblPrEx>
        <w:trPr>
          <w:cantSplit/>
          <w:trHeight w:val="20"/>
        </w:trPr>
        <w:tc>
          <w:tcPr>
            <w:tcW w:w="760" w:type="pct"/>
            <w:tcBorders>
              <w:top w:val="single" w:sz="4" w:space="0" w:color="auto"/>
              <w:left w:val="single" w:sz="4" w:space="0" w:color="auto"/>
              <w:bottom w:val="single" w:sz="4" w:space="0" w:color="auto"/>
              <w:right w:val="single" w:sz="4" w:space="0" w:color="auto"/>
            </w:tcBorders>
          </w:tcPr>
          <w:p w:rsidR="001940D8" w:rsidRPr="004F5586" w:rsidRDefault="001940D8" w:rsidP="00E35312">
            <w:pPr>
              <w:rPr>
                <w:rFonts w:ascii="Arial Narrow" w:hAnsi="Arial Narrow"/>
                <w:b/>
                <w:sz w:val="20"/>
              </w:rPr>
            </w:pPr>
            <w:r w:rsidRPr="004F5586">
              <w:rPr>
                <w:rFonts w:ascii="Arial Narrow" w:hAnsi="Arial Narrow"/>
                <w:b/>
                <w:sz w:val="20"/>
              </w:rPr>
              <w:t>Episodicity:</w:t>
            </w:r>
          </w:p>
        </w:tc>
        <w:tc>
          <w:tcPr>
            <w:tcW w:w="4240" w:type="pct"/>
            <w:gridSpan w:val="7"/>
            <w:tcBorders>
              <w:top w:val="single" w:sz="4" w:space="0" w:color="auto"/>
              <w:left w:val="single" w:sz="4" w:space="0" w:color="auto"/>
              <w:bottom w:val="single" w:sz="4" w:space="0" w:color="auto"/>
              <w:right w:val="single" w:sz="4" w:space="0" w:color="auto"/>
            </w:tcBorders>
          </w:tcPr>
          <w:p w:rsidR="001940D8" w:rsidRPr="004F5586" w:rsidRDefault="001940D8" w:rsidP="00E35312">
            <w:pPr>
              <w:rPr>
                <w:rFonts w:ascii="Arial Narrow" w:hAnsi="Arial Narrow"/>
                <w:sz w:val="20"/>
              </w:rPr>
            </w:pPr>
            <w:r w:rsidRPr="004F5586">
              <w:rPr>
                <w:rFonts w:ascii="Arial Narrow" w:hAnsi="Arial Narrow"/>
                <w:sz w:val="20"/>
              </w:rPr>
              <w:t>N/A</w:t>
            </w:r>
          </w:p>
        </w:tc>
      </w:tr>
      <w:tr w:rsidR="001940D8" w:rsidRPr="004F5586" w:rsidTr="00E35312">
        <w:tblPrEx>
          <w:tblLook w:val="0000" w:firstRow="0" w:lastRow="0" w:firstColumn="0" w:lastColumn="0" w:noHBand="0" w:noVBand="0"/>
        </w:tblPrEx>
        <w:trPr>
          <w:cantSplit/>
          <w:trHeight w:val="20"/>
        </w:trPr>
        <w:tc>
          <w:tcPr>
            <w:tcW w:w="760" w:type="pct"/>
            <w:tcBorders>
              <w:top w:val="single" w:sz="4" w:space="0" w:color="auto"/>
              <w:left w:val="single" w:sz="4" w:space="0" w:color="auto"/>
              <w:bottom w:val="single" w:sz="4" w:space="0" w:color="auto"/>
              <w:right w:val="single" w:sz="4" w:space="0" w:color="auto"/>
            </w:tcBorders>
          </w:tcPr>
          <w:p w:rsidR="001940D8" w:rsidRPr="004F5586" w:rsidRDefault="001940D8" w:rsidP="00E35312">
            <w:pPr>
              <w:rPr>
                <w:rFonts w:ascii="Arial Narrow" w:hAnsi="Arial Narrow"/>
                <w:b/>
                <w:sz w:val="20"/>
              </w:rPr>
            </w:pPr>
            <w:r w:rsidRPr="004F5586">
              <w:rPr>
                <w:rFonts w:ascii="Arial Narrow" w:hAnsi="Arial Narrow"/>
                <w:b/>
                <w:sz w:val="20"/>
              </w:rPr>
              <w:t>Severity:</w:t>
            </w:r>
          </w:p>
        </w:tc>
        <w:tc>
          <w:tcPr>
            <w:tcW w:w="4240" w:type="pct"/>
            <w:gridSpan w:val="7"/>
            <w:tcBorders>
              <w:top w:val="single" w:sz="4" w:space="0" w:color="auto"/>
              <w:left w:val="single" w:sz="4" w:space="0" w:color="auto"/>
              <w:bottom w:val="single" w:sz="4" w:space="0" w:color="auto"/>
              <w:right w:val="single" w:sz="4" w:space="0" w:color="auto"/>
            </w:tcBorders>
          </w:tcPr>
          <w:p w:rsidR="001940D8" w:rsidRPr="004F5586" w:rsidRDefault="001940D8" w:rsidP="00E35312">
            <w:pPr>
              <w:rPr>
                <w:rFonts w:ascii="Arial Narrow" w:hAnsi="Arial Narrow"/>
                <w:sz w:val="20"/>
              </w:rPr>
            </w:pPr>
            <w:r w:rsidRPr="004F5586">
              <w:rPr>
                <w:rFonts w:ascii="Arial Narrow" w:hAnsi="Arial Narrow"/>
                <w:sz w:val="20"/>
              </w:rPr>
              <w:t>Chronic</w:t>
            </w:r>
          </w:p>
        </w:tc>
      </w:tr>
      <w:tr w:rsidR="001940D8" w:rsidRPr="004F5586" w:rsidTr="00E35312">
        <w:tblPrEx>
          <w:tblLook w:val="0000" w:firstRow="0" w:lastRow="0" w:firstColumn="0" w:lastColumn="0" w:noHBand="0" w:noVBand="0"/>
        </w:tblPrEx>
        <w:trPr>
          <w:cantSplit/>
          <w:trHeight w:val="20"/>
        </w:trPr>
        <w:tc>
          <w:tcPr>
            <w:tcW w:w="760" w:type="pct"/>
            <w:tcBorders>
              <w:top w:val="single" w:sz="4" w:space="0" w:color="auto"/>
              <w:left w:val="single" w:sz="4" w:space="0" w:color="auto"/>
              <w:bottom w:val="single" w:sz="4" w:space="0" w:color="auto"/>
              <w:right w:val="single" w:sz="4" w:space="0" w:color="auto"/>
            </w:tcBorders>
          </w:tcPr>
          <w:p w:rsidR="001940D8" w:rsidRPr="004F5586" w:rsidRDefault="001940D8" w:rsidP="00E35312">
            <w:pPr>
              <w:rPr>
                <w:rFonts w:ascii="Arial Narrow" w:hAnsi="Arial Narrow"/>
                <w:b/>
                <w:sz w:val="20"/>
              </w:rPr>
            </w:pPr>
            <w:r w:rsidRPr="004F5586">
              <w:rPr>
                <w:rFonts w:ascii="Arial Narrow" w:hAnsi="Arial Narrow"/>
                <w:b/>
                <w:sz w:val="20"/>
              </w:rPr>
              <w:t>Condition:</w:t>
            </w:r>
          </w:p>
        </w:tc>
        <w:tc>
          <w:tcPr>
            <w:tcW w:w="4240" w:type="pct"/>
            <w:gridSpan w:val="7"/>
            <w:tcBorders>
              <w:top w:val="single" w:sz="4" w:space="0" w:color="auto"/>
              <w:left w:val="single" w:sz="4" w:space="0" w:color="auto"/>
              <w:bottom w:val="single" w:sz="4" w:space="0" w:color="auto"/>
              <w:right w:val="single" w:sz="4" w:space="0" w:color="auto"/>
            </w:tcBorders>
          </w:tcPr>
          <w:p w:rsidR="001940D8" w:rsidRPr="004F5586" w:rsidRDefault="001940D8" w:rsidP="00E35312">
            <w:pPr>
              <w:rPr>
                <w:rFonts w:ascii="Arial Narrow" w:hAnsi="Arial Narrow"/>
                <w:sz w:val="20"/>
              </w:rPr>
            </w:pPr>
            <w:r w:rsidRPr="004F5586">
              <w:rPr>
                <w:rFonts w:ascii="Arial Narrow" w:hAnsi="Arial Narrow"/>
                <w:sz w:val="20"/>
              </w:rPr>
              <w:t>HCV infection</w:t>
            </w:r>
          </w:p>
        </w:tc>
      </w:tr>
      <w:tr w:rsidR="001940D8" w:rsidRPr="004F5586" w:rsidTr="00E35312">
        <w:tblPrEx>
          <w:tblLook w:val="0000" w:firstRow="0" w:lastRow="0" w:firstColumn="0" w:lastColumn="0" w:noHBand="0" w:noVBand="0"/>
        </w:tblPrEx>
        <w:trPr>
          <w:cantSplit/>
          <w:trHeight w:val="20"/>
        </w:trPr>
        <w:tc>
          <w:tcPr>
            <w:tcW w:w="760" w:type="pct"/>
            <w:tcBorders>
              <w:top w:val="single" w:sz="4" w:space="0" w:color="auto"/>
              <w:left w:val="single" w:sz="4" w:space="0" w:color="auto"/>
              <w:bottom w:val="single" w:sz="4" w:space="0" w:color="auto"/>
              <w:right w:val="single" w:sz="4" w:space="0" w:color="auto"/>
            </w:tcBorders>
          </w:tcPr>
          <w:p w:rsidR="001940D8" w:rsidRPr="004F5586" w:rsidRDefault="001940D8" w:rsidP="00E35312">
            <w:pPr>
              <w:rPr>
                <w:rFonts w:ascii="Arial Narrow" w:hAnsi="Arial Narrow"/>
                <w:b/>
                <w:sz w:val="20"/>
              </w:rPr>
            </w:pPr>
            <w:r w:rsidRPr="004F5586">
              <w:rPr>
                <w:rFonts w:ascii="Arial Narrow" w:hAnsi="Arial Narrow"/>
                <w:b/>
                <w:sz w:val="20"/>
              </w:rPr>
              <w:t>PBS Indication:</w:t>
            </w:r>
          </w:p>
        </w:tc>
        <w:tc>
          <w:tcPr>
            <w:tcW w:w="4240" w:type="pct"/>
            <w:gridSpan w:val="7"/>
            <w:tcBorders>
              <w:top w:val="single" w:sz="4" w:space="0" w:color="auto"/>
              <w:left w:val="single" w:sz="4" w:space="0" w:color="auto"/>
              <w:bottom w:val="single" w:sz="4" w:space="0" w:color="auto"/>
              <w:right w:val="single" w:sz="4" w:space="0" w:color="auto"/>
            </w:tcBorders>
          </w:tcPr>
          <w:p w:rsidR="001940D8" w:rsidRPr="004F5586" w:rsidRDefault="001940D8" w:rsidP="00E35312">
            <w:pPr>
              <w:rPr>
                <w:rFonts w:ascii="Arial Narrow" w:hAnsi="Arial Narrow"/>
                <w:sz w:val="20"/>
              </w:rPr>
            </w:pPr>
            <w:r w:rsidRPr="004F5586">
              <w:rPr>
                <w:rFonts w:ascii="Arial Narrow" w:hAnsi="Arial Narrow"/>
                <w:sz w:val="20"/>
              </w:rPr>
              <w:t>Chronic HCV infection</w:t>
            </w:r>
          </w:p>
        </w:tc>
      </w:tr>
      <w:tr w:rsidR="001940D8" w:rsidRPr="004F5586" w:rsidTr="00E35312">
        <w:tblPrEx>
          <w:tblLook w:val="0000" w:firstRow="0" w:lastRow="0" w:firstColumn="0" w:lastColumn="0" w:noHBand="0" w:noVBand="0"/>
        </w:tblPrEx>
        <w:trPr>
          <w:cantSplit/>
          <w:trHeight w:val="20"/>
        </w:trPr>
        <w:tc>
          <w:tcPr>
            <w:tcW w:w="760" w:type="pct"/>
            <w:tcBorders>
              <w:top w:val="single" w:sz="4" w:space="0" w:color="auto"/>
              <w:left w:val="single" w:sz="4" w:space="0" w:color="auto"/>
              <w:bottom w:val="single" w:sz="4" w:space="0" w:color="auto"/>
              <w:right w:val="single" w:sz="4" w:space="0" w:color="auto"/>
            </w:tcBorders>
          </w:tcPr>
          <w:p w:rsidR="001940D8" w:rsidRPr="004F5586" w:rsidRDefault="001940D8" w:rsidP="00E35312">
            <w:pPr>
              <w:rPr>
                <w:rFonts w:ascii="Arial Narrow" w:hAnsi="Arial Narrow"/>
                <w:b/>
                <w:sz w:val="20"/>
              </w:rPr>
            </w:pPr>
            <w:r w:rsidRPr="004F5586">
              <w:rPr>
                <w:rFonts w:ascii="Arial Narrow" w:hAnsi="Arial Narrow"/>
                <w:b/>
                <w:sz w:val="20"/>
              </w:rPr>
              <w:t>Treatment phase:</w:t>
            </w:r>
          </w:p>
        </w:tc>
        <w:tc>
          <w:tcPr>
            <w:tcW w:w="4240" w:type="pct"/>
            <w:gridSpan w:val="7"/>
            <w:tcBorders>
              <w:top w:val="single" w:sz="4" w:space="0" w:color="auto"/>
              <w:left w:val="single" w:sz="4" w:space="0" w:color="auto"/>
              <w:bottom w:val="single" w:sz="4" w:space="0" w:color="auto"/>
              <w:right w:val="single" w:sz="4" w:space="0" w:color="auto"/>
            </w:tcBorders>
          </w:tcPr>
          <w:p w:rsidR="001940D8" w:rsidRPr="004F5586" w:rsidRDefault="001940D8" w:rsidP="00E35312">
            <w:pPr>
              <w:rPr>
                <w:rFonts w:ascii="Arial Narrow" w:hAnsi="Arial Narrow"/>
                <w:sz w:val="20"/>
              </w:rPr>
            </w:pPr>
            <w:r w:rsidRPr="004F5586">
              <w:rPr>
                <w:rFonts w:ascii="Arial Narrow" w:hAnsi="Arial Narrow"/>
                <w:sz w:val="20"/>
              </w:rPr>
              <w:t>Initial</w:t>
            </w:r>
          </w:p>
        </w:tc>
      </w:tr>
      <w:tr w:rsidR="001940D8" w:rsidRPr="004F5586" w:rsidTr="00E35312">
        <w:tblPrEx>
          <w:tblLook w:val="0000" w:firstRow="0" w:lastRow="0" w:firstColumn="0" w:lastColumn="0" w:noHBand="0" w:noVBand="0"/>
        </w:tblPrEx>
        <w:trPr>
          <w:cantSplit/>
          <w:trHeight w:val="20"/>
        </w:trPr>
        <w:tc>
          <w:tcPr>
            <w:tcW w:w="760" w:type="pct"/>
            <w:tcBorders>
              <w:top w:val="single" w:sz="4" w:space="0" w:color="auto"/>
              <w:left w:val="single" w:sz="4" w:space="0" w:color="auto"/>
              <w:bottom w:val="single" w:sz="4" w:space="0" w:color="auto"/>
              <w:right w:val="single" w:sz="4" w:space="0" w:color="auto"/>
            </w:tcBorders>
          </w:tcPr>
          <w:p w:rsidR="001940D8" w:rsidRPr="004F5586" w:rsidRDefault="001940D8" w:rsidP="00E35312">
            <w:pPr>
              <w:rPr>
                <w:rFonts w:ascii="Arial Narrow" w:hAnsi="Arial Narrow"/>
                <w:sz w:val="20"/>
              </w:rPr>
            </w:pPr>
            <w:r w:rsidRPr="004F5586">
              <w:rPr>
                <w:rFonts w:ascii="Arial Narrow" w:hAnsi="Arial Narrow"/>
                <w:b/>
                <w:sz w:val="20"/>
              </w:rPr>
              <w:t>Restriction:</w:t>
            </w:r>
          </w:p>
        </w:tc>
        <w:tc>
          <w:tcPr>
            <w:tcW w:w="4240" w:type="pct"/>
            <w:gridSpan w:val="7"/>
            <w:tcBorders>
              <w:top w:val="single" w:sz="4" w:space="0" w:color="auto"/>
              <w:left w:val="single" w:sz="4" w:space="0" w:color="auto"/>
              <w:bottom w:val="single" w:sz="4" w:space="0" w:color="auto"/>
              <w:right w:val="single" w:sz="4" w:space="0" w:color="auto"/>
            </w:tcBorders>
          </w:tcPr>
          <w:p w:rsidR="001940D8" w:rsidRPr="004F5586" w:rsidRDefault="001940D8" w:rsidP="00E35312">
            <w:pPr>
              <w:rPr>
                <w:rFonts w:ascii="Arial Narrow" w:hAnsi="Arial Narrow"/>
                <w:sz w:val="20"/>
              </w:rPr>
            </w:pPr>
            <w:r w:rsidRPr="004F5586">
              <w:rPr>
                <w:rFonts w:ascii="Arial Narrow" w:hAnsi="Arial Narrow"/>
                <w:sz w:val="20"/>
              </w:rPr>
              <w:fldChar w:fldCharType="begin">
                <w:ffData>
                  <w:name w:val="Check1"/>
                  <w:enabled/>
                  <w:calcOnExit w:val="0"/>
                  <w:checkBox>
                    <w:sizeAuto/>
                    <w:default w:val="0"/>
                  </w:checkBox>
                </w:ffData>
              </w:fldChar>
            </w:r>
            <w:r w:rsidRPr="004F5586">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Restricted benefit</w:t>
            </w:r>
          </w:p>
          <w:p w:rsidR="001940D8" w:rsidRPr="004F5586" w:rsidRDefault="001940D8" w:rsidP="00E35312">
            <w:pPr>
              <w:rPr>
                <w:rFonts w:ascii="Arial Narrow" w:hAnsi="Arial Narrow"/>
                <w:sz w:val="20"/>
              </w:rPr>
            </w:pPr>
            <w:r w:rsidRPr="004F5586">
              <w:rPr>
                <w:rFonts w:ascii="Arial Narrow" w:hAnsi="Arial Narrow"/>
                <w:sz w:val="20"/>
              </w:rPr>
              <w:fldChar w:fldCharType="begin">
                <w:ffData>
                  <w:name w:val=""/>
                  <w:enabled/>
                  <w:calcOnExit w:val="0"/>
                  <w:checkBox>
                    <w:sizeAuto/>
                    <w:default w:val="0"/>
                  </w:checkBox>
                </w:ffData>
              </w:fldChar>
            </w:r>
            <w:r w:rsidRPr="004F5586">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Authority Required - In Writing</w:t>
            </w:r>
          </w:p>
          <w:p w:rsidR="001940D8" w:rsidRPr="004F5586" w:rsidRDefault="001940D8" w:rsidP="00E35312">
            <w:pPr>
              <w:rPr>
                <w:rFonts w:ascii="Arial Narrow" w:hAnsi="Arial Narrow"/>
                <w:sz w:val="20"/>
              </w:rPr>
            </w:pPr>
            <w:r w:rsidRPr="004F5586">
              <w:rPr>
                <w:rFonts w:ascii="Arial Narrow" w:hAnsi="Arial Narrow"/>
                <w:sz w:val="20"/>
              </w:rPr>
              <w:fldChar w:fldCharType="begin">
                <w:ffData>
                  <w:name w:val=""/>
                  <w:enabled/>
                  <w:calcOnExit w:val="0"/>
                  <w:checkBox>
                    <w:sizeAuto/>
                    <w:default w:val="0"/>
                  </w:checkBox>
                </w:ffData>
              </w:fldChar>
            </w:r>
            <w:r w:rsidRPr="004F5586">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Authority Required - Telephone</w:t>
            </w:r>
          </w:p>
          <w:p w:rsidR="001940D8" w:rsidRPr="004F5586" w:rsidRDefault="001940D8" w:rsidP="00E35312">
            <w:pPr>
              <w:rPr>
                <w:rFonts w:ascii="Arial Narrow" w:hAnsi="Arial Narrow"/>
                <w:sz w:val="20"/>
              </w:rPr>
            </w:pPr>
            <w:r w:rsidRPr="004F5586">
              <w:rPr>
                <w:rFonts w:ascii="Arial Narrow" w:hAnsi="Arial Narrow"/>
                <w:sz w:val="20"/>
              </w:rPr>
              <w:fldChar w:fldCharType="begin">
                <w:ffData>
                  <w:name w:val=""/>
                  <w:enabled/>
                  <w:calcOnExit w:val="0"/>
                  <w:checkBox>
                    <w:sizeAuto/>
                    <w:default w:val="0"/>
                  </w:checkBox>
                </w:ffData>
              </w:fldChar>
            </w:r>
            <w:r w:rsidRPr="004F5586">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Authority Required – Emergency</w:t>
            </w:r>
          </w:p>
          <w:p w:rsidR="001940D8" w:rsidRPr="004F5586" w:rsidRDefault="001940D8" w:rsidP="00E35312">
            <w:pPr>
              <w:rPr>
                <w:rFonts w:ascii="Arial Narrow" w:hAnsi="Arial Narrow"/>
                <w:sz w:val="20"/>
              </w:rPr>
            </w:pPr>
            <w:r w:rsidRPr="004F5586">
              <w:rPr>
                <w:rFonts w:ascii="Arial Narrow" w:hAnsi="Arial Narrow"/>
                <w:sz w:val="20"/>
              </w:rPr>
              <w:fldChar w:fldCharType="begin">
                <w:ffData>
                  <w:name w:val="Check5"/>
                  <w:enabled/>
                  <w:calcOnExit w:val="0"/>
                  <w:checkBox>
                    <w:sizeAuto/>
                    <w:default w:val="0"/>
                  </w:checkBox>
                </w:ffData>
              </w:fldChar>
            </w:r>
            <w:r w:rsidRPr="004F5586">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Authority Required - Electronic</w:t>
            </w:r>
          </w:p>
          <w:p w:rsidR="001940D8" w:rsidRPr="004F5586" w:rsidRDefault="001940D8" w:rsidP="00E35312">
            <w:pPr>
              <w:rPr>
                <w:rFonts w:ascii="Arial Narrow" w:hAnsi="Arial Narrow"/>
                <w:sz w:val="20"/>
              </w:rPr>
            </w:pPr>
            <w:r w:rsidRPr="004F5586">
              <w:rPr>
                <w:rFonts w:ascii="Arial Narrow" w:hAnsi="Arial Narrow"/>
                <w:sz w:val="20"/>
              </w:rPr>
              <w:fldChar w:fldCharType="begin">
                <w:ffData>
                  <w:name w:val="Check5"/>
                  <w:enabled/>
                  <w:calcOnExit w:val="0"/>
                  <w:checkBox>
                    <w:sizeAuto/>
                    <w:default w:val="1"/>
                  </w:checkBox>
                </w:ffData>
              </w:fldChar>
            </w:r>
            <w:r w:rsidRPr="004F5586">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Streamlined</w:t>
            </w:r>
          </w:p>
        </w:tc>
      </w:tr>
      <w:tr w:rsidR="001940D8" w:rsidRPr="004F5586" w:rsidTr="00E35312">
        <w:tblPrEx>
          <w:tblLook w:val="0000" w:firstRow="0" w:lastRow="0" w:firstColumn="0" w:lastColumn="0" w:noHBand="0" w:noVBand="0"/>
        </w:tblPrEx>
        <w:trPr>
          <w:cantSplit/>
          <w:trHeight w:val="20"/>
        </w:trPr>
        <w:tc>
          <w:tcPr>
            <w:tcW w:w="760" w:type="pct"/>
            <w:tcBorders>
              <w:top w:val="single" w:sz="4" w:space="0" w:color="auto"/>
              <w:left w:val="single" w:sz="4" w:space="0" w:color="auto"/>
              <w:bottom w:val="single" w:sz="4" w:space="0" w:color="auto"/>
              <w:right w:val="single" w:sz="4" w:space="0" w:color="auto"/>
            </w:tcBorders>
          </w:tcPr>
          <w:p w:rsidR="001940D8" w:rsidRPr="004F5586" w:rsidRDefault="001940D8" w:rsidP="00E35312">
            <w:pPr>
              <w:rPr>
                <w:rFonts w:ascii="Arial Narrow" w:hAnsi="Arial Narrow"/>
                <w:sz w:val="20"/>
              </w:rPr>
            </w:pPr>
            <w:r w:rsidRPr="004F5586">
              <w:rPr>
                <w:rFonts w:ascii="Arial Narrow" w:hAnsi="Arial Narrow"/>
                <w:b/>
                <w:sz w:val="20"/>
              </w:rPr>
              <w:t>Treatment criteria:</w:t>
            </w:r>
          </w:p>
        </w:tc>
        <w:tc>
          <w:tcPr>
            <w:tcW w:w="4240" w:type="pct"/>
            <w:gridSpan w:val="7"/>
            <w:tcBorders>
              <w:top w:val="single" w:sz="4" w:space="0" w:color="auto"/>
              <w:left w:val="single" w:sz="4" w:space="0" w:color="auto"/>
              <w:bottom w:val="single" w:sz="4" w:space="0" w:color="auto"/>
              <w:right w:val="single" w:sz="4" w:space="0" w:color="auto"/>
            </w:tcBorders>
          </w:tcPr>
          <w:p w:rsidR="001940D8" w:rsidRPr="004F5586" w:rsidRDefault="001940D8" w:rsidP="00E35312">
            <w:pPr>
              <w:rPr>
                <w:rFonts w:ascii="Arial Narrow" w:hAnsi="Arial Narrow"/>
                <w:sz w:val="20"/>
              </w:rPr>
            </w:pPr>
            <w:r w:rsidRPr="004F5586">
              <w:rPr>
                <w:rFonts w:ascii="Arial Narrow" w:hAnsi="Arial Narrow"/>
                <w:sz w:val="20"/>
              </w:rPr>
              <w:t>Must be treated by a medical practitioner experienced in the treatment of chronic hepatitis C infection; or in consultation with a gastroenterologist, hepatologist or infectious diseases physician experienced in the treatment of chronic hepatitis C infection.</w:t>
            </w:r>
          </w:p>
        </w:tc>
      </w:tr>
      <w:tr w:rsidR="001940D8" w:rsidRPr="004F5586" w:rsidTr="00E35312">
        <w:tblPrEx>
          <w:tblLook w:val="0000" w:firstRow="0" w:lastRow="0" w:firstColumn="0" w:lastColumn="0" w:noHBand="0" w:noVBand="0"/>
        </w:tblPrEx>
        <w:trPr>
          <w:cantSplit/>
          <w:trHeight w:val="20"/>
        </w:trPr>
        <w:tc>
          <w:tcPr>
            <w:tcW w:w="760" w:type="pct"/>
            <w:tcBorders>
              <w:top w:val="single" w:sz="4" w:space="0" w:color="auto"/>
              <w:left w:val="single" w:sz="4" w:space="0" w:color="auto"/>
              <w:bottom w:val="single" w:sz="4" w:space="0" w:color="auto"/>
              <w:right w:val="single" w:sz="4" w:space="0" w:color="auto"/>
            </w:tcBorders>
          </w:tcPr>
          <w:p w:rsidR="001940D8" w:rsidRPr="004F5586" w:rsidRDefault="001940D8" w:rsidP="00E35312">
            <w:pPr>
              <w:rPr>
                <w:rFonts w:ascii="Arial Narrow" w:hAnsi="Arial Narrow"/>
                <w:sz w:val="20"/>
              </w:rPr>
            </w:pPr>
            <w:r w:rsidRPr="004F5586">
              <w:rPr>
                <w:rFonts w:ascii="Arial Narrow" w:hAnsi="Arial Narrow"/>
                <w:b/>
                <w:sz w:val="20"/>
              </w:rPr>
              <w:t>Clinical criteria:</w:t>
            </w:r>
          </w:p>
        </w:tc>
        <w:tc>
          <w:tcPr>
            <w:tcW w:w="4240" w:type="pct"/>
            <w:gridSpan w:val="7"/>
            <w:tcBorders>
              <w:top w:val="single" w:sz="4" w:space="0" w:color="auto"/>
              <w:left w:val="single" w:sz="4" w:space="0" w:color="auto"/>
              <w:bottom w:val="single" w:sz="4" w:space="0" w:color="auto"/>
              <w:right w:val="single" w:sz="4" w:space="0" w:color="auto"/>
            </w:tcBorders>
          </w:tcPr>
          <w:p w:rsidR="001940D8" w:rsidRPr="004F5586" w:rsidRDefault="001940D8" w:rsidP="00E35312">
            <w:pPr>
              <w:rPr>
                <w:rFonts w:ascii="Arial Narrow" w:hAnsi="Arial Narrow"/>
                <w:sz w:val="20"/>
              </w:rPr>
            </w:pPr>
            <w:r w:rsidRPr="004F5586">
              <w:rPr>
                <w:rFonts w:ascii="Arial Narrow" w:hAnsi="Arial Narrow"/>
                <w:sz w:val="20"/>
              </w:rPr>
              <w:t>Patient must meet the criteria set out in the General Statement for Drugs for the Treatment of Hepatitis C;</w:t>
            </w:r>
          </w:p>
          <w:p w:rsidR="001940D8" w:rsidRPr="004F5586" w:rsidRDefault="001940D8" w:rsidP="00E35312">
            <w:pPr>
              <w:rPr>
                <w:rFonts w:ascii="Arial Narrow" w:hAnsi="Arial Narrow"/>
                <w:sz w:val="20"/>
              </w:rPr>
            </w:pPr>
            <w:r w:rsidRPr="004F5586">
              <w:rPr>
                <w:rFonts w:ascii="Arial Narrow" w:hAnsi="Arial Narrow"/>
                <w:sz w:val="20"/>
              </w:rPr>
              <w:t>AND</w:t>
            </w:r>
          </w:p>
          <w:p w:rsidR="001940D8" w:rsidRPr="004F5586" w:rsidRDefault="001940D8" w:rsidP="00E35312">
            <w:pPr>
              <w:rPr>
                <w:rFonts w:ascii="Arial Narrow" w:hAnsi="Arial Narrow"/>
                <w:sz w:val="20"/>
              </w:rPr>
            </w:pPr>
            <w:r w:rsidRPr="004F5586">
              <w:rPr>
                <w:rFonts w:ascii="Arial Narrow" w:hAnsi="Arial Narrow"/>
                <w:sz w:val="20"/>
              </w:rPr>
              <w:t>Patient must be taking this drug as part of a regimen set out in the matrix in the General Statement for Drugs for the Treatment of Hepatitis C, based on the hepatitis C virus genotype, patient treatment history and cirrhotic status;</w:t>
            </w:r>
          </w:p>
          <w:p w:rsidR="001940D8" w:rsidRPr="004F5586" w:rsidRDefault="001940D8" w:rsidP="00E35312">
            <w:pPr>
              <w:rPr>
                <w:rFonts w:ascii="Arial Narrow" w:hAnsi="Arial Narrow"/>
                <w:sz w:val="20"/>
              </w:rPr>
            </w:pPr>
            <w:r w:rsidRPr="004F5586">
              <w:rPr>
                <w:rFonts w:ascii="Arial Narrow" w:hAnsi="Arial Narrow"/>
                <w:sz w:val="20"/>
              </w:rPr>
              <w:t>AND</w:t>
            </w:r>
          </w:p>
          <w:p w:rsidR="001940D8" w:rsidRPr="004F5586" w:rsidRDefault="001940D8" w:rsidP="00E35312">
            <w:pPr>
              <w:rPr>
                <w:rFonts w:ascii="Arial Narrow" w:hAnsi="Arial Narrow"/>
                <w:sz w:val="20"/>
              </w:rPr>
            </w:pPr>
            <w:r w:rsidRPr="004F5586">
              <w:rPr>
                <w:rFonts w:ascii="Arial Narrow" w:hAnsi="Arial Narrow"/>
                <w:sz w:val="20"/>
              </w:rPr>
              <w:t>The treatment must be limited to a maximum duration of 16 weeks.</w:t>
            </w:r>
          </w:p>
        </w:tc>
      </w:tr>
      <w:tr w:rsidR="001940D8" w:rsidRPr="004F5586" w:rsidTr="00E35312">
        <w:tblPrEx>
          <w:tblLook w:val="0000" w:firstRow="0" w:lastRow="0" w:firstColumn="0" w:lastColumn="0" w:noHBand="0" w:noVBand="0"/>
        </w:tblPrEx>
        <w:trPr>
          <w:cantSplit/>
          <w:trHeight w:val="20"/>
        </w:trPr>
        <w:tc>
          <w:tcPr>
            <w:tcW w:w="760" w:type="pct"/>
            <w:tcBorders>
              <w:top w:val="single" w:sz="4" w:space="0" w:color="auto"/>
              <w:left w:val="single" w:sz="4" w:space="0" w:color="auto"/>
              <w:bottom w:val="single" w:sz="4" w:space="0" w:color="auto"/>
              <w:right w:val="single" w:sz="4" w:space="0" w:color="auto"/>
            </w:tcBorders>
          </w:tcPr>
          <w:p w:rsidR="001940D8" w:rsidRPr="004F5586" w:rsidRDefault="001940D8" w:rsidP="00E35312">
            <w:pPr>
              <w:rPr>
                <w:rFonts w:ascii="Arial Narrow" w:hAnsi="Arial Narrow"/>
                <w:sz w:val="20"/>
              </w:rPr>
            </w:pPr>
            <w:r w:rsidRPr="004F5586">
              <w:rPr>
                <w:rFonts w:ascii="Arial Narrow" w:hAnsi="Arial Narrow"/>
                <w:b/>
                <w:sz w:val="20"/>
              </w:rPr>
              <w:t>Population criteria:</w:t>
            </w:r>
          </w:p>
        </w:tc>
        <w:tc>
          <w:tcPr>
            <w:tcW w:w="4240" w:type="pct"/>
            <w:gridSpan w:val="7"/>
            <w:tcBorders>
              <w:top w:val="single" w:sz="4" w:space="0" w:color="auto"/>
              <w:left w:val="single" w:sz="4" w:space="0" w:color="auto"/>
              <w:bottom w:val="single" w:sz="4" w:space="0" w:color="auto"/>
              <w:right w:val="single" w:sz="4" w:space="0" w:color="auto"/>
            </w:tcBorders>
          </w:tcPr>
          <w:p w:rsidR="001940D8" w:rsidRPr="004F5586" w:rsidRDefault="001940D8" w:rsidP="00E35312">
            <w:pPr>
              <w:rPr>
                <w:rFonts w:ascii="Arial Narrow" w:hAnsi="Arial Narrow"/>
                <w:sz w:val="20"/>
              </w:rPr>
            </w:pPr>
            <w:r w:rsidRPr="004F5586">
              <w:rPr>
                <w:rFonts w:ascii="Arial Narrow" w:hAnsi="Arial Narrow"/>
                <w:sz w:val="20"/>
              </w:rPr>
              <w:t>Patient must be aged 18 years or older.</w:t>
            </w:r>
          </w:p>
        </w:tc>
      </w:tr>
    </w:tbl>
    <w:p w:rsidR="001940D8" w:rsidRPr="004F5586" w:rsidRDefault="001940D8" w:rsidP="001940D8"/>
    <w:p w:rsidR="001940D8" w:rsidRDefault="001940D8" w:rsidP="001940D8">
      <w:pPr>
        <w:pStyle w:val="ListParagraph"/>
        <w:widowControl/>
        <w:numPr>
          <w:ilvl w:val="1"/>
          <w:numId w:val="1"/>
        </w:numPr>
        <w:contextualSpacing w:val="0"/>
        <w:rPr>
          <w:rFonts w:asciiTheme="minorHAnsi" w:hAnsiTheme="minorHAnsi"/>
          <w:sz w:val="24"/>
        </w:rPr>
      </w:pPr>
      <w:r w:rsidRPr="004F5586">
        <w:rPr>
          <w:rFonts w:asciiTheme="minorHAnsi" w:hAnsiTheme="minorHAnsi"/>
          <w:sz w:val="24"/>
        </w:rPr>
        <w:t xml:space="preserve">The submission was based on a cost-minimisation analysis of glecaprevir/pibrentasvir in comparison with a FDC of sofosbuvir and velpatasvir. The submission acknowledged that all reimbursed oral direct </w:t>
      </w:r>
      <w:r>
        <w:rPr>
          <w:rFonts w:asciiTheme="minorHAnsi" w:hAnsiTheme="minorHAnsi"/>
          <w:sz w:val="24"/>
        </w:rPr>
        <w:t>acting antivirals (DAA) regimen</w:t>
      </w:r>
      <w:r w:rsidRPr="004F5586">
        <w:rPr>
          <w:rFonts w:asciiTheme="minorHAnsi" w:hAnsiTheme="minorHAnsi"/>
          <w:sz w:val="24"/>
        </w:rPr>
        <w:t>s have special pricing arrangements but the specific arrangement for sofosbuvir/velpatasvir is not known. The sponsor indicated a willingness to accept the sofosbuvir/velpatasvir effective price on the basis of a cost-minimisation analysis.</w:t>
      </w:r>
    </w:p>
    <w:p w:rsidR="001940D8" w:rsidRPr="00966A55" w:rsidRDefault="001940D8" w:rsidP="001940D8">
      <w:pPr>
        <w:widowControl/>
        <w:rPr>
          <w:rFonts w:asciiTheme="minorHAnsi" w:hAnsiTheme="minorHAnsi"/>
          <w:sz w:val="24"/>
        </w:rPr>
      </w:pPr>
    </w:p>
    <w:p w:rsidR="001940D8" w:rsidRDefault="001940D8" w:rsidP="001940D8">
      <w:pPr>
        <w:pStyle w:val="ListParagraph"/>
        <w:widowControl/>
        <w:numPr>
          <w:ilvl w:val="1"/>
          <w:numId w:val="1"/>
        </w:numPr>
        <w:contextualSpacing w:val="0"/>
        <w:rPr>
          <w:rFonts w:asciiTheme="minorHAnsi" w:hAnsiTheme="minorHAnsi"/>
          <w:sz w:val="24"/>
        </w:rPr>
      </w:pPr>
      <w:r w:rsidRPr="00533D52">
        <w:rPr>
          <w:rFonts w:asciiTheme="minorHAnsi" w:hAnsiTheme="minorHAnsi"/>
          <w:sz w:val="24"/>
        </w:rPr>
        <w:t xml:space="preserve">Glecaprevir/pibrentasvir is an </w:t>
      </w:r>
      <w:r>
        <w:rPr>
          <w:rFonts w:asciiTheme="minorHAnsi" w:hAnsiTheme="minorHAnsi"/>
          <w:sz w:val="24"/>
        </w:rPr>
        <w:t xml:space="preserve">FDC </w:t>
      </w:r>
      <w:r w:rsidRPr="00533D52">
        <w:rPr>
          <w:rFonts w:asciiTheme="minorHAnsi" w:hAnsiTheme="minorHAnsi"/>
          <w:sz w:val="24"/>
        </w:rPr>
        <w:t>oral tablet containing 100</w:t>
      </w:r>
      <w:r>
        <w:rPr>
          <w:rFonts w:asciiTheme="minorHAnsi" w:hAnsiTheme="minorHAnsi"/>
          <w:sz w:val="24"/>
        </w:rPr>
        <w:t> </w:t>
      </w:r>
      <w:r w:rsidRPr="00533D52">
        <w:rPr>
          <w:rFonts w:asciiTheme="minorHAnsi" w:hAnsiTheme="minorHAnsi"/>
          <w:sz w:val="24"/>
        </w:rPr>
        <w:t>mg glecaprevir and 40</w:t>
      </w:r>
      <w:r>
        <w:rPr>
          <w:rFonts w:asciiTheme="minorHAnsi" w:hAnsiTheme="minorHAnsi"/>
          <w:sz w:val="24"/>
        </w:rPr>
        <w:t> </w:t>
      </w:r>
      <w:r w:rsidRPr="00533D52">
        <w:rPr>
          <w:rFonts w:asciiTheme="minorHAnsi" w:hAnsiTheme="minorHAnsi"/>
          <w:sz w:val="24"/>
        </w:rPr>
        <w:t xml:space="preserve">mg pibrentasvir. The recommended dose of glecaprevir/pibrentasvir is three tablets taken once daily in the morning with food. The proposed duration of </w:t>
      </w:r>
      <w:r w:rsidRPr="00533D52">
        <w:rPr>
          <w:rFonts w:asciiTheme="minorHAnsi" w:hAnsiTheme="minorHAnsi"/>
          <w:sz w:val="24"/>
        </w:rPr>
        <w:lastRenderedPageBreak/>
        <w:t>treatment differs across proposed patient populations from 8 weeks to 16 weeks and is summarised in the table below. The ESC noted that the final durations of treatment</w:t>
      </w:r>
      <w:r>
        <w:rPr>
          <w:rFonts w:asciiTheme="minorHAnsi" w:hAnsiTheme="minorHAnsi"/>
          <w:i/>
          <w:sz w:val="24"/>
        </w:rPr>
        <w:t xml:space="preserve"> </w:t>
      </w:r>
      <w:r w:rsidRPr="00533D52">
        <w:rPr>
          <w:rFonts w:asciiTheme="minorHAnsi" w:hAnsiTheme="minorHAnsi"/>
          <w:sz w:val="24"/>
        </w:rPr>
        <w:t>recommended for use in each subgroup will depend upon the outcomes of the TGA evaluation.</w:t>
      </w:r>
    </w:p>
    <w:p w:rsidR="001940D8" w:rsidRPr="00966A55" w:rsidRDefault="001940D8" w:rsidP="001940D8">
      <w:pPr>
        <w:rPr>
          <w:rFonts w:asciiTheme="minorHAnsi" w:hAnsiTheme="minorHAnsi"/>
          <w:sz w:val="24"/>
        </w:rPr>
      </w:pPr>
    </w:p>
    <w:p w:rsidR="001940D8" w:rsidRPr="00533D52" w:rsidRDefault="001940D8" w:rsidP="001940D8">
      <w:pPr>
        <w:pStyle w:val="ListParagraph"/>
        <w:widowControl/>
        <w:numPr>
          <w:ilvl w:val="1"/>
          <w:numId w:val="1"/>
        </w:numPr>
        <w:contextualSpacing w:val="0"/>
        <w:rPr>
          <w:rFonts w:asciiTheme="minorHAnsi" w:hAnsiTheme="minorHAnsi"/>
          <w:sz w:val="24"/>
        </w:rPr>
      </w:pPr>
      <w:r>
        <w:rPr>
          <w:rFonts w:asciiTheme="minorHAnsi" w:hAnsiTheme="minorHAnsi"/>
          <w:sz w:val="24"/>
        </w:rPr>
        <w:t>In its pre-PBAC response the sponsor requested that the subgroup of patients with prior NS5A inhibitor treatment experience be removed from consideration in the current submission.  The PBAC acknowledged this request and did not consider this patient subgroup in its deliberations.</w:t>
      </w:r>
    </w:p>
    <w:p w:rsidR="001940D8" w:rsidRPr="00AA3D80" w:rsidRDefault="001940D8" w:rsidP="001940D8">
      <w:pPr>
        <w:widowControl/>
        <w:rPr>
          <w:rFonts w:asciiTheme="minorHAnsi" w:hAnsiTheme="minorHAnsi"/>
          <w:sz w:val="24"/>
        </w:rPr>
      </w:pPr>
    </w:p>
    <w:p w:rsidR="001940D8" w:rsidRPr="004F5586" w:rsidRDefault="001940D8" w:rsidP="001940D8">
      <w:pPr>
        <w:pStyle w:val="Caption"/>
      </w:pPr>
      <w:bookmarkStart w:id="4" w:name="_Ref479762324"/>
      <w:r w:rsidRPr="004F5586">
        <w:t xml:space="preserve">Table </w:t>
      </w:r>
      <w:r w:rsidRPr="004F5586">
        <w:rPr>
          <w:noProof/>
        </w:rPr>
        <w:t>2</w:t>
      </w:r>
      <w:bookmarkEnd w:id="4"/>
      <w:r w:rsidRPr="004F5586">
        <w:t>: Proposed duration of treatment with glecaprevir/pibrentasvir in specific patient subgroups</w:t>
      </w:r>
    </w:p>
    <w:tbl>
      <w:tblPr>
        <w:tblStyle w:val="TableGrid"/>
        <w:tblW w:w="4908" w:type="pct"/>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620" w:firstRow="1" w:lastRow="0" w:firstColumn="0" w:lastColumn="0" w:noHBand="1" w:noVBand="1"/>
        <w:tblCaption w:val="Table 2: Proposed duration of treatment with glecaprevir/pibrentasvir in specific patient subgroups"/>
      </w:tblPr>
      <w:tblGrid>
        <w:gridCol w:w="6947"/>
        <w:gridCol w:w="2125"/>
      </w:tblGrid>
      <w:tr w:rsidR="001940D8" w:rsidRPr="004F5586" w:rsidTr="00E35312">
        <w:trPr>
          <w:tblHeader/>
        </w:trPr>
        <w:tc>
          <w:tcPr>
            <w:tcW w:w="6947" w:type="dxa"/>
          </w:tcPr>
          <w:p w:rsidR="001940D8" w:rsidRPr="004F5586" w:rsidRDefault="001940D8" w:rsidP="00E35312">
            <w:pPr>
              <w:pStyle w:val="Tabletext"/>
              <w:rPr>
                <w:b/>
                <w:bCs/>
              </w:rPr>
            </w:pPr>
            <w:r w:rsidRPr="004F5586">
              <w:rPr>
                <w:b/>
                <w:bCs/>
              </w:rPr>
              <w:t>Patient population</w:t>
            </w:r>
          </w:p>
        </w:tc>
        <w:tc>
          <w:tcPr>
            <w:tcW w:w="2125" w:type="dxa"/>
          </w:tcPr>
          <w:p w:rsidR="001940D8" w:rsidRPr="004F5586" w:rsidRDefault="001940D8" w:rsidP="00E35312">
            <w:pPr>
              <w:pStyle w:val="Tabletext"/>
              <w:rPr>
                <w:b/>
                <w:bCs/>
              </w:rPr>
            </w:pPr>
            <w:r w:rsidRPr="004F5586">
              <w:rPr>
                <w:b/>
                <w:bCs/>
              </w:rPr>
              <w:t>Duration</w:t>
            </w:r>
          </w:p>
        </w:tc>
      </w:tr>
      <w:tr w:rsidR="001940D8" w:rsidRPr="004F5586" w:rsidTr="00E35312">
        <w:tc>
          <w:tcPr>
            <w:tcW w:w="9072" w:type="dxa"/>
            <w:gridSpan w:val="2"/>
          </w:tcPr>
          <w:p w:rsidR="001940D8" w:rsidRPr="004F5586" w:rsidRDefault="001940D8" w:rsidP="00E35312">
            <w:pPr>
              <w:pStyle w:val="Tabletext"/>
            </w:pPr>
            <w:r w:rsidRPr="004F5586">
              <w:rPr>
                <w:b/>
                <w:bCs/>
              </w:rPr>
              <w:t>Treatment naïve</w:t>
            </w:r>
          </w:p>
        </w:tc>
      </w:tr>
      <w:tr w:rsidR="001940D8" w:rsidRPr="004F5586" w:rsidTr="00E35312">
        <w:tc>
          <w:tcPr>
            <w:tcW w:w="6947" w:type="dxa"/>
          </w:tcPr>
          <w:p w:rsidR="001940D8" w:rsidRPr="004F5586" w:rsidRDefault="001940D8" w:rsidP="00E35312">
            <w:pPr>
              <w:pStyle w:val="Tabletext"/>
            </w:pPr>
            <w:r w:rsidRPr="004F5586">
              <w:t>Genotype 1-6 without cirrhosis</w:t>
            </w:r>
          </w:p>
        </w:tc>
        <w:tc>
          <w:tcPr>
            <w:tcW w:w="2125" w:type="dxa"/>
          </w:tcPr>
          <w:p w:rsidR="001940D8" w:rsidRPr="004F5586" w:rsidRDefault="001940D8" w:rsidP="00E35312">
            <w:pPr>
              <w:pStyle w:val="Tabletext"/>
            </w:pPr>
            <w:r w:rsidRPr="004F5586">
              <w:t>8 weeks (1 repeat)</w:t>
            </w:r>
          </w:p>
        </w:tc>
      </w:tr>
      <w:tr w:rsidR="001940D8" w:rsidRPr="004F5586" w:rsidTr="00E35312">
        <w:tc>
          <w:tcPr>
            <w:tcW w:w="6947" w:type="dxa"/>
          </w:tcPr>
          <w:p w:rsidR="001940D8" w:rsidRPr="004F5586" w:rsidRDefault="001940D8" w:rsidP="00E35312">
            <w:pPr>
              <w:pStyle w:val="Tabletext"/>
            </w:pPr>
            <w:r w:rsidRPr="004F5586">
              <w:t>Genotype 1-6 with cirrhosis</w:t>
            </w:r>
          </w:p>
        </w:tc>
        <w:tc>
          <w:tcPr>
            <w:tcW w:w="2125" w:type="dxa"/>
          </w:tcPr>
          <w:p w:rsidR="001940D8" w:rsidRPr="004F5586" w:rsidRDefault="001940D8" w:rsidP="00E35312">
            <w:pPr>
              <w:pStyle w:val="Tabletext"/>
            </w:pPr>
            <w:r w:rsidRPr="004F5586">
              <w:t>12 weeks (2 repeats)</w:t>
            </w:r>
          </w:p>
        </w:tc>
      </w:tr>
      <w:tr w:rsidR="001940D8" w:rsidRPr="004F5586" w:rsidTr="00E35312">
        <w:tc>
          <w:tcPr>
            <w:tcW w:w="9072" w:type="dxa"/>
            <w:gridSpan w:val="2"/>
          </w:tcPr>
          <w:p w:rsidR="001940D8" w:rsidRPr="004F5586" w:rsidRDefault="001940D8" w:rsidP="00E35312">
            <w:pPr>
              <w:pStyle w:val="Tabletext"/>
            </w:pPr>
            <w:r w:rsidRPr="004F5586">
              <w:rPr>
                <w:b/>
                <w:bCs/>
              </w:rPr>
              <w:t>Treatment experienced (no prior NS5A inhibitor)</w:t>
            </w:r>
          </w:p>
        </w:tc>
      </w:tr>
      <w:tr w:rsidR="001940D8" w:rsidRPr="004F5586" w:rsidTr="00E35312">
        <w:tc>
          <w:tcPr>
            <w:tcW w:w="6947" w:type="dxa"/>
          </w:tcPr>
          <w:p w:rsidR="001940D8" w:rsidRPr="004F5586" w:rsidRDefault="001940D8" w:rsidP="00E35312">
            <w:pPr>
              <w:pStyle w:val="Tabletext"/>
            </w:pPr>
            <w:r w:rsidRPr="004F5586">
              <w:t>Genotype 1-2 and 4-6 without cirrhosis</w:t>
            </w:r>
          </w:p>
        </w:tc>
        <w:tc>
          <w:tcPr>
            <w:tcW w:w="2125" w:type="dxa"/>
          </w:tcPr>
          <w:p w:rsidR="001940D8" w:rsidRPr="004F5586" w:rsidRDefault="001940D8" w:rsidP="00E35312">
            <w:pPr>
              <w:pStyle w:val="Tabletext"/>
            </w:pPr>
            <w:r w:rsidRPr="004F5586">
              <w:t>8 weeks (1 repeat)</w:t>
            </w:r>
          </w:p>
        </w:tc>
      </w:tr>
      <w:tr w:rsidR="001940D8" w:rsidRPr="004F5586" w:rsidTr="00E35312">
        <w:tc>
          <w:tcPr>
            <w:tcW w:w="6947" w:type="dxa"/>
          </w:tcPr>
          <w:p w:rsidR="001940D8" w:rsidRPr="004F5586" w:rsidRDefault="001940D8" w:rsidP="00E35312">
            <w:pPr>
              <w:pStyle w:val="Tabletext"/>
            </w:pPr>
            <w:r w:rsidRPr="004F5586">
              <w:t>Genotype 1-2 and 4-6 with cirrhosis</w:t>
            </w:r>
          </w:p>
        </w:tc>
        <w:tc>
          <w:tcPr>
            <w:tcW w:w="2125" w:type="dxa"/>
          </w:tcPr>
          <w:p w:rsidR="001940D8" w:rsidRPr="004F5586" w:rsidRDefault="001940D8" w:rsidP="00E35312">
            <w:pPr>
              <w:pStyle w:val="Tabletext"/>
            </w:pPr>
            <w:r w:rsidRPr="004F5586">
              <w:t>12 weeks (2 repeats)</w:t>
            </w:r>
          </w:p>
        </w:tc>
      </w:tr>
      <w:tr w:rsidR="001940D8" w:rsidRPr="004F5586" w:rsidTr="00E35312">
        <w:tc>
          <w:tcPr>
            <w:tcW w:w="6947" w:type="dxa"/>
          </w:tcPr>
          <w:p w:rsidR="001940D8" w:rsidRPr="004F5586" w:rsidRDefault="001940D8" w:rsidP="00E35312">
            <w:pPr>
              <w:pStyle w:val="Tabletext"/>
            </w:pPr>
            <w:r w:rsidRPr="004F5586">
              <w:t>Genotype 3 with or without cirrhosis</w:t>
            </w:r>
          </w:p>
        </w:tc>
        <w:tc>
          <w:tcPr>
            <w:tcW w:w="2125" w:type="dxa"/>
          </w:tcPr>
          <w:p w:rsidR="001940D8" w:rsidRPr="004F5586" w:rsidRDefault="001940D8" w:rsidP="00E35312">
            <w:pPr>
              <w:pStyle w:val="Tabletext"/>
            </w:pPr>
            <w:r w:rsidRPr="004F5586">
              <w:t>16 weeks (3 repeats)</w:t>
            </w:r>
          </w:p>
        </w:tc>
      </w:tr>
      <w:tr w:rsidR="001940D8" w:rsidRPr="004F5586" w:rsidTr="00E35312">
        <w:tc>
          <w:tcPr>
            <w:tcW w:w="9072" w:type="dxa"/>
            <w:gridSpan w:val="2"/>
          </w:tcPr>
          <w:p w:rsidR="001940D8" w:rsidRPr="004F5586" w:rsidRDefault="001940D8" w:rsidP="00E35312">
            <w:pPr>
              <w:pStyle w:val="Tabletext"/>
            </w:pPr>
            <w:r w:rsidRPr="004F5586">
              <w:rPr>
                <w:b/>
                <w:bCs/>
              </w:rPr>
              <w:t>Treatment experienced with prior NS5A inhibitor</w:t>
            </w:r>
          </w:p>
        </w:tc>
      </w:tr>
      <w:tr w:rsidR="001940D8" w:rsidRPr="004F5586" w:rsidTr="00E35312">
        <w:tc>
          <w:tcPr>
            <w:tcW w:w="6947" w:type="dxa"/>
          </w:tcPr>
          <w:p w:rsidR="001940D8" w:rsidRPr="004F5586" w:rsidRDefault="001940D8" w:rsidP="00E35312">
            <w:pPr>
              <w:pStyle w:val="Tabletext"/>
            </w:pPr>
            <w:r w:rsidRPr="004F5586">
              <w:t>Genotype 1-6 with or without cirrhosis</w:t>
            </w:r>
          </w:p>
        </w:tc>
        <w:tc>
          <w:tcPr>
            <w:tcW w:w="2125" w:type="dxa"/>
          </w:tcPr>
          <w:p w:rsidR="001940D8" w:rsidRPr="004F5586" w:rsidRDefault="001940D8" w:rsidP="00E35312">
            <w:pPr>
              <w:pStyle w:val="Tabletext"/>
            </w:pPr>
            <w:r w:rsidRPr="004F5586">
              <w:t>16 weeks (3 repeats)</w:t>
            </w:r>
          </w:p>
        </w:tc>
      </w:tr>
    </w:tbl>
    <w:p w:rsidR="001940D8" w:rsidRPr="004F5586" w:rsidRDefault="001940D8" w:rsidP="001940D8">
      <w:pPr>
        <w:pStyle w:val="TableFooter"/>
      </w:pPr>
      <w:r w:rsidRPr="004F5586">
        <w:t>NS5A = non-structural protein 5A.</w:t>
      </w:r>
    </w:p>
    <w:p w:rsidR="001940D8" w:rsidRPr="004F5586" w:rsidRDefault="001940D8" w:rsidP="001940D8">
      <w:pPr>
        <w:pStyle w:val="TableFooter"/>
      </w:pPr>
      <w:r w:rsidRPr="004F5586">
        <w:t>Treatment experienced (no prior NS5A inhibitor) refers to prior treatment with peg-interferon, ribavirin, protease inhibitors and/or sofosbuvir. Treatment experienced with prior NS5A inhibitor refers to prior treatment with sofosbuvir + ledipasvir, daclatasvir + sofosbuvir, daclatasvir + pegIFN and ribavirin, paritaprevir/ritonavir + ombitasvir + dasabuvir, daclatasvir + asunaprevir.</w:t>
      </w:r>
    </w:p>
    <w:p w:rsidR="001940D8" w:rsidRPr="004F5586" w:rsidRDefault="001940D8" w:rsidP="001940D8">
      <w:pPr>
        <w:pStyle w:val="TableFooter"/>
      </w:pPr>
      <w:r w:rsidRPr="004F5586">
        <w:t>Source: Table A-2, p29 of the submission.</w:t>
      </w:r>
    </w:p>
    <w:p w:rsidR="001940D8" w:rsidRPr="004F5586" w:rsidRDefault="001940D8" w:rsidP="001940D8">
      <w:pPr>
        <w:pStyle w:val="TableFooter"/>
      </w:pPr>
    </w:p>
    <w:p w:rsidR="001940D8" w:rsidRDefault="001940D8" w:rsidP="001940D8">
      <w:pPr>
        <w:pStyle w:val="ListParagraph"/>
        <w:widowControl/>
        <w:numPr>
          <w:ilvl w:val="1"/>
          <w:numId w:val="1"/>
        </w:numPr>
        <w:spacing w:after="120"/>
        <w:contextualSpacing w:val="0"/>
        <w:rPr>
          <w:rFonts w:asciiTheme="minorHAnsi" w:hAnsiTheme="minorHAnsi"/>
          <w:sz w:val="24"/>
        </w:rPr>
      </w:pPr>
      <w:r w:rsidRPr="004F5586">
        <w:rPr>
          <w:rFonts w:asciiTheme="minorHAnsi" w:hAnsiTheme="minorHAnsi"/>
          <w:sz w:val="24"/>
        </w:rPr>
        <w:t>Glecaprevir/pibrentasvir is not indicated for patients with decompensated cirrhosis.</w:t>
      </w:r>
    </w:p>
    <w:p w:rsidR="001940D8" w:rsidRPr="00060573" w:rsidRDefault="001940D8" w:rsidP="001940D8">
      <w:pPr>
        <w:pStyle w:val="ListParagraph"/>
        <w:widowControl/>
        <w:spacing w:after="120"/>
        <w:contextualSpacing w:val="0"/>
        <w:rPr>
          <w:rFonts w:asciiTheme="minorHAnsi" w:hAnsiTheme="minorHAnsi"/>
          <w:i/>
          <w:sz w:val="24"/>
        </w:rPr>
      </w:pPr>
      <w:r w:rsidRPr="00C86BAD">
        <w:rPr>
          <w:rFonts w:asciiTheme="minorHAnsi" w:hAnsiTheme="minorHAnsi"/>
          <w:i/>
          <w:sz w:val="24"/>
        </w:rPr>
        <w:t>For more detail on PBAC’s view, see section 7 “PBAC outcome”</w:t>
      </w:r>
      <w:r>
        <w:rPr>
          <w:rFonts w:asciiTheme="minorHAnsi" w:hAnsiTheme="minorHAnsi"/>
          <w:i/>
          <w:sz w:val="24"/>
        </w:rPr>
        <w:t>.</w:t>
      </w:r>
    </w:p>
    <w:p w:rsidR="001940D8" w:rsidRPr="004F5586" w:rsidRDefault="001940D8" w:rsidP="001940D8">
      <w:pPr>
        <w:pStyle w:val="PBACHeading1"/>
        <w:rPr>
          <w:rFonts w:asciiTheme="minorHAnsi" w:hAnsiTheme="minorHAnsi"/>
          <w:sz w:val="32"/>
        </w:rPr>
      </w:pPr>
      <w:bookmarkStart w:id="5" w:name="_Toc476306883"/>
      <w:bookmarkStart w:id="6" w:name="_Toc482354738"/>
      <w:r w:rsidRPr="004F5586">
        <w:rPr>
          <w:rFonts w:asciiTheme="minorHAnsi" w:hAnsiTheme="minorHAnsi"/>
          <w:sz w:val="32"/>
        </w:rPr>
        <w:t>Background</w:t>
      </w:r>
      <w:bookmarkEnd w:id="5"/>
      <w:bookmarkEnd w:id="6"/>
    </w:p>
    <w:p w:rsidR="001940D8" w:rsidRPr="0064671F" w:rsidRDefault="001940D8" w:rsidP="001940D8">
      <w:pPr>
        <w:pStyle w:val="ListParagraph"/>
        <w:widowControl/>
        <w:numPr>
          <w:ilvl w:val="1"/>
          <w:numId w:val="1"/>
        </w:numPr>
        <w:spacing w:after="120"/>
        <w:contextualSpacing w:val="0"/>
        <w:rPr>
          <w:rFonts w:asciiTheme="minorHAnsi" w:hAnsiTheme="minorHAnsi"/>
          <w:sz w:val="24"/>
        </w:rPr>
      </w:pPr>
      <w:r w:rsidRPr="00B22146">
        <w:rPr>
          <w:rFonts w:asciiTheme="minorHAnsi" w:hAnsiTheme="minorHAnsi"/>
          <w:sz w:val="24"/>
        </w:rPr>
        <w:t>The submission was made under TGA/PBAC Parallel Process. At the time of PBAC consideration, no TGA documents were available.</w:t>
      </w:r>
      <w:r w:rsidRPr="0064671F">
        <w:rPr>
          <w:rFonts w:asciiTheme="minorHAnsi" w:hAnsiTheme="minorHAnsi"/>
          <w:sz w:val="24"/>
        </w:rPr>
        <w:t xml:space="preserve"> </w:t>
      </w:r>
      <w:r>
        <w:rPr>
          <w:rFonts w:asciiTheme="minorHAnsi" w:hAnsiTheme="minorHAnsi"/>
          <w:sz w:val="24"/>
        </w:rPr>
        <w:t>The sponsor’s Pre PBAC response stated at the time of the July PBAC meeting g</w:t>
      </w:r>
      <w:r w:rsidRPr="00E61BF4">
        <w:rPr>
          <w:rFonts w:asciiTheme="minorHAnsi" w:hAnsiTheme="minorHAnsi"/>
          <w:sz w:val="24"/>
        </w:rPr>
        <w:t>lecaprevir/pibrentasvir</w:t>
      </w:r>
      <w:r>
        <w:rPr>
          <w:rFonts w:asciiTheme="minorHAnsi" w:hAnsiTheme="minorHAnsi"/>
          <w:sz w:val="24"/>
        </w:rPr>
        <w:t xml:space="preserve"> remained under evaluation by the TGA.</w:t>
      </w:r>
    </w:p>
    <w:p w:rsidR="001940D8" w:rsidRDefault="001940D8" w:rsidP="001940D8">
      <w:pPr>
        <w:pStyle w:val="ListParagraph"/>
        <w:widowControl/>
        <w:numPr>
          <w:ilvl w:val="1"/>
          <w:numId w:val="1"/>
        </w:numPr>
        <w:spacing w:after="120"/>
        <w:contextualSpacing w:val="0"/>
        <w:rPr>
          <w:rFonts w:asciiTheme="minorHAnsi" w:hAnsiTheme="minorHAnsi"/>
          <w:sz w:val="24"/>
        </w:rPr>
      </w:pPr>
      <w:r w:rsidRPr="004F5586">
        <w:rPr>
          <w:rFonts w:asciiTheme="minorHAnsi" w:hAnsiTheme="minorHAnsi"/>
          <w:sz w:val="24"/>
        </w:rPr>
        <w:t>This was the first submission requesting PBS-listing of glecaprevir/pibrentasvir FDC.</w:t>
      </w:r>
    </w:p>
    <w:p w:rsidR="001940D8" w:rsidRDefault="001940D8" w:rsidP="001940D8">
      <w:pPr>
        <w:pStyle w:val="ListParagraph"/>
        <w:widowControl/>
        <w:numPr>
          <w:ilvl w:val="1"/>
          <w:numId w:val="1"/>
        </w:numPr>
        <w:spacing w:after="120"/>
        <w:contextualSpacing w:val="0"/>
        <w:rPr>
          <w:rFonts w:asciiTheme="minorHAnsi" w:hAnsiTheme="minorHAnsi"/>
          <w:sz w:val="24"/>
        </w:rPr>
      </w:pPr>
      <w:r>
        <w:rPr>
          <w:rFonts w:asciiTheme="minorHAnsi" w:hAnsiTheme="minorHAnsi"/>
          <w:sz w:val="24"/>
        </w:rPr>
        <w:t xml:space="preserve">The pre-PBAC response noted that </w:t>
      </w:r>
      <w:r w:rsidRPr="004F5586">
        <w:rPr>
          <w:rFonts w:asciiTheme="minorHAnsi" w:hAnsiTheme="minorHAnsi"/>
          <w:sz w:val="24"/>
        </w:rPr>
        <w:t>glecaprevir/pibrentasvir</w:t>
      </w:r>
      <w:r>
        <w:rPr>
          <w:rFonts w:asciiTheme="minorHAnsi" w:hAnsiTheme="minorHAnsi"/>
          <w:sz w:val="24"/>
        </w:rPr>
        <w:t xml:space="preserve"> has recently received regulatory approval in the </w:t>
      </w:r>
      <w:r w:rsidRPr="008F412C">
        <w:rPr>
          <w:rFonts w:asciiTheme="minorHAnsi" w:hAnsiTheme="minorHAnsi"/>
          <w:sz w:val="24"/>
          <w:szCs w:val="24"/>
        </w:rPr>
        <w:t>European Union</w:t>
      </w:r>
      <w:r>
        <w:rPr>
          <w:rFonts w:asciiTheme="minorHAnsi" w:hAnsiTheme="minorHAnsi"/>
          <w:sz w:val="24"/>
          <w:szCs w:val="24"/>
        </w:rPr>
        <w:t xml:space="preserve"> and is anticipating regulatory approval in the United States shortly. </w:t>
      </w:r>
      <w:r w:rsidRPr="008F412C">
        <w:rPr>
          <w:rFonts w:asciiTheme="minorHAnsi" w:hAnsiTheme="minorHAnsi"/>
          <w:sz w:val="24"/>
          <w:szCs w:val="24"/>
        </w:rPr>
        <w:t xml:space="preserve">It stated that based on the EU and FDA regulatory assessments, it is expected that the TGA proposed indication and dosage regimens for NS5A naïve patients will remain as </w:t>
      </w:r>
      <w:r>
        <w:rPr>
          <w:rFonts w:asciiTheme="minorHAnsi" w:hAnsiTheme="minorHAnsi"/>
          <w:sz w:val="24"/>
          <w:szCs w:val="24"/>
        </w:rPr>
        <w:t>presented in the</w:t>
      </w:r>
      <w:r w:rsidRPr="008F412C">
        <w:rPr>
          <w:rFonts w:asciiTheme="minorHAnsi" w:hAnsiTheme="minorHAnsi"/>
          <w:sz w:val="24"/>
          <w:szCs w:val="24"/>
        </w:rPr>
        <w:t xml:space="preserve"> submission.</w:t>
      </w:r>
      <w:r>
        <w:t xml:space="preserve">  </w:t>
      </w:r>
    </w:p>
    <w:p w:rsidR="001940D8" w:rsidRPr="00060573" w:rsidRDefault="001940D8" w:rsidP="001940D8">
      <w:pPr>
        <w:pStyle w:val="ListParagraph"/>
        <w:widowControl/>
        <w:spacing w:after="120"/>
        <w:contextualSpacing w:val="0"/>
        <w:rPr>
          <w:rFonts w:asciiTheme="minorHAnsi" w:hAnsiTheme="minorHAnsi"/>
          <w:i/>
          <w:sz w:val="24"/>
        </w:rPr>
      </w:pPr>
      <w:r w:rsidRPr="00C86BAD">
        <w:rPr>
          <w:rFonts w:asciiTheme="minorHAnsi" w:hAnsiTheme="minorHAnsi"/>
          <w:i/>
          <w:sz w:val="24"/>
        </w:rPr>
        <w:t>For more detail on PBAC’s view, see section 7 “PBAC outcome”</w:t>
      </w:r>
      <w:r>
        <w:rPr>
          <w:rFonts w:asciiTheme="minorHAnsi" w:hAnsiTheme="minorHAnsi"/>
          <w:i/>
          <w:sz w:val="24"/>
        </w:rPr>
        <w:t>.</w:t>
      </w:r>
    </w:p>
    <w:p w:rsidR="001940D8" w:rsidRDefault="001940D8" w:rsidP="001940D8">
      <w:pPr>
        <w:widowControl/>
        <w:jc w:val="left"/>
        <w:rPr>
          <w:rFonts w:asciiTheme="minorHAnsi" w:hAnsiTheme="minorHAnsi"/>
          <w:b/>
          <w:sz w:val="32"/>
          <w:szCs w:val="22"/>
        </w:rPr>
      </w:pPr>
      <w:bookmarkStart w:id="7" w:name="_Toc476306884"/>
      <w:bookmarkStart w:id="8" w:name="_Toc482354739"/>
      <w:r>
        <w:rPr>
          <w:rFonts w:asciiTheme="minorHAnsi" w:hAnsiTheme="minorHAnsi"/>
          <w:sz w:val="32"/>
        </w:rPr>
        <w:br w:type="page"/>
      </w:r>
    </w:p>
    <w:p w:rsidR="001940D8" w:rsidRPr="004F5586" w:rsidRDefault="001940D8" w:rsidP="001940D8">
      <w:pPr>
        <w:pStyle w:val="PBACHeading1"/>
        <w:rPr>
          <w:rFonts w:asciiTheme="minorHAnsi" w:hAnsiTheme="minorHAnsi"/>
          <w:sz w:val="32"/>
        </w:rPr>
      </w:pPr>
      <w:r w:rsidRPr="004F5586">
        <w:rPr>
          <w:rFonts w:asciiTheme="minorHAnsi" w:hAnsiTheme="minorHAnsi"/>
          <w:sz w:val="32"/>
        </w:rPr>
        <w:lastRenderedPageBreak/>
        <w:t>Population and disease</w:t>
      </w:r>
      <w:bookmarkEnd w:id="7"/>
      <w:bookmarkEnd w:id="8"/>
    </w:p>
    <w:p w:rsidR="001940D8" w:rsidRPr="004F5586" w:rsidRDefault="001940D8" w:rsidP="001940D8">
      <w:pPr>
        <w:pStyle w:val="ListParagraph"/>
        <w:widowControl/>
        <w:numPr>
          <w:ilvl w:val="1"/>
          <w:numId w:val="1"/>
        </w:numPr>
        <w:spacing w:after="120"/>
        <w:contextualSpacing w:val="0"/>
        <w:rPr>
          <w:rFonts w:asciiTheme="minorHAnsi" w:hAnsiTheme="minorHAnsi"/>
          <w:sz w:val="24"/>
        </w:rPr>
      </w:pPr>
      <w:r w:rsidRPr="004F5586">
        <w:rPr>
          <w:rFonts w:asciiTheme="minorHAnsi" w:hAnsiTheme="minorHAnsi"/>
          <w:sz w:val="24"/>
        </w:rPr>
        <w:t xml:space="preserve">Hepatitis C is a blood-borne inflammatory liver disease caused by hepatitis C virus (HCV), with around 75-80% of people exposed to HCV developing chronic infection which may lead to cirrhosis, liver failure, hepatocellular carcinoma and death. Approximately 230,000 people in Australia were estimated to be living with chronic HCV infection in 2014 (Kirby 2015). </w:t>
      </w:r>
    </w:p>
    <w:p w:rsidR="001940D8" w:rsidRDefault="001940D8" w:rsidP="001940D8">
      <w:pPr>
        <w:pStyle w:val="ListParagraph"/>
        <w:widowControl/>
        <w:numPr>
          <w:ilvl w:val="1"/>
          <w:numId w:val="1"/>
        </w:numPr>
        <w:spacing w:after="120"/>
        <w:contextualSpacing w:val="0"/>
        <w:rPr>
          <w:rFonts w:asciiTheme="minorHAnsi" w:hAnsiTheme="minorHAnsi"/>
          <w:sz w:val="24"/>
        </w:rPr>
      </w:pPr>
      <w:r w:rsidRPr="004F5586">
        <w:rPr>
          <w:rFonts w:asciiTheme="minorHAnsi" w:hAnsiTheme="minorHAnsi"/>
          <w:sz w:val="24"/>
        </w:rPr>
        <w:t>The glecaprevir/pibrentasvir FDC is an alternative treatment option to hepatitis C antivirals already listed on the PBS for the treatment of this condition. Glecaprevir is a HCV NS3/4A protease inhibitor. HCV NS3/4A protease is necessary for the creation of proteins essential for viral replication. Pibrentasvir is a HCV NS5A protein inhibitor. HCV NS5A protein is essential for viral RNA replication and virion assembly.</w:t>
      </w:r>
    </w:p>
    <w:p w:rsidR="001940D8" w:rsidRPr="004F5586" w:rsidRDefault="001940D8" w:rsidP="001940D8">
      <w:pPr>
        <w:pStyle w:val="ListParagraph"/>
        <w:widowControl/>
        <w:spacing w:after="120"/>
        <w:contextualSpacing w:val="0"/>
        <w:rPr>
          <w:rFonts w:asciiTheme="minorHAnsi" w:hAnsiTheme="minorHAnsi"/>
          <w:sz w:val="24"/>
        </w:rPr>
      </w:pPr>
      <w:r w:rsidRPr="00C86BAD">
        <w:rPr>
          <w:rFonts w:asciiTheme="minorHAnsi" w:hAnsiTheme="minorHAnsi"/>
          <w:i/>
          <w:sz w:val="24"/>
        </w:rPr>
        <w:t>For more detail on PBAC’s view, see section 7 “PBAC outcome”</w:t>
      </w:r>
      <w:r>
        <w:rPr>
          <w:rFonts w:asciiTheme="minorHAnsi" w:hAnsiTheme="minorHAnsi"/>
          <w:i/>
          <w:sz w:val="24"/>
        </w:rPr>
        <w:t>.</w:t>
      </w:r>
    </w:p>
    <w:p w:rsidR="001940D8" w:rsidRPr="004F5586" w:rsidRDefault="001940D8" w:rsidP="001940D8">
      <w:pPr>
        <w:pStyle w:val="PBACHeading1"/>
        <w:keepNext/>
        <w:keepLines/>
        <w:rPr>
          <w:rFonts w:asciiTheme="minorHAnsi" w:hAnsiTheme="minorHAnsi"/>
          <w:sz w:val="32"/>
        </w:rPr>
      </w:pPr>
      <w:bookmarkStart w:id="9" w:name="_Toc476306885"/>
      <w:bookmarkStart w:id="10" w:name="_Toc482354740"/>
      <w:r w:rsidRPr="004F5586">
        <w:rPr>
          <w:rFonts w:asciiTheme="minorHAnsi" w:hAnsiTheme="minorHAnsi"/>
          <w:sz w:val="32"/>
        </w:rPr>
        <w:t>Comparator</w:t>
      </w:r>
      <w:bookmarkEnd w:id="9"/>
      <w:bookmarkEnd w:id="10"/>
    </w:p>
    <w:p w:rsidR="001940D8" w:rsidRPr="00533D52" w:rsidRDefault="001940D8" w:rsidP="001940D8">
      <w:pPr>
        <w:pStyle w:val="ListParagraph"/>
        <w:keepNext/>
        <w:keepLines/>
        <w:widowControl/>
        <w:numPr>
          <w:ilvl w:val="1"/>
          <w:numId w:val="1"/>
        </w:numPr>
        <w:spacing w:before="120" w:after="160"/>
        <w:contextualSpacing w:val="0"/>
        <w:rPr>
          <w:rFonts w:asciiTheme="minorHAnsi" w:hAnsiTheme="minorHAnsi"/>
          <w:sz w:val="24"/>
          <w:lang w:val="en-GB"/>
        </w:rPr>
      </w:pPr>
      <w:r w:rsidRPr="00533D52">
        <w:rPr>
          <w:rFonts w:asciiTheme="minorHAnsi" w:hAnsiTheme="minorHAnsi"/>
          <w:sz w:val="24"/>
        </w:rPr>
        <w:t>The submission nominated sofosbuvir/velpatasvir as the main comparator. This is the appropriate comparator for the majority of patients. Sofosbuvir/velpatasvir was recommended by the PBAC in November 2016 for the treatment of CHC genotypes 1-6. This listing has not yet taken effect. The ESC considered that the other currently listed DAA based regimens may also be appropriate comparators in patients who have not failed prior NS5A inhibitors.</w:t>
      </w:r>
    </w:p>
    <w:p w:rsidR="001940D8" w:rsidRPr="00533D52" w:rsidRDefault="001940D8" w:rsidP="001940D8">
      <w:pPr>
        <w:pStyle w:val="ListParagraph"/>
        <w:widowControl/>
        <w:numPr>
          <w:ilvl w:val="1"/>
          <w:numId w:val="1"/>
        </w:numPr>
        <w:spacing w:before="120" w:after="160"/>
        <w:contextualSpacing w:val="0"/>
        <w:rPr>
          <w:rFonts w:asciiTheme="minorHAnsi" w:hAnsiTheme="minorHAnsi"/>
          <w:sz w:val="24"/>
          <w:lang w:val="en-GB"/>
        </w:rPr>
      </w:pPr>
      <w:r w:rsidRPr="00533D52">
        <w:rPr>
          <w:rFonts w:asciiTheme="minorHAnsi" w:hAnsiTheme="minorHAnsi"/>
          <w:sz w:val="24"/>
          <w:lang w:val="en-GB"/>
        </w:rPr>
        <w:t xml:space="preserve">Sofosbuvir/velpatasvir may not be an appropriate comparator for patients who have failed prior NS5A inhibitors. Although the current PBS restrictions for DAAs do not preclude the use of sofosbuvir/velpatasvir, or an alternative DAA regimen, in patients who have previously failed treatment with an NS5A inhibitor, sofosbuvir/velpatasvir for 12 weeks is unlikely to be suitable for patients who have failed treatment with an NS5A inhibitor since no trials of 12 weeks of sofosbuvir/velpatasvir included patients who had previously failed an NS5A inhibitor. There are no regimens listed or recommended on the PBS that have been recommended by the evidence based guidelines of the European Association for the Study of the Liver (EASL) for this patient group. Therefore, no treatment may be a more appropriate comparator for this population. </w:t>
      </w:r>
      <w:r w:rsidRPr="00533D52">
        <w:rPr>
          <w:rFonts w:asciiTheme="minorHAnsi" w:hAnsiTheme="minorHAnsi"/>
          <w:sz w:val="24"/>
        </w:rPr>
        <w:t>The PSCR (p4) acknowledged that for some patients previously treated with an NS5A inhibitor, no treatment may</w:t>
      </w:r>
      <w:r>
        <w:rPr>
          <w:rFonts w:asciiTheme="minorHAnsi" w:hAnsiTheme="minorHAnsi"/>
          <w:sz w:val="24"/>
        </w:rPr>
        <w:t xml:space="preserve"> be the appropriate comparator.</w:t>
      </w:r>
    </w:p>
    <w:p w:rsidR="001940D8" w:rsidRPr="00060573" w:rsidRDefault="001940D8" w:rsidP="001940D8">
      <w:pPr>
        <w:pStyle w:val="ListParagraph"/>
        <w:widowControl/>
        <w:numPr>
          <w:ilvl w:val="1"/>
          <w:numId w:val="1"/>
        </w:numPr>
        <w:spacing w:before="120" w:after="160"/>
        <w:contextualSpacing w:val="0"/>
        <w:rPr>
          <w:rFonts w:asciiTheme="minorHAnsi" w:hAnsiTheme="minorHAnsi"/>
          <w:sz w:val="24"/>
          <w:lang w:val="en-GB"/>
        </w:rPr>
      </w:pPr>
      <w:r w:rsidRPr="00533D52">
        <w:rPr>
          <w:rFonts w:asciiTheme="minorHAnsi" w:hAnsiTheme="minorHAnsi"/>
          <w:sz w:val="24"/>
        </w:rPr>
        <w:t>The ESC considered the appropriate comparator for patients previously treated with an NS5A inhibitor should be no treatment.</w:t>
      </w:r>
      <w:r>
        <w:rPr>
          <w:rFonts w:asciiTheme="minorHAnsi" w:hAnsiTheme="minorHAnsi"/>
          <w:sz w:val="24"/>
        </w:rPr>
        <w:t xml:space="preserve"> The pre-PBAC response agreed that for some patients previously treated with a NS5A inhibitor, no treatment may be the appropriate comparator. However, as noted above (paragraph 2.6), the sponsor requested that this patient group be removed from consideration in the current submission, noting that the clinical and economic issues raised relevant to this group of patients will be addressed in a subsequent minor submission to the PBAC.</w:t>
      </w:r>
    </w:p>
    <w:p w:rsidR="001940D8" w:rsidRPr="00060573" w:rsidRDefault="001940D8" w:rsidP="001940D8">
      <w:pPr>
        <w:pStyle w:val="ListParagraph"/>
        <w:widowControl/>
        <w:numPr>
          <w:ilvl w:val="1"/>
          <w:numId w:val="1"/>
        </w:numPr>
        <w:spacing w:before="120" w:after="160"/>
        <w:contextualSpacing w:val="0"/>
        <w:rPr>
          <w:rFonts w:asciiTheme="minorHAnsi" w:hAnsiTheme="minorHAnsi"/>
          <w:i/>
          <w:sz w:val="24"/>
        </w:rPr>
      </w:pPr>
      <w:r>
        <w:rPr>
          <w:rFonts w:asciiTheme="minorHAnsi" w:hAnsiTheme="minorHAnsi"/>
          <w:i/>
          <w:sz w:val="24"/>
        </w:rPr>
        <w:lastRenderedPageBreak/>
        <w:t>For more detail on PBAC’s view, see section 7 “PBAC outcome”.</w:t>
      </w:r>
    </w:p>
    <w:p w:rsidR="001940D8" w:rsidRPr="004F5586" w:rsidRDefault="001940D8" w:rsidP="001940D8">
      <w:pPr>
        <w:pStyle w:val="PBACHeading1"/>
        <w:rPr>
          <w:rFonts w:asciiTheme="minorHAnsi" w:hAnsiTheme="minorHAnsi"/>
          <w:sz w:val="32"/>
        </w:rPr>
      </w:pPr>
      <w:bookmarkStart w:id="11" w:name="_Toc476306886"/>
      <w:bookmarkStart w:id="12" w:name="_Toc482354741"/>
      <w:r w:rsidRPr="004F5586">
        <w:rPr>
          <w:rFonts w:asciiTheme="minorHAnsi" w:hAnsiTheme="minorHAnsi"/>
          <w:sz w:val="32"/>
        </w:rPr>
        <w:t>Consideration of the evidence</w:t>
      </w:r>
      <w:bookmarkEnd w:id="11"/>
      <w:bookmarkEnd w:id="12"/>
    </w:p>
    <w:p w:rsidR="001940D8" w:rsidRPr="00966A55" w:rsidRDefault="001940D8" w:rsidP="001940D8">
      <w:pPr>
        <w:outlineLvl w:val="1"/>
        <w:rPr>
          <w:rFonts w:asciiTheme="minorHAnsi" w:hAnsiTheme="minorHAnsi"/>
          <w:b/>
          <w:bCs/>
          <w:i/>
          <w:sz w:val="28"/>
          <w:szCs w:val="28"/>
        </w:rPr>
      </w:pPr>
      <w:bookmarkStart w:id="13" w:name="_Toc476306887"/>
      <w:bookmarkStart w:id="14" w:name="_Toc482354742"/>
      <w:r w:rsidRPr="00966A55">
        <w:rPr>
          <w:rFonts w:asciiTheme="minorHAnsi" w:hAnsiTheme="minorHAnsi"/>
          <w:b/>
          <w:bCs/>
          <w:i/>
          <w:sz w:val="28"/>
          <w:szCs w:val="28"/>
        </w:rPr>
        <w:t>Sponsor hearing</w:t>
      </w:r>
    </w:p>
    <w:p w:rsidR="001940D8" w:rsidRPr="00966A55" w:rsidRDefault="001940D8" w:rsidP="001940D8">
      <w:pPr>
        <w:rPr>
          <w:rFonts w:asciiTheme="minorHAnsi" w:hAnsiTheme="minorHAnsi"/>
          <w:bCs/>
          <w:sz w:val="24"/>
          <w:szCs w:val="24"/>
        </w:rPr>
      </w:pPr>
    </w:p>
    <w:p w:rsidR="001940D8" w:rsidRPr="009510A3" w:rsidRDefault="001940D8" w:rsidP="001940D8">
      <w:pPr>
        <w:widowControl/>
        <w:numPr>
          <w:ilvl w:val="1"/>
          <w:numId w:val="1"/>
        </w:numPr>
        <w:rPr>
          <w:rFonts w:asciiTheme="minorHAnsi" w:hAnsiTheme="minorHAnsi"/>
          <w:bCs/>
          <w:sz w:val="24"/>
          <w:szCs w:val="24"/>
        </w:rPr>
      </w:pPr>
      <w:r w:rsidRPr="009510A3">
        <w:rPr>
          <w:rFonts w:asciiTheme="minorHAnsi" w:hAnsiTheme="minorHAnsi"/>
          <w:bCs/>
          <w:sz w:val="24"/>
          <w:szCs w:val="24"/>
        </w:rPr>
        <w:t>The sponsor requ</w:t>
      </w:r>
      <w:r>
        <w:rPr>
          <w:rFonts w:asciiTheme="minorHAnsi" w:hAnsiTheme="minorHAnsi"/>
          <w:bCs/>
          <w:sz w:val="24"/>
          <w:szCs w:val="24"/>
        </w:rPr>
        <w:t xml:space="preserve">ested a hearing for this item. </w:t>
      </w:r>
      <w:r w:rsidRPr="009510A3">
        <w:rPr>
          <w:rFonts w:asciiTheme="minorHAnsi" w:hAnsiTheme="minorHAnsi"/>
          <w:bCs/>
          <w:sz w:val="24"/>
          <w:szCs w:val="24"/>
        </w:rPr>
        <w:t xml:space="preserve">The clinician presented </w:t>
      </w:r>
      <w:r>
        <w:rPr>
          <w:rFonts w:asciiTheme="minorHAnsi" w:hAnsiTheme="minorHAnsi"/>
          <w:bCs/>
          <w:sz w:val="24"/>
          <w:szCs w:val="24"/>
        </w:rPr>
        <w:t xml:space="preserve">an overview on the progress of HCV elimination and discussed barriers to general practitioner (GP) prescribing including: the complexity of treatment regimes, HCV genotype differences and clinician experiences with the use of the current PBS telephone authority restriction. The presentation included information on HCV-related cirrhosis and the treatment challenges for clinicians in this population. </w:t>
      </w:r>
      <w:r w:rsidRPr="009510A3">
        <w:rPr>
          <w:rFonts w:asciiTheme="minorHAnsi" w:hAnsiTheme="minorHAnsi"/>
          <w:bCs/>
          <w:sz w:val="24"/>
          <w:szCs w:val="24"/>
        </w:rPr>
        <w:t xml:space="preserve">The PBAC considered that the hearing was informative as it provided a clinical perspective on </w:t>
      </w:r>
      <w:r>
        <w:rPr>
          <w:rFonts w:asciiTheme="minorHAnsi" w:hAnsiTheme="minorHAnsi"/>
          <w:bCs/>
          <w:sz w:val="24"/>
          <w:szCs w:val="24"/>
        </w:rPr>
        <w:t xml:space="preserve">the complexities in </w:t>
      </w:r>
      <w:r w:rsidRPr="009510A3">
        <w:rPr>
          <w:rFonts w:asciiTheme="minorHAnsi" w:hAnsiTheme="minorHAnsi"/>
          <w:bCs/>
          <w:sz w:val="24"/>
          <w:szCs w:val="24"/>
        </w:rPr>
        <w:t xml:space="preserve">treating </w:t>
      </w:r>
      <w:r>
        <w:rPr>
          <w:rFonts w:asciiTheme="minorHAnsi" w:hAnsiTheme="minorHAnsi"/>
          <w:bCs/>
          <w:sz w:val="24"/>
          <w:szCs w:val="24"/>
        </w:rPr>
        <w:t>HCV, particularly in relation to general practitioners.</w:t>
      </w:r>
    </w:p>
    <w:p w:rsidR="001940D8" w:rsidRPr="00966A55" w:rsidRDefault="001940D8" w:rsidP="001940D8">
      <w:pPr>
        <w:rPr>
          <w:rFonts w:asciiTheme="minorHAnsi" w:hAnsiTheme="minorHAnsi"/>
          <w:bCs/>
          <w:sz w:val="24"/>
          <w:szCs w:val="24"/>
          <w:highlight w:val="yellow"/>
        </w:rPr>
      </w:pPr>
    </w:p>
    <w:p w:rsidR="001940D8" w:rsidRPr="00966A55" w:rsidRDefault="001940D8" w:rsidP="001940D8">
      <w:pPr>
        <w:outlineLvl w:val="1"/>
        <w:rPr>
          <w:rFonts w:asciiTheme="minorHAnsi" w:hAnsiTheme="minorHAnsi"/>
          <w:b/>
          <w:bCs/>
          <w:i/>
          <w:sz w:val="28"/>
          <w:szCs w:val="28"/>
        </w:rPr>
      </w:pPr>
      <w:r w:rsidRPr="00966A55">
        <w:rPr>
          <w:rFonts w:asciiTheme="minorHAnsi" w:hAnsiTheme="minorHAnsi"/>
          <w:b/>
          <w:bCs/>
          <w:i/>
          <w:sz w:val="28"/>
          <w:szCs w:val="28"/>
        </w:rPr>
        <w:t>Consumer comments</w:t>
      </w:r>
    </w:p>
    <w:p w:rsidR="001940D8" w:rsidRPr="00966A55" w:rsidRDefault="001940D8" w:rsidP="001940D8">
      <w:pPr>
        <w:rPr>
          <w:rFonts w:asciiTheme="minorHAnsi" w:hAnsiTheme="minorHAnsi"/>
          <w:bCs/>
          <w:sz w:val="24"/>
          <w:szCs w:val="24"/>
          <w:highlight w:val="yellow"/>
        </w:rPr>
      </w:pPr>
    </w:p>
    <w:p w:rsidR="001940D8" w:rsidRPr="00FE6F00" w:rsidRDefault="001940D8" w:rsidP="001940D8">
      <w:pPr>
        <w:widowControl/>
        <w:numPr>
          <w:ilvl w:val="1"/>
          <w:numId w:val="1"/>
        </w:numPr>
        <w:rPr>
          <w:rFonts w:asciiTheme="minorHAnsi" w:hAnsiTheme="minorHAnsi"/>
          <w:bCs/>
          <w:sz w:val="24"/>
          <w:szCs w:val="24"/>
        </w:rPr>
      </w:pPr>
      <w:r w:rsidRPr="00004D3E">
        <w:rPr>
          <w:rFonts w:asciiTheme="minorHAnsi" w:hAnsiTheme="minorHAnsi"/>
          <w:bCs/>
          <w:sz w:val="24"/>
          <w:szCs w:val="24"/>
        </w:rPr>
        <w:t>The PBAC noted and welcomed the input from health care professionals (2) and organisations (14) via the Consumer Comment</w:t>
      </w:r>
      <w:r>
        <w:rPr>
          <w:rFonts w:asciiTheme="minorHAnsi" w:hAnsiTheme="minorHAnsi"/>
          <w:bCs/>
          <w:sz w:val="24"/>
          <w:szCs w:val="24"/>
        </w:rPr>
        <w:t xml:space="preserve">s facility on the PBS website. </w:t>
      </w:r>
      <w:r w:rsidRPr="00004D3E">
        <w:rPr>
          <w:rFonts w:asciiTheme="minorHAnsi" w:hAnsiTheme="minorHAnsi"/>
          <w:bCs/>
          <w:sz w:val="24"/>
          <w:szCs w:val="24"/>
        </w:rPr>
        <w:t xml:space="preserve">The comments </w:t>
      </w:r>
      <w:r>
        <w:rPr>
          <w:rFonts w:asciiTheme="minorHAnsi" w:hAnsiTheme="minorHAnsi"/>
          <w:bCs/>
          <w:sz w:val="24"/>
          <w:szCs w:val="24"/>
        </w:rPr>
        <w:t xml:space="preserve">described a range of benefits of treatment with </w:t>
      </w:r>
      <w:r w:rsidRPr="004F5586">
        <w:rPr>
          <w:rFonts w:asciiTheme="minorHAnsi" w:hAnsiTheme="minorHAnsi"/>
          <w:sz w:val="24"/>
        </w:rPr>
        <w:t>glecaprevir/pibrentasvir</w:t>
      </w:r>
      <w:r>
        <w:rPr>
          <w:rFonts w:asciiTheme="minorHAnsi" w:hAnsiTheme="minorHAnsi"/>
          <w:sz w:val="24"/>
        </w:rPr>
        <w:t xml:space="preserve"> including:</w:t>
      </w:r>
      <w:r>
        <w:rPr>
          <w:rFonts w:asciiTheme="minorHAnsi" w:hAnsiTheme="minorHAnsi"/>
          <w:bCs/>
          <w:sz w:val="24"/>
          <w:szCs w:val="24"/>
        </w:rPr>
        <w:t xml:space="preserve"> </w:t>
      </w:r>
      <w:r w:rsidRPr="00FE6F00">
        <w:rPr>
          <w:rFonts w:asciiTheme="minorHAnsi" w:hAnsiTheme="minorHAnsi"/>
          <w:bCs/>
          <w:sz w:val="24"/>
          <w:szCs w:val="24"/>
        </w:rPr>
        <w:t xml:space="preserve">the addition of another </w:t>
      </w:r>
      <w:r>
        <w:rPr>
          <w:rFonts w:asciiTheme="minorHAnsi" w:hAnsiTheme="minorHAnsi"/>
          <w:bCs/>
          <w:sz w:val="24"/>
          <w:szCs w:val="24"/>
        </w:rPr>
        <w:t xml:space="preserve">pan-genotypic </w:t>
      </w:r>
      <w:r w:rsidRPr="00FE6F00">
        <w:rPr>
          <w:rFonts w:asciiTheme="minorHAnsi" w:hAnsiTheme="minorHAnsi"/>
          <w:bCs/>
          <w:sz w:val="24"/>
          <w:szCs w:val="24"/>
        </w:rPr>
        <w:t>treatment choice for patient</w:t>
      </w:r>
      <w:r>
        <w:rPr>
          <w:rFonts w:asciiTheme="minorHAnsi" w:hAnsiTheme="minorHAnsi"/>
          <w:bCs/>
          <w:sz w:val="24"/>
          <w:szCs w:val="24"/>
        </w:rPr>
        <w:t>s</w:t>
      </w:r>
      <w:r w:rsidRPr="00FE6F00">
        <w:rPr>
          <w:rFonts w:asciiTheme="minorHAnsi" w:hAnsiTheme="minorHAnsi"/>
          <w:bCs/>
          <w:sz w:val="24"/>
          <w:szCs w:val="24"/>
        </w:rPr>
        <w:t xml:space="preserve"> with HCV</w:t>
      </w:r>
      <w:r>
        <w:rPr>
          <w:rFonts w:asciiTheme="minorHAnsi" w:hAnsiTheme="minorHAnsi"/>
          <w:bCs/>
          <w:sz w:val="24"/>
          <w:szCs w:val="24"/>
        </w:rPr>
        <w:t xml:space="preserve"> - which is valuable </w:t>
      </w:r>
      <w:r w:rsidRPr="00FE6F00">
        <w:rPr>
          <w:rFonts w:asciiTheme="minorHAnsi" w:hAnsiTheme="minorHAnsi"/>
          <w:bCs/>
          <w:sz w:val="24"/>
          <w:szCs w:val="24"/>
        </w:rPr>
        <w:t xml:space="preserve">for prescribers and in preventing </w:t>
      </w:r>
      <w:r w:rsidRPr="00FE6F00">
        <w:rPr>
          <w:rFonts w:asciiTheme="minorHAnsi" w:hAnsiTheme="minorHAnsi"/>
          <w:sz w:val="24"/>
          <w:szCs w:val="24"/>
        </w:rPr>
        <w:t>relapse and resistant strains emerging</w:t>
      </w:r>
      <w:r>
        <w:rPr>
          <w:rFonts w:asciiTheme="minorHAnsi" w:hAnsiTheme="minorHAnsi"/>
          <w:sz w:val="24"/>
          <w:szCs w:val="24"/>
        </w:rPr>
        <w:t>;  the</w:t>
      </w:r>
      <w:r w:rsidRPr="00004D3E">
        <w:rPr>
          <w:rFonts w:asciiTheme="minorHAnsi" w:hAnsiTheme="minorHAnsi"/>
          <w:bCs/>
          <w:sz w:val="24"/>
          <w:szCs w:val="24"/>
        </w:rPr>
        <w:t xml:space="preserve"> short duration</w:t>
      </w:r>
      <w:r>
        <w:rPr>
          <w:rFonts w:asciiTheme="minorHAnsi" w:hAnsiTheme="minorHAnsi"/>
          <w:bCs/>
          <w:sz w:val="24"/>
          <w:szCs w:val="24"/>
        </w:rPr>
        <w:t xml:space="preserve"> of treatment</w:t>
      </w:r>
      <w:r w:rsidRPr="00004D3E">
        <w:rPr>
          <w:rFonts w:asciiTheme="minorHAnsi" w:hAnsiTheme="minorHAnsi"/>
          <w:bCs/>
          <w:sz w:val="24"/>
          <w:szCs w:val="24"/>
        </w:rPr>
        <w:t xml:space="preserve"> and high </w:t>
      </w:r>
      <w:r>
        <w:rPr>
          <w:rFonts w:asciiTheme="minorHAnsi" w:hAnsiTheme="minorHAnsi"/>
          <w:bCs/>
          <w:sz w:val="24"/>
          <w:szCs w:val="24"/>
        </w:rPr>
        <w:t>cure rates across all genotypes -</w:t>
      </w:r>
      <w:r w:rsidRPr="00004D3E">
        <w:rPr>
          <w:rFonts w:asciiTheme="minorHAnsi" w:hAnsiTheme="minorHAnsi"/>
          <w:bCs/>
          <w:sz w:val="24"/>
          <w:szCs w:val="24"/>
        </w:rPr>
        <w:t xml:space="preserve"> includi</w:t>
      </w:r>
      <w:r>
        <w:rPr>
          <w:rFonts w:asciiTheme="minorHAnsi" w:hAnsiTheme="minorHAnsi"/>
          <w:bCs/>
          <w:sz w:val="24"/>
          <w:szCs w:val="24"/>
        </w:rPr>
        <w:t>ng the hard-to-treat genotype 3; and that it appears to be efficacious</w:t>
      </w:r>
      <w:r w:rsidRPr="00004D3E">
        <w:rPr>
          <w:rFonts w:asciiTheme="minorHAnsi" w:hAnsiTheme="minorHAnsi"/>
          <w:bCs/>
          <w:sz w:val="24"/>
          <w:szCs w:val="24"/>
        </w:rPr>
        <w:t xml:space="preserve"> for people with severe chronic kidney disease, compensated cirrhosis, and prior a</w:t>
      </w:r>
      <w:r>
        <w:rPr>
          <w:rFonts w:asciiTheme="minorHAnsi" w:hAnsiTheme="minorHAnsi"/>
          <w:bCs/>
          <w:sz w:val="24"/>
          <w:szCs w:val="24"/>
        </w:rPr>
        <w:t>ntiviral treatment experience.</w:t>
      </w:r>
    </w:p>
    <w:p w:rsidR="001940D8" w:rsidRPr="00004D3E" w:rsidRDefault="001940D8" w:rsidP="001940D8">
      <w:pPr>
        <w:rPr>
          <w:rFonts w:asciiTheme="minorHAnsi" w:hAnsiTheme="minorHAnsi"/>
          <w:bCs/>
          <w:sz w:val="24"/>
          <w:szCs w:val="24"/>
        </w:rPr>
      </w:pPr>
    </w:p>
    <w:p w:rsidR="001940D8" w:rsidRPr="00004D3E" w:rsidRDefault="001940D8" w:rsidP="001940D8">
      <w:pPr>
        <w:widowControl/>
        <w:numPr>
          <w:ilvl w:val="1"/>
          <w:numId w:val="1"/>
        </w:numPr>
        <w:rPr>
          <w:rFonts w:asciiTheme="minorHAnsi" w:hAnsiTheme="minorHAnsi"/>
          <w:bCs/>
          <w:sz w:val="24"/>
          <w:szCs w:val="24"/>
        </w:rPr>
      </w:pPr>
      <w:r w:rsidRPr="00004D3E">
        <w:rPr>
          <w:rFonts w:asciiTheme="minorHAnsi" w:hAnsiTheme="minorHAnsi"/>
          <w:bCs/>
          <w:sz w:val="24"/>
          <w:szCs w:val="24"/>
        </w:rPr>
        <w:t xml:space="preserve">The PBAC noted the advice received from a variety of community and professional organisations representing people living with hepatitis. </w:t>
      </w:r>
      <w:r>
        <w:rPr>
          <w:rFonts w:asciiTheme="minorHAnsi" w:hAnsiTheme="minorHAnsi"/>
          <w:bCs/>
          <w:sz w:val="24"/>
          <w:szCs w:val="24"/>
        </w:rPr>
        <w:t xml:space="preserve">The PBAC specifically noted the advice that </w:t>
      </w:r>
      <w:r>
        <w:rPr>
          <w:rFonts w:asciiTheme="minorHAnsi" w:hAnsiTheme="minorHAnsi"/>
          <w:sz w:val="24"/>
          <w:szCs w:val="24"/>
        </w:rPr>
        <w:t>the</w:t>
      </w:r>
      <w:r w:rsidRPr="00004D3E">
        <w:rPr>
          <w:rFonts w:asciiTheme="minorHAnsi" w:hAnsiTheme="minorHAnsi"/>
          <w:sz w:val="24"/>
          <w:szCs w:val="24"/>
        </w:rPr>
        <w:t xml:space="preserve"> simplified prescribing </w:t>
      </w:r>
      <w:r>
        <w:rPr>
          <w:rFonts w:asciiTheme="minorHAnsi" w:hAnsiTheme="minorHAnsi"/>
          <w:sz w:val="24"/>
          <w:szCs w:val="24"/>
        </w:rPr>
        <w:t xml:space="preserve">associated with a pan-genotypic DAA </w:t>
      </w:r>
      <w:r w:rsidRPr="00004D3E">
        <w:rPr>
          <w:rFonts w:asciiTheme="minorHAnsi" w:hAnsiTheme="minorHAnsi"/>
          <w:sz w:val="24"/>
          <w:szCs w:val="24"/>
        </w:rPr>
        <w:t xml:space="preserve">will </w:t>
      </w:r>
      <w:r w:rsidRPr="00004D3E">
        <w:rPr>
          <w:rFonts w:asciiTheme="minorHAnsi" w:hAnsiTheme="minorHAnsi"/>
          <w:bCs/>
          <w:sz w:val="24"/>
          <w:szCs w:val="24"/>
        </w:rPr>
        <w:t>encourage the involvement of GPs. The PBAC noted that this advice was supportive of the evidence provided in the submission</w:t>
      </w:r>
      <w:r w:rsidRPr="00004D3E">
        <w:rPr>
          <w:rFonts w:asciiTheme="minorHAnsi" w:hAnsiTheme="minorHAnsi"/>
          <w:bCs/>
          <w:i/>
          <w:sz w:val="24"/>
          <w:szCs w:val="24"/>
        </w:rPr>
        <w:t>.</w:t>
      </w:r>
    </w:p>
    <w:p w:rsidR="001940D8" w:rsidRPr="00CF6796" w:rsidRDefault="001940D8" w:rsidP="001940D8">
      <w:pPr>
        <w:rPr>
          <w:rFonts w:asciiTheme="minorHAnsi" w:hAnsiTheme="minorHAnsi"/>
          <w:bCs/>
          <w:sz w:val="24"/>
          <w:szCs w:val="24"/>
          <w:highlight w:val="yellow"/>
        </w:rPr>
      </w:pPr>
    </w:p>
    <w:p w:rsidR="001940D8" w:rsidRPr="004F5586" w:rsidRDefault="001940D8" w:rsidP="001940D8">
      <w:pPr>
        <w:pStyle w:val="Heading2"/>
        <w:rPr>
          <w:rFonts w:asciiTheme="minorHAnsi" w:hAnsiTheme="minorHAnsi"/>
          <w:i w:val="0"/>
          <w:sz w:val="28"/>
        </w:rPr>
      </w:pPr>
      <w:r w:rsidRPr="004F5586">
        <w:rPr>
          <w:rFonts w:asciiTheme="minorHAnsi" w:hAnsiTheme="minorHAnsi"/>
          <w:sz w:val="28"/>
        </w:rPr>
        <w:t>Clinical trials</w:t>
      </w:r>
      <w:bookmarkEnd w:id="13"/>
      <w:bookmarkEnd w:id="14"/>
    </w:p>
    <w:p w:rsidR="001940D8" w:rsidRPr="00966A55" w:rsidRDefault="001940D8" w:rsidP="001940D8">
      <w:pPr>
        <w:rPr>
          <w:rFonts w:asciiTheme="minorHAnsi" w:hAnsiTheme="minorHAnsi"/>
          <w:sz w:val="24"/>
          <w:szCs w:val="24"/>
        </w:rPr>
      </w:pPr>
    </w:p>
    <w:p w:rsidR="001940D8" w:rsidRPr="004F5586" w:rsidRDefault="001940D8" w:rsidP="001940D8">
      <w:pPr>
        <w:pStyle w:val="ListParagraph"/>
        <w:widowControl/>
        <w:numPr>
          <w:ilvl w:val="1"/>
          <w:numId w:val="1"/>
        </w:numPr>
        <w:spacing w:after="120"/>
        <w:contextualSpacing w:val="0"/>
        <w:rPr>
          <w:rFonts w:asciiTheme="minorHAnsi" w:hAnsiTheme="minorHAnsi"/>
          <w:sz w:val="24"/>
        </w:rPr>
      </w:pPr>
      <w:r w:rsidRPr="004F5586">
        <w:rPr>
          <w:rFonts w:asciiTheme="minorHAnsi" w:hAnsiTheme="minorHAnsi"/>
          <w:sz w:val="24"/>
        </w:rPr>
        <w:t>The submission was based on an unadjusted comparison (without a common reference) of seven studies of glecaprevir/pibrentasvir and five studies of sofosbuvir/velpatasvir</w:t>
      </w:r>
      <w:r>
        <w:rPr>
          <w:rFonts w:asciiTheme="minorHAnsi" w:hAnsiTheme="minorHAnsi"/>
          <w:sz w:val="24"/>
        </w:rPr>
        <w:t>.</w:t>
      </w:r>
    </w:p>
    <w:p w:rsidR="001940D8" w:rsidRPr="004F5586" w:rsidRDefault="001940D8" w:rsidP="001940D8">
      <w:pPr>
        <w:pStyle w:val="ListParagraph"/>
        <w:widowControl/>
        <w:numPr>
          <w:ilvl w:val="1"/>
          <w:numId w:val="1"/>
        </w:numPr>
        <w:spacing w:after="120"/>
        <w:contextualSpacing w:val="0"/>
        <w:rPr>
          <w:rFonts w:asciiTheme="minorHAnsi" w:hAnsiTheme="minorHAnsi"/>
          <w:sz w:val="24"/>
        </w:rPr>
      </w:pPr>
      <w:r w:rsidRPr="004F5586">
        <w:rPr>
          <w:rFonts w:asciiTheme="minorHAnsi" w:hAnsiTheme="minorHAnsi"/>
          <w:sz w:val="24"/>
        </w:rPr>
        <w:t>Details of the studies presented in the submission a</w:t>
      </w:r>
      <w:r>
        <w:rPr>
          <w:rFonts w:asciiTheme="minorHAnsi" w:hAnsiTheme="minorHAnsi"/>
          <w:sz w:val="24"/>
        </w:rPr>
        <w:t>re provided in the table below.</w:t>
      </w:r>
    </w:p>
    <w:p w:rsidR="001940D8" w:rsidRDefault="001940D8" w:rsidP="001940D8">
      <w:pPr>
        <w:widowControl/>
        <w:jc w:val="left"/>
        <w:rPr>
          <w:rFonts w:ascii="Arial Narrow" w:hAnsi="Arial Narrow"/>
          <w:b/>
          <w:bCs/>
          <w:sz w:val="20"/>
          <w:szCs w:val="18"/>
        </w:rPr>
      </w:pPr>
      <w:r>
        <w:br w:type="page"/>
      </w:r>
    </w:p>
    <w:p w:rsidR="001940D8" w:rsidRPr="004F5586" w:rsidRDefault="001940D8" w:rsidP="001940D8">
      <w:pPr>
        <w:pStyle w:val="Caption"/>
        <w:keepNext/>
      </w:pPr>
      <w:r w:rsidRPr="004F5586">
        <w:lastRenderedPageBreak/>
        <w:t xml:space="preserve">Table </w:t>
      </w:r>
      <w:r w:rsidRPr="004F5586">
        <w:rPr>
          <w:noProof/>
        </w:rPr>
        <w:t>3</w:t>
      </w:r>
      <w:r w:rsidRPr="004F5586">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533"/>
        <w:gridCol w:w="5670"/>
        <w:gridCol w:w="2053"/>
      </w:tblGrid>
      <w:tr w:rsidR="001940D8" w:rsidRPr="004F5586" w:rsidTr="00E35312">
        <w:trPr>
          <w:trHeight w:val="284"/>
          <w:tblHeader/>
        </w:trPr>
        <w:tc>
          <w:tcPr>
            <w:tcW w:w="828" w:type="pct"/>
            <w:tcBorders>
              <w:top w:val="single" w:sz="4" w:space="0" w:color="auto"/>
              <w:left w:val="single" w:sz="4" w:space="0" w:color="auto"/>
              <w:bottom w:val="single" w:sz="4" w:space="0" w:color="auto"/>
              <w:right w:val="single" w:sz="4" w:space="0" w:color="auto"/>
            </w:tcBorders>
            <w:shd w:val="clear" w:color="auto" w:fill="auto"/>
          </w:tcPr>
          <w:p w:rsidR="001940D8" w:rsidRPr="004F5586" w:rsidRDefault="001940D8" w:rsidP="00E35312">
            <w:pPr>
              <w:pStyle w:val="Tabletext"/>
              <w:rPr>
                <w:b/>
                <w:bCs/>
                <w:szCs w:val="18"/>
              </w:rPr>
            </w:pPr>
            <w:r w:rsidRPr="004F5586">
              <w:rPr>
                <w:b/>
                <w:bCs/>
              </w:rPr>
              <w:t>Trial ID</w:t>
            </w:r>
          </w:p>
        </w:tc>
        <w:tc>
          <w:tcPr>
            <w:tcW w:w="3063" w:type="pct"/>
            <w:tcBorders>
              <w:top w:val="single" w:sz="4" w:space="0" w:color="auto"/>
              <w:left w:val="single" w:sz="4" w:space="0" w:color="auto"/>
              <w:bottom w:val="single" w:sz="4" w:space="0" w:color="auto"/>
              <w:right w:val="single" w:sz="4" w:space="0" w:color="auto"/>
            </w:tcBorders>
            <w:shd w:val="clear" w:color="auto" w:fill="auto"/>
          </w:tcPr>
          <w:p w:rsidR="001940D8" w:rsidRPr="004F5586" w:rsidRDefault="001940D8" w:rsidP="00E35312">
            <w:pPr>
              <w:pStyle w:val="Tabletext"/>
              <w:rPr>
                <w:b/>
                <w:bCs/>
                <w:szCs w:val="18"/>
              </w:rPr>
            </w:pPr>
            <w:r w:rsidRPr="004F5586">
              <w:rPr>
                <w:b/>
                <w:bCs/>
              </w:rPr>
              <w:t>Protocol title/ Publication title</w:t>
            </w:r>
          </w:p>
        </w:tc>
        <w:tc>
          <w:tcPr>
            <w:tcW w:w="1109" w:type="pct"/>
            <w:tcBorders>
              <w:top w:val="single" w:sz="4" w:space="0" w:color="auto"/>
              <w:left w:val="single" w:sz="4" w:space="0" w:color="auto"/>
              <w:bottom w:val="single" w:sz="4" w:space="0" w:color="auto"/>
              <w:right w:val="single" w:sz="4" w:space="0" w:color="auto"/>
            </w:tcBorders>
            <w:shd w:val="clear" w:color="auto" w:fill="auto"/>
          </w:tcPr>
          <w:p w:rsidR="001940D8" w:rsidRPr="004F5586" w:rsidRDefault="001940D8" w:rsidP="00E35312">
            <w:pPr>
              <w:pStyle w:val="Tabletext"/>
              <w:rPr>
                <w:b/>
                <w:bCs/>
                <w:szCs w:val="18"/>
              </w:rPr>
            </w:pPr>
            <w:r w:rsidRPr="004F5586">
              <w:rPr>
                <w:b/>
                <w:bCs/>
              </w:rPr>
              <w:t>Publication citation</w:t>
            </w:r>
          </w:p>
        </w:tc>
      </w:tr>
      <w:tr w:rsidR="001940D8" w:rsidRPr="004F5586" w:rsidTr="00E35312">
        <w:trPr>
          <w:trHeight w:val="28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1940D8" w:rsidRPr="004F5586" w:rsidRDefault="001940D8" w:rsidP="00E35312">
            <w:pPr>
              <w:pStyle w:val="Tabletext"/>
              <w:rPr>
                <w:b/>
                <w:bCs/>
                <w:iCs/>
              </w:rPr>
            </w:pPr>
            <w:r w:rsidRPr="004F5586">
              <w:rPr>
                <w:b/>
                <w:bCs/>
                <w:iCs/>
              </w:rPr>
              <w:t xml:space="preserve">GLECAPREVIR/PIBRENTASVIR TRIALS FOR </w:t>
            </w:r>
            <w:r>
              <w:rPr>
                <w:b/>
                <w:bCs/>
                <w:iCs/>
              </w:rPr>
              <w:t>COMPARISON OF SINGLE-</w:t>
            </w:r>
            <w:r w:rsidRPr="004F5586">
              <w:rPr>
                <w:b/>
                <w:bCs/>
                <w:iCs/>
              </w:rPr>
              <w:t xml:space="preserve">ARM </w:t>
            </w:r>
            <w:r>
              <w:rPr>
                <w:b/>
                <w:bCs/>
                <w:iCs/>
              </w:rPr>
              <w:t>STUDIES</w:t>
            </w:r>
            <w:r w:rsidRPr="004F5586">
              <w:rPr>
                <w:b/>
                <w:bCs/>
                <w:iCs/>
              </w:rPr>
              <w:t xml:space="preserve"> </w:t>
            </w:r>
          </w:p>
        </w:tc>
      </w:tr>
      <w:tr w:rsidR="001940D8" w:rsidRPr="004F5586" w:rsidTr="00E35312">
        <w:trPr>
          <w:trHeight w:val="992"/>
        </w:trPr>
        <w:tc>
          <w:tcPr>
            <w:tcW w:w="828" w:type="pct"/>
            <w:vMerge w:val="restart"/>
            <w:tcBorders>
              <w:top w:val="single" w:sz="4" w:space="0" w:color="auto"/>
              <w:left w:val="single" w:sz="4" w:space="0" w:color="auto"/>
              <w:right w:val="single" w:sz="4" w:space="0" w:color="auto"/>
            </w:tcBorders>
          </w:tcPr>
          <w:p w:rsidR="001940D8" w:rsidRPr="004F5586" w:rsidRDefault="001940D8" w:rsidP="00E35312">
            <w:pPr>
              <w:pStyle w:val="Tabletext"/>
              <w:rPr>
                <w:szCs w:val="18"/>
              </w:rPr>
            </w:pPr>
            <w:r w:rsidRPr="004F5586">
              <w:rPr>
                <w:szCs w:val="18"/>
              </w:rPr>
              <w:t>ENDURANCE-1</w:t>
            </w:r>
          </w:p>
          <w:p w:rsidR="001940D8" w:rsidRPr="004F5586" w:rsidRDefault="001940D8" w:rsidP="00E35312">
            <w:pPr>
              <w:pStyle w:val="Tabletext"/>
              <w:rPr>
                <w:szCs w:val="18"/>
              </w:rPr>
            </w:pPr>
            <w:r w:rsidRPr="004F5586">
              <w:rPr>
                <w:szCs w:val="18"/>
              </w:rPr>
              <w:t>(M13-590)</w:t>
            </w:r>
          </w:p>
        </w:tc>
        <w:tc>
          <w:tcPr>
            <w:tcW w:w="3063" w:type="pct"/>
            <w:tcBorders>
              <w:top w:val="single" w:sz="4" w:space="0" w:color="auto"/>
              <w:left w:val="single" w:sz="4" w:space="0" w:color="auto"/>
              <w:bottom w:val="single" w:sz="4" w:space="0" w:color="auto"/>
              <w:right w:val="single" w:sz="4" w:space="0" w:color="auto"/>
            </w:tcBorders>
          </w:tcPr>
          <w:p w:rsidR="001940D8" w:rsidRPr="004F5586" w:rsidRDefault="001940D8" w:rsidP="00E35312">
            <w:pPr>
              <w:pStyle w:val="Tabletext"/>
              <w:rPr>
                <w:szCs w:val="18"/>
              </w:rPr>
            </w:pPr>
            <w:r w:rsidRPr="004F5586">
              <w:rPr>
                <w:szCs w:val="18"/>
              </w:rPr>
              <w:t>Internal study report:</w:t>
            </w:r>
          </w:p>
          <w:p w:rsidR="001940D8" w:rsidRPr="004F5586" w:rsidRDefault="001940D8" w:rsidP="00E35312">
            <w:pPr>
              <w:pStyle w:val="Tabletext"/>
              <w:rPr>
                <w:szCs w:val="18"/>
              </w:rPr>
            </w:pPr>
            <w:r w:rsidRPr="004F5586">
              <w:rPr>
                <w:szCs w:val="18"/>
              </w:rPr>
              <w:t>Trial report M13-590. A Randomised, Open-Label, Multicenter Study to Evaluate the Efficacy and Safety of ABT-493/ABT-530 in Adults with Chronic Hepatitis C Virus Genotype 1 Infection (ENDURANCE-1)</w:t>
            </w:r>
          </w:p>
        </w:tc>
        <w:tc>
          <w:tcPr>
            <w:tcW w:w="1109" w:type="pct"/>
            <w:tcBorders>
              <w:top w:val="single" w:sz="4" w:space="0" w:color="auto"/>
              <w:left w:val="single" w:sz="4" w:space="0" w:color="auto"/>
              <w:bottom w:val="single" w:sz="4" w:space="0" w:color="auto"/>
              <w:right w:val="single" w:sz="4" w:space="0" w:color="auto"/>
            </w:tcBorders>
          </w:tcPr>
          <w:p w:rsidR="001940D8" w:rsidRPr="004F5586" w:rsidRDefault="001940D8" w:rsidP="00E35312">
            <w:pPr>
              <w:pStyle w:val="Tabletext"/>
              <w:rPr>
                <w:szCs w:val="18"/>
              </w:rPr>
            </w:pPr>
            <w:r w:rsidRPr="004F5586">
              <w:rPr>
                <w:szCs w:val="18"/>
              </w:rPr>
              <w:t>Date of report: 11/11/2016</w:t>
            </w:r>
          </w:p>
        </w:tc>
      </w:tr>
      <w:tr w:rsidR="001940D8" w:rsidRPr="004F5586" w:rsidTr="00E35312">
        <w:trPr>
          <w:trHeight w:val="1090"/>
        </w:trPr>
        <w:tc>
          <w:tcPr>
            <w:tcW w:w="828" w:type="pct"/>
            <w:vMerge/>
            <w:tcBorders>
              <w:left w:val="single" w:sz="4" w:space="0" w:color="auto"/>
              <w:bottom w:val="single" w:sz="4" w:space="0" w:color="auto"/>
              <w:right w:val="single" w:sz="4" w:space="0" w:color="auto"/>
            </w:tcBorders>
          </w:tcPr>
          <w:p w:rsidR="001940D8" w:rsidRPr="004F5586" w:rsidDel="00E21C09" w:rsidRDefault="001940D8" w:rsidP="00E35312">
            <w:pPr>
              <w:pStyle w:val="Tabletext"/>
              <w:rPr>
                <w:iCs/>
              </w:rPr>
            </w:pPr>
          </w:p>
        </w:tc>
        <w:tc>
          <w:tcPr>
            <w:tcW w:w="3063" w:type="pct"/>
            <w:tcBorders>
              <w:top w:val="single" w:sz="4" w:space="0" w:color="auto"/>
              <w:left w:val="single" w:sz="4" w:space="0" w:color="auto"/>
              <w:bottom w:val="single" w:sz="4" w:space="0" w:color="auto"/>
              <w:right w:val="single" w:sz="4" w:space="0" w:color="auto"/>
            </w:tcBorders>
          </w:tcPr>
          <w:p w:rsidR="001940D8" w:rsidRPr="004F5586" w:rsidRDefault="001940D8" w:rsidP="00E35312">
            <w:pPr>
              <w:pStyle w:val="Tabletext"/>
              <w:rPr>
                <w:szCs w:val="18"/>
              </w:rPr>
            </w:pPr>
            <w:r w:rsidRPr="004F5586">
              <w:rPr>
                <w:szCs w:val="18"/>
              </w:rPr>
              <w:t>Zeuzem et al. (2016) ENDURANCE-1: Efficacy and Safety of 8-versus 12-week Treatment with ABT-493 / ABT-530 in patients with Chronic HCV Genotype 1 Infection.</w:t>
            </w:r>
          </w:p>
        </w:tc>
        <w:tc>
          <w:tcPr>
            <w:tcW w:w="1109" w:type="pct"/>
            <w:tcBorders>
              <w:top w:val="single" w:sz="4" w:space="0" w:color="auto"/>
              <w:left w:val="single" w:sz="4" w:space="0" w:color="auto"/>
              <w:bottom w:val="single" w:sz="4" w:space="0" w:color="auto"/>
              <w:right w:val="single" w:sz="4" w:space="0" w:color="auto"/>
            </w:tcBorders>
          </w:tcPr>
          <w:p w:rsidR="001940D8" w:rsidRPr="004F5586" w:rsidRDefault="001940D8" w:rsidP="00E35312">
            <w:pPr>
              <w:pStyle w:val="Tabletext"/>
              <w:rPr>
                <w:szCs w:val="18"/>
              </w:rPr>
            </w:pPr>
            <w:r w:rsidRPr="004F5586">
              <w:rPr>
                <w:szCs w:val="18"/>
              </w:rPr>
              <w:t>Hepatology official journal of the American Association for the Study of Liver Diseases. 2016, Vol.63(1), p.132A</w:t>
            </w:r>
          </w:p>
        </w:tc>
      </w:tr>
      <w:tr w:rsidR="001940D8" w:rsidRPr="004F5586" w:rsidTr="00E35312">
        <w:trPr>
          <w:trHeight w:val="284"/>
        </w:trPr>
        <w:tc>
          <w:tcPr>
            <w:tcW w:w="828" w:type="pct"/>
            <w:tcBorders>
              <w:top w:val="single" w:sz="4" w:space="0" w:color="auto"/>
              <w:left w:val="single" w:sz="4" w:space="0" w:color="auto"/>
              <w:bottom w:val="single" w:sz="4" w:space="0" w:color="auto"/>
              <w:right w:val="single" w:sz="4" w:space="0" w:color="auto"/>
            </w:tcBorders>
          </w:tcPr>
          <w:p w:rsidR="001940D8" w:rsidRPr="004F5586" w:rsidRDefault="001940D8" w:rsidP="00E35312">
            <w:pPr>
              <w:pStyle w:val="Tabletext"/>
              <w:rPr>
                <w:iCs/>
              </w:rPr>
            </w:pPr>
            <w:r w:rsidRPr="004F5586">
              <w:rPr>
                <w:iCs/>
              </w:rPr>
              <w:t>EXPEDITION-1</w:t>
            </w:r>
          </w:p>
          <w:p w:rsidR="001940D8" w:rsidRPr="004F5586" w:rsidRDefault="001940D8" w:rsidP="00E35312">
            <w:pPr>
              <w:pStyle w:val="Tabletext"/>
              <w:rPr>
                <w:iCs/>
              </w:rPr>
            </w:pPr>
            <w:r w:rsidRPr="004F5586">
              <w:rPr>
                <w:iCs/>
              </w:rPr>
              <w:t>(M14-172)</w:t>
            </w:r>
          </w:p>
        </w:tc>
        <w:tc>
          <w:tcPr>
            <w:tcW w:w="3063" w:type="pct"/>
            <w:tcBorders>
              <w:top w:val="single" w:sz="4" w:space="0" w:color="auto"/>
              <w:left w:val="single" w:sz="4" w:space="0" w:color="auto"/>
              <w:bottom w:val="single" w:sz="4" w:space="0" w:color="auto"/>
              <w:right w:val="single" w:sz="4" w:space="0" w:color="auto"/>
            </w:tcBorders>
          </w:tcPr>
          <w:p w:rsidR="001940D8" w:rsidRPr="004F5586" w:rsidRDefault="001940D8" w:rsidP="00E35312">
            <w:pPr>
              <w:pStyle w:val="Tabletext"/>
              <w:rPr>
                <w:szCs w:val="18"/>
              </w:rPr>
            </w:pPr>
            <w:r w:rsidRPr="004F5586">
              <w:rPr>
                <w:szCs w:val="18"/>
              </w:rPr>
              <w:t>Internal study report:</w:t>
            </w:r>
          </w:p>
          <w:p w:rsidR="001940D8" w:rsidRPr="004F5586" w:rsidRDefault="001940D8" w:rsidP="00E35312">
            <w:pPr>
              <w:pStyle w:val="Tabletext"/>
              <w:rPr>
                <w:szCs w:val="18"/>
              </w:rPr>
            </w:pPr>
            <w:r w:rsidRPr="004F5586">
              <w:rPr>
                <w:szCs w:val="18"/>
              </w:rPr>
              <w:t xml:space="preserve">Trial report M14-172. A Single Arm, Open-Label Study to Evaluate the Efficacy and Safety of ABT-493/ABT-530 in Adults with Chronic Hepatitis C Virus Genotype 1, 2, 4, 5 or 6 Infection and Compensated Cirrhosis </w:t>
            </w:r>
          </w:p>
        </w:tc>
        <w:tc>
          <w:tcPr>
            <w:tcW w:w="1109" w:type="pct"/>
            <w:tcBorders>
              <w:top w:val="single" w:sz="4" w:space="0" w:color="auto"/>
              <w:left w:val="single" w:sz="4" w:space="0" w:color="auto"/>
              <w:bottom w:val="single" w:sz="4" w:space="0" w:color="auto"/>
              <w:right w:val="single" w:sz="4" w:space="0" w:color="auto"/>
            </w:tcBorders>
          </w:tcPr>
          <w:p w:rsidR="001940D8" w:rsidRPr="004F5586" w:rsidRDefault="001940D8" w:rsidP="00E35312">
            <w:pPr>
              <w:pStyle w:val="Tabletext"/>
              <w:rPr>
                <w:szCs w:val="18"/>
              </w:rPr>
            </w:pPr>
            <w:r w:rsidRPr="004F5586">
              <w:rPr>
                <w:szCs w:val="18"/>
              </w:rPr>
              <w:t>Date of report: 2/12/2016</w:t>
            </w:r>
          </w:p>
        </w:tc>
      </w:tr>
      <w:tr w:rsidR="001940D8" w:rsidRPr="004F5586" w:rsidTr="00E35312">
        <w:trPr>
          <w:trHeight w:val="785"/>
        </w:trPr>
        <w:tc>
          <w:tcPr>
            <w:tcW w:w="828" w:type="pct"/>
            <w:vMerge w:val="restart"/>
            <w:tcBorders>
              <w:top w:val="single" w:sz="4" w:space="0" w:color="auto"/>
              <w:left w:val="single" w:sz="4" w:space="0" w:color="auto"/>
              <w:right w:val="single" w:sz="4" w:space="0" w:color="auto"/>
            </w:tcBorders>
            <w:shd w:val="clear" w:color="auto" w:fill="auto"/>
          </w:tcPr>
          <w:p w:rsidR="001940D8" w:rsidRPr="004F5586" w:rsidRDefault="001940D8" w:rsidP="00E35312">
            <w:pPr>
              <w:pStyle w:val="Tabletext"/>
              <w:rPr>
                <w:iCs/>
              </w:rPr>
            </w:pPr>
            <w:r w:rsidRPr="004F5586">
              <w:rPr>
                <w:iCs/>
              </w:rPr>
              <w:t>ENDURANCE-3</w:t>
            </w:r>
          </w:p>
          <w:p w:rsidR="001940D8" w:rsidRPr="004F5586" w:rsidRDefault="001940D8" w:rsidP="00E35312">
            <w:pPr>
              <w:pStyle w:val="Tabletext"/>
              <w:rPr>
                <w:iCs/>
              </w:rPr>
            </w:pPr>
            <w:r w:rsidRPr="004F5586">
              <w:rPr>
                <w:iCs/>
              </w:rPr>
              <w:t>(M13-594)</w:t>
            </w:r>
          </w:p>
        </w:tc>
        <w:tc>
          <w:tcPr>
            <w:tcW w:w="3063" w:type="pct"/>
            <w:tcBorders>
              <w:top w:val="single" w:sz="4" w:space="0" w:color="auto"/>
              <w:left w:val="single" w:sz="4" w:space="0" w:color="auto"/>
              <w:bottom w:val="single" w:sz="4" w:space="0" w:color="auto"/>
              <w:right w:val="single" w:sz="4" w:space="0" w:color="auto"/>
            </w:tcBorders>
            <w:shd w:val="clear" w:color="auto" w:fill="auto"/>
          </w:tcPr>
          <w:p w:rsidR="001940D8" w:rsidRPr="004F5586" w:rsidRDefault="001940D8" w:rsidP="00E35312">
            <w:pPr>
              <w:pStyle w:val="Tabletext"/>
              <w:rPr>
                <w:szCs w:val="18"/>
              </w:rPr>
            </w:pPr>
            <w:r w:rsidRPr="004F5586">
              <w:rPr>
                <w:szCs w:val="18"/>
              </w:rPr>
              <w:t>Internal study report:</w:t>
            </w:r>
          </w:p>
          <w:p w:rsidR="001940D8" w:rsidRPr="004F5586" w:rsidRDefault="001940D8" w:rsidP="00E35312">
            <w:pPr>
              <w:pStyle w:val="Tabletext"/>
              <w:rPr>
                <w:szCs w:val="18"/>
              </w:rPr>
            </w:pPr>
            <w:r w:rsidRPr="004F5586">
              <w:rPr>
                <w:szCs w:val="18"/>
              </w:rPr>
              <w:t>Trial report M13-594. A Randomised, Open-Label, Active-Controlled, Multicenter Study to Compare Efficacy and Safety of ABT-493/ABT-530 to Sofosbuvir Co-Administered With Daclatasvir in Adults With Chronic Hepatitis C Virus Genotype 3 Infection (ENDURANCE-3)</w:t>
            </w:r>
          </w:p>
        </w:tc>
        <w:tc>
          <w:tcPr>
            <w:tcW w:w="1109" w:type="pct"/>
            <w:tcBorders>
              <w:top w:val="single" w:sz="4" w:space="0" w:color="auto"/>
              <w:left w:val="single" w:sz="4" w:space="0" w:color="auto"/>
              <w:bottom w:val="single" w:sz="4" w:space="0" w:color="auto"/>
              <w:right w:val="single" w:sz="4" w:space="0" w:color="auto"/>
            </w:tcBorders>
          </w:tcPr>
          <w:p w:rsidR="001940D8" w:rsidRPr="004F5586" w:rsidRDefault="001940D8" w:rsidP="00E35312">
            <w:pPr>
              <w:pStyle w:val="Tabletext"/>
              <w:rPr>
                <w:szCs w:val="18"/>
              </w:rPr>
            </w:pPr>
            <w:r w:rsidRPr="004F5586">
              <w:rPr>
                <w:szCs w:val="18"/>
              </w:rPr>
              <w:t>Date of report: 2/12/2016</w:t>
            </w:r>
          </w:p>
        </w:tc>
      </w:tr>
      <w:tr w:rsidR="001940D8" w:rsidRPr="004F5586" w:rsidTr="00E35312">
        <w:trPr>
          <w:trHeight w:val="740"/>
        </w:trPr>
        <w:tc>
          <w:tcPr>
            <w:tcW w:w="828" w:type="pct"/>
            <w:vMerge/>
            <w:tcBorders>
              <w:left w:val="single" w:sz="4" w:space="0" w:color="auto"/>
              <w:bottom w:val="single" w:sz="4" w:space="0" w:color="auto"/>
              <w:right w:val="single" w:sz="4" w:space="0" w:color="auto"/>
            </w:tcBorders>
            <w:shd w:val="clear" w:color="auto" w:fill="auto"/>
          </w:tcPr>
          <w:p w:rsidR="001940D8" w:rsidRPr="004F5586" w:rsidDel="00C311F3" w:rsidRDefault="001940D8" w:rsidP="00E35312">
            <w:pPr>
              <w:pStyle w:val="Tabletext"/>
              <w:rPr>
                <w:iCs/>
              </w:rPr>
            </w:pPr>
          </w:p>
        </w:tc>
        <w:tc>
          <w:tcPr>
            <w:tcW w:w="3063" w:type="pct"/>
            <w:tcBorders>
              <w:top w:val="single" w:sz="4" w:space="0" w:color="auto"/>
              <w:left w:val="single" w:sz="4" w:space="0" w:color="auto"/>
              <w:bottom w:val="single" w:sz="4" w:space="0" w:color="auto"/>
              <w:right w:val="single" w:sz="4" w:space="0" w:color="auto"/>
            </w:tcBorders>
            <w:shd w:val="clear" w:color="auto" w:fill="auto"/>
          </w:tcPr>
          <w:p w:rsidR="001940D8" w:rsidRPr="004F5586" w:rsidRDefault="001940D8" w:rsidP="00E35312">
            <w:pPr>
              <w:pStyle w:val="Tabletext"/>
              <w:rPr>
                <w:szCs w:val="18"/>
              </w:rPr>
            </w:pPr>
            <w:r w:rsidRPr="004F5586">
              <w:rPr>
                <w:szCs w:val="18"/>
              </w:rPr>
              <w:t>Foster et al (2016) A Phase 3, Randomised, Open-Label, Active-Controlled Study to Compare Efficacy and Safety of ABT-493/ABT-530 to Sofosbuvir Co-Administered with Daclatasvir in Adults with HCV Genotype 3 Infection</w:t>
            </w:r>
          </w:p>
        </w:tc>
        <w:tc>
          <w:tcPr>
            <w:tcW w:w="1109" w:type="pct"/>
            <w:tcBorders>
              <w:top w:val="single" w:sz="4" w:space="0" w:color="auto"/>
              <w:left w:val="single" w:sz="4" w:space="0" w:color="auto"/>
              <w:bottom w:val="single" w:sz="4" w:space="0" w:color="auto"/>
              <w:right w:val="single" w:sz="4" w:space="0" w:color="auto"/>
            </w:tcBorders>
          </w:tcPr>
          <w:p w:rsidR="001940D8" w:rsidRPr="004F5586" w:rsidRDefault="001940D8" w:rsidP="00E35312">
            <w:pPr>
              <w:pStyle w:val="Tabletext"/>
              <w:rPr>
                <w:szCs w:val="18"/>
              </w:rPr>
            </w:pPr>
            <w:r w:rsidRPr="004F5586">
              <w:rPr>
                <w:szCs w:val="18"/>
              </w:rPr>
              <w:t>Journal of Hepatology. 2016. Vol.64(2), pp.S292-S292</w:t>
            </w:r>
          </w:p>
        </w:tc>
      </w:tr>
      <w:tr w:rsidR="001940D8" w:rsidRPr="004F5586" w:rsidTr="00E35312">
        <w:trPr>
          <w:trHeight w:val="284"/>
        </w:trPr>
        <w:tc>
          <w:tcPr>
            <w:tcW w:w="828" w:type="pct"/>
            <w:tcBorders>
              <w:top w:val="single" w:sz="4" w:space="0" w:color="auto"/>
              <w:left w:val="single" w:sz="4" w:space="0" w:color="auto"/>
              <w:bottom w:val="single" w:sz="4" w:space="0" w:color="auto"/>
              <w:right w:val="single" w:sz="4" w:space="0" w:color="auto"/>
            </w:tcBorders>
          </w:tcPr>
          <w:p w:rsidR="001940D8" w:rsidRPr="004F5586" w:rsidRDefault="001940D8" w:rsidP="00E35312">
            <w:pPr>
              <w:pStyle w:val="Tabletext"/>
              <w:rPr>
                <w:iCs/>
              </w:rPr>
            </w:pPr>
            <w:r w:rsidRPr="004F5586">
              <w:rPr>
                <w:iCs/>
              </w:rPr>
              <w:t>EXPEDITION-4</w:t>
            </w:r>
          </w:p>
          <w:p w:rsidR="001940D8" w:rsidRPr="004F5586" w:rsidRDefault="001940D8" w:rsidP="00E35312">
            <w:pPr>
              <w:pStyle w:val="Tabletext"/>
              <w:rPr>
                <w:iCs/>
              </w:rPr>
            </w:pPr>
            <w:r w:rsidRPr="004F5586">
              <w:rPr>
                <w:iCs/>
              </w:rPr>
              <w:t>(M15-462)</w:t>
            </w:r>
          </w:p>
        </w:tc>
        <w:tc>
          <w:tcPr>
            <w:tcW w:w="3063" w:type="pct"/>
            <w:tcBorders>
              <w:top w:val="single" w:sz="4" w:space="0" w:color="auto"/>
              <w:left w:val="single" w:sz="4" w:space="0" w:color="auto"/>
              <w:bottom w:val="single" w:sz="4" w:space="0" w:color="auto"/>
              <w:right w:val="single" w:sz="4" w:space="0" w:color="auto"/>
            </w:tcBorders>
          </w:tcPr>
          <w:p w:rsidR="001940D8" w:rsidRPr="004F5586" w:rsidRDefault="001940D8" w:rsidP="00E35312">
            <w:pPr>
              <w:pStyle w:val="Tabletext"/>
              <w:rPr>
                <w:szCs w:val="18"/>
              </w:rPr>
            </w:pPr>
            <w:r w:rsidRPr="004F5586">
              <w:rPr>
                <w:szCs w:val="18"/>
              </w:rPr>
              <w:t>Internal study report:</w:t>
            </w:r>
          </w:p>
          <w:p w:rsidR="001940D8" w:rsidRPr="004F5586" w:rsidRDefault="001940D8" w:rsidP="00E35312">
            <w:pPr>
              <w:pStyle w:val="Tabletext"/>
              <w:rPr>
                <w:szCs w:val="18"/>
              </w:rPr>
            </w:pPr>
            <w:r w:rsidRPr="004F5586">
              <w:rPr>
                <w:szCs w:val="18"/>
              </w:rPr>
              <w:t xml:space="preserve">Trial Report M15-462. A Single-Arm, Open-Label, Study to Evaluate the Efficacy and Safety of ABT-493/ABT-530 in Renally-Impaired Adults with Chronic Hepatitis C Virus Genotype 1 – 6 Infection </w:t>
            </w:r>
          </w:p>
        </w:tc>
        <w:tc>
          <w:tcPr>
            <w:tcW w:w="1109" w:type="pct"/>
            <w:tcBorders>
              <w:top w:val="single" w:sz="4" w:space="0" w:color="auto"/>
              <w:left w:val="single" w:sz="4" w:space="0" w:color="auto"/>
              <w:bottom w:val="single" w:sz="4" w:space="0" w:color="auto"/>
              <w:right w:val="single" w:sz="4" w:space="0" w:color="auto"/>
            </w:tcBorders>
          </w:tcPr>
          <w:p w:rsidR="001940D8" w:rsidRPr="004F5586" w:rsidRDefault="001940D8" w:rsidP="00E35312">
            <w:pPr>
              <w:pStyle w:val="Tabletext"/>
              <w:rPr>
                <w:szCs w:val="18"/>
              </w:rPr>
            </w:pPr>
            <w:r w:rsidRPr="004F5586">
              <w:rPr>
                <w:szCs w:val="18"/>
              </w:rPr>
              <w:t>Date of report: 23/11/2016</w:t>
            </w:r>
          </w:p>
        </w:tc>
      </w:tr>
      <w:tr w:rsidR="001940D8" w:rsidRPr="004F5586" w:rsidTr="00E35312">
        <w:trPr>
          <w:trHeight w:val="186"/>
        </w:trPr>
        <w:tc>
          <w:tcPr>
            <w:tcW w:w="828" w:type="pct"/>
            <w:vMerge w:val="restart"/>
            <w:tcBorders>
              <w:top w:val="single" w:sz="4" w:space="0" w:color="auto"/>
              <w:left w:val="single" w:sz="4" w:space="0" w:color="auto"/>
              <w:right w:val="single" w:sz="4" w:space="0" w:color="auto"/>
            </w:tcBorders>
          </w:tcPr>
          <w:p w:rsidR="001940D8" w:rsidRPr="004F5586" w:rsidRDefault="001940D8" w:rsidP="00E35312">
            <w:pPr>
              <w:pStyle w:val="Tabletext"/>
              <w:rPr>
                <w:iCs/>
              </w:rPr>
            </w:pPr>
            <w:r w:rsidRPr="004F5586">
              <w:rPr>
                <w:iCs/>
              </w:rPr>
              <w:t>SURVEYOR-I</w:t>
            </w:r>
          </w:p>
          <w:p w:rsidR="001940D8" w:rsidRPr="004F5586" w:rsidRDefault="001940D8" w:rsidP="00E35312">
            <w:pPr>
              <w:pStyle w:val="Tabletext"/>
              <w:rPr>
                <w:iCs/>
              </w:rPr>
            </w:pPr>
            <w:r w:rsidRPr="004F5586">
              <w:rPr>
                <w:iCs/>
              </w:rPr>
              <w:t>(M14-867)</w:t>
            </w:r>
          </w:p>
          <w:p w:rsidR="001940D8" w:rsidRPr="004F5586" w:rsidRDefault="001940D8" w:rsidP="00E35312">
            <w:pPr>
              <w:pStyle w:val="Tabletext"/>
              <w:rPr>
                <w:iCs/>
              </w:rPr>
            </w:pPr>
          </w:p>
        </w:tc>
        <w:tc>
          <w:tcPr>
            <w:tcW w:w="3063" w:type="pct"/>
            <w:tcBorders>
              <w:top w:val="single" w:sz="4" w:space="0" w:color="auto"/>
              <w:left w:val="single" w:sz="4" w:space="0" w:color="auto"/>
              <w:bottom w:val="single" w:sz="4" w:space="0" w:color="auto"/>
              <w:right w:val="single" w:sz="4" w:space="0" w:color="auto"/>
            </w:tcBorders>
            <w:shd w:val="clear" w:color="auto" w:fill="auto"/>
          </w:tcPr>
          <w:p w:rsidR="001940D8" w:rsidRPr="004F5586" w:rsidRDefault="001940D8" w:rsidP="00E35312">
            <w:pPr>
              <w:pStyle w:val="Tabletext"/>
              <w:rPr>
                <w:szCs w:val="18"/>
              </w:rPr>
            </w:pPr>
            <w:r w:rsidRPr="004F5586">
              <w:rPr>
                <w:szCs w:val="18"/>
              </w:rPr>
              <w:t>Internal study report:</w:t>
            </w:r>
          </w:p>
          <w:p w:rsidR="001940D8" w:rsidRPr="004F5586" w:rsidRDefault="001940D8" w:rsidP="00E35312">
            <w:pPr>
              <w:pStyle w:val="Tabletext"/>
              <w:rPr>
                <w:szCs w:val="18"/>
              </w:rPr>
            </w:pPr>
            <w:r w:rsidRPr="004F5586">
              <w:rPr>
                <w:szCs w:val="18"/>
              </w:rPr>
              <w:t>Trial report M14-867. An Open-Label, Multicenter Study to Evaluate the Efficacy, Safety, and Pharmacokinetics of Co-Administration of ABT-493 and ABT-530 With and Without Ribavirin in Subjects With Chronic Hepatitis C Virus (HCV) Genotype 1, 4, 5, and 6 Infection (SURVEYOR-I)</w:t>
            </w:r>
          </w:p>
        </w:tc>
        <w:tc>
          <w:tcPr>
            <w:tcW w:w="1109" w:type="pct"/>
            <w:tcBorders>
              <w:top w:val="single" w:sz="4" w:space="0" w:color="auto"/>
              <w:left w:val="single" w:sz="4" w:space="0" w:color="auto"/>
              <w:bottom w:val="single" w:sz="4" w:space="0" w:color="auto"/>
              <w:right w:val="single" w:sz="4" w:space="0" w:color="auto"/>
            </w:tcBorders>
          </w:tcPr>
          <w:p w:rsidR="001940D8" w:rsidRPr="004F5586" w:rsidRDefault="001940D8" w:rsidP="00E35312">
            <w:pPr>
              <w:pStyle w:val="Tabletext"/>
              <w:rPr>
                <w:szCs w:val="18"/>
              </w:rPr>
            </w:pPr>
            <w:r w:rsidRPr="004F5586">
              <w:rPr>
                <w:szCs w:val="18"/>
              </w:rPr>
              <w:t>Date of report: 20/5/2016</w:t>
            </w:r>
          </w:p>
        </w:tc>
      </w:tr>
      <w:tr w:rsidR="001940D8" w:rsidRPr="004F5586" w:rsidTr="00E35312">
        <w:trPr>
          <w:trHeight w:val="753"/>
        </w:trPr>
        <w:tc>
          <w:tcPr>
            <w:tcW w:w="828" w:type="pct"/>
            <w:vMerge/>
            <w:tcBorders>
              <w:left w:val="single" w:sz="4" w:space="0" w:color="auto"/>
              <w:bottom w:val="single" w:sz="4" w:space="0" w:color="auto"/>
              <w:right w:val="single" w:sz="4" w:space="0" w:color="auto"/>
            </w:tcBorders>
          </w:tcPr>
          <w:p w:rsidR="001940D8" w:rsidRPr="004F5586" w:rsidRDefault="001940D8" w:rsidP="00E35312">
            <w:pPr>
              <w:pStyle w:val="Tabletext"/>
              <w:rPr>
                <w:iCs/>
              </w:rPr>
            </w:pPr>
          </w:p>
        </w:tc>
        <w:tc>
          <w:tcPr>
            <w:tcW w:w="3063" w:type="pct"/>
            <w:tcBorders>
              <w:top w:val="single" w:sz="4" w:space="0" w:color="auto"/>
              <w:left w:val="single" w:sz="4" w:space="0" w:color="auto"/>
              <w:bottom w:val="single" w:sz="4" w:space="0" w:color="auto"/>
              <w:right w:val="single" w:sz="4" w:space="0" w:color="auto"/>
            </w:tcBorders>
            <w:shd w:val="clear" w:color="auto" w:fill="auto"/>
          </w:tcPr>
          <w:p w:rsidR="001940D8" w:rsidRPr="004F5586" w:rsidRDefault="001940D8" w:rsidP="00E35312">
            <w:pPr>
              <w:pStyle w:val="Tabletext"/>
              <w:rPr>
                <w:szCs w:val="18"/>
              </w:rPr>
            </w:pPr>
            <w:r w:rsidRPr="004F5586">
              <w:rPr>
                <w:szCs w:val="18"/>
              </w:rPr>
              <w:t>Gane et al (2016) High Efficacy of ABT-493 and ABT-530 Treatment in Patients With HCV Genotype 1 or 3 Infection and Compensated Cirrhosis.</w:t>
            </w:r>
          </w:p>
        </w:tc>
        <w:tc>
          <w:tcPr>
            <w:tcW w:w="1109" w:type="pct"/>
            <w:tcBorders>
              <w:top w:val="single" w:sz="4" w:space="0" w:color="auto"/>
              <w:left w:val="single" w:sz="4" w:space="0" w:color="auto"/>
              <w:bottom w:val="single" w:sz="4" w:space="0" w:color="auto"/>
              <w:right w:val="single" w:sz="4" w:space="0" w:color="auto"/>
            </w:tcBorders>
          </w:tcPr>
          <w:p w:rsidR="001940D8" w:rsidRPr="004F5586" w:rsidRDefault="001940D8" w:rsidP="00E35312">
            <w:pPr>
              <w:pStyle w:val="Tabletext"/>
              <w:rPr>
                <w:szCs w:val="18"/>
              </w:rPr>
            </w:pPr>
            <w:r w:rsidRPr="004F5586">
              <w:rPr>
                <w:szCs w:val="18"/>
              </w:rPr>
              <w:t>Gastroenterology. 2016. Vol.151(4), p.651</w:t>
            </w:r>
          </w:p>
        </w:tc>
      </w:tr>
      <w:tr w:rsidR="001940D8" w:rsidRPr="004F5586" w:rsidTr="00E35312">
        <w:trPr>
          <w:trHeight w:val="1238"/>
        </w:trPr>
        <w:tc>
          <w:tcPr>
            <w:tcW w:w="828" w:type="pct"/>
            <w:vMerge w:val="restart"/>
            <w:tcBorders>
              <w:top w:val="single" w:sz="4" w:space="0" w:color="auto"/>
              <w:left w:val="single" w:sz="4" w:space="0" w:color="auto"/>
              <w:right w:val="single" w:sz="4" w:space="0" w:color="auto"/>
            </w:tcBorders>
          </w:tcPr>
          <w:p w:rsidR="001940D8" w:rsidRPr="004F5586" w:rsidRDefault="001940D8" w:rsidP="00E35312">
            <w:pPr>
              <w:pStyle w:val="Tabletext"/>
              <w:rPr>
                <w:iCs/>
              </w:rPr>
            </w:pPr>
            <w:r w:rsidRPr="004F5586">
              <w:rPr>
                <w:iCs/>
              </w:rPr>
              <w:t>SURVEYOR-II</w:t>
            </w:r>
          </w:p>
          <w:p w:rsidR="001940D8" w:rsidRPr="004F5586" w:rsidRDefault="001940D8" w:rsidP="00E35312">
            <w:pPr>
              <w:pStyle w:val="Tabletext"/>
              <w:rPr>
                <w:iCs/>
              </w:rPr>
            </w:pPr>
            <w:r w:rsidRPr="004F5586">
              <w:rPr>
                <w:iCs/>
              </w:rPr>
              <w:t>(M14-868) </w:t>
            </w:r>
          </w:p>
          <w:p w:rsidR="001940D8" w:rsidRPr="004F5586" w:rsidRDefault="001940D8" w:rsidP="00E35312">
            <w:pPr>
              <w:pStyle w:val="Tabletext"/>
              <w:rPr>
                <w:iCs/>
              </w:rPr>
            </w:pPr>
          </w:p>
          <w:p w:rsidR="001940D8" w:rsidRPr="004F5586" w:rsidRDefault="001940D8" w:rsidP="00E35312">
            <w:pPr>
              <w:pStyle w:val="Tabletext"/>
              <w:rPr>
                <w:iCs/>
              </w:rPr>
            </w:pPr>
          </w:p>
        </w:tc>
        <w:tc>
          <w:tcPr>
            <w:tcW w:w="3063" w:type="pct"/>
            <w:tcBorders>
              <w:top w:val="single" w:sz="4" w:space="0" w:color="auto"/>
              <w:left w:val="single" w:sz="4" w:space="0" w:color="auto"/>
              <w:bottom w:val="single" w:sz="4" w:space="0" w:color="auto"/>
              <w:right w:val="single" w:sz="4" w:space="0" w:color="auto"/>
            </w:tcBorders>
            <w:shd w:val="clear" w:color="auto" w:fill="auto"/>
          </w:tcPr>
          <w:p w:rsidR="001940D8" w:rsidRPr="004F5586" w:rsidRDefault="001940D8" w:rsidP="00E35312">
            <w:pPr>
              <w:pStyle w:val="Tabletext"/>
              <w:rPr>
                <w:szCs w:val="18"/>
              </w:rPr>
            </w:pPr>
            <w:r w:rsidRPr="004F5586">
              <w:rPr>
                <w:szCs w:val="18"/>
              </w:rPr>
              <w:t>Internal study report:</w:t>
            </w:r>
          </w:p>
          <w:p w:rsidR="001940D8" w:rsidRPr="004F5586" w:rsidRDefault="001940D8" w:rsidP="00E35312">
            <w:pPr>
              <w:pStyle w:val="Tabletext"/>
              <w:rPr>
                <w:szCs w:val="18"/>
              </w:rPr>
            </w:pPr>
            <w:r w:rsidRPr="004F5586">
              <w:rPr>
                <w:szCs w:val="18"/>
              </w:rPr>
              <w:t>Trial report M14-868. A Randomised, Open-Label, Multicenter Study to Evaluate the Efficacy, Safety, and Pharmacokinetics of Co-Administration of ABT-493 and ABT-530 With and Without RBV in Subjects With Chronic Hepatitis C Virus (HCV) Genotypes 2, 3, 4, 5 or 6 Infection (SURVEYOR-II)</w:t>
            </w:r>
          </w:p>
        </w:tc>
        <w:tc>
          <w:tcPr>
            <w:tcW w:w="1109" w:type="pct"/>
            <w:tcBorders>
              <w:top w:val="single" w:sz="4" w:space="0" w:color="auto"/>
              <w:left w:val="single" w:sz="4" w:space="0" w:color="auto"/>
              <w:bottom w:val="single" w:sz="4" w:space="0" w:color="auto"/>
              <w:right w:val="single" w:sz="4" w:space="0" w:color="auto"/>
            </w:tcBorders>
          </w:tcPr>
          <w:p w:rsidR="001940D8" w:rsidRPr="004F5586" w:rsidRDefault="001940D8" w:rsidP="00E35312">
            <w:pPr>
              <w:pStyle w:val="Tabletext"/>
              <w:rPr>
                <w:szCs w:val="18"/>
              </w:rPr>
            </w:pPr>
            <w:r w:rsidRPr="004F5586">
              <w:rPr>
                <w:szCs w:val="18"/>
              </w:rPr>
              <w:t>Date of report: 2/12/2016</w:t>
            </w:r>
          </w:p>
        </w:tc>
      </w:tr>
      <w:tr w:rsidR="001940D8" w:rsidRPr="004F5586" w:rsidTr="00E35312">
        <w:trPr>
          <w:trHeight w:val="725"/>
        </w:trPr>
        <w:tc>
          <w:tcPr>
            <w:tcW w:w="828" w:type="pct"/>
            <w:vMerge/>
            <w:tcBorders>
              <w:left w:val="single" w:sz="4" w:space="0" w:color="auto"/>
              <w:right w:val="single" w:sz="4" w:space="0" w:color="auto"/>
            </w:tcBorders>
          </w:tcPr>
          <w:p w:rsidR="001940D8" w:rsidRPr="004F5586" w:rsidRDefault="001940D8" w:rsidP="00E35312">
            <w:pPr>
              <w:pStyle w:val="Tabletext"/>
              <w:rPr>
                <w:iCs/>
              </w:rPr>
            </w:pPr>
          </w:p>
        </w:tc>
        <w:tc>
          <w:tcPr>
            <w:tcW w:w="3063" w:type="pct"/>
            <w:tcBorders>
              <w:top w:val="single" w:sz="4" w:space="0" w:color="auto"/>
              <w:left w:val="single" w:sz="4" w:space="0" w:color="auto"/>
              <w:bottom w:val="single" w:sz="4" w:space="0" w:color="auto"/>
              <w:right w:val="single" w:sz="4" w:space="0" w:color="auto"/>
            </w:tcBorders>
            <w:shd w:val="clear" w:color="auto" w:fill="auto"/>
          </w:tcPr>
          <w:p w:rsidR="001940D8" w:rsidRPr="004F5586" w:rsidRDefault="001940D8" w:rsidP="00E35312">
            <w:pPr>
              <w:pStyle w:val="Tabletext"/>
              <w:rPr>
                <w:szCs w:val="18"/>
              </w:rPr>
            </w:pPr>
            <w:r w:rsidRPr="004F5586">
              <w:rPr>
                <w:szCs w:val="18"/>
              </w:rPr>
              <w:t xml:space="preserve">Gane et al (2016) High Efficacy of ABT-493 and ABT-530 Treatment in Patients With HCV Genotype 1 or 3 Infection and Compensated Cirrhosis. </w:t>
            </w:r>
          </w:p>
        </w:tc>
        <w:tc>
          <w:tcPr>
            <w:tcW w:w="1109" w:type="pct"/>
            <w:tcBorders>
              <w:top w:val="single" w:sz="4" w:space="0" w:color="auto"/>
              <w:left w:val="single" w:sz="4" w:space="0" w:color="auto"/>
              <w:right w:val="single" w:sz="4" w:space="0" w:color="auto"/>
            </w:tcBorders>
          </w:tcPr>
          <w:p w:rsidR="001940D8" w:rsidRPr="004F5586" w:rsidRDefault="001940D8" w:rsidP="00E35312">
            <w:pPr>
              <w:pStyle w:val="Tabletext"/>
              <w:rPr>
                <w:szCs w:val="18"/>
              </w:rPr>
            </w:pPr>
            <w:r w:rsidRPr="004F5586">
              <w:rPr>
                <w:szCs w:val="18"/>
              </w:rPr>
              <w:t>Gastroenterology, 2016, Vol.151(4), p.651</w:t>
            </w:r>
          </w:p>
        </w:tc>
      </w:tr>
      <w:tr w:rsidR="001940D8" w:rsidRPr="004F5586" w:rsidTr="00E35312">
        <w:trPr>
          <w:trHeight w:val="1039"/>
        </w:trPr>
        <w:tc>
          <w:tcPr>
            <w:tcW w:w="828" w:type="pct"/>
            <w:vMerge/>
            <w:tcBorders>
              <w:left w:val="single" w:sz="4" w:space="0" w:color="auto"/>
              <w:bottom w:val="single" w:sz="4" w:space="0" w:color="auto"/>
              <w:right w:val="single" w:sz="4" w:space="0" w:color="auto"/>
            </w:tcBorders>
          </w:tcPr>
          <w:p w:rsidR="001940D8" w:rsidRPr="004F5586" w:rsidRDefault="001940D8" w:rsidP="00E35312">
            <w:pPr>
              <w:pStyle w:val="Tabletext"/>
              <w:rPr>
                <w:iCs/>
              </w:rPr>
            </w:pPr>
          </w:p>
        </w:tc>
        <w:tc>
          <w:tcPr>
            <w:tcW w:w="3063" w:type="pct"/>
            <w:tcBorders>
              <w:top w:val="single" w:sz="4" w:space="0" w:color="auto"/>
              <w:left w:val="single" w:sz="4" w:space="0" w:color="auto"/>
              <w:bottom w:val="single" w:sz="4" w:space="0" w:color="auto"/>
              <w:right w:val="single" w:sz="4" w:space="0" w:color="auto"/>
            </w:tcBorders>
            <w:shd w:val="clear" w:color="auto" w:fill="auto"/>
          </w:tcPr>
          <w:p w:rsidR="001940D8" w:rsidRPr="004F5586" w:rsidRDefault="001940D8" w:rsidP="00E35312">
            <w:pPr>
              <w:pStyle w:val="Tabletext"/>
              <w:rPr>
                <w:szCs w:val="18"/>
              </w:rPr>
            </w:pPr>
            <w:r w:rsidRPr="004F5586">
              <w:rPr>
                <w:szCs w:val="18"/>
              </w:rPr>
              <w:t>Wyles et al (2016) SURVEYOR-II, part 3: Efficacy and safety of ABT-493 / ABT-530 in patients with hepatitis C virus genotype 3 infection with prior treatment experience and/or cirrhosis.</w:t>
            </w:r>
          </w:p>
        </w:tc>
        <w:tc>
          <w:tcPr>
            <w:tcW w:w="1109" w:type="pct"/>
            <w:tcBorders>
              <w:left w:val="single" w:sz="4" w:space="0" w:color="auto"/>
              <w:bottom w:val="single" w:sz="4" w:space="0" w:color="auto"/>
              <w:right w:val="single" w:sz="4" w:space="0" w:color="auto"/>
            </w:tcBorders>
          </w:tcPr>
          <w:p w:rsidR="001940D8" w:rsidRPr="004F5586" w:rsidRDefault="001940D8" w:rsidP="00E35312">
            <w:pPr>
              <w:pStyle w:val="Tabletext"/>
              <w:rPr>
                <w:szCs w:val="18"/>
              </w:rPr>
            </w:pPr>
            <w:r w:rsidRPr="004F5586">
              <w:rPr>
                <w:szCs w:val="18"/>
              </w:rPr>
              <w:t>Hepatology official journal of the American Association for the Study of Liver Diseases. 2016. Vol.63(1), p.62A</w:t>
            </w:r>
          </w:p>
        </w:tc>
      </w:tr>
      <w:tr w:rsidR="001940D8" w:rsidRPr="004F5586" w:rsidTr="00E35312">
        <w:trPr>
          <w:trHeight w:val="284"/>
        </w:trPr>
        <w:tc>
          <w:tcPr>
            <w:tcW w:w="828" w:type="pct"/>
            <w:tcBorders>
              <w:top w:val="single" w:sz="4" w:space="0" w:color="auto"/>
              <w:left w:val="single" w:sz="4" w:space="0" w:color="auto"/>
              <w:bottom w:val="single" w:sz="4" w:space="0" w:color="auto"/>
              <w:right w:val="single" w:sz="4" w:space="0" w:color="auto"/>
            </w:tcBorders>
          </w:tcPr>
          <w:p w:rsidR="001940D8" w:rsidRPr="004F5586" w:rsidRDefault="001940D8" w:rsidP="00E35312">
            <w:pPr>
              <w:pStyle w:val="Tabletext"/>
              <w:rPr>
                <w:iCs/>
              </w:rPr>
            </w:pPr>
            <w:r w:rsidRPr="004F5586">
              <w:rPr>
                <w:iCs/>
              </w:rPr>
              <w:t>MAGELLAN-1</w:t>
            </w:r>
          </w:p>
          <w:p w:rsidR="001940D8" w:rsidRPr="004F5586" w:rsidRDefault="001940D8" w:rsidP="00E35312">
            <w:pPr>
              <w:pStyle w:val="Tabletext"/>
              <w:rPr>
                <w:iCs/>
              </w:rPr>
            </w:pPr>
            <w:r w:rsidRPr="004F5586">
              <w:rPr>
                <w:iCs/>
              </w:rPr>
              <w:t>(M15-410)</w:t>
            </w:r>
          </w:p>
        </w:tc>
        <w:tc>
          <w:tcPr>
            <w:tcW w:w="3063" w:type="pct"/>
            <w:tcBorders>
              <w:top w:val="single" w:sz="4" w:space="0" w:color="auto"/>
              <w:left w:val="single" w:sz="4" w:space="0" w:color="auto"/>
              <w:bottom w:val="single" w:sz="4" w:space="0" w:color="auto"/>
              <w:right w:val="single" w:sz="4" w:space="0" w:color="auto"/>
            </w:tcBorders>
            <w:shd w:val="clear" w:color="auto" w:fill="auto"/>
          </w:tcPr>
          <w:p w:rsidR="001940D8" w:rsidRPr="004F5586" w:rsidRDefault="001940D8" w:rsidP="00E35312">
            <w:pPr>
              <w:pStyle w:val="Tabletext"/>
              <w:rPr>
                <w:szCs w:val="18"/>
              </w:rPr>
            </w:pPr>
            <w:r w:rsidRPr="004F5586">
              <w:rPr>
                <w:szCs w:val="18"/>
              </w:rPr>
              <w:t>Internal study report:</w:t>
            </w:r>
          </w:p>
          <w:p w:rsidR="001940D8" w:rsidRPr="004F5586" w:rsidRDefault="001940D8" w:rsidP="00E35312">
            <w:pPr>
              <w:pStyle w:val="Tabletext"/>
              <w:rPr>
                <w:szCs w:val="18"/>
              </w:rPr>
            </w:pPr>
            <w:r w:rsidRPr="004F5586">
              <w:rPr>
                <w:szCs w:val="18"/>
              </w:rPr>
              <w:t xml:space="preserve">Trial report M15-410. A Randomised, Open-Label, Multicenter Study to Evaluate the Efficacy, Safety, and Pharmacokinetics of Co-Administration </w:t>
            </w:r>
            <w:r w:rsidRPr="004F5586">
              <w:rPr>
                <w:szCs w:val="18"/>
              </w:rPr>
              <w:lastRenderedPageBreak/>
              <w:t>of ABT-493 and ABT-530 (or ABT-493/ABT-530) With and Without Ribavirin in Adults With Chronic Hepatitis C Virus (HCV) Infection Who Failed a Prior Direct-Acting Antiviral Agent (DAA)-Containing Therapy</w:t>
            </w:r>
          </w:p>
        </w:tc>
        <w:tc>
          <w:tcPr>
            <w:tcW w:w="1109" w:type="pct"/>
            <w:tcBorders>
              <w:top w:val="single" w:sz="4" w:space="0" w:color="auto"/>
              <w:left w:val="single" w:sz="4" w:space="0" w:color="auto"/>
              <w:bottom w:val="single" w:sz="4" w:space="0" w:color="auto"/>
              <w:right w:val="single" w:sz="4" w:space="0" w:color="auto"/>
            </w:tcBorders>
          </w:tcPr>
          <w:p w:rsidR="001940D8" w:rsidRPr="004F5586" w:rsidRDefault="001940D8" w:rsidP="00E35312">
            <w:pPr>
              <w:pStyle w:val="Tabletext"/>
              <w:rPr>
                <w:szCs w:val="18"/>
              </w:rPr>
            </w:pPr>
            <w:r w:rsidRPr="004F5586">
              <w:rPr>
                <w:szCs w:val="18"/>
              </w:rPr>
              <w:lastRenderedPageBreak/>
              <w:t>Date of report: 30/11/2016</w:t>
            </w:r>
          </w:p>
        </w:tc>
      </w:tr>
      <w:tr w:rsidR="001940D8" w:rsidRPr="004F5586" w:rsidTr="00E35312">
        <w:trPr>
          <w:trHeight w:val="284"/>
        </w:trPr>
        <w:tc>
          <w:tcPr>
            <w:tcW w:w="5000" w:type="pct"/>
            <w:gridSpan w:val="3"/>
            <w:tcBorders>
              <w:left w:val="single" w:sz="4" w:space="0" w:color="auto"/>
              <w:right w:val="single" w:sz="4" w:space="0" w:color="auto"/>
            </w:tcBorders>
            <w:shd w:val="clear" w:color="auto" w:fill="auto"/>
          </w:tcPr>
          <w:p w:rsidR="001940D8" w:rsidRPr="004F5586" w:rsidRDefault="001940D8" w:rsidP="00E35312">
            <w:pPr>
              <w:pStyle w:val="Tabletext"/>
              <w:rPr>
                <w:b/>
                <w:bCs/>
                <w:szCs w:val="18"/>
              </w:rPr>
            </w:pPr>
            <w:r w:rsidRPr="004F5586">
              <w:rPr>
                <w:b/>
                <w:bCs/>
                <w:szCs w:val="18"/>
              </w:rPr>
              <w:lastRenderedPageBreak/>
              <w:t xml:space="preserve">SOFOSBUVIR-VELPATASVIR TRIALS FOR </w:t>
            </w:r>
            <w:r>
              <w:rPr>
                <w:b/>
                <w:bCs/>
                <w:szCs w:val="18"/>
              </w:rPr>
              <w:t>COMPARIONS OF SINGLE-</w:t>
            </w:r>
            <w:r w:rsidRPr="004F5586">
              <w:rPr>
                <w:b/>
                <w:bCs/>
                <w:szCs w:val="18"/>
              </w:rPr>
              <w:t xml:space="preserve">ARM </w:t>
            </w:r>
            <w:r>
              <w:rPr>
                <w:b/>
                <w:bCs/>
                <w:szCs w:val="18"/>
              </w:rPr>
              <w:t>STUDIES</w:t>
            </w:r>
          </w:p>
        </w:tc>
      </w:tr>
      <w:tr w:rsidR="001940D8" w:rsidRPr="004F5586" w:rsidTr="00E35312">
        <w:trPr>
          <w:trHeight w:val="397"/>
        </w:trPr>
        <w:tc>
          <w:tcPr>
            <w:tcW w:w="828" w:type="pct"/>
            <w:vMerge w:val="restart"/>
            <w:tcBorders>
              <w:left w:val="single" w:sz="4" w:space="0" w:color="auto"/>
              <w:right w:val="single" w:sz="4" w:space="0" w:color="auto"/>
            </w:tcBorders>
            <w:shd w:val="clear" w:color="auto" w:fill="auto"/>
          </w:tcPr>
          <w:p w:rsidR="001940D8" w:rsidRPr="004F5586" w:rsidRDefault="001940D8" w:rsidP="00E35312">
            <w:pPr>
              <w:pStyle w:val="Tabletext"/>
              <w:rPr>
                <w:bCs/>
                <w:iCs/>
              </w:rPr>
            </w:pPr>
            <w:r w:rsidRPr="004F5586">
              <w:rPr>
                <w:bCs/>
                <w:iCs/>
              </w:rPr>
              <w:t>ASTRAL-1</w:t>
            </w:r>
          </w:p>
          <w:p w:rsidR="001940D8" w:rsidRPr="004F5586" w:rsidRDefault="001940D8" w:rsidP="00E35312">
            <w:pPr>
              <w:pStyle w:val="Tabletext"/>
              <w:rPr>
                <w:bCs/>
                <w:iCs/>
              </w:rPr>
            </w:pPr>
            <w:r w:rsidRPr="004F5586">
              <w:rPr>
                <w:bCs/>
                <w:iCs/>
              </w:rPr>
              <w:t>Fled et al (2015)</w:t>
            </w:r>
          </w:p>
          <w:p w:rsidR="001940D8" w:rsidRPr="004F5586" w:rsidRDefault="001940D8" w:rsidP="00E35312">
            <w:pPr>
              <w:pStyle w:val="Tabletext"/>
              <w:rPr>
                <w:bCs/>
                <w:iCs/>
                <w:color w:val="9BBB59" w:themeColor="accent3"/>
              </w:rPr>
            </w:pPr>
          </w:p>
        </w:tc>
        <w:tc>
          <w:tcPr>
            <w:tcW w:w="3063" w:type="pct"/>
            <w:tcBorders>
              <w:left w:val="single" w:sz="4" w:space="0" w:color="auto"/>
              <w:right w:val="single" w:sz="4" w:space="0" w:color="auto"/>
            </w:tcBorders>
            <w:shd w:val="clear" w:color="auto" w:fill="auto"/>
          </w:tcPr>
          <w:p w:rsidR="001940D8" w:rsidRPr="004F5586" w:rsidRDefault="001940D8" w:rsidP="00E35312">
            <w:pPr>
              <w:pStyle w:val="Tabletext"/>
              <w:rPr>
                <w:szCs w:val="18"/>
              </w:rPr>
            </w:pPr>
            <w:r w:rsidRPr="004F5586">
              <w:rPr>
                <w:szCs w:val="18"/>
              </w:rPr>
              <w:t xml:space="preserve">Feld et al (2015) Sofosbuvir and Velpatasvir for HCV Genotype 1, 2, 4, 5, and 6 Infection.  </w:t>
            </w:r>
          </w:p>
        </w:tc>
        <w:tc>
          <w:tcPr>
            <w:tcW w:w="1109" w:type="pct"/>
            <w:tcBorders>
              <w:left w:val="single" w:sz="4" w:space="0" w:color="auto"/>
              <w:right w:val="single" w:sz="4" w:space="0" w:color="auto"/>
            </w:tcBorders>
          </w:tcPr>
          <w:p w:rsidR="001940D8" w:rsidRPr="004F5586" w:rsidRDefault="001940D8" w:rsidP="00E35312">
            <w:pPr>
              <w:pStyle w:val="Tabletext"/>
              <w:rPr>
                <w:szCs w:val="18"/>
              </w:rPr>
            </w:pPr>
            <w:r w:rsidRPr="004F5586">
              <w:rPr>
                <w:szCs w:val="18"/>
              </w:rPr>
              <w:t>N Engl J Med 2015;373:2599-607.</w:t>
            </w:r>
          </w:p>
        </w:tc>
      </w:tr>
      <w:tr w:rsidR="001940D8" w:rsidRPr="004F5586" w:rsidTr="00E35312">
        <w:trPr>
          <w:trHeight w:val="969"/>
        </w:trPr>
        <w:tc>
          <w:tcPr>
            <w:tcW w:w="828" w:type="pct"/>
            <w:vMerge/>
            <w:tcBorders>
              <w:left w:val="single" w:sz="4" w:space="0" w:color="auto"/>
              <w:right w:val="single" w:sz="4" w:space="0" w:color="auto"/>
            </w:tcBorders>
            <w:shd w:val="clear" w:color="auto" w:fill="auto"/>
          </w:tcPr>
          <w:p w:rsidR="001940D8" w:rsidRPr="004F5586" w:rsidRDefault="001940D8" w:rsidP="00E35312">
            <w:pPr>
              <w:pStyle w:val="Tabletext"/>
              <w:rPr>
                <w:bCs/>
                <w:iCs/>
              </w:rPr>
            </w:pPr>
          </w:p>
        </w:tc>
        <w:tc>
          <w:tcPr>
            <w:tcW w:w="3063" w:type="pct"/>
            <w:tcBorders>
              <w:left w:val="single" w:sz="4" w:space="0" w:color="auto"/>
              <w:right w:val="single" w:sz="4" w:space="0" w:color="auto"/>
            </w:tcBorders>
            <w:shd w:val="clear" w:color="auto" w:fill="auto"/>
          </w:tcPr>
          <w:p w:rsidR="001940D8" w:rsidRPr="004F5586" w:rsidRDefault="001940D8" w:rsidP="00E35312">
            <w:pPr>
              <w:pStyle w:val="Tabletext"/>
              <w:rPr>
                <w:szCs w:val="18"/>
              </w:rPr>
            </w:pPr>
            <w:r w:rsidRPr="004F5586">
              <w:rPr>
                <w:szCs w:val="18"/>
              </w:rPr>
              <w:t xml:space="preserve">Feld et al (2015) A Phase 3 Double-Blind Placebo-Controlled Evaluation of Sofosbuvir/Velpatasvir Fixed Dose Combination for 12 Weeks in Naive and Experienced Genotype 1, 2, 4, 5, 6 HCV Infected Patients with and without Cirrhosis: Results of the ASTRAL-1 Study. </w:t>
            </w:r>
          </w:p>
        </w:tc>
        <w:tc>
          <w:tcPr>
            <w:tcW w:w="1109" w:type="pct"/>
            <w:tcBorders>
              <w:left w:val="single" w:sz="4" w:space="0" w:color="auto"/>
              <w:right w:val="single" w:sz="4" w:space="0" w:color="auto"/>
            </w:tcBorders>
          </w:tcPr>
          <w:p w:rsidR="001940D8" w:rsidRPr="004F5586" w:rsidRDefault="001940D8" w:rsidP="00E35312">
            <w:pPr>
              <w:pStyle w:val="Tabletext"/>
              <w:rPr>
                <w:bCs/>
                <w:iCs/>
              </w:rPr>
            </w:pPr>
            <w:r w:rsidRPr="004F5586">
              <w:rPr>
                <w:szCs w:val="18"/>
              </w:rPr>
              <w:t>J Hepatol 2015;62(6) Suppl:1379A-1380A.</w:t>
            </w:r>
          </w:p>
        </w:tc>
      </w:tr>
      <w:tr w:rsidR="001940D8" w:rsidRPr="004F5586" w:rsidTr="00E35312">
        <w:trPr>
          <w:trHeight w:val="612"/>
        </w:trPr>
        <w:tc>
          <w:tcPr>
            <w:tcW w:w="828" w:type="pct"/>
            <w:vMerge/>
            <w:tcBorders>
              <w:left w:val="single" w:sz="4" w:space="0" w:color="auto"/>
              <w:right w:val="single" w:sz="4" w:space="0" w:color="auto"/>
            </w:tcBorders>
            <w:shd w:val="clear" w:color="auto" w:fill="auto"/>
          </w:tcPr>
          <w:p w:rsidR="001940D8" w:rsidRPr="004F5586" w:rsidRDefault="001940D8" w:rsidP="00E35312">
            <w:pPr>
              <w:pStyle w:val="Tabletext"/>
              <w:rPr>
                <w:bCs/>
                <w:iCs/>
              </w:rPr>
            </w:pPr>
          </w:p>
        </w:tc>
        <w:tc>
          <w:tcPr>
            <w:tcW w:w="3063" w:type="pct"/>
            <w:tcBorders>
              <w:left w:val="single" w:sz="4" w:space="0" w:color="auto"/>
              <w:right w:val="single" w:sz="4" w:space="0" w:color="auto"/>
            </w:tcBorders>
            <w:shd w:val="clear" w:color="auto" w:fill="auto"/>
          </w:tcPr>
          <w:p w:rsidR="001940D8" w:rsidRPr="004F5586" w:rsidRDefault="001940D8" w:rsidP="00E35312">
            <w:pPr>
              <w:pStyle w:val="Tabletext"/>
              <w:rPr>
                <w:szCs w:val="18"/>
              </w:rPr>
            </w:pPr>
            <w:r w:rsidRPr="004F5586">
              <w:rPr>
                <w:szCs w:val="18"/>
              </w:rPr>
              <w:t xml:space="preserve">Asselah et al (2015) The ASTRAL Studies: Evaluation of SOF/GS-5816 Single Tablet Regimen for the Treatment of Genotype 1-6 HCV Infection [Poster P1332]. </w:t>
            </w:r>
          </w:p>
        </w:tc>
        <w:tc>
          <w:tcPr>
            <w:tcW w:w="1109" w:type="pct"/>
            <w:tcBorders>
              <w:left w:val="single" w:sz="4" w:space="0" w:color="auto"/>
              <w:right w:val="single" w:sz="4" w:space="0" w:color="auto"/>
            </w:tcBorders>
          </w:tcPr>
          <w:p w:rsidR="001940D8" w:rsidRPr="004F5586" w:rsidRDefault="001940D8" w:rsidP="00E35312">
            <w:pPr>
              <w:pStyle w:val="Tabletext"/>
              <w:rPr>
                <w:szCs w:val="18"/>
              </w:rPr>
            </w:pPr>
            <w:r w:rsidRPr="004F5586">
              <w:rPr>
                <w:szCs w:val="18"/>
              </w:rPr>
              <w:t>J Hepatol 2015;62:S855-S6.</w:t>
            </w:r>
          </w:p>
        </w:tc>
      </w:tr>
      <w:tr w:rsidR="001940D8" w:rsidRPr="004F5586" w:rsidTr="00E35312">
        <w:trPr>
          <w:trHeight w:val="389"/>
        </w:trPr>
        <w:tc>
          <w:tcPr>
            <w:tcW w:w="828" w:type="pct"/>
            <w:vMerge w:val="restart"/>
            <w:tcBorders>
              <w:left w:val="single" w:sz="4" w:space="0" w:color="auto"/>
              <w:right w:val="single" w:sz="4" w:space="0" w:color="auto"/>
            </w:tcBorders>
            <w:shd w:val="clear" w:color="auto" w:fill="auto"/>
          </w:tcPr>
          <w:p w:rsidR="001940D8" w:rsidRPr="004F5586" w:rsidRDefault="001940D8" w:rsidP="00E35312">
            <w:pPr>
              <w:pStyle w:val="Tabletext"/>
              <w:rPr>
                <w:bCs/>
                <w:iCs/>
              </w:rPr>
            </w:pPr>
            <w:r w:rsidRPr="004F5586">
              <w:rPr>
                <w:bCs/>
                <w:iCs/>
              </w:rPr>
              <w:t>ASTRAL-2</w:t>
            </w:r>
          </w:p>
          <w:p w:rsidR="001940D8" w:rsidRPr="004F5586" w:rsidRDefault="001940D8" w:rsidP="00E35312">
            <w:pPr>
              <w:pStyle w:val="Tabletext"/>
              <w:rPr>
                <w:bCs/>
                <w:iCs/>
              </w:rPr>
            </w:pPr>
            <w:r w:rsidRPr="004F5586">
              <w:rPr>
                <w:bCs/>
                <w:iCs/>
              </w:rPr>
              <w:t>Foster et al (2015)</w:t>
            </w:r>
          </w:p>
        </w:tc>
        <w:tc>
          <w:tcPr>
            <w:tcW w:w="3063" w:type="pct"/>
            <w:tcBorders>
              <w:left w:val="single" w:sz="4" w:space="0" w:color="auto"/>
              <w:right w:val="single" w:sz="4" w:space="0" w:color="auto"/>
            </w:tcBorders>
            <w:shd w:val="clear" w:color="auto" w:fill="auto"/>
          </w:tcPr>
          <w:p w:rsidR="001940D8" w:rsidRPr="004F5586" w:rsidRDefault="001940D8" w:rsidP="00E35312">
            <w:pPr>
              <w:pStyle w:val="Tabletext"/>
              <w:rPr>
                <w:szCs w:val="18"/>
              </w:rPr>
            </w:pPr>
            <w:r w:rsidRPr="004F5586">
              <w:rPr>
                <w:szCs w:val="18"/>
              </w:rPr>
              <w:t xml:space="preserve">Foster et al (2015)  Sofosbuvir and Velpatasvir for HCV Genotype 2 and 3 Infection </w:t>
            </w:r>
          </w:p>
        </w:tc>
        <w:tc>
          <w:tcPr>
            <w:tcW w:w="1109" w:type="pct"/>
            <w:tcBorders>
              <w:left w:val="single" w:sz="4" w:space="0" w:color="auto"/>
              <w:right w:val="single" w:sz="4" w:space="0" w:color="auto"/>
            </w:tcBorders>
          </w:tcPr>
          <w:p w:rsidR="001940D8" w:rsidRPr="004F5586" w:rsidRDefault="001940D8" w:rsidP="00E35312">
            <w:pPr>
              <w:pStyle w:val="Tabletext"/>
              <w:rPr>
                <w:szCs w:val="18"/>
              </w:rPr>
            </w:pPr>
            <w:r w:rsidRPr="004F5586">
              <w:rPr>
                <w:szCs w:val="18"/>
              </w:rPr>
              <w:t xml:space="preserve">N Engl J Med 2015; 373:2608-2617  </w:t>
            </w:r>
          </w:p>
        </w:tc>
      </w:tr>
      <w:tr w:rsidR="001940D8" w:rsidRPr="004F5586" w:rsidTr="00E35312">
        <w:trPr>
          <w:trHeight w:val="810"/>
        </w:trPr>
        <w:tc>
          <w:tcPr>
            <w:tcW w:w="828" w:type="pct"/>
            <w:vMerge/>
            <w:tcBorders>
              <w:left w:val="single" w:sz="4" w:space="0" w:color="auto"/>
              <w:right w:val="single" w:sz="4" w:space="0" w:color="auto"/>
            </w:tcBorders>
            <w:shd w:val="clear" w:color="auto" w:fill="auto"/>
          </w:tcPr>
          <w:p w:rsidR="001940D8" w:rsidRPr="004F5586" w:rsidRDefault="001940D8" w:rsidP="00E35312">
            <w:pPr>
              <w:pStyle w:val="Tabletext"/>
              <w:rPr>
                <w:bCs/>
                <w:iCs/>
              </w:rPr>
            </w:pPr>
          </w:p>
        </w:tc>
        <w:tc>
          <w:tcPr>
            <w:tcW w:w="3063" w:type="pct"/>
            <w:tcBorders>
              <w:left w:val="single" w:sz="4" w:space="0" w:color="auto"/>
              <w:right w:val="single" w:sz="4" w:space="0" w:color="auto"/>
            </w:tcBorders>
            <w:shd w:val="clear" w:color="auto" w:fill="auto"/>
          </w:tcPr>
          <w:p w:rsidR="001940D8" w:rsidRPr="004F5586" w:rsidRDefault="001940D8" w:rsidP="00E35312">
            <w:pPr>
              <w:pStyle w:val="Tabletext"/>
              <w:rPr>
                <w:szCs w:val="18"/>
              </w:rPr>
            </w:pPr>
            <w:r w:rsidRPr="004F5586">
              <w:rPr>
                <w:szCs w:val="18"/>
              </w:rPr>
              <w:t xml:space="preserve">Sulkowski et al (2015) A Randomised Controlled Trial of Sofosbuvir/GS-5816 Fixed Dose Combination for 12 Weeks Compared to Sofosbuvir with Ribavirin for 12 Weeks in Genotype 2 HCV Infected Patients: The Phase 3 ASTRAL-2 Study [Oral 205] </w:t>
            </w:r>
          </w:p>
        </w:tc>
        <w:tc>
          <w:tcPr>
            <w:tcW w:w="1109" w:type="pct"/>
            <w:tcBorders>
              <w:left w:val="single" w:sz="4" w:space="0" w:color="auto"/>
              <w:right w:val="single" w:sz="4" w:space="0" w:color="auto"/>
            </w:tcBorders>
          </w:tcPr>
          <w:p w:rsidR="001940D8" w:rsidRPr="004F5586" w:rsidRDefault="001940D8" w:rsidP="00E35312">
            <w:pPr>
              <w:pStyle w:val="Tabletext"/>
              <w:rPr>
                <w:bCs/>
                <w:iCs/>
              </w:rPr>
            </w:pPr>
            <w:r w:rsidRPr="004F5586">
              <w:rPr>
                <w:szCs w:val="18"/>
              </w:rPr>
              <w:t>Hepatology 2015; 62: 1 (SUPPL) 313A.</w:t>
            </w:r>
          </w:p>
        </w:tc>
      </w:tr>
      <w:tr w:rsidR="001940D8" w:rsidRPr="004F5586" w:rsidTr="00E35312">
        <w:trPr>
          <w:trHeight w:val="548"/>
        </w:trPr>
        <w:tc>
          <w:tcPr>
            <w:tcW w:w="828" w:type="pct"/>
            <w:vMerge/>
            <w:tcBorders>
              <w:left w:val="single" w:sz="4" w:space="0" w:color="auto"/>
              <w:right w:val="single" w:sz="4" w:space="0" w:color="auto"/>
            </w:tcBorders>
            <w:shd w:val="clear" w:color="auto" w:fill="auto"/>
          </w:tcPr>
          <w:p w:rsidR="001940D8" w:rsidRPr="004F5586" w:rsidRDefault="001940D8" w:rsidP="00E35312">
            <w:pPr>
              <w:pStyle w:val="Tabletext"/>
              <w:rPr>
                <w:bCs/>
                <w:iCs/>
              </w:rPr>
            </w:pPr>
          </w:p>
        </w:tc>
        <w:tc>
          <w:tcPr>
            <w:tcW w:w="3063" w:type="pct"/>
            <w:tcBorders>
              <w:left w:val="single" w:sz="4" w:space="0" w:color="auto"/>
              <w:right w:val="single" w:sz="4" w:space="0" w:color="auto"/>
            </w:tcBorders>
            <w:shd w:val="clear" w:color="auto" w:fill="auto"/>
          </w:tcPr>
          <w:p w:rsidR="001940D8" w:rsidRPr="004F5586" w:rsidRDefault="001940D8" w:rsidP="00E35312">
            <w:pPr>
              <w:pStyle w:val="Tabletext"/>
              <w:rPr>
                <w:szCs w:val="18"/>
              </w:rPr>
            </w:pPr>
            <w:r w:rsidRPr="004F5586">
              <w:rPr>
                <w:szCs w:val="18"/>
              </w:rPr>
              <w:t xml:space="preserve">Asselah et al (2015) The ASTRAL Studies: Evaluation of SOF/GS-5816 Single Tablet Regimen for the Treatment of Genotype 1-6 HCV Infection [Poster P1332]. </w:t>
            </w:r>
          </w:p>
        </w:tc>
        <w:tc>
          <w:tcPr>
            <w:tcW w:w="1109" w:type="pct"/>
            <w:tcBorders>
              <w:left w:val="single" w:sz="4" w:space="0" w:color="auto"/>
              <w:right w:val="single" w:sz="4" w:space="0" w:color="auto"/>
            </w:tcBorders>
          </w:tcPr>
          <w:p w:rsidR="001940D8" w:rsidRPr="004F5586" w:rsidRDefault="001940D8" w:rsidP="00E35312">
            <w:pPr>
              <w:pStyle w:val="Tabletext"/>
              <w:rPr>
                <w:szCs w:val="18"/>
              </w:rPr>
            </w:pPr>
            <w:r w:rsidRPr="004F5586">
              <w:rPr>
                <w:szCs w:val="18"/>
              </w:rPr>
              <w:t>J Hepatol 2015;62:S855-S6.</w:t>
            </w:r>
          </w:p>
        </w:tc>
      </w:tr>
      <w:tr w:rsidR="001940D8" w:rsidRPr="004F5586" w:rsidTr="00E35312">
        <w:trPr>
          <w:trHeight w:val="413"/>
        </w:trPr>
        <w:tc>
          <w:tcPr>
            <w:tcW w:w="828" w:type="pct"/>
            <w:vMerge w:val="restart"/>
            <w:tcBorders>
              <w:left w:val="single" w:sz="4" w:space="0" w:color="auto"/>
              <w:right w:val="single" w:sz="4" w:space="0" w:color="auto"/>
            </w:tcBorders>
            <w:shd w:val="clear" w:color="auto" w:fill="auto"/>
          </w:tcPr>
          <w:p w:rsidR="001940D8" w:rsidRPr="004F5586" w:rsidRDefault="001940D8" w:rsidP="00E35312">
            <w:pPr>
              <w:pStyle w:val="Tabletext"/>
              <w:rPr>
                <w:bCs/>
                <w:iCs/>
              </w:rPr>
            </w:pPr>
            <w:r w:rsidRPr="004F5586">
              <w:rPr>
                <w:bCs/>
                <w:iCs/>
              </w:rPr>
              <w:t>ASTRAL-3</w:t>
            </w:r>
          </w:p>
          <w:p w:rsidR="001940D8" w:rsidRPr="004F5586" w:rsidRDefault="001940D8" w:rsidP="00E35312">
            <w:pPr>
              <w:pStyle w:val="Tabletext"/>
              <w:rPr>
                <w:bCs/>
                <w:iCs/>
              </w:rPr>
            </w:pPr>
            <w:r w:rsidRPr="004F5586">
              <w:rPr>
                <w:szCs w:val="18"/>
              </w:rPr>
              <w:t>Foster et al (2015)</w:t>
            </w:r>
          </w:p>
        </w:tc>
        <w:tc>
          <w:tcPr>
            <w:tcW w:w="3063" w:type="pct"/>
            <w:tcBorders>
              <w:left w:val="single" w:sz="4" w:space="0" w:color="auto"/>
              <w:right w:val="single" w:sz="4" w:space="0" w:color="auto"/>
            </w:tcBorders>
            <w:shd w:val="clear" w:color="auto" w:fill="auto"/>
          </w:tcPr>
          <w:p w:rsidR="001940D8" w:rsidRPr="004F5586" w:rsidRDefault="001940D8" w:rsidP="00E35312">
            <w:pPr>
              <w:pStyle w:val="Tabletext"/>
              <w:rPr>
                <w:szCs w:val="18"/>
              </w:rPr>
            </w:pPr>
            <w:r w:rsidRPr="004F5586">
              <w:rPr>
                <w:szCs w:val="18"/>
              </w:rPr>
              <w:t xml:space="preserve">Foster et al (2015)  Sofosbuvir and Velpatasvir for HCV Genotype 2 and 3 Infection </w:t>
            </w:r>
          </w:p>
        </w:tc>
        <w:tc>
          <w:tcPr>
            <w:tcW w:w="1109" w:type="pct"/>
            <w:tcBorders>
              <w:left w:val="single" w:sz="4" w:space="0" w:color="auto"/>
              <w:right w:val="single" w:sz="4" w:space="0" w:color="auto"/>
            </w:tcBorders>
          </w:tcPr>
          <w:p w:rsidR="001940D8" w:rsidRPr="004F5586" w:rsidRDefault="001940D8" w:rsidP="00E35312">
            <w:pPr>
              <w:pStyle w:val="Tabletext"/>
              <w:rPr>
                <w:szCs w:val="18"/>
              </w:rPr>
            </w:pPr>
            <w:r w:rsidRPr="004F5586">
              <w:rPr>
                <w:szCs w:val="18"/>
              </w:rPr>
              <w:t xml:space="preserve">N Engl J Med 2015; 373:2608-2617  </w:t>
            </w:r>
          </w:p>
        </w:tc>
      </w:tr>
      <w:tr w:rsidR="001940D8" w:rsidRPr="004F5586" w:rsidTr="00E35312">
        <w:trPr>
          <w:trHeight w:val="714"/>
        </w:trPr>
        <w:tc>
          <w:tcPr>
            <w:tcW w:w="828" w:type="pct"/>
            <w:vMerge/>
            <w:tcBorders>
              <w:left w:val="single" w:sz="4" w:space="0" w:color="auto"/>
              <w:right w:val="single" w:sz="4" w:space="0" w:color="auto"/>
            </w:tcBorders>
            <w:shd w:val="clear" w:color="auto" w:fill="auto"/>
          </w:tcPr>
          <w:p w:rsidR="001940D8" w:rsidRPr="004F5586" w:rsidRDefault="001940D8" w:rsidP="00E35312">
            <w:pPr>
              <w:pStyle w:val="Tabletext"/>
              <w:rPr>
                <w:bCs/>
                <w:iCs/>
              </w:rPr>
            </w:pPr>
          </w:p>
        </w:tc>
        <w:tc>
          <w:tcPr>
            <w:tcW w:w="3063" w:type="pct"/>
            <w:tcBorders>
              <w:left w:val="single" w:sz="4" w:space="0" w:color="auto"/>
              <w:right w:val="single" w:sz="4" w:space="0" w:color="auto"/>
            </w:tcBorders>
            <w:shd w:val="clear" w:color="auto" w:fill="auto"/>
          </w:tcPr>
          <w:p w:rsidR="001940D8" w:rsidRPr="004F5586" w:rsidRDefault="001940D8" w:rsidP="00E35312">
            <w:pPr>
              <w:pStyle w:val="Tabletext"/>
              <w:rPr>
                <w:szCs w:val="18"/>
              </w:rPr>
            </w:pPr>
            <w:r w:rsidRPr="004F5586">
              <w:rPr>
                <w:szCs w:val="18"/>
              </w:rPr>
              <w:t xml:space="preserve">Asselah et al (2015) The ASTRAL Studies: Evaluation of SOF/GS-5816 Single Tablet Regimen for the Treatment of Genotype 1-6 HCV Infection [Poster P1332]. </w:t>
            </w:r>
          </w:p>
        </w:tc>
        <w:tc>
          <w:tcPr>
            <w:tcW w:w="1109" w:type="pct"/>
            <w:tcBorders>
              <w:left w:val="single" w:sz="4" w:space="0" w:color="auto"/>
              <w:right w:val="single" w:sz="4" w:space="0" w:color="auto"/>
            </w:tcBorders>
          </w:tcPr>
          <w:p w:rsidR="001940D8" w:rsidRPr="004F5586" w:rsidRDefault="001940D8" w:rsidP="00E35312">
            <w:pPr>
              <w:pStyle w:val="Tabletext"/>
              <w:rPr>
                <w:bCs/>
                <w:iCs/>
              </w:rPr>
            </w:pPr>
            <w:r w:rsidRPr="004F5586">
              <w:rPr>
                <w:szCs w:val="18"/>
              </w:rPr>
              <w:t>J Hepatol 2015;62:S855-S6.</w:t>
            </w:r>
          </w:p>
        </w:tc>
      </w:tr>
      <w:tr w:rsidR="001940D8" w:rsidRPr="004F5586" w:rsidTr="00E35312">
        <w:trPr>
          <w:trHeight w:val="944"/>
        </w:trPr>
        <w:tc>
          <w:tcPr>
            <w:tcW w:w="828" w:type="pct"/>
            <w:vMerge/>
            <w:tcBorders>
              <w:left w:val="single" w:sz="4" w:space="0" w:color="auto"/>
              <w:right w:val="single" w:sz="4" w:space="0" w:color="auto"/>
            </w:tcBorders>
            <w:shd w:val="clear" w:color="auto" w:fill="auto"/>
          </w:tcPr>
          <w:p w:rsidR="001940D8" w:rsidRPr="004F5586" w:rsidRDefault="001940D8" w:rsidP="00E35312">
            <w:pPr>
              <w:pStyle w:val="Tabletext"/>
              <w:rPr>
                <w:bCs/>
                <w:iCs/>
              </w:rPr>
            </w:pPr>
          </w:p>
        </w:tc>
        <w:tc>
          <w:tcPr>
            <w:tcW w:w="3063" w:type="pct"/>
            <w:tcBorders>
              <w:left w:val="single" w:sz="4" w:space="0" w:color="auto"/>
              <w:right w:val="single" w:sz="4" w:space="0" w:color="auto"/>
            </w:tcBorders>
            <w:shd w:val="clear" w:color="auto" w:fill="auto"/>
          </w:tcPr>
          <w:p w:rsidR="001940D8" w:rsidRPr="004F5586" w:rsidRDefault="001940D8" w:rsidP="00E35312">
            <w:pPr>
              <w:pStyle w:val="Tabletext"/>
              <w:rPr>
                <w:szCs w:val="18"/>
              </w:rPr>
            </w:pPr>
            <w:r w:rsidRPr="004F5586">
              <w:rPr>
                <w:szCs w:val="18"/>
              </w:rPr>
              <w:t xml:space="preserve">Mangia et al (2015) Sofosbuvir/GS-5816 Fixed Dose Combination for 12 Weeks Compared to Sofosbuvir with Ribavirin for 24 Weeks in Genotype 3 HCV Infected Patients: The Randomised Controlled Phase 3 ASTRAL-3 Study. </w:t>
            </w:r>
          </w:p>
        </w:tc>
        <w:tc>
          <w:tcPr>
            <w:tcW w:w="1109" w:type="pct"/>
            <w:tcBorders>
              <w:left w:val="single" w:sz="4" w:space="0" w:color="auto"/>
              <w:right w:val="single" w:sz="4" w:space="0" w:color="auto"/>
            </w:tcBorders>
          </w:tcPr>
          <w:p w:rsidR="001940D8" w:rsidRPr="004F5586" w:rsidRDefault="001940D8" w:rsidP="00E35312">
            <w:pPr>
              <w:pStyle w:val="Tabletext"/>
              <w:rPr>
                <w:szCs w:val="18"/>
              </w:rPr>
            </w:pPr>
            <w:r w:rsidRPr="004F5586">
              <w:rPr>
                <w:szCs w:val="18"/>
              </w:rPr>
              <w:t>Hepatology 2015; 62: 1 (SUPPL) 338A.</w:t>
            </w:r>
          </w:p>
        </w:tc>
      </w:tr>
      <w:tr w:rsidR="001940D8" w:rsidRPr="004F5586" w:rsidTr="00E35312">
        <w:trPr>
          <w:trHeight w:val="1393"/>
        </w:trPr>
        <w:tc>
          <w:tcPr>
            <w:tcW w:w="828" w:type="pct"/>
            <w:tcBorders>
              <w:left w:val="single" w:sz="4" w:space="0" w:color="auto"/>
              <w:right w:val="single" w:sz="4" w:space="0" w:color="auto"/>
            </w:tcBorders>
            <w:shd w:val="clear" w:color="auto" w:fill="auto"/>
          </w:tcPr>
          <w:p w:rsidR="001940D8" w:rsidRPr="004F5586" w:rsidRDefault="001940D8" w:rsidP="00E35312">
            <w:pPr>
              <w:pStyle w:val="Tabletext"/>
              <w:rPr>
                <w:bCs/>
                <w:iCs/>
              </w:rPr>
            </w:pPr>
            <w:r w:rsidRPr="004F5586">
              <w:rPr>
                <w:bCs/>
                <w:iCs/>
              </w:rPr>
              <w:t>Everson et al (2015)</w:t>
            </w:r>
          </w:p>
        </w:tc>
        <w:tc>
          <w:tcPr>
            <w:tcW w:w="3063" w:type="pct"/>
            <w:tcBorders>
              <w:left w:val="single" w:sz="4" w:space="0" w:color="auto"/>
              <w:right w:val="single" w:sz="4" w:space="0" w:color="auto"/>
            </w:tcBorders>
            <w:shd w:val="clear" w:color="auto" w:fill="auto"/>
          </w:tcPr>
          <w:p w:rsidR="001940D8" w:rsidRPr="004F5586" w:rsidRDefault="001940D8" w:rsidP="00E35312">
            <w:pPr>
              <w:pStyle w:val="Tabletext"/>
              <w:rPr>
                <w:szCs w:val="18"/>
              </w:rPr>
            </w:pPr>
            <w:r w:rsidRPr="004F5586">
              <w:rPr>
                <w:szCs w:val="18"/>
              </w:rPr>
              <w:t>Primary publication</w:t>
            </w:r>
          </w:p>
          <w:p w:rsidR="001940D8" w:rsidRPr="004F5586" w:rsidRDefault="001940D8" w:rsidP="00E35312">
            <w:pPr>
              <w:pStyle w:val="Tabletext"/>
              <w:rPr>
                <w:bCs/>
                <w:iCs/>
              </w:rPr>
            </w:pPr>
            <w:r w:rsidRPr="004F5586">
              <w:rPr>
                <w:szCs w:val="18"/>
              </w:rPr>
              <w:t xml:space="preserve">Everson GT, Towner WJ, Davis MN, Wyles DL, Nahass RG, Thuluvath PJ, Etzkorn K, Hinestrosa F, Tong M, Rabinovitz M, McNally J, Brainard DM, Han L, Doehle B, McHutchison JG, Morgan T, Chung RT, Tran TT. Sofosbuvir With Velpatasvir in Treatment-Naive Noncirrhotic Patients With Genotype 1 to 6 Hepatitis C Virus Infection: A Randomised Trial. </w:t>
            </w:r>
          </w:p>
        </w:tc>
        <w:tc>
          <w:tcPr>
            <w:tcW w:w="1109" w:type="pct"/>
            <w:tcBorders>
              <w:left w:val="single" w:sz="4" w:space="0" w:color="auto"/>
              <w:right w:val="single" w:sz="4" w:space="0" w:color="auto"/>
            </w:tcBorders>
          </w:tcPr>
          <w:p w:rsidR="001940D8" w:rsidRPr="004F5586" w:rsidRDefault="001940D8" w:rsidP="00E35312">
            <w:pPr>
              <w:pStyle w:val="Tabletext"/>
              <w:rPr>
                <w:szCs w:val="18"/>
              </w:rPr>
            </w:pPr>
            <w:r w:rsidRPr="004F5586">
              <w:rPr>
                <w:szCs w:val="18"/>
              </w:rPr>
              <w:t>Ann Intern Med. 2015 Dec 1;163(11):818-26.</w:t>
            </w:r>
          </w:p>
        </w:tc>
      </w:tr>
      <w:tr w:rsidR="001940D8" w:rsidRPr="004F5586" w:rsidTr="00E35312">
        <w:trPr>
          <w:trHeight w:val="186"/>
        </w:trPr>
        <w:tc>
          <w:tcPr>
            <w:tcW w:w="828" w:type="pct"/>
            <w:vMerge w:val="restart"/>
            <w:tcBorders>
              <w:left w:val="single" w:sz="4" w:space="0" w:color="auto"/>
              <w:right w:val="single" w:sz="4" w:space="0" w:color="auto"/>
            </w:tcBorders>
            <w:shd w:val="clear" w:color="auto" w:fill="auto"/>
          </w:tcPr>
          <w:p w:rsidR="001940D8" w:rsidRPr="004F5586" w:rsidRDefault="001940D8" w:rsidP="00E35312">
            <w:pPr>
              <w:pStyle w:val="Tabletext"/>
              <w:rPr>
                <w:bCs/>
                <w:iCs/>
              </w:rPr>
            </w:pPr>
            <w:r w:rsidRPr="004F5586">
              <w:rPr>
                <w:bCs/>
                <w:iCs/>
              </w:rPr>
              <w:t>Pianko et al (2015)</w:t>
            </w:r>
          </w:p>
        </w:tc>
        <w:tc>
          <w:tcPr>
            <w:tcW w:w="3063" w:type="pct"/>
            <w:tcBorders>
              <w:left w:val="single" w:sz="4" w:space="0" w:color="auto"/>
              <w:right w:val="single" w:sz="4" w:space="0" w:color="auto"/>
            </w:tcBorders>
            <w:shd w:val="clear" w:color="auto" w:fill="auto"/>
          </w:tcPr>
          <w:p w:rsidR="001940D8" w:rsidRPr="004F5586" w:rsidRDefault="001940D8" w:rsidP="00E35312">
            <w:pPr>
              <w:pStyle w:val="Tabletext"/>
              <w:rPr>
                <w:szCs w:val="18"/>
              </w:rPr>
            </w:pPr>
            <w:r w:rsidRPr="004F5586">
              <w:rPr>
                <w:szCs w:val="18"/>
              </w:rPr>
              <w:t xml:space="preserve">Pianko S, Flamm SL, Shiffman ML, Kumar S, Strasser SI, Dore GJ, McNally J, Brainard DM, Han L, Doehle B, Mogalian E, McHutchison JG, Rabinovitz M, Towner WJ, Gane EJ, Stedman CA, Reddy KR, Roberts SK. Sofosbuvir Plus Velpatasvir Combination Therapy for Treatment-Experienced Patients With Genotype 1 or 3 Hepatitis C Virus Infection: A Randomised Trial. </w:t>
            </w:r>
          </w:p>
        </w:tc>
        <w:tc>
          <w:tcPr>
            <w:tcW w:w="1109" w:type="pct"/>
            <w:tcBorders>
              <w:left w:val="single" w:sz="4" w:space="0" w:color="auto"/>
              <w:right w:val="single" w:sz="4" w:space="0" w:color="auto"/>
            </w:tcBorders>
          </w:tcPr>
          <w:p w:rsidR="001940D8" w:rsidRPr="004F5586" w:rsidRDefault="001940D8" w:rsidP="00E35312">
            <w:pPr>
              <w:pStyle w:val="Tabletext"/>
              <w:rPr>
                <w:szCs w:val="18"/>
              </w:rPr>
            </w:pPr>
            <w:r w:rsidRPr="004F5586">
              <w:rPr>
                <w:szCs w:val="18"/>
              </w:rPr>
              <w:t>Ann Intern Med. 2015 Dec 1;163(11):809-17.</w:t>
            </w:r>
          </w:p>
        </w:tc>
      </w:tr>
      <w:tr w:rsidR="001940D8" w:rsidRPr="004F5586" w:rsidTr="00E35312">
        <w:trPr>
          <w:trHeight w:val="1069"/>
        </w:trPr>
        <w:tc>
          <w:tcPr>
            <w:tcW w:w="828" w:type="pct"/>
            <w:vMerge/>
            <w:tcBorders>
              <w:left w:val="single" w:sz="4" w:space="0" w:color="auto"/>
              <w:right w:val="single" w:sz="4" w:space="0" w:color="auto"/>
            </w:tcBorders>
            <w:shd w:val="clear" w:color="auto" w:fill="auto"/>
          </w:tcPr>
          <w:p w:rsidR="001940D8" w:rsidRPr="004F5586" w:rsidDel="00C311F3" w:rsidRDefault="001940D8" w:rsidP="00E35312">
            <w:pPr>
              <w:pStyle w:val="Tabletext"/>
              <w:rPr>
                <w:bCs/>
                <w:iCs/>
              </w:rPr>
            </w:pPr>
          </w:p>
        </w:tc>
        <w:tc>
          <w:tcPr>
            <w:tcW w:w="3063" w:type="pct"/>
            <w:tcBorders>
              <w:left w:val="single" w:sz="4" w:space="0" w:color="auto"/>
              <w:right w:val="single" w:sz="4" w:space="0" w:color="auto"/>
            </w:tcBorders>
            <w:shd w:val="clear" w:color="auto" w:fill="auto"/>
          </w:tcPr>
          <w:p w:rsidR="001940D8" w:rsidRPr="004F5586" w:rsidRDefault="001940D8" w:rsidP="00E35312">
            <w:pPr>
              <w:pStyle w:val="Tabletext"/>
              <w:rPr>
                <w:szCs w:val="18"/>
              </w:rPr>
            </w:pPr>
            <w:r w:rsidRPr="004F5586">
              <w:rPr>
                <w:szCs w:val="18"/>
              </w:rPr>
              <w:t xml:space="preserve">Pianko S, Flamm SL, Shiffman ML, Kumar S, Strasser SI, Dore GJ, et al. High Efficacy of Treatment with Sofosbuvir+GS-5816±Ribavirin for 12 Weeks in Treatment-Experienced Patients with Genotype 1 or 3 HCV Infection [Abstract 197]. </w:t>
            </w:r>
          </w:p>
        </w:tc>
        <w:tc>
          <w:tcPr>
            <w:tcW w:w="1109" w:type="pct"/>
            <w:tcBorders>
              <w:left w:val="single" w:sz="4" w:space="0" w:color="auto"/>
              <w:right w:val="single" w:sz="4" w:space="0" w:color="auto"/>
            </w:tcBorders>
          </w:tcPr>
          <w:p w:rsidR="001940D8" w:rsidRPr="004F5586" w:rsidRDefault="001940D8" w:rsidP="00E35312">
            <w:pPr>
              <w:pStyle w:val="Tabletext"/>
              <w:rPr>
                <w:szCs w:val="18"/>
              </w:rPr>
            </w:pPr>
            <w:r w:rsidRPr="004F5586">
              <w:rPr>
                <w:szCs w:val="18"/>
              </w:rPr>
              <w:t>American Association for the Study of Liver Diseases (AASLD); 2014 November 7-11; Boston MA United States.</w:t>
            </w:r>
          </w:p>
        </w:tc>
      </w:tr>
    </w:tbl>
    <w:p w:rsidR="001940D8" w:rsidRPr="004F5586" w:rsidRDefault="001940D8" w:rsidP="001940D8">
      <w:pPr>
        <w:pStyle w:val="TableFooter"/>
      </w:pPr>
      <w:r w:rsidRPr="004F5586">
        <w:t>Source: Table B-3, pp57-60 of the submission.</w:t>
      </w:r>
    </w:p>
    <w:p w:rsidR="001940D8" w:rsidRPr="00966A55" w:rsidRDefault="001940D8" w:rsidP="001940D8">
      <w:pPr>
        <w:pStyle w:val="TableFooter"/>
        <w:rPr>
          <w:rFonts w:asciiTheme="minorHAnsi" w:hAnsiTheme="minorHAnsi"/>
          <w:sz w:val="24"/>
          <w:szCs w:val="24"/>
        </w:rPr>
      </w:pPr>
    </w:p>
    <w:p w:rsidR="001940D8" w:rsidRPr="004F5586" w:rsidRDefault="001940D8" w:rsidP="001940D8">
      <w:pPr>
        <w:pStyle w:val="ListParagraph"/>
        <w:widowControl/>
        <w:numPr>
          <w:ilvl w:val="1"/>
          <w:numId w:val="1"/>
        </w:numPr>
        <w:spacing w:after="120"/>
        <w:contextualSpacing w:val="0"/>
        <w:rPr>
          <w:rFonts w:asciiTheme="minorHAnsi" w:hAnsiTheme="minorHAnsi"/>
          <w:sz w:val="24"/>
        </w:rPr>
      </w:pPr>
      <w:r w:rsidRPr="004F5586">
        <w:rPr>
          <w:rFonts w:asciiTheme="minorHAnsi" w:hAnsiTheme="minorHAnsi"/>
          <w:sz w:val="24"/>
        </w:rPr>
        <w:lastRenderedPageBreak/>
        <w:t>ASTRAL-1, ASTRAL-2 and ASTRAL-3 were considered by the PBAC in November 2016 for the listing of sofosbuvir/velpatasvir.</w:t>
      </w:r>
    </w:p>
    <w:p w:rsidR="001940D8" w:rsidRPr="004F5586" w:rsidRDefault="001940D8" w:rsidP="001940D8">
      <w:pPr>
        <w:pStyle w:val="ListParagraph"/>
        <w:widowControl/>
        <w:numPr>
          <w:ilvl w:val="1"/>
          <w:numId w:val="1"/>
        </w:numPr>
        <w:spacing w:after="120"/>
        <w:contextualSpacing w:val="0"/>
        <w:rPr>
          <w:rFonts w:asciiTheme="minorHAnsi" w:hAnsiTheme="minorHAnsi"/>
          <w:sz w:val="24"/>
        </w:rPr>
      </w:pPr>
      <w:r w:rsidRPr="004F5586">
        <w:rPr>
          <w:rFonts w:asciiTheme="minorHAnsi" w:hAnsiTheme="minorHAnsi"/>
          <w:iCs/>
          <w:sz w:val="24"/>
        </w:rPr>
        <w:t xml:space="preserve">ENDURANCE-1 specifically enrolled patients co-infected with HIV, who were naïve to antiretroviral therapy (ART) or who were on a stable ART regimen. The submission identified a trial of sofosbuvir/velpatasvir in patients with HIV (NCT02480712) yet excluded it due to a lack of results. The results of this trial were presented at The International Liver Congress in April 2016. Patients with GT1, 2, 3 and 4 with HIV received 12 weeks of SOF/VEL. Overall SVR12 was 95% </w:t>
      </w:r>
      <w:r w:rsidRPr="00B22EA1">
        <w:rPr>
          <w:rFonts w:asciiTheme="minorHAnsi" w:hAnsiTheme="minorHAnsi"/>
          <w:iCs/>
          <w:sz w:val="24"/>
        </w:rPr>
        <w:t>http://www.natap.org/2016/EASL/EASL_32.htm</w:t>
      </w:r>
      <w:r w:rsidRPr="004F5586">
        <w:rPr>
          <w:rFonts w:asciiTheme="minorHAnsi" w:hAnsiTheme="minorHAnsi"/>
          <w:iCs/>
          <w:sz w:val="24"/>
        </w:rPr>
        <w:t xml:space="preserve"> - accessed 24/03/2017.</w:t>
      </w:r>
    </w:p>
    <w:p w:rsidR="001940D8" w:rsidRPr="004F5586" w:rsidRDefault="001940D8" w:rsidP="001940D8">
      <w:pPr>
        <w:pStyle w:val="ListParagraph"/>
        <w:widowControl/>
        <w:numPr>
          <w:ilvl w:val="1"/>
          <w:numId w:val="1"/>
        </w:numPr>
        <w:spacing w:after="120" w:line="259" w:lineRule="auto"/>
        <w:contextualSpacing w:val="0"/>
        <w:rPr>
          <w:rFonts w:asciiTheme="minorHAnsi" w:hAnsiTheme="minorHAnsi"/>
          <w:sz w:val="24"/>
        </w:rPr>
      </w:pPr>
      <w:r w:rsidRPr="004F5586">
        <w:rPr>
          <w:rFonts w:asciiTheme="minorHAnsi" w:hAnsiTheme="minorHAnsi"/>
          <w:sz w:val="24"/>
        </w:rPr>
        <w:t xml:space="preserve">The key features of the studies for glecaprevir/pibrentasvir and sofosbuvir/velpatasvir are </w:t>
      </w:r>
      <w:r>
        <w:rPr>
          <w:rFonts w:asciiTheme="minorHAnsi" w:hAnsiTheme="minorHAnsi"/>
          <w:sz w:val="24"/>
        </w:rPr>
        <w:t>summarised in the table below.</w:t>
      </w:r>
    </w:p>
    <w:p w:rsidR="001940D8" w:rsidRPr="004F5586" w:rsidRDefault="001940D8" w:rsidP="001940D8">
      <w:pPr>
        <w:pStyle w:val="Caption"/>
        <w:keepNext/>
      </w:pPr>
      <w:r w:rsidRPr="004F5586">
        <w:t xml:space="preserve">Table </w:t>
      </w:r>
      <w:r w:rsidRPr="004F5586">
        <w:rPr>
          <w:noProof/>
        </w:rPr>
        <w:t>4</w:t>
      </w:r>
      <w:r w:rsidRPr="004F5586">
        <w:t>: Key features of the included evidence</w:t>
      </w:r>
    </w:p>
    <w:tbl>
      <w:tblPr>
        <w:tblW w:w="929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8"/>
        <w:gridCol w:w="425"/>
        <w:gridCol w:w="1225"/>
        <w:gridCol w:w="854"/>
        <w:gridCol w:w="994"/>
        <w:gridCol w:w="1245"/>
        <w:gridCol w:w="1069"/>
        <w:gridCol w:w="1276"/>
        <w:gridCol w:w="784"/>
      </w:tblGrid>
      <w:tr w:rsidR="001940D8" w:rsidRPr="004F5586" w:rsidTr="00E35312">
        <w:trPr>
          <w:cantSplit/>
          <w:trHeight w:val="191"/>
          <w:tblHeader/>
        </w:trPr>
        <w:tc>
          <w:tcPr>
            <w:tcW w:w="1418" w:type="dxa"/>
            <w:vMerge w:val="restart"/>
            <w:shd w:val="clear" w:color="auto" w:fill="auto"/>
            <w:vAlign w:val="center"/>
          </w:tcPr>
          <w:p w:rsidR="001940D8" w:rsidRPr="004F5586" w:rsidRDefault="001940D8" w:rsidP="00E35312">
            <w:pPr>
              <w:keepLines/>
              <w:rPr>
                <w:rFonts w:ascii="Arial Narrow" w:hAnsi="Arial Narrow"/>
                <w:b/>
                <w:sz w:val="20"/>
              </w:rPr>
            </w:pPr>
            <w:r w:rsidRPr="004F5586">
              <w:rPr>
                <w:rFonts w:ascii="Arial Narrow" w:hAnsi="Arial Narrow"/>
                <w:b/>
                <w:sz w:val="20"/>
              </w:rPr>
              <w:t>Trial</w:t>
            </w:r>
          </w:p>
        </w:tc>
        <w:tc>
          <w:tcPr>
            <w:tcW w:w="425" w:type="dxa"/>
            <w:vMerge w:val="restart"/>
            <w:shd w:val="clear" w:color="auto" w:fill="auto"/>
            <w:vAlign w:val="center"/>
          </w:tcPr>
          <w:p w:rsidR="001940D8" w:rsidRPr="004F5586" w:rsidRDefault="001940D8" w:rsidP="00E35312">
            <w:pPr>
              <w:keepLines/>
              <w:jc w:val="center"/>
              <w:rPr>
                <w:rFonts w:ascii="Arial Narrow" w:hAnsi="Arial Narrow"/>
                <w:b/>
                <w:sz w:val="20"/>
              </w:rPr>
            </w:pPr>
            <w:r w:rsidRPr="004F5586">
              <w:rPr>
                <w:rFonts w:ascii="Arial Narrow" w:hAnsi="Arial Narrow"/>
                <w:b/>
                <w:sz w:val="20"/>
              </w:rPr>
              <w:t>N</w:t>
            </w:r>
          </w:p>
        </w:tc>
        <w:tc>
          <w:tcPr>
            <w:tcW w:w="1225" w:type="dxa"/>
            <w:vMerge w:val="restart"/>
            <w:shd w:val="clear" w:color="auto" w:fill="auto"/>
            <w:vAlign w:val="center"/>
          </w:tcPr>
          <w:p w:rsidR="001940D8" w:rsidRPr="004F5586" w:rsidRDefault="001940D8" w:rsidP="00E35312">
            <w:pPr>
              <w:keepLines/>
              <w:jc w:val="center"/>
              <w:rPr>
                <w:rFonts w:ascii="Arial Narrow" w:hAnsi="Arial Narrow"/>
                <w:b/>
                <w:sz w:val="20"/>
              </w:rPr>
            </w:pPr>
            <w:r w:rsidRPr="004F5586">
              <w:rPr>
                <w:rFonts w:ascii="Arial Narrow" w:hAnsi="Arial Narrow"/>
                <w:b/>
                <w:sz w:val="20"/>
              </w:rPr>
              <w:t>Design/ duration</w:t>
            </w:r>
          </w:p>
        </w:tc>
        <w:tc>
          <w:tcPr>
            <w:tcW w:w="854" w:type="dxa"/>
            <w:vMerge w:val="restart"/>
            <w:shd w:val="clear" w:color="auto" w:fill="auto"/>
            <w:vAlign w:val="center"/>
          </w:tcPr>
          <w:p w:rsidR="001940D8" w:rsidRPr="004F5586" w:rsidRDefault="001940D8" w:rsidP="00E35312">
            <w:pPr>
              <w:keepLines/>
              <w:jc w:val="center"/>
              <w:rPr>
                <w:rFonts w:ascii="Arial Narrow" w:hAnsi="Arial Narrow"/>
                <w:b/>
                <w:iCs/>
                <w:sz w:val="20"/>
              </w:rPr>
            </w:pPr>
            <w:r w:rsidRPr="004F5586">
              <w:rPr>
                <w:rFonts w:ascii="Arial Narrow" w:hAnsi="Arial Narrow"/>
                <w:b/>
                <w:iCs/>
                <w:sz w:val="20"/>
              </w:rPr>
              <w:t>Risk of bias</w:t>
            </w:r>
          </w:p>
        </w:tc>
        <w:tc>
          <w:tcPr>
            <w:tcW w:w="3308" w:type="dxa"/>
            <w:gridSpan w:val="3"/>
            <w:shd w:val="clear" w:color="auto" w:fill="auto"/>
            <w:vAlign w:val="center"/>
          </w:tcPr>
          <w:p w:rsidR="001940D8" w:rsidRPr="004F5586" w:rsidRDefault="001940D8" w:rsidP="00E35312">
            <w:pPr>
              <w:keepLines/>
              <w:jc w:val="center"/>
              <w:rPr>
                <w:rFonts w:ascii="Arial Narrow" w:hAnsi="Arial Narrow"/>
                <w:b/>
                <w:sz w:val="20"/>
              </w:rPr>
            </w:pPr>
            <w:r w:rsidRPr="004F5586">
              <w:rPr>
                <w:rFonts w:ascii="Arial Narrow" w:hAnsi="Arial Narrow"/>
                <w:b/>
                <w:sz w:val="20"/>
              </w:rPr>
              <w:t>Patient population</w:t>
            </w:r>
          </w:p>
        </w:tc>
        <w:tc>
          <w:tcPr>
            <w:tcW w:w="1276" w:type="dxa"/>
            <w:vMerge w:val="restart"/>
            <w:shd w:val="clear" w:color="auto" w:fill="auto"/>
            <w:vAlign w:val="center"/>
          </w:tcPr>
          <w:p w:rsidR="001940D8" w:rsidRPr="004F5586" w:rsidRDefault="001940D8" w:rsidP="00E35312">
            <w:pPr>
              <w:keepLines/>
              <w:jc w:val="center"/>
              <w:rPr>
                <w:rFonts w:ascii="Arial Narrow" w:hAnsi="Arial Narrow"/>
                <w:b/>
                <w:sz w:val="20"/>
              </w:rPr>
            </w:pPr>
            <w:r w:rsidRPr="004F5586">
              <w:rPr>
                <w:rFonts w:ascii="Arial Narrow" w:hAnsi="Arial Narrow"/>
                <w:b/>
                <w:sz w:val="20"/>
              </w:rPr>
              <w:t>Intervention</w:t>
            </w:r>
          </w:p>
        </w:tc>
        <w:tc>
          <w:tcPr>
            <w:tcW w:w="784" w:type="dxa"/>
            <w:vMerge w:val="restart"/>
            <w:vAlign w:val="center"/>
          </w:tcPr>
          <w:p w:rsidR="001940D8" w:rsidRPr="004F5586" w:rsidRDefault="001940D8" w:rsidP="00E35312">
            <w:pPr>
              <w:keepLines/>
              <w:jc w:val="center"/>
              <w:rPr>
                <w:rFonts w:ascii="Arial Narrow" w:hAnsi="Arial Narrow"/>
                <w:b/>
                <w:sz w:val="20"/>
              </w:rPr>
            </w:pPr>
            <w:r w:rsidRPr="004F5586">
              <w:rPr>
                <w:rFonts w:ascii="Arial Narrow" w:hAnsi="Arial Narrow"/>
                <w:b/>
                <w:sz w:val="20"/>
              </w:rPr>
              <w:t>Key outcome</w:t>
            </w:r>
          </w:p>
        </w:tc>
      </w:tr>
      <w:tr w:rsidR="001940D8" w:rsidRPr="004F5586" w:rsidTr="00E35312">
        <w:trPr>
          <w:cantSplit/>
          <w:tblHeader/>
        </w:trPr>
        <w:tc>
          <w:tcPr>
            <w:tcW w:w="1418" w:type="dxa"/>
            <w:vMerge/>
            <w:shd w:val="clear" w:color="auto" w:fill="auto"/>
            <w:vAlign w:val="center"/>
          </w:tcPr>
          <w:p w:rsidR="001940D8" w:rsidRPr="004F5586" w:rsidRDefault="001940D8" w:rsidP="00E35312">
            <w:pPr>
              <w:keepLines/>
              <w:rPr>
                <w:rFonts w:ascii="Arial Narrow" w:hAnsi="Arial Narrow"/>
                <w:bCs/>
                <w:sz w:val="20"/>
              </w:rPr>
            </w:pPr>
          </w:p>
        </w:tc>
        <w:tc>
          <w:tcPr>
            <w:tcW w:w="425" w:type="dxa"/>
            <w:vMerge/>
            <w:shd w:val="clear" w:color="auto" w:fill="auto"/>
            <w:vAlign w:val="center"/>
          </w:tcPr>
          <w:p w:rsidR="001940D8" w:rsidRPr="004F5586" w:rsidRDefault="001940D8" w:rsidP="00E35312">
            <w:pPr>
              <w:keepLines/>
              <w:jc w:val="center"/>
              <w:rPr>
                <w:rFonts w:ascii="Arial Narrow" w:hAnsi="Arial Narrow"/>
                <w:bCs/>
                <w:sz w:val="20"/>
              </w:rPr>
            </w:pPr>
          </w:p>
        </w:tc>
        <w:tc>
          <w:tcPr>
            <w:tcW w:w="1225" w:type="dxa"/>
            <w:vMerge/>
            <w:shd w:val="clear" w:color="auto" w:fill="auto"/>
            <w:vAlign w:val="center"/>
          </w:tcPr>
          <w:p w:rsidR="001940D8" w:rsidRPr="004F5586" w:rsidRDefault="001940D8" w:rsidP="00E35312">
            <w:pPr>
              <w:keepLines/>
              <w:jc w:val="center"/>
              <w:rPr>
                <w:rFonts w:ascii="Arial Narrow" w:hAnsi="Arial Narrow"/>
                <w:bCs/>
                <w:sz w:val="20"/>
              </w:rPr>
            </w:pPr>
          </w:p>
        </w:tc>
        <w:tc>
          <w:tcPr>
            <w:tcW w:w="854" w:type="dxa"/>
            <w:vMerge/>
            <w:shd w:val="clear" w:color="auto" w:fill="auto"/>
            <w:vAlign w:val="center"/>
          </w:tcPr>
          <w:p w:rsidR="001940D8" w:rsidRPr="004F5586" w:rsidRDefault="001940D8" w:rsidP="00E35312">
            <w:pPr>
              <w:keepLines/>
              <w:jc w:val="center"/>
              <w:rPr>
                <w:rFonts w:ascii="Arial Narrow" w:hAnsi="Arial Narrow"/>
                <w:bCs/>
                <w:iCs/>
                <w:sz w:val="20"/>
              </w:rPr>
            </w:pPr>
          </w:p>
        </w:tc>
        <w:tc>
          <w:tcPr>
            <w:tcW w:w="994" w:type="dxa"/>
            <w:shd w:val="clear" w:color="auto" w:fill="auto"/>
            <w:vAlign w:val="center"/>
          </w:tcPr>
          <w:p w:rsidR="001940D8" w:rsidRPr="004F5586" w:rsidRDefault="001940D8" w:rsidP="00E35312">
            <w:pPr>
              <w:keepLines/>
              <w:jc w:val="center"/>
              <w:rPr>
                <w:rFonts w:ascii="Arial Narrow" w:hAnsi="Arial Narrow"/>
                <w:b/>
                <w:sz w:val="20"/>
              </w:rPr>
            </w:pPr>
            <w:r w:rsidRPr="004F5586">
              <w:rPr>
                <w:rFonts w:ascii="Arial Narrow" w:hAnsi="Arial Narrow"/>
                <w:b/>
                <w:sz w:val="20"/>
              </w:rPr>
              <w:t>HCV Gt</w:t>
            </w:r>
            <w:r w:rsidRPr="004F5586">
              <w:rPr>
                <w:rFonts w:ascii="Arial Narrow" w:hAnsi="Arial Narrow"/>
                <w:b/>
                <w:sz w:val="20"/>
                <w:vertAlign w:val="superscript"/>
              </w:rPr>
              <w:t>d</w:t>
            </w:r>
          </w:p>
        </w:tc>
        <w:tc>
          <w:tcPr>
            <w:tcW w:w="1245" w:type="dxa"/>
            <w:shd w:val="clear" w:color="auto" w:fill="auto"/>
            <w:vAlign w:val="center"/>
          </w:tcPr>
          <w:p w:rsidR="001940D8" w:rsidRPr="004F5586" w:rsidRDefault="001940D8" w:rsidP="00E35312">
            <w:pPr>
              <w:keepLines/>
              <w:jc w:val="center"/>
              <w:rPr>
                <w:rFonts w:ascii="Arial Narrow" w:hAnsi="Arial Narrow"/>
                <w:bCs/>
                <w:iCs/>
                <w:sz w:val="20"/>
              </w:rPr>
            </w:pPr>
            <w:r w:rsidRPr="004F5586">
              <w:rPr>
                <w:rFonts w:ascii="Arial Narrow" w:hAnsi="Arial Narrow"/>
                <w:b/>
                <w:iCs/>
                <w:sz w:val="20"/>
                <w:szCs w:val="16"/>
              </w:rPr>
              <w:t>Cirrhosis</w:t>
            </w:r>
          </w:p>
        </w:tc>
        <w:tc>
          <w:tcPr>
            <w:tcW w:w="1069" w:type="dxa"/>
            <w:shd w:val="clear" w:color="auto" w:fill="auto"/>
            <w:vAlign w:val="center"/>
          </w:tcPr>
          <w:p w:rsidR="001940D8" w:rsidRPr="004F5586" w:rsidRDefault="001940D8" w:rsidP="00E35312">
            <w:pPr>
              <w:keepLines/>
              <w:jc w:val="center"/>
              <w:rPr>
                <w:rFonts w:ascii="Arial Narrow" w:hAnsi="Arial Narrow"/>
                <w:b/>
                <w:sz w:val="20"/>
              </w:rPr>
            </w:pPr>
            <w:r w:rsidRPr="004F5586">
              <w:rPr>
                <w:rFonts w:ascii="Arial Narrow" w:hAnsi="Arial Narrow"/>
                <w:b/>
                <w:sz w:val="20"/>
              </w:rPr>
              <w:t>Tx history</w:t>
            </w:r>
          </w:p>
        </w:tc>
        <w:tc>
          <w:tcPr>
            <w:tcW w:w="1276" w:type="dxa"/>
            <w:vMerge/>
            <w:shd w:val="clear" w:color="auto" w:fill="auto"/>
            <w:vAlign w:val="center"/>
          </w:tcPr>
          <w:p w:rsidR="001940D8" w:rsidRPr="004F5586" w:rsidRDefault="001940D8" w:rsidP="00E35312">
            <w:pPr>
              <w:keepLines/>
              <w:jc w:val="center"/>
              <w:rPr>
                <w:rFonts w:ascii="Arial Narrow" w:hAnsi="Arial Narrow"/>
                <w:bCs/>
                <w:sz w:val="20"/>
              </w:rPr>
            </w:pPr>
          </w:p>
        </w:tc>
        <w:tc>
          <w:tcPr>
            <w:tcW w:w="784" w:type="dxa"/>
            <w:vMerge/>
            <w:vAlign w:val="center"/>
          </w:tcPr>
          <w:p w:rsidR="001940D8" w:rsidRPr="004F5586" w:rsidRDefault="001940D8" w:rsidP="00E35312">
            <w:pPr>
              <w:keepLines/>
              <w:jc w:val="center"/>
              <w:rPr>
                <w:rFonts w:ascii="Arial Narrow" w:hAnsi="Arial Narrow"/>
                <w:sz w:val="20"/>
              </w:rPr>
            </w:pPr>
          </w:p>
        </w:tc>
      </w:tr>
      <w:tr w:rsidR="001940D8" w:rsidRPr="004F5586" w:rsidTr="00E35312">
        <w:trPr>
          <w:cantSplit/>
        </w:trPr>
        <w:tc>
          <w:tcPr>
            <w:tcW w:w="9290" w:type="dxa"/>
            <w:gridSpan w:val="9"/>
            <w:shd w:val="clear" w:color="auto" w:fill="auto"/>
            <w:vAlign w:val="center"/>
          </w:tcPr>
          <w:p w:rsidR="001940D8" w:rsidRPr="004F5586" w:rsidRDefault="001940D8" w:rsidP="00E35312">
            <w:pPr>
              <w:keepLines/>
              <w:rPr>
                <w:rFonts w:ascii="Arial Narrow" w:hAnsi="Arial Narrow"/>
                <w:sz w:val="20"/>
              </w:rPr>
            </w:pPr>
            <w:r w:rsidRPr="004F5586">
              <w:rPr>
                <w:rFonts w:ascii="Arial Narrow" w:hAnsi="Arial Narrow"/>
                <w:b/>
                <w:sz w:val="20"/>
              </w:rPr>
              <w:t>Studies for glecaprevir/pibrentasvir</w:t>
            </w:r>
          </w:p>
        </w:tc>
      </w:tr>
      <w:tr w:rsidR="001940D8" w:rsidRPr="004F5586" w:rsidTr="00E35312">
        <w:trPr>
          <w:cantSplit/>
        </w:trPr>
        <w:tc>
          <w:tcPr>
            <w:tcW w:w="1418" w:type="dxa"/>
            <w:shd w:val="clear" w:color="auto" w:fill="auto"/>
            <w:vAlign w:val="center"/>
          </w:tcPr>
          <w:p w:rsidR="001940D8" w:rsidRPr="004F5586" w:rsidRDefault="001940D8" w:rsidP="00E35312">
            <w:pPr>
              <w:keepLines/>
              <w:rPr>
                <w:rFonts w:ascii="Arial Narrow" w:hAnsi="Arial Narrow"/>
                <w:bCs/>
                <w:sz w:val="20"/>
              </w:rPr>
            </w:pPr>
            <w:r w:rsidRPr="004F5586">
              <w:rPr>
                <w:rFonts w:ascii="Arial Narrow" w:hAnsi="Arial Narrow"/>
                <w:bCs/>
                <w:sz w:val="20"/>
              </w:rPr>
              <w:t>EXPEDITION-1</w:t>
            </w:r>
          </w:p>
        </w:tc>
        <w:tc>
          <w:tcPr>
            <w:tcW w:w="42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146</w:t>
            </w:r>
          </w:p>
        </w:tc>
        <w:tc>
          <w:tcPr>
            <w:tcW w:w="122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SA, OL, MC</w:t>
            </w:r>
            <w:r w:rsidRPr="004F5586">
              <w:rPr>
                <w:rFonts w:ascii="Arial Narrow" w:hAnsi="Arial Narrow"/>
                <w:bCs/>
                <w:sz w:val="20"/>
              </w:rPr>
              <w:br/>
              <w:t>24 weeks</w:t>
            </w:r>
          </w:p>
        </w:tc>
        <w:tc>
          <w:tcPr>
            <w:tcW w:w="854" w:type="dxa"/>
            <w:shd w:val="clear" w:color="auto" w:fill="auto"/>
            <w:vAlign w:val="center"/>
          </w:tcPr>
          <w:p w:rsidR="001940D8" w:rsidRPr="004F5586" w:rsidRDefault="001940D8" w:rsidP="00E35312">
            <w:pPr>
              <w:keepLines/>
              <w:jc w:val="center"/>
              <w:rPr>
                <w:rFonts w:ascii="Arial Narrow" w:hAnsi="Arial Narrow"/>
                <w:bCs/>
                <w:iCs/>
                <w:sz w:val="20"/>
              </w:rPr>
            </w:pPr>
            <w:r w:rsidRPr="004F5586">
              <w:rPr>
                <w:rFonts w:ascii="Arial Narrow" w:hAnsi="Arial Narrow"/>
                <w:bCs/>
                <w:iCs/>
                <w:sz w:val="20"/>
              </w:rPr>
              <w:t>Low</w:t>
            </w:r>
          </w:p>
        </w:tc>
        <w:tc>
          <w:tcPr>
            <w:tcW w:w="994"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1,2,4,5,6</w:t>
            </w:r>
          </w:p>
        </w:tc>
        <w:tc>
          <w:tcPr>
            <w:tcW w:w="124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Compensated cirrhosis</w:t>
            </w:r>
          </w:p>
        </w:tc>
        <w:tc>
          <w:tcPr>
            <w:tcW w:w="1069"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Tx naïve &amp; experienced</w:t>
            </w:r>
          </w:p>
        </w:tc>
        <w:tc>
          <w:tcPr>
            <w:tcW w:w="1276"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GLE/PIB12</w:t>
            </w:r>
          </w:p>
        </w:tc>
        <w:tc>
          <w:tcPr>
            <w:tcW w:w="784" w:type="dxa"/>
            <w:vAlign w:val="center"/>
          </w:tcPr>
          <w:p w:rsidR="001940D8" w:rsidRPr="004F5586" w:rsidRDefault="001940D8" w:rsidP="00E35312">
            <w:pPr>
              <w:keepLines/>
              <w:jc w:val="center"/>
              <w:rPr>
                <w:rFonts w:ascii="Arial Narrow" w:hAnsi="Arial Narrow"/>
                <w:sz w:val="20"/>
              </w:rPr>
            </w:pPr>
            <w:r w:rsidRPr="004F5586">
              <w:rPr>
                <w:rFonts w:ascii="Arial Narrow" w:hAnsi="Arial Narrow"/>
                <w:sz w:val="20"/>
              </w:rPr>
              <w:t>SVR12</w:t>
            </w:r>
          </w:p>
        </w:tc>
      </w:tr>
      <w:tr w:rsidR="001940D8" w:rsidRPr="004F5586" w:rsidTr="00E35312">
        <w:trPr>
          <w:cantSplit/>
        </w:trPr>
        <w:tc>
          <w:tcPr>
            <w:tcW w:w="1418" w:type="dxa"/>
            <w:shd w:val="clear" w:color="auto" w:fill="auto"/>
            <w:vAlign w:val="center"/>
          </w:tcPr>
          <w:p w:rsidR="001940D8" w:rsidRPr="004F5586" w:rsidRDefault="001940D8" w:rsidP="00E35312">
            <w:pPr>
              <w:keepLines/>
              <w:rPr>
                <w:rFonts w:ascii="Arial Narrow" w:hAnsi="Arial Narrow"/>
                <w:bCs/>
                <w:sz w:val="20"/>
              </w:rPr>
            </w:pPr>
            <w:r w:rsidRPr="004F5586">
              <w:rPr>
                <w:rFonts w:ascii="Arial Narrow" w:hAnsi="Arial Narrow"/>
                <w:bCs/>
                <w:sz w:val="20"/>
              </w:rPr>
              <w:t>EXPEDITION-4</w:t>
            </w:r>
          </w:p>
        </w:tc>
        <w:tc>
          <w:tcPr>
            <w:tcW w:w="42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104</w:t>
            </w:r>
          </w:p>
        </w:tc>
        <w:tc>
          <w:tcPr>
            <w:tcW w:w="122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SA, OL, MC</w:t>
            </w:r>
            <w:r w:rsidRPr="004F5586">
              <w:rPr>
                <w:rFonts w:ascii="Arial Narrow" w:hAnsi="Arial Narrow"/>
                <w:bCs/>
                <w:sz w:val="20"/>
              </w:rPr>
              <w:br/>
              <w:t>24 weeks</w:t>
            </w:r>
          </w:p>
        </w:tc>
        <w:tc>
          <w:tcPr>
            <w:tcW w:w="854" w:type="dxa"/>
            <w:shd w:val="clear" w:color="auto" w:fill="auto"/>
            <w:vAlign w:val="center"/>
          </w:tcPr>
          <w:p w:rsidR="001940D8" w:rsidRPr="004F5586" w:rsidRDefault="001940D8" w:rsidP="00E35312">
            <w:pPr>
              <w:keepLines/>
              <w:jc w:val="center"/>
              <w:rPr>
                <w:rFonts w:ascii="Arial Narrow" w:hAnsi="Arial Narrow"/>
                <w:bCs/>
                <w:iCs/>
                <w:sz w:val="20"/>
              </w:rPr>
            </w:pPr>
            <w:r w:rsidRPr="004F5586">
              <w:rPr>
                <w:rFonts w:ascii="Arial Narrow" w:hAnsi="Arial Narrow"/>
                <w:bCs/>
                <w:iCs/>
                <w:sz w:val="20"/>
              </w:rPr>
              <w:t>Low</w:t>
            </w:r>
          </w:p>
        </w:tc>
        <w:tc>
          <w:tcPr>
            <w:tcW w:w="994"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1-6</w:t>
            </w:r>
          </w:p>
          <w:p w:rsidR="001940D8" w:rsidRPr="004F5586" w:rsidRDefault="001940D8" w:rsidP="00E35312">
            <w:pPr>
              <w:keepLines/>
              <w:jc w:val="center"/>
              <w:rPr>
                <w:rFonts w:ascii="Arial Narrow" w:hAnsi="Arial Narrow"/>
                <w:bCs/>
                <w:sz w:val="20"/>
              </w:rPr>
            </w:pPr>
            <w:r w:rsidRPr="004F5586">
              <w:rPr>
                <w:rFonts w:ascii="Arial Narrow" w:hAnsi="Arial Narrow"/>
                <w:bCs/>
                <w:sz w:val="20"/>
              </w:rPr>
              <w:t>Renally-impaired adults</w:t>
            </w:r>
          </w:p>
        </w:tc>
        <w:tc>
          <w:tcPr>
            <w:tcW w:w="124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Non-cirrhotic &amp; compensated cirrhosis</w:t>
            </w:r>
          </w:p>
        </w:tc>
        <w:tc>
          <w:tcPr>
            <w:tcW w:w="1069"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Tx naïve &amp; experienced</w:t>
            </w:r>
          </w:p>
        </w:tc>
        <w:tc>
          <w:tcPr>
            <w:tcW w:w="1276"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GLE/PIB12</w:t>
            </w:r>
          </w:p>
        </w:tc>
        <w:tc>
          <w:tcPr>
            <w:tcW w:w="784" w:type="dxa"/>
            <w:vAlign w:val="center"/>
          </w:tcPr>
          <w:p w:rsidR="001940D8" w:rsidRPr="004F5586" w:rsidRDefault="001940D8" w:rsidP="00E35312">
            <w:pPr>
              <w:keepLines/>
              <w:jc w:val="center"/>
              <w:rPr>
                <w:rFonts w:ascii="Arial Narrow" w:hAnsi="Arial Narrow"/>
                <w:sz w:val="20"/>
              </w:rPr>
            </w:pPr>
            <w:r w:rsidRPr="004F5586">
              <w:rPr>
                <w:rFonts w:ascii="Arial Narrow" w:hAnsi="Arial Narrow"/>
                <w:sz w:val="20"/>
              </w:rPr>
              <w:t>SVR12</w:t>
            </w:r>
          </w:p>
        </w:tc>
      </w:tr>
      <w:tr w:rsidR="001940D8" w:rsidRPr="004F5586" w:rsidTr="00E35312">
        <w:trPr>
          <w:cantSplit/>
        </w:trPr>
        <w:tc>
          <w:tcPr>
            <w:tcW w:w="1418" w:type="dxa"/>
            <w:shd w:val="clear" w:color="auto" w:fill="auto"/>
            <w:vAlign w:val="center"/>
          </w:tcPr>
          <w:p w:rsidR="001940D8" w:rsidRPr="004F5586" w:rsidRDefault="001940D8" w:rsidP="00E35312">
            <w:pPr>
              <w:keepLines/>
              <w:rPr>
                <w:rFonts w:ascii="Arial Narrow" w:hAnsi="Arial Narrow"/>
                <w:bCs/>
                <w:sz w:val="20"/>
              </w:rPr>
            </w:pPr>
            <w:r w:rsidRPr="004F5586">
              <w:rPr>
                <w:rFonts w:ascii="Arial Narrow" w:hAnsi="Arial Narrow"/>
                <w:bCs/>
                <w:sz w:val="20"/>
              </w:rPr>
              <w:t>ENDURANCE-1</w:t>
            </w:r>
          </w:p>
        </w:tc>
        <w:tc>
          <w:tcPr>
            <w:tcW w:w="42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352</w:t>
            </w:r>
          </w:p>
        </w:tc>
        <w:tc>
          <w:tcPr>
            <w:tcW w:w="122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R, OL, MC</w:t>
            </w:r>
            <w:r w:rsidRPr="004F5586">
              <w:rPr>
                <w:rFonts w:ascii="Arial Narrow" w:hAnsi="Arial Narrow"/>
                <w:bCs/>
                <w:sz w:val="20"/>
              </w:rPr>
              <w:br/>
              <w:t>24 weeks</w:t>
            </w:r>
          </w:p>
        </w:tc>
        <w:tc>
          <w:tcPr>
            <w:tcW w:w="854" w:type="dxa"/>
            <w:shd w:val="clear" w:color="auto" w:fill="auto"/>
            <w:vAlign w:val="center"/>
          </w:tcPr>
          <w:p w:rsidR="001940D8" w:rsidRPr="004F5586" w:rsidRDefault="001940D8" w:rsidP="00E35312">
            <w:pPr>
              <w:keepLines/>
              <w:jc w:val="center"/>
              <w:rPr>
                <w:rFonts w:ascii="Arial Narrow" w:hAnsi="Arial Narrow"/>
                <w:bCs/>
                <w:iCs/>
                <w:sz w:val="20"/>
              </w:rPr>
            </w:pPr>
            <w:r w:rsidRPr="004F5586">
              <w:rPr>
                <w:rFonts w:ascii="Arial Narrow" w:hAnsi="Arial Narrow"/>
                <w:bCs/>
                <w:iCs/>
                <w:sz w:val="20"/>
              </w:rPr>
              <w:t>Low</w:t>
            </w:r>
          </w:p>
        </w:tc>
        <w:tc>
          <w:tcPr>
            <w:tcW w:w="994"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1</w:t>
            </w:r>
          </w:p>
          <w:p w:rsidR="001940D8" w:rsidRPr="004F5586" w:rsidRDefault="001940D8" w:rsidP="00E35312">
            <w:pPr>
              <w:keepLines/>
              <w:jc w:val="center"/>
              <w:rPr>
                <w:rFonts w:ascii="Arial Narrow" w:hAnsi="Arial Narrow"/>
                <w:bCs/>
                <w:sz w:val="20"/>
              </w:rPr>
            </w:pPr>
            <w:r w:rsidRPr="004F5586">
              <w:rPr>
                <w:rFonts w:ascii="Arial Narrow" w:hAnsi="Arial Narrow"/>
                <w:bCs/>
                <w:sz w:val="20"/>
              </w:rPr>
              <w:t>(subgroup co-infected with HIV)</w:t>
            </w:r>
          </w:p>
        </w:tc>
        <w:tc>
          <w:tcPr>
            <w:tcW w:w="124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Non-cirrhotic</w:t>
            </w:r>
          </w:p>
        </w:tc>
        <w:tc>
          <w:tcPr>
            <w:tcW w:w="1069"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Tx naïve &amp; experienced</w:t>
            </w:r>
          </w:p>
        </w:tc>
        <w:tc>
          <w:tcPr>
            <w:tcW w:w="1276"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GLE/PIB8</w:t>
            </w:r>
          </w:p>
        </w:tc>
        <w:tc>
          <w:tcPr>
            <w:tcW w:w="784" w:type="dxa"/>
            <w:vAlign w:val="center"/>
          </w:tcPr>
          <w:p w:rsidR="001940D8" w:rsidRPr="004F5586" w:rsidRDefault="001940D8" w:rsidP="00E35312">
            <w:pPr>
              <w:keepLines/>
              <w:jc w:val="center"/>
              <w:rPr>
                <w:rFonts w:ascii="Arial Narrow" w:hAnsi="Arial Narrow"/>
                <w:sz w:val="20"/>
              </w:rPr>
            </w:pPr>
            <w:r w:rsidRPr="004F5586">
              <w:rPr>
                <w:rFonts w:ascii="Arial Narrow" w:hAnsi="Arial Narrow"/>
                <w:sz w:val="20"/>
              </w:rPr>
              <w:t>SVR12</w:t>
            </w:r>
          </w:p>
        </w:tc>
      </w:tr>
      <w:tr w:rsidR="001940D8" w:rsidRPr="004F5586" w:rsidTr="00E35312">
        <w:trPr>
          <w:cantSplit/>
        </w:trPr>
        <w:tc>
          <w:tcPr>
            <w:tcW w:w="1418" w:type="dxa"/>
            <w:shd w:val="clear" w:color="auto" w:fill="auto"/>
            <w:vAlign w:val="center"/>
          </w:tcPr>
          <w:p w:rsidR="001940D8" w:rsidRPr="004F5586" w:rsidRDefault="001940D8" w:rsidP="00E35312">
            <w:pPr>
              <w:keepLines/>
              <w:rPr>
                <w:rFonts w:ascii="Arial Narrow" w:hAnsi="Arial Narrow"/>
                <w:bCs/>
                <w:sz w:val="20"/>
              </w:rPr>
            </w:pPr>
            <w:r w:rsidRPr="004F5586">
              <w:rPr>
                <w:rFonts w:ascii="Arial Narrow" w:hAnsi="Arial Narrow"/>
                <w:bCs/>
                <w:sz w:val="20"/>
              </w:rPr>
              <w:t>ENDURANCE-3</w:t>
            </w:r>
          </w:p>
        </w:tc>
        <w:tc>
          <w:tcPr>
            <w:tcW w:w="42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157</w:t>
            </w:r>
          </w:p>
        </w:tc>
        <w:tc>
          <w:tcPr>
            <w:tcW w:w="122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R, OL, MC</w:t>
            </w:r>
            <w:r w:rsidRPr="004F5586">
              <w:rPr>
                <w:rFonts w:ascii="Arial Narrow" w:hAnsi="Arial Narrow"/>
                <w:bCs/>
                <w:sz w:val="20"/>
              </w:rPr>
              <w:br/>
              <w:t>24 weeks</w:t>
            </w:r>
          </w:p>
        </w:tc>
        <w:tc>
          <w:tcPr>
            <w:tcW w:w="854" w:type="dxa"/>
            <w:shd w:val="clear" w:color="auto" w:fill="auto"/>
            <w:vAlign w:val="center"/>
          </w:tcPr>
          <w:p w:rsidR="001940D8" w:rsidRPr="004F5586" w:rsidRDefault="001940D8" w:rsidP="00E35312">
            <w:pPr>
              <w:keepLines/>
              <w:jc w:val="center"/>
              <w:rPr>
                <w:rFonts w:ascii="Arial Narrow" w:hAnsi="Arial Narrow"/>
                <w:bCs/>
                <w:iCs/>
                <w:sz w:val="20"/>
              </w:rPr>
            </w:pPr>
            <w:r w:rsidRPr="004F5586">
              <w:rPr>
                <w:rFonts w:ascii="Arial Narrow" w:hAnsi="Arial Narrow"/>
                <w:bCs/>
                <w:iCs/>
                <w:sz w:val="20"/>
              </w:rPr>
              <w:t>Low</w:t>
            </w:r>
          </w:p>
        </w:tc>
        <w:tc>
          <w:tcPr>
            <w:tcW w:w="994"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3</w:t>
            </w:r>
          </w:p>
        </w:tc>
        <w:tc>
          <w:tcPr>
            <w:tcW w:w="124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Non-cirrhotic</w:t>
            </w:r>
          </w:p>
        </w:tc>
        <w:tc>
          <w:tcPr>
            <w:tcW w:w="1069"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 xml:space="preserve">Tx naïve </w:t>
            </w:r>
          </w:p>
        </w:tc>
        <w:tc>
          <w:tcPr>
            <w:tcW w:w="1276"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GLE/PIB8</w:t>
            </w:r>
          </w:p>
        </w:tc>
        <w:tc>
          <w:tcPr>
            <w:tcW w:w="784" w:type="dxa"/>
            <w:vAlign w:val="center"/>
          </w:tcPr>
          <w:p w:rsidR="001940D8" w:rsidRPr="004F5586" w:rsidRDefault="001940D8" w:rsidP="00E35312">
            <w:pPr>
              <w:keepLines/>
              <w:jc w:val="center"/>
              <w:rPr>
                <w:rFonts w:ascii="Arial Narrow" w:hAnsi="Arial Narrow"/>
                <w:sz w:val="20"/>
              </w:rPr>
            </w:pPr>
            <w:r w:rsidRPr="004F5586">
              <w:rPr>
                <w:rFonts w:ascii="Arial Narrow" w:hAnsi="Arial Narrow"/>
                <w:sz w:val="20"/>
              </w:rPr>
              <w:t>SVR12</w:t>
            </w:r>
          </w:p>
        </w:tc>
      </w:tr>
      <w:tr w:rsidR="001940D8" w:rsidRPr="004F5586" w:rsidTr="00E35312">
        <w:trPr>
          <w:cantSplit/>
        </w:trPr>
        <w:tc>
          <w:tcPr>
            <w:tcW w:w="1418" w:type="dxa"/>
            <w:shd w:val="clear" w:color="auto" w:fill="auto"/>
            <w:vAlign w:val="center"/>
          </w:tcPr>
          <w:p w:rsidR="001940D8" w:rsidRPr="004F5586" w:rsidRDefault="001940D8" w:rsidP="00E35312">
            <w:pPr>
              <w:keepLines/>
              <w:rPr>
                <w:rFonts w:ascii="Arial Narrow" w:hAnsi="Arial Narrow"/>
                <w:bCs/>
                <w:sz w:val="20"/>
              </w:rPr>
            </w:pPr>
            <w:r w:rsidRPr="004F5586">
              <w:rPr>
                <w:rFonts w:ascii="Arial Narrow" w:hAnsi="Arial Narrow"/>
                <w:bCs/>
                <w:sz w:val="20"/>
              </w:rPr>
              <w:t>SURVEYOR-I</w:t>
            </w:r>
          </w:p>
        </w:tc>
        <w:tc>
          <w:tcPr>
            <w:tcW w:w="42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34</w:t>
            </w:r>
          </w:p>
        </w:tc>
        <w:tc>
          <w:tcPr>
            <w:tcW w:w="122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R, OL, MC</w:t>
            </w:r>
            <w:r w:rsidRPr="004F5586">
              <w:rPr>
                <w:rFonts w:ascii="Arial Narrow" w:hAnsi="Arial Narrow"/>
                <w:bCs/>
                <w:sz w:val="20"/>
              </w:rPr>
              <w:br/>
              <w:t>24 weeks</w:t>
            </w:r>
          </w:p>
        </w:tc>
        <w:tc>
          <w:tcPr>
            <w:tcW w:w="854" w:type="dxa"/>
            <w:shd w:val="clear" w:color="auto" w:fill="auto"/>
            <w:vAlign w:val="center"/>
          </w:tcPr>
          <w:p w:rsidR="001940D8" w:rsidRPr="004F5586" w:rsidRDefault="001940D8" w:rsidP="00E35312">
            <w:pPr>
              <w:keepLines/>
              <w:jc w:val="center"/>
              <w:rPr>
                <w:rFonts w:ascii="Arial Narrow" w:hAnsi="Arial Narrow"/>
                <w:bCs/>
                <w:iCs/>
                <w:sz w:val="20"/>
              </w:rPr>
            </w:pPr>
            <w:r w:rsidRPr="004F5586">
              <w:rPr>
                <w:rFonts w:ascii="Arial Narrow" w:hAnsi="Arial Narrow"/>
                <w:bCs/>
                <w:iCs/>
                <w:sz w:val="20"/>
              </w:rPr>
              <w:t>Low</w:t>
            </w:r>
          </w:p>
        </w:tc>
        <w:tc>
          <w:tcPr>
            <w:tcW w:w="994"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1</w:t>
            </w:r>
          </w:p>
        </w:tc>
        <w:tc>
          <w:tcPr>
            <w:tcW w:w="124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Non-cirrhotic</w:t>
            </w:r>
          </w:p>
        </w:tc>
        <w:tc>
          <w:tcPr>
            <w:tcW w:w="1069"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Tx naïve &amp; experienced</w:t>
            </w:r>
          </w:p>
        </w:tc>
        <w:tc>
          <w:tcPr>
            <w:tcW w:w="1276"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GLE/PIB8</w:t>
            </w:r>
          </w:p>
        </w:tc>
        <w:tc>
          <w:tcPr>
            <w:tcW w:w="784" w:type="dxa"/>
            <w:vAlign w:val="center"/>
          </w:tcPr>
          <w:p w:rsidR="001940D8" w:rsidRPr="004F5586" w:rsidRDefault="001940D8" w:rsidP="00E35312">
            <w:pPr>
              <w:keepLines/>
              <w:jc w:val="center"/>
              <w:rPr>
                <w:rFonts w:ascii="Arial Narrow" w:hAnsi="Arial Narrow"/>
                <w:sz w:val="20"/>
              </w:rPr>
            </w:pPr>
            <w:r w:rsidRPr="004F5586">
              <w:rPr>
                <w:rFonts w:ascii="Arial Narrow" w:hAnsi="Arial Narrow"/>
                <w:sz w:val="20"/>
              </w:rPr>
              <w:t>SVR12</w:t>
            </w:r>
          </w:p>
        </w:tc>
      </w:tr>
      <w:tr w:rsidR="001940D8" w:rsidRPr="004F5586" w:rsidTr="00E35312">
        <w:trPr>
          <w:cantSplit/>
          <w:trHeight w:val="80"/>
        </w:trPr>
        <w:tc>
          <w:tcPr>
            <w:tcW w:w="1418" w:type="dxa"/>
            <w:vMerge w:val="restart"/>
            <w:shd w:val="clear" w:color="auto" w:fill="auto"/>
            <w:vAlign w:val="center"/>
          </w:tcPr>
          <w:p w:rsidR="001940D8" w:rsidRPr="004F5586" w:rsidRDefault="001940D8" w:rsidP="00E35312">
            <w:pPr>
              <w:keepLines/>
              <w:rPr>
                <w:rFonts w:ascii="Arial Narrow" w:hAnsi="Arial Narrow"/>
                <w:bCs/>
                <w:sz w:val="20"/>
              </w:rPr>
            </w:pPr>
            <w:r w:rsidRPr="004F5586">
              <w:rPr>
                <w:rFonts w:ascii="Arial Narrow" w:hAnsi="Arial Narrow"/>
                <w:bCs/>
                <w:sz w:val="20"/>
              </w:rPr>
              <w:t>SURVEYOR-II</w:t>
            </w:r>
          </w:p>
        </w:tc>
        <w:tc>
          <w:tcPr>
            <w:tcW w:w="42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55</w:t>
            </w:r>
          </w:p>
        </w:tc>
        <w:tc>
          <w:tcPr>
            <w:tcW w:w="1225" w:type="dxa"/>
            <w:vMerge w:val="restart"/>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R, OL, MC</w:t>
            </w:r>
          </w:p>
          <w:p w:rsidR="001940D8" w:rsidRPr="004F5586" w:rsidRDefault="001940D8" w:rsidP="00E35312">
            <w:pPr>
              <w:keepLines/>
              <w:jc w:val="center"/>
              <w:rPr>
                <w:rFonts w:ascii="Arial Narrow" w:hAnsi="Arial Narrow"/>
                <w:bCs/>
                <w:sz w:val="20"/>
              </w:rPr>
            </w:pPr>
            <w:r w:rsidRPr="004F5586">
              <w:rPr>
                <w:rFonts w:ascii="Arial Narrow" w:hAnsi="Arial Narrow"/>
                <w:bCs/>
                <w:sz w:val="20"/>
              </w:rPr>
              <w:t>24 weeks</w:t>
            </w:r>
          </w:p>
        </w:tc>
        <w:tc>
          <w:tcPr>
            <w:tcW w:w="854" w:type="dxa"/>
            <w:vMerge w:val="restart"/>
            <w:shd w:val="clear" w:color="auto" w:fill="auto"/>
            <w:vAlign w:val="center"/>
          </w:tcPr>
          <w:p w:rsidR="001940D8" w:rsidRPr="004F5586" w:rsidRDefault="001940D8" w:rsidP="00E35312">
            <w:pPr>
              <w:keepLines/>
              <w:jc w:val="center"/>
              <w:rPr>
                <w:rFonts w:ascii="Arial Narrow" w:hAnsi="Arial Narrow"/>
                <w:bCs/>
                <w:iCs/>
                <w:sz w:val="20"/>
              </w:rPr>
            </w:pPr>
            <w:r w:rsidRPr="004F5586">
              <w:rPr>
                <w:rFonts w:ascii="Arial Narrow" w:hAnsi="Arial Narrow"/>
                <w:bCs/>
                <w:iCs/>
                <w:sz w:val="20"/>
              </w:rPr>
              <w:t>Low</w:t>
            </w:r>
          </w:p>
        </w:tc>
        <w:tc>
          <w:tcPr>
            <w:tcW w:w="994"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2</w:t>
            </w:r>
          </w:p>
        </w:tc>
        <w:tc>
          <w:tcPr>
            <w:tcW w:w="124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Non-cirrhotic</w:t>
            </w:r>
          </w:p>
        </w:tc>
        <w:tc>
          <w:tcPr>
            <w:tcW w:w="1069"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Tx naïve &amp; experienced</w:t>
            </w:r>
          </w:p>
        </w:tc>
        <w:tc>
          <w:tcPr>
            <w:tcW w:w="1276"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GLE/PIB8</w:t>
            </w:r>
          </w:p>
        </w:tc>
        <w:tc>
          <w:tcPr>
            <w:tcW w:w="784" w:type="dxa"/>
            <w:vMerge w:val="restart"/>
            <w:vAlign w:val="center"/>
          </w:tcPr>
          <w:p w:rsidR="001940D8" w:rsidRPr="004F5586" w:rsidRDefault="001940D8" w:rsidP="00E35312">
            <w:pPr>
              <w:keepLines/>
              <w:jc w:val="center"/>
              <w:rPr>
                <w:rFonts w:ascii="Arial Narrow" w:hAnsi="Arial Narrow"/>
                <w:sz w:val="20"/>
              </w:rPr>
            </w:pPr>
            <w:r w:rsidRPr="004F5586">
              <w:rPr>
                <w:rFonts w:ascii="Arial Narrow" w:hAnsi="Arial Narrow"/>
                <w:sz w:val="20"/>
              </w:rPr>
              <w:t>SVR12</w:t>
            </w:r>
          </w:p>
        </w:tc>
      </w:tr>
      <w:tr w:rsidR="001940D8" w:rsidRPr="004F5586" w:rsidTr="00E35312">
        <w:trPr>
          <w:cantSplit/>
          <w:trHeight w:val="75"/>
        </w:trPr>
        <w:tc>
          <w:tcPr>
            <w:tcW w:w="1418" w:type="dxa"/>
            <w:vMerge/>
            <w:shd w:val="clear" w:color="auto" w:fill="auto"/>
            <w:vAlign w:val="center"/>
          </w:tcPr>
          <w:p w:rsidR="001940D8" w:rsidRPr="004F5586" w:rsidRDefault="001940D8" w:rsidP="00E35312">
            <w:pPr>
              <w:keepLines/>
              <w:rPr>
                <w:rFonts w:ascii="Arial Narrow" w:hAnsi="Arial Narrow"/>
                <w:bCs/>
                <w:sz w:val="20"/>
              </w:rPr>
            </w:pPr>
          </w:p>
        </w:tc>
        <w:tc>
          <w:tcPr>
            <w:tcW w:w="42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29</w:t>
            </w:r>
          </w:p>
        </w:tc>
        <w:tc>
          <w:tcPr>
            <w:tcW w:w="1225" w:type="dxa"/>
            <w:vMerge/>
            <w:shd w:val="clear" w:color="auto" w:fill="auto"/>
            <w:vAlign w:val="center"/>
          </w:tcPr>
          <w:p w:rsidR="001940D8" w:rsidRPr="004F5586" w:rsidRDefault="001940D8" w:rsidP="00E35312">
            <w:pPr>
              <w:keepLines/>
              <w:jc w:val="center"/>
              <w:rPr>
                <w:rFonts w:ascii="Arial Narrow" w:hAnsi="Arial Narrow"/>
                <w:bCs/>
                <w:sz w:val="20"/>
              </w:rPr>
            </w:pPr>
          </w:p>
        </w:tc>
        <w:tc>
          <w:tcPr>
            <w:tcW w:w="854" w:type="dxa"/>
            <w:vMerge/>
            <w:shd w:val="clear" w:color="auto" w:fill="auto"/>
            <w:vAlign w:val="center"/>
          </w:tcPr>
          <w:p w:rsidR="001940D8" w:rsidRPr="004F5586" w:rsidRDefault="001940D8" w:rsidP="00E35312">
            <w:pPr>
              <w:keepLines/>
              <w:jc w:val="center"/>
              <w:rPr>
                <w:rFonts w:ascii="Arial Narrow" w:hAnsi="Arial Narrow"/>
                <w:bCs/>
                <w:iCs/>
                <w:sz w:val="20"/>
              </w:rPr>
            </w:pPr>
          </w:p>
        </w:tc>
        <w:tc>
          <w:tcPr>
            <w:tcW w:w="994"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3</w:t>
            </w:r>
          </w:p>
        </w:tc>
        <w:tc>
          <w:tcPr>
            <w:tcW w:w="124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Non-cirrhotic</w:t>
            </w:r>
          </w:p>
        </w:tc>
        <w:tc>
          <w:tcPr>
            <w:tcW w:w="1069"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 xml:space="preserve">Tx naïve </w:t>
            </w:r>
          </w:p>
        </w:tc>
        <w:tc>
          <w:tcPr>
            <w:tcW w:w="1276"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GLE/PIB8</w:t>
            </w:r>
            <w:r w:rsidRPr="004F5586">
              <w:rPr>
                <w:rFonts w:ascii="Arial Narrow" w:hAnsi="Arial Narrow"/>
                <w:bCs/>
                <w:sz w:val="20"/>
              </w:rPr>
              <w:br/>
            </w:r>
          </w:p>
        </w:tc>
        <w:tc>
          <w:tcPr>
            <w:tcW w:w="784" w:type="dxa"/>
            <w:vMerge/>
            <w:vAlign w:val="center"/>
          </w:tcPr>
          <w:p w:rsidR="001940D8" w:rsidRPr="004F5586" w:rsidRDefault="001940D8" w:rsidP="00E35312">
            <w:pPr>
              <w:keepLines/>
              <w:jc w:val="center"/>
              <w:rPr>
                <w:rFonts w:ascii="Arial Narrow" w:hAnsi="Arial Narrow"/>
                <w:sz w:val="20"/>
              </w:rPr>
            </w:pPr>
          </w:p>
        </w:tc>
      </w:tr>
      <w:tr w:rsidR="001940D8" w:rsidRPr="004F5586" w:rsidTr="00E35312">
        <w:trPr>
          <w:cantSplit/>
          <w:trHeight w:val="75"/>
        </w:trPr>
        <w:tc>
          <w:tcPr>
            <w:tcW w:w="1418" w:type="dxa"/>
            <w:vMerge/>
            <w:shd w:val="clear" w:color="auto" w:fill="auto"/>
            <w:vAlign w:val="center"/>
          </w:tcPr>
          <w:p w:rsidR="001940D8" w:rsidRPr="004F5586" w:rsidRDefault="001940D8" w:rsidP="00E35312">
            <w:pPr>
              <w:keepLines/>
              <w:rPr>
                <w:rFonts w:ascii="Arial Narrow" w:hAnsi="Arial Narrow"/>
                <w:bCs/>
                <w:sz w:val="20"/>
              </w:rPr>
            </w:pPr>
          </w:p>
        </w:tc>
        <w:tc>
          <w:tcPr>
            <w:tcW w:w="42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28</w:t>
            </w:r>
          </w:p>
        </w:tc>
        <w:tc>
          <w:tcPr>
            <w:tcW w:w="1225" w:type="dxa"/>
            <w:vMerge/>
            <w:shd w:val="clear" w:color="auto" w:fill="auto"/>
            <w:vAlign w:val="center"/>
          </w:tcPr>
          <w:p w:rsidR="001940D8" w:rsidRPr="004F5586" w:rsidRDefault="001940D8" w:rsidP="00E35312">
            <w:pPr>
              <w:keepLines/>
              <w:jc w:val="center"/>
              <w:rPr>
                <w:rFonts w:ascii="Arial Narrow" w:hAnsi="Arial Narrow"/>
                <w:bCs/>
                <w:sz w:val="20"/>
              </w:rPr>
            </w:pPr>
          </w:p>
        </w:tc>
        <w:tc>
          <w:tcPr>
            <w:tcW w:w="854" w:type="dxa"/>
            <w:vMerge/>
            <w:shd w:val="clear" w:color="auto" w:fill="auto"/>
            <w:vAlign w:val="center"/>
          </w:tcPr>
          <w:p w:rsidR="001940D8" w:rsidRPr="004F5586" w:rsidRDefault="001940D8" w:rsidP="00E35312">
            <w:pPr>
              <w:keepLines/>
              <w:jc w:val="center"/>
              <w:rPr>
                <w:rFonts w:ascii="Arial Narrow" w:hAnsi="Arial Narrow"/>
                <w:bCs/>
                <w:iCs/>
                <w:sz w:val="20"/>
              </w:rPr>
            </w:pPr>
          </w:p>
        </w:tc>
        <w:tc>
          <w:tcPr>
            <w:tcW w:w="994"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3</w:t>
            </w:r>
          </w:p>
        </w:tc>
        <w:tc>
          <w:tcPr>
            <w:tcW w:w="124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Compensated cirrhosis</w:t>
            </w:r>
          </w:p>
        </w:tc>
        <w:tc>
          <w:tcPr>
            <w:tcW w:w="1069"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Tx naïve &amp; experienced</w:t>
            </w:r>
          </w:p>
        </w:tc>
        <w:tc>
          <w:tcPr>
            <w:tcW w:w="1276"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GLE/PIB12</w:t>
            </w:r>
          </w:p>
        </w:tc>
        <w:tc>
          <w:tcPr>
            <w:tcW w:w="784" w:type="dxa"/>
            <w:vMerge/>
            <w:vAlign w:val="center"/>
          </w:tcPr>
          <w:p w:rsidR="001940D8" w:rsidRPr="004F5586" w:rsidRDefault="001940D8" w:rsidP="00E35312">
            <w:pPr>
              <w:keepLines/>
              <w:jc w:val="center"/>
              <w:rPr>
                <w:rFonts w:ascii="Arial Narrow" w:hAnsi="Arial Narrow"/>
                <w:sz w:val="20"/>
              </w:rPr>
            </w:pPr>
          </w:p>
        </w:tc>
      </w:tr>
      <w:tr w:rsidR="001940D8" w:rsidRPr="004F5586" w:rsidTr="00E35312">
        <w:trPr>
          <w:cantSplit/>
          <w:trHeight w:val="75"/>
        </w:trPr>
        <w:tc>
          <w:tcPr>
            <w:tcW w:w="1418" w:type="dxa"/>
            <w:vMerge/>
            <w:shd w:val="clear" w:color="auto" w:fill="auto"/>
            <w:vAlign w:val="center"/>
          </w:tcPr>
          <w:p w:rsidR="001940D8" w:rsidRPr="004F5586" w:rsidRDefault="001940D8" w:rsidP="00E35312">
            <w:pPr>
              <w:keepLines/>
              <w:rPr>
                <w:rFonts w:ascii="Arial Narrow" w:hAnsi="Arial Narrow"/>
                <w:bCs/>
                <w:sz w:val="20"/>
              </w:rPr>
            </w:pPr>
          </w:p>
        </w:tc>
        <w:tc>
          <w:tcPr>
            <w:tcW w:w="42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40</w:t>
            </w:r>
          </w:p>
        </w:tc>
        <w:tc>
          <w:tcPr>
            <w:tcW w:w="1225" w:type="dxa"/>
            <w:vMerge/>
            <w:shd w:val="clear" w:color="auto" w:fill="auto"/>
            <w:vAlign w:val="center"/>
          </w:tcPr>
          <w:p w:rsidR="001940D8" w:rsidRPr="004F5586" w:rsidRDefault="001940D8" w:rsidP="00E35312">
            <w:pPr>
              <w:keepLines/>
              <w:jc w:val="center"/>
              <w:rPr>
                <w:rFonts w:ascii="Arial Narrow" w:hAnsi="Arial Narrow"/>
                <w:bCs/>
                <w:sz w:val="20"/>
              </w:rPr>
            </w:pPr>
          </w:p>
        </w:tc>
        <w:tc>
          <w:tcPr>
            <w:tcW w:w="854" w:type="dxa"/>
            <w:vMerge/>
            <w:shd w:val="clear" w:color="auto" w:fill="auto"/>
            <w:vAlign w:val="center"/>
          </w:tcPr>
          <w:p w:rsidR="001940D8" w:rsidRPr="004F5586" w:rsidRDefault="001940D8" w:rsidP="00E35312">
            <w:pPr>
              <w:keepLines/>
              <w:jc w:val="center"/>
              <w:rPr>
                <w:rFonts w:ascii="Arial Narrow" w:hAnsi="Arial Narrow"/>
                <w:bCs/>
                <w:iCs/>
                <w:sz w:val="20"/>
              </w:rPr>
            </w:pPr>
          </w:p>
        </w:tc>
        <w:tc>
          <w:tcPr>
            <w:tcW w:w="994"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3</w:t>
            </w:r>
          </w:p>
        </w:tc>
        <w:tc>
          <w:tcPr>
            <w:tcW w:w="124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Compensated cirrhosis</w:t>
            </w:r>
          </w:p>
        </w:tc>
        <w:tc>
          <w:tcPr>
            <w:tcW w:w="1069"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Tx Naïve</w:t>
            </w:r>
          </w:p>
        </w:tc>
        <w:tc>
          <w:tcPr>
            <w:tcW w:w="1276"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GLE/PIB12</w:t>
            </w:r>
          </w:p>
        </w:tc>
        <w:tc>
          <w:tcPr>
            <w:tcW w:w="784" w:type="dxa"/>
            <w:vMerge/>
            <w:vAlign w:val="center"/>
          </w:tcPr>
          <w:p w:rsidR="001940D8" w:rsidRPr="004F5586" w:rsidRDefault="001940D8" w:rsidP="00E35312">
            <w:pPr>
              <w:keepLines/>
              <w:jc w:val="center"/>
              <w:rPr>
                <w:rFonts w:ascii="Arial Narrow" w:hAnsi="Arial Narrow"/>
                <w:sz w:val="20"/>
              </w:rPr>
            </w:pPr>
          </w:p>
        </w:tc>
      </w:tr>
      <w:tr w:rsidR="001940D8" w:rsidRPr="004F5586" w:rsidTr="00E35312">
        <w:trPr>
          <w:cantSplit/>
          <w:trHeight w:val="75"/>
        </w:trPr>
        <w:tc>
          <w:tcPr>
            <w:tcW w:w="1418" w:type="dxa"/>
            <w:vMerge/>
            <w:shd w:val="clear" w:color="auto" w:fill="auto"/>
            <w:vAlign w:val="center"/>
          </w:tcPr>
          <w:p w:rsidR="001940D8" w:rsidRPr="004F5586" w:rsidRDefault="001940D8" w:rsidP="00E35312">
            <w:pPr>
              <w:keepLines/>
              <w:rPr>
                <w:rFonts w:ascii="Arial Narrow" w:hAnsi="Arial Narrow"/>
                <w:bCs/>
                <w:sz w:val="20"/>
              </w:rPr>
            </w:pPr>
          </w:p>
        </w:tc>
        <w:tc>
          <w:tcPr>
            <w:tcW w:w="42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22</w:t>
            </w:r>
          </w:p>
        </w:tc>
        <w:tc>
          <w:tcPr>
            <w:tcW w:w="1225" w:type="dxa"/>
            <w:vMerge/>
            <w:shd w:val="clear" w:color="auto" w:fill="auto"/>
            <w:vAlign w:val="center"/>
          </w:tcPr>
          <w:p w:rsidR="001940D8" w:rsidRPr="004F5586" w:rsidRDefault="001940D8" w:rsidP="00E35312">
            <w:pPr>
              <w:keepLines/>
              <w:jc w:val="center"/>
              <w:rPr>
                <w:rFonts w:ascii="Arial Narrow" w:hAnsi="Arial Narrow"/>
                <w:bCs/>
                <w:sz w:val="20"/>
              </w:rPr>
            </w:pPr>
          </w:p>
        </w:tc>
        <w:tc>
          <w:tcPr>
            <w:tcW w:w="854" w:type="dxa"/>
            <w:vMerge/>
            <w:shd w:val="clear" w:color="auto" w:fill="auto"/>
            <w:vAlign w:val="center"/>
          </w:tcPr>
          <w:p w:rsidR="001940D8" w:rsidRPr="004F5586" w:rsidRDefault="001940D8" w:rsidP="00E35312">
            <w:pPr>
              <w:keepLines/>
              <w:jc w:val="center"/>
              <w:rPr>
                <w:rFonts w:ascii="Arial Narrow" w:hAnsi="Arial Narrow"/>
                <w:bCs/>
                <w:iCs/>
                <w:sz w:val="20"/>
              </w:rPr>
            </w:pPr>
          </w:p>
        </w:tc>
        <w:tc>
          <w:tcPr>
            <w:tcW w:w="994"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3</w:t>
            </w:r>
          </w:p>
        </w:tc>
        <w:tc>
          <w:tcPr>
            <w:tcW w:w="124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Non-cirrhotic</w:t>
            </w:r>
          </w:p>
        </w:tc>
        <w:tc>
          <w:tcPr>
            <w:tcW w:w="1069"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 xml:space="preserve">Tx experienced </w:t>
            </w:r>
          </w:p>
        </w:tc>
        <w:tc>
          <w:tcPr>
            <w:tcW w:w="1276"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GLE/PIB16</w:t>
            </w:r>
          </w:p>
        </w:tc>
        <w:tc>
          <w:tcPr>
            <w:tcW w:w="784" w:type="dxa"/>
            <w:vMerge/>
            <w:vAlign w:val="center"/>
          </w:tcPr>
          <w:p w:rsidR="001940D8" w:rsidRPr="004F5586" w:rsidRDefault="001940D8" w:rsidP="00E35312">
            <w:pPr>
              <w:keepLines/>
              <w:jc w:val="center"/>
              <w:rPr>
                <w:rFonts w:ascii="Arial Narrow" w:hAnsi="Arial Narrow"/>
                <w:sz w:val="20"/>
              </w:rPr>
            </w:pPr>
          </w:p>
        </w:tc>
      </w:tr>
      <w:tr w:rsidR="001940D8" w:rsidRPr="004F5586" w:rsidTr="00E35312">
        <w:trPr>
          <w:cantSplit/>
          <w:trHeight w:val="75"/>
        </w:trPr>
        <w:tc>
          <w:tcPr>
            <w:tcW w:w="1418" w:type="dxa"/>
            <w:vMerge/>
            <w:shd w:val="clear" w:color="auto" w:fill="auto"/>
            <w:vAlign w:val="center"/>
          </w:tcPr>
          <w:p w:rsidR="001940D8" w:rsidRPr="004F5586" w:rsidRDefault="001940D8" w:rsidP="00E35312">
            <w:pPr>
              <w:keepLines/>
              <w:rPr>
                <w:rFonts w:ascii="Arial Narrow" w:hAnsi="Arial Narrow"/>
                <w:bCs/>
                <w:sz w:val="20"/>
              </w:rPr>
            </w:pPr>
          </w:p>
        </w:tc>
        <w:tc>
          <w:tcPr>
            <w:tcW w:w="42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48</w:t>
            </w:r>
          </w:p>
        </w:tc>
        <w:tc>
          <w:tcPr>
            <w:tcW w:w="1225" w:type="dxa"/>
            <w:vMerge/>
            <w:shd w:val="clear" w:color="auto" w:fill="auto"/>
            <w:vAlign w:val="center"/>
          </w:tcPr>
          <w:p w:rsidR="001940D8" w:rsidRPr="004F5586" w:rsidRDefault="001940D8" w:rsidP="00E35312">
            <w:pPr>
              <w:keepLines/>
              <w:jc w:val="center"/>
              <w:rPr>
                <w:rFonts w:ascii="Arial Narrow" w:hAnsi="Arial Narrow"/>
                <w:bCs/>
                <w:sz w:val="20"/>
              </w:rPr>
            </w:pPr>
          </w:p>
        </w:tc>
        <w:tc>
          <w:tcPr>
            <w:tcW w:w="854" w:type="dxa"/>
            <w:vMerge/>
            <w:shd w:val="clear" w:color="auto" w:fill="auto"/>
            <w:vAlign w:val="center"/>
          </w:tcPr>
          <w:p w:rsidR="001940D8" w:rsidRPr="004F5586" w:rsidRDefault="001940D8" w:rsidP="00E35312">
            <w:pPr>
              <w:keepLines/>
              <w:jc w:val="center"/>
              <w:rPr>
                <w:rFonts w:ascii="Arial Narrow" w:hAnsi="Arial Narrow"/>
                <w:bCs/>
                <w:iCs/>
                <w:sz w:val="20"/>
              </w:rPr>
            </w:pPr>
          </w:p>
        </w:tc>
        <w:tc>
          <w:tcPr>
            <w:tcW w:w="994"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3</w:t>
            </w:r>
          </w:p>
        </w:tc>
        <w:tc>
          <w:tcPr>
            <w:tcW w:w="124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Compensated cirrhosis</w:t>
            </w:r>
          </w:p>
        </w:tc>
        <w:tc>
          <w:tcPr>
            <w:tcW w:w="1069"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Tx experienced</w:t>
            </w:r>
          </w:p>
        </w:tc>
        <w:tc>
          <w:tcPr>
            <w:tcW w:w="1276"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GLE/PIB16</w:t>
            </w:r>
          </w:p>
        </w:tc>
        <w:tc>
          <w:tcPr>
            <w:tcW w:w="784" w:type="dxa"/>
            <w:vMerge/>
            <w:vAlign w:val="center"/>
          </w:tcPr>
          <w:p w:rsidR="001940D8" w:rsidRPr="004F5586" w:rsidRDefault="001940D8" w:rsidP="00E35312">
            <w:pPr>
              <w:keepLines/>
              <w:jc w:val="center"/>
              <w:rPr>
                <w:rFonts w:ascii="Arial Narrow" w:hAnsi="Arial Narrow"/>
                <w:sz w:val="20"/>
              </w:rPr>
            </w:pPr>
          </w:p>
        </w:tc>
      </w:tr>
      <w:tr w:rsidR="001940D8" w:rsidRPr="004F5586" w:rsidTr="00E35312">
        <w:trPr>
          <w:cantSplit/>
          <w:trHeight w:val="75"/>
        </w:trPr>
        <w:tc>
          <w:tcPr>
            <w:tcW w:w="1418" w:type="dxa"/>
            <w:vMerge/>
            <w:shd w:val="clear" w:color="auto" w:fill="auto"/>
            <w:vAlign w:val="center"/>
          </w:tcPr>
          <w:p w:rsidR="001940D8" w:rsidRPr="004F5586" w:rsidRDefault="001940D8" w:rsidP="00E35312">
            <w:pPr>
              <w:keepLines/>
              <w:rPr>
                <w:rFonts w:ascii="Arial Narrow" w:hAnsi="Arial Narrow"/>
                <w:bCs/>
                <w:sz w:val="20"/>
              </w:rPr>
            </w:pPr>
          </w:p>
        </w:tc>
        <w:tc>
          <w:tcPr>
            <w:tcW w:w="42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203</w:t>
            </w:r>
          </w:p>
        </w:tc>
        <w:tc>
          <w:tcPr>
            <w:tcW w:w="1225" w:type="dxa"/>
            <w:vMerge/>
            <w:shd w:val="clear" w:color="auto" w:fill="auto"/>
            <w:vAlign w:val="center"/>
          </w:tcPr>
          <w:p w:rsidR="001940D8" w:rsidRPr="004F5586" w:rsidRDefault="001940D8" w:rsidP="00E35312">
            <w:pPr>
              <w:keepLines/>
              <w:jc w:val="center"/>
              <w:rPr>
                <w:rFonts w:ascii="Arial Narrow" w:hAnsi="Arial Narrow"/>
                <w:bCs/>
                <w:sz w:val="20"/>
              </w:rPr>
            </w:pPr>
          </w:p>
        </w:tc>
        <w:tc>
          <w:tcPr>
            <w:tcW w:w="854" w:type="dxa"/>
            <w:vMerge/>
            <w:shd w:val="clear" w:color="auto" w:fill="auto"/>
            <w:vAlign w:val="center"/>
          </w:tcPr>
          <w:p w:rsidR="001940D8" w:rsidRPr="004F5586" w:rsidRDefault="001940D8" w:rsidP="00E35312">
            <w:pPr>
              <w:keepLines/>
              <w:jc w:val="center"/>
              <w:rPr>
                <w:rFonts w:ascii="Arial Narrow" w:hAnsi="Arial Narrow"/>
                <w:bCs/>
                <w:iCs/>
                <w:sz w:val="20"/>
              </w:rPr>
            </w:pPr>
          </w:p>
        </w:tc>
        <w:tc>
          <w:tcPr>
            <w:tcW w:w="994"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2, 4-6</w:t>
            </w:r>
          </w:p>
        </w:tc>
        <w:tc>
          <w:tcPr>
            <w:tcW w:w="124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Non-cirrhotic</w:t>
            </w:r>
          </w:p>
        </w:tc>
        <w:tc>
          <w:tcPr>
            <w:tcW w:w="1069"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Tx naïve &amp; experienced</w:t>
            </w:r>
          </w:p>
        </w:tc>
        <w:tc>
          <w:tcPr>
            <w:tcW w:w="1276"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GLE/PIB8</w:t>
            </w:r>
          </w:p>
        </w:tc>
        <w:tc>
          <w:tcPr>
            <w:tcW w:w="784" w:type="dxa"/>
            <w:vMerge/>
            <w:vAlign w:val="center"/>
          </w:tcPr>
          <w:p w:rsidR="001940D8" w:rsidRPr="004F5586" w:rsidRDefault="001940D8" w:rsidP="00E35312">
            <w:pPr>
              <w:keepLines/>
              <w:jc w:val="center"/>
              <w:rPr>
                <w:rFonts w:ascii="Arial Narrow" w:hAnsi="Arial Narrow"/>
                <w:sz w:val="20"/>
              </w:rPr>
            </w:pPr>
          </w:p>
        </w:tc>
      </w:tr>
      <w:tr w:rsidR="001940D8" w:rsidRPr="004F5586" w:rsidTr="00E35312">
        <w:trPr>
          <w:cantSplit/>
        </w:trPr>
        <w:tc>
          <w:tcPr>
            <w:tcW w:w="1418" w:type="dxa"/>
            <w:shd w:val="clear" w:color="auto" w:fill="auto"/>
            <w:vAlign w:val="center"/>
          </w:tcPr>
          <w:p w:rsidR="001940D8" w:rsidRPr="004F5586" w:rsidRDefault="001940D8" w:rsidP="00E35312">
            <w:pPr>
              <w:keepLines/>
              <w:rPr>
                <w:rFonts w:ascii="Arial Narrow" w:hAnsi="Arial Narrow"/>
                <w:bCs/>
                <w:sz w:val="20"/>
              </w:rPr>
            </w:pPr>
            <w:r w:rsidRPr="004F5586">
              <w:rPr>
                <w:rFonts w:ascii="Arial Narrow" w:hAnsi="Arial Narrow"/>
                <w:bCs/>
                <w:sz w:val="20"/>
              </w:rPr>
              <w:t>MAGELLAN-I</w:t>
            </w:r>
          </w:p>
        </w:tc>
        <w:tc>
          <w:tcPr>
            <w:tcW w:w="42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47</w:t>
            </w:r>
          </w:p>
        </w:tc>
        <w:tc>
          <w:tcPr>
            <w:tcW w:w="122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R, OL, MC</w:t>
            </w:r>
            <w:r w:rsidRPr="004F5586">
              <w:rPr>
                <w:rFonts w:ascii="Arial Narrow" w:hAnsi="Arial Narrow"/>
                <w:bCs/>
                <w:sz w:val="20"/>
              </w:rPr>
              <w:br/>
              <w:t>24 weeks</w:t>
            </w:r>
          </w:p>
        </w:tc>
        <w:tc>
          <w:tcPr>
            <w:tcW w:w="854" w:type="dxa"/>
            <w:shd w:val="clear" w:color="auto" w:fill="auto"/>
            <w:vAlign w:val="center"/>
          </w:tcPr>
          <w:p w:rsidR="001940D8" w:rsidRPr="004F5586" w:rsidRDefault="001940D8" w:rsidP="00E35312">
            <w:pPr>
              <w:keepLines/>
              <w:jc w:val="center"/>
              <w:rPr>
                <w:rFonts w:ascii="Arial Narrow" w:hAnsi="Arial Narrow"/>
                <w:bCs/>
                <w:iCs/>
                <w:sz w:val="20"/>
              </w:rPr>
            </w:pPr>
            <w:r w:rsidRPr="004F5586">
              <w:rPr>
                <w:rFonts w:ascii="Arial Narrow" w:hAnsi="Arial Narrow"/>
                <w:bCs/>
                <w:iCs/>
                <w:sz w:val="20"/>
              </w:rPr>
              <w:t>Low</w:t>
            </w:r>
          </w:p>
        </w:tc>
        <w:tc>
          <w:tcPr>
            <w:tcW w:w="994"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1,4</w:t>
            </w:r>
            <w:r w:rsidRPr="004F5586">
              <w:rPr>
                <w:rFonts w:ascii="Arial Narrow" w:hAnsi="Arial Narrow"/>
                <w:bCs/>
                <w:sz w:val="20"/>
                <w:vertAlign w:val="superscript"/>
              </w:rPr>
              <w:t>a</w:t>
            </w:r>
          </w:p>
        </w:tc>
        <w:tc>
          <w:tcPr>
            <w:tcW w:w="124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Non-cirrhotic &amp; compensated cirrhosis</w:t>
            </w:r>
          </w:p>
        </w:tc>
        <w:tc>
          <w:tcPr>
            <w:tcW w:w="1069"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Tx experienced (who failed a prior DAA)</w:t>
            </w:r>
          </w:p>
        </w:tc>
        <w:tc>
          <w:tcPr>
            <w:tcW w:w="1276"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GLE/PIB16</w:t>
            </w:r>
          </w:p>
        </w:tc>
        <w:tc>
          <w:tcPr>
            <w:tcW w:w="784" w:type="dxa"/>
            <w:vAlign w:val="center"/>
          </w:tcPr>
          <w:p w:rsidR="001940D8" w:rsidRPr="004F5586" w:rsidRDefault="001940D8" w:rsidP="00E35312">
            <w:pPr>
              <w:keepLines/>
              <w:jc w:val="center"/>
              <w:rPr>
                <w:rFonts w:ascii="Arial Narrow" w:hAnsi="Arial Narrow"/>
                <w:sz w:val="20"/>
              </w:rPr>
            </w:pPr>
            <w:r w:rsidRPr="004F5586">
              <w:rPr>
                <w:rFonts w:ascii="Arial Narrow" w:hAnsi="Arial Narrow"/>
                <w:sz w:val="20"/>
              </w:rPr>
              <w:t>SVR12</w:t>
            </w:r>
          </w:p>
        </w:tc>
      </w:tr>
      <w:tr w:rsidR="001940D8" w:rsidRPr="004F5586" w:rsidTr="00E35312">
        <w:trPr>
          <w:cantSplit/>
        </w:trPr>
        <w:tc>
          <w:tcPr>
            <w:tcW w:w="9290" w:type="dxa"/>
            <w:gridSpan w:val="9"/>
            <w:shd w:val="clear" w:color="auto" w:fill="auto"/>
            <w:vAlign w:val="center"/>
          </w:tcPr>
          <w:p w:rsidR="001940D8" w:rsidRPr="004F5586" w:rsidRDefault="001940D8" w:rsidP="00E35312">
            <w:pPr>
              <w:keepLines/>
              <w:rPr>
                <w:rFonts w:ascii="Arial Narrow" w:hAnsi="Arial Narrow"/>
                <w:b/>
                <w:sz w:val="20"/>
              </w:rPr>
            </w:pPr>
            <w:r w:rsidRPr="004F5586">
              <w:rPr>
                <w:rFonts w:ascii="Arial Narrow" w:hAnsi="Arial Narrow"/>
                <w:b/>
                <w:sz w:val="20"/>
              </w:rPr>
              <w:t>Studies for sofosbuvir/velpatasvir</w:t>
            </w:r>
          </w:p>
        </w:tc>
      </w:tr>
      <w:tr w:rsidR="001940D8" w:rsidRPr="004F5586" w:rsidTr="00E35312">
        <w:trPr>
          <w:cantSplit/>
        </w:trPr>
        <w:tc>
          <w:tcPr>
            <w:tcW w:w="1418" w:type="dxa"/>
            <w:shd w:val="clear" w:color="auto" w:fill="auto"/>
            <w:vAlign w:val="center"/>
          </w:tcPr>
          <w:p w:rsidR="001940D8" w:rsidRPr="004F5586" w:rsidRDefault="001940D8" w:rsidP="00E35312">
            <w:pPr>
              <w:keepLines/>
              <w:rPr>
                <w:rFonts w:ascii="Arial Narrow" w:hAnsi="Arial Narrow"/>
                <w:bCs/>
                <w:sz w:val="20"/>
              </w:rPr>
            </w:pPr>
            <w:r w:rsidRPr="004F5586">
              <w:rPr>
                <w:rFonts w:ascii="Arial Narrow" w:hAnsi="Arial Narrow"/>
                <w:bCs/>
                <w:sz w:val="20"/>
              </w:rPr>
              <w:lastRenderedPageBreak/>
              <w:t>ASTRAL-1</w:t>
            </w:r>
          </w:p>
        </w:tc>
        <w:tc>
          <w:tcPr>
            <w:tcW w:w="425" w:type="dxa"/>
            <w:shd w:val="clear" w:color="auto" w:fill="auto"/>
            <w:vAlign w:val="center"/>
          </w:tcPr>
          <w:p w:rsidR="001940D8" w:rsidRPr="004F5586" w:rsidRDefault="001940D8" w:rsidP="00E35312">
            <w:pPr>
              <w:keepLines/>
              <w:jc w:val="center"/>
              <w:rPr>
                <w:rFonts w:ascii="Arial Narrow" w:hAnsi="Arial Narrow"/>
                <w:bCs/>
                <w:sz w:val="20"/>
                <w:vertAlign w:val="superscript"/>
              </w:rPr>
            </w:pPr>
            <w:r w:rsidRPr="004F5586">
              <w:rPr>
                <w:rFonts w:ascii="Arial Narrow" w:hAnsi="Arial Narrow"/>
                <w:bCs/>
                <w:sz w:val="20"/>
              </w:rPr>
              <w:t>741</w:t>
            </w:r>
            <w:r w:rsidRPr="004F5586">
              <w:rPr>
                <w:rFonts w:ascii="Arial Narrow" w:hAnsi="Arial Narrow"/>
                <w:bCs/>
                <w:sz w:val="20"/>
                <w:vertAlign w:val="superscript"/>
              </w:rPr>
              <w:t>b</w:t>
            </w:r>
          </w:p>
        </w:tc>
        <w:tc>
          <w:tcPr>
            <w:tcW w:w="122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R, DB, MC</w:t>
            </w:r>
          </w:p>
          <w:p w:rsidR="001940D8" w:rsidRPr="004F5586" w:rsidRDefault="001940D8" w:rsidP="00E35312">
            <w:pPr>
              <w:keepLines/>
              <w:jc w:val="center"/>
              <w:rPr>
                <w:rFonts w:ascii="Arial Narrow" w:hAnsi="Arial Narrow"/>
                <w:bCs/>
                <w:sz w:val="20"/>
              </w:rPr>
            </w:pPr>
            <w:r w:rsidRPr="004F5586">
              <w:rPr>
                <w:rFonts w:ascii="Arial Narrow" w:hAnsi="Arial Narrow"/>
                <w:bCs/>
                <w:sz w:val="20"/>
              </w:rPr>
              <w:t>24 weeks</w:t>
            </w:r>
          </w:p>
          <w:p w:rsidR="001940D8" w:rsidRPr="004F5586" w:rsidRDefault="001940D8" w:rsidP="00E35312">
            <w:pPr>
              <w:keepLines/>
              <w:jc w:val="center"/>
              <w:rPr>
                <w:rFonts w:ascii="Arial Narrow" w:hAnsi="Arial Narrow"/>
                <w:bCs/>
                <w:sz w:val="20"/>
              </w:rPr>
            </w:pPr>
            <w:r w:rsidRPr="004F5586">
              <w:rPr>
                <w:rFonts w:ascii="Arial Narrow" w:hAnsi="Arial Narrow"/>
                <w:bCs/>
                <w:sz w:val="20"/>
              </w:rPr>
              <w:t>(deferred Tx– OL CO for PBO arm)</w:t>
            </w:r>
          </w:p>
        </w:tc>
        <w:tc>
          <w:tcPr>
            <w:tcW w:w="854" w:type="dxa"/>
            <w:shd w:val="clear" w:color="auto" w:fill="auto"/>
            <w:vAlign w:val="center"/>
          </w:tcPr>
          <w:p w:rsidR="001940D8" w:rsidRPr="004F5586" w:rsidRDefault="001940D8" w:rsidP="00E35312">
            <w:pPr>
              <w:keepLines/>
              <w:jc w:val="center"/>
              <w:rPr>
                <w:rFonts w:ascii="Arial Narrow" w:hAnsi="Arial Narrow"/>
                <w:bCs/>
                <w:iCs/>
                <w:sz w:val="20"/>
              </w:rPr>
            </w:pPr>
            <w:r w:rsidRPr="004F5586">
              <w:rPr>
                <w:rFonts w:ascii="Arial Narrow" w:hAnsi="Arial Narrow"/>
                <w:bCs/>
                <w:iCs/>
                <w:sz w:val="20"/>
              </w:rPr>
              <w:t>Low</w:t>
            </w:r>
          </w:p>
        </w:tc>
        <w:tc>
          <w:tcPr>
            <w:tcW w:w="994"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1, 2, 4, 5, 6</w:t>
            </w:r>
          </w:p>
          <w:p w:rsidR="001940D8" w:rsidRPr="004F5586" w:rsidRDefault="001940D8" w:rsidP="00E35312">
            <w:pPr>
              <w:keepLines/>
              <w:jc w:val="center"/>
              <w:rPr>
                <w:rFonts w:ascii="Arial Narrow" w:hAnsi="Arial Narrow"/>
                <w:bCs/>
                <w:sz w:val="20"/>
              </w:rPr>
            </w:pPr>
            <w:r w:rsidRPr="004F5586">
              <w:rPr>
                <w:rFonts w:ascii="Arial Narrow" w:hAnsi="Arial Narrow"/>
                <w:bCs/>
                <w:sz w:val="20"/>
              </w:rPr>
              <w:t>(all Gt 5 allocated to SOF/VEL12)</w:t>
            </w:r>
          </w:p>
        </w:tc>
        <w:tc>
          <w:tcPr>
            <w:tcW w:w="124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Non-cirrhotic &amp; compensated cirrhosis</w:t>
            </w:r>
          </w:p>
        </w:tc>
        <w:tc>
          <w:tcPr>
            <w:tcW w:w="1069"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Tx naïve &amp; experienced</w:t>
            </w:r>
          </w:p>
        </w:tc>
        <w:tc>
          <w:tcPr>
            <w:tcW w:w="1276"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 xml:space="preserve">SOF/VEL12 vs PBO12 </w:t>
            </w:r>
          </w:p>
        </w:tc>
        <w:tc>
          <w:tcPr>
            <w:tcW w:w="784" w:type="dxa"/>
            <w:vAlign w:val="center"/>
          </w:tcPr>
          <w:p w:rsidR="001940D8" w:rsidRPr="004F5586" w:rsidRDefault="001940D8" w:rsidP="00E35312">
            <w:pPr>
              <w:keepLines/>
              <w:jc w:val="center"/>
              <w:rPr>
                <w:rFonts w:ascii="Arial Narrow" w:hAnsi="Arial Narrow"/>
                <w:smallCaps/>
                <w:sz w:val="20"/>
              </w:rPr>
            </w:pPr>
            <w:r w:rsidRPr="004F5586">
              <w:rPr>
                <w:rFonts w:ascii="Arial Narrow" w:hAnsi="Arial Narrow"/>
                <w:sz w:val="20"/>
              </w:rPr>
              <w:t>SVR12</w:t>
            </w:r>
          </w:p>
        </w:tc>
      </w:tr>
      <w:tr w:rsidR="001940D8" w:rsidRPr="004F5586" w:rsidTr="00E35312">
        <w:trPr>
          <w:cantSplit/>
        </w:trPr>
        <w:tc>
          <w:tcPr>
            <w:tcW w:w="1418" w:type="dxa"/>
            <w:shd w:val="clear" w:color="auto" w:fill="auto"/>
            <w:vAlign w:val="center"/>
          </w:tcPr>
          <w:p w:rsidR="001940D8" w:rsidRPr="004F5586" w:rsidRDefault="001940D8" w:rsidP="00E35312">
            <w:pPr>
              <w:keepLines/>
              <w:rPr>
                <w:rFonts w:ascii="Arial Narrow" w:hAnsi="Arial Narrow"/>
                <w:bCs/>
                <w:sz w:val="20"/>
              </w:rPr>
            </w:pPr>
            <w:r w:rsidRPr="004F5586">
              <w:rPr>
                <w:rFonts w:ascii="Arial Narrow" w:hAnsi="Arial Narrow"/>
                <w:bCs/>
                <w:sz w:val="20"/>
              </w:rPr>
              <w:t>ASTRAL-2</w:t>
            </w:r>
          </w:p>
        </w:tc>
        <w:tc>
          <w:tcPr>
            <w:tcW w:w="42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269</w:t>
            </w:r>
          </w:p>
        </w:tc>
        <w:tc>
          <w:tcPr>
            <w:tcW w:w="122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R, OL, MC</w:t>
            </w:r>
          </w:p>
          <w:p w:rsidR="001940D8" w:rsidRPr="004F5586" w:rsidRDefault="001940D8" w:rsidP="00E35312">
            <w:pPr>
              <w:keepLines/>
              <w:jc w:val="center"/>
              <w:rPr>
                <w:rFonts w:ascii="Arial Narrow" w:hAnsi="Arial Narrow"/>
                <w:bCs/>
                <w:sz w:val="20"/>
              </w:rPr>
            </w:pPr>
            <w:r w:rsidRPr="004F5586">
              <w:rPr>
                <w:rFonts w:ascii="Arial Narrow" w:hAnsi="Arial Narrow"/>
                <w:bCs/>
                <w:sz w:val="20"/>
              </w:rPr>
              <w:t>24 weeks</w:t>
            </w:r>
          </w:p>
        </w:tc>
        <w:tc>
          <w:tcPr>
            <w:tcW w:w="854" w:type="dxa"/>
            <w:shd w:val="clear" w:color="auto" w:fill="auto"/>
            <w:vAlign w:val="center"/>
          </w:tcPr>
          <w:p w:rsidR="001940D8" w:rsidRPr="004F5586" w:rsidRDefault="001940D8" w:rsidP="00E35312">
            <w:pPr>
              <w:keepLines/>
              <w:jc w:val="center"/>
              <w:rPr>
                <w:rFonts w:ascii="Arial Narrow" w:hAnsi="Arial Narrow"/>
                <w:bCs/>
                <w:iCs/>
                <w:sz w:val="20"/>
              </w:rPr>
            </w:pPr>
            <w:r w:rsidRPr="004F5586">
              <w:rPr>
                <w:rFonts w:ascii="Arial Narrow" w:hAnsi="Arial Narrow"/>
                <w:bCs/>
                <w:iCs/>
                <w:sz w:val="20"/>
              </w:rPr>
              <w:t>Low</w:t>
            </w:r>
          </w:p>
        </w:tc>
        <w:tc>
          <w:tcPr>
            <w:tcW w:w="994"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2</w:t>
            </w:r>
          </w:p>
        </w:tc>
        <w:tc>
          <w:tcPr>
            <w:tcW w:w="124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Non-cirrhotic &amp; compensated cirrhosis</w:t>
            </w:r>
          </w:p>
        </w:tc>
        <w:tc>
          <w:tcPr>
            <w:tcW w:w="1069"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Tx naïve &amp; experienced</w:t>
            </w:r>
          </w:p>
        </w:tc>
        <w:tc>
          <w:tcPr>
            <w:tcW w:w="1276"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SOF/VEL12 vs SOF+RBV12</w:t>
            </w:r>
          </w:p>
        </w:tc>
        <w:tc>
          <w:tcPr>
            <w:tcW w:w="784" w:type="dxa"/>
            <w:vAlign w:val="center"/>
          </w:tcPr>
          <w:p w:rsidR="001940D8" w:rsidRPr="004F5586" w:rsidRDefault="001940D8" w:rsidP="00E35312">
            <w:pPr>
              <w:keepLines/>
              <w:jc w:val="center"/>
              <w:rPr>
                <w:rFonts w:ascii="Arial Narrow" w:hAnsi="Arial Narrow"/>
                <w:sz w:val="20"/>
              </w:rPr>
            </w:pPr>
            <w:r w:rsidRPr="004F5586">
              <w:rPr>
                <w:rFonts w:ascii="Arial Narrow" w:hAnsi="Arial Narrow"/>
                <w:sz w:val="20"/>
              </w:rPr>
              <w:t>SVR12</w:t>
            </w:r>
          </w:p>
        </w:tc>
      </w:tr>
      <w:tr w:rsidR="001940D8" w:rsidRPr="004F5586" w:rsidTr="00E35312">
        <w:trPr>
          <w:cantSplit/>
        </w:trPr>
        <w:tc>
          <w:tcPr>
            <w:tcW w:w="1418" w:type="dxa"/>
            <w:shd w:val="clear" w:color="auto" w:fill="auto"/>
            <w:vAlign w:val="center"/>
          </w:tcPr>
          <w:p w:rsidR="001940D8" w:rsidRPr="004F5586" w:rsidRDefault="001940D8" w:rsidP="00E35312">
            <w:pPr>
              <w:keepLines/>
              <w:rPr>
                <w:rFonts w:ascii="Arial Narrow" w:hAnsi="Arial Narrow"/>
                <w:bCs/>
                <w:sz w:val="20"/>
              </w:rPr>
            </w:pPr>
            <w:r w:rsidRPr="004F5586">
              <w:rPr>
                <w:rFonts w:ascii="Arial Narrow" w:hAnsi="Arial Narrow"/>
                <w:bCs/>
                <w:sz w:val="20"/>
              </w:rPr>
              <w:t>ASTRAL-3</w:t>
            </w:r>
          </w:p>
        </w:tc>
        <w:tc>
          <w:tcPr>
            <w:tcW w:w="42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558</w:t>
            </w:r>
          </w:p>
        </w:tc>
        <w:tc>
          <w:tcPr>
            <w:tcW w:w="122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R, OL, MC</w:t>
            </w:r>
          </w:p>
          <w:p w:rsidR="001940D8" w:rsidRPr="004F5586" w:rsidRDefault="001940D8" w:rsidP="00E35312">
            <w:pPr>
              <w:keepLines/>
              <w:jc w:val="center"/>
              <w:rPr>
                <w:rFonts w:ascii="Arial Narrow" w:hAnsi="Arial Narrow"/>
                <w:bCs/>
                <w:sz w:val="20"/>
              </w:rPr>
            </w:pPr>
            <w:r w:rsidRPr="004F5586">
              <w:rPr>
                <w:rFonts w:ascii="Arial Narrow" w:hAnsi="Arial Narrow"/>
                <w:bCs/>
                <w:sz w:val="20"/>
              </w:rPr>
              <w:t>24 or 36 weeks</w:t>
            </w:r>
          </w:p>
        </w:tc>
        <w:tc>
          <w:tcPr>
            <w:tcW w:w="854" w:type="dxa"/>
            <w:shd w:val="clear" w:color="auto" w:fill="auto"/>
            <w:vAlign w:val="center"/>
          </w:tcPr>
          <w:p w:rsidR="001940D8" w:rsidRPr="004F5586" w:rsidRDefault="001940D8" w:rsidP="00E35312">
            <w:pPr>
              <w:keepLines/>
              <w:jc w:val="center"/>
              <w:rPr>
                <w:rFonts w:ascii="Arial Narrow" w:hAnsi="Arial Narrow"/>
                <w:bCs/>
                <w:iCs/>
                <w:sz w:val="20"/>
                <w:vertAlign w:val="superscript"/>
              </w:rPr>
            </w:pPr>
            <w:r w:rsidRPr="004F5586">
              <w:rPr>
                <w:rFonts w:ascii="Arial Narrow" w:hAnsi="Arial Narrow"/>
                <w:bCs/>
                <w:iCs/>
                <w:sz w:val="20"/>
              </w:rPr>
              <w:t>High</w:t>
            </w:r>
            <w:r w:rsidRPr="004F5586">
              <w:rPr>
                <w:rFonts w:ascii="Arial Narrow" w:hAnsi="Arial Narrow"/>
                <w:bCs/>
                <w:iCs/>
                <w:sz w:val="20"/>
                <w:vertAlign w:val="superscript"/>
              </w:rPr>
              <w:t>c</w:t>
            </w:r>
          </w:p>
        </w:tc>
        <w:tc>
          <w:tcPr>
            <w:tcW w:w="994"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3</w:t>
            </w:r>
          </w:p>
        </w:tc>
        <w:tc>
          <w:tcPr>
            <w:tcW w:w="124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Non-cirrhotic &amp; compensated cirrhosis</w:t>
            </w:r>
          </w:p>
        </w:tc>
        <w:tc>
          <w:tcPr>
            <w:tcW w:w="1069"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Tx naïve &amp; experienced</w:t>
            </w:r>
          </w:p>
        </w:tc>
        <w:tc>
          <w:tcPr>
            <w:tcW w:w="1276"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 xml:space="preserve">SOF/VEL12 vs SOF+RBV24 </w:t>
            </w:r>
          </w:p>
        </w:tc>
        <w:tc>
          <w:tcPr>
            <w:tcW w:w="784" w:type="dxa"/>
            <w:vAlign w:val="center"/>
          </w:tcPr>
          <w:p w:rsidR="001940D8" w:rsidRPr="004F5586" w:rsidRDefault="001940D8" w:rsidP="00E35312">
            <w:pPr>
              <w:keepLines/>
              <w:jc w:val="center"/>
              <w:rPr>
                <w:rFonts w:ascii="Arial Narrow" w:hAnsi="Arial Narrow"/>
                <w:sz w:val="20"/>
              </w:rPr>
            </w:pPr>
            <w:r w:rsidRPr="004F5586">
              <w:rPr>
                <w:rFonts w:ascii="Arial Narrow" w:hAnsi="Arial Narrow"/>
                <w:sz w:val="20"/>
              </w:rPr>
              <w:t>SVR12</w:t>
            </w:r>
          </w:p>
        </w:tc>
      </w:tr>
      <w:tr w:rsidR="001940D8" w:rsidRPr="004F5586" w:rsidTr="00E35312">
        <w:trPr>
          <w:cantSplit/>
        </w:trPr>
        <w:tc>
          <w:tcPr>
            <w:tcW w:w="1418" w:type="dxa"/>
            <w:shd w:val="clear" w:color="auto" w:fill="auto"/>
            <w:vAlign w:val="center"/>
          </w:tcPr>
          <w:p w:rsidR="001940D8" w:rsidRPr="004F5586" w:rsidRDefault="001940D8" w:rsidP="00E35312">
            <w:pPr>
              <w:keepLines/>
              <w:rPr>
                <w:rFonts w:ascii="Arial Narrow" w:hAnsi="Arial Narrow"/>
                <w:bCs/>
                <w:sz w:val="20"/>
              </w:rPr>
            </w:pPr>
            <w:r w:rsidRPr="004F5586">
              <w:rPr>
                <w:rFonts w:ascii="Arial Narrow" w:hAnsi="Arial Narrow"/>
                <w:bCs/>
                <w:sz w:val="20"/>
              </w:rPr>
              <w:t>Everson (2015)</w:t>
            </w:r>
          </w:p>
        </w:tc>
        <w:tc>
          <w:tcPr>
            <w:tcW w:w="42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379</w:t>
            </w:r>
          </w:p>
        </w:tc>
        <w:tc>
          <w:tcPr>
            <w:tcW w:w="122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R, OL, MC</w:t>
            </w:r>
            <w:r w:rsidRPr="004F5586">
              <w:rPr>
                <w:rFonts w:ascii="Arial Narrow" w:hAnsi="Arial Narrow"/>
                <w:bCs/>
                <w:sz w:val="20"/>
              </w:rPr>
              <w:br/>
              <w:t>24 weeks</w:t>
            </w:r>
          </w:p>
        </w:tc>
        <w:tc>
          <w:tcPr>
            <w:tcW w:w="854" w:type="dxa"/>
            <w:shd w:val="clear" w:color="auto" w:fill="auto"/>
            <w:vAlign w:val="center"/>
          </w:tcPr>
          <w:p w:rsidR="001940D8" w:rsidRPr="004F5586" w:rsidRDefault="001940D8" w:rsidP="00E35312">
            <w:pPr>
              <w:keepLines/>
              <w:jc w:val="center"/>
              <w:rPr>
                <w:rFonts w:ascii="Arial Narrow" w:hAnsi="Arial Narrow"/>
                <w:bCs/>
                <w:iCs/>
                <w:sz w:val="20"/>
              </w:rPr>
            </w:pPr>
            <w:r w:rsidRPr="004F5586">
              <w:rPr>
                <w:rFonts w:ascii="Arial Narrow" w:hAnsi="Arial Narrow"/>
                <w:bCs/>
                <w:iCs/>
                <w:sz w:val="20"/>
              </w:rPr>
              <w:t>Low</w:t>
            </w:r>
          </w:p>
        </w:tc>
        <w:tc>
          <w:tcPr>
            <w:tcW w:w="994"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1-6</w:t>
            </w:r>
          </w:p>
        </w:tc>
        <w:tc>
          <w:tcPr>
            <w:tcW w:w="1245" w:type="dxa"/>
            <w:shd w:val="clear" w:color="auto" w:fill="auto"/>
            <w:vAlign w:val="center"/>
          </w:tcPr>
          <w:p w:rsidR="001940D8" w:rsidRPr="004F5586" w:rsidRDefault="001940D8" w:rsidP="00E35312">
            <w:pPr>
              <w:keepLines/>
              <w:jc w:val="center"/>
              <w:rPr>
                <w:rFonts w:ascii="Arial Narrow" w:hAnsi="Arial Narrow"/>
                <w:bCs/>
                <w:sz w:val="20"/>
              </w:rPr>
            </w:pPr>
          </w:p>
        </w:tc>
        <w:tc>
          <w:tcPr>
            <w:tcW w:w="1069"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Tx naïve</w:t>
            </w:r>
          </w:p>
        </w:tc>
        <w:tc>
          <w:tcPr>
            <w:tcW w:w="1276"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SOF/VEL12</w:t>
            </w:r>
          </w:p>
        </w:tc>
        <w:tc>
          <w:tcPr>
            <w:tcW w:w="784" w:type="dxa"/>
            <w:vAlign w:val="center"/>
          </w:tcPr>
          <w:p w:rsidR="001940D8" w:rsidRPr="004F5586" w:rsidRDefault="001940D8" w:rsidP="00E35312">
            <w:pPr>
              <w:keepLines/>
              <w:jc w:val="center"/>
              <w:rPr>
                <w:rFonts w:ascii="Arial Narrow" w:hAnsi="Arial Narrow"/>
                <w:sz w:val="20"/>
              </w:rPr>
            </w:pPr>
            <w:r w:rsidRPr="004F5586">
              <w:rPr>
                <w:rFonts w:ascii="Arial Narrow" w:hAnsi="Arial Narrow"/>
                <w:sz w:val="20"/>
              </w:rPr>
              <w:t>SVR12</w:t>
            </w:r>
          </w:p>
        </w:tc>
      </w:tr>
      <w:tr w:rsidR="001940D8" w:rsidRPr="004F5586" w:rsidTr="00E35312">
        <w:trPr>
          <w:cantSplit/>
        </w:trPr>
        <w:tc>
          <w:tcPr>
            <w:tcW w:w="1418" w:type="dxa"/>
            <w:shd w:val="clear" w:color="auto" w:fill="auto"/>
            <w:vAlign w:val="center"/>
          </w:tcPr>
          <w:p w:rsidR="001940D8" w:rsidRPr="004F5586" w:rsidRDefault="001940D8" w:rsidP="00E35312">
            <w:pPr>
              <w:keepLines/>
              <w:rPr>
                <w:rFonts w:ascii="Arial Narrow" w:hAnsi="Arial Narrow"/>
                <w:bCs/>
                <w:sz w:val="20"/>
              </w:rPr>
            </w:pPr>
            <w:r w:rsidRPr="004F5586">
              <w:rPr>
                <w:rFonts w:ascii="Arial Narrow" w:hAnsi="Arial Narrow"/>
                <w:bCs/>
                <w:sz w:val="20"/>
              </w:rPr>
              <w:t>Pianko (2015)</w:t>
            </w:r>
          </w:p>
        </w:tc>
        <w:tc>
          <w:tcPr>
            <w:tcW w:w="42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323</w:t>
            </w:r>
          </w:p>
        </w:tc>
        <w:tc>
          <w:tcPr>
            <w:tcW w:w="1225"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R, OL, MC</w:t>
            </w:r>
            <w:r w:rsidRPr="004F5586">
              <w:rPr>
                <w:rFonts w:ascii="Arial Narrow" w:hAnsi="Arial Narrow"/>
                <w:bCs/>
                <w:sz w:val="20"/>
              </w:rPr>
              <w:br/>
              <w:t>24 weeks</w:t>
            </w:r>
          </w:p>
        </w:tc>
        <w:tc>
          <w:tcPr>
            <w:tcW w:w="854" w:type="dxa"/>
            <w:shd w:val="clear" w:color="auto" w:fill="auto"/>
            <w:vAlign w:val="center"/>
          </w:tcPr>
          <w:p w:rsidR="001940D8" w:rsidRPr="004F5586" w:rsidRDefault="001940D8" w:rsidP="00E35312">
            <w:pPr>
              <w:keepLines/>
              <w:jc w:val="center"/>
              <w:rPr>
                <w:rFonts w:ascii="Arial Narrow" w:hAnsi="Arial Narrow"/>
                <w:bCs/>
                <w:iCs/>
                <w:sz w:val="20"/>
              </w:rPr>
            </w:pPr>
            <w:r w:rsidRPr="004F5586">
              <w:rPr>
                <w:rFonts w:ascii="Arial Narrow" w:hAnsi="Arial Narrow"/>
                <w:bCs/>
                <w:iCs/>
                <w:sz w:val="20"/>
              </w:rPr>
              <w:t>Low</w:t>
            </w:r>
          </w:p>
        </w:tc>
        <w:tc>
          <w:tcPr>
            <w:tcW w:w="994"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1,3</w:t>
            </w:r>
          </w:p>
        </w:tc>
        <w:tc>
          <w:tcPr>
            <w:tcW w:w="1245" w:type="dxa"/>
            <w:shd w:val="clear" w:color="auto" w:fill="auto"/>
            <w:vAlign w:val="center"/>
          </w:tcPr>
          <w:p w:rsidR="001940D8" w:rsidRPr="004F5586" w:rsidRDefault="001940D8" w:rsidP="00E35312">
            <w:pPr>
              <w:keepLines/>
              <w:jc w:val="center"/>
              <w:rPr>
                <w:rFonts w:ascii="Arial Narrow" w:hAnsi="Arial Narrow"/>
                <w:bCs/>
                <w:sz w:val="20"/>
              </w:rPr>
            </w:pPr>
          </w:p>
        </w:tc>
        <w:tc>
          <w:tcPr>
            <w:tcW w:w="1069"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Tx experienced</w:t>
            </w:r>
          </w:p>
        </w:tc>
        <w:tc>
          <w:tcPr>
            <w:tcW w:w="1276" w:type="dxa"/>
            <w:shd w:val="clear" w:color="auto" w:fill="auto"/>
            <w:vAlign w:val="center"/>
          </w:tcPr>
          <w:p w:rsidR="001940D8" w:rsidRPr="004F5586" w:rsidRDefault="001940D8" w:rsidP="00E35312">
            <w:pPr>
              <w:keepLines/>
              <w:jc w:val="center"/>
              <w:rPr>
                <w:rFonts w:ascii="Arial Narrow" w:hAnsi="Arial Narrow"/>
                <w:bCs/>
                <w:sz w:val="20"/>
              </w:rPr>
            </w:pPr>
            <w:r w:rsidRPr="004F5586">
              <w:rPr>
                <w:rFonts w:ascii="Arial Narrow" w:hAnsi="Arial Narrow"/>
                <w:bCs/>
                <w:sz w:val="20"/>
              </w:rPr>
              <w:t>SOF/VEL12</w:t>
            </w:r>
          </w:p>
        </w:tc>
        <w:tc>
          <w:tcPr>
            <w:tcW w:w="784" w:type="dxa"/>
            <w:vAlign w:val="center"/>
          </w:tcPr>
          <w:p w:rsidR="001940D8" w:rsidRPr="004F5586" w:rsidRDefault="001940D8" w:rsidP="00E35312">
            <w:pPr>
              <w:keepLines/>
              <w:jc w:val="center"/>
              <w:rPr>
                <w:rFonts w:ascii="Arial Narrow" w:hAnsi="Arial Narrow"/>
                <w:sz w:val="20"/>
              </w:rPr>
            </w:pPr>
            <w:r w:rsidRPr="004F5586">
              <w:rPr>
                <w:rFonts w:ascii="Arial Narrow" w:hAnsi="Arial Narrow"/>
                <w:sz w:val="20"/>
              </w:rPr>
              <w:t>SVR12</w:t>
            </w:r>
          </w:p>
        </w:tc>
      </w:tr>
    </w:tbl>
    <w:p w:rsidR="001940D8" w:rsidRPr="004F5586" w:rsidRDefault="001940D8" w:rsidP="001940D8">
      <w:pPr>
        <w:pStyle w:val="TableFooter"/>
        <w:ind w:left="-112"/>
      </w:pPr>
      <w:r w:rsidRPr="004F5586">
        <w:t>SA = single</w:t>
      </w:r>
      <w:r>
        <w:t>-</w:t>
      </w:r>
      <w:r w:rsidRPr="004F5586">
        <w:t>arm; DB = double-blind; Gt = genotype; HCV = hepatitis C virus; HIV = human immunodeficiency virus; MC = multi-centre; OL = open-label; R = randomised; PBO12 = placebo for 12 weeks; SOF+RBV12 = sofosbuvir plus ribavirin for 12 weeks; SOF+RBV24 = sofosbuvir plus ribavirin for 24 weeks; SOF/VEL12 = sofosbuvir/velpatasvir FDC for 12 weeks; GLE/PIB8 = glecaprevir/pibrentasvir FDC for 8 weeks; GLE/PIB12 = glecaprevir/pibrentasvir FDC for 12 weeks; GLE/PIB16 = glecaprevir/pibrentasvir FDC for 16 weeks; SVR12 = sustained virological response at 12 weeks following the completion of treatment; Tx = treatment.</w:t>
      </w:r>
    </w:p>
    <w:p w:rsidR="001940D8" w:rsidRPr="004F5586" w:rsidRDefault="001940D8" w:rsidP="001940D8">
      <w:pPr>
        <w:pStyle w:val="TableFooter"/>
        <w:ind w:left="-112"/>
      </w:pPr>
      <w:r w:rsidRPr="004F5586">
        <w:t>Patients who discontinued (for whom there was no reported HCV RNA at 12 weeks following treatment) were classified as not achieving an SVR.</w:t>
      </w:r>
    </w:p>
    <w:p w:rsidR="001940D8" w:rsidRPr="004F5586" w:rsidRDefault="001940D8" w:rsidP="001940D8">
      <w:pPr>
        <w:pStyle w:val="TableFooter"/>
        <w:ind w:left="-112"/>
      </w:pPr>
      <w:r w:rsidRPr="004F5586">
        <w:rPr>
          <w:vertAlign w:val="superscript"/>
        </w:rPr>
        <w:t>a</w:t>
      </w:r>
      <w:r w:rsidRPr="004F5586">
        <w:t xml:space="preserve"> While the eligibility criteria permitted the enrolment of patients with GT1, 4, 5 or 6, in the relevant treatment arm (Arm E), 94% of patients were genotype 1 and 6% of patients were genotype 4.</w:t>
      </w:r>
    </w:p>
    <w:p w:rsidR="001940D8" w:rsidRPr="004F5586" w:rsidRDefault="001940D8" w:rsidP="001940D8">
      <w:pPr>
        <w:pStyle w:val="TableFooter"/>
        <w:ind w:left="-112"/>
      </w:pPr>
      <w:r w:rsidRPr="004F5586">
        <w:rPr>
          <w:vertAlign w:val="superscript"/>
        </w:rPr>
        <w:t>b</w:t>
      </w:r>
      <w:r w:rsidRPr="004F5586">
        <w:t xml:space="preserve"> Patients with HCV genotype 1, 2, 4, or 6 were randomly assigned in a 5:1 ratio to receive either SOF/VEL12 or placebo.</w:t>
      </w:r>
    </w:p>
    <w:p w:rsidR="001940D8" w:rsidRPr="004F5586" w:rsidRDefault="001940D8" w:rsidP="001940D8">
      <w:pPr>
        <w:pStyle w:val="TableFooter"/>
        <w:ind w:left="-112"/>
        <w:rPr>
          <w:iCs/>
        </w:rPr>
      </w:pPr>
      <w:r w:rsidRPr="004F5586">
        <w:rPr>
          <w:vertAlign w:val="superscript"/>
        </w:rPr>
        <w:t>c</w:t>
      </w:r>
      <w:r w:rsidRPr="004F5586">
        <w:t xml:space="preserve"> There was differential discontinuation between arms in ASTRAL-3, with more patients in the comparator arm (sofosbuvir plus ribavirin for 24 weeks) not starting (5 patients vs 1 patient) or discontinuing (21 vs 2 patients) study drug. </w:t>
      </w:r>
      <w:r w:rsidRPr="004F5586">
        <w:rPr>
          <w:iCs/>
        </w:rPr>
        <w:t>While there was differential discontinuation in the ASTRAL-3 trial, the higher rates of discontinuation occurred in the sofosbuvir+ribavirin arm rather than the sofosbuvir/velpatasvir arm. Discontinuations were deemed to be failures when data were missing for SVR12. While this may have affected the comparative SVR12 rates in ASTRAL-3, it will not affect the comparison of sofosbuvir/velpatasvir versus glecaprevir/pibrentasvir that is relevant to the submission and clinical claim.</w:t>
      </w:r>
    </w:p>
    <w:p w:rsidR="001940D8" w:rsidRPr="004F5586" w:rsidRDefault="001940D8" w:rsidP="001940D8">
      <w:pPr>
        <w:pStyle w:val="TableFooter"/>
        <w:ind w:left="-112"/>
      </w:pPr>
      <w:r w:rsidRPr="004F5586">
        <w:rPr>
          <w:vertAlign w:val="superscript"/>
        </w:rPr>
        <w:t>d</w:t>
      </w:r>
      <w:r w:rsidRPr="004F5586">
        <w:t xml:space="preserve"> The reported genotypes represent those randomised into the relevant trial arms. </w:t>
      </w:r>
    </w:p>
    <w:p w:rsidR="001940D8" w:rsidRPr="004F5586" w:rsidRDefault="001940D8" w:rsidP="001940D8">
      <w:pPr>
        <w:pStyle w:val="TableFooter"/>
        <w:ind w:left="-112"/>
      </w:pPr>
      <w:r w:rsidRPr="004F5586">
        <w:t>Source: constructed during the evaluation.</w:t>
      </w:r>
    </w:p>
    <w:p w:rsidR="001940D8" w:rsidRPr="00966A55" w:rsidRDefault="001940D8" w:rsidP="001940D8">
      <w:pPr>
        <w:pStyle w:val="TableFooter"/>
        <w:rPr>
          <w:rFonts w:asciiTheme="minorHAnsi" w:hAnsiTheme="minorHAnsi"/>
          <w:sz w:val="24"/>
          <w:szCs w:val="24"/>
        </w:rPr>
      </w:pPr>
    </w:p>
    <w:p w:rsidR="001940D8" w:rsidRPr="004F5586" w:rsidRDefault="001940D8" w:rsidP="001940D8">
      <w:pPr>
        <w:pStyle w:val="ListParagraph"/>
        <w:widowControl/>
        <w:numPr>
          <w:ilvl w:val="1"/>
          <w:numId w:val="1"/>
        </w:numPr>
        <w:spacing w:after="120"/>
        <w:contextualSpacing w:val="0"/>
        <w:rPr>
          <w:rFonts w:asciiTheme="minorHAnsi" w:hAnsiTheme="minorHAnsi"/>
          <w:sz w:val="24"/>
        </w:rPr>
      </w:pPr>
      <w:r w:rsidRPr="004F5586">
        <w:rPr>
          <w:rFonts w:asciiTheme="minorHAnsi" w:hAnsiTheme="minorHAnsi"/>
          <w:sz w:val="24"/>
        </w:rPr>
        <w:t>Patients in many of the glecaprevir/pibrentasvir studies were permitted to have failed regimens containing sofosbuvir, and patients in MAGELLAN-1 could have additionally failed an NS5A inhibitor, such as ledipasvir. No studies of sofosbuvir/velpatasvir included patients who had previously failed sofosbuvir or an NS5A inhibitor. Therefore, the efficacy of sofosbuvir/velpatasvir is largely unknown in this population.</w:t>
      </w:r>
    </w:p>
    <w:p w:rsidR="001940D8" w:rsidRPr="004F5586" w:rsidRDefault="001940D8" w:rsidP="001940D8">
      <w:pPr>
        <w:pStyle w:val="ListParagraph"/>
        <w:widowControl/>
        <w:numPr>
          <w:ilvl w:val="1"/>
          <w:numId w:val="1"/>
        </w:numPr>
        <w:spacing w:after="120"/>
        <w:contextualSpacing w:val="0"/>
        <w:rPr>
          <w:rFonts w:asciiTheme="minorHAnsi" w:hAnsiTheme="minorHAnsi"/>
          <w:sz w:val="24"/>
        </w:rPr>
      </w:pPr>
      <w:r w:rsidRPr="004F5586">
        <w:rPr>
          <w:rFonts w:asciiTheme="minorHAnsi" w:hAnsiTheme="minorHAnsi"/>
          <w:iCs/>
          <w:sz w:val="24"/>
        </w:rPr>
        <w:t>EXPEDITION-4 specifically enrolled patients with renal impairment (eGFR&lt;30mL/min/1.73m</w:t>
      </w:r>
      <w:r w:rsidRPr="004F5586">
        <w:rPr>
          <w:rFonts w:asciiTheme="minorHAnsi" w:hAnsiTheme="minorHAnsi"/>
          <w:iCs/>
          <w:sz w:val="24"/>
          <w:vertAlign w:val="superscript"/>
        </w:rPr>
        <w:t>2</w:t>
      </w:r>
      <w:r w:rsidRPr="004F5586">
        <w:rPr>
          <w:rFonts w:asciiTheme="minorHAnsi" w:hAnsiTheme="minorHAnsi"/>
          <w:iCs/>
          <w:sz w:val="24"/>
        </w:rPr>
        <w:t>). There are no sofosbuvir/velpatasvir studies with a similar population, and the safety and efficacy remains unknown in patients with severe renal impairment.</w:t>
      </w:r>
    </w:p>
    <w:p w:rsidR="001940D8" w:rsidRPr="004F5586" w:rsidRDefault="001940D8" w:rsidP="001940D8">
      <w:pPr>
        <w:pStyle w:val="Heading2"/>
        <w:rPr>
          <w:rFonts w:asciiTheme="minorHAnsi" w:hAnsiTheme="minorHAnsi"/>
          <w:i w:val="0"/>
          <w:sz w:val="28"/>
        </w:rPr>
      </w:pPr>
      <w:bookmarkStart w:id="15" w:name="_Toc476306888"/>
      <w:bookmarkStart w:id="16" w:name="_Toc482354743"/>
      <w:r w:rsidRPr="004F5586">
        <w:rPr>
          <w:rFonts w:asciiTheme="minorHAnsi" w:hAnsiTheme="minorHAnsi"/>
          <w:sz w:val="28"/>
        </w:rPr>
        <w:t>Comparative effectiveness</w:t>
      </w:r>
      <w:bookmarkEnd w:id="15"/>
      <w:bookmarkEnd w:id="16"/>
    </w:p>
    <w:p w:rsidR="001940D8" w:rsidRPr="004F5586" w:rsidRDefault="001940D8" w:rsidP="001940D8">
      <w:pPr>
        <w:rPr>
          <w:rFonts w:asciiTheme="minorHAnsi" w:hAnsiTheme="minorHAnsi"/>
          <w:sz w:val="24"/>
        </w:rPr>
      </w:pPr>
    </w:p>
    <w:p w:rsidR="001940D8" w:rsidRDefault="001940D8" w:rsidP="001940D8">
      <w:pPr>
        <w:pStyle w:val="ListParagraph"/>
        <w:widowControl/>
        <w:numPr>
          <w:ilvl w:val="1"/>
          <w:numId w:val="1"/>
        </w:numPr>
        <w:spacing w:after="120"/>
        <w:contextualSpacing w:val="0"/>
        <w:rPr>
          <w:rFonts w:asciiTheme="minorHAnsi" w:hAnsiTheme="minorHAnsi"/>
          <w:sz w:val="24"/>
        </w:rPr>
      </w:pPr>
      <w:r w:rsidRPr="004F5586">
        <w:rPr>
          <w:rFonts w:asciiTheme="minorHAnsi" w:hAnsiTheme="minorHAnsi"/>
          <w:sz w:val="24"/>
        </w:rPr>
        <w:t>The results of SVR12 from relevant arms of individual studies for all genotypes are summarised in the table below.</w:t>
      </w:r>
    </w:p>
    <w:p w:rsidR="001940D8" w:rsidRPr="004F5586" w:rsidRDefault="001940D8" w:rsidP="001940D8">
      <w:pPr>
        <w:pStyle w:val="ListParagraph"/>
        <w:widowControl/>
        <w:spacing w:after="120"/>
        <w:contextualSpacing w:val="0"/>
        <w:rPr>
          <w:rFonts w:asciiTheme="minorHAnsi" w:hAnsiTheme="minorHAnsi"/>
          <w:sz w:val="24"/>
        </w:rPr>
      </w:pPr>
    </w:p>
    <w:p w:rsidR="001940D8" w:rsidRPr="004F5586" w:rsidRDefault="001940D8" w:rsidP="001940D8">
      <w:pPr>
        <w:pStyle w:val="Caption"/>
        <w:keepNext/>
      </w:pPr>
      <w:r w:rsidRPr="004F5586">
        <w:t xml:space="preserve">Table </w:t>
      </w:r>
      <w:r w:rsidRPr="004F5586">
        <w:rPr>
          <w:noProof/>
        </w:rPr>
        <w:t>5: SVR12 for glecaprevir/pibrentasvir and sofosbuvir/velpatasvir in all genotypes (study arms relevant to the submission only)</w:t>
      </w:r>
    </w:p>
    <w:tbl>
      <w:tblPr>
        <w:tblStyle w:val="TableGrid"/>
        <w:tblW w:w="0" w:type="auto"/>
        <w:tblInd w:w="108" w:type="dxa"/>
        <w:tblLook w:val="0620" w:firstRow="1" w:lastRow="0" w:firstColumn="0" w:lastColumn="0" w:noHBand="1" w:noVBand="1"/>
        <w:tblCaption w:val="Table 5: SVR12 for glecaprevir/pibrentasvir and sofosbuvir/velpatasvir in all genotypes (study arms relevant to the submission only)"/>
      </w:tblPr>
      <w:tblGrid>
        <w:gridCol w:w="1432"/>
        <w:gridCol w:w="1540"/>
        <w:gridCol w:w="3081"/>
        <w:gridCol w:w="3081"/>
      </w:tblGrid>
      <w:tr w:rsidR="001940D8" w:rsidRPr="004F5586" w:rsidTr="00E35312">
        <w:trPr>
          <w:trHeight w:val="131"/>
          <w:tblHeader/>
        </w:trPr>
        <w:tc>
          <w:tcPr>
            <w:tcW w:w="2972" w:type="dxa"/>
            <w:gridSpan w:val="2"/>
            <w:vMerge w:val="restart"/>
          </w:tcPr>
          <w:p w:rsidR="001940D8" w:rsidRPr="004F5586" w:rsidRDefault="001940D8" w:rsidP="00E35312">
            <w:pPr>
              <w:pStyle w:val="TableHeading0"/>
              <w:rPr>
                <w:b w:val="0"/>
              </w:rPr>
            </w:pPr>
            <w:r w:rsidRPr="004F5586">
              <w:t>Studies</w:t>
            </w:r>
          </w:p>
        </w:tc>
        <w:tc>
          <w:tcPr>
            <w:tcW w:w="3081" w:type="dxa"/>
          </w:tcPr>
          <w:p w:rsidR="001940D8" w:rsidRPr="004F5586" w:rsidRDefault="001940D8" w:rsidP="00E35312">
            <w:pPr>
              <w:pStyle w:val="TableHeading0"/>
              <w:jc w:val="center"/>
              <w:rPr>
                <w:b w:val="0"/>
              </w:rPr>
            </w:pPr>
            <w:r w:rsidRPr="004F5586">
              <w:t>SVR12</w:t>
            </w:r>
          </w:p>
        </w:tc>
        <w:tc>
          <w:tcPr>
            <w:tcW w:w="3081" w:type="dxa"/>
            <w:vMerge w:val="restart"/>
          </w:tcPr>
          <w:p w:rsidR="001940D8" w:rsidRPr="004F5586" w:rsidRDefault="001940D8" w:rsidP="00E35312">
            <w:pPr>
              <w:pStyle w:val="TableHeading0"/>
              <w:jc w:val="center"/>
              <w:rPr>
                <w:b w:val="0"/>
              </w:rPr>
            </w:pPr>
            <w:r w:rsidRPr="004F5586">
              <w:t>Pooled</w:t>
            </w:r>
            <w:r w:rsidRPr="004F5586">
              <w:rPr>
                <w:vertAlign w:val="superscript"/>
              </w:rPr>
              <w:t>c</w:t>
            </w:r>
          </w:p>
        </w:tc>
      </w:tr>
      <w:tr w:rsidR="001940D8" w:rsidRPr="004F5586" w:rsidTr="00E35312">
        <w:trPr>
          <w:trHeight w:val="131"/>
          <w:tblHeader/>
        </w:trPr>
        <w:tc>
          <w:tcPr>
            <w:tcW w:w="2972" w:type="dxa"/>
            <w:gridSpan w:val="2"/>
            <w:vMerge/>
            <w:shd w:val="clear" w:color="auto" w:fill="F2F2F2" w:themeFill="background1" w:themeFillShade="F2"/>
          </w:tcPr>
          <w:p w:rsidR="001940D8" w:rsidRPr="004F5586" w:rsidRDefault="001940D8" w:rsidP="00E35312">
            <w:pPr>
              <w:pStyle w:val="TableHeading0"/>
              <w:rPr>
                <w:b w:val="0"/>
              </w:rPr>
            </w:pPr>
          </w:p>
        </w:tc>
        <w:tc>
          <w:tcPr>
            <w:tcW w:w="3081" w:type="dxa"/>
            <w:shd w:val="clear" w:color="auto" w:fill="F2F2F2" w:themeFill="background1" w:themeFillShade="F2"/>
          </w:tcPr>
          <w:p w:rsidR="001940D8" w:rsidRPr="004F5586" w:rsidRDefault="001940D8" w:rsidP="00E35312">
            <w:pPr>
              <w:pStyle w:val="TableHeading0"/>
              <w:jc w:val="center"/>
              <w:rPr>
                <w:b w:val="0"/>
              </w:rPr>
            </w:pPr>
            <w:r w:rsidRPr="004F5586">
              <w:rPr>
                <w:b w:val="0"/>
              </w:rPr>
              <w:t>n/N (%) [95% CI]</w:t>
            </w:r>
          </w:p>
        </w:tc>
        <w:tc>
          <w:tcPr>
            <w:tcW w:w="3081" w:type="dxa"/>
            <w:vMerge/>
            <w:shd w:val="clear" w:color="auto" w:fill="F2F2F2" w:themeFill="background1" w:themeFillShade="F2"/>
          </w:tcPr>
          <w:p w:rsidR="001940D8" w:rsidRPr="004F5586" w:rsidRDefault="001940D8" w:rsidP="00E35312">
            <w:pPr>
              <w:pStyle w:val="TableHeading0"/>
              <w:rPr>
                <w:b w:val="0"/>
              </w:rPr>
            </w:pPr>
          </w:p>
        </w:tc>
      </w:tr>
      <w:tr w:rsidR="001940D8" w:rsidRPr="004F5586" w:rsidTr="00E35312">
        <w:tc>
          <w:tcPr>
            <w:tcW w:w="9134" w:type="dxa"/>
            <w:gridSpan w:val="4"/>
          </w:tcPr>
          <w:p w:rsidR="001940D8" w:rsidRPr="004F5586" w:rsidRDefault="001940D8" w:rsidP="00E35312">
            <w:pPr>
              <w:pStyle w:val="TableHeading0"/>
            </w:pPr>
            <w:r w:rsidRPr="004F5586">
              <w:t>Glecaprevir/pibrentasvir studies</w:t>
            </w:r>
          </w:p>
        </w:tc>
      </w:tr>
      <w:tr w:rsidR="001940D8" w:rsidRPr="004F5586" w:rsidTr="00E35312">
        <w:tc>
          <w:tcPr>
            <w:tcW w:w="2972" w:type="dxa"/>
            <w:gridSpan w:val="2"/>
          </w:tcPr>
          <w:p w:rsidR="001940D8" w:rsidRPr="004F5586" w:rsidRDefault="001940D8" w:rsidP="00E35312">
            <w:pPr>
              <w:pStyle w:val="TableHeading0"/>
              <w:rPr>
                <w:b w:val="0"/>
              </w:rPr>
            </w:pPr>
            <w:r w:rsidRPr="004F5586">
              <w:rPr>
                <w:b w:val="0"/>
              </w:rPr>
              <w:t>ENDURANCE-1</w:t>
            </w:r>
          </w:p>
        </w:tc>
        <w:tc>
          <w:tcPr>
            <w:tcW w:w="3081" w:type="dxa"/>
          </w:tcPr>
          <w:p w:rsidR="001940D8" w:rsidRPr="004F5586" w:rsidRDefault="001940D8" w:rsidP="00E35312">
            <w:pPr>
              <w:pStyle w:val="TableHeading0"/>
              <w:jc w:val="center"/>
              <w:rPr>
                <w:b w:val="0"/>
              </w:rPr>
            </w:pPr>
            <w:r w:rsidRPr="004F5586">
              <w:rPr>
                <w:b w:val="0"/>
              </w:rPr>
              <w:t>348/351 (99.1) [</w:t>
            </w:r>
            <w:r>
              <w:rPr>
                <w:b w:val="0"/>
                <w:noProof/>
                <w:color w:val="000000"/>
                <w:highlight w:val="black"/>
              </w:rPr>
              <w:t>'''''''''''''''''''''</w:t>
            </w:r>
            <w:r w:rsidRPr="004F5586">
              <w:rPr>
                <w:b w:val="0"/>
              </w:rPr>
              <w:t>]</w:t>
            </w:r>
          </w:p>
        </w:tc>
        <w:tc>
          <w:tcPr>
            <w:tcW w:w="3081" w:type="dxa"/>
            <w:vMerge w:val="restart"/>
            <w:vAlign w:val="center"/>
          </w:tcPr>
          <w:p w:rsidR="001940D8" w:rsidRPr="00B22EA1" w:rsidRDefault="001940D8" w:rsidP="00E35312">
            <w:pPr>
              <w:pStyle w:val="TableHeading0"/>
              <w:jc w:val="center"/>
              <w:rPr>
                <w:b w:val="0"/>
                <w:highlight w:val="black"/>
              </w:rPr>
            </w:pPr>
            <w:r>
              <w:rPr>
                <w:b w:val="0"/>
                <w:noProof/>
                <w:color w:val="000000"/>
                <w:highlight w:val="black"/>
              </w:rPr>
              <w:t>'''''''''''''''''''''''''' '''''''''''''' '''''''''''''' '''''''''''</w:t>
            </w:r>
          </w:p>
        </w:tc>
      </w:tr>
      <w:tr w:rsidR="001940D8" w:rsidRPr="004F5586" w:rsidTr="00E35312">
        <w:tc>
          <w:tcPr>
            <w:tcW w:w="2972" w:type="dxa"/>
            <w:gridSpan w:val="2"/>
          </w:tcPr>
          <w:p w:rsidR="001940D8" w:rsidRPr="004F5586" w:rsidRDefault="001940D8" w:rsidP="00E35312">
            <w:pPr>
              <w:pStyle w:val="TableHeading0"/>
              <w:rPr>
                <w:b w:val="0"/>
              </w:rPr>
            </w:pPr>
            <w:r w:rsidRPr="004F5586">
              <w:rPr>
                <w:b w:val="0"/>
              </w:rPr>
              <w:t>EXPEDITION-1</w:t>
            </w:r>
          </w:p>
        </w:tc>
        <w:tc>
          <w:tcPr>
            <w:tcW w:w="3081" w:type="dxa"/>
          </w:tcPr>
          <w:p w:rsidR="001940D8" w:rsidRPr="004F5586" w:rsidRDefault="001940D8" w:rsidP="00E35312">
            <w:pPr>
              <w:pStyle w:val="TableHeading0"/>
              <w:jc w:val="center"/>
              <w:rPr>
                <w:b w:val="0"/>
              </w:rPr>
            </w:pPr>
            <w:r w:rsidRPr="004F5586">
              <w:rPr>
                <w:b w:val="0"/>
              </w:rPr>
              <w:t>145/146 (99.3) [96.2, 100]</w:t>
            </w:r>
          </w:p>
        </w:tc>
        <w:tc>
          <w:tcPr>
            <w:tcW w:w="3081" w:type="dxa"/>
            <w:vMerge/>
          </w:tcPr>
          <w:p w:rsidR="001940D8" w:rsidRPr="004F5586" w:rsidRDefault="001940D8" w:rsidP="00E35312">
            <w:pPr>
              <w:pStyle w:val="TableHeading0"/>
              <w:jc w:val="center"/>
              <w:rPr>
                <w:b w:val="0"/>
              </w:rPr>
            </w:pPr>
          </w:p>
        </w:tc>
      </w:tr>
      <w:tr w:rsidR="001940D8" w:rsidRPr="004F5586" w:rsidTr="00E35312">
        <w:tc>
          <w:tcPr>
            <w:tcW w:w="2972" w:type="dxa"/>
            <w:gridSpan w:val="2"/>
          </w:tcPr>
          <w:p w:rsidR="001940D8" w:rsidRPr="004F5586" w:rsidRDefault="001940D8" w:rsidP="00E35312">
            <w:pPr>
              <w:pStyle w:val="TableHeading0"/>
              <w:rPr>
                <w:b w:val="0"/>
              </w:rPr>
            </w:pPr>
            <w:r w:rsidRPr="004F5586">
              <w:rPr>
                <w:b w:val="0"/>
              </w:rPr>
              <w:t>ENDURANCE-3</w:t>
            </w:r>
          </w:p>
        </w:tc>
        <w:tc>
          <w:tcPr>
            <w:tcW w:w="3081" w:type="dxa"/>
          </w:tcPr>
          <w:p w:rsidR="001940D8" w:rsidRPr="004F5586" w:rsidRDefault="001940D8" w:rsidP="00E35312">
            <w:pPr>
              <w:pStyle w:val="TableHeading0"/>
              <w:jc w:val="center"/>
              <w:rPr>
                <w:b w:val="0"/>
              </w:rPr>
            </w:pPr>
            <w:r w:rsidRPr="004F5586">
              <w:rPr>
                <w:b w:val="0"/>
              </w:rPr>
              <w:t>149/1</w:t>
            </w:r>
            <w:r>
              <w:rPr>
                <w:b w:val="0"/>
              </w:rPr>
              <w:t>57</w:t>
            </w:r>
            <w:r w:rsidRPr="004F5586">
              <w:rPr>
                <w:b w:val="0"/>
              </w:rPr>
              <w:t xml:space="preserve"> (94.9) [90.2, 97.8]</w:t>
            </w:r>
          </w:p>
        </w:tc>
        <w:tc>
          <w:tcPr>
            <w:tcW w:w="3081" w:type="dxa"/>
            <w:vMerge/>
          </w:tcPr>
          <w:p w:rsidR="001940D8" w:rsidRPr="004F5586" w:rsidRDefault="001940D8" w:rsidP="00E35312">
            <w:pPr>
              <w:pStyle w:val="TableHeading0"/>
              <w:jc w:val="center"/>
              <w:rPr>
                <w:b w:val="0"/>
              </w:rPr>
            </w:pPr>
          </w:p>
        </w:tc>
      </w:tr>
      <w:tr w:rsidR="001940D8" w:rsidRPr="004F5586" w:rsidTr="00E35312">
        <w:tc>
          <w:tcPr>
            <w:tcW w:w="2972" w:type="dxa"/>
            <w:gridSpan w:val="2"/>
          </w:tcPr>
          <w:p w:rsidR="001940D8" w:rsidRPr="004F5586" w:rsidRDefault="001940D8" w:rsidP="00E35312">
            <w:pPr>
              <w:pStyle w:val="TableHeading0"/>
              <w:rPr>
                <w:b w:val="0"/>
              </w:rPr>
            </w:pPr>
            <w:r w:rsidRPr="004F5586">
              <w:rPr>
                <w:b w:val="0"/>
              </w:rPr>
              <w:t>EXPEDITION-4</w:t>
            </w:r>
          </w:p>
        </w:tc>
        <w:tc>
          <w:tcPr>
            <w:tcW w:w="3081" w:type="dxa"/>
          </w:tcPr>
          <w:p w:rsidR="001940D8" w:rsidRPr="004F5586" w:rsidRDefault="001940D8" w:rsidP="00E35312">
            <w:pPr>
              <w:pStyle w:val="TableHeading0"/>
              <w:jc w:val="center"/>
              <w:rPr>
                <w:b w:val="0"/>
              </w:rPr>
            </w:pPr>
            <w:r w:rsidRPr="004F5586">
              <w:rPr>
                <w:b w:val="0"/>
              </w:rPr>
              <w:t>102/104 (98.1) [93.2,99.8]</w:t>
            </w:r>
          </w:p>
        </w:tc>
        <w:tc>
          <w:tcPr>
            <w:tcW w:w="3081" w:type="dxa"/>
            <w:vMerge/>
          </w:tcPr>
          <w:p w:rsidR="001940D8" w:rsidRPr="004F5586" w:rsidRDefault="001940D8" w:rsidP="00E35312">
            <w:pPr>
              <w:pStyle w:val="TableHeading0"/>
              <w:jc w:val="center"/>
              <w:rPr>
                <w:b w:val="0"/>
              </w:rPr>
            </w:pPr>
          </w:p>
        </w:tc>
      </w:tr>
      <w:tr w:rsidR="001940D8" w:rsidRPr="004F5586" w:rsidTr="00E35312">
        <w:tc>
          <w:tcPr>
            <w:tcW w:w="2972" w:type="dxa"/>
            <w:gridSpan w:val="2"/>
          </w:tcPr>
          <w:p w:rsidR="001940D8" w:rsidRPr="004F5586" w:rsidRDefault="001940D8" w:rsidP="00E35312">
            <w:pPr>
              <w:pStyle w:val="TableHeading0"/>
              <w:rPr>
                <w:b w:val="0"/>
              </w:rPr>
            </w:pPr>
            <w:r w:rsidRPr="004F5586">
              <w:rPr>
                <w:b w:val="0"/>
                <w:bCs/>
              </w:rPr>
              <w:t>SURVEYOR-I</w:t>
            </w:r>
          </w:p>
        </w:tc>
        <w:tc>
          <w:tcPr>
            <w:tcW w:w="3081" w:type="dxa"/>
          </w:tcPr>
          <w:p w:rsidR="001940D8" w:rsidRPr="004F5586" w:rsidRDefault="001940D8" w:rsidP="00E35312">
            <w:pPr>
              <w:pStyle w:val="TableHeading0"/>
              <w:jc w:val="center"/>
              <w:rPr>
                <w:b w:val="0"/>
              </w:rPr>
            </w:pPr>
            <w:r>
              <w:rPr>
                <w:b w:val="0"/>
                <w:noProof/>
                <w:color w:val="000000"/>
                <w:highlight w:val="black"/>
              </w:rPr>
              <w:t>''''''''''''' ''''''''''''' ''''''''''''''' '''''''''''''</w:t>
            </w:r>
          </w:p>
        </w:tc>
        <w:tc>
          <w:tcPr>
            <w:tcW w:w="3081" w:type="dxa"/>
            <w:vMerge/>
          </w:tcPr>
          <w:p w:rsidR="001940D8" w:rsidRPr="004F5586" w:rsidRDefault="001940D8" w:rsidP="00E35312">
            <w:pPr>
              <w:pStyle w:val="TableHeading0"/>
              <w:jc w:val="center"/>
              <w:rPr>
                <w:b w:val="0"/>
              </w:rPr>
            </w:pPr>
          </w:p>
        </w:tc>
      </w:tr>
      <w:tr w:rsidR="001940D8" w:rsidRPr="004F5586" w:rsidTr="00E35312">
        <w:trPr>
          <w:trHeight w:val="40"/>
        </w:trPr>
        <w:tc>
          <w:tcPr>
            <w:tcW w:w="1432" w:type="dxa"/>
            <w:vMerge w:val="restart"/>
            <w:vAlign w:val="center"/>
          </w:tcPr>
          <w:p w:rsidR="001940D8" w:rsidRPr="004F5586" w:rsidRDefault="001940D8" w:rsidP="00E35312">
            <w:pPr>
              <w:pStyle w:val="TableHeading0"/>
              <w:rPr>
                <w:b w:val="0"/>
              </w:rPr>
            </w:pPr>
            <w:r w:rsidRPr="004F5586">
              <w:rPr>
                <w:b w:val="0"/>
                <w:bCs/>
              </w:rPr>
              <w:t>SURVEYOR-II</w:t>
            </w:r>
          </w:p>
        </w:tc>
        <w:tc>
          <w:tcPr>
            <w:tcW w:w="1540" w:type="dxa"/>
          </w:tcPr>
          <w:p w:rsidR="001940D8" w:rsidRPr="004F5586" w:rsidRDefault="001940D8" w:rsidP="00E35312">
            <w:pPr>
              <w:pStyle w:val="TableHeading0"/>
              <w:rPr>
                <w:b w:val="0"/>
              </w:rPr>
            </w:pPr>
            <w:r w:rsidRPr="004F5586">
              <w:rPr>
                <w:b w:val="0"/>
              </w:rPr>
              <w:t>Arm J</w:t>
            </w:r>
          </w:p>
        </w:tc>
        <w:tc>
          <w:tcPr>
            <w:tcW w:w="3081" w:type="dxa"/>
          </w:tcPr>
          <w:p w:rsidR="001940D8" w:rsidRPr="004F5586" w:rsidRDefault="001940D8" w:rsidP="00E35312">
            <w:pPr>
              <w:pStyle w:val="TableHeading0"/>
              <w:jc w:val="center"/>
              <w:rPr>
                <w:b w:val="0"/>
              </w:rPr>
            </w:pPr>
            <w:r w:rsidRPr="004F5586">
              <w:rPr>
                <w:b w:val="0"/>
              </w:rPr>
              <w:t>53/54 (98.1) [</w:t>
            </w:r>
            <w:r>
              <w:rPr>
                <w:b w:val="0"/>
                <w:noProof/>
                <w:color w:val="000000"/>
                <w:highlight w:val="black"/>
              </w:rPr>
              <w:t>''''''''''''' '''''''''</w:t>
            </w:r>
            <w:r w:rsidRPr="004F5586">
              <w:rPr>
                <w:b w:val="0"/>
              </w:rPr>
              <w:t>]</w:t>
            </w:r>
          </w:p>
        </w:tc>
        <w:tc>
          <w:tcPr>
            <w:tcW w:w="3081" w:type="dxa"/>
            <w:vMerge/>
          </w:tcPr>
          <w:p w:rsidR="001940D8" w:rsidRPr="004F5586" w:rsidRDefault="001940D8" w:rsidP="00E35312">
            <w:pPr>
              <w:pStyle w:val="TableHeading0"/>
              <w:jc w:val="center"/>
              <w:rPr>
                <w:b w:val="0"/>
              </w:rPr>
            </w:pPr>
          </w:p>
        </w:tc>
      </w:tr>
      <w:tr w:rsidR="001940D8" w:rsidRPr="004F5586" w:rsidTr="00E35312">
        <w:trPr>
          <w:trHeight w:val="37"/>
        </w:trPr>
        <w:tc>
          <w:tcPr>
            <w:tcW w:w="1432" w:type="dxa"/>
            <w:vMerge/>
          </w:tcPr>
          <w:p w:rsidR="001940D8" w:rsidRPr="004F5586" w:rsidRDefault="001940D8" w:rsidP="00E35312">
            <w:pPr>
              <w:pStyle w:val="TableHeading0"/>
              <w:rPr>
                <w:b w:val="0"/>
                <w:bCs/>
              </w:rPr>
            </w:pPr>
          </w:p>
        </w:tc>
        <w:tc>
          <w:tcPr>
            <w:tcW w:w="1540" w:type="dxa"/>
          </w:tcPr>
          <w:p w:rsidR="001940D8" w:rsidRPr="004F5586" w:rsidRDefault="001940D8" w:rsidP="00E35312">
            <w:pPr>
              <w:pStyle w:val="TableHeading0"/>
              <w:rPr>
                <w:b w:val="0"/>
              </w:rPr>
            </w:pPr>
            <w:r w:rsidRPr="004F5586">
              <w:rPr>
                <w:b w:val="0"/>
              </w:rPr>
              <w:t>Arm L</w:t>
            </w:r>
            <w:r w:rsidRPr="004F5586">
              <w:rPr>
                <w:b w:val="0"/>
                <w:vertAlign w:val="superscript"/>
              </w:rPr>
              <w:t>a</w:t>
            </w:r>
          </w:p>
        </w:tc>
        <w:tc>
          <w:tcPr>
            <w:tcW w:w="3081" w:type="dxa"/>
          </w:tcPr>
          <w:p w:rsidR="001940D8" w:rsidRPr="004F5586" w:rsidRDefault="001940D8" w:rsidP="00E35312">
            <w:pPr>
              <w:pStyle w:val="TableHeading0"/>
              <w:jc w:val="center"/>
              <w:rPr>
                <w:b w:val="0"/>
              </w:rPr>
            </w:pPr>
            <w:r w:rsidRPr="004F5586">
              <w:rPr>
                <w:b w:val="0"/>
              </w:rPr>
              <w:t>28/29 (96.6) [82.2, 99.9]</w:t>
            </w:r>
          </w:p>
        </w:tc>
        <w:tc>
          <w:tcPr>
            <w:tcW w:w="3081" w:type="dxa"/>
            <w:vMerge/>
          </w:tcPr>
          <w:p w:rsidR="001940D8" w:rsidRPr="004F5586" w:rsidRDefault="001940D8" w:rsidP="00E35312">
            <w:pPr>
              <w:pStyle w:val="TableHeading0"/>
              <w:jc w:val="center"/>
              <w:rPr>
                <w:b w:val="0"/>
              </w:rPr>
            </w:pPr>
          </w:p>
        </w:tc>
      </w:tr>
      <w:tr w:rsidR="001940D8" w:rsidRPr="004F5586" w:rsidTr="00E35312">
        <w:trPr>
          <w:trHeight w:val="37"/>
        </w:trPr>
        <w:tc>
          <w:tcPr>
            <w:tcW w:w="1432" w:type="dxa"/>
            <w:vMerge/>
          </w:tcPr>
          <w:p w:rsidR="001940D8" w:rsidRPr="004F5586" w:rsidRDefault="001940D8" w:rsidP="00E35312">
            <w:pPr>
              <w:pStyle w:val="TableHeading0"/>
              <w:rPr>
                <w:b w:val="0"/>
                <w:bCs/>
              </w:rPr>
            </w:pPr>
          </w:p>
        </w:tc>
        <w:tc>
          <w:tcPr>
            <w:tcW w:w="1540" w:type="dxa"/>
          </w:tcPr>
          <w:p w:rsidR="001940D8" w:rsidRPr="004F5586" w:rsidRDefault="001940D8" w:rsidP="00E35312">
            <w:pPr>
              <w:pStyle w:val="TableHeading0"/>
              <w:rPr>
                <w:b w:val="0"/>
              </w:rPr>
            </w:pPr>
            <w:r w:rsidRPr="004F5586">
              <w:rPr>
                <w:b w:val="0"/>
              </w:rPr>
              <w:t>Arm O</w:t>
            </w:r>
          </w:p>
        </w:tc>
        <w:tc>
          <w:tcPr>
            <w:tcW w:w="3081" w:type="dxa"/>
          </w:tcPr>
          <w:p w:rsidR="001940D8" w:rsidRPr="004F5586" w:rsidRDefault="001940D8" w:rsidP="00E35312">
            <w:pPr>
              <w:pStyle w:val="TableHeading0"/>
              <w:jc w:val="center"/>
              <w:rPr>
                <w:b w:val="0"/>
              </w:rPr>
            </w:pPr>
            <w:r w:rsidRPr="004F5586">
              <w:rPr>
                <w:b w:val="0"/>
              </w:rPr>
              <w:t>27/28 (96.4) [81.7, 99.9]</w:t>
            </w:r>
          </w:p>
        </w:tc>
        <w:tc>
          <w:tcPr>
            <w:tcW w:w="3081" w:type="dxa"/>
            <w:vMerge/>
          </w:tcPr>
          <w:p w:rsidR="001940D8" w:rsidRPr="004F5586" w:rsidRDefault="001940D8" w:rsidP="00E35312">
            <w:pPr>
              <w:pStyle w:val="TableHeading0"/>
              <w:jc w:val="center"/>
              <w:rPr>
                <w:b w:val="0"/>
              </w:rPr>
            </w:pPr>
          </w:p>
        </w:tc>
      </w:tr>
      <w:tr w:rsidR="001940D8" w:rsidRPr="004F5586" w:rsidTr="00E35312">
        <w:trPr>
          <w:trHeight w:val="37"/>
        </w:trPr>
        <w:tc>
          <w:tcPr>
            <w:tcW w:w="1432" w:type="dxa"/>
            <w:vMerge/>
          </w:tcPr>
          <w:p w:rsidR="001940D8" w:rsidRPr="004F5586" w:rsidRDefault="001940D8" w:rsidP="00E35312">
            <w:pPr>
              <w:pStyle w:val="TableHeading0"/>
              <w:rPr>
                <w:b w:val="0"/>
                <w:bCs/>
              </w:rPr>
            </w:pPr>
          </w:p>
        </w:tc>
        <w:tc>
          <w:tcPr>
            <w:tcW w:w="1540" w:type="dxa"/>
          </w:tcPr>
          <w:p w:rsidR="001940D8" w:rsidRPr="004F5586" w:rsidRDefault="001940D8" w:rsidP="00E35312">
            <w:pPr>
              <w:pStyle w:val="TableHeading0"/>
              <w:rPr>
                <w:b w:val="0"/>
              </w:rPr>
            </w:pPr>
            <w:r w:rsidRPr="004F5586">
              <w:rPr>
                <w:b w:val="0"/>
              </w:rPr>
              <w:t>Arm Q1</w:t>
            </w:r>
          </w:p>
        </w:tc>
        <w:tc>
          <w:tcPr>
            <w:tcW w:w="3081" w:type="dxa"/>
          </w:tcPr>
          <w:p w:rsidR="001940D8" w:rsidRPr="004F5586" w:rsidRDefault="001940D8" w:rsidP="00E35312">
            <w:pPr>
              <w:pStyle w:val="TableHeading0"/>
              <w:jc w:val="center"/>
              <w:rPr>
                <w:b w:val="0"/>
              </w:rPr>
            </w:pPr>
            <w:r w:rsidRPr="004F5586">
              <w:rPr>
                <w:b w:val="0"/>
              </w:rPr>
              <w:t>39/40 (97.5) [86.8, 99.9]</w:t>
            </w:r>
          </w:p>
        </w:tc>
        <w:tc>
          <w:tcPr>
            <w:tcW w:w="3081" w:type="dxa"/>
            <w:vMerge/>
          </w:tcPr>
          <w:p w:rsidR="001940D8" w:rsidRPr="004F5586" w:rsidRDefault="001940D8" w:rsidP="00E35312">
            <w:pPr>
              <w:pStyle w:val="TableHeading0"/>
              <w:jc w:val="center"/>
              <w:rPr>
                <w:b w:val="0"/>
              </w:rPr>
            </w:pPr>
          </w:p>
        </w:tc>
      </w:tr>
      <w:tr w:rsidR="001940D8" w:rsidRPr="004F5586" w:rsidTr="00E35312">
        <w:trPr>
          <w:trHeight w:val="37"/>
        </w:trPr>
        <w:tc>
          <w:tcPr>
            <w:tcW w:w="1432" w:type="dxa"/>
            <w:vMerge/>
          </w:tcPr>
          <w:p w:rsidR="001940D8" w:rsidRPr="004F5586" w:rsidRDefault="001940D8" w:rsidP="00E35312">
            <w:pPr>
              <w:pStyle w:val="TableHeading0"/>
              <w:rPr>
                <w:b w:val="0"/>
                <w:bCs/>
              </w:rPr>
            </w:pPr>
          </w:p>
        </w:tc>
        <w:tc>
          <w:tcPr>
            <w:tcW w:w="1540" w:type="dxa"/>
          </w:tcPr>
          <w:p w:rsidR="001940D8" w:rsidRPr="004F5586" w:rsidRDefault="001940D8" w:rsidP="00E35312">
            <w:pPr>
              <w:pStyle w:val="TableHeading0"/>
              <w:rPr>
                <w:b w:val="0"/>
              </w:rPr>
            </w:pPr>
            <w:r w:rsidRPr="004F5586">
              <w:rPr>
                <w:b w:val="0"/>
              </w:rPr>
              <w:t>Arm R1</w:t>
            </w:r>
          </w:p>
        </w:tc>
        <w:tc>
          <w:tcPr>
            <w:tcW w:w="3081" w:type="dxa"/>
          </w:tcPr>
          <w:p w:rsidR="001940D8" w:rsidRPr="004F5586" w:rsidRDefault="001940D8" w:rsidP="00E35312">
            <w:pPr>
              <w:pStyle w:val="TableHeading0"/>
              <w:jc w:val="center"/>
              <w:rPr>
                <w:b w:val="0"/>
              </w:rPr>
            </w:pPr>
            <w:r w:rsidRPr="004F5586">
              <w:rPr>
                <w:b w:val="0"/>
              </w:rPr>
              <w:t>21/22 (95.5) [77.2, 99.9]</w:t>
            </w:r>
          </w:p>
        </w:tc>
        <w:tc>
          <w:tcPr>
            <w:tcW w:w="3081" w:type="dxa"/>
            <w:vMerge/>
          </w:tcPr>
          <w:p w:rsidR="001940D8" w:rsidRPr="004F5586" w:rsidRDefault="001940D8" w:rsidP="00E35312">
            <w:pPr>
              <w:pStyle w:val="TableHeading0"/>
              <w:jc w:val="center"/>
              <w:rPr>
                <w:b w:val="0"/>
              </w:rPr>
            </w:pPr>
          </w:p>
        </w:tc>
      </w:tr>
      <w:tr w:rsidR="001940D8" w:rsidRPr="004F5586" w:rsidTr="00E35312">
        <w:trPr>
          <w:trHeight w:val="37"/>
        </w:trPr>
        <w:tc>
          <w:tcPr>
            <w:tcW w:w="1432" w:type="dxa"/>
            <w:vMerge/>
          </w:tcPr>
          <w:p w:rsidR="001940D8" w:rsidRPr="004F5586" w:rsidRDefault="001940D8" w:rsidP="00E35312">
            <w:pPr>
              <w:pStyle w:val="TableHeading0"/>
              <w:rPr>
                <w:b w:val="0"/>
                <w:bCs/>
              </w:rPr>
            </w:pPr>
          </w:p>
        </w:tc>
        <w:tc>
          <w:tcPr>
            <w:tcW w:w="1540" w:type="dxa"/>
          </w:tcPr>
          <w:p w:rsidR="001940D8" w:rsidRPr="004F5586" w:rsidRDefault="001940D8" w:rsidP="00E35312">
            <w:pPr>
              <w:pStyle w:val="TableHeading0"/>
              <w:rPr>
                <w:b w:val="0"/>
              </w:rPr>
            </w:pPr>
            <w:r w:rsidRPr="004F5586">
              <w:rPr>
                <w:b w:val="0"/>
              </w:rPr>
              <w:t>Arm R2</w:t>
            </w:r>
          </w:p>
        </w:tc>
        <w:tc>
          <w:tcPr>
            <w:tcW w:w="3081" w:type="dxa"/>
          </w:tcPr>
          <w:p w:rsidR="001940D8" w:rsidRPr="004F5586" w:rsidRDefault="001940D8" w:rsidP="00E35312">
            <w:pPr>
              <w:pStyle w:val="TableHeading0"/>
              <w:jc w:val="center"/>
              <w:rPr>
                <w:b w:val="0"/>
              </w:rPr>
            </w:pPr>
            <w:r w:rsidRPr="004F5586">
              <w:rPr>
                <w:b w:val="0"/>
              </w:rPr>
              <w:t>45/47 (95.7) [85.5, 99.5]</w:t>
            </w:r>
          </w:p>
        </w:tc>
        <w:tc>
          <w:tcPr>
            <w:tcW w:w="3081" w:type="dxa"/>
            <w:vMerge/>
          </w:tcPr>
          <w:p w:rsidR="001940D8" w:rsidRPr="004F5586" w:rsidRDefault="001940D8" w:rsidP="00E35312">
            <w:pPr>
              <w:pStyle w:val="TableHeading0"/>
              <w:jc w:val="center"/>
              <w:rPr>
                <w:b w:val="0"/>
              </w:rPr>
            </w:pPr>
          </w:p>
        </w:tc>
      </w:tr>
      <w:tr w:rsidR="001940D8" w:rsidRPr="004F5586" w:rsidTr="00E35312">
        <w:trPr>
          <w:trHeight w:val="37"/>
        </w:trPr>
        <w:tc>
          <w:tcPr>
            <w:tcW w:w="1432" w:type="dxa"/>
            <w:vMerge/>
          </w:tcPr>
          <w:p w:rsidR="001940D8" w:rsidRPr="004F5586" w:rsidRDefault="001940D8" w:rsidP="00E35312">
            <w:pPr>
              <w:pStyle w:val="TableHeading0"/>
              <w:rPr>
                <w:b w:val="0"/>
                <w:bCs/>
              </w:rPr>
            </w:pPr>
          </w:p>
        </w:tc>
        <w:tc>
          <w:tcPr>
            <w:tcW w:w="1540" w:type="dxa"/>
          </w:tcPr>
          <w:p w:rsidR="001940D8" w:rsidRPr="004F5586" w:rsidRDefault="001940D8" w:rsidP="00E35312">
            <w:pPr>
              <w:pStyle w:val="TableHeading0"/>
              <w:rPr>
                <w:b w:val="0"/>
              </w:rPr>
            </w:pPr>
            <w:r w:rsidRPr="004F5586">
              <w:rPr>
                <w:b w:val="0"/>
              </w:rPr>
              <w:t>Arm S</w:t>
            </w:r>
          </w:p>
        </w:tc>
        <w:tc>
          <w:tcPr>
            <w:tcW w:w="3081" w:type="dxa"/>
          </w:tcPr>
          <w:p w:rsidR="001940D8" w:rsidRPr="004F5586" w:rsidRDefault="001940D8" w:rsidP="00E35312">
            <w:pPr>
              <w:pStyle w:val="TableHeading0"/>
              <w:jc w:val="center"/>
              <w:rPr>
                <w:b w:val="0"/>
              </w:rPr>
            </w:pPr>
            <w:r w:rsidRPr="004F5586">
              <w:rPr>
                <w:b w:val="0"/>
              </w:rPr>
              <w:t>196/203 (96.6) [93.0, 98.6]</w:t>
            </w:r>
          </w:p>
        </w:tc>
        <w:tc>
          <w:tcPr>
            <w:tcW w:w="3081" w:type="dxa"/>
            <w:vMerge/>
          </w:tcPr>
          <w:p w:rsidR="001940D8" w:rsidRPr="004F5586" w:rsidRDefault="001940D8" w:rsidP="00E35312">
            <w:pPr>
              <w:pStyle w:val="TableHeading0"/>
              <w:jc w:val="center"/>
              <w:rPr>
                <w:b w:val="0"/>
              </w:rPr>
            </w:pPr>
          </w:p>
        </w:tc>
      </w:tr>
      <w:tr w:rsidR="001940D8" w:rsidRPr="004F5586" w:rsidTr="00E35312">
        <w:tc>
          <w:tcPr>
            <w:tcW w:w="2972" w:type="dxa"/>
            <w:gridSpan w:val="2"/>
          </w:tcPr>
          <w:p w:rsidR="001940D8" w:rsidRPr="004F5586" w:rsidRDefault="001940D8" w:rsidP="00E35312">
            <w:pPr>
              <w:pStyle w:val="TableHeading0"/>
              <w:rPr>
                <w:b w:val="0"/>
                <w:bCs/>
              </w:rPr>
            </w:pPr>
            <w:r w:rsidRPr="004F5586">
              <w:rPr>
                <w:b w:val="0"/>
                <w:bCs/>
              </w:rPr>
              <w:t>MAGELLAN-1</w:t>
            </w:r>
            <w:r w:rsidRPr="004F5586">
              <w:rPr>
                <w:b w:val="0"/>
                <w:bCs/>
                <w:vertAlign w:val="superscript"/>
              </w:rPr>
              <w:t>b</w:t>
            </w:r>
          </w:p>
        </w:tc>
        <w:tc>
          <w:tcPr>
            <w:tcW w:w="3081" w:type="dxa"/>
          </w:tcPr>
          <w:p w:rsidR="001940D8" w:rsidRPr="004F5586" w:rsidRDefault="001940D8" w:rsidP="00E35312">
            <w:pPr>
              <w:pStyle w:val="TableHeading0"/>
              <w:jc w:val="center"/>
              <w:rPr>
                <w:b w:val="0"/>
              </w:rPr>
            </w:pPr>
            <w:r w:rsidRPr="004F5586">
              <w:rPr>
                <w:b w:val="0"/>
              </w:rPr>
              <w:t>43/47 (91.5) [79.6, 97.6]</w:t>
            </w:r>
          </w:p>
        </w:tc>
        <w:tc>
          <w:tcPr>
            <w:tcW w:w="3081" w:type="dxa"/>
            <w:vMerge/>
          </w:tcPr>
          <w:p w:rsidR="001940D8" w:rsidRPr="004F5586" w:rsidRDefault="001940D8" w:rsidP="00E35312">
            <w:pPr>
              <w:pStyle w:val="TableHeading0"/>
              <w:jc w:val="center"/>
              <w:rPr>
                <w:b w:val="0"/>
              </w:rPr>
            </w:pPr>
          </w:p>
        </w:tc>
      </w:tr>
      <w:tr w:rsidR="001940D8" w:rsidRPr="004F5586" w:rsidTr="00E35312">
        <w:tc>
          <w:tcPr>
            <w:tcW w:w="9134" w:type="dxa"/>
            <w:gridSpan w:val="4"/>
          </w:tcPr>
          <w:p w:rsidR="001940D8" w:rsidRPr="004F5586" w:rsidRDefault="001940D8" w:rsidP="00E35312">
            <w:pPr>
              <w:pStyle w:val="TableHeading0"/>
            </w:pPr>
            <w:r w:rsidRPr="004F5586">
              <w:t>Sofosbuvir/velpatasvir studies</w:t>
            </w:r>
          </w:p>
        </w:tc>
      </w:tr>
      <w:tr w:rsidR="001940D8" w:rsidRPr="004F5586" w:rsidTr="00E35312">
        <w:tc>
          <w:tcPr>
            <w:tcW w:w="2972" w:type="dxa"/>
            <w:gridSpan w:val="2"/>
          </w:tcPr>
          <w:p w:rsidR="001940D8" w:rsidRPr="004F5586" w:rsidRDefault="001940D8" w:rsidP="00E35312">
            <w:pPr>
              <w:pStyle w:val="TableHeading0"/>
              <w:rPr>
                <w:b w:val="0"/>
                <w:bCs/>
              </w:rPr>
            </w:pPr>
            <w:r w:rsidRPr="004F5586">
              <w:rPr>
                <w:b w:val="0"/>
                <w:bCs/>
              </w:rPr>
              <w:t>ASTRAL-1</w:t>
            </w:r>
          </w:p>
        </w:tc>
        <w:tc>
          <w:tcPr>
            <w:tcW w:w="3081" w:type="dxa"/>
          </w:tcPr>
          <w:p w:rsidR="001940D8" w:rsidRPr="004F5586" w:rsidRDefault="001940D8" w:rsidP="00E35312">
            <w:pPr>
              <w:pStyle w:val="TableHeading0"/>
              <w:jc w:val="center"/>
              <w:rPr>
                <w:b w:val="0"/>
              </w:rPr>
            </w:pPr>
            <w:r w:rsidRPr="004F5586">
              <w:rPr>
                <w:b w:val="0"/>
              </w:rPr>
              <w:t>618/624 (99.0) [97.9, 99.6]</w:t>
            </w:r>
          </w:p>
        </w:tc>
        <w:tc>
          <w:tcPr>
            <w:tcW w:w="3081" w:type="dxa"/>
            <w:vMerge w:val="restart"/>
            <w:vAlign w:val="center"/>
          </w:tcPr>
          <w:p w:rsidR="001940D8" w:rsidRPr="004F5586" w:rsidRDefault="001940D8" w:rsidP="00E35312">
            <w:pPr>
              <w:pStyle w:val="TableHeading0"/>
              <w:jc w:val="center"/>
              <w:rPr>
                <w:b w:val="0"/>
              </w:rPr>
            </w:pPr>
            <w:r w:rsidRPr="004F5586">
              <w:rPr>
                <w:b w:val="0"/>
              </w:rPr>
              <w:t>1166/1192 (97.8) [96.8, 98.6]</w:t>
            </w:r>
          </w:p>
        </w:tc>
      </w:tr>
      <w:tr w:rsidR="001940D8" w:rsidRPr="004F5586" w:rsidTr="00E35312">
        <w:tc>
          <w:tcPr>
            <w:tcW w:w="2972" w:type="dxa"/>
            <w:gridSpan w:val="2"/>
          </w:tcPr>
          <w:p w:rsidR="001940D8" w:rsidRPr="004F5586" w:rsidRDefault="001940D8" w:rsidP="00E35312">
            <w:pPr>
              <w:pStyle w:val="TableHeading0"/>
              <w:rPr>
                <w:b w:val="0"/>
                <w:bCs/>
              </w:rPr>
            </w:pPr>
            <w:r w:rsidRPr="004F5586">
              <w:rPr>
                <w:b w:val="0"/>
                <w:bCs/>
              </w:rPr>
              <w:t>ASTRAL-2</w:t>
            </w:r>
          </w:p>
        </w:tc>
        <w:tc>
          <w:tcPr>
            <w:tcW w:w="3081" w:type="dxa"/>
          </w:tcPr>
          <w:p w:rsidR="001940D8" w:rsidRPr="004F5586" w:rsidRDefault="001940D8" w:rsidP="00E35312">
            <w:pPr>
              <w:pStyle w:val="TableHeading0"/>
              <w:jc w:val="center"/>
              <w:rPr>
                <w:b w:val="0"/>
              </w:rPr>
            </w:pPr>
            <w:r w:rsidRPr="004F5586">
              <w:rPr>
                <w:b w:val="0"/>
              </w:rPr>
              <w:t>133/134 (99.3) [95.9, 100]</w:t>
            </w:r>
          </w:p>
        </w:tc>
        <w:tc>
          <w:tcPr>
            <w:tcW w:w="3081" w:type="dxa"/>
            <w:vMerge/>
          </w:tcPr>
          <w:p w:rsidR="001940D8" w:rsidRPr="004F5586" w:rsidRDefault="001940D8" w:rsidP="00E35312">
            <w:pPr>
              <w:pStyle w:val="TableHeading0"/>
              <w:jc w:val="center"/>
              <w:rPr>
                <w:b w:val="0"/>
              </w:rPr>
            </w:pPr>
          </w:p>
        </w:tc>
      </w:tr>
      <w:tr w:rsidR="001940D8" w:rsidRPr="004F5586" w:rsidTr="00E35312">
        <w:tc>
          <w:tcPr>
            <w:tcW w:w="2972" w:type="dxa"/>
            <w:gridSpan w:val="2"/>
          </w:tcPr>
          <w:p w:rsidR="001940D8" w:rsidRPr="004F5586" w:rsidRDefault="001940D8" w:rsidP="00E35312">
            <w:pPr>
              <w:pStyle w:val="TableHeading0"/>
              <w:rPr>
                <w:b w:val="0"/>
                <w:bCs/>
              </w:rPr>
            </w:pPr>
            <w:r w:rsidRPr="004F5586">
              <w:rPr>
                <w:b w:val="0"/>
                <w:bCs/>
              </w:rPr>
              <w:t>ASTRAL-3</w:t>
            </w:r>
          </w:p>
        </w:tc>
        <w:tc>
          <w:tcPr>
            <w:tcW w:w="3081" w:type="dxa"/>
          </w:tcPr>
          <w:p w:rsidR="001940D8" w:rsidRPr="004F5586" w:rsidRDefault="001940D8" w:rsidP="00E35312">
            <w:pPr>
              <w:pStyle w:val="TableHeading0"/>
              <w:jc w:val="center"/>
              <w:rPr>
                <w:b w:val="0"/>
              </w:rPr>
            </w:pPr>
            <w:r w:rsidRPr="004F5586">
              <w:rPr>
                <w:b w:val="0"/>
              </w:rPr>
              <w:t>264/277 (95.3) [92.1, 97.5]</w:t>
            </w:r>
          </w:p>
        </w:tc>
        <w:tc>
          <w:tcPr>
            <w:tcW w:w="3081" w:type="dxa"/>
            <w:vMerge/>
          </w:tcPr>
          <w:p w:rsidR="001940D8" w:rsidRPr="004F5586" w:rsidRDefault="001940D8" w:rsidP="00E35312">
            <w:pPr>
              <w:pStyle w:val="TableHeading0"/>
              <w:jc w:val="center"/>
              <w:rPr>
                <w:b w:val="0"/>
              </w:rPr>
            </w:pPr>
          </w:p>
        </w:tc>
      </w:tr>
      <w:tr w:rsidR="001940D8" w:rsidRPr="004F5586" w:rsidTr="00E35312">
        <w:trPr>
          <w:trHeight w:val="88"/>
        </w:trPr>
        <w:tc>
          <w:tcPr>
            <w:tcW w:w="1432" w:type="dxa"/>
            <w:vMerge w:val="restart"/>
          </w:tcPr>
          <w:p w:rsidR="001940D8" w:rsidRPr="004F5586" w:rsidRDefault="001940D8" w:rsidP="00E35312">
            <w:pPr>
              <w:pStyle w:val="TableHeading0"/>
              <w:rPr>
                <w:b w:val="0"/>
                <w:bCs/>
              </w:rPr>
            </w:pPr>
            <w:r w:rsidRPr="004F5586">
              <w:rPr>
                <w:b w:val="0"/>
                <w:bCs/>
              </w:rPr>
              <w:t>Everson (2015)</w:t>
            </w:r>
          </w:p>
        </w:tc>
        <w:tc>
          <w:tcPr>
            <w:tcW w:w="1540" w:type="dxa"/>
          </w:tcPr>
          <w:p w:rsidR="001940D8" w:rsidRPr="004F5586" w:rsidRDefault="001940D8" w:rsidP="00E35312">
            <w:pPr>
              <w:pStyle w:val="TableHeading0"/>
              <w:rPr>
                <w:b w:val="0"/>
                <w:bCs/>
              </w:rPr>
            </w:pPr>
            <w:r w:rsidRPr="004F5586">
              <w:rPr>
                <w:b w:val="0"/>
                <w:bCs/>
              </w:rPr>
              <w:t>Group 2</w:t>
            </w:r>
          </w:p>
        </w:tc>
        <w:tc>
          <w:tcPr>
            <w:tcW w:w="3081" w:type="dxa"/>
          </w:tcPr>
          <w:p w:rsidR="001940D8" w:rsidRPr="004F5586" w:rsidRDefault="001940D8" w:rsidP="00E35312">
            <w:pPr>
              <w:pStyle w:val="TableHeading0"/>
              <w:jc w:val="center"/>
              <w:rPr>
                <w:b w:val="0"/>
              </w:rPr>
            </w:pPr>
            <w:r w:rsidRPr="004F5586">
              <w:rPr>
                <w:b w:val="0"/>
              </w:rPr>
              <w:t>28/28 (100) [87.7, 100]</w:t>
            </w:r>
          </w:p>
        </w:tc>
        <w:tc>
          <w:tcPr>
            <w:tcW w:w="3081" w:type="dxa"/>
            <w:vMerge/>
          </w:tcPr>
          <w:p w:rsidR="001940D8" w:rsidRPr="004F5586" w:rsidRDefault="001940D8" w:rsidP="00E35312">
            <w:pPr>
              <w:pStyle w:val="TableHeading0"/>
              <w:jc w:val="center"/>
              <w:rPr>
                <w:b w:val="0"/>
              </w:rPr>
            </w:pPr>
          </w:p>
        </w:tc>
      </w:tr>
      <w:tr w:rsidR="001940D8" w:rsidRPr="004F5586" w:rsidTr="00E35312">
        <w:trPr>
          <w:trHeight w:val="87"/>
        </w:trPr>
        <w:tc>
          <w:tcPr>
            <w:tcW w:w="1432" w:type="dxa"/>
            <w:vMerge/>
          </w:tcPr>
          <w:p w:rsidR="001940D8" w:rsidRPr="004F5586" w:rsidRDefault="001940D8" w:rsidP="00E35312">
            <w:pPr>
              <w:pStyle w:val="TableHeading0"/>
              <w:rPr>
                <w:b w:val="0"/>
                <w:bCs/>
              </w:rPr>
            </w:pPr>
          </w:p>
        </w:tc>
        <w:tc>
          <w:tcPr>
            <w:tcW w:w="1540" w:type="dxa"/>
          </w:tcPr>
          <w:p w:rsidR="001940D8" w:rsidRPr="004F5586" w:rsidRDefault="001940D8" w:rsidP="00E35312">
            <w:pPr>
              <w:pStyle w:val="TableHeading0"/>
              <w:rPr>
                <w:b w:val="0"/>
                <w:bCs/>
              </w:rPr>
            </w:pPr>
            <w:r w:rsidRPr="004F5586">
              <w:rPr>
                <w:b w:val="0"/>
                <w:bCs/>
              </w:rPr>
              <w:t>Group 4</w:t>
            </w:r>
          </w:p>
        </w:tc>
        <w:tc>
          <w:tcPr>
            <w:tcW w:w="3081" w:type="dxa"/>
          </w:tcPr>
          <w:p w:rsidR="001940D8" w:rsidRPr="004F5586" w:rsidRDefault="001940D8" w:rsidP="00E35312">
            <w:pPr>
              <w:pStyle w:val="TableHeading0"/>
              <w:jc w:val="center"/>
              <w:rPr>
                <w:b w:val="0"/>
              </w:rPr>
            </w:pPr>
            <w:r w:rsidRPr="004F5586">
              <w:rPr>
                <w:b w:val="0"/>
              </w:rPr>
              <w:t>25/27 (92.6) [75.7, 99.1]</w:t>
            </w:r>
          </w:p>
        </w:tc>
        <w:tc>
          <w:tcPr>
            <w:tcW w:w="3081" w:type="dxa"/>
            <w:vMerge/>
          </w:tcPr>
          <w:p w:rsidR="001940D8" w:rsidRPr="004F5586" w:rsidRDefault="001940D8" w:rsidP="00E35312">
            <w:pPr>
              <w:pStyle w:val="TableHeading0"/>
              <w:jc w:val="center"/>
              <w:rPr>
                <w:b w:val="0"/>
              </w:rPr>
            </w:pPr>
          </w:p>
        </w:tc>
      </w:tr>
      <w:tr w:rsidR="001940D8" w:rsidRPr="004F5586" w:rsidTr="00E35312">
        <w:trPr>
          <w:trHeight w:val="87"/>
        </w:trPr>
        <w:tc>
          <w:tcPr>
            <w:tcW w:w="1432" w:type="dxa"/>
            <w:vMerge/>
          </w:tcPr>
          <w:p w:rsidR="001940D8" w:rsidRPr="004F5586" w:rsidRDefault="001940D8" w:rsidP="00E35312">
            <w:pPr>
              <w:pStyle w:val="TableHeading0"/>
              <w:rPr>
                <w:b w:val="0"/>
                <w:bCs/>
              </w:rPr>
            </w:pPr>
          </w:p>
        </w:tc>
        <w:tc>
          <w:tcPr>
            <w:tcW w:w="1540" w:type="dxa"/>
          </w:tcPr>
          <w:p w:rsidR="001940D8" w:rsidRPr="004F5586" w:rsidRDefault="001940D8" w:rsidP="00E35312">
            <w:pPr>
              <w:pStyle w:val="TableHeading0"/>
              <w:rPr>
                <w:b w:val="0"/>
                <w:bCs/>
              </w:rPr>
            </w:pPr>
            <w:r w:rsidRPr="004F5586">
              <w:rPr>
                <w:b w:val="0"/>
                <w:bCs/>
              </w:rPr>
              <w:t>Group 6</w:t>
            </w:r>
          </w:p>
        </w:tc>
        <w:tc>
          <w:tcPr>
            <w:tcW w:w="3081" w:type="dxa"/>
          </w:tcPr>
          <w:p w:rsidR="001940D8" w:rsidRPr="004F5586" w:rsidRDefault="001940D8" w:rsidP="00E35312">
            <w:pPr>
              <w:pStyle w:val="TableHeading0"/>
              <w:jc w:val="center"/>
              <w:rPr>
                <w:b w:val="0"/>
              </w:rPr>
            </w:pPr>
            <w:r w:rsidRPr="004F5586">
              <w:rPr>
                <w:b w:val="0"/>
              </w:rPr>
              <w:t>21/22 (95.5) [77.2, 99.9]</w:t>
            </w:r>
          </w:p>
        </w:tc>
        <w:tc>
          <w:tcPr>
            <w:tcW w:w="3081" w:type="dxa"/>
            <w:vMerge/>
          </w:tcPr>
          <w:p w:rsidR="001940D8" w:rsidRPr="004F5586" w:rsidRDefault="001940D8" w:rsidP="00E35312">
            <w:pPr>
              <w:pStyle w:val="TableHeading0"/>
              <w:jc w:val="center"/>
              <w:rPr>
                <w:b w:val="0"/>
              </w:rPr>
            </w:pPr>
          </w:p>
        </w:tc>
      </w:tr>
      <w:tr w:rsidR="001940D8" w:rsidRPr="004F5586" w:rsidTr="00E35312">
        <w:trPr>
          <w:trHeight w:val="88"/>
        </w:trPr>
        <w:tc>
          <w:tcPr>
            <w:tcW w:w="1432" w:type="dxa"/>
            <w:vMerge w:val="restart"/>
          </w:tcPr>
          <w:p w:rsidR="001940D8" w:rsidRPr="004F5586" w:rsidRDefault="001940D8" w:rsidP="00E35312">
            <w:pPr>
              <w:pStyle w:val="TableHeading0"/>
              <w:rPr>
                <w:b w:val="0"/>
                <w:bCs/>
              </w:rPr>
            </w:pPr>
            <w:r w:rsidRPr="004F5586">
              <w:rPr>
                <w:b w:val="0"/>
                <w:bCs/>
              </w:rPr>
              <w:t>Pianko (2015)</w:t>
            </w:r>
          </w:p>
        </w:tc>
        <w:tc>
          <w:tcPr>
            <w:tcW w:w="1540" w:type="dxa"/>
          </w:tcPr>
          <w:p w:rsidR="001940D8" w:rsidRPr="004F5586" w:rsidRDefault="001940D8" w:rsidP="00E35312">
            <w:pPr>
              <w:pStyle w:val="TableHeading0"/>
              <w:rPr>
                <w:b w:val="0"/>
                <w:bCs/>
              </w:rPr>
            </w:pPr>
            <w:r w:rsidRPr="004F5586">
              <w:rPr>
                <w:b w:val="0"/>
                <w:bCs/>
              </w:rPr>
              <w:t>Group 3</w:t>
            </w:r>
          </w:p>
        </w:tc>
        <w:tc>
          <w:tcPr>
            <w:tcW w:w="3081" w:type="dxa"/>
          </w:tcPr>
          <w:p w:rsidR="001940D8" w:rsidRPr="004F5586" w:rsidRDefault="001940D8" w:rsidP="00E35312">
            <w:pPr>
              <w:pStyle w:val="TableHeading0"/>
              <w:jc w:val="center"/>
              <w:rPr>
                <w:b w:val="0"/>
              </w:rPr>
            </w:pPr>
            <w:r w:rsidRPr="004F5586">
              <w:rPr>
                <w:b w:val="0"/>
              </w:rPr>
              <w:t>27/27 (100) [87.2, 100]</w:t>
            </w:r>
          </w:p>
        </w:tc>
        <w:tc>
          <w:tcPr>
            <w:tcW w:w="3081" w:type="dxa"/>
            <w:vMerge/>
          </w:tcPr>
          <w:p w:rsidR="001940D8" w:rsidRPr="004F5586" w:rsidRDefault="001940D8" w:rsidP="00E35312">
            <w:pPr>
              <w:pStyle w:val="TableHeading0"/>
              <w:jc w:val="center"/>
              <w:rPr>
                <w:b w:val="0"/>
              </w:rPr>
            </w:pPr>
          </w:p>
        </w:tc>
      </w:tr>
      <w:tr w:rsidR="001940D8" w:rsidRPr="004F5586" w:rsidTr="00E35312">
        <w:trPr>
          <w:trHeight w:val="87"/>
        </w:trPr>
        <w:tc>
          <w:tcPr>
            <w:tcW w:w="1432" w:type="dxa"/>
            <w:vMerge/>
          </w:tcPr>
          <w:p w:rsidR="001940D8" w:rsidRPr="004F5586" w:rsidRDefault="001940D8" w:rsidP="00E35312">
            <w:pPr>
              <w:pStyle w:val="TableHeading0"/>
              <w:rPr>
                <w:b w:val="0"/>
                <w:bCs/>
              </w:rPr>
            </w:pPr>
          </w:p>
        </w:tc>
        <w:tc>
          <w:tcPr>
            <w:tcW w:w="1540" w:type="dxa"/>
          </w:tcPr>
          <w:p w:rsidR="001940D8" w:rsidRPr="004F5586" w:rsidRDefault="001940D8" w:rsidP="00E35312">
            <w:pPr>
              <w:pStyle w:val="TableHeading0"/>
              <w:rPr>
                <w:b w:val="0"/>
                <w:bCs/>
              </w:rPr>
            </w:pPr>
            <w:r w:rsidRPr="004F5586">
              <w:rPr>
                <w:b w:val="0"/>
                <w:bCs/>
              </w:rPr>
              <w:t>Group 7</w:t>
            </w:r>
          </w:p>
        </w:tc>
        <w:tc>
          <w:tcPr>
            <w:tcW w:w="3081" w:type="dxa"/>
          </w:tcPr>
          <w:p w:rsidR="001940D8" w:rsidRPr="004F5586" w:rsidRDefault="001940D8" w:rsidP="00E35312">
            <w:pPr>
              <w:pStyle w:val="TableHeading0"/>
              <w:jc w:val="center"/>
              <w:rPr>
                <w:b w:val="0"/>
              </w:rPr>
            </w:pPr>
            <w:r w:rsidRPr="004F5586">
              <w:rPr>
                <w:b w:val="0"/>
              </w:rPr>
              <w:t>23/26 (88.5) [69.8, 97.6]</w:t>
            </w:r>
          </w:p>
        </w:tc>
        <w:tc>
          <w:tcPr>
            <w:tcW w:w="3081" w:type="dxa"/>
            <w:vMerge/>
          </w:tcPr>
          <w:p w:rsidR="001940D8" w:rsidRPr="004F5586" w:rsidRDefault="001940D8" w:rsidP="00E35312">
            <w:pPr>
              <w:pStyle w:val="TableHeading0"/>
              <w:jc w:val="center"/>
              <w:rPr>
                <w:b w:val="0"/>
              </w:rPr>
            </w:pPr>
          </w:p>
        </w:tc>
      </w:tr>
      <w:tr w:rsidR="001940D8" w:rsidRPr="004F5586" w:rsidTr="00E35312">
        <w:trPr>
          <w:trHeight w:val="87"/>
        </w:trPr>
        <w:tc>
          <w:tcPr>
            <w:tcW w:w="1432" w:type="dxa"/>
            <w:vMerge/>
          </w:tcPr>
          <w:p w:rsidR="001940D8" w:rsidRPr="004F5586" w:rsidRDefault="001940D8" w:rsidP="00E35312">
            <w:pPr>
              <w:pStyle w:val="TableHeading0"/>
              <w:rPr>
                <w:b w:val="0"/>
                <w:bCs/>
              </w:rPr>
            </w:pPr>
          </w:p>
        </w:tc>
        <w:tc>
          <w:tcPr>
            <w:tcW w:w="1540" w:type="dxa"/>
          </w:tcPr>
          <w:p w:rsidR="001940D8" w:rsidRPr="004F5586" w:rsidRDefault="001940D8" w:rsidP="00E35312">
            <w:pPr>
              <w:pStyle w:val="TableHeading0"/>
              <w:rPr>
                <w:b w:val="0"/>
                <w:bCs/>
              </w:rPr>
            </w:pPr>
            <w:r w:rsidRPr="004F5586">
              <w:rPr>
                <w:b w:val="0"/>
                <w:bCs/>
              </w:rPr>
              <w:t>Group 11</w:t>
            </w:r>
          </w:p>
        </w:tc>
        <w:tc>
          <w:tcPr>
            <w:tcW w:w="3081" w:type="dxa"/>
          </w:tcPr>
          <w:p w:rsidR="001940D8" w:rsidRPr="004F5586" w:rsidRDefault="001940D8" w:rsidP="00E35312">
            <w:pPr>
              <w:pStyle w:val="TableHeading0"/>
              <w:jc w:val="center"/>
              <w:rPr>
                <w:b w:val="0"/>
              </w:rPr>
            </w:pPr>
            <w:r w:rsidRPr="004F5586">
              <w:rPr>
                <w:b w:val="0"/>
              </w:rPr>
              <w:t>27/27 (100) [87.2, 100]</w:t>
            </w:r>
          </w:p>
        </w:tc>
        <w:tc>
          <w:tcPr>
            <w:tcW w:w="3081" w:type="dxa"/>
            <w:vMerge/>
          </w:tcPr>
          <w:p w:rsidR="001940D8" w:rsidRPr="004F5586" w:rsidRDefault="001940D8" w:rsidP="00E35312">
            <w:pPr>
              <w:pStyle w:val="TableHeading0"/>
              <w:jc w:val="center"/>
              <w:rPr>
                <w:b w:val="0"/>
              </w:rPr>
            </w:pPr>
          </w:p>
        </w:tc>
      </w:tr>
    </w:tbl>
    <w:p w:rsidR="001940D8" w:rsidRPr="004F5586" w:rsidRDefault="001940D8" w:rsidP="001940D8">
      <w:pPr>
        <w:pStyle w:val="TableFooter"/>
      </w:pPr>
      <w:r w:rsidRPr="004F5586">
        <w:rPr>
          <w:vertAlign w:val="superscript"/>
        </w:rPr>
        <w:t>a</w:t>
      </w:r>
      <w:r w:rsidRPr="004F5586">
        <w:t>Only treatment naïve patients included in this arm</w:t>
      </w:r>
    </w:p>
    <w:p w:rsidR="001940D8" w:rsidRPr="004F5586" w:rsidRDefault="001940D8" w:rsidP="001940D8">
      <w:pPr>
        <w:pStyle w:val="TableFooter"/>
      </w:pPr>
      <w:r w:rsidRPr="004F5586">
        <w:rPr>
          <w:vertAlign w:val="superscript"/>
        </w:rPr>
        <w:t>b</w:t>
      </w:r>
      <w:r w:rsidRPr="004F5586">
        <w:t>Including patients who are treatment experienced to NS5A inhibitors</w:t>
      </w:r>
    </w:p>
    <w:p w:rsidR="001940D8" w:rsidRDefault="001940D8" w:rsidP="001940D8">
      <w:pPr>
        <w:pStyle w:val="TableFooter"/>
        <w:rPr>
          <w:iCs/>
        </w:rPr>
      </w:pPr>
      <w:r w:rsidRPr="004F5586">
        <w:rPr>
          <w:iCs/>
          <w:vertAlign w:val="superscript"/>
        </w:rPr>
        <w:t>c</w:t>
      </w:r>
      <w:r w:rsidRPr="004F5586">
        <w:rPr>
          <w:iCs/>
        </w:rPr>
        <w:t>As stated in Section B.5 of the commentary, the method of pooling used in the submission does not weight studies by variance. When SVR rates are pooled using a random effects meta-analysis of proportions (metaprop, Stata 14.1), with a Freeman-Tukey Double Arcsine Transformation to stabilise the variances, the results for the pooling for glecaprevir/pibrentasvir and sofosbuvir/velpatasvir are 97.7% [96.2%, 98.9%] and 98.3% [95.9%, 99.8%], respectively.</w:t>
      </w:r>
    </w:p>
    <w:p w:rsidR="001940D8" w:rsidRPr="004F5586" w:rsidRDefault="001940D8" w:rsidP="001940D8">
      <w:pPr>
        <w:pStyle w:val="TableFooter"/>
        <w:rPr>
          <w:iCs/>
        </w:rPr>
      </w:pPr>
      <w:r w:rsidRPr="004F5586">
        <w:t>SVR12 = sustained virological response at 12 weeks following the completion of treatment</w:t>
      </w:r>
    </w:p>
    <w:p w:rsidR="001940D8" w:rsidRPr="004F5586" w:rsidRDefault="001940D8" w:rsidP="001940D8">
      <w:pPr>
        <w:pStyle w:val="TableFooter"/>
      </w:pPr>
      <w:r w:rsidRPr="004F5586">
        <w:rPr>
          <w:iCs/>
        </w:rPr>
        <w:t>Source: Table B-23, p125 and Table B-24, p126 of the submission.</w:t>
      </w:r>
    </w:p>
    <w:p w:rsidR="001940D8" w:rsidRPr="004F5586" w:rsidRDefault="001940D8" w:rsidP="001940D8"/>
    <w:p w:rsidR="001940D8" w:rsidRPr="004F5586" w:rsidRDefault="001940D8" w:rsidP="001940D8">
      <w:pPr>
        <w:pStyle w:val="ListParagraph"/>
        <w:widowControl/>
        <w:numPr>
          <w:ilvl w:val="1"/>
          <w:numId w:val="1"/>
        </w:numPr>
        <w:spacing w:after="120"/>
        <w:contextualSpacing w:val="0"/>
        <w:rPr>
          <w:rFonts w:asciiTheme="minorHAnsi" w:hAnsiTheme="minorHAnsi"/>
          <w:sz w:val="24"/>
        </w:rPr>
      </w:pPr>
      <w:r w:rsidRPr="004F5586">
        <w:rPr>
          <w:rFonts w:asciiTheme="minorHAnsi" w:hAnsiTheme="minorHAnsi"/>
          <w:sz w:val="24"/>
        </w:rPr>
        <w:t xml:space="preserve">Across all included study arms for glecaprevir/pibrentasvir, SVR12 ranged from 91.5% in patients with genotypes 1, 4, 5 or 6 who were treatment experienced (including experienced to NS5A inhibitors) with or without cirrhosis (MAGELLAN-1) to 99.3% in patients with genotypes 1, 2, 4, 5 or 6, with cirrhosis who were either treatment naïve or treatment experienced (EXPEDITION-1). Pooling across all of these study results in a SVR12 of </w:t>
      </w:r>
      <w:r>
        <w:rPr>
          <w:rFonts w:asciiTheme="minorHAnsi" w:hAnsiTheme="minorHAnsi"/>
          <w:noProof/>
          <w:color w:val="000000"/>
          <w:sz w:val="24"/>
          <w:highlight w:val="black"/>
        </w:rPr>
        <w:t>''''''''''' '''''''''' '''' '''''''''' '''''''''</w:t>
      </w:r>
      <w:r>
        <w:rPr>
          <w:rFonts w:asciiTheme="minorHAnsi" w:hAnsiTheme="minorHAnsi"/>
          <w:sz w:val="24"/>
        </w:rPr>
        <w:t>.</w:t>
      </w:r>
    </w:p>
    <w:p w:rsidR="001940D8" w:rsidRPr="004F5586" w:rsidRDefault="001940D8" w:rsidP="001940D8">
      <w:pPr>
        <w:pStyle w:val="ListParagraph"/>
        <w:widowControl/>
        <w:numPr>
          <w:ilvl w:val="1"/>
          <w:numId w:val="1"/>
        </w:numPr>
        <w:spacing w:after="120"/>
        <w:contextualSpacing w:val="0"/>
        <w:rPr>
          <w:rFonts w:asciiTheme="minorHAnsi" w:hAnsiTheme="minorHAnsi"/>
          <w:sz w:val="24"/>
        </w:rPr>
      </w:pPr>
      <w:r w:rsidRPr="004F5586">
        <w:rPr>
          <w:rFonts w:asciiTheme="minorHAnsi" w:hAnsiTheme="minorHAnsi"/>
          <w:sz w:val="24"/>
        </w:rPr>
        <w:lastRenderedPageBreak/>
        <w:t>SVR12 rates were similar in the sofosbuvir/velpatasvir study arms, ranging from 88.5% in treatment experienced patients who were cirrhotic with genotype 3 HCV (Pianko 2015) to 100% in three trial arms. The pooled results across all relevant sofosbuvir/velpatasvir study arms was 97.8% [95% CI 96.8, 98.6].</w:t>
      </w:r>
    </w:p>
    <w:p w:rsidR="001940D8" w:rsidRPr="004F5586" w:rsidRDefault="001940D8" w:rsidP="001940D8">
      <w:pPr>
        <w:pStyle w:val="ListParagraph"/>
        <w:widowControl/>
        <w:numPr>
          <w:ilvl w:val="1"/>
          <w:numId w:val="1"/>
        </w:numPr>
        <w:spacing w:after="120"/>
        <w:contextualSpacing w:val="0"/>
        <w:rPr>
          <w:rFonts w:asciiTheme="minorHAnsi" w:hAnsiTheme="minorHAnsi"/>
          <w:sz w:val="24"/>
        </w:rPr>
      </w:pPr>
      <w:r w:rsidRPr="004F5586">
        <w:rPr>
          <w:rFonts w:asciiTheme="minorHAnsi" w:hAnsiTheme="minorHAnsi"/>
          <w:iCs/>
          <w:sz w:val="24"/>
        </w:rPr>
        <w:t>The pooled SVR rate in the glecaprevir/pibrentasvir study arms was similar to the pooled SVR rate in the sofosbuvir/velpatasvir study arms. This comparison may have been confounded by differences in patients enrolled into each of the trial arms with respect to HCV genotype, the presence or absence of cirrhosis, exposure to prior HCV treatments or other prognostic factors.</w:t>
      </w:r>
    </w:p>
    <w:p w:rsidR="001940D8" w:rsidRPr="004F5586" w:rsidRDefault="001940D8" w:rsidP="001940D8">
      <w:pPr>
        <w:pStyle w:val="ListParagraph"/>
        <w:widowControl/>
        <w:numPr>
          <w:ilvl w:val="1"/>
          <w:numId w:val="1"/>
        </w:numPr>
        <w:spacing w:after="120"/>
        <w:contextualSpacing w:val="0"/>
        <w:rPr>
          <w:rFonts w:asciiTheme="minorHAnsi" w:hAnsiTheme="minorHAnsi"/>
          <w:sz w:val="24"/>
        </w:rPr>
      </w:pPr>
      <w:r w:rsidRPr="004F5586">
        <w:rPr>
          <w:rFonts w:asciiTheme="minorHAnsi" w:hAnsiTheme="minorHAnsi"/>
          <w:sz w:val="24"/>
        </w:rPr>
        <w:t xml:space="preserve">The submission also conducted a comparison of SVR12 from glecaprevir/pibrentasvir studies with those from the sofosbuvir/velpatasvir studies by genotype, the presence or absence of cirrhosis (for all genotypes and stratified by genotype) and exposure to prior treatments (for all genotypes and stratified by genotype). </w:t>
      </w:r>
      <w:r w:rsidRPr="004F5586">
        <w:rPr>
          <w:rFonts w:asciiTheme="minorHAnsi" w:hAnsiTheme="minorHAnsi"/>
          <w:iCs/>
          <w:sz w:val="24"/>
        </w:rPr>
        <w:t>Overall, the comparison of glecaprevir/pibrentasvir vs sofosbuvir/velpatasvir across genotypes, and within subgroups defined by the presence or absence of cirrhosis and exposure to prior HCV treatments, results in small and non-significant differences in SVR12. There did not appear to be a trend favouring one treatment regimen over another.</w:t>
      </w:r>
    </w:p>
    <w:p w:rsidR="001940D8" w:rsidRPr="004F5586" w:rsidRDefault="001940D8" w:rsidP="001940D8">
      <w:pPr>
        <w:pStyle w:val="ListParagraph"/>
        <w:widowControl/>
        <w:numPr>
          <w:ilvl w:val="1"/>
          <w:numId w:val="1"/>
        </w:numPr>
        <w:spacing w:after="120"/>
        <w:contextualSpacing w:val="0"/>
        <w:rPr>
          <w:rFonts w:asciiTheme="minorHAnsi" w:hAnsiTheme="minorHAnsi"/>
          <w:sz w:val="24"/>
        </w:rPr>
      </w:pPr>
      <w:r w:rsidRPr="004F5586">
        <w:rPr>
          <w:rFonts w:asciiTheme="minorHAnsi" w:hAnsiTheme="minorHAnsi"/>
          <w:sz w:val="24"/>
        </w:rPr>
        <w:t xml:space="preserve">The SVR12 rate for Arm E of MAGELLAN-1 was 91.5% [95% CI 79.6, 97.6], based on </w:t>
      </w:r>
      <w:r>
        <w:rPr>
          <w:rFonts w:asciiTheme="minorHAnsi" w:hAnsiTheme="minorHAnsi"/>
          <w:sz w:val="24"/>
        </w:rPr>
        <w:t>44</w:t>
      </w:r>
      <w:r w:rsidRPr="004F5586">
        <w:rPr>
          <w:rFonts w:asciiTheme="minorHAnsi" w:hAnsiTheme="minorHAnsi"/>
          <w:sz w:val="24"/>
        </w:rPr>
        <w:t xml:space="preserve"> patients with genotype 1 and </w:t>
      </w:r>
      <w:r>
        <w:rPr>
          <w:rFonts w:asciiTheme="minorHAnsi" w:hAnsiTheme="minorHAnsi"/>
          <w:sz w:val="24"/>
        </w:rPr>
        <w:t xml:space="preserve">three </w:t>
      </w:r>
      <w:r w:rsidRPr="004F5586">
        <w:rPr>
          <w:rFonts w:asciiTheme="minorHAnsi" w:hAnsiTheme="minorHAnsi"/>
          <w:sz w:val="24"/>
        </w:rPr>
        <w:t>patient</w:t>
      </w:r>
      <w:r>
        <w:rPr>
          <w:rFonts w:asciiTheme="minorHAnsi" w:hAnsiTheme="minorHAnsi"/>
          <w:sz w:val="24"/>
        </w:rPr>
        <w:t>s</w:t>
      </w:r>
      <w:r w:rsidRPr="004F5586">
        <w:rPr>
          <w:rFonts w:asciiTheme="minorHAnsi" w:hAnsiTheme="minorHAnsi"/>
          <w:sz w:val="24"/>
        </w:rPr>
        <w:t xml:space="preserve"> with genotype 4 HCV who had prior treatment with a direct acting antiviral regimen for HCV (including 34 patients who were NS5A experienced). The submission therefore claimed that glecaprevir/pibrentasvir is effective in this population. There is no evidence suggesting that PBS recommended regimen of sofosbuvir/velpatasvir is effective in this population.</w:t>
      </w:r>
    </w:p>
    <w:p w:rsidR="001940D8" w:rsidRPr="004F5586" w:rsidRDefault="001940D8" w:rsidP="001940D8">
      <w:pPr>
        <w:pStyle w:val="ListParagraph"/>
        <w:widowControl/>
        <w:numPr>
          <w:ilvl w:val="1"/>
          <w:numId w:val="1"/>
        </w:numPr>
        <w:spacing w:after="120"/>
        <w:contextualSpacing w:val="0"/>
        <w:rPr>
          <w:rFonts w:asciiTheme="minorHAnsi" w:hAnsiTheme="minorHAnsi"/>
          <w:sz w:val="24"/>
        </w:rPr>
      </w:pPr>
      <w:r>
        <w:rPr>
          <w:rFonts w:asciiTheme="minorHAnsi" w:hAnsiTheme="minorHAnsi"/>
          <w:iCs/>
          <w:noProof/>
          <w:color w:val="000000"/>
          <w:sz w:val="24"/>
          <w:highlight w:val="black"/>
        </w:rPr>
        <w:t>''''''''</w:t>
      </w:r>
      <w:r w:rsidRPr="004F5586">
        <w:rPr>
          <w:rFonts w:asciiTheme="minorHAnsi" w:hAnsiTheme="minorHAnsi"/>
          <w:iCs/>
          <w:sz w:val="24"/>
        </w:rPr>
        <w:t xml:space="preserve"> patients experienced virologic failure in the relevant arm (Arm E, 16 weeks duration of treatment) in MAGELLAN-1. All </w:t>
      </w:r>
      <w:r>
        <w:rPr>
          <w:rFonts w:asciiTheme="minorHAnsi" w:hAnsiTheme="minorHAnsi"/>
          <w:iCs/>
          <w:noProof/>
          <w:color w:val="000000"/>
          <w:sz w:val="24"/>
          <w:highlight w:val="black"/>
        </w:rPr>
        <w:t>''''''''</w:t>
      </w:r>
      <w:r w:rsidRPr="004F5586">
        <w:rPr>
          <w:rFonts w:asciiTheme="minorHAnsi" w:hAnsiTheme="minorHAnsi"/>
          <w:iCs/>
          <w:sz w:val="24"/>
        </w:rPr>
        <w:t xml:space="preserve"> patients were NS5A inhibitor experienced and three were experienced with both an NS5A inhibitor and an NS3/4A protease inhibitor. </w:t>
      </w:r>
      <w:r>
        <w:rPr>
          <w:rFonts w:asciiTheme="minorHAnsi" w:hAnsiTheme="minorHAnsi"/>
          <w:iCs/>
          <w:noProof/>
          <w:color w:val="000000"/>
          <w:sz w:val="24"/>
          <w:highlight w:val="black"/>
        </w:rPr>
        <w:t>'''''''''''' ''''' ''''''' '''''''''</w:t>
      </w:r>
      <w:r w:rsidRPr="004F5586">
        <w:rPr>
          <w:rFonts w:asciiTheme="minorHAnsi" w:hAnsiTheme="minorHAnsi"/>
          <w:iCs/>
          <w:sz w:val="24"/>
        </w:rPr>
        <w:t xml:space="preserve"> patients were IL28B genotype CT or TT, and the </w:t>
      </w:r>
      <w:r>
        <w:rPr>
          <w:rFonts w:asciiTheme="minorHAnsi" w:hAnsiTheme="minorHAnsi"/>
          <w:iCs/>
          <w:noProof/>
          <w:color w:val="000000"/>
          <w:sz w:val="24"/>
          <w:highlight w:val="black"/>
        </w:rPr>
        <w:t>'''''''''''''</w:t>
      </w:r>
      <w:r w:rsidRPr="004F5586">
        <w:rPr>
          <w:rFonts w:asciiTheme="minorHAnsi" w:hAnsiTheme="minorHAnsi"/>
          <w:iCs/>
          <w:sz w:val="24"/>
        </w:rPr>
        <w:t xml:space="preserve"> was not determined. All failed patients had baseline polymorphisms in NS5A. </w:t>
      </w:r>
      <w:r>
        <w:rPr>
          <w:rFonts w:asciiTheme="minorHAnsi" w:hAnsiTheme="minorHAnsi"/>
          <w:iCs/>
          <w:noProof/>
          <w:color w:val="000000"/>
          <w:sz w:val="24"/>
          <w:highlight w:val="black"/>
        </w:rPr>
        <w:t>''''''''''' '''' '''''' ''''''''</w:t>
      </w:r>
      <w:r w:rsidRPr="004F5586">
        <w:rPr>
          <w:rFonts w:asciiTheme="minorHAnsi" w:hAnsiTheme="minorHAnsi"/>
          <w:iCs/>
          <w:sz w:val="24"/>
        </w:rPr>
        <w:t xml:space="preserve"> patients had cirrhosis. Prior failure of treatment with an NS5A inhibitor may have selected patients with poor prognostic features (such as IL28B non-CC, cirrhosis and NS5A resistant polymorphisms).</w:t>
      </w:r>
    </w:p>
    <w:p w:rsidR="001940D8" w:rsidRPr="00533D52" w:rsidRDefault="001940D8" w:rsidP="001940D8">
      <w:pPr>
        <w:pStyle w:val="ListParagraph"/>
        <w:widowControl/>
        <w:numPr>
          <w:ilvl w:val="1"/>
          <w:numId w:val="1"/>
        </w:numPr>
        <w:spacing w:after="120"/>
        <w:contextualSpacing w:val="0"/>
        <w:rPr>
          <w:rFonts w:asciiTheme="minorHAnsi" w:hAnsiTheme="minorHAnsi"/>
          <w:sz w:val="24"/>
        </w:rPr>
      </w:pPr>
      <w:r w:rsidRPr="00533D52">
        <w:rPr>
          <w:rFonts w:asciiTheme="minorHAnsi" w:hAnsiTheme="minorHAnsi"/>
          <w:sz w:val="24"/>
        </w:rPr>
        <w:t>In Arm E of MAGELLAN-1, 94% of patients had genotype 1. Therefore, for patients experienced on NS5A inhibitors, the clinical efficacy of glecaprevir/pibrentasvir in patients who have genotypes other than 1 is largely unknown.</w:t>
      </w:r>
    </w:p>
    <w:p w:rsidR="001940D8" w:rsidRPr="00533D52" w:rsidRDefault="001940D8" w:rsidP="001940D8">
      <w:pPr>
        <w:pStyle w:val="ListParagraph"/>
        <w:widowControl/>
        <w:numPr>
          <w:ilvl w:val="1"/>
          <w:numId w:val="1"/>
        </w:numPr>
        <w:spacing w:after="120"/>
        <w:contextualSpacing w:val="0"/>
        <w:rPr>
          <w:rFonts w:asciiTheme="minorHAnsi" w:hAnsiTheme="minorHAnsi"/>
          <w:sz w:val="24"/>
        </w:rPr>
      </w:pPr>
      <w:r w:rsidRPr="00533D52">
        <w:rPr>
          <w:rFonts w:asciiTheme="minorHAnsi" w:hAnsiTheme="minorHAnsi"/>
          <w:sz w:val="24"/>
        </w:rPr>
        <w:t>The PSCR (p1-3) provided in vitro data for genotypes 2, 4, 5 and 6 suggesting that pibrentasvir retained activity against common NS5A substitutions that confer resistance. It also provided in vitro data that pibrentasvir retained activity against Y93H substitution, the more common substitution causing resistance to NS5A in genotype 3.</w:t>
      </w:r>
    </w:p>
    <w:p w:rsidR="001940D8" w:rsidRDefault="001940D8" w:rsidP="001940D8">
      <w:pPr>
        <w:widowControl/>
        <w:jc w:val="left"/>
        <w:rPr>
          <w:rFonts w:asciiTheme="minorHAnsi" w:hAnsiTheme="minorHAnsi"/>
          <w:b/>
          <w:i/>
          <w:sz w:val="28"/>
        </w:rPr>
      </w:pPr>
      <w:bookmarkStart w:id="17" w:name="_Toc476306889"/>
      <w:bookmarkStart w:id="18" w:name="_Toc482354744"/>
      <w:bookmarkStart w:id="19" w:name="_GoBack"/>
      <w:bookmarkEnd w:id="19"/>
    </w:p>
    <w:p w:rsidR="001940D8" w:rsidRPr="004F5586" w:rsidRDefault="001940D8" w:rsidP="001940D8">
      <w:pPr>
        <w:pStyle w:val="Heading2"/>
        <w:rPr>
          <w:rFonts w:asciiTheme="minorHAnsi" w:hAnsiTheme="minorHAnsi"/>
          <w:i w:val="0"/>
          <w:sz w:val="28"/>
        </w:rPr>
      </w:pPr>
      <w:r w:rsidRPr="004F5586">
        <w:rPr>
          <w:rFonts w:asciiTheme="minorHAnsi" w:hAnsiTheme="minorHAnsi"/>
          <w:sz w:val="28"/>
        </w:rPr>
        <w:t>Comparative harms</w:t>
      </w:r>
      <w:bookmarkEnd w:id="17"/>
      <w:bookmarkEnd w:id="18"/>
    </w:p>
    <w:p w:rsidR="001940D8" w:rsidRPr="004F5586" w:rsidRDefault="001940D8" w:rsidP="001940D8"/>
    <w:p w:rsidR="001940D8" w:rsidRPr="004F5586" w:rsidRDefault="001940D8" w:rsidP="001940D8">
      <w:pPr>
        <w:pStyle w:val="ListParagraph"/>
        <w:widowControl/>
        <w:numPr>
          <w:ilvl w:val="1"/>
          <w:numId w:val="1"/>
        </w:numPr>
        <w:spacing w:after="120"/>
        <w:contextualSpacing w:val="0"/>
        <w:rPr>
          <w:rFonts w:asciiTheme="minorHAnsi" w:hAnsiTheme="minorHAnsi"/>
          <w:sz w:val="24"/>
        </w:rPr>
      </w:pPr>
      <w:r w:rsidRPr="004F5586">
        <w:rPr>
          <w:rFonts w:asciiTheme="minorHAnsi" w:hAnsiTheme="minorHAnsi"/>
          <w:sz w:val="24"/>
        </w:rPr>
        <w:t xml:space="preserve">The submission presented a summary of adverse event data as well as treatment emergent adverse events occurring in 10% or greater of patients in treatment arms for the included glecaprevir/pibrentasvir and sofosbuvir/velpatasvir study arms. An unadjusted comparison across studies for adverse events is presented in Table </w:t>
      </w:r>
      <w:r w:rsidRPr="004F5586">
        <w:rPr>
          <w:rFonts w:asciiTheme="minorHAnsi" w:hAnsiTheme="minorHAnsi"/>
          <w:noProof/>
          <w:sz w:val="24"/>
        </w:rPr>
        <w:t>6</w:t>
      </w:r>
      <w:r w:rsidRPr="004F5586">
        <w:rPr>
          <w:rFonts w:asciiTheme="minorHAnsi" w:hAnsiTheme="minorHAnsi"/>
          <w:sz w:val="24"/>
        </w:rPr>
        <w:t xml:space="preserve"> below.</w:t>
      </w:r>
    </w:p>
    <w:p w:rsidR="001940D8" w:rsidRPr="004F5586" w:rsidRDefault="001940D8" w:rsidP="001940D8">
      <w:pPr>
        <w:pStyle w:val="Caption"/>
        <w:keepNext/>
        <w:keepLines/>
      </w:pPr>
      <w:bookmarkStart w:id="20" w:name="_Ref479762558"/>
      <w:r w:rsidRPr="004F5586">
        <w:t xml:space="preserve">Table </w:t>
      </w:r>
      <w:r w:rsidRPr="004F5586">
        <w:rPr>
          <w:noProof/>
        </w:rPr>
        <w:t>6</w:t>
      </w:r>
      <w:bookmarkEnd w:id="20"/>
      <w:r w:rsidRPr="004F5586">
        <w:t>: Summary of adverse events reported in respective glecaprevir/pibrentasvir and sofosbuvir/velpatasvir studies</w:t>
      </w:r>
    </w:p>
    <w:tbl>
      <w:tblPr>
        <w:tblStyle w:val="TableGrid"/>
        <w:tblW w:w="4942" w:type="pct"/>
        <w:tblInd w:w="108" w:type="dxa"/>
        <w:tblLook w:val="0620" w:firstRow="1" w:lastRow="0" w:firstColumn="0" w:lastColumn="0" w:noHBand="1" w:noVBand="1"/>
        <w:tblCaption w:val="Table 6: Summary of adverse events reported in respective glecaprevir/pibrentasvir and sofosbuvir/velpatasvir studies"/>
      </w:tblPr>
      <w:tblGrid>
        <w:gridCol w:w="2977"/>
        <w:gridCol w:w="1843"/>
        <w:gridCol w:w="1984"/>
        <w:gridCol w:w="2331"/>
      </w:tblGrid>
      <w:tr w:rsidR="001940D8" w:rsidRPr="004F5586" w:rsidTr="00E35312">
        <w:trPr>
          <w:tblHeader/>
        </w:trPr>
        <w:tc>
          <w:tcPr>
            <w:tcW w:w="2977" w:type="dxa"/>
          </w:tcPr>
          <w:p w:rsidR="001940D8" w:rsidRPr="004F5586" w:rsidRDefault="001940D8" w:rsidP="00E35312">
            <w:pPr>
              <w:keepNext/>
              <w:keepLines/>
              <w:rPr>
                <w:rFonts w:ascii="Arial Narrow" w:hAnsi="Arial Narrow"/>
                <w:b/>
                <w:sz w:val="20"/>
              </w:rPr>
            </w:pPr>
            <w:r w:rsidRPr="004F5586">
              <w:rPr>
                <w:rFonts w:ascii="Arial Narrow" w:hAnsi="Arial Narrow"/>
                <w:b/>
                <w:sz w:val="20"/>
              </w:rPr>
              <w:t>Outcome</w:t>
            </w:r>
          </w:p>
        </w:tc>
        <w:tc>
          <w:tcPr>
            <w:tcW w:w="1843" w:type="dxa"/>
          </w:tcPr>
          <w:p w:rsidR="001940D8" w:rsidRPr="004F5586" w:rsidRDefault="001940D8" w:rsidP="00E35312">
            <w:pPr>
              <w:keepNext/>
              <w:keepLines/>
              <w:jc w:val="center"/>
              <w:rPr>
                <w:rFonts w:ascii="Arial Narrow" w:hAnsi="Arial Narrow"/>
                <w:b/>
                <w:sz w:val="20"/>
              </w:rPr>
            </w:pPr>
            <w:r w:rsidRPr="004F5586">
              <w:rPr>
                <w:rFonts w:ascii="Arial Narrow" w:hAnsi="Arial Narrow"/>
                <w:b/>
                <w:sz w:val="20"/>
              </w:rPr>
              <w:t>GLE/PIB</w:t>
            </w:r>
            <w:r>
              <w:rPr>
                <w:rFonts w:ascii="Arial Narrow" w:hAnsi="Arial Narrow"/>
                <w:b/>
                <w:sz w:val="20"/>
              </w:rPr>
              <w:t xml:space="preserve"> p</w:t>
            </w:r>
            <w:r w:rsidRPr="004F5586">
              <w:rPr>
                <w:rFonts w:ascii="Arial Narrow" w:hAnsi="Arial Narrow"/>
                <w:b/>
                <w:sz w:val="20"/>
              </w:rPr>
              <w:t>ooled</w:t>
            </w:r>
          </w:p>
          <w:p w:rsidR="001940D8" w:rsidRPr="004F5586" w:rsidRDefault="001940D8" w:rsidP="00E35312">
            <w:pPr>
              <w:keepNext/>
              <w:keepLines/>
              <w:jc w:val="center"/>
              <w:rPr>
                <w:rFonts w:ascii="Arial Narrow" w:hAnsi="Arial Narrow"/>
                <w:b/>
                <w:sz w:val="20"/>
              </w:rPr>
            </w:pPr>
            <w:r w:rsidRPr="004F5586">
              <w:rPr>
                <w:rFonts w:ascii="Arial Narrow" w:hAnsi="Arial Narrow"/>
                <w:b/>
                <w:sz w:val="20"/>
              </w:rPr>
              <w:t>N=1,308</w:t>
            </w:r>
          </w:p>
          <w:p w:rsidR="001940D8" w:rsidRPr="004F5586" w:rsidRDefault="001940D8" w:rsidP="00E35312">
            <w:pPr>
              <w:keepNext/>
              <w:keepLines/>
              <w:jc w:val="center"/>
              <w:rPr>
                <w:rFonts w:ascii="Arial Narrow" w:hAnsi="Arial Narrow"/>
                <w:b/>
                <w:sz w:val="20"/>
              </w:rPr>
            </w:pPr>
            <w:r w:rsidRPr="004F5586">
              <w:rPr>
                <w:rFonts w:ascii="Arial Narrow" w:hAnsi="Arial Narrow"/>
                <w:b/>
                <w:sz w:val="20"/>
              </w:rPr>
              <w:t>n (%)</w:t>
            </w:r>
          </w:p>
        </w:tc>
        <w:tc>
          <w:tcPr>
            <w:tcW w:w="1984" w:type="dxa"/>
          </w:tcPr>
          <w:p w:rsidR="001940D8" w:rsidRPr="004F5586" w:rsidRDefault="001940D8" w:rsidP="00E35312">
            <w:pPr>
              <w:keepNext/>
              <w:keepLines/>
              <w:jc w:val="center"/>
              <w:rPr>
                <w:rFonts w:ascii="Arial Narrow" w:hAnsi="Arial Narrow"/>
                <w:b/>
                <w:sz w:val="20"/>
              </w:rPr>
            </w:pPr>
            <w:r w:rsidRPr="004F5586">
              <w:rPr>
                <w:rFonts w:ascii="Arial Narrow" w:hAnsi="Arial Narrow"/>
                <w:b/>
                <w:sz w:val="20"/>
              </w:rPr>
              <w:t>SOF/VEL</w:t>
            </w:r>
            <w:r>
              <w:rPr>
                <w:rFonts w:ascii="Arial Narrow" w:hAnsi="Arial Narrow"/>
                <w:b/>
                <w:sz w:val="20"/>
              </w:rPr>
              <w:t xml:space="preserve"> p</w:t>
            </w:r>
            <w:r w:rsidRPr="004F5586">
              <w:rPr>
                <w:rFonts w:ascii="Arial Narrow" w:hAnsi="Arial Narrow"/>
                <w:b/>
                <w:sz w:val="20"/>
              </w:rPr>
              <w:t>ooled</w:t>
            </w:r>
          </w:p>
          <w:p w:rsidR="001940D8" w:rsidRPr="004F5586" w:rsidRDefault="001940D8" w:rsidP="00E35312">
            <w:pPr>
              <w:keepNext/>
              <w:keepLines/>
              <w:jc w:val="center"/>
              <w:rPr>
                <w:rFonts w:ascii="Arial Narrow" w:hAnsi="Arial Narrow"/>
                <w:b/>
                <w:sz w:val="20"/>
              </w:rPr>
            </w:pPr>
            <w:r w:rsidRPr="004F5586">
              <w:rPr>
                <w:rFonts w:ascii="Arial Narrow" w:hAnsi="Arial Narrow"/>
                <w:b/>
                <w:sz w:val="20"/>
              </w:rPr>
              <w:t>N=1,192</w:t>
            </w:r>
          </w:p>
          <w:p w:rsidR="001940D8" w:rsidRPr="004F5586" w:rsidRDefault="001940D8" w:rsidP="00E35312">
            <w:pPr>
              <w:keepNext/>
              <w:keepLines/>
              <w:jc w:val="center"/>
              <w:rPr>
                <w:rFonts w:ascii="Arial Narrow" w:hAnsi="Arial Narrow"/>
                <w:b/>
                <w:sz w:val="20"/>
              </w:rPr>
            </w:pPr>
            <w:r w:rsidRPr="004F5586">
              <w:rPr>
                <w:rFonts w:ascii="Arial Narrow" w:hAnsi="Arial Narrow"/>
                <w:b/>
                <w:sz w:val="20"/>
              </w:rPr>
              <w:t>n (%)</w:t>
            </w:r>
          </w:p>
        </w:tc>
        <w:tc>
          <w:tcPr>
            <w:tcW w:w="2331" w:type="dxa"/>
          </w:tcPr>
          <w:p w:rsidR="001940D8" w:rsidRPr="004F5586" w:rsidRDefault="001940D8" w:rsidP="00E35312">
            <w:pPr>
              <w:keepNext/>
              <w:keepLines/>
              <w:jc w:val="center"/>
              <w:rPr>
                <w:rFonts w:ascii="Arial Narrow" w:hAnsi="Arial Narrow"/>
                <w:b/>
                <w:sz w:val="20"/>
              </w:rPr>
            </w:pPr>
            <w:r w:rsidRPr="004F5586">
              <w:rPr>
                <w:rFonts w:ascii="Arial Narrow" w:hAnsi="Arial Narrow"/>
                <w:b/>
                <w:sz w:val="20"/>
              </w:rPr>
              <w:t>GLE/PIB minus SOF/VEL</w:t>
            </w:r>
          </w:p>
          <w:p w:rsidR="001940D8" w:rsidRPr="004F5586" w:rsidRDefault="001940D8" w:rsidP="00E35312">
            <w:pPr>
              <w:keepNext/>
              <w:keepLines/>
              <w:jc w:val="center"/>
              <w:rPr>
                <w:rFonts w:ascii="Arial Narrow" w:hAnsi="Arial Narrow"/>
                <w:b/>
                <w:sz w:val="20"/>
              </w:rPr>
            </w:pPr>
            <w:r w:rsidRPr="004F5586">
              <w:rPr>
                <w:rFonts w:ascii="Arial Narrow" w:hAnsi="Arial Narrow"/>
                <w:b/>
                <w:sz w:val="20"/>
              </w:rPr>
              <w:t>% [95% CI]</w:t>
            </w:r>
            <w:r w:rsidRPr="004F5586">
              <w:rPr>
                <w:rFonts w:ascii="Arial Narrow" w:hAnsi="Arial Narrow"/>
                <w:b/>
                <w:sz w:val="20"/>
                <w:vertAlign w:val="superscript"/>
              </w:rPr>
              <w:t>a</w:t>
            </w:r>
          </w:p>
        </w:tc>
      </w:tr>
      <w:tr w:rsidR="001940D8" w:rsidRPr="004F5586" w:rsidTr="00E35312">
        <w:tc>
          <w:tcPr>
            <w:tcW w:w="2977" w:type="dxa"/>
            <w:vAlign w:val="center"/>
          </w:tcPr>
          <w:p w:rsidR="001940D8" w:rsidRPr="004F5586" w:rsidRDefault="001940D8" w:rsidP="00E35312">
            <w:pPr>
              <w:keepNext/>
              <w:keepLines/>
              <w:jc w:val="left"/>
              <w:rPr>
                <w:rFonts w:ascii="Arial Narrow" w:hAnsi="Arial Narrow"/>
                <w:sz w:val="20"/>
              </w:rPr>
            </w:pPr>
            <w:r w:rsidRPr="004F5586">
              <w:rPr>
                <w:rFonts w:ascii="Arial Narrow" w:hAnsi="Arial Narrow"/>
                <w:sz w:val="20"/>
              </w:rPr>
              <w:t>Any AE</w:t>
            </w:r>
          </w:p>
        </w:tc>
        <w:tc>
          <w:tcPr>
            <w:tcW w:w="1843" w:type="dxa"/>
            <w:vAlign w:val="center"/>
          </w:tcPr>
          <w:p w:rsidR="001940D8" w:rsidRPr="004F5586" w:rsidRDefault="001940D8" w:rsidP="00E35312">
            <w:pPr>
              <w:keepNext/>
              <w:keepLines/>
              <w:jc w:val="center"/>
              <w:rPr>
                <w:rFonts w:ascii="Arial Narrow" w:hAnsi="Arial Narrow"/>
                <w:bCs/>
                <w:sz w:val="20"/>
              </w:rPr>
            </w:pPr>
            <w:r w:rsidRPr="004F5586">
              <w:rPr>
                <w:rFonts w:ascii="Arial Narrow" w:hAnsi="Arial Narrow"/>
                <w:bCs/>
                <w:sz w:val="20"/>
              </w:rPr>
              <w:t>871 (66.6)</w:t>
            </w:r>
          </w:p>
        </w:tc>
        <w:tc>
          <w:tcPr>
            <w:tcW w:w="1984" w:type="dxa"/>
            <w:vAlign w:val="center"/>
          </w:tcPr>
          <w:p w:rsidR="001940D8" w:rsidRPr="004F5586" w:rsidRDefault="001940D8" w:rsidP="00E35312">
            <w:pPr>
              <w:keepNext/>
              <w:keepLines/>
              <w:jc w:val="center"/>
              <w:rPr>
                <w:rFonts w:ascii="Arial Narrow" w:hAnsi="Arial Narrow"/>
                <w:bCs/>
                <w:sz w:val="20"/>
              </w:rPr>
            </w:pPr>
            <w:r w:rsidRPr="004F5586">
              <w:rPr>
                <w:rFonts w:ascii="Arial Narrow" w:hAnsi="Arial Narrow"/>
                <w:bCs/>
                <w:sz w:val="20"/>
              </w:rPr>
              <w:t>939 (78.8)</w:t>
            </w:r>
          </w:p>
        </w:tc>
        <w:tc>
          <w:tcPr>
            <w:tcW w:w="2331" w:type="dxa"/>
          </w:tcPr>
          <w:p w:rsidR="001940D8" w:rsidRPr="004F5586" w:rsidRDefault="001940D8" w:rsidP="00E35312">
            <w:pPr>
              <w:keepNext/>
              <w:keepLines/>
              <w:jc w:val="center"/>
              <w:rPr>
                <w:rFonts w:ascii="Arial Narrow" w:hAnsi="Arial Narrow"/>
                <w:bCs/>
                <w:sz w:val="20"/>
              </w:rPr>
            </w:pPr>
            <w:r w:rsidRPr="004F5586">
              <w:rPr>
                <w:rFonts w:ascii="Arial Narrow" w:hAnsi="Arial Narrow"/>
                <w:bCs/>
                <w:sz w:val="20"/>
              </w:rPr>
              <w:t>-12.2 [-15.6, -8.7]</w:t>
            </w:r>
          </w:p>
        </w:tc>
      </w:tr>
      <w:tr w:rsidR="001940D8" w:rsidRPr="004F5586" w:rsidTr="00E35312">
        <w:tc>
          <w:tcPr>
            <w:tcW w:w="2977" w:type="dxa"/>
            <w:vAlign w:val="center"/>
          </w:tcPr>
          <w:p w:rsidR="001940D8" w:rsidRPr="004F5586" w:rsidRDefault="001940D8" w:rsidP="00E35312">
            <w:pPr>
              <w:keepNext/>
              <w:keepLines/>
              <w:jc w:val="left"/>
              <w:rPr>
                <w:rFonts w:ascii="Arial Narrow" w:hAnsi="Arial Narrow"/>
                <w:sz w:val="20"/>
              </w:rPr>
            </w:pPr>
            <w:r w:rsidRPr="004F5586">
              <w:rPr>
                <w:rFonts w:ascii="Arial Narrow" w:hAnsi="Arial Narrow"/>
                <w:sz w:val="20"/>
              </w:rPr>
              <w:t>Any with reasonable possibility of being related to study drug</w:t>
            </w:r>
          </w:p>
        </w:tc>
        <w:tc>
          <w:tcPr>
            <w:tcW w:w="1843" w:type="dxa"/>
            <w:vAlign w:val="center"/>
          </w:tcPr>
          <w:p w:rsidR="001940D8" w:rsidRPr="004F5586" w:rsidRDefault="001940D8" w:rsidP="00E35312">
            <w:pPr>
              <w:keepNext/>
              <w:keepLines/>
              <w:jc w:val="center"/>
              <w:rPr>
                <w:rFonts w:ascii="Arial Narrow" w:hAnsi="Arial Narrow"/>
                <w:bCs/>
                <w:sz w:val="20"/>
              </w:rPr>
            </w:pPr>
            <w:r w:rsidRPr="004F5586">
              <w:rPr>
                <w:rFonts w:ascii="Arial Narrow" w:hAnsi="Arial Narrow"/>
                <w:bCs/>
                <w:sz w:val="20"/>
              </w:rPr>
              <w:t>531 (40.6)</w:t>
            </w:r>
          </w:p>
        </w:tc>
        <w:tc>
          <w:tcPr>
            <w:tcW w:w="1984" w:type="dxa"/>
            <w:vAlign w:val="center"/>
          </w:tcPr>
          <w:p w:rsidR="001940D8" w:rsidRPr="004F5586" w:rsidRDefault="001940D8" w:rsidP="00E35312">
            <w:pPr>
              <w:keepNext/>
              <w:keepLines/>
              <w:jc w:val="center"/>
              <w:rPr>
                <w:rFonts w:ascii="Arial Narrow" w:hAnsi="Arial Narrow"/>
                <w:bCs/>
                <w:sz w:val="20"/>
              </w:rPr>
            </w:pPr>
            <w:r w:rsidRPr="004F5586">
              <w:rPr>
                <w:rFonts w:ascii="Arial Narrow" w:hAnsi="Arial Narrow"/>
                <w:bCs/>
                <w:sz w:val="20"/>
              </w:rPr>
              <w:t>NR</w:t>
            </w:r>
          </w:p>
        </w:tc>
        <w:tc>
          <w:tcPr>
            <w:tcW w:w="2331" w:type="dxa"/>
          </w:tcPr>
          <w:p w:rsidR="001940D8" w:rsidRPr="004F5586" w:rsidRDefault="001940D8" w:rsidP="00E35312">
            <w:pPr>
              <w:keepNext/>
              <w:keepLines/>
              <w:jc w:val="center"/>
              <w:rPr>
                <w:rFonts w:ascii="Arial Narrow" w:hAnsi="Arial Narrow"/>
                <w:bCs/>
                <w:sz w:val="20"/>
              </w:rPr>
            </w:pPr>
            <w:r w:rsidRPr="004F5586">
              <w:rPr>
                <w:rFonts w:ascii="Arial Narrow" w:hAnsi="Arial Narrow"/>
                <w:bCs/>
                <w:sz w:val="20"/>
              </w:rPr>
              <w:t>-</w:t>
            </w:r>
          </w:p>
        </w:tc>
      </w:tr>
      <w:tr w:rsidR="001940D8" w:rsidRPr="004F5586" w:rsidTr="00E35312">
        <w:tc>
          <w:tcPr>
            <w:tcW w:w="2977" w:type="dxa"/>
          </w:tcPr>
          <w:p w:rsidR="001940D8" w:rsidRPr="004F5586" w:rsidRDefault="001940D8" w:rsidP="00E35312">
            <w:pPr>
              <w:keepNext/>
              <w:keepLines/>
              <w:jc w:val="left"/>
              <w:rPr>
                <w:rFonts w:ascii="Arial Narrow" w:hAnsi="Arial Narrow"/>
                <w:sz w:val="20"/>
              </w:rPr>
            </w:pPr>
            <w:r w:rsidRPr="004F5586">
              <w:rPr>
                <w:rFonts w:ascii="Arial Narrow" w:hAnsi="Arial Narrow"/>
                <w:sz w:val="20"/>
              </w:rPr>
              <w:t>Any SAE</w:t>
            </w:r>
          </w:p>
        </w:tc>
        <w:tc>
          <w:tcPr>
            <w:tcW w:w="1843" w:type="dxa"/>
            <w:vAlign w:val="center"/>
          </w:tcPr>
          <w:p w:rsidR="001940D8" w:rsidRPr="004F5586" w:rsidRDefault="001940D8" w:rsidP="00E35312">
            <w:pPr>
              <w:keepNext/>
              <w:keepLines/>
              <w:jc w:val="center"/>
              <w:rPr>
                <w:rFonts w:ascii="Arial Narrow" w:hAnsi="Arial Narrow"/>
                <w:bCs/>
                <w:sz w:val="20"/>
              </w:rPr>
            </w:pPr>
            <w:r w:rsidRPr="004F5586">
              <w:rPr>
                <w:rFonts w:ascii="Arial Narrow" w:hAnsi="Arial Narrow"/>
                <w:bCs/>
                <w:sz w:val="20"/>
              </w:rPr>
              <w:t>59 (4.5)</w:t>
            </w:r>
          </w:p>
        </w:tc>
        <w:tc>
          <w:tcPr>
            <w:tcW w:w="1984" w:type="dxa"/>
            <w:vAlign w:val="center"/>
          </w:tcPr>
          <w:p w:rsidR="001940D8" w:rsidRPr="004F5586" w:rsidRDefault="001940D8" w:rsidP="00E35312">
            <w:pPr>
              <w:keepNext/>
              <w:keepLines/>
              <w:jc w:val="center"/>
              <w:rPr>
                <w:rFonts w:ascii="Arial Narrow" w:hAnsi="Arial Narrow"/>
                <w:bCs/>
                <w:sz w:val="20"/>
              </w:rPr>
            </w:pPr>
            <w:r w:rsidRPr="004F5586">
              <w:rPr>
                <w:rFonts w:ascii="Arial Narrow" w:hAnsi="Arial Narrow"/>
                <w:bCs/>
                <w:sz w:val="20"/>
              </w:rPr>
              <w:t>28 (2.3)</w:t>
            </w:r>
          </w:p>
        </w:tc>
        <w:tc>
          <w:tcPr>
            <w:tcW w:w="2331" w:type="dxa"/>
          </w:tcPr>
          <w:p w:rsidR="001940D8" w:rsidRPr="004F5586" w:rsidRDefault="001940D8" w:rsidP="00E35312">
            <w:pPr>
              <w:keepNext/>
              <w:keepLines/>
              <w:jc w:val="center"/>
              <w:rPr>
                <w:rFonts w:ascii="Arial Narrow" w:hAnsi="Arial Narrow"/>
                <w:bCs/>
                <w:sz w:val="20"/>
              </w:rPr>
            </w:pPr>
            <w:r w:rsidRPr="004F5586">
              <w:rPr>
                <w:rFonts w:ascii="Arial Narrow" w:hAnsi="Arial Narrow"/>
                <w:bCs/>
                <w:sz w:val="20"/>
              </w:rPr>
              <w:t>2.2 [0.7, 3.6]</w:t>
            </w:r>
          </w:p>
        </w:tc>
      </w:tr>
      <w:tr w:rsidR="001940D8" w:rsidRPr="004F5586" w:rsidTr="00E35312">
        <w:tc>
          <w:tcPr>
            <w:tcW w:w="2977" w:type="dxa"/>
          </w:tcPr>
          <w:p w:rsidR="001940D8" w:rsidRPr="004F5586" w:rsidRDefault="001940D8" w:rsidP="00E35312">
            <w:pPr>
              <w:keepNext/>
              <w:keepLines/>
              <w:jc w:val="left"/>
              <w:rPr>
                <w:rFonts w:ascii="Arial Narrow" w:hAnsi="Arial Narrow"/>
                <w:sz w:val="20"/>
              </w:rPr>
            </w:pPr>
            <w:r w:rsidRPr="004F5586">
              <w:rPr>
                <w:rFonts w:ascii="Arial Narrow" w:hAnsi="Arial Narrow"/>
                <w:sz w:val="20"/>
              </w:rPr>
              <w:t>AE to leading to discontinuation of study treatment</w:t>
            </w:r>
          </w:p>
        </w:tc>
        <w:tc>
          <w:tcPr>
            <w:tcW w:w="1843" w:type="dxa"/>
            <w:vAlign w:val="center"/>
          </w:tcPr>
          <w:p w:rsidR="001940D8" w:rsidRPr="004F5586" w:rsidRDefault="001940D8" w:rsidP="00E35312">
            <w:pPr>
              <w:keepNext/>
              <w:keepLines/>
              <w:jc w:val="center"/>
              <w:rPr>
                <w:rFonts w:ascii="Arial Narrow" w:hAnsi="Arial Narrow"/>
                <w:bCs/>
                <w:sz w:val="20"/>
              </w:rPr>
            </w:pPr>
            <w:r w:rsidRPr="004F5586">
              <w:rPr>
                <w:rFonts w:ascii="Arial Narrow" w:hAnsi="Arial Narrow"/>
                <w:bCs/>
                <w:sz w:val="20"/>
              </w:rPr>
              <w:t>5 (0.4)</w:t>
            </w:r>
          </w:p>
        </w:tc>
        <w:tc>
          <w:tcPr>
            <w:tcW w:w="1984" w:type="dxa"/>
            <w:vAlign w:val="center"/>
          </w:tcPr>
          <w:p w:rsidR="001940D8" w:rsidRPr="004F5586" w:rsidRDefault="001940D8" w:rsidP="00E35312">
            <w:pPr>
              <w:keepNext/>
              <w:keepLines/>
              <w:jc w:val="center"/>
              <w:rPr>
                <w:rFonts w:ascii="Arial Narrow" w:hAnsi="Arial Narrow"/>
                <w:bCs/>
                <w:sz w:val="20"/>
              </w:rPr>
            </w:pPr>
            <w:r w:rsidRPr="004F5586">
              <w:rPr>
                <w:rFonts w:ascii="Arial Narrow" w:hAnsi="Arial Narrow"/>
                <w:bCs/>
                <w:sz w:val="20"/>
              </w:rPr>
              <w:t>2 (0.2)</w:t>
            </w:r>
          </w:p>
        </w:tc>
        <w:tc>
          <w:tcPr>
            <w:tcW w:w="2331" w:type="dxa"/>
          </w:tcPr>
          <w:p w:rsidR="001940D8" w:rsidRPr="004F5586" w:rsidRDefault="001940D8" w:rsidP="00E35312">
            <w:pPr>
              <w:keepNext/>
              <w:keepLines/>
              <w:jc w:val="center"/>
              <w:rPr>
                <w:rFonts w:ascii="Arial Narrow" w:hAnsi="Arial Narrow"/>
                <w:bCs/>
                <w:sz w:val="20"/>
              </w:rPr>
            </w:pPr>
            <w:r w:rsidRPr="004F5586">
              <w:rPr>
                <w:rFonts w:ascii="Arial Narrow" w:hAnsi="Arial Narrow"/>
                <w:bCs/>
                <w:sz w:val="20"/>
              </w:rPr>
              <w:t>p=0.311</w:t>
            </w:r>
          </w:p>
        </w:tc>
      </w:tr>
      <w:tr w:rsidR="001940D8" w:rsidRPr="004F5586" w:rsidTr="00E35312">
        <w:tc>
          <w:tcPr>
            <w:tcW w:w="2977" w:type="dxa"/>
          </w:tcPr>
          <w:p w:rsidR="001940D8" w:rsidRPr="004F5586" w:rsidRDefault="001940D8" w:rsidP="00E35312">
            <w:pPr>
              <w:keepNext/>
              <w:keepLines/>
              <w:jc w:val="left"/>
              <w:rPr>
                <w:rFonts w:ascii="Arial Narrow" w:hAnsi="Arial Narrow"/>
                <w:sz w:val="20"/>
              </w:rPr>
            </w:pPr>
            <w:r w:rsidRPr="004F5586">
              <w:rPr>
                <w:rFonts w:ascii="Arial Narrow" w:hAnsi="Arial Narrow"/>
                <w:sz w:val="20"/>
              </w:rPr>
              <w:t>Any fatal AE</w:t>
            </w:r>
          </w:p>
        </w:tc>
        <w:tc>
          <w:tcPr>
            <w:tcW w:w="1843" w:type="dxa"/>
            <w:vAlign w:val="center"/>
          </w:tcPr>
          <w:p w:rsidR="001940D8" w:rsidRPr="004F5586" w:rsidRDefault="001940D8" w:rsidP="00E35312">
            <w:pPr>
              <w:keepNext/>
              <w:keepLines/>
              <w:jc w:val="center"/>
              <w:rPr>
                <w:rFonts w:ascii="Arial Narrow" w:hAnsi="Arial Narrow"/>
                <w:bCs/>
                <w:sz w:val="20"/>
              </w:rPr>
            </w:pPr>
            <w:r w:rsidRPr="004F5586">
              <w:rPr>
                <w:rFonts w:ascii="Arial Narrow" w:hAnsi="Arial Narrow"/>
                <w:bCs/>
                <w:sz w:val="20"/>
              </w:rPr>
              <w:t>2 (0.15)</w:t>
            </w:r>
          </w:p>
        </w:tc>
        <w:tc>
          <w:tcPr>
            <w:tcW w:w="1984" w:type="dxa"/>
            <w:vAlign w:val="center"/>
          </w:tcPr>
          <w:p w:rsidR="001940D8" w:rsidRPr="004F5586" w:rsidRDefault="001940D8" w:rsidP="00E35312">
            <w:pPr>
              <w:keepNext/>
              <w:keepLines/>
              <w:jc w:val="center"/>
              <w:rPr>
                <w:rFonts w:ascii="Arial Narrow" w:hAnsi="Arial Narrow"/>
                <w:bCs/>
                <w:sz w:val="20"/>
              </w:rPr>
            </w:pPr>
            <w:r w:rsidRPr="004F5586">
              <w:rPr>
                <w:rFonts w:ascii="Arial Narrow" w:hAnsi="Arial Narrow"/>
                <w:bCs/>
                <w:sz w:val="20"/>
              </w:rPr>
              <w:t>NR</w:t>
            </w:r>
          </w:p>
        </w:tc>
        <w:tc>
          <w:tcPr>
            <w:tcW w:w="2331" w:type="dxa"/>
          </w:tcPr>
          <w:p w:rsidR="001940D8" w:rsidRPr="004F5586" w:rsidRDefault="001940D8" w:rsidP="00E35312">
            <w:pPr>
              <w:keepNext/>
              <w:keepLines/>
              <w:jc w:val="center"/>
              <w:rPr>
                <w:rFonts w:ascii="Arial Narrow" w:hAnsi="Arial Narrow"/>
                <w:bCs/>
                <w:sz w:val="20"/>
              </w:rPr>
            </w:pPr>
            <w:r w:rsidRPr="004F5586">
              <w:rPr>
                <w:rFonts w:ascii="Arial Narrow" w:hAnsi="Arial Narrow"/>
                <w:bCs/>
                <w:sz w:val="20"/>
              </w:rPr>
              <w:t>-</w:t>
            </w:r>
          </w:p>
        </w:tc>
      </w:tr>
      <w:tr w:rsidR="001940D8" w:rsidRPr="004F5586" w:rsidTr="00E35312">
        <w:tc>
          <w:tcPr>
            <w:tcW w:w="2977" w:type="dxa"/>
          </w:tcPr>
          <w:p w:rsidR="001940D8" w:rsidRPr="004F5586" w:rsidRDefault="001940D8" w:rsidP="00E35312">
            <w:pPr>
              <w:keepNext/>
              <w:keepLines/>
              <w:rPr>
                <w:rFonts w:ascii="Arial Narrow" w:hAnsi="Arial Narrow"/>
                <w:sz w:val="20"/>
              </w:rPr>
            </w:pPr>
            <w:r w:rsidRPr="004F5586">
              <w:rPr>
                <w:rFonts w:ascii="Arial Narrow" w:hAnsi="Arial Narrow"/>
                <w:sz w:val="20"/>
              </w:rPr>
              <w:t>Deaths</w:t>
            </w:r>
          </w:p>
        </w:tc>
        <w:tc>
          <w:tcPr>
            <w:tcW w:w="1843" w:type="dxa"/>
            <w:vAlign w:val="center"/>
          </w:tcPr>
          <w:p w:rsidR="001940D8" w:rsidRPr="004F5586" w:rsidRDefault="001940D8" w:rsidP="00E35312">
            <w:pPr>
              <w:keepNext/>
              <w:keepLines/>
              <w:jc w:val="center"/>
              <w:rPr>
                <w:rFonts w:ascii="Arial Narrow" w:hAnsi="Arial Narrow"/>
                <w:bCs/>
                <w:sz w:val="20"/>
              </w:rPr>
            </w:pPr>
            <w:r w:rsidRPr="004F5586">
              <w:rPr>
                <w:rFonts w:ascii="Arial Narrow" w:hAnsi="Arial Narrow"/>
                <w:bCs/>
                <w:sz w:val="20"/>
              </w:rPr>
              <w:t>4 (0.3)</w:t>
            </w:r>
          </w:p>
        </w:tc>
        <w:tc>
          <w:tcPr>
            <w:tcW w:w="1984" w:type="dxa"/>
            <w:vAlign w:val="center"/>
          </w:tcPr>
          <w:p w:rsidR="001940D8" w:rsidRPr="004F5586" w:rsidRDefault="001940D8" w:rsidP="00E35312">
            <w:pPr>
              <w:keepNext/>
              <w:keepLines/>
              <w:jc w:val="center"/>
              <w:rPr>
                <w:rFonts w:ascii="Arial Narrow" w:hAnsi="Arial Narrow"/>
                <w:bCs/>
                <w:sz w:val="20"/>
              </w:rPr>
            </w:pPr>
            <w:r w:rsidRPr="004F5586">
              <w:rPr>
                <w:rFonts w:ascii="Arial Narrow" w:hAnsi="Arial Narrow"/>
                <w:bCs/>
                <w:sz w:val="20"/>
              </w:rPr>
              <w:t>3 (0.3)</w:t>
            </w:r>
          </w:p>
        </w:tc>
        <w:tc>
          <w:tcPr>
            <w:tcW w:w="2331" w:type="dxa"/>
          </w:tcPr>
          <w:p w:rsidR="001940D8" w:rsidRPr="004F5586" w:rsidRDefault="001940D8" w:rsidP="00E35312">
            <w:pPr>
              <w:keepNext/>
              <w:keepLines/>
              <w:jc w:val="center"/>
              <w:rPr>
                <w:rFonts w:ascii="Arial Narrow" w:hAnsi="Arial Narrow"/>
                <w:bCs/>
                <w:sz w:val="20"/>
              </w:rPr>
            </w:pPr>
            <w:r w:rsidRPr="004F5586">
              <w:rPr>
                <w:rFonts w:ascii="Arial Narrow" w:hAnsi="Arial Narrow"/>
                <w:bCs/>
                <w:sz w:val="20"/>
              </w:rPr>
              <w:t>p=0.798</w:t>
            </w:r>
          </w:p>
        </w:tc>
      </w:tr>
      <w:tr w:rsidR="001940D8" w:rsidRPr="004F5586" w:rsidTr="00E35312">
        <w:tc>
          <w:tcPr>
            <w:tcW w:w="2977" w:type="dxa"/>
            <w:vAlign w:val="center"/>
          </w:tcPr>
          <w:p w:rsidR="001940D8" w:rsidRPr="004F5586" w:rsidRDefault="001940D8" w:rsidP="00E35312">
            <w:pPr>
              <w:keepNext/>
              <w:keepLines/>
              <w:rPr>
                <w:rFonts w:ascii="Arial Narrow" w:hAnsi="Arial Narrow"/>
                <w:sz w:val="20"/>
              </w:rPr>
            </w:pPr>
            <w:r w:rsidRPr="004F5586">
              <w:rPr>
                <w:rFonts w:ascii="Arial Narrow" w:hAnsi="Arial Narrow"/>
                <w:sz w:val="20"/>
              </w:rPr>
              <w:t>Fatigue</w:t>
            </w:r>
          </w:p>
        </w:tc>
        <w:tc>
          <w:tcPr>
            <w:tcW w:w="1843" w:type="dxa"/>
            <w:vAlign w:val="center"/>
          </w:tcPr>
          <w:p w:rsidR="001940D8" w:rsidRPr="004F5586" w:rsidRDefault="001940D8" w:rsidP="00E35312">
            <w:pPr>
              <w:keepNext/>
              <w:keepLines/>
              <w:jc w:val="center"/>
              <w:rPr>
                <w:rFonts w:ascii="Arial Narrow" w:hAnsi="Arial Narrow"/>
                <w:bCs/>
                <w:sz w:val="20"/>
              </w:rPr>
            </w:pPr>
            <w:r w:rsidRPr="004F5586">
              <w:rPr>
                <w:rFonts w:ascii="Arial Narrow" w:hAnsi="Arial Narrow"/>
                <w:sz w:val="20"/>
              </w:rPr>
              <w:t>196 (15.0)</w:t>
            </w:r>
          </w:p>
        </w:tc>
        <w:tc>
          <w:tcPr>
            <w:tcW w:w="1984" w:type="dxa"/>
            <w:vAlign w:val="center"/>
          </w:tcPr>
          <w:p w:rsidR="001940D8" w:rsidRPr="004F5586" w:rsidRDefault="001940D8" w:rsidP="00E35312">
            <w:pPr>
              <w:keepNext/>
              <w:keepLines/>
              <w:jc w:val="center"/>
              <w:rPr>
                <w:rFonts w:ascii="Arial Narrow" w:hAnsi="Arial Narrow"/>
                <w:bCs/>
                <w:sz w:val="20"/>
              </w:rPr>
            </w:pPr>
            <w:r w:rsidRPr="004F5586">
              <w:rPr>
                <w:rFonts w:ascii="Arial Narrow" w:hAnsi="Arial Narrow"/>
                <w:bCs/>
                <w:sz w:val="20"/>
              </w:rPr>
              <w:t>250 (21.0)</w:t>
            </w:r>
          </w:p>
        </w:tc>
        <w:tc>
          <w:tcPr>
            <w:tcW w:w="2331" w:type="dxa"/>
          </w:tcPr>
          <w:p w:rsidR="001940D8" w:rsidRPr="004F5586" w:rsidRDefault="001940D8" w:rsidP="00E35312">
            <w:pPr>
              <w:keepNext/>
              <w:keepLines/>
              <w:jc w:val="center"/>
              <w:rPr>
                <w:rFonts w:ascii="Arial Narrow" w:hAnsi="Arial Narrow"/>
                <w:bCs/>
                <w:sz w:val="20"/>
              </w:rPr>
            </w:pPr>
            <w:r w:rsidRPr="004F5586">
              <w:rPr>
                <w:rFonts w:ascii="Arial Narrow" w:hAnsi="Arial Narrow"/>
                <w:bCs/>
                <w:sz w:val="20"/>
              </w:rPr>
              <w:t>-6.0 [-9.0, -3.0]</w:t>
            </w:r>
          </w:p>
        </w:tc>
      </w:tr>
      <w:tr w:rsidR="001940D8" w:rsidRPr="004F5586" w:rsidTr="00E35312">
        <w:tc>
          <w:tcPr>
            <w:tcW w:w="2977" w:type="dxa"/>
            <w:vAlign w:val="center"/>
          </w:tcPr>
          <w:p w:rsidR="001940D8" w:rsidRPr="004F5586" w:rsidRDefault="001940D8" w:rsidP="00E35312">
            <w:pPr>
              <w:keepNext/>
              <w:keepLines/>
              <w:rPr>
                <w:rFonts w:ascii="Arial Narrow" w:hAnsi="Arial Narrow"/>
                <w:sz w:val="20"/>
              </w:rPr>
            </w:pPr>
            <w:r w:rsidRPr="004F5586">
              <w:rPr>
                <w:rFonts w:ascii="Arial Narrow" w:hAnsi="Arial Narrow"/>
                <w:sz w:val="20"/>
              </w:rPr>
              <w:t>Headache</w:t>
            </w:r>
          </w:p>
        </w:tc>
        <w:tc>
          <w:tcPr>
            <w:tcW w:w="1843" w:type="dxa"/>
            <w:vAlign w:val="center"/>
          </w:tcPr>
          <w:p w:rsidR="001940D8" w:rsidRPr="004F5586" w:rsidRDefault="001940D8" w:rsidP="00E35312">
            <w:pPr>
              <w:keepNext/>
              <w:keepLines/>
              <w:jc w:val="center"/>
              <w:rPr>
                <w:rFonts w:ascii="Arial Narrow" w:hAnsi="Arial Narrow"/>
                <w:bCs/>
                <w:sz w:val="20"/>
              </w:rPr>
            </w:pPr>
            <w:r w:rsidRPr="004F5586">
              <w:rPr>
                <w:rFonts w:ascii="Arial Narrow" w:hAnsi="Arial Narrow"/>
                <w:sz w:val="20"/>
              </w:rPr>
              <w:t>221 (16.9)</w:t>
            </w:r>
          </w:p>
        </w:tc>
        <w:tc>
          <w:tcPr>
            <w:tcW w:w="1984" w:type="dxa"/>
            <w:vAlign w:val="center"/>
          </w:tcPr>
          <w:p w:rsidR="001940D8" w:rsidRPr="004F5586" w:rsidRDefault="001940D8" w:rsidP="00E35312">
            <w:pPr>
              <w:keepNext/>
              <w:keepLines/>
              <w:jc w:val="center"/>
              <w:rPr>
                <w:rFonts w:ascii="Arial Narrow" w:hAnsi="Arial Narrow"/>
                <w:bCs/>
                <w:sz w:val="20"/>
              </w:rPr>
            </w:pPr>
            <w:r w:rsidRPr="004F5586">
              <w:rPr>
                <w:rFonts w:ascii="Arial Narrow" w:hAnsi="Arial Narrow"/>
                <w:bCs/>
                <w:sz w:val="20"/>
              </w:rPr>
              <w:t>328 (27.5)</w:t>
            </w:r>
          </w:p>
        </w:tc>
        <w:tc>
          <w:tcPr>
            <w:tcW w:w="2331" w:type="dxa"/>
          </w:tcPr>
          <w:p w:rsidR="001940D8" w:rsidRPr="004F5586" w:rsidRDefault="001940D8" w:rsidP="00E35312">
            <w:pPr>
              <w:keepNext/>
              <w:keepLines/>
              <w:jc w:val="center"/>
              <w:rPr>
                <w:rFonts w:ascii="Arial Narrow" w:hAnsi="Arial Narrow"/>
                <w:bCs/>
                <w:sz w:val="20"/>
              </w:rPr>
            </w:pPr>
            <w:r w:rsidRPr="004F5586">
              <w:rPr>
                <w:rFonts w:ascii="Arial Narrow" w:hAnsi="Arial Narrow"/>
                <w:bCs/>
                <w:sz w:val="20"/>
              </w:rPr>
              <w:t>-10.6 [-13.9, -7.4]</w:t>
            </w:r>
          </w:p>
        </w:tc>
      </w:tr>
      <w:tr w:rsidR="001940D8" w:rsidRPr="004F5586" w:rsidTr="00E35312">
        <w:tc>
          <w:tcPr>
            <w:tcW w:w="2977" w:type="dxa"/>
          </w:tcPr>
          <w:p w:rsidR="001940D8" w:rsidRPr="004F5586" w:rsidRDefault="001940D8" w:rsidP="00E35312">
            <w:pPr>
              <w:keepNext/>
              <w:keepLines/>
              <w:rPr>
                <w:rFonts w:ascii="Arial Narrow" w:hAnsi="Arial Narrow"/>
                <w:sz w:val="20"/>
              </w:rPr>
            </w:pPr>
            <w:r w:rsidRPr="004F5586">
              <w:rPr>
                <w:rFonts w:ascii="Arial Narrow" w:hAnsi="Arial Narrow"/>
                <w:sz w:val="20"/>
              </w:rPr>
              <w:t>Nausea</w:t>
            </w:r>
          </w:p>
        </w:tc>
        <w:tc>
          <w:tcPr>
            <w:tcW w:w="1843" w:type="dxa"/>
            <w:vAlign w:val="center"/>
          </w:tcPr>
          <w:p w:rsidR="001940D8" w:rsidRPr="004F5586" w:rsidRDefault="001940D8" w:rsidP="00E35312">
            <w:pPr>
              <w:keepNext/>
              <w:keepLines/>
              <w:jc w:val="center"/>
              <w:rPr>
                <w:rFonts w:ascii="Arial Narrow" w:hAnsi="Arial Narrow"/>
                <w:bCs/>
                <w:sz w:val="20"/>
              </w:rPr>
            </w:pPr>
            <w:r w:rsidRPr="004F5586">
              <w:rPr>
                <w:rFonts w:ascii="Arial Narrow" w:hAnsi="Arial Narrow"/>
                <w:sz w:val="20"/>
              </w:rPr>
              <w:t>106 (8.1)</w:t>
            </w:r>
          </w:p>
        </w:tc>
        <w:tc>
          <w:tcPr>
            <w:tcW w:w="1984" w:type="dxa"/>
            <w:vAlign w:val="center"/>
          </w:tcPr>
          <w:p w:rsidR="001940D8" w:rsidRPr="004F5586" w:rsidRDefault="001940D8" w:rsidP="00E35312">
            <w:pPr>
              <w:keepNext/>
              <w:keepLines/>
              <w:jc w:val="center"/>
              <w:rPr>
                <w:rFonts w:ascii="Arial Narrow" w:hAnsi="Arial Narrow"/>
                <w:bCs/>
                <w:sz w:val="20"/>
              </w:rPr>
            </w:pPr>
            <w:r w:rsidRPr="004F5586">
              <w:rPr>
                <w:rFonts w:ascii="Arial Narrow" w:hAnsi="Arial Narrow"/>
                <w:bCs/>
                <w:sz w:val="20"/>
              </w:rPr>
              <w:t>150 (12.6)</w:t>
            </w:r>
          </w:p>
        </w:tc>
        <w:tc>
          <w:tcPr>
            <w:tcW w:w="2331" w:type="dxa"/>
          </w:tcPr>
          <w:p w:rsidR="001940D8" w:rsidRPr="004F5586" w:rsidRDefault="001940D8" w:rsidP="00E35312">
            <w:pPr>
              <w:keepNext/>
              <w:keepLines/>
              <w:jc w:val="center"/>
              <w:rPr>
                <w:rFonts w:ascii="Arial Narrow" w:hAnsi="Arial Narrow"/>
                <w:bCs/>
                <w:sz w:val="20"/>
              </w:rPr>
            </w:pPr>
            <w:r w:rsidRPr="004F5586">
              <w:rPr>
                <w:rFonts w:ascii="Arial Narrow" w:hAnsi="Arial Narrow"/>
                <w:bCs/>
                <w:sz w:val="20"/>
              </w:rPr>
              <w:t>-4.5 [-6.9, -2.1]</w:t>
            </w:r>
          </w:p>
        </w:tc>
      </w:tr>
      <w:tr w:rsidR="001940D8" w:rsidRPr="004F5586" w:rsidTr="00E35312">
        <w:tc>
          <w:tcPr>
            <w:tcW w:w="2977" w:type="dxa"/>
          </w:tcPr>
          <w:p w:rsidR="001940D8" w:rsidRPr="004F5586" w:rsidRDefault="001940D8" w:rsidP="00E35312">
            <w:pPr>
              <w:keepNext/>
              <w:keepLines/>
              <w:rPr>
                <w:rFonts w:ascii="Arial Narrow" w:hAnsi="Arial Narrow"/>
                <w:sz w:val="20"/>
              </w:rPr>
            </w:pPr>
            <w:r w:rsidRPr="004F5586">
              <w:rPr>
                <w:rFonts w:ascii="Arial Narrow" w:hAnsi="Arial Narrow"/>
                <w:sz w:val="20"/>
              </w:rPr>
              <w:t>Pruritus</w:t>
            </w:r>
          </w:p>
        </w:tc>
        <w:tc>
          <w:tcPr>
            <w:tcW w:w="1843" w:type="dxa"/>
            <w:vAlign w:val="center"/>
          </w:tcPr>
          <w:p w:rsidR="001940D8" w:rsidRPr="004F5586" w:rsidRDefault="001940D8" w:rsidP="00E35312">
            <w:pPr>
              <w:keepNext/>
              <w:keepLines/>
              <w:jc w:val="center"/>
              <w:rPr>
                <w:rFonts w:ascii="Arial Narrow" w:hAnsi="Arial Narrow"/>
                <w:bCs/>
                <w:sz w:val="20"/>
              </w:rPr>
            </w:pPr>
            <w:r w:rsidRPr="004F5586">
              <w:rPr>
                <w:rFonts w:ascii="Arial Narrow" w:hAnsi="Arial Narrow"/>
                <w:sz w:val="20"/>
              </w:rPr>
              <w:t>61/663 (9.2)</w:t>
            </w:r>
          </w:p>
        </w:tc>
        <w:tc>
          <w:tcPr>
            <w:tcW w:w="1984" w:type="dxa"/>
            <w:vAlign w:val="center"/>
          </w:tcPr>
          <w:p w:rsidR="001940D8" w:rsidRPr="004F5586" w:rsidRDefault="001940D8" w:rsidP="00E35312">
            <w:pPr>
              <w:keepNext/>
              <w:keepLines/>
              <w:jc w:val="center"/>
              <w:rPr>
                <w:rFonts w:ascii="Arial Narrow" w:hAnsi="Arial Narrow"/>
                <w:bCs/>
                <w:sz w:val="20"/>
              </w:rPr>
            </w:pPr>
            <w:r w:rsidRPr="004F5586">
              <w:rPr>
                <w:rFonts w:ascii="Arial Narrow" w:hAnsi="Arial Narrow"/>
                <w:bCs/>
                <w:sz w:val="20"/>
              </w:rPr>
              <w:t>16/491 (3.3)</w:t>
            </w:r>
          </w:p>
        </w:tc>
        <w:tc>
          <w:tcPr>
            <w:tcW w:w="2331" w:type="dxa"/>
          </w:tcPr>
          <w:p w:rsidR="001940D8" w:rsidRPr="004F5586" w:rsidRDefault="001940D8" w:rsidP="00E35312">
            <w:pPr>
              <w:keepNext/>
              <w:keepLines/>
              <w:jc w:val="center"/>
              <w:rPr>
                <w:rFonts w:ascii="Arial Narrow" w:hAnsi="Arial Narrow"/>
                <w:bCs/>
                <w:sz w:val="20"/>
              </w:rPr>
            </w:pPr>
            <w:r w:rsidRPr="004F5586">
              <w:rPr>
                <w:rFonts w:ascii="Arial Narrow" w:hAnsi="Arial Narrow"/>
                <w:bCs/>
                <w:sz w:val="20"/>
              </w:rPr>
              <w:t>5.9 [3.2, 8.6]</w:t>
            </w:r>
          </w:p>
        </w:tc>
      </w:tr>
      <w:tr w:rsidR="001940D8" w:rsidRPr="004F5586" w:rsidTr="00E35312">
        <w:tc>
          <w:tcPr>
            <w:tcW w:w="2977" w:type="dxa"/>
          </w:tcPr>
          <w:p w:rsidR="001940D8" w:rsidRPr="004F5586" w:rsidRDefault="001940D8" w:rsidP="00E35312">
            <w:pPr>
              <w:keepNext/>
              <w:keepLines/>
              <w:rPr>
                <w:rFonts w:ascii="Arial Narrow" w:hAnsi="Arial Narrow"/>
                <w:sz w:val="20"/>
              </w:rPr>
            </w:pPr>
            <w:r w:rsidRPr="004F5586">
              <w:rPr>
                <w:rFonts w:ascii="Arial Narrow" w:hAnsi="Arial Narrow"/>
                <w:sz w:val="20"/>
              </w:rPr>
              <w:t>Diarrhoea</w:t>
            </w:r>
          </w:p>
        </w:tc>
        <w:tc>
          <w:tcPr>
            <w:tcW w:w="1843" w:type="dxa"/>
            <w:vAlign w:val="center"/>
          </w:tcPr>
          <w:p w:rsidR="001940D8" w:rsidRPr="004F5586" w:rsidRDefault="001940D8" w:rsidP="00E35312">
            <w:pPr>
              <w:keepNext/>
              <w:keepLines/>
              <w:jc w:val="center"/>
              <w:rPr>
                <w:rFonts w:ascii="Arial Narrow" w:hAnsi="Arial Narrow"/>
                <w:bCs/>
                <w:sz w:val="20"/>
              </w:rPr>
            </w:pPr>
            <w:r w:rsidRPr="004F5586">
              <w:rPr>
                <w:rFonts w:ascii="Arial Narrow" w:hAnsi="Arial Narrow"/>
                <w:sz w:val="20"/>
              </w:rPr>
              <w:t>64/620 (10.3)</w:t>
            </w:r>
          </w:p>
        </w:tc>
        <w:tc>
          <w:tcPr>
            <w:tcW w:w="1984" w:type="dxa"/>
            <w:vAlign w:val="center"/>
          </w:tcPr>
          <w:p w:rsidR="001940D8" w:rsidRPr="004F5586" w:rsidRDefault="001940D8" w:rsidP="00E35312">
            <w:pPr>
              <w:keepNext/>
              <w:keepLines/>
              <w:jc w:val="center"/>
              <w:rPr>
                <w:rFonts w:ascii="Arial Narrow" w:hAnsi="Arial Narrow"/>
                <w:bCs/>
                <w:sz w:val="20"/>
              </w:rPr>
            </w:pPr>
            <w:r w:rsidRPr="004F5586">
              <w:rPr>
                <w:rFonts w:ascii="Arial Narrow" w:hAnsi="Arial Narrow"/>
                <w:bCs/>
                <w:sz w:val="20"/>
              </w:rPr>
              <w:t>64/781 (8.2)</w:t>
            </w:r>
          </w:p>
        </w:tc>
        <w:tc>
          <w:tcPr>
            <w:tcW w:w="2331" w:type="dxa"/>
          </w:tcPr>
          <w:p w:rsidR="001940D8" w:rsidRPr="004F5586" w:rsidRDefault="001940D8" w:rsidP="00E35312">
            <w:pPr>
              <w:keepNext/>
              <w:keepLines/>
              <w:jc w:val="center"/>
              <w:rPr>
                <w:rFonts w:ascii="Arial Narrow" w:hAnsi="Arial Narrow"/>
                <w:bCs/>
                <w:sz w:val="20"/>
              </w:rPr>
            </w:pPr>
            <w:r w:rsidRPr="004F5586">
              <w:rPr>
                <w:rFonts w:ascii="Arial Narrow" w:hAnsi="Arial Narrow"/>
                <w:bCs/>
                <w:sz w:val="20"/>
              </w:rPr>
              <w:t>p=0.170</w:t>
            </w:r>
          </w:p>
        </w:tc>
      </w:tr>
      <w:tr w:rsidR="001940D8" w:rsidRPr="004F5586" w:rsidTr="00E35312">
        <w:tc>
          <w:tcPr>
            <w:tcW w:w="2977" w:type="dxa"/>
          </w:tcPr>
          <w:p w:rsidR="001940D8" w:rsidRPr="004F5586" w:rsidRDefault="001940D8" w:rsidP="00E35312">
            <w:pPr>
              <w:keepNext/>
              <w:keepLines/>
              <w:rPr>
                <w:rFonts w:ascii="Arial Narrow" w:hAnsi="Arial Narrow"/>
                <w:sz w:val="20"/>
              </w:rPr>
            </w:pPr>
            <w:r w:rsidRPr="004F5586">
              <w:rPr>
                <w:rFonts w:ascii="Arial Narrow" w:hAnsi="Arial Narrow"/>
                <w:sz w:val="20"/>
              </w:rPr>
              <w:t>Nasopharyngitis</w:t>
            </w:r>
          </w:p>
        </w:tc>
        <w:tc>
          <w:tcPr>
            <w:tcW w:w="1843" w:type="dxa"/>
            <w:vAlign w:val="center"/>
          </w:tcPr>
          <w:p w:rsidR="001940D8" w:rsidRPr="004F5586" w:rsidRDefault="001940D8" w:rsidP="00E35312">
            <w:pPr>
              <w:keepNext/>
              <w:keepLines/>
              <w:jc w:val="center"/>
              <w:rPr>
                <w:rFonts w:ascii="Arial Narrow" w:hAnsi="Arial Narrow"/>
                <w:bCs/>
                <w:sz w:val="20"/>
              </w:rPr>
            </w:pPr>
            <w:r w:rsidRPr="004F5586">
              <w:rPr>
                <w:rFonts w:ascii="Arial Narrow" w:hAnsi="Arial Narrow"/>
                <w:sz w:val="20"/>
              </w:rPr>
              <w:t>33/639 (5.2)</w:t>
            </w:r>
          </w:p>
        </w:tc>
        <w:tc>
          <w:tcPr>
            <w:tcW w:w="1984" w:type="dxa"/>
            <w:vAlign w:val="center"/>
          </w:tcPr>
          <w:p w:rsidR="001940D8" w:rsidRPr="004F5586" w:rsidRDefault="001940D8" w:rsidP="00E35312">
            <w:pPr>
              <w:keepNext/>
              <w:keepLines/>
              <w:jc w:val="center"/>
              <w:rPr>
                <w:rFonts w:ascii="Arial Narrow" w:hAnsi="Arial Narrow"/>
                <w:bCs/>
                <w:sz w:val="20"/>
              </w:rPr>
            </w:pPr>
            <w:r w:rsidRPr="004F5586">
              <w:rPr>
                <w:rFonts w:ascii="Arial Narrow" w:hAnsi="Arial Narrow"/>
                <w:bCs/>
                <w:sz w:val="20"/>
              </w:rPr>
              <w:t>126/1,112 (11.3)</w:t>
            </w:r>
          </w:p>
        </w:tc>
        <w:tc>
          <w:tcPr>
            <w:tcW w:w="2331" w:type="dxa"/>
          </w:tcPr>
          <w:p w:rsidR="001940D8" w:rsidRPr="004F5586" w:rsidRDefault="001940D8" w:rsidP="00E35312">
            <w:pPr>
              <w:keepNext/>
              <w:keepLines/>
              <w:jc w:val="center"/>
              <w:rPr>
                <w:rFonts w:ascii="Arial Narrow" w:hAnsi="Arial Narrow"/>
                <w:bCs/>
                <w:sz w:val="20"/>
              </w:rPr>
            </w:pPr>
            <w:r w:rsidRPr="004F5586">
              <w:rPr>
                <w:rFonts w:ascii="Arial Narrow" w:hAnsi="Arial Narrow"/>
                <w:bCs/>
                <w:sz w:val="20"/>
              </w:rPr>
              <w:t>-6.2 [-8.7, -3.6]</w:t>
            </w:r>
          </w:p>
        </w:tc>
      </w:tr>
      <w:tr w:rsidR="001940D8" w:rsidRPr="004F5586" w:rsidTr="00E35312">
        <w:tc>
          <w:tcPr>
            <w:tcW w:w="2977" w:type="dxa"/>
          </w:tcPr>
          <w:p w:rsidR="001940D8" w:rsidRPr="004F5586" w:rsidRDefault="001940D8" w:rsidP="00E35312">
            <w:pPr>
              <w:keepNext/>
              <w:keepLines/>
              <w:rPr>
                <w:rFonts w:ascii="Arial Narrow" w:hAnsi="Arial Narrow"/>
                <w:sz w:val="20"/>
              </w:rPr>
            </w:pPr>
            <w:r w:rsidRPr="004F5586">
              <w:rPr>
                <w:rFonts w:ascii="Arial Narrow" w:hAnsi="Arial Narrow"/>
                <w:sz w:val="20"/>
              </w:rPr>
              <w:t xml:space="preserve">Insomnia </w:t>
            </w:r>
          </w:p>
        </w:tc>
        <w:tc>
          <w:tcPr>
            <w:tcW w:w="1843" w:type="dxa"/>
            <w:vAlign w:val="center"/>
          </w:tcPr>
          <w:p w:rsidR="001940D8" w:rsidRPr="004F5586" w:rsidRDefault="001940D8" w:rsidP="00E35312">
            <w:pPr>
              <w:keepNext/>
              <w:keepLines/>
              <w:jc w:val="center"/>
              <w:rPr>
                <w:rFonts w:ascii="Arial Narrow" w:hAnsi="Arial Narrow"/>
                <w:bCs/>
                <w:sz w:val="20"/>
              </w:rPr>
            </w:pPr>
            <w:r w:rsidRPr="004F5586">
              <w:rPr>
                <w:rFonts w:ascii="Arial Narrow" w:hAnsi="Arial Narrow"/>
                <w:sz w:val="20"/>
              </w:rPr>
              <w:t>31/677 (4.6)</w:t>
            </w:r>
          </w:p>
        </w:tc>
        <w:tc>
          <w:tcPr>
            <w:tcW w:w="1984" w:type="dxa"/>
            <w:vAlign w:val="center"/>
          </w:tcPr>
          <w:p w:rsidR="001940D8" w:rsidRPr="004F5586" w:rsidRDefault="001940D8" w:rsidP="00E35312">
            <w:pPr>
              <w:keepNext/>
              <w:keepLines/>
              <w:jc w:val="center"/>
              <w:rPr>
                <w:rFonts w:ascii="Arial Narrow" w:hAnsi="Arial Narrow"/>
                <w:bCs/>
                <w:sz w:val="20"/>
              </w:rPr>
            </w:pPr>
            <w:r w:rsidRPr="004F5586">
              <w:rPr>
                <w:rFonts w:ascii="Arial Narrow" w:hAnsi="Arial Narrow"/>
                <w:bCs/>
                <w:sz w:val="20"/>
              </w:rPr>
              <w:t>86 (7.2)</w:t>
            </w:r>
          </w:p>
        </w:tc>
        <w:tc>
          <w:tcPr>
            <w:tcW w:w="2331" w:type="dxa"/>
          </w:tcPr>
          <w:p w:rsidR="001940D8" w:rsidRPr="004F5586" w:rsidRDefault="001940D8" w:rsidP="00E35312">
            <w:pPr>
              <w:keepNext/>
              <w:keepLines/>
              <w:jc w:val="center"/>
              <w:rPr>
                <w:rFonts w:ascii="Arial Narrow" w:hAnsi="Arial Narrow"/>
                <w:bCs/>
                <w:sz w:val="20"/>
              </w:rPr>
            </w:pPr>
            <w:r w:rsidRPr="004F5586">
              <w:rPr>
                <w:rFonts w:ascii="Arial Narrow" w:hAnsi="Arial Narrow"/>
                <w:bCs/>
                <w:sz w:val="20"/>
              </w:rPr>
              <w:t>-2.6 [-4.8, -0.5]</w:t>
            </w:r>
          </w:p>
        </w:tc>
      </w:tr>
      <w:tr w:rsidR="001940D8" w:rsidRPr="004F5586" w:rsidTr="00E35312">
        <w:tc>
          <w:tcPr>
            <w:tcW w:w="2977" w:type="dxa"/>
          </w:tcPr>
          <w:p w:rsidR="001940D8" w:rsidRPr="004F5586" w:rsidRDefault="001940D8" w:rsidP="00E35312">
            <w:pPr>
              <w:keepNext/>
              <w:keepLines/>
              <w:rPr>
                <w:rFonts w:ascii="Arial Narrow" w:hAnsi="Arial Narrow"/>
                <w:sz w:val="20"/>
              </w:rPr>
            </w:pPr>
            <w:r w:rsidRPr="004F5586">
              <w:rPr>
                <w:rFonts w:ascii="Arial Narrow" w:hAnsi="Arial Narrow"/>
                <w:sz w:val="20"/>
              </w:rPr>
              <w:t>Asthenia</w:t>
            </w:r>
          </w:p>
        </w:tc>
        <w:tc>
          <w:tcPr>
            <w:tcW w:w="1843" w:type="dxa"/>
            <w:vAlign w:val="center"/>
          </w:tcPr>
          <w:p w:rsidR="001940D8" w:rsidRPr="004F5586" w:rsidRDefault="001940D8" w:rsidP="00E35312">
            <w:pPr>
              <w:keepNext/>
              <w:keepLines/>
              <w:jc w:val="center"/>
              <w:rPr>
                <w:rFonts w:ascii="Arial Narrow" w:hAnsi="Arial Narrow"/>
                <w:bCs/>
                <w:sz w:val="20"/>
              </w:rPr>
            </w:pPr>
            <w:r w:rsidRPr="004F5586">
              <w:rPr>
                <w:rFonts w:ascii="Arial Narrow" w:hAnsi="Arial Narrow"/>
                <w:sz w:val="20"/>
              </w:rPr>
              <w:t>13/261 (5.0)</w:t>
            </w:r>
          </w:p>
        </w:tc>
        <w:tc>
          <w:tcPr>
            <w:tcW w:w="1984" w:type="dxa"/>
            <w:vAlign w:val="center"/>
          </w:tcPr>
          <w:p w:rsidR="001940D8" w:rsidRPr="004F5586" w:rsidRDefault="001940D8" w:rsidP="00E35312">
            <w:pPr>
              <w:keepNext/>
              <w:keepLines/>
              <w:jc w:val="center"/>
              <w:rPr>
                <w:rFonts w:ascii="Arial Narrow" w:hAnsi="Arial Narrow"/>
                <w:bCs/>
                <w:sz w:val="20"/>
              </w:rPr>
            </w:pPr>
            <w:r w:rsidRPr="004F5586">
              <w:rPr>
                <w:rFonts w:ascii="Arial Narrow" w:hAnsi="Arial Narrow"/>
                <w:sz w:val="20"/>
              </w:rPr>
              <w:t>41/624 (6.6)</w:t>
            </w:r>
          </w:p>
        </w:tc>
        <w:tc>
          <w:tcPr>
            <w:tcW w:w="2331" w:type="dxa"/>
          </w:tcPr>
          <w:p w:rsidR="001940D8" w:rsidRPr="004F5586" w:rsidRDefault="001940D8" w:rsidP="00E35312">
            <w:pPr>
              <w:keepNext/>
              <w:keepLines/>
              <w:jc w:val="center"/>
              <w:rPr>
                <w:rFonts w:ascii="Arial Narrow" w:hAnsi="Arial Narrow"/>
                <w:bCs/>
                <w:sz w:val="20"/>
              </w:rPr>
            </w:pPr>
            <w:r w:rsidRPr="004F5586">
              <w:rPr>
                <w:rFonts w:ascii="Arial Narrow" w:hAnsi="Arial Narrow"/>
                <w:bCs/>
                <w:sz w:val="20"/>
              </w:rPr>
              <w:t>p=0.368</w:t>
            </w:r>
          </w:p>
        </w:tc>
      </w:tr>
    </w:tbl>
    <w:p w:rsidR="001940D8" w:rsidRPr="004F5586" w:rsidRDefault="001940D8" w:rsidP="001940D8">
      <w:pPr>
        <w:pStyle w:val="TableFooter"/>
        <w:keepNext/>
        <w:keepLines/>
      </w:pPr>
      <w:r w:rsidRPr="004F5586">
        <w:rPr>
          <w:vertAlign w:val="superscript"/>
        </w:rPr>
        <w:t>a</w:t>
      </w:r>
      <w:r w:rsidRPr="004F5586">
        <w:t>The p-value is given for differences that are not statistically significant.</w:t>
      </w:r>
    </w:p>
    <w:p w:rsidR="001940D8" w:rsidRPr="004F5586" w:rsidRDefault="001940D8" w:rsidP="001940D8">
      <w:pPr>
        <w:pStyle w:val="TableFooter"/>
        <w:keepNext/>
        <w:keepLines/>
      </w:pPr>
      <w:r w:rsidRPr="004F5586">
        <w:t>Differences calculated using the difference in proportions test (prtesti), Stata 14.1.</w:t>
      </w:r>
    </w:p>
    <w:p w:rsidR="001940D8" w:rsidRPr="004F5586" w:rsidRDefault="001940D8" w:rsidP="001940D8">
      <w:pPr>
        <w:pStyle w:val="TableFooter"/>
        <w:keepNext/>
        <w:keepLines/>
      </w:pPr>
      <w:r w:rsidRPr="004F5586">
        <w:t>AE = adverse event; GLE/PIB = glecaprevir/pibrentasvir</w:t>
      </w:r>
      <w:r>
        <w:t>;</w:t>
      </w:r>
      <w:r w:rsidRPr="004F5586">
        <w:t xml:space="preserve"> SAE = serious adverse event</w:t>
      </w:r>
      <w:r>
        <w:t xml:space="preserve">; </w:t>
      </w:r>
      <w:r w:rsidRPr="004F5586">
        <w:t>SOF/VEL = sofosbuvir/velpatasvir</w:t>
      </w:r>
    </w:p>
    <w:p w:rsidR="001940D8" w:rsidRPr="004F5586" w:rsidRDefault="001940D8" w:rsidP="001940D8">
      <w:pPr>
        <w:pStyle w:val="TableFooter"/>
        <w:keepNext/>
        <w:keepLines/>
      </w:pPr>
      <w:r w:rsidRPr="004F5586">
        <w:t>Source: Table B-55, p171, Table B-56, p172, Table B-57, p173 and Tabl</w:t>
      </w:r>
      <w:r>
        <w:t>e B-58, p174 of the submission.</w:t>
      </w:r>
    </w:p>
    <w:p w:rsidR="001940D8" w:rsidRPr="00966A55" w:rsidRDefault="001940D8" w:rsidP="001940D8">
      <w:pPr>
        <w:pStyle w:val="TableFooter"/>
        <w:rPr>
          <w:rFonts w:asciiTheme="minorHAnsi" w:hAnsiTheme="minorHAnsi"/>
          <w:sz w:val="24"/>
          <w:szCs w:val="24"/>
        </w:rPr>
      </w:pPr>
    </w:p>
    <w:p w:rsidR="001940D8" w:rsidRPr="00966A55" w:rsidRDefault="001940D8" w:rsidP="001940D8">
      <w:pPr>
        <w:pStyle w:val="ListParagraph"/>
        <w:widowControl/>
        <w:numPr>
          <w:ilvl w:val="1"/>
          <w:numId w:val="1"/>
        </w:numPr>
        <w:spacing w:after="120"/>
        <w:contextualSpacing w:val="0"/>
        <w:rPr>
          <w:rFonts w:asciiTheme="minorHAnsi" w:hAnsiTheme="minorHAnsi"/>
          <w:sz w:val="24"/>
          <w:szCs w:val="24"/>
        </w:rPr>
      </w:pPr>
      <w:r w:rsidRPr="004F5586">
        <w:rPr>
          <w:rFonts w:asciiTheme="minorHAnsi" w:hAnsiTheme="minorHAnsi"/>
          <w:sz w:val="24"/>
        </w:rPr>
        <w:t xml:space="preserve">There were, on average, fewer patients who experienced an adverse event in the glecaprevir/pibrentasvir study arms than in the sofosbuvir/velpatasvir studies; however more patients experienced a serious adverse event (SAE). The larger number of SAEs in the pooled glecaprevir/pibrentasvir results is partly driven by 25 patients who were reported to have had a SAE in EXPEDITION-4 (24% of all enrolled patients). EXPEDITION-4 was conducted in patients with kidney disease, with more than 80% requiring dialysis. The clinical study report states (p136) that none of the SAEs in this study were considered related to glecaprevir/pibrentasvir. Removing this study from the analysis resulted in a non-significant difference in the incidence of SAEs of 0.5% favouring sofosbuvir/velpatasvir. </w:t>
      </w:r>
      <w:r w:rsidRPr="004F5586">
        <w:rPr>
          <w:rFonts w:asciiTheme="minorHAnsi" w:hAnsiTheme="minorHAnsi"/>
          <w:iCs/>
          <w:sz w:val="24"/>
        </w:rPr>
        <w:t>The safety of the drugs is likely to be similar.</w:t>
      </w:r>
      <w:bookmarkStart w:id="21" w:name="_Toc476306891"/>
      <w:bookmarkStart w:id="22" w:name="_Toc482354745"/>
    </w:p>
    <w:p w:rsidR="001940D8" w:rsidRDefault="001940D8" w:rsidP="001940D8">
      <w:pPr>
        <w:widowControl/>
        <w:jc w:val="left"/>
        <w:rPr>
          <w:rFonts w:asciiTheme="minorHAnsi" w:hAnsiTheme="minorHAnsi"/>
          <w:b/>
          <w:i/>
          <w:sz w:val="28"/>
        </w:rPr>
      </w:pPr>
      <w:r>
        <w:rPr>
          <w:rFonts w:asciiTheme="minorHAnsi" w:hAnsiTheme="minorHAnsi"/>
          <w:i/>
          <w:sz w:val="28"/>
        </w:rPr>
        <w:br w:type="page"/>
      </w:r>
    </w:p>
    <w:p w:rsidR="001940D8" w:rsidRPr="004F5586" w:rsidRDefault="001940D8" w:rsidP="001940D8">
      <w:pPr>
        <w:pStyle w:val="Heading2"/>
        <w:rPr>
          <w:rFonts w:asciiTheme="minorHAnsi" w:hAnsiTheme="minorHAnsi"/>
          <w:i w:val="0"/>
          <w:sz w:val="28"/>
        </w:rPr>
      </w:pPr>
      <w:r w:rsidRPr="004F5586">
        <w:rPr>
          <w:rFonts w:asciiTheme="minorHAnsi" w:hAnsiTheme="minorHAnsi"/>
          <w:sz w:val="28"/>
        </w:rPr>
        <w:lastRenderedPageBreak/>
        <w:t>Clinical claim</w:t>
      </w:r>
      <w:bookmarkEnd w:id="21"/>
      <w:bookmarkEnd w:id="22"/>
    </w:p>
    <w:p w:rsidR="001940D8" w:rsidRPr="004F5586" w:rsidRDefault="001940D8" w:rsidP="001940D8"/>
    <w:p w:rsidR="001940D8" w:rsidRPr="00533D52" w:rsidRDefault="001940D8" w:rsidP="001940D8">
      <w:pPr>
        <w:pStyle w:val="ListParagraph"/>
        <w:widowControl/>
        <w:numPr>
          <w:ilvl w:val="1"/>
          <w:numId w:val="1"/>
        </w:numPr>
        <w:spacing w:after="120"/>
        <w:contextualSpacing w:val="0"/>
        <w:rPr>
          <w:rFonts w:asciiTheme="minorHAnsi" w:hAnsiTheme="minorHAnsi"/>
          <w:sz w:val="24"/>
        </w:rPr>
      </w:pPr>
      <w:r w:rsidRPr="00533D52">
        <w:rPr>
          <w:rFonts w:asciiTheme="minorHAnsi" w:hAnsiTheme="minorHAnsi"/>
          <w:sz w:val="24"/>
        </w:rPr>
        <w:t>The submission claimed that glecaprevir/pibrentasvir is equivalent to sofosbuvir/velpatasvir in terms of efficacy and safety in subjects across all CHC genotypes. This claim is reasonable for the majority of patients.</w:t>
      </w:r>
    </w:p>
    <w:p w:rsidR="001940D8" w:rsidRPr="00533D52" w:rsidRDefault="001940D8" w:rsidP="001940D8">
      <w:pPr>
        <w:pStyle w:val="ListParagraph"/>
        <w:widowControl/>
        <w:numPr>
          <w:ilvl w:val="1"/>
          <w:numId w:val="1"/>
        </w:numPr>
        <w:spacing w:after="120"/>
        <w:contextualSpacing w:val="0"/>
        <w:rPr>
          <w:rFonts w:asciiTheme="minorHAnsi" w:hAnsiTheme="minorHAnsi"/>
          <w:sz w:val="24"/>
        </w:rPr>
      </w:pPr>
      <w:r w:rsidRPr="00533D52">
        <w:rPr>
          <w:rFonts w:asciiTheme="minorHAnsi" w:hAnsiTheme="minorHAnsi"/>
          <w:sz w:val="24"/>
        </w:rPr>
        <w:t>For patients experienced with NS5A inhibitors:</w:t>
      </w:r>
    </w:p>
    <w:p w:rsidR="001940D8" w:rsidRPr="00533D52" w:rsidRDefault="001940D8" w:rsidP="001940D8">
      <w:pPr>
        <w:pStyle w:val="ListParagraph"/>
        <w:widowControl/>
        <w:numPr>
          <w:ilvl w:val="0"/>
          <w:numId w:val="5"/>
        </w:numPr>
        <w:spacing w:after="120"/>
        <w:contextualSpacing w:val="0"/>
        <w:rPr>
          <w:rFonts w:asciiTheme="minorHAnsi" w:hAnsiTheme="minorHAnsi"/>
          <w:sz w:val="24"/>
        </w:rPr>
      </w:pPr>
      <w:r w:rsidRPr="00533D52">
        <w:rPr>
          <w:rFonts w:asciiTheme="minorHAnsi" w:hAnsiTheme="minorHAnsi"/>
          <w:sz w:val="24"/>
        </w:rPr>
        <w:t>there is no clinical evidence for glecaprevir/pibrentasvir in genotypes other than 1; and</w:t>
      </w:r>
    </w:p>
    <w:p w:rsidR="001940D8" w:rsidRPr="00533D52" w:rsidRDefault="001940D8" w:rsidP="001940D8">
      <w:pPr>
        <w:pStyle w:val="ListParagraph"/>
        <w:widowControl/>
        <w:numPr>
          <w:ilvl w:val="0"/>
          <w:numId w:val="5"/>
        </w:numPr>
        <w:spacing w:after="120"/>
        <w:contextualSpacing w:val="0"/>
        <w:rPr>
          <w:rFonts w:asciiTheme="minorHAnsi" w:hAnsiTheme="minorHAnsi"/>
          <w:sz w:val="24"/>
        </w:rPr>
      </w:pPr>
      <w:r w:rsidRPr="00533D52">
        <w:rPr>
          <w:rFonts w:asciiTheme="minorHAnsi" w:hAnsiTheme="minorHAnsi"/>
          <w:sz w:val="24"/>
        </w:rPr>
        <w:t>there is no evidence at all for the PBAC recommended sofosbuvir/velpatasvir</w:t>
      </w:r>
      <w:r>
        <w:rPr>
          <w:rFonts w:asciiTheme="minorHAnsi" w:hAnsiTheme="minorHAnsi"/>
          <w:sz w:val="24"/>
        </w:rPr>
        <w:t xml:space="preserve"> regimens in any genotype.</w:t>
      </w:r>
    </w:p>
    <w:p w:rsidR="001940D8" w:rsidRPr="00533D52" w:rsidRDefault="001940D8" w:rsidP="001940D8">
      <w:pPr>
        <w:pStyle w:val="ListParagraph"/>
        <w:widowControl/>
        <w:numPr>
          <w:ilvl w:val="1"/>
          <w:numId w:val="1"/>
        </w:numPr>
        <w:spacing w:after="120"/>
        <w:contextualSpacing w:val="0"/>
        <w:rPr>
          <w:rFonts w:asciiTheme="minorHAnsi" w:hAnsiTheme="minorHAnsi"/>
          <w:sz w:val="24"/>
        </w:rPr>
      </w:pPr>
      <w:r w:rsidRPr="00533D52">
        <w:rPr>
          <w:rFonts w:asciiTheme="minorHAnsi" w:hAnsiTheme="minorHAnsi"/>
          <w:sz w:val="24"/>
        </w:rPr>
        <w:t>The PSCR (p1) argued that the MAGELLAN-1 study included 3 genotype 4 patients with prior NS5A inhibitor experience treated with glecaprevir/pibrentasvir with all achieving SVR12.</w:t>
      </w:r>
    </w:p>
    <w:p w:rsidR="001940D8" w:rsidRPr="00966A55" w:rsidRDefault="001940D8" w:rsidP="001940D8">
      <w:pPr>
        <w:pStyle w:val="ListParagraph"/>
        <w:widowControl/>
        <w:numPr>
          <w:ilvl w:val="1"/>
          <w:numId w:val="1"/>
        </w:numPr>
        <w:spacing w:after="120"/>
        <w:contextualSpacing w:val="0"/>
        <w:rPr>
          <w:rFonts w:asciiTheme="minorHAnsi" w:hAnsiTheme="minorHAnsi"/>
          <w:sz w:val="24"/>
        </w:rPr>
      </w:pPr>
      <w:r w:rsidRPr="00533D52">
        <w:rPr>
          <w:rFonts w:asciiTheme="minorHAnsi" w:hAnsiTheme="minorHAnsi"/>
          <w:sz w:val="24"/>
        </w:rPr>
        <w:t>The ESC noted most of the evidence of SVR12 in patients previously treated with an NS5A inhibitor was conducted in vitro. The ESC also noted it was unclear whether the first 40 patients in MAGELLAN-1 had genotypes that were resistant to an NS5A inhibitor, noting that failure is different from treatment resistance</w:t>
      </w:r>
      <w:r>
        <w:rPr>
          <w:rFonts w:asciiTheme="minorHAnsi" w:hAnsiTheme="minorHAnsi"/>
          <w:i/>
          <w:sz w:val="24"/>
        </w:rPr>
        <w:t>.</w:t>
      </w:r>
    </w:p>
    <w:p w:rsidR="001940D8" w:rsidRDefault="001940D8" w:rsidP="001940D8">
      <w:pPr>
        <w:pStyle w:val="ListParagraph"/>
        <w:widowControl/>
        <w:numPr>
          <w:ilvl w:val="1"/>
          <w:numId w:val="1"/>
        </w:numPr>
        <w:spacing w:after="120"/>
        <w:contextualSpacing w:val="0"/>
        <w:jc w:val="left"/>
        <w:rPr>
          <w:rFonts w:asciiTheme="minorHAnsi" w:hAnsiTheme="minorHAnsi"/>
          <w:bCs/>
          <w:sz w:val="24"/>
          <w:szCs w:val="24"/>
        </w:rPr>
      </w:pPr>
      <w:bookmarkStart w:id="23" w:name="_Toc476306892"/>
      <w:bookmarkStart w:id="24" w:name="_Toc482354746"/>
      <w:bookmarkStart w:id="25" w:name="_Toc476306895"/>
      <w:r w:rsidRPr="00B22146">
        <w:rPr>
          <w:rFonts w:asciiTheme="minorHAnsi" w:hAnsiTheme="minorHAnsi"/>
          <w:bCs/>
          <w:sz w:val="24"/>
          <w:szCs w:val="24"/>
        </w:rPr>
        <w:t>The PBAC considered that the claim of non-inferior comparative effectiveness across all CHC genotypes was reasonable for patients w</w:t>
      </w:r>
      <w:r>
        <w:rPr>
          <w:rFonts w:asciiTheme="minorHAnsi" w:hAnsiTheme="minorHAnsi"/>
          <w:bCs/>
          <w:sz w:val="24"/>
          <w:szCs w:val="24"/>
        </w:rPr>
        <w:t>ho are NS5A treatment naïve.</w:t>
      </w:r>
    </w:p>
    <w:p w:rsidR="001940D8" w:rsidRDefault="001940D8" w:rsidP="001940D8">
      <w:pPr>
        <w:pStyle w:val="ListParagraph"/>
        <w:widowControl/>
        <w:numPr>
          <w:ilvl w:val="1"/>
          <w:numId w:val="1"/>
        </w:numPr>
        <w:spacing w:after="120"/>
        <w:contextualSpacing w:val="0"/>
        <w:rPr>
          <w:rFonts w:asciiTheme="minorHAnsi" w:hAnsiTheme="minorHAnsi"/>
          <w:sz w:val="24"/>
          <w:szCs w:val="24"/>
        </w:rPr>
      </w:pPr>
      <w:r w:rsidRPr="00340535">
        <w:rPr>
          <w:rFonts w:asciiTheme="minorHAnsi" w:hAnsiTheme="minorHAnsi"/>
          <w:sz w:val="24"/>
          <w:szCs w:val="24"/>
        </w:rPr>
        <w:t>The PBAC considered that the claim of non-inferior comparative safety was reasonable.</w:t>
      </w:r>
    </w:p>
    <w:p w:rsidR="001940D8" w:rsidRPr="00340535" w:rsidRDefault="001940D8" w:rsidP="001940D8">
      <w:pPr>
        <w:pStyle w:val="ListParagraph"/>
        <w:widowControl/>
        <w:numPr>
          <w:ilvl w:val="1"/>
          <w:numId w:val="1"/>
        </w:numPr>
        <w:contextualSpacing w:val="0"/>
        <w:rPr>
          <w:rFonts w:asciiTheme="minorHAnsi" w:hAnsiTheme="minorHAnsi"/>
          <w:sz w:val="24"/>
          <w:szCs w:val="24"/>
        </w:rPr>
      </w:pPr>
      <w:r>
        <w:rPr>
          <w:rFonts w:asciiTheme="minorHAnsi" w:hAnsiTheme="minorHAnsi"/>
          <w:sz w:val="24"/>
          <w:szCs w:val="24"/>
        </w:rPr>
        <w:t xml:space="preserve">As per the </w:t>
      </w:r>
      <w:r w:rsidRPr="00696995">
        <w:rPr>
          <w:rFonts w:asciiTheme="minorHAnsi" w:hAnsiTheme="minorHAnsi"/>
          <w:sz w:val="24"/>
          <w:szCs w:val="24"/>
        </w:rPr>
        <w:t>sponsor</w:t>
      </w:r>
      <w:r>
        <w:rPr>
          <w:rFonts w:asciiTheme="minorHAnsi" w:hAnsiTheme="minorHAnsi"/>
          <w:sz w:val="24"/>
          <w:szCs w:val="24"/>
        </w:rPr>
        <w:t>’</w:t>
      </w:r>
      <w:r w:rsidRPr="00696995">
        <w:rPr>
          <w:rFonts w:asciiTheme="minorHAnsi" w:hAnsiTheme="minorHAnsi"/>
          <w:sz w:val="24"/>
          <w:szCs w:val="24"/>
        </w:rPr>
        <w:t xml:space="preserve">s request in </w:t>
      </w:r>
      <w:r>
        <w:rPr>
          <w:rFonts w:asciiTheme="minorHAnsi" w:hAnsiTheme="minorHAnsi"/>
          <w:sz w:val="24"/>
          <w:szCs w:val="24"/>
        </w:rPr>
        <w:t>its</w:t>
      </w:r>
      <w:r w:rsidRPr="00696995">
        <w:rPr>
          <w:rFonts w:asciiTheme="minorHAnsi" w:hAnsiTheme="minorHAnsi"/>
          <w:sz w:val="24"/>
          <w:szCs w:val="24"/>
        </w:rPr>
        <w:t xml:space="preserve"> pre PBAC Response, the PBAC did not consider the efficacy and safety of </w:t>
      </w:r>
      <w:r w:rsidRPr="00696995">
        <w:rPr>
          <w:rFonts w:asciiTheme="minorHAnsi" w:hAnsiTheme="minorHAnsi"/>
          <w:sz w:val="24"/>
        </w:rPr>
        <w:t>glecaprevir/pibrentasvir in patients who are NS5A treatment experienced</w:t>
      </w:r>
      <w:r>
        <w:rPr>
          <w:rFonts w:asciiTheme="minorHAnsi" w:hAnsiTheme="minorHAnsi"/>
          <w:sz w:val="24"/>
        </w:rPr>
        <w:t xml:space="preserve"> at this time</w:t>
      </w:r>
      <w:r w:rsidRPr="00696995">
        <w:rPr>
          <w:rFonts w:asciiTheme="minorHAnsi" w:hAnsiTheme="minorHAnsi"/>
          <w:sz w:val="24"/>
        </w:rPr>
        <w:t>.</w:t>
      </w:r>
    </w:p>
    <w:p w:rsidR="001940D8" w:rsidRPr="00966A55" w:rsidRDefault="001940D8" w:rsidP="001940D8">
      <w:pPr>
        <w:widowControl/>
        <w:rPr>
          <w:rFonts w:asciiTheme="minorHAnsi" w:hAnsiTheme="minorHAnsi"/>
          <w:sz w:val="24"/>
          <w:szCs w:val="24"/>
          <w:highlight w:val="yellow"/>
        </w:rPr>
      </w:pPr>
    </w:p>
    <w:p w:rsidR="001940D8" w:rsidRPr="00C86BAD" w:rsidRDefault="001940D8" w:rsidP="001940D8">
      <w:pPr>
        <w:pStyle w:val="ListParagraph"/>
        <w:rPr>
          <w:rFonts w:asciiTheme="minorHAnsi" w:hAnsiTheme="minorHAnsi"/>
          <w:i/>
          <w:sz w:val="24"/>
          <w:szCs w:val="24"/>
        </w:rPr>
      </w:pPr>
      <w:r w:rsidRPr="00C86BAD">
        <w:rPr>
          <w:rFonts w:asciiTheme="minorHAnsi" w:hAnsiTheme="minorHAnsi"/>
          <w:i/>
          <w:sz w:val="24"/>
          <w:szCs w:val="24"/>
        </w:rPr>
        <w:t>For more detail on PBAC’s view, see section 7 “PBAC outcome”</w:t>
      </w:r>
      <w:r>
        <w:rPr>
          <w:rFonts w:asciiTheme="minorHAnsi" w:hAnsiTheme="minorHAnsi"/>
          <w:i/>
          <w:sz w:val="24"/>
          <w:szCs w:val="24"/>
        </w:rPr>
        <w:t>.</w:t>
      </w:r>
    </w:p>
    <w:p w:rsidR="001940D8" w:rsidRPr="00966A55" w:rsidRDefault="001940D8" w:rsidP="001940D8">
      <w:pPr>
        <w:widowControl/>
        <w:rPr>
          <w:rFonts w:asciiTheme="minorHAnsi" w:hAnsiTheme="minorHAnsi"/>
          <w:sz w:val="24"/>
          <w:szCs w:val="24"/>
          <w:highlight w:val="yellow"/>
        </w:rPr>
      </w:pPr>
    </w:p>
    <w:p w:rsidR="001940D8" w:rsidRPr="00966A55" w:rsidRDefault="001940D8" w:rsidP="001940D8">
      <w:pPr>
        <w:pStyle w:val="Heading2"/>
        <w:keepLines/>
        <w:rPr>
          <w:rFonts w:asciiTheme="minorHAnsi" w:hAnsiTheme="minorHAnsi"/>
          <w:i w:val="0"/>
          <w:sz w:val="28"/>
        </w:rPr>
      </w:pPr>
      <w:r w:rsidRPr="00966A55">
        <w:rPr>
          <w:rFonts w:asciiTheme="minorHAnsi" w:hAnsiTheme="minorHAnsi"/>
          <w:sz w:val="28"/>
        </w:rPr>
        <w:t>Economic analysis</w:t>
      </w:r>
      <w:bookmarkEnd w:id="23"/>
      <w:bookmarkEnd w:id="24"/>
    </w:p>
    <w:p w:rsidR="001940D8" w:rsidRPr="004F5586" w:rsidRDefault="001940D8" w:rsidP="001940D8">
      <w:pPr>
        <w:keepNext/>
        <w:keepLines/>
      </w:pPr>
    </w:p>
    <w:p w:rsidR="001940D8" w:rsidRPr="004F5586" w:rsidRDefault="001940D8" w:rsidP="001940D8">
      <w:pPr>
        <w:pStyle w:val="ListParagraph"/>
        <w:keepLines/>
        <w:widowControl/>
        <w:numPr>
          <w:ilvl w:val="1"/>
          <w:numId w:val="1"/>
        </w:numPr>
        <w:spacing w:after="120"/>
        <w:contextualSpacing w:val="0"/>
        <w:rPr>
          <w:rFonts w:asciiTheme="minorHAnsi" w:hAnsiTheme="minorHAnsi"/>
          <w:sz w:val="24"/>
        </w:rPr>
      </w:pPr>
      <w:r w:rsidRPr="004F5586">
        <w:rPr>
          <w:rFonts w:asciiTheme="minorHAnsi" w:hAnsiTheme="minorHAnsi"/>
          <w:sz w:val="24"/>
        </w:rPr>
        <w:t>The submission present</w:t>
      </w:r>
      <w:r>
        <w:rPr>
          <w:rFonts w:asciiTheme="minorHAnsi" w:hAnsiTheme="minorHAnsi"/>
          <w:sz w:val="24"/>
        </w:rPr>
        <w:t>ed</w:t>
      </w:r>
      <w:r w:rsidRPr="004F5586">
        <w:rPr>
          <w:rFonts w:asciiTheme="minorHAnsi" w:hAnsiTheme="minorHAnsi"/>
          <w:sz w:val="24"/>
        </w:rPr>
        <w:t xml:space="preserve"> a cost-minimisation analysis, and equi-effective doses are summarised in the table below.</w:t>
      </w:r>
    </w:p>
    <w:p w:rsidR="001940D8" w:rsidRPr="004F5586" w:rsidRDefault="001940D8" w:rsidP="001940D8">
      <w:pPr>
        <w:pStyle w:val="Caption"/>
        <w:keepNext/>
      </w:pPr>
      <w:r w:rsidRPr="004F5586">
        <w:lastRenderedPageBreak/>
        <w:t xml:space="preserve">Table </w:t>
      </w:r>
      <w:r w:rsidRPr="004F5586">
        <w:rPr>
          <w:noProof/>
        </w:rPr>
        <w:t>7</w:t>
      </w:r>
      <w:r w:rsidRPr="004F5586">
        <w:t>: Equi-effective doses by genotype and/or prior treatment experiences</w:t>
      </w:r>
    </w:p>
    <w:tbl>
      <w:tblPr>
        <w:tblStyle w:val="TableGrid"/>
        <w:tblW w:w="0" w:type="auto"/>
        <w:tblLook w:val="0620" w:firstRow="1" w:lastRow="0" w:firstColumn="0" w:lastColumn="0" w:noHBand="1" w:noVBand="1"/>
        <w:tblCaption w:val="Table 7: Equi-effective doses by genotype and/or prior treatment experiences"/>
      </w:tblPr>
      <w:tblGrid>
        <w:gridCol w:w="4219"/>
        <w:gridCol w:w="2511"/>
        <w:gridCol w:w="2512"/>
      </w:tblGrid>
      <w:tr w:rsidR="001940D8" w:rsidRPr="004F5586" w:rsidTr="00E35312">
        <w:trPr>
          <w:tblHeader/>
        </w:trPr>
        <w:tc>
          <w:tcPr>
            <w:tcW w:w="4219" w:type="dxa"/>
          </w:tcPr>
          <w:p w:rsidR="001940D8" w:rsidRPr="004F5586" w:rsidRDefault="001940D8" w:rsidP="00E35312">
            <w:pPr>
              <w:pStyle w:val="TableText0"/>
              <w:rPr>
                <w:b/>
                <w:bCs/>
              </w:rPr>
            </w:pPr>
          </w:p>
        </w:tc>
        <w:tc>
          <w:tcPr>
            <w:tcW w:w="5023" w:type="dxa"/>
            <w:gridSpan w:val="2"/>
          </w:tcPr>
          <w:p w:rsidR="001940D8" w:rsidRPr="004F5586" w:rsidRDefault="001940D8" w:rsidP="00E35312">
            <w:pPr>
              <w:pStyle w:val="TableText0"/>
              <w:jc w:val="center"/>
              <w:rPr>
                <w:b/>
                <w:bCs/>
              </w:rPr>
            </w:pPr>
            <w:r w:rsidRPr="004F5586">
              <w:rPr>
                <w:b/>
                <w:bCs/>
              </w:rPr>
              <w:t>Treatment duration</w:t>
            </w:r>
          </w:p>
        </w:tc>
      </w:tr>
      <w:tr w:rsidR="001940D8" w:rsidRPr="004F5586" w:rsidTr="00E35312">
        <w:tc>
          <w:tcPr>
            <w:tcW w:w="4219" w:type="dxa"/>
          </w:tcPr>
          <w:p w:rsidR="001940D8" w:rsidRPr="004F5586" w:rsidRDefault="001940D8" w:rsidP="00E35312">
            <w:pPr>
              <w:pStyle w:val="TableText0"/>
              <w:rPr>
                <w:b/>
                <w:bCs/>
              </w:rPr>
            </w:pPr>
            <w:r w:rsidRPr="004F5586">
              <w:rPr>
                <w:b/>
                <w:bCs/>
              </w:rPr>
              <w:t>Patient population</w:t>
            </w:r>
          </w:p>
        </w:tc>
        <w:tc>
          <w:tcPr>
            <w:tcW w:w="2511" w:type="dxa"/>
          </w:tcPr>
          <w:p w:rsidR="001940D8" w:rsidRPr="004F5586" w:rsidRDefault="001940D8" w:rsidP="00E35312">
            <w:pPr>
              <w:pStyle w:val="TableText0"/>
              <w:jc w:val="center"/>
              <w:rPr>
                <w:b/>
                <w:bCs/>
              </w:rPr>
            </w:pPr>
            <w:r w:rsidRPr="004F5586">
              <w:rPr>
                <w:b/>
                <w:bCs/>
              </w:rPr>
              <w:t>Glecaprevir 300</w:t>
            </w:r>
            <w:r>
              <w:rPr>
                <w:b/>
                <w:bCs/>
              </w:rPr>
              <w:t> </w:t>
            </w:r>
            <w:r w:rsidRPr="004F5586">
              <w:rPr>
                <w:b/>
                <w:bCs/>
              </w:rPr>
              <w:t>mg / pibrentasvir 120</w:t>
            </w:r>
            <w:r>
              <w:rPr>
                <w:b/>
                <w:bCs/>
              </w:rPr>
              <w:t> </w:t>
            </w:r>
            <w:r w:rsidRPr="004F5586">
              <w:rPr>
                <w:b/>
                <w:bCs/>
              </w:rPr>
              <w:t>mg</w:t>
            </w:r>
          </w:p>
        </w:tc>
        <w:tc>
          <w:tcPr>
            <w:tcW w:w="2512" w:type="dxa"/>
          </w:tcPr>
          <w:p w:rsidR="001940D8" w:rsidRPr="004F5586" w:rsidRDefault="001940D8" w:rsidP="00E35312">
            <w:pPr>
              <w:pStyle w:val="TableText0"/>
              <w:jc w:val="center"/>
              <w:rPr>
                <w:b/>
                <w:bCs/>
              </w:rPr>
            </w:pPr>
            <w:r w:rsidRPr="004F5586">
              <w:rPr>
                <w:b/>
                <w:bCs/>
              </w:rPr>
              <w:t>Sofosbuvir 400</w:t>
            </w:r>
            <w:r>
              <w:rPr>
                <w:b/>
                <w:bCs/>
              </w:rPr>
              <w:t> </w:t>
            </w:r>
            <w:r w:rsidRPr="004F5586">
              <w:rPr>
                <w:b/>
                <w:bCs/>
              </w:rPr>
              <w:t>mg / velpatasvir 100</w:t>
            </w:r>
            <w:r>
              <w:rPr>
                <w:b/>
                <w:bCs/>
              </w:rPr>
              <w:t> </w:t>
            </w:r>
            <w:r w:rsidRPr="004F5586">
              <w:rPr>
                <w:b/>
                <w:bCs/>
              </w:rPr>
              <w:t>mg</w:t>
            </w:r>
          </w:p>
        </w:tc>
      </w:tr>
      <w:tr w:rsidR="001940D8" w:rsidRPr="004F5586" w:rsidTr="00E35312">
        <w:tc>
          <w:tcPr>
            <w:tcW w:w="9242" w:type="dxa"/>
            <w:gridSpan w:val="3"/>
          </w:tcPr>
          <w:p w:rsidR="001940D8" w:rsidRPr="004F5586" w:rsidRDefault="001940D8" w:rsidP="00E35312">
            <w:pPr>
              <w:pStyle w:val="TableText0"/>
            </w:pPr>
            <w:r w:rsidRPr="004F5586">
              <w:t>Treatment naïve</w:t>
            </w:r>
          </w:p>
        </w:tc>
      </w:tr>
      <w:tr w:rsidR="001940D8" w:rsidRPr="004F5586" w:rsidTr="00E35312">
        <w:tc>
          <w:tcPr>
            <w:tcW w:w="4219" w:type="dxa"/>
          </w:tcPr>
          <w:p w:rsidR="001940D8" w:rsidRPr="004F5586" w:rsidRDefault="001940D8" w:rsidP="00E35312">
            <w:pPr>
              <w:pStyle w:val="TableText0"/>
            </w:pPr>
            <w:r w:rsidRPr="004F5586">
              <w:t>Genotype 1-6, without cirrhosis</w:t>
            </w:r>
          </w:p>
        </w:tc>
        <w:tc>
          <w:tcPr>
            <w:tcW w:w="2511" w:type="dxa"/>
          </w:tcPr>
          <w:p w:rsidR="001940D8" w:rsidRPr="004F5586" w:rsidRDefault="001940D8" w:rsidP="00E35312">
            <w:pPr>
              <w:pStyle w:val="TableText0"/>
              <w:jc w:val="center"/>
            </w:pPr>
            <w:r w:rsidRPr="004F5586">
              <w:t>8 weeks</w:t>
            </w:r>
          </w:p>
        </w:tc>
        <w:tc>
          <w:tcPr>
            <w:tcW w:w="2512" w:type="dxa"/>
          </w:tcPr>
          <w:p w:rsidR="001940D8" w:rsidRPr="004F5586" w:rsidRDefault="001940D8" w:rsidP="00E35312">
            <w:pPr>
              <w:pStyle w:val="TableText0"/>
              <w:jc w:val="center"/>
            </w:pPr>
            <w:r w:rsidRPr="004F5586">
              <w:t>12 weeks</w:t>
            </w:r>
          </w:p>
        </w:tc>
      </w:tr>
      <w:tr w:rsidR="001940D8" w:rsidRPr="004F5586" w:rsidTr="00E35312">
        <w:tc>
          <w:tcPr>
            <w:tcW w:w="4219" w:type="dxa"/>
          </w:tcPr>
          <w:p w:rsidR="001940D8" w:rsidRPr="004F5586" w:rsidRDefault="001940D8" w:rsidP="00E35312">
            <w:pPr>
              <w:pStyle w:val="TableText0"/>
            </w:pPr>
            <w:r w:rsidRPr="004F5586">
              <w:t>Genotype 1-6, with cirrhosis</w:t>
            </w:r>
          </w:p>
        </w:tc>
        <w:tc>
          <w:tcPr>
            <w:tcW w:w="2511" w:type="dxa"/>
          </w:tcPr>
          <w:p w:rsidR="001940D8" w:rsidRPr="004F5586" w:rsidRDefault="001940D8" w:rsidP="00E35312">
            <w:pPr>
              <w:pStyle w:val="TableText0"/>
              <w:jc w:val="center"/>
            </w:pPr>
            <w:r w:rsidRPr="004F5586">
              <w:t>12 weeks</w:t>
            </w:r>
          </w:p>
        </w:tc>
        <w:tc>
          <w:tcPr>
            <w:tcW w:w="2512" w:type="dxa"/>
          </w:tcPr>
          <w:p w:rsidR="001940D8" w:rsidRPr="004F5586" w:rsidRDefault="001940D8" w:rsidP="00E35312">
            <w:pPr>
              <w:pStyle w:val="TableText0"/>
              <w:jc w:val="center"/>
            </w:pPr>
            <w:r w:rsidRPr="004F5586">
              <w:t>12 weeks</w:t>
            </w:r>
          </w:p>
        </w:tc>
      </w:tr>
      <w:tr w:rsidR="001940D8" w:rsidRPr="004F5586" w:rsidTr="00E35312">
        <w:tc>
          <w:tcPr>
            <w:tcW w:w="9242" w:type="dxa"/>
            <w:gridSpan w:val="3"/>
          </w:tcPr>
          <w:p w:rsidR="001940D8" w:rsidRPr="004F5586" w:rsidRDefault="001940D8" w:rsidP="00E35312">
            <w:pPr>
              <w:pStyle w:val="TableText0"/>
            </w:pPr>
            <w:r w:rsidRPr="004F5586">
              <w:t>Treatment experienced (NS5A inhibitor naïve)</w:t>
            </w:r>
          </w:p>
        </w:tc>
      </w:tr>
      <w:tr w:rsidR="001940D8" w:rsidRPr="004F5586" w:rsidTr="00E35312">
        <w:tc>
          <w:tcPr>
            <w:tcW w:w="4219" w:type="dxa"/>
          </w:tcPr>
          <w:p w:rsidR="001940D8" w:rsidRPr="004F5586" w:rsidRDefault="001940D8" w:rsidP="00E35312">
            <w:pPr>
              <w:pStyle w:val="TableText0"/>
            </w:pPr>
            <w:r w:rsidRPr="004F5586">
              <w:t>Genotype 1, 2, 4-6, without cirrhosis</w:t>
            </w:r>
          </w:p>
        </w:tc>
        <w:tc>
          <w:tcPr>
            <w:tcW w:w="2511" w:type="dxa"/>
          </w:tcPr>
          <w:p w:rsidR="001940D8" w:rsidRPr="004F5586" w:rsidRDefault="001940D8" w:rsidP="00E35312">
            <w:pPr>
              <w:pStyle w:val="TableText0"/>
              <w:jc w:val="center"/>
            </w:pPr>
            <w:r w:rsidRPr="004F5586">
              <w:t>8 weeks</w:t>
            </w:r>
          </w:p>
        </w:tc>
        <w:tc>
          <w:tcPr>
            <w:tcW w:w="2512" w:type="dxa"/>
          </w:tcPr>
          <w:p w:rsidR="001940D8" w:rsidRPr="004F5586" w:rsidRDefault="001940D8" w:rsidP="00E35312">
            <w:pPr>
              <w:pStyle w:val="TableText0"/>
              <w:jc w:val="center"/>
            </w:pPr>
            <w:r w:rsidRPr="004F5586">
              <w:t>12 weeks</w:t>
            </w:r>
          </w:p>
        </w:tc>
      </w:tr>
      <w:tr w:rsidR="001940D8" w:rsidRPr="004F5586" w:rsidTr="00E35312">
        <w:tc>
          <w:tcPr>
            <w:tcW w:w="4219" w:type="dxa"/>
          </w:tcPr>
          <w:p w:rsidR="001940D8" w:rsidRPr="004F5586" w:rsidRDefault="001940D8" w:rsidP="00E35312">
            <w:pPr>
              <w:pStyle w:val="TableText0"/>
            </w:pPr>
            <w:r w:rsidRPr="004F5586">
              <w:t>Genotype1, 2, 4-6 with cirrhosis</w:t>
            </w:r>
          </w:p>
        </w:tc>
        <w:tc>
          <w:tcPr>
            <w:tcW w:w="2511" w:type="dxa"/>
          </w:tcPr>
          <w:p w:rsidR="001940D8" w:rsidRPr="004F5586" w:rsidRDefault="001940D8" w:rsidP="00E35312">
            <w:pPr>
              <w:pStyle w:val="TableText0"/>
              <w:jc w:val="center"/>
            </w:pPr>
            <w:r w:rsidRPr="004F5586">
              <w:t>12 weeks</w:t>
            </w:r>
          </w:p>
        </w:tc>
        <w:tc>
          <w:tcPr>
            <w:tcW w:w="2512" w:type="dxa"/>
          </w:tcPr>
          <w:p w:rsidR="001940D8" w:rsidRPr="004F5586" w:rsidRDefault="001940D8" w:rsidP="00E35312">
            <w:pPr>
              <w:pStyle w:val="TableText0"/>
              <w:jc w:val="center"/>
            </w:pPr>
            <w:r w:rsidRPr="004F5586">
              <w:t>12 weeks</w:t>
            </w:r>
          </w:p>
        </w:tc>
      </w:tr>
      <w:tr w:rsidR="001940D8" w:rsidRPr="004F5586" w:rsidTr="00E35312">
        <w:tc>
          <w:tcPr>
            <w:tcW w:w="4219" w:type="dxa"/>
          </w:tcPr>
          <w:p w:rsidR="001940D8" w:rsidRPr="004F5586" w:rsidRDefault="001940D8" w:rsidP="00E35312">
            <w:pPr>
              <w:pStyle w:val="TableText0"/>
            </w:pPr>
            <w:r w:rsidRPr="004F5586">
              <w:t>Genotype 3, with or without cirrhosis</w:t>
            </w:r>
          </w:p>
        </w:tc>
        <w:tc>
          <w:tcPr>
            <w:tcW w:w="2511" w:type="dxa"/>
          </w:tcPr>
          <w:p w:rsidR="001940D8" w:rsidRPr="004F5586" w:rsidRDefault="001940D8" w:rsidP="00E35312">
            <w:pPr>
              <w:pStyle w:val="TableText0"/>
              <w:jc w:val="center"/>
            </w:pPr>
            <w:r w:rsidRPr="004F5586">
              <w:t>16 weeks</w:t>
            </w:r>
          </w:p>
        </w:tc>
        <w:tc>
          <w:tcPr>
            <w:tcW w:w="2512" w:type="dxa"/>
          </w:tcPr>
          <w:p w:rsidR="001940D8" w:rsidRPr="004F5586" w:rsidRDefault="001940D8" w:rsidP="00E35312">
            <w:pPr>
              <w:pStyle w:val="TableText0"/>
              <w:jc w:val="center"/>
            </w:pPr>
            <w:r w:rsidRPr="004F5586">
              <w:t>12 weeks</w:t>
            </w:r>
          </w:p>
        </w:tc>
      </w:tr>
      <w:tr w:rsidR="001940D8" w:rsidRPr="004F5586" w:rsidTr="00E35312">
        <w:tc>
          <w:tcPr>
            <w:tcW w:w="9242" w:type="dxa"/>
            <w:gridSpan w:val="3"/>
          </w:tcPr>
          <w:p w:rsidR="001940D8" w:rsidRPr="004F5586" w:rsidRDefault="001940D8" w:rsidP="00E35312">
            <w:pPr>
              <w:pStyle w:val="TableText0"/>
            </w:pPr>
            <w:r w:rsidRPr="004F5586">
              <w:t>Treatment experienced with NS5A inhibitor</w:t>
            </w:r>
          </w:p>
        </w:tc>
      </w:tr>
      <w:tr w:rsidR="001940D8" w:rsidRPr="004F5586" w:rsidTr="00E35312">
        <w:tc>
          <w:tcPr>
            <w:tcW w:w="4219" w:type="dxa"/>
          </w:tcPr>
          <w:p w:rsidR="001940D8" w:rsidRPr="004F5586" w:rsidRDefault="001940D8" w:rsidP="00E35312">
            <w:pPr>
              <w:pStyle w:val="TableText0"/>
            </w:pPr>
            <w:r w:rsidRPr="004F5586">
              <w:t>Genotype 1-6, with or without cirrhosis</w:t>
            </w:r>
          </w:p>
        </w:tc>
        <w:tc>
          <w:tcPr>
            <w:tcW w:w="2511" w:type="dxa"/>
          </w:tcPr>
          <w:p w:rsidR="001940D8" w:rsidRPr="004F5586" w:rsidRDefault="001940D8" w:rsidP="00E35312">
            <w:pPr>
              <w:pStyle w:val="TableText0"/>
              <w:jc w:val="center"/>
            </w:pPr>
            <w:r w:rsidRPr="004F5586">
              <w:t>16 weeks</w:t>
            </w:r>
          </w:p>
        </w:tc>
        <w:tc>
          <w:tcPr>
            <w:tcW w:w="2512" w:type="dxa"/>
          </w:tcPr>
          <w:p w:rsidR="001940D8" w:rsidRPr="004F5586" w:rsidRDefault="001940D8" w:rsidP="00E35312">
            <w:pPr>
              <w:pStyle w:val="TableText0"/>
              <w:jc w:val="center"/>
            </w:pPr>
            <w:r w:rsidRPr="004F5586">
              <w:t>12 weeks</w:t>
            </w:r>
            <w:r w:rsidRPr="004F5586">
              <w:rPr>
                <w:vertAlign w:val="superscript"/>
              </w:rPr>
              <w:t>a</w:t>
            </w:r>
          </w:p>
        </w:tc>
      </w:tr>
    </w:tbl>
    <w:p w:rsidR="001940D8" w:rsidRPr="004F5586" w:rsidRDefault="001940D8" w:rsidP="001940D8">
      <w:pPr>
        <w:pStyle w:val="TableFooter"/>
      </w:pPr>
      <w:r w:rsidRPr="004F5586">
        <w:rPr>
          <w:vertAlign w:val="superscript"/>
        </w:rPr>
        <w:t>a</w:t>
      </w:r>
      <w:r w:rsidRPr="004F5586">
        <w:t>Unlikely to be used in this population. No current evidence for sofosbuvir/velpatasvir in patients who have failed NS5A inhibitors. Not supported by current guidelines</w:t>
      </w:r>
      <w:r w:rsidRPr="004F5586">
        <w:rPr>
          <w:rStyle w:val="FootnoteReference"/>
        </w:rPr>
        <w:footnoteReference w:id="1"/>
      </w:r>
      <w:r w:rsidRPr="004F5586">
        <w:t>.</w:t>
      </w:r>
    </w:p>
    <w:p w:rsidR="001940D8" w:rsidRPr="004F5586" w:rsidRDefault="001940D8" w:rsidP="001940D8">
      <w:pPr>
        <w:pStyle w:val="TableFooter"/>
      </w:pPr>
      <w:r w:rsidRPr="004F5586">
        <w:t>Source: Table D-1, p184 of the submission.</w:t>
      </w:r>
    </w:p>
    <w:p w:rsidR="001940D8" w:rsidRPr="004F5586" w:rsidRDefault="001940D8" w:rsidP="001940D8">
      <w:pPr>
        <w:pStyle w:val="TableFooter"/>
      </w:pPr>
    </w:p>
    <w:p w:rsidR="001940D8" w:rsidRPr="00533D52" w:rsidRDefault="001940D8" w:rsidP="001940D8">
      <w:pPr>
        <w:pStyle w:val="ListParagraph"/>
        <w:widowControl/>
        <w:numPr>
          <w:ilvl w:val="1"/>
          <w:numId w:val="1"/>
        </w:numPr>
        <w:spacing w:after="120"/>
        <w:contextualSpacing w:val="0"/>
        <w:rPr>
          <w:rFonts w:asciiTheme="minorHAnsi" w:hAnsiTheme="minorHAnsi"/>
          <w:sz w:val="24"/>
        </w:rPr>
      </w:pPr>
      <w:r w:rsidRPr="00533D52">
        <w:rPr>
          <w:rFonts w:asciiTheme="minorHAnsi" w:hAnsiTheme="minorHAnsi"/>
          <w:iCs/>
          <w:sz w:val="24"/>
        </w:rPr>
        <w:t>The equi-effective doses are consistent with the results presented above. In patients who have failed a prior NS5A inhibitor, the comparison presented in the submission was 12 weeks of sofosbuvir/velpatasvir, although sofosbuvir/velpatasvir is not likely to be used in this setting</w:t>
      </w:r>
      <w:r>
        <w:rPr>
          <w:rFonts w:asciiTheme="minorHAnsi" w:hAnsiTheme="minorHAnsi"/>
          <w:iCs/>
          <w:sz w:val="24"/>
        </w:rPr>
        <w:t>.</w:t>
      </w:r>
    </w:p>
    <w:p w:rsidR="001940D8" w:rsidRPr="00533D52" w:rsidRDefault="001940D8" w:rsidP="001940D8">
      <w:pPr>
        <w:pStyle w:val="ListParagraph"/>
        <w:widowControl/>
        <w:numPr>
          <w:ilvl w:val="1"/>
          <w:numId w:val="1"/>
        </w:numPr>
        <w:spacing w:after="120"/>
        <w:contextualSpacing w:val="0"/>
        <w:rPr>
          <w:rFonts w:asciiTheme="minorHAnsi" w:hAnsiTheme="minorHAnsi"/>
          <w:sz w:val="24"/>
        </w:rPr>
      </w:pPr>
      <w:r w:rsidRPr="00533D52">
        <w:rPr>
          <w:rFonts w:asciiTheme="minorHAnsi" w:hAnsiTheme="minorHAnsi"/>
          <w:sz w:val="24"/>
        </w:rPr>
        <w:t>For the purposes of the submission, the cost per patient for a 12 week course of sofosbuvir/velpatasvir was assumed to be $</w:t>
      </w:r>
      <w:r>
        <w:rPr>
          <w:rFonts w:asciiTheme="minorHAnsi" w:hAnsiTheme="minorHAnsi"/>
          <w:noProof/>
          <w:color w:val="000000"/>
          <w:sz w:val="24"/>
          <w:highlight w:val="black"/>
        </w:rPr>
        <w:t>''''''''''''''</w:t>
      </w:r>
      <w:r w:rsidRPr="00533D52">
        <w:rPr>
          <w:rFonts w:asciiTheme="minorHAnsi" w:hAnsiTheme="minorHAnsi"/>
          <w:sz w:val="24"/>
        </w:rPr>
        <w:t>. Should glecaprevir/pibrentasvir be listed on the PBS, it is anticipated that the effective price of glecaprevir/pibrentasvir will be equivalent to the price of sofosbuvir/velpatasvir.</w:t>
      </w:r>
    </w:p>
    <w:p w:rsidR="001940D8" w:rsidRPr="00533D52" w:rsidRDefault="001940D8" w:rsidP="001940D8">
      <w:pPr>
        <w:pStyle w:val="ListParagraph"/>
        <w:widowControl/>
        <w:numPr>
          <w:ilvl w:val="1"/>
          <w:numId w:val="1"/>
        </w:numPr>
        <w:spacing w:after="120"/>
        <w:contextualSpacing w:val="0"/>
        <w:rPr>
          <w:rFonts w:asciiTheme="minorHAnsi" w:hAnsiTheme="minorHAnsi"/>
          <w:sz w:val="24"/>
        </w:rPr>
      </w:pPr>
      <w:r w:rsidRPr="00533D52">
        <w:rPr>
          <w:rFonts w:asciiTheme="minorHAnsi" w:hAnsiTheme="minorHAnsi"/>
          <w:sz w:val="24"/>
        </w:rPr>
        <w:t>The PSCR (p4) argued it can be assumed that the cost-effectiveness of glecaprevir/pibrentasvir in NS5A experienced patients would be similar to that already accepted by the PBAC for currently available DAA regimens.</w:t>
      </w:r>
    </w:p>
    <w:p w:rsidR="001940D8" w:rsidRPr="00533D52" w:rsidRDefault="001940D8" w:rsidP="001940D8">
      <w:pPr>
        <w:pStyle w:val="ListParagraph"/>
        <w:widowControl/>
        <w:numPr>
          <w:ilvl w:val="1"/>
          <w:numId w:val="1"/>
        </w:numPr>
        <w:spacing w:after="120"/>
        <w:contextualSpacing w:val="0"/>
        <w:rPr>
          <w:rFonts w:asciiTheme="minorHAnsi" w:hAnsiTheme="minorHAnsi"/>
          <w:sz w:val="24"/>
        </w:rPr>
      </w:pPr>
      <w:r w:rsidRPr="00533D52">
        <w:rPr>
          <w:rFonts w:asciiTheme="minorHAnsi" w:hAnsiTheme="minorHAnsi"/>
          <w:sz w:val="24"/>
        </w:rPr>
        <w:t>The ESC noted that the final cost-minimisation calculations will need to be undertaken once the TGA recommended dosing regimens for each of the sub</w:t>
      </w:r>
      <w:r w:rsidRPr="00533D52">
        <w:rPr>
          <w:rFonts w:asciiTheme="minorHAnsi" w:hAnsiTheme="minorHAnsi"/>
          <w:sz w:val="24"/>
        </w:rPr>
        <w:noBreakHyphen/>
        <w:t xml:space="preserve">populations above are known. The ESC also noted that a cost-minimisation approach against the currently listed DAA regimens would be appropriate given the PBAC’s November </w:t>
      </w:r>
      <w:r>
        <w:rPr>
          <w:rFonts w:asciiTheme="minorHAnsi" w:hAnsiTheme="minorHAnsi"/>
          <w:sz w:val="24"/>
        </w:rPr>
        <w:t>20</w:t>
      </w:r>
      <w:r w:rsidRPr="00533D52">
        <w:rPr>
          <w:rFonts w:asciiTheme="minorHAnsi" w:hAnsiTheme="minorHAnsi"/>
          <w:sz w:val="24"/>
        </w:rPr>
        <w:t>16 recommendation for sofosbuvir/velpatasvir.</w:t>
      </w:r>
    </w:p>
    <w:p w:rsidR="001940D8" w:rsidRPr="00533D52" w:rsidRDefault="001940D8" w:rsidP="001940D8">
      <w:pPr>
        <w:pStyle w:val="ListParagraph"/>
        <w:widowControl/>
        <w:numPr>
          <w:ilvl w:val="1"/>
          <w:numId w:val="1"/>
        </w:numPr>
        <w:spacing w:after="120"/>
        <w:contextualSpacing w:val="0"/>
        <w:rPr>
          <w:rFonts w:asciiTheme="minorHAnsi" w:hAnsiTheme="minorHAnsi"/>
          <w:sz w:val="24"/>
        </w:rPr>
      </w:pPr>
      <w:r w:rsidRPr="00533D52">
        <w:rPr>
          <w:rFonts w:asciiTheme="minorHAnsi" w:hAnsiTheme="minorHAnsi"/>
          <w:sz w:val="24"/>
        </w:rPr>
        <w:t>The ESC noted the cost-effectiveness of glecaprevir/pibrentasvir in NS5A treatment experienced patients has not been examined.</w:t>
      </w:r>
    </w:p>
    <w:p w:rsidR="001940D8" w:rsidRDefault="001940D8" w:rsidP="001940D8">
      <w:pPr>
        <w:widowControl/>
        <w:jc w:val="left"/>
        <w:rPr>
          <w:rFonts w:asciiTheme="minorHAnsi" w:hAnsiTheme="minorHAnsi"/>
          <w:b/>
          <w:i/>
          <w:sz w:val="28"/>
        </w:rPr>
      </w:pPr>
      <w:bookmarkStart w:id="26" w:name="_Toc476306893"/>
      <w:bookmarkStart w:id="27" w:name="_Toc482354747"/>
      <w:r>
        <w:rPr>
          <w:rFonts w:asciiTheme="minorHAnsi" w:hAnsiTheme="minorHAnsi"/>
          <w:i/>
          <w:sz w:val="28"/>
        </w:rPr>
        <w:br w:type="page"/>
      </w:r>
    </w:p>
    <w:p w:rsidR="001940D8" w:rsidRPr="004F5586" w:rsidRDefault="001940D8" w:rsidP="001940D8">
      <w:pPr>
        <w:pStyle w:val="Heading2"/>
        <w:rPr>
          <w:rFonts w:asciiTheme="minorHAnsi" w:hAnsiTheme="minorHAnsi"/>
          <w:i w:val="0"/>
          <w:sz w:val="28"/>
        </w:rPr>
      </w:pPr>
      <w:r w:rsidRPr="004F5586">
        <w:rPr>
          <w:rFonts w:asciiTheme="minorHAnsi" w:hAnsiTheme="minorHAnsi"/>
          <w:sz w:val="28"/>
        </w:rPr>
        <w:lastRenderedPageBreak/>
        <w:t xml:space="preserve">Drug cost/patient/course: </w:t>
      </w:r>
      <w:bookmarkEnd w:id="26"/>
      <w:r w:rsidRPr="004F5586">
        <w:rPr>
          <w:rFonts w:asciiTheme="minorHAnsi" w:hAnsiTheme="minorHAnsi"/>
          <w:sz w:val="28"/>
        </w:rPr>
        <w:t>$</w:t>
      </w:r>
      <w:bookmarkEnd w:id="27"/>
      <w:r>
        <w:rPr>
          <w:rFonts w:asciiTheme="minorHAnsi" w:hAnsiTheme="minorHAnsi"/>
          <w:noProof/>
          <w:color w:val="000000"/>
          <w:sz w:val="28"/>
          <w:highlight w:val="black"/>
        </w:rPr>
        <w:t>'''''''''''''</w:t>
      </w:r>
    </w:p>
    <w:p w:rsidR="001940D8" w:rsidRPr="004F5586" w:rsidRDefault="001940D8" w:rsidP="001940D8"/>
    <w:p w:rsidR="001940D8" w:rsidRPr="00533D52" w:rsidRDefault="001940D8" w:rsidP="001940D8">
      <w:pPr>
        <w:pStyle w:val="ListParagraph"/>
        <w:widowControl/>
        <w:numPr>
          <w:ilvl w:val="1"/>
          <w:numId w:val="1"/>
        </w:numPr>
        <w:spacing w:after="120"/>
        <w:contextualSpacing w:val="0"/>
        <w:rPr>
          <w:rFonts w:asciiTheme="minorHAnsi" w:hAnsiTheme="minorHAnsi"/>
          <w:sz w:val="24"/>
        </w:rPr>
      </w:pPr>
      <w:r w:rsidRPr="00533D52">
        <w:rPr>
          <w:rFonts w:asciiTheme="minorHAnsi" w:hAnsiTheme="minorHAnsi"/>
          <w:sz w:val="24"/>
        </w:rPr>
        <w:t>The submission assumed a “proxy” cost of $</w:t>
      </w:r>
      <w:r>
        <w:rPr>
          <w:rFonts w:asciiTheme="minorHAnsi" w:hAnsiTheme="minorHAnsi"/>
          <w:noProof/>
          <w:color w:val="000000"/>
          <w:sz w:val="24"/>
          <w:highlight w:val="black"/>
        </w:rPr>
        <w:t>'''''''''''''</w:t>
      </w:r>
      <w:r w:rsidRPr="00533D52">
        <w:rPr>
          <w:rFonts w:asciiTheme="minorHAnsi" w:hAnsiTheme="minorHAnsi"/>
          <w:sz w:val="24"/>
        </w:rPr>
        <w:t xml:space="preserve"> for a 12 week course of sofosbuvir/velpatasvir and anticipates that the cost of glecaprevir/pibrentasvir will be equivalent to the cost of sofosbuvir/velpatasvir for a course of treatment.</w:t>
      </w:r>
    </w:p>
    <w:p w:rsidR="001940D8" w:rsidRPr="00533D52" w:rsidRDefault="001940D8" w:rsidP="001940D8">
      <w:pPr>
        <w:pStyle w:val="ListParagraph"/>
        <w:widowControl/>
        <w:numPr>
          <w:ilvl w:val="1"/>
          <w:numId w:val="1"/>
        </w:numPr>
        <w:spacing w:after="120"/>
        <w:contextualSpacing w:val="0"/>
        <w:rPr>
          <w:rFonts w:asciiTheme="minorHAnsi" w:hAnsiTheme="minorHAnsi"/>
          <w:sz w:val="24"/>
        </w:rPr>
      </w:pPr>
      <w:r w:rsidRPr="00533D52">
        <w:rPr>
          <w:rFonts w:asciiTheme="minorHAnsi" w:hAnsiTheme="minorHAnsi"/>
          <w:sz w:val="24"/>
        </w:rPr>
        <w:t>In its consideration of sofosbuvir/velpatasvir the PBAC noted that “</w:t>
      </w:r>
      <w:r w:rsidRPr="00533D52">
        <w:rPr>
          <w:rFonts w:asciiTheme="minorHAnsi" w:hAnsiTheme="minorHAnsi"/>
          <w:sz w:val="24"/>
          <w:szCs w:val="22"/>
        </w:rPr>
        <w:t>in the</w:t>
      </w:r>
      <w:r w:rsidRPr="00533D52">
        <w:rPr>
          <w:rFonts w:asciiTheme="minorHAnsi" w:hAnsiTheme="minorHAnsi"/>
          <w:sz w:val="24"/>
        </w:rPr>
        <w:t xml:space="preserve"> absence of demonstrated superior comparative effectiveness or comparative safety of </w:t>
      </w:r>
      <w:r w:rsidRPr="00533D52">
        <w:rPr>
          <w:rFonts w:asciiTheme="minorHAnsi" w:hAnsiTheme="minorHAnsi"/>
          <w:iCs/>
          <w:sz w:val="24"/>
        </w:rPr>
        <w:t>sofosbuvir/velpatasvir FDC</w:t>
      </w:r>
      <w:r w:rsidRPr="00533D52">
        <w:rPr>
          <w:rFonts w:asciiTheme="minorHAnsi" w:hAnsiTheme="minorHAnsi"/>
          <w:sz w:val="24"/>
        </w:rPr>
        <w:t xml:space="preserve"> over alternative regimens, there is no basis for sofosbuvir/velpatasvir FDC to have a cost advantage over the relevant lowest priced regimen in the General Statement.” (Sofosbuvir/velpatasvir public summary document (PSD), November 2016)</w:t>
      </w:r>
      <w:r>
        <w:rPr>
          <w:rFonts w:asciiTheme="minorHAnsi" w:hAnsiTheme="minorHAnsi"/>
          <w:sz w:val="24"/>
        </w:rPr>
        <w:t>.</w:t>
      </w:r>
    </w:p>
    <w:p w:rsidR="001940D8" w:rsidRPr="003F6258" w:rsidRDefault="001940D8" w:rsidP="001940D8">
      <w:pPr>
        <w:widowControl/>
        <w:rPr>
          <w:rFonts w:asciiTheme="minorHAnsi" w:hAnsiTheme="minorHAnsi"/>
          <w:sz w:val="24"/>
          <w:szCs w:val="24"/>
        </w:rPr>
      </w:pPr>
    </w:p>
    <w:p w:rsidR="001940D8" w:rsidRPr="004F5586" w:rsidRDefault="001940D8" w:rsidP="001940D8">
      <w:pPr>
        <w:pStyle w:val="Heading2"/>
        <w:keepLines/>
        <w:rPr>
          <w:rFonts w:asciiTheme="minorHAnsi" w:hAnsiTheme="minorHAnsi"/>
          <w:i w:val="0"/>
          <w:sz w:val="28"/>
        </w:rPr>
      </w:pPr>
      <w:bookmarkStart w:id="28" w:name="_Toc476306894"/>
      <w:bookmarkStart w:id="29" w:name="_Toc482354748"/>
      <w:r w:rsidRPr="004F5586">
        <w:rPr>
          <w:rFonts w:asciiTheme="minorHAnsi" w:hAnsiTheme="minorHAnsi"/>
          <w:sz w:val="28"/>
        </w:rPr>
        <w:t>Estimated PBS usage &amp; financial implications</w:t>
      </w:r>
      <w:bookmarkEnd w:id="28"/>
      <w:bookmarkEnd w:id="29"/>
    </w:p>
    <w:p w:rsidR="001940D8" w:rsidRPr="003F6258" w:rsidRDefault="001940D8" w:rsidP="001940D8">
      <w:pPr>
        <w:keepNext/>
        <w:keepLines/>
        <w:rPr>
          <w:rFonts w:asciiTheme="minorHAnsi" w:hAnsiTheme="minorHAnsi"/>
          <w:sz w:val="24"/>
          <w:szCs w:val="24"/>
        </w:rPr>
      </w:pPr>
    </w:p>
    <w:p w:rsidR="001940D8" w:rsidRPr="004F5586" w:rsidRDefault="001940D8" w:rsidP="001940D8">
      <w:pPr>
        <w:pStyle w:val="ListParagraph"/>
        <w:keepNext/>
        <w:keepLines/>
        <w:widowControl/>
        <w:numPr>
          <w:ilvl w:val="1"/>
          <w:numId w:val="1"/>
        </w:numPr>
        <w:spacing w:after="120"/>
        <w:contextualSpacing w:val="0"/>
        <w:rPr>
          <w:rFonts w:asciiTheme="minorHAnsi" w:hAnsiTheme="minorHAnsi"/>
          <w:sz w:val="24"/>
        </w:rPr>
      </w:pPr>
      <w:r w:rsidRPr="004F5586">
        <w:rPr>
          <w:rFonts w:asciiTheme="minorHAnsi" w:hAnsiTheme="minorHAnsi"/>
          <w:sz w:val="24"/>
        </w:rPr>
        <w:t xml:space="preserve">This submission </w:t>
      </w:r>
      <w:r>
        <w:rPr>
          <w:rFonts w:asciiTheme="minorHAnsi" w:hAnsiTheme="minorHAnsi"/>
          <w:sz w:val="24"/>
        </w:rPr>
        <w:t>wa</w:t>
      </w:r>
      <w:r w:rsidRPr="004F5586">
        <w:rPr>
          <w:rFonts w:asciiTheme="minorHAnsi" w:hAnsiTheme="minorHAnsi"/>
          <w:sz w:val="24"/>
        </w:rPr>
        <w:t xml:space="preserve">s not considered by DUSC. The submission estimated the extent of use and financial implications of listing glecaprevir/pibrentasvir using a mixed epidemiological and market share approach. </w:t>
      </w:r>
    </w:p>
    <w:p w:rsidR="001940D8" w:rsidRPr="004F5586" w:rsidRDefault="001940D8" w:rsidP="001940D8">
      <w:pPr>
        <w:pStyle w:val="ListParagraph"/>
        <w:widowControl/>
        <w:numPr>
          <w:ilvl w:val="1"/>
          <w:numId w:val="1"/>
        </w:numPr>
        <w:spacing w:after="120"/>
        <w:contextualSpacing w:val="0"/>
        <w:rPr>
          <w:rFonts w:asciiTheme="minorHAnsi" w:hAnsiTheme="minorHAnsi"/>
          <w:sz w:val="24"/>
        </w:rPr>
      </w:pPr>
      <w:r w:rsidRPr="004F5586">
        <w:rPr>
          <w:rFonts w:asciiTheme="minorHAnsi" w:hAnsiTheme="minorHAnsi"/>
          <w:sz w:val="24"/>
        </w:rPr>
        <w:t xml:space="preserve">The estimated extent of use and financial estimates are summarised below in Table </w:t>
      </w:r>
      <w:r w:rsidRPr="004F5586">
        <w:rPr>
          <w:rFonts w:asciiTheme="minorHAnsi" w:hAnsiTheme="minorHAnsi"/>
          <w:noProof/>
          <w:sz w:val="24"/>
        </w:rPr>
        <w:t>8</w:t>
      </w:r>
      <w:r w:rsidRPr="004F5586">
        <w:rPr>
          <w:rFonts w:asciiTheme="minorHAnsi" w:hAnsiTheme="minorHAnsi"/>
          <w:sz w:val="24"/>
        </w:rPr>
        <w:t>.</w:t>
      </w:r>
    </w:p>
    <w:p w:rsidR="001940D8" w:rsidRPr="004F5586" w:rsidRDefault="001940D8" w:rsidP="001940D8">
      <w:pPr>
        <w:pStyle w:val="TableHeading0"/>
      </w:pPr>
      <w:bookmarkStart w:id="30" w:name="_Ref479700993"/>
      <w:r w:rsidRPr="004F5586">
        <w:t xml:space="preserve">Table </w:t>
      </w:r>
      <w:r w:rsidRPr="004F5586">
        <w:rPr>
          <w:noProof/>
        </w:rPr>
        <w:t>8</w:t>
      </w:r>
      <w:bookmarkEnd w:id="30"/>
      <w:r w:rsidRPr="004F5586">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3"/>
        <w:gridCol w:w="1403"/>
        <w:gridCol w:w="1315"/>
        <w:gridCol w:w="1358"/>
        <w:gridCol w:w="1401"/>
        <w:gridCol w:w="1514"/>
      </w:tblGrid>
      <w:tr w:rsidR="001940D8" w:rsidRPr="004F5586" w:rsidTr="00E35312">
        <w:trPr>
          <w:tblHeader/>
        </w:trPr>
        <w:tc>
          <w:tcPr>
            <w:tcW w:w="1118" w:type="pct"/>
            <w:shd w:val="clear" w:color="auto" w:fill="auto"/>
            <w:vAlign w:val="center"/>
          </w:tcPr>
          <w:p w:rsidR="001940D8" w:rsidRPr="004F5586" w:rsidRDefault="001940D8" w:rsidP="00E35312">
            <w:pPr>
              <w:pStyle w:val="TableText0"/>
            </w:pPr>
          </w:p>
        </w:tc>
        <w:tc>
          <w:tcPr>
            <w:tcW w:w="779" w:type="pct"/>
            <w:shd w:val="clear" w:color="auto" w:fill="auto"/>
            <w:vAlign w:val="center"/>
          </w:tcPr>
          <w:p w:rsidR="001940D8" w:rsidRPr="004F5586" w:rsidRDefault="001940D8" w:rsidP="00E35312">
            <w:pPr>
              <w:pStyle w:val="TableText0"/>
              <w:rPr>
                <w:b/>
              </w:rPr>
            </w:pPr>
            <w:r w:rsidRPr="004F5586">
              <w:rPr>
                <w:b/>
              </w:rPr>
              <w:t>Year 1</w:t>
            </w:r>
          </w:p>
        </w:tc>
        <w:tc>
          <w:tcPr>
            <w:tcW w:w="730" w:type="pct"/>
            <w:shd w:val="clear" w:color="auto" w:fill="auto"/>
            <w:vAlign w:val="center"/>
          </w:tcPr>
          <w:p w:rsidR="001940D8" w:rsidRPr="004F5586" w:rsidRDefault="001940D8" w:rsidP="00E35312">
            <w:pPr>
              <w:pStyle w:val="TableText0"/>
              <w:rPr>
                <w:b/>
              </w:rPr>
            </w:pPr>
            <w:r w:rsidRPr="004F5586">
              <w:rPr>
                <w:b/>
              </w:rPr>
              <w:t>Year 2</w:t>
            </w:r>
          </w:p>
        </w:tc>
        <w:tc>
          <w:tcPr>
            <w:tcW w:w="754" w:type="pct"/>
            <w:shd w:val="clear" w:color="auto" w:fill="auto"/>
            <w:vAlign w:val="center"/>
          </w:tcPr>
          <w:p w:rsidR="001940D8" w:rsidRPr="004F5586" w:rsidRDefault="001940D8" w:rsidP="00E35312">
            <w:pPr>
              <w:pStyle w:val="TableText0"/>
              <w:rPr>
                <w:b/>
              </w:rPr>
            </w:pPr>
            <w:r w:rsidRPr="004F5586">
              <w:rPr>
                <w:b/>
              </w:rPr>
              <w:t>Year 3</w:t>
            </w:r>
          </w:p>
        </w:tc>
        <w:tc>
          <w:tcPr>
            <w:tcW w:w="778" w:type="pct"/>
            <w:shd w:val="clear" w:color="auto" w:fill="auto"/>
            <w:vAlign w:val="center"/>
          </w:tcPr>
          <w:p w:rsidR="001940D8" w:rsidRPr="004F5586" w:rsidRDefault="001940D8" w:rsidP="00E35312">
            <w:pPr>
              <w:pStyle w:val="TableText0"/>
              <w:rPr>
                <w:b/>
              </w:rPr>
            </w:pPr>
            <w:r w:rsidRPr="004F5586">
              <w:rPr>
                <w:b/>
              </w:rPr>
              <w:t>Year 4</w:t>
            </w:r>
          </w:p>
        </w:tc>
        <w:tc>
          <w:tcPr>
            <w:tcW w:w="841" w:type="pct"/>
            <w:shd w:val="clear" w:color="auto" w:fill="auto"/>
            <w:vAlign w:val="center"/>
          </w:tcPr>
          <w:p w:rsidR="001940D8" w:rsidRPr="004F5586" w:rsidRDefault="001940D8" w:rsidP="00E35312">
            <w:pPr>
              <w:pStyle w:val="TableText0"/>
              <w:rPr>
                <w:b/>
              </w:rPr>
            </w:pPr>
            <w:r w:rsidRPr="004F5586">
              <w:rPr>
                <w:b/>
              </w:rPr>
              <w:t>Year 5</w:t>
            </w:r>
          </w:p>
        </w:tc>
      </w:tr>
      <w:tr w:rsidR="001940D8" w:rsidRPr="004F5586" w:rsidTr="00E35312">
        <w:tc>
          <w:tcPr>
            <w:tcW w:w="5000" w:type="pct"/>
            <w:gridSpan w:val="6"/>
            <w:shd w:val="clear" w:color="auto" w:fill="auto"/>
            <w:vAlign w:val="center"/>
          </w:tcPr>
          <w:p w:rsidR="001940D8" w:rsidRPr="004F5586" w:rsidRDefault="001940D8" w:rsidP="00E35312">
            <w:pPr>
              <w:pStyle w:val="TableText0"/>
              <w:rPr>
                <w:b/>
                <w:bCs/>
                <w:color w:val="000000"/>
              </w:rPr>
            </w:pPr>
            <w:r w:rsidRPr="004F5586">
              <w:rPr>
                <w:b/>
                <w:bCs/>
                <w:color w:val="000000"/>
              </w:rPr>
              <w:t>Estimated extent of use</w:t>
            </w:r>
          </w:p>
        </w:tc>
      </w:tr>
      <w:tr w:rsidR="001940D8" w:rsidRPr="004F5586" w:rsidTr="00E35312">
        <w:tc>
          <w:tcPr>
            <w:tcW w:w="1118" w:type="pct"/>
            <w:shd w:val="clear" w:color="auto" w:fill="auto"/>
            <w:vAlign w:val="center"/>
          </w:tcPr>
          <w:p w:rsidR="001940D8" w:rsidRPr="004F5586" w:rsidRDefault="001940D8" w:rsidP="00E35312">
            <w:pPr>
              <w:pStyle w:val="TableText0"/>
              <w:rPr>
                <w:rFonts w:ascii="Times" w:hAnsi="Times" w:cs="Times New Roman"/>
              </w:rPr>
            </w:pPr>
            <w:r w:rsidRPr="004F5586">
              <w:t>Number of patients treated</w:t>
            </w:r>
          </w:p>
        </w:tc>
        <w:tc>
          <w:tcPr>
            <w:tcW w:w="779" w:type="pct"/>
            <w:shd w:val="clear" w:color="auto" w:fill="FFFFFF"/>
          </w:tcPr>
          <w:p w:rsidR="001940D8" w:rsidRPr="00B22EA1" w:rsidRDefault="001940D8" w:rsidP="00E35312">
            <w:pPr>
              <w:pStyle w:val="TableText0"/>
              <w:jc w:val="right"/>
              <w:rPr>
                <w:bCs/>
                <w:color w:val="000000"/>
                <w:highlight w:val="black"/>
              </w:rPr>
            </w:pPr>
            <w:r>
              <w:rPr>
                <w:noProof/>
                <w:color w:val="000000"/>
                <w:highlight w:val="black"/>
              </w:rPr>
              <w:t>''''''''''''</w:t>
            </w:r>
          </w:p>
        </w:tc>
        <w:tc>
          <w:tcPr>
            <w:tcW w:w="730" w:type="pct"/>
            <w:shd w:val="clear" w:color="auto" w:fill="FFFFFF"/>
          </w:tcPr>
          <w:p w:rsidR="001940D8" w:rsidRPr="00B22EA1" w:rsidRDefault="001940D8" w:rsidP="00E35312">
            <w:pPr>
              <w:pStyle w:val="TableText0"/>
              <w:jc w:val="right"/>
              <w:rPr>
                <w:bCs/>
                <w:color w:val="000000"/>
                <w:highlight w:val="black"/>
              </w:rPr>
            </w:pPr>
            <w:r>
              <w:rPr>
                <w:noProof/>
                <w:color w:val="000000"/>
                <w:highlight w:val="black"/>
              </w:rPr>
              <w:t>'''''''''''''''</w:t>
            </w:r>
          </w:p>
        </w:tc>
        <w:tc>
          <w:tcPr>
            <w:tcW w:w="754" w:type="pct"/>
            <w:shd w:val="clear" w:color="auto" w:fill="FFFFFF"/>
          </w:tcPr>
          <w:p w:rsidR="001940D8" w:rsidRPr="00B22EA1" w:rsidRDefault="001940D8" w:rsidP="00E35312">
            <w:pPr>
              <w:pStyle w:val="TableText0"/>
              <w:jc w:val="right"/>
              <w:rPr>
                <w:bCs/>
                <w:color w:val="000000"/>
                <w:highlight w:val="black"/>
              </w:rPr>
            </w:pPr>
            <w:r>
              <w:rPr>
                <w:noProof/>
                <w:color w:val="000000"/>
                <w:highlight w:val="black"/>
              </w:rPr>
              <w:t>''''''''''''</w:t>
            </w:r>
          </w:p>
        </w:tc>
        <w:tc>
          <w:tcPr>
            <w:tcW w:w="778" w:type="pct"/>
            <w:shd w:val="clear" w:color="auto" w:fill="FFFFFF"/>
          </w:tcPr>
          <w:p w:rsidR="001940D8" w:rsidRPr="00B22EA1" w:rsidRDefault="001940D8" w:rsidP="00E35312">
            <w:pPr>
              <w:pStyle w:val="TableText0"/>
              <w:jc w:val="right"/>
              <w:rPr>
                <w:bCs/>
                <w:color w:val="000000"/>
                <w:highlight w:val="black"/>
              </w:rPr>
            </w:pPr>
            <w:r>
              <w:rPr>
                <w:noProof/>
                <w:color w:val="000000"/>
                <w:highlight w:val="black"/>
              </w:rPr>
              <w:t>''''''''''''''</w:t>
            </w:r>
          </w:p>
        </w:tc>
        <w:tc>
          <w:tcPr>
            <w:tcW w:w="841" w:type="pct"/>
            <w:shd w:val="clear" w:color="auto" w:fill="FFFFFF"/>
          </w:tcPr>
          <w:p w:rsidR="001940D8" w:rsidRPr="00B22EA1" w:rsidRDefault="001940D8" w:rsidP="00E35312">
            <w:pPr>
              <w:pStyle w:val="TableText0"/>
              <w:jc w:val="right"/>
              <w:rPr>
                <w:bCs/>
                <w:color w:val="000000"/>
                <w:highlight w:val="black"/>
              </w:rPr>
            </w:pPr>
            <w:r>
              <w:rPr>
                <w:noProof/>
                <w:color w:val="000000"/>
                <w:highlight w:val="black"/>
              </w:rPr>
              <w:t>'''''''''''''</w:t>
            </w:r>
          </w:p>
        </w:tc>
      </w:tr>
      <w:tr w:rsidR="001940D8" w:rsidRPr="004F5586" w:rsidTr="00E35312">
        <w:tc>
          <w:tcPr>
            <w:tcW w:w="1118" w:type="pct"/>
            <w:shd w:val="clear" w:color="auto" w:fill="auto"/>
            <w:vAlign w:val="center"/>
          </w:tcPr>
          <w:p w:rsidR="001940D8" w:rsidRPr="004F5586" w:rsidRDefault="001940D8" w:rsidP="00E35312">
            <w:pPr>
              <w:pStyle w:val="TableText0"/>
              <w:rPr>
                <w:rFonts w:ascii="Times" w:hAnsi="Times" w:cs="Times New Roman"/>
              </w:rPr>
            </w:pPr>
            <w:r w:rsidRPr="004F5586">
              <w:t>Number of packs dispensed</w:t>
            </w:r>
            <w:r w:rsidRPr="004F5586">
              <w:rPr>
                <w:vertAlign w:val="superscript"/>
              </w:rPr>
              <w:t>a</w:t>
            </w:r>
          </w:p>
        </w:tc>
        <w:tc>
          <w:tcPr>
            <w:tcW w:w="779" w:type="pct"/>
            <w:shd w:val="clear" w:color="auto" w:fill="FFFFFF"/>
            <w:vAlign w:val="center"/>
          </w:tcPr>
          <w:p w:rsidR="001940D8" w:rsidRPr="00B22EA1" w:rsidRDefault="001940D8" w:rsidP="00E35312">
            <w:pPr>
              <w:pStyle w:val="TableText0"/>
              <w:jc w:val="right"/>
              <w:rPr>
                <w:bCs/>
                <w:color w:val="000000"/>
                <w:highlight w:val="black"/>
              </w:rPr>
            </w:pPr>
            <w:r>
              <w:rPr>
                <w:noProof/>
                <w:color w:val="000000"/>
                <w:highlight w:val="black"/>
              </w:rPr>
              <w:t>'''''''''''''''</w:t>
            </w:r>
          </w:p>
        </w:tc>
        <w:tc>
          <w:tcPr>
            <w:tcW w:w="730" w:type="pct"/>
            <w:shd w:val="clear" w:color="auto" w:fill="FFFFFF"/>
            <w:vAlign w:val="center"/>
          </w:tcPr>
          <w:p w:rsidR="001940D8" w:rsidRPr="00B22EA1" w:rsidRDefault="001940D8" w:rsidP="00E35312">
            <w:pPr>
              <w:pStyle w:val="TableText0"/>
              <w:jc w:val="right"/>
              <w:rPr>
                <w:bCs/>
                <w:color w:val="000000"/>
                <w:highlight w:val="black"/>
              </w:rPr>
            </w:pPr>
            <w:r>
              <w:rPr>
                <w:noProof/>
                <w:color w:val="000000"/>
                <w:highlight w:val="black"/>
              </w:rPr>
              <w:t>''''''''''''''''</w:t>
            </w:r>
          </w:p>
        </w:tc>
        <w:tc>
          <w:tcPr>
            <w:tcW w:w="754" w:type="pct"/>
            <w:shd w:val="clear" w:color="auto" w:fill="FFFFFF"/>
            <w:vAlign w:val="center"/>
          </w:tcPr>
          <w:p w:rsidR="001940D8" w:rsidRPr="00B22EA1" w:rsidRDefault="001940D8" w:rsidP="00E35312">
            <w:pPr>
              <w:pStyle w:val="TableText0"/>
              <w:jc w:val="right"/>
              <w:rPr>
                <w:bCs/>
                <w:color w:val="000000"/>
                <w:highlight w:val="black"/>
              </w:rPr>
            </w:pPr>
            <w:r>
              <w:rPr>
                <w:noProof/>
                <w:color w:val="000000"/>
                <w:highlight w:val="black"/>
              </w:rPr>
              <w:t>'''''''''''''''''</w:t>
            </w:r>
          </w:p>
        </w:tc>
        <w:tc>
          <w:tcPr>
            <w:tcW w:w="778" w:type="pct"/>
            <w:shd w:val="clear" w:color="auto" w:fill="FFFFFF"/>
            <w:vAlign w:val="center"/>
          </w:tcPr>
          <w:p w:rsidR="001940D8" w:rsidRPr="00B22EA1" w:rsidRDefault="001940D8" w:rsidP="00E35312">
            <w:pPr>
              <w:pStyle w:val="TableText0"/>
              <w:jc w:val="right"/>
              <w:rPr>
                <w:bCs/>
                <w:color w:val="000000"/>
                <w:highlight w:val="black"/>
              </w:rPr>
            </w:pPr>
            <w:r>
              <w:rPr>
                <w:noProof/>
                <w:color w:val="000000"/>
                <w:highlight w:val="black"/>
              </w:rPr>
              <w:t>'''''''''''''''''</w:t>
            </w:r>
          </w:p>
        </w:tc>
        <w:tc>
          <w:tcPr>
            <w:tcW w:w="841" w:type="pct"/>
            <w:shd w:val="clear" w:color="auto" w:fill="FFFFFF"/>
            <w:vAlign w:val="center"/>
          </w:tcPr>
          <w:p w:rsidR="001940D8" w:rsidRPr="00B22EA1" w:rsidRDefault="001940D8" w:rsidP="00E35312">
            <w:pPr>
              <w:pStyle w:val="TableText0"/>
              <w:jc w:val="right"/>
              <w:rPr>
                <w:bCs/>
                <w:color w:val="000000"/>
                <w:highlight w:val="black"/>
              </w:rPr>
            </w:pPr>
            <w:r>
              <w:rPr>
                <w:noProof/>
                <w:color w:val="000000"/>
                <w:highlight w:val="black"/>
              </w:rPr>
              <w:t>''''''''''''''</w:t>
            </w:r>
          </w:p>
        </w:tc>
      </w:tr>
      <w:tr w:rsidR="001940D8" w:rsidRPr="004F5586" w:rsidTr="00E35312">
        <w:tc>
          <w:tcPr>
            <w:tcW w:w="5000" w:type="pct"/>
            <w:gridSpan w:val="6"/>
            <w:shd w:val="clear" w:color="auto" w:fill="auto"/>
            <w:vAlign w:val="center"/>
          </w:tcPr>
          <w:p w:rsidR="001940D8" w:rsidRPr="004F5586" w:rsidRDefault="001940D8" w:rsidP="00E35312">
            <w:pPr>
              <w:pStyle w:val="TableText0"/>
              <w:rPr>
                <w:b/>
                <w:bCs/>
                <w:color w:val="000000"/>
              </w:rPr>
            </w:pPr>
            <w:r w:rsidRPr="004F5586">
              <w:rPr>
                <w:b/>
                <w:bCs/>
                <w:color w:val="000000"/>
              </w:rPr>
              <w:t>Estimated financial implications of glecaprevir/pibrentasvir</w:t>
            </w:r>
          </w:p>
        </w:tc>
      </w:tr>
      <w:tr w:rsidR="001940D8" w:rsidRPr="004F5586" w:rsidTr="00E35312">
        <w:tc>
          <w:tcPr>
            <w:tcW w:w="1118" w:type="pct"/>
            <w:shd w:val="clear" w:color="auto" w:fill="auto"/>
            <w:vAlign w:val="center"/>
          </w:tcPr>
          <w:p w:rsidR="001940D8" w:rsidRPr="004F5586" w:rsidRDefault="001940D8" w:rsidP="00E35312">
            <w:pPr>
              <w:pStyle w:val="TableText0"/>
              <w:rPr>
                <w:rFonts w:ascii="Times" w:hAnsi="Times" w:cs="Times New Roman"/>
              </w:rPr>
            </w:pPr>
            <w:r w:rsidRPr="004F5586">
              <w:rPr>
                <w:sz w:val="19"/>
                <w:szCs w:val="19"/>
              </w:rPr>
              <w:t>Cost to PBS/RPBS</w:t>
            </w:r>
          </w:p>
        </w:tc>
        <w:tc>
          <w:tcPr>
            <w:tcW w:w="779" w:type="pct"/>
            <w:shd w:val="clear" w:color="auto" w:fill="FFFFFF"/>
            <w:vAlign w:val="center"/>
          </w:tcPr>
          <w:p w:rsidR="001940D8" w:rsidRPr="004F5586" w:rsidRDefault="001940D8" w:rsidP="00E35312">
            <w:pPr>
              <w:pStyle w:val="TableText0"/>
              <w:jc w:val="right"/>
              <w:rPr>
                <w:bCs/>
              </w:rPr>
            </w:pPr>
            <w:r w:rsidRPr="004F5586">
              <w:t>$</w:t>
            </w:r>
            <w:r>
              <w:rPr>
                <w:noProof/>
                <w:color w:val="000000"/>
                <w:highlight w:val="black"/>
              </w:rPr>
              <w:t>'''''''''''''''''''''''''''</w:t>
            </w:r>
          </w:p>
        </w:tc>
        <w:tc>
          <w:tcPr>
            <w:tcW w:w="730" w:type="pct"/>
            <w:shd w:val="clear" w:color="auto" w:fill="FFFFFF"/>
            <w:vAlign w:val="center"/>
          </w:tcPr>
          <w:p w:rsidR="001940D8" w:rsidRPr="004F5586" w:rsidRDefault="001940D8" w:rsidP="00E35312">
            <w:pPr>
              <w:pStyle w:val="TableText0"/>
              <w:jc w:val="right"/>
              <w:rPr>
                <w:bCs/>
              </w:rPr>
            </w:pPr>
            <w:r w:rsidRPr="004F5586">
              <w:t>$</w:t>
            </w:r>
            <w:r>
              <w:rPr>
                <w:noProof/>
                <w:color w:val="000000"/>
                <w:highlight w:val="black"/>
              </w:rPr>
              <w:t>'''''''''''''''''''''''''''''''</w:t>
            </w:r>
          </w:p>
        </w:tc>
        <w:tc>
          <w:tcPr>
            <w:tcW w:w="754" w:type="pct"/>
            <w:shd w:val="clear" w:color="auto" w:fill="FFFFFF"/>
            <w:vAlign w:val="center"/>
          </w:tcPr>
          <w:p w:rsidR="001940D8" w:rsidRPr="004F5586" w:rsidRDefault="001940D8" w:rsidP="00E35312">
            <w:pPr>
              <w:pStyle w:val="TableText0"/>
              <w:jc w:val="right"/>
              <w:rPr>
                <w:bCs/>
              </w:rPr>
            </w:pPr>
            <w:r w:rsidRPr="004F5586">
              <w:t>$</w:t>
            </w:r>
            <w:r>
              <w:rPr>
                <w:noProof/>
                <w:color w:val="000000"/>
                <w:highlight w:val="black"/>
              </w:rPr>
              <w:t>''''''''''''''''''''''''''</w:t>
            </w:r>
          </w:p>
        </w:tc>
        <w:tc>
          <w:tcPr>
            <w:tcW w:w="778" w:type="pct"/>
            <w:shd w:val="clear" w:color="auto" w:fill="FFFFFF"/>
            <w:vAlign w:val="center"/>
          </w:tcPr>
          <w:p w:rsidR="001940D8" w:rsidRPr="004F5586" w:rsidRDefault="001940D8" w:rsidP="00E35312">
            <w:pPr>
              <w:pStyle w:val="TableText0"/>
              <w:jc w:val="right"/>
              <w:rPr>
                <w:bCs/>
              </w:rPr>
            </w:pPr>
            <w:r w:rsidRPr="004F5586">
              <w:t>$</w:t>
            </w:r>
            <w:r>
              <w:rPr>
                <w:noProof/>
                <w:color w:val="000000"/>
                <w:highlight w:val="black"/>
              </w:rPr>
              <w:t>'''''''''''''''''''''''''''''''</w:t>
            </w:r>
          </w:p>
        </w:tc>
        <w:tc>
          <w:tcPr>
            <w:tcW w:w="841" w:type="pct"/>
            <w:shd w:val="clear" w:color="auto" w:fill="FFFFFF"/>
            <w:vAlign w:val="center"/>
          </w:tcPr>
          <w:p w:rsidR="001940D8" w:rsidRPr="004F5586" w:rsidRDefault="001940D8" w:rsidP="00E35312">
            <w:pPr>
              <w:pStyle w:val="TableText0"/>
              <w:jc w:val="right"/>
              <w:rPr>
                <w:bCs/>
              </w:rPr>
            </w:pPr>
            <w:r w:rsidRPr="004F5586">
              <w:t>$</w:t>
            </w:r>
            <w:r>
              <w:rPr>
                <w:noProof/>
                <w:color w:val="000000"/>
                <w:highlight w:val="black"/>
              </w:rPr>
              <w:t>'''''''''''''''''''''''''''</w:t>
            </w:r>
          </w:p>
        </w:tc>
      </w:tr>
      <w:tr w:rsidR="001940D8" w:rsidRPr="004F5586" w:rsidTr="00E35312">
        <w:tc>
          <w:tcPr>
            <w:tcW w:w="1118" w:type="pct"/>
            <w:shd w:val="clear" w:color="auto" w:fill="auto"/>
            <w:vAlign w:val="center"/>
          </w:tcPr>
          <w:p w:rsidR="001940D8" w:rsidRPr="004F5586" w:rsidRDefault="001940D8" w:rsidP="00E35312">
            <w:pPr>
              <w:pStyle w:val="TableText0"/>
              <w:rPr>
                <w:sz w:val="19"/>
                <w:szCs w:val="19"/>
              </w:rPr>
            </w:pPr>
            <w:r w:rsidRPr="004F5586">
              <w:rPr>
                <w:sz w:val="19"/>
                <w:szCs w:val="19"/>
              </w:rPr>
              <w:t>Copayments</w:t>
            </w:r>
          </w:p>
        </w:tc>
        <w:tc>
          <w:tcPr>
            <w:tcW w:w="779" w:type="pct"/>
            <w:shd w:val="clear" w:color="auto" w:fill="FFFFFF"/>
            <w:vAlign w:val="center"/>
          </w:tcPr>
          <w:p w:rsidR="001940D8" w:rsidRPr="004F5586" w:rsidRDefault="001940D8" w:rsidP="00E35312">
            <w:pPr>
              <w:pStyle w:val="TableText0"/>
              <w:jc w:val="right"/>
              <w:rPr>
                <w:bCs/>
              </w:rPr>
            </w:pPr>
            <w:r w:rsidRPr="004F5586">
              <w:t>$</w:t>
            </w:r>
            <w:r>
              <w:rPr>
                <w:noProof/>
                <w:color w:val="000000"/>
                <w:highlight w:val="black"/>
              </w:rPr>
              <w:t>''''''''''''''''''</w:t>
            </w:r>
          </w:p>
        </w:tc>
        <w:tc>
          <w:tcPr>
            <w:tcW w:w="730" w:type="pct"/>
            <w:shd w:val="clear" w:color="auto" w:fill="FFFFFF"/>
            <w:vAlign w:val="center"/>
          </w:tcPr>
          <w:p w:rsidR="001940D8" w:rsidRPr="004F5586" w:rsidRDefault="001940D8" w:rsidP="00E35312">
            <w:pPr>
              <w:pStyle w:val="TableText0"/>
              <w:jc w:val="right"/>
              <w:rPr>
                <w:bCs/>
              </w:rPr>
            </w:pPr>
            <w:r w:rsidRPr="004F5586">
              <w:t>$</w:t>
            </w:r>
            <w:r>
              <w:rPr>
                <w:noProof/>
                <w:color w:val="000000"/>
                <w:highlight w:val="black"/>
              </w:rPr>
              <w:t>''''''''''''''''''</w:t>
            </w:r>
          </w:p>
        </w:tc>
        <w:tc>
          <w:tcPr>
            <w:tcW w:w="754" w:type="pct"/>
            <w:shd w:val="clear" w:color="auto" w:fill="FFFFFF"/>
            <w:vAlign w:val="center"/>
          </w:tcPr>
          <w:p w:rsidR="001940D8" w:rsidRPr="004F5586" w:rsidRDefault="001940D8" w:rsidP="00E35312">
            <w:pPr>
              <w:pStyle w:val="TableText0"/>
              <w:jc w:val="right"/>
              <w:rPr>
                <w:bCs/>
              </w:rPr>
            </w:pPr>
            <w:r w:rsidRPr="004F5586">
              <w:t>$</w:t>
            </w:r>
            <w:r>
              <w:rPr>
                <w:noProof/>
                <w:color w:val="000000"/>
                <w:highlight w:val="black"/>
              </w:rPr>
              <w:t>'''''''''''''''''''''</w:t>
            </w:r>
          </w:p>
        </w:tc>
        <w:tc>
          <w:tcPr>
            <w:tcW w:w="778" w:type="pct"/>
            <w:shd w:val="clear" w:color="auto" w:fill="FFFFFF"/>
            <w:vAlign w:val="center"/>
          </w:tcPr>
          <w:p w:rsidR="001940D8" w:rsidRPr="004F5586" w:rsidRDefault="001940D8" w:rsidP="00E35312">
            <w:pPr>
              <w:pStyle w:val="TableText0"/>
              <w:jc w:val="right"/>
              <w:rPr>
                <w:bCs/>
              </w:rPr>
            </w:pPr>
            <w:r w:rsidRPr="004F5586">
              <w:t>$</w:t>
            </w:r>
            <w:r>
              <w:rPr>
                <w:noProof/>
                <w:color w:val="000000"/>
                <w:highlight w:val="black"/>
              </w:rPr>
              <w:t>''''''''''''''''''''</w:t>
            </w:r>
          </w:p>
        </w:tc>
        <w:tc>
          <w:tcPr>
            <w:tcW w:w="841" w:type="pct"/>
            <w:shd w:val="clear" w:color="auto" w:fill="FFFFFF"/>
            <w:vAlign w:val="center"/>
          </w:tcPr>
          <w:p w:rsidR="001940D8" w:rsidRPr="004F5586" w:rsidRDefault="001940D8" w:rsidP="00E35312">
            <w:pPr>
              <w:pStyle w:val="TableText0"/>
              <w:jc w:val="right"/>
              <w:rPr>
                <w:bCs/>
              </w:rPr>
            </w:pPr>
            <w:r w:rsidRPr="004F5586">
              <w:t>$</w:t>
            </w:r>
            <w:r>
              <w:rPr>
                <w:noProof/>
                <w:color w:val="000000"/>
                <w:highlight w:val="black"/>
              </w:rPr>
              <w:t>'''''''''''''''''''</w:t>
            </w:r>
          </w:p>
        </w:tc>
      </w:tr>
      <w:tr w:rsidR="001940D8" w:rsidRPr="004F5586" w:rsidTr="00E35312">
        <w:tc>
          <w:tcPr>
            <w:tcW w:w="1118" w:type="pct"/>
            <w:shd w:val="clear" w:color="auto" w:fill="auto"/>
            <w:vAlign w:val="center"/>
          </w:tcPr>
          <w:p w:rsidR="001940D8" w:rsidRPr="004F5586" w:rsidRDefault="001940D8" w:rsidP="00E35312">
            <w:pPr>
              <w:pStyle w:val="TableText0"/>
              <w:rPr>
                <w:sz w:val="19"/>
                <w:szCs w:val="19"/>
              </w:rPr>
            </w:pPr>
            <w:r w:rsidRPr="004F5586">
              <w:rPr>
                <w:sz w:val="19"/>
                <w:szCs w:val="19"/>
              </w:rPr>
              <w:t>Cost to PBS/RPBS less copayments</w:t>
            </w:r>
          </w:p>
        </w:tc>
        <w:tc>
          <w:tcPr>
            <w:tcW w:w="779" w:type="pct"/>
            <w:shd w:val="clear" w:color="auto" w:fill="FFFFFF"/>
            <w:vAlign w:val="center"/>
          </w:tcPr>
          <w:p w:rsidR="001940D8" w:rsidRPr="004F5586" w:rsidRDefault="001940D8" w:rsidP="00E35312">
            <w:pPr>
              <w:pStyle w:val="TableText0"/>
              <w:jc w:val="right"/>
              <w:rPr>
                <w:bCs/>
              </w:rPr>
            </w:pPr>
            <w:r w:rsidRPr="004F5586">
              <w:rPr>
                <w:rFonts w:cs="Calibri"/>
              </w:rPr>
              <w:t>$</w:t>
            </w:r>
            <w:r>
              <w:rPr>
                <w:rFonts w:cs="Calibri"/>
                <w:noProof/>
                <w:color w:val="000000"/>
                <w:highlight w:val="black"/>
              </w:rPr>
              <w:t>'''''''''''''''''''''''''''</w:t>
            </w:r>
          </w:p>
        </w:tc>
        <w:tc>
          <w:tcPr>
            <w:tcW w:w="730" w:type="pct"/>
            <w:shd w:val="clear" w:color="auto" w:fill="FFFFFF"/>
            <w:vAlign w:val="center"/>
          </w:tcPr>
          <w:p w:rsidR="001940D8" w:rsidRPr="004F5586" w:rsidRDefault="001940D8" w:rsidP="00E35312">
            <w:pPr>
              <w:pStyle w:val="TableText0"/>
              <w:jc w:val="right"/>
              <w:rPr>
                <w:bCs/>
              </w:rPr>
            </w:pPr>
            <w:r w:rsidRPr="004F5586">
              <w:rPr>
                <w:rFonts w:cs="Calibri"/>
              </w:rPr>
              <w:t>$</w:t>
            </w:r>
            <w:r>
              <w:rPr>
                <w:rFonts w:cs="Calibri"/>
                <w:noProof/>
                <w:color w:val="000000"/>
                <w:highlight w:val="black"/>
              </w:rPr>
              <w:t>''''''''''''''''''''''''''''</w:t>
            </w:r>
          </w:p>
        </w:tc>
        <w:tc>
          <w:tcPr>
            <w:tcW w:w="754" w:type="pct"/>
            <w:shd w:val="clear" w:color="auto" w:fill="FFFFFF"/>
            <w:vAlign w:val="center"/>
          </w:tcPr>
          <w:p w:rsidR="001940D8" w:rsidRPr="004F5586" w:rsidRDefault="001940D8" w:rsidP="00E35312">
            <w:pPr>
              <w:pStyle w:val="TableText0"/>
              <w:jc w:val="right"/>
              <w:rPr>
                <w:bCs/>
              </w:rPr>
            </w:pPr>
            <w:r w:rsidRPr="004F5586">
              <w:rPr>
                <w:rFonts w:cs="Calibri"/>
              </w:rPr>
              <w:t>$</w:t>
            </w:r>
            <w:r>
              <w:rPr>
                <w:rFonts w:cs="Calibri"/>
                <w:noProof/>
                <w:color w:val="000000"/>
                <w:highlight w:val="black"/>
              </w:rPr>
              <w:t>''''''''''''''''''''''''''''''''</w:t>
            </w:r>
          </w:p>
        </w:tc>
        <w:tc>
          <w:tcPr>
            <w:tcW w:w="778" w:type="pct"/>
            <w:shd w:val="clear" w:color="auto" w:fill="FFFFFF"/>
            <w:vAlign w:val="center"/>
          </w:tcPr>
          <w:p w:rsidR="001940D8" w:rsidRPr="004F5586" w:rsidRDefault="001940D8" w:rsidP="00E35312">
            <w:pPr>
              <w:pStyle w:val="TableText0"/>
              <w:jc w:val="right"/>
              <w:rPr>
                <w:bCs/>
              </w:rPr>
            </w:pPr>
            <w:r w:rsidRPr="004F5586">
              <w:rPr>
                <w:rFonts w:cs="Calibri"/>
              </w:rPr>
              <w:t>$</w:t>
            </w:r>
            <w:r>
              <w:rPr>
                <w:rFonts w:cs="Calibri"/>
                <w:noProof/>
                <w:color w:val="000000"/>
                <w:highlight w:val="black"/>
              </w:rPr>
              <w:t>''''''''''''''''''''''''''''''</w:t>
            </w:r>
          </w:p>
        </w:tc>
        <w:tc>
          <w:tcPr>
            <w:tcW w:w="841" w:type="pct"/>
            <w:shd w:val="clear" w:color="auto" w:fill="FFFFFF"/>
            <w:vAlign w:val="center"/>
          </w:tcPr>
          <w:p w:rsidR="001940D8" w:rsidRPr="004F5586" w:rsidRDefault="001940D8" w:rsidP="00E35312">
            <w:pPr>
              <w:pStyle w:val="TableText0"/>
              <w:jc w:val="right"/>
              <w:rPr>
                <w:bCs/>
              </w:rPr>
            </w:pPr>
            <w:r w:rsidRPr="004F5586">
              <w:rPr>
                <w:rFonts w:cs="Calibri"/>
              </w:rPr>
              <w:t>$</w:t>
            </w:r>
            <w:r>
              <w:rPr>
                <w:rFonts w:cs="Calibri"/>
                <w:noProof/>
                <w:color w:val="000000"/>
                <w:highlight w:val="black"/>
              </w:rPr>
              <w:t>''''''''''''''''''''''''''''</w:t>
            </w:r>
          </w:p>
        </w:tc>
      </w:tr>
      <w:tr w:rsidR="001940D8" w:rsidRPr="004F5586" w:rsidTr="00E35312">
        <w:tc>
          <w:tcPr>
            <w:tcW w:w="5000" w:type="pct"/>
            <w:gridSpan w:val="6"/>
            <w:shd w:val="clear" w:color="auto" w:fill="auto"/>
            <w:vAlign w:val="center"/>
          </w:tcPr>
          <w:p w:rsidR="001940D8" w:rsidRPr="004F5586" w:rsidRDefault="001940D8" w:rsidP="00E35312">
            <w:pPr>
              <w:pStyle w:val="TableText0"/>
              <w:rPr>
                <w:bCs/>
                <w:color w:val="000000"/>
              </w:rPr>
            </w:pPr>
            <w:r w:rsidRPr="004F5586">
              <w:rPr>
                <w:b/>
                <w:bCs/>
                <w:color w:val="000000"/>
              </w:rPr>
              <w:t>Estimated financial implications for substituted drugs</w:t>
            </w:r>
          </w:p>
        </w:tc>
      </w:tr>
      <w:tr w:rsidR="001940D8" w:rsidRPr="004F5586" w:rsidTr="00E35312">
        <w:tc>
          <w:tcPr>
            <w:tcW w:w="1118" w:type="pct"/>
            <w:shd w:val="clear" w:color="auto" w:fill="auto"/>
            <w:vAlign w:val="center"/>
          </w:tcPr>
          <w:p w:rsidR="001940D8" w:rsidRPr="004F5586" w:rsidRDefault="001940D8" w:rsidP="00E35312">
            <w:pPr>
              <w:pStyle w:val="TableText0"/>
              <w:rPr>
                <w:sz w:val="19"/>
                <w:szCs w:val="19"/>
              </w:rPr>
            </w:pPr>
            <w:r w:rsidRPr="004F5586">
              <w:rPr>
                <w:sz w:val="19"/>
                <w:szCs w:val="19"/>
              </w:rPr>
              <w:t>Cost to PBS/RPBS</w:t>
            </w:r>
          </w:p>
        </w:tc>
        <w:tc>
          <w:tcPr>
            <w:tcW w:w="779" w:type="pct"/>
            <w:shd w:val="clear" w:color="auto" w:fill="FFFFFF"/>
            <w:vAlign w:val="center"/>
          </w:tcPr>
          <w:p w:rsidR="001940D8" w:rsidRPr="004F5586" w:rsidRDefault="001940D8" w:rsidP="00E35312">
            <w:pPr>
              <w:pStyle w:val="TableText0"/>
              <w:jc w:val="right"/>
              <w:rPr>
                <w:bCs/>
                <w:color w:val="000000"/>
              </w:rPr>
            </w:pPr>
            <w:r w:rsidRPr="004F5586">
              <w:rPr>
                <w:color w:val="000000" w:themeColor="text1"/>
              </w:rPr>
              <w:t>$</w:t>
            </w:r>
            <w:r>
              <w:rPr>
                <w:noProof/>
                <w:color w:val="000000"/>
                <w:highlight w:val="black"/>
              </w:rPr>
              <w:t>''''''''''''''''''''''''''''''</w:t>
            </w:r>
          </w:p>
        </w:tc>
        <w:tc>
          <w:tcPr>
            <w:tcW w:w="730" w:type="pct"/>
            <w:shd w:val="clear" w:color="auto" w:fill="FFFFFF"/>
            <w:vAlign w:val="center"/>
          </w:tcPr>
          <w:p w:rsidR="001940D8" w:rsidRPr="004F5586" w:rsidRDefault="001940D8" w:rsidP="00E35312">
            <w:pPr>
              <w:pStyle w:val="TableText0"/>
              <w:jc w:val="right"/>
              <w:rPr>
                <w:bCs/>
                <w:color w:val="000000"/>
              </w:rPr>
            </w:pPr>
            <w:r w:rsidRPr="004F5586">
              <w:rPr>
                <w:color w:val="000000" w:themeColor="text1"/>
              </w:rPr>
              <w:t>$</w:t>
            </w:r>
            <w:r>
              <w:rPr>
                <w:noProof/>
                <w:color w:val="000000"/>
                <w:highlight w:val="black"/>
              </w:rPr>
              <w:t>'''''''''''''''''''''''''''</w:t>
            </w:r>
          </w:p>
        </w:tc>
        <w:tc>
          <w:tcPr>
            <w:tcW w:w="754" w:type="pct"/>
            <w:shd w:val="clear" w:color="auto" w:fill="FFFFFF"/>
            <w:vAlign w:val="center"/>
          </w:tcPr>
          <w:p w:rsidR="001940D8" w:rsidRPr="004F5586" w:rsidRDefault="001940D8" w:rsidP="00E35312">
            <w:pPr>
              <w:pStyle w:val="TableText0"/>
              <w:jc w:val="right"/>
              <w:rPr>
                <w:bCs/>
                <w:color w:val="000000"/>
              </w:rPr>
            </w:pPr>
            <w:r w:rsidRPr="004F5586">
              <w:rPr>
                <w:color w:val="000000" w:themeColor="text1"/>
              </w:rPr>
              <w:t>$</w:t>
            </w:r>
            <w:r>
              <w:rPr>
                <w:noProof/>
                <w:color w:val="000000"/>
                <w:highlight w:val="black"/>
              </w:rPr>
              <w:t>'''''''''''''''''''''''''''''''</w:t>
            </w:r>
          </w:p>
        </w:tc>
        <w:tc>
          <w:tcPr>
            <w:tcW w:w="778" w:type="pct"/>
            <w:shd w:val="clear" w:color="auto" w:fill="FFFFFF"/>
            <w:vAlign w:val="center"/>
          </w:tcPr>
          <w:p w:rsidR="001940D8" w:rsidRPr="004F5586" w:rsidRDefault="001940D8" w:rsidP="00E35312">
            <w:pPr>
              <w:pStyle w:val="TableText0"/>
              <w:jc w:val="right"/>
              <w:rPr>
                <w:bCs/>
                <w:color w:val="000000"/>
              </w:rPr>
            </w:pPr>
            <w:r w:rsidRPr="004F5586">
              <w:rPr>
                <w:color w:val="000000" w:themeColor="text1"/>
              </w:rPr>
              <w:t>$</w:t>
            </w:r>
            <w:r>
              <w:rPr>
                <w:noProof/>
                <w:color w:val="000000"/>
                <w:highlight w:val="black"/>
              </w:rPr>
              <w:t>''''''''''''''''''''''''''</w:t>
            </w:r>
          </w:p>
        </w:tc>
        <w:tc>
          <w:tcPr>
            <w:tcW w:w="841" w:type="pct"/>
            <w:shd w:val="clear" w:color="auto" w:fill="FFFFFF"/>
            <w:vAlign w:val="center"/>
          </w:tcPr>
          <w:p w:rsidR="001940D8" w:rsidRPr="004F5586" w:rsidRDefault="001940D8" w:rsidP="00E35312">
            <w:pPr>
              <w:pStyle w:val="TableText0"/>
              <w:jc w:val="right"/>
              <w:rPr>
                <w:bCs/>
                <w:color w:val="000000"/>
              </w:rPr>
            </w:pPr>
            <w:r w:rsidRPr="004F5586">
              <w:rPr>
                <w:color w:val="000000" w:themeColor="text1"/>
              </w:rPr>
              <w:t>$</w:t>
            </w:r>
            <w:r>
              <w:rPr>
                <w:noProof/>
                <w:color w:val="000000"/>
                <w:highlight w:val="black"/>
              </w:rPr>
              <w:t>''''''''''''''''''''''''''''</w:t>
            </w:r>
          </w:p>
        </w:tc>
      </w:tr>
      <w:tr w:rsidR="001940D8" w:rsidRPr="004F5586" w:rsidTr="00E35312">
        <w:tc>
          <w:tcPr>
            <w:tcW w:w="1118" w:type="pct"/>
            <w:shd w:val="clear" w:color="auto" w:fill="auto"/>
            <w:vAlign w:val="center"/>
          </w:tcPr>
          <w:p w:rsidR="001940D8" w:rsidRPr="004F5586" w:rsidRDefault="001940D8" w:rsidP="00E35312">
            <w:pPr>
              <w:pStyle w:val="TableText0"/>
              <w:rPr>
                <w:sz w:val="19"/>
                <w:szCs w:val="19"/>
              </w:rPr>
            </w:pPr>
            <w:r w:rsidRPr="004F5586">
              <w:rPr>
                <w:sz w:val="19"/>
                <w:szCs w:val="19"/>
              </w:rPr>
              <w:t>Copayments</w:t>
            </w:r>
          </w:p>
        </w:tc>
        <w:tc>
          <w:tcPr>
            <w:tcW w:w="779" w:type="pct"/>
            <w:shd w:val="clear" w:color="auto" w:fill="FFFFFF"/>
            <w:vAlign w:val="center"/>
          </w:tcPr>
          <w:p w:rsidR="001940D8" w:rsidRPr="004F5586" w:rsidRDefault="001940D8" w:rsidP="00E35312">
            <w:pPr>
              <w:pStyle w:val="TableText0"/>
              <w:jc w:val="right"/>
              <w:rPr>
                <w:bCs/>
                <w:color w:val="000000"/>
              </w:rPr>
            </w:pPr>
            <w:r w:rsidRPr="004F5586">
              <w:rPr>
                <w:color w:val="000000" w:themeColor="text1"/>
              </w:rPr>
              <w:t>$</w:t>
            </w:r>
            <w:r>
              <w:rPr>
                <w:noProof/>
                <w:color w:val="000000"/>
                <w:highlight w:val="black"/>
              </w:rPr>
              <w:t>'''''''''''''''''''</w:t>
            </w:r>
          </w:p>
        </w:tc>
        <w:tc>
          <w:tcPr>
            <w:tcW w:w="730" w:type="pct"/>
            <w:shd w:val="clear" w:color="auto" w:fill="FFFFFF"/>
            <w:vAlign w:val="center"/>
          </w:tcPr>
          <w:p w:rsidR="001940D8" w:rsidRPr="004F5586" w:rsidRDefault="001940D8" w:rsidP="00E35312">
            <w:pPr>
              <w:pStyle w:val="TableText0"/>
              <w:jc w:val="right"/>
              <w:rPr>
                <w:bCs/>
                <w:color w:val="000000"/>
              </w:rPr>
            </w:pPr>
            <w:r w:rsidRPr="004F5586">
              <w:rPr>
                <w:color w:val="000000" w:themeColor="text1"/>
              </w:rPr>
              <w:t>$</w:t>
            </w:r>
            <w:r>
              <w:rPr>
                <w:noProof/>
                <w:color w:val="000000"/>
                <w:highlight w:val="black"/>
              </w:rPr>
              <w:t>''''''''''''''''''</w:t>
            </w:r>
          </w:p>
        </w:tc>
        <w:tc>
          <w:tcPr>
            <w:tcW w:w="754" w:type="pct"/>
            <w:shd w:val="clear" w:color="auto" w:fill="FFFFFF"/>
            <w:vAlign w:val="center"/>
          </w:tcPr>
          <w:p w:rsidR="001940D8" w:rsidRPr="004F5586" w:rsidRDefault="001940D8" w:rsidP="00E35312">
            <w:pPr>
              <w:pStyle w:val="TableText0"/>
              <w:jc w:val="right"/>
              <w:rPr>
                <w:bCs/>
                <w:color w:val="000000"/>
              </w:rPr>
            </w:pPr>
            <w:r w:rsidRPr="004F5586">
              <w:rPr>
                <w:color w:val="000000" w:themeColor="text1"/>
              </w:rPr>
              <w:t>$</w:t>
            </w:r>
            <w:r>
              <w:rPr>
                <w:noProof/>
                <w:color w:val="000000"/>
                <w:highlight w:val="black"/>
              </w:rPr>
              <w:t>''''''''''''''''''</w:t>
            </w:r>
          </w:p>
        </w:tc>
        <w:tc>
          <w:tcPr>
            <w:tcW w:w="778" w:type="pct"/>
            <w:shd w:val="clear" w:color="auto" w:fill="FFFFFF"/>
            <w:vAlign w:val="center"/>
          </w:tcPr>
          <w:p w:rsidR="001940D8" w:rsidRPr="004F5586" w:rsidRDefault="001940D8" w:rsidP="00E35312">
            <w:pPr>
              <w:pStyle w:val="TableText0"/>
              <w:jc w:val="right"/>
              <w:rPr>
                <w:bCs/>
                <w:color w:val="000000"/>
              </w:rPr>
            </w:pPr>
            <w:r w:rsidRPr="004F5586">
              <w:rPr>
                <w:color w:val="000000" w:themeColor="text1"/>
              </w:rPr>
              <w:t>$</w:t>
            </w:r>
            <w:r>
              <w:rPr>
                <w:noProof/>
                <w:color w:val="000000"/>
                <w:highlight w:val="black"/>
              </w:rPr>
              <w:t>'''''''''''''''''</w:t>
            </w:r>
          </w:p>
        </w:tc>
        <w:tc>
          <w:tcPr>
            <w:tcW w:w="841" w:type="pct"/>
            <w:shd w:val="clear" w:color="auto" w:fill="FFFFFF"/>
            <w:vAlign w:val="center"/>
          </w:tcPr>
          <w:p w:rsidR="001940D8" w:rsidRPr="004F5586" w:rsidRDefault="001940D8" w:rsidP="00E35312">
            <w:pPr>
              <w:pStyle w:val="TableText0"/>
              <w:jc w:val="right"/>
              <w:rPr>
                <w:bCs/>
                <w:color w:val="000000"/>
              </w:rPr>
            </w:pPr>
            <w:r w:rsidRPr="004F5586">
              <w:rPr>
                <w:color w:val="000000" w:themeColor="text1"/>
              </w:rPr>
              <w:t>$</w:t>
            </w:r>
            <w:r>
              <w:rPr>
                <w:noProof/>
                <w:color w:val="000000"/>
                <w:highlight w:val="black"/>
              </w:rPr>
              <w:t>''''''''''''''''''''</w:t>
            </w:r>
          </w:p>
        </w:tc>
      </w:tr>
      <w:tr w:rsidR="001940D8" w:rsidRPr="004F5586" w:rsidTr="00E35312">
        <w:tc>
          <w:tcPr>
            <w:tcW w:w="1118" w:type="pct"/>
            <w:shd w:val="clear" w:color="auto" w:fill="auto"/>
            <w:vAlign w:val="center"/>
          </w:tcPr>
          <w:p w:rsidR="001940D8" w:rsidRPr="004F5586" w:rsidRDefault="001940D8" w:rsidP="00E35312">
            <w:pPr>
              <w:pStyle w:val="TableText0"/>
              <w:rPr>
                <w:sz w:val="19"/>
                <w:szCs w:val="19"/>
              </w:rPr>
            </w:pPr>
            <w:r w:rsidRPr="004F5586">
              <w:rPr>
                <w:sz w:val="19"/>
                <w:szCs w:val="19"/>
              </w:rPr>
              <w:t>Cost to PBS/RPBS less copayments</w:t>
            </w:r>
          </w:p>
        </w:tc>
        <w:tc>
          <w:tcPr>
            <w:tcW w:w="779" w:type="pct"/>
            <w:shd w:val="clear" w:color="auto" w:fill="FFFFFF"/>
            <w:vAlign w:val="center"/>
          </w:tcPr>
          <w:p w:rsidR="001940D8" w:rsidRPr="004F5586" w:rsidRDefault="001940D8" w:rsidP="00E35312">
            <w:pPr>
              <w:pStyle w:val="TableText0"/>
              <w:jc w:val="right"/>
              <w:rPr>
                <w:bCs/>
                <w:color w:val="000000"/>
              </w:rPr>
            </w:pPr>
            <w:r w:rsidRPr="004F5586">
              <w:rPr>
                <w:color w:val="000000" w:themeColor="text1"/>
              </w:rPr>
              <w:t>$</w:t>
            </w:r>
            <w:r>
              <w:rPr>
                <w:noProof/>
                <w:color w:val="000000"/>
                <w:highlight w:val="black"/>
              </w:rPr>
              <w:t>'''''''''''''''''''''''''''''</w:t>
            </w:r>
          </w:p>
        </w:tc>
        <w:tc>
          <w:tcPr>
            <w:tcW w:w="730" w:type="pct"/>
            <w:shd w:val="clear" w:color="auto" w:fill="FFFFFF"/>
            <w:vAlign w:val="center"/>
          </w:tcPr>
          <w:p w:rsidR="001940D8" w:rsidRPr="004F5586" w:rsidRDefault="001940D8" w:rsidP="00E35312">
            <w:pPr>
              <w:pStyle w:val="TableText0"/>
              <w:jc w:val="right"/>
              <w:rPr>
                <w:bCs/>
                <w:color w:val="000000"/>
              </w:rPr>
            </w:pPr>
            <w:r w:rsidRPr="004F5586">
              <w:rPr>
                <w:color w:val="000000" w:themeColor="text1"/>
              </w:rPr>
              <w:t>$</w:t>
            </w:r>
            <w:r>
              <w:rPr>
                <w:noProof/>
                <w:color w:val="000000"/>
                <w:highlight w:val="black"/>
              </w:rPr>
              <w:t>'''''''''''''''''''''''''''</w:t>
            </w:r>
          </w:p>
        </w:tc>
        <w:tc>
          <w:tcPr>
            <w:tcW w:w="754" w:type="pct"/>
            <w:shd w:val="clear" w:color="auto" w:fill="FFFFFF"/>
            <w:vAlign w:val="center"/>
          </w:tcPr>
          <w:p w:rsidR="001940D8" w:rsidRPr="004F5586" w:rsidRDefault="001940D8" w:rsidP="00E35312">
            <w:pPr>
              <w:pStyle w:val="TableText0"/>
              <w:jc w:val="right"/>
              <w:rPr>
                <w:bCs/>
                <w:color w:val="000000"/>
              </w:rPr>
            </w:pPr>
            <w:r w:rsidRPr="004F5586">
              <w:rPr>
                <w:color w:val="000000" w:themeColor="text1"/>
              </w:rPr>
              <w:t>$</w:t>
            </w:r>
            <w:r>
              <w:rPr>
                <w:noProof/>
                <w:color w:val="000000"/>
                <w:highlight w:val="black"/>
              </w:rPr>
              <w:t>''''''''''''''''''''''''''''''''</w:t>
            </w:r>
          </w:p>
        </w:tc>
        <w:tc>
          <w:tcPr>
            <w:tcW w:w="778" w:type="pct"/>
            <w:shd w:val="clear" w:color="auto" w:fill="FFFFFF"/>
            <w:vAlign w:val="center"/>
          </w:tcPr>
          <w:p w:rsidR="001940D8" w:rsidRPr="004F5586" w:rsidRDefault="001940D8" w:rsidP="00E35312">
            <w:pPr>
              <w:pStyle w:val="TableText0"/>
              <w:jc w:val="right"/>
              <w:rPr>
                <w:bCs/>
                <w:color w:val="000000"/>
              </w:rPr>
            </w:pPr>
            <w:r w:rsidRPr="004F5586">
              <w:rPr>
                <w:color w:val="000000" w:themeColor="text1"/>
              </w:rPr>
              <w:t>$</w:t>
            </w:r>
            <w:r>
              <w:rPr>
                <w:noProof/>
                <w:color w:val="000000"/>
                <w:highlight w:val="black"/>
              </w:rPr>
              <w:t>''''''''''''''''''''''''''''''</w:t>
            </w:r>
          </w:p>
        </w:tc>
        <w:tc>
          <w:tcPr>
            <w:tcW w:w="841" w:type="pct"/>
            <w:shd w:val="clear" w:color="auto" w:fill="FFFFFF"/>
            <w:vAlign w:val="center"/>
          </w:tcPr>
          <w:p w:rsidR="001940D8" w:rsidRPr="004F5586" w:rsidRDefault="001940D8" w:rsidP="00E35312">
            <w:pPr>
              <w:pStyle w:val="TableText0"/>
              <w:jc w:val="right"/>
              <w:rPr>
                <w:bCs/>
                <w:color w:val="000000"/>
              </w:rPr>
            </w:pPr>
            <w:r w:rsidRPr="004F5586">
              <w:rPr>
                <w:color w:val="000000" w:themeColor="text1"/>
              </w:rPr>
              <w:t>$</w:t>
            </w:r>
            <w:r>
              <w:rPr>
                <w:noProof/>
                <w:color w:val="000000"/>
                <w:highlight w:val="black"/>
              </w:rPr>
              <w:t>''''''''''''''''''''''''''</w:t>
            </w:r>
          </w:p>
        </w:tc>
      </w:tr>
      <w:tr w:rsidR="001940D8" w:rsidRPr="004F5586" w:rsidTr="00E35312">
        <w:tc>
          <w:tcPr>
            <w:tcW w:w="5000" w:type="pct"/>
            <w:gridSpan w:val="6"/>
            <w:shd w:val="clear" w:color="auto" w:fill="auto"/>
            <w:vAlign w:val="center"/>
          </w:tcPr>
          <w:p w:rsidR="001940D8" w:rsidRPr="004F5586" w:rsidRDefault="001940D8" w:rsidP="00E35312">
            <w:pPr>
              <w:pStyle w:val="TableText0"/>
              <w:rPr>
                <w:b/>
                <w:bCs/>
                <w:color w:val="000000"/>
              </w:rPr>
            </w:pPr>
            <w:r w:rsidRPr="004F5586">
              <w:rPr>
                <w:b/>
                <w:bCs/>
                <w:color w:val="000000"/>
              </w:rPr>
              <w:t>Net financial implications</w:t>
            </w:r>
          </w:p>
        </w:tc>
      </w:tr>
      <w:tr w:rsidR="001940D8" w:rsidRPr="004F5586" w:rsidTr="00E35312">
        <w:tc>
          <w:tcPr>
            <w:tcW w:w="1118" w:type="pct"/>
            <w:shd w:val="clear" w:color="auto" w:fill="auto"/>
            <w:vAlign w:val="center"/>
          </w:tcPr>
          <w:p w:rsidR="001940D8" w:rsidRPr="004F5586" w:rsidRDefault="001940D8" w:rsidP="00E35312">
            <w:pPr>
              <w:pStyle w:val="TableText0"/>
              <w:rPr>
                <w:sz w:val="19"/>
                <w:szCs w:val="19"/>
              </w:rPr>
            </w:pPr>
            <w:r w:rsidRPr="004F5586">
              <w:rPr>
                <w:sz w:val="19"/>
                <w:szCs w:val="19"/>
              </w:rPr>
              <w:t>Net cost to PBS/RPBS</w:t>
            </w:r>
          </w:p>
        </w:tc>
        <w:tc>
          <w:tcPr>
            <w:tcW w:w="779" w:type="pct"/>
            <w:shd w:val="clear" w:color="auto" w:fill="FFFFFF"/>
            <w:vAlign w:val="center"/>
          </w:tcPr>
          <w:p w:rsidR="001940D8" w:rsidRPr="004F5586" w:rsidRDefault="001940D8" w:rsidP="00E35312">
            <w:pPr>
              <w:pStyle w:val="TableText0"/>
              <w:jc w:val="right"/>
              <w:rPr>
                <w:bCs/>
                <w:color w:val="000000"/>
              </w:rPr>
            </w:pPr>
            <w:r w:rsidRPr="004F5586">
              <w:rPr>
                <w:color w:val="000000" w:themeColor="text1"/>
              </w:rPr>
              <w:t>-$</w:t>
            </w:r>
            <w:r>
              <w:rPr>
                <w:noProof/>
                <w:color w:val="000000"/>
                <w:highlight w:val="black"/>
              </w:rPr>
              <w:t>''''''''''''''''''</w:t>
            </w:r>
          </w:p>
        </w:tc>
        <w:tc>
          <w:tcPr>
            <w:tcW w:w="730" w:type="pct"/>
            <w:shd w:val="clear" w:color="auto" w:fill="FFFFFF"/>
            <w:vAlign w:val="center"/>
          </w:tcPr>
          <w:p w:rsidR="001940D8" w:rsidRPr="004F5586" w:rsidRDefault="001940D8" w:rsidP="00E35312">
            <w:pPr>
              <w:pStyle w:val="TableText0"/>
              <w:jc w:val="right"/>
              <w:rPr>
                <w:bCs/>
                <w:color w:val="000000"/>
              </w:rPr>
            </w:pPr>
            <w:r w:rsidRPr="004F5586">
              <w:rPr>
                <w:color w:val="000000" w:themeColor="text1"/>
              </w:rPr>
              <w:t>-$</w:t>
            </w:r>
            <w:r>
              <w:rPr>
                <w:noProof/>
                <w:color w:val="000000"/>
                <w:highlight w:val="black"/>
              </w:rPr>
              <w:t>'''''''''''''''''</w:t>
            </w:r>
          </w:p>
        </w:tc>
        <w:tc>
          <w:tcPr>
            <w:tcW w:w="754" w:type="pct"/>
            <w:shd w:val="clear" w:color="auto" w:fill="FFFFFF"/>
            <w:vAlign w:val="center"/>
          </w:tcPr>
          <w:p w:rsidR="001940D8" w:rsidRPr="004F5586" w:rsidRDefault="001940D8" w:rsidP="00E35312">
            <w:pPr>
              <w:pStyle w:val="TableText0"/>
              <w:jc w:val="right"/>
              <w:rPr>
                <w:bCs/>
                <w:color w:val="000000"/>
              </w:rPr>
            </w:pPr>
            <w:r w:rsidRPr="004F5586">
              <w:rPr>
                <w:color w:val="000000" w:themeColor="text1"/>
              </w:rPr>
              <w:t>-$</w:t>
            </w:r>
            <w:r>
              <w:rPr>
                <w:noProof/>
                <w:color w:val="000000"/>
                <w:highlight w:val="black"/>
              </w:rPr>
              <w:t>''''''''''''''''''''</w:t>
            </w:r>
          </w:p>
        </w:tc>
        <w:tc>
          <w:tcPr>
            <w:tcW w:w="778" w:type="pct"/>
            <w:shd w:val="clear" w:color="auto" w:fill="FFFFFF"/>
            <w:vAlign w:val="center"/>
          </w:tcPr>
          <w:p w:rsidR="001940D8" w:rsidRPr="004F5586" w:rsidRDefault="001940D8" w:rsidP="00E35312">
            <w:pPr>
              <w:pStyle w:val="TableText0"/>
              <w:jc w:val="right"/>
              <w:rPr>
                <w:bCs/>
                <w:color w:val="000000"/>
              </w:rPr>
            </w:pPr>
            <w:r w:rsidRPr="004F5586">
              <w:rPr>
                <w:color w:val="000000" w:themeColor="text1"/>
              </w:rPr>
              <w:t>-$</w:t>
            </w:r>
            <w:r>
              <w:rPr>
                <w:noProof/>
                <w:color w:val="000000"/>
                <w:highlight w:val="black"/>
              </w:rPr>
              <w:t>'''''''''''''''''''</w:t>
            </w:r>
          </w:p>
        </w:tc>
        <w:tc>
          <w:tcPr>
            <w:tcW w:w="841" w:type="pct"/>
            <w:shd w:val="clear" w:color="auto" w:fill="FFFFFF"/>
            <w:vAlign w:val="center"/>
          </w:tcPr>
          <w:p w:rsidR="001940D8" w:rsidRPr="004F5586" w:rsidRDefault="001940D8" w:rsidP="00E35312">
            <w:pPr>
              <w:pStyle w:val="TableText0"/>
              <w:jc w:val="right"/>
              <w:rPr>
                <w:bCs/>
                <w:color w:val="000000"/>
              </w:rPr>
            </w:pPr>
            <w:r w:rsidRPr="004F5586">
              <w:rPr>
                <w:color w:val="000000" w:themeColor="text1"/>
              </w:rPr>
              <w:t>-$</w:t>
            </w:r>
            <w:r>
              <w:rPr>
                <w:noProof/>
                <w:color w:val="000000"/>
                <w:highlight w:val="black"/>
              </w:rPr>
              <w:t>''''''''''''''''''</w:t>
            </w:r>
          </w:p>
        </w:tc>
      </w:tr>
    </w:tbl>
    <w:p w:rsidR="001940D8" w:rsidRPr="004F5586" w:rsidRDefault="001940D8" w:rsidP="001940D8">
      <w:pPr>
        <w:pStyle w:val="TableFooter"/>
      </w:pPr>
      <w:r w:rsidRPr="004F5586">
        <w:rPr>
          <w:vertAlign w:val="superscript"/>
        </w:rPr>
        <w:t>a</w:t>
      </w:r>
      <w:r w:rsidRPr="004F5586">
        <w:t xml:space="preserve"> One pack supplies 4 weeks treatment, the submission assumed that </w:t>
      </w:r>
      <w:r>
        <w:rPr>
          <w:noProof/>
          <w:color w:val="000000"/>
          <w:highlight w:val="black"/>
        </w:rPr>
        <w:t>''''''</w:t>
      </w:r>
      <w:r w:rsidRPr="004F5586">
        <w:t xml:space="preserve">% of patients will be treated with 8 weeks regimen, </w:t>
      </w:r>
      <w:r>
        <w:rPr>
          <w:noProof/>
          <w:color w:val="000000"/>
          <w:highlight w:val="black"/>
        </w:rPr>
        <w:t>''''</w:t>
      </w:r>
      <w:r w:rsidRPr="004F5586">
        <w:t xml:space="preserve">% will be treated with 12 weeks regimen and </w:t>
      </w:r>
      <w:r>
        <w:rPr>
          <w:noProof/>
          <w:color w:val="000000"/>
          <w:highlight w:val="black"/>
        </w:rPr>
        <w:t>'''</w:t>
      </w:r>
      <w:r w:rsidRPr="004F5586">
        <w:t>% will be treated with 16 weeks regimen.</w:t>
      </w:r>
    </w:p>
    <w:p w:rsidR="001940D8" w:rsidRPr="004F5586" w:rsidRDefault="001940D8" w:rsidP="001940D8">
      <w:pPr>
        <w:pStyle w:val="TableFooter"/>
      </w:pPr>
      <w:r w:rsidRPr="004F5586">
        <w:t>Source: Table E-8, Table E-9 and Table E-11 of the submission.</w:t>
      </w:r>
    </w:p>
    <w:p w:rsidR="001940D8" w:rsidRPr="003F6258" w:rsidRDefault="001940D8" w:rsidP="001940D8">
      <w:pPr>
        <w:pStyle w:val="TableFooter"/>
        <w:rPr>
          <w:rFonts w:asciiTheme="minorHAnsi" w:hAnsiTheme="minorHAnsi"/>
          <w:sz w:val="24"/>
          <w:szCs w:val="24"/>
        </w:rPr>
      </w:pPr>
    </w:p>
    <w:p w:rsidR="001940D8" w:rsidRDefault="001940D8" w:rsidP="001940D8">
      <w:pPr>
        <w:pStyle w:val="ListParagraph"/>
        <w:widowControl/>
        <w:spacing w:after="120"/>
        <w:contextualSpacing w:val="0"/>
        <w:rPr>
          <w:rFonts w:asciiTheme="minorHAnsi" w:hAnsiTheme="minorHAnsi"/>
          <w:sz w:val="24"/>
        </w:rPr>
      </w:pPr>
      <w:r>
        <w:rPr>
          <w:rFonts w:asciiTheme="minorHAnsi" w:hAnsiTheme="minorHAnsi"/>
          <w:sz w:val="24"/>
        </w:rPr>
        <w:lastRenderedPageBreak/>
        <w:t xml:space="preserve">The redacted table above shows that at year 5, the estimated number of patients is less than 10,000. </w:t>
      </w:r>
    </w:p>
    <w:p w:rsidR="001940D8" w:rsidRPr="00CF6796" w:rsidRDefault="001940D8" w:rsidP="001940D8">
      <w:pPr>
        <w:pStyle w:val="ListParagraph"/>
        <w:widowControl/>
        <w:numPr>
          <w:ilvl w:val="1"/>
          <w:numId w:val="1"/>
        </w:numPr>
        <w:spacing w:after="120"/>
        <w:contextualSpacing w:val="0"/>
        <w:rPr>
          <w:rFonts w:asciiTheme="minorHAnsi" w:hAnsiTheme="minorHAnsi"/>
          <w:sz w:val="24"/>
        </w:rPr>
      </w:pPr>
      <w:r w:rsidRPr="00CF6796">
        <w:rPr>
          <w:rFonts w:asciiTheme="minorHAnsi" w:hAnsiTheme="minorHAnsi"/>
          <w:sz w:val="24"/>
        </w:rPr>
        <w:t>The submission proposed an equivalent ex-manufacturer’s price (assumed to be $</w:t>
      </w:r>
      <w:r>
        <w:rPr>
          <w:rFonts w:asciiTheme="minorHAnsi" w:hAnsiTheme="minorHAnsi"/>
          <w:noProof/>
          <w:color w:val="000000"/>
          <w:sz w:val="24"/>
          <w:highlight w:val="black"/>
        </w:rPr>
        <w:t>'''''''''''''</w:t>
      </w:r>
      <w:r w:rsidRPr="00CF6796">
        <w:rPr>
          <w:rFonts w:asciiTheme="minorHAnsi" w:hAnsiTheme="minorHAnsi"/>
          <w:sz w:val="24"/>
        </w:rPr>
        <w:t>) for a course of treatment with glecaprevir/pibrentasvir and a course of treatment with sofosbuvir/velpatasvir. Given the differential number of packs dispensed for glecaprevir/pibrentasvir and its substituted DAAs, the listing of glecaprevir/pibrentasvir will result in a small saving of the cost associated with pharmacy markup and dispensing fees.</w:t>
      </w:r>
    </w:p>
    <w:p w:rsidR="001940D8" w:rsidRPr="00CF6796" w:rsidRDefault="001940D8" w:rsidP="001940D8">
      <w:pPr>
        <w:pStyle w:val="ListParagraph"/>
        <w:widowControl/>
        <w:numPr>
          <w:ilvl w:val="1"/>
          <w:numId w:val="1"/>
        </w:numPr>
        <w:spacing w:after="120"/>
        <w:contextualSpacing w:val="0"/>
        <w:rPr>
          <w:rFonts w:asciiTheme="minorHAnsi" w:hAnsiTheme="minorHAnsi"/>
          <w:sz w:val="24"/>
        </w:rPr>
      </w:pPr>
      <w:r w:rsidRPr="00CF6796">
        <w:rPr>
          <w:rFonts w:asciiTheme="minorHAnsi" w:hAnsiTheme="minorHAnsi"/>
          <w:sz w:val="24"/>
        </w:rPr>
        <w:t>The submission did not provide an estimate for the financial impact of listing glecaprevir/pibrentasvir on government health budgets other than the PBS.</w:t>
      </w:r>
    </w:p>
    <w:p w:rsidR="001940D8" w:rsidRPr="00CF6796" w:rsidRDefault="001940D8" w:rsidP="001940D8">
      <w:pPr>
        <w:pStyle w:val="ListParagraph"/>
        <w:widowControl/>
        <w:numPr>
          <w:ilvl w:val="1"/>
          <w:numId w:val="1"/>
        </w:numPr>
        <w:spacing w:after="120"/>
        <w:contextualSpacing w:val="0"/>
        <w:rPr>
          <w:rFonts w:asciiTheme="minorHAnsi" w:hAnsiTheme="minorHAnsi"/>
          <w:iCs/>
          <w:sz w:val="24"/>
        </w:rPr>
      </w:pPr>
      <w:r w:rsidRPr="00CF6796">
        <w:rPr>
          <w:rFonts w:asciiTheme="minorHAnsi" w:hAnsiTheme="minorHAnsi"/>
          <w:iCs/>
          <w:sz w:val="24"/>
        </w:rPr>
        <w:t>As noted earlier, there are currently no treatments on the PBS likely to be suitable for patients who have failed prior NS5A inhibitors. The listing of glecaprevir/pibrentasvir may result in an additional cost to the PBS from the treatment of NS5A experienced patients.</w:t>
      </w:r>
    </w:p>
    <w:p w:rsidR="001940D8" w:rsidRPr="00CF6796" w:rsidRDefault="001940D8" w:rsidP="001940D8">
      <w:pPr>
        <w:pStyle w:val="ListParagraph"/>
        <w:widowControl/>
        <w:numPr>
          <w:ilvl w:val="1"/>
          <w:numId w:val="1"/>
        </w:numPr>
        <w:spacing w:after="120"/>
        <w:contextualSpacing w:val="0"/>
        <w:rPr>
          <w:rFonts w:asciiTheme="minorHAnsi" w:hAnsiTheme="minorHAnsi"/>
          <w:iCs/>
          <w:sz w:val="24"/>
        </w:rPr>
      </w:pPr>
      <w:r w:rsidRPr="00CF6796">
        <w:rPr>
          <w:rFonts w:asciiTheme="minorHAnsi" w:hAnsiTheme="minorHAnsi"/>
          <w:iCs/>
          <w:sz w:val="24"/>
        </w:rPr>
        <w:t xml:space="preserve">The PSCR (p4) argued </w:t>
      </w:r>
      <w:r>
        <w:rPr>
          <w:rFonts w:asciiTheme="minorHAnsi" w:hAnsiTheme="minorHAnsi"/>
          <w:iCs/>
          <w:sz w:val="24"/>
        </w:rPr>
        <w:t xml:space="preserve">that </w:t>
      </w:r>
      <w:r w:rsidRPr="00CF6796">
        <w:rPr>
          <w:rFonts w:asciiTheme="minorHAnsi" w:hAnsiTheme="minorHAnsi"/>
          <w:iCs/>
          <w:sz w:val="24"/>
        </w:rPr>
        <w:t xml:space="preserve">approximately </w:t>
      </w:r>
      <w:r>
        <w:rPr>
          <w:rFonts w:asciiTheme="minorHAnsi" w:hAnsiTheme="minorHAnsi"/>
          <w:iCs/>
          <w:noProof/>
          <w:color w:val="000000"/>
          <w:sz w:val="24"/>
          <w:highlight w:val="black"/>
        </w:rPr>
        <w:t>''''''''''</w:t>
      </w:r>
      <w:r w:rsidRPr="00CF6796">
        <w:rPr>
          <w:rFonts w:asciiTheme="minorHAnsi" w:hAnsiTheme="minorHAnsi"/>
          <w:iCs/>
          <w:sz w:val="24"/>
        </w:rPr>
        <w:t xml:space="preserve"> patients may seek re-treatment due to treatment-failure in the first year; however, the risk-sharing arrangement</w:t>
      </w:r>
      <w:r>
        <w:rPr>
          <w:rFonts w:asciiTheme="minorHAnsi" w:hAnsiTheme="minorHAnsi"/>
          <w:iCs/>
          <w:sz w:val="24"/>
        </w:rPr>
        <w:t xml:space="preserve"> should limit the fiscal risk.</w:t>
      </w:r>
    </w:p>
    <w:p w:rsidR="001940D8" w:rsidRPr="004F5586" w:rsidRDefault="001940D8" w:rsidP="001940D8">
      <w:pPr>
        <w:pStyle w:val="Heading2"/>
        <w:rPr>
          <w:rFonts w:asciiTheme="minorHAnsi" w:hAnsiTheme="minorHAnsi"/>
          <w:i w:val="0"/>
          <w:sz w:val="28"/>
        </w:rPr>
      </w:pPr>
      <w:bookmarkStart w:id="31" w:name="_Toc482354749"/>
      <w:r w:rsidRPr="004F5586">
        <w:rPr>
          <w:rFonts w:asciiTheme="minorHAnsi" w:hAnsiTheme="minorHAnsi"/>
          <w:sz w:val="28"/>
        </w:rPr>
        <w:t>Quality Use of Medicines</w:t>
      </w:r>
      <w:bookmarkEnd w:id="25"/>
      <w:bookmarkEnd w:id="31"/>
    </w:p>
    <w:p w:rsidR="001940D8" w:rsidRPr="004F5586" w:rsidRDefault="001940D8" w:rsidP="001940D8">
      <w:pPr>
        <w:rPr>
          <w:rFonts w:asciiTheme="minorHAnsi" w:hAnsiTheme="minorHAnsi"/>
          <w:sz w:val="24"/>
        </w:rPr>
      </w:pPr>
    </w:p>
    <w:p w:rsidR="001940D8" w:rsidRPr="004F5586" w:rsidRDefault="001940D8" w:rsidP="001940D8">
      <w:pPr>
        <w:pStyle w:val="ListParagraph"/>
        <w:widowControl/>
        <w:numPr>
          <w:ilvl w:val="1"/>
          <w:numId w:val="1"/>
        </w:numPr>
        <w:spacing w:after="120"/>
        <w:contextualSpacing w:val="0"/>
        <w:rPr>
          <w:rFonts w:asciiTheme="minorHAnsi" w:hAnsiTheme="minorHAnsi"/>
          <w:sz w:val="24"/>
        </w:rPr>
      </w:pPr>
      <w:r w:rsidRPr="004F5586">
        <w:rPr>
          <w:rFonts w:asciiTheme="minorHAnsi" w:hAnsiTheme="minorHAnsi"/>
          <w:sz w:val="24"/>
        </w:rPr>
        <w:t xml:space="preserve">The submission </w:t>
      </w:r>
      <w:r>
        <w:rPr>
          <w:rFonts w:asciiTheme="minorHAnsi" w:hAnsiTheme="minorHAnsi"/>
          <w:sz w:val="24"/>
        </w:rPr>
        <w:t>did</w:t>
      </w:r>
      <w:r w:rsidRPr="004F5586">
        <w:rPr>
          <w:rFonts w:asciiTheme="minorHAnsi" w:hAnsiTheme="minorHAnsi"/>
          <w:sz w:val="24"/>
        </w:rPr>
        <w:t xml:space="preserve"> not specifically identif</w:t>
      </w:r>
      <w:r>
        <w:rPr>
          <w:rFonts w:asciiTheme="minorHAnsi" w:hAnsiTheme="minorHAnsi"/>
          <w:sz w:val="24"/>
        </w:rPr>
        <w:t>y any</w:t>
      </w:r>
      <w:r w:rsidRPr="004F5586">
        <w:rPr>
          <w:rFonts w:asciiTheme="minorHAnsi" w:hAnsiTheme="minorHAnsi"/>
          <w:sz w:val="24"/>
        </w:rPr>
        <w:t xml:space="preserve"> q</w:t>
      </w:r>
      <w:r>
        <w:rPr>
          <w:rFonts w:asciiTheme="minorHAnsi" w:hAnsiTheme="minorHAnsi"/>
          <w:sz w:val="24"/>
        </w:rPr>
        <w:t>uality use of medicines issues.</w:t>
      </w:r>
    </w:p>
    <w:p w:rsidR="001940D8" w:rsidRPr="002F70F8" w:rsidRDefault="001940D8" w:rsidP="001940D8">
      <w:pPr>
        <w:pStyle w:val="ListParagraph"/>
        <w:widowControl/>
        <w:numPr>
          <w:ilvl w:val="1"/>
          <w:numId w:val="1"/>
        </w:numPr>
        <w:spacing w:after="120"/>
        <w:contextualSpacing w:val="0"/>
        <w:rPr>
          <w:rFonts w:asciiTheme="minorHAnsi" w:hAnsiTheme="minorHAnsi"/>
          <w:sz w:val="24"/>
        </w:rPr>
      </w:pPr>
      <w:r w:rsidRPr="004F5586">
        <w:rPr>
          <w:rFonts w:asciiTheme="minorHAnsi" w:hAnsiTheme="minorHAnsi"/>
          <w:iCs/>
          <w:sz w:val="24"/>
        </w:rPr>
        <w:t>The proposed listing of glecaprevir/pibrentasvir for use in patients with NS5A resistant variants (viral variants that contain resistance-associated substitutions) represents the first regimen on the PBS specifically listed for this population. Current Australian Guidelines</w:t>
      </w:r>
      <w:r w:rsidRPr="004F5586">
        <w:rPr>
          <w:rStyle w:val="FootnoteReference"/>
          <w:rFonts w:asciiTheme="minorHAnsi" w:hAnsiTheme="minorHAnsi"/>
          <w:iCs/>
          <w:sz w:val="24"/>
        </w:rPr>
        <w:footnoteReference w:id="2"/>
      </w:r>
      <w:r w:rsidRPr="004F5586">
        <w:rPr>
          <w:rFonts w:asciiTheme="minorHAnsi" w:hAnsiTheme="minorHAnsi"/>
          <w:iCs/>
          <w:sz w:val="24"/>
        </w:rPr>
        <w:t xml:space="preserve"> note that while PBS restrictions do not prohibit patients receiving retreatment with a different IFN-free regimen, the evidence to support the use of regimens currently available under the PBS for salvage treatment of HCV is limited. The Australia Guidelines recommend that the retreatment of patients who have failed direct acting antiviral treatment occurs in a specialist centre and, where available, NS5A resistance testing should be considered, noting that this testing is not currently reimbursed in Australia. NS5A resistance testing may better inform treatment decisions and result in higher rates of treatment success. Increasing the likelihood of achieving an SVR in patients with resistant variants may reduce the chance of resistant variants becoming prevalent in the population.</w:t>
      </w:r>
    </w:p>
    <w:p w:rsidR="001940D8" w:rsidRPr="00CF6796" w:rsidRDefault="001940D8" w:rsidP="001940D8">
      <w:pPr>
        <w:pStyle w:val="ListParagraph"/>
        <w:widowControl/>
        <w:numPr>
          <w:ilvl w:val="1"/>
          <w:numId w:val="1"/>
        </w:numPr>
        <w:spacing w:after="120"/>
        <w:contextualSpacing w:val="0"/>
        <w:rPr>
          <w:rFonts w:asciiTheme="minorHAnsi" w:hAnsiTheme="minorHAnsi"/>
          <w:sz w:val="24"/>
        </w:rPr>
      </w:pPr>
      <w:r w:rsidRPr="00CF6796">
        <w:rPr>
          <w:rFonts w:asciiTheme="minorHAnsi" w:hAnsiTheme="minorHAnsi"/>
          <w:iCs/>
          <w:sz w:val="24"/>
        </w:rPr>
        <w:t xml:space="preserve">The ESC noted that a patient who has failed an NS5A inhibitor should be tested to verify resistance and treated by a specialist. </w:t>
      </w:r>
      <w:r>
        <w:rPr>
          <w:rFonts w:asciiTheme="minorHAnsi" w:hAnsiTheme="minorHAnsi"/>
          <w:iCs/>
          <w:noProof/>
          <w:color w:val="000000"/>
          <w:sz w:val="24"/>
          <w:highlight w:val="black"/>
        </w:rPr>
        <w:t>''''''' ''''''' '''''''' '''''''''''' ''''''''' ''''''''''''''' ''''''''''''''''''''' '''''''' ''''' ''''''''''''''''''''' ''''' ''''''''''''''' '''''''' ''''''''''''''''''' '''''''' ''''''''' '''''''' ''''''' ''''''''''''''''''' ''''''' '''''''''' '''''''''''''' ''''''''''''''''''''</w:t>
      </w:r>
    </w:p>
    <w:p w:rsidR="001940D8" w:rsidRPr="00BB1B24" w:rsidRDefault="001940D8" w:rsidP="001940D8">
      <w:pPr>
        <w:widowControl/>
        <w:jc w:val="left"/>
        <w:rPr>
          <w:rFonts w:asciiTheme="minorHAnsi" w:hAnsiTheme="minorHAnsi"/>
          <w:b/>
          <w:i/>
          <w:sz w:val="28"/>
        </w:rPr>
      </w:pPr>
      <w:bookmarkStart w:id="32" w:name="_Toc476306896"/>
      <w:bookmarkStart w:id="33" w:name="_Toc482354750"/>
      <w:r w:rsidRPr="00BB1B24">
        <w:rPr>
          <w:rFonts w:asciiTheme="minorHAnsi" w:hAnsiTheme="minorHAnsi"/>
          <w:b/>
          <w:i/>
          <w:sz w:val="28"/>
        </w:rPr>
        <w:lastRenderedPageBreak/>
        <w:t>Financial Management – Risk Sharing Arrangements</w:t>
      </w:r>
      <w:bookmarkEnd w:id="32"/>
      <w:bookmarkEnd w:id="33"/>
    </w:p>
    <w:p w:rsidR="001940D8" w:rsidRPr="003F6258" w:rsidRDefault="001940D8" w:rsidP="001940D8">
      <w:pPr>
        <w:rPr>
          <w:rFonts w:asciiTheme="minorHAnsi" w:hAnsiTheme="minorHAnsi"/>
          <w:sz w:val="24"/>
          <w:szCs w:val="24"/>
        </w:rPr>
      </w:pPr>
    </w:p>
    <w:p w:rsidR="001940D8" w:rsidRPr="00C86BAD" w:rsidRDefault="001940D8" w:rsidP="001940D8">
      <w:pPr>
        <w:pStyle w:val="ListParagraph"/>
        <w:widowControl/>
        <w:numPr>
          <w:ilvl w:val="1"/>
          <w:numId w:val="1"/>
        </w:numPr>
        <w:spacing w:after="120"/>
        <w:contextualSpacing w:val="0"/>
        <w:jc w:val="left"/>
        <w:rPr>
          <w:rFonts w:asciiTheme="minorHAnsi" w:hAnsiTheme="minorHAnsi" w:cs="Times New Roman"/>
          <w:i/>
          <w:snapToGrid/>
          <w:sz w:val="24"/>
          <w:szCs w:val="24"/>
          <w:u w:val="single"/>
        </w:rPr>
      </w:pPr>
      <w:r>
        <w:rPr>
          <w:rFonts w:asciiTheme="minorHAnsi" w:hAnsiTheme="minorHAnsi"/>
          <w:sz w:val="24"/>
        </w:rPr>
        <w:t>T</w:t>
      </w:r>
      <w:r w:rsidRPr="00C86BAD">
        <w:rPr>
          <w:rFonts w:asciiTheme="minorHAnsi" w:hAnsiTheme="minorHAnsi"/>
          <w:sz w:val="24"/>
          <w:szCs w:val="24"/>
        </w:rPr>
        <w:t xml:space="preserve">he PBAC </w:t>
      </w:r>
      <w:r w:rsidRPr="00C86BAD">
        <w:rPr>
          <w:rFonts w:asciiTheme="minorHAnsi" w:hAnsiTheme="minorHAnsi"/>
          <w:bCs/>
          <w:sz w:val="24"/>
          <w:szCs w:val="24"/>
        </w:rPr>
        <w:t xml:space="preserve">recommended that </w:t>
      </w:r>
      <w:r w:rsidRPr="00C86BAD">
        <w:rPr>
          <w:rFonts w:asciiTheme="minorHAnsi" w:hAnsiTheme="minorHAnsi"/>
          <w:sz w:val="24"/>
          <w:szCs w:val="24"/>
        </w:rPr>
        <w:t xml:space="preserve">glecaprevir/pibrentasvir </w:t>
      </w:r>
      <w:r w:rsidRPr="00C86BAD">
        <w:rPr>
          <w:rFonts w:asciiTheme="minorHAnsi" w:hAnsiTheme="minorHAnsi"/>
          <w:bCs/>
          <w:sz w:val="24"/>
          <w:szCs w:val="24"/>
        </w:rPr>
        <w:t>enter the Risk Sharing Arrangement (RSA) currently in place for other drugs used for the treatment of CHC, and be subject to the same subsidisation caps and rebate arrangements.</w:t>
      </w:r>
    </w:p>
    <w:p w:rsidR="001940D8" w:rsidRPr="009E34D4" w:rsidRDefault="001940D8" w:rsidP="001940D8">
      <w:pPr>
        <w:pStyle w:val="PBACHeading1"/>
        <w:rPr>
          <w:rFonts w:asciiTheme="minorHAnsi" w:hAnsiTheme="minorHAnsi"/>
          <w:sz w:val="32"/>
          <w:szCs w:val="32"/>
        </w:rPr>
      </w:pPr>
      <w:r w:rsidRPr="009E34D4">
        <w:rPr>
          <w:rFonts w:asciiTheme="minorHAnsi" w:hAnsiTheme="minorHAnsi"/>
          <w:sz w:val="32"/>
          <w:szCs w:val="32"/>
        </w:rPr>
        <w:t>PBAC Outcome</w:t>
      </w:r>
    </w:p>
    <w:p w:rsidR="001940D8" w:rsidRPr="009E34D4" w:rsidRDefault="001940D8" w:rsidP="001940D8">
      <w:pPr>
        <w:rPr>
          <w:rFonts w:asciiTheme="minorHAnsi" w:hAnsiTheme="minorHAnsi"/>
          <w:bCs/>
          <w:sz w:val="24"/>
          <w:szCs w:val="24"/>
          <w:lang w:val="en-GB"/>
        </w:rPr>
      </w:pPr>
    </w:p>
    <w:p w:rsidR="001940D8" w:rsidRPr="008F0281" w:rsidRDefault="001940D8" w:rsidP="001940D8">
      <w:pPr>
        <w:numPr>
          <w:ilvl w:val="1"/>
          <w:numId w:val="1"/>
        </w:numPr>
        <w:rPr>
          <w:rFonts w:asciiTheme="minorHAnsi" w:hAnsiTheme="minorHAnsi"/>
          <w:bCs/>
          <w:sz w:val="24"/>
          <w:szCs w:val="24"/>
          <w:lang w:val="en-GB"/>
        </w:rPr>
      </w:pPr>
      <w:r w:rsidRPr="00F6492E">
        <w:rPr>
          <w:rFonts w:asciiTheme="minorHAnsi" w:hAnsiTheme="minorHAnsi"/>
          <w:bCs/>
          <w:sz w:val="24"/>
          <w:szCs w:val="24"/>
          <w:lang w:val="en-GB"/>
        </w:rPr>
        <w:t xml:space="preserve">The PBAC was of a mind to recommend the Authority Required General Schedule and Section 100 listing of glecaprevir with pibrentasvir </w:t>
      </w:r>
      <w:r w:rsidRPr="00F6492E">
        <w:rPr>
          <w:rFonts w:asciiTheme="minorHAnsi" w:hAnsiTheme="minorHAnsi"/>
          <w:bCs/>
          <w:sz w:val="24"/>
          <w:szCs w:val="24"/>
        </w:rPr>
        <w:t xml:space="preserve">for the treatment of chronic hepatitis C infection for patients with genotypes 1-6, with or without cirrhosis. However, the PBAC deferred making a final recommendation pending the </w:t>
      </w:r>
      <w:r>
        <w:rPr>
          <w:rFonts w:asciiTheme="minorHAnsi" w:hAnsiTheme="minorHAnsi"/>
          <w:bCs/>
          <w:sz w:val="24"/>
          <w:szCs w:val="24"/>
        </w:rPr>
        <w:t>provision of the relevant TGA delegate’s overview.</w:t>
      </w:r>
    </w:p>
    <w:p w:rsidR="001940D8" w:rsidRPr="001161A5" w:rsidRDefault="001940D8" w:rsidP="001940D8">
      <w:pPr>
        <w:rPr>
          <w:rFonts w:asciiTheme="minorHAnsi" w:hAnsiTheme="minorHAnsi"/>
          <w:bCs/>
          <w:sz w:val="24"/>
          <w:szCs w:val="24"/>
          <w:highlight w:val="yellow"/>
          <w:lang w:val="en-GB"/>
        </w:rPr>
      </w:pPr>
    </w:p>
    <w:p w:rsidR="001940D8" w:rsidRDefault="001940D8" w:rsidP="001940D8">
      <w:pPr>
        <w:pStyle w:val="ListParagraph"/>
        <w:numPr>
          <w:ilvl w:val="1"/>
          <w:numId w:val="1"/>
        </w:numPr>
        <w:rPr>
          <w:rFonts w:asciiTheme="minorHAnsi" w:hAnsiTheme="minorHAnsi"/>
          <w:bCs/>
          <w:sz w:val="24"/>
          <w:szCs w:val="24"/>
          <w:lang w:val="en-GB"/>
        </w:rPr>
      </w:pPr>
      <w:r w:rsidRPr="00E12ECC">
        <w:rPr>
          <w:rFonts w:asciiTheme="minorHAnsi" w:hAnsiTheme="minorHAnsi"/>
          <w:bCs/>
          <w:sz w:val="24"/>
          <w:szCs w:val="24"/>
          <w:lang w:val="en-GB"/>
        </w:rPr>
        <w:t xml:space="preserve">The PBAC considered that the PBS restriction should be consistent with other </w:t>
      </w:r>
      <w:r>
        <w:rPr>
          <w:rFonts w:asciiTheme="minorHAnsi" w:hAnsiTheme="minorHAnsi"/>
          <w:bCs/>
          <w:sz w:val="24"/>
          <w:szCs w:val="24"/>
          <w:lang w:val="en-GB"/>
        </w:rPr>
        <w:t xml:space="preserve">DAA </w:t>
      </w:r>
      <w:r w:rsidRPr="00E12ECC">
        <w:rPr>
          <w:rFonts w:asciiTheme="minorHAnsi" w:hAnsiTheme="minorHAnsi"/>
          <w:bCs/>
          <w:sz w:val="24"/>
          <w:szCs w:val="24"/>
          <w:lang w:val="en-GB"/>
        </w:rPr>
        <w:t>drugs listed in the General Statement for Drugs for the Treatment of Hepatitis C</w:t>
      </w:r>
      <w:r>
        <w:rPr>
          <w:rFonts w:asciiTheme="minorHAnsi" w:hAnsiTheme="minorHAnsi"/>
          <w:bCs/>
          <w:sz w:val="24"/>
          <w:szCs w:val="24"/>
          <w:lang w:val="en-GB"/>
        </w:rPr>
        <w:t xml:space="preserve"> (</w:t>
      </w:r>
      <w:r w:rsidRPr="00922F21">
        <w:rPr>
          <w:rFonts w:asciiTheme="minorHAnsi" w:hAnsiTheme="minorHAnsi"/>
          <w:bCs/>
          <w:i/>
          <w:sz w:val="24"/>
          <w:szCs w:val="24"/>
          <w:lang w:val="en-GB"/>
        </w:rPr>
        <w:t>General Statement</w:t>
      </w:r>
      <w:r>
        <w:rPr>
          <w:rFonts w:asciiTheme="minorHAnsi" w:hAnsiTheme="minorHAnsi"/>
          <w:bCs/>
          <w:sz w:val="24"/>
          <w:szCs w:val="24"/>
          <w:lang w:val="en-GB"/>
        </w:rPr>
        <w:t>)</w:t>
      </w:r>
      <w:r w:rsidRPr="00E12ECC">
        <w:rPr>
          <w:rFonts w:asciiTheme="minorHAnsi" w:hAnsiTheme="minorHAnsi"/>
          <w:bCs/>
          <w:sz w:val="24"/>
          <w:szCs w:val="24"/>
          <w:lang w:val="en-GB"/>
        </w:rPr>
        <w:t xml:space="preserve">, and </w:t>
      </w:r>
      <w:r>
        <w:rPr>
          <w:rFonts w:asciiTheme="minorHAnsi" w:hAnsiTheme="minorHAnsi"/>
          <w:bCs/>
          <w:sz w:val="24"/>
          <w:szCs w:val="24"/>
          <w:lang w:val="en-GB"/>
        </w:rPr>
        <w:t>considered</w:t>
      </w:r>
      <w:r w:rsidRPr="00E12ECC">
        <w:rPr>
          <w:rFonts w:asciiTheme="minorHAnsi" w:hAnsiTheme="minorHAnsi"/>
          <w:bCs/>
          <w:sz w:val="24"/>
          <w:szCs w:val="24"/>
          <w:lang w:val="en-GB"/>
        </w:rPr>
        <w:t xml:space="preserve"> that the maximum quantity should provide for one pack, and three repeats, allowing for</w:t>
      </w:r>
      <w:r>
        <w:rPr>
          <w:rFonts w:asciiTheme="minorHAnsi" w:hAnsiTheme="minorHAnsi"/>
          <w:bCs/>
          <w:sz w:val="24"/>
          <w:szCs w:val="24"/>
          <w:lang w:val="en-GB"/>
        </w:rPr>
        <w:t xml:space="preserve"> up to</w:t>
      </w:r>
      <w:r w:rsidRPr="00E12ECC">
        <w:rPr>
          <w:rFonts w:asciiTheme="minorHAnsi" w:hAnsiTheme="minorHAnsi"/>
          <w:bCs/>
          <w:sz w:val="24"/>
          <w:szCs w:val="24"/>
          <w:lang w:val="en-GB"/>
        </w:rPr>
        <w:t xml:space="preserve"> 16</w:t>
      </w:r>
      <w:r>
        <w:rPr>
          <w:rFonts w:asciiTheme="minorHAnsi" w:hAnsiTheme="minorHAnsi"/>
          <w:bCs/>
          <w:sz w:val="24"/>
          <w:szCs w:val="24"/>
          <w:lang w:val="en-GB"/>
        </w:rPr>
        <w:t xml:space="preserve"> weeks</w:t>
      </w:r>
      <w:r w:rsidRPr="00E12ECC">
        <w:rPr>
          <w:rFonts w:asciiTheme="minorHAnsi" w:hAnsiTheme="minorHAnsi"/>
          <w:bCs/>
          <w:sz w:val="24"/>
          <w:szCs w:val="24"/>
          <w:lang w:val="en-GB"/>
        </w:rPr>
        <w:t xml:space="preserve"> treatment duration. The PBAC noted that the exact restriction w</w:t>
      </w:r>
      <w:r>
        <w:rPr>
          <w:rFonts w:asciiTheme="minorHAnsi" w:hAnsiTheme="minorHAnsi"/>
          <w:bCs/>
          <w:sz w:val="24"/>
          <w:szCs w:val="24"/>
          <w:lang w:val="en-GB"/>
        </w:rPr>
        <w:t>ould</w:t>
      </w:r>
      <w:r w:rsidRPr="00E12ECC">
        <w:rPr>
          <w:rFonts w:asciiTheme="minorHAnsi" w:hAnsiTheme="minorHAnsi"/>
          <w:bCs/>
          <w:sz w:val="24"/>
          <w:szCs w:val="24"/>
          <w:lang w:val="en-GB"/>
        </w:rPr>
        <w:t xml:space="preserve"> </w:t>
      </w:r>
      <w:r>
        <w:rPr>
          <w:rFonts w:asciiTheme="minorHAnsi" w:hAnsiTheme="minorHAnsi"/>
          <w:bCs/>
          <w:sz w:val="24"/>
          <w:szCs w:val="24"/>
          <w:lang w:val="en-GB"/>
        </w:rPr>
        <w:t xml:space="preserve">need to </w:t>
      </w:r>
      <w:r w:rsidRPr="00E12ECC">
        <w:rPr>
          <w:rFonts w:asciiTheme="minorHAnsi" w:hAnsiTheme="minorHAnsi"/>
          <w:bCs/>
          <w:sz w:val="24"/>
          <w:szCs w:val="24"/>
          <w:lang w:val="en-GB"/>
        </w:rPr>
        <w:t xml:space="preserve">be </w:t>
      </w:r>
      <w:r>
        <w:rPr>
          <w:rFonts w:asciiTheme="minorHAnsi" w:hAnsiTheme="minorHAnsi"/>
          <w:bCs/>
          <w:sz w:val="24"/>
          <w:szCs w:val="24"/>
          <w:lang w:val="en-GB"/>
        </w:rPr>
        <w:t>aligned with the TGA registration of the drug.</w:t>
      </w:r>
    </w:p>
    <w:p w:rsidR="001940D8" w:rsidRPr="009E34D4" w:rsidRDefault="001940D8" w:rsidP="001940D8">
      <w:pPr>
        <w:rPr>
          <w:rFonts w:asciiTheme="minorHAnsi" w:hAnsiTheme="minorHAnsi"/>
          <w:bCs/>
          <w:sz w:val="24"/>
          <w:szCs w:val="24"/>
          <w:lang w:val="en-GB"/>
        </w:rPr>
      </w:pPr>
    </w:p>
    <w:p w:rsidR="001940D8" w:rsidRDefault="001940D8" w:rsidP="001940D8">
      <w:pPr>
        <w:pStyle w:val="ListParagraph"/>
        <w:numPr>
          <w:ilvl w:val="1"/>
          <w:numId w:val="1"/>
        </w:numPr>
        <w:rPr>
          <w:rFonts w:asciiTheme="minorHAnsi" w:hAnsiTheme="minorHAnsi"/>
          <w:bCs/>
          <w:sz w:val="24"/>
          <w:szCs w:val="24"/>
          <w:lang w:val="en-GB"/>
        </w:rPr>
      </w:pPr>
      <w:r w:rsidRPr="00E12ECC">
        <w:rPr>
          <w:rFonts w:asciiTheme="minorHAnsi" w:hAnsiTheme="minorHAnsi"/>
          <w:bCs/>
          <w:sz w:val="24"/>
          <w:szCs w:val="24"/>
          <w:lang w:val="en-GB"/>
        </w:rPr>
        <w:t>The PBAC noted the sponsor</w:t>
      </w:r>
      <w:r>
        <w:rPr>
          <w:rFonts w:asciiTheme="minorHAnsi" w:hAnsiTheme="minorHAnsi"/>
          <w:bCs/>
          <w:sz w:val="24"/>
          <w:szCs w:val="24"/>
          <w:lang w:val="en-GB"/>
        </w:rPr>
        <w:t>’</w:t>
      </w:r>
      <w:r w:rsidRPr="00E12ECC">
        <w:rPr>
          <w:rFonts w:asciiTheme="minorHAnsi" w:hAnsiTheme="minorHAnsi"/>
          <w:bCs/>
          <w:sz w:val="24"/>
          <w:szCs w:val="24"/>
          <w:lang w:val="en-GB"/>
        </w:rPr>
        <w:t>s request for a streamlined authority</w:t>
      </w:r>
      <w:r>
        <w:rPr>
          <w:rFonts w:asciiTheme="minorHAnsi" w:hAnsiTheme="minorHAnsi"/>
          <w:bCs/>
          <w:sz w:val="24"/>
          <w:szCs w:val="24"/>
          <w:lang w:val="en-GB"/>
        </w:rPr>
        <w:t xml:space="preserve"> listing;</w:t>
      </w:r>
      <w:r w:rsidRPr="00E12ECC">
        <w:rPr>
          <w:rFonts w:asciiTheme="minorHAnsi" w:hAnsiTheme="minorHAnsi"/>
          <w:bCs/>
          <w:sz w:val="24"/>
          <w:szCs w:val="24"/>
          <w:lang w:val="en-GB"/>
        </w:rPr>
        <w:t xml:space="preserve"> however, it </w:t>
      </w:r>
      <w:r>
        <w:rPr>
          <w:rFonts w:asciiTheme="minorHAnsi" w:hAnsiTheme="minorHAnsi"/>
          <w:bCs/>
          <w:sz w:val="24"/>
          <w:szCs w:val="24"/>
          <w:lang w:val="en-GB"/>
        </w:rPr>
        <w:t xml:space="preserve">did not agree that this was appropriate at this time. The PBAC preferred </w:t>
      </w:r>
      <w:r w:rsidRPr="00E12ECC">
        <w:rPr>
          <w:rFonts w:asciiTheme="minorHAnsi" w:hAnsiTheme="minorHAnsi"/>
          <w:bCs/>
          <w:sz w:val="24"/>
          <w:szCs w:val="24"/>
          <w:lang w:val="en-GB"/>
        </w:rPr>
        <w:t>an authority required (telephone)</w:t>
      </w:r>
      <w:r>
        <w:rPr>
          <w:rFonts w:asciiTheme="minorHAnsi" w:hAnsiTheme="minorHAnsi"/>
          <w:bCs/>
          <w:sz w:val="24"/>
          <w:szCs w:val="24"/>
          <w:lang w:val="en-GB"/>
        </w:rPr>
        <w:t xml:space="preserve"> listing on the basis of consistency with existing DAA PBS listings, which are currently all </w:t>
      </w:r>
      <w:r w:rsidRPr="00E12ECC">
        <w:rPr>
          <w:rFonts w:asciiTheme="minorHAnsi" w:hAnsiTheme="minorHAnsi"/>
          <w:sz w:val="24"/>
        </w:rPr>
        <w:t>authority required (telephone)</w:t>
      </w:r>
      <w:r>
        <w:rPr>
          <w:rFonts w:asciiTheme="minorHAnsi" w:hAnsiTheme="minorHAnsi"/>
          <w:sz w:val="24"/>
        </w:rPr>
        <w:t>. Further, the PBAC</w:t>
      </w:r>
      <w:r w:rsidRPr="00E12ECC">
        <w:rPr>
          <w:rFonts w:asciiTheme="minorHAnsi" w:hAnsiTheme="minorHAnsi"/>
          <w:sz w:val="24"/>
        </w:rPr>
        <w:t xml:space="preserve"> considered </w:t>
      </w:r>
      <w:r>
        <w:rPr>
          <w:rFonts w:asciiTheme="minorHAnsi" w:hAnsiTheme="minorHAnsi"/>
          <w:sz w:val="24"/>
        </w:rPr>
        <w:t>that a</w:t>
      </w:r>
      <w:r w:rsidRPr="00E12ECC">
        <w:rPr>
          <w:rFonts w:asciiTheme="minorHAnsi" w:hAnsiTheme="minorHAnsi"/>
          <w:sz w:val="24"/>
        </w:rPr>
        <w:t xml:space="preserve"> telephone authority would ensure GP prescribing consistency across </w:t>
      </w:r>
      <w:r w:rsidRPr="00E12ECC">
        <w:rPr>
          <w:rFonts w:asciiTheme="minorHAnsi" w:hAnsiTheme="minorHAnsi"/>
          <w:bCs/>
          <w:sz w:val="24"/>
          <w:szCs w:val="24"/>
          <w:lang w:val="en-GB"/>
        </w:rPr>
        <w:t xml:space="preserve">the different treatment durations of </w:t>
      </w:r>
      <w:r>
        <w:rPr>
          <w:rFonts w:asciiTheme="minorHAnsi" w:hAnsiTheme="minorHAnsi"/>
          <w:bCs/>
          <w:sz w:val="24"/>
          <w:szCs w:val="24"/>
          <w:lang w:val="en-GB"/>
        </w:rPr>
        <w:t>glecaprevir/</w:t>
      </w:r>
      <w:r w:rsidRPr="00E12ECC">
        <w:rPr>
          <w:rFonts w:asciiTheme="minorHAnsi" w:hAnsiTheme="minorHAnsi"/>
          <w:bCs/>
          <w:sz w:val="24"/>
          <w:szCs w:val="24"/>
          <w:lang w:val="en-GB"/>
        </w:rPr>
        <w:t xml:space="preserve">pibrentasvir (ranging from 8 weeks to 16 weeks for the specific patient groups). </w:t>
      </w:r>
    </w:p>
    <w:p w:rsidR="001940D8" w:rsidRPr="001161A5" w:rsidRDefault="001940D8" w:rsidP="001940D8">
      <w:pPr>
        <w:rPr>
          <w:rFonts w:asciiTheme="minorHAnsi" w:hAnsiTheme="minorHAnsi"/>
          <w:bCs/>
          <w:sz w:val="24"/>
          <w:szCs w:val="24"/>
          <w:highlight w:val="yellow"/>
          <w:lang w:val="en-GB"/>
        </w:rPr>
      </w:pPr>
    </w:p>
    <w:p w:rsidR="001940D8" w:rsidRPr="001C7401" w:rsidRDefault="001940D8" w:rsidP="001940D8">
      <w:pPr>
        <w:widowControl/>
        <w:numPr>
          <w:ilvl w:val="1"/>
          <w:numId w:val="1"/>
        </w:numPr>
        <w:rPr>
          <w:rFonts w:asciiTheme="minorHAnsi" w:hAnsiTheme="minorHAnsi"/>
          <w:bCs/>
          <w:sz w:val="24"/>
          <w:szCs w:val="24"/>
          <w:lang w:val="en-GB"/>
        </w:rPr>
      </w:pPr>
      <w:r w:rsidRPr="001C7401">
        <w:rPr>
          <w:rFonts w:asciiTheme="minorHAnsi" w:hAnsiTheme="minorHAnsi"/>
          <w:bCs/>
          <w:sz w:val="24"/>
          <w:szCs w:val="24"/>
          <w:lang w:val="en-GB"/>
        </w:rPr>
        <w:t>The PBAC accepted sofosbuvir</w:t>
      </w:r>
      <w:r>
        <w:rPr>
          <w:rFonts w:asciiTheme="minorHAnsi" w:hAnsiTheme="minorHAnsi"/>
          <w:bCs/>
          <w:sz w:val="24"/>
          <w:szCs w:val="24"/>
          <w:lang w:val="en-GB"/>
        </w:rPr>
        <w:t>/</w:t>
      </w:r>
      <w:r w:rsidRPr="001C7401">
        <w:rPr>
          <w:rFonts w:asciiTheme="minorHAnsi" w:hAnsiTheme="minorHAnsi"/>
          <w:bCs/>
          <w:sz w:val="24"/>
          <w:szCs w:val="24"/>
          <w:lang w:val="en-GB"/>
        </w:rPr>
        <w:t>velpat</w:t>
      </w:r>
      <w:r>
        <w:rPr>
          <w:rFonts w:asciiTheme="minorHAnsi" w:hAnsiTheme="minorHAnsi"/>
          <w:bCs/>
          <w:sz w:val="24"/>
          <w:szCs w:val="24"/>
          <w:lang w:val="en-GB"/>
        </w:rPr>
        <w:t xml:space="preserve">asvir as </w:t>
      </w:r>
      <w:r w:rsidRPr="001C7401">
        <w:rPr>
          <w:rFonts w:asciiTheme="minorHAnsi" w:hAnsiTheme="minorHAnsi"/>
          <w:bCs/>
          <w:sz w:val="24"/>
          <w:szCs w:val="24"/>
          <w:lang w:val="en-GB"/>
        </w:rPr>
        <w:t xml:space="preserve">the appropriate comparator for patients with CHC genotypes 1-6, who are NS5A treatment </w:t>
      </w:r>
      <w:r>
        <w:rPr>
          <w:rFonts w:asciiTheme="minorHAnsi" w:hAnsiTheme="minorHAnsi"/>
          <w:bCs/>
          <w:sz w:val="24"/>
          <w:szCs w:val="24"/>
          <w:lang w:val="en-GB"/>
        </w:rPr>
        <w:t>naïve.</w:t>
      </w:r>
    </w:p>
    <w:p w:rsidR="001940D8" w:rsidRPr="002F41D4" w:rsidRDefault="001940D8" w:rsidP="001940D8">
      <w:pPr>
        <w:widowControl/>
        <w:jc w:val="left"/>
        <w:rPr>
          <w:rFonts w:asciiTheme="minorHAnsi" w:hAnsiTheme="minorHAnsi"/>
          <w:bCs/>
          <w:sz w:val="24"/>
          <w:szCs w:val="24"/>
        </w:rPr>
      </w:pPr>
    </w:p>
    <w:p w:rsidR="001940D8" w:rsidRDefault="001940D8" w:rsidP="001940D8">
      <w:pPr>
        <w:pStyle w:val="ListParagraph"/>
        <w:widowControl/>
        <w:numPr>
          <w:ilvl w:val="1"/>
          <w:numId w:val="1"/>
        </w:numPr>
        <w:contextualSpacing w:val="0"/>
        <w:jc w:val="left"/>
        <w:rPr>
          <w:rFonts w:asciiTheme="minorHAnsi" w:hAnsiTheme="minorHAnsi"/>
          <w:bCs/>
          <w:sz w:val="24"/>
          <w:szCs w:val="24"/>
        </w:rPr>
      </w:pPr>
      <w:r w:rsidRPr="00B22146">
        <w:rPr>
          <w:rFonts w:asciiTheme="minorHAnsi" w:hAnsiTheme="minorHAnsi"/>
          <w:bCs/>
          <w:sz w:val="24"/>
          <w:szCs w:val="24"/>
        </w:rPr>
        <w:t>The PBAC considered that the claim of non-inferior comparative effectiveness across all CHC genotypes was reasonable for patients w</w:t>
      </w:r>
      <w:r>
        <w:rPr>
          <w:rFonts w:asciiTheme="minorHAnsi" w:hAnsiTheme="minorHAnsi"/>
          <w:bCs/>
          <w:sz w:val="24"/>
          <w:szCs w:val="24"/>
        </w:rPr>
        <w:t>ho are NS5A treatment naïve.</w:t>
      </w:r>
    </w:p>
    <w:p w:rsidR="001940D8" w:rsidRPr="002F41D4" w:rsidRDefault="001940D8" w:rsidP="001940D8">
      <w:pPr>
        <w:widowControl/>
        <w:jc w:val="left"/>
        <w:rPr>
          <w:rFonts w:asciiTheme="minorHAnsi" w:hAnsiTheme="minorHAnsi"/>
          <w:bCs/>
          <w:sz w:val="24"/>
          <w:szCs w:val="24"/>
        </w:rPr>
      </w:pPr>
    </w:p>
    <w:p w:rsidR="001940D8" w:rsidRDefault="001940D8" w:rsidP="001940D8">
      <w:pPr>
        <w:pStyle w:val="ListParagraph"/>
        <w:widowControl/>
        <w:numPr>
          <w:ilvl w:val="1"/>
          <w:numId w:val="1"/>
        </w:numPr>
        <w:contextualSpacing w:val="0"/>
        <w:rPr>
          <w:rFonts w:asciiTheme="minorHAnsi" w:hAnsiTheme="minorHAnsi"/>
          <w:sz w:val="24"/>
          <w:szCs w:val="24"/>
        </w:rPr>
      </w:pPr>
      <w:r w:rsidRPr="00340535">
        <w:rPr>
          <w:rFonts w:asciiTheme="minorHAnsi" w:hAnsiTheme="minorHAnsi"/>
          <w:sz w:val="24"/>
          <w:szCs w:val="24"/>
        </w:rPr>
        <w:t>The PBAC considered that the claim of non-inferior comparative safety was reasonable.</w:t>
      </w:r>
    </w:p>
    <w:p w:rsidR="001940D8" w:rsidRPr="002F41D4" w:rsidRDefault="001940D8" w:rsidP="001940D8">
      <w:pPr>
        <w:widowControl/>
        <w:rPr>
          <w:rFonts w:asciiTheme="minorHAnsi" w:hAnsiTheme="minorHAnsi"/>
          <w:sz w:val="24"/>
          <w:szCs w:val="24"/>
        </w:rPr>
      </w:pPr>
    </w:p>
    <w:p w:rsidR="001940D8" w:rsidRPr="00340535" w:rsidRDefault="001940D8" w:rsidP="001940D8">
      <w:pPr>
        <w:pStyle w:val="ListParagraph"/>
        <w:widowControl/>
        <w:numPr>
          <w:ilvl w:val="1"/>
          <w:numId w:val="1"/>
        </w:numPr>
        <w:contextualSpacing w:val="0"/>
        <w:rPr>
          <w:rFonts w:asciiTheme="minorHAnsi" w:hAnsiTheme="minorHAnsi"/>
          <w:sz w:val="24"/>
          <w:szCs w:val="24"/>
        </w:rPr>
      </w:pPr>
      <w:r>
        <w:rPr>
          <w:rFonts w:asciiTheme="minorHAnsi" w:hAnsiTheme="minorHAnsi"/>
          <w:sz w:val="24"/>
          <w:szCs w:val="24"/>
        </w:rPr>
        <w:t xml:space="preserve">As per the </w:t>
      </w:r>
      <w:r w:rsidRPr="00696995">
        <w:rPr>
          <w:rFonts w:asciiTheme="minorHAnsi" w:hAnsiTheme="minorHAnsi"/>
          <w:sz w:val="24"/>
          <w:szCs w:val="24"/>
        </w:rPr>
        <w:t>sponsor</w:t>
      </w:r>
      <w:r>
        <w:rPr>
          <w:rFonts w:asciiTheme="minorHAnsi" w:hAnsiTheme="minorHAnsi"/>
          <w:sz w:val="24"/>
          <w:szCs w:val="24"/>
        </w:rPr>
        <w:t>’</w:t>
      </w:r>
      <w:r w:rsidRPr="00696995">
        <w:rPr>
          <w:rFonts w:asciiTheme="minorHAnsi" w:hAnsiTheme="minorHAnsi"/>
          <w:sz w:val="24"/>
          <w:szCs w:val="24"/>
        </w:rPr>
        <w:t xml:space="preserve">s request in </w:t>
      </w:r>
      <w:r>
        <w:rPr>
          <w:rFonts w:asciiTheme="minorHAnsi" w:hAnsiTheme="minorHAnsi"/>
          <w:sz w:val="24"/>
          <w:szCs w:val="24"/>
        </w:rPr>
        <w:t>its</w:t>
      </w:r>
      <w:r w:rsidRPr="00696995">
        <w:rPr>
          <w:rFonts w:asciiTheme="minorHAnsi" w:hAnsiTheme="minorHAnsi"/>
          <w:sz w:val="24"/>
          <w:szCs w:val="24"/>
        </w:rPr>
        <w:t xml:space="preserve"> pre PBAC Response, the PBAC did not consider the efficacy and safety of </w:t>
      </w:r>
      <w:r w:rsidRPr="00696995">
        <w:rPr>
          <w:rFonts w:asciiTheme="minorHAnsi" w:hAnsiTheme="minorHAnsi"/>
          <w:sz w:val="24"/>
        </w:rPr>
        <w:t>glecaprevir/pibrentasvir in patients who are NS5A treatment experienced</w:t>
      </w:r>
      <w:r>
        <w:rPr>
          <w:rFonts w:asciiTheme="minorHAnsi" w:hAnsiTheme="minorHAnsi"/>
          <w:sz w:val="24"/>
        </w:rPr>
        <w:t xml:space="preserve"> at this time</w:t>
      </w:r>
      <w:r w:rsidRPr="00696995">
        <w:rPr>
          <w:rFonts w:asciiTheme="minorHAnsi" w:hAnsiTheme="minorHAnsi"/>
          <w:sz w:val="24"/>
        </w:rPr>
        <w:t>.</w:t>
      </w:r>
    </w:p>
    <w:p w:rsidR="001940D8" w:rsidRDefault="001940D8" w:rsidP="001940D8">
      <w:pPr>
        <w:rPr>
          <w:rFonts w:asciiTheme="minorHAnsi" w:hAnsiTheme="minorHAnsi"/>
          <w:bCs/>
          <w:sz w:val="24"/>
          <w:szCs w:val="24"/>
          <w:lang w:val="en-GB"/>
        </w:rPr>
      </w:pPr>
    </w:p>
    <w:p w:rsidR="001940D8" w:rsidRPr="00620A49" w:rsidRDefault="001940D8" w:rsidP="001940D8">
      <w:pPr>
        <w:pStyle w:val="ListParagraph"/>
        <w:numPr>
          <w:ilvl w:val="1"/>
          <w:numId w:val="1"/>
        </w:numPr>
        <w:rPr>
          <w:rFonts w:asciiTheme="minorHAnsi" w:hAnsiTheme="minorHAnsi"/>
          <w:bCs/>
          <w:sz w:val="24"/>
          <w:szCs w:val="24"/>
          <w:lang w:val="en-GB"/>
        </w:rPr>
      </w:pPr>
      <w:r w:rsidRPr="006F4295">
        <w:rPr>
          <w:rFonts w:asciiTheme="minorHAnsi" w:hAnsiTheme="minorHAnsi"/>
          <w:bCs/>
          <w:sz w:val="24"/>
          <w:szCs w:val="24"/>
          <w:lang w:val="en-GB"/>
        </w:rPr>
        <w:t xml:space="preserve">The PBAC accepted </w:t>
      </w:r>
      <w:r>
        <w:rPr>
          <w:rFonts w:asciiTheme="minorHAnsi" w:hAnsiTheme="minorHAnsi"/>
          <w:bCs/>
          <w:sz w:val="24"/>
          <w:szCs w:val="24"/>
          <w:lang w:val="en-GB"/>
        </w:rPr>
        <w:t xml:space="preserve">that </w:t>
      </w:r>
      <w:r w:rsidRPr="006F4295">
        <w:rPr>
          <w:rFonts w:asciiTheme="minorHAnsi" w:hAnsiTheme="minorHAnsi"/>
          <w:bCs/>
          <w:sz w:val="24"/>
          <w:szCs w:val="24"/>
          <w:lang w:val="en-GB"/>
        </w:rPr>
        <w:t xml:space="preserve">cost-minimisation </w:t>
      </w:r>
      <w:r>
        <w:rPr>
          <w:rFonts w:asciiTheme="minorHAnsi" w:hAnsiTheme="minorHAnsi"/>
          <w:bCs/>
          <w:sz w:val="24"/>
          <w:szCs w:val="24"/>
          <w:lang w:val="en-GB"/>
        </w:rPr>
        <w:t xml:space="preserve">against </w:t>
      </w:r>
      <w:r w:rsidRPr="001C7401">
        <w:rPr>
          <w:rFonts w:asciiTheme="minorHAnsi" w:hAnsiTheme="minorHAnsi"/>
          <w:bCs/>
          <w:sz w:val="24"/>
          <w:szCs w:val="24"/>
          <w:lang w:val="en-GB"/>
        </w:rPr>
        <w:t>sofosbuvir</w:t>
      </w:r>
      <w:r>
        <w:rPr>
          <w:rFonts w:asciiTheme="minorHAnsi" w:hAnsiTheme="minorHAnsi"/>
          <w:bCs/>
          <w:sz w:val="24"/>
          <w:szCs w:val="24"/>
          <w:lang w:val="en-GB"/>
        </w:rPr>
        <w:t>/</w:t>
      </w:r>
      <w:r w:rsidRPr="001C7401">
        <w:rPr>
          <w:rFonts w:asciiTheme="minorHAnsi" w:hAnsiTheme="minorHAnsi"/>
          <w:bCs/>
          <w:sz w:val="24"/>
          <w:szCs w:val="24"/>
          <w:lang w:val="en-GB"/>
        </w:rPr>
        <w:t>velpat</w:t>
      </w:r>
      <w:r>
        <w:rPr>
          <w:rFonts w:asciiTheme="minorHAnsi" w:hAnsiTheme="minorHAnsi"/>
          <w:bCs/>
          <w:sz w:val="24"/>
          <w:szCs w:val="24"/>
          <w:lang w:val="en-GB"/>
        </w:rPr>
        <w:t xml:space="preserve">asvir was </w:t>
      </w:r>
      <w:r>
        <w:rPr>
          <w:rFonts w:asciiTheme="minorHAnsi" w:hAnsiTheme="minorHAnsi"/>
          <w:bCs/>
          <w:sz w:val="24"/>
          <w:szCs w:val="24"/>
          <w:lang w:val="en-GB"/>
        </w:rPr>
        <w:lastRenderedPageBreak/>
        <w:t xml:space="preserve">appropriate and noted that </w:t>
      </w:r>
      <w:r w:rsidRPr="00533D52">
        <w:rPr>
          <w:rFonts w:asciiTheme="minorHAnsi" w:hAnsiTheme="minorHAnsi"/>
          <w:sz w:val="24"/>
        </w:rPr>
        <w:t>final cost-minimisation calculations w</w:t>
      </w:r>
      <w:r>
        <w:rPr>
          <w:rFonts w:asciiTheme="minorHAnsi" w:hAnsiTheme="minorHAnsi"/>
          <w:sz w:val="24"/>
        </w:rPr>
        <w:t>ould</w:t>
      </w:r>
      <w:r w:rsidRPr="00533D52">
        <w:rPr>
          <w:rFonts w:asciiTheme="minorHAnsi" w:hAnsiTheme="minorHAnsi"/>
          <w:sz w:val="24"/>
        </w:rPr>
        <w:t xml:space="preserve"> need to be undertaken once the TGA recommended dosing regimens for each of the sub</w:t>
      </w:r>
      <w:r>
        <w:rPr>
          <w:rFonts w:asciiTheme="minorHAnsi" w:hAnsiTheme="minorHAnsi"/>
          <w:sz w:val="24"/>
        </w:rPr>
        <w:t>-</w:t>
      </w:r>
      <w:r w:rsidRPr="00533D52">
        <w:rPr>
          <w:rFonts w:asciiTheme="minorHAnsi" w:hAnsiTheme="minorHAnsi"/>
          <w:sz w:val="24"/>
        </w:rPr>
        <w:t>populations are known.</w:t>
      </w:r>
      <w:r>
        <w:rPr>
          <w:rFonts w:asciiTheme="minorHAnsi" w:hAnsiTheme="minorHAnsi"/>
          <w:bCs/>
          <w:sz w:val="24"/>
          <w:szCs w:val="24"/>
          <w:lang w:val="en-GB"/>
        </w:rPr>
        <w:t xml:space="preserve"> The PBAC recalled that, in its consideration of </w:t>
      </w:r>
      <w:r w:rsidRPr="00533D52">
        <w:rPr>
          <w:rFonts w:asciiTheme="minorHAnsi" w:hAnsiTheme="minorHAnsi"/>
          <w:sz w:val="24"/>
        </w:rPr>
        <w:t>sofosbuvir/velpatasvir</w:t>
      </w:r>
      <w:r>
        <w:rPr>
          <w:rFonts w:asciiTheme="minorHAnsi" w:hAnsiTheme="minorHAnsi"/>
          <w:sz w:val="24"/>
        </w:rPr>
        <w:t>, it had noted that</w:t>
      </w:r>
      <w:r w:rsidRPr="00620A49">
        <w:rPr>
          <w:rFonts w:asciiTheme="minorHAnsi" w:hAnsiTheme="minorHAnsi"/>
          <w:sz w:val="24"/>
        </w:rPr>
        <w:t xml:space="preserve"> “</w:t>
      </w:r>
      <w:r w:rsidRPr="00620A49">
        <w:rPr>
          <w:rFonts w:asciiTheme="minorHAnsi" w:hAnsiTheme="minorHAnsi"/>
          <w:sz w:val="24"/>
          <w:szCs w:val="22"/>
        </w:rPr>
        <w:t>in the</w:t>
      </w:r>
      <w:r w:rsidRPr="00620A49">
        <w:rPr>
          <w:rFonts w:asciiTheme="minorHAnsi" w:hAnsiTheme="minorHAnsi"/>
          <w:sz w:val="24"/>
        </w:rPr>
        <w:t xml:space="preserve"> absence of demonstrated superior comparative effectiveness or comparative safety of </w:t>
      </w:r>
      <w:r w:rsidRPr="00620A49">
        <w:rPr>
          <w:rFonts w:asciiTheme="minorHAnsi" w:hAnsiTheme="minorHAnsi"/>
          <w:iCs/>
          <w:sz w:val="24"/>
        </w:rPr>
        <w:t>sofosbuvir/velpatasvir FDC</w:t>
      </w:r>
      <w:r w:rsidRPr="00620A49">
        <w:rPr>
          <w:rFonts w:asciiTheme="minorHAnsi" w:hAnsiTheme="minorHAnsi"/>
          <w:sz w:val="24"/>
        </w:rPr>
        <w:t xml:space="preserve"> over alternative regimens, there is no basis for sofosbuvir/velpatasvir FDC to have a cost advantage over the relevant lowest priced regimen in the General Statement.” (Sofosbuvir/velpatasvir public summary document (PSD), November 2016)</w:t>
      </w:r>
    </w:p>
    <w:p w:rsidR="001940D8" w:rsidRPr="00874700" w:rsidRDefault="001940D8" w:rsidP="001940D8">
      <w:pPr>
        <w:rPr>
          <w:rFonts w:asciiTheme="minorHAnsi" w:hAnsiTheme="minorHAnsi"/>
          <w:bCs/>
          <w:sz w:val="24"/>
          <w:szCs w:val="24"/>
          <w:lang w:val="en-GB"/>
        </w:rPr>
      </w:pPr>
    </w:p>
    <w:p w:rsidR="001940D8" w:rsidRDefault="001940D8" w:rsidP="001940D8">
      <w:pPr>
        <w:pStyle w:val="ListParagraph"/>
        <w:widowControl/>
        <w:numPr>
          <w:ilvl w:val="1"/>
          <w:numId w:val="1"/>
        </w:numPr>
        <w:rPr>
          <w:rFonts w:asciiTheme="minorHAnsi" w:hAnsiTheme="minorHAnsi"/>
          <w:bCs/>
          <w:sz w:val="24"/>
          <w:szCs w:val="24"/>
          <w:lang w:val="en-GB"/>
        </w:rPr>
      </w:pPr>
      <w:r w:rsidRPr="00874700">
        <w:rPr>
          <w:rFonts w:asciiTheme="minorHAnsi" w:hAnsiTheme="minorHAnsi"/>
          <w:bCs/>
          <w:sz w:val="24"/>
          <w:szCs w:val="24"/>
          <w:lang w:val="en-GB"/>
        </w:rPr>
        <w:t>The PBAC considered that the clinical evaluation presented by the sub</w:t>
      </w:r>
      <w:r>
        <w:rPr>
          <w:rFonts w:asciiTheme="minorHAnsi" w:hAnsiTheme="minorHAnsi"/>
          <w:bCs/>
          <w:sz w:val="24"/>
          <w:szCs w:val="24"/>
          <w:lang w:val="en-GB"/>
        </w:rPr>
        <w:t>mission – based on seven single-</w:t>
      </w:r>
      <w:r w:rsidRPr="00874700">
        <w:rPr>
          <w:rFonts w:asciiTheme="minorHAnsi" w:hAnsiTheme="minorHAnsi"/>
          <w:bCs/>
          <w:sz w:val="24"/>
          <w:szCs w:val="24"/>
          <w:lang w:val="en-GB"/>
        </w:rPr>
        <w:t>arm studies with glecaprevir/pibrentasvir and five studies with sofosbuvir/velpatasvir</w:t>
      </w:r>
      <w:r>
        <w:rPr>
          <w:rFonts w:asciiTheme="minorHAnsi" w:hAnsiTheme="minorHAnsi"/>
          <w:bCs/>
          <w:sz w:val="24"/>
          <w:szCs w:val="24"/>
          <w:lang w:val="en-GB"/>
        </w:rPr>
        <w:t xml:space="preserve"> – s</w:t>
      </w:r>
      <w:r w:rsidRPr="00874700">
        <w:rPr>
          <w:rFonts w:asciiTheme="minorHAnsi" w:hAnsiTheme="minorHAnsi"/>
          <w:bCs/>
          <w:sz w:val="24"/>
          <w:szCs w:val="24"/>
          <w:lang w:val="en-GB"/>
        </w:rPr>
        <w:t>upported the claim of non-inferior comparative efficacy and safety compared to sofosbuvir/velpatasvir. The PBAC noted that</w:t>
      </w:r>
      <w:r>
        <w:rPr>
          <w:rFonts w:asciiTheme="minorHAnsi" w:hAnsiTheme="minorHAnsi"/>
          <w:bCs/>
          <w:sz w:val="24"/>
          <w:szCs w:val="24"/>
          <w:lang w:val="en-GB"/>
        </w:rPr>
        <w:t>,</w:t>
      </w:r>
      <w:r w:rsidRPr="00874700">
        <w:rPr>
          <w:rFonts w:asciiTheme="minorHAnsi" w:hAnsiTheme="minorHAnsi"/>
          <w:bCs/>
          <w:sz w:val="24"/>
          <w:szCs w:val="24"/>
          <w:lang w:val="en-GB"/>
        </w:rPr>
        <w:t xml:space="preserve"> on averag</w:t>
      </w:r>
      <w:r>
        <w:rPr>
          <w:rFonts w:asciiTheme="minorHAnsi" w:hAnsiTheme="minorHAnsi"/>
          <w:bCs/>
          <w:sz w:val="24"/>
          <w:szCs w:val="24"/>
          <w:lang w:val="en-GB"/>
        </w:rPr>
        <w:t>e, fewer patients on glecaprevir/</w:t>
      </w:r>
      <w:r w:rsidRPr="00874700">
        <w:rPr>
          <w:rFonts w:asciiTheme="minorHAnsi" w:hAnsiTheme="minorHAnsi"/>
          <w:bCs/>
          <w:sz w:val="24"/>
          <w:szCs w:val="24"/>
          <w:lang w:val="en-GB"/>
        </w:rPr>
        <w:t>pibrentasvir experienced adverse events</w:t>
      </w:r>
      <w:r>
        <w:rPr>
          <w:rFonts w:asciiTheme="minorHAnsi" w:hAnsiTheme="minorHAnsi"/>
          <w:bCs/>
          <w:sz w:val="24"/>
          <w:szCs w:val="24"/>
          <w:lang w:val="en-GB"/>
        </w:rPr>
        <w:t xml:space="preserve"> compared with sofosbuvir/</w:t>
      </w:r>
      <w:r w:rsidRPr="00874700">
        <w:rPr>
          <w:rFonts w:asciiTheme="minorHAnsi" w:hAnsiTheme="minorHAnsi"/>
          <w:bCs/>
          <w:sz w:val="24"/>
          <w:szCs w:val="24"/>
          <w:lang w:val="en-GB"/>
        </w:rPr>
        <w:t>velpatasvir.</w:t>
      </w:r>
    </w:p>
    <w:p w:rsidR="001940D8" w:rsidRPr="005F2FA9" w:rsidRDefault="001940D8" w:rsidP="001940D8">
      <w:pPr>
        <w:widowControl/>
        <w:jc w:val="left"/>
        <w:rPr>
          <w:rFonts w:asciiTheme="minorHAnsi" w:hAnsiTheme="minorHAnsi"/>
          <w:bCs/>
          <w:sz w:val="24"/>
          <w:szCs w:val="24"/>
          <w:lang w:val="en-GB"/>
        </w:rPr>
      </w:pPr>
    </w:p>
    <w:p w:rsidR="001940D8" w:rsidRPr="006929F0" w:rsidRDefault="001940D8" w:rsidP="001940D8">
      <w:pPr>
        <w:pStyle w:val="ListParagraph"/>
        <w:numPr>
          <w:ilvl w:val="1"/>
          <w:numId w:val="1"/>
        </w:numPr>
        <w:rPr>
          <w:rFonts w:asciiTheme="minorHAnsi" w:hAnsiTheme="minorHAnsi"/>
          <w:bCs/>
          <w:sz w:val="24"/>
          <w:szCs w:val="24"/>
          <w:lang w:val="en-GB"/>
        </w:rPr>
      </w:pPr>
      <w:r w:rsidRPr="006929F0">
        <w:rPr>
          <w:rFonts w:asciiTheme="minorHAnsi" w:hAnsiTheme="minorHAnsi"/>
          <w:bCs/>
          <w:sz w:val="24"/>
          <w:szCs w:val="24"/>
          <w:lang w:val="en-GB"/>
        </w:rPr>
        <w:t xml:space="preserve">The PBAC </w:t>
      </w:r>
      <w:r>
        <w:rPr>
          <w:rFonts w:asciiTheme="minorHAnsi" w:hAnsiTheme="minorHAnsi"/>
          <w:bCs/>
          <w:sz w:val="24"/>
          <w:szCs w:val="24"/>
          <w:lang w:val="en-GB"/>
        </w:rPr>
        <w:t xml:space="preserve">considered </w:t>
      </w:r>
      <w:r w:rsidRPr="006929F0">
        <w:rPr>
          <w:rFonts w:asciiTheme="minorHAnsi" w:hAnsiTheme="minorHAnsi"/>
          <w:bCs/>
          <w:sz w:val="24"/>
          <w:szCs w:val="24"/>
          <w:lang w:val="en-GB"/>
        </w:rPr>
        <w:t>that the availability of this regimen w</w:t>
      </w:r>
      <w:r>
        <w:rPr>
          <w:rFonts w:asciiTheme="minorHAnsi" w:hAnsiTheme="minorHAnsi"/>
          <w:bCs/>
          <w:sz w:val="24"/>
          <w:szCs w:val="24"/>
          <w:lang w:val="en-GB"/>
        </w:rPr>
        <w:t>ould</w:t>
      </w:r>
      <w:r w:rsidRPr="006929F0">
        <w:rPr>
          <w:rFonts w:asciiTheme="minorHAnsi" w:hAnsiTheme="minorHAnsi"/>
          <w:bCs/>
          <w:sz w:val="24"/>
          <w:szCs w:val="24"/>
          <w:lang w:val="en-GB"/>
        </w:rPr>
        <w:t xml:space="preserve"> likely have a considerable impact on prescribing choices for HCV treatment in Australia, as </w:t>
      </w:r>
      <w:r>
        <w:rPr>
          <w:rFonts w:asciiTheme="minorHAnsi" w:hAnsiTheme="minorHAnsi"/>
          <w:bCs/>
          <w:sz w:val="24"/>
          <w:szCs w:val="24"/>
          <w:lang w:val="en-GB"/>
        </w:rPr>
        <w:t xml:space="preserve">the committee </w:t>
      </w:r>
      <w:r w:rsidRPr="006929F0">
        <w:rPr>
          <w:rFonts w:asciiTheme="minorHAnsi" w:hAnsiTheme="minorHAnsi"/>
          <w:bCs/>
          <w:sz w:val="24"/>
          <w:szCs w:val="24"/>
          <w:lang w:val="en-GB"/>
        </w:rPr>
        <w:t xml:space="preserve">anticipated that there </w:t>
      </w:r>
      <w:r>
        <w:rPr>
          <w:rFonts w:asciiTheme="minorHAnsi" w:hAnsiTheme="minorHAnsi"/>
          <w:bCs/>
          <w:sz w:val="24"/>
          <w:szCs w:val="24"/>
          <w:lang w:val="en-GB"/>
        </w:rPr>
        <w:t xml:space="preserve">would </w:t>
      </w:r>
      <w:r w:rsidRPr="006929F0">
        <w:rPr>
          <w:rFonts w:asciiTheme="minorHAnsi" w:hAnsiTheme="minorHAnsi"/>
          <w:bCs/>
          <w:sz w:val="24"/>
          <w:szCs w:val="24"/>
          <w:lang w:val="en-GB"/>
        </w:rPr>
        <w:t>likely be a prescriber preference for another treatment regimen that can act against all genotypes.</w:t>
      </w:r>
    </w:p>
    <w:p w:rsidR="001940D8" w:rsidRPr="00874700" w:rsidRDefault="001940D8" w:rsidP="001940D8">
      <w:pPr>
        <w:rPr>
          <w:rFonts w:asciiTheme="minorHAnsi" w:hAnsiTheme="minorHAnsi"/>
          <w:bCs/>
          <w:sz w:val="24"/>
          <w:szCs w:val="24"/>
          <w:lang w:val="en-GB"/>
        </w:rPr>
      </w:pPr>
    </w:p>
    <w:p w:rsidR="001940D8" w:rsidRPr="005F2FA9" w:rsidRDefault="001940D8" w:rsidP="001940D8">
      <w:pPr>
        <w:numPr>
          <w:ilvl w:val="1"/>
          <w:numId w:val="1"/>
        </w:numPr>
        <w:contextualSpacing/>
        <w:rPr>
          <w:rFonts w:asciiTheme="minorHAnsi" w:hAnsiTheme="minorHAnsi"/>
          <w:bCs/>
          <w:sz w:val="24"/>
          <w:szCs w:val="24"/>
          <w:lang w:val="en-GB"/>
        </w:rPr>
      </w:pPr>
      <w:r w:rsidRPr="00874700">
        <w:rPr>
          <w:rFonts w:asciiTheme="minorHAnsi" w:hAnsiTheme="minorHAnsi"/>
          <w:bCs/>
          <w:sz w:val="24"/>
          <w:szCs w:val="24"/>
          <w:lang w:val="en-GB"/>
        </w:rPr>
        <w:t xml:space="preserve">The PBAC </w:t>
      </w:r>
      <w:r>
        <w:rPr>
          <w:rFonts w:asciiTheme="minorHAnsi" w:hAnsiTheme="minorHAnsi"/>
          <w:bCs/>
          <w:sz w:val="24"/>
          <w:szCs w:val="24"/>
          <w:lang w:val="en-GB"/>
        </w:rPr>
        <w:t xml:space="preserve">foreshadowed its intention to </w:t>
      </w:r>
      <w:r w:rsidRPr="00874700">
        <w:rPr>
          <w:rFonts w:asciiTheme="minorHAnsi" w:hAnsiTheme="minorHAnsi"/>
          <w:bCs/>
          <w:sz w:val="24"/>
          <w:szCs w:val="24"/>
          <w:lang w:val="en-GB"/>
        </w:rPr>
        <w:t xml:space="preserve">recommend that, under s101(3BA) of the </w:t>
      </w:r>
      <w:r w:rsidRPr="00874700">
        <w:rPr>
          <w:rFonts w:asciiTheme="minorHAnsi" w:hAnsiTheme="minorHAnsi"/>
          <w:bCs/>
          <w:i/>
          <w:sz w:val="24"/>
          <w:szCs w:val="24"/>
          <w:lang w:val="en-GB"/>
        </w:rPr>
        <w:t xml:space="preserve">National Health Act 1953, </w:t>
      </w:r>
      <w:r>
        <w:rPr>
          <w:rFonts w:asciiTheme="minorHAnsi" w:hAnsiTheme="minorHAnsi"/>
          <w:bCs/>
          <w:sz w:val="24"/>
          <w:szCs w:val="24"/>
          <w:lang w:val="en-GB"/>
        </w:rPr>
        <w:t>glecaprevir/</w:t>
      </w:r>
      <w:r w:rsidRPr="00874700">
        <w:rPr>
          <w:rFonts w:asciiTheme="minorHAnsi" w:hAnsiTheme="minorHAnsi"/>
          <w:bCs/>
          <w:sz w:val="24"/>
          <w:szCs w:val="24"/>
          <w:lang w:val="en-GB"/>
        </w:rPr>
        <w:t>pibrentasvir should be treated as interchangeable on a</w:t>
      </w:r>
      <w:r>
        <w:rPr>
          <w:rFonts w:asciiTheme="minorHAnsi" w:hAnsiTheme="minorHAnsi"/>
          <w:bCs/>
          <w:sz w:val="24"/>
          <w:szCs w:val="24"/>
          <w:lang w:val="en-GB"/>
        </w:rPr>
        <w:t xml:space="preserve">n individual patient basis with </w:t>
      </w:r>
      <w:r>
        <w:rPr>
          <w:rFonts w:asciiTheme="minorHAnsi" w:hAnsiTheme="minorHAnsi"/>
          <w:iCs/>
          <w:sz w:val="24"/>
          <w:szCs w:val="24"/>
        </w:rPr>
        <w:t>s</w:t>
      </w:r>
      <w:r w:rsidRPr="005F2FA9">
        <w:rPr>
          <w:rFonts w:asciiTheme="minorHAnsi" w:hAnsiTheme="minorHAnsi"/>
          <w:iCs/>
          <w:sz w:val="24"/>
          <w:szCs w:val="24"/>
        </w:rPr>
        <w:t>ofosbuvir/velpatasvir</w:t>
      </w:r>
      <w:r>
        <w:rPr>
          <w:rFonts w:asciiTheme="minorHAnsi" w:hAnsiTheme="minorHAnsi"/>
          <w:iCs/>
          <w:sz w:val="24"/>
          <w:szCs w:val="24"/>
        </w:rPr>
        <w:t xml:space="preserve"> and, by extension, the other medicines that PBAC considered interchangeable with</w:t>
      </w:r>
      <w:r w:rsidRPr="005F2FA9">
        <w:rPr>
          <w:rFonts w:asciiTheme="minorHAnsi" w:hAnsiTheme="minorHAnsi"/>
          <w:iCs/>
          <w:sz w:val="24"/>
          <w:szCs w:val="24"/>
        </w:rPr>
        <w:t xml:space="preserve"> </w:t>
      </w:r>
      <w:r>
        <w:rPr>
          <w:rFonts w:asciiTheme="minorHAnsi" w:hAnsiTheme="minorHAnsi"/>
          <w:iCs/>
          <w:sz w:val="24"/>
          <w:szCs w:val="24"/>
        </w:rPr>
        <w:t>s</w:t>
      </w:r>
      <w:r w:rsidRPr="005F2FA9">
        <w:rPr>
          <w:rFonts w:asciiTheme="minorHAnsi" w:hAnsiTheme="minorHAnsi"/>
          <w:iCs/>
          <w:sz w:val="24"/>
          <w:szCs w:val="24"/>
        </w:rPr>
        <w:t>ofosbuvir/velpatasvir</w:t>
      </w:r>
      <w:r>
        <w:rPr>
          <w:rFonts w:asciiTheme="minorHAnsi" w:hAnsiTheme="minorHAnsi"/>
          <w:iCs/>
          <w:sz w:val="24"/>
          <w:szCs w:val="24"/>
        </w:rPr>
        <w:t xml:space="preserve"> at its November 2016 meeting.</w:t>
      </w:r>
    </w:p>
    <w:p w:rsidR="001940D8" w:rsidRPr="00874700" w:rsidRDefault="001940D8" w:rsidP="001940D8">
      <w:pPr>
        <w:contextualSpacing/>
        <w:rPr>
          <w:rFonts w:asciiTheme="minorHAnsi" w:hAnsiTheme="minorHAnsi"/>
          <w:iCs/>
          <w:sz w:val="24"/>
          <w:szCs w:val="24"/>
        </w:rPr>
      </w:pPr>
    </w:p>
    <w:p w:rsidR="001940D8" w:rsidRPr="006929F0" w:rsidRDefault="001940D8" w:rsidP="001940D8">
      <w:pPr>
        <w:widowControl/>
        <w:numPr>
          <w:ilvl w:val="1"/>
          <w:numId w:val="1"/>
        </w:numPr>
        <w:rPr>
          <w:rFonts w:asciiTheme="minorHAnsi" w:hAnsiTheme="minorHAnsi"/>
          <w:bCs/>
          <w:sz w:val="24"/>
          <w:szCs w:val="24"/>
          <w:lang w:val="en-GB"/>
        </w:rPr>
      </w:pPr>
      <w:r w:rsidRPr="006929F0">
        <w:rPr>
          <w:rFonts w:asciiTheme="minorHAnsi" w:hAnsiTheme="minorHAnsi"/>
          <w:bCs/>
          <w:sz w:val="24"/>
          <w:szCs w:val="24"/>
          <w:lang w:val="en-GB"/>
        </w:rPr>
        <w:t xml:space="preserve">The PBAC </w:t>
      </w:r>
      <w:r>
        <w:rPr>
          <w:rFonts w:asciiTheme="minorHAnsi" w:hAnsiTheme="minorHAnsi"/>
          <w:bCs/>
          <w:sz w:val="24"/>
          <w:szCs w:val="24"/>
          <w:lang w:val="en-GB"/>
        </w:rPr>
        <w:t xml:space="preserve">also foreshadowed its advice </w:t>
      </w:r>
      <w:r w:rsidRPr="006929F0">
        <w:rPr>
          <w:rFonts w:asciiTheme="minorHAnsi" w:hAnsiTheme="minorHAnsi"/>
          <w:bCs/>
          <w:sz w:val="24"/>
          <w:szCs w:val="24"/>
          <w:lang w:val="en-GB"/>
        </w:rPr>
        <w:t xml:space="preserve">that glecaprevir/pibrentasvir should have the same nurse practitioner prescribing arrangements as other HCV treatments listed under the </w:t>
      </w:r>
      <w:r w:rsidRPr="006929F0">
        <w:rPr>
          <w:rFonts w:asciiTheme="minorHAnsi" w:hAnsiTheme="minorHAnsi"/>
          <w:bCs/>
          <w:i/>
          <w:sz w:val="24"/>
          <w:szCs w:val="24"/>
          <w:lang w:val="en-GB"/>
        </w:rPr>
        <w:t>General Statement</w:t>
      </w:r>
      <w:r w:rsidRPr="006929F0">
        <w:rPr>
          <w:rFonts w:asciiTheme="minorHAnsi" w:hAnsiTheme="minorHAnsi"/>
          <w:bCs/>
          <w:sz w:val="24"/>
          <w:szCs w:val="24"/>
          <w:lang w:val="en-GB"/>
        </w:rPr>
        <w:t xml:space="preserve">.  Currently HCV treatments under the </w:t>
      </w:r>
      <w:r w:rsidRPr="006929F0">
        <w:rPr>
          <w:rFonts w:asciiTheme="minorHAnsi" w:hAnsiTheme="minorHAnsi"/>
          <w:bCs/>
          <w:i/>
          <w:sz w:val="24"/>
          <w:szCs w:val="24"/>
          <w:lang w:val="en-GB"/>
        </w:rPr>
        <w:t xml:space="preserve">General Statement </w:t>
      </w:r>
      <w:r w:rsidRPr="006929F0">
        <w:rPr>
          <w:rFonts w:asciiTheme="minorHAnsi" w:hAnsiTheme="minorHAnsi"/>
          <w:bCs/>
          <w:sz w:val="24"/>
          <w:szCs w:val="24"/>
          <w:lang w:val="en-GB"/>
        </w:rPr>
        <w:t xml:space="preserve">are </w:t>
      </w:r>
      <w:r w:rsidRPr="006929F0">
        <w:rPr>
          <w:rFonts w:asciiTheme="minorHAnsi" w:hAnsiTheme="minorHAnsi"/>
          <w:color w:val="222222"/>
          <w:sz w:val="24"/>
          <w:szCs w:val="24"/>
          <w:shd w:val="clear" w:color="auto" w:fill="FFFFFF"/>
        </w:rPr>
        <w:t>listed for prescribing by authorised nurse practitioners under the General Schedule only. Medicines for the treatment of hepatitis C are not listed for prescribing by authorised nurse practitioners under the S100 Highly Specialised Drugs Program.</w:t>
      </w:r>
    </w:p>
    <w:p w:rsidR="001940D8" w:rsidRDefault="001940D8" w:rsidP="001940D8">
      <w:pPr>
        <w:widowControl/>
        <w:jc w:val="left"/>
        <w:rPr>
          <w:rFonts w:asciiTheme="minorHAnsi" w:hAnsiTheme="minorHAnsi"/>
          <w:bCs/>
          <w:sz w:val="24"/>
          <w:szCs w:val="24"/>
          <w:lang w:val="en-GB"/>
        </w:rPr>
      </w:pPr>
    </w:p>
    <w:p w:rsidR="001940D8" w:rsidRPr="00874700" w:rsidRDefault="001940D8" w:rsidP="001940D8">
      <w:pPr>
        <w:widowControl/>
        <w:numPr>
          <w:ilvl w:val="1"/>
          <w:numId w:val="1"/>
        </w:numPr>
        <w:jc w:val="left"/>
        <w:rPr>
          <w:rFonts w:asciiTheme="minorHAnsi" w:hAnsiTheme="minorHAnsi"/>
          <w:bCs/>
          <w:sz w:val="24"/>
          <w:szCs w:val="24"/>
          <w:lang w:val="en-GB"/>
        </w:rPr>
      </w:pPr>
      <w:r w:rsidRPr="00874700">
        <w:rPr>
          <w:rFonts w:asciiTheme="minorHAnsi" w:hAnsiTheme="minorHAnsi"/>
          <w:bCs/>
          <w:sz w:val="24"/>
          <w:szCs w:val="24"/>
          <w:lang w:val="en-GB"/>
        </w:rPr>
        <w:t xml:space="preserve">The PBAC </w:t>
      </w:r>
      <w:r>
        <w:rPr>
          <w:rFonts w:asciiTheme="minorHAnsi" w:hAnsiTheme="minorHAnsi"/>
          <w:bCs/>
          <w:sz w:val="24"/>
          <w:szCs w:val="24"/>
          <w:lang w:val="en-GB"/>
        </w:rPr>
        <w:t xml:space="preserve">foreshadowed its intention to </w:t>
      </w:r>
      <w:r w:rsidRPr="00874700">
        <w:rPr>
          <w:rFonts w:asciiTheme="minorHAnsi" w:hAnsiTheme="minorHAnsi"/>
          <w:bCs/>
          <w:sz w:val="24"/>
          <w:szCs w:val="24"/>
          <w:lang w:val="en-GB"/>
        </w:rPr>
        <w:t xml:space="preserve">recommend that the </w:t>
      </w:r>
      <w:r>
        <w:rPr>
          <w:rFonts w:asciiTheme="minorHAnsi" w:hAnsiTheme="minorHAnsi"/>
          <w:bCs/>
          <w:sz w:val="24"/>
          <w:szCs w:val="24"/>
          <w:lang w:val="en-GB"/>
        </w:rPr>
        <w:t>Early Supply Rule should apply.</w:t>
      </w:r>
    </w:p>
    <w:p w:rsidR="001940D8" w:rsidRPr="001161A5" w:rsidRDefault="001940D8" w:rsidP="001940D8">
      <w:pPr>
        <w:rPr>
          <w:rFonts w:asciiTheme="minorHAnsi" w:hAnsiTheme="minorHAnsi"/>
          <w:bCs/>
          <w:sz w:val="24"/>
          <w:szCs w:val="24"/>
          <w:highlight w:val="yellow"/>
          <w:lang w:val="en-GB"/>
        </w:rPr>
      </w:pPr>
    </w:p>
    <w:p w:rsidR="001940D8" w:rsidRPr="00874700" w:rsidRDefault="001940D8" w:rsidP="001940D8">
      <w:pPr>
        <w:rPr>
          <w:rFonts w:asciiTheme="minorHAnsi" w:hAnsiTheme="minorHAnsi"/>
          <w:b/>
          <w:bCs/>
          <w:sz w:val="24"/>
          <w:szCs w:val="24"/>
          <w:lang w:val="en-GB"/>
        </w:rPr>
      </w:pPr>
      <w:r w:rsidRPr="00874700">
        <w:rPr>
          <w:rFonts w:asciiTheme="minorHAnsi" w:hAnsiTheme="minorHAnsi"/>
          <w:b/>
          <w:bCs/>
          <w:sz w:val="24"/>
          <w:szCs w:val="24"/>
          <w:lang w:val="en-GB"/>
        </w:rPr>
        <w:t>Outcome:</w:t>
      </w:r>
    </w:p>
    <w:p w:rsidR="001940D8" w:rsidRPr="00874700" w:rsidRDefault="001940D8" w:rsidP="001940D8">
      <w:pPr>
        <w:rPr>
          <w:rFonts w:asciiTheme="minorHAnsi" w:hAnsiTheme="minorHAnsi"/>
          <w:bCs/>
          <w:sz w:val="24"/>
          <w:szCs w:val="24"/>
          <w:lang w:val="en-GB"/>
        </w:rPr>
      </w:pPr>
      <w:r w:rsidRPr="00874700">
        <w:rPr>
          <w:rFonts w:asciiTheme="minorHAnsi" w:hAnsiTheme="minorHAnsi"/>
          <w:bCs/>
          <w:sz w:val="24"/>
          <w:szCs w:val="24"/>
          <w:lang w:val="en-GB"/>
        </w:rPr>
        <w:t xml:space="preserve">Deferred </w:t>
      </w:r>
    </w:p>
    <w:p w:rsidR="001940D8" w:rsidRDefault="001940D8" w:rsidP="001940D8">
      <w:pPr>
        <w:rPr>
          <w:rFonts w:asciiTheme="minorHAnsi" w:hAnsiTheme="minorHAnsi"/>
          <w:bCs/>
          <w:sz w:val="24"/>
          <w:szCs w:val="24"/>
          <w:highlight w:val="yellow"/>
          <w:lang w:val="en-GB"/>
        </w:rPr>
      </w:pPr>
    </w:p>
    <w:p w:rsidR="001940D8" w:rsidRPr="00E64C09" w:rsidRDefault="001940D8" w:rsidP="001940D8">
      <w:pPr>
        <w:pStyle w:val="PBACHeading1"/>
        <w:rPr>
          <w:rFonts w:asciiTheme="minorHAnsi" w:eastAsiaTheme="minorHAnsi" w:hAnsiTheme="minorHAnsi" w:cstheme="minorBidi"/>
          <w:snapToGrid/>
          <w:sz w:val="32"/>
          <w:szCs w:val="32"/>
        </w:rPr>
      </w:pPr>
      <w:r w:rsidRPr="00E64C09">
        <w:rPr>
          <w:rFonts w:asciiTheme="minorHAnsi" w:eastAsiaTheme="minorHAnsi" w:hAnsiTheme="minorHAnsi" w:cstheme="minorBidi"/>
          <w:snapToGrid/>
          <w:sz w:val="32"/>
          <w:szCs w:val="32"/>
        </w:rPr>
        <w:t>Context for Decision</w:t>
      </w:r>
    </w:p>
    <w:p w:rsidR="001940D8" w:rsidRPr="00E64C09" w:rsidRDefault="001940D8" w:rsidP="001940D8">
      <w:pPr>
        <w:widowControl/>
        <w:spacing w:line="276" w:lineRule="auto"/>
        <w:ind w:left="426"/>
        <w:rPr>
          <w:rFonts w:asciiTheme="minorHAnsi" w:eastAsiaTheme="minorHAnsi" w:hAnsiTheme="minorHAnsi"/>
          <w:snapToGrid/>
          <w:sz w:val="24"/>
          <w:szCs w:val="24"/>
        </w:rPr>
      </w:pPr>
    </w:p>
    <w:p w:rsidR="001940D8" w:rsidRPr="00E64C09" w:rsidRDefault="001940D8" w:rsidP="001940D8">
      <w:pPr>
        <w:widowControl/>
        <w:spacing w:line="276" w:lineRule="auto"/>
        <w:ind w:left="426"/>
        <w:rPr>
          <w:rFonts w:asciiTheme="minorHAnsi" w:eastAsiaTheme="minorHAnsi" w:hAnsiTheme="minorHAnsi"/>
          <w:snapToGrid/>
          <w:sz w:val="24"/>
          <w:szCs w:val="24"/>
        </w:rPr>
      </w:pPr>
      <w:r w:rsidRPr="00E64C09">
        <w:rPr>
          <w:rFonts w:asciiTheme="minorHAnsi" w:eastAsiaTheme="minorHAnsi" w:hAnsiTheme="minorHAnsi"/>
          <w:snapToGrid/>
          <w:sz w:val="24"/>
          <w:szCs w:val="24"/>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940D8" w:rsidRPr="00E64C09" w:rsidRDefault="001940D8" w:rsidP="001940D8">
      <w:pPr>
        <w:widowControl/>
        <w:spacing w:after="200" w:line="276" w:lineRule="auto"/>
        <w:ind w:left="426"/>
        <w:rPr>
          <w:rFonts w:asciiTheme="minorHAnsi" w:eastAsiaTheme="minorHAnsi" w:hAnsiTheme="minorHAnsi"/>
          <w:snapToGrid/>
          <w:sz w:val="24"/>
          <w:szCs w:val="24"/>
        </w:rPr>
      </w:pPr>
    </w:p>
    <w:p w:rsidR="001940D8" w:rsidRPr="00E64C09" w:rsidRDefault="001940D8" w:rsidP="001940D8">
      <w:pPr>
        <w:pStyle w:val="PBACHeading1"/>
        <w:rPr>
          <w:rFonts w:asciiTheme="minorHAnsi" w:eastAsiaTheme="minorHAnsi" w:hAnsiTheme="minorHAnsi" w:cstheme="minorBidi"/>
          <w:snapToGrid/>
          <w:sz w:val="32"/>
          <w:szCs w:val="32"/>
        </w:rPr>
      </w:pPr>
      <w:r w:rsidRPr="00E64C09">
        <w:rPr>
          <w:rFonts w:asciiTheme="minorHAnsi" w:eastAsiaTheme="minorHAnsi" w:hAnsiTheme="minorHAnsi" w:cstheme="minorBidi"/>
          <w:snapToGrid/>
          <w:sz w:val="32"/>
          <w:szCs w:val="32"/>
        </w:rPr>
        <w:t>Sponsor’s Comment</w:t>
      </w:r>
    </w:p>
    <w:p w:rsidR="001940D8" w:rsidRPr="00E64C09" w:rsidRDefault="001940D8" w:rsidP="001940D8">
      <w:pPr>
        <w:widowControl/>
        <w:spacing w:line="276" w:lineRule="auto"/>
        <w:ind w:left="426"/>
        <w:rPr>
          <w:rFonts w:asciiTheme="minorHAnsi" w:eastAsiaTheme="minorHAnsi" w:hAnsiTheme="minorHAnsi"/>
          <w:bCs/>
          <w:snapToGrid/>
          <w:sz w:val="24"/>
          <w:szCs w:val="24"/>
          <w:highlight w:val="yellow"/>
          <w:lang w:val="en-GB"/>
        </w:rPr>
      </w:pPr>
    </w:p>
    <w:p w:rsidR="001940D8" w:rsidRPr="00C973FE" w:rsidRDefault="001940D8" w:rsidP="001940D8">
      <w:pPr>
        <w:widowControl/>
        <w:spacing w:line="276" w:lineRule="auto"/>
        <w:ind w:left="426"/>
        <w:rPr>
          <w:rFonts w:asciiTheme="minorHAnsi" w:eastAsiaTheme="minorHAnsi" w:hAnsiTheme="minorHAnsi"/>
          <w:bCs/>
          <w:snapToGrid/>
          <w:sz w:val="24"/>
          <w:szCs w:val="24"/>
          <w:lang w:val="en-GB"/>
        </w:rPr>
      </w:pPr>
      <w:r w:rsidRPr="00C973FE">
        <w:rPr>
          <w:rFonts w:asciiTheme="minorHAnsi" w:eastAsiaTheme="minorHAnsi" w:hAnsiTheme="minorHAnsi"/>
          <w:bCs/>
          <w:snapToGrid/>
          <w:sz w:val="24"/>
          <w:szCs w:val="24"/>
          <w:lang w:val="en-GB"/>
        </w:rPr>
        <w:t>Abbvie welcomes the PBAC recommendation for PBS listing of Maviret in NS5A naïve HCV patients</w:t>
      </w:r>
    </w:p>
    <w:p w:rsidR="001940D8" w:rsidRPr="001161A5" w:rsidRDefault="001940D8" w:rsidP="001940D8">
      <w:pPr>
        <w:rPr>
          <w:rFonts w:asciiTheme="minorHAnsi" w:hAnsiTheme="minorHAnsi"/>
          <w:b/>
          <w:bCs/>
          <w:sz w:val="24"/>
          <w:szCs w:val="24"/>
          <w:highlight w:val="yellow"/>
        </w:rPr>
      </w:pPr>
    </w:p>
    <w:p w:rsidR="001940D8" w:rsidRPr="002F3AE3" w:rsidRDefault="001940D8" w:rsidP="001940D8"/>
    <w:p w:rsidR="00003743" w:rsidRPr="002F3AE3" w:rsidRDefault="00003743" w:rsidP="002F3AE3"/>
    <w:sectPr w:rsidR="00003743" w:rsidRPr="002F3AE3" w:rsidSect="00AB72F7">
      <w:headerReference w:type="even" r:id="rId8"/>
      <w:headerReference w:type="default" r:id="rId9"/>
      <w:footerReference w:type="even" r:id="rId10"/>
      <w:footerReference w:type="default" r:id="rId11"/>
      <w:headerReference w:type="first" r:id="rId12"/>
      <w:footerReference w:type="first" r:id="rId13"/>
      <w:footnotePr>
        <w:numFmt w:val="lowerLetter"/>
      </w:footnotePr>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0D8" w:rsidRDefault="001940D8" w:rsidP="001940D8">
      <w:r>
        <w:separator/>
      </w:r>
    </w:p>
  </w:endnote>
  <w:endnote w:type="continuationSeparator" w:id="0">
    <w:p w:rsidR="001940D8" w:rsidRDefault="001940D8" w:rsidP="0019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A46" w:rsidRDefault="001940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287164"/>
      <w:docPartObj>
        <w:docPartGallery w:val="Page Numbers (Bottom of Page)"/>
        <w:docPartUnique/>
      </w:docPartObj>
    </w:sdtPr>
    <w:sdtEndPr>
      <w:rPr>
        <w:noProof/>
      </w:rPr>
    </w:sdtEndPr>
    <w:sdtContent>
      <w:p w:rsidR="004E5A46" w:rsidRDefault="001940D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E5A46" w:rsidRPr="00D13A3E" w:rsidRDefault="001940D8" w:rsidP="00015886">
    <w:pPr>
      <w:ind w:right="360"/>
      <w:jc w:val="center"/>
      <w:rPr>
        <w:b/>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A46" w:rsidRPr="00E51BDA" w:rsidRDefault="001940D8" w:rsidP="00117F5C">
    <w:pPr>
      <w:ind w:right="360"/>
      <w:jc w:val="center"/>
      <w:rPr>
        <w:rFonts w:asciiTheme="minorHAnsi" w:hAnsiTheme="minorHAnsi"/>
        <w:sz w:val="20"/>
      </w:rPr>
    </w:pPr>
    <w:r w:rsidRPr="00E51BDA">
      <w:rPr>
        <w:rFonts w:asciiTheme="minorHAnsi" w:hAnsiTheme="minorHAnsi"/>
        <w:sz w:val="24"/>
      </w:rPr>
      <w:t xml:space="preserve">July 2017 PBAC meeting – </w:t>
    </w:r>
    <w:r w:rsidRPr="00E51BDA">
      <w:rPr>
        <w:rFonts w:asciiTheme="minorHAnsi" w:hAnsiTheme="minorHAnsi"/>
        <w:sz w:val="24"/>
      </w:rPr>
      <w:t>Commercial-In-Confidence</w:t>
    </w:r>
  </w:p>
  <w:p w:rsidR="004E5A46" w:rsidRDefault="001940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0D8" w:rsidRDefault="001940D8" w:rsidP="001940D8">
      <w:r>
        <w:separator/>
      </w:r>
    </w:p>
  </w:footnote>
  <w:footnote w:type="continuationSeparator" w:id="0">
    <w:p w:rsidR="001940D8" w:rsidRDefault="001940D8" w:rsidP="001940D8">
      <w:r>
        <w:continuationSeparator/>
      </w:r>
    </w:p>
  </w:footnote>
  <w:footnote w:id="1">
    <w:p w:rsidR="001940D8" w:rsidRPr="00BC1380" w:rsidRDefault="001940D8" w:rsidP="001940D8">
      <w:pPr>
        <w:pStyle w:val="EndNoteBibliography"/>
        <w:ind w:left="567" w:hanging="567"/>
        <w:rPr>
          <w:sz w:val="20"/>
        </w:rPr>
      </w:pPr>
      <w:r w:rsidRPr="00BC1380">
        <w:rPr>
          <w:rStyle w:val="FootnoteReference"/>
          <w:sz w:val="20"/>
        </w:rPr>
        <w:footnoteRef/>
      </w:r>
      <w:r w:rsidRPr="00BC1380">
        <w:rPr>
          <w:sz w:val="20"/>
        </w:rPr>
        <w:t xml:space="preserve"> European Association for the Study of the Liver. EASL Recommendations on Treatment of Hepatitis C 2016. Journal of hepatology 2017;66(1):153.</w:t>
      </w:r>
    </w:p>
  </w:footnote>
  <w:footnote w:id="2">
    <w:p w:rsidR="001940D8" w:rsidRDefault="001940D8" w:rsidP="001940D8">
      <w:pPr>
        <w:pStyle w:val="FootnoteText"/>
      </w:pPr>
      <w:r>
        <w:rPr>
          <w:rStyle w:val="FootnoteReference"/>
        </w:rPr>
        <w:footnoteRef/>
      </w:r>
      <w:r>
        <w:t xml:space="preserve"> </w:t>
      </w:r>
      <w:r w:rsidRPr="00D35E5F">
        <w:t>Hepatitis C Virus Infection Consensus Statement Working Group. Australian recommendations fo</w:t>
      </w:r>
      <w:r>
        <w:t>r</w:t>
      </w:r>
      <w:r w:rsidRPr="00D35E5F">
        <w:t xml:space="preserve"> the management of hepatitis C virus infection: a consensus statement.</w:t>
      </w:r>
      <w:r>
        <w:t xml:space="preserve"> </w:t>
      </w:r>
      <w:r w:rsidRPr="00D35E5F">
        <w:t xml:space="preserve">January 2017: Available from: </w:t>
      </w:r>
      <w:hyperlink r:id="rId1" w:history="1">
        <w:r w:rsidRPr="00D35E5F">
          <w:rPr>
            <w:rStyle w:val="Hyperlink"/>
          </w:rPr>
          <w:t>http://www.ashm.org.au/HCV/resources</w:t>
        </w:r>
      </w:hyperlink>
      <w:r w:rsidRPr="00D35E5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A46" w:rsidRDefault="001940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A46" w:rsidRDefault="001940D8" w:rsidP="0063662D">
    <w:pPr>
      <w:ind w:right="360"/>
      <w:jc w:val="center"/>
      <w:rPr>
        <w:rFonts w:asciiTheme="minorHAnsi" w:hAnsiTheme="minorHAnsi"/>
        <w:i/>
        <w:sz w:val="24"/>
      </w:rPr>
    </w:pPr>
    <w:r>
      <w:rPr>
        <w:rFonts w:asciiTheme="minorHAnsi" w:hAnsiTheme="minorHAnsi"/>
        <w:i/>
        <w:sz w:val="24"/>
      </w:rPr>
      <w:t>Public Summary Document</w:t>
    </w:r>
    <w:r w:rsidRPr="0063662D">
      <w:rPr>
        <w:rFonts w:asciiTheme="minorHAnsi" w:hAnsiTheme="minorHAnsi"/>
        <w:i/>
        <w:sz w:val="24"/>
      </w:rPr>
      <w:t xml:space="preserve"> - July 2017 PBAC meeting </w:t>
    </w:r>
  </w:p>
  <w:p w:rsidR="004E5A46" w:rsidRPr="0063662D" w:rsidRDefault="001940D8" w:rsidP="0063662D">
    <w:pPr>
      <w:ind w:right="360"/>
      <w:jc w:val="center"/>
      <w:rPr>
        <w:rFonts w:asciiTheme="minorHAnsi" w:hAnsiTheme="minorHAnsi"/>
        <w:i/>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A46" w:rsidRDefault="001940D8" w:rsidP="00A070CD">
    <w:pPr>
      <w:tabs>
        <w:tab w:val="left" w:pos="142"/>
        <w:tab w:val="right" w:pos="9026"/>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D0006"/>
    <w:multiLevelType w:val="hybridMultilevel"/>
    <w:tmpl w:val="3B906850"/>
    <w:lvl w:ilvl="0" w:tplc="0C090001">
      <w:start w:val="1"/>
      <w:numFmt w:val="bullet"/>
      <w:lvlText w:val=""/>
      <w:lvlJc w:val="left"/>
      <w:pPr>
        <w:ind w:left="2550" w:hanging="360"/>
      </w:pPr>
      <w:rPr>
        <w:rFonts w:ascii="Symbol" w:hAnsi="Symbol" w:hint="default"/>
      </w:rPr>
    </w:lvl>
    <w:lvl w:ilvl="1" w:tplc="0C090003" w:tentative="1">
      <w:start w:val="1"/>
      <w:numFmt w:val="bullet"/>
      <w:lvlText w:val="o"/>
      <w:lvlJc w:val="left"/>
      <w:pPr>
        <w:ind w:left="3270" w:hanging="360"/>
      </w:pPr>
      <w:rPr>
        <w:rFonts w:ascii="Courier New" w:hAnsi="Courier New" w:cs="Courier New" w:hint="default"/>
      </w:rPr>
    </w:lvl>
    <w:lvl w:ilvl="2" w:tplc="0C090005" w:tentative="1">
      <w:start w:val="1"/>
      <w:numFmt w:val="bullet"/>
      <w:lvlText w:val=""/>
      <w:lvlJc w:val="left"/>
      <w:pPr>
        <w:ind w:left="3990" w:hanging="360"/>
      </w:pPr>
      <w:rPr>
        <w:rFonts w:ascii="Wingdings" w:hAnsi="Wingdings" w:hint="default"/>
      </w:rPr>
    </w:lvl>
    <w:lvl w:ilvl="3" w:tplc="0C090001" w:tentative="1">
      <w:start w:val="1"/>
      <w:numFmt w:val="bullet"/>
      <w:lvlText w:val=""/>
      <w:lvlJc w:val="left"/>
      <w:pPr>
        <w:ind w:left="4710" w:hanging="360"/>
      </w:pPr>
      <w:rPr>
        <w:rFonts w:ascii="Symbol" w:hAnsi="Symbol" w:hint="default"/>
      </w:rPr>
    </w:lvl>
    <w:lvl w:ilvl="4" w:tplc="0C090003" w:tentative="1">
      <w:start w:val="1"/>
      <w:numFmt w:val="bullet"/>
      <w:lvlText w:val="o"/>
      <w:lvlJc w:val="left"/>
      <w:pPr>
        <w:ind w:left="5430" w:hanging="360"/>
      </w:pPr>
      <w:rPr>
        <w:rFonts w:ascii="Courier New" w:hAnsi="Courier New" w:cs="Courier New" w:hint="default"/>
      </w:rPr>
    </w:lvl>
    <w:lvl w:ilvl="5" w:tplc="0C090005" w:tentative="1">
      <w:start w:val="1"/>
      <w:numFmt w:val="bullet"/>
      <w:lvlText w:val=""/>
      <w:lvlJc w:val="left"/>
      <w:pPr>
        <w:ind w:left="6150" w:hanging="360"/>
      </w:pPr>
      <w:rPr>
        <w:rFonts w:ascii="Wingdings" w:hAnsi="Wingdings" w:hint="default"/>
      </w:rPr>
    </w:lvl>
    <w:lvl w:ilvl="6" w:tplc="0C090001" w:tentative="1">
      <w:start w:val="1"/>
      <w:numFmt w:val="bullet"/>
      <w:lvlText w:val=""/>
      <w:lvlJc w:val="left"/>
      <w:pPr>
        <w:ind w:left="6870" w:hanging="360"/>
      </w:pPr>
      <w:rPr>
        <w:rFonts w:ascii="Symbol" w:hAnsi="Symbol" w:hint="default"/>
      </w:rPr>
    </w:lvl>
    <w:lvl w:ilvl="7" w:tplc="0C090003" w:tentative="1">
      <w:start w:val="1"/>
      <w:numFmt w:val="bullet"/>
      <w:lvlText w:val="o"/>
      <w:lvlJc w:val="left"/>
      <w:pPr>
        <w:ind w:left="7590" w:hanging="360"/>
      </w:pPr>
      <w:rPr>
        <w:rFonts w:ascii="Courier New" w:hAnsi="Courier New" w:cs="Courier New" w:hint="default"/>
      </w:rPr>
    </w:lvl>
    <w:lvl w:ilvl="8" w:tplc="0C090005" w:tentative="1">
      <w:start w:val="1"/>
      <w:numFmt w:val="bullet"/>
      <w:lvlText w:val=""/>
      <w:lvlJc w:val="left"/>
      <w:pPr>
        <w:ind w:left="8310" w:hanging="360"/>
      </w:pPr>
      <w:rPr>
        <w:rFonts w:ascii="Wingdings" w:hAnsi="Wingdings" w:hint="default"/>
      </w:rPr>
    </w:lvl>
  </w:abstractNum>
  <w:abstractNum w:abstractNumId="1">
    <w:nsid w:val="1E21166A"/>
    <w:multiLevelType w:val="hybridMultilevel"/>
    <w:tmpl w:val="4F18D0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EAF4981"/>
    <w:multiLevelType w:val="hybridMultilevel"/>
    <w:tmpl w:val="448061E0"/>
    <w:lvl w:ilvl="0" w:tplc="1D360B7A">
      <w:start w:val="1"/>
      <w:numFmt w:val="decimal"/>
      <w:lvlText w:val="7.%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84D033C"/>
    <w:multiLevelType w:val="multilevel"/>
    <w:tmpl w:val="180627C4"/>
    <w:lvl w:ilvl="0">
      <w:start w:val="1"/>
      <w:numFmt w:val="decimal"/>
      <w:pStyle w:val="PBACHeading1"/>
      <w:lvlText w:val="%1"/>
      <w:lvlJc w:val="left"/>
      <w:pPr>
        <w:ind w:left="720" w:hanging="720"/>
      </w:pPr>
      <w:rPr>
        <w:rFonts w:hint="default"/>
        <w:b/>
        <w:sz w:val="28"/>
        <w:szCs w:val="28"/>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0D8"/>
    <w:rsid w:val="00003743"/>
    <w:rsid w:val="00067456"/>
    <w:rsid w:val="001940D8"/>
    <w:rsid w:val="001B3443"/>
    <w:rsid w:val="002F3AE3"/>
    <w:rsid w:val="0030786C"/>
    <w:rsid w:val="003D17F9"/>
    <w:rsid w:val="004867E2"/>
    <w:rsid w:val="008264EB"/>
    <w:rsid w:val="00A4512D"/>
    <w:rsid w:val="00A705AF"/>
    <w:rsid w:val="00B42851"/>
    <w:rsid w:val="00CB5B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semiHidden="1" w:uiPriority="7" w:unhideWhenUsed="1" w:qFormat="1"/>
    <w:lsdException w:name="heading 8" w:semiHidden="1" w:uiPriority="7" w:unhideWhenUsed="1" w:qFormat="1"/>
    <w:lsdException w:name="heading 9" w:semiHidden="1" w:uiPriority="7" w:unhideWhenUsed="1"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 w:qFormat="1"/>
    <w:lsdException w:name="Title" w:uiPriority="7" w:qFormat="1"/>
    <w:lsdException w:name="Body Text" w:qFormat="1"/>
    <w:lsdException w:name="Body Text Indent" w:uiPriority="9"/>
    <w:lsdException w:name="Subtitle" w:uiPriority="11" w:qFormat="1"/>
    <w:lsdException w:name="Body Text 2" w:uiPriority="9"/>
    <w:lsdException w:name="Body Text 3" w:uiPriority="9"/>
    <w:lsdException w:name="Hyperlink" w:uiPriority="99"/>
    <w:lsdException w:name="FollowedHyperlink" w:uiPriority="99"/>
    <w:lsdException w:name="Strong" w:qFormat="1"/>
    <w:lsdException w:name="Emphasis" w:uiPriority="20" w:qFormat="1"/>
    <w:lsdException w:name="Normal (Web)" w:uiPriority="99"/>
    <w:lsdException w:name="annotation subject" w:uiPriority="9"/>
    <w:lsdException w:name="No List" w:uiPriority="99"/>
    <w:lsdException w:name="Balloon Text" w:uiPriority="9"/>
    <w:lsdException w:name="Table Grid" w:uiPriority="59"/>
    <w:lsdException w:name="Placeholder Text" w:semiHidden="1" w:uiPriority="99"/>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0D8"/>
    <w:pPr>
      <w:widowControl w:val="0"/>
      <w:jc w:val="both"/>
    </w:pPr>
    <w:rPr>
      <w:rFonts w:ascii="Arial" w:hAnsi="Arial" w:cs="Arial"/>
      <w:snapToGrid w:val="0"/>
      <w:sz w:val="22"/>
      <w:lang w:eastAsia="en-US"/>
    </w:rPr>
  </w:style>
  <w:style w:type="paragraph" w:styleId="Heading1">
    <w:name w:val="heading 1"/>
    <w:basedOn w:val="Normal"/>
    <w:next w:val="Normal"/>
    <w:link w:val="Heading1Char"/>
    <w:uiPriority w:val="1"/>
    <w:qFormat/>
    <w:rsid w:val="00A705AF"/>
    <w:pPr>
      <w:keepNext/>
      <w:spacing w:before="240" w:after="60"/>
      <w:outlineLvl w:val="0"/>
    </w:pPr>
    <w:rPr>
      <w:b/>
      <w:bCs/>
      <w:kern w:val="28"/>
      <w:sz w:val="28"/>
      <w:szCs w:val="32"/>
    </w:rPr>
  </w:style>
  <w:style w:type="paragraph" w:styleId="Heading2">
    <w:name w:val="heading 2"/>
    <w:basedOn w:val="Normal"/>
    <w:next w:val="Normal"/>
    <w:link w:val="Heading2Char"/>
    <w:uiPriority w:val="1"/>
    <w:qFormat/>
    <w:rsid w:val="00A705AF"/>
    <w:pPr>
      <w:keepNext/>
      <w:spacing w:before="240" w:after="60"/>
      <w:outlineLvl w:val="1"/>
    </w:pPr>
    <w:rPr>
      <w:b/>
      <w:bCs/>
      <w:i/>
      <w:iCs/>
      <w:szCs w:val="28"/>
    </w:rPr>
  </w:style>
  <w:style w:type="paragraph" w:styleId="Heading3">
    <w:name w:val="heading 3"/>
    <w:basedOn w:val="Normal"/>
    <w:next w:val="Normal"/>
    <w:link w:val="Heading3Char"/>
    <w:uiPriority w:val="1"/>
    <w:qFormat/>
    <w:rsid w:val="00A705AF"/>
    <w:pPr>
      <w:keepNext/>
      <w:spacing w:before="240" w:after="60"/>
      <w:outlineLvl w:val="2"/>
    </w:pPr>
    <w:rPr>
      <w:bCs/>
      <w:szCs w:val="26"/>
    </w:rPr>
  </w:style>
  <w:style w:type="paragraph" w:styleId="Heading4">
    <w:name w:val="heading 4"/>
    <w:aliases w:val="Heading 1 - Body"/>
    <w:basedOn w:val="Normal"/>
    <w:next w:val="Normal"/>
    <w:link w:val="Heading4Char"/>
    <w:uiPriority w:val="5"/>
    <w:qFormat/>
    <w:rsid w:val="00A705AF"/>
    <w:pPr>
      <w:keepNext/>
      <w:spacing w:before="240" w:after="60"/>
      <w:outlineLvl w:val="3"/>
    </w:pPr>
    <w:rPr>
      <w:bCs/>
      <w:sz w:val="28"/>
      <w:szCs w:val="28"/>
    </w:rPr>
  </w:style>
  <w:style w:type="paragraph" w:styleId="Heading5">
    <w:name w:val="heading 5"/>
    <w:aliases w:val="Heading 2 - Body"/>
    <w:basedOn w:val="Normal"/>
    <w:next w:val="Normal"/>
    <w:link w:val="Heading5Char"/>
    <w:uiPriority w:val="7"/>
    <w:qFormat/>
    <w:rsid w:val="00A705AF"/>
    <w:pPr>
      <w:keepNext/>
      <w:spacing w:before="240" w:after="60"/>
      <w:outlineLvl w:val="4"/>
    </w:pPr>
    <w:rPr>
      <w:b/>
      <w:bCs/>
      <w:iCs/>
      <w:szCs w:val="26"/>
    </w:rPr>
  </w:style>
  <w:style w:type="paragraph" w:styleId="Heading6">
    <w:name w:val="heading 6"/>
    <w:aliases w:val="Heading 3 - Body"/>
    <w:basedOn w:val="Normal"/>
    <w:next w:val="Normal"/>
    <w:link w:val="Heading6Char"/>
    <w:uiPriority w:val="7"/>
    <w:qFormat/>
    <w:rsid w:val="00A705AF"/>
    <w:pPr>
      <w:keepNext/>
      <w:spacing w:before="240" w:after="60"/>
      <w:outlineLvl w:val="5"/>
    </w:pPr>
    <w:rPr>
      <w:b/>
      <w:bCs/>
      <w:i/>
      <w:szCs w:val="22"/>
    </w:rPr>
  </w:style>
  <w:style w:type="paragraph" w:styleId="Heading7">
    <w:name w:val="heading 7"/>
    <w:basedOn w:val="Normal"/>
    <w:next w:val="Normal"/>
    <w:link w:val="Heading7Char"/>
    <w:uiPriority w:val="7"/>
    <w:qFormat/>
    <w:rsid w:val="001940D8"/>
    <w:pPr>
      <w:keepNext/>
      <w:jc w:val="center"/>
      <w:outlineLvl w:val="6"/>
    </w:pPr>
    <w:rPr>
      <w:b/>
      <w:sz w:val="20"/>
    </w:rPr>
  </w:style>
  <w:style w:type="paragraph" w:styleId="Heading8">
    <w:name w:val="heading 8"/>
    <w:basedOn w:val="Normal"/>
    <w:next w:val="Normal"/>
    <w:link w:val="Heading8Char"/>
    <w:uiPriority w:val="7"/>
    <w:qFormat/>
    <w:rsid w:val="001940D8"/>
    <w:pPr>
      <w:keepNext/>
      <w:jc w:val="right"/>
      <w:outlineLvl w:val="7"/>
    </w:pPr>
    <w:rPr>
      <w:b/>
    </w:rPr>
  </w:style>
  <w:style w:type="paragraph" w:styleId="Heading9">
    <w:name w:val="heading 9"/>
    <w:aliases w:val="Section heading - Body"/>
    <w:basedOn w:val="Normal"/>
    <w:next w:val="Normal"/>
    <w:link w:val="Heading9Char"/>
    <w:uiPriority w:val="7"/>
    <w:qFormat/>
    <w:rsid w:val="001940D8"/>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aliases w:val="PBAC Paragraph"/>
    <w:basedOn w:val="Normal"/>
    <w:next w:val="Normal"/>
    <w:link w:val="SubtitleChar"/>
    <w:uiPriority w:val="11"/>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aliases w:val="PBAC Paragraph Char"/>
    <w:basedOn w:val="DefaultParagraphFont"/>
    <w:link w:val="Subtitle"/>
    <w:uiPriority w:val="9"/>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uiPriority w:val="7"/>
    <w:qFormat/>
    <w:rsid w:val="00A705A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7"/>
    <w:rsid w:val="00A705AF"/>
    <w:rPr>
      <w:rFonts w:ascii="Arial" w:eastAsiaTheme="majorEastAsia" w:hAnsi="Arial" w:cstheme="majorBidi"/>
      <w:b/>
      <w:kern w:val="28"/>
      <w:sz w:val="32"/>
      <w:szCs w:val="52"/>
      <w:lang w:eastAsia="en-US"/>
    </w:rPr>
  </w:style>
  <w:style w:type="paragraph" w:styleId="NoSpacing">
    <w:name w:val="No Spacing"/>
    <w:uiPriority w:val="7"/>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Bullet point,List Paragraph1,List Paragraph11,Recommendation"/>
    <w:basedOn w:val="Normal"/>
    <w:link w:val="ListParagraphChar"/>
    <w:uiPriority w:val="72"/>
    <w:qFormat/>
    <w:rsid w:val="00A4512D"/>
    <w:pPr>
      <w:ind w:left="720"/>
      <w:contextualSpacing/>
    </w:pPr>
  </w:style>
  <w:style w:type="character" w:customStyle="1" w:styleId="Heading7Char">
    <w:name w:val="Heading 7 Char"/>
    <w:basedOn w:val="DefaultParagraphFont"/>
    <w:link w:val="Heading7"/>
    <w:uiPriority w:val="7"/>
    <w:rsid w:val="001940D8"/>
    <w:rPr>
      <w:rFonts w:ascii="Arial" w:hAnsi="Arial" w:cs="Arial"/>
      <w:b/>
      <w:snapToGrid w:val="0"/>
      <w:lang w:eastAsia="en-US"/>
    </w:rPr>
  </w:style>
  <w:style w:type="character" w:customStyle="1" w:styleId="Heading8Char">
    <w:name w:val="Heading 8 Char"/>
    <w:basedOn w:val="DefaultParagraphFont"/>
    <w:link w:val="Heading8"/>
    <w:uiPriority w:val="7"/>
    <w:rsid w:val="001940D8"/>
    <w:rPr>
      <w:rFonts w:ascii="Arial" w:hAnsi="Arial" w:cs="Arial"/>
      <w:b/>
      <w:snapToGrid w:val="0"/>
      <w:sz w:val="22"/>
      <w:lang w:eastAsia="en-US"/>
    </w:rPr>
  </w:style>
  <w:style w:type="character" w:customStyle="1" w:styleId="Heading9Char">
    <w:name w:val="Heading 9 Char"/>
    <w:aliases w:val="Section heading - Body Char"/>
    <w:basedOn w:val="DefaultParagraphFont"/>
    <w:link w:val="Heading9"/>
    <w:uiPriority w:val="7"/>
    <w:rsid w:val="001940D8"/>
    <w:rPr>
      <w:rFonts w:ascii="Arial" w:hAnsi="Arial" w:cs="Arial"/>
      <w:b/>
      <w:snapToGrid w:val="0"/>
      <w:color w:val="000000"/>
      <w:lang w:eastAsia="en-US"/>
    </w:rPr>
  </w:style>
  <w:style w:type="paragraph" w:customStyle="1" w:styleId="TableFooter">
    <w:name w:val="Table Footer"/>
    <w:basedOn w:val="Normal"/>
    <w:link w:val="TableFooterChar"/>
    <w:uiPriority w:val="4"/>
    <w:qFormat/>
    <w:rsid w:val="001940D8"/>
    <w:rPr>
      <w:rFonts w:ascii="Arial Narrow" w:hAnsi="Arial Narrow"/>
      <w:sz w:val="18"/>
    </w:rPr>
  </w:style>
  <w:style w:type="paragraph" w:customStyle="1" w:styleId="TableHeader">
    <w:name w:val="Table Header"/>
    <w:basedOn w:val="Normal"/>
    <w:next w:val="Normal"/>
    <w:uiPriority w:val="3"/>
    <w:qFormat/>
    <w:rsid w:val="001940D8"/>
    <w:rPr>
      <w:rFonts w:ascii="Arial Narrow" w:hAnsi="Arial Narrow"/>
      <w:b/>
      <w:sz w:val="20"/>
    </w:rPr>
  </w:style>
  <w:style w:type="character" w:customStyle="1" w:styleId="Heading2Char">
    <w:name w:val="Heading 2 Char"/>
    <w:link w:val="Heading2"/>
    <w:uiPriority w:val="1"/>
    <w:rsid w:val="001940D8"/>
    <w:rPr>
      <w:rFonts w:ascii="Arial" w:hAnsi="Arial" w:cs="Arial"/>
      <w:b/>
      <w:bCs/>
      <w:i/>
      <w:iCs/>
      <w:sz w:val="24"/>
      <w:szCs w:val="28"/>
      <w:lang w:eastAsia="en-US"/>
    </w:r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TableHeader"/>
    <w:link w:val="CaptionChar"/>
    <w:unhideWhenUsed/>
    <w:qFormat/>
    <w:rsid w:val="001940D8"/>
    <w:rPr>
      <w:rFonts w:ascii="Arial Narrow" w:hAnsi="Arial Narrow"/>
      <w:b/>
      <w:bCs/>
      <w:sz w:val="20"/>
      <w:szCs w:val="18"/>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rsid w:val="001940D8"/>
    <w:rPr>
      <w:rFonts w:ascii="Arial Narrow" w:hAnsi="Arial Narrow" w:cs="Arial"/>
      <w:b/>
      <w:bCs/>
      <w:snapToGrid w:val="0"/>
      <w:szCs w:val="18"/>
      <w:lang w:eastAsia="en-US"/>
    </w:rPr>
  </w:style>
  <w:style w:type="paragraph" w:styleId="BodyText">
    <w:name w:val="Body Text"/>
    <w:basedOn w:val="Normal"/>
    <w:link w:val="BodyTextChar"/>
    <w:qFormat/>
    <w:rsid w:val="001940D8"/>
    <w:pPr>
      <w:jc w:val="left"/>
    </w:pPr>
  </w:style>
  <w:style w:type="character" w:customStyle="1" w:styleId="BodyTextChar">
    <w:name w:val="Body Text Char"/>
    <w:basedOn w:val="DefaultParagraphFont"/>
    <w:link w:val="BodyText"/>
    <w:rsid w:val="001940D8"/>
    <w:rPr>
      <w:rFonts w:ascii="Arial" w:hAnsi="Arial" w:cs="Arial"/>
      <w:snapToGrid w:val="0"/>
      <w:sz w:val="22"/>
      <w:lang w:eastAsia="en-US"/>
    </w:rPr>
  </w:style>
  <w:style w:type="paragraph" w:customStyle="1" w:styleId="RegularText">
    <w:name w:val="Regular Text"/>
    <w:basedOn w:val="BodyText"/>
    <w:link w:val="RegularTextChar"/>
    <w:uiPriority w:val="9"/>
    <w:rsid w:val="001940D8"/>
  </w:style>
  <w:style w:type="character" w:customStyle="1" w:styleId="RegularTextChar">
    <w:name w:val="Regular Text Char"/>
    <w:basedOn w:val="BodyTextChar"/>
    <w:link w:val="RegularText"/>
    <w:uiPriority w:val="9"/>
    <w:rsid w:val="001940D8"/>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940D8"/>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940D8"/>
    <w:rPr>
      <w:rFonts w:ascii="Arial" w:hAnsi="Arial" w:cs="Arial"/>
      <w:snapToGrid w:val="0"/>
      <w:sz w:val="22"/>
      <w:lang w:eastAsia="en-US"/>
    </w:rPr>
  </w:style>
  <w:style w:type="paragraph" w:styleId="Footer">
    <w:name w:val="footer"/>
    <w:basedOn w:val="Normal"/>
    <w:link w:val="FooterChar"/>
    <w:uiPriority w:val="99"/>
    <w:rsid w:val="001940D8"/>
    <w:pPr>
      <w:tabs>
        <w:tab w:val="center" w:pos="4513"/>
        <w:tab w:val="right" w:pos="9026"/>
      </w:tabs>
    </w:pPr>
  </w:style>
  <w:style w:type="character" w:customStyle="1" w:styleId="FooterChar">
    <w:name w:val="Footer Char"/>
    <w:basedOn w:val="DefaultParagraphFont"/>
    <w:link w:val="Footer"/>
    <w:uiPriority w:val="99"/>
    <w:rsid w:val="001940D8"/>
    <w:rPr>
      <w:rFonts w:ascii="Arial" w:hAnsi="Arial" w:cs="Arial"/>
      <w:snapToGrid w:val="0"/>
      <w:sz w:val="22"/>
      <w:lang w:eastAsia="en-US"/>
    </w:rPr>
  </w:style>
  <w:style w:type="table" w:styleId="TableGrid">
    <w:name w:val="Table Grid"/>
    <w:aliases w:val="Summary box,Table Gridbeth,CMA Table Template"/>
    <w:basedOn w:val="TableNormal"/>
    <w:uiPriority w:val="59"/>
    <w:rsid w:val="00194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
    <w:qFormat/>
    <w:rsid w:val="001940D8"/>
    <w:rPr>
      <w:rFonts w:ascii="Arial Narrow" w:hAnsi="Arial Narrow"/>
      <w:b/>
      <w:sz w:val="20"/>
      <w:szCs w:val="16"/>
    </w:rPr>
  </w:style>
  <w:style w:type="paragraph" w:customStyle="1" w:styleId="Tabletext">
    <w:name w:val="Table text"/>
    <w:basedOn w:val="Normal"/>
    <w:link w:val="TabletextChar"/>
    <w:uiPriority w:val="2"/>
    <w:qFormat/>
    <w:rsid w:val="001940D8"/>
    <w:pPr>
      <w:widowControl/>
      <w:jc w:val="left"/>
    </w:pPr>
    <w:rPr>
      <w:rFonts w:ascii="Arial Narrow" w:hAnsi="Arial Narrow" w:cs="Times New Roman"/>
      <w:snapToGrid/>
      <w:sz w:val="20"/>
    </w:rPr>
  </w:style>
  <w:style w:type="paragraph" w:customStyle="1" w:styleId="TableHeading">
    <w:name w:val="TableHeading"/>
    <w:basedOn w:val="Normal"/>
    <w:link w:val="TableHeadingChar"/>
    <w:qFormat/>
    <w:rsid w:val="001940D8"/>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uiPriority w:val="2"/>
    <w:rsid w:val="001940D8"/>
    <w:rPr>
      <w:rFonts w:ascii="Arial Narrow" w:hAnsi="Arial Narrow"/>
      <w:lang w:eastAsia="en-US"/>
    </w:rPr>
  </w:style>
  <w:style w:type="paragraph" w:customStyle="1" w:styleId="Corpsdetextemarge">
    <w:name w:val="Corps de texte marge"/>
    <w:basedOn w:val="BodyText"/>
    <w:uiPriority w:val="99"/>
    <w:rsid w:val="001940D8"/>
    <w:pPr>
      <w:widowControl/>
      <w:jc w:val="both"/>
    </w:pPr>
    <w:rPr>
      <w:rFonts w:ascii="Times" w:hAnsi="Times" w:cs="Times New Roman"/>
      <w:snapToGrid/>
      <w:sz w:val="24"/>
      <w:lang w:val="en-US"/>
    </w:rPr>
  </w:style>
  <w:style w:type="paragraph" w:styleId="NormalWeb">
    <w:name w:val="Normal (Web)"/>
    <w:basedOn w:val="Normal"/>
    <w:uiPriority w:val="99"/>
    <w:rsid w:val="001940D8"/>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1940D8"/>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1940D8"/>
    <w:pPr>
      <w:spacing w:before="240" w:after="120"/>
      <w:jc w:val="left"/>
    </w:pPr>
    <w:rPr>
      <w:bCs/>
      <w:sz w:val="20"/>
    </w:rPr>
  </w:style>
  <w:style w:type="character" w:styleId="Hyperlink">
    <w:name w:val="Hyperlink"/>
    <w:basedOn w:val="DefaultParagraphFont"/>
    <w:uiPriority w:val="99"/>
    <w:unhideWhenUsed/>
    <w:rsid w:val="001940D8"/>
    <w:rPr>
      <w:color w:val="0000FF" w:themeColor="hyperlink"/>
      <w:u w:val="single"/>
    </w:rPr>
  </w:style>
  <w:style w:type="paragraph" w:styleId="TOCHeading">
    <w:name w:val="TOC Heading"/>
    <w:basedOn w:val="Heading1"/>
    <w:next w:val="Normal"/>
    <w:uiPriority w:val="39"/>
    <w:unhideWhenUsed/>
    <w:rsid w:val="001940D8"/>
    <w:pPr>
      <w:keepLines/>
      <w:spacing w:before="480" w:after="0" w:line="276" w:lineRule="auto"/>
      <w:outlineLvl w:val="9"/>
    </w:pPr>
    <w:rPr>
      <w:rFonts w:asciiTheme="majorHAnsi" w:eastAsiaTheme="majorEastAsia" w:hAnsiTheme="majorHAnsi" w:cstheme="majorBidi"/>
      <w:caps/>
      <w:color w:val="365F91" w:themeColor="accent1" w:themeShade="BF"/>
      <w:kern w:val="0"/>
      <w:szCs w:val="28"/>
      <w:lang w:val="en-US" w:eastAsia="ja-JP"/>
    </w:rPr>
  </w:style>
  <w:style w:type="paragraph" w:styleId="TOC3">
    <w:name w:val="toc 3"/>
    <w:basedOn w:val="Normal"/>
    <w:next w:val="Normal"/>
    <w:autoRedefine/>
    <w:uiPriority w:val="39"/>
    <w:unhideWhenUsed/>
    <w:rsid w:val="001940D8"/>
    <w:pPr>
      <w:ind w:left="440"/>
      <w:jc w:val="left"/>
    </w:pPr>
    <w:rPr>
      <w:rFonts w:asciiTheme="minorHAnsi" w:hAnsiTheme="minorHAnsi"/>
      <w:sz w:val="20"/>
    </w:rPr>
  </w:style>
  <w:style w:type="paragraph" w:styleId="BalloonText">
    <w:name w:val="Balloon Text"/>
    <w:basedOn w:val="Normal"/>
    <w:link w:val="BalloonTextChar"/>
    <w:uiPriority w:val="9"/>
    <w:rsid w:val="001940D8"/>
    <w:rPr>
      <w:rFonts w:ascii="Tahoma" w:hAnsi="Tahoma" w:cs="Tahoma"/>
      <w:sz w:val="16"/>
      <w:szCs w:val="16"/>
    </w:rPr>
  </w:style>
  <w:style w:type="character" w:customStyle="1" w:styleId="BalloonTextChar">
    <w:name w:val="Balloon Text Char"/>
    <w:basedOn w:val="DefaultParagraphFont"/>
    <w:link w:val="BalloonText"/>
    <w:uiPriority w:val="9"/>
    <w:rsid w:val="001940D8"/>
    <w:rPr>
      <w:rFonts w:ascii="Tahoma" w:hAnsi="Tahoma" w:cs="Tahoma"/>
      <w:snapToGrid w:val="0"/>
      <w:sz w:val="16"/>
      <w:szCs w:val="16"/>
      <w:lang w:eastAsia="en-US"/>
    </w:rPr>
  </w:style>
  <w:style w:type="paragraph" w:styleId="BodyText3">
    <w:name w:val="Body Text 3"/>
    <w:basedOn w:val="Normal"/>
    <w:link w:val="BodyText3Char"/>
    <w:uiPriority w:val="9"/>
    <w:rsid w:val="001940D8"/>
    <w:pPr>
      <w:spacing w:after="120"/>
    </w:pPr>
    <w:rPr>
      <w:sz w:val="16"/>
      <w:szCs w:val="16"/>
    </w:rPr>
  </w:style>
  <w:style w:type="character" w:customStyle="1" w:styleId="BodyText3Char">
    <w:name w:val="Body Text 3 Char"/>
    <w:basedOn w:val="DefaultParagraphFont"/>
    <w:link w:val="BodyText3"/>
    <w:uiPriority w:val="9"/>
    <w:rsid w:val="001940D8"/>
    <w:rPr>
      <w:rFonts w:ascii="Arial" w:hAnsi="Arial" w:cs="Arial"/>
      <w:snapToGrid w:val="0"/>
      <w:sz w:val="16"/>
      <w:szCs w:val="16"/>
      <w:lang w:eastAsia="en-US"/>
    </w:rPr>
  </w:style>
  <w:style w:type="paragraph" w:styleId="TOC4">
    <w:name w:val="toc 4"/>
    <w:basedOn w:val="Normal"/>
    <w:next w:val="Normal"/>
    <w:autoRedefine/>
    <w:uiPriority w:val="9"/>
    <w:rsid w:val="001940D8"/>
    <w:pPr>
      <w:ind w:left="660"/>
      <w:jc w:val="left"/>
    </w:pPr>
    <w:rPr>
      <w:rFonts w:asciiTheme="minorHAnsi" w:hAnsiTheme="minorHAnsi"/>
      <w:sz w:val="20"/>
    </w:rPr>
  </w:style>
  <w:style w:type="paragraph" w:styleId="TOC5">
    <w:name w:val="toc 5"/>
    <w:basedOn w:val="Normal"/>
    <w:next w:val="Normal"/>
    <w:autoRedefine/>
    <w:uiPriority w:val="9"/>
    <w:rsid w:val="001940D8"/>
    <w:pPr>
      <w:ind w:left="880"/>
      <w:jc w:val="left"/>
    </w:pPr>
    <w:rPr>
      <w:rFonts w:asciiTheme="minorHAnsi" w:hAnsiTheme="minorHAnsi"/>
      <w:sz w:val="20"/>
    </w:rPr>
  </w:style>
  <w:style w:type="paragraph" w:styleId="TOC6">
    <w:name w:val="toc 6"/>
    <w:basedOn w:val="Normal"/>
    <w:next w:val="Normal"/>
    <w:autoRedefine/>
    <w:uiPriority w:val="9"/>
    <w:rsid w:val="001940D8"/>
    <w:pPr>
      <w:ind w:left="1100"/>
      <w:jc w:val="left"/>
    </w:pPr>
    <w:rPr>
      <w:rFonts w:asciiTheme="minorHAnsi" w:hAnsiTheme="minorHAnsi"/>
      <w:sz w:val="20"/>
    </w:rPr>
  </w:style>
  <w:style w:type="paragraph" w:styleId="TOC7">
    <w:name w:val="toc 7"/>
    <w:basedOn w:val="Normal"/>
    <w:next w:val="Normal"/>
    <w:autoRedefine/>
    <w:uiPriority w:val="9"/>
    <w:rsid w:val="001940D8"/>
    <w:pPr>
      <w:ind w:left="1320"/>
      <w:jc w:val="left"/>
    </w:pPr>
    <w:rPr>
      <w:rFonts w:asciiTheme="minorHAnsi" w:hAnsiTheme="minorHAnsi"/>
      <w:sz w:val="20"/>
    </w:rPr>
  </w:style>
  <w:style w:type="paragraph" w:styleId="TOC8">
    <w:name w:val="toc 8"/>
    <w:basedOn w:val="Normal"/>
    <w:next w:val="Normal"/>
    <w:autoRedefine/>
    <w:uiPriority w:val="9"/>
    <w:rsid w:val="001940D8"/>
    <w:pPr>
      <w:ind w:left="1540"/>
      <w:jc w:val="left"/>
    </w:pPr>
    <w:rPr>
      <w:rFonts w:asciiTheme="minorHAnsi" w:hAnsiTheme="minorHAnsi"/>
      <w:sz w:val="20"/>
    </w:rPr>
  </w:style>
  <w:style w:type="paragraph" w:styleId="TOC9">
    <w:name w:val="toc 9"/>
    <w:basedOn w:val="Normal"/>
    <w:next w:val="Normal"/>
    <w:autoRedefine/>
    <w:uiPriority w:val="9"/>
    <w:rsid w:val="001940D8"/>
    <w:pPr>
      <w:ind w:left="1760"/>
      <w:jc w:val="left"/>
    </w:pPr>
    <w:rPr>
      <w:rFonts w:asciiTheme="minorHAnsi" w:hAnsiTheme="minorHAnsi"/>
      <w:sz w:val="20"/>
    </w:rPr>
  </w:style>
  <w:style w:type="paragraph" w:styleId="BodyText2">
    <w:name w:val="Body Text 2"/>
    <w:basedOn w:val="Normal"/>
    <w:link w:val="BodyText2Char"/>
    <w:uiPriority w:val="9"/>
    <w:rsid w:val="001940D8"/>
    <w:pPr>
      <w:spacing w:after="120" w:line="480" w:lineRule="auto"/>
    </w:pPr>
  </w:style>
  <w:style w:type="character" w:customStyle="1" w:styleId="BodyText2Char">
    <w:name w:val="Body Text 2 Char"/>
    <w:basedOn w:val="DefaultParagraphFont"/>
    <w:link w:val="BodyText2"/>
    <w:uiPriority w:val="9"/>
    <w:rsid w:val="001940D8"/>
    <w:rPr>
      <w:rFonts w:ascii="Arial" w:hAnsi="Arial" w:cs="Arial"/>
      <w:snapToGrid w:val="0"/>
      <w:sz w:val="22"/>
      <w:lang w:eastAsia="en-US"/>
    </w:rPr>
  </w:style>
  <w:style w:type="paragraph" w:styleId="CommentText">
    <w:name w:val="annotation text"/>
    <w:basedOn w:val="Normal"/>
    <w:link w:val="CommentTextChar"/>
    <w:uiPriority w:val="99"/>
    <w:rsid w:val="001940D8"/>
    <w:rPr>
      <w:rFonts w:ascii="Times New Roman" w:hAnsi="Times New Roman" w:cs="Times New Roman"/>
      <w:sz w:val="20"/>
    </w:rPr>
  </w:style>
  <w:style w:type="character" w:customStyle="1" w:styleId="CommentTextChar">
    <w:name w:val="Comment Text Char"/>
    <w:basedOn w:val="DefaultParagraphFont"/>
    <w:link w:val="CommentText"/>
    <w:uiPriority w:val="99"/>
    <w:rsid w:val="001940D8"/>
    <w:rPr>
      <w:snapToGrid w:val="0"/>
      <w:lang w:eastAsia="en-US"/>
    </w:rPr>
  </w:style>
  <w:style w:type="paragraph" w:customStyle="1" w:styleId="TableText0">
    <w:name w:val="TableText"/>
    <w:basedOn w:val="Normal"/>
    <w:link w:val="TableTextChar0"/>
    <w:qFormat/>
    <w:rsid w:val="001940D8"/>
    <w:pPr>
      <w:keepNext/>
      <w:widowControl/>
      <w:spacing w:before="40" w:after="40"/>
      <w:jc w:val="left"/>
    </w:pPr>
    <w:rPr>
      <w:rFonts w:ascii="Arial Narrow" w:hAnsi="Arial Narrow" w:cs="Arial Narrow"/>
      <w:snapToGrid/>
      <w:sz w:val="20"/>
    </w:rPr>
  </w:style>
  <w:style w:type="paragraph" w:customStyle="1" w:styleId="TableName">
    <w:name w:val="TableName"/>
    <w:basedOn w:val="Normal"/>
    <w:qFormat/>
    <w:rsid w:val="001940D8"/>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1940D8"/>
    <w:pPr>
      <w:keepNext w:val="0"/>
      <w:keepLines/>
      <w:spacing w:before="0" w:after="360"/>
      <w:ind w:left="720"/>
    </w:pPr>
    <w:rPr>
      <w:sz w:val="18"/>
      <w:szCs w:val="18"/>
    </w:rPr>
  </w:style>
  <w:style w:type="paragraph" w:customStyle="1" w:styleId="TableNotes0">
    <w:name w:val="TableNotes+0"/>
    <w:basedOn w:val="TableNotes18"/>
    <w:uiPriority w:val="9"/>
    <w:rsid w:val="001940D8"/>
    <w:pPr>
      <w:keepNext/>
      <w:spacing w:after="0"/>
    </w:pPr>
  </w:style>
  <w:style w:type="paragraph" w:styleId="CommentSubject">
    <w:name w:val="annotation subject"/>
    <w:basedOn w:val="CommentText"/>
    <w:next w:val="CommentText"/>
    <w:link w:val="CommentSubjectChar"/>
    <w:uiPriority w:val="9"/>
    <w:rsid w:val="001940D8"/>
    <w:rPr>
      <w:rFonts w:ascii="Arial" w:hAnsi="Arial" w:cs="Arial"/>
      <w:b/>
      <w:bCs/>
    </w:rPr>
  </w:style>
  <w:style w:type="character" w:customStyle="1" w:styleId="CommentSubjectChar">
    <w:name w:val="Comment Subject Char"/>
    <w:basedOn w:val="CommentTextChar"/>
    <w:link w:val="CommentSubject"/>
    <w:uiPriority w:val="9"/>
    <w:rsid w:val="001940D8"/>
    <w:rPr>
      <w:rFonts w:ascii="Arial" w:hAnsi="Arial" w:cs="Arial"/>
      <w:b/>
      <w:bCs/>
      <w:snapToGrid w:val="0"/>
      <w:lang w:eastAsia="en-US"/>
    </w:rPr>
  </w:style>
  <w:style w:type="paragraph" w:styleId="Revision">
    <w:name w:val="Revision"/>
    <w:hidden/>
    <w:uiPriority w:val="99"/>
    <w:semiHidden/>
    <w:rsid w:val="001940D8"/>
    <w:rPr>
      <w:rFonts w:ascii="Arial" w:hAnsi="Arial" w:cs="Arial"/>
      <w:snapToGrid w:val="0"/>
      <w:sz w:val="22"/>
      <w:lang w:eastAsia="en-US"/>
    </w:rPr>
  </w:style>
  <w:style w:type="paragraph" w:styleId="BodyTextIndent">
    <w:name w:val="Body Text Indent"/>
    <w:basedOn w:val="Normal"/>
    <w:link w:val="BodyTextIndentChar"/>
    <w:uiPriority w:val="9"/>
    <w:rsid w:val="001940D8"/>
    <w:pPr>
      <w:spacing w:after="120"/>
      <w:ind w:left="283"/>
    </w:pPr>
  </w:style>
  <w:style w:type="character" w:customStyle="1" w:styleId="BodyTextIndentChar">
    <w:name w:val="Body Text Indent Char"/>
    <w:basedOn w:val="DefaultParagraphFont"/>
    <w:link w:val="BodyTextIndent"/>
    <w:uiPriority w:val="9"/>
    <w:rsid w:val="001940D8"/>
    <w:rPr>
      <w:rFonts w:ascii="Arial" w:hAnsi="Arial" w:cs="Arial"/>
      <w:snapToGrid w:val="0"/>
      <w:sz w:val="22"/>
      <w:lang w:eastAsia="en-US"/>
    </w:rPr>
  </w:style>
  <w:style w:type="paragraph" w:customStyle="1" w:styleId="Char1CharCharChar">
    <w:name w:val="Char1 Char Char Char"/>
    <w:basedOn w:val="Normal"/>
    <w:uiPriority w:val="9"/>
    <w:rsid w:val="001940D8"/>
    <w:pPr>
      <w:widowControl/>
      <w:spacing w:after="160" w:line="240" w:lineRule="exact"/>
      <w:jc w:val="left"/>
    </w:pPr>
    <w:rPr>
      <w:rFonts w:ascii="Verdana" w:eastAsia="MS Mincho" w:hAnsi="Verdana" w:cs="Verdana"/>
      <w:snapToGrid/>
      <w:sz w:val="20"/>
      <w:lang w:val="en-US"/>
    </w:rPr>
  </w:style>
  <w:style w:type="character" w:customStyle="1" w:styleId="SubtitleChar1">
    <w:name w:val="Subtitle Char1"/>
    <w:basedOn w:val="DefaultParagraphFont"/>
    <w:uiPriority w:val="9"/>
    <w:rsid w:val="001940D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1940D8"/>
    <w:pPr>
      <w:numPr>
        <w:numId w:val="1"/>
      </w:numPr>
      <w:spacing w:before="240" w:after="120"/>
      <w:outlineLvl w:val="0"/>
    </w:pPr>
    <w:rPr>
      <w:rFonts w:ascii="Arial" w:hAnsi="Arial" w:cs="Arial"/>
      <w:b/>
      <w:snapToGrid w:val="0"/>
      <w:sz w:val="22"/>
      <w:szCs w:val="22"/>
      <w:lang w:eastAsia="en-US"/>
    </w:rPr>
  </w:style>
  <w:style w:type="table" w:customStyle="1" w:styleId="TableGrid1">
    <w:name w:val="Table Grid1"/>
    <w:basedOn w:val="TableNormal"/>
    <w:next w:val="TableGrid"/>
    <w:uiPriority w:val="59"/>
    <w:rsid w:val="00194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1940D8"/>
  </w:style>
  <w:style w:type="paragraph" w:customStyle="1" w:styleId="ListBullets">
    <w:name w:val="List Bullets"/>
    <w:basedOn w:val="Normal"/>
    <w:uiPriority w:val="3"/>
    <w:qFormat/>
    <w:rsid w:val="001940D8"/>
    <w:pPr>
      <w:widowControl/>
      <w:spacing w:line="276" w:lineRule="auto"/>
      <w:contextualSpacing/>
    </w:pPr>
    <w:rPr>
      <w:rFonts w:ascii="Calibri" w:hAnsi="Calibri" w:cs="Times New Roman"/>
      <w:snapToGrid/>
      <w:sz w:val="24"/>
      <w:szCs w:val="22"/>
    </w:rPr>
  </w:style>
  <w:style w:type="character" w:customStyle="1" w:styleId="TableText1">
    <w:name w:val="Table Text"/>
    <w:basedOn w:val="DefaultParagraphFont"/>
    <w:uiPriority w:val="99"/>
    <w:qFormat/>
    <w:rsid w:val="001940D8"/>
    <w:rPr>
      <w:rFonts w:ascii="Calibri" w:hAnsi="Calibri" w:cs="Times New Roman"/>
      <w:sz w:val="20"/>
    </w:rPr>
  </w:style>
  <w:style w:type="paragraph" w:styleId="FootnoteText">
    <w:name w:val="footnote text"/>
    <w:basedOn w:val="Normal"/>
    <w:link w:val="FootnoteTextChar"/>
    <w:uiPriority w:val="99"/>
    <w:unhideWhenUsed/>
    <w:rsid w:val="001940D8"/>
    <w:rPr>
      <w:sz w:val="20"/>
    </w:rPr>
  </w:style>
  <w:style w:type="character" w:customStyle="1" w:styleId="FootnoteTextChar">
    <w:name w:val="Footnote Text Char"/>
    <w:basedOn w:val="DefaultParagraphFont"/>
    <w:link w:val="FootnoteText"/>
    <w:uiPriority w:val="99"/>
    <w:rsid w:val="001940D8"/>
    <w:rPr>
      <w:rFonts w:ascii="Arial" w:hAnsi="Arial" w:cs="Arial"/>
      <w:snapToGrid w:val="0"/>
      <w:lang w:eastAsia="en-US"/>
    </w:rPr>
  </w:style>
  <w:style w:type="character" w:styleId="FootnoteReference">
    <w:name w:val="footnote reference"/>
    <w:basedOn w:val="DefaultParagraphFont"/>
    <w:uiPriority w:val="99"/>
    <w:unhideWhenUsed/>
    <w:rsid w:val="001940D8"/>
    <w:rPr>
      <w:vertAlign w:val="superscript"/>
    </w:rPr>
  </w:style>
  <w:style w:type="character" w:customStyle="1" w:styleId="TableTextChar0">
    <w:name w:val="TableText Char"/>
    <w:link w:val="TableText0"/>
    <w:rsid w:val="001940D8"/>
    <w:rPr>
      <w:rFonts w:ascii="Arial Narrow" w:hAnsi="Arial Narrow" w:cs="Arial Narrow"/>
      <w:lang w:eastAsia="en-US"/>
    </w:rPr>
  </w:style>
  <w:style w:type="character" w:customStyle="1" w:styleId="StyleCalibri">
    <w:name w:val="Style Calibri"/>
    <w:basedOn w:val="DefaultParagraphFont"/>
    <w:uiPriority w:val="99"/>
    <w:rsid w:val="001940D8"/>
    <w:rPr>
      <w:rFonts w:ascii="Calibri" w:hAnsi="Calibri"/>
      <w:sz w:val="24"/>
    </w:rPr>
  </w:style>
  <w:style w:type="paragraph" w:customStyle="1" w:styleId="TableNotes">
    <w:name w:val="Table Notes"/>
    <w:basedOn w:val="Normal"/>
    <w:link w:val="TableNotesChar"/>
    <w:qFormat/>
    <w:rsid w:val="001940D8"/>
    <w:pPr>
      <w:widowControl/>
      <w:spacing w:after="40" w:line="276" w:lineRule="auto"/>
    </w:pPr>
    <w:rPr>
      <w:rFonts w:ascii="Calibri" w:hAnsi="Calibri" w:cs="Times New Roman"/>
      <w:snapToGrid/>
      <w:sz w:val="16"/>
      <w:szCs w:val="22"/>
    </w:rPr>
  </w:style>
  <w:style w:type="character" w:customStyle="1" w:styleId="TableNotesChar">
    <w:name w:val="Table Notes Char"/>
    <w:basedOn w:val="DefaultParagraphFont"/>
    <w:link w:val="TableNotes"/>
    <w:locked/>
    <w:rsid w:val="001940D8"/>
    <w:rPr>
      <w:rFonts w:ascii="Calibri" w:hAnsi="Calibri"/>
      <w:sz w:val="16"/>
      <w:szCs w:val="22"/>
      <w:lang w:eastAsia="en-US"/>
    </w:rPr>
  </w:style>
  <w:style w:type="character" w:customStyle="1" w:styleId="NormalFont">
    <w:name w:val="Normal Font"/>
    <w:basedOn w:val="DefaultParagraphFont"/>
    <w:uiPriority w:val="99"/>
    <w:qFormat/>
    <w:rsid w:val="001940D8"/>
    <w:rPr>
      <w:rFonts w:ascii="Calibri" w:hAnsi="Calibri" w:cs="Times New Roman"/>
      <w:sz w:val="24"/>
    </w:rPr>
  </w:style>
  <w:style w:type="paragraph" w:customStyle="1" w:styleId="TableParagraph">
    <w:name w:val="Table Paragraph"/>
    <w:basedOn w:val="Normal"/>
    <w:uiPriority w:val="1"/>
    <w:qFormat/>
    <w:rsid w:val="001940D8"/>
    <w:pPr>
      <w:jc w:val="left"/>
    </w:pPr>
    <w:rPr>
      <w:rFonts w:asciiTheme="minorHAnsi" w:eastAsiaTheme="minorHAnsi" w:hAnsiTheme="minorHAnsi" w:cstheme="minorBidi"/>
      <w:snapToGrid/>
      <w:szCs w:val="22"/>
      <w:lang w:val="en-US"/>
    </w:rPr>
  </w:style>
  <w:style w:type="paragraph" w:customStyle="1" w:styleId="TableLeft">
    <w:name w:val="Table Left"/>
    <w:basedOn w:val="Normal"/>
    <w:link w:val="TableLeftChar"/>
    <w:uiPriority w:val="99"/>
    <w:qFormat/>
    <w:rsid w:val="001940D8"/>
    <w:pPr>
      <w:widowControl/>
      <w:jc w:val="left"/>
    </w:pPr>
    <w:rPr>
      <w:rFonts w:ascii="Calibri" w:hAnsi="Calibri" w:cs="Times New Roman"/>
      <w:snapToGrid/>
      <w:sz w:val="20"/>
      <w:szCs w:val="22"/>
    </w:rPr>
  </w:style>
  <w:style w:type="character" w:customStyle="1" w:styleId="TableLeftChar">
    <w:name w:val="Table Left Char"/>
    <w:basedOn w:val="DefaultParagraphFont"/>
    <w:link w:val="TableLeft"/>
    <w:uiPriority w:val="99"/>
    <w:locked/>
    <w:rsid w:val="001940D8"/>
    <w:rPr>
      <w:rFonts w:ascii="Calibri" w:hAnsi="Calibri"/>
      <w:szCs w:val="22"/>
      <w:lang w:eastAsia="en-US"/>
    </w:rPr>
  </w:style>
  <w:style w:type="paragraph" w:customStyle="1" w:styleId="TableHeadingRowCentred">
    <w:name w:val="TableHeadingRowCentred"/>
    <w:basedOn w:val="Normal"/>
    <w:next w:val="TableText0"/>
    <w:link w:val="TableHeadingRowCentredChar"/>
    <w:rsid w:val="001940D8"/>
    <w:pPr>
      <w:keepNext/>
      <w:widowControl/>
      <w:spacing w:before="40" w:after="40"/>
      <w:jc w:val="center"/>
    </w:pPr>
    <w:rPr>
      <w:rFonts w:cs="Arial Narrow"/>
      <w:b/>
      <w:bCs/>
      <w:snapToGrid/>
      <w:sz w:val="18"/>
    </w:rPr>
  </w:style>
  <w:style w:type="character" w:customStyle="1" w:styleId="TableHeadingRowCentredChar">
    <w:name w:val="TableHeadingRowCentred Char"/>
    <w:basedOn w:val="DefaultParagraphFont"/>
    <w:link w:val="TableHeadingRowCentred"/>
    <w:rsid w:val="001940D8"/>
    <w:rPr>
      <w:rFonts w:ascii="Arial" w:hAnsi="Arial" w:cs="Arial Narrow"/>
      <w:b/>
      <w:bCs/>
      <w:sz w:val="18"/>
      <w:lang w:eastAsia="en-US"/>
    </w:rPr>
  </w:style>
  <w:style w:type="character" w:customStyle="1" w:styleId="TableHeadingChar">
    <w:name w:val="TableHeading Char"/>
    <w:link w:val="TableHeading"/>
    <w:rsid w:val="001940D8"/>
    <w:rPr>
      <w:rFonts w:ascii="Arial Narrow" w:hAnsi="Arial Narrow" w:cs="Arial Narrow"/>
      <w:b/>
      <w:bCs/>
      <w:lang w:eastAsia="en-US"/>
    </w:rPr>
  </w:style>
  <w:style w:type="paragraph" w:customStyle="1" w:styleId="TableCentred">
    <w:name w:val="Table Centred"/>
    <w:basedOn w:val="Normal"/>
    <w:link w:val="TableCentredChar"/>
    <w:uiPriority w:val="5"/>
    <w:qFormat/>
    <w:rsid w:val="001940D8"/>
    <w:pPr>
      <w:widowControl/>
      <w:spacing w:line="276" w:lineRule="auto"/>
      <w:jc w:val="center"/>
    </w:pPr>
    <w:rPr>
      <w:rFonts w:ascii="Calibri" w:hAnsi="Calibri" w:cs="Times New Roman"/>
      <w:snapToGrid/>
      <w:sz w:val="20"/>
      <w:szCs w:val="22"/>
    </w:rPr>
  </w:style>
  <w:style w:type="character" w:customStyle="1" w:styleId="TableCentredChar">
    <w:name w:val="Table Centred Char"/>
    <w:basedOn w:val="DefaultParagraphFont"/>
    <w:link w:val="TableCentred"/>
    <w:uiPriority w:val="5"/>
    <w:locked/>
    <w:rsid w:val="001940D8"/>
    <w:rPr>
      <w:rFonts w:ascii="Calibri" w:hAnsi="Calibri"/>
      <w:szCs w:val="22"/>
      <w:lang w:eastAsia="en-US"/>
    </w:rPr>
  </w:style>
  <w:style w:type="paragraph" w:customStyle="1" w:styleId="StyleTable9Calibri">
    <w:name w:val="Style Table9 + Calibri"/>
    <w:basedOn w:val="Normal"/>
    <w:autoRedefine/>
    <w:rsid w:val="001940D8"/>
    <w:pPr>
      <w:widowControl/>
      <w:spacing w:before="40" w:after="40"/>
      <w:jc w:val="center"/>
    </w:pPr>
    <w:rPr>
      <w:rFonts w:ascii="Calibri" w:eastAsia="SimSun" w:hAnsi="Calibri" w:cs="Times New Roman"/>
      <w:snapToGrid/>
      <w:sz w:val="20"/>
      <w:szCs w:val="18"/>
      <w:lang w:eastAsia="zh-CN"/>
    </w:rPr>
  </w:style>
  <w:style w:type="paragraph" w:customStyle="1" w:styleId="TableHeadingCentred">
    <w:name w:val="TableHeadingCentred"/>
    <w:basedOn w:val="TableHeadingRow"/>
    <w:next w:val="TableText0"/>
    <w:rsid w:val="001940D8"/>
    <w:pPr>
      <w:jc w:val="center"/>
    </w:pPr>
  </w:style>
  <w:style w:type="paragraph" w:customStyle="1" w:styleId="TableHeadingRow">
    <w:name w:val="TableHeadingRow"/>
    <w:basedOn w:val="TableText0"/>
    <w:next w:val="TableText0"/>
    <w:rsid w:val="001940D8"/>
    <w:pPr>
      <w:spacing w:before="20" w:after="20"/>
    </w:pPr>
    <w:rPr>
      <w:rFonts w:ascii="Calibri" w:hAnsi="Calibri" w:cs="Times New Roman"/>
      <w:b/>
      <w:bCs/>
      <w:iCs/>
      <w:szCs w:val="18"/>
    </w:rPr>
  </w:style>
  <w:style w:type="table" w:customStyle="1" w:styleId="Summarybox1">
    <w:name w:val="Summary box1"/>
    <w:basedOn w:val="TableNormal"/>
    <w:next w:val="TableGrid"/>
    <w:uiPriority w:val="59"/>
    <w:rsid w:val="001940D8"/>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1940D8"/>
    <w:rPr>
      <w:color w:val="800080" w:themeColor="followedHyperlink"/>
      <w:u w:val="single"/>
    </w:rPr>
  </w:style>
  <w:style w:type="character" w:styleId="PlaceholderText">
    <w:name w:val="Placeholder Text"/>
    <w:basedOn w:val="DefaultParagraphFont"/>
    <w:uiPriority w:val="99"/>
    <w:semiHidden/>
    <w:rsid w:val="001940D8"/>
    <w:rPr>
      <w:color w:val="808080"/>
    </w:rPr>
  </w:style>
  <w:style w:type="character" w:customStyle="1" w:styleId="Heading1Char">
    <w:name w:val="Heading 1 Char"/>
    <w:basedOn w:val="DefaultParagraphFont"/>
    <w:link w:val="Heading1"/>
    <w:uiPriority w:val="1"/>
    <w:rsid w:val="001940D8"/>
    <w:rPr>
      <w:rFonts w:ascii="Arial" w:hAnsi="Arial" w:cs="Arial"/>
      <w:b/>
      <w:bCs/>
      <w:kern w:val="28"/>
      <w:sz w:val="28"/>
      <w:szCs w:val="32"/>
      <w:lang w:eastAsia="en-US"/>
    </w:rPr>
  </w:style>
  <w:style w:type="character" w:customStyle="1" w:styleId="Heading3Char">
    <w:name w:val="Heading 3 Char"/>
    <w:basedOn w:val="DefaultParagraphFont"/>
    <w:link w:val="Heading3"/>
    <w:uiPriority w:val="1"/>
    <w:rsid w:val="001940D8"/>
    <w:rPr>
      <w:rFonts w:ascii="Arial" w:hAnsi="Arial" w:cs="Arial"/>
      <w:bCs/>
      <w:sz w:val="24"/>
      <w:szCs w:val="26"/>
      <w:lang w:eastAsia="en-US"/>
    </w:rPr>
  </w:style>
  <w:style w:type="paragraph" w:customStyle="1" w:styleId="V50Heading2nonumbers">
    <w:name w:val="V5.0 Heading 2 no numbers"/>
    <w:basedOn w:val="Heading2"/>
    <w:qFormat/>
    <w:rsid w:val="001940D8"/>
    <w:pPr>
      <w:keepLines/>
      <w:spacing w:after="120"/>
      <w:ind w:left="578" w:hanging="578"/>
    </w:pPr>
    <w:rPr>
      <w:rFonts w:asciiTheme="minorHAnsi" w:eastAsiaTheme="majorEastAsia" w:hAnsiTheme="minorHAnsi" w:cstheme="majorBidi"/>
      <w:bCs w:val="0"/>
      <w:iCs w:val="0"/>
      <w:sz w:val="28"/>
    </w:rPr>
  </w:style>
  <w:style w:type="paragraph" w:customStyle="1" w:styleId="V50Instructions">
    <w:name w:val="V5.0 Instructions"/>
    <w:basedOn w:val="Normal"/>
    <w:link w:val="V50InstructionsChar"/>
    <w:qFormat/>
    <w:rsid w:val="001940D8"/>
    <w:pPr>
      <w:widowControl/>
      <w:spacing w:before="120" w:after="160"/>
      <w:jc w:val="left"/>
    </w:pPr>
    <w:rPr>
      <w:rFonts w:asciiTheme="minorHAnsi" w:eastAsiaTheme="minorHAnsi" w:hAnsiTheme="minorHAnsi" w:cstheme="minorBidi"/>
      <w:snapToGrid/>
      <w:color w:val="4BACC6" w:themeColor="accent5"/>
      <w:sz w:val="24"/>
      <w:szCs w:val="22"/>
    </w:rPr>
  </w:style>
  <w:style w:type="character" w:customStyle="1" w:styleId="Heading4Char">
    <w:name w:val="Heading 4 Char"/>
    <w:aliases w:val="Heading 1 - Body Char"/>
    <w:basedOn w:val="DefaultParagraphFont"/>
    <w:link w:val="Heading4"/>
    <w:uiPriority w:val="5"/>
    <w:rsid w:val="001940D8"/>
    <w:rPr>
      <w:rFonts w:ascii="Arial" w:hAnsi="Arial"/>
      <w:bCs/>
      <w:sz w:val="28"/>
      <w:szCs w:val="28"/>
      <w:lang w:eastAsia="en-US"/>
    </w:rPr>
  </w:style>
  <w:style w:type="character" w:customStyle="1" w:styleId="Heading5Char">
    <w:name w:val="Heading 5 Char"/>
    <w:aliases w:val="Heading 2 - Body Char"/>
    <w:basedOn w:val="DefaultParagraphFont"/>
    <w:link w:val="Heading5"/>
    <w:uiPriority w:val="7"/>
    <w:rsid w:val="001940D8"/>
    <w:rPr>
      <w:b/>
      <w:bCs/>
      <w:iCs/>
      <w:sz w:val="24"/>
      <w:szCs w:val="26"/>
      <w:lang w:eastAsia="en-US"/>
    </w:rPr>
  </w:style>
  <w:style w:type="character" w:customStyle="1" w:styleId="Heading6Char">
    <w:name w:val="Heading 6 Char"/>
    <w:aliases w:val="Heading 3 - Body Char"/>
    <w:basedOn w:val="DefaultParagraphFont"/>
    <w:link w:val="Heading6"/>
    <w:uiPriority w:val="7"/>
    <w:rsid w:val="001940D8"/>
    <w:rPr>
      <w:b/>
      <w:bCs/>
      <w:i/>
      <w:sz w:val="24"/>
      <w:szCs w:val="22"/>
      <w:lang w:eastAsia="en-US"/>
    </w:rPr>
  </w:style>
  <w:style w:type="paragraph" w:customStyle="1" w:styleId="V50Heading1nonumbers">
    <w:name w:val="V5.0 Heading 1 no numbers"/>
    <w:basedOn w:val="Heading1"/>
    <w:qFormat/>
    <w:rsid w:val="001940D8"/>
    <w:pPr>
      <w:keepLines/>
      <w:spacing w:before="400" w:after="120"/>
    </w:pPr>
    <w:rPr>
      <w:rFonts w:asciiTheme="minorHAnsi" w:eastAsiaTheme="majorEastAsia" w:hAnsiTheme="minorHAnsi" w:cstheme="majorBidi"/>
      <w:bCs w:val="0"/>
      <w:kern w:val="0"/>
      <w:sz w:val="32"/>
      <w:szCs w:val="28"/>
    </w:rPr>
  </w:style>
  <w:style w:type="paragraph" w:customStyle="1" w:styleId="V50TableText">
    <w:name w:val="V5.0 TableText"/>
    <w:link w:val="V50TableTextChar"/>
    <w:qFormat/>
    <w:rsid w:val="001940D8"/>
    <w:rPr>
      <w:rFonts w:asciiTheme="minorHAnsi" w:eastAsiaTheme="minorHAnsi" w:hAnsiTheme="minorHAnsi" w:cstheme="minorBidi"/>
      <w:szCs w:val="24"/>
      <w:lang w:val="en-US" w:eastAsia="en-US"/>
    </w:rPr>
  </w:style>
  <w:style w:type="paragraph" w:customStyle="1" w:styleId="V50TableTextInstruction">
    <w:name w:val="V5.0 TableText Instruction"/>
    <w:basedOn w:val="V50TableText"/>
    <w:qFormat/>
    <w:rsid w:val="001940D8"/>
    <w:rPr>
      <w:b/>
      <w:color w:val="4BACC6" w:themeColor="accent5"/>
    </w:rPr>
  </w:style>
  <w:style w:type="paragraph" w:customStyle="1" w:styleId="V50InstructionsBullets">
    <w:name w:val="V5.0 Instructions Bullets"/>
    <w:basedOn w:val="V50Instructions"/>
    <w:qFormat/>
    <w:rsid w:val="001940D8"/>
    <w:pPr>
      <w:numPr>
        <w:numId w:val="2"/>
      </w:numPr>
      <w:spacing w:before="0" w:after="0"/>
      <w:ind w:left="714" w:hanging="357"/>
    </w:pPr>
  </w:style>
  <w:style w:type="table" w:customStyle="1" w:styleId="TableGridLight1">
    <w:name w:val="Table Grid Light1"/>
    <w:basedOn w:val="TableNormal"/>
    <w:uiPriority w:val="40"/>
    <w:rsid w:val="001940D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1940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FigNoteLast">
    <w:name w:val="TableFigNote Last"/>
    <w:basedOn w:val="Normal"/>
    <w:qFormat/>
    <w:rsid w:val="001940D8"/>
    <w:pPr>
      <w:widowControl/>
      <w:spacing w:after="360"/>
      <w:jc w:val="left"/>
    </w:pPr>
    <w:rPr>
      <w:rFonts w:asciiTheme="minorHAnsi" w:eastAsiaTheme="minorHAnsi" w:hAnsiTheme="minorHAnsi" w:cstheme="minorBidi"/>
      <w:snapToGrid/>
      <w:sz w:val="18"/>
      <w:szCs w:val="22"/>
    </w:rPr>
  </w:style>
  <w:style w:type="paragraph" w:customStyle="1" w:styleId="TableHeading0">
    <w:name w:val="Table Heading"/>
    <w:basedOn w:val="Normal"/>
    <w:qFormat/>
    <w:rsid w:val="001940D8"/>
    <w:pPr>
      <w:keepNext/>
      <w:widowControl/>
      <w:spacing w:after="60"/>
      <w:jc w:val="left"/>
    </w:pPr>
    <w:rPr>
      <w:rFonts w:ascii="Arial Narrow" w:eastAsiaTheme="minorHAnsi" w:hAnsi="Arial Narrow" w:cstheme="minorBidi"/>
      <w:b/>
      <w:snapToGrid/>
      <w:sz w:val="20"/>
      <w:szCs w:val="22"/>
    </w:rPr>
  </w:style>
  <w:style w:type="character" w:customStyle="1" w:styleId="V50InstructionsChar">
    <w:name w:val="V5.0 Instructions Char"/>
    <w:basedOn w:val="DefaultParagraphFont"/>
    <w:link w:val="V50Instructions"/>
    <w:rsid w:val="001940D8"/>
    <w:rPr>
      <w:rFonts w:asciiTheme="minorHAnsi" w:eastAsiaTheme="minorHAnsi" w:hAnsiTheme="minorHAnsi" w:cstheme="minorBidi"/>
      <w:color w:val="4BACC6" w:themeColor="accent5"/>
      <w:sz w:val="24"/>
      <w:szCs w:val="22"/>
      <w:lang w:eastAsia="en-US"/>
    </w:rPr>
  </w:style>
  <w:style w:type="character" w:customStyle="1" w:styleId="V50TableTextChar">
    <w:name w:val="V5.0 TableText Char"/>
    <w:basedOn w:val="DefaultParagraphFont"/>
    <w:link w:val="V50TableText"/>
    <w:rsid w:val="001940D8"/>
    <w:rPr>
      <w:rFonts w:asciiTheme="minorHAnsi" w:eastAsiaTheme="minorHAnsi" w:hAnsiTheme="minorHAnsi" w:cstheme="minorBidi"/>
      <w:szCs w:val="24"/>
      <w:lang w:val="en-US" w:eastAsia="en-US"/>
    </w:rPr>
  </w:style>
  <w:style w:type="paragraph" w:customStyle="1" w:styleId="V50Tablename">
    <w:name w:val="V5.0 Table name"/>
    <w:basedOn w:val="V50TableText"/>
    <w:link w:val="V50TablenameChar"/>
    <w:qFormat/>
    <w:rsid w:val="001940D8"/>
    <w:pPr>
      <w:keepNext/>
    </w:pPr>
    <w:rPr>
      <w:b/>
    </w:rPr>
  </w:style>
  <w:style w:type="character" w:customStyle="1" w:styleId="V50TablenameChar">
    <w:name w:val="V5.0 Table name Char"/>
    <w:basedOn w:val="DefaultParagraphFont"/>
    <w:link w:val="V50Tablename"/>
    <w:rsid w:val="001940D8"/>
    <w:rPr>
      <w:rFonts w:asciiTheme="minorHAnsi" w:eastAsiaTheme="minorHAnsi" w:hAnsiTheme="minorHAnsi" w:cstheme="minorBidi"/>
      <w:b/>
      <w:szCs w:val="24"/>
      <w:lang w:val="en-US" w:eastAsia="en-US"/>
    </w:rPr>
  </w:style>
  <w:style w:type="paragraph" w:customStyle="1" w:styleId="V50Tablenote">
    <w:name w:val="V5.0 Tablenote"/>
    <w:basedOn w:val="V50TableText"/>
    <w:link w:val="V50TablenoteChar"/>
    <w:qFormat/>
    <w:rsid w:val="001940D8"/>
    <w:pPr>
      <w:spacing w:after="120"/>
      <w:contextualSpacing/>
      <w:jc w:val="both"/>
    </w:pPr>
    <w:rPr>
      <w:sz w:val="18"/>
      <w:szCs w:val="18"/>
    </w:rPr>
  </w:style>
  <w:style w:type="character" w:customStyle="1" w:styleId="V50TablenoteChar">
    <w:name w:val="V5.0 Tablenote Char"/>
    <w:basedOn w:val="DefaultParagraphFont"/>
    <w:link w:val="V50Tablenote"/>
    <w:rsid w:val="001940D8"/>
    <w:rPr>
      <w:rFonts w:asciiTheme="minorHAnsi" w:eastAsiaTheme="minorHAnsi" w:hAnsiTheme="minorHAnsi" w:cstheme="minorBidi"/>
      <w:sz w:val="18"/>
      <w:szCs w:val="18"/>
      <w:lang w:val="en-US" w:eastAsia="en-US"/>
    </w:rPr>
  </w:style>
  <w:style w:type="character" w:customStyle="1" w:styleId="TableFooterChar">
    <w:name w:val="Table Footer Char"/>
    <w:link w:val="TableFooter"/>
    <w:uiPriority w:val="4"/>
    <w:rsid w:val="001940D8"/>
    <w:rPr>
      <w:rFonts w:ascii="Arial Narrow" w:hAnsi="Arial Narrow" w:cs="Arial"/>
      <w:snapToGrid w:val="0"/>
      <w:sz w:val="18"/>
      <w:lang w:eastAsia="en-US"/>
    </w:rPr>
  </w:style>
  <w:style w:type="paragraph" w:customStyle="1" w:styleId="TableNotes1">
    <w:name w:val="TableNotes"/>
    <w:basedOn w:val="Normal"/>
    <w:qFormat/>
    <w:rsid w:val="001940D8"/>
    <w:pPr>
      <w:widowControl/>
      <w:spacing w:after="60"/>
      <w:jc w:val="left"/>
    </w:pPr>
    <w:rPr>
      <w:rFonts w:asciiTheme="minorHAnsi" w:eastAsiaTheme="minorHAnsi" w:hAnsiTheme="minorHAnsi" w:cstheme="minorBidi"/>
      <w:snapToGrid/>
      <w:sz w:val="20"/>
      <w:szCs w:val="22"/>
    </w:rPr>
  </w:style>
  <w:style w:type="paragraph" w:customStyle="1" w:styleId="oldTablefooter">
    <w:name w:val="old Table footer"/>
    <w:basedOn w:val="Normal"/>
    <w:link w:val="oldTablefooterChar"/>
    <w:qFormat/>
    <w:rsid w:val="001940D8"/>
    <w:pPr>
      <w:widowControl/>
    </w:pPr>
    <w:rPr>
      <w:rFonts w:asciiTheme="minorHAnsi" w:eastAsiaTheme="minorHAnsi" w:hAnsiTheme="minorHAnsi"/>
      <w:snapToGrid/>
      <w:sz w:val="18"/>
      <w:szCs w:val="18"/>
      <w:lang w:val="en-US"/>
    </w:rPr>
  </w:style>
  <w:style w:type="character" w:customStyle="1" w:styleId="oldTablefooterChar">
    <w:name w:val="old Table footer Char"/>
    <w:basedOn w:val="V50TableTextChar"/>
    <w:link w:val="oldTablefooter"/>
    <w:rsid w:val="001940D8"/>
    <w:rPr>
      <w:rFonts w:asciiTheme="minorHAnsi" w:eastAsiaTheme="minorHAnsi" w:hAnsiTheme="minorHAnsi" w:cs="Arial"/>
      <w:sz w:val="18"/>
      <w:szCs w:val="18"/>
      <w:lang w:val="en-US" w:eastAsia="en-US"/>
    </w:rPr>
  </w:style>
  <w:style w:type="paragraph" w:customStyle="1" w:styleId="PBACheading10">
    <w:name w:val="PBAC heading 1"/>
    <w:qFormat/>
    <w:rsid w:val="001940D8"/>
    <w:pPr>
      <w:ind w:left="720" w:hanging="720"/>
    </w:pPr>
    <w:rPr>
      <w:rFonts w:ascii="Arial" w:hAnsi="Arial" w:cs="Arial"/>
      <w:snapToGrid w:val="0"/>
      <w:sz w:val="22"/>
      <w:szCs w:val="22"/>
      <w:lang w:eastAsia="en-US"/>
    </w:rPr>
  </w:style>
  <w:style w:type="character" w:customStyle="1" w:styleId="ListParagraphChar">
    <w:name w:val="List Paragraph Char"/>
    <w:aliases w:val="BulletPoints Char,Bullet point Char,List Paragraph1 Char,List Paragraph11 Char,Recommendation Char"/>
    <w:basedOn w:val="DefaultParagraphFont"/>
    <w:link w:val="ListParagraph"/>
    <w:uiPriority w:val="72"/>
    <w:locked/>
    <w:rsid w:val="001940D8"/>
    <w:rPr>
      <w:sz w:val="24"/>
      <w:szCs w:val="24"/>
      <w:lang w:eastAsia="en-US"/>
    </w:rPr>
  </w:style>
  <w:style w:type="numbering" w:customStyle="1" w:styleId="Headings">
    <w:name w:val="Headings"/>
    <w:uiPriority w:val="99"/>
    <w:rsid w:val="001940D8"/>
    <w:pPr>
      <w:numPr>
        <w:numId w:val="3"/>
      </w:numPr>
    </w:pPr>
  </w:style>
  <w:style w:type="paragraph" w:customStyle="1" w:styleId="BulletLast">
    <w:name w:val="Bullet Last"/>
    <w:basedOn w:val="Normal"/>
    <w:qFormat/>
    <w:rsid w:val="001940D8"/>
    <w:pPr>
      <w:widowControl/>
      <w:numPr>
        <w:numId w:val="4"/>
      </w:numPr>
      <w:spacing w:after="240"/>
      <w:ind w:left="357" w:hanging="357"/>
      <w:jc w:val="left"/>
    </w:pPr>
    <w:rPr>
      <w:rFonts w:asciiTheme="minorHAnsi" w:eastAsiaTheme="minorHAnsi" w:hAnsiTheme="minorHAnsi" w:cstheme="minorBidi"/>
      <w:snapToGrid/>
      <w:szCs w:val="22"/>
    </w:rPr>
  </w:style>
  <w:style w:type="paragraph" w:customStyle="1" w:styleId="TableFigNote">
    <w:name w:val="TableFigNote"/>
    <w:basedOn w:val="Normal"/>
    <w:qFormat/>
    <w:rsid w:val="001940D8"/>
    <w:pPr>
      <w:widowControl/>
      <w:jc w:val="left"/>
    </w:pPr>
    <w:rPr>
      <w:rFonts w:asciiTheme="minorHAnsi" w:eastAsiaTheme="minorHAnsi" w:hAnsiTheme="minorHAnsi" w:cstheme="minorBidi"/>
      <w:snapToGrid/>
      <w:sz w:val="18"/>
      <w:szCs w:val="22"/>
    </w:rPr>
  </w:style>
  <w:style w:type="character" w:customStyle="1" w:styleId="StyleArial11pt">
    <w:name w:val="Style Arial 11 pt"/>
    <w:basedOn w:val="DefaultParagraphFont"/>
    <w:rsid w:val="001940D8"/>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940D8"/>
    <w:pPr>
      <w:widowControl/>
      <w:spacing w:after="160" w:line="240" w:lineRule="exact"/>
      <w:jc w:val="left"/>
    </w:pPr>
    <w:rPr>
      <w:rFonts w:ascii="Verdana" w:eastAsia="MS Mincho" w:hAnsi="Verdana" w:cs="Verdana"/>
      <w:snapToGrid/>
      <w:sz w:val="20"/>
      <w:lang w:val="en-US"/>
    </w:rPr>
  </w:style>
  <w:style w:type="paragraph" w:customStyle="1" w:styleId="tabletext00">
    <w:name w:val="tabletext0"/>
    <w:basedOn w:val="Normal"/>
    <w:rsid w:val="001940D8"/>
    <w:pPr>
      <w:widowControl/>
      <w:spacing w:before="100" w:beforeAutospacing="1" w:after="100" w:afterAutospacing="1"/>
      <w:jc w:val="left"/>
    </w:pPr>
    <w:rPr>
      <w:rFonts w:ascii="Times New Roman" w:hAnsi="Times New Roman" w:cs="Times New Roman"/>
      <w:snapToGrid/>
      <w:sz w:val="24"/>
      <w:szCs w:val="24"/>
      <w:lang w:eastAsia="en-AU"/>
    </w:rPr>
  </w:style>
  <w:style w:type="table" w:customStyle="1" w:styleId="TableGridbeth1">
    <w:name w:val="Table Gridbeth1"/>
    <w:basedOn w:val="TableNormal"/>
    <w:next w:val="TableGrid"/>
    <w:uiPriority w:val="59"/>
    <w:rsid w:val="001940D8"/>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Submissionstandard">
    <w:name w:val="Submission standard"/>
    <w:uiPriority w:val="99"/>
    <w:qFormat/>
    <w:rsid w:val="001940D8"/>
    <w:rPr>
      <w:rFonts w:ascii="Arial Narrow" w:hAnsi="Arial Narrow"/>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rFonts w:ascii="Marlett" w:hAnsi="Marlett" w:cs="Times New Roman"/>
        <w:b/>
        <w:sz w:val="20"/>
      </w:rPr>
      <w:tblPr/>
      <w:tcPr>
        <w:shd w:val="clear" w:color="auto" w:fill="BFBFBF"/>
      </w:tcPr>
    </w:tblStylePr>
  </w:style>
  <w:style w:type="paragraph" w:customStyle="1" w:styleId="EndNoteBibliographyTitle">
    <w:name w:val="EndNote Bibliography Title"/>
    <w:basedOn w:val="Normal"/>
    <w:link w:val="EndNoteBibliographyTitleChar"/>
    <w:rsid w:val="001940D8"/>
    <w:pPr>
      <w:jc w:val="center"/>
    </w:pPr>
    <w:rPr>
      <w:noProof/>
      <w:lang w:val="en-US"/>
    </w:rPr>
  </w:style>
  <w:style w:type="character" w:customStyle="1" w:styleId="EndNoteBibliographyTitleChar">
    <w:name w:val="EndNote Bibliography Title Char"/>
    <w:basedOn w:val="DefaultParagraphFont"/>
    <w:link w:val="EndNoteBibliographyTitle"/>
    <w:rsid w:val="001940D8"/>
    <w:rPr>
      <w:rFonts w:ascii="Arial" w:hAnsi="Arial" w:cs="Arial"/>
      <w:noProof/>
      <w:snapToGrid w:val="0"/>
      <w:sz w:val="22"/>
      <w:lang w:val="en-US" w:eastAsia="en-US"/>
    </w:rPr>
  </w:style>
  <w:style w:type="paragraph" w:customStyle="1" w:styleId="EndNoteBibliography">
    <w:name w:val="EndNote Bibliography"/>
    <w:basedOn w:val="Normal"/>
    <w:link w:val="EndNoteBibliographyChar"/>
    <w:rsid w:val="001940D8"/>
    <w:rPr>
      <w:noProof/>
      <w:lang w:val="en-US"/>
    </w:rPr>
  </w:style>
  <w:style w:type="character" w:customStyle="1" w:styleId="EndNoteBibliographyChar">
    <w:name w:val="EndNote Bibliography Char"/>
    <w:basedOn w:val="DefaultParagraphFont"/>
    <w:link w:val="EndNoteBibliography"/>
    <w:rsid w:val="001940D8"/>
    <w:rPr>
      <w:rFonts w:ascii="Arial" w:hAnsi="Arial" w:cs="Arial"/>
      <w:noProof/>
      <w:snapToGrid w:val="0"/>
      <w:sz w:val="22"/>
      <w:lang w:val="en-US" w:eastAsia="en-US"/>
    </w:rPr>
  </w:style>
  <w:style w:type="character" w:customStyle="1" w:styleId="brand">
    <w:name w:val="brand"/>
    <w:rsid w:val="001940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semiHidden="1" w:uiPriority="7" w:unhideWhenUsed="1" w:qFormat="1"/>
    <w:lsdException w:name="heading 8" w:semiHidden="1" w:uiPriority="7" w:unhideWhenUsed="1" w:qFormat="1"/>
    <w:lsdException w:name="heading 9" w:semiHidden="1" w:uiPriority="7" w:unhideWhenUsed="1"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 w:qFormat="1"/>
    <w:lsdException w:name="Title" w:uiPriority="7" w:qFormat="1"/>
    <w:lsdException w:name="Body Text" w:qFormat="1"/>
    <w:lsdException w:name="Body Text Indent" w:uiPriority="9"/>
    <w:lsdException w:name="Subtitle" w:uiPriority="11" w:qFormat="1"/>
    <w:lsdException w:name="Body Text 2" w:uiPriority="9"/>
    <w:lsdException w:name="Body Text 3" w:uiPriority="9"/>
    <w:lsdException w:name="Hyperlink" w:uiPriority="99"/>
    <w:lsdException w:name="FollowedHyperlink" w:uiPriority="99"/>
    <w:lsdException w:name="Strong" w:qFormat="1"/>
    <w:lsdException w:name="Emphasis" w:uiPriority="20" w:qFormat="1"/>
    <w:lsdException w:name="Normal (Web)" w:uiPriority="99"/>
    <w:lsdException w:name="annotation subject" w:uiPriority="9"/>
    <w:lsdException w:name="No List" w:uiPriority="99"/>
    <w:lsdException w:name="Balloon Text" w:uiPriority="9"/>
    <w:lsdException w:name="Table Grid" w:uiPriority="59"/>
    <w:lsdException w:name="Placeholder Text" w:semiHidden="1" w:uiPriority="99"/>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0D8"/>
    <w:pPr>
      <w:widowControl w:val="0"/>
      <w:jc w:val="both"/>
    </w:pPr>
    <w:rPr>
      <w:rFonts w:ascii="Arial" w:hAnsi="Arial" w:cs="Arial"/>
      <w:snapToGrid w:val="0"/>
      <w:sz w:val="22"/>
      <w:lang w:eastAsia="en-US"/>
    </w:rPr>
  </w:style>
  <w:style w:type="paragraph" w:styleId="Heading1">
    <w:name w:val="heading 1"/>
    <w:basedOn w:val="Normal"/>
    <w:next w:val="Normal"/>
    <w:link w:val="Heading1Char"/>
    <w:uiPriority w:val="1"/>
    <w:qFormat/>
    <w:rsid w:val="00A705AF"/>
    <w:pPr>
      <w:keepNext/>
      <w:spacing w:before="240" w:after="60"/>
      <w:outlineLvl w:val="0"/>
    </w:pPr>
    <w:rPr>
      <w:b/>
      <w:bCs/>
      <w:kern w:val="28"/>
      <w:sz w:val="28"/>
      <w:szCs w:val="32"/>
    </w:rPr>
  </w:style>
  <w:style w:type="paragraph" w:styleId="Heading2">
    <w:name w:val="heading 2"/>
    <w:basedOn w:val="Normal"/>
    <w:next w:val="Normal"/>
    <w:link w:val="Heading2Char"/>
    <w:uiPriority w:val="1"/>
    <w:qFormat/>
    <w:rsid w:val="00A705AF"/>
    <w:pPr>
      <w:keepNext/>
      <w:spacing w:before="240" w:after="60"/>
      <w:outlineLvl w:val="1"/>
    </w:pPr>
    <w:rPr>
      <w:b/>
      <w:bCs/>
      <w:i/>
      <w:iCs/>
      <w:szCs w:val="28"/>
    </w:rPr>
  </w:style>
  <w:style w:type="paragraph" w:styleId="Heading3">
    <w:name w:val="heading 3"/>
    <w:basedOn w:val="Normal"/>
    <w:next w:val="Normal"/>
    <w:link w:val="Heading3Char"/>
    <w:uiPriority w:val="1"/>
    <w:qFormat/>
    <w:rsid w:val="00A705AF"/>
    <w:pPr>
      <w:keepNext/>
      <w:spacing w:before="240" w:after="60"/>
      <w:outlineLvl w:val="2"/>
    </w:pPr>
    <w:rPr>
      <w:bCs/>
      <w:szCs w:val="26"/>
    </w:rPr>
  </w:style>
  <w:style w:type="paragraph" w:styleId="Heading4">
    <w:name w:val="heading 4"/>
    <w:aliases w:val="Heading 1 - Body"/>
    <w:basedOn w:val="Normal"/>
    <w:next w:val="Normal"/>
    <w:link w:val="Heading4Char"/>
    <w:uiPriority w:val="5"/>
    <w:qFormat/>
    <w:rsid w:val="00A705AF"/>
    <w:pPr>
      <w:keepNext/>
      <w:spacing w:before="240" w:after="60"/>
      <w:outlineLvl w:val="3"/>
    </w:pPr>
    <w:rPr>
      <w:bCs/>
      <w:sz w:val="28"/>
      <w:szCs w:val="28"/>
    </w:rPr>
  </w:style>
  <w:style w:type="paragraph" w:styleId="Heading5">
    <w:name w:val="heading 5"/>
    <w:aliases w:val="Heading 2 - Body"/>
    <w:basedOn w:val="Normal"/>
    <w:next w:val="Normal"/>
    <w:link w:val="Heading5Char"/>
    <w:uiPriority w:val="7"/>
    <w:qFormat/>
    <w:rsid w:val="00A705AF"/>
    <w:pPr>
      <w:keepNext/>
      <w:spacing w:before="240" w:after="60"/>
      <w:outlineLvl w:val="4"/>
    </w:pPr>
    <w:rPr>
      <w:b/>
      <w:bCs/>
      <w:iCs/>
      <w:szCs w:val="26"/>
    </w:rPr>
  </w:style>
  <w:style w:type="paragraph" w:styleId="Heading6">
    <w:name w:val="heading 6"/>
    <w:aliases w:val="Heading 3 - Body"/>
    <w:basedOn w:val="Normal"/>
    <w:next w:val="Normal"/>
    <w:link w:val="Heading6Char"/>
    <w:uiPriority w:val="7"/>
    <w:qFormat/>
    <w:rsid w:val="00A705AF"/>
    <w:pPr>
      <w:keepNext/>
      <w:spacing w:before="240" w:after="60"/>
      <w:outlineLvl w:val="5"/>
    </w:pPr>
    <w:rPr>
      <w:b/>
      <w:bCs/>
      <w:i/>
      <w:szCs w:val="22"/>
    </w:rPr>
  </w:style>
  <w:style w:type="paragraph" w:styleId="Heading7">
    <w:name w:val="heading 7"/>
    <w:basedOn w:val="Normal"/>
    <w:next w:val="Normal"/>
    <w:link w:val="Heading7Char"/>
    <w:uiPriority w:val="7"/>
    <w:qFormat/>
    <w:rsid w:val="001940D8"/>
    <w:pPr>
      <w:keepNext/>
      <w:jc w:val="center"/>
      <w:outlineLvl w:val="6"/>
    </w:pPr>
    <w:rPr>
      <w:b/>
      <w:sz w:val="20"/>
    </w:rPr>
  </w:style>
  <w:style w:type="paragraph" w:styleId="Heading8">
    <w:name w:val="heading 8"/>
    <w:basedOn w:val="Normal"/>
    <w:next w:val="Normal"/>
    <w:link w:val="Heading8Char"/>
    <w:uiPriority w:val="7"/>
    <w:qFormat/>
    <w:rsid w:val="001940D8"/>
    <w:pPr>
      <w:keepNext/>
      <w:jc w:val="right"/>
      <w:outlineLvl w:val="7"/>
    </w:pPr>
    <w:rPr>
      <w:b/>
    </w:rPr>
  </w:style>
  <w:style w:type="paragraph" w:styleId="Heading9">
    <w:name w:val="heading 9"/>
    <w:aliases w:val="Section heading - Body"/>
    <w:basedOn w:val="Normal"/>
    <w:next w:val="Normal"/>
    <w:link w:val="Heading9Char"/>
    <w:uiPriority w:val="7"/>
    <w:qFormat/>
    <w:rsid w:val="001940D8"/>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aliases w:val="PBAC Paragraph"/>
    <w:basedOn w:val="Normal"/>
    <w:next w:val="Normal"/>
    <w:link w:val="SubtitleChar"/>
    <w:uiPriority w:val="11"/>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aliases w:val="PBAC Paragraph Char"/>
    <w:basedOn w:val="DefaultParagraphFont"/>
    <w:link w:val="Subtitle"/>
    <w:uiPriority w:val="9"/>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uiPriority w:val="7"/>
    <w:qFormat/>
    <w:rsid w:val="00A705A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7"/>
    <w:rsid w:val="00A705AF"/>
    <w:rPr>
      <w:rFonts w:ascii="Arial" w:eastAsiaTheme="majorEastAsia" w:hAnsi="Arial" w:cstheme="majorBidi"/>
      <w:b/>
      <w:kern w:val="28"/>
      <w:sz w:val="32"/>
      <w:szCs w:val="52"/>
      <w:lang w:eastAsia="en-US"/>
    </w:rPr>
  </w:style>
  <w:style w:type="paragraph" w:styleId="NoSpacing">
    <w:name w:val="No Spacing"/>
    <w:uiPriority w:val="7"/>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Bullet point,List Paragraph1,List Paragraph11,Recommendation"/>
    <w:basedOn w:val="Normal"/>
    <w:link w:val="ListParagraphChar"/>
    <w:uiPriority w:val="72"/>
    <w:qFormat/>
    <w:rsid w:val="00A4512D"/>
    <w:pPr>
      <w:ind w:left="720"/>
      <w:contextualSpacing/>
    </w:pPr>
  </w:style>
  <w:style w:type="character" w:customStyle="1" w:styleId="Heading7Char">
    <w:name w:val="Heading 7 Char"/>
    <w:basedOn w:val="DefaultParagraphFont"/>
    <w:link w:val="Heading7"/>
    <w:uiPriority w:val="7"/>
    <w:rsid w:val="001940D8"/>
    <w:rPr>
      <w:rFonts w:ascii="Arial" w:hAnsi="Arial" w:cs="Arial"/>
      <w:b/>
      <w:snapToGrid w:val="0"/>
      <w:lang w:eastAsia="en-US"/>
    </w:rPr>
  </w:style>
  <w:style w:type="character" w:customStyle="1" w:styleId="Heading8Char">
    <w:name w:val="Heading 8 Char"/>
    <w:basedOn w:val="DefaultParagraphFont"/>
    <w:link w:val="Heading8"/>
    <w:uiPriority w:val="7"/>
    <w:rsid w:val="001940D8"/>
    <w:rPr>
      <w:rFonts w:ascii="Arial" w:hAnsi="Arial" w:cs="Arial"/>
      <w:b/>
      <w:snapToGrid w:val="0"/>
      <w:sz w:val="22"/>
      <w:lang w:eastAsia="en-US"/>
    </w:rPr>
  </w:style>
  <w:style w:type="character" w:customStyle="1" w:styleId="Heading9Char">
    <w:name w:val="Heading 9 Char"/>
    <w:aliases w:val="Section heading - Body Char"/>
    <w:basedOn w:val="DefaultParagraphFont"/>
    <w:link w:val="Heading9"/>
    <w:uiPriority w:val="7"/>
    <w:rsid w:val="001940D8"/>
    <w:rPr>
      <w:rFonts w:ascii="Arial" w:hAnsi="Arial" w:cs="Arial"/>
      <w:b/>
      <w:snapToGrid w:val="0"/>
      <w:color w:val="000000"/>
      <w:lang w:eastAsia="en-US"/>
    </w:rPr>
  </w:style>
  <w:style w:type="paragraph" w:customStyle="1" w:styleId="TableFooter">
    <w:name w:val="Table Footer"/>
    <w:basedOn w:val="Normal"/>
    <w:link w:val="TableFooterChar"/>
    <w:uiPriority w:val="4"/>
    <w:qFormat/>
    <w:rsid w:val="001940D8"/>
    <w:rPr>
      <w:rFonts w:ascii="Arial Narrow" w:hAnsi="Arial Narrow"/>
      <w:sz w:val="18"/>
    </w:rPr>
  </w:style>
  <w:style w:type="paragraph" w:customStyle="1" w:styleId="TableHeader">
    <w:name w:val="Table Header"/>
    <w:basedOn w:val="Normal"/>
    <w:next w:val="Normal"/>
    <w:uiPriority w:val="3"/>
    <w:qFormat/>
    <w:rsid w:val="001940D8"/>
    <w:rPr>
      <w:rFonts w:ascii="Arial Narrow" w:hAnsi="Arial Narrow"/>
      <w:b/>
      <w:sz w:val="20"/>
    </w:rPr>
  </w:style>
  <w:style w:type="character" w:customStyle="1" w:styleId="Heading2Char">
    <w:name w:val="Heading 2 Char"/>
    <w:link w:val="Heading2"/>
    <w:uiPriority w:val="1"/>
    <w:rsid w:val="001940D8"/>
    <w:rPr>
      <w:rFonts w:ascii="Arial" w:hAnsi="Arial" w:cs="Arial"/>
      <w:b/>
      <w:bCs/>
      <w:i/>
      <w:iCs/>
      <w:sz w:val="24"/>
      <w:szCs w:val="28"/>
      <w:lang w:eastAsia="en-US"/>
    </w:r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TableHeader"/>
    <w:link w:val="CaptionChar"/>
    <w:unhideWhenUsed/>
    <w:qFormat/>
    <w:rsid w:val="001940D8"/>
    <w:rPr>
      <w:rFonts w:ascii="Arial Narrow" w:hAnsi="Arial Narrow"/>
      <w:b/>
      <w:bCs/>
      <w:sz w:val="20"/>
      <w:szCs w:val="18"/>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rsid w:val="001940D8"/>
    <w:rPr>
      <w:rFonts w:ascii="Arial Narrow" w:hAnsi="Arial Narrow" w:cs="Arial"/>
      <w:b/>
      <w:bCs/>
      <w:snapToGrid w:val="0"/>
      <w:szCs w:val="18"/>
      <w:lang w:eastAsia="en-US"/>
    </w:rPr>
  </w:style>
  <w:style w:type="paragraph" w:styleId="BodyText">
    <w:name w:val="Body Text"/>
    <w:basedOn w:val="Normal"/>
    <w:link w:val="BodyTextChar"/>
    <w:qFormat/>
    <w:rsid w:val="001940D8"/>
    <w:pPr>
      <w:jc w:val="left"/>
    </w:pPr>
  </w:style>
  <w:style w:type="character" w:customStyle="1" w:styleId="BodyTextChar">
    <w:name w:val="Body Text Char"/>
    <w:basedOn w:val="DefaultParagraphFont"/>
    <w:link w:val="BodyText"/>
    <w:rsid w:val="001940D8"/>
    <w:rPr>
      <w:rFonts w:ascii="Arial" w:hAnsi="Arial" w:cs="Arial"/>
      <w:snapToGrid w:val="0"/>
      <w:sz w:val="22"/>
      <w:lang w:eastAsia="en-US"/>
    </w:rPr>
  </w:style>
  <w:style w:type="paragraph" w:customStyle="1" w:styleId="RegularText">
    <w:name w:val="Regular Text"/>
    <w:basedOn w:val="BodyText"/>
    <w:link w:val="RegularTextChar"/>
    <w:uiPriority w:val="9"/>
    <w:rsid w:val="001940D8"/>
  </w:style>
  <w:style w:type="character" w:customStyle="1" w:styleId="RegularTextChar">
    <w:name w:val="Regular Text Char"/>
    <w:basedOn w:val="BodyTextChar"/>
    <w:link w:val="RegularText"/>
    <w:uiPriority w:val="9"/>
    <w:rsid w:val="001940D8"/>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940D8"/>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940D8"/>
    <w:rPr>
      <w:rFonts w:ascii="Arial" w:hAnsi="Arial" w:cs="Arial"/>
      <w:snapToGrid w:val="0"/>
      <w:sz w:val="22"/>
      <w:lang w:eastAsia="en-US"/>
    </w:rPr>
  </w:style>
  <w:style w:type="paragraph" w:styleId="Footer">
    <w:name w:val="footer"/>
    <w:basedOn w:val="Normal"/>
    <w:link w:val="FooterChar"/>
    <w:uiPriority w:val="99"/>
    <w:rsid w:val="001940D8"/>
    <w:pPr>
      <w:tabs>
        <w:tab w:val="center" w:pos="4513"/>
        <w:tab w:val="right" w:pos="9026"/>
      </w:tabs>
    </w:pPr>
  </w:style>
  <w:style w:type="character" w:customStyle="1" w:styleId="FooterChar">
    <w:name w:val="Footer Char"/>
    <w:basedOn w:val="DefaultParagraphFont"/>
    <w:link w:val="Footer"/>
    <w:uiPriority w:val="99"/>
    <w:rsid w:val="001940D8"/>
    <w:rPr>
      <w:rFonts w:ascii="Arial" w:hAnsi="Arial" w:cs="Arial"/>
      <w:snapToGrid w:val="0"/>
      <w:sz w:val="22"/>
      <w:lang w:eastAsia="en-US"/>
    </w:rPr>
  </w:style>
  <w:style w:type="table" w:styleId="TableGrid">
    <w:name w:val="Table Grid"/>
    <w:aliases w:val="Summary box,Table Gridbeth,CMA Table Template"/>
    <w:basedOn w:val="TableNormal"/>
    <w:uiPriority w:val="59"/>
    <w:rsid w:val="00194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
    <w:qFormat/>
    <w:rsid w:val="001940D8"/>
    <w:rPr>
      <w:rFonts w:ascii="Arial Narrow" w:hAnsi="Arial Narrow"/>
      <w:b/>
      <w:sz w:val="20"/>
      <w:szCs w:val="16"/>
    </w:rPr>
  </w:style>
  <w:style w:type="paragraph" w:customStyle="1" w:styleId="Tabletext">
    <w:name w:val="Table text"/>
    <w:basedOn w:val="Normal"/>
    <w:link w:val="TabletextChar"/>
    <w:uiPriority w:val="2"/>
    <w:qFormat/>
    <w:rsid w:val="001940D8"/>
    <w:pPr>
      <w:widowControl/>
      <w:jc w:val="left"/>
    </w:pPr>
    <w:rPr>
      <w:rFonts w:ascii="Arial Narrow" w:hAnsi="Arial Narrow" w:cs="Times New Roman"/>
      <w:snapToGrid/>
      <w:sz w:val="20"/>
    </w:rPr>
  </w:style>
  <w:style w:type="paragraph" w:customStyle="1" w:styleId="TableHeading">
    <w:name w:val="TableHeading"/>
    <w:basedOn w:val="Normal"/>
    <w:link w:val="TableHeadingChar"/>
    <w:qFormat/>
    <w:rsid w:val="001940D8"/>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uiPriority w:val="2"/>
    <w:rsid w:val="001940D8"/>
    <w:rPr>
      <w:rFonts w:ascii="Arial Narrow" w:hAnsi="Arial Narrow"/>
      <w:lang w:eastAsia="en-US"/>
    </w:rPr>
  </w:style>
  <w:style w:type="paragraph" w:customStyle="1" w:styleId="Corpsdetextemarge">
    <w:name w:val="Corps de texte marge"/>
    <w:basedOn w:val="BodyText"/>
    <w:uiPriority w:val="99"/>
    <w:rsid w:val="001940D8"/>
    <w:pPr>
      <w:widowControl/>
      <w:jc w:val="both"/>
    </w:pPr>
    <w:rPr>
      <w:rFonts w:ascii="Times" w:hAnsi="Times" w:cs="Times New Roman"/>
      <w:snapToGrid/>
      <w:sz w:val="24"/>
      <w:lang w:val="en-US"/>
    </w:rPr>
  </w:style>
  <w:style w:type="paragraph" w:styleId="NormalWeb">
    <w:name w:val="Normal (Web)"/>
    <w:basedOn w:val="Normal"/>
    <w:uiPriority w:val="99"/>
    <w:rsid w:val="001940D8"/>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1940D8"/>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1940D8"/>
    <w:pPr>
      <w:spacing w:before="240" w:after="120"/>
      <w:jc w:val="left"/>
    </w:pPr>
    <w:rPr>
      <w:bCs/>
      <w:sz w:val="20"/>
    </w:rPr>
  </w:style>
  <w:style w:type="character" w:styleId="Hyperlink">
    <w:name w:val="Hyperlink"/>
    <w:basedOn w:val="DefaultParagraphFont"/>
    <w:uiPriority w:val="99"/>
    <w:unhideWhenUsed/>
    <w:rsid w:val="001940D8"/>
    <w:rPr>
      <w:color w:val="0000FF" w:themeColor="hyperlink"/>
      <w:u w:val="single"/>
    </w:rPr>
  </w:style>
  <w:style w:type="paragraph" w:styleId="TOCHeading">
    <w:name w:val="TOC Heading"/>
    <w:basedOn w:val="Heading1"/>
    <w:next w:val="Normal"/>
    <w:uiPriority w:val="39"/>
    <w:unhideWhenUsed/>
    <w:rsid w:val="001940D8"/>
    <w:pPr>
      <w:keepLines/>
      <w:spacing w:before="480" w:after="0" w:line="276" w:lineRule="auto"/>
      <w:outlineLvl w:val="9"/>
    </w:pPr>
    <w:rPr>
      <w:rFonts w:asciiTheme="majorHAnsi" w:eastAsiaTheme="majorEastAsia" w:hAnsiTheme="majorHAnsi" w:cstheme="majorBidi"/>
      <w:caps/>
      <w:color w:val="365F91" w:themeColor="accent1" w:themeShade="BF"/>
      <w:kern w:val="0"/>
      <w:szCs w:val="28"/>
      <w:lang w:val="en-US" w:eastAsia="ja-JP"/>
    </w:rPr>
  </w:style>
  <w:style w:type="paragraph" w:styleId="TOC3">
    <w:name w:val="toc 3"/>
    <w:basedOn w:val="Normal"/>
    <w:next w:val="Normal"/>
    <w:autoRedefine/>
    <w:uiPriority w:val="39"/>
    <w:unhideWhenUsed/>
    <w:rsid w:val="001940D8"/>
    <w:pPr>
      <w:ind w:left="440"/>
      <w:jc w:val="left"/>
    </w:pPr>
    <w:rPr>
      <w:rFonts w:asciiTheme="minorHAnsi" w:hAnsiTheme="minorHAnsi"/>
      <w:sz w:val="20"/>
    </w:rPr>
  </w:style>
  <w:style w:type="paragraph" w:styleId="BalloonText">
    <w:name w:val="Balloon Text"/>
    <w:basedOn w:val="Normal"/>
    <w:link w:val="BalloonTextChar"/>
    <w:uiPriority w:val="9"/>
    <w:rsid w:val="001940D8"/>
    <w:rPr>
      <w:rFonts w:ascii="Tahoma" w:hAnsi="Tahoma" w:cs="Tahoma"/>
      <w:sz w:val="16"/>
      <w:szCs w:val="16"/>
    </w:rPr>
  </w:style>
  <w:style w:type="character" w:customStyle="1" w:styleId="BalloonTextChar">
    <w:name w:val="Balloon Text Char"/>
    <w:basedOn w:val="DefaultParagraphFont"/>
    <w:link w:val="BalloonText"/>
    <w:uiPriority w:val="9"/>
    <w:rsid w:val="001940D8"/>
    <w:rPr>
      <w:rFonts w:ascii="Tahoma" w:hAnsi="Tahoma" w:cs="Tahoma"/>
      <w:snapToGrid w:val="0"/>
      <w:sz w:val="16"/>
      <w:szCs w:val="16"/>
      <w:lang w:eastAsia="en-US"/>
    </w:rPr>
  </w:style>
  <w:style w:type="paragraph" w:styleId="BodyText3">
    <w:name w:val="Body Text 3"/>
    <w:basedOn w:val="Normal"/>
    <w:link w:val="BodyText3Char"/>
    <w:uiPriority w:val="9"/>
    <w:rsid w:val="001940D8"/>
    <w:pPr>
      <w:spacing w:after="120"/>
    </w:pPr>
    <w:rPr>
      <w:sz w:val="16"/>
      <w:szCs w:val="16"/>
    </w:rPr>
  </w:style>
  <w:style w:type="character" w:customStyle="1" w:styleId="BodyText3Char">
    <w:name w:val="Body Text 3 Char"/>
    <w:basedOn w:val="DefaultParagraphFont"/>
    <w:link w:val="BodyText3"/>
    <w:uiPriority w:val="9"/>
    <w:rsid w:val="001940D8"/>
    <w:rPr>
      <w:rFonts w:ascii="Arial" w:hAnsi="Arial" w:cs="Arial"/>
      <w:snapToGrid w:val="0"/>
      <w:sz w:val="16"/>
      <w:szCs w:val="16"/>
      <w:lang w:eastAsia="en-US"/>
    </w:rPr>
  </w:style>
  <w:style w:type="paragraph" w:styleId="TOC4">
    <w:name w:val="toc 4"/>
    <w:basedOn w:val="Normal"/>
    <w:next w:val="Normal"/>
    <w:autoRedefine/>
    <w:uiPriority w:val="9"/>
    <w:rsid w:val="001940D8"/>
    <w:pPr>
      <w:ind w:left="660"/>
      <w:jc w:val="left"/>
    </w:pPr>
    <w:rPr>
      <w:rFonts w:asciiTheme="minorHAnsi" w:hAnsiTheme="minorHAnsi"/>
      <w:sz w:val="20"/>
    </w:rPr>
  </w:style>
  <w:style w:type="paragraph" w:styleId="TOC5">
    <w:name w:val="toc 5"/>
    <w:basedOn w:val="Normal"/>
    <w:next w:val="Normal"/>
    <w:autoRedefine/>
    <w:uiPriority w:val="9"/>
    <w:rsid w:val="001940D8"/>
    <w:pPr>
      <w:ind w:left="880"/>
      <w:jc w:val="left"/>
    </w:pPr>
    <w:rPr>
      <w:rFonts w:asciiTheme="minorHAnsi" w:hAnsiTheme="minorHAnsi"/>
      <w:sz w:val="20"/>
    </w:rPr>
  </w:style>
  <w:style w:type="paragraph" w:styleId="TOC6">
    <w:name w:val="toc 6"/>
    <w:basedOn w:val="Normal"/>
    <w:next w:val="Normal"/>
    <w:autoRedefine/>
    <w:uiPriority w:val="9"/>
    <w:rsid w:val="001940D8"/>
    <w:pPr>
      <w:ind w:left="1100"/>
      <w:jc w:val="left"/>
    </w:pPr>
    <w:rPr>
      <w:rFonts w:asciiTheme="minorHAnsi" w:hAnsiTheme="minorHAnsi"/>
      <w:sz w:val="20"/>
    </w:rPr>
  </w:style>
  <w:style w:type="paragraph" w:styleId="TOC7">
    <w:name w:val="toc 7"/>
    <w:basedOn w:val="Normal"/>
    <w:next w:val="Normal"/>
    <w:autoRedefine/>
    <w:uiPriority w:val="9"/>
    <w:rsid w:val="001940D8"/>
    <w:pPr>
      <w:ind w:left="1320"/>
      <w:jc w:val="left"/>
    </w:pPr>
    <w:rPr>
      <w:rFonts w:asciiTheme="minorHAnsi" w:hAnsiTheme="minorHAnsi"/>
      <w:sz w:val="20"/>
    </w:rPr>
  </w:style>
  <w:style w:type="paragraph" w:styleId="TOC8">
    <w:name w:val="toc 8"/>
    <w:basedOn w:val="Normal"/>
    <w:next w:val="Normal"/>
    <w:autoRedefine/>
    <w:uiPriority w:val="9"/>
    <w:rsid w:val="001940D8"/>
    <w:pPr>
      <w:ind w:left="1540"/>
      <w:jc w:val="left"/>
    </w:pPr>
    <w:rPr>
      <w:rFonts w:asciiTheme="minorHAnsi" w:hAnsiTheme="minorHAnsi"/>
      <w:sz w:val="20"/>
    </w:rPr>
  </w:style>
  <w:style w:type="paragraph" w:styleId="TOC9">
    <w:name w:val="toc 9"/>
    <w:basedOn w:val="Normal"/>
    <w:next w:val="Normal"/>
    <w:autoRedefine/>
    <w:uiPriority w:val="9"/>
    <w:rsid w:val="001940D8"/>
    <w:pPr>
      <w:ind w:left="1760"/>
      <w:jc w:val="left"/>
    </w:pPr>
    <w:rPr>
      <w:rFonts w:asciiTheme="minorHAnsi" w:hAnsiTheme="minorHAnsi"/>
      <w:sz w:val="20"/>
    </w:rPr>
  </w:style>
  <w:style w:type="paragraph" w:styleId="BodyText2">
    <w:name w:val="Body Text 2"/>
    <w:basedOn w:val="Normal"/>
    <w:link w:val="BodyText2Char"/>
    <w:uiPriority w:val="9"/>
    <w:rsid w:val="001940D8"/>
    <w:pPr>
      <w:spacing w:after="120" w:line="480" w:lineRule="auto"/>
    </w:pPr>
  </w:style>
  <w:style w:type="character" w:customStyle="1" w:styleId="BodyText2Char">
    <w:name w:val="Body Text 2 Char"/>
    <w:basedOn w:val="DefaultParagraphFont"/>
    <w:link w:val="BodyText2"/>
    <w:uiPriority w:val="9"/>
    <w:rsid w:val="001940D8"/>
    <w:rPr>
      <w:rFonts w:ascii="Arial" w:hAnsi="Arial" w:cs="Arial"/>
      <w:snapToGrid w:val="0"/>
      <w:sz w:val="22"/>
      <w:lang w:eastAsia="en-US"/>
    </w:rPr>
  </w:style>
  <w:style w:type="paragraph" w:styleId="CommentText">
    <w:name w:val="annotation text"/>
    <w:basedOn w:val="Normal"/>
    <w:link w:val="CommentTextChar"/>
    <w:uiPriority w:val="99"/>
    <w:rsid w:val="001940D8"/>
    <w:rPr>
      <w:rFonts w:ascii="Times New Roman" w:hAnsi="Times New Roman" w:cs="Times New Roman"/>
      <w:sz w:val="20"/>
    </w:rPr>
  </w:style>
  <w:style w:type="character" w:customStyle="1" w:styleId="CommentTextChar">
    <w:name w:val="Comment Text Char"/>
    <w:basedOn w:val="DefaultParagraphFont"/>
    <w:link w:val="CommentText"/>
    <w:uiPriority w:val="99"/>
    <w:rsid w:val="001940D8"/>
    <w:rPr>
      <w:snapToGrid w:val="0"/>
      <w:lang w:eastAsia="en-US"/>
    </w:rPr>
  </w:style>
  <w:style w:type="paragraph" w:customStyle="1" w:styleId="TableText0">
    <w:name w:val="TableText"/>
    <w:basedOn w:val="Normal"/>
    <w:link w:val="TableTextChar0"/>
    <w:qFormat/>
    <w:rsid w:val="001940D8"/>
    <w:pPr>
      <w:keepNext/>
      <w:widowControl/>
      <w:spacing w:before="40" w:after="40"/>
      <w:jc w:val="left"/>
    </w:pPr>
    <w:rPr>
      <w:rFonts w:ascii="Arial Narrow" w:hAnsi="Arial Narrow" w:cs="Arial Narrow"/>
      <w:snapToGrid/>
      <w:sz w:val="20"/>
    </w:rPr>
  </w:style>
  <w:style w:type="paragraph" w:customStyle="1" w:styleId="TableName">
    <w:name w:val="TableName"/>
    <w:basedOn w:val="Normal"/>
    <w:qFormat/>
    <w:rsid w:val="001940D8"/>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1940D8"/>
    <w:pPr>
      <w:keepNext w:val="0"/>
      <w:keepLines/>
      <w:spacing w:before="0" w:after="360"/>
      <w:ind w:left="720"/>
    </w:pPr>
    <w:rPr>
      <w:sz w:val="18"/>
      <w:szCs w:val="18"/>
    </w:rPr>
  </w:style>
  <w:style w:type="paragraph" w:customStyle="1" w:styleId="TableNotes0">
    <w:name w:val="TableNotes+0"/>
    <w:basedOn w:val="TableNotes18"/>
    <w:uiPriority w:val="9"/>
    <w:rsid w:val="001940D8"/>
    <w:pPr>
      <w:keepNext/>
      <w:spacing w:after="0"/>
    </w:pPr>
  </w:style>
  <w:style w:type="paragraph" w:styleId="CommentSubject">
    <w:name w:val="annotation subject"/>
    <w:basedOn w:val="CommentText"/>
    <w:next w:val="CommentText"/>
    <w:link w:val="CommentSubjectChar"/>
    <w:uiPriority w:val="9"/>
    <w:rsid w:val="001940D8"/>
    <w:rPr>
      <w:rFonts w:ascii="Arial" w:hAnsi="Arial" w:cs="Arial"/>
      <w:b/>
      <w:bCs/>
    </w:rPr>
  </w:style>
  <w:style w:type="character" w:customStyle="1" w:styleId="CommentSubjectChar">
    <w:name w:val="Comment Subject Char"/>
    <w:basedOn w:val="CommentTextChar"/>
    <w:link w:val="CommentSubject"/>
    <w:uiPriority w:val="9"/>
    <w:rsid w:val="001940D8"/>
    <w:rPr>
      <w:rFonts w:ascii="Arial" w:hAnsi="Arial" w:cs="Arial"/>
      <w:b/>
      <w:bCs/>
      <w:snapToGrid w:val="0"/>
      <w:lang w:eastAsia="en-US"/>
    </w:rPr>
  </w:style>
  <w:style w:type="paragraph" w:styleId="Revision">
    <w:name w:val="Revision"/>
    <w:hidden/>
    <w:uiPriority w:val="99"/>
    <w:semiHidden/>
    <w:rsid w:val="001940D8"/>
    <w:rPr>
      <w:rFonts w:ascii="Arial" w:hAnsi="Arial" w:cs="Arial"/>
      <w:snapToGrid w:val="0"/>
      <w:sz w:val="22"/>
      <w:lang w:eastAsia="en-US"/>
    </w:rPr>
  </w:style>
  <w:style w:type="paragraph" w:styleId="BodyTextIndent">
    <w:name w:val="Body Text Indent"/>
    <w:basedOn w:val="Normal"/>
    <w:link w:val="BodyTextIndentChar"/>
    <w:uiPriority w:val="9"/>
    <w:rsid w:val="001940D8"/>
    <w:pPr>
      <w:spacing w:after="120"/>
      <w:ind w:left="283"/>
    </w:pPr>
  </w:style>
  <w:style w:type="character" w:customStyle="1" w:styleId="BodyTextIndentChar">
    <w:name w:val="Body Text Indent Char"/>
    <w:basedOn w:val="DefaultParagraphFont"/>
    <w:link w:val="BodyTextIndent"/>
    <w:uiPriority w:val="9"/>
    <w:rsid w:val="001940D8"/>
    <w:rPr>
      <w:rFonts w:ascii="Arial" w:hAnsi="Arial" w:cs="Arial"/>
      <w:snapToGrid w:val="0"/>
      <w:sz w:val="22"/>
      <w:lang w:eastAsia="en-US"/>
    </w:rPr>
  </w:style>
  <w:style w:type="paragraph" w:customStyle="1" w:styleId="Char1CharCharChar">
    <w:name w:val="Char1 Char Char Char"/>
    <w:basedOn w:val="Normal"/>
    <w:uiPriority w:val="9"/>
    <w:rsid w:val="001940D8"/>
    <w:pPr>
      <w:widowControl/>
      <w:spacing w:after="160" w:line="240" w:lineRule="exact"/>
      <w:jc w:val="left"/>
    </w:pPr>
    <w:rPr>
      <w:rFonts w:ascii="Verdana" w:eastAsia="MS Mincho" w:hAnsi="Verdana" w:cs="Verdana"/>
      <w:snapToGrid/>
      <w:sz w:val="20"/>
      <w:lang w:val="en-US"/>
    </w:rPr>
  </w:style>
  <w:style w:type="character" w:customStyle="1" w:styleId="SubtitleChar1">
    <w:name w:val="Subtitle Char1"/>
    <w:basedOn w:val="DefaultParagraphFont"/>
    <w:uiPriority w:val="9"/>
    <w:rsid w:val="001940D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1940D8"/>
    <w:pPr>
      <w:numPr>
        <w:numId w:val="1"/>
      </w:numPr>
      <w:spacing w:before="240" w:after="120"/>
      <w:outlineLvl w:val="0"/>
    </w:pPr>
    <w:rPr>
      <w:rFonts w:ascii="Arial" w:hAnsi="Arial" w:cs="Arial"/>
      <w:b/>
      <w:snapToGrid w:val="0"/>
      <w:sz w:val="22"/>
      <w:szCs w:val="22"/>
      <w:lang w:eastAsia="en-US"/>
    </w:rPr>
  </w:style>
  <w:style w:type="table" w:customStyle="1" w:styleId="TableGrid1">
    <w:name w:val="Table Grid1"/>
    <w:basedOn w:val="TableNormal"/>
    <w:next w:val="TableGrid"/>
    <w:uiPriority w:val="59"/>
    <w:rsid w:val="00194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1940D8"/>
  </w:style>
  <w:style w:type="paragraph" w:customStyle="1" w:styleId="ListBullets">
    <w:name w:val="List Bullets"/>
    <w:basedOn w:val="Normal"/>
    <w:uiPriority w:val="3"/>
    <w:qFormat/>
    <w:rsid w:val="001940D8"/>
    <w:pPr>
      <w:widowControl/>
      <w:spacing w:line="276" w:lineRule="auto"/>
      <w:contextualSpacing/>
    </w:pPr>
    <w:rPr>
      <w:rFonts w:ascii="Calibri" w:hAnsi="Calibri" w:cs="Times New Roman"/>
      <w:snapToGrid/>
      <w:sz w:val="24"/>
      <w:szCs w:val="22"/>
    </w:rPr>
  </w:style>
  <w:style w:type="character" w:customStyle="1" w:styleId="TableText1">
    <w:name w:val="Table Text"/>
    <w:basedOn w:val="DefaultParagraphFont"/>
    <w:uiPriority w:val="99"/>
    <w:qFormat/>
    <w:rsid w:val="001940D8"/>
    <w:rPr>
      <w:rFonts w:ascii="Calibri" w:hAnsi="Calibri" w:cs="Times New Roman"/>
      <w:sz w:val="20"/>
    </w:rPr>
  </w:style>
  <w:style w:type="paragraph" w:styleId="FootnoteText">
    <w:name w:val="footnote text"/>
    <w:basedOn w:val="Normal"/>
    <w:link w:val="FootnoteTextChar"/>
    <w:uiPriority w:val="99"/>
    <w:unhideWhenUsed/>
    <w:rsid w:val="001940D8"/>
    <w:rPr>
      <w:sz w:val="20"/>
    </w:rPr>
  </w:style>
  <w:style w:type="character" w:customStyle="1" w:styleId="FootnoteTextChar">
    <w:name w:val="Footnote Text Char"/>
    <w:basedOn w:val="DefaultParagraphFont"/>
    <w:link w:val="FootnoteText"/>
    <w:uiPriority w:val="99"/>
    <w:rsid w:val="001940D8"/>
    <w:rPr>
      <w:rFonts w:ascii="Arial" w:hAnsi="Arial" w:cs="Arial"/>
      <w:snapToGrid w:val="0"/>
      <w:lang w:eastAsia="en-US"/>
    </w:rPr>
  </w:style>
  <w:style w:type="character" w:styleId="FootnoteReference">
    <w:name w:val="footnote reference"/>
    <w:basedOn w:val="DefaultParagraphFont"/>
    <w:uiPriority w:val="99"/>
    <w:unhideWhenUsed/>
    <w:rsid w:val="001940D8"/>
    <w:rPr>
      <w:vertAlign w:val="superscript"/>
    </w:rPr>
  </w:style>
  <w:style w:type="character" w:customStyle="1" w:styleId="TableTextChar0">
    <w:name w:val="TableText Char"/>
    <w:link w:val="TableText0"/>
    <w:rsid w:val="001940D8"/>
    <w:rPr>
      <w:rFonts w:ascii="Arial Narrow" w:hAnsi="Arial Narrow" w:cs="Arial Narrow"/>
      <w:lang w:eastAsia="en-US"/>
    </w:rPr>
  </w:style>
  <w:style w:type="character" w:customStyle="1" w:styleId="StyleCalibri">
    <w:name w:val="Style Calibri"/>
    <w:basedOn w:val="DefaultParagraphFont"/>
    <w:uiPriority w:val="99"/>
    <w:rsid w:val="001940D8"/>
    <w:rPr>
      <w:rFonts w:ascii="Calibri" w:hAnsi="Calibri"/>
      <w:sz w:val="24"/>
    </w:rPr>
  </w:style>
  <w:style w:type="paragraph" w:customStyle="1" w:styleId="TableNotes">
    <w:name w:val="Table Notes"/>
    <w:basedOn w:val="Normal"/>
    <w:link w:val="TableNotesChar"/>
    <w:qFormat/>
    <w:rsid w:val="001940D8"/>
    <w:pPr>
      <w:widowControl/>
      <w:spacing w:after="40" w:line="276" w:lineRule="auto"/>
    </w:pPr>
    <w:rPr>
      <w:rFonts w:ascii="Calibri" w:hAnsi="Calibri" w:cs="Times New Roman"/>
      <w:snapToGrid/>
      <w:sz w:val="16"/>
      <w:szCs w:val="22"/>
    </w:rPr>
  </w:style>
  <w:style w:type="character" w:customStyle="1" w:styleId="TableNotesChar">
    <w:name w:val="Table Notes Char"/>
    <w:basedOn w:val="DefaultParagraphFont"/>
    <w:link w:val="TableNotes"/>
    <w:locked/>
    <w:rsid w:val="001940D8"/>
    <w:rPr>
      <w:rFonts w:ascii="Calibri" w:hAnsi="Calibri"/>
      <w:sz w:val="16"/>
      <w:szCs w:val="22"/>
      <w:lang w:eastAsia="en-US"/>
    </w:rPr>
  </w:style>
  <w:style w:type="character" w:customStyle="1" w:styleId="NormalFont">
    <w:name w:val="Normal Font"/>
    <w:basedOn w:val="DefaultParagraphFont"/>
    <w:uiPriority w:val="99"/>
    <w:qFormat/>
    <w:rsid w:val="001940D8"/>
    <w:rPr>
      <w:rFonts w:ascii="Calibri" w:hAnsi="Calibri" w:cs="Times New Roman"/>
      <w:sz w:val="24"/>
    </w:rPr>
  </w:style>
  <w:style w:type="paragraph" w:customStyle="1" w:styleId="TableParagraph">
    <w:name w:val="Table Paragraph"/>
    <w:basedOn w:val="Normal"/>
    <w:uiPriority w:val="1"/>
    <w:qFormat/>
    <w:rsid w:val="001940D8"/>
    <w:pPr>
      <w:jc w:val="left"/>
    </w:pPr>
    <w:rPr>
      <w:rFonts w:asciiTheme="minorHAnsi" w:eastAsiaTheme="minorHAnsi" w:hAnsiTheme="minorHAnsi" w:cstheme="minorBidi"/>
      <w:snapToGrid/>
      <w:szCs w:val="22"/>
      <w:lang w:val="en-US"/>
    </w:rPr>
  </w:style>
  <w:style w:type="paragraph" w:customStyle="1" w:styleId="TableLeft">
    <w:name w:val="Table Left"/>
    <w:basedOn w:val="Normal"/>
    <w:link w:val="TableLeftChar"/>
    <w:uiPriority w:val="99"/>
    <w:qFormat/>
    <w:rsid w:val="001940D8"/>
    <w:pPr>
      <w:widowControl/>
      <w:jc w:val="left"/>
    </w:pPr>
    <w:rPr>
      <w:rFonts w:ascii="Calibri" w:hAnsi="Calibri" w:cs="Times New Roman"/>
      <w:snapToGrid/>
      <w:sz w:val="20"/>
      <w:szCs w:val="22"/>
    </w:rPr>
  </w:style>
  <w:style w:type="character" w:customStyle="1" w:styleId="TableLeftChar">
    <w:name w:val="Table Left Char"/>
    <w:basedOn w:val="DefaultParagraphFont"/>
    <w:link w:val="TableLeft"/>
    <w:uiPriority w:val="99"/>
    <w:locked/>
    <w:rsid w:val="001940D8"/>
    <w:rPr>
      <w:rFonts w:ascii="Calibri" w:hAnsi="Calibri"/>
      <w:szCs w:val="22"/>
      <w:lang w:eastAsia="en-US"/>
    </w:rPr>
  </w:style>
  <w:style w:type="paragraph" w:customStyle="1" w:styleId="TableHeadingRowCentred">
    <w:name w:val="TableHeadingRowCentred"/>
    <w:basedOn w:val="Normal"/>
    <w:next w:val="TableText0"/>
    <w:link w:val="TableHeadingRowCentredChar"/>
    <w:rsid w:val="001940D8"/>
    <w:pPr>
      <w:keepNext/>
      <w:widowControl/>
      <w:spacing w:before="40" w:after="40"/>
      <w:jc w:val="center"/>
    </w:pPr>
    <w:rPr>
      <w:rFonts w:cs="Arial Narrow"/>
      <w:b/>
      <w:bCs/>
      <w:snapToGrid/>
      <w:sz w:val="18"/>
    </w:rPr>
  </w:style>
  <w:style w:type="character" w:customStyle="1" w:styleId="TableHeadingRowCentredChar">
    <w:name w:val="TableHeadingRowCentred Char"/>
    <w:basedOn w:val="DefaultParagraphFont"/>
    <w:link w:val="TableHeadingRowCentred"/>
    <w:rsid w:val="001940D8"/>
    <w:rPr>
      <w:rFonts w:ascii="Arial" w:hAnsi="Arial" w:cs="Arial Narrow"/>
      <w:b/>
      <w:bCs/>
      <w:sz w:val="18"/>
      <w:lang w:eastAsia="en-US"/>
    </w:rPr>
  </w:style>
  <w:style w:type="character" w:customStyle="1" w:styleId="TableHeadingChar">
    <w:name w:val="TableHeading Char"/>
    <w:link w:val="TableHeading"/>
    <w:rsid w:val="001940D8"/>
    <w:rPr>
      <w:rFonts w:ascii="Arial Narrow" w:hAnsi="Arial Narrow" w:cs="Arial Narrow"/>
      <w:b/>
      <w:bCs/>
      <w:lang w:eastAsia="en-US"/>
    </w:rPr>
  </w:style>
  <w:style w:type="paragraph" w:customStyle="1" w:styleId="TableCentred">
    <w:name w:val="Table Centred"/>
    <w:basedOn w:val="Normal"/>
    <w:link w:val="TableCentredChar"/>
    <w:uiPriority w:val="5"/>
    <w:qFormat/>
    <w:rsid w:val="001940D8"/>
    <w:pPr>
      <w:widowControl/>
      <w:spacing w:line="276" w:lineRule="auto"/>
      <w:jc w:val="center"/>
    </w:pPr>
    <w:rPr>
      <w:rFonts w:ascii="Calibri" w:hAnsi="Calibri" w:cs="Times New Roman"/>
      <w:snapToGrid/>
      <w:sz w:val="20"/>
      <w:szCs w:val="22"/>
    </w:rPr>
  </w:style>
  <w:style w:type="character" w:customStyle="1" w:styleId="TableCentredChar">
    <w:name w:val="Table Centred Char"/>
    <w:basedOn w:val="DefaultParagraphFont"/>
    <w:link w:val="TableCentred"/>
    <w:uiPriority w:val="5"/>
    <w:locked/>
    <w:rsid w:val="001940D8"/>
    <w:rPr>
      <w:rFonts w:ascii="Calibri" w:hAnsi="Calibri"/>
      <w:szCs w:val="22"/>
      <w:lang w:eastAsia="en-US"/>
    </w:rPr>
  </w:style>
  <w:style w:type="paragraph" w:customStyle="1" w:styleId="StyleTable9Calibri">
    <w:name w:val="Style Table9 + Calibri"/>
    <w:basedOn w:val="Normal"/>
    <w:autoRedefine/>
    <w:rsid w:val="001940D8"/>
    <w:pPr>
      <w:widowControl/>
      <w:spacing w:before="40" w:after="40"/>
      <w:jc w:val="center"/>
    </w:pPr>
    <w:rPr>
      <w:rFonts w:ascii="Calibri" w:eastAsia="SimSun" w:hAnsi="Calibri" w:cs="Times New Roman"/>
      <w:snapToGrid/>
      <w:sz w:val="20"/>
      <w:szCs w:val="18"/>
      <w:lang w:eastAsia="zh-CN"/>
    </w:rPr>
  </w:style>
  <w:style w:type="paragraph" w:customStyle="1" w:styleId="TableHeadingCentred">
    <w:name w:val="TableHeadingCentred"/>
    <w:basedOn w:val="TableHeadingRow"/>
    <w:next w:val="TableText0"/>
    <w:rsid w:val="001940D8"/>
    <w:pPr>
      <w:jc w:val="center"/>
    </w:pPr>
  </w:style>
  <w:style w:type="paragraph" w:customStyle="1" w:styleId="TableHeadingRow">
    <w:name w:val="TableHeadingRow"/>
    <w:basedOn w:val="TableText0"/>
    <w:next w:val="TableText0"/>
    <w:rsid w:val="001940D8"/>
    <w:pPr>
      <w:spacing w:before="20" w:after="20"/>
    </w:pPr>
    <w:rPr>
      <w:rFonts w:ascii="Calibri" w:hAnsi="Calibri" w:cs="Times New Roman"/>
      <w:b/>
      <w:bCs/>
      <w:iCs/>
      <w:szCs w:val="18"/>
    </w:rPr>
  </w:style>
  <w:style w:type="table" w:customStyle="1" w:styleId="Summarybox1">
    <w:name w:val="Summary box1"/>
    <w:basedOn w:val="TableNormal"/>
    <w:next w:val="TableGrid"/>
    <w:uiPriority w:val="59"/>
    <w:rsid w:val="001940D8"/>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1940D8"/>
    <w:rPr>
      <w:color w:val="800080" w:themeColor="followedHyperlink"/>
      <w:u w:val="single"/>
    </w:rPr>
  </w:style>
  <w:style w:type="character" w:styleId="PlaceholderText">
    <w:name w:val="Placeholder Text"/>
    <w:basedOn w:val="DefaultParagraphFont"/>
    <w:uiPriority w:val="99"/>
    <w:semiHidden/>
    <w:rsid w:val="001940D8"/>
    <w:rPr>
      <w:color w:val="808080"/>
    </w:rPr>
  </w:style>
  <w:style w:type="character" w:customStyle="1" w:styleId="Heading1Char">
    <w:name w:val="Heading 1 Char"/>
    <w:basedOn w:val="DefaultParagraphFont"/>
    <w:link w:val="Heading1"/>
    <w:uiPriority w:val="1"/>
    <w:rsid w:val="001940D8"/>
    <w:rPr>
      <w:rFonts w:ascii="Arial" w:hAnsi="Arial" w:cs="Arial"/>
      <w:b/>
      <w:bCs/>
      <w:kern w:val="28"/>
      <w:sz w:val="28"/>
      <w:szCs w:val="32"/>
      <w:lang w:eastAsia="en-US"/>
    </w:rPr>
  </w:style>
  <w:style w:type="character" w:customStyle="1" w:styleId="Heading3Char">
    <w:name w:val="Heading 3 Char"/>
    <w:basedOn w:val="DefaultParagraphFont"/>
    <w:link w:val="Heading3"/>
    <w:uiPriority w:val="1"/>
    <w:rsid w:val="001940D8"/>
    <w:rPr>
      <w:rFonts w:ascii="Arial" w:hAnsi="Arial" w:cs="Arial"/>
      <w:bCs/>
      <w:sz w:val="24"/>
      <w:szCs w:val="26"/>
      <w:lang w:eastAsia="en-US"/>
    </w:rPr>
  </w:style>
  <w:style w:type="paragraph" w:customStyle="1" w:styleId="V50Heading2nonumbers">
    <w:name w:val="V5.0 Heading 2 no numbers"/>
    <w:basedOn w:val="Heading2"/>
    <w:qFormat/>
    <w:rsid w:val="001940D8"/>
    <w:pPr>
      <w:keepLines/>
      <w:spacing w:after="120"/>
      <w:ind w:left="578" w:hanging="578"/>
    </w:pPr>
    <w:rPr>
      <w:rFonts w:asciiTheme="minorHAnsi" w:eastAsiaTheme="majorEastAsia" w:hAnsiTheme="minorHAnsi" w:cstheme="majorBidi"/>
      <w:bCs w:val="0"/>
      <w:iCs w:val="0"/>
      <w:sz w:val="28"/>
    </w:rPr>
  </w:style>
  <w:style w:type="paragraph" w:customStyle="1" w:styleId="V50Instructions">
    <w:name w:val="V5.0 Instructions"/>
    <w:basedOn w:val="Normal"/>
    <w:link w:val="V50InstructionsChar"/>
    <w:qFormat/>
    <w:rsid w:val="001940D8"/>
    <w:pPr>
      <w:widowControl/>
      <w:spacing w:before="120" w:after="160"/>
      <w:jc w:val="left"/>
    </w:pPr>
    <w:rPr>
      <w:rFonts w:asciiTheme="minorHAnsi" w:eastAsiaTheme="minorHAnsi" w:hAnsiTheme="minorHAnsi" w:cstheme="minorBidi"/>
      <w:snapToGrid/>
      <w:color w:val="4BACC6" w:themeColor="accent5"/>
      <w:sz w:val="24"/>
      <w:szCs w:val="22"/>
    </w:rPr>
  </w:style>
  <w:style w:type="character" w:customStyle="1" w:styleId="Heading4Char">
    <w:name w:val="Heading 4 Char"/>
    <w:aliases w:val="Heading 1 - Body Char"/>
    <w:basedOn w:val="DefaultParagraphFont"/>
    <w:link w:val="Heading4"/>
    <w:uiPriority w:val="5"/>
    <w:rsid w:val="001940D8"/>
    <w:rPr>
      <w:rFonts w:ascii="Arial" w:hAnsi="Arial"/>
      <w:bCs/>
      <w:sz w:val="28"/>
      <w:szCs w:val="28"/>
      <w:lang w:eastAsia="en-US"/>
    </w:rPr>
  </w:style>
  <w:style w:type="character" w:customStyle="1" w:styleId="Heading5Char">
    <w:name w:val="Heading 5 Char"/>
    <w:aliases w:val="Heading 2 - Body Char"/>
    <w:basedOn w:val="DefaultParagraphFont"/>
    <w:link w:val="Heading5"/>
    <w:uiPriority w:val="7"/>
    <w:rsid w:val="001940D8"/>
    <w:rPr>
      <w:b/>
      <w:bCs/>
      <w:iCs/>
      <w:sz w:val="24"/>
      <w:szCs w:val="26"/>
      <w:lang w:eastAsia="en-US"/>
    </w:rPr>
  </w:style>
  <w:style w:type="character" w:customStyle="1" w:styleId="Heading6Char">
    <w:name w:val="Heading 6 Char"/>
    <w:aliases w:val="Heading 3 - Body Char"/>
    <w:basedOn w:val="DefaultParagraphFont"/>
    <w:link w:val="Heading6"/>
    <w:uiPriority w:val="7"/>
    <w:rsid w:val="001940D8"/>
    <w:rPr>
      <w:b/>
      <w:bCs/>
      <w:i/>
      <w:sz w:val="24"/>
      <w:szCs w:val="22"/>
      <w:lang w:eastAsia="en-US"/>
    </w:rPr>
  </w:style>
  <w:style w:type="paragraph" w:customStyle="1" w:styleId="V50Heading1nonumbers">
    <w:name w:val="V5.0 Heading 1 no numbers"/>
    <w:basedOn w:val="Heading1"/>
    <w:qFormat/>
    <w:rsid w:val="001940D8"/>
    <w:pPr>
      <w:keepLines/>
      <w:spacing w:before="400" w:after="120"/>
    </w:pPr>
    <w:rPr>
      <w:rFonts w:asciiTheme="minorHAnsi" w:eastAsiaTheme="majorEastAsia" w:hAnsiTheme="minorHAnsi" w:cstheme="majorBidi"/>
      <w:bCs w:val="0"/>
      <w:kern w:val="0"/>
      <w:sz w:val="32"/>
      <w:szCs w:val="28"/>
    </w:rPr>
  </w:style>
  <w:style w:type="paragraph" w:customStyle="1" w:styleId="V50TableText">
    <w:name w:val="V5.0 TableText"/>
    <w:link w:val="V50TableTextChar"/>
    <w:qFormat/>
    <w:rsid w:val="001940D8"/>
    <w:rPr>
      <w:rFonts w:asciiTheme="minorHAnsi" w:eastAsiaTheme="minorHAnsi" w:hAnsiTheme="minorHAnsi" w:cstheme="minorBidi"/>
      <w:szCs w:val="24"/>
      <w:lang w:val="en-US" w:eastAsia="en-US"/>
    </w:rPr>
  </w:style>
  <w:style w:type="paragraph" w:customStyle="1" w:styleId="V50TableTextInstruction">
    <w:name w:val="V5.0 TableText Instruction"/>
    <w:basedOn w:val="V50TableText"/>
    <w:qFormat/>
    <w:rsid w:val="001940D8"/>
    <w:rPr>
      <w:b/>
      <w:color w:val="4BACC6" w:themeColor="accent5"/>
    </w:rPr>
  </w:style>
  <w:style w:type="paragraph" w:customStyle="1" w:styleId="V50InstructionsBullets">
    <w:name w:val="V5.0 Instructions Bullets"/>
    <w:basedOn w:val="V50Instructions"/>
    <w:qFormat/>
    <w:rsid w:val="001940D8"/>
    <w:pPr>
      <w:numPr>
        <w:numId w:val="2"/>
      </w:numPr>
      <w:spacing w:before="0" w:after="0"/>
      <w:ind w:left="714" w:hanging="357"/>
    </w:pPr>
  </w:style>
  <w:style w:type="table" w:customStyle="1" w:styleId="TableGridLight1">
    <w:name w:val="Table Grid Light1"/>
    <w:basedOn w:val="TableNormal"/>
    <w:uiPriority w:val="40"/>
    <w:rsid w:val="001940D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1940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FigNoteLast">
    <w:name w:val="TableFigNote Last"/>
    <w:basedOn w:val="Normal"/>
    <w:qFormat/>
    <w:rsid w:val="001940D8"/>
    <w:pPr>
      <w:widowControl/>
      <w:spacing w:after="360"/>
      <w:jc w:val="left"/>
    </w:pPr>
    <w:rPr>
      <w:rFonts w:asciiTheme="minorHAnsi" w:eastAsiaTheme="minorHAnsi" w:hAnsiTheme="minorHAnsi" w:cstheme="minorBidi"/>
      <w:snapToGrid/>
      <w:sz w:val="18"/>
      <w:szCs w:val="22"/>
    </w:rPr>
  </w:style>
  <w:style w:type="paragraph" w:customStyle="1" w:styleId="TableHeading0">
    <w:name w:val="Table Heading"/>
    <w:basedOn w:val="Normal"/>
    <w:qFormat/>
    <w:rsid w:val="001940D8"/>
    <w:pPr>
      <w:keepNext/>
      <w:widowControl/>
      <w:spacing w:after="60"/>
      <w:jc w:val="left"/>
    </w:pPr>
    <w:rPr>
      <w:rFonts w:ascii="Arial Narrow" w:eastAsiaTheme="minorHAnsi" w:hAnsi="Arial Narrow" w:cstheme="minorBidi"/>
      <w:b/>
      <w:snapToGrid/>
      <w:sz w:val="20"/>
      <w:szCs w:val="22"/>
    </w:rPr>
  </w:style>
  <w:style w:type="character" w:customStyle="1" w:styleId="V50InstructionsChar">
    <w:name w:val="V5.0 Instructions Char"/>
    <w:basedOn w:val="DefaultParagraphFont"/>
    <w:link w:val="V50Instructions"/>
    <w:rsid w:val="001940D8"/>
    <w:rPr>
      <w:rFonts w:asciiTheme="minorHAnsi" w:eastAsiaTheme="minorHAnsi" w:hAnsiTheme="minorHAnsi" w:cstheme="minorBidi"/>
      <w:color w:val="4BACC6" w:themeColor="accent5"/>
      <w:sz w:val="24"/>
      <w:szCs w:val="22"/>
      <w:lang w:eastAsia="en-US"/>
    </w:rPr>
  </w:style>
  <w:style w:type="character" w:customStyle="1" w:styleId="V50TableTextChar">
    <w:name w:val="V5.0 TableText Char"/>
    <w:basedOn w:val="DefaultParagraphFont"/>
    <w:link w:val="V50TableText"/>
    <w:rsid w:val="001940D8"/>
    <w:rPr>
      <w:rFonts w:asciiTheme="minorHAnsi" w:eastAsiaTheme="minorHAnsi" w:hAnsiTheme="minorHAnsi" w:cstheme="minorBidi"/>
      <w:szCs w:val="24"/>
      <w:lang w:val="en-US" w:eastAsia="en-US"/>
    </w:rPr>
  </w:style>
  <w:style w:type="paragraph" w:customStyle="1" w:styleId="V50Tablename">
    <w:name w:val="V5.0 Table name"/>
    <w:basedOn w:val="V50TableText"/>
    <w:link w:val="V50TablenameChar"/>
    <w:qFormat/>
    <w:rsid w:val="001940D8"/>
    <w:pPr>
      <w:keepNext/>
    </w:pPr>
    <w:rPr>
      <w:b/>
    </w:rPr>
  </w:style>
  <w:style w:type="character" w:customStyle="1" w:styleId="V50TablenameChar">
    <w:name w:val="V5.0 Table name Char"/>
    <w:basedOn w:val="DefaultParagraphFont"/>
    <w:link w:val="V50Tablename"/>
    <w:rsid w:val="001940D8"/>
    <w:rPr>
      <w:rFonts w:asciiTheme="minorHAnsi" w:eastAsiaTheme="minorHAnsi" w:hAnsiTheme="minorHAnsi" w:cstheme="minorBidi"/>
      <w:b/>
      <w:szCs w:val="24"/>
      <w:lang w:val="en-US" w:eastAsia="en-US"/>
    </w:rPr>
  </w:style>
  <w:style w:type="paragraph" w:customStyle="1" w:styleId="V50Tablenote">
    <w:name w:val="V5.0 Tablenote"/>
    <w:basedOn w:val="V50TableText"/>
    <w:link w:val="V50TablenoteChar"/>
    <w:qFormat/>
    <w:rsid w:val="001940D8"/>
    <w:pPr>
      <w:spacing w:after="120"/>
      <w:contextualSpacing/>
      <w:jc w:val="both"/>
    </w:pPr>
    <w:rPr>
      <w:sz w:val="18"/>
      <w:szCs w:val="18"/>
    </w:rPr>
  </w:style>
  <w:style w:type="character" w:customStyle="1" w:styleId="V50TablenoteChar">
    <w:name w:val="V5.0 Tablenote Char"/>
    <w:basedOn w:val="DefaultParagraphFont"/>
    <w:link w:val="V50Tablenote"/>
    <w:rsid w:val="001940D8"/>
    <w:rPr>
      <w:rFonts w:asciiTheme="minorHAnsi" w:eastAsiaTheme="minorHAnsi" w:hAnsiTheme="minorHAnsi" w:cstheme="minorBidi"/>
      <w:sz w:val="18"/>
      <w:szCs w:val="18"/>
      <w:lang w:val="en-US" w:eastAsia="en-US"/>
    </w:rPr>
  </w:style>
  <w:style w:type="character" w:customStyle="1" w:styleId="TableFooterChar">
    <w:name w:val="Table Footer Char"/>
    <w:link w:val="TableFooter"/>
    <w:uiPriority w:val="4"/>
    <w:rsid w:val="001940D8"/>
    <w:rPr>
      <w:rFonts w:ascii="Arial Narrow" w:hAnsi="Arial Narrow" w:cs="Arial"/>
      <w:snapToGrid w:val="0"/>
      <w:sz w:val="18"/>
      <w:lang w:eastAsia="en-US"/>
    </w:rPr>
  </w:style>
  <w:style w:type="paragraph" w:customStyle="1" w:styleId="TableNotes1">
    <w:name w:val="TableNotes"/>
    <w:basedOn w:val="Normal"/>
    <w:qFormat/>
    <w:rsid w:val="001940D8"/>
    <w:pPr>
      <w:widowControl/>
      <w:spacing w:after="60"/>
      <w:jc w:val="left"/>
    </w:pPr>
    <w:rPr>
      <w:rFonts w:asciiTheme="minorHAnsi" w:eastAsiaTheme="minorHAnsi" w:hAnsiTheme="minorHAnsi" w:cstheme="minorBidi"/>
      <w:snapToGrid/>
      <w:sz w:val="20"/>
      <w:szCs w:val="22"/>
    </w:rPr>
  </w:style>
  <w:style w:type="paragraph" w:customStyle="1" w:styleId="oldTablefooter">
    <w:name w:val="old Table footer"/>
    <w:basedOn w:val="Normal"/>
    <w:link w:val="oldTablefooterChar"/>
    <w:qFormat/>
    <w:rsid w:val="001940D8"/>
    <w:pPr>
      <w:widowControl/>
    </w:pPr>
    <w:rPr>
      <w:rFonts w:asciiTheme="minorHAnsi" w:eastAsiaTheme="minorHAnsi" w:hAnsiTheme="minorHAnsi"/>
      <w:snapToGrid/>
      <w:sz w:val="18"/>
      <w:szCs w:val="18"/>
      <w:lang w:val="en-US"/>
    </w:rPr>
  </w:style>
  <w:style w:type="character" w:customStyle="1" w:styleId="oldTablefooterChar">
    <w:name w:val="old Table footer Char"/>
    <w:basedOn w:val="V50TableTextChar"/>
    <w:link w:val="oldTablefooter"/>
    <w:rsid w:val="001940D8"/>
    <w:rPr>
      <w:rFonts w:asciiTheme="minorHAnsi" w:eastAsiaTheme="minorHAnsi" w:hAnsiTheme="minorHAnsi" w:cs="Arial"/>
      <w:sz w:val="18"/>
      <w:szCs w:val="18"/>
      <w:lang w:val="en-US" w:eastAsia="en-US"/>
    </w:rPr>
  </w:style>
  <w:style w:type="paragraph" w:customStyle="1" w:styleId="PBACheading10">
    <w:name w:val="PBAC heading 1"/>
    <w:qFormat/>
    <w:rsid w:val="001940D8"/>
    <w:pPr>
      <w:ind w:left="720" w:hanging="720"/>
    </w:pPr>
    <w:rPr>
      <w:rFonts w:ascii="Arial" w:hAnsi="Arial" w:cs="Arial"/>
      <w:snapToGrid w:val="0"/>
      <w:sz w:val="22"/>
      <w:szCs w:val="22"/>
      <w:lang w:eastAsia="en-US"/>
    </w:rPr>
  </w:style>
  <w:style w:type="character" w:customStyle="1" w:styleId="ListParagraphChar">
    <w:name w:val="List Paragraph Char"/>
    <w:aliases w:val="BulletPoints Char,Bullet point Char,List Paragraph1 Char,List Paragraph11 Char,Recommendation Char"/>
    <w:basedOn w:val="DefaultParagraphFont"/>
    <w:link w:val="ListParagraph"/>
    <w:uiPriority w:val="72"/>
    <w:locked/>
    <w:rsid w:val="001940D8"/>
    <w:rPr>
      <w:sz w:val="24"/>
      <w:szCs w:val="24"/>
      <w:lang w:eastAsia="en-US"/>
    </w:rPr>
  </w:style>
  <w:style w:type="numbering" w:customStyle="1" w:styleId="Headings">
    <w:name w:val="Headings"/>
    <w:uiPriority w:val="99"/>
    <w:rsid w:val="001940D8"/>
    <w:pPr>
      <w:numPr>
        <w:numId w:val="3"/>
      </w:numPr>
    </w:pPr>
  </w:style>
  <w:style w:type="paragraph" w:customStyle="1" w:styleId="BulletLast">
    <w:name w:val="Bullet Last"/>
    <w:basedOn w:val="Normal"/>
    <w:qFormat/>
    <w:rsid w:val="001940D8"/>
    <w:pPr>
      <w:widowControl/>
      <w:numPr>
        <w:numId w:val="4"/>
      </w:numPr>
      <w:spacing w:after="240"/>
      <w:ind w:left="357" w:hanging="357"/>
      <w:jc w:val="left"/>
    </w:pPr>
    <w:rPr>
      <w:rFonts w:asciiTheme="minorHAnsi" w:eastAsiaTheme="minorHAnsi" w:hAnsiTheme="minorHAnsi" w:cstheme="minorBidi"/>
      <w:snapToGrid/>
      <w:szCs w:val="22"/>
    </w:rPr>
  </w:style>
  <w:style w:type="paragraph" w:customStyle="1" w:styleId="TableFigNote">
    <w:name w:val="TableFigNote"/>
    <w:basedOn w:val="Normal"/>
    <w:qFormat/>
    <w:rsid w:val="001940D8"/>
    <w:pPr>
      <w:widowControl/>
      <w:jc w:val="left"/>
    </w:pPr>
    <w:rPr>
      <w:rFonts w:asciiTheme="minorHAnsi" w:eastAsiaTheme="minorHAnsi" w:hAnsiTheme="minorHAnsi" w:cstheme="minorBidi"/>
      <w:snapToGrid/>
      <w:sz w:val="18"/>
      <w:szCs w:val="22"/>
    </w:rPr>
  </w:style>
  <w:style w:type="character" w:customStyle="1" w:styleId="StyleArial11pt">
    <w:name w:val="Style Arial 11 pt"/>
    <w:basedOn w:val="DefaultParagraphFont"/>
    <w:rsid w:val="001940D8"/>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940D8"/>
    <w:pPr>
      <w:widowControl/>
      <w:spacing w:after="160" w:line="240" w:lineRule="exact"/>
      <w:jc w:val="left"/>
    </w:pPr>
    <w:rPr>
      <w:rFonts w:ascii="Verdana" w:eastAsia="MS Mincho" w:hAnsi="Verdana" w:cs="Verdana"/>
      <w:snapToGrid/>
      <w:sz w:val="20"/>
      <w:lang w:val="en-US"/>
    </w:rPr>
  </w:style>
  <w:style w:type="paragraph" w:customStyle="1" w:styleId="tabletext00">
    <w:name w:val="tabletext0"/>
    <w:basedOn w:val="Normal"/>
    <w:rsid w:val="001940D8"/>
    <w:pPr>
      <w:widowControl/>
      <w:spacing w:before="100" w:beforeAutospacing="1" w:after="100" w:afterAutospacing="1"/>
      <w:jc w:val="left"/>
    </w:pPr>
    <w:rPr>
      <w:rFonts w:ascii="Times New Roman" w:hAnsi="Times New Roman" w:cs="Times New Roman"/>
      <w:snapToGrid/>
      <w:sz w:val="24"/>
      <w:szCs w:val="24"/>
      <w:lang w:eastAsia="en-AU"/>
    </w:rPr>
  </w:style>
  <w:style w:type="table" w:customStyle="1" w:styleId="TableGridbeth1">
    <w:name w:val="Table Gridbeth1"/>
    <w:basedOn w:val="TableNormal"/>
    <w:next w:val="TableGrid"/>
    <w:uiPriority w:val="59"/>
    <w:rsid w:val="001940D8"/>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Submissionstandard">
    <w:name w:val="Submission standard"/>
    <w:uiPriority w:val="99"/>
    <w:qFormat/>
    <w:rsid w:val="001940D8"/>
    <w:rPr>
      <w:rFonts w:ascii="Arial Narrow" w:hAnsi="Arial Narrow"/>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rFonts w:ascii="Marlett" w:hAnsi="Marlett" w:cs="Times New Roman"/>
        <w:b/>
        <w:sz w:val="20"/>
      </w:rPr>
      <w:tblPr/>
      <w:tcPr>
        <w:shd w:val="clear" w:color="auto" w:fill="BFBFBF"/>
      </w:tcPr>
    </w:tblStylePr>
  </w:style>
  <w:style w:type="paragraph" w:customStyle="1" w:styleId="EndNoteBibliographyTitle">
    <w:name w:val="EndNote Bibliography Title"/>
    <w:basedOn w:val="Normal"/>
    <w:link w:val="EndNoteBibliographyTitleChar"/>
    <w:rsid w:val="001940D8"/>
    <w:pPr>
      <w:jc w:val="center"/>
    </w:pPr>
    <w:rPr>
      <w:noProof/>
      <w:lang w:val="en-US"/>
    </w:rPr>
  </w:style>
  <w:style w:type="character" w:customStyle="1" w:styleId="EndNoteBibliographyTitleChar">
    <w:name w:val="EndNote Bibliography Title Char"/>
    <w:basedOn w:val="DefaultParagraphFont"/>
    <w:link w:val="EndNoteBibliographyTitle"/>
    <w:rsid w:val="001940D8"/>
    <w:rPr>
      <w:rFonts w:ascii="Arial" w:hAnsi="Arial" w:cs="Arial"/>
      <w:noProof/>
      <w:snapToGrid w:val="0"/>
      <w:sz w:val="22"/>
      <w:lang w:val="en-US" w:eastAsia="en-US"/>
    </w:rPr>
  </w:style>
  <w:style w:type="paragraph" w:customStyle="1" w:styleId="EndNoteBibliography">
    <w:name w:val="EndNote Bibliography"/>
    <w:basedOn w:val="Normal"/>
    <w:link w:val="EndNoteBibliographyChar"/>
    <w:rsid w:val="001940D8"/>
    <w:rPr>
      <w:noProof/>
      <w:lang w:val="en-US"/>
    </w:rPr>
  </w:style>
  <w:style w:type="character" w:customStyle="1" w:styleId="EndNoteBibliographyChar">
    <w:name w:val="EndNote Bibliography Char"/>
    <w:basedOn w:val="DefaultParagraphFont"/>
    <w:link w:val="EndNoteBibliography"/>
    <w:rsid w:val="001940D8"/>
    <w:rPr>
      <w:rFonts w:ascii="Arial" w:hAnsi="Arial" w:cs="Arial"/>
      <w:noProof/>
      <w:snapToGrid w:val="0"/>
      <w:sz w:val="22"/>
      <w:lang w:val="en-US" w:eastAsia="en-US"/>
    </w:rPr>
  </w:style>
  <w:style w:type="character" w:customStyle="1" w:styleId="brand">
    <w:name w:val="brand"/>
    <w:rsid w:val="00194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shm.org.au/HCV/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6897</Words>
  <Characters>41149</Characters>
  <Application>Microsoft Office Word</Application>
  <DocSecurity>0</DocSecurity>
  <Lines>342</Lines>
  <Paragraphs>95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GIRDWOOD, David</dc:creator>
  <cp:lastModifiedBy>GIRDWOOD, David</cp:lastModifiedBy>
  <cp:revision>1</cp:revision>
  <dcterms:created xsi:type="dcterms:W3CDTF">2018-01-08T01:27:00Z</dcterms:created>
  <dcterms:modified xsi:type="dcterms:W3CDTF">2018-01-08T01:28:00Z</dcterms:modified>
</cp:coreProperties>
</file>