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B58" w:rsidRPr="00C06EDD" w:rsidRDefault="00AD0012" w:rsidP="00C36A36">
      <w:pPr>
        <w:pStyle w:val="Title"/>
        <w:ind w:left="720" w:hanging="720"/>
        <w:rPr>
          <w:rFonts w:asciiTheme="minorHAnsi" w:hAnsiTheme="minorHAnsi"/>
          <w:sz w:val="36"/>
          <w:szCs w:val="36"/>
        </w:rPr>
      </w:pPr>
      <w:bookmarkStart w:id="0" w:name="_GoBack"/>
      <w:bookmarkEnd w:id="0"/>
      <w:r w:rsidRPr="00C06EDD">
        <w:rPr>
          <w:rFonts w:asciiTheme="minorHAnsi" w:hAnsiTheme="minorHAnsi"/>
          <w:sz w:val="36"/>
          <w:szCs w:val="36"/>
        </w:rPr>
        <w:t xml:space="preserve">14.11 </w:t>
      </w:r>
      <w:r w:rsidR="00F60828" w:rsidRPr="00C06EDD">
        <w:rPr>
          <w:rFonts w:asciiTheme="minorHAnsi" w:hAnsiTheme="minorHAnsi"/>
          <w:sz w:val="36"/>
          <w:szCs w:val="36"/>
        </w:rPr>
        <w:t>GOSERELIN</w:t>
      </w:r>
      <w:r w:rsidR="008A50F1" w:rsidRPr="00C06EDD">
        <w:rPr>
          <w:rFonts w:asciiTheme="minorHAnsi" w:hAnsiTheme="minorHAnsi"/>
          <w:sz w:val="36"/>
          <w:szCs w:val="36"/>
        </w:rPr>
        <w:t xml:space="preserve"> </w:t>
      </w:r>
      <w:r w:rsidR="008A50F1" w:rsidRPr="00C06EDD">
        <w:rPr>
          <w:rFonts w:asciiTheme="minorHAnsi" w:hAnsiTheme="minorHAnsi"/>
          <w:sz w:val="36"/>
          <w:szCs w:val="36"/>
        </w:rPr>
        <w:br/>
      </w:r>
      <w:r w:rsidR="00626751" w:rsidRPr="00C06EDD">
        <w:rPr>
          <w:rFonts w:asciiTheme="minorHAnsi" w:hAnsiTheme="minorHAnsi"/>
          <w:sz w:val="36"/>
          <w:szCs w:val="36"/>
        </w:rPr>
        <w:t xml:space="preserve"> </w:t>
      </w:r>
      <w:r w:rsidR="0098540C">
        <w:rPr>
          <w:rFonts w:asciiTheme="minorHAnsi" w:hAnsiTheme="minorHAnsi"/>
          <w:sz w:val="36"/>
          <w:szCs w:val="36"/>
        </w:rPr>
        <w:t xml:space="preserve"> </w:t>
      </w:r>
      <w:r w:rsidR="00F60828" w:rsidRPr="00C06EDD">
        <w:rPr>
          <w:rFonts w:asciiTheme="minorHAnsi" w:hAnsiTheme="minorHAnsi"/>
          <w:sz w:val="36"/>
          <w:szCs w:val="36"/>
        </w:rPr>
        <w:t>3.6 mg implant</w:t>
      </w:r>
      <w:r w:rsidR="008A50F1" w:rsidRPr="00C06EDD">
        <w:rPr>
          <w:rFonts w:asciiTheme="minorHAnsi" w:hAnsiTheme="minorHAnsi"/>
          <w:sz w:val="36"/>
          <w:szCs w:val="36"/>
        </w:rPr>
        <w:t xml:space="preserve"> </w:t>
      </w:r>
      <w:r w:rsidR="008A50F1" w:rsidRPr="00C06EDD">
        <w:rPr>
          <w:rFonts w:asciiTheme="minorHAnsi" w:hAnsiTheme="minorHAnsi"/>
          <w:sz w:val="36"/>
          <w:szCs w:val="36"/>
        </w:rPr>
        <w:br/>
      </w:r>
      <w:r w:rsidR="0098540C">
        <w:rPr>
          <w:rFonts w:asciiTheme="minorHAnsi" w:hAnsiTheme="minorHAnsi"/>
          <w:sz w:val="36"/>
          <w:szCs w:val="36"/>
        </w:rPr>
        <w:t xml:space="preserve"> </w:t>
      </w:r>
      <w:r w:rsidR="00626751" w:rsidRPr="00C06EDD">
        <w:rPr>
          <w:rFonts w:asciiTheme="minorHAnsi" w:hAnsiTheme="minorHAnsi"/>
          <w:sz w:val="36"/>
          <w:szCs w:val="36"/>
        </w:rPr>
        <w:t xml:space="preserve"> </w:t>
      </w:r>
      <w:r w:rsidR="00F60828" w:rsidRPr="00C06EDD">
        <w:rPr>
          <w:rFonts w:asciiTheme="minorHAnsi" w:hAnsiTheme="minorHAnsi"/>
          <w:sz w:val="36"/>
          <w:szCs w:val="36"/>
        </w:rPr>
        <w:t>Zoladex Implant</w:t>
      </w:r>
      <w:r w:rsidR="0004240E" w:rsidRPr="00C06EDD">
        <w:rPr>
          <w:rFonts w:asciiTheme="minorHAnsi" w:hAnsiTheme="minorHAnsi"/>
          <w:sz w:val="36"/>
          <w:szCs w:val="36"/>
        </w:rPr>
        <w:t>®</w:t>
      </w:r>
      <w:r w:rsidR="00EF44A0" w:rsidRPr="00C06EDD">
        <w:rPr>
          <w:rFonts w:asciiTheme="minorHAnsi" w:hAnsiTheme="minorHAnsi"/>
          <w:sz w:val="36"/>
          <w:szCs w:val="36"/>
        </w:rPr>
        <w:t xml:space="preserve">, </w:t>
      </w:r>
      <w:r w:rsidR="0098540C">
        <w:rPr>
          <w:rFonts w:asciiTheme="minorHAnsi" w:hAnsiTheme="minorHAnsi"/>
          <w:sz w:val="36"/>
          <w:szCs w:val="36"/>
        </w:rPr>
        <w:br/>
        <w:t xml:space="preserve">  </w:t>
      </w:r>
      <w:r w:rsidR="00F60828" w:rsidRPr="00C06EDD">
        <w:rPr>
          <w:rFonts w:asciiTheme="minorHAnsi" w:hAnsiTheme="minorHAnsi"/>
          <w:sz w:val="36"/>
          <w:szCs w:val="36"/>
        </w:rPr>
        <w:t>Astra Zeneca Pty Ltd</w:t>
      </w:r>
    </w:p>
    <w:p w:rsidR="0073516E" w:rsidRPr="001C6E3D" w:rsidRDefault="0073516E" w:rsidP="00C27B58">
      <w:pPr>
        <w:pStyle w:val="NoSpacing"/>
        <w:rPr>
          <w:rFonts w:asciiTheme="minorHAnsi" w:hAnsiTheme="minorHAnsi"/>
          <w:sz w:val="24"/>
          <w:szCs w:val="24"/>
        </w:rPr>
      </w:pPr>
    </w:p>
    <w:p w:rsidR="00E15627" w:rsidRPr="00C06EDD" w:rsidRDefault="00CE10C4" w:rsidP="00C06EDD">
      <w:pPr>
        <w:pStyle w:val="PBACHeading1"/>
      </w:pPr>
      <w:r w:rsidRPr="00C06EDD">
        <w:t xml:space="preserve">Purpose of </w:t>
      </w:r>
      <w:r w:rsidR="0004240E" w:rsidRPr="00C06EDD">
        <w:t>Application</w:t>
      </w:r>
    </w:p>
    <w:p w:rsidR="008A50F1" w:rsidRPr="001C6E3D" w:rsidRDefault="008A50F1" w:rsidP="00E15627">
      <w:pPr>
        <w:rPr>
          <w:rFonts w:asciiTheme="minorHAnsi" w:hAnsiTheme="minorHAnsi"/>
        </w:rPr>
      </w:pPr>
    </w:p>
    <w:p w:rsidR="00F9629A" w:rsidRPr="001C6E3D" w:rsidRDefault="001624C6" w:rsidP="001624C6">
      <w:pPr>
        <w:pStyle w:val="ListParagraph"/>
        <w:numPr>
          <w:ilvl w:val="1"/>
          <w:numId w:val="5"/>
        </w:numPr>
        <w:rPr>
          <w:rFonts w:asciiTheme="minorHAnsi" w:hAnsiTheme="minorHAnsi"/>
          <w:sz w:val="24"/>
          <w:szCs w:val="24"/>
        </w:rPr>
      </w:pPr>
      <w:r w:rsidRPr="001C6E3D">
        <w:rPr>
          <w:rFonts w:asciiTheme="minorHAnsi" w:hAnsiTheme="minorHAnsi"/>
          <w:sz w:val="24"/>
          <w:szCs w:val="24"/>
        </w:rPr>
        <w:t>The minor submission</w:t>
      </w:r>
      <w:r w:rsidR="001D3EB1" w:rsidRPr="001C6E3D">
        <w:rPr>
          <w:rFonts w:asciiTheme="minorHAnsi" w:hAnsiTheme="minorHAnsi"/>
          <w:sz w:val="24"/>
          <w:szCs w:val="24"/>
        </w:rPr>
        <w:t xml:space="preserve"> </w:t>
      </w:r>
      <w:r w:rsidR="00F66BD8" w:rsidRPr="001C6E3D">
        <w:rPr>
          <w:rFonts w:asciiTheme="minorHAnsi" w:hAnsiTheme="minorHAnsi"/>
          <w:sz w:val="24"/>
          <w:szCs w:val="24"/>
        </w:rPr>
        <w:t xml:space="preserve">requested an amendment to the restriction for goserelin 3.6 mg implant for the prevention of premature ovarian failure (POF) in patients undergoing </w:t>
      </w:r>
      <w:r w:rsidR="00A770E4" w:rsidRPr="001C6E3D">
        <w:rPr>
          <w:rFonts w:asciiTheme="minorHAnsi" w:hAnsiTheme="minorHAnsi"/>
          <w:sz w:val="24"/>
          <w:szCs w:val="24"/>
        </w:rPr>
        <w:t>treatment with alkylating agents</w:t>
      </w:r>
      <w:r w:rsidRPr="001C6E3D">
        <w:rPr>
          <w:rFonts w:asciiTheme="minorHAnsi" w:hAnsiTheme="minorHAnsi"/>
          <w:sz w:val="24"/>
          <w:szCs w:val="24"/>
        </w:rPr>
        <w:t>.</w:t>
      </w:r>
    </w:p>
    <w:p w:rsidR="001624C6" w:rsidRDefault="001624C6" w:rsidP="00BF388D">
      <w:pPr>
        <w:rPr>
          <w:rFonts w:asciiTheme="minorHAnsi" w:hAnsiTheme="minorHAnsi"/>
        </w:rPr>
      </w:pPr>
    </w:p>
    <w:p w:rsidR="002B23DE" w:rsidRPr="001C6E3D" w:rsidRDefault="002B23DE" w:rsidP="00BF388D">
      <w:pPr>
        <w:rPr>
          <w:rFonts w:asciiTheme="minorHAnsi" w:hAnsiTheme="minorHAnsi"/>
        </w:rPr>
      </w:pPr>
    </w:p>
    <w:p w:rsidR="00962223" w:rsidRPr="00C06EDD" w:rsidRDefault="006A12A5" w:rsidP="00C06EDD">
      <w:pPr>
        <w:pStyle w:val="PBACHeading1"/>
      </w:pPr>
      <w:r w:rsidRPr="00C06EDD">
        <w:t>Requested listing</w:t>
      </w:r>
    </w:p>
    <w:p w:rsidR="006A12A5" w:rsidRPr="001C6E3D" w:rsidRDefault="006A12A5" w:rsidP="00882085">
      <w:pPr>
        <w:jc w:val="both"/>
        <w:rPr>
          <w:rFonts w:asciiTheme="minorHAnsi" w:hAnsiTheme="minorHAnsi"/>
        </w:rPr>
      </w:pPr>
    </w:p>
    <w:p w:rsidR="00826F6D" w:rsidRPr="001C6E3D" w:rsidRDefault="00EF44A0" w:rsidP="008A50F1">
      <w:pPr>
        <w:pStyle w:val="ListParagraph"/>
        <w:numPr>
          <w:ilvl w:val="1"/>
          <w:numId w:val="5"/>
        </w:numPr>
        <w:rPr>
          <w:rFonts w:asciiTheme="minorHAnsi" w:hAnsiTheme="minorHAnsi"/>
          <w:sz w:val="24"/>
          <w:szCs w:val="24"/>
        </w:rPr>
      </w:pPr>
      <w:r w:rsidRPr="001C6E3D">
        <w:rPr>
          <w:rFonts w:asciiTheme="minorHAnsi" w:hAnsiTheme="minorHAnsi"/>
          <w:sz w:val="24"/>
          <w:szCs w:val="24"/>
        </w:rPr>
        <w:t xml:space="preserve">The submission </w:t>
      </w:r>
      <w:r w:rsidR="00F66BD8" w:rsidRPr="001C6E3D">
        <w:rPr>
          <w:rFonts w:asciiTheme="minorHAnsi" w:hAnsiTheme="minorHAnsi"/>
          <w:sz w:val="24"/>
          <w:szCs w:val="24"/>
        </w:rPr>
        <w:t>proposed two options for the restriction; an unrestricted benefit, or a new restricted benefit listing, as outlined below.</w:t>
      </w:r>
    </w:p>
    <w:p w:rsidR="00B6567D" w:rsidRDefault="00B6567D"/>
    <w:tbl>
      <w:tblPr>
        <w:tblW w:w="8363" w:type="dxa"/>
        <w:tblInd w:w="817" w:type="dxa"/>
        <w:tblLayout w:type="fixed"/>
        <w:tblLook w:val="0000" w:firstRow="0" w:lastRow="0" w:firstColumn="0" w:lastColumn="0" w:noHBand="0" w:noVBand="0"/>
      </w:tblPr>
      <w:tblGrid>
        <w:gridCol w:w="2410"/>
        <w:gridCol w:w="425"/>
        <w:gridCol w:w="709"/>
        <w:gridCol w:w="709"/>
        <w:gridCol w:w="1417"/>
        <w:gridCol w:w="1418"/>
        <w:gridCol w:w="1275"/>
      </w:tblGrid>
      <w:tr w:rsidR="00F60828" w:rsidRPr="00260CE3" w:rsidTr="00B6567D">
        <w:trPr>
          <w:cantSplit/>
          <w:trHeight w:val="471"/>
        </w:trPr>
        <w:tc>
          <w:tcPr>
            <w:tcW w:w="2835" w:type="dxa"/>
            <w:gridSpan w:val="2"/>
            <w:tcBorders>
              <w:bottom w:val="single" w:sz="4" w:space="0" w:color="auto"/>
            </w:tcBorders>
          </w:tcPr>
          <w:p w:rsidR="00F60828" w:rsidRPr="00260CE3" w:rsidRDefault="00F60828" w:rsidP="006C56F4">
            <w:pPr>
              <w:keepNext/>
              <w:ind w:left="-108"/>
              <w:jc w:val="both"/>
              <w:rPr>
                <w:rFonts w:ascii="Arial Narrow" w:hAnsi="Arial Narrow" w:cs="Arial"/>
                <w:sz w:val="20"/>
                <w:szCs w:val="20"/>
              </w:rPr>
            </w:pPr>
            <w:r w:rsidRPr="00260CE3">
              <w:rPr>
                <w:rFonts w:ascii="Arial Narrow" w:hAnsi="Arial Narrow" w:cs="Arial"/>
                <w:sz w:val="20"/>
                <w:szCs w:val="20"/>
              </w:rPr>
              <w:t>Name, Restriction,</w:t>
            </w:r>
          </w:p>
          <w:p w:rsidR="00F60828" w:rsidRPr="00260CE3" w:rsidRDefault="00F60828" w:rsidP="006C56F4">
            <w:pPr>
              <w:keepNext/>
              <w:ind w:left="-108"/>
              <w:jc w:val="both"/>
              <w:rPr>
                <w:rFonts w:ascii="Arial Narrow" w:hAnsi="Arial Narrow" w:cs="Arial"/>
                <w:sz w:val="20"/>
                <w:szCs w:val="20"/>
              </w:rPr>
            </w:pPr>
            <w:r w:rsidRPr="00260CE3">
              <w:rPr>
                <w:rFonts w:ascii="Arial Narrow" w:hAnsi="Arial Narrow" w:cs="Arial"/>
                <w:sz w:val="20"/>
                <w:szCs w:val="20"/>
              </w:rPr>
              <w:t>Manner of administration and form</w:t>
            </w:r>
          </w:p>
        </w:tc>
        <w:tc>
          <w:tcPr>
            <w:tcW w:w="709" w:type="dxa"/>
            <w:tcBorders>
              <w:bottom w:val="single" w:sz="4" w:space="0" w:color="auto"/>
            </w:tcBorders>
          </w:tcPr>
          <w:p w:rsidR="00F60828" w:rsidRPr="00260CE3" w:rsidRDefault="00F60828" w:rsidP="006C56F4">
            <w:pPr>
              <w:keepNext/>
              <w:ind w:left="-108"/>
              <w:jc w:val="both"/>
              <w:rPr>
                <w:rFonts w:ascii="Arial Narrow" w:hAnsi="Arial Narrow" w:cs="Arial"/>
                <w:sz w:val="20"/>
                <w:szCs w:val="20"/>
              </w:rPr>
            </w:pPr>
            <w:r w:rsidRPr="00260CE3">
              <w:rPr>
                <w:rFonts w:ascii="Arial Narrow" w:hAnsi="Arial Narrow" w:cs="Arial"/>
                <w:sz w:val="20"/>
                <w:szCs w:val="20"/>
              </w:rPr>
              <w:t>Max.</w:t>
            </w:r>
          </w:p>
          <w:p w:rsidR="00F60828" w:rsidRPr="00260CE3" w:rsidRDefault="00F60828" w:rsidP="006C56F4">
            <w:pPr>
              <w:keepNext/>
              <w:ind w:left="-108"/>
              <w:jc w:val="both"/>
              <w:rPr>
                <w:rFonts w:ascii="Arial Narrow" w:hAnsi="Arial Narrow" w:cs="Arial"/>
                <w:sz w:val="20"/>
                <w:szCs w:val="20"/>
              </w:rPr>
            </w:pPr>
            <w:r w:rsidRPr="00260CE3">
              <w:rPr>
                <w:rFonts w:ascii="Arial Narrow" w:hAnsi="Arial Narrow" w:cs="Arial"/>
                <w:sz w:val="20"/>
                <w:szCs w:val="20"/>
              </w:rPr>
              <w:t>Qty</w:t>
            </w:r>
          </w:p>
        </w:tc>
        <w:tc>
          <w:tcPr>
            <w:tcW w:w="709" w:type="dxa"/>
            <w:tcBorders>
              <w:bottom w:val="single" w:sz="4" w:space="0" w:color="auto"/>
            </w:tcBorders>
          </w:tcPr>
          <w:p w:rsidR="00F60828" w:rsidRPr="00260CE3" w:rsidRDefault="00F60828" w:rsidP="006C56F4">
            <w:pPr>
              <w:keepNext/>
              <w:ind w:left="-108"/>
              <w:jc w:val="both"/>
              <w:rPr>
                <w:rFonts w:ascii="Arial Narrow" w:hAnsi="Arial Narrow" w:cs="Arial"/>
                <w:sz w:val="20"/>
                <w:szCs w:val="20"/>
              </w:rPr>
            </w:pPr>
            <w:r w:rsidRPr="00260CE3">
              <w:rPr>
                <w:rFonts w:ascii="Arial Narrow" w:hAnsi="Arial Narrow" w:cs="Arial"/>
                <w:sz w:val="20"/>
                <w:szCs w:val="20"/>
              </w:rPr>
              <w:t>№.of</w:t>
            </w:r>
          </w:p>
          <w:p w:rsidR="00F60828" w:rsidRPr="00260CE3" w:rsidRDefault="00F60828" w:rsidP="006C56F4">
            <w:pPr>
              <w:keepNext/>
              <w:ind w:left="-108"/>
              <w:jc w:val="both"/>
              <w:rPr>
                <w:rFonts w:ascii="Arial Narrow" w:hAnsi="Arial Narrow" w:cs="Arial"/>
                <w:sz w:val="20"/>
                <w:szCs w:val="20"/>
              </w:rPr>
            </w:pPr>
            <w:r w:rsidRPr="00260CE3">
              <w:rPr>
                <w:rFonts w:ascii="Arial Narrow" w:hAnsi="Arial Narrow" w:cs="Arial"/>
                <w:sz w:val="20"/>
                <w:szCs w:val="20"/>
              </w:rPr>
              <w:t>Rpts</w:t>
            </w:r>
          </w:p>
        </w:tc>
        <w:tc>
          <w:tcPr>
            <w:tcW w:w="1417" w:type="dxa"/>
            <w:tcBorders>
              <w:bottom w:val="single" w:sz="4" w:space="0" w:color="auto"/>
            </w:tcBorders>
          </w:tcPr>
          <w:p w:rsidR="00F60828" w:rsidRPr="00260CE3" w:rsidRDefault="00F60828" w:rsidP="006C56F4">
            <w:pPr>
              <w:keepNext/>
              <w:ind w:left="-108"/>
              <w:jc w:val="both"/>
              <w:rPr>
                <w:rFonts w:ascii="Arial Narrow" w:hAnsi="Arial Narrow" w:cs="Arial"/>
                <w:sz w:val="20"/>
                <w:szCs w:val="20"/>
              </w:rPr>
            </w:pPr>
            <w:r w:rsidRPr="00260CE3">
              <w:rPr>
                <w:rFonts w:ascii="Arial Narrow" w:hAnsi="Arial Narrow" w:cs="Arial"/>
                <w:sz w:val="20"/>
                <w:szCs w:val="20"/>
              </w:rPr>
              <w:t>Dispensed Price for Max. Qty</w:t>
            </w:r>
          </w:p>
        </w:tc>
        <w:tc>
          <w:tcPr>
            <w:tcW w:w="2693" w:type="dxa"/>
            <w:gridSpan w:val="2"/>
            <w:tcBorders>
              <w:bottom w:val="single" w:sz="4" w:space="0" w:color="auto"/>
            </w:tcBorders>
          </w:tcPr>
          <w:p w:rsidR="00F60828" w:rsidRPr="00260CE3" w:rsidRDefault="00F60828" w:rsidP="006C56F4">
            <w:pPr>
              <w:keepNext/>
              <w:jc w:val="both"/>
              <w:rPr>
                <w:rFonts w:ascii="Arial Narrow" w:hAnsi="Arial Narrow" w:cs="Arial"/>
                <w:sz w:val="20"/>
                <w:szCs w:val="20"/>
                <w:lang w:val="fr-FR"/>
              </w:rPr>
            </w:pPr>
            <w:r w:rsidRPr="00260CE3">
              <w:rPr>
                <w:rFonts w:ascii="Arial Narrow" w:hAnsi="Arial Narrow" w:cs="Arial"/>
                <w:sz w:val="20"/>
                <w:szCs w:val="20"/>
              </w:rPr>
              <w:t>Proprietary Name and Manufacturer</w:t>
            </w:r>
          </w:p>
        </w:tc>
      </w:tr>
      <w:tr w:rsidR="00F60828" w:rsidRPr="00260CE3" w:rsidTr="0098540C">
        <w:trPr>
          <w:cantSplit/>
          <w:trHeight w:val="577"/>
        </w:trPr>
        <w:tc>
          <w:tcPr>
            <w:tcW w:w="2835" w:type="dxa"/>
            <w:gridSpan w:val="2"/>
          </w:tcPr>
          <w:p w:rsidR="00F60828" w:rsidRPr="00260CE3" w:rsidRDefault="00F60828" w:rsidP="006C56F4">
            <w:pPr>
              <w:keepNext/>
              <w:ind w:left="-108"/>
              <w:jc w:val="both"/>
              <w:rPr>
                <w:rFonts w:ascii="Arial Narrow" w:hAnsi="Arial Narrow" w:cs="Arial"/>
                <w:sz w:val="20"/>
                <w:szCs w:val="20"/>
              </w:rPr>
            </w:pPr>
            <w:r>
              <w:rPr>
                <w:rFonts w:ascii="Arial Narrow" w:hAnsi="Arial Narrow" w:cs="Arial"/>
                <w:smallCaps/>
                <w:sz w:val="20"/>
                <w:szCs w:val="20"/>
              </w:rPr>
              <w:t>GOSERELIN</w:t>
            </w:r>
          </w:p>
          <w:p w:rsidR="00F60828" w:rsidRPr="00260CE3" w:rsidRDefault="00F60828" w:rsidP="006C56F4">
            <w:pPr>
              <w:keepNext/>
              <w:ind w:left="-108"/>
              <w:jc w:val="both"/>
              <w:rPr>
                <w:rFonts w:ascii="Arial Narrow" w:hAnsi="Arial Narrow" w:cs="Arial"/>
                <w:sz w:val="20"/>
                <w:szCs w:val="20"/>
              </w:rPr>
            </w:pPr>
            <w:r>
              <w:rPr>
                <w:rFonts w:ascii="Arial Narrow" w:hAnsi="Arial Narrow" w:cs="Arial"/>
                <w:sz w:val="20"/>
                <w:szCs w:val="20"/>
              </w:rPr>
              <w:t>3.6 mg, implant</w:t>
            </w:r>
          </w:p>
        </w:tc>
        <w:tc>
          <w:tcPr>
            <w:tcW w:w="709" w:type="dxa"/>
          </w:tcPr>
          <w:p w:rsidR="00F60828" w:rsidRPr="00260CE3" w:rsidRDefault="00F60828" w:rsidP="006C56F4">
            <w:pPr>
              <w:keepNext/>
              <w:ind w:left="-108"/>
              <w:jc w:val="both"/>
              <w:rPr>
                <w:rFonts w:ascii="Arial Narrow" w:hAnsi="Arial Narrow" w:cs="Arial"/>
                <w:sz w:val="20"/>
                <w:szCs w:val="20"/>
              </w:rPr>
            </w:pPr>
          </w:p>
          <w:p w:rsidR="00F60828" w:rsidRPr="00260CE3" w:rsidRDefault="00F60828" w:rsidP="006C56F4">
            <w:pPr>
              <w:keepNext/>
              <w:ind w:left="-108"/>
              <w:jc w:val="both"/>
              <w:rPr>
                <w:rFonts w:ascii="Arial Narrow" w:hAnsi="Arial Narrow" w:cs="Arial"/>
                <w:sz w:val="20"/>
                <w:szCs w:val="20"/>
              </w:rPr>
            </w:pPr>
            <w:r>
              <w:rPr>
                <w:rFonts w:ascii="Arial Narrow" w:hAnsi="Arial Narrow" w:cs="Arial"/>
                <w:sz w:val="20"/>
                <w:szCs w:val="20"/>
              </w:rPr>
              <w:t>1</w:t>
            </w:r>
          </w:p>
        </w:tc>
        <w:tc>
          <w:tcPr>
            <w:tcW w:w="709" w:type="dxa"/>
          </w:tcPr>
          <w:p w:rsidR="00F60828" w:rsidRPr="00260CE3" w:rsidRDefault="00F60828" w:rsidP="006C56F4">
            <w:pPr>
              <w:keepNext/>
              <w:ind w:left="-108"/>
              <w:jc w:val="both"/>
              <w:rPr>
                <w:rFonts w:ascii="Arial Narrow" w:hAnsi="Arial Narrow" w:cs="Arial"/>
                <w:sz w:val="20"/>
                <w:szCs w:val="20"/>
              </w:rPr>
            </w:pPr>
          </w:p>
          <w:p w:rsidR="00F60828" w:rsidRPr="00260CE3" w:rsidRDefault="00F60828" w:rsidP="006C56F4">
            <w:pPr>
              <w:keepNext/>
              <w:ind w:left="-108"/>
              <w:jc w:val="both"/>
              <w:rPr>
                <w:rFonts w:ascii="Arial Narrow" w:hAnsi="Arial Narrow" w:cs="Arial"/>
                <w:sz w:val="20"/>
                <w:szCs w:val="20"/>
              </w:rPr>
            </w:pPr>
            <w:r>
              <w:rPr>
                <w:rFonts w:ascii="Arial Narrow" w:hAnsi="Arial Narrow" w:cs="Arial"/>
                <w:sz w:val="20"/>
                <w:szCs w:val="20"/>
              </w:rPr>
              <w:t>5</w:t>
            </w:r>
          </w:p>
        </w:tc>
        <w:tc>
          <w:tcPr>
            <w:tcW w:w="1417" w:type="dxa"/>
          </w:tcPr>
          <w:p w:rsidR="00F60828" w:rsidRPr="00260CE3" w:rsidRDefault="00F60828" w:rsidP="006C56F4">
            <w:pPr>
              <w:keepNext/>
              <w:ind w:left="-108"/>
              <w:jc w:val="both"/>
              <w:rPr>
                <w:rFonts w:ascii="Arial Narrow" w:hAnsi="Arial Narrow" w:cs="Arial"/>
                <w:sz w:val="20"/>
                <w:szCs w:val="20"/>
              </w:rPr>
            </w:pPr>
          </w:p>
          <w:p w:rsidR="00F60828" w:rsidRPr="00260CE3" w:rsidRDefault="00F60828" w:rsidP="001F2984">
            <w:pPr>
              <w:keepNext/>
              <w:ind w:left="-108"/>
              <w:jc w:val="both"/>
              <w:rPr>
                <w:rFonts w:ascii="Arial Narrow" w:hAnsi="Arial Narrow" w:cs="Arial"/>
                <w:sz w:val="20"/>
                <w:szCs w:val="20"/>
              </w:rPr>
            </w:pPr>
            <w:r w:rsidRPr="00260CE3">
              <w:rPr>
                <w:rFonts w:ascii="Arial Narrow" w:hAnsi="Arial Narrow" w:cs="Arial"/>
                <w:sz w:val="20"/>
                <w:szCs w:val="20"/>
              </w:rPr>
              <w:t>$</w:t>
            </w:r>
            <w:r>
              <w:rPr>
                <w:rFonts w:ascii="Arial Narrow" w:hAnsi="Arial Narrow" w:cs="Arial"/>
                <w:sz w:val="20"/>
                <w:szCs w:val="20"/>
              </w:rPr>
              <w:t>307.67</w:t>
            </w:r>
          </w:p>
        </w:tc>
        <w:tc>
          <w:tcPr>
            <w:tcW w:w="1418" w:type="dxa"/>
          </w:tcPr>
          <w:p w:rsidR="00F60828" w:rsidRPr="00260CE3" w:rsidRDefault="00F60828" w:rsidP="006C56F4">
            <w:pPr>
              <w:keepNext/>
              <w:jc w:val="both"/>
              <w:rPr>
                <w:rFonts w:ascii="Arial Narrow" w:hAnsi="Arial Narrow" w:cs="Arial"/>
                <w:sz w:val="20"/>
                <w:szCs w:val="20"/>
              </w:rPr>
            </w:pPr>
            <w:r>
              <w:rPr>
                <w:rFonts w:ascii="Arial Narrow" w:hAnsi="Arial Narrow" w:cs="Arial"/>
                <w:sz w:val="20"/>
                <w:szCs w:val="20"/>
              </w:rPr>
              <w:t>Zoladex Implant</w:t>
            </w:r>
          </w:p>
        </w:tc>
        <w:tc>
          <w:tcPr>
            <w:tcW w:w="1275" w:type="dxa"/>
          </w:tcPr>
          <w:p w:rsidR="00F60828" w:rsidRPr="00260CE3" w:rsidRDefault="00F60828" w:rsidP="006C56F4">
            <w:pPr>
              <w:keepNext/>
              <w:jc w:val="both"/>
              <w:rPr>
                <w:rFonts w:ascii="Arial Narrow" w:hAnsi="Arial Narrow" w:cs="Arial"/>
                <w:sz w:val="20"/>
                <w:szCs w:val="20"/>
              </w:rPr>
            </w:pPr>
            <w:r>
              <w:rPr>
                <w:rFonts w:ascii="Arial Narrow" w:hAnsi="Arial Narrow" w:cs="Arial"/>
                <w:sz w:val="20"/>
                <w:szCs w:val="20"/>
              </w:rPr>
              <w:t>Astra Zeneca</w:t>
            </w:r>
            <w:r w:rsidR="0098540C">
              <w:rPr>
                <w:rFonts w:ascii="Arial Narrow" w:hAnsi="Arial Narrow" w:cs="Arial"/>
                <w:sz w:val="20"/>
                <w:szCs w:val="20"/>
              </w:rPr>
              <w:t xml:space="preserve"> Pty Ltd</w:t>
            </w:r>
          </w:p>
        </w:tc>
      </w:tr>
      <w:tr w:rsidR="00F60828" w:rsidRPr="00260CE3" w:rsidTr="00B6567D">
        <w:trPr>
          <w:cantSplit/>
          <w:trHeight w:val="360"/>
        </w:trPr>
        <w:tc>
          <w:tcPr>
            <w:tcW w:w="2410" w:type="dxa"/>
            <w:tcBorders>
              <w:top w:val="single" w:sz="4" w:space="0" w:color="auto"/>
              <w:left w:val="single" w:sz="4" w:space="0" w:color="auto"/>
              <w:bottom w:val="single" w:sz="4" w:space="0" w:color="auto"/>
              <w:right w:val="single" w:sz="4" w:space="0" w:color="auto"/>
            </w:tcBorders>
          </w:tcPr>
          <w:p w:rsidR="00F60828" w:rsidRPr="00260CE3" w:rsidRDefault="00F60828" w:rsidP="001C6E3D">
            <w:pPr>
              <w:jc w:val="both"/>
              <w:rPr>
                <w:rFonts w:ascii="Arial Narrow" w:hAnsi="Arial Narrow" w:cs="Arial"/>
                <w:b/>
                <w:sz w:val="20"/>
                <w:szCs w:val="20"/>
              </w:rPr>
            </w:pPr>
            <w:r w:rsidRPr="00260CE3">
              <w:rPr>
                <w:rFonts w:ascii="Arial Narrow" w:hAnsi="Arial Narrow" w:cs="Arial"/>
                <w:b/>
                <w:sz w:val="20"/>
                <w:szCs w:val="20"/>
              </w:rPr>
              <w:t>Category / Program</w:t>
            </w:r>
          </w:p>
        </w:tc>
        <w:tc>
          <w:tcPr>
            <w:tcW w:w="5953" w:type="dxa"/>
            <w:gridSpan w:val="6"/>
            <w:tcBorders>
              <w:top w:val="single" w:sz="4" w:space="0" w:color="auto"/>
              <w:left w:val="single" w:sz="4" w:space="0" w:color="auto"/>
              <w:bottom w:val="single" w:sz="4" w:space="0" w:color="auto"/>
              <w:right w:val="single" w:sz="4" w:space="0" w:color="auto"/>
            </w:tcBorders>
          </w:tcPr>
          <w:p w:rsidR="00F60828" w:rsidRPr="00260CE3" w:rsidRDefault="00F60828" w:rsidP="006C56F4">
            <w:pPr>
              <w:rPr>
                <w:rFonts w:ascii="Arial Narrow" w:hAnsi="Arial Narrow" w:cs="Arial"/>
                <w:sz w:val="20"/>
                <w:szCs w:val="20"/>
              </w:rPr>
            </w:pPr>
            <w:r w:rsidRPr="00260CE3">
              <w:rPr>
                <w:rFonts w:ascii="Arial Narrow" w:hAnsi="Arial Narrow" w:cs="Arial"/>
                <w:sz w:val="20"/>
                <w:szCs w:val="20"/>
              </w:rPr>
              <w:t>GENERAL – General Schedule (Code GE)</w:t>
            </w:r>
          </w:p>
        </w:tc>
      </w:tr>
      <w:tr w:rsidR="00F60828" w:rsidRPr="00260CE3" w:rsidTr="00B6567D">
        <w:trPr>
          <w:cantSplit/>
          <w:trHeight w:val="360"/>
        </w:trPr>
        <w:tc>
          <w:tcPr>
            <w:tcW w:w="2410" w:type="dxa"/>
            <w:tcBorders>
              <w:top w:val="single" w:sz="4" w:space="0" w:color="auto"/>
              <w:left w:val="single" w:sz="4" w:space="0" w:color="auto"/>
              <w:bottom w:val="single" w:sz="4" w:space="0" w:color="auto"/>
              <w:right w:val="single" w:sz="4" w:space="0" w:color="auto"/>
            </w:tcBorders>
          </w:tcPr>
          <w:p w:rsidR="00F60828" w:rsidRPr="00260CE3" w:rsidRDefault="00F60828" w:rsidP="006C56F4">
            <w:pPr>
              <w:jc w:val="both"/>
              <w:rPr>
                <w:rFonts w:ascii="Arial Narrow" w:hAnsi="Arial Narrow" w:cs="Arial"/>
                <w:b/>
                <w:sz w:val="20"/>
                <w:szCs w:val="20"/>
              </w:rPr>
            </w:pPr>
            <w:r w:rsidRPr="00260CE3">
              <w:rPr>
                <w:rFonts w:ascii="Arial Narrow" w:hAnsi="Arial Narrow" w:cs="Arial"/>
                <w:b/>
                <w:sz w:val="20"/>
                <w:szCs w:val="20"/>
              </w:rPr>
              <w:t>Prescriber type:</w:t>
            </w:r>
          </w:p>
        </w:tc>
        <w:tc>
          <w:tcPr>
            <w:tcW w:w="5953" w:type="dxa"/>
            <w:gridSpan w:val="6"/>
            <w:tcBorders>
              <w:top w:val="single" w:sz="4" w:space="0" w:color="auto"/>
              <w:left w:val="single" w:sz="4" w:space="0" w:color="auto"/>
              <w:bottom w:val="single" w:sz="4" w:space="0" w:color="auto"/>
              <w:right w:val="single" w:sz="4" w:space="0" w:color="auto"/>
            </w:tcBorders>
          </w:tcPr>
          <w:p w:rsidR="00F60828" w:rsidRPr="00260CE3" w:rsidRDefault="00F60828" w:rsidP="006C56F4">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BF4FF9">
              <w:rPr>
                <w:rFonts w:ascii="Arial Narrow" w:hAnsi="Arial Narrow" w:cs="Arial"/>
                <w:sz w:val="20"/>
                <w:szCs w:val="20"/>
              </w:rPr>
            </w:r>
            <w:r w:rsidR="00BF4FF9">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BF4FF9">
              <w:rPr>
                <w:rFonts w:ascii="Arial Narrow" w:hAnsi="Arial Narrow" w:cs="Arial"/>
                <w:sz w:val="20"/>
                <w:szCs w:val="20"/>
              </w:rPr>
            </w:r>
            <w:r w:rsidR="00BF4FF9">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Pr="00260CE3">
              <w:rPr>
                <w:rFonts w:ascii="Arial Narrow" w:hAnsi="Arial Narrow" w:cs="Arial"/>
                <w:sz w:val="20"/>
                <w:szCs w:val="20"/>
              </w:rPr>
              <w:fldChar w:fldCharType="begin">
                <w:ffData>
                  <w:name w:val="Check3"/>
                  <w:enabled/>
                  <w:calcOnExit w:val="0"/>
                  <w:checkBox>
                    <w:sizeAuto/>
                    <w:default w:val="0"/>
                  </w:checkBox>
                </w:ffData>
              </w:fldChar>
            </w:r>
            <w:r w:rsidRPr="00260CE3">
              <w:rPr>
                <w:rFonts w:ascii="Arial Narrow" w:hAnsi="Arial Narrow" w:cs="Arial"/>
                <w:sz w:val="20"/>
                <w:szCs w:val="20"/>
              </w:rPr>
              <w:instrText xml:space="preserve"> FORMCHECKBOX </w:instrText>
            </w:r>
            <w:r w:rsidR="00BF4FF9">
              <w:rPr>
                <w:rFonts w:ascii="Arial Narrow" w:hAnsi="Arial Narrow" w:cs="Arial"/>
                <w:sz w:val="20"/>
                <w:szCs w:val="20"/>
              </w:rPr>
            </w:r>
            <w:r w:rsidR="00BF4FF9">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BF4FF9">
              <w:rPr>
                <w:rFonts w:ascii="Arial Narrow" w:hAnsi="Arial Narrow" w:cs="Arial"/>
                <w:sz w:val="20"/>
                <w:szCs w:val="20"/>
              </w:rPr>
            </w:r>
            <w:r w:rsidR="00BF4FF9">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F60828" w:rsidRPr="00260CE3" w:rsidRDefault="00F60828" w:rsidP="006C56F4">
            <w:pPr>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BF4FF9">
              <w:rPr>
                <w:rFonts w:ascii="Arial Narrow" w:hAnsi="Arial Narrow" w:cs="Arial"/>
                <w:sz w:val="20"/>
                <w:szCs w:val="20"/>
              </w:rPr>
            </w:r>
            <w:r w:rsidR="00BF4FF9">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F60828" w:rsidRPr="00260CE3" w:rsidTr="00B6567D">
        <w:trPr>
          <w:cantSplit/>
          <w:trHeight w:val="360"/>
        </w:trPr>
        <w:tc>
          <w:tcPr>
            <w:tcW w:w="2410" w:type="dxa"/>
            <w:tcBorders>
              <w:top w:val="single" w:sz="4" w:space="0" w:color="auto"/>
              <w:left w:val="single" w:sz="4" w:space="0" w:color="auto"/>
              <w:bottom w:val="single" w:sz="4" w:space="0" w:color="auto"/>
              <w:right w:val="single" w:sz="4" w:space="0" w:color="auto"/>
            </w:tcBorders>
          </w:tcPr>
          <w:p w:rsidR="00F60828" w:rsidRPr="00260CE3" w:rsidRDefault="00F60828" w:rsidP="006C56F4">
            <w:pPr>
              <w:jc w:val="both"/>
              <w:rPr>
                <w:rFonts w:ascii="Arial Narrow" w:hAnsi="Arial Narrow" w:cs="Arial"/>
                <w:b/>
                <w:sz w:val="20"/>
                <w:szCs w:val="20"/>
              </w:rPr>
            </w:pPr>
            <w:r w:rsidRPr="00260CE3">
              <w:rPr>
                <w:rFonts w:ascii="Arial Narrow" w:hAnsi="Arial Narrow" w:cs="Arial"/>
                <w:b/>
                <w:sz w:val="20"/>
                <w:szCs w:val="20"/>
              </w:rPr>
              <w:t>Condition:</w:t>
            </w:r>
          </w:p>
        </w:tc>
        <w:tc>
          <w:tcPr>
            <w:tcW w:w="5953" w:type="dxa"/>
            <w:gridSpan w:val="6"/>
            <w:tcBorders>
              <w:top w:val="single" w:sz="4" w:space="0" w:color="auto"/>
              <w:left w:val="single" w:sz="4" w:space="0" w:color="auto"/>
              <w:bottom w:val="single" w:sz="4" w:space="0" w:color="auto"/>
              <w:right w:val="single" w:sz="4" w:space="0" w:color="auto"/>
            </w:tcBorders>
          </w:tcPr>
          <w:p w:rsidR="00F60828" w:rsidRPr="00260CE3" w:rsidRDefault="00F66BD8" w:rsidP="006C56F4">
            <w:pPr>
              <w:rPr>
                <w:rFonts w:ascii="Arial Narrow" w:hAnsi="Arial Narrow" w:cs="Arial"/>
                <w:sz w:val="20"/>
                <w:szCs w:val="20"/>
              </w:rPr>
            </w:pPr>
            <w:r>
              <w:rPr>
                <w:rFonts w:ascii="Arial Narrow" w:hAnsi="Arial Narrow" w:cs="Arial"/>
                <w:sz w:val="20"/>
                <w:szCs w:val="20"/>
              </w:rPr>
              <w:t>Cancer</w:t>
            </w:r>
          </w:p>
        </w:tc>
      </w:tr>
      <w:tr w:rsidR="00F60828" w:rsidRPr="00260CE3" w:rsidTr="00B6567D">
        <w:trPr>
          <w:cantSplit/>
          <w:trHeight w:val="360"/>
        </w:trPr>
        <w:tc>
          <w:tcPr>
            <w:tcW w:w="2410" w:type="dxa"/>
            <w:tcBorders>
              <w:top w:val="single" w:sz="4" w:space="0" w:color="auto"/>
              <w:left w:val="single" w:sz="4" w:space="0" w:color="auto"/>
              <w:bottom w:val="single" w:sz="4" w:space="0" w:color="auto"/>
              <w:right w:val="single" w:sz="4" w:space="0" w:color="auto"/>
            </w:tcBorders>
          </w:tcPr>
          <w:p w:rsidR="00F60828" w:rsidRPr="00260CE3" w:rsidRDefault="00F60828" w:rsidP="006C56F4">
            <w:pPr>
              <w:jc w:val="both"/>
              <w:rPr>
                <w:rFonts w:ascii="Arial Narrow" w:hAnsi="Arial Narrow" w:cs="Arial"/>
                <w:b/>
                <w:sz w:val="20"/>
                <w:szCs w:val="20"/>
              </w:rPr>
            </w:pPr>
            <w:r w:rsidRPr="00260CE3">
              <w:rPr>
                <w:rFonts w:ascii="Arial Narrow" w:hAnsi="Arial Narrow" w:cs="Arial"/>
                <w:b/>
                <w:sz w:val="20"/>
                <w:szCs w:val="20"/>
              </w:rPr>
              <w:t>PBS Indication:</w:t>
            </w:r>
          </w:p>
        </w:tc>
        <w:tc>
          <w:tcPr>
            <w:tcW w:w="5953" w:type="dxa"/>
            <w:gridSpan w:val="6"/>
            <w:tcBorders>
              <w:top w:val="single" w:sz="4" w:space="0" w:color="auto"/>
              <w:left w:val="single" w:sz="4" w:space="0" w:color="auto"/>
              <w:bottom w:val="single" w:sz="4" w:space="0" w:color="auto"/>
              <w:right w:val="single" w:sz="4" w:space="0" w:color="auto"/>
            </w:tcBorders>
          </w:tcPr>
          <w:p w:rsidR="00F60828" w:rsidRPr="00260CE3" w:rsidRDefault="00F66BD8" w:rsidP="006C56F4">
            <w:pPr>
              <w:rPr>
                <w:rFonts w:ascii="Arial Narrow" w:hAnsi="Arial Narrow" w:cs="Arial"/>
                <w:sz w:val="20"/>
                <w:szCs w:val="20"/>
              </w:rPr>
            </w:pPr>
            <w:r>
              <w:rPr>
                <w:rFonts w:ascii="Arial Narrow" w:hAnsi="Arial Narrow" w:cs="Arial"/>
                <w:sz w:val="20"/>
                <w:szCs w:val="20"/>
              </w:rPr>
              <w:t>Cancer</w:t>
            </w:r>
          </w:p>
        </w:tc>
      </w:tr>
      <w:tr w:rsidR="00F60828" w:rsidRPr="00260CE3" w:rsidTr="00B6567D">
        <w:trPr>
          <w:cantSplit/>
          <w:trHeight w:val="360"/>
        </w:trPr>
        <w:tc>
          <w:tcPr>
            <w:tcW w:w="2410" w:type="dxa"/>
            <w:tcBorders>
              <w:top w:val="single" w:sz="4" w:space="0" w:color="auto"/>
              <w:left w:val="single" w:sz="4" w:space="0" w:color="auto"/>
              <w:bottom w:val="single" w:sz="4" w:space="0" w:color="auto"/>
              <w:right w:val="single" w:sz="4" w:space="0" w:color="auto"/>
            </w:tcBorders>
          </w:tcPr>
          <w:p w:rsidR="00F60828" w:rsidRPr="00260CE3" w:rsidRDefault="00F60828" w:rsidP="001C6E3D">
            <w:pPr>
              <w:jc w:val="both"/>
              <w:rPr>
                <w:rFonts w:ascii="Arial Narrow" w:hAnsi="Arial Narrow" w:cs="Arial"/>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tc>
        <w:tc>
          <w:tcPr>
            <w:tcW w:w="5953" w:type="dxa"/>
            <w:gridSpan w:val="6"/>
            <w:tcBorders>
              <w:top w:val="single" w:sz="4" w:space="0" w:color="auto"/>
              <w:left w:val="single" w:sz="4" w:space="0" w:color="auto"/>
              <w:bottom w:val="single" w:sz="4" w:space="0" w:color="auto"/>
              <w:right w:val="single" w:sz="4" w:space="0" w:color="auto"/>
            </w:tcBorders>
          </w:tcPr>
          <w:p w:rsidR="00F60828" w:rsidRPr="00260CE3" w:rsidRDefault="00F60828" w:rsidP="006C56F4">
            <w:pPr>
              <w:rPr>
                <w:rFonts w:ascii="Arial Narrow" w:hAnsi="Arial Narrow" w:cs="Arial"/>
                <w:sz w:val="20"/>
                <w:szCs w:val="20"/>
              </w:rPr>
            </w:pPr>
            <w:r>
              <w:rPr>
                <w:rFonts w:ascii="Arial Narrow" w:hAnsi="Arial Narrow" w:cs="Arial"/>
                <w:sz w:val="20"/>
                <w:szCs w:val="20"/>
              </w:rPr>
              <w:fldChar w:fldCharType="begin">
                <w:ffData>
                  <w:name w:val="Check1"/>
                  <w:enabled/>
                  <w:calcOnExit w:val="0"/>
                  <w:checkBox>
                    <w:sizeAuto/>
                    <w:default w:val="1"/>
                  </w:checkBox>
                </w:ffData>
              </w:fldChar>
            </w:r>
            <w:bookmarkStart w:id="1" w:name="Check1"/>
            <w:r>
              <w:rPr>
                <w:rFonts w:ascii="Arial Narrow" w:hAnsi="Arial Narrow" w:cs="Arial"/>
                <w:sz w:val="20"/>
                <w:szCs w:val="20"/>
              </w:rPr>
              <w:instrText xml:space="preserve"> FORMCHECKBOX </w:instrText>
            </w:r>
            <w:r w:rsidR="00BF4FF9">
              <w:rPr>
                <w:rFonts w:ascii="Arial Narrow" w:hAnsi="Arial Narrow" w:cs="Arial"/>
                <w:sz w:val="20"/>
                <w:szCs w:val="20"/>
              </w:rPr>
            </w:r>
            <w:r w:rsidR="00BF4FF9">
              <w:rPr>
                <w:rFonts w:ascii="Arial Narrow" w:hAnsi="Arial Narrow" w:cs="Arial"/>
                <w:sz w:val="20"/>
                <w:szCs w:val="20"/>
              </w:rPr>
              <w:fldChar w:fldCharType="separate"/>
            </w:r>
            <w:r>
              <w:rPr>
                <w:rFonts w:ascii="Arial Narrow" w:hAnsi="Arial Narrow" w:cs="Arial"/>
                <w:sz w:val="20"/>
                <w:szCs w:val="20"/>
              </w:rPr>
              <w:fldChar w:fldCharType="end"/>
            </w:r>
            <w:bookmarkEnd w:id="1"/>
            <w:r w:rsidRPr="00106BCF">
              <w:rPr>
                <w:rFonts w:ascii="Arial Narrow" w:hAnsi="Arial Narrow" w:cs="Arial"/>
                <w:sz w:val="20"/>
                <w:szCs w:val="20"/>
              </w:rPr>
              <w:t>Restricted benefit</w:t>
            </w:r>
          </w:p>
        </w:tc>
      </w:tr>
    </w:tbl>
    <w:p w:rsidR="004C222C" w:rsidRDefault="004C222C" w:rsidP="00BF388D">
      <w:pPr>
        <w:rPr>
          <w:rFonts w:asciiTheme="minorHAnsi" w:hAnsiTheme="minorHAnsi"/>
        </w:rPr>
      </w:pPr>
    </w:p>
    <w:p w:rsidR="002B23DE" w:rsidRPr="001C6E3D" w:rsidRDefault="002B23DE" w:rsidP="00BF388D">
      <w:pPr>
        <w:rPr>
          <w:rFonts w:asciiTheme="minorHAnsi" w:hAnsiTheme="minorHAnsi"/>
        </w:rPr>
      </w:pPr>
    </w:p>
    <w:p w:rsidR="00CE10C4" w:rsidRPr="00C06EDD" w:rsidRDefault="00CE10C4" w:rsidP="00C06EDD">
      <w:pPr>
        <w:pStyle w:val="PBACHeading1"/>
      </w:pPr>
      <w:r w:rsidRPr="00C06EDD">
        <w:t>Background</w:t>
      </w:r>
    </w:p>
    <w:p w:rsidR="00C603D4" w:rsidRPr="001C6E3D" w:rsidRDefault="00C603D4" w:rsidP="00C603D4">
      <w:pPr>
        <w:rPr>
          <w:rFonts w:asciiTheme="minorHAnsi" w:hAnsiTheme="minorHAnsi"/>
        </w:rPr>
      </w:pPr>
    </w:p>
    <w:p w:rsidR="004213EA" w:rsidRPr="00DC465D" w:rsidRDefault="00B56D23" w:rsidP="004213EA">
      <w:pPr>
        <w:pStyle w:val="ListParagraph"/>
        <w:numPr>
          <w:ilvl w:val="1"/>
          <w:numId w:val="5"/>
        </w:numPr>
        <w:rPr>
          <w:rFonts w:asciiTheme="minorHAnsi" w:hAnsiTheme="minorHAnsi"/>
          <w:sz w:val="24"/>
          <w:szCs w:val="24"/>
        </w:rPr>
      </w:pPr>
      <w:r w:rsidRPr="001C6E3D">
        <w:rPr>
          <w:rFonts w:asciiTheme="minorHAnsi" w:hAnsiTheme="minorHAnsi"/>
          <w:sz w:val="24"/>
          <w:szCs w:val="24"/>
        </w:rPr>
        <w:t>Goserelin 3.6 mg implant is TGA registered for prostate cancer, endometriosis, uterine fibroids, endometrial thinning, assisted reproduction, and treatment of advanced breast cancer (T3b, T4 or any T with N2, 3 or M+) in premenopausal women suitable for hormonal manipulation (PI, p11).</w:t>
      </w:r>
    </w:p>
    <w:p w:rsidR="002B23DE" w:rsidRPr="001C6E3D" w:rsidRDefault="002B23DE" w:rsidP="004213EA">
      <w:pPr>
        <w:rPr>
          <w:rFonts w:asciiTheme="minorHAnsi" w:hAnsiTheme="minorHAnsi"/>
        </w:rPr>
      </w:pPr>
    </w:p>
    <w:p w:rsidR="00B56D23" w:rsidRPr="001C6E3D" w:rsidRDefault="00B56D23" w:rsidP="00B56D23">
      <w:pPr>
        <w:pStyle w:val="ListParagraph"/>
        <w:numPr>
          <w:ilvl w:val="1"/>
          <w:numId w:val="5"/>
        </w:numPr>
        <w:rPr>
          <w:rFonts w:asciiTheme="minorHAnsi" w:hAnsiTheme="minorHAnsi"/>
          <w:sz w:val="24"/>
          <w:szCs w:val="24"/>
        </w:rPr>
      </w:pPr>
      <w:r w:rsidRPr="001C6E3D">
        <w:rPr>
          <w:rFonts w:asciiTheme="minorHAnsi" w:hAnsiTheme="minorHAnsi"/>
          <w:sz w:val="24"/>
          <w:szCs w:val="24"/>
        </w:rPr>
        <w:t>At the December 2014 special meeting, the PBAC recommended that goserelin be listed as a restricted benefit. At the March 2015 PBAC meeting</w:t>
      </w:r>
      <w:r w:rsidR="0073516E" w:rsidRPr="001C6E3D">
        <w:rPr>
          <w:rFonts w:asciiTheme="minorHAnsi" w:hAnsiTheme="minorHAnsi"/>
          <w:sz w:val="24"/>
          <w:szCs w:val="24"/>
        </w:rPr>
        <w:t>,</w:t>
      </w:r>
      <w:r w:rsidRPr="001C6E3D">
        <w:rPr>
          <w:rFonts w:asciiTheme="minorHAnsi" w:hAnsiTheme="minorHAnsi"/>
          <w:sz w:val="24"/>
          <w:szCs w:val="24"/>
        </w:rPr>
        <w:t xml:space="preserve"> the PBAC </w:t>
      </w:r>
      <w:r w:rsidRPr="001C6E3D">
        <w:rPr>
          <w:rFonts w:asciiTheme="minorHAnsi" w:hAnsiTheme="minorHAnsi"/>
          <w:sz w:val="24"/>
          <w:szCs w:val="24"/>
        </w:rPr>
        <w:lastRenderedPageBreak/>
        <w:t xml:space="preserve">recommended that the restriction for goserelin implant 3.6 mg be amended to allow access to hormone receptor positive breast cancer patients at all cancer stages </w:t>
      </w:r>
      <w:r w:rsidR="001D3EB1" w:rsidRPr="001C6E3D">
        <w:rPr>
          <w:rFonts w:asciiTheme="minorHAnsi" w:hAnsiTheme="minorHAnsi"/>
          <w:sz w:val="24"/>
          <w:szCs w:val="24"/>
        </w:rPr>
        <w:t>f</w:t>
      </w:r>
      <w:r w:rsidRPr="001C6E3D">
        <w:rPr>
          <w:rFonts w:asciiTheme="minorHAnsi" w:hAnsiTheme="minorHAnsi"/>
          <w:sz w:val="24"/>
          <w:szCs w:val="24"/>
        </w:rPr>
        <w:t>or chemotherapy treatment.</w:t>
      </w:r>
    </w:p>
    <w:p w:rsidR="00B56D23" w:rsidRPr="001C6E3D" w:rsidRDefault="00B56D23" w:rsidP="00B56D23">
      <w:pPr>
        <w:rPr>
          <w:rFonts w:asciiTheme="minorHAnsi" w:hAnsiTheme="minorHAnsi"/>
        </w:rPr>
      </w:pPr>
    </w:p>
    <w:p w:rsidR="00991586" w:rsidRPr="001C6E3D" w:rsidRDefault="00B56D23" w:rsidP="00626751">
      <w:pPr>
        <w:pStyle w:val="ListParagraph"/>
        <w:numPr>
          <w:ilvl w:val="1"/>
          <w:numId w:val="5"/>
        </w:numPr>
        <w:rPr>
          <w:rFonts w:asciiTheme="minorHAnsi" w:hAnsiTheme="minorHAnsi"/>
          <w:sz w:val="24"/>
          <w:szCs w:val="24"/>
        </w:rPr>
      </w:pPr>
      <w:r w:rsidRPr="001C6E3D">
        <w:rPr>
          <w:rFonts w:asciiTheme="minorHAnsi" w:hAnsiTheme="minorHAnsi"/>
          <w:sz w:val="24"/>
          <w:szCs w:val="24"/>
        </w:rPr>
        <w:t>At the November 2016 PBAC meeting</w:t>
      </w:r>
      <w:r w:rsidR="001C6E3D" w:rsidRPr="001C6E3D">
        <w:rPr>
          <w:rFonts w:asciiTheme="minorHAnsi" w:hAnsiTheme="minorHAnsi"/>
          <w:sz w:val="24"/>
          <w:szCs w:val="24"/>
        </w:rPr>
        <w:t>,</w:t>
      </w:r>
      <w:r w:rsidRPr="001C6E3D">
        <w:rPr>
          <w:rFonts w:asciiTheme="minorHAnsi" w:hAnsiTheme="minorHAnsi"/>
          <w:sz w:val="24"/>
          <w:szCs w:val="24"/>
        </w:rPr>
        <w:t xml:space="preserve"> the PBAC decided to defer </w:t>
      </w:r>
      <w:r w:rsidR="001C6E3D">
        <w:rPr>
          <w:rFonts w:asciiTheme="minorHAnsi" w:hAnsiTheme="minorHAnsi"/>
          <w:sz w:val="24"/>
          <w:szCs w:val="24"/>
        </w:rPr>
        <w:t>a</w:t>
      </w:r>
      <w:r w:rsidRPr="001C6E3D">
        <w:rPr>
          <w:rFonts w:asciiTheme="minorHAnsi" w:hAnsiTheme="minorHAnsi"/>
          <w:sz w:val="24"/>
          <w:szCs w:val="24"/>
        </w:rPr>
        <w:t xml:space="preserve"> submission </w:t>
      </w:r>
      <w:r w:rsidR="00225A37" w:rsidRPr="001C6E3D">
        <w:rPr>
          <w:rFonts w:asciiTheme="minorHAnsi" w:hAnsiTheme="minorHAnsi"/>
          <w:sz w:val="24"/>
          <w:szCs w:val="24"/>
        </w:rPr>
        <w:t xml:space="preserve">from </w:t>
      </w:r>
      <w:r w:rsidR="001B16A7" w:rsidRPr="001C6E3D">
        <w:rPr>
          <w:rFonts w:asciiTheme="minorHAnsi" w:hAnsiTheme="minorHAnsi"/>
          <w:sz w:val="24"/>
          <w:szCs w:val="24"/>
        </w:rPr>
        <w:t>the Medical Oncology Group of Australia (</w:t>
      </w:r>
      <w:r w:rsidR="00225A37" w:rsidRPr="001C6E3D">
        <w:rPr>
          <w:rFonts w:asciiTheme="minorHAnsi" w:hAnsiTheme="minorHAnsi"/>
          <w:sz w:val="24"/>
          <w:szCs w:val="24"/>
        </w:rPr>
        <w:t>MOGA</w:t>
      </w:r>
      <w:r w:rsidR="001B16A7" w:rsidRPr="001C6E3D">
        <w:rPr>
          <w:rFonts w:asciiTheme="minorHAnsi" w:hAnsiTheme="minorHAnsi"/>
          <w:sz w:val="24"/>
          <w:szCs w:val="24"/>
        </w:rPr>
        <w:t>)</w:t>
      </w:r>
      <w:r w:rsidR="00225A37" w:rsidRPr="001C6E3D">
        <w:rPr>
          <w:rFonts w:asciiTheme="minorHAnsi" w:hAnsiTheme="minorHAnsi"/>
          <w:sz w:val="24"/>
          <w:szCs w:val="24"/>
        </w:rPr>
        <w:t xml:space="preserve"> </w:t>
      </w:r>
      <w:r w:rsidR="00511666" w:rsidRPr="001C6E3D">
        <w:rPr>
          <w:rFonts w:asciiTheme="minorHAnsi" w:hAnsiTheme="minorHAnsi"/>
          <w:bCs/>
          <w:sz w:val="24"/>
          <w:szCs w:val="24"/>
          <w:lang w:val="en-GB"/>
        </w:rPr>
        <w:t xml:space="preserve">on the basis that </w:t>
      </w:r>
      <w:r w:rsidR="00225A37" w:rsidRPr="001C6E3D">
        <w:rPr>
          <w:rFonts w:asciiTheme="minorHAnsi" w:hAnsiTheme="minorHAnsi"/>
          <w:bCs/>
          <w:sz w:val="24"/>
          <w:szCs w:val="24"/>
          <w:lang w:val="en-GB"/>
        </w:rPr>
        <w:t xml:space="preserve">additional </w:t>
      </w:r>
      <w:r w:rsidR="00511666" w:rsidRPr="001C6E3D">
        <w:rPr>
          <w:rFonts w:asciiTheme="minorHAnsi" w:hAnsiTheme="minorHAnsi"/>
          <w:bCs/>
          <w:sz w:val="24"/>
          <w:szCs w:val="24"/>
          <w:lang w:val="en-GB"/>
        </w:rPr>
        <w:t>pa</w:t>
      </w:r>
      <w:r w:rsidR="00013AA1" w:rsidRPr="001C6E3D">
        <w:rPr>
          <w:rFonts w:asciiTheme="minorHAnsi" w:hAnsiTheme="minorHAnsi"/>
          <w:bCs/>
          <w:sz w:val="24"/>
          <w:szCs w:val="24"/>
          <w:lang w:val="en-GB"/>
        </w:rPr>
        <w:t xml:space="preserve">tient populations </w:t>
      </w:r>
      <w:r w:rsidR="00225A37" w:rsidRPr="001C6E3D">
        <w:rPr>
          <w:rFonts w:asciiTheme="minorHAnsi" w:hAnsiTheme="minorHAnsi"/>
          <w:bCs/>
          <w:sz w:val="24"/>
          <w:szCs w:val="24"/>
          <w:lang w:val="en-GB"/>
        </w:rPr>
        <w:t>over the one</w:t>
      </w:r>
      <w:r w:rsidR="00511666" w:rsidRPr="001C6E3D">
        <w:rPr>
          <w:rFonts w:asciiTheme="minorHAnsi" w:hAnsiTheme="minorHAnsi"/>
          <w:bCs/>
          <w:sz w:val="24"/>
          <w:szCs w:val="24"/>
          <w:lang w:val="en-GB"/>
        </w:rPr>
        <w:t xml:space="preserve"> proposed</w:t>
      </w:r>
      <w:r w:rsidR="00013AA1" w:rsidRPr="001C6E3D">
        <w:rPr>
          <w:rFonts w:asciiTheme="minorHAnsi" w:hAnsiTheme="minorHAnsi"/>
          <w:bCs/>
          <w:sz w:val="24"/>
          <w:szCs w:val="24"/>
          <w:lang w:val="en-GB"/>
        </w:rPr>
        <w:t xml:space="preserve"> in the submission</w:t>
      </w:r>
      <w:r w:rsidR="00511666" w:rsidRPr="001C6E3D">
        <w:rPr>
          <w:rFonts w:asciiTheme="minorHAnsi" w:hAnsiTheme="minorHAnsi"/>
          <w:bCs/>
          <w:sz w:val="24"/>
          <w:szCs w:val="24"/>
          <w:lang w:val="en-GB"/>
        </w:rPr>
        <w:t xml:space="preserve"> may benefit from this treatment</w:t>
      </w:r>
      <w:r w:rsidR="00A96B5F" w:rsidRPr="001C6E3D">
        <w:rPr>
          <w:rFonts w:asciiTheme="minorHAnsi" w:hAnsiTheme="minorHAnsi"/>
          <w:bCs/>
          <w:sz w:val="24"/>
          <w:szCs w:val="24"/>
          <w:lang w:val="en-GB"/>
        </w:rPr>
        <w:t>,</w:t>
      </w:r>
      <w:r w:rsidR="00511666" w:rsidRPr="001C6E3D">
        <w:rPr>
          <w:rFonts w:asciiTheme="minorHAnsi" w:hAnsiTheme="minorHAnsi"/>
          <w:bCs/>
          <w:sz w:val="24"/>
          <w:szCs w:val="24"/>
          <w:lang w:val="en-GB"/>
        </w:rPr>
        <w:t xml:space="preserve"> and </w:t>
      </w:r>
      <w:r w:rsidR="001D3EB1" w:rsidRPr="001C6E3D">
        <w:rPr>
          <w:rFonts w:asciiTheme="minorHAnsi" w:hAnsiTheme="minorHAnsi"/>
          <w:bCs/>
          <w:sz w:val="24"/>
          <w:szCs w:val="24"/>
          <w:lang w:val="en-GB"/>
        </w:rPr>
        <w:t xml:space="preserve">therefore </w:t>
      </w:r>
      <w:r w:rsidR="00511666" w:rsidRPr="001C6E3D">
        <w:rPr>
          <w:rFonts w:asciiTheme="minorHAnsi" w:hAnsiTheme="minorHAnsi"/>
          <w:bCs/>
          <w:sz w:val="24"/>
          <w:szCs w:val="24"/>
          <w:lang w:val="en-GB"/>
        </w:rPr>
        <w:t xml:space="preserve">that the utilisation </w:t>
      </w:r>
      <w:r w:rsidR="001C6E3D" w:rsidRPr="001C6E3D">
        <w:rPr>
          <w:rFonts w:asciiTheme="minorHAnsi" w:hAnsiTheme="minorHAnsi"/>
          <w:bCs/>
          <w:sz w:val="24"/>
          <w:szCs w:val="24"/>
          <w:lang w:val="en-GB"/>
        </w:rPr>
        <w:t>estimates may be underestimated.</w:t>
      </w:r>
    </w:p>
    <w:p w:rsidR="00F22765" w:rsidRPr="001C6E3D" w:rsidRDefault="00F22765" w:rsidP="00F22765">
      <w:pPr>
        <w:rPr>
          <w:rFonts w:asciiTheme="minorHAnsi" w:hAnsiTheme="minorHAnsi"/>
        </w:rPr>
      </w:pPr>
    </w:p>
    <w:p w:rsidR="00E67DCC" w:rsidRPr="001C6E3D" w:rsidRDefault="001C6E3D" w:rsidP="00225A37">
      <w:pPr>
        <w:pStyle w:val="ListParagraph"/>
        <w:numPr>
          <w:ilvl w:val="1"/>
          <w:numId w:val="5"/>
        </w:numPr>
        <w:rPr>
          <w:rFonts w:asciiTheme="minorHAnsi" w:hAnsiTheme="minorHAnsi"/>
          <w:sz w:val="24"/>
          <w:szCs w:val="24"/>
        </w:rPr>
      </w:pPr>
      <w:r w:rsidRPr="001C6E3D">
        <w:rPr>
          <w:rFonts w:asciiTheme="minorHAnsi" w:hAnsiTheme="minorHAnsi"/>
          <w:sz w:val="24"/>
          <w:szCs w:val="24"/>
        </w:rPr>
        <w:t>A</w:t>
      </w:r>
      <w:r w:rsidR="00F22765" w:rsidRPr="001C6E3D">
        <w:rPr>
          <w:rFonts w:asciiTheme="minorHAnsi" w:hAnsiTheme="minorHAnsi"/>
          <w:sz w:val="24"/>
          <w:szCs w:val="24"/>
        </w:rPr>
        <w:t xml:space="preserve">t the March 2017 meeting, </w:t>
      </w:r>
      <w:r w:rsidRPr="001C6E3D">
        <w:rPr>
          <w:rFonts w:asciiTheme="minorHAnsi" w:hAnsiTheme="minorHAnsi"/>
          <w:sz w:val="24"/>
          <w:szCs w:val="24"/>
        </w:rPr>
        <w:t xml:space="preserve">the PBAC considered a second submission from MOGA </w:t>
      </w:r>
      <w:r w:rsidR="00225A37" w:rsidRPr="001C6E3D">
        <w:rPr>
          <w:rFonts w:asciiTheme="minorHAnsi" w:hAnsiTheme="minorHAnsi"/>
          <w:sz w:val="24"/>
          <w:szCs w:val="24"/>
        </w:rPr>
        <w:t>and</w:t>
      </w:r>
      <w:r w:rsidR="00F22765" w:rsidRPr="001C6E3D">
        <w:rPr>
          <w:rFonts w:asciiTheme="minorHAnsi" w:hAnsiTheme="minorHAnsi"/>
          <w:sz w:val="24"/>
          <w:szCs w:val="24"/>
        </w:rPr>
        <w:t xml:space="preserve"> </w:t>
      </w:r>
      <w:r w:rsidR="00225A37" w:rsidRPr="001C6E3D">
        <w:rPr>
          <w:rFonts w:asciiTheme="minorHAnsi" w:hAnsiTheme="minorHAnsi"/>
          <w:sz w:val="24"/>
          <w:szCs w:val="24"/>
        </w:rPr>
        <w:t>reiterated its position that</w:t>
      </w:r>
      <w:r w:rsidRPr="001C6E3D">
        <w:rPr>
          <w:rFonts w:asciiTheme="minorHAnsi" w:hAnsiTheme="minorHAnsi"/>
          <w:sz w:val="24"/>
          <w:szCs w:val="24"/>
        </w:rPr>
        <w:t>,</w:t>
      </w:r>
      <w:r w:rsidR="00225A37" w:rsidRPr="001C6E3D">
        <w:rPr>
          <w:rFonts w:asciiTheme="minorHAnsi" w:hAnsiTheme="minorHAnsi"/>
          <w:sz w:val="24"/>
          <w:szCs w:val="24"/>
        </w:rPr>
        <w:t xml:space="preserve"> </w:t>
      </w:r>
      <w:r w:rsidR="00225A37" w:rsidRPr="001C6E3D">
        <w:rPr>
          <w:rFonts w:asciiTheme="minorHAnsi" w:hAnsiTheme="minorHAnsi"/>
          <w:bCs/>
          <w:sz w:val="24"/>
          <w:szCs w:val="24"/>
        </w:rPr>
        <w:t xml:space="preserve">for </w:t>
      </w:r>
      <w:r w:rsidR="00AF5013" w:rsidRPr="001C6E3D">
        <w:rPr>
          <w:rFonts w:asciiTheme="minorHAnsi" w:hAnsiTheme="minorHAnsi"/>
          <w:bCs/>
          <w:sz w:val="24"/>
          <w:szCs w:val="24"/>
        </w:rPr>
        <w:t xml:space="preserve">the </w:t>
      </w:r>
      <w:r w:rsidR="00225A37" w:rsidRPr="001C6E3D">
        <w:rPr>
          <w:rFonts w:asciiTheme="minorHAnsi" w:hAnsiTheme="minorHAnsi"/>
          <w:bCs/>
          <w:sz w:val="24"/>
          <w:szCs w:val="24"/>
        </w:rPr>
        <w:t>prevention of POF</w:t>
      </w:r>
      <w:r w:rsidR="0073516E" w:rsidRPr="001C6E3D">
        <w:rPr>
          <w:rFonts w:asciiTheme="minorHAnsi" w:hAnsiTheme="minorHAnsi"/>
          <w:bCs/>
          <w:sz w:val="24"/>
          <w:szCs w:val="24"/>
        </w:rPr>
        <w:t>,</w:t>
      </w:r>
      <w:r w:rsidR="00225A37" w:rsidRPr="001C6E3D">
        <w:rPr>
          <w:rFonts w:asciiTheme="minorHAnsi" w:hAnsiTheme="minorHAnsi"/>
          <w:bCs/>
          <w:sz w:val="24"/>
          <w:szCs w:val="24"/>
        </w:rPr>
        <w:t xml:space="preserve"> </w:t>
      </w:r>
      <w:r w:rsidRPr="001C6E3D">
        <w:rPr>
          <w:rFonts w:asciiTheme="minorHAnsi" w:hAnsiTheme="minorHAnsi"/>
          <w:bCs/>
          <w:sz w:val="24"/>
          <w:szCs w:val="24"/>
        </w:rPr>
        <w:t xml:space="preserve">goserelin </w:t>
      </w:r>
      <w:r w:rsidR="00225A37" w:rsidRPr="001C6E3D">
        <w:rPr>
          <w:rFonts w:asciiTheme="minorHAnsi" w:hAnsiTheme="minorHAnsi"/>
          <w:bCs/>
          <w:sz w:val="24"/>
          <w:szCs w:val="24"/>
        </w:rPr>
        <w:t xml:space="preserve">should not only </w:t>
      </w:r>
      <w:r>
        <w:rPr>
          <w:rFonts w:asciiTheme="minorHAnsi" w:hAnsiTheme="minorHAnsi"/>
          <w:bCs/>
          <w:sz w:val="24"/>
          <w:szCs w:val="24"/>
        </w:rPr>
        <w:t xml:space="preserve">be </w:t>
      </w:r>
      <w:r w:rsidR="00225A37" w:rsidRPr="001C6E3D">
        <w:rPr>
          <w:rFonts w:asciiTheme="minorHAnsi" w:hAnsiTheme="minorHAnsi"/>
          <w:bCs/>
          <w:sz w:val="24"/>
          <w:szCs w:val="24"/>
        </w:rPr>
        <w:t>restricted to use in women with breast cancer. However, the PBAC noted that</w:t>
      </w:r>
      <w:r>
        <w:rPr>
          <w:rFonts w:asciiTheme="minorHAnsi" w:hAnsiTheme="minorHAnsi"/>
          <w:bCs/>
          <w:sz w:val="24"/>
          <w:szCs w:val="24"/>
        </w:rPr>
        <w:t>,</w:t>
      </w:r>
      <w:r w:rsidR="00225A37" w:rsidRPr="001C6E3D">
        <w:rPr>
          <w:rFonts w:asciiTheme="minorHAnsi" w:hAnsiTheme="minorHAnsi"/>
          <w:bCs/>
          <w:sz w:val="24"/>
          <w:szCs w:val="24"/>
        </w:rPr>
        <w:t xml:space="preserve"> while there was unlikely to be use outside the restriction for prevention of POF due to the undesirable side effects of goserelin, an unrestricted listing may also result in increased use for other indications, such as endometriosis and uterine fibroids. Therefore, the PBAC deferred the application and requested the Department to work with the sponsor of goserelin to develop an appropriate restriction.</w:t>
      </w:r>
    </w:p>
    <w:p w:rsidR="00225A37" w:rsidRPr="001C6E3D" w:rsidRDefault="00225A37" w:rsidP="00225A37">
      <w:pPr>
        <w:rPr>
          <w:rFonts w:asciiTheme="minorHAnsi" w:hAnsiTheme="minorHAnsi"/>
        </w:rPr>
      </w:pPr>
    </w:p>
    <w:p w:rsidR="00225A37" w:rsidRPr="001C6E3D" w:rsidRDefault="00225A37" w:rsidP="00225A37">
      <w:pPr>
        <w:pStyle w:val="ListParagraph"/>
        <w:numPr>
          <w:ilvl w:val="1"/>
          <w:numId w:val="5"/>
        </w:numPr>
        <w:rPr>
          <w:rFonts w:asciiTheme="minorHAnsi" w:hAnsiTheme="minorHAnsi"/>
          <w:sz w:val="24"/>
          <w:szCs w:val="24"/>
        </w:rPr>
      </w:pPr>
      <w:r w:rsidRPr="001C6E3D">
        <w:rPr>
          <w:rFonts w:asciiTheme="minorHAnsi" w:hAnsiTheme="minorHAnsi"/>
          <w:sz w:val="24"/>
          <w:szCs w:val="24"/>
        </w:rPr>
        <w:t>The current submission is the first from the sponsor of goserelin.</w:t>
      </w:r>
    </w:p>
    <w:p w:rsidR="00BF388D" w:rsidRDefault="00BF388D" w:rsidP="00BF388D">
      <w:pPr>
        <w:rPr>
          <w:rFonts w:asciiTheme="minorHAnsi" w:hAnsiTheme="minorHAnsi"/>
        </w:rPr>
      </w:pPr>
    </w:p>
    <w:p w:rsidR="002B23DE" w:rsidRPr="001C6E3D" w:rsidRDefault="002B23DE" w:rsidP="00BF388D">
      <w:pPr>
        <w:rPr>
          <w:rFonts w:asciiTheme="minorHAnsi" w:hAnsiTheme="minorHAnsi"/>
        </w:rPr>
      </w:pPr>
    </w:p>
    <w:p w:rsidR="004B6359" w:rsidRPr="00C06EDD" w:rsidRDefault="00E67DCC" w:rsidP="00C06EDD">
      <w:pPr>
        <w:pStyle w:val="PBACHeading1"/>
      </w:pPr>
      <w:r w:rsidRPr="00C06EDD">
        <w:t>Current submission</w:t>
      </w:r>
    </w:p>
    <w:p w:rsidR="00E67DCC" w:rsidRPr="001C6E3D" w:rsidRDefault="00E67DCC" w:rsidP="004B6359">
      <w:pPr>
        <w:jc w:val="both"/>
        <w:rPr>
          <w:rFonts w:asciiTheme="minorHAnsi" w:hAnsiTheme="minorHAnsi"/>
        </w:rPr>
      </w:pPr>
    </w:p>
    <w:p w:rsidR="00225A37" w:rsidRPr="001C6E3D" w:rsidRDefault="004B6359" w:rsidP="00E67DCC">
      <w:pPr>
        <w:pStyle w:val="ListParagraph"/>
        <w:numPr>
          <w:ilvl w:val="1"/>
          <w:numId w:val="5"/>
        </w:numPr>
        <w:rPr>
          <w:rFonts w:asciiTheme="minorHAnsi" w:hAnsiTheme="minorHAnsi"/>
          <w:sz w:val="24"/>
          <w:szCs w:val="24"/>
        </w:rPr>
      </w:pPr>
      <w:r w:rsidRPr="001C6E3D">
        <w:rPr>
          <w:rFonts w:asciiTheme="minorHAnsi" w:hAnsiTheme="minorHAnsi"/>
          <w:sz w:val="24"/>
          <w:szCs w:val="24"/>
        </w:rPr>
        <w:t xml:space="preserve">The </w:t>
      </w:r>
      <w:r w:rsidR="00511666" w:rsidRPr="001C6E3D">
        <w:rPr>
          <w:rFonts w:asciiTheme="minorHAnsi" w:hAnsiTheme="minorHAnsi"/>
          <w:sz w:val="24"/>
          <w:szCs w:val="24"/>
        </w:rPr>
        <w:t xml:space="preserve">current submission to the </w:t>
      </w:r>
      <w:r w:rsidRPr="001C6E3D">
        <w:rPr>
          <w:rFonts w:asciiTheme="minorHAnsi" w:hAnsiTheme="minorHAnsi"/>
          <w:sz w:val="24"/>
          <w:szCs w:val="24"/>
        </w:rPr>
        <w:t xml:space="preserve">PBAC </w:t>
      </w:r>
      <w:r w:rsidR="00511666" w:rsidRPr="001C6E3D">
        <w:rPr>
          <w:rFonts w:asciiTheme="minorHAnsi" w:hAnsiTheme="minorHAnsi"/>
          <w:sz w:val="24"/>
          <w:szCs w:val="24"/>
        </w:rPr>
        <w:t>pro</w:t>
      </w:r>
      <w:r w:rsidR="00225A37" w:rsidRPr="001C6E3D">
        <w:rPr>
          <w:rFonts w:asciiTheme="minorHAnsi" w:hAnsiTheme="minorHAnsi"/>
          <w:sz w:val="24"/>
          <w:szCs w:val="24"/>
        </w:rPr>
        <w:t>poses two options for the listing of goserelin 3.6</w:t>
      </w:r>
      <w:r w:rsidR="001C6E3D">
        <w:rPr>
          <w:rFonts w:asciiTheme="minorHAnsi" w:hAnsiTheme="minorHAnsi"/>
          <w:sz w:val="24"/>
          <w:szCs w:val="24"/>
        </w:rPr>
        <w:t> </w:t>
      </w:r>
      <w:r w:rsidR="00225A37" w:rsidRPr="001C6E3D">
        <w:rPr>
          <w:rFonts w:asciiTheme="minorHAnsi" w:hAnsiTheme="minorHAnsi"/>
          <w:sz w:val="24"/>
          <w:szCs w:val="24"/>
        </w:rPr>
        <w:t>mg implant: an unrestricted listing, or a restricted listing for ‘cancer’.</w:t>
      </w:r>
    </w:p>
    <w:p w:rsidR="00225A37" w:rsidRPr="001C6E3D" w:rsidRDefault="00225A37" w:rsidP="00225A37">
      <w:pPr>
        <w:rPr>
          <w:rFonts w:asciiTheme="minorHAnsi" w:hAnsiTheme="minorHAnsi"/>
        </w:rPr>
      </w:pPr>
    </w:p>
    <w:p w:rsidR="004B6359" w:rsidRPr="001C6E3D" w:rsidRDefault="00225A37" w:rsidP="00E67DCC">
      <w:pPr>
        <w:pStyle w:val="ListParagraph"/>
        <w:numPr>
          <w:ilvl w:val="1"/>
          <w:numId w:val="5"/>
        </w:numPr>
        <w:rPr>
          <w:rFonts w:asciiTheme="minorHAnsi" w:hAnsiTheme="minorHAnsi"/>
          <w:sz w:val="24"/>
          <w:szCs w:val="24"/>
        </w:rPr>
      </w:pPr>
      <w:r w:rsidRPr="001C6E3D">
        <w:rPr>
          <w:rFonts w:asciiTheme="minorHAnsi" w:hAnsiTheme="minorHAnsi"/>
          <w:sz w:val="24"/>
          <w:szCs w:val="24"/>
        </w:rPr>
        <w:t>The submission did not propose a risk sharing arrangement (RSA). The submission argued that it would be too difficult to implement and administer an RSA</w:t>
      </w:r>
      <w:r w:rsidR="00511666" w:rsidRPr="001C6E3D">
        <w:rPr>
          <w:rFonts w:asciiTheme="minorHAnsi" w:hAnsiTheme="minorHAnsi"/>
          <w:sz w:val="24"/>
          <w:szCs w:val="24"/>
        </w:rPr>
        <w:t xml:space="preserve"> </w:t>
      </w:r>
      <w:r w:rsidRPr="001C6E3D">
        <w:rPr>
          <w:rFonts w:asciiTheme="minorHAnsi" w:hAnsiTheme="minorHAnsi"/>
          <w:sz w:val="24"/>
          <w:szCs w:val="24"/>
        </w:rPr>
        <w:t xml:space="preserve">because there is insufficient data capture at the restricted benefit level to differentiate use, and increasing the restriction level </w:t>
      </w:r>
      <w:r w:rsidR="004C222C" w:rsidRPr="001C6E3D">
        <w:rPr>
          <w:rFonts w:asciiTheme="minorHAnsi" w:hAnsiTheme="minorHAnsi"/>
          <w:sz w:val="24"/>
          <w:szCs w:val="24"/>
        </w:rPr>
        <w:t>of</w:t>
      </w:r>
      <w:r w:rsidRPr="001C6E3D">
        <w:rPr>
          <w:rFonts w:asciiTheme="minorHAnsi" w:hAnsiTheme="minorHAnsi"/>
          <w:sz w:val="24"/>
          <w:szCs w:val="24"/>
        </w:rPr>
        <w:t xml:space="preserve"> the listing </w:t>
      </w:r>
      <w:r w:rsidR="004C222C" w:rsidRPr="001C6E3D">
        <w:rPr>
          <w:rFonts w:asciiTheme="minorHAnsi" w:hAnsiTheme="minorHAnsi"/>
          <w:sz w:val="24"/>
          <w:szCs w:val="24"/>
        </w:rPr>
        <w:t xml:space="preserve">(to authority required) to collect this data </w:t>
      </w:r>
      <w:r w:rsidRPr="001C6E3D">
        <w:rPr>
          <w:rFonts w:asciiTheme="minorHAnsi" w:hAnsiTheme="minorHAnsi"/>
          <w:sz w:val="24"/>
          <w:szCs w:val="24"/>
        </w:rPr>
        <w:t>would add unnecessary administrative burden.</w:t>
      </w:r>
    </w:p>
    <w:p w:rsidR="00BF388D" w:rsidRPr="001C6E3D" w:rsidRDefault="00BF388D" w:rsidP="00BF388D">
      <w:pPr>
        <w:rPr>
          <w:rFonts w:asciiTheme="minorHAnsi" w:hAnsiTheme="minorHAnsi"/>
        </w:rPr>
      </w:pPr>
    </w:p>
    <w:p w:rsidR="00A757B3" w:rsidRPr="00337D06" w:rsidRDefault="00BF388D" w:rsidP="00337D06">
      <w:pPr>
        <w:pStyle w:val="ListParagraph"/>
        <w:rPr>
          <w:rFonts w:asciiTheme="minorHAnsi" w:hAnsiTheme="minorHAnsi"/>
          <w:i/>
          <w:sz w:val="24"/>
          <w:szCs w:val="24"/>
        </w:rPr>
      </w:pPr>
      <w:r w:rsidRPr="00DE2376">
        <w:rPr>
          <w:rFonts w:asciiTheme="minorHAnsi" w:hAnsiTheme="minorHAnsi"/>
          <w:i/>
          <w:sz w:val="24"/>
          <w:szCs w:val="24"/>
        </w:rPr>
        <w:t xml:space="preserve">For more detail on PBAC’s view, see section </w:t>
      </w:r>
      <w:r w:rsidR="004033CF" w:rsidRPr="00DE2376">
        <w:rPr>
          <w:rFonts w:asciiTheme="minorHAnsi" w:hAnsiTheme="minorHAnsi"/>
          <w:i/>
          <w:sz w:val="24"/>
          <w:szCs w:val="24"/>
        </w:rPr>
        <w:t>6</w:t>
      </w:r>
      <w:r w:rsidRPr="00DE2376">
        <w:rPr>
          <w:rFonts w:asciiTheme="minorHAnsi" w:hAnsiTheme="minorHAnsi"/>
          <w:i/>
          <w:sz w:val="24"/>
          <w:szCs w:val="24"/>
        </w:rPr>
        <w:t xml:space="preserve"> “PBAC outcome”</w:t>
      </w:r>
    </w:p>
    <w:p w:rsidR="00A757B3" w:rsidRDefault="00A757B3" w:rsidP="001C6E3D">
      <w:pPr>
        <w:rPr>
          <w:rFonts w:asciiTheme="minorHAnsi" w:hAnsiTheme="minorHAnsi"/>
        </w:rPr>
      </w:pPr>
    </w:p>
    <w:p w:rsidR="00706F0C" w:rsidRPr="00706F0C" w:rsidRDefault="00706F0C">
      <w:pPr>
        <w:rPr>
          <w:rFonts w:asciiTheme="minorHAnsi" w:hAnsiTheme="minorHAnsi" w:cs="Arial"/>
          <w:b/>
          <w:snapToGrid w:val="0"/>
          <w:lang w:eastAsia="en-US"/>
        </w:rPr>
      </w:pPr>
    </w:p>
    <w:p w:rsidR="00540758" w:rsidRPr="00C06EDD" w:rsidRDefault="001C6E3D" w:rsidP="00C06EDD">
      <w:pPr>
        <w:pStyle w:val="PBACHeading1"/>
      </w:pPr>
      <w:r w:rsidRPr="00C06EDD">
        <w:t>Consideration of the evidence</w:t>
      </w:r>
    </w:p>
    <w:p w:rsidR="00511666" w:rsidRPr="001C6E3D" w:rsidRDefault="00511666" w:rsidP="00342CE8">
      <w:pPr>
        <w:keepNext/>
        <w:rPr>
          <w:rFonts w:asciiTheme="minorHAnsi" w:hAnsiTheme="minorHAnsi" w:cs="Arial"/>
        </w:rPr>
      </w:pPr>
    </w:p>
    <w:p w:rsidR="00540758" w:rsidRPr="00C06EDD" w:rsidRDefault="00540758" w:rsidP="00342CE8">
      <w:pPr>
        <w:pStyle w:val="Heading2"/>
        <w:rPr>
          <w:rFonts w:asciiTheme="minorHAnsi" w:hAnsiTheme="minorHAnsi"/>
          <w:sz w:val="28"/>
          <w:szCs w:val="28"/>
        </w:rPr>
      </w:pPr>
      <w:r w:rsidRPr="00C06EDD">
        <w:rPr>
          <w:rFonts w:asciiTheme="minorHAnsi" w:hAnsiTheme="minorHAnsi"/>
          <w:sz w:val="28"/>
          <w:szCs w:val="28"/>
        </w:rPr>
        <w:t>Sponsor hearing</w:t>
      </w:r>
    </w:p>
    <w:p w:rsidR="00540758" w:rsidRPr="001C6E3D" w:rsidRDefault="00540758" w:rsidP="00540758">
      <w:pPr>
        <w:rPr>
          <w:rFonts w:asciiTheme="minorHAnsi" w:hAnsiTheme="minorHAnsi"/>
        </w:rPr>
      </w:pPr>
    </w:p>
    <w:p w:rsidR="00540758" w:rsidRPr="00337D06" w:rsidRDefault="00540758" w:rsidP="001C6E3D">
      <w:pPr>
        <w:widowControl w:val="0"/>
        <w:numPr>
          <w:ilvl w:val="1"/>
          <w:numId w:val="5"/>
        </w:numPr>
        <w:contextualSpacing/>
        <w:jc w:val="both"/>
        <w:rPr>
          <w:rFonts w:asciiTheme="minorHAnsi" w:hAnsiTheme="minorHAnsi" w:cs="Arial"/>
          <w:bCs/>
          <w:snapToGrid w:val="0"/>
        </w:rPr>
      </w:pPr>
      <w:r w:rsidRPr="001C6E3D">
        <w:rPr>
          <w:rFonts w:asciiTheme="minorHAnsi" w:hAnsiTheme="minorHAnsi" w:cs="Arial"/>
          <w:bCs/>
          <w:snapToGrid w:val="0"/>
        </w:rPr>
        <w:t>There was no hearing for this item as it was a minor submission.</w:t>
      </w:r>
    </w:p>
    <w:p w:rsidR="00540758" w:rsidRPr="00C06EDD" w:rsidRDefault="001C6E3D" w:rsidP="00540758">
      <w:pPr>
        <w:pStyle w:val="Heading2"/>
        <w:rPr>
          <w:rFonts w:asciiTheme="minorHAnsi" w:hAnsiTheme="minorHAnsi"/>
          <w:sz w:val="28"/>
          <w:szCs w:val="28"/>
        </w:rPr>
      </w:pPr>
      <w:r w:rsidRPr="00C06EDD">
        <w:rPr>
          <w:rFonts w:asciiTheme="minorHAnsi" w:hAnsiTheme="minorHAnsi"/>
          <w:sz w:val="28"/>
          <w:szCs w:val="28"/>
        </w:rPr>
        <w:t>Consumer comments</w:t>
      </w:r>
    </w:p>
    <w:p w:rsidR="00540758" w:rsidRPr="001C6E3D" w:rsidRDefault="00540758" w:rsidP="00540758">
      <w:pPr>
        <w:rPr>
          <w:rFonts w:asciiTheme="minorHAnsi" w:hAnsiTheme="minorHAnsi"/>
        </w:rPr>
      </w:pPr>
    </w:p>
    <w:p w:rsidR="00540758" w:rsidRPr="001C6E3D" w:rsidRDefault="00540758" w:rsidP="00540758">
      <w:pPr>
        <w:widowControl w:val="0"/>
        <w:numPr>
          <w:ilvl w:val="1"/>
          <w:numId w:val="5"/>
        </w:numPr>
        <w:contextualSpacing/>
        <w:jc w:val="both"/>
        <w:rPr>
          <w:rFonts w:asciiTheme="minorHAnsi" w:hAnsiTheme="minorHAnsi" w:cs="Arial"/>
          <w:bCs/>
          <w:snapToGrid w:val="0"/>
        </w:rPr>
      </w:pPr>
      <w:r w:rsidRPr="001C6E3D">
        <w:rPr>
          <w:rFonts w:asciiTheme="minorHAnsi" w:hAnsiTheme="minorHAnsi" w:cs="Arial"/>
          <w:bCs/>
          <w:snapToGrid w:val="0"/>
        </w:rPr>
        <w:lastRenderedPageBreak/>
        <w:t>The PBAC noted that no consumer commen</w:t>
      </w:r>
      <w:r w:rsidR="001C6E3D">
        <w:rPr>
          <w:rFonts w:asciiTheme="minorHAnsi" w:hAnsiTheme="minorHAnsi" w:cs="Arial"/>
          <w:bCs/>
          <w:snapToGrid w:val="0"/>
        </w:rPr>
        <w:t>ts were received for this item.</w:t>
      </w:r>
    </w:p>
    <w:p w:rsidR="00540758" w:rsidRPr="001C6E3D" w:rsidRDefault="00540758" w:rsidP="004B6359">
      <w:pPr>
        <w:rPr>
          <w:rFonts w:asciiTheme="minorHAnsi" w:hAnsiTheme="minorHAnsi" w:cs="Arial"/>
        </w:rPr>
      </w:pPr>
    </w:p>
    <w:p w:rsidR="004B6359" w:rsidRPr="00C06EDD" w:rsidRDefault="004B6359" w:rsidP="00540758">
      <w:pPr>
        <w:pStyle w:val="Heading2"/>
        <w:rPr>
          <w:rFonts w:asciiTheme="minorHAnsi" w:hAnsiTheme="minorHAnsi"/>
          <w:sz w:val="28"/>
          <w:szCs w:val="28"/>
        </w:rPr>
      </w:pPr>
      <w:r w:rsidRPr="00C06EDD">
        <w:rPr>
          <w:rFonts w:asciiTheme="minorHAnsi" w:hAnsiTheme="minorHAnsi"/>
          <w:sz w:val="28"/>
          <w:szCs w:val="28"/>
        </w:rPr>
        <w:t>Estimated PBS usage &amp; financial implications</w:t>
      </w:r>
    </w:p>
    <w:p w:rsidR="00175A17" w:rsidRPr="001C6E3D" w:rsidRDefault="00175A17" w:rsidP="001C6E3D">
      <w:pPr>
        <w:rPr>
          <w:rFonts w:asciiTheme="minorHAnsi" w:hAnsiTheme="minorHAnsi"/>
        </w:rPr>
      </w:pPr>
    </w:p>
    <w:p w:rsidR="000F09FA" w:rsidRPr="001C6E3D" w:rsidRDefault="000F09FA" w:rsidP="000A5876">
      <w:pPr>
        <w:widowControl w:val="0"/>
        <w:numPr>
          <w:ilvl w:val="1"/>
          <w:numId w:val="5"/>
        </w:numPr>
        <w:contextualSpacing/>
        <w:jc w:val="both"/>
        <w:rPr>
          <w:rFonts w:asciiTheme="minorHAnsi" w:hAnsiTheme="minorHAnsi" w:cs="Arial"/>
          <w:bCs/>
          <w:snapToGrid w:val="0"/>
        </w:rPr>
      </w:pPr>
      <w:r w:rsidRPr="001C6E3D">
        <w:rPr>
          <w:rFonts w:asciiTheme="minorHAnsi" w:hAnsiTheme="minorHAnsi" w:cs="Arial"/>
          <w:bCs/>
          <w:snapToGrid w:val="0"/>
        </w:rPr>
        <w:t>The sponsor did not provide any estimates of utilisation in this submission.</w:t>
      </w:r>
    </w:p>
    <w:p w:rsidR="000F09FA" w:rsidRPr="001C6E3D" w:rsidRDefault="000F09FA" w:rsidP="004033CF">
      <w:pPr>
        <w:widowControl w:val="0"/>
        <w:contextualSpacing/>
        <w:jc w:val="both"/>
        <w:rPr>
          <w:rFonts w:asciiTheme="minorHAnsi" w:hAnsiTheme="minorHAnsi" w:cs="Arial"/>
          <w:bCs/>
          <w:snapToGrid w:val="0"/>
        </w:rPr>
      </w:pPr>
    </w:p>
    <w:p w:rsidR="00013AA1" w:rsidRPr="001C6E3D" w:rsidRDefault="005A2C74" w:rsidP="00326787">
      <w:pPr>
        <w:widowControl w:val="0"/>
        <w:numPr>
          <w:ilvl w:val="1"/>
          <w:numId w:val="5"/>
        </w:numPr>
        <w:contextualSpacing/>
        <w:jc w:val="both"/>
        <w:rPr>
          <w:rFonts w:asciiTheme="minorHAnsi" w:hAnsiTheme="minorHAnsi" w:cs="Arial"/>
          <w:bCs/>
          <w:snapToGrid w:val="0"/>
        </w:rPr>
      </w:pPr>
      <w:r w:rsidRPr="001C6E3D">
        <w:rPr>
          <w:rFonts w:asciiTheme="minorHAnsi" w:hAnsiTheme="minorHAnsi" w:cs="Arial"/>
          <w:bCs/>
          <w:snapToGrid w:val="0"/>
        </w:rPr>
        <w:t>Previous estimates from</w:t>
      </w:r>
      <w:r w:rsidR="001D636E" w:rsidRPr="001C6E3D">
        <w:rPr>
          <w:rFonts w:asciiTheme="minorHAnsi" w:hAnsiTheme="minorHAnsi" w:cs="Arial"/>
          <w:bCs/>
          <w:snapToGrid w:val="0"/>
        </w:rPr>
        <w:t xml:space="preserve"> MO</w:t>
      </w:r>
      <w:r w:rsidRPr="001C6E3D">
        <w:rPr>
          <w:rFonts w:asciiTheme="minorHAnsi" w:hAnsiTheme="minorHAnsi" w:cs="Arial"/>
          <w:bCs/>
          <w:snapToGrid w:val="0"/>
        </w:rPr>
        <w:t xml:space="preserve">GA for </w:t>
      </w:r>
      <w:r w:rsidR="001D636E" w:rsidRPr="001C6E3D">
        <w:rPr>
          <w:rFonts w:asciiTheme="minorHAnsi" w:hAnsiTheme="minorHAnsi" w:cs="Arial"/>
          <w:bCs/>
          <w:snapToGrid w:val="0"/>
        </w:rPr>
        <w:t xml:space="preserve">goserelin utilisation to prevent POF in breast cancer </w:t>
      </w:r>
      <w:r w:rsidRPr="001C6E3D">
        <w:rPr>
          <w:rFonts w:asciiTheme="minorHAnsi" w:hAnsiTheme="minorHAnsi" w:cs="Arial"/>
          <w:bCs/>
          <w:snapToGrid w:val="0"/>
        </w:rPr>
        <w:t xml:space="preserve">were also supported by estimates </w:t>
      </w:r>
      <w:r w:rsidR="000A5876" w:rsidRPr="001C6E3D">
        <w:rPr>
          <w:rFonts w:asciiTheme="minorHAnsi" w:hAnsiTheme="minorHAnsi" w:cs="Arial"/>
          <w:bCs/>
          <w:snapToGrid w:val="0"/>
        </w:rPr>
        <w:t>prepared by the Department</w:t>
      </w:r>
      <w:r w:rsidRPr="001C6E3D">
        <w:rPr>
          <w:rFonts w:asciiTheme="minorHAnsi" w:hAnsiTheme="minorHAnsi" w:cs="Arial"/>
          <w:bCs/>
          <w:snapToGrid w:val="0"/>
        </w:rPr>
        <w:t>, assuming</w:t>
      </w:r>
      <w:r w:rsidR="000A5876" w:rsidRPr="001C6E3D">
        <w:rPr>
          <w:rFonts w:asciiTheme="minorHAnsi" w:hAnsiTheme="minorHAnsi" w:cs="Arial"/>
          <w:bCs/>
          <w:snapToGrid w:val="0"/>
        </w:rPr>
        <w:t xml:space="preserve"> low and gradual uptake</w:t>
      </w:r>
      <w:r w:rsidR="004033CF">
        <w:rPr>
          <w:rFonts w:asciiTheme="minorHAnsi" w:hAnsiTheme="minorHAnsi" w:cs="Arial"/>
          <w:bCs/>
          <w:snapToGrid w:val="0"/>
        </w:rPr>
        <w:t>,</w:t>
      </w:r>
      <w:r w:rsidR="000A5876" w:rsidRPr="001C6E3D">
        <w:rPr>
          <w:rFonts w:asciiTheme="minorHAnsi" w:hAnsiTheme="minorHAnsi" w:cs="Arial"/>
          <w:bCs/>
          <w:snapToGrid w:val="0"/>
        </w:rPr>
        <w:t xml:space="preserve"> and </w:t>
      </w:r>
      <w:r w:rsidR="004C222C" w:rsidRPr="001C6E3D">
        <w:rPr>
          <w:rFonts w:asciiTheme="minorHAnsi" w:hAnsiTheme="minorHAnsi" w:cs="Arial"/>
          <w:bCs/>
          <w:snapToGrid w:val="0"/>
        </w:rPr>
        <w:t xml:space="preserve">that </w:t>
      </w:r>
      <w:r w:rsidR="000A5876" w:rsidRPr="001C6E3D">
        <w:rPr>
          <w:rFonts w:asciiTheme="minorHAnsi" w:hAnsiTheme="minorHAnsi" w:cs="Arial"/>
          <w:bCs/>
          <w:snapToGrid w:val="0"/>
        </w:rPr>
        <w:t>30% of patients would only use goserelin for 3 months. This resulted in an estimated net cost to the PBS of</w:t>
      </w:r>
      <w:r w:rsidR="00A757B3">
        <w:rPr>
          <w:rFonts w:asciiTheme="minorHAnsi" w:hAnsiTheme="minorHAnsi" w:cs="Arial"/>
          <w:bCs/>
          <w:snapToGrid w:val="0"/>
        </w:rPr>
        <w:t xml:space="preserve"> less than</w:t>
      </w:r>
      <w:r w:rsidR="000A5876" w:rsidRPr="001C6E3D">
        <w:rPr>
          <w:rFonts w:asciiTheme="minorHAnsi" w:hAnsiTheme="minorHAnsi" w:cs="Arial"/>
          <w:bCs/>
          <w:snapToGrid w:val="0"/>
        </w:rPr>
        <w:t xml:space="preserve"> $</w:t>
      </w:r>
      <w:r w:rsidR="00A757B3">
        <w:rPr>
          <w:rFonts w:asciiTheme="minorHAnsi" w:hAnsiTheme="minorHAnsi" w:cs="Arial"/>
          <w:bCs/>
          <w:snapToGrid w:val="0"/>
        </w:rPr>
        <w:t>10</w:t>
      </w:r>
      <w:r w:rsidR="000A5876" w:rsidRPr="001C6E3D">
        <w:rPr>
          <w:rFonts w:asciiTheme="minorHAnsi" w:hAnsiTheme="minorHAnsi" w:cs="Arial"/>
          <w:bCs/>
          <w:snapToGrid w:val="0"/>
        </w:rPr>
        <w:t xml:space="preserve"> million over five years, as shown below.</w:t>
      </w:r>
    </w:p>
    <w:p w:rsidR="00013AA1" w:rsidRPr="004033CF" w:rsidRDefault="00013AA1" w:rsidP="004033CF">
      <w:pPr>
        <w:widowControl w:val="0"/>
        <w:contextualSpacing/>
        <w:jc w:val="both"/>
        <w:rPr>
          <w:rFonts w:asciiTheme="minorHAnsi" w:hAnsiTheme="minorHAnsi" w:cs="Arial"/>
          <w:bCs/>
          <w:snapToGrid w:val="0"/>
        </w:rPr>
      </w:pPr>
    </w:p>
    <w:p w:rsidR="00337D06" w:rsidRPr="00337D06" w:rsidRDefault="00337D06" w:rsidP="00337D06">
      <w:pPr>
        <w:pStyle w:val="Caption"/>
        <w:keepNext/>
        <w:spacing w:after="0"/>
        <w:rPr>
          <w:rFonts w:ascii="Arial Narrow" w:hAnsi="Arial Narrow"/>
          <w:color w:val="000000" w:themeColor="text1"/>
          <w:sz w:val="20"/>
          <w:szCs w:val="20"/>
        </w:rPr>
      </w:pPr>
      <w:r w:rsidRPr="00337D06">
        <w:rPr>
          <w:rFonts w:ascii="Arial Narrow" w:hAnsi="Arial Narrow"/>
          <w:color w:val="000000" w:themeColor="text1"/>
          <w:sz w:val="20"/>
          <w:szCs w:val="20"/>
        </w:rPr>
        <w:t xml:space="preserve">Table </w:t>
      </w:r>
      <w:r w:rsidRPr="00337D06">
        <w:rPr>
          <w:rFonts w:ascii="Arial Narrow" w:hAnsi="Arial Narrow"/>
          <w:noProof/>
          <w:color w:val="000000" w:themeColor="text1"/>
          <w:sz w:val="20"/>
          <w:szCs w:val="20"/>
        </w:rPr>
        <w:t>1</w:t>
      </w:r>
      <w:r w:rsidRPr="00337D06">
        <w:rPr>
          <w:rFonts w:ascii="Arial Narrow" w:hAnsi="Arial Narrow"/>
          <w:color w:val="000000" w:themeColor="text1"/>
          <w:sz w:val="20"/>
          <w:szCs w:val="20"/>
        </w:rPr>
        <w:t>: Estimated PBS usage and financial implications</w:t>
      </w:r>
    </w:p>
    <w:tbl>
      <w:tblPr>
        <w:tblStyle w:val="TableGrid"/>
        <w:tblW w:w="5000" w:type="pct"/>
        <w:tblLook w:val="04A0" w:firstRow="1" w:lastRow="0" w:firstColumn="1" w:lastColumn="0" w:noHBand="0" w:noVBand="1"/>
      </w:tblPr>
      <w:tblGrid>
        <w:gridCol w:w="3178"/>
        <w:gridCol w:w="980"/>
        <w:gridCol w:w="1024"/>
        <w:gridCol w:w="980"/>
        <w:gridCol w:w="1024"/>
        <w:gridCol w:w="980"/>
        <w:gridCol w:w="1076"/>
      </w:tblGrid>
      <w:tr w:rsidR="000A5876" w:rsidRPr="004C222C" w:rsidTr="00337D06">
        <w:trPr>
          <w:trHeight w:val="255"/>
        </w:trPr>
        <w:tc>
          <w:tcPr>
            <w:tcW w:w="1720" w:type="pct"/>
          </w:tcPr>
          <w:p w:rsidR="000A5876" w:rsidRPr="004C222C" w:rsidRDefault="000A5876" w:rsidP="000E04BD">
            <w:pPr>
              <w:rPr>
                <w:rFonts w:ascii="Arial Narrow" w:hAnsi="Arial Narrow" w:cs="Arial"/>
                <w:b/>
                <w:bCs/>
                <w:i/>
                <w:sz w:val="20"/>
                <w:szCs w:val="20"/>
              </w:rPr>
            </w:pPr>
            <w:r w:rsidRPr="004C222C">
              <w:rPr>
                <w:rFonts w:ascii="Arial Narrow" w:hAnsi="Arial Narrow" w:cs="Arial"/>
                <w:b/>
                <w:bCs/>
                <w:i/>
                <w:sz w:val="20"/>
                <w:szCs w:val="20"/>
              </w:rPr>
              <w:t>Year</w:t>
            </w:r>
          </w:p>
        </w:tc>
        <w:tc>
          <w:tcPr>
            <w:tcW w:w="530" w:type="pct"/>
            <w:noWrap/>
            <w:vAlign w:val="center"/>
          </w:tcPr>
          <w:p w:rsidR="000A5876" w:rsidRPr="004C222C" w:rsidRDefault="000A5876" w:rsidP="000E04BD">
            <w:pPr>
              <w:jc w:val="center"/>
              <w:rPr>
                <w:rFonts w:ascii="Arial Narrow" w:hAnsi="Arial Narrow" w:cs="Arial"/>
                <w:b/>
                <w:bCs/>
                <w:i/>
                <w:sz w:val="20"/>
                <w:szCs w:val="20"/>
              </w:rPr>
            </w:pPr>
            <w:r w:rsidRPr="004C222C">
              <w:rPr>
                <w:rFonts w:ascii="Arial Narrow" w:hAnsi="Arial Narrow" w:cs="Arial"/>
                <w:b/>
                <w:bCs/>
                <w:i/>
                <w:sz w:val="20"/>
                <w:szCs w:val="20"/>
              </w:rPr>
              <w:t>1</w:t>
            </w:r>
          </w:p>
        </w:tc>
        <w:tc>
          <w:tcPr>
            <w:tcW w:w="554" w:type="pct"/>
            <w:noWrap/>
            <w:vAlign w:val="center"/>
          </w:tcPr>
          <w:p w:rsidR="000A5876" w:rsidRPr="004C222C" w:rsidRDefault="000A5876" w:rsidP="000E04BD">
            <w:pPr>
              <w:jc w:val="center"/>
              <w:rPr>
                <w:rFonts w:ascii="Arial Narrow" w:hAnsi="Arial Narrow" w:cs="Arial"/>
                <w:b/>
                <w:bCs/>
                <w:i/>
                <w:sz w:val="20"/>
                <w:szCs w:val="20"/>
              </w:rPr>
            </w:pPr>
            <w:r w:rsidRPr="004C222C">
              <w:rPr>
                <w:rFonts w:ascii="Arial Narrow" w:hAnsi="Arial Narrow" w:cs="Arial"/>
                <w:b/>
                <w:bCs/>
                <w:i/>
                <w:sz w:val="20"/>
                <w:szCs w:val="20"/>
              </w:rPr>
              <w:t>2</w:t>
            </w:r>
          </w:p>
        </w:tc>
        <w:tc>
          <w:tcPr>
            <w:tcW w:w="530" w:type="pct"/>
            <w:noWrap/>
            <w:vAlign w:val="center"/>
          </w:tcPr>
          <w:p w:rsidR="000A5876" w:rsidRPr="004C222C" w:rsidRDefault="000A5876" w:rsidP="000E04BD">
            <w:pPr>
              <w:jc w:val="center"/>
              <w:rPr>
                <w:rFonts w:ascii="Arial Narrow" w:hAnsi="Arial Narrow" w:cs="Arial"/>
                <w:b/>
                <w:bCs/>
                <w:i/>
                <w:sz w:val="20"/>
                <w:szCs w:val="20"/>
              </w:rPr>
            </w:pPr>
            <w:r w:rsidRPr="004C222C">
              <w:rPr>
                <w:rFonts w:ascii="Arial Narrow" w:hAnsi="Arial Narrow" w:cs="Arial"/>
                <w:b/>
                <w:bCs/>
                <w:i/>
                <w:sz w:val="20"/>
                <w:szCs w:val="20"/>
              </w:rPr>
              <w:t>3</w:t>
            </w:r>
          </w:p>
        </w:tc>
        <w:tc>
          <w:tcPr>
            <w:tcW w:w="554" w:type="pct"/>
            <w:noWrap/>
            <w:vAlign w:val="center"/>
          </w:tcPr>
          <w:p w:rsidR="000A5876" w:rsidRPr="004C222C" w:rsidRDefault="000A5876" w:rsidP="000E04BD">
            <w:pPr>
              <w:jc w:val="center"/>
              <w:rPr>
                <w:rFonts w:ascii="Arial Narrow" w:hAnsi="Arial Narrow" w:cs="Arial"/>
                <w:b/>
                <w:bCs/>
                <w:i/>
                <w:sz w:val="20"/>
                <w:szCs w:val="20"/>
              </w:rPr>
            </w:pPr>
            <w:r w:rsidRPr="004C222C">
              <w:rPr>
                <w:rFonts w:ascii="Arial Narrow" w:hAnsi="Arial Narrow" w:cs="Arial"/>
                <w:b/>
                <w:bCs/>
                <w:i/>
                <w:sz w:val="20"/>
                <w:szCs w:val="20"/>
              </w:rPr>
              <w:t>4</w:t>
            </w:r>
          </w:p>
        </w:tc>
        <w:tc>
          <w:tcPr>
            <w:tcW w:w="530" w:type="pct"/>
            <w:noWrap/>
            <w:vAlign w:val="center"/>
          </w:tcPr>
          <w:p w:rsidR="000A5876" w:rsidRPr="004C222C" w:rsidRDefault="000A5876" w:rsidP="000E04BD">
            <w:pPr>
              <w:jc w:val="center"/>
              <w:rPr>
                <w:rFonts w:ascii="Arial Narrow" w:hAnsi="Arial Narrow" w:cs="Arial"/>
                <w:b/>
                <w:bCs/>
                <w:i/>
                <w:sz w:val="20"/>
                <w:szCs w:val="20"/>
              </w:rPr>
            </w:pPr>
            <w:r w:rsidRPr="004C222C">
              <w:rPr>
                <w:rFonts w:ascii="Arial Narrow" w:hAnsi="Arial Narrow" w:cs="Arial"/>
                <w:b/>
                <w:bCs/>
                <w:i/>
                <w:sz w:val="20"/>
                <w:szCs w:val="20"/>
              </w:rPr>
              <w:t>5</w:t>
            </w:r>
          </w:p>
        </w:tc>
        <w:tc>
          <w:tcPr>
            <w:tcW w:w="583" w:type="pct"/>
            <w:noWrap/>
            <w:vAlign w:val="center"/>
          </w:tcPr>
          <w:p w:rsidR="000A5876" w:rsidRPr="004C222C" w:rsidRDefault="000A5876" w:rsidP="000E04BD">
            <w:pPr>
              <w:jc w:val="center"/>
              <w:rPr>
                <w:rFonts w:ascii="Arial Narrow" w:hAnsi="Arial Narrow" w:cs="Arial"/>
                <w:b/>
                <w:bCs/>
                <w:i/>
                <w:sz w:val="20"/>
                <w:szCs w:val="20"/>
              </w:rPr>
            </w:pPr>
            <w:r w:rsidRPr="004C222C">
              <w:rPr>
                <w:rFonts w:ascii="Arial Narrow" w:hAnsi="Arial Narrow" w:cs="Arial"/>
                <w:b/>
                <w:bCs/>
                <w:i/>
                <w:sz w:val="20"/>
                <w:szCs w:val="20"/>
              </w:rPr>
              <w:t>6</w:t>
            </w:r>
          </w:p>
        </w:tc>
      </w:tr>
      <w:tr w:rsidR="000A5876" w:rsidRPr="004C222C" w:rsidTr="00337D06">
        <w:trPr>
          <w:trHeight w:val="255"/>
        </w:trPr>
        <w:tc>
          <w:tcPr>
            <w:tcW w:w="1720" w:type="pct"/>
            <w:hideMark/>
          </w:tcPr>
          <w:p w:rsidR="000A5876" w:rsidRPr="004C222C" w:rsidRDefault="000A5876" w:rsidP="000E04BD">
            <w:pPr>
              <w:rPr>
                <w:rFonts w:ascii="Arial Narrow" w:hAnsi="Arial Narrow" w:cs="Arial"/>
                <w:b/>
                <w:bCs/>
                <w:i/>
                <w:sz w:val="20"/>
                <w:szCs w:val="20"/>
              </w:rPr>
            </w:pPr>
            <w:r w:rsidRPr="004C222C">
              <w:rPr>
                <w:rFonts w:ascii="Arial Narrow" w:hAnsi="Arial Narrow" w:cs="Arial"/>
                <w:b/>
                <w:bCs/>
                <w:i/>
                <w:sz w:val="20"/>
                <w:szCs w:val="20"/>
              </w:rPr>
              <w:t>Total number of eligible patients</w:t>
            </w:r>
          </w:p>
        </w:tc>
        <w:tc>
          <w:tcPr>
            <w:tcW w:w="530" w:type="pct"/>
            <w:noWrap/>
            <w:vAlign w:val="center"/>
            <w:hideMark/>
          </w:tcPr>
          <w:p w:rsidR="000A5876" w:rsidRPr="00BF4FF9" w:rsidRDefault="00BF4FF9" w:rsidP="000E04BD">
            <w:pPr>
              <w:jc w:val="center"/>
              <w:rPr>
                <w:rFonts w:ascii="Arial Narrow" w:hAnsi="Arial Narrow" w:cs="Arial"/>
                <w:bCs/>
                <w:i/>
                <w:sz w:val="20"/>
                <w:szCs w:val="20"/>
                <w:highlight w:val="black"/>
              </w:rPr>
            </w:pPr>
            <w:r>
              <w:rPr>
                <w:rFonts w:ascii="Arial Narrow" w:hAnsi="Arial Narrow" w:cs="Arial"/>
                <w:bCs/>
                <w:i/>
                <w:noProof/>
                <w:color w:val="000000"/>
                <w:sz w:val="20"/>
                <w:szCs w:val="20"/>
                <w:highlight w:val="black"/>
              </w:rPr>
              <w:t>'''''''''''''</w:t>
            </w:r>
          </w:p>
        </w:tc>
        <w:tc>
          <w:tcPr>
            <w:tcW w:w="554" w:type="pct"/>
            <w:noWrap/>
            <w:vAlign w:val="center"/>
            <w:hideMark/>
          </w:tcPr>
          <w:p w:rsidR="000A5876" w:rsidRPr="00BF4FF9" w:rsidRDefault="00BF4FF9" w:rsidP="000E04BD">
            <w:pPr>
              <w:jc w:val="center"/>
              <w:rPr>
                <w:rFonts w:ascii="Arial Narrow" w:hAnsi="Arial Narrow" w:cs="Arial"/>
                <w:bCs/>
                <w:i/>
                <w:sz w:val="20"/>
                <w:szCs w:val="20"/>
                <w:highlight w:val="black"/>
              </w:rPr>
            </w:pPr>
            <w:r>
              <w:rPr>
                <w:rFonts w:ascii="Arial Narrow" w:hAnsi="Arial Narrow" w:cs="Arial"/>
                <w:bCs/>
                <w:i/>
                <w:noProof/>
                <w:color w:val="000000"/>
                <w:sz w:val="20"/>
                <w:szCs w:val="20"/>
                <w:highlight w:val="black"/>
              </w:rPr>
              <w:t>'''''''''''''</w:t>
            </w:r>
          </w:p>
        </w:tc>
        <w:tc>
          <w:tcPr>
            <w:tcW w:w="530" w:type="pct"/>
            <w:noWrap/>
            <w:vAlign w:val="center"/>
            <w:hideMark/>
          </w:tcPr>
          <w:p w:rsidR="000A5876" w:rsidRPr="00BF4FF9" w:rsidRDefault="00BF4FF9" w:rsidP="000E04BD">
            <w:pPr>
              <w:jc w:val="center"/>
              <w:rPr>
                <w:rFonts w:ascii="Arial Narrow" w:hAnsi="Arial Narrow" w:cs="Arial"/>
                <w:bCs/>
                <w:i/>
                <w:sz w:val="20"/>
                <w:szCs w:val="20"/>
                <w:highlight w:val="black"/>
              </w:rPr>
            </w:pPr>
            <w:r>
              <w:rPr>
                <w:rFonts w:ascii="Arial Narrow" w:hAnsi="Arial Narrow" w:cs="Arial"/>
                <w:bCs/>
                <w:i/>
                <w:noProof/>
                <w:color w:val="000000"/>
                <w:sz w:val="20"/>
                <w:szCs w:val="20"/>
                <w:highlight w:val="black"/>
              </w:rPr>
              <w:t>''''''''''''</w:t>
            </w:r>
          </w:p>
        </w:tc>
        <w:tc>
          <w:tcPr>
            <w:tcW w:w="554" w:type="pct"/>
            <w:noWrap/>
            <w:vAlign w:val="center"/>
            <w:hideMark/>
          </w:tcPr>
          <w:p w:rsidR="000A5876" w:rsidRPr="00BF4FF9" w:rsidRDefault="00BF4FF9" w:rsidP="000E04BD">
            <w:pPr>
              <w:jc w:val="center"/>
              <w:rPr>
                <w:rFonts w:ascii="Arial Narrow" w:hAnsi="Arial Narrow" w:cs="Arial"/>
                <w:bCs/>
                <w:i/>
                <w:sz w:val="20"/>
                <w:szCs w:val="20"/>
                <w:highlight w:val="black"/>
              </w:rPr>
            </w:pPr>
            <w:r>
              <w:rPr>
                <w:rFonts w:ascii="Arial Narrow" w:hAnsi="Arial Narrow" w:cs="Arial"/>
                <w:bCs/>
                <w:i/>
                <w:noProof/>
                <w:color w:val="000000"/>
                <w:sz w:val="20"/>
                <w:szCs w:val="20"/>
                <w:highlight w:val="black"/>
              </w:rPr>
              <w:t>''''''''''''''</w:t>
            </w:r>
          </w:p>
        </w:tc>
        <w:tc>
          <w:tcPr>
            <w:tcW w:w="530" w:type="pct"/>
            <w:noWrap/>
            <w:vAlign w:val="center"/>
            <w:hideMark/>
          </w:tcPr>
          <w:p w:rsidR="000A5876" w:rsidRPr="00BF4FF9" w:rsidRDefault="00BF4FF9" w:rsidP="000E04BD">
            <w:pPr>
              <w:jc w:val="center"/>
              <w:rPr>
                <w:rFonts w:ascii="Arial Narrow" w:hAnsi="Arial Narrow" w:cs="Arial"/>
                <w:bCs/>
                <w:i/>
                <w:sz w:val="20"/>
                <w:szCs w:val="20"/>
                <w:highlight w:val="black"/>
              </w:rPr>
            </w:pPr>
            <w:r>
              <w:rPr>
                <w:rFonts w:ascii="Arial Narrow" w:hAnsi="Arial Narrow" w:cs="Arial"/>
                <w:bCs/>
                <w:i/>
                <w:noProof/>
                <w:color w:val="000000"/>
                <w:sz w:val="20"/>
                <w:szCs w:val="20"/>
                <w:highlight w:val="black"/>
              </w:rPr>
              <w:t>'''''''''''''''</w:t>
            </w:r>
          </w:p>
        </w:tc>
        <w:tc>
          <w:tcPr>
            <w:tcW w:w="583" w:type="pct"/>
            <w:noWrap/>
            <w:vAlign w:val="center"/>
            <w:hideMark/>
          </w:tcPr>
          <w:p w:rsidR="000A5876" w:rsidRPr="00BF4FF9" w:rsidRDefault="00BF4FF9" w:rsidP="000E04BD">
            <w:pPr>
              <w:jc w:val="center"/>
              <w:rPr>
                <w:rFonts w:ascii="Arial Narrow" w:hAnsi="Arial Narrow" w:cs="Arial"/>
                <w:bCs/>
                <w:i/>
                <w:sz w:val="20"/>
                <w:szCs w:val="20"/>
                <w:highlight w:val="black"/>
              </w:rPr>
            </w:pPr>
            <w:r>
              <w:rPr>
                <w:rFonts w:ascii="Arial Narrow" w:hAnsi="Arial Narrow" w:cs="Arial"/>
                <w:bCs/>
                <w:i/>
                <w:noProof/>
                <w:color w:val="000000"/>
                <w:sz w:val="20"/>
                <w:szCs w:val="20"/>
                <w:highlight w:val="black"/>
              </w:rPr>
              <w:t>''''''''''''''</w:t>
            </w:r>
          </w:p>
        </w:tc>
      </w:tr>
      <w:tr w:rsidR="000A5876" w:rsidRPr="004C222C" w:rsidTr="00337D06">
        <w:trPr>
          <w:trHeight w:val="255"/>
        </w:trPr>
        <w:tc>
          <w:tcPr>
            <w:tcW w:w="1720" w:type="pct"/>
            <w:hideMark/>
          </w:tcPr>
          <w:p w:rsidR="000A5876" w:rsidRPr="004C222C" w:rsidRDefault="000A5876" w:rsidP="000E04BD">
            <w:pPr>
              <w:rPr>
                <w:rFonts w:ascii="Arial Narrow" w:hAnsi="Arial Narrow" w:cs="Arial"/>
                <w:b/>
                <w:i/>
                <w:sz w:val="20"/>
                <w:szCs w:val="20"/>
              </w:rPr>
            </w:pPr>
            <w:r w:rsidRPr="004C222C">
              <w:rPr>
                <w:rFonts w:ascii="Arial Narrow" w:hAnsi="Arial Narrow" w:cs="Arial"/>
                <w:b/>
                <w:i/>
                <w:sz w:val="20"/>
                <w:szCs w:val="20"/>
              </w:rPr>
              <w:t>Patients electing treatment (%)</w:t>
            </w:r>
          </w:p>
        </w:tc>
        <w:tc>
          <w:tcPr>
            <w:tcW w:w="530" w:type="pct"/>
            <w:vAlign w:val="center"/>
            <w:hideMark/>
          </w:tcPr>
          <w:p w:rsidR="000A5876" w:rsidRPr="004C222C" w:rsidRDefault="000A5876" w:rsidP="000E04BD">
            <w:pPr>
              <w:jc w:val="center"/>
              <w:rPr>
                <w:rFonts w:ascii="Arial Narrow" w:hAnsi="Arial Narrow" w:cs="Arial"/>
                <w:i/>
                <w:sz w:val="20"/>
                <w:szCs w:val="20"/>
              </w:rPr>
            </w:pPr>
            <w:r w:rsidRPr="004C222C">
              <w:rPr>
                <w:rFonts w:ascii="Arial Narrow" w:hAnsi="Arial Narrow" w:cs="Arial"/>
                <w:i/>
                <w:sz w:val="20"/>
                <w:szCs w:val="20"/>
              </w:rPr>
              <w:t>20%</w:t>
            </w:r>
          </w:p>
        </w:tc>
        <w:tc>
          <w:tcPr>
            <w:tcW w:w="554" w:type="pct"/>
            <w:vAlign w:val="center"/>
            <w:hideMark/>
          </w:tcPr>
          <w:p w:rsidR="000A5876" w:rsidRPr="004C222C" w:rsidRDefault="000A5876" w:rsidP="000E04BD">
            <w:pPr>
              <w:jc w:val="center"/>
              <w:rPr>
                <w:rFonts w:ascii="Arial Narrow" w:hAnsi="Arial Narrow" w:cs="Arial"/>
                <w:i/>
                <w:sz w:val="20"/>
                <w:szCs w:val="20"/>
              </w:rPr>
            </w:pPr>
            <w:r w:rsidRPr="004C222C">
              <w:rPr>
                <w:rFonts w:ascii="Arial Narrow" w:hAnsi="Arial Narrow" w:cs="Arial"/>
                <w:i/>
                <w:sz w:val="20"/>
                <w:szCs w:val="20"/>
              </w:rPr>
              <w:t>25%</w:t>
            </w:r>
          </w:p>
        </w:tc>
        <w:tc>
          <w:tcPr>
            <w:tcW w:w="530" w:type="pct"/>
            <w:vAlign w:val="center"/>
            <w:hideMark/>
          </w:tcPr>
          <w:p w:rsidR="000A5876" w:rsidRPr="004C222C" w:rsidRDefault="000A5876" w:rsidP="000E04BD">
            <w:pPr>
              <w:jc w:val="center"/>
              <w:rPr>
                <w:rFonts w:ascii="Arial Narrow" w:hAnsi="Arial Narrow" w:cs="Arial"/>
                <w:i/>
                <w:sz w:val="20"/>
                <w:szCs w:val="20"/>
              </w:rPr>
            </w:pPr>
            <w:r w:rsidRPr="004C222C">
              <w:rPr>
                <w:rFonts w:ascii="Arial Narrow" w:hAnsi="Arial Narrow" w:cs="Arial"/>
                <w:i/>
                <w:sz w:val="20"/>
                <w:szCs w:val="20"/>
              </w:rPr>
              <w:t>30%</w:t>
            </w:r>
          </w:p>
        </w:tc>
        <w:tc>
          <w:tcPr>
            <w:tcW w:w="554" w:type="pct"/>
            <w:vAlign w:val="center"/>
            <w:hideMark/>
          </w:tcPr>
          <w:p w:rsidR="000A5876" w:rsidRPr="004C222C" w:rsidRDefault="000A5876" w:rsidP="000E04BD">
            <w:pPr>
              <w:jc w:val="center"/>
              <w:rPr>
                <w:rFonts w:ascii="Arial Narrow" w:hAnsi="Arial Narrow" w:cs="Arial"/>
                <w:i/>
                <w:sz w:val="20"/>
                <w:szCs w:val="20"/>
              </w:rPr>
            </w:pPr>
            <w:r w:rsidRPr="004C222C">
              <w:rPr>
                <w:rFonts w:ascii="Arial Narrow" w:hAnsi="Arial Narrow" w:cs="Arial"/>
                <w:i/>
                <w:sz w:val="20"/>
                <w:szCs w:val="20"/>
              </w:rPr>
              <w:t>40%</w:t>
            </w:r>
          </w:p>
        </w:tc>
        <w:tc>
          <w:tcPr>
            <w:tcW w:w="530" w:type="pct"/>
            <w:vAlign w:val="center"/>
            <w:hideMark/>
          </w:tcPr>
          <w:p w:rsidR="000A5876" w:rsidRPr="004C222C" w:rsidRDefault="000A5876" w:rsidP="000E04BD">
            <w:pPr>
              <w:jc w:val="center"/>
              <w:rPr>
                <w:rFonts w:ascii="Arial Narrow" w:hAnsi="Arial Narrow" w:cs="Arial"/>
                <w:i/>
                <w:sz w:val="20"/>
                <w:szCs w:val="20"/>
              </w:rPr>
            </w:pPr>
            <w:r w:rsidRPr="004C222C">
              <w:rPr>
                <w:rFonts w:ascii="Arial Narrow" w:hAnsi="Arial Narrow" w:cs="Arial"/>
                <w:i/>
                <w:sz w:val="20"/>
                <w:szCs w:val="20"/>
              </w:rPr>
              <w:t>40%</w:t>
            </w:r>
          </w:p>
        </w:tc>
        <w:tc>
          <w:tcPr>
            <w:tcW w:w="583" w:type="pct"/>
            <w:vAlign w:val="center"/>
            <w:hideMark/>
          </w:tcPr>
          <w:p w:rsidR="000A5876" w:rsidRPr="004C222C" w:rsidRDefault="000A5876" w:rsidP="000E04BD">
            <w:pPr>
              <w:jc w:val="center"/>
              <w:rPr>
                <w:rFonts w:ascii="Arial Narrow" w:hAnsi="Arial Narrow" w:cs="Arial"/>
                <w:i/>
                <w:sz w:val="20"/>
                <w:szCs w:val="20"/>
              </w:rPr>
            </w:pPr>
            <w:r w:rsidRPr="004C222C">
              <w:rPr>
                <w:rFonts w:ascii="Arial Narrow" w:hAnsi="Arial Narrow" w:cs="Arial"/>
                <w:i/>
                <w:sz w:val="20"/>
                <w:szCs w:val="20"/>
              </w:rPr>
              <w:t>40%</w:t>
            </w:r>
          </w:p>
        </w:tc>
      </w:tr>
      <w:tr w:rsidR="000A5876" w:rsidRPr="004C222C" w:rsidTr="00337D06">
        <w:trPr>
          <w:trHeight w:val="255"/>
        </w:trPr>
        <w:tc>
          <w:tcPr>
            <w:tcW w:w="1720" w:type="pct"/>
            <w:hideMark/>
          </w:tcPr>
          <w:p w:rsidR="000A5876" w:rsidRPr="004C222C" w:rsidRDefault="000A5876" w:rsidP="000E04BD">
            <w:pPr>
              <w:rPr>
                <w:rFonts w:ascii="Arial Narrow" w:hAnsi="Arial Narrow" w:cs="Arial"/>
                <w:b/>
                <w:bCs/>
                <w:i/>
                <w:sz w:val="20"/>
                <w:szCs w:val="20"/>
              </w:rPr>
            </w:pPr>
            <w:r w:rsidRPr="004C222C">
              <w:rPr>
                <w:rFonts w:ascii="Arial Narrow" w:hAnsi="Arial Narrow" w:cs="Arial"/>
                <w:b/>
                <w:bCs/>
                <w:i/>
                <w:sz w:val="20"/>
                <w:szCs w:val="20"/>
              </w:rPr>
              <w:t>Patients electing treatment (#)</w:t>
            </w:r>
          </w:p>
        </w:tc>
        <w:tc>
          <w:tcPr>
            <w:tcW w:w="530" w:type="pct"/>
            <w:vAlign w:val="center"/>
            <w:hideMark/>
          </w:tcPr>
          <w:p w:rsidR="000A5876" w:rsidRPr="00BF4FF9" w:rsidRDefault="00BF4FF9" w:rsidP="000E04BD">
            <w:pPr>
              <w:jc w:val="center"/>
              <w:rPr>
                <w:rFonts w:ascii="Arial Narrow" w:hAnsi="Arial Narrow" w:cs="Arial"/>
                <w:i/>
                <w:sz w:val="20"/>
                <w:szCs w:val="20"/>
                <w:highlight w:val="black"/>
              </w:rPr>
            </w:pPr>
            <w:r>
              <w:rPr>
                <w:rFonts w:ascii="Arial Narrow" w:hAnsi="Arial Narrow" w:cs="Arial"/>
                <w:i/>
                <w:noProof/>
                <w:color w:val="000000"/>
                <w:sz w:val="20"/>
                <w:szCs w:val="20"/>
                <w:highlight w:val="black"/>
              </w:rPr>
              <w:t>'''''''''</w:t>
            </w:r>
          </w:p>
        </w:tc>
        <w:tc>
          <w:tcPr>
            <w:tcW w:w="554" w:type="pct"/>
            <w:vAlign w:val="center"/>
            <w:hideMark/>
          </w:tcPr>
          <w:p w:rsidR="000A5876" w:rsidRPr="00BF4FF9" w:rsidRDefault="00BF4FF9" w:rsidP="000E04BD">
            <w:pPr>
              <w:jc w:val="center"/>
              <w:rPr>
                <w:rFonts w:ascii="Arial Narrow" w:hAnsi="Arial Narrow" w:cs="Arial"/>
                <w:i/>
                <w:sz w:val="20"/>
                <w:szCs w:val="20"/>
                <w:highlight w:val="black"/>
              </w:rPr>
            </w:pPr>
            <w:r>
              <w:rPr>
                <w:rFonts w:ascii="Arial Narrow" w:hAnsi="Arial Narrow" w:cs="Arial"/>
                <w:i/>
                <w:noProof/>
                <w:color w:val="000000"/>
                <w:sz w:val="20"/>
                <w:szCs w:val="20"/>
                <w:highlight w:val="black"/>
              </w:rPr>
              <w:t>''''''''</w:t>
            </w:r>
          </w:p>
        </w:tc>
        <w:tc>
          <w:tcPr>
            <w:tcW w:w="530" w:type="pct"/>
            <w:vAlign w:val="center"/>
            <w:hideMark/>
          </w:tcPr>
          <w:p w:rsidR="000A5876" w:rsidRPr="00BF4FF9" w:rsidRDefault="00BF4FF9" w:rsidP="000E04BD">
            <w:pPr>
              <w:jc w:val="center"/>
              <w:rPr>
                <w:rFonts w:ascii="Arial Narrow" w:hAnsi="Arial Narrow" w:cs="Arial"/>
                <w:i/>
                <w:sz w:val="20"/>
                <w:szCs w:val="20"/>
                <w:highlight w:val="black"/>
              </w:rPr>
            </w:pPr>
            <w:r>
              <w:rPr>
                <w:rFonts w:ascii="Arial Narrow" w:hAnsi="Arial Narrow" w:cs="Arial"/>
                <w:i/>
                <w:noProof/>
                <w:color w:val="000000"/>
                <w:sz w:val="20"/>
                <w:szCs w:val="20"/>
                <w:highlight w:val="black"/>
              </w:rPr>
              <w:t>'''''''''</w:t>
            </w:r>
          </w:p>
        </w:tc>
        <w:tc>
          <w:tcPr>
            <w:tcW w:w="554" w:type="pct"/>
            <w:vAlign w:val="center"/>
            <w:hideMark/>
          </w:tcPr>
          <w:p w:rsidR="000A5876" w:rsidRPr="00BF4FF9" w:rsidRDefault="00BF4FF9" w:rsidP="000E04BD">
            <w:pPr>
              <w:jc w:val="center"/>
              <w:rPr>
                <w:rFonts w:ascii="Arial Narrow" w:hAnsi="Arial Narrow" w:cs="Arial"/>
                <w:i/>
                <w:sz w:val="20"/>
                <w:szCs w:val="20"/>
                <w:highlight w:val="black"/>
              </w:rPr>
            </w:pPr>
            <w:r>
              <w:rPr>
                <w:rFonts w:ascii="Arial Narrow" w:hAnsi="Arial Narrow" w:cs="Arial"/>
                <w:i/>
                <w:noProof/>
                <w:color w:val="000000"/>
                <w:sz w:val="20"/>
                <w:szCs w:val="20"/>
                <w:highlight w:val="black"/>
              </w:rPr>
              <w:t>''''''''''</w:t>
            </w:r>
          </w:p>
        </w:tc>
        <w:tc>
          <w:tcPr>
            <w:tcW w:w="530" w:type="pct"/>
            <w:vAlign w:val="center"/>
            <w:hideMark/>
          </w:tcPr>
          <w:p w:rsidR="000A5876" w:rsidRPr="00BF4FF9" w:rsidRDefault="00BF4FF9" w:rsidP="000E04BD">
            <w:pPr>
              <w:jc w:val="center"/>
              <w:rPr>
                <w:rFonts w:ascii="Arial Narrow" w:hAnsi="Arial Narrow" w:cs="Arial"/>
                <w:i/>
                <w:sz w:val="20"/>
                <w:szCs w:val="20"/>
                <w:highlight w:val="black"/>
              </w:rPr>
            </w:pPr>
            <w:r>
              <w:rPr>
                <w:rFonts w:ascii="Arial Narrow" w:hAnsi="Arial Narrow" w:cs="Arial"/>
                <w:i/>
                <w:noProof/>
                <w:color w:val="000000"/>
                <w:sz w:val="20"/>
                <w:szCs w:val="20"/>
                <w:highlight w:val="black"/>
              </w:rPr>
              <w:t>''''''''''</w:t>
            </w:r>
          </w:p>
        </w:tc>
        <w:tc>
          <w:tcPr>
            <w:tcW w:w="583" w:type="pct"/>
            <w:vAlign w:val="center"/>
            <w:hideMark/>
          </w:tcPr>
          <w:p w:rsidR="000A5876" w:rsidRPr="00BF4FF9" w:rsidRDefault="00BF4FF9" w:rsidP="000E04BD">
            <w:pPr>
              <w:jc w:val="center"/>
              <w:rPr>
                <w:rFonts w:ascii="Arial Narrow" w:hAnsi="Arial Narrow" w:cs="Arial"/>
                <w:i/>
                <w:sz w:val="20"/>
                <w:szCs w:val="20"/>
                <w:highlight w:val="black"/>
              </w:rPr>
            </w:pPr>
            <w:r>
              <w:rPr>
                <w:rFonts w:ascii="Arial Narrow" w:hAnsi="Arial Narrow" w:cs="Arial"/>
                <w:i/>
                <w:noProof/>
                <w:color w:val="000000"/>
                <w:sz w:val="20"/>
                <w:szCs w:val="20"/>
                <w:highlight w:val="black"/>
              </w:rPr>
              <w:t>''''''''</w:t>
            </w:r>
          </w:p>
        </w:tc>
      </w:tr>
      <w:tr w:rsidR="000A5876" w:rsidRPr="004C222C" w:rsidTr="00337D06">
        <w:trPr>
          <w:trHeight w:val="255"/>
        </w:trPr>
        <w:tc>
          <w:tcPr>
            <w:tcW w:w="1720" w:type="pct"/>
          </w:tcPr>
          <w:p w:rsidR="000A5876" w:rsidRPr="004C222C" w:rsidRDefault="000A5876" w:rsidP="000E04BD">
            <w:pPr>
              <w:rPr>
                <w:rFonts w:ascii="Arial Narrow" w:hAnsi="Arial Narrow" w:cs="Arial"/>
                <w:b/>
                <w:bCs/>
                <w:i/>
                <w:sz w:val="20"/>
                <w:szCs w:val="20"/>
              </w:rPr>
            </w:pPr>
            <w:r w:rsidRPr="004C222C">
              <w:rPr>
                <w:rFonts w:ascii="Arial Narrow" w:hAnsi="Arial Narrow" w:cs="Arial"/>
                <w:b/>
                <w:bCs/>
                <w:i/>
                <w:sz w:val="20"/>
                <w:szCs w:val="20"/>
              </w:rPr>
              <w:t>Net cost to PBS</w:t>
            </w:r>
          </w:p>
        </w:tc>
        <w:tc>
          <w:tcPr>
            <w:tcW w:w="530" w:type="pct"/>
            <w:vAlign w:val="center"/>
          </w:tcPr>
          <w:p w:rsidR="000A5876" w:rsidRPr="004C222C" w:rsidRDefault="000A5876" w:rsidP="000E04BD">
            <w:pPr>
              <w:jc w:val="center"/>
              <w:rPr>
                <w:rFonts w:ascii="Arial Narrow" w:hAnsi="Arial Narrow" w:cs="Arial"/>
                <w:i/>
                <w:sz w:val="20"/>
                <w:szCs w:val="20"/>
              </w:rPr>
            </w:pPr>
            <w:r w:rsidRPr="004C222C">
              <w:rPr>
                <w:rFonts w:ascii="Arial Narrow" w:hAnsi="Arial Narrow" w:cs="Arial"/>
                <w:i/>
                <w:sz w:val="20"/>
                <w:szCs w:val="20"/>
              </w:rPr>
              <w:t>$</w:t>
            </w:r>
            <w:r w:rsidR="00BF4FF9">
              <w:rPr>
                <w:rFonts w:ascii="Arial Narrow" w:hAnsi="Arial Narrow" w:cs="Arial"/>
                <w:i/>
                <w:noProof/>
                <w:color w:val="000000"/>
                <w:sz w:val="20"/>
                <w:szCs w:val="20"/>
                <w:highlight w:val="black"/>
              </w:rPr>
              <w:t>'''''''''''''''''''</w:t>
            </w:r>
          </w:p>
        </w:tc>
        <w:tc>
          <w:tcPr>
            <w:tcW w:w="554" w:type="pct"/>
            <w:vAlign w:val="center"/>
          </w:tcPr>
          <w:p w:rsidR="000A5876" w:rsidRPr="004C222C" w:rsidRDefault="000A5876" w:rsidP="000E04BD">
            <w:pPr>
              <w:jc w:val="center"/>
              <w:rPr>
                <w:rFonts w:ascii="Arial Narrow" w:hAnsi="Arial Narrow" w:cs="Arial"/>
                <w:i/>
                <w:sz w:val="20"/>
                <w:szCs w:val="20"/>
              </w:rPr>
            </w:pPr>
            <w:r w:rsidRPr="004C222C">
              <w:rPr>
                <w:rFonts w:ascii="Arial Narrow" w:hAnsi="Arial Narrow" w:cs="Arial"/>
                <w:i/>
                <w:sz w:val="20"/>
                <w:szCs w:val="20"/>
              </w:rPr>
              <w:t>$</w:t>
            </w:r>
            <w:r w:rsidR="00BF4FF9">
              <w:rPr>
                <w:rFonts w:ascii="Arial Narrow" w:hAnsi="Arial Narrow" w:cs="Arial"/>
                <w:i/>
                <w:noProof/>
                <w:color w:val="000000"/>
                <w:sz w:val="20"/>
                <w:szCs w:val="20"/>
                <w:highlight w:val="black"/>
              </w:rPr>
              <w:t>'''''''''''''''''''</w:t>
            </w:r>
          </w:p>
        </w:tc>
        <w:tc>
          <w:tcPr>
            <w:tcW w:w="530" w:type="pct"/>
            <w:vAlign w:val="center"/>
          </w:tcPr>
          <w:p w:rsidR="000A5876" w:rsidRPr="004C222C" w:rsidRDefault="000A5876" w:rsidP="000E04BD">
            <w:pPr>
              <w:jc w:val="center"/>
              <w:rPr>
                <w:rFonts w:ascii="Arial Narrow" w:hAnsi="Arial Narrow" w:cs="Arial"/>
                <w:i/>
                <w:sz w:val="20"/>
                <w:szCs w:val="20"/>
              </w:rPr>
            </w:pPr>
            <w:r w:rsidRPr="004C222C">
              <w:rPr>
                <w:rFonts w:ascii="Arial Narrow" w:hAnsi="Arial Narrow" w:cs="Arial"/>
                <w:i/>
                <w:sz w:val="20"/>
                <w:szCs w:val="20"/>
              </w:rPr>
              <w:t>$</w:t>
            </w:r>
            <w:r w:rsidR="00BF4FF9">
              <w:rPr>
                <w:rFonts w:ascii="Arial Narrow" w:hAnsi="Arial Narrow" w:cs="Arial"/>
                <w:i/>
                <w:noProof/>
                <w:color w:val="000000"/>
                <w:sz w:val="20"/>
                <w:szCs w:val="20"/>
                <w:highlight w:val="black"/>
              </w:rPr>
              <w:t>''''''''''''''''''</w:t>
            </w:r>
          </w:p>
        </w:tc>
        <w:tc>
          <w:tcPr>
            <w:tcW w:w="554" w:type="pct"/>
            <w:vAlign w:val="center"/>
          </w:tcPr>
          <w:p w:rsidR="000A5876" w:rsidRPr="004C222C" w:rsidRDefault="000A5876" w:rsidP="000E04BD">
            <w:pPr>
              <w:jc w:val="center"/>
              <w:rPr>
                <w:rFonts w:ascii="Arial Narrow" w:hAnsi="Arial Narrow" w:cs="Arial"/>
                <w:i/>
                <w:sz w:val="20"/>
                <w:szCs w:val="20"/>
              </w:rPr>
            </w:pPr>
            <w:r w:rsidRPr="004C222C">
              <w:rPr>
                <w:rFonts w:ascii="Arial Narrow" w:hAnsi="Arial Narrow" w:cs="Arial"/>
                <w:i/>
                <w:sz w:val="20"/>
                <w:szCs w:val="20"/>
              </w:rPr>
              <w:t>$</w:t>
            </w:r>
            <w:r w:rsidR="00BF4FF9">
              <w:rPr>
                <w:rFonts w:ascii="Arial Narrow" w:hAnsi="Arial Narrow" w:cs="Arial"/>
                <w:i/>
                <w:noProof/>
                <w:color w:val="000000"/>
                <w:sz w:val="20"/>
                <w:szCs w:val="20"/>
                <w:highlight w:val="black"/>
              </w:rPr>
              <w:t>''''''''''''''''''</w:t>
            </w:r>
          </w:p>
        </w:tc>
        <w:tc>
          <w:tcPr>
            <w:tcW w:w="530" w:type="pct"/>
            <w:vAlign w:val="center"/>
          </w:tcPr>
          <w:p w:rsidR="000A5876" w:rsidRPr="004C222C" w:rsidRDefault="000A5876" w:rsidP="000E04BD">
            <w:pPr>
              <w:jc w:val="center"/>
              <w:rPr>
                <w:rFonts w:ascii="Arial Narrow" w:hAnsi="Arial Narrow" w:cs="Arial"/>
                <w:i/>
                <w:sz w:val="20"/>
                <w:szCs w:val="20"/>
              </w:rPr>
            </w:pPr>
            <w:r w:rsidRPr="004C222C">
              <w:rPr>
                <w:rFonts w:ascii="Arial Narrow" w:hAnsi="Arial Narrow" w:cs="Arial"/>
                <w:i/>
                <w:sz w:val="20"/>
                <w:szCs w:val="20"/>
              </w:rPr>
              <w:t>$</w:t>
            </w:r>
            <w:r w:rsidR="00BF4FF9">
              <w:rPr>
                <w:rFonts w:ascii="Arial Narrow" w:hAnsi="Arial Narrow" w:cs="Arial"/>
                <w:i/>
                <w:noProof/>
                <w:color w:val="000000"/>
                <w:sz w:val="20"/>
                <w:szCs w:val="20"/>
                <w:highlight w:val="black"/>
              </w:rPr>
              <w:t>'''''''''''''''''''''</w:t>
            </w:r>
          </w:p>
        </w:tc>
        <w:tc>
          <w:tcPr>
            <w:tcW w:w="583" w:type="pct"/>
            <w:vAlign w:val="center"/>
          </w:tcPr>
          <w:p w:rsidR="000A5876" w:rsidRPr="004C222C" w:rsidRDefault="000A5876" w:rsidP="000E04BD">
            <w:pPr>
              <w:jc w:val="center"/>
              <w:rPr>
                <w:rFonts w:ascii="Arial Narrow" w:hAnsi="Arial Narrow" w:cs="Arial"/>
                <w:i/>
                <w:sz w:val="20"/>
                <w:szCs w:val="20"/>
              </w:rPr>
            </w:pPr>
            <w:r w:rsidRPr="004C222C">
              <w:rPr>
                <w:rFonts w:ascii="Arial Narrow" w:hAnsi="Arial Narrow" w:cs="Arial"/>
                <w:i/>
                <w:sz w:val="20"/>
                <w:szCs w:val="20"/>
              </w:rPr>
              <w:t>$</w:t>
            </w:r>
            <w:r w:rsidR="00BF4FF9">
              <w:rPr>
                <w:rFonts w:ascii="Arial Narrow" w:hAnsi="Arial Narrow" w:cs="Arial"/>
                <w:i/>
                <w:noProof/>
                <w:color w:val="000000"/>
                <w:sz w:val="20"/>
                <w:szCs w:val="20"/>
                <w:highlight w:val="black"/>
              </w:rPr>
              <w:t>''''''''''''''''''''</w:t>
            </w:r>
          </w:p>
        </w:tc>
      </w:tr>
    </w:tbl>
    <w:p w:rsidR="000A5876" w:rsidRPr="00F87697" w:rsidRDefault="000A5876" w:rsidP="000A5876">
      <w:pPr>
        <w:widowControl w:val="0"/>
        <w:ind w:left="709"/>
        <w:contextualSpacing/>
        <w:jc w:val="both"/>
        <w:rPr>
          <w:rFonts w:ascii="Arial Narrow" w:hAnsi="Arial Narrow" w:cs="Arial"/>
          <w:bCs/>
          <w:snapToGrid w:val="0"/>
          <w:sz w:val="18"/>
          <w:szCs w:val="22"/>
        </w:rPr>
      </w:pPr>
      <w:r w:rsidRPr="00F87697">
        <w:rPr>
          <w:rFonts w:ascii="Arial Narrow" w:hAnsi="Arial Narrow" w:cs="Arial"/>
          <w:bCs/>
          <w:snapToGrid w:val="0"/>
          <w:sz w:val="18"/>
          <w:szCs w:val="22"/>
        </w:rPr>
        <w:t>Source: Prepared by HTA.</w:t>
      </w:r>
    </w:p>
    <w:p w:rsidR="000A5876" w:rsidRPr="00F87697" w:rsidRDefault="000A5876" w:rsidP="001D636E">
      <w:pPr>
        <w:widowControl w:val="0"/>
        <w:ind w:left="709"/>
        <w:contextualSpacing/>
        <w:jc w:val="both"/>
        <w:rPr>
          <w:rFonts w:ascii="Arial Narrow" w:hAnsi="Arial Narrow" w:cs="Arial"/>
          <w:bCs/>
          <w:snapToGrid w:val="0"/>
          <w:sz w:val="18"/>
          <w:szCs w:val="22"/>
        </w:rPr>
      </w:pPr>
      <w:r w:rsidRPr="00F87697">
        <w:rPr>
          <w:rFonts w:ascii="Arial Narrow" w:hAnsi="Arial Narrow" w:cs="Arial"/>
          <w:bCs/>
          <w:snapToGrid w:val="0"/>
          <w:sz w:val="18"/>
          <w:szCs w:val="22"/>
        </w:rPr>
        <w:t>Note:</w:t>
      </w:r>
      <w:r w:rsidR="001D636E" w:rsidRPr="00F87697">
        <w:rPr>
          <w:rFonts w:ascii="Arial Narrow" w:hAnsi="Arial Narrow" w:cs="Arial"/>
          <w:bCs/>
          <w:snapToGrid w:val="0"/>
          <w:sz w:val="18"/>
          <w:szCs w:val="22"/>
        </w:rPr>
        <w:t xml:space="preserve"> </w:t>
      </w:r>
      <w:r w:rsidRPr="00F87697">
        <w:rPr>
          <w:rFonts w:ascii="Arial Narrow" w:hAnsi="Arial Narrow" w:cs="Arial"/>
          <w:bCs/>
          <w:snapToGrid w:val="0"/>
          <w:sz w:val="18"/>
          <w:szCs w:val="22"/>
        </w:rPr>
        <w:t>Based on the price of the current listi</w:t>
      </w:r>
      <w:r w:rsidR="001D636E" w:rsidRPr="00F87697">
        <w:rPr>
          <w:rFonts w:ascii="Arial Narrow" w:hAnsi="Arial Narrow" w:cs="Arial"/>
          <w:bCs/>
          <w:snapToGrid w:val="0"/>
          <w:sz w:val="18"/>
          <w:szCs w:val="22"/>
        </w:rPr>
        <w:t>ng for goserelin (DPMQ $307.67), u</w:t>
      </w:r>
      <w:r w:rsidRPr="00F87697">
        <w:rPr>
          <w:rFonts w:ascii="Arial Narrow" w:hAnsi="Arial Narrow" w:cs="Arial"/>
          <w:bCs/>
          <w:snapToGrid w:val="0"/>
          <w:sz w:val="18"/>
          <w:szCs w:val="22"/>
        </w:rPr>
        <w:t>p to 6 scripts per patient was assumed based on the advice from MOGA in its November 2016 minor submission.</w:t>
      </w:r>
    </w:p>
    <w:p w:rsidR="004C222C" w:rsidRPr="004033CF" w:rsidRDefault="004C222C" w:rsidP="004C222C">
      <w:pPr>
        <w:widowControl w:val="0"/>
        <w:contextualSpacing/>
        <w:jc w:val="both"/>
        <w:rPr>
          <w:rFonts w:asciiTheme="minorHAnsi" w:hAnsiTheme="minorHAnsi" w:cs="Arial"/>
          <w:bCs/>
          <w:snapToGrid w:val="0"/>
        </w:rPr>
      </w:pPr>
    </w:p>
    <w:p w:rsidR="00B30E0B" w:rsidRDefault="00B30E0B" w:rsidP="00B30E0B">
      <w:pPr>
        <w:widowControl w:val="0"/>
        <w:ind w:left="720"/>
        <w:contextualSpacing/>
        <w:jc w:val="both"/>
        <w:rPr>
          <w:rFonts w:asciiTheme="minorHAnsi" w:hAnsiTheme="minorHAnsi" w:cs="Arial"/>
          <w:bCs/>
          <w:snapToGrid w:val="0"/>
        </w:rPr>
      </w:pPr>
      <w:r>
        <w:rPr>
          <w:rFonts w:asciiTheme="minorHAnsi" w:hAnsiTheme="minorHAnsi" w:cs="Arial"/>
          <w:bCs/>
          <w:snapToGrid w:val="0"/>
        </w:rPr>
        <w:t>The redacted table above shows that at year 5, the estimated number of patients was less than 10,000 and the net cost to the PBS would be less than $10 million.</w:t>
      </w:r>
    </w:p>
    <w:p w:rsidR="00A757B3" w:rsidRPr="00A757B3" w:rsidRDefault="00A757B3" w:rsidP="00A757B3">
      <w:pPr>
        <w:rPr>
          <w:snapToGrid w:val="0"/>
        </w:rPr>
      </w:pPr>
    </w:p>
    <w:p w:rsidR="00A757B3" w:rsidRPr="00337D06" w:rsidRDefault="00A757B3" w:rsidP="004C222C">
      <w:pPr>
        <w:widowControl w:val="0"/>
        <w:numPr>
          <w:ilvl w:val="1"/>
          <w:numId w:val="5"/>
        </w:numPr>
        <w:contextualSpacing/>
        <w:jc w:val="both"/>
        <w:rPr>
          <w:rFonts w:asciiTheme="minorHAnsi" w:hAnsiTheme="minorHAnsi" w:cs="Arial"/>
          <w:bCs/>
          <w:snapToGrid w:val="0"/>
        </w:rPr>
      </w:pPr>
      <w:r>
        <w:rPr>
          <w:rFonts w:asciiTheme="minorHAnsi" w:hAnsiTheme="minorHAnsi" w:cs="Arial"/>
          <w:bCs/>
          <w:snapToGrid w:val="0"/>
        </w:rPr>
        <w:t>As</w:t>
      </w:r>
      <w:r w:rsidR="004C222C" w:rsidRPr="004033CF">
        <w:rPr>
          <w:rFonts w:asciiTheme="minorHAnsi" w:hAnsiTheme="minorHAnsi" w:cs="Arial"/>
          <w:bCs/>
          <w:snapToGrid w:val="0"/>
        </w:rPr>
        <w:t xml:space="preserve"> the current listing for goserelin is a restricted benefit, there may already be some use outside the restriction for the prevention of POF which may mean the uptake and therefore the cost to the PBS is lower. However, the extent of this is unknown.</w:t>
      </w:r>
    </w:p>
    <w:p w:rsidR="00A757B3" w:rsidRPr="004033CF" w:rsidRDefault="00A757B3" w:rsidP="004C222C">
      <w:pPr>
        <w:widowControl w:val="0"/>
        <w:contextualSpacing/>
        <w:jc w:val="both"/>
        <w:rPr>
          <w:rFonts w:asciiTheme="minorHAnsi" w:hAnsiTheme="minorHAnsi" w:cs="Arial"/>
          <w:bCs/>
          <w:snapToGrid w:val="0"/>
        </w:rPr>
      </w:pPr>
    </w:p>
    <w:p w:rsidR="004C222C" w:rsidRPr="00C06EDD" w:rsidRDefault="004C222C" w:rsidP="00540758">
      <w:pPr>
        <w:pStyle w:val="Heading2"/>
        <w:rPr>
          <w:rFonts w:asciiTheme="minorHAnsi" w:hAnsiTheme="minorHAnsi"/>
          <w:sz w:val="28"/>
          <w:szCs w:val="28"/>
        </w:rPr>
      </w:pPr>
      <w:r w:rsidRPr="00C06EDD">
        <w:rPr>
          <w:rFonts w:asciiTheme="minorHAnsi" w:hAnsiTheme="minorHAnsi"/>
          <w:sz w:val="28"/>
          <w:szCs w:val="28"/>
        </w:rPr>
        <w:t>Risk Sharing Arrangements</w:t>
      </w:r>
    </w:p>
    <w:p w:rsidR="00AF5013" w:rsidRPr="004033CF" w:rsidRDefault="00AF5013" w:rsidP="004033CF">
      <w:pPr>
        <w:jc w:val="both"/>
        <w:rPr>
          <w:rFonts w:asciiTheme="minorHAnsi" w:hAnsiTheme="minorHAnsi"/>
        </w:rPr>
      </w:pPr>
    </w:p>
    <w:p w:rsidR="004C222C" w:rsidRPr="00A757B3" w:rsidRDefault="004C222C" w:rsidP="004033CF">
      <w:pPr>
        <w:widowControl w:val="0"/>
        <w:numPr>
          <w:ilvl w:val="1"/>
          <w:numId w:val="5"/>
        </w:numPr>
        <w:contextualSpacing/>
        <w:jc w:val="both"/>
        <w:rPr>
          <w:rFonts w:asciiTheme="minorHAnsi" w:hAnsiTheme="minorHAnsi" w:cs="Arial"/>
          <w:bCs/>
          <w:snapToGrid w:val="0"/>
        </w:rPr>
      </w:pPr>
      <w:r w:rsidRPr="004033CF">
        <w:rPr>
          <w:rFonts w:asciiTheme="minorHAnsi" w:hAnsiTheme="minorHAnsi" w:cs="Arial"/>
          <w:bCs/>
          <w:snapToGrid w:val="0"/>
        </w:rPr>
        <w:t>The submission argued against a risk sharing arrangement for goserelin, for the reasons outline</w:t>
      </w:r>
      <w:r w:rsidR="00A01729" w:rsidRPr="004033CF">
        <w:rPr>
          <w:rFonts w:asciiTheme="minorHAnsi" w:hAnsiTheme="minorHAnsi" w:cs="Arial"/>
          <w:bCs/>
          <w:snapToGrid w:val="0"/>
        </w:rPr>
        <w:t>d</w:t>
      </w:r>
      <w:r w:rsidRPr="004033CF">
        <w:rPr>
          <w:rFonts w:asciiTheme="minorHAnsi" w:hAnsiTheme="minorHAnsi" w:cs="Arial"/>
          <w:bCs/>
          <w:snapToGrid w:val="0"/>
        </w:rPr>
        <w:t xml:space="preserve"> in paragraph 4.2.</w:t>
      </w:r>
    </w:p>
    <w:p w:rsidR="00A757B3" w:rsidRPr="004033CF" w:rsidRDefault="00A757B3" w:rsidP="004033CF">
      <w:pPr>
        <w:widowControl w:val="0"/>
        <w:contextualSpacing/>
        <w:jc w:val="both"/>
        <w:rPr>
          <w:rFonts w:asciiTheme="minorHAnsi" w:hAnsiTheme="minorHAnsi" w:cs="Arial"/>
          <w:bCs/>
          <w:snapToGrid w:val="0"/>
        </w:rPr>
      </w:pPr>
    </w:p>
    <w:p w:rsidR="000A5876" w:rsidRPr="004033CF" w:rsidRDefault="001D636E" w:rsidP="000A5876">
      <w:pPr>
        <w:widowControl w:val="0"/>
        <w:numPr>
          <w:ilvl w:val="1"/>
          <w:numId w:val="5"/>
        </w:numPr>
        <w:contextualSpacing/>
        <w:jc w:val="both"/>
        <w:rPr>
          <w:rFonts w:asciiTheme="minorHAnsi" w:hAnsiTheme="minorHAnsi" w:cs="Arial"/>
          <w:bCs/>
          <w:snapToGrid w:val="0"/>
        </w:rPr>
      </w:pPr>
      <w:r w:rsidRPr="004033CF">
        <w:rPr>
          <w:rFonts w:asciiTheme="minorHAnsi" w:hAnsiTheme="minorHAnsi" w:cs="Arial"/>
          <w:bCs/>
          <w:snapToGrid w:val="0"/>
        </w:rPr>
        <w:t>A</w:t>
      </w:r>
      <w:r w:rsidR="004C222C" w:rsidRPr="004033CF">
        <w:rPr>
          <w:rFonts w:asciiTheme="minorHAnsi" w:hAnsiTheme="minorHAnsi" w:cs="Arial"/>
          <w:bCs/>
          <w:snapToGrid w:val="0"/>
        </w:rPr>
        <w:t xml:space="preserve"> further</w:t>
      </w:r>
      <w:r w:rsidR="000A5876" w:rsidRPr="004033CF">
        <w:rPr>
          <w:rFonts w:asciiTheme="minorHAnsi" w:hAnsiTheme="minorHAnsi" w:cs="Arial"/>
          <w:bCs/>
          <w:snapToGrid w:val="0"/>
        </w:rPr>
        <w:t xml:space="preserve"> analysis of PBS script data conducted by the Department showed that </w:t>
      </w:r>
      <w:r w:rsidR="00BF4FF9">
        <w:rPr>
          <w:rFonts w:asciiTheme="minorHAnsi" w:hAnsiTheme="minorHAnsi" w:cs="Arial"/>
          <w:bCs/>
          <w:noProof/>
          <w:snapToGrid w:val="0"/>
          <w:color w:val="000000"/>
          <w:highlight w:val="black"/>
        </w:rPr>
        <w:t>''''''''''</w:t>
      </w:r>
      <w:r w:rsidR="000A5876" w:rsidRPr="004033CF">
        <w:rPr>
          <w:rFonts w:asciiTheme="minorHAnsi" w:hAnsiTheme="minorHAnsi" w:cs="Arial"/>
          <w:bCs/>
          <w:snapToGrid w:val="0"/>
        </w:rPr>
        <w:t xml:space="preserve"> women aged 18-49 years received PBS-subsidised cyclophosphamide therapy in 2016. </w:t>
      </w:r>
      <w:r w:rsidRPr="004033CF">
        <w:rPr>
          <w:rFonts w:asciiTheme="minorHAnsi" w:hAnsiTheme="minorHAnsi" w:cs="Arial"/>
          <w:bCs/>
          <w:snapToGrid w:val="0"/>
        </w:rPr>
        <w:t>At the March 2017 meeting, t</w:t>
      </w:r>
      <w:r w:rsidR="000A5876" w:rsidRPr="004033CF">
        <w:rPr>
          <w:rFonts w:asciiTheme="minorHAnsi" w:hAnsiTheme="minorHAnsi" w:cs="Arial"/>
          <w:bCs/>
          <w:snapToGrid w:val="0"/>
        </w:rPr>
        <w:t>he PBAC considered use of cyclophosphamide to be a reasonable surrogate for drugs causing POF, but noted that th</w:t>
      </w:r>
      <w:r w:rsidR="00013AA1" w:rsidRPr="004033CF">
        <w:rPr>
          <w:rFonts w:asciiTheme="minorHAnsi" w:hAnsiTheme="minorHAnsi" w:cs="Arial"/>
          <w:bCs/>
          <w:snapToGrid w:val="0"/>
        </w:rPr>
        <w:t>is includes a much broader population</w:t>
      </w:r>
      <w:r w:rsidR="000A5876" w:rsidRPr="004033CF">
        <w:rPr>
          <w:rFonts w:asciiTheme="minorHAnsi" w:hAnsiTheme="minorHAnsi" w:cs="Arial"/>
          <w:bCs/>
          <w:snapToGrid w:val="0"/>
        </w:rPr>
        <w:t xml:space="preserve"> than would actually elect to use goserelin to prevent POF. For this </w:t>
      </w:r>
      <w:r w:rsidR="004C222C" w:rsidRPr="004033CF">
        <w:rPr>
          <w:rFonts w:asciiTheme="minorHAnsi" w:hAnsiTheme="minorHAnsi" w:cs="Arial"/>
          <w:bCs/>
          <w:snapToGrid w:val="0"/>
        </w:rPr>
        <w:t>reason, the</w:t>
      </w:r>
      <w:r w:rsidR="000A5876" w:rsidRPr="004033CF">
        <w:rPr>
          <w:rFonts w:asciiTheme="minorHAnsi" w:hAnsiTheme="minorHAnsi" w:cs="Arial"/>
          <w:bCs/>
          <w:snapToGrid w:val="0"/>
        </w:rPr>
        <w:t xml:space="preserve"> estimates represent an upper limit on u</w:t>
      </w:r>
      <w:r w:rsidR="00FE4E0C">
        <w:rPr>
          <w:rFonts w:asciiTheme="minorHAnsi" w:hAnsiTheme="minorHAnsi" w:cs="Arial"/>
          <w:bCs/>
          <w:snapToGrid w:val="0"/>
        </w:rPr>
        <w:t>se</w:t>
      </w:r>
      <w:r w:rsidR="000A5876" w:rsidRPr="004033CF">
        <w:rPr>
          <w:rFonts w:asciiTheme="minorHAnsi" w:hAnsiTheme="minorHAnsi" w:cs="Arial"/>
          <w:bCs/>
          <w:snapToGrid w:val="0"/>
        </w:rPr>
        <w:t xml:space="preserve"> if goserelin was made available for all women of childbearing age under</w:t>
      </w:r>
      <w:r w:rsidR="004033CF">
        <w:rPr>
          <w:rFonts w:asciiTheme="minorHAnsi" w:hAnsiTheme="minorHAnsi" w:cs="Arial"/>
          <w:bCs/>
          <w:snapToGrid w:val="0"/>
        </w:rPr>
        <w:t>going cyclophosphamide therapy.</w:t>
      </w:r>
    </w:p>
    <w:p w:rsidR="002B23DE" w:rsidRPr="004033CF" w:rsidRDefault="002B23DE" w:rsidP="0018584B">
      <w:pPr>
        <w:rPr>
          <w:rFonts w:asciiTheme="minorHAnsi" w:hAnsiTheme="minorHAnsi"/>
          <w:bCs/>
        </w:rPr>
      </w:pPr>
    </w:p>
    <w:p w:rsidR="0018584B" w:rsidRPr="004033CF" w:rsidRDefault="0018584B" w:rsidP="0018584B">
      <w:pPr>
        <w:widowControl w:val="0"/>
        <w:numPr>
          <w:ilvl w:val="1"/>
          <w:numId w:val="5"/>
        </w:numPr>
        <w:contextualSpacing/>
        <w:jc w:val="both"/>
        <w:rPr>
          <w:rFonts w:asciiTheme="minorHAnsi" w:hAnsiTheme="minorHAnsi" w:cs="Arial"/>
          <w:bCs/>
          <w:snapToGrid w:val="0"/>
        </w:rPr>
      </w:pPr>
      <w:r w:rsidRPr="004033CF">
        <w:rPr>
          <w:rFonts w:asciiTheme="minorHAnsi" w:hAnsiTheme="minorHAnsi" w:cs="Arial"/>
          <w:bCs/>
          <w:snapToGrid w:val="0"/>
        </w:rPr>
        <w:t xml:space="preserve">The number of additional patients expected to use goserelin for the prevention of POF has been estimated to </w:t>
      </w:r>
      <w:r w:rsidR="00A757B3">
        <w:rPr>
          <w:rFonts w:asciiTheme="minorHAnsi" w:hAnsiTheme="minorHAnsi" w:cs="Arial"/>
          <w:bCs/>
          <w:snapToGrid w:val="0"/>
        </w:rPr>
        <w:t>be less than 10,000</w:t>
      </w:r>
      <w:r w:rsidRPr="004033CF">
        <w:rPr>
          <w:rFonts w:asciiTheme="minorHAnsi" w:hAnsiTheme="minorHAnsi" w:cs="Arial"/>
          <w:bCs/>
          <w:snapToGrid w:val="0"/>
        </w:rPr>
        <w:t xml:space="preserve"> (based on MOGA estimates</w:t>
      </w:r>
      <w:r w:rsidR="00A757B3">
        <w:rPr>
          <w:rFonts w:asciiTheme="minorHAnsi" w:hAnsiTheme="minorHAnsi" w:cs="Arial"/>
          <w:bCs/>
          <w:snapToGrid w:val="0"/>
        </w:rPr>
        <w:t xml:space="preserve"> </w:t>
      </w:r>
      <w:r w:rsidR="00706F0C">
        <w:rPr>
          <w:rFonts w:asciiTheme="minorHAnsi" w:hAnsiTheme="minorHAnsi" w:cs="Arial"/>
          <w:bCs/>
          <w:snapToGrid w:val="0"/>
        </w:rPr>
        <w:t xml:space="preserve">of </w:t>
      </w:r>
      <w:r w:rsidR="00706F0C" w:rsidRPr="004033CF">
        <w:rPr>
          <w:rFonts w:asciiTheme="minorHAnsi" w:hAnsiTheme="minorHAnsi" w:cs="Arial"/>
          <w:bCs/>
          <w:snapToGrid w:val="0"/>
        </w:rPr>
        <w:t>cyclophosphamide</w:t>
      </w:r>
      <w:r w:rsidRPr="004033CF">
        <w:rPr>
          <w:rFonts w:asciiTheme="minorHAnsi" w:hAnsiTheme="minorHAnsi" w:cs="Arial"/>
          <w:bCs/>
          <w:snapToGrid w:val="0"/>
        </w:rPr>
        <w:t xml:space="preserve"> use in women aged 18-49 years on the PBS). In 2016, 23,435 patients were supplied goserelin through the PBS, with growth over the previous five years being relatively stable. Relative to the whole market, the requested population is estimated to increase the market by between </w:t>
      </w:r>
      <w:r w:rsidR="00BF4FF9">
        <w:rPr>
          <w:rFonts w:asciiTheme="minorHAnsi" w:hAnsiTheme="minorHAnsi" w:cs="Arial"/>
          <w:bCs/>
          <w:noProof/>
          <w:snapToGrid w:val="0"/>
          <w:color w:val="000000"/>
          <w:highlight w:val="black"/>
        </w:rPr>
        <w:t>'''</w:t>
      </w:r>
      <w:r w:rsidRPr="00B30E0B">
        <w:rPr>
          <w:rFonts w:asciiTheme="minorHAnsi" w:hAnsiTheme="minorHAnsi" w:cs="Arial"/>
          <w:bCs/>
          <w:snapToGrid w:val="0"/>
        </w:rPr>
        <w:t xml:space="preserve"> to </w:t>
      </w:r>
      <w:r w:rsidR="00BF4FF9">
        <w:rPr>
          <w:rFonts w:asciiTheme="minorHAnsi" w:hAnsiTheme="minorHAnsi" w:cs="Arial"/>
          <w:bCs/>
          <w:noProof/>
          <w:snapToGrid w:val="0"/>
          <w:color w:val="000000"/>
          <w:highlight w:val="black"/>
        </w:rPr>
        <w:t>'''''</w:t>
      </w:r>
      <w:r w:rsidRPr="004033CF">
        <w:rPr>
          <w:rFonts w:asciiTheme="minorHAnsi" w:hAnsiTheme="minorHAnsi" w:cs="Arial"/>
          <w:bCs/>
          <w:snapToGrid w:val="0"/>
        </w:rPr>
        <w:t>%.</w:t>
      </w:r>
      <w:r w:rsidR="00AF5013" w:rsidRPr="004033CF">
        <w:rPr>
          <w:rFonts w:asciiTheme="minorHAnsi" w:hAnsiTheme="minorHAnsi" w:cs="Arial"/>
          <w:bCs/>
          <w:snapToGrid w:val="0"/>
        </w:rPr>
        <w:t xml:space="preserve"> </w:t>
      </w:r>
      <w:r w:rsidRPr="004033CF">
        <w:rPr>
          <w:rFonts w:asciiTheme="minorHAnsi" w:hAnsiTheme="minorHAnsi" w:cs="Arial"/>
          <w:bCs/>
          <w:snapToGrid w:val="0"/>
        </w:rPr>
        <w:t xml:space="preserve">If the PBAC were to recommended an unrestricted listing, a potential RSA could use a patient cap that takes into account current patient utilisation of goserelin, plus this upper estimate of utilisation for use for prevention of POF (around </w:t>
      </w:r>
      <w:r w:rsidR="00BF4FF9">
        <w:rPr>
          <w:rFonts w:asciiTheme="minorHAnsi" w:hAnsiTheme="minorHAnsi" w:cs="Arial"/>
          <w:bCs/>
          <w:noProof/>
          <w:snapToGrid w:val="0"/>
          <w:color w:val="000000"/>
          <w:highlight w:val="black"/>
        </w:rPr>
        <w:t>''''''''''''</w:t>
      </w:r>
      <w:r w:rsidRPr="004033CF">
        <w:rPr>
          <w:rFonts w:asciiTheme="minorHAnsi" w:hAnsiTheme="minorHAnsi" w:cs="Arial"/>
          <w:bCs/>
          <w:snapToGrid w:val="0"/>
        </w:rPr>
        <w:t xml:space="preserve"> patients per year; noting that this likely overestimates the amount of utilisation that will occur in practice).</w:t>
      </w:r>
    </w:p>
    <w:p w:rsidR="00540758" w:rsidRPr="004033CF" w:rsidRDefault="00540758" w:rsidP="004033CF">
      <w:pPr>
        <w:widowControl w:val="0"/>
        <w:contextualSpacing/>
        <w:jc w:val="both"/>
        <w:rPr>
          <w:rFonts w:asciiTheme="minorHAnsi" w:hAnsiTheme="minorHAnsi" w:cs="Arial"/>
          <w:bCs/>
          <w:snapToGrid w:val="0"/>
        </w:rPr>
      </w:pPr>
    </w:p>
    <w:p w:rsidR="0018584B" w:rsidRPr="00DE2376" w:rsidRDefault="00540758" w:rsidP="00540758">
      <w:pPr>
        <w:widowControl w:val="0"/>
        <w:ind w:firstLine="720"/>
        <w:contextualSpacing/>
        <w:jc w:val="both"/>
        <w:rPr>
          <w:rFonts w:asciiTheme="minorHAnsi" w:hAnsiTheme="minorHAnsi" w:cs="Arial"/>
          <w:bCs/>
          <w:i/>
          <w:snapToGrid w:val="0"/>
        </w:rPr>
      </w:pPr>
      <w:r w:rsidRPr="00DE2376">
        <w:rPr>
          <w:rFonts w:asciiTheme="minorHAnsi" w:hAnsiTheme="minorHAnsi"/>
          <w:i/>
        </w:rPr>
        <w:t xml:space="preserve">For more detail on PBAC’s view, see section </w:t>
      </w:r>
      <w:r w:rsidR="004033CF" w:rsidRPr="00DE2376">
        <w:rPr>
          <w:rFonts w:asciiTheme="minorHAnsi" w:hAnsiTheme="minorHAnsi"/>
          <w:i/>
        </w:rPr>
        <w:t>6</w:t>
      </w:r>
      <w:r w:rsidRPr="00DE2376">
        <w:rPr>
          <w:rFonts w:asciiTheme="minorHAnsi" w:hAnsiTheme="minorHAnsi"/>
          <w:i/>
        </w:rPr>
        <w:t xml:space="preserve"> “PBAC outcome.”</w:t>
      </w:r>
    </w:p>
    <w:p w:rsidR="00E67DCC" w:rsidRDefault="00E67DCC" w:rsidP="00BF388D">
      <w:pPr>
        <w:rPr>
          <w:rFonts w:asciiTheme="minorHAnsi" w:hAnsiTheme="minorHAnsi"/>
        </w:rPr>
      </w:pPr>
    </w:p>
    <w:p w:rsidR="00706F0C" w:rsidRPr="004033CF" w:rsidRDefault="00706F0C" w:rsidP="00BF388D">
      <w:pPr>
        <w:rPr>
          <w:rFonts w:asciiTheme="minorHAnsi" w:hAnsiTheme="minorHAnsi"/>
        </w:rPr>
      </w:pPr>
    </w:p>
    <w:p w:rsidR="00A60C51" w:rsidRPr="00C06EDD" w:rsidRDefault="004033CF" w:rsidP="00C06EDD">
      <w:pPr>
        <w:pStyle w:val="PBACHeading1"/>
      </w:pPr>
      <w:r w:rsidRPr="00C06EDD">
        <w:t>PBAC Outcome</w:t>
      </w:r>
    </w:p>
    <w:p w:rsidR="00342CE8" w:rsidRPr="004033CF" w:rsidRDefault="00342CE8" w:rsidP="00C06EDD">
      <w:pPr>
        <w:pStyle w:val="PBACHeading1"/>
        <w:numPr>
          <w:ilvl w:val="0"/>
          <w:numId w:val="0"/>
        </w:numPr>
        <w:outlineLvl w:val="9"/>
        <w:rPr>
          <w:b w:val="0"/>
          <w:sz w:val="24"/>
          <w:szCs w:val="24"/>
        </w:rPr>
      </w:pPr>
    </w:p>
    <w:p w:rsidR="00A01729" w:rsidRPr="004033CF" w:rsidRDefault="00A01729" w:rsidP="00342CE8">
      <w:pPr>
        <w:widowControl w:val="0"/>
        <w:numPr>
          <w:ilvl w:val="1"/>
          <w:numId w:val="5"/>
        </w:numPr>
        <w:contextualSpacing/>
        <w:jc w:val="both"/>
        <w:rPr>
          <w:rFonts w:asciiTheme="minorHAnsi" w:hAnsiTheme="minorHAnsi" w:cs="Arial"/>
          <w:bCs/>
          <w:snapToGrid w:val="0"/>
        </w:rPr>
      </w:pPr>
      <w:r w:rsidRPr="004033CF">
        <w:rPr>
          <w:rFonts w:asciiTheme="minorHAnsi" w:hAnsiTheme="minorHAnsi" w:cs="Arial"/>
          <w:bCs/>
          <w:snapToGrid w:val="0"/>
        </w:rPr>
        <w:t xml:space="preserve">The PBAC recommended </w:t>
      </w:r>
      <w:r w:rsidR="00625955">
        <w:rPr>
          <w:rFonts w:asciiTheme="minorHAnsi" w:hAnsiTheme="minorHAnsi" w:cs="Arial"/>
          <w:bCs/>
          <w:snapToGrid w:val="0"/>
        </w:rPr>
        <w:t xml:space="preserve">extending </w:t>
      </w:r>
      <w:r w:rsidRPr="004033CF">
        <w:rPr>
          <w:rFonts w:asciiTheme="minorHAnsi" w:hAnsiTheme="minorHAnsi" w:cs="Arial"/>
          <w:bCs/>
          <w:snapToGrid w:val="0"/>
        </w:rPr>
        <w:t xml:space="preserve">the listing of goserelin </w:t>
      </w:r>
      <w:r w:rsidR="00EB5FC5">
        <w:rPr>
          <w:rFonts w:asciiTheme="minorHAnsi" w:hAnsiTheme="minorHAnsi" w:cs="Arial"/>
          <w:bCs/>
          <w:snapToGrid w:val="0"/>
        </w:rPr>
        <w:t xml:space="preserve">3.6 mg </w:t>
      </w:r>
      <w:r w:rsidR="007857A2">
        <w:rPr>
          <w:rFonts w:asciiTheme="minorHAnsi" w:hAnsiTheme="minorHAnsi" w:cs="Arial"/>
          <w:bCs/>
          <w:snapToGrid w:val="0"/>
        </w:rPr>
        <w:t xml:space="preserve">as a restricted benefit </w:t>
      </w:r>
      <w:r w:rsidRPr="004033CF">
        <w:rPr>
          <w:rFonts w:asciiTheme="minorHAnsi" w:hAnsiTheme="minorHAnsi" w:cs="Arial"/>
          <w:bCs/>
          <w:snapToGrid w:val="0"/>
        </w:rPr>
        <w:t xml:space="preserve">for the prevention of premature ovarian failure </w:t>
      </w:r>
      <w:r w:rsidR="006C433F" w:rsidRPr="004033CF">
        <w:rPr>
          <w:rFonts w:asciiTheme="minorHAnsi" w:hAnsiTheme="minorHAnsi" w:cs="Arial"/>
          <w:bCs/>
          <w:snapToGrid w:val="0"/>
        </w:rPr>
        <w:t xml:space="preserve">(POF) </w:t>
      </w:r>
      <w:r w:rsidRPr="004033CF">
        <w:rPr>
          <w:rFonts w:asciiTheme="minorHAnsi" w:hAnsiTheme="minorHAnsi" w:cs="Arial"/>
          <w:bCs/>
          <w:snapToGrid w:val="0"/>
        </w:rPr>
        <w:t>in pre-menopausal women undergoing treatment with alkylating agents for which there is a risk to fertility.</w:t>
      </w:r>
    </w:p>
    <w:p w:rsidR="00342CE8" w:rsidRPr="004033CF" w:rsidRDefault="00342CE8" w:rsidP="004033CF">
      <w:pPr>
        <w:widowControl w:val="0"/>
        <w:contextualSpacing/>
        <w:jc w:val="both"/>
        <w:rPr>
          <w:rFonts w:asciiTheme="minorHAnsi" w:hAnsiTheme="minorHAnsi" w:cs="Arial"/>
          <w:bCs/>
          <w:snapToGrid w:val="0"/>
        </w:rPr>
      </w:pPr>
    </w:p>
    <w:p w:rsidR="00A01729" w:rsidRPr="004033CF" w:rsidRDefault="00A01729" w:rsidP="00342CE8">
      <w:pPr>
        <w:widowControl w:val="0"/>
        <w:numPr>
          <w:ilvl w:val="1"/>
          <w:numId w:val="5"/>
        </w:numPr>
        <w:contextualSpacing/>
        <w:jc w:val="both"/>
        <w:rPr>
          <w:rFonts w:asciiTheme="minorHAnsi" w:hAnsiTheme="minorHAnsi" w:cs="Arial"/>
          <w:bCs/>
          <w:snapToGrid w:val="0"/>
        </w:rPr>
      </w:pPr>
      <w:r w:rsidRPr="004033CF">
        <w:rPr>
          <w:rFonts w:asciiTheme="minorHAnsi" w:hAnsiTheme="minorHAnsi" w:cs="Arial"/>
          <w:bCs/>
          <w:snapToGrid w:val="0"/>
        </w:rPr>
        <w:t xml:space="preserve">The PBAC recalled </w:t>
      </w:r>
      <w:r w:rsidR="006C433F" w:rsidRPr="004033CF">
        <w:rPr>
          <w:rFonts w:asciiTheme="minorHAnsi" w:hAnsiTheme="minorHAnsi" w:cs="Arial"/>
          <w:bCs/>
          <w:snapToGrid w:val="0"/>
        </w:rPr>
        <w:t>its previous advice</w:t>
      </w:r>
      <w:r w:rsidRPr="004033CF">
        <w:rPr>
          <w:rFonts w:asciiTheme="minorHAnsi" w:hAnsiTheme="minorHAnsi" w:cs="Arial"/>
          <w:bCs/>
          <w:snapToGrid w:val="0"/>
        </w:rPr>
        <w:t xml:space="preserve"> that </w:t>
      </w:r>
      <w:r w:rsidR="00027E89" w:rsidRPr="004033CF">
        <w:rPr>
          <w:rFonts w:asciiTheme="minorHAnsi" w:hAnsiTheme="minorHAnsi" w:cs="Arial"/>
          <w:bCs/>
          <w:snapToGrid w:val="0"/>
        </w:rPr>
        <w:t xml:space="preserve">the clinical evidence indicated goserelin was effective in reducing the risk of POF in women receiving cyclophosphamide for breast cancer. By extrapolation, it was biologically plausible that goserelin would also be effective in other conditions treated with alkylating agents, such as cyclophosphamide (goserelin, March 2017 PSD). The PBAC recalled </w:t>
      </w:r>
      <w:r w:rsidR="004033CF">
        <w:rPr>
          <w:rFonts w:asciiTheme="minorHAnsi" w:hAnsiTheme="minorHAnsi" w:cs="Arial"/>
          <w:bCs/>
          <w:snapToGrid w:val="0"/>
        </w:rPr>
        <w:t>its</w:t>
      </w:r>
      <w:r w:rsidR="00027E89" w:rsidRPr="004033CF">
        <w:rPr>
          <w:rFonts w:asciiTheme="minorHAnsi" w:hAnsiTheme="minorHAnsi" w:cs="Arial"/>
          <w:bCs/>
          <w:snapToGrid w:val="0"/>
        </w:rPr>
        <w:t xml:space="preserve"> previous advice that the ability of </w:t>
      </w:r>
      <w:r w:rsidR="007857A2">
        <w:rPr>
          <w:rFonts w:asciiTheme="minorHAnsi" w:hAnsiTheme="minorHAnsi" w:cs="Arial"/>
          <w:bCs/>
          <w:snapToGrid w:val="0"/>
        </w:rPr>
        <w:t>goserelin</w:t>
      </w:r>
      <w:r w:rsidR="00027E89" w:rsidRPr="004033CF">
        <w:rPr>
          <w:rFonts w:asciiTheme="minorHAnsi" w:hAnsiTheme="minorHAnsi" w:cs="Arial"/>
          <w:bCs/>
          <w:snapToGrid w:val="0"/>
        </w:rPr>
        <w:t xml:space="preserve"> to protect ovarian function relates to factors such as the nature and duration of drug exposure and the age of the woman (paragraph 7.4, goserelin November 2016 PSD).</w:t>
      </w:r>
    </w:p>
    <w:p w:rsidR="00342CE8" w:rsidRPr="004033CF" w:rsidRDefault="00342CE8" w:rsidP="00342CE8">
      <w:pPr>
        <w:widowControl w:val="0"/>
        <w:contextualSpacing/>
        <w:jc w:val="both"/>
        <w:rPr>
          <w:rFonts w:asciiTheme="minorHAnsi" w:hAnsiTheme="minorHAnsi" w:cs="Arial"/>
          <w:bCs/>
          <w:snapToGrid w:val="0"/>
        </w:rPr>
      </w:pPr>
    </w:p>
    <w:p w:rsidR="004A7BBB" w:rsidRPr="004033CF" w:rsidRDefault="00A01729" w:rsidP="00342CE8">
      <w:pPr>
        <w:widowControl w:val="0"/>
        <w:numPr>
          <w:ilvl w:val="1"/>
          <w:numId w:val="5"/>
        </w:numPr>
        <w:contextualSpacing/>
        <w:jc w:val="both"/>
        <w:rPr>
          <w:rFonts w:asciiTheme="minorHAnsi" w:hAnsiTheme="minorHAnsi" w:cs="Arial"/>
          <w:bCs/>
          <w:snapToGrid w:val="0"/>
        </w:rPr>
      </w:pPr>
      <w:r w:rsidRPr="004033CF">
        <w:rPr>
          <w:rFonts w:asciiTheme="minorHAnsi" w:hAnsiTheme="minorHAnsi" w:cs="Arial"/>
          <w:bCs/>
          <w:snapToGrid w:val="0"/>
        </w:rPr>
        <w:t xml:space="preserve">The PBAC </w:t>
      </w:r>
      <w:r w:rsidR="00B376D5">
        <w:rPr>
          <w:rFonts w:asciiTheme="minorHAnsi" w:hAnsiTheme="minorHAnsi" w:cs="Arial"/>
          <w:bCs/>
          <w:snapToGrid w:val="0"/>
        </w:rPr>
        <w:t xml:space="preserve">expressed concern that </w:t>
      </w:r>
      <w:r w:rsidRPr="004033CF">
        <w:rPr>
          <w:rFonts w:asciiTheme="minorHAnsi" w:hAnsiTheme="minorHAnsi" w:cs="Arial"/>
          <w:bCs/>
          <w:snapToGrid w:val="0"/>
        </w:rPr>
        <w:t>the TGA registered indication</w:t>
      </w:r>
      <w:r w:rsidR="00B376D5">
        <w:rPr>
          <w:rFonts w:asciiTheme="minorHAnsi" w:hAnsiTheme="minorHAnsi" w:cs="Arial"/>
          <w:bCs/>
          <w:snapToGrid w:val="0"/>
        </w:rPr>
        <w:t>s</w:t>
      </w:r>
      <w:r w:rsidRPr="004033CF">
        <w:rPr>
          <w:rFonts w:asciiTheme="minorHAnsi" w:hAnsiTheme="minorHAnsi" w:cs="Arial"/>
          <w:bCs/>
          <w:snapToGrid w:val="0"/>
        </w:rPr>
        <w:t xml:space="preserve"> for this medicine</w:t>
      </w:r>
      <w:r w:rsidR="00B376D5">
        <w:rPr>
          <w:rFonts w:asciiTheme="minorHAnsi" w:hAnsiTheme="minorHAnsi" w:cs="Arial"/>
          <w:bCs/>
          <w:snapToGrid w:val="0"/>
        </w:rPr>
        <w:t xml:space="preserve"> were narrower than the intended use identified for the proposed restriction,</w:t>
      </w:r>
      <w:r w:rsidRPr="004033CF">
        <w:rPr>
          <w:rFonts w:asciiTheme="minorHAnsi" w:hAnsiTheme="minorHAnsi" w:cs="Arial"/>
          <w:bCs/>
          <w:snapToGrid w:val="0"/>
        </w:rPr>
        <w:t xml:space="preserve"> and </w:t>
      </w:r>
      <w:r w:rsidR="00B376D5">
        <w:rPr>
          <w:rFonts w:asciiTheme="minorHAnsi" w:hAnsiTheme="minorHAnsi" w:cs="Arial"/>
          <w:bCs/>
          <w:snapToGrid w:val="0"/>
        </w:rPr>
        <w:t xml:space="preserve">noted </w:t>
      </w:r>
      <w:r w:rsidRPr="004033CF">
        <w:rPr>
          <w:rFonts w:asciiTheme="minorHAnsi" w:hAnsiTheme="minorHAnsi" w:cs="Arial"/>
          <w:bCs/>
          <w:snapToGrid w:val="0"/>
        </w:rPr>
        <w:t xml:space="preserve">that the sponsor’s proposed restricted benefit listing for ‘cancer’ </w:t>
      </w:r>
      <w:r w:rsidR="00B376D5">
        <w:rPr>
          <w:rFonts w:asciiTheme="minorHAnsi" w:hAnsiTheme="minorHAnsi" w:cs="Arial"/>
          <w:bCs/>
          <w:snapToGrid w:val="0"/>
        </w:rPr>
        <w:t xml:space="preserve">had </w:t>
      </w:r>
      <w:r w:rsidRPr="004033CF">
        <w:rPr>
          <w:rFonts w:asciiTheme="minorHAnsi" w:hAnsiTheme="minorHAnsi" w:cs="Arial"/>
          <w:bCs/>
          <w:snapToGrid w:val="0"/>
        </w:rPr>
        <w:t xml:space="preserve">attempted to address this. However, the PBAC considered that the potential benefits of goserelin in preventing POF was not restricted to women undergoing treatment for cancer, and therefore did not consider the restricted benefit proposed by the sponsor to be appropriate. Conversely, the PBAC considered that an unrestricted listing would introduce a considerable risk of leakage, which could not be sufficiently managed by a risk share arrangement. However, the PBAC was of the view that there was insufficient incentive for the sponsor to apply to </w:t>
      </w:r>
      <w:r w:rsidR="006C433F" w:rsidRPr="004033CF">
        <w:rPr>
          <w:rFonts w:asciiTheme="minorHAnsi" w:hAnsiTheme="minorHAnsi" w:cs="Arial"/>
          <w:bCs/>
          <w:snapToGrid w:val="0"/>
        </w:rPr>
        <w:t xml:space="preserve">the TGA to </w:t>
      </w:r>
      <w:r w:rsidRPr="004033CF">
        <w:rPr>
          <w:rFonts w:asciiTheme="minorHAnsi" w:hAnsiTheme="minorHAnsi" w:cs="Arial"/>
          <w:bCs/>
          <w:snapToGrid w:val="0"/>
        </w:rPr>
        <w:t xml:space="preserve">extend the </w:t>
      </w:r>
      <w:r w:rsidR="00B376D5">
        <w:rPr>
          <w:rFonts w:asciiTheme="minorHAnsi" w:hAnsiTheme="minorHAnsi" w:cs="Arial"/>
          <w:bCs/>
          <w:snapToGrid w:val="0"/>
        </w:rPr>
        <w:t xml:space="preserve">TGA-approved </w:t>
      </w:r>
      <w:r w:rsidRPr="004033CF">
        <w:rPr>
          <w:rFonts w:asciiTheme="minorHAnsi" w:hAnsiTheme="minorHAnsi" w:cs="Arial"/>
          <w:bCs/>
          <w:snapToGrid w:val="0"/>
        </w:rPr>
        <w:t>indication</w:t>
      </w:r>
      <w:r w:rsidR="00B376D5">
        <w:rPr>
          <w:rFonts w:asciiTheme="minorHAnsi" w:hAnsiTheme="minorHAnsi" w:cs="Arial"/>
          <w:bCs/>
          <w:snapToGrid w:val="0"/>
        </w:rPr>
        <w:t>s for a long-established medicine for relatively small gain in any revenue</w:t>
      </w:r>
      <w:r w:rsidRPr="004033CF">
        <w:rPr>
          <w:rFonts w:asciiTheme="minorHAnsi" w:hAnsiTheme="minorHAnsi" w:cs="Arial"/>
          <w:bCs/>
          <w:snapToGrid w:val="0"/>
        </w:rPr>
        <w:t xml:space="preserve">, and therefore that </w:t>
      </w:r>
      <w:r w:rsidR="006C433F" w:rsidRPr="004033CF">
        <w:rPr>
          <w:rFonts w:asciiTheme="minorHAnsi" w:hAnsiTheme="minorHAnsi" w:cs="Arial"/>
          <w:bCs/>
          <w:snapToGrid w:val="0"/>
        </w:rPr>
        <w:t>a</w:t>
      </w:r>
      <w:r w:rsidRPr="004033CF">
        <w:rPr>
          <w:rFonts w:asciiTheme="minorHAnsi" w:hAnsiTheme="minorHAnsi" w:cs="Arial"/>
          <w:bCs/>
          <w:snapToGrid w:val="0"/>
        </w:rPr>
        <w:t xml:space="preserve"> pragmatic </w:t>
      </w:r>
      <w:r w:rsidR="006C433F" w:rsidRPr="004033CF">
        <w:rPr>
          <w:rFonts w:asciiTheme="minorHAnsi" w:hAnsiTheme="minorHAnsi" w:cs="Arial"/>
          <w:bCs/>
          <w:snapToGrid w:val="0"/>
        </w:rPr>
        <w:t xml:space="preserve">approach to ensure equity of access for an area of clinical need, whilst also managing the risk of higher than expected utilisation, would be </w:t>
      </w:r>
      <w:r w:rsidRPr="004033CF">
        <w:rPr>
          <w:rFonts w:asciiTheme="minorHAnsi" w:hAnsiTheme="minorHAnsi" w:cs="Arial"/>
          <w:bCs/>
          <w:snapToGrid w:val="0"/>
        </w:rPr>
        <w:t>to enable PBS-subsidised treatment through a specific restriction.</w:t>
      </w:r>
    </w:p>
    <w:p w:rsidR="00342CE8" w:rsidRPr="004033CF" w:rsidRDefault="00342CE8" w:rsidP="00342CE8">
      <w:pPr>
        <w:widowControl w:val="0"/>
        <w:contextualSpacing/>
        <w:jc w:val="both"/>
        <w:rPr>
          <w:rFonts w:asciiTheme="minorHAnsi" w:hAnsiTheme="minorHAnsi" w:cs="Arial"/>
          <w:bCs/>
          <w:snapToGrid w:val="0"/>
        </w:rPr>
      </w:pPr>
    </w:p>
    <w:p w:rsidR="00027E89" w:rsidRPr="004033CF" w:rsidRDefault="004A7BBB" w:rsidP="00342CE8">
      <w:pPr>
        <w:widowControl w:val="0"/>
        <w:numPr>
          <w:ilvl w:val="1"/>
          <w:numId w:val="5"/>
        </w:numPr>
        <w:contextualSpacing/>
        <w:jc w:val="both"/>
        <w:rPr>
          <w:rFonts w:asciiTheme="minorHAnsi" w:hAnsiTheme="minorHAnsi" w:cs="Arial"/>
          <w:bCs/>
          <w:snapToGrid w:val="0"/>
        </w:rPr>
      </w:pPr>
      <w:r w:rsidRPr="004033CF">
        <w:rPr>
          <w:rFonts w:asciiTheme="minorHAnsi" w:hAnsiTheme="minorHAnsi" w:cs="Arial"/>
          <w:bCs/>
          <w:snapToGrid w:val="0"/>
        </w:rPr>
        <w:t>The PBAC noted that this submission is not eligible for an Independent Review</w:t>
      </w:r>
      <w:r w:rsidR="00027E89" w:rsidRPr="004033CF">
        <w:rPr>
          <w:rFonts w:asciiTheme="minorHAnsi" w:hAnsiTheme="minorHAnsi" w:cs="Arial"/>
          <w:bCs/>
          <w:snapToGrid w:val="0"/>
        </w:rPr>
        <w:t xml:space="preserve"> because it was recommended.</w:t>
      </w:r>
    </w:p>
    <w:p w:rsidR="00027E89" w:rsidRPr="004033CF" w:rsidRDefault="00027E89" w:rsidP="00027E89">
      <w:pPr>
        <w:widowControl w:val="0"/>
        <w:spacing w:after="120"/>
        <w:jc w:val="both"/>
        <w:rPr>
          <w:rFonts w:asciiTheme="minorHAnsi" w:hAnsiTheme="minorHAnsi" w:cs="Arial"/>
          <w:bCs/>
          <w:snapToGrid w:val="0"/>
          <w:highlight w:val="yellow"/>
          <w:lang w:val="en-GB" w:eastAsia="en-US"/>
        </w:rPr>
      </w:pPr>
    </w:p>
    <w:p w:rsidR="004A7BBB" w:rsidRPr="004033CF" w:rsidRDefault="004A7BBB" w:rsidP="006C433F">
      <w:pPr>
        <w:keepNext/>
        <w:widowControl w:val="0"/>
        <w:spacing w:after="120"/>
        <w:jc w:val="both"/>
        <w:rPr>
          <w:rFonts w:asciiTheme="minorHAnsi" w:hAnsiTheme="minorHAnsi" w:cs="Arial"/>
          <w:b/>
          <w:bCs/>
          <w:snapToGrid w:val="0"/>
          <w:lang w:val="en-GB" w:eastAsia="en-US"/>
        </w:rPr>
      </w:pPr>
      <w:r w:rsidRPr="004033CF">
        <w:rPr>
          <w:rFonts w:asciiTheme="minorHAnsi" w:hAnsiTheme="minorHAnsi" w:cs="Arial"/>
          <w:b/>
          <w:bCs/>
          <w:snapToGrid w:val="0"/>
          <w:lang w:val="en-GB" w:eastAsia="en-US"/>
        </w:rPr>
        <w:t>Outcome:</w:t>
      </w:r>
    </w:p>
    <w:p w:rsidR="004A7BBB" w:rsidRPr="004033CF" w:rsidRDefault="004A7BBB" w:rsidP="006C433F">
      <w:pPr>
        <w:keepNext/>
        <w:spacing w:after="120"/>
        <w:jc w:val="both"/>
        <w:rPr>
          <w:rFonts w:asciiTheme="minorHAnsi" w:hAnsiTheme="minorHAnsi" w:cs="Arial"/>
          <w:bCs/>
          <w:snapToGrid w:val="0"/>
          <w:lang w:val="en-GB" w:eastAsia="en-US"/>
        </w:rPr>
      </w:pPr>
      <w:r w:rsidRPr="004033CF">
        <w:rPr>
          <w:rFonts w:asciiTheme="minorHAnsi" w:hAnsiTheme="minorHAnsi" w:cs="Arial"/>
          <w:bCs/>
          <w:snapToGrid w:val="0"/>
          <w:lang w:val="en-GB" w:eastAsia="en-US"/>
        </w:rPr>
        <w:t>Recommended</w:t>
      </w:r>
    </w:p>
    <w:p w:rsidR="00A757B3" w:rsidRDefault="00A757B3">
      <w:pPr>
        <w:rPr>
          <w:rFonts w:asciiTheme="minorHAnsi" w:hAnsiTheme="minorHAnsi" w:cs="Arial"/>
          <w:b/>
          <w:snapToGrid w:val="0"/>
          <w:lang w:eastAsia="en-US"/>
        </w:rPr>
      </w:pPr>
    </w:p>
    <w:p w:rsidR="00706F0C" w:rsidRPr="00337D06" w:rsidRDefault="00706F0C">
      <w:pPr>
        <w:rPr>
          <w:rFonts w:asciiTheme="minorHAnsi" w:hAnsiTheme="minorHAnsi" w:cs="Arial"/>
          <w:b/>
          <w:snapToGrid w:val="0"/>
          <w:lang w:eastAsia="en-US"/>
        </w:rPr>
      </w:pPr>
    </w:p>
    <w:p w:rsidR="004A7BBB" w:rsidRDefault="004A7BBB" w:rsidP="00C06EDD">
      <w:pPr>
        <w:pStyle w:val="PBACHeading1"/>
      </w:pPr>
      <w:r w:rsidRPr="00C06EDD">
        <w:t>Recommended listing</w:t>
      </w:r>
    </w:p>
    <w:p w:rsidR="00C06EDD" w:rsidRPr="00C06EDD" w:rsidRDefault="00C06EDD" w:rsidP="0098540C">
      <w:pPr>
        <w:rPr>
          <w:snapToGrid w:val="0"/>
        </w:rPr>
      </w:pPr>
    </w:p>
    <w:p w:rsidR="004A7BBB" w:rsidRDefault="00EF0510" w:rsidP="004A7BBB">
      <w:pPr>
        <w:widowControl w:val="0"/>
        <w:spacing w:after="120"/>
        <w:ind w:firstLine="720"/>
        <w:jc w:val="both"/>
        <w:rPr>
          <w:rFonts w:asciiTheme="minorHAnsi" w:hAnsiTheme="minorHAnsi" w:cs="Arial"/>
          <w:bCs/>
          <w:snapToGrid w:val="0"/>
          <w:lang w:eastAsia="en-US"/>
        </w:rPr>
      </w:pPr>
      <w:r>
        <w:rPr>
          <w:rFonts w:asciiTheme="minorHAnsi" w:hAnsiTheme="minorHAnsi" w:cs="Arial"/>
          <w:bCs/>
          <w:snapToGrid w:val="0"/>
          <w:lang w:eastAsia="en-US"/>
        </w:rPr>
        <w:t>Extend the listing for goserelin 3.6</w:t>
      </w:r>
      <w:r w:rsidR="004F6122">
        <w:rPr>
          <w:rFonts w:asciiTheme="minorHAnsi" w:hAnsiTheme="minorHAnsi" w:cs="Arial"/>
          <w:bCs/>
          <w:snapToGrid w:val="0"/>
          <w:lang w:eastAsia="en-US"/>
        </w:rPr>
        <w:t xml:space="preserve"> </w:t>
      </w:r>
      <w:r>
        <w:rPr>
          <w:rFonts w:asciiTheme="minorHAnsi" w:hAnsiTheme="minorHAnsi" w:cs="Arial"/>
          <w:bCs/>
          <w:snapToGrid w:val="0"/>
          <w:lang w:eastAsia="en-US"/>
        </w:rPr>
        <w:t>mg to include</w:t>
      </w:r>
      <w:r w:rsidR="004A7BBB" w:rsidRPr="004033CF">
        <w:rPr>
          <w:rFonts w:asciiTheme="minorHAnsi" w:hAnsiTheme="minorHAnsi" w:cs="Arial"/>
          <w:bCs/>
          <w:snapToGrid w:val="0"/>
          <w:lang w:eastAsia="en-US"/>
        </w:rPr>
        <w:t>:</w:t>
      </w:r>
    </w:p>
    <w:p w:rsidR="000A4912" w:rsidRPr="004033CF" w:rsidRDefault="000A4912" w:rsidP="004A7BBB">
      <w:pPr>
        <w:widowControl w:val="0"/>
        <w:spacing w:after="120"/>
        <w:ind w:firstLine="720"/>
        <w:jc w:val="both"/>
        <w:rPr>
          <w:rFonts w:asciiTheme="minorHAnsi" w:hAnsiTheme="minorHAnsi" w:cs="Arial"/>
          <w:bCs/>
          <w:snapToGrid w:val="0"/>
          <w:lang w:eastAsia="en-US"/>
        </w:rPr>
      </w:pPr>
    </w:p>
    <w:tbl>
      <w:tblPr>
        <w:tblW w:w="5000" w:type="pct"/>
        <w:tblLook w:val="0000" w:firstRow="0" w:lastRow="0" w:firstColumn="0" w:lastColumn="0" w:noHBand="0" w:noVBand="0"/>
      </w:tblPr>
      <w:tblGrid>
        <w:gridCol w:w="2577"/>
        <w:gridCol w:w="152"/>
        <w:gridCol w:w="606"/>
        <w:gridCol w:w="908"/>
        <w:gridCol w:w="1665"/>
        <w:gridCol w:w="3279"/>
        <w:gridCol w:w="55"/>
      </w:tblGrid>
      <w:tr w:rsidR="00027E89" w:rsidRPr="00260CE3" w:rsidTr="0098540C">
        <w:trPr>
          <w:cantSplit/>
          <w:trHeight w:val="471"/>
        </w:trPr>
        <w:tc>
          <w:tcPr>
            <w:tcW w:w="1476" w:type="pct"/>
            <w:gridSpan w:val="2"/>
            <w:tcBorders>
              <w:bottom w:val="single" w:sz="4" w:space="0" w:color="auto"/>
            </w:tcBorders>
          </w:tcPr>
          <w:p w:rsidR="00027E89" w:rsidRPr="00260CE3" w:rsidRDefault="00027E89" w:rsidP="00E51276">
            <w:pPr>
              <w:keepNext/>
              <w:ind w:left="-108"/>
              <w:jc w:val="both"/>
              <w:rPr>
                <w:rFonts w:ascii="Arial Narrow" w:hAnsi="Arial Narrow" w:cs="Arial"/>
                <w:sz w:val="20"/>
                <w:szCs w:val="20"/>
              </w:rPr>
            </w:pPr>
            <w:r w:rsidRPr="00260CE3">
              <w:rPr>
                <w:rFonts w:ascii="Arial Narrow" w:hAnsi="Arial Narrow" w:cs="Arial"/>
                <w:sz w:val="20"/>
                <w:szCs w:val="20"/>
              </w:rPr>
              <w:t>Name, Restriction,</w:t>
            </w:r>
          </w:p>
          <w:p w:rsidR="00027E89" w:rsidRPr="00260CE3" w:rsidRDefault="00027E89" w:rsidP="00E51276">
            <w:pPr>
              <w:keepNext/>
              <w:ind w:left="-108"/>
              <w:jc w:val="both"/>
              <w:rPr>
                <w:rFonts w:ascii="Arial Narrow" w:hAnsi="Arial Narrow" w:cs="Arial"/>
                <w:sz w:val="20"/>
                <w:szCs w:val="20"/>
              </w:rPr>
            </w:pPr>
            <w:r w:rsidRPr="00260CE3">
              <w:rPr>
                <w:rFonts w:ascii="Arial Narrow" w:hAnsi="Arial Narrow" w:cs="Arial"/>
                <w:sz w:val="20"/>
                <w:szCs w:val="20"/>
              </w:rPr>
              <w:t>Manner of administration and form</w:t>
            </w:r>
          </w:p>
        </w:tc>
        <w:tc>
          <w:tcPr>
            <w:tcW w:w="328" w:type="pct"/>
            <w:tcBorders>
              <w:bottom w:val="single" w:sz="4" w:space="0" w:color="auto"/>
            </w:tcBorders>
          </w:tcPr>
          <w:p w:rsidR="00027E89" w:rsidRPr="00260CE3" w:rsidRDefault="00027E89" w:rsidP="00E51276">
            <w:pPr>
              <w:keepNext/>
              <w:ind w:left="-108"/>
              <w:jc w:val="both"/>
              <w:rPr>
                <w:rFonts w:ascii="Arial Narrow" w:hAnsi="Arial Narrow" w:cs="Arial"/>
                <w:sz w:val="20"/>
                <w:szCs w:val="20"/>
              </w:rPr>
            </w:pPr>
            <w:r w:rsidRPr="00260CE3">
              <w:rPr>
                <w:rFonts w:ascii="Arial Narrow" w:hAnsi="Arial Narrow" w:cs="Arial"/>
                <w:sz w:val="20"/>
                <w:szCs w:val="20"/>
              </w:rPr>
              <w:t>Max.</w:t>
            </w:r>
          </w:p>
          <w:p w:rsidR="00027E89" w:rsidRPr="00260CE3" w:rsidRDefault="00027E89" w:rsidP="00E51276">
            <w:pPr>
              <w:keepNext/>
              <w:ind w:left="-108"/>
              <w:jc w:val="both"/>
              <w:rPr>
                <w:rFonts w:ascii="Arial Narrow" w:hAnsi="Arial Narrow" w:cs="Arial"/>
                <w:sz w:val="20"/>
                <w:szCs w:val="20"/>
              </w:rPr>
            </w:pPr>
            <w:r w:rsidRPr="00260CE3">
              <w:rPr>
                <w:rFonts w:ascii="Arial Narrow" w:hAnsi="Arial Narrow" w:cs="Arial"/>
                <w:sz w:val="20"/>
                <w:szCs w:val="20"/>
              </w:rPr>
              <w:t>Qty</w:t>
            </w:r>
          </w:p>
        </w:tc>
        <w:tc>
          <w:tcPr>
            <w:tcW w:w="491" w:type="pct"/>
            <w:tcBorders>
              <w:bottom w:val="single" w:sz="4" w:space="0" w:color="auto"/>
            </w:tcBorders>
          </w:tcPr>
          <w:p w:rsidR="00027E89" w:rsidRPr="00260CE3" w:rsidRDefault="00027E89" w:rsidP="00E51276">
            <w:pPr>
              <w:keepNext/>
              <w:ind w:left="-108"/>
              <w:jc w:val="both"/>
              <w:rPr>
                <w:rFonts w:ascii="Arial Narrow" w:hAnsi="Arial Narrow" w:cs="Arial"/>
                <w:sz w:val="20"/>
                <w:szCs w:val="20"/>
              </w:rPr>
            </w:pPr>
            <w:r w:rsidRPr="00260CE3">
              <w:rPr>
                <w:rFonts w:ascii="Arial Narrow" w:hAnsi="Arial Narrow" w:cs="Arial"/>
                <w:sz w:val="20"/>
                <w:szCs w:val="20"/>
              </w:rPr>
              <w:t>№.of</w:t>
            </w:r>
          </w:p>
          <w:p w:rsidR="00027E89" w:rsidRPr="00260CE3" w:rsidRDefault="00027E89" w:rsidP="00E51276">
            <w:pPr>
              <w:keepNext/>
              <w:ind w:left="-108"/>
              <w:jc w:val="both"/>
              <w:rPr>
                <w:rFonts w:ascii="Arial Narrow" w:hAnsi="Arial Narrow" w:cs="Arial"/>
                <w:sz w:val="20"/>
                <w:szCs w:val="20"/>
              </w:rPr>
            </w:pPr>
            <w:r w:rsidRPr="00260CE3">
              <w:rPr>
                <w:rFonts w:ascii="Arial Narrow" w:hAnsi="Arial Narrow" w:cs="Arial"/>
                <w:sz w:val="20"/>
                <w:szCs w:val="20"/>
              </w:rPr>
              <w:t>Rpts</w:t>
            </w:r>
          </w:p>
        </w:tc>
        <w:tc>
          <w:tcPr>
            <w:tcW w:w="2705" w:type="pct"/>
            <w:gridSpan w:val="3"/>
            <w:tcBorders>
              <w:bottom w:val="single" w:sz="4" w:space="0" w:color="auto"/>
            </w:tcBorders>
          </w:tcPr>
          <w:p w:rsidR="00027E89" w:rsidRPr="00260CE3" w:rsidRDefault="00027E89" w:rsidP="00E51276">
            <w:pPr>
              <w:keepNext/>
              <w:jc w:val="both"/>
              <w:rPr>
                <w:rFonts w:ascii="Arial Narrow" w:hAnsi="Arial Narrow" w:cs="Arial"/>
                <w:sz w:val="20"/>
                <w:szCs w:val="20"/>
                <w:lang w:val="fr-FR"/>
              </w:rPr>
            </w:pPr>
            <w:r w:rsidRPr="00260CE3">
              <w:rPr>
                <w:rFonts w:ascii="Arial Narrow" w:hAnsi="Arial Narrow" w:cs="Arial"/>
                <w:sz w:val="20"/>
                <w:szCs w:val="20"/>
              </w:rPr>
              <w:t>Proprietary Name and Manufacturer</w:t>
            </w:r>
          </w:p>
        </w:tc>
      </w:tr>
      <w:tr w:rsidR="00027E89" w:rsidRPr="00260CE3" w:rsidTr="0098540C">
        <w:trPr>
          <w:cantSplit/>
          <w:trHeight w:val="577"/>
        </w:trPr>
        <w:tc>
          <w:tcPr>
            <w:tcW w:w="1476" w:type="pct"/>
            <w:gridSpan w:val="2"/>
          </w:tcPr>
          <w:p w:rsidR="00027E89" w:rsidRPr="00260CE3" w:rsidRDefault="00027E89" w:rsidP="00E51276">
            <w:pPr>
              <w:keepNext/>
              <w:ind w:left="-108"/>
              <w:jc w:val="both"/>
              <w:rPr>
                <w:rFonts w:ascii="Arial Narrow" w:hAnsi="Arial Narrow" w:cs="Arial"/>
                <w:sz w:val="20"/>
                <w:szCs w:val="20"/>
              </w:rPr>
            </w:pPr>
            <w:r>
              <w:rPr>
                <w:rFonts w:ascii="Arial Narrow" w:hAnsi="Arial Narrow" w:cs="Arial"/>
                <w:smallCaps/>
                <w:sz w:val="20"/>
                <w:szCs w:val="20"/>
              </w:rPr>
              <w:t>GOSERELIN</w:t>
            </w:r>
          </w:p>
          <w:p w:rsidR="00027E89" w:rsidRPr="00260CE3" w:rsidRDefault="00027E89" w:rsidP="00E51276">
            <w:pPr>
              <w:keepNext/>
              <w:ind w:left="-108"/>
              <w:jc w:val="both"/>
              <w:rPr>
                <w:rFonts w:ascii="Arial Narrow" w:hAnsi="Arial Narrow" w:cs="Arial"/>
                <w:sz w:val="20"/>
                <w:szCs w:val="20"/>
              </w:rPr>
            </w:pPr>
            <w:r>
              <w:rPr>
                <w:rFonts w:ascii="Arial Narrow" w:hAnsi="Arial Narrow" w:cs="Arial"/>
                <w:sz w:val="20"/>
                <w:szCs w:val="20"/>
              </w:rPr>
              <w:t>3.6 mg, implant</w:t>
            </w:r>
          </w:p>
        </w:tc>
        <w:tc>
          <w:tcPr>
            <w:tcW w:w="328" w:type="pct"/>
          </w:tcPr>
          <w:p w:rsidR="00027E89" w:rsidRPr="00260CE3" w:rsidRDefault="00027E89" w:rsidP="00E51276">
            <w:pPr>
              <w:keepNext/>
              <w:ind w:left="-108"/>
              <w:jc w:val="both"/>
              <w:rPr>
                <w:rFonts w:ascii="Arial Narrow" w:hAnsi="Arial Narrow" w:cs="Arial"/>
                <w:sz w:val="20"/>
                <w:szCs w:val="20"/>
              </w:rPr>
            </w:pPr>
          </w:p>
          <w:p w:rsidR="00027E89" w:rsidRPr="00260CE3" w:rsidRDefault="00027E89" w:rsidP="00E51276">
            <w:pPr>
              <w:keepNext/>
              <w:ind w:left="-108"/>
              <w:jc w:val="both"/>
              <w:rPr>
                <w:rFonts w:ascii="Arial Narrow" w:hAnsi="Arial Narrow" w:cs="Arial"/>
                <w:sz w:val="20"/>
                <w:szCs w:val="20"/>
              </w:rPr>
            </w:pPr>
            <w:r>
              <w:rPr>
                <w:rFonts w:ascii="Arial Narrow" w:hAnsi="Arial Narrow" w:cs="Arial"/>
                <w:sz w:val="20"/>
                <w:szCs w:val="20"/>
              </w:rPr>
              <w:t>1</w:t>
            </w:r>
          </w:p>
        </w:tc>
        <w:tc>
          <w:tcPr>
            <w:tcW w:w="491" w:type="pct"/>
          </w:tcPr>
          <w:p w:rsidR="00027E89" w:rsidRPr="00260CE3" w:rsidRDefault="00027E89" w:rsidP="00E51276">
            <w:pPr>
              <w:keepNext/>
              <w:ind w:left="-108"/>
              <w:jc w:val="both"/>
              <w:rPr>
                <w:rFonts w:ascii="Arial Narrow" w:hAnsi="Arial Narrow" w:cs="Arial"/>
                <w:sz w:val="20"/>
                <w:szCs w:val="20"/>
              </w:rPr>
            </w:pPr>
          </w:p>
          <w:p w:rsidR="00027E89" w:rsidRPr="00260CE3" w:rsidRDefault="00027E89" w:rsidP="00E51276">
            <w:pPr>
              <w:keepNext/>
              <w:ind w:left="-108"/>
              <w:jc w:val="both"/>
              <w:rPr>
                <w:rFonts w:ascii="Arial Narrow" w:hAnsi="Arial Narrow" w:cs="Arial"/>
                <w:sz w:val="20"/>
                <w:szCs w:val="20"/>
              </w:rPr>
            </w:pPr>
            <w:r>
              <w:rPr>
                <w:rFonts w:ascii="Arial Narrow" w:hAnsi="Arial Narrow" w:cs="Arial"/>
                <w:sz w:val="20"/>
                <w:szCs w:val="20"/>
              </w:rPr>
              <w:t>5</w:t>
            </w:r>
          </w:p>
        </w:tc>
        <w:tc>
          <w:tcPr>
            <w:tcW w:w="901" w:type="pct"/>
          </w:tcPr>
          <w:p w:rsidR="00027E89" w:rsidRPr="00260CE3" w:rsidRDefault="00027E89" w:rsidP="00E51276">
            <w:pPr>
              <w:keepNext/>
              <w:jc w:val="both"/>
              <w:rPr>
                <w:rFonts w:ascii="Arial Narrow" w:hAnsi="Arial Narrow" w:cs="Arial"/>
                <w:sz w:val="20"/>
                <w:szCs w:val="20"/>
              </w:rPr>
            </w:pPr>
            <w:r>
              <w:rPr>
                <w:rFonts w:ascii="Arial Narrow" w:hAnsi="Arial Narrow" w:cs="Arial"/>
                <w:sz w:val="20"/>
                <w:szCs w:val="20"/>
              </w:rPr>
              <w:t>Zoladex Implant</w:t>
            </w:r>
          </w:p>
        </w:tc>
        <w:tc>
          <w:tcPr>
            <w:tcW w:w="1804" w:type="pct"/>
            <w:gridSpan w:val="2"/>
          </w:tcPr>
          <w:p w:rsidR="00027E89" w:rsidRPr="00260CE3" w:rsidRDefault="00027E89" w:rsidP="00E51276">
            <w:pPr>
              <w:keepNext/>
              <w:jc w:val="both"/>
              <w:rPr>
                <w:rFonts w:ascii="Arial Narrow" w:hAnsi="Arial Narrow" w:cs="Arial"/>
                <w:sz w:val="20"/>
                <w:szCs w:val="20"/>
              </w:rPr>
            </w:pPr>
            <w:r>
              <w:rPr>
                <w:rFonts w:ascii="Arial Narrow" w:hAnsi="Arial Narrow" w:cs="Arial"/>
                <w:sz w:val="20"/>
                <w:szCs w:val="20"/>
              </w:rPr>
              <w:t>Astra Zeneca</w:t>
            </w:r>
            <w:r w:rsidR="00A757B3">
              <w:rPr>
                <w:rFonts w:ascii="Arial Narrow" w:hAnsi="Arial Narrow" w:cs="Arial"/>
                <w:sz w:val="20"/>
                <w:szCs w:val="20"/>
              </w:rPr>
              <w:t xml:space="preserve"> Pty Ltd</w:t>
            </w:r>
          </w:p>
        </w:tc>
      </w:tr>
      <w:tr w:rsidR="00027E89" w:rsidRPr="00260CE3" w:rsidTr="0098540C">
        <w:trPr>
          <w:gridAfter w:val="1"/>
          <w:wAfter w:w="31" w:type="pct"/>
          <w:cantSplit/>
          <w:trHeight w:val="360"/>
        </w:trPr>
        <w:tc>
          <w:tcPr>
            <w:tcW w:w="1394" w:type="pct"/>
            <w:tcBorders>
              <w:top w:val="single" w:sz="4" w:space="0" w:color="auto"/>
              <w:left w:val="single" w:sz="4" w:space="0" w:color="auto"/>
              <w:bottom w:val="single" w:sz="4" w:space="0" w:color="auto"/>
              <w:right w:val="single" w:sz="4" w:space="0" w:color="auto"/>
            </w:tcBorders>
          </w:tcPr>
          <w:p w:rsidR="00027E89" w:rsidRPr="00260CE3" w:rsidRDefault="00027E89" w:rsidP="00E51276">
            <w:pPr>
              <w:jc w:val="both"/>
              <w:rPr>
                <w:rFonts w:ascii="Arial Narrow" w:hAnsi="Arial Narrow" w:cs="Arial"/>
                <w:b/>
                <w:sz w:val="20"/>
                <w:szCs w:val="20"/>
              </w:rPr>
            </w:pPr>
            <w:r w:rsidRPr="00260CE3">
              <w:rPr>
                <w:rFonts w:ascii="Arial Narrow" w:hAnsi="Arial Narrow" w:cs="Arial"/>
                <w:b/>
                <w:sz w:val="20"/>
                <w:szCs w:val="20"/>
              </w:rPr>
              <w:t xml:space="preserve">Category / </w:t>
            </w:r>
          </w:p>
          <w:p w:rsidR="00027E89" w:rsidRPr="00260CE3" w:rsidRDefault="00027E89" w:rsidP="00E51276">
            <w:pPr>
              <w:jc w:val="both"/>
              <w:rPr>
                <w:rFonts w:ascii="Arial Narrow" w:hAnsi="Arial Narrow" w:cs="Arial"/>
                <w:b/>
                <w:sz w:val="20"/>
                <w:szCs w:val="20"/>
              </w:rPr>
            </w:pPr>
            <w:r w:rsidRPr="00260CE3">
              <w:rPr>
                <w:rFonts w:ascii="Arial Narrow" w:hAnsi="Arial Narrow" w:cs="Arial"/>
                <w:b/>
                <w:sz w:val="20"/>
                <w:szCs w:val="20"/>
              </w:rPr>
              <w:t>Program</w:t>
            </w:r>
          </w:p>
        </w:tc>
        <w:tc>
          <w:tcPr>
            <w:tcW w:w="3576" w:type="pct"/>
            <w:gridSpan w:val="5"/>
            <w:tcBorders>
              <w:top w:val="single" w:sz="4" w:space="0" w:color="auto"/>
              <w:left w:val="single" w:sz="4" w:space="0" w:color="auto"/>
              <w:bottom w:val="single" w:sz="4" w:space="0" w:color="auto"/>
              <w:right w:val="single" w:sz="4" w:space="0" w:color="auto"/>
            </w:tcBorders>
          </w:tcPr>
          <w:p w:rsidR="00027E89" w:rsidRPr="00260CE3" w:rsidRDefault="00027E89" w:rsidP="00E51276">
            <w:pPr>
              <w:rPr>
                <w:rFonts w:ascii="Arial Narrow" w:hAnsi="Arial Narrow" w:cs="Arial"/>
                <w:sz w:val="20"/>
                <w:szCs w:val="20"/>
              </w:rPr>
            </w:pPr>
            <w:r w:rsidRPr="00260CE3">
              <w:rPr>
                <w:rFonts w:ascii="Arial Narrow" w:hAnsi="Arial Narrow" w:cs="Arial"/>
                <w:sz w:val="20"/>
                <w:szCs w:val="20"/>
              </w:rPr>
              <w:t>GENERAL – General Schedule (Code GE)</w:t>
            </w:r>
          </w:p>
        </w:tc>
      </w:tr>
      <w:tr w:rsidR="00027E89" w:rsidRPr="00260CE3" w:rsidTr="0098540C">
        <w:trPr>
          <w:gridAfter w:val="1"/>
          <w:wAfter w:w="31" w:type="pct"/>
          <w:cantSplit/>
          <w:trHeight w:val="360"/>
        </w:trPr>
        <w:tc>
          <w:tcPr>
            <w:tcW w:w="1394" w:type="pct"/>
            <w:tcBorders>
              <w:top w:val="single" w:sz="4" w:space="0" w:color="auto"/>
              <w:left w:val="single" w:sz="4" w:space="0" w:color="auto"/>
              <w:bottom w:val="single" w:sz="4" w:space="0" w:color="auto"/>
              <w:right w:val="single" w:sz="4" w:space="0" w:color="auto"/>
            </w:tcBorders>
          </w:tcPr>
          <w:p w:rsidR="00027E89" w:rsidRPr="00260CE3" w:rsidRDefault="00027E89" w:rsidP="00E51276">
            <w:pPr>
              <w:jc w:val="both"/>
              <w:rPr>
                <w:rFonts w:ascii="Arial Narrow" w:hAnsi="Arial Narrow" w:cs="Arial"/>
                <w:b/>
                <w:sz w:val="20"/>
                <w:szCs w:val="20"/>
              </w:rPr>
            </w:pPr>
            <w:r w:rsidRPr="00260CE3">
              <w:rPr>
                <w:rFonts w:ascii="Arial Narrow" w:hAnsi="Arial Narrow" w:cs="Arial"/>
                <w:b/>
                <w:sz w:val="20"/>
                <w:szCs w:val="20"/>
              </w:rPr>
              <w:t>Prescriber type:</w:t>
            </w:r>
          </w:p>
        </w:tc>
        <w:tc>
          <w:tcPr>
            <w:tcW w:w="3576" w:type="pct"/>
            <w:gridSpan w:val="5"/>
            <w:tcBorders>
              <w:top w:val="single" w:sz="4" w:space="0" w:color="auto"/>
              <w:left w:val="single" w:sz="4" w:space="0" w:color="auto"/>
              <w:bottom w:val="single" w:sz="4" w:space="0" w:color="auto"/>
              <w:right w:val="single" w:sz="4" w:space="0" w:color="auto"/>
            </w:tcBorders>
          </w:tcPr>
          <w:p w:rsidR="00027E89" w:rsidRPr="00260CE3" w:rsidRDefault="00027E89" w:rsidP="00E51276">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BF4FF9">
              <w:rPr>
                <w:rFonts w:ascii="Arial Narrow" w:hAnsi="Arial Narrow" w:cs="Arial"/>
                <w:sz w:val="20"/>
                <w:szCs w:val="20"/>
              </w:rPr>
            </w:r>
            <w:r w:rsidR="00BF4FF9">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BF4FF9">
              <w:rPr>
                <w:rFonts w:ascii="Arial Narrow" w:hAnsi="Arial Narrow" w:cs="Arial"/>
                <w:sz w:val="20"/>
                <w:szCs w:val="20"/>
              </w:rPr>
            </w:r>
            <w:r w:rsidR="00BF4FF9">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Pr="00260CE3">
              <w:rPr>
                <w:rFonts w:ascii="Arial Narrow" w:hAnsi="Arial Narrow" w:cs="Arial"/>
                <w:sz w:val="20"/>
                <w:szCs w:val="20"/>
              </w:rPr>
              <w:fldChar w:fldCharType="begin">
                <w:ffData>
                  <w:name w:val="Check3"/>
                  <w:enabled/>
                  <w:calcOnExit w:val="0"/>
                  <w:checkBox>
                    <w:sizeAuto/>
                    <w:default w:val="0"/>
                  </w:checkBox>
                </w:ffData>
              </w:fldChar>
            </w:r>
            <w:r w:rsidRPr="00260CE3">
              <w:rPr>
                <w:rFonts w:ascii="Arial Narrow" w:hAnsi="Arial Narrow" w:cs="Arial"/>
                <w:sz w:val="20"/>
                <w:szCs w:val="20"/>
              </w:rPr>
              <w:instrText xml:space="preserve"> FORMCHECKBOX </w:instrText>
            </w:r>
            <w:r w:rsidR="00BF4FF9">
              <w:rPr>
                <w:rFonts w:ascii="Arial Narrow" w:hAnsi="Arial Narrow" w:cs="Arial"/>
                <w:sz w:val="20"/>
                <w:szCs w:val="20"/>
              </w:rPr>
            </w:r>
            <w:r w:rsidR="00BF4FF9">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BF4FF9">
              <w:rPr>
                <w:rFonts w:ascii="Arial Narrow" w:hAnsi="Arial Narrow" w:cs="Arial"/>
                <w:sz w:val="20"/>
                <w:szCs w:val="20"/>
              </w:rPr>
            </w:r>
            <w:r w:rsidR="00BF4FF9">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027E89" w:rsidRPr="00260CE3" w:rsidRDefault="00027E89" w:rsidP="00E51276">
            <w:pPr>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BF4FF9">
              <w:rPr>
                <w:rFonts w:ascii="Arial Narrow" w:hAnsi="Arial Narrow" w:cs="Arial"/>
                <w:sz w:val="20"/>
                <w:szCs w:val="20"/>
              </w:rPr>
            </w:r>
            <w:r w:rsidR="00BF4FF9">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027E89" w:rsidRPr="00260CE3" w:rsidTr="0098540C">
        <w:trPr>
          <w:gridAfter w:val="1"/>
          <w:wAfter w:w="31" w:type="pct"/>
          <w:cantSplit/>
          <w:trHeight w:val="360"/>
        </w:trPr>
        <w:tc>
          <w:tcPr>
            <w:tcW w:w="1394" w:type="pct"/>
            <w:tcBorders>
              <w:top w:val="single" w:sz="4" w:space="0" w:color="auto"/>
              <w:left w:val="single" w:sz="4" w:space="0" w:color="auto"/>
              <w:bottom w:val="single" w:sz="4" w:space="0" w:color="auto"/>
              <w:right w:val="single" w:sz="4" w:space="0" w:color="auto"/>
            </w:tcBorders>
          </w:tcPr>
          <w:p w:rsidR="00027E89" w:rsidRPr="00260CE3" w:rsidRDefault="00027E89" w:rsidP="00E51276">
            <w:pPr>
              <w:jc w:val="both"/>
              <w:rPr>
                <w:rFonts w:ascii="Arial Narrow" w:hAnsi="Arial Narrow" w:cs="Arial"/>
                <w:b/>
                <w:sz w:val="20"/>
                <w:szCs w:val="20"/>
              </w:rPr>
            </w:pPr>
            <w:r w:rsidRPr="00260CE3">
              <w:rPr>
                <w:rFonts w:ascii="Arial Narrow" w:hAnsi="Arial Narrow" w:cs="Arial"/>
                <w:b/>
                <w:sz w:val="20"/>
                <w:szCs w:val="20"/>
              </w:rPr>
              <w:t>Condition:</w:t>
            </w:r>
          </w:p>
        </w:tc>
        <w:tc>
          <w:tcPr>
            <w:tcW w:w="3576" w:type="pct"/>
            <w:gridSpan w:val="5"/>
            <w:tcBorders>
              <w:top w:val="single" w:sz="4" w:space="0" w:color="auto"/>
              <w:left w:val="single" w:sz="4" w:space="0" w:color="auto"/>
              <w:bottom w:val="single" w:sz="4" w:space="0" w:color="auto"/>
              <w:right w:val="single" w:sz="4" w:space="0" w:color="auto"/>
            </w:tcBorders>
          </w:tcPr>
          <w:p w:rsidR="00027E89" w:rsidRDefault="00AB4CF8" w:rsidP="00E51276">
            <w:pPr>
              <w:rPr>
                <w:rFonts w:ascii="Arial Narrow" w:hAnsi="Arial Narrow" w:cs="Arial"/>
                <w:sz w:val="20"/>
                <w:szCs w:val="20"/>
              </w:rPr>
            </w:pPr>
            <w:r>
              <w:rPr>
                <w:rFonts w:ascii="Arial Narrow" w:hAnsi="Arial Narrow" w:cs="Arial"/>
                <w:sz w:val="20"/>
                <w:szCs w:val="20"/>
              </w:rPr>
              <w:t>Anticipated</w:t>
            </w:r>
            <w:r w:rsidR="00027E89">
              <w:rPr>
                <w:rFonts w:ascii="Arial Narrow" w:hAnsi="Arial Narrow" w:cs="Arial"/>
                <w:sz w:val="20"/>
                <w:szCs w:val="20"/>
              </w:rPr>
              <w:t xml:space="preserve"> premature ovarian failure</w:t>
            </w:r>
          </w:p>
          <w:p w:rsidR="00AB4CF8" w:rsidRPr="00260CE3" w:rsidRDefault="00AB4CF8" w:rsidP="00E51276">
            <w:pPr>
              <w:rPr>
                <w:rFonts w:ascii="Arial Narrow" w:hAnsi="Arial Narrow" w:cs="Arial"/>
                <w:sz w:val="20"/>
                <w:szCs w:val="20"/>
              </w:rPr>
            </w:pPr>
          </w:p>
        </w:tc>
      </w:tr>
      <w:tr w:rsidR="00027E89" w:rsidRPr="00260CE3" w:rsidTr="0098540C">
        <w:trPr>
          <w:gridAfter w:val="1"/>
          <w:wAfter w:w="31" w:type="pct"/>
          <w:cantSplit/>
          <w:trHeight w:val="360"/>
        </w:trPr>
        <w:tc>
          <w:tcPr>
            <w:tcW w:w="1394" w:type="pct"/>
            <w:tcBorders>
              <w:top w:val="single" w:sz="4" w:space="0" w:color="auto"/>
              <w:left w:val="single" w:sz="4" w:space="0" w:color="auto"/>
              <w:bottom w:val="single" w:sz="4" w:space="0" w:color="auto"/>
              <w:right w:val="single" w:sz="4" w:space="0" w:color="auto"/>
            </w:tcBorders>
          </w:tcPr>
          <w:p w:rsidR="00027E89" w:rsidRPr="00260CE3" w:rsidRDefault="00027E89" w:rsidP="00E51276">
            <w:pPr>
              <w:jc w:val="both"/>
              <w:rPr>
                <w:rFonts w:ascii="Arial Narrow" w:hAnsi="Arial Narrow" w:cs="Arial"/>
                <w:b/>
                <w:sz w:val="20"/>
                <w:szCs w:val="20"/>
              </w:rPr>
            </w:pPr>
            <w:r w:rsidRPr="00260CE3">
              <w:rPr>
                <w:rFonts w:ascii="Arial Narrow" w:hAnsi="Arial Narrow" w:cs="Arial"/>
                <w:b/>
                <w:sz w:val="20"/>
                <w:szCs w:val="20"/>
              </w:rPr>
              <w:t>PBS Indication:</w:t>
            </w:r>
          </w:p>
        </w:tc>
        <w:tc>
          <w:tcPr>
            <w:tcW w:w="3576" w:type="pct"/>
            <w:gridSpan w:val="5"/>
            <w:tcBorders>
              <w:top w:val="single" w:sz="4" w:space="0" w:color="auto"/>
              <w:left w:val="single" w:sz="4" w:space="0" w:color="auto"/>
              <w:bottom w:val="single" w:sz="4" w:space="0" w:color="auto"/>
              <w:right w:val="single" w:sz="4" w:space="0" w:color="auto"/>
            </w:tcBorders>
          </w:tcPr>
          <w:p w:rsidR="00027E89" w:rsidRPr="00260CE3" w:rsidRDefault="004752FA" w:rsidP="00E51276">
            <w:pPr>
              <w:rPr>
                <w:rFonts w:ascii="Arial Narrow" w:hAnsi="Arial Narrow" w:cs="Arial"/>
                <w:sz w:val="20"/>
                <w:szCs w:val="20"/>
              </w:rPr>
            </w:pPr>
            <w:r>
              <w:rPr>
                <w:rFonts w:ascii="Arial Narrow" w:hAnsi="Arial Narrow" w:cs="Arial"/>
                <w:sz w:val="20"/>
                <w:szCs w:val="20"/>
              </w:rPr>
              <w:t>Anticipated premature ovarian failure</w:t>
            </w:r>
          </w:p>
        </w:tc>
      </w:tr>
      <w:tr w:rsidR="00027E89" w:rsidRPr="00260CE3" w:rsidTr="0098540C">
        <w:trPr>
          <w:gridAfter w:val="1"/>
          <w:wAfter w:w="31" w:type="pct"/>
          <w:cantSplit/>
          <w:trHeight w:val="360"/>
        </w:trPr>
        <w:tc>
          <w:tcPr>
            <w:tcW w:w="1394" w:type="pct"/>
            <w:tcBorders>
              <w:top w:val="single" w:sz="4" w:space="0" w:color="auto"/>
              <w:left w:val="single" w:sz="4" w:space="0" w:color="auto"/>
              <w:bottom w:val="single" w:sz="4" w:space="0" w:color="auto"/>
              <w:right w:val="single" w:sz="4" w:space="0" w:color="auto"/>
            </w:tcBorders>
          </w:tcPr>
          <w:p w:rsidR="00027E89" w:rsidRPr="00260CE3" w:rsidRDefault="00027E89" w:rsidP="00E51276">
            <w:pPr>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027E89" w:rsidRPr="00260CE3" w:rsidRDefault="00027E89" w:rsidP="00E51276">
            <w:pPr>
              <w:rPr>
                <w:rFonts w:ascii="Arial Narrow" w:hAnsi="Arial Narrow" w:cs="Arial"/>
                <w:sz w:val="20"/>
                <w:szCs w:val="20"/>
              </w:rPr>
            </w:pPr>
          </w:p>
        </w:tc>
        <w:tc>
          <w:tcPr>
            <w:tcW w:w="3576" w:type="pct"/>
            <w:gridSpan w:val="5"/>
            <w:tcBorders>
              <w:top w:val="single" w:sz="4" w:space="0" w:color="auto"/>
              <w:left w:val="single" w:sz="4" w:space="0" w:color="auto"/>
              <w:bottom w:val="single" w:sz="4" w:space="0" w:color="auto"/>
              <w:right w:val="single" w:sz="4" w:space="0" w:color="auto"/>
            </w:tcBorders>
          </w:tcPr>
          <w:p w:rsidR="00027E89" w:rsidRPr="00260CE3" w:rsidRDefault="00027E89" w:rsidP="00E51276">
            <w:pPr>
              <w:rPr>
                <w:rFonts w:ascii="Arial Narrow" w:hAnsi="Arial Narrow" w:cs="Arial"/>
                <w:sz w:val="20"/>
                <w:szCs w:val="20"/>
              </w:rPr>
            </w:pPr>
            <w:r>
              <w:rPr>
                <w:rFonts w:ascii="Arial Narrow" w:hAnsi="Arial Narrow" w:cs="Arial"/>
                <w:sz w:val="20"/>
                <w:szCs w:val="20"/>
              </w:rPr>
              <w:fldChar w:fldCharType="begin">
                <w:ffData>
                  <w:name w:val="Check1"/>
                  <w:enabled/>
                  <w:calcOnExit w:val="0"/>
                  <w:checkBox>
                    <w:sizeAuto/>
                    <w:default w:val="1"/>
                  </w:checkBox>
                </w:ffData>
              </w:fldChar>
            </w:r>
            <w:r>
              <w:rPr>
                <w:rFonts w:ascii="Arial Narrow" w:hAnsi="Arial Narrow" w:cs="Arial"/>
                <w:sz w:val="20"/>
                <w:szCs w:val="20"/>
              </w:rPr>
              <w:instrText xml:space="preserve"> FORMCHECKBOX </w:instrText>
            </w:r>
            <w:r w:rsidR="00BF4FF9">
              <w:rPr>
                <w:rFonts w:ascii="Arial Narrow" w:hAnsi="Arial Narrow" w:cs="Arial"/>
                <w:sz w:val="20"/>
                <w:szCs w:val="20"/>
              </w:rPr>
            </w:r>
            <w:r w:rsidR="00BF4FF9">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Restricted benefit</w:t>
            </w:r>
          </w:p>
        </w:tc>
      </w:tr>
      <w:tr w:rsidR="00027E89" w:rsidRPr="00260CE3" w:rsidTr="0098540C">
        <w:trPr>
          <w:gridAfter w:val="1"/>
          <w:wAfter w:w="31" w:type="pct"/>
          <w:cantSplit/>
          <w:trHeight w:val="360"/>
        </w:trPr>
        <w:tc>
          <w:tcPr>
            <w:tcW w:w="1394" w:type="pct"/>
            <w:tcBorders>
              <w:top w:val="single" w:sz="4" w:space="0" w:color="auto"/>
              <w:left w:val="single" w:sz="4" w:space="0" w:color="auto"/>
              <w:bottom w:val="single" w:sz="4" w:space="0" w:color="auto"/>
              <w:right w:val="single" w:sz="4" w:space="0" w:color="auto"/>
            </w:tcBorders>
          </w:tcPr>
          <w:p w:rsidR="00027E89" w:rsidRPr="00260CE3" w:rsidRDefault="00027E89" w:rsidP="00027E89">
            <w:pPr>
              <w:jc w:val="both"/>
              <w:rPr>
                <w:rFonts w:ascii="Arial Narrow" w:hAnsi="Arial Narrow" w:cs="Arial"/>
                <w:b/>
                <w:sz w:val="20"/>
                <w:szCs w:val="20"/>
              </w:rPr>
            </w:pPr>
            <w:r>
              <w:rPr>
                <w:rFonts w:ascii="Arial Narrow" w:hAnsi="Arial Narrow" w:cs="Arial"/>
                <w:b/>
                <w:sz w:val="20"/>
                <w:szCs w:val="20"/>
              </w:rPr>
              <w:t>Treatment Criteria:</w:t>
            </w:r>
          </w:p>
        </w:tc>
        <w:tc>
          <w:tcPr>
            <w:tcW w:w="3576" w:type="pct"/>
            <w:gridSpan w:val="5"/>
            <w:tcBorders>
              <w:top w:val="single" w:sz="4" w:space="0" w:color="auto"/>
              <w:left w:val="single" w:sz="4" w:space="0" w:color="auto"/>
              <w:bottom w:val="single" w:sz="4" w:space="0" w:color="auto"/>
              <w:right w:val="single" w:sz="4" w:space="0" w:color="auto"/>
            </w:tcBorders>
          </w:tcPr>
          <w:p w:rsidR="00AB4CF8" w:rsidRPr="00F87697" w:rsidRDefault="005167DF" w:rsidP="00D9267D">
            <w:pPr>
              <w:numPr>
                <w:ilvl w:val="0"/>
                <w:numId w:val="19"/>
              </w:numPr>
              <w:rPr>
                <w:rFonts w:ascii="Arial Narrow" w:hAnsi="Arial Narrow" w:cs="Arial"/>
                <w:sz w:val="20"/>
                <w:szCs w:val="20"/>
              </w:rPr>
            </w:pPr>
            <w:r w:rsidRPr="00F87697">
              <w:rPr>
                <w:rFonts w:ascii="Arial Narrow" w:hAnsi="Arial Narrow" w:cs="Arial"/>
                <w:sz w:val="20"/>
                <w:szCs w:val="20"/>
              </w:rPr>
              <w:t>Patient must be receiving treatment with a</w:t>
            </w:r>
            <w:r w:rsidR="004752FA" w:rsidRPr="00F87697">
              <w:rPr>
                <w:rFonts w:ascii="Arial Narrow" w:hAnsi="Arial Narrow" w:cs="Arial"/>
                <w:sz w:val="20"/>
                <w:szCs w:val="20"/>
              </w:rPr>
              <w:t>n a</w:t>
            </w:r>
            <w:r w:rsidR="00AB4CF8" w:rsidRPr="00F87697">
              <w:rPr>
                <w:rFonts w:ascii="Arial Narrow" w:hAnsi="Arial Narrow" w:cs="Arial"/>
                <w:sz w:val="20"/>
                <w:szCs w:val="20"/>
              </w:rPr>
              <w:t>lkylating agent</w:t>
            </w:r>
            <w:r w:rsidR="004752FA" w:rsidRPr="00F87697">
              <w:rPr>
                <w:rFonts w:ascii="Arial Narrow" w:hAnsi="Arial Narrow" w:cs="Arial"/>
                <w:sz w:val="20"/>
                <w:szCs w:val="20"/>
              </w:rPr>
              <w:t xml:space="preserve"> </w:t>
            </w:r>
            <w:r w:rsidR="00D9267D" w:rsidRPr="00D9267D">
              <w:rPr>
                <w:rFonts w:ascii="Arial Narrow" w:hAnsi="Arial Narrow" w:cs="Arial"/>
                <w:sz w:val="20"/>
                <w:szCs w:val="20"/>
              </w:rPr>
              <w:t>for a malignancy or an autoimmune disorder</w:t>
            </w:r>
            <w:r w:rsidR="00D9267D">
              <w:rPr>
                <w:rFonts w:ascii="Arial Narrow" w:hAnsi="Arial Narrow" w:cs="Arial"/>
                <w:sz w:val="20"/>
                <w:szCs w:val="20"/>
              </w:rPr>
              <w:t xml:space="preserve"> </w:t>
            </w:r>
            <w:r w:rsidR="004752FA" w:rsidRPr="00F87697">
              <w:rPr>
                <w:rFonts w:ascii="Arial Narrow" w:hAnsi="Arial Narrow" w:cs="Arial"/>
                <w:sz w:val="20"/>
                <w:szCs w:val="20"/>
              </w:rPr>
              <w:t xml:space="preserve">that has a </w:t>
            </w:r>
            <w:r w:rsidR="00F87697" w:rsidRPr="00F87697">
              <w:rPr>
                <w:rFonts w:ascii="Arial Narrow" w:hAnsi="Arial Narrow" w:cs="Arial"/>
                <w:sz w:val="20"/>
                <w:szCs w:val="20"/>
              </w:rPr>
              <w:t xml:space="preserve">high </w:t>
            </w:r>
            <w:r w:rsidR="004752FA" w:rsidRPr="00F87697">
              <w:rPr>
                <w:rFonts w:ascii="Arial Narrow" w:hAnsi="Arial Narrow" w:cs="Arial"/>
                <w:sz w:val="20"/>
                <w:szCs w:val="20"/>
              </w:rPr>
              <w:t xml:space="preserve">risk of causing </w:t>
            </w:r>
            <w:r w:rsidR="00F87697" w:rsidRPr="00F87697">
              <w:rPr>
                <w:rFonts w:ascii="Arial Narrow" w:hAnsi="Arial Narrow" w:cs="Arial"/>
                <w:sz w:val="20"/>
                <w:szCs w:val="20"/>
              </w:rPr>
              <w:t>premature ovarian failure</w:t>
            </w:r>
          </w:p>
          <w:p w:rsidR="00AB4CF8" w:rsidRPr="00F87697" w:rsidRDefault="00AB4CF8" w:rsidP="00F87697">
            <w:pPr>
              <w:rPr>
                <w:rFonts w:ascii="Arial Narrow" w:hAnsi="Arial Narrow" w:cs="Arial"/>
                <w:sz w:val="20"/>
                <w:szCs w:val="20"/>
              </w:rPr>
            </w:pPr>
          </w:p>
          <w:p w:rsidR="005167DF" w:rsidRPr="00F87697" w:rsidRDefault="005167DF" w:rsidP="00F87697">
            <w:pPr>
              <w:ind w:left="720"/>
              <w:rPr>
                <w:rFonts w:ascii="Arial Narrow" w:hAnsi="Arial Narrow" w:cs="Arial"/>
                <w:sz w:val="20"/>
                <w:szCs w:val="20"/>
              </w:rPr>
            </w:pPr>
            <w:r w:rsidRPr="00F87697">
              <w:rPr>
                <w:rFonts w:ascii="Arial Narrow" w:hAnsi="Arial Narrow" w:cs="Arial"/>
                <w:sz w:val="20"/>
                <w:szCs w:val="20"/>
              </w:rPr>
              <w:t>AND</w:t>
            </w:r>
          </w:p>
          <w:p w:rsidR="005167DF" w:rsidRPr="00F87697" w:rsidRDefault="005167DF" w:rsidP="00F87697">
            <w:pPr>
              <w:rPr>
                <w:rFonts w:ascii="Arial Narrow" w:hAnsi="Arial Narrow" w:cs="Arial"/>
                <w:sz w:val="20"/>
                <w:szCs w:val="20"/>
              </w:rPr>
            </w:pPr>
          </w:p>
          <w:p w:rsidR="005167DF" w:rsidRPr="00F87697" w:rsidRDefault="005167DF" w:rsidP="00F87697">
            <w:pPr>
              <w:numPr>
                <w:ilvl w:val="0"/>
                <w:numId w:val="19"/>
              </w:numPr>
              <w:rPr>
                <w:rFonts w:ascii="Arial Narrow" w:hAnsi="Arial Narrow" w:cs="Arial"/>
                <w:sz w:val="20"/>
                <w:szCs w:val="20"/>
              </w:rPr>
            </w:pPr>
            <w:r w:rsidRPr="00F87697">
              <w:rPr>
                <w:rFonts w:ascii="Arial Narrow" w:hAnsi="Arial Narrow" w:cs="Arial"/>
                <w:sz w:val="20"/>
                <w:szCs w:val="20"/>
              </w:rPr>
              <w:t xml:space="preserve">Patient must not receive more than </w:t>
            </w:r>
            <w:r w:rsidR="00F87697" w:rsidRPr="00F87697">
              <w:rPr>
                <w:rFonts w:ascii="Arial Narrow" w:hAnsi="Arial Narrow" w:cs="Arial"/>
                <w:sz w:val="20"/>
                <w:szCs w:val="20"/>
              </w:rPr>
              <w:t>6</w:t>
            </w:r>
            <w:r w:rsidRPr="00F87697">
              <w:rPr>
                <w:rFonts w:ascii="Arial Narrow" w:hAnsi="Arial Narrow" w:cs="Arial"/>
                <w:sz w:val="20"/>
                <w:szCs w:val="20"/>
              </w:rPr>
              <w:t xml:space="preserve"> months’ of treatment under this restriction</w:t>
            </w:r>
          </w:p>
        </w:tc>
      </w:tr>
      <w:tr w:rsidR="004752FA" w:rsidRPr="00260CE3" w:rsidTr="0098540C">
        <w:trPr>
          <w:gridAfter w:val="1"/>
          <w:wAfter w:w="31" w:type="pct"/>
          <w:cantSplit/>
          <w:trHeight w:val="360"/>
        </w:trPr>
        <w:tc>
          <w:tcPr>
            <w:tcW w:w="1394" w:type="pct"/>
            <w:tcBorders>
              <w:top w:val="single" w:sz="4" w:space="0" w:color="auto"/>
              <w:left w:val="single" w:sz="4" w:space="0" w:color="auto"/>
              <w:bottom w:val="single" w:sz="4" w:space="0" w:color="auto"/>
              <w:right w:val="single" w:sz="4" w:space="0" w:color="auto"/>
            </w:tcBorders>
          </w:tcPr>
          <w:p w:rsidR="004752FA" w:rsidRDefault="004752FA" w:rsidP="00027E89">
            <w:pPr>
              <w:jc w:val="both"/>
              <w:rPr>
                <w:rFonts w:ascii="Arial Narrow" w:hAnsi="Arial Narrow" w:cs="Arial"/>
                <w:b/>
                <w:sz w:val="20"/>
                <w:szCs w:val="20"/>
              </w:rPr>
            </w:pPr>
            <w:r>
              <w:rPr>
                <w:rFonts w:ascii="Arial Narrow" w:hAnsi="Arial Narrow" w:cs="Arial"/>
                <w:b/>
                <w:sz w:val="20"/>
                <w:szCs w:val="20"/>
              </w:rPr>
              <w:t>Population Criteria:</w:t>
            </w:r>
          </w:p>
        </w:tc>
        <w:tc>
          <w:tcPr>
            <w:tcW w:w="3576" w:type="pct"/>
            <w:gridSpan w:val="5"/>
            <w:tcBorders>
              <w:top w:val="single" w:sz="4" w:space="0" w:color="auto"/>
              <w:left w:val="single" w:sz="4" w:space="0" w:color="auto"/>
              <w:bottom w:val="single" w:sz="4" w:space="0" w:color="auto"/>
              <w:right w:val="single" w:sz="4" w:space="0" w:color="auto"/>
            </w:tcBorders>
          </w:tcPr>
          <w:p w:rsidR="004752FA" w:rsidRPr="00F87697" w:rsidRDefault="004752FA" w:rsidP="004752FA">
            <w:pPr>
              <w:numPr>
                <w:ilvl w:val="0"/>
                <w:numId w:val="19"/>
              </w:numPr>
              <w:rPr>
                <w:rFonts w:ascii="Arial Narrow" w:hAnsi="Arial Narrow" w:cs="Arial"/>
                <w:sz w:val="20"/>
                <w:szCs w:val="20"/>
              </w:rPr>
            </w:pPr>
            <w:r w:rsidRPr="00F87697">
              <w:rPr>
                <w:rFonts w:ascii="Arial Narrow" w:hAnsi="Arial Narrow" w:cs="Arial"/>
                <w:sz w:val="20"/>
                <w:szCs w:val="20"/>
              </w:rPr>
              <w:t>Patient must be pre-menopausal</w:t>
            </w:r>
          </w:p>
        </w:tc>
      </w:tr>
    </w:tbl>
    <w:p w:rsidR="00706F0C" w:rsidRDefault="00706F0C" w:rsidP="00706F0C"/>
    <w:p w:rsidR="00706F0C" w:rsidRDefault="00706F0C" w:rsidP="00706F0C"/>
    <w:p w:rsidR="00C06EDD" w:rsidRPr="00C06EDD" w:rsidRDefault="00C06EDD" w:rsidP="00C06EDD">
      <w:pPr>
        <w:pStyle w:val="PBACHeading1"/>
      </w:pPr>
      <w:r w:rsidRPr="00C06EDD">
        <w:t>Context for Decision</w:t>
      </w:r>
    </w:p>
    <w:p w:rsidR="00C06EDD" w:rsidRPr="00440A84" w:rsidRDefault="00C06EDD" w:rsidP="00C06EDD">
      <w:pPr>
        <w:ind w:left="426"/>
        <w:jc w:val="both"/>
        <w:rPr>
          <w:rFonts w:asciiTheme="minorHAnsi" w:hAnsiTheme="minorHAnsi" w:cs="Arial"/>
        </w:rPr>
      </w:pPr>
    </w:p>
    <w:p w:rsidR="00C06EDD" w:rsidRPr="00440A84" w:rsidRDefault="00C06EDD" w:rsidP="00C06EDD">
      <w:pPr>
        <w:jc w:val="both"/>
        <w:rPr>
          <w:rFonts w:asciiTheme="minorHAnsi" w:hAnsiTheme="minorHAnsi" w:cs="Arial"/>
        </w:rPr>
      </w:pPr>
      <w:r w:rsidRPr="00440A84">
        <w:rPr>
          <w:rFonts w:asciiTheme="minorHAnsi" w:hAnsiTheme="minorHAnsi" w:cs="Arial"/>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C06EDD" w:rsidRPr="00440A84" w:rsidRDefault="00C06EDD" w:rsidP="00C06EDD">
      <w:pPr>
        <w:ind w:left="426"/>
        <w:jc w:val="both"/>
        <w:rPr>
          <w:rFonts w:asciiTheme="minorHAnsi" w:hAnsiTheme="minorHAnsi" w:cs="Arial"/>
        </w:rPr>
      </w:pPr>
    </w:p>
    <w:p w:rsidR="00C06EDD" w:rsidRPr="00C06EDD" w:rsidRDefault="00C06EDD" w:rsidP="00C06EDD">
      <w:pPr>
        <w:pStyle w:val="PBACHeading1"/>
      </w:pPr>
      <w:r w:rsidRPr="00C06EDD">
        <w:t>Sponsor’s Comment</w:t>
      </w:r>
    </w:p>
    <w:p w:rsidR="00C06EDD" w:rsidRPr="00440A84" w:rsidRDefault="00C06EDD" w:rsidP="00C06EDD">
      <w:pPr>
        <w:ind w:left="426"/>
        <w:jc w:val="both"/>
        <w:rPr>
          <w:rFonts w:asciiTheme="minorHAnsi" w:hAnsiTheme="minorHAnsi" w:cs="Arial"/>
          <w:bCs/>
          <w:highlight w:val="yellow"/>
          <w:lang w:val="en-GB"/>
        </w:rPr>
      </w:pPr>
    </w:p>
    <w:p w:rsidR="00616B86" w:rsidRPr="00C06EDD" w:rsidRDefault="00C06EDD" w:rsidP="00C06EDD">
      <w:pPr>
        <w:spacing w:after="120"/>
        <w:jc w:val="both"/>
        <w:rPr>
          <w:rFonts w:asciiTheme="minorHAnsi" w:hAnsiTheme="minorHAnsi" w:cs="Arial"/>
          <w:bCs/>
        </w:rPr>
      </w:pPr>
      <w:r w:rsidRPr="00440A84">
        <w:rPr>
          <w:rFonts w:asciiTheme="minorHAnsi" w:hAnsiTheme="minorHAnsi" w:cs="Arial"/>
          <w:bCs/>
        </w:rPr>
        <w:t>The sponsor had no comment.</w:t>
      </w:r>
    </w:p>
    <w:sectPr w:rsidR="00616B86" w:rsidRPr="00C06EDD" w:rsidSect="00C27B58">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440" w:footer="1440" w:gutter="0"/>
      <w:pgNumType w:start="1"/>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80DB082" w15:done="0"/>
  <w15:commentEx w15:paraId="40395B3F" w15:done="0"/>
  <w15:commentEx w15:paraId="736E48A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0DB082" w16cid:durableId="1D22E189"/>
  <w16cid:commentId w16cid:paraId="40395B3F" w16cid:durableId="1D22DE04"/>
  <w16cid:commentId w16cid:paraId="736E48A4" w16cid:durableId="1D22DE0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FF9" w:rsidRDefault="00BF4FF9">
      <w:r>
        <w:separator/>
      </w:r>
    </w:p>
    <w:p w:rsidR="00BF4FF9" w:rsidRDefault="00BF4FF9"/>
  </w:endnote>
  <w:endnote w:type="continuationSeparator" w:id="0">
    <w:p w:rsidR="00BF4FF9" w:rsidRDefault="00BF4FF9">
      <w:r>
        <w:continuationSeparator/>
      </w:r>
    </w:p>
    <w:p w:rsidR="00BF4FF9" w:rsidRDefault="00BF4F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Bold">
    <w:panose1 w:val="020B07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962223" w:rsidTr="005A3173">
      <w:trPr>
        <w:trHeight w:val="151"/>
      </w:trPr>
      <w:tc>
        <w:tcPr>
          <w:tcW w:w="2250" w:type="pct"/>
          <w:tcBorders>
            <w:top w:val="nil"/>
            <w:left w:val="nil"/>
            <w:bottom w:val="single" w:sz="4" w:space="0" w:color="4F81BD"/>
            <w:right w:val="nil"/>
          </w:tcBorders>
        </w:tcPr>
        <w:p w:rsidR="00962223" w:rsidRPr="005A3173" w:rsidRDefault="00962223" w:rsidP="005A3173">
          <w:pPr>
            <w:pStyle w:val="Header"/>
            <w:spacing w:line="276" w:lineRule="auto"/>
            <w:rPr>
              <w:rFonts w:ascii="Calibri" w:eastAsia="MS Gothic" w:hAnsi="Calibri"/>
              <w:b/>
              <w:bCs/>
              <w:color w:val="4F81BD"/>
            </w:rPr>
          </w:pPr>
        </w:p>
      </w:tc>
      <w:tc>
        <w:tcPr>
          <w:tcW w:w="500" w:type="pct"/>
          <w:vMerge w:val="restart"/>
          <w:noWrap/>
          <w:vAlign w:val="center"/>
          <w:hideMark/>
        </w:tcPr>
        <w:p w:rsidR="00962223" w:rsidRPr="005A3173" w:rsidRDefault="00962223"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962223" w:rsidRPr="005A3173" w:rsidRDefault="00962223" w:rsidP="005A3173">
          <w:pPr>
            <w:pStyle w:val="Header"/>
            <w:spacing w:line="276" w:lineRule="auto"/>
            <w:rPr>
              <w:rFonts w:ascii="Calibri" w:eastAsia="MS Gothic" w:hAnsi="Calibri"/>
              <w:b/>
              <w:bCs/>
              <w:color w:val="4F81BD"/>
            </w:rPr>
          </w:pPr>
        </w:p>
      </w:tc>
    </w:tr>
    <w:tr w:rsidR="00962223" w:rsidTr="005A3173">
      <w:trPr>
        <w:trHeight w:val="150"/>
      </w:trPr>
      <w:tc>
        <w:tcPr>
          <w:tcW w:w="2250" w:type="pct"/>
          <w:tcBorders>
            <w:top w:val="single" w:sz="4" w:space="0" w:color="4F81BD"/>
            <w:left w:val="nil"/>
            <w:bottom w:val="nil"/>
            <w:right w:val="nil"/>
          </w:tcBorders>
        </w:tcPr>
        <w:p w:rsidR="00962223" w:rsidRPr="005A3173" w:rsidRDefault="00962223" w:rsidP="005A3173">
          <w:pPr>
            <w:pStyle w:val="Header"/>
            <w:spacing w:line="276" w:lineRule="auto"/>
            <w:rPr>
              <w:rFonts w:ascii="Calibri" w:eastAsia="MS Gothic" w:hAnsi="Calibri"/>
              <w:b/>
              <w:bCs/>
              <w:color w:val="4F81BD"/>
            </w:rPr>
          </w:pPr>
        </w:p>
      </w:tc>
      <w:tc>
        <w:tcPr>
          <w:tcW w:w="0" w:type="auto"/>
          <w:vMerge/>
          <w:vAlign w:val="center"/>
          <w:hideMark/>
        </w:tcPr>
        <w:p w:rsidR="00962223" w:rsidRPr="005A3173" w:rsidRDefault="00962223" w:rsidP="005A3173">
          <w:pPr>
            <w:rPr>
              <w:rFonts w:ascii="Calibri" w:hAnsi="Calibri"/>
              <w:color w:val="365F91"/>
              <w:sz w:val="22"/>
              <w:szCs w:val="22"/>
            </w:rPr>
          </w:pPr>
        </w:p>
      </w:tc>
      <w:tc>
        <w:tcPr>
          <w:tcW w:w="2250" w:type="pct"/>
          <w:tcBorders>
            <w:top w:val="single" w:sz="4" w:space="0" w:color="4F81BD"/>
            <w:left w:val="nil"/>
            <w:bottom w:val="nil"/>
            <w:right w:val="nil"/>
          </w:tcBorders>
        </w:tcPr>
        <w:p w:rsidR="00962223" w:rsidRPr="005A3173" w:rsidRDefault="00962223" w:rsidP="005A3173">
          <w:pPr>
            <w:pStyle w:val="Header"/>
            <w:spacing w:line="276" w:lineRule="auto"/>
            <w:rPr>
              <w:rFonts w:ascii="Calibri" w:eastAsia="MS Gothic" w:hAnsi="Calibri"/>
              <w:b/>
              <w:bCs/>
              <w:color w:val="4F81BD"/>
            </w:rPr>
          </w:pPr>
        </w:p>
      </w:tc>
    </w:tr>
  </w:tbl>
  <w:p w:rsidR="00962223" w:rsidRDefault="00962223"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62223" w:rsidRDefault="00962223">
    <w:pPr>
      <w:pStyle w:val="Footer"/>
    </w:pPr>
  </w:p>
  <w:p w:rsidR="00962223" w:rsidRDefault="0096222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223" w:rsidRDefault="00962223" w:rsidP="00EF44A0">
    <w:pPr>
      <w:pStyle w:val="Footer"/>
      <w:jc w:val="center"/>
      <w:rPr>
        <w:rFonts w:ascii="Arial" w:hAnsi="Arial" w:cs="Arial"/>
        <w:b/>
        <w:sz w:val="20"/>
        <w:szCs w:val="20"/>
      </w:rPr>
    </w:pPr>
  </w:p>
  <w:p w:rsidR="00962223" w:rsidRDefault="00BF388D" w:rsidP="00BF388D">
    <w:pPr>
      <w:pStyle w:val="Footer"/>
      <w:jc w:val="center"/>
      <w:rPr>
        <w:rFonts w:ascii="Arial" w:hAnsi="Arial" w:cs="Arial"/>
        <w:b/>
        <w:sz w:val="20"/>
        <w:szCs w:val="20"/>
      </w:rPr>
    </w:pPr>
    <w:r w:rsidRPr="00693685">
      <w:rPr>
        <w:rFonts w:asciiTheme="minorHAnsi" w:hAnsiTheme="minorHAnsi" w:cs="Arial"/>
      </w:rPr>
      <w:fldChar w:fldCharType="begin"/>
    </w:r>
    <w:r w:rsidRPr="00693685">
      <w:rPr>
        <w:rFonts w:asciiTheme="minorHAnsi" w:hAnsiTheme="minorHAnsi" w:cs="Arial"/>
      </w:rPr>
      <w:instrText xml:space="preserve"> PAGE   \* MERGEFORMAT </w:instrText>
    </w:r>
    <w:r w:rsidRPr="00693685">
      <w:rPr>
        <w:rFonts w:asciiTheme="minorHAnsi" w:hAnsiTheme="minorHAnsi" w:cs="Arial"/>
      </w:rPr>
      <w:fldChar w:fldCharType="separate"/>
    </w:r>
    <w:r w:rsidR="00BF4FF9">
      <w:rPr>
        <w:rFonts w:asciiTheme="minorHAnsi" w:hAnsiTheme="minorHAnsi" w:cs="Arial"/>
        <w:noProof/>
      </w:rPr>
      <w:t>1</w:t>
    </w:r>
    <w:r w:rsidRPr="00693685">
      <w:rPr>
        <w:rFonts w:asciiTheme="minorHAnsi" w:hAnsiTheme="minorHAnsi" w:cs="Arial"/>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962223" w:rsidTr="005A3173">
      <w:trPr>
        <w:trHeight w:val="151"/>
      </w:trPr>
      <w:tc>
        <w:tcPr>
          <w:tcW w:w="2250" w:type="pct"/>
          <w:tcBorders>
            <w:top w:val="nil"/>
            <w:left w:val="nil"/>
            <w:bottom w:val="single" w:sz="4" w:space="0" w:color="4F81BD"/>
            <w:right w:val="nil"/>
          </w:tcBorders>
        </w:tcPr>
        <w:p w:rsidR="00962223" w:rsidRPr="005A3173" w:rsidRDefault="00962223" w:rsidP="005A3173">
          <w:pPr>
            <w:pStyle w:val="Header"/>
            <w:spacing w:line="276" w:lineRule="auto"/>
            <w:rPr>
              <w:rFonts w:ascii="Calibri" w:eastAsia="MS Gothic" w:hAnsi="Calibri"/>
              <w:b/>
              <w:bCs/>
              <w:color w:val="4F81BD"/>
            </w:rPr>
          </w:pPr>
        </w:p>
      </w:tc>
      <w:tc>
        <w:tcPr>
          <w:tcW w:w="500" w:type="pct"/>
          <w:vMerge w:val="restart"/>
          <w:noWrap/>
          <w:vAlign w:val="center"/>
          <w:hideMark/>
        </w:tcPr>
        <w:p w:rsidR="00962223" w:rsidRPr="005A3173" w:rsidRDefault="00962223"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962223" w:rsidRPr="005A3173" w:rsidRDefault="00962223" w:rsidP="005A3173">
          <w:pPr>
            <w:pStyle w:val="Header"/>
            <w:spacing w:line="276" w:lineRule="auto"/>
            <w:rPr>
              <w:rFonts w:ascii="Calibri" w:eastAsia="MS Gothic" w:hAnsi="Calibri"/>
              <w:b/>
              <w:bCs/>
              <w:color w:val="4F81BD"/>
            </w:rPr>
          </w:pPr>
        </w:p>
      </w:tc>
    </w:tr>
    <w:tr w:rsidR="00962223" w:rsidTr="005A3173">
      <w:trPr>
        <w:trHeight w:val="150"/>
      </w:trPr>
      <w:tc>
        <w:tcPr>
          <w:tcW w:w="2250" w:type="pct"/>
          <w:tcBorders>
            <w:top w:val="single" w:sz="4" w:space="0" w:color="4F81BD"/>
            <w:left w:val="nil"/>
            <w:bottom w:val="nil"/>
            <w:right w:val="nil"/>
          </w:tcBorders>
        </w:tcPr>
        <w:p w:rsidR="00962223" w:rsidRPr="005A3173" w:rsidRDefault="00962223" w:rsidP="005A3173">
          <w:pPr>
            <w:pStyle w:val="Header"/>
            <w:spacing w:line="276" w:lineRule="auto"/>
            <w:rPr>
              <w:rFonts w:ascii="Calibri" w:eastAsia="MS Gothic" w:hAnsi="Calibri"/>
              <w:b/>
              <w:bCs/>
              <w:color w:val="4F81BD"/>
            </w:rPr>
          </w:pPr>
        </w:p>
      </w:tc>
      <w:tc>
        <w:tcPr>
          <w:tcW w:w="0" w:type="auto"/>
          <w:vMerge/>
          <w:vAlign w:val="center"/>
          <w:hideMark/>
        </w:tcPr>
        <w:p w:rsidR="00962223" w:rsidRPr="005A3173" w:rsidRDefault="00962223" w:rsidP="005A3173">
          <w:pPr>
            <w:rPr>
              <w:rFonts w:ascii="Calibri" w:hAnsi="Calibri"/>
              <w:color w:val="365F91"/>
              <w:sz w:val="22"/>
              <w:szCs w:val="22"/>
            </w:rPr>
          </w:pPr>
        </w:p>
      </w:tc>
      <w:tc>
        <w:tcPr>
          <w:tcW w:w="2250" w:type="pct"/>
          <w:tcBorders>
            <w:top w:val="single" w:sz="4" w:space="0" w:color="4F81BD"/>
            <w:left w:val="nil"/>
            <w:bottom w:val="nil"/>
            <w:right w:val="nil"/>
          </w:tcBorders>
        </w:tcPr>
        <w:p w:rsidR="00962223" w:rsidRPr="005A3173" w:rsidRDefault="00962223"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962223" w:rsidTr="005A3173">
      <w:trPr>
        <w:trHeight w:val="151"/>
      </w:trPr>
      <w:tc>
        <w:tcPr>
          <w:tcW w:w="2250" w:type="pct"/>
          <w:tcBorders>
            <w:top w:val="nil"/>
            <w:left w:val="nil"/>
            <w:bottom w:val="single" w:sz="4" w:space="0" w:color="4F81BD"/>
            <w:right w:val="nil"/>
          </w:tcBorders>
        </w:tcPr>
        <w:p w:rsidR="00962223" w:rsidRPr="005A3173" w:rsidRDefault="00962223" w:rsidP="005A3173">
          <w:pPr>
            <w:pStyle w:val="Header"/>
            <w:spacing w:line="276" w:lineRule="auto"/>
            <w:rPr>
              <w:rFonts w:ascii="Calibri" w:eastAsia="MS Gothic" w:hAnsi="Calibri"/>
              <w:b/>
              <w:bCs/>
              <w:color w:val="4F81BD"/>
            </w:rPr>
          </w:pPr>
        </w:p>
      </w:tc>
      <w:tc>
        <w:tcPr>
          <w:tcW w:w="500" w:type="pct"/>
          <w:vMerge w:val="restart"/>
          <w:noWrap/>
          <w:vAlign w:val="center"/>
          <w:hideMark/>
        </w:tcPr>
        <w:p w:rsidR="00962223" w:rsidRPr="005A3173" w:rsidRDefault="00962223"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962223" w:rsidRPr="005A3173" w:rsidRDefault="00962223" w:rsidP="005A3173">
          <w:pPr>
            <w:pStyle w:val="Header"/>
            <w:spacing w:line="276" w:lineRule="auto"/>
            <w:rPr>
              <w:rFonts w:ascii="Calibri" w:eastAsia="MS Gothic" w:hAnsi="Calibri"/>
              <w:b/>
              <w:bCs/>
              <w:color w:val="4F81BD"/>
            </w:rPr>
          </w:pPr>
        </w:p>
      </w:tc>
    </w:tr>
    <w:tr w:rsidR="00962223" w:rsidTr="005A3173">
      <w:trPr>
        <w:trHeight w:val="150"/>
      </w:trPr>
      <w:tc>
        <w:tcPr>
          <w:tcW w:w="2250" w:type="pct"/>
          <w:tcBorders>
            <w:top w:val="single" w:sz="4" w:space="0" w:color="4F81BD"/>
            <w:left w:val="nil"/>
            <w:bottom w:val="nil"/>
            <w:right w:val="nil"/>
          </w:tcBorders>
        </w:tcPr>
        <w:p w:rsidR="00962223" w:rsidRPr="005A3173" w:rsidRDefault="00962223" w:rsidP="005A3173">
          <w:pPr>
            <w:pStyle w:val="Header"/>
            <w:spacing w:line="276" w:lineRule="auto"/>
            <w:rPr>
              <w:rFonts w:ascii="Calibri" w:eastAsia="MS Gothic" w:hAnsi="Calibri"/>
              <w:b/>
              <w:bCs/>
              <w:color w:val="4F81BD"/>
            </w:rPr>
          </w:pPr>
        </w:p>
      </w:tc>
      <w:tc>
        <w:tcPr>
          <w:tcW w:w="0" w:type="auto"/>
          <w:vMerge/>
          <w:vAlign w:val="center"/>
          <w:hideMark/>
        </w:tcPr>
        <w:p w:rsidR="00962223" w:rsidRPr="005A3173" w:rsidRDefault="00962223" w:rsidP="005A3173">
          <w:pPr>
            <w:rPr>
              <w:rFonts w:ascii="Calibri" w:hAnsi="Calibri"/>
              <w:color w:val="365F91"/>
              <w:sz w:val="22"/>
              <w:szCs w:val="22"/>
            </w:rPr>
          </w:pPr>
        </w:p>
      </w:tc>
      <w:tc>
        <w:tcPr>
          <w:tcW w:w="2250" w:type="pct"/>
          <w:tcBorders>
            <w:top w:val="single" w:sz="4" w:space="0" w:color="4F81BD"/>
            <w:left w:val="nil"/>
            <w:bottom w:val="nil"/>
            <w:right w:val="nil"/>
          </w:tcBorders>
        </w:tcPr>
        <w:p w:rsidR="00962223" w:rsidRPr="005A3173" w:rsidRDefault="00962223" w:rsidP="005A3173">
          <w:pPr>
            <w:pStyle w:val="Header"/>
            <w:spacing w:line="276" w:lineRule="auto"/>
            <w:rPr>
              <w:rFonts w:ascii="Calibri" w:eastAsia="MS Gothic" w:hAnsi="Calibri"/>
              <w:b/>
              <w:bCs/>
              <w:color w:val="4F81BD"/>
            </w:rPr>
          </w:pPr>
        </w:p>
      </w:tc>
    </w:tr>
  </w:tbl>
  <w:p w:rsidR="00962223" w:rsidRPr="007C0F57" w:rsidRDefault="00962223"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962223" w:rsidRPr="007C0F57" w:rsidRDefault="00962223" w:rsidP="007C0F57">
    <w:pPr>
      <w:pStyle w:val="Footer"/>
      <w:jc w:val="center"/>
      <w:rPr>
        <w:b/>
        <w:i/>
        <w:sz w:val="20"/>
        <w:szCs w:val="20"/>
      </w:rPr>
    </w:pPr>
    <w:r w:rsidRPr="007C0F57">
      <w:rPr>
        <w:b/>
        <w:i/>
        <w:sz w:val="20"/>
        <w:szCs w:val="20"/>
      </w:rPr>
      <w:t>Commercial-in-Confidence</w:t>
    </w:r>
  </w:p>
  <w:p w:rsidR="00962223" w:rsidRDefault="0096222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FF9" w:rsidRDefault="00BF4FF9">
      <w:r>
        <w:separator/>
      </w:r>
    </w:p>
    <w:p w:rsidR="00BF4FF9" w:rsidRDefault="00BF4FF9"/>
  </w:footnote>
  <w:footnote w:type="continuationSeparator" w:id="0">
    <w:p w:rsidR="00BF4FF9" w:rsidRDefault="00BF4FF9">
      <w:r>
        <w:continuationSeparator/>
      </w:r>
    </w:p>
    <w:p w:rsidR="00BF4FF9" w:rsidRDefault="00BF4FF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962223" w:rsidRPr="008E0D90" w:rsidTr="00A06225">
      <w:trPr>
        <w:trHeight w:val="151"/>
      </w:trPr>
      <w:tc>
        <w:tcPr>
          <w:tcW w:w="2389" w:type="pct"/>
          <w:tcBorders>
            <w:top w:val="nil"/>
            <w:left w:val="nil"/>
            <w:bottom w:val="single" w:sz="4" w:space="0" w:color="4F81BD"/>
            <w:right w:val="nil"/>
          </w:tcBorders>
        </w:tcPr>
        <w:p w:rsidR="00962223" w:rsidRPr="00A06225" w:rsidRDefault="00962223">
          <w:pPr>
            <w:pStyle w:val="Header"/>
            <w:spacing w:line="276" w:lineRule="auto"/>
            <w:rPr>
              <w:rFonts w:ascii="Cambria" w:eastAsia="MS Gothic" w:hAnsi="Cambria"/>
              <w:b/>
              <w:bCs/>
              <w:color w:val="4F81BD"/>
            </w:rPr>
          </w:pPr>
        </w:p>
      </w:tc>
      <w:tc>
        <w:tcPr>
          <w:tcW w:w="333" w:type="pct"/>
          <w:vMerge w:val="restart"/>
          <w:noWrap/>
          <w:vAlign w:val="center"/>
          <w:hideMark/>
        </w:tcPr>
        <w:p w:rsidR="00962223" w:rsidRPr="00A06225" w:rsidRDefault="00962223"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962223" w:rsidRPr="00A06225" w:rsidRDefault="00962223">
          <w:pPr>
            <w:pStyle w:val="Header"/>
            <w:spacing w:line="276" w:lineRule="auto"/>
            <w:rPr>
              <w:rFonts w:ascii="Cambria" w:eastAsia="MS Gothic" w:hAnsi="Cambria"/>
              <w:b/>
              <w:bCs/>
              <w:color w:val="4F81BD"/>
            </w:rPr>
          </w:pPr>
        </w:p>
      </w:tc>
    </w:tr>
    <w:tr w:rsidR="00962223" w:rsidRPr="008E0D90" w:rsidTr="00A06225">
      <w:trPr>
        <w:trHeight w:val="150"/>
      </w:trPr>
      <w:tc>
        <w:tcPr>
          <w:tcW w:w="2389" w:type="pct"/>
          <w:tcBorders>
            <w:top w:val="single" w:sz="4" w:space="0" w:color="4F81BD"/>
            <w:left w:val="nil"/>
            <w:bottom w:val="nil"/>
            <w:right w:val="nil"/>
          </w:tcBorders>
        </w:tcPr>
        <w:p w:rsidR="00962223" w:rsidRPr="00A06225" w:rsidRDefault="00962223">
          <w:pPr>
            <w:pStyle w:val="Header"/>
            <w:spacing w:line="276" w:lineRule="auto"/>
            <w:rPr>
              <w:rFonts w:ascii="Cambria" w:eastAsia="MS Gothic" w:hAnsi="Cambria"/>
              <w:b/>
              <w:bCs/>
              <w:color w:val="4F81BD"/>
            </w:rPr>
          </w:pPr>
        </w:p>
      </w:tc>
      <w:tc>
        <w:tcPr>
          <w:tcW w:w="0" w:type="auto"/>
          <w:vMerge/>
          <w:vAlign w:val="center"/>
          <w:hideMark/>
        </w:tcPr>
        <w:p w:rsidR="00962223" w:rsidRPr="00A06225" w:rsidRDefault="00962223">
          <w:pPr>
            <w:rPr>
              <w:rFonts w:ascii="Cambria" w:hAnsi="Cambria"/>
              <w:color w:val="4F81BD"/>
              <w:sz w:val="22"/>
              <w:szCs w:val="22"/>
            </w:rPr>
          </w:pPr>
        </w:p>
      </w:tc>
      <w:tc>
        <w:tcPr>
          <w:tcW w:w="2278" w:type="pct"/>
          <w:tcBorders>
            <w:top w:val="single" w:sz="4" w:space="0" w:color="4F81BD"/>
            <w:left w:val="nil"/>
            <w:bottom w:val="nil"/>
            <w:right w:val="nil"/>
          </w:tcBorders>
        </w:tcPr>
        <w:p w:rsidR="00962223" w:rsidRPr="00A06225" w:rsidRDefault="00962223">
          <w:pPr>
            <w:pStyle w:val="Header"/>
            <w:spacing w:line="276" w:lineRule="auto"/>
            <w:rPr>
              <w:rFonts w:ascii="Cambria" w:eastAsia="MS Gothic" w:hAnsi="Cambria"/>
              <w:b/>
              <w:bCs/>
              <w:color w:val="4F81BD"/>
            </w:rPr>
          </w:pPr>
        </w:p>
      </w:tc>
    </w:tr>
  </w:tbl>
  <w:p w:rsidR="00962223" w:rsidRDefault="00962223">
    <w:pPr>
      <w:pStyle w:val="Header"/>
    </w:pPr>
  </w:p>
  <w:p w:rsidR="00962223" w:rsidRDefault="0096222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88D" w:rsidRDefault="0098540C" w:rsidP="0098540C">
    <w:pPr>
      <w:tabs>
        <w:tab w:val="center" w:pos="4153"/>
        <w:tab w:val="right" w:pos="8306"/>
      </w:tabs>
      <w:spacing w:after="120"/>
      <w:ind w:left="360"/>
      <w:jc w:val="center"/>
      <w:rPr>
        <w:rFonts w:asciiTheme="minorHAnsi" w:hAnsiTheme="minorHAnsi" w:cs="Arial"/>
        <w:i/>
        <w:color w:val="808080"/>
        <w:lang w:eastAsia="en-US"/>
      </w:rPr>
    </w:pPr>
    <w:r>
      <w:rPr>
        <w:rFonts w:asciiTheme="minorHAnsi" w:hAnsiTheme="minorHAnsi" w:cs="Arial"/>
        <w:i/>
        <w:color w:val="808080"/>
        <w:lang w:eastAsia="en-US"/>
      </w:rPr>
      <w:t>Public Summary Document</w:t>
    </w:r>
    <w:r w:rsidR="00BF388D" w:rsidRPr="00BF388D">
      <w:rPr>
        <w:rFonts w:asciiTheme="minorHAnsi" w:hAnsiTheme="minorHAnsi" w:cs="Arial"/>
        <w:i/>
        <w:color w:val="808080"/>
        <w:lang w:eastAsia="en-US"/>
      </w:rPr>
      <w:t xml:space="preserve"> –</w:t>
    </w:r>
    <w:r w:rsidR="00342CE8">
      <w:rPr>
        <w:rFonts w:asciiTheme="minorHAnsi" w:hAnsiTheme="minorHAnsi" w:cs="Arial"/>
        <w:i/>
        <w:color w:val="808080"/>
        <w:lang w:eastAsia="en-US"/>
      </w:rPr>
      <w:t xml:space="preserve"> </w:t>
    </w:r>
    <w:r w:rsidR="00BF388D">
      <w:rPr>
        <w:rFonts w:asciiTheme="minorHAnsi" w:hAnsiTheme="minorHAnsi" w:cs="Arial"/>
        <w:i/>
        <w:color w:val="808080"/>
        <w:lang w:eastAsia="en-US"/>
      </w:rPr>
      <w:t>July 2017</w:t>
    </w:r>
    <w:r w:rsidR="00BF388D" w:rsidRPr="00BF388D">
      <w:rPr>
        <w:rFonts w:asciiTheme="minorHAnsi" w:hAnsiTheme="minorHAnsi" w:cs="Arial"/>
        <w:i/>
        <w:color w:val="808080"/>
        <w:lang w:eastAsia="en-US"/>
      </w:rPr>
      <w:t xml:space="preserve"> PBAC Meeting</w:t>
    </w:r>
  </w:p>
  <w:p w:rsidR="0098540C" w:rsidRPr="00BF388D" w:rsidRDefault="0098540C" w:rsidP="0098540C">
    <w:pPr>
      <w:tabs>
        <w:tab w:val="center" w:pos="4153"/>
        <w:tab w:val="right" w:pos="8306"/>
      </w:tabs>
      <w:spacing w:after="120"/>
      <w:ind w:left="360"/>
      <w:jc w:val="center"/>
      <w:rPr>
        <w:rFonts w:asciiTheme="minorHAnsi" w:hAnsiTheme="minorHAnsi" w:cs="Arial"/>
        <w:i/>
        <w:color w:val="808080"/>
        <w:lang w:eastAsia="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FF9" w:rsidRDefault="00BF4F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B200EBA"/>
    <w:lvl w:ilvl="0">
      <w:start w:val="1"/>
      <w:numFmt w:val="decimal"/>
      <w:pStyle w:val="Heading1"/>
      <w:lvlText w:val="%1"/>
      <w:lvlJc w:val="left"/>
      <w:pPr>
        <w:tabs>
          <w:tab w:val="num" w:pos="643"/>
        </w:tabs>
        <w:ind w:left="643" w:hanging="360"/>
      </w:pPr>
      <w:rPr>
        <w:rFonts w:hint="default"/>
      </w:rPr>
    </w:lvl>
  </w:abstractNum>
  <w:abstractNum w:abstractNumId="1">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7">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A350DBF"/>
    <w:multiLevelType w:val="hybridMultilevel"/>
    <w:tmpl w:val="5644E408"/>
    <w:lvl w:ilvl="0" w:tplc="BF36FA92">
      <w:start w:val="3"/>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84D033C"/>
    <w:multiLevelType w:val="multilevel"/>
    <w:tmpl w:val="69DA28E8"/>
    <w:lvl w:ilvl="0">
      <w:start w:val="1"/>
      <w:numFmt w:val="decimal"/>
      <w:pStyle w:val="PBACHeading1"/>
      <w:lvlText w:val="%1"/>
      <w:lvlJc w:val="left"/>
      <w:pPr>
        <w:ind w:left="720" w:hanging="720"/>
      </w:pPr>
      <w:rPr>
        <w:rFonts w:asciiTheme="minorHAnsi" w:hAnsiTheme="minorHAnsi" w:hint="default"/>
        <w:b/>
      </w:rPr>
    </w:lvl>
    <w:lvl w:ilvl="1">
      <w:start w:val="1"/>
      <w:numFmt w:val="decimal"/>
      <w:lvlText w:val="%1.%2"/>
      <w:lvlJc w:val="left"/>
      <w:pPr>
        <w:ind w:left="720" w:hanging="720"/>
      </w:pPr>
      <w:rPr>
        <w:rFonts w:asciiTheme="minorHAnsi" w:hAnsiTheme="minorHAnsi"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3"/>
  </w:num>
  <w:num w:numId="3">
    <w:abstractNumId w:val="6"/>
  </w:num>
  <w:num w:numId="4">
    <w:abstractNumId w:val="15"/>
  </w:num>
  <w:num w:numId="5">
    <w:abstractNumId w:val="17"/>
  </w:num>
  <w:num w:numId="6">
    <w:abstractNumId w:val="7"/>
  </w:num>
  <w:num w:numId="7">
    <w:abstractNumId w:val="14"/>
  </w:num>
  <w:num w:numId="8">
    <w:abstractNumId w:val="4"/>
  </w:num>
  <w:num w:numId="9">
    <w:abstractNumId w:val="13"/>
  </w:num>
  <w:num w:numId="10">
    <w:abstractNumId w:val="12"/>
  </w:num>
  <w:num w:numId="11">
    <w:abstractNumId w:val="11"/>
  </w:num>
  <w:num w:numId="12">
    <w:abstractNumId w:val="1"/>
  </w:num>
  <w:num w:numId="13">
    <w:abstractNumId w:val="0"/>
  </w:num>
  <w:num w:numId="14">
    <w:abstractNumId w:val="17"/>
  </w:num>
  <w:num w:numId="15">
    <w:abstractNumId w:val="8"/>
  </w:num>
  <w:num w:numId="16">
    <w:abstractNumId w:val="17"/>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5"/>
  </w:num>
  <w:num w:numId="21">
    <w:abstractNumId w:val="2"/>
  </w:num>
  <w:num w:numId="22">
    <w:abstractNumId w:val="10"/>
  </w:num>
  <w:num w:numId="23">
    <w:abstractNumId w:val="17"/>
  </w:num>
  <w:num w:numId="24">
    <w:abstractNumId w:val="17"/>
  </w:num>
  <w:num w:numId="25">
    <w:abstractNumId w:val="17"/>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byn Ward">
    <w15:presenceInfo w15:providerId="Windows Live" w15:userId="2f8c0452c87ad3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13AA1"/>
    <w:rsid w:val="0002464A"/>
    <w:rsid w:val="00027E89"/>
    <w:rsid w:val="0003106B"/>
    <w:rsid w:val="000311EB"/>
    <w:rsid w:val="000421A1"/>
    <w:rsid w:val="0004240E"/>
    <w:rsid w:val="00045E26"/>
    <w:rsid w:val="000514B5"/>
    <w:rsid w:val="00060E64"/>
    <w:rsid w:val="00066755"/>
    <w:rsid w:val="00071CD9"/>
    <w:rsid w:val="00077143"/>
    <w:rsid w:val="00081805"/>
    <w:rsid w:val="000924BC"/>
    <w:rsid w:val="000969AD"/>
    <w:rsid w:val="000A4912"/>
    <w:rsid w:val="000A5876"/>
    <w:rsid w:val="000B558D"/>
    <w:rsid w:val="000C6996"/>
    <w:rsid w:val="000D23BA"/>
    <w:rsid w:val="000D2CAB"/>
    <w:rsid w:val="000E681E"/>
    <w:rsid w:val="000E73CD"/>
    <w:rsid w:val="000F09FA"/>
    <w:rsid w:val="000F4E6A"/>
    <w:rsid w:val="001107BF"/>
    <w:rsid w:val="00116544"/>
    <w:rsid w:val="0012417C"/>
    <w:rsid w:val="00141169"/>
    <w:rsid w:val="00142395"/>
    <w:rsid w:val="00142714"/>
    <w:rsid w:val="001452ED"/>
    <w:rsid w:val="001624C6"/>
    <w:rsid w:val="00175A17"/>
    <w:rsid w:val="001830CE"/>
    <w:rsid w:val="0018584B"/>
    <w:rsid w:val="0018643B"/>
    <w:rsid w:val="00196307"/>
    <w:rsid w:val="001A33EA"/>
    <w:rsid w:val="001B017F"/>
    <w:rsid w:val="001B16A7"/>
    <w:rsid w:val="001B5129"/>
    <w:rsid w:val="001C1195"/>
    <w:rsid w:val="001C46EA"/>
    <w:rsid w:val="001C5716"/>
    <w:rsid w:val="001C6E3D"/>
    <w:rsid w:val="001D10CD"/>
    <w:rsid w:val="001D3EB1"/>
    <w:rsid w:val="001D636E"/>
    <w:rsid w:val="001F18E0"/>
    <w:rsid w:val="001F2984"/>
    <w:rsid w:val="00213CFB"/>
    <w:rsid w:val="00225A37"/>
    <w:rsid w:val="00251322"/>
    <w:rsid w:val="00271BA1"/>
    <w:rsid w:val="00272FD4"/>
    <w:rsid w:val="002762FA"/>
    <w:rsid w:val="00277505"/>
    <w:rsid w:val="0029458F"/>
    <w:rsid w:val="002A104C"/>
    <w:rsid w:val="002A4960"/>
    <w:rsid w:val="002B1AE6"/>
    <w:rsid w:val="002B23DE"/>
    <w:rsid w:val="002B30F8"/>
    <w:rsid w:val="002C212F"/>
    <w:rsid w:val="002E3153"/>
    <w:rsid w:val="002E39C2"/>
    <w:rsid w:val="002E72CA"/>
    <w:rsid w:val="00300AD6"/>
    <w:rsid w:val="00326787"/>
    <w:rsid w:val="00326E79"/>
    <w:rsid w:val="003367EF"/>
    <w:rsid w:val="00337D06"/>
    <w:rsid w:val="00341AE4"/>
    <w:rsid w:val="00342CE8"/>
    <w:rsid w:val="00342F9C"/>
    <w:rsid w:val="00385555"/>
    <w:rsid w:val="003872CF"/>
    <w:rsid w:val="0039782C"/>
    <w:rsid w:val="003A5B4A"/>
    <w:rsid w:val="003B23C5"/>
    <w:rsid w:val="003B2A75"/>
    <w:rsid w:val="003D4AC4"/>
    <w:rsid w:val="003D63B7"/>
    <w:rsid w:val="003E468B"/>
    <w:rsid w:val="003F5C8C"/>
    <w:rsid w:val="004033CF"/>
    <w:rsid w:val="00410BFD"/>
    <w:rsid w:val="004213EA"/>
    <w:rsid w:val="0043563A"/>
    <w:rsid w:val="004465BD"/>
    <w:rsid w:val="00466ADA"/>
    <w:rsid w:val="004752FA"/>
    <w:rsid w:val="00476245"/>
    <w:rsid w:val="00485940"/>
    <w:rsid w:val="004A2484"/>
    <w:rsid w:val="004A5A85"/>
    <w:rsid w:val="004A7BBB"/>
    <w:rsid w:val="004B5640"/>
    <w:rsid w:val="004B6359"/>
    <w:rsid w:val="004C1BD7"/>
    <w:rsid w:val="004C222C"/>
    <w:rsid w:val="004C691D"/>
    <w:rsid w:val="004D2F55"/>
    <w:rsid w:val="004E692D"/>
    <w:rsid w:val="004F6122"/>
    <w:rsid w:val="00501554"/>
    <w:rsid w:val="00511666"/>
    <w:rsid w:val="00514CD7"/>
    <w:rsid w:val="005167DF"/>
    <w:rsid w:val="005319B2"/>
    <w:rsid w:val="00532C74"/>
    <w:rsid w:val="00534E2E"/>
    <w:rsid w:val="00540758"/>
    <w:rsid w:val="00544552"/>
    <w:rsid w:val="00581932"/>
    <w:rsid w:val="005963BB"/>
    <w:rsid w:val="005A2C74"/>
    <w:rsid w:val="005A3173"/>
    <w:rsid w:val="005A3223"/>
    <w:rsid w:val="005A3DA3"/>
    <w:rsid w:val="005A52C4"/>
    <w:rsid w:val="005D03AB"/>
    <w:rsid w:val="005D5017"/>
    <w:rsid w:val="005E5152"/>
    <w:rsid w:val="00601A91"/>
    <w:rsid w:val="00602BA3"/>
    <w:rsid w:val="00614159"/>
    <w:rsid w:val="00616B86"/>
    <w:rsid w:val="00617C00"/>
    <w:rsid w:val="00625955"/>
    <w:rsid w:val="006263BF"/>
    <w:rsid w:val="00626751"/>
    <w:rsid w:val="0062748A"/>
    <w:rsid w:val="00630A2C"/>
    <w:rsid w:val="00651169"/>
    <w:rsid w:val="00653D69"/>
    <w:rsid w:val="00670A76"/>
    <w:rsid w:val="006711AA"/>
    <w:rsid w:val="00672B57"/>
    <w:rsid w:val="00675622"/>
    <w:rsid w:val="0068790A"/>
    <w:rsid w:val="006906DB"/>
    <w:rsid w:val="006920F4"/>
    <w:rsid w:val="006A12A5"/>
    <w:rsid w:val="006B0D94"/>
    <w:rsid w:val="006B485D"/>
    <w:rsid w:val="006C433F"/>
    <w:rsid w:val="006C4A46"/>
    <w:rsid w:val="006C708E"/>
    <w:rsid w:val="006D6EC7"/>
    <w:rsid w:val="006F2648"/>
    <w:rsid w:val="006F5125"/>
    <w:rsid w:val="0070385A"/>
    <w:rsid w:val="00706F0C"/>
    <w:rsid w:val="007174BB"/>
    <w:rsid w:val="0073516E"/>
    <w:rsid w:val="0076420C"/>
    <w:rsid w:val="007753C2"/>
    <w:rsid w:val="007838B8"/>
    <w:rsid w:val="007857A2"/>
    <w:rsid w:val="007C0F57"/>
    <w:rsid w:val="007C40B6"/>
    <w:rsid w:val="007C729F"/>
    <w:rsid w:val="007E1D28"/>
    <w:rsid w:val="007F2641"/>
    <w:rsid w:val="007F7C36"/>
    <w:rsid w:val="00806796"/>
    <w:rsid w:val="008151D6"/>
    <w:rsid w:val="00826F6D"/>
    <w:rsid w:val="008335E6"/>
    <w:rsid w:val="00856DDD"/>
    <w:rsid w:val="00863E68"/>
    <w:rsid w:val="00882085"/>
    <w:rsid w:val="00883188"/>
    <w:rsid w:val="00897D58"/>
    <w:rsid w:val="008A1956"/>
    <w:rsid w:val="008A4937"/>
    <w:rsid w:val="008A50F1"/>
    <w:rsid w:val="008D1B5C"/>
    <w:rsid w:val="008D3C82"/>
    <w:rsid w:val="008D447E"/>
    <w:rsid w:val="008D7A41"/>
    <w:rsid w:val="008E1ED7"/>
    <w:rsid w:val="008E3680"/>
    <w:rsid w:val="008E5870"/>
    <w:rsid w:val="008F1434"/>
    <w:rsid w:val="008F7355"/>
    <w:rsid w:val="009067B7"/>
    <w:rsid w:val="00910015"/>
    <w:rsid w:val="00915F88"/>
    <w:rsid w:val="00930937"/>
    <w:rsid w:val="00933E6C"/>
    <w:rsid w:val="00942160"/>
    <w:rsid w:val="0095146F"/>
    <w:rsid w:val="009602C5"/>
    <w:rsid w:val="00962223"/>
    <w:rsid w:val="009742DD"/>
    <w:rsid w:val="00974C21"/>
    <w:rsid w:val="0098540C"/>
    <w:rsid w:val="00991586"/>
    <w:rsid w:val="009B0F67"/>
    <w:rsid w:val="009C703C"/>
    <w:rsid w:val="009D3CAA"/>
    <w:rsid w:val="009F4E46"/>
    <w:rsid w:val="009F5B65"/>
    <w:rsid w:val="009F5F2E"/>
    <w:rsid w:val="00A01729"/>
    <w:rsid w:val="00A06225"/>
    <w:rsid w:val="00A128E6"/>
    <w:rsid w:val="00A37C8D"/>
    <w:rsid w:val="00A5273B"/>
    <w:rsid w:val="00A53A9D"/>
    <w:rsid w:val="00A55FEE"/>
    <w:rsid w:val="00A60C51"/>
    <w:rsid w:val="00A62C1A"/>
    <w:rsid w:val="00A6426D"/>
    <w:rsid w:val="00A648EC"/>
    <w:rsid w:val="00A70622"/>
    <w:rsid w:val="00A70977"/>
    <w:rsid w:val="00A757B3"/>
    <w:rsid w:val="00A75C37"/>
    <w:rsid w:val="00A770E4"/>
    <w:rsid w:val="00A77613"/>
    <w:rsid w:val="00A8390C"/>
    <w:rsid w:val="00A928BD"/>
    <w:rsid w:val="00A96B5F"/>
    <w:rsid w:val="00AA4D1C"/>
    <w:rsid w:val="00AB4CF8"/>
    <w:rsid w:val="00AC193C"/>
    <w:rsid w:val="00AC5206"/>
    <w:rsid w:val="00AD0012"/>
    <w:rsid w:val="00AE11A5"/>
    <w:rsid w:val="00AE13E2"/>
    <w:rsid w:val="00AE4866"/>
    <w:rsid w:val="00AF5013"/>
    <w:rsid w:val="00AF68CC"/>
    <w:rsid w:val="00B1059E"/>
    <w:rsid w:val="00B205AA"/>
    <w:rsid w:val="00B22E84"/>
    <w:rsid w:val="00B25F75"/>
    <w:rsid w:val="00B30E0B"/>
    <w:rsid w:val="00B376D5"/>
    <w:rsid w:val="00B41094"/>
    <w:rsid w:val="00B4111F"/>
    <w:rsid w:val="00B43E90"/>
    <w:rsid w:val="00B45876"/>
    <w:rsid w:val="00B467DC"/>
    <w:rsid w:val="00B56118"/>
    <w:rsid w:val="00B56D23"/>
    <w:rsid w:val="00B6567D"/>
    <w:rsid w:val="00B6773F"/>
    <w:rsid w:val="00B801BA"/>
    <w:rsid w:val="00BB69F5"/>
    <w:rsid w:val="00BB7EC3"/>
    <w:rsid w:val="00BC4B9A"/>
    <w:rsid w:val="00BD784C"/>
    <w:rsid w:val="00BE1027"/>
    <w:rsid w:val="00BF388D"/>
    <w:rsid w:val="00BF4CB6"/>
    <w:rsid w:val="00BF4FF9"/>
    <w:rsid w:val="00C00DA7"/>
    <w:rsid w:val="00C053BE"/>
    <w:rsid w:val="00C06EDD"/>
    <w:rsid w:val="00C12768"/>
    <w:rsid w:val="00C27B58"/>
    <w:rsid w:val="00C35996"/>
    <w:rsid w:val="00C36A36"/>
    <w:rsid w:val="00C5342C"/>
    <w:rsid w:val="00C57CFF"/>
    <w:rsid w:val="00C603D4"/>
    <w:rsid w:val="00C6256A"/>
    <w:rsid w:val="00C70FE5"/>
    <w:rsid w:val="00C91449"/>
    <w:rsid w:val="00C92D10"/>
    <w:rsid w:val="00CE10C4"/>
    <w:rsid w:val="00CE27B5"/>
    <w:rsid w:val="00D0321E"/>
    <w:rsid w:val="00D11D54"/>
    <w:rsid w:val="00D1455A"/>
    <w:rsid w:val="00D3138B"/>
    <w:rsid w:val="00D3280C"/>
    <w:rsid w:val="00D3406A"/>
    <w:rsid w:val="00D46538"/>
    <w:rsid w:val="00D469B2"/>
    <w:rsid w:val="00D73B26"/>
    <w:rsid w:val="00D741EB"/>
    <w:rsid w:val="00D84934"/>
    <w:rsid w:val="00D91271"/>
    <w:rsid w:val="00D91AA8"/>
    <w:rsid w:val="00D9267D"/>
    <w:rsid w:val="00DA2CB5"/>
    <w:rsid w:val="00DA4BAC"/>
    <w:rsid w:val="00DC27B8"/>
    <w:rsid w:val="00DC465D"/>
    <w:rsid w:val="00DE2376"/>
    <w:rsid w:val="00DE6D27"/>
    <w:rsid w:val="00DF217D"/>
    <w:rsid w:val="00DF26A7"/>
    <w:rsid w:val="00E15627"/>
    <w:rsid w:val="00E164B3"/>
    <w:rsid w:val="00E16910"/>
    <w:rsid w:val="00E65E54"/>
    <w:rsid w:val="00E67DCC"/>
    <w:rsid w:val="00E80155"/>
    <w:rsid w:val="00E815BC"/>
    <w:rsid w:val="00E8238F"/>
    <w:rsid w:val="00E848C0"/>
    <w:rsid w:val="00E91B96"/>
    <w:rsid w:val="00E94140"/>
    <w:rsid w:val="00E941A1"/>
    <w:rsid w:val="00E95CE3"/>
    <w:rsid w:val="00EA2825"/>
    <w:rsid w:val="00EB5088"/>
    <w:rsid w:val="00EB5FC5"/>
    <w:rsid w:val="00ED1644"/>
    <w:rsid w:val="00ED2593"/>
    <w:rsid w:val="00EE4956"/>
    <w:rsid w:val="00EF0510"/>
    <w:rsid w:val="00EF44A0"/>
    <w:rsid w:val="00EF4FED"/>
    <w:rsid w:val="00F011A6"/>
    <w:rsid w:val="00F050BD"/>
    <w:rsid w:val="00F05657"/>
    <w:rsid w:val="00F22765"/>
    <w:rsid w:val="00F25578"/>
    <w:rsid w:val="00F258E5"/>
    <w:rsid w:val="00F300BC"/>
    <w:rsid w:val="00F3334E"/>
    <w:rsid w:val="00F50EC4"/>
    <w:rsid w:val="00F57A6D"/>
    <w:rsid w:val="00F60828"/>
    <w:rsid w:val="00F638CC"/>
    <w:rsid w:val="00F64CC1"/>
    <w:rsid w:val="00F66BD8"/>
    <w:rsid w:val="00F8247A"/>
    <w:rsid w:val="00F87697"/>
    <w:rsid w:val="00F90115"/>
    <w:rsid w:val="00F9629A"/>
    <w:rsid w:val="00FA228B"/>
    <w:rsid w:val="00FA5883"/>
    <w:rsid w:val="00FA6055"/>
    <w:rsid w:val="00FB322F"/>
    <w:rsid w:val="00FB442F"/>
    <w:rsid w:val="00FC1929"/>
    <w:rsid w:val="00FC5B46"/>
    <w:rsid w:val="00FD07DA"/>
    <w:rsid w:val="00FE0E94"/>
    <w:rsid w:val="00FE4E0C"/>
    <w:rsid w:val="00FF00BD"/>
    <w:rsid w:val="00FF1ED4"/>
    <w:rsid w:val="00FF2801"/>
    <w:rsid w:val="00FF6C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D14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1"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annotation reference" w:uiPriority="99"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paragraph" w:styleId="Heading1">
    <w:name w:val="heading 1"/>
    <w:basedOn w:val="ListParagraph"/>
    <w:next w:val="Normal"/>
    <w:qFormat/>
    <w:rsid w:val="00C603D4"/>
    <w:pPr>
      <w:numPr>
        <w:numId w:val="13"/>
      </w:numPr>
      <w:tabs>
        <w:tab w:val="clear" w:pos="643"/>
      </w:tabs>
      <w:ind w:left="720" w:hanging="720"/>
      <w:outlineLvl w:val="0"/>
    </w:pPr>
    <w:rPr>
      <w:b/>
      <w:szCs w:val="22"/>
    </w:rPr>
  </w:style>
  <w:style w:type="paragraph" w:styleId="Heading2">
    <w:name w:val="heading 2"/>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C06EDD"/>
    <w:pPr>
      <w:numPr>
        <w:numId w:val="5"/>
      </w:numPr>
      <w:outlineLvl w:val="0"/>
    </w:pPr>
    <w:rPr>
      <w:rFonts w:asciiTheme="minorHAnsi" w:hAnsiTheme="minorHAnsi" w:cs="Arial"/>
      <w:b/>
      <w:snapToGrid w:val="0"/>
      <w:sz w:val="32"/>
      <w:szCs w:val="22"/>
      <w:lang w:eastAsia="en-US"/>
    </w:rPr>
  </w:style>
  <w:style w:type="paragraph" w:styleId="Revision">
    <w:name w:val="Revision"/>
    <w:hidden/>
    <w:uiPriority w:val="71"/>
    <w:rsid w:val="001D3EB1"/>
    <w:rPr>
      <w:sz w:val="24"/>
      <w:szCs w:val="24"/>
    </w:rPr>
  </w:style>
  <w:style w:type="paragraph" w:styleId="FootnoteText">
    <w:name w:val="footnote text"/>
    <w:basedOn w:val="Normal"/>
    <w:link w:val="FootnoteTextChar"/>
    <w:rsid w:val="001D3EB1"/>
    <w:rPr>
      <w:sz w:val="20"/>
      <w:szCs w:val="20"/>
    </w:rPr>
  </w:style>
  <w:style w:type="character" w:customStyle="1" w:styleId="FootnoteTextChar">
    <w:name w:val="Footnote Text Char"/>
    <w:basedOn w:val="DefaultParagraphFont"/>
    <w:link w:val="FootnoteText"/>
    <w:rsid w:val="001D3EB1"/>
  </w:style>
  <w:style w:type="character" w:styleId="FootnoteReference">
    <w:name w:val="footnote reference"/>
    <w:basedOn w:val="DefaultParagraphFont"/>
    <w:rsid w:val="001D3EB1"/>
    <w:rPr>
      <w:vertAlign w:val="superscript"/>
    </w:rPr>
  </w:style>
  <w:style w:type="paragraph" w:customStyle="1" w:styleId="Default">
    <w:name w:val="Default"/>
    <w:rsid w:val="001D3EB1"/>
    <w:pPr>
      <w:autoSpaceDE w:val="0"/>
      <w:autoSpaceDN w:val="0"/>
      <w:adjustRightInd w:val="0"/>
    </w:pPr>
    <w:rPr>
      <w:rFonts w:ascii="Calibri" w:hAnsi="Calibri" w:cs="Calibri"/>
      <w:color w:val="000000"/>
      <w:sz w:val="24"/>
      <w:szCs w:val="24"/>
    </w:rPr>
  </w:style>
  <w:style w:type="character" w:customStyle="1" w:styleId="Heading2Char">
    <w:name w:val="Heading 2 Char"/>
    <w:basedOn w:val="DefaultParagraphFont"/>
    <w:link w:val="Heading2"/>
    <w:uiPriority w:val="1"/>
    <w:rsid w:val="00616B86"/>
    <w:rPr>
      <w:rFonts w:ascii="Arial" w:hAnsi="Arial"/>
      <w:b/>
      <w:i/>
      <w:sz w:val="22"/>
      <w:szCs w:val="24"/>
    </w:rPr>
  </w:style>
  <w:style w:type="paragraph" w:styleId="Caption">
    <w:name w:val="caption"/>
    <w:basedOn w:val="Normal"/>
    <w:next w:val="Normal"/>
    <w:unhideWhenUsed/>
    <w:qFormat/>
    <w:rsid w:val="00337D06"/>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1"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annotation reference" w:uiPriority="99"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paragraph" w:styleId="Heading1">
    <w:name w:val="heading 1"/>
    <w:basedOn w:val="ListParagraph"/>
    <w:next w:val="Normal"/>
    <w:qFormat/>
    <w:rsid w:val="00C603D4"/>
    <w:pPr>
      <w:numPr>
        <w:numId w:val="13"/>
      </w:numPr>
      <w:tabs>
        <w:tab w:val="clear" w:pos="643"/>
      </w:tabs>
      <w:ind w:left="720" w:hanging="720"/>
      <w:outlineLvl w:val="0"/>
    </w:pPr>
    <w:rPr>
      <w:b/>
      <w:szCs w:val="22"/>
    </w:rPr>
  </w:style>
  <w:style w:type="paragraph" w:styleId="Heading2">
    <w:name w:val="heading 2"/>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C06EDD"/>
    <w:pPr>
      <w:numPr>
        <w:numId w:val="5"/>
      </w:numPr>
      <w:outlineLvl w:val="0"/>
    </w:pPr>
    <w:rPr>
      <w:rFonts w:asciiTheme="minorHAnsi" w:hAnsiTheme="minorHAnsi" w:cs="Arial"/>
      <w:b/>
      <w:snapToGrid w:val="0"/>
      <w:sz w:val="32"/>
      <w:szCs w:val="22"/>
      <w:lang w:eastAsia="en-US"/>
    </w:rPr>
  </w:style>
  <w:style w:type="paragraph" w:styleId="Revision">
    <w:name w:val="Revision"/>
    <w:hidden/>
    <w:uiPriority w:val="71"/>
    <w:rsid w:val="001D3EB1"/>
    <w:rPr>
      <w:sz w:val="24"/>
      <w:szCs w:val="24"/>
    </w:rPr>
  </w:style>
  <w:style w:type="paragraph" w:styleId="FootnoteText">
    <w:name w:val="footnote text"/>
    <w:basedOn w:val="Normal"/>
    <w:link w:val="FootnoteTextChar"/>
    <w:rsid w:val="001D3EB1"/>
    <w:rPr>
      <w:sz w:val="20"/>
      <w:szCs w:val="20"/>
    </w:rPr>
  </w:style>
  <w:style w:type="character" w:customStyle="1" w:styleId="FootnoteTextChar">
    <w:name w:val="Footnote Text Char"/>
    <w:basedOn w:val="DefaultParagraphFont"/>
    <w:link w:val="FootnoteText"/>
    <w:rsid w:val="001D3EB1"/>
  </w:style>
  <w:style w:type="character" w:styleId="FootnoteReference">
    <w:name w:val="footnote reference"/>
    <w:basedOn w:val="DefaultParagraphFont"/>
    <w:rsid w:val="001D3EB1"/>
    <w:rPr>
      <w:vertAlign w:val="superscript"/>
    </w:rPr>
  </w:style>
  <w:style w:type="paragraph" w:customStyle="1" w:styleId="Default">
    <w:name w:val="Default"/>
    <w:rsid w:val="001D3EB1"/>
    <w:pPr>
      <w:autoSpaceDE w:val="0"/>
      <w:autoSpaceDN w:val="0"/>
      <w:adjustRightInd w:val="0"/>
    </w:pPr>
    <w:rPr>
      <w:rFonts w:ascii="Calibri" w:hAnsi="Calibri" w:cs="Calibri"/>
      <w:color w:val="000000"/>
      <w:sz w:val="24"/>
      <w:szCs w:val="24"/>
    </w:rPr>
  </w:style>
  <w:style w:type="character" w:customStyle="1" w:styleId="Heading2Char">
    <w:name w:val="Heading 2 Char"/>
    <w:basedOn w:val="DefaultParagraphFont"/>
    <w:link w:val="Heading2"/>
    <w:uiPriority w:val="1"/>
    <w:rsid w:val="00616B86"/>
    <w:rPr>
      <w:rFonts w:ascii="Arial" w:hAnsi="Arial"/>
      <w:b/>
      <w:i/>
      <w:sz w:val="22"/>
      <w:szCs w:val="24"/>
    </w:rPr>
  </w:style>
  <w:style w:type="paragraph" w:styleId="Caption">
    <w:name w:val="caption"/>
    <w:basedOn w:val="Normal"/>
    <w:next w:val="Normal"/>
    <w:unhideWhenUsed/>
    <w:qFormat/>
    <w:rsid w:val="00337D06"/>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842742823">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85AC1-9919-44B9-BA47-F25DC500F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1564</Words>
  <Characters>8785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2017-10-09T22:56:00Z</dcterms:created>
  <dcterms:modified xsi:type="dcterms:W3CDTF">2017-10-09T22:57:00Z</dcterms:modified>
</cp:coreProperties>
</file>