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01" w:rsidRPr="006D49EC" w:rsidRDefault="00731A01" w:rsidP="00731A01">
      <w:pPr>
        <w:rPr>
          <w:szCs w:val="22"/>
        </w:rPr>
      </w:pPr>
      <w:bookmarkStart w:id="0" w:name="_GoBack"/>
      <w:bookmarkEnd w:id="0"/>
    </w:p>
    <w:p w:rsidR="00F277AF" w:rsidRPr="006D49EC" w:rsidRDefault="00680B25" w:rsidP="00E907D1">
      <w:pPr>
        <w:pStyle w:val="Heading1"/>
        <w:widowControl/>
        <w:ind w:left="1134" w:hanging="1134"/>
        <w:jc w:val="left"/>
      </w:pPr>
      <w:r w:rsidRPr="006D49EC">
        <w:t>5.06</w:t>
      </w:r>
      <w:r w:rsidR="00DD48DB" w:rsidRPr="006D49EC">
        <w:tab/>
      </w:r>
      <w:r w:rsidRPr="006D49EC">
        <w:t>GUANFACINE</w:t>
      </w:r>
      <w:r w:rsidR="00DD48DB" w:rsidRPr="006D49EC">
        <w:t>,</w:t>
      </w:r>
      <w:r w:rsidR="00DD48DB" w:rsidRPr="006D49EC">
        <w:br/>
      </w:r>
      <w:r w:rsidR="000479F1" w:rsidRPr="006D49EC">
        <w:t>Tablet containing guanfacine hydrochloride 1 mg</w:t>
      </w:r>
      <w:r w:rsidR="004360ED" w:rsidRPr="006D49EC">
        <w:t>, 2 </w:t>
      </w:r>
      <w:r w:rsidR="000479F1" w:rsidRPr="006D49EC">
        <w:t>mg, 3 mg and 4 mg</w:t>
      </w:r>
      <w:r w:rsidR="00DD48DB" w:rsidRPr="006D49EC">
        <w:t xml:space="preserve">, </w:t>
      </w:r>
      <w:r w:rsidR="00DD48DB" w:rsidRPr="006D49EC">
        <w:br/>
      </w:r>
      <w:r w:rsidRPr="006D49EC">
        <w:t>Intuniv</w:t>
      </w:r>
      <w:r w:rsidR="00DD48DB" w:rsidRPr="006D49EC">
        <w:t xml:space="preserve">®, </w:t>
      </w:r>
      <w:r w:rsidR="00A34E4E" w:rsidRPr="006D49EC">
        <w:br/>
      </w:r>
      <w:r w:rsidRPr="006D49EC">
        <w:t>Shire Australia</w:t>
      </w:r>
      <w:r w:rsidR="00A34E4E" w:rsidRPr="006D49EC">
        <w:t xml:space="preserve"> Pty Limited</w:t>
      </w:r>
      <w:bookmarkStart w:id="1" w:name="_Toc476306880"/>
      <w:bookmarkStart w:id="2" w:name="_Toc480313621"/>
    </w:p>
    <w:p w:rsidR="00DD48DB" w:rsidRPr="006D49EC" w:rsidRDefault="00DD48DB" w:rsidP="00E907D1">
      <w:pPr>
        <w:pStyle w:val="Heading2"/>
      </w:pPr>
      <w:bookmarkStart w:id="3" w:name="_Toc413139271"/>
      <w:bookmarkStart w:id="4" w:name="_Toc476306881"/>
      <w:bookmarkStart w:id="5" w:name="_Toc480313622"/>
      <w:bookmarkEnd w:id="1"/>
      <w:bookmarkEnd w:id="2"/>
      <w:r w:rsidRPr="006D49EC">
        <w:t>Purpose of Application</w:t>
      </w:r>
      <w:bookmarkEnd w:id="3"/>
      <w:bookmarkEnd w:id="4"/>
      <w:bookmarkEnd w:id="5"/>
    </w:p>
    <w:p w:rsidR="00DD48DB" w:rsidRPr="006D49EC" w:rsidRDefault="00DD48DB" w:rsidP="00E907D1">
      <w:pPr>
        <w:pStyle w:val="ListParagraph"/>
        <w:widowControl/>
        <w:numPr>
          <w:ilvl w:val="1"/>
          <w:numId w:val="2"/>
        </w:numPr>
        <w:contextualSpacing w:val="0"/>
      </w:pPr>
      <w:r w:rsidRPr="006D49EC">
        <w:t xml:space="preserve">Authority Required listing for </w:t>
      </w:r>
      <w:r w:rsidR="00680B25" w:rsidRPr="006D49EC">
        <w:t xml:space="preserve">guanfacine </w:t>
      </w:r>
      <w:r w:rsidRPr="006D49EC">
        <w:t xml:space="preserve">for </w:t>
      </w:r>
      <w:r w:rsidRPr="006D49EC">
        <w:rPr>
          <w:rFonts w:asciiTheme="minorHAnsi" w:hAnsiTheme="minorHAnsi"/>
        </w:rPr>
        <w:t>treatment</w:t>
      </w:r>
      <w:r w:rsidRPr="006D49EC">
        <w:t xml:space="preserve"> of </w:t>
      </w:r>
      <w:r w:rsidR="00680B25" w:rsidRPr="006D49EC">
        <w:t>attention deficit hyperactivity disorder (ADHD) in those who are (i) contraindicated to stimulants (used as monotherapy), (ii) intolerant to stimulants (used as monotherapy) and (iii) failing to achieve an adequate response to stimulants (used as monotherapy or as adjunctive therapy with stimulants).</w:t>
      </w:r>
    </w:p>
    <w:p w:rsidR="005C150C" w:rsidRPr="006D49EC" w:rsidRDefault="005C150C" w:rsidP="00E907D1">
      <w:pPr>
        <w:pStyle w:val="ListParagraph"/>
        <w:widowControl/>
        <w:numPr>
          <w:ilvl w:val="1"/>
          <w:numId w:val="2"/>
        </w:numPr>
        <w:contextualSpacing w:val="0"/>
      </w:pPr>
      <w:r w:rsidRPr="006D49EC">
        <w:t>Table 1 presents the key components of the clinical issue addressed by the submission.</w:t>
      </w:r>
    </w:p>
    <w:p w:rsidR="00FB5D14" w:rsidRPr="006D49EC" w:rsidRDefault="00FB5D14" w:rsidP="00E907D1">
      <w:pPr>
        <w:pStyle w:val="Caption"/>
      </w:pPr>
      <w:r w:rsidRPr="006D49EC">
        <w:t xml:space="preserve">Table </w:t>
      </w:r>
      <w:r w:rsidR="00ED75E6" w:rsidRPr="006D49EC">
        <w:t>1</w:t>
      </w:r>
      <w:r w:rsidRPr="006D49EC">
        <w:t>: Key components of the clinical issue addressed by the submission</w:t>
      </w:r>
    </w:p>
    <w:tbl>
      <w:tblPr>
        <w:tblStyle w:val="TableGrid"/>
        <w:tblW w:w="0" w:type="auto"/>
        <w:tblLook w:val="04A0" w:firstRow="1" w:lastRow="0" w:firstColumn="1" w:lastColumn="0" w:noHBand="0" w:noVBand="1"/>
        <w:tblCaption w:val="Table 1: Key components of the clinical issue addressed by the submission"/>
        <w:tblDescription w:val="Summary of key components of the clinical issue the submission addresses."/>
      </w:tblPr>
      <w:tblGrid>
        <w:gridCol w:w="1696"/>
        <w:gridCol w:w="7320"/>
      </w:tblGrid>
      <w:tr w:rsidR="00DD48DB" w:rsidRPr="006D49EC" w:rsidTr="00023CAE">
        <w:trPr>
          <w:cantSplit/>
          <w:tblHeader/>
        </w:trPr>
        <w:tc>
          <w:tcPr>
            <w:tcW w:w="1696" w:type="dxa"/>
            <w:shd w:val="clear" w:color="auto" w:fill="auto"/>
          </w:tcPr>
          <w:p w:rsidR="00DD48DB" w:rsidRPr="006D49EC" w:rsidRDefault="00DD48DB" w:rsidP="00E907D1">
            <w:pPr>
              <w:pStyle w:val="TableText1"/>
              <w:rPr>
                <w:b/>
              </w:rPr>
            </w:pPr>
            <w:r w:rsidRPr="006D49EC">
              <w:rPr>
                <w:b/>
              </w:rPr>
              <w:t>Component</w:t>
            </w:r>
          </w:p>
        </w:tc>
        <w:tc>
          <w:tcPr>
            <w:tcW w:w="7320" w:type="dxa"/>
            <w:shd w:val="clear" w:color="auto" w:fill="auto"/>
          </w:tcPr>
          <w:p w:rsidR="00DD48DB" w:rsidRPr="006D49EC" w:rsidRDefault="00DD48DB" w:rsidP="00E907D1">
            <w:pPr>
              <w:pStyle w:val="TableText1"/>
              <w:rPr>
                <w:b/>
              </w:rPr>
            </w:pPr>
            <w:r w:rsidRPr="006D49EC">
              <w:rPr>
                <w:b/>
              </w:rPr>
              <w:t>Description</w:t>
            </w:r>
          </w:p>
        </w:tc>
      </w:tr>
      <w:tr w:rsidR="00DD48DB" w:rsidRPr="006D49EC" w:rsidTr="00023CAE">
        <w:trPr>
          <w:cantSplit/>
        </w:trPr>
        <w:tc>
          <w:tcPr>
            <w:tcW w:w="1696" w:type="dxa"/>
            <w:shd w:val="clear" w:color="auto" w:fill="auto"/>
          </w:tcPr>
          <w:p w:rsidR="00DD48DB" w:rsidRPr="006D49EC" w:rsidRDefault="00DD48DB" w:rsidP="00E907D1">
            <w:pPr>
              <w:pStyle w:val="TableText1"/>
            </w:pPr>
            <w:r w:rsidRPr="006D49EC">
              <w:t>Population</w:t>
            </w:r>
          </w:p>
        </w:tc>
        <w:tc>
          <w:tcPr>
            <w:tcW w:w="7320" w:type="dxa"/>
            <w:shd w:val="clear" w:color="auto" w:fill="auto"/>
          </w:tcPr>
          <w:p w:rsidR="00DD48DB" w:rsidRPr="006D49EC" w:rsidRDefault="00680B25" w:rsidP="007073AF">
            <w:pPr>
              <w:pStyle w:val="TableText1"/>
            </w:pPr>
            <w:r w:rsidRPr="006D49EC">
              <w:t xml:space="preserve">Attention deficit hyperactivity disorder (ADHD) in those who are (i) contraindicated to stimulants, (ii) intolerant to stimulants </w:t>
            </w:r>
            <w:r w:rsidR="008039A0" w:rsidRPr="006D49EC">
              <w:t xml:space="preserve">or </w:t>
            </w:r>
            <w:r w:rsidRPr="006D49EC">
              <w:t>(iii) failing to achieve an adequate response to stimulants. Aged 6-1</w:t>
            </w:r>
            <w:r w:rsidR="00B56789" w:rsidRPr="006D49EC">
              <w:t>8</w:t>
            </w:r>
            <w:r w:rsidRPr="006D49EC">
              <w:t xml:space="preserve"> years inclusive.</w:t>
            </w:r>
            <w:r w:rsidR="003A4748" w:rsidRPr="006D49EC">
              <w:t xml:space="preserve"> </w:t>
            </w:r>
          </w:p>
        </w:tc>
      </w:tr>
      <w:tr w:rsidR="00DD48DB" w:rsidRPr="006D49EC" w:rsidTr="00023CAE">
        <w:trPr>
          <w:cantSplit/>
        </w:trPr>
        <w:tc>
          <w:tcPr>
            <w:tcW w:w="1696" w:type="dxa"/>
            <w:shd w:val="clear" w:color="auto" w:fill="auto"/>
          </w:tcPr>
          <w:p w:rsidR="00DD48DB" w:rsidRPr="006D49EC" w:rsidRDefault="00DD48DB" w:rsidP="00E907D1">
            <w:pPr>
              <w:pStyle w:val="TableText1"/>
            </w:pPr>
            <w:r w:rsidRPr="006D49EC">
              <w:t>Intervention</w:t>
            </w:r>
          </w:p>
        </w:tc>
        <w:tc>
          <w:tcPr>
            <w:tcW w:w="7320" w:type="dxa"/>
            <w:shd w:val="clear" w:color="auto" w:fill="auto"/>
          </w:tcPr>
          <w:p w:rsidR="00DD48DB" w:rsidRPr="006D49EC" w:rsidRDefault="00680B25" w:rsidP="00E907D1">
            <w:pPr>
              <w:pStyle w:val="TableText1"/>
            </w:pPr>
            <w:r w:rsidRPr="006D49EC">
              <w:t>Guanfacine to be used as monotherapy in all three populations listed above and as adjunctive therapy to stimulants in those failing to achieve an adequate response to stimulants</w:t>
            </w:r>
          </w:p>
        </w:tc>
      </w:tr>
      <w:tr w:rsidR="00DD48DB" w:rsidRPr="006D49EC" w:rsidTr="00023CAE">
        <w:trPr>
          <w:cantSplit/>
        </w:trPr>
        <w:tc>
          <w:tcPr>
            <w:tcW w:w="1696" w:type="dxa"/>
            <w:shd w:val="clear" w:color="auto" w:fill="auto"/>
          </w:tcPr>
          <w:p w:rsidR="00DD48DB" w:rsidRPr="006D49EC" w:rsidRDefault="00DD48DB" w:rsidP="00E907D1">
            <w:pPr>
              <w:pStyle w:val="TableText1"/>
            </w:pPr>
            <w:r w:rsidRPr="006D49EC">
              <w:t>Comparator</w:t>
            </w:r>
          </w:p>
        </w:tc>
        <w:tc>
          <w:tcPr>
            <w:tcW w:w="7320" w:type="dxa"/>
            <w:shd w:val="clear" w:color="auto" w:fill="auto"/>
          </w:tcPr>
          <w:p w:rsidR="00DD48DB" w:rsidRPr="006D49EC" w:rsidRDefault="00680B25" w:rsidP="00E907D1">
            <w:pPr>
              <w:pStyle w:val="TableText1"/>
            </w:pPr>
            <w:r w:rsidRPr="006D49EC">
              <w:t>Atomoxetine for those who are (i) contraindicated or (ii) intolerant to stimulants</w:t>
            </w:r>
            <w:r w:rsidR="00A1708C" w:rsidRPr="006D49EC">
              <w:t>;</w:t>
            </w:r>
            <w:r w:rsidRPr="006D49EC">
              <w:t xml:space="preserve"> and </w:t>
            </w:r>
          </w:p>
          <w:p w:rsidR="00680B25" w:rsidRPr="006D49EC" w:rsidRDefault="00680B25" w:rsidP="00E907D1">
            <w:pPr>
              <w:pStyle w:val="TableText1"/>
            </w:pPr>
            <w:r w:rsidRPr="006D49EC">
              <w:t>Placebo for no treatment for those who are (iii) failing to achieve an adequate response to stimulants. Clonidine was nominated as a secondary comparator for this population.</w:t>
            </w:r>
          </w:p>
        </w:tc>
      </w:tr>
      <w:tr w:rsidR="00DD48DB" w:rsidRPr="006D49EC" w:rsidTr="00023CAE">
        <w:trPr>
          <w:cantSplit/>
        </w:trPr>
        <w:tc>
          <w:tcPr>
            <w:tcW w:w="1696" w:type="dxa"/>
            <w:shd w:val="clear" w:color="auto" w:fill="auto"/>
          </w:tcPr>
          <w:p w:rsidR="00DD48DB" w:rsidRPr="006D49EC" w:rsidRDefault="00DD48DB" w:rsidP="00E907D1">
            <w:pPr>
              <w:pStyle w:val="TableText1"/>
            </w:pPr>
            <w:r w:rsidRPr="006D49EC">
              <w:t>Outcomes</w:t>
            </w:r>
          </w:p>
        </w:tc>
        <w:tc>
          <w:tcPr>
            <w:tcW w:w="7320" w:type="dxa"/>
            <w:shd w:val="clear" w:color="auto" w:fill="auto"/>
          </w:tcPr>
          <w:p w:rsidR="00DD48DB" w:rsidRPr="006D49EC" w:rsidRDefault="00680B25" w:rsidP="00E907D1">
            <w:pPr>
              <w:pStyle w:val="TableText1"/>
            </w:pPr>
            <w:r w:rsidRPr="006D49EC">
              <w:t>Change in ADHD-RS-IV total score from baseline to endpoint</w:t>
            </w:r>
          </w:p>
          <w:p w:rsidR="00680B25" w:rsidRPr="006D49EC" w:rsidRDefault="00680B25" w:rsidP="00E907D1">
            <w:pPr>
              <w:pStyle w:val="TableText1"/>
            </w:pPr>
            <w:r w:rsidRPr="006D49EC">
              <w:t xml:space="preserve">Responder rates (differentially defined in the trials as a ADHD-RS-IV total score reduction of </w:t>
            </w:r>
            <w:r w:rsidR="000D7E24" w:rsidRPr="006D49EC">
              <w:t>≥30% and CGI-I</w:t>
            </w:r>
            <w:r w:rsidRPr="006D49EC">
              <w:t xml:space="preserve"> </w:t>
            </w:r>
            <w:r w:rsidR="000D7E24" w:rsidRPr="006D49EC">
              <w:t>≤</w:t>
            </w:r>
            <w:r w:rsidRPr="006D49EC">
              <w:t>2 or ADHD-RS-IV total score reduction of ≥25%)</w:t>
            </w:r>
          </w:p>
          <w:p w:rsidR="00680B25" w:rsidRPr="006D49EC" w:rsidRDefault="00680B25" w:rsidP="00E907D1">
            <w:pPr>
              <w:pStyle w:val="TableText1"/>
            </w:pPr>
            <w:r w:rsidRPr="006D49EC">
              <w:t>Symptomatic remission (defined as ADHD-RS-IV total score ≤18)</w:t>
            </w:r>
          </w:p>
          <w:p w:rsidR="00680B25" w:rsidRPr="006D49EC" w:rsidRDefault="00680B25" w:rsidP="00E907D1">
            <w:pPr>
              <w:pStyle w:val="TableText1"/>
            </w:pPr>
            <w:r w:rsidRPr="006D49EC">
              <w:t>Syndromal remission (</w:t>
            </w:r>
            <w:r w:rsidR="000D7E24" w:rsidRPr="006D49EC">
              <w:t>ADHD-RS-IV total score ≤18 AND CGI-S ≤2)</w:t>
            </w:r>
          </w:p>
        </w:tc>
      </w:tr>
      <w:tr w:rsidR="00DD48DB" w:rsidRPr="006D49EC" w:rsidTr="00023CAE">
        <w:trPr>
          <w:cantSplit/>
        </w:trPr>
        <w:tc>
          <w:tcPr>
            <w:tcW w:w="1696" w:type="dxa"/>
            <w:shd w:val="clear" w:color="auto" w:fill="auto"/>
          </w:tcPr>
          <w:p w:rsidR="00DD48DB" w:rsidRPr="006D49EC" w:rsidRDefault="00DD48DB" w:rsidP="00E907D1">
            <w:pPr>
              <w:pStyle w:val="TableText1"/>
            </w:pPr>
            <w:r w:rsidRPr="006D49EC">
              <w:t>Clinical claim</w:t>
            </w:r>
          </w:p>
        </w:tc>
        <w:tc>
          <w:tcPr>
            <w:tcW w:w="7320" w:type="dxa"/>
            <w:shd w:val="clear" w:color="auto" w:fill="auto"/>
          </w:tcPr>
          <w:p w:rsidR="00DD48DB" w:rsidRPr="006D49EC" w:rsidRDefault="000D7E24" w:rsidP="00E907D1">
            <w:pPr>
              <w:pStyle w:val="TableText1"/>
              <w:rPr>
                <w:u w:val="single"/>
              </w:rPr>
            </w:pPr>
            <w:r w:rsidRPr="006D49EC">
              <w:rPr>
                <w:u w:val="single"/>
              </w:rPr>
              <w:t>Contraindicated/intolerant to stimulants</w:t>
            </w:r>
          </w:p>
          <w:p w:rsidR="003A1CD9" w:rsidRPr="006D49EC" w:rsidRDefault="000D7E24" w:rsidP="00E907D1">
            <w:pPr>
              <w:pStyle w:val="TableText1"/>
            </w:pPr>
            <w:r w:rsidRPr="006D49EC">
              <w:t xml:space="preserve">The submission </w:t>
            </w:r>
            <w:r w:rsidR="003A4748" w:rsidRPr="006D49EC">
              <w:t xml:space="preserve">described guanfacine as superior in terms of comparative effectiveness and as “having a trend towards [comparative] inferior safety” over atomoxetine in patients who are “contraindicated to stimulant therapy or are switching to guanfacine monotherapy due to poor tolerability”. </w:t>
            </w:r>
          </w:p>
          <w:p w:rsidR="003A1CD9" w:rsidRPr="006D49EC" w:rsidRDefault="003A1CD9" w:rsidP="00E907D1">
            <w:pPr>
              <w:pStyle w:val="TableText1"/>
              <w:rPr>
                <w:u w:val="single"/>
              </w:rPr>
            </w:pPr>
            <w:r w:rsidRPr="006D49EC">
              <w:rPr>
                <w:u w:val="single"/>
              </w:rPr>
              <w:t>Failing to achieve an adequate response to stimulants</w:t>
            </w:r>
          </w:p>
          <w:p w:rsidR="003A4748" w:rsidRPr="006D49EC" w:rsidRDefault="003A4748" w:rsidP="007073AF">
            <w:pPr>
              <w:pStyle w:val="TableText1"/>
            </w:pPr>
            <w:r w:rsidRPr="006D49EC">
              <w:t xml:space="preserve">The submission described guanfacine in combination with stimulant therapy as superior in terms of comparative effectiveness and inferior in terms of comparative safety over placebo in combination with stimulant therapy in patients who “intend to support the use of guanfacine as add-on therapy in patients who have an unsatisfactory response on optimal stimulant therapy”. </w:t>
            </w:r>
          </w:p>
        </w:tc>
      </w:tr>
    </w:tbl>
    <w:p w:rsidR="00DD48DB" w:rsidRPr="006D49EC" w:rsidRDefault="00C03ECC" w:rsidP="00E907D1">
      <w:pPr>
        <w:pStyle w:val="TableFooter"/>
        <w:widowControl/>
        <w:spacing w:after="120"/>
      </w:pPr>
      <w:r w:rsidRPr="006D49EC">
        <w:t>ADHD-RS-IV=</w:t>
      </w:r>
      <w:r w:rsidR="00377631" w:rsidRPr="006D49EC">
        <w:t xml:space="preserve"> attention deficit hyperactivity disorder rating scale IV</w:t>
      </w:r>
      <w:r w:rsidRPr="006D49EC">
        <w:t>; CGI-I=Clinical Global Impression - Improvement; CGI-S=Clinical Global Impression - Severity of Illness</w:t>
      </w:r>
      <w:r w:rsidR="00377631" w:rsidRPr="006D49EC">
        <w:t xml:space="preserve">. </w:t>
      </w:r>
      <w:r w:rsidR="00DD48DB" w:rsidRPr="006D49EC">
        <w:t xml:space="preserve">Source: </w:t>
      </w:r>
      <w:r w:rsidR="003A4748" w:rsidRPr="006D49EC">
        <w:t>compiled during the evaluation</w:t>
      </w:r>
    </w:p>
    <w:p w:rsidR="003A4748" w:rsidRPr="006D49EC" w:rsidRDefault="003A4748" w:rsidP="00E907D1">
      <w:pPr>
        <w:pStyle w:val="ListParagraph"/>
        <w:widowControl/>
        <w:numPr>
          <w:ilvl w:val="1"/>
          <w:numId w:val="2"/>
        </w:numPr>
        <w:contextualSpacing w:val="0"/>
      </w:pPr>
      <w:r w:rsidRPr="006D49EC">
        <w:lastRenderedPageBreak/>
        <w:t xml:space="preserve">The claim of superior comparative effectiveness of guanfacine versus atomoxetine </w:t>
      </w:r>
      <w:r w:rsidR="00032D94" w:rsidRPr="006D49EC">
        <w:t xml:space="preserve">and guanfacine + long-acting stimulants versus placebo + long-acting stimulants </w:t>
      </w:r>
      <w:r w:rsidRPr="006D49EC">
        <w:t>require</w:t>
      </w:r>
      <w:r w:rsidR="008039A0" w:rsidRPr="006D49EC">
        <w:t>s</w:t>
      </w:r>
      <w:r w:rsidRPr="006D49EC">
        <w:t xml:space="preserve"> consideration as although a statistically significant difference in the change in total ADHD-RS-IV scores w</w:t>
      </w:r>
      <w:r w:rsidR="00032D94" w:rsidRPr="006D49EC">
        <w:t>ere</w:t>
      </w:r>
      <w:r w:rsidRPr="006D49EC">
        <w:t xml:space="preserve"> observed:</w:t>
      </w:r>
    </w:p>
    <w:p w:rsidR="003A4748" w:rsidRPr="006D49EC" w:rsidRDefault="003A4748" w:rsidP="00FB647A">
      <w:pPr>
        <w:pStyle w:val="ListParagraph"/>
        <w:widowControl/>
        <w:numPr>
          <w:ilvl w:val="0"/>
          <w:numId w:val="8"/>
        </w:numPr>
        <w:spacing w:after="0"/>
        <w:ind w:left="993" w:hanging="284"/>
        <w:contextualSpacing w:val="0"/>
      </w:pPr>
      <w:r w:rsidRPr="006D49EC">
        <w:t>The comparison of guanfacine and atomoxetine was a p</w:t>
      </w:r>
      <w:r w:rsidR="00032D94" w:rsidRPr="006D49EC">
        <w:t>o</w:t>
      </w:r>
      <w:r w:rsidRPr="006D49EC">
        <w:t>st-hoc comparison of the trial; and</w:t>
      </w:r>
    </w:p>
    <w:p w:rsidR="00FB5D14" w:rsidRPr="006D49EC" w:rsidRDefault="00F1778E" w:rsidP="00FB647A">
      <w:pPr>
        <w:pStyle w:val="ListParagraph"/>
        <w:widowControl/>
        <w:numPr>
          <w:ilvl w:val="0"/>
          <w:numId w:val="8"/>
        </w:numPr>
        <w:ind w:left="993" w:hanging="284"/>
        <w:contextualSpacing w:val="0"/>
      </w:pPr>
      <w:r>
        <w:t>N</w:t>
      </w:r>
      <w:r w:rsidR="003A4748" w:rsidRPr="006D49EC">
        <w:t xml:space="preserve">o </w:t>
      </w:r>
      <w:r w:rsidR="00032D94" w:rsidRPr="006D49EC">
        <w:t>minimally clinically important differences (</w:t>
      </w:r>
      <w:r w:rsidR="003A4748" w:rsidRPr="006D49EC">
        <w:t>MCIDs</w:t>
      </w:r>
      <w:r w:rsidR="00032D94" w:rsidRPr="006D49EC">
        <w:t>)</w:t>
      </w:r>
      <w:r w:rsidR="003A4748" w:rsidRPr="006D49EC">
        <w:t xml:space="preserve"> have been validated for between treatment changes in ADHD-RS-IV total scores</w:t>
      </w:r>
      <w:r w:rsidR="00E45C1C">
        <w:t xml:space="preserve"> (ie </w:t>
      </w:r>
      <w:r w:rsidR="00E45C1C" w:rsidRPr="00E45C1C">
        <w:rPr>
          <w:lang w:val="en-US"/>
        </w:rPr>
        <w:t>the minimum difference between two treatments that can be considered clinically relevant</w:t>
      </w:r>
      <w:r w:rsidR="00E45C1C">
        <w:rPr>
          <w:lang w:val="en-US"/>
        </w:rPr>
        <w:t>)</w:t>
      </w:r>
      <w:r>
        <w:t>.</w:t>
      </w:r>
      <w:r w:rsidR="00883E74" w:rsidRPr="006D49EC">
        <w:t xml:space="preserve"> The ESC noted, however, that the submission adopted </w:t>
      </w:r>
      <w:r w:rsidR="00E45C1C" w:rsidRPr="006D49EC">
        <w:rPr>
          <w:rFonts w:asciiTheme="minorHAnsi" w:hAnsiTheme="minorHAnsi"/>
        </w:rPr>
        <w:t xml:space="preserve">an assumption of non-inferiority </w:t>
      </w:r>
      <w:r w:rsidR="00706BBD" w:rsidRPr="006D49EC">
        <w:rPr>
          <w:rFonts w:asciiTheme="minorHAnsi" w:hAnsiTheme="minorHAnsi"/>
        </w:rPr>
        <w:t>in taking a cost-minimisation</w:t>
      </w:r>
      <w:r w:rsidR="00706BBD" w:rsidRPr="006D49EC" w:rsidDel="00706BBD">
        <w:t xml:space="preserve"> </w:t>
      </w:r>
      <w:r w:rsidR="00883E74" w:rsidRPr="006D49EC">
        <w:t>approach to atomoxetine for patients contraindicated or intolerant to stimulants.</w:t>
      </w:r>
    </w:p>
    <w:p w:rsidR="006A62DB" w:rsidRDefault="006A62DB" w:rsidP="006A62DB">
      <w:pPr>
        <w:pStyle w:val="PBACHeading1"/>
        <w:numPr>
          <w:ilvl w:val="0"/>
          <w:numId w:val="0"/>
        </w:numPr>
        <w:ind w:left="720" w:hanging="720"/>
        <w:rPr>
          <w:b w:val="0"/>
          <w:i/>
        </w:rPr>
      </w:pPr>
      <w:r w:rsidRPr="006D49EC">
        <w:rPr>
          <w:b w:val="0"/>
          <w:i/>
        </w:rPr>
        <w:t>For more detail on PBAC’s view, see section 7 “PBAC outcome”</w:t>
      </w:r>
    </w:p>
    <w:p w:rsidR="006678DA" w:rsidRDefault="006678DA" w:rsidP="006A62DB">
      <w:pPr>
        <w:pStyle w:val="PBACHeading1"/>
        <w:numPr>
          <w:ilvl w:val="0"/>
          <w:numId w:val="0"/>
        </w:numPr>
        <w:ind w:left="720" w:hanging="720"/>
        <w:rPr>
          <w:b w:val="0"/>
          <w:i/>
        </w:rPr>
      </w:pPr>
    </w:p>
    <w:p w:rsidR="006678DA" w:rsidRPr="006D49EC" w:rsidRDefault="006678DA" w:rsidP="006A62DB">
      <w:pPr>
        <w:pStyle w:val="PBACHeading1"/>
        <w:numPr>
          <w:ilvl w:val="0"/>
          <w:numId w:val="0"/>
        </w:numPr>
        <w:ind w:left="720" w:hanging="720"/>
        <w:rPr>
          <w:b w:val="0"/>
        </w:rPr>
      </w:pPr>
    </w:p>
    <w:p w:rsidR="00DD48DB" w:rsidRPr="00CF0A88" w:rsidRDefault="00DD48DB" w:rsidP="00E907D1">
      <w:pPr>
        <w:pStyle w:val="Heading2"/>
      </w:pPr>
      <w:bookmarkStart w:id="6" w:name="_Toc413139272"/>
      <w:bookmarkStart w:id="7" w:name="_Toc476306882"/>
      <w:bookmarkStart w:id="8" w:name="_Toc480313623"/>
      <w:r w:rsidRPr="006D49EC">
        <w:t>Requested listing</w:t>
      </w:r>
      <w:bookmarkEnd w:id="6"/>
      <w:bookmarkEnd w:id="7"/>
      <w:bookmarkEnd w:id="8"/>
    </w:p>
    <w:tbl>
      <w:tblPr>
        <w:tblW w:w="5032" w:type="pct"/>
        <w:tblInd w:w="-28" w:type="dxa"/>
        <w:tblCellMar>
          <w:left w:w="28" w:type="dxa"/>
          <w:right w:w="28" w:type="dxa"/>
        </w:tblCellMar>
        <w:tblLook w:val="0000" w:firstRow="0" w:lastRow="0" w:firstColumn="0" w:lastColumn="0" w:noHBand="0" w:noVBand="0"/>
      </w:tblPr>
      <w:tblGrid>
        <w:gridCol w:w="14"/>
        <w:gridCol w:w="1779"/>
        <w:gridCol w:w="2228"/>
        <w:gridCol w:w="1141"/>
        <w:gridCol w:w="715"/>
        <w:gridCol w:w="1426"/>
        <w:gridCol w:w="899"/>
        <w:gridCol w:w="938"/>
      </w:tblGrid>
      <w:tr w:rsidR="008324E8" w:rsidRPr="006D49EC" w:rsidTr="000978AD">
        <w:trPr>
          <w:gridBefore w:val="1"/>
          <w:wBefore w:w="8" w:type="pct"/>
          <w:cantSplit/>
          <w:trHeight w:val="471"/>
        </w:trPr>
        <w:tc>
          <w:tcPr>
            <w:tcW w:w="2192" w:type="pct"/>
            <w:gridSpan w:val="2"/>
            <w:tcBorders>
              <w:bottom w:val="single" w:sz="4" w:space="0" w:color="auto"/>
            </w:tcBorders>
          </w:tcPr>
          <w:p w:rsidR="008324E8" w:rsidRPr="006D49EC" w:rsidRDefault="008324E8" w:rsidP="00E907D1">
            <w:pPr>
              <w:keepNext/>
              <w:widowControl/>
              <w:spacing w:before="40" w:after="40"/>
              <w:rPr>
                <w:rFonts w:ascii="Arial Narrow" w:hAnsi="Arial Narrow"/>
                <w:sz w:val="20"/>
              </w:rPr>
            </w:pPr>
            <w:r w:rsidRPr="006D49EC">
              <w:rPr>
                <w:rFonts w:ascii="Arial Narrow" w:hAnsi="Arial Narrow"/>
                <w:sz w:val="20"/>
              </w:rPr>
              <w:t>Name, Restriction,</w:t>
            </w:r>
          </w:p>
          <w:p w:rsidR="008324E8" w:rsidRPr="006D49EC" w:rsidRDefault="008324E8" w:rsidP="00E907D1">
            <w:pPr>
              <w:keepNext/>
              <w:widowControl/>
              <w:spacing w:before="40" w:after="40"/>
              <w:rPr>
                <w:rFonts w:ascii="Arial Narrow" w:hAnsi="Arial Narrow"/>
                <w:sz w:val="20"/>
              </w:rPr>
            </w:pPr>
            <w:r w:rsidRPr="006D49EC">
              <w:rPr>
                <w:rFonts w:ascii="Arial Narrow" w:hAnsi="Arial Narrow"/>
                <w:sz w:val="20"/>
              </w:rPr>
              <w:t>Manner of administration and form</w:t>
            </w:r>
          </w:p>
        </w:tc>
        <w:tc>
          <w:tcPr>
            <w:tcW w:w="624" w:type="pct"/>
            <w:tcBorders>
              <w:bottom w:val="single" w:sz="4" w:space="0" w:color="auto"/>
            </w:tcBorders>
          </w:tcPr>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Max.</w:t>
            </w:r>
          </w:p>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Qty</w:t>
            </w:r>
          </w:p>
        </w:tc>
        <w:tc>
          <w:tcPr>
            <w:tcW w:w="391" w:type="pct"/>
            <w:tcBorders>
              <w:bottom w:val="single" w:sz="4" w:space="0" w:color="auto"/>
            </w:tcBorders>
          </w:tcPr>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№.of</w:t>
            </w:r>
          </w:p>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Rpts</w:t>
            </w:r>
          </w:p>
        </w:tc>
        <w:tc>
          <w:tcPr>
            <w:tcW w:w="780" w:type="pct"/>
            <w:tcBorders>
              <w:bottom w:val="single" w:sz="4" w:space="0" w:color="auto"/>
            </w:tcBorders>
          </w:tcPr>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Dispensed Price for Max. Qty</w:t>
            </w:r>
          </w:p>
        </w:tc>
        <w:tc>
          <w:tcPr>
            <w:tcW w:w="1005" w:type="pct"/>
            <w:gridSpan w:val="2"/>
            <w:tcBorders>
              <w:bottom w:val="single" w:sz="4" w:space="0" w:color="auto"/>
            </w:tcBorders>
          </w:tcPr>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Proprietary Name and Manufacturer</w:t>
            </w:r>
          </w:p>
        </w:tc>
      </w:tr>
      <w:tr w:rsidR="008324E8" w:rsidRPr="006D49EC" w:rsidTr="000978AD">
        <w:trPr>
          <w:gridBefore w:val="1"/>
          <w:wBefore w:w="8" w:type="pct"/>
          <w:cantSplit/>
          <w:trHeight w:val="577"/>
        </w:trPr>
        <w:tc>
          <w:tcPr>
            <w:tcW w:w="2192" w:type="pct"/>
            <w:gridSpan w:val="2"/>
          </w:tcPr>
          <w:p w:rsidR="008324E8" w:rsidRPr="006D49EC" w:rsidRDefault="008324E8" w:rsidP="00E907D1">
            <w:pPr>
              <w:keepNext/>
              <w:widowControl/>
              <w:spacing w:before="40" w:after="40"/>
              <w:rPr>
                <w:rFonts w:ascii="Arial Narrow" w:hAnsi="Arial Narrow"/>
                <w:sz w:val="20"/>
              </w:rPr>
            </w:pPr>
            <w:r w:rsidRPr="006D49EC">
              <w:rPr>
                <w:rFonts w:ascii="Arial Narrow" w:hAnsi="Arial Narrow"/>
                <w:smallCaps/>
                <w:sz w:val="20"/>
              </w:rPr>
              <w:t>Guanfacine Hydrochloride</w:t>
            </w:r>
          </w:p>
          <w:p w:rsidR="008324E8" w:rsidRPr="006D49EC" w:rsidRDefault="008324E8" w:rsidP="00E907D1">
            <w:pPr>
              <w:keepNext/>
              <w:widowControl/>
              <w:spacing w:before="40" w:after="40"/>
              <w:rPr>
                <w:rFonts w:ascii="Arial Narrow" w:hAnsi="Arial Narrow"/>
                <w:sz w:val="20"/>
              </w:rPr>
            </w:pPr>
            <w:r w:rsidRPr="006D49EC">
              <w:rPr>
                <w:rFonts w:ascii="Arial Narrow" w:hAnsi="Arial Narrow"/>
                <w:sz w:val="20"/>
              </w:rPr>
              <w:t>Extended release tablets (1mg, 2mg, 3mg, 4mg)</w:t>
            </w:r>
          </w:p>
        </w:tc>
        <w:tc>
          <w:tcPr>
            <w:tcW w:w="624" w:type="pct"/>
          </w:tcPr>
          <w:p w:rsidR="008324E8" w:rsidRPr="006D49EC" w:rsidRDefault="008324E8" w:rsidP="00E907D1">
            <w:pPr>
              <w:keepNext/>
              <w:widowControl/>
              <w:spacing w:before="40" w:after="40"/>
              <w:jc w:val="center"/>
              <w:rPr>
                <w:rFonts w:ascii="Arial Narrow" w:hAnsi="Arial Narrow"/>
                <w:sz w:val="20"/>
              </w:rPr>
            </w:pPr>
          </w:p>
          <w:p w:rsidR="008324E8" w:rsidRPr="006D49EC" w:rsidRDefault="008324E8" w:rsidP="00E907D1">
            <w:pPr>
              <w:keepNext/>
              <w:widowControl/>
              <w:spacing w:before="40" w:after="40"/>
              <w:jc w:val="center"/>
              <w:rPr>
                <w:rFonts w:ascii="Arial Narrow" w:hAnsi="Arial Narrow"/>
                <w:sz w:val="20"/>
              </w:rPr>
            </w:pPr>
            <w:r w:rsidRPr="009500FD">
              <w:rPr>
                <w:rFonts w:ascii="Arial Narrow" w:hAnsi="Arial Narrow"/>
                <w:sz w:val="20"/>
              </w:rPr>
              <w:t>28</w:t>
            </w:r>
          </w:p>
        </w:tc>
        <w:tc>
          <w:tcPr>
            <w:tcW w:w="391" w:type="pct"/>
          </w:tcPr>
          <w:p w:rsidR="008324E8" w:rsidRPr="006D49EC" w:rsidRDefault="008324E8" w:rsidP="00E907D1">
            <w:pPr>
              <w:keepNext/>
              <w:widowControl/>
              <w:spacing w:before="40" w:after="40"/>
              <w:jc w:val="center"/>
              <w:rPr>
                <w:rFonts w:ascii="Arial Narrow" w:hAnsi="Arial Narrow"/>
                <w:sz w:val="20"/>
              </w:rPr>
            </w:pPr>
          </w:p>
          <w:p w:rsidR="008324E8" w:rsidRPr="006D49EC" w:rsidRDefault="008324E8" w:rsidP="00E907D1">
            <w:pPr>
              <w:keepNext/>
              <w:widowControl/>
              <w:spacing w:before="40" w:after="40"/>
              <w:jc w:val="center"/>
              <w:rPr>
                <w:rFonts w:ascii="Arial Narrow" w:hAnsi="Arial Narrow"/>
                <w:sz w:val="20"/>
              </w:rPr>
            </w:pPr>
            <w:r w:rsidRPr="009500FD">
              <w:rPr>
                <w:rFonts w:ascii="Arial Narrow" w:hAnsi="Arial Narrow"/>
                <w:sz w:val="20"/>
              </w:rPr>
              <w:t>5</w:t>
            </w:r>
          </w:p>
        </w:tc>
        <w:tc>
          <w:tcPr>
            <w:tcW w:w="780" w:type="pct"/>
          </w:tcPr>
          <w:p w:rsidR="008324E8" w:rsidRPr="006D49EC" w:rsidRDefault="008324E8" w:rsidP="00E907D1">
            <w:pPr>
              <w:keepNext/>
              <w:widowControl/>
              <w:spacing w:before="40" w:after="40"/>
              <w:jc w:val="center"/>
              <w:rPr>
                <w:rFonts w:ascii="Arial Narrow" w:hAnsi="Arial Narrow"/>
                <w:sz w:val="20"/>
              </w:rPr>
            </w:pPr>
          </w:p>
          <w:p w:rsidR="008324E8" w:rsidRPr="006D49EC" w:rsidRDefault="008324E8" w:rsidP="00E907D1">
            <w:pPr>
              <w:keepNext/>
              <w:widowControl/>
              <w:spacing w:before="40" w:after="40"/>
              <w:jc w:val="center"/>
              <w:rPr>
                <w:rFonts w:ascii="Arial Narrow" w:hAnsi="Arial Narrow"/>
                <w:sz w:val="20"/>
                <w:vertAlign w:val="superscript"/>
              </w:rPr>
            </w:pPr>
            <w:r w:rsidRPr="006D49EC">
              <w:rPr>
                <w:rFonts w:ascii="Arial Narrow" w:hAnsi="Arial Narrow"/>
                <w:sz w:val="20"/>
              </w:rPr>
              <w:t>$</w:t>
            </w:r>
            <w:r w:rsidR="00CF0A88">
              <w:rPr>
                <w:rFonts w:ascii="Arial Narrow" w:hAnsi="Arial Narrow"/>
                <w:noProof/>
                <w:color w:val="000000"/>
                <w:sz w:val="20"/>
                <w:highlight w:val="black"/>
              </w:rPr>
              <w:t>'''''''''''''''''</w:t>
            </w:r>
            <w:r w:rsidRPr="009500FD">
              <w:rPr>
                <w:rFonts w:ascii="Arial Narrow" w:hAnsi="Arial Narrow"/>
                <w:sz w:val="20"/>
                <w:vertAlign w:val="superscript"/>
              </w:rPr>
              <w:t>a</w:t>
            </w:r>
          </w:p>
        </w:tc>
        <w:tc>
          <w:tcPr>
            <w:tcW w:w="492" w:type="pct"/>
          </w:tcPr>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INTUNIV</w:t>
            </w:r>
            <w:r w:rsidRPr="006D49EC">
              <w:rPr>
                <w:rFonts w:ascii="Arial Narrow" w:hAnsi="Arial Narrow"/>
                <w:sz w:val="20"/>
                <w:vertAlign w:val="superscript"/>
              </w:rPr>
              <w:t>®</w:t>
            </w:r>
          </w:p>
        </w:tc>
        <w:tc>
          <w:tcPr>
            <w:tcW w:w="513" w:type="pct"/>
          </w:tcPr>
          <w:p w:rsidR="008324E8" w:rsidRPr="006D49EC" w:rsidRDefault="008324E8" w:rsidP="00E907D1">
            <w:pPr>
              <w:keepNext/>
              <w:widowControl/>
              <w:spacing w:before="40" w:after="40"/>
              <w:jc w:val="center"/>
              <w:rPr>
                <w:rFonts w:ascii="Arial Narrow" w:hAnsi="Arial Narrow"/>
                <w:sz w:val="20"/>
              </w:rPr>
            </w:pPr>
            <w:r w:rsidRPr="006D49EC">
              <w:rPr>
                <w:rFonts w:ascii="Arial Narrow" w:hAnsi="Arial Narrow"/>
                <w:sz w:val="20"/>
              </w:rPr>
              <w:t>Shire</w:t>
            </w:r>
            <w:r w:rsidR="008039A0" w:rsidRPr="006D49EC">
              <w:rPr>
                <w:rFonts w:ascii="Arial Narrow" w:hAnsi="Arial Narrow"/>
                <w:sz w:val="20"/>
              </w:rPr>
              <w:t xml:space="preserve"> Australia Pty Ltd</w:t>
            </w:r>
          </w:p>
        </w:tc>
      </w:tr>
      <w:tr w:rsidR="008324E8" w:rsidRPr="006D49EC" w:rsidTr="007E3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pct"/>
            <w:gridSpan w:val="2"/>
            <w:tcBorders>
              <w:top w:val="single" w:sz="4" w:space="0" w:color="auto"/>
              <w:left w:val="single" w:sz="4" w:space="0" w:color="auto"/>
              <w:bottom w:val="single" w:sz="4" w:space="0" w:color="auto"/>
              <w:right w:val="single" w:sz="4" w:space="0" w:color="auto"/>
            </w:tcBorders>
            <w:vAlign w:val="center"/>
          </w:tcPr>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Category / Program</w:t>
            </w:r>
          </w:p>
        </w:tc>
        <w:tc>
          <w:tcPr>
            <w:tcW w:w="4019" w:type="pct"/>
            <w:gridSpan w:val="6"/>
            <w:tcBorders>
              <w:top w:val="single" w:sz="4" w:space="0" w:color="auto"/>
              <w:left w:val="single" w:sz="4" w:space="0" w:color="auto"/>
              <w:bottom w:val="single" w:sz="4" w:space="0" w:color="auto"/>
              <w:right w:val="single" w:sz="4" w:space="0" w:color="auto"/>
            </w:tcBorders>
            <w:vAlign w:val="center"/>
          </w:tcPr>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General Schedule</w:t>
            </w:r>
          </w:p>
        </w:tc>
      </w:tr>
      <w:tr w:rsidR="008324E8" w:rsidRPr="006D49EC" w:rsidTr="007E3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324E8" w:rsidRPr="006D49EC" w:rsidRDefault="008324E8" w:rsidP="00E907D1">
            <w:pPr>
              <w:widowControl/>
              <w:snapToGrid w:val="0"/>
              <w:spacing w:before="40" w:after="40"/>
              <w:jc w:val="left"/>
              <w:rPr>
                <w:lang w:eastAsia="en-AU"/>
              </w:rPr>
            </w:pPr>
            <w:r w:rsidRPr="006D49EC">
              <w:rPr>
                <w:rFonts w:ascii="Arial Narrow" w:hAnsi="Arial Narrow"/>
                <w:sz w:val="20"/>
                <w:lang w:eastAsia="en-AU"/>
              </w:rPr>
              <w:t xml:space="preserve">PBS indication </w:t>
            </w:r>
          </w:p>
        </w:tc>
        <w:tc>
          <w:tcPr>
            <w:tcW w:w="4019" w:type="pct"/>
            <w:gridSpan w:val="6"/>
            <w:tcBorders>
              <w:top w:val="single" w:sz="4" w:space="0" w:color="auto"/>
              <w:left w:val="single" w:sz="4" w:space="0" w:color="auto"/>
              <w:bottom w:val="single" w:sz="4" w:space="0" w:color="auto"/>
              <w:right w:val="single" w:sz="4" w:space="0" w:color="auto"/>
            </w:tcBorders>
            <w:vAlign w:val="center"/>
          </w:tcPr>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Attention deficit hyperactivity disorder</w:t>
            </w:r>
          </w:p>
        </w:tc>
      </w:tr>
      <w:tr w:rsidR="008324E8" w:rsidRPr="006D49EC" w:rsidTr="007E3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324E8" w:rsidRPr="006D49EC" w:rsidRDefault="008324E8" w:rsidP="00E907D1">
            <w:pPr>
              <w:widowControl/>
              <w:snapToGrid w:val="0"/>
              <w:spacing w:before="40" w:after="40"/>
              <w:jc w:val="left"/>
              <w:rPr>
                <w:lang w:eastAsia="en-AU"/>
              </w:rPr>
            </w:pPr>
            <w:r w:rsidRPr="006D49EC">
              <w:rPr>
                <w:rFonts w:ascii="Arial Narrow" w:hAnsi="Arial Narrow"/>
                <w:sz w:val="20"/>
                <w:lang w:eastAsia="en-AU"/>
              </w:rPr>
              <w:t>Restriction</w:t>
            </w:r>
          </w:p>
        </w:tc>
        <w:tc>
          <w:tcPr>
            <w:tcW w:w="4019" w:type="pct"/>
            <w:gridSpan w:val="6"/>
            <w:tcBorders>
              <w:top w:val="single" w:sz="4" w:space="0" w:color="auto"/>
              <w:left w:val="single" w:sz="4" w:space="0" w:color="auto"/>
              <w:bottom w:val="single" w:sz="4" w:space="0" w:color="auto"/>
              <w:right w:val="single" w:sz="4" w:space="0" w:color="auto"/>
            </w:tcBorders>
            <w:vAlign w:val="center"/>
          </w:tcPr>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Authority required</w:t>
            </w:r>
          </w:p>
        </w:tc>
      </w:tr>
      <w:tr w:rsidR="008324E8" w:rsidRPr="006D49EC" w:rsidTr="007E3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324E8" w:rsidRPr="006D49EC" w:rsidRDefault="008324E8" w:rsidP="00E907D1">
            <w:pPr>
              <w:widowControl/>
              <w:snapToGrid w:val="0"/>
              <w:spacing w:before="40" w:after="40"/>
              <w:jc w:val="left"/>
              <w:rPr>
                <w:lang w:eastAsia="en-AU"/>
              </w:rPr>
            </w:pPr>
            <w:r w:rsidRPr="006D49EC">
              <w:rPr>
                <w:rFonts w:ascii="Arial Narrow" w:hAnsi="Arial Narrow"/>
                <w:sz w:val="20"/>
                <w:lang w:eastAsia="en-AU"/>
              </w:rPr>
              <w:t>Treatment criteria</w:t>
            </w:r>
          </w:p>
        </w:tc>
        <w:tc>
          <w:tcPr>
            <w:tcW w:w="4019" w:type="pct"/>
            <w:gridSpan w:val="6"/>
            <w:tcBorders>
              <w:top w:val="single" w:sz="4" w:space="0" w:color="auto"/>
              <w:left w:val="single" w:sz="4" w:space="0" w:color="auto"/>
              <w:bottom w:val="single" w:sz="4" w:space="0" w:color="auto"/>
              <w:right w:val="single" w:sz="4" w:space="0" w:color="auto"/>
            </w:tcBorders>
            <w:vAlign w:val="center"/>
          </w:tcPr>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The condition must be or have been diagnosed by a paediatrician or psychiatrist according to the DSM-5 criteria</w:t>
            </w:r>
          </w:p>
        </w:tc>
      </w:tr>
      <w:tr w:rsidR="008324E8" w:rsidRPr="006D49EC" w:rsidTr="007E3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324E8" w:rsidRPr="006D49EC" w:rsidRDefault="008324E8" w:rsidP="00E907D1">
            <w:pPr>
              <w:widowControl/>
              <w:snapToGrid w:val="0"/>
              <w:spacing w:before="40" w:after="40"/>
              <w:jc w:val="left"/>
              <w:rPr>
                <w:lang w:eastAsia="en-AU"/>
              </w:rPr>
            </w:pPr>
            <w:r w:rsidRPr="006D49EC">
              <w:rPr>
                <w:rFonts w:ascii="Arial Narrow" w:hAnsi="Arial Narrow"/>
                <w:sz w:val="20"/>
                <w:lang w:eastAsia="en-AU"/>
              </w:rPr>
              <w:t>Clinical criteria</w:t>
            </w:r>
          </w:p>
        </w:tc>
        <w:tc>
          <w:tcPr>
            <w:tcW w:w="4019" w:type="pct"/>
            <w:gridSpan w:val="6"/>
            <w:tcBorders>
              <w:top w:val="single" w:sz="4" w:space="0" w:color="auto"/>
              <w:left w:val="single" w:sz="4" w:space="0" w:color="auto"/>
              <w:bottom w:val="single" w:sz="4" w:space="0" w:color="auto"/>
              <w:right w:val="single" w:sz="4" w:space="0" w:color="auto"/>
            </w:tcBorders>
            <w:vAlign w:val="center"/>
          </w:tcPr>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Patient must have a contraindication to dexamphetamine, methylphenidate or lisdexamfetamine as specified in TGA-approved product information; OR</w:t>
            </w:r>
          </w:p>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Patient must have a comorbid mood disorder that has developed or worsened as a result of dexamphetamine, methylphenidate or lisdexamfetamine treatment and is of a severity necessitating treatment withdrawal; OR</w:t>
            </w:r>
          </w:p>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Patient must be at an unacceptable medical risk of a severity necessitating permanent stimulant treatment withdrawal if given a stimulant treatment with another agent; OR</w:t>
            </w:r>
          </w:p>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Patient must have experienced adverse reactions of a severity necessitating permanent treatment withdrawal following treatment with dexamphetamine, methylphenidate and lisdexamfetamine (not simultaneously); OR</w:t>
            </w:r>
          </w:p>
          <w:p w:rsidR="008324E8" w:rsidRPr="006D49EC" w:rsidRDefault="008324E8" w:rsidP="00E907D1">
            <w:pPr>
              <w:widowControl/>
              <w:snapToGrid w:val="0"/>
              <w:spacing w:before="40" w:after="40"/>
              <w:jc w:val="left"/>
              <w:rPr>
                <w:rFonts w:ascii="Arial Narrow" w:hAnsi="Arial Narrow"/>
                <w:sz w:val="20"/>
                <w:lang w:eastAsia="en-AU"/>
              </w:rPr>
            </w:pPr>
            <w:r w:rsidRPr="006D49EC">
              <w:rPr>
                <w:rFonts w:ascii="Arial Narrow" w:hAnsi="Arial Narrow"/>
                <w:sz w:val="20"/>
                <w:lang w:eastAsia="en-AU"/>
              </w:rPr>
              <w:t>Patient must have failed to achieve a satisfactory response to optimised stimulant therapy.</w:t>
            </w:r>
          </w:p>
        </w:tc>
      </w:tr>
      <w:tr w:rsidR="008324E8" w:rsidRPr="006D49EC" w:rsidTr="007E3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324E8" w:rsidRPr="006D49EC" w:rsidRDefault="008324E8" w:rsidP="00E907D1">
            <w:pPr>
              <w:widowControl/>
              <w:snapToGrid w:val="0"/>
              <w:spacing w:before="40" w:after="40"/>
              <w:jc w:val="left"/>
              <w:rPr>
                <w:lang w:eastAsia="en-AU"/>
              </w:rPr>
            </w:pPr>
            <w:r w:rsidRPr="006D49EC">
              <w:rPr>
                <w:rFonts w:ascii="Arial Narrow" w:hAnsi="Arial Narrow"/>
                <w:sz w:val="20"/>
                <w:lang w:eastAsia="en-AU"/>
              </w:rPr>
              <w:t>Population criteria</w:t>
            </w:r>
          </w:p>
        </w:tc>
        <w:tc>
          <w:tcPr>
            <w:tcW w:w="4019" w:type="pct"/>
            <w:gridSpan w:val="6"/>
            <w:tcBorders>
              <w:top w:val="single" w:sz="4" w:space="0" w:color="auto"/>
              <w:left w:val="single" w:sz="4" w:space="0" w:color="auto"/>
              <w:bottom w:val="single" w:sz="4" w:space="0" w:color="auto"/>
              <w:right w:val="single" w:sz="4" w:space="0" w:color="auto"/>
            </w:tcBorders>
            <w:vAlign w:val="center"/>
          </w:tcPr>
          <w:p w:rsidR="008324E8" w:rsidRPr="006D49EC" w:rsidRDefault="008324E8" w:rsidP="00E907D1">
            <w:pPr>
              <w:widowControl/>
              <w:adjustRightInd w:val="0"/>
              <w:spacing w:before="40" w:after="40"/>
              <w:jc w:val="left"/>
              <w:rPr>
                <w:rFonts w:ascii="Arial Narrow" w:hAnsi="Arial Narrow"/>
                <w:sz w:val="20"/>
                <w:lang w:eastAsia="en-AU"/>
              </w:rPr>
            </w:pPr>
            <w:r w:rsidRPr="006D49EC">
              <w:rPr>
                <w:rFonts w:ascii="Arial Narrow" w:hAnsi="Arial Narrow"/>
                <w:sz w:val="20"/>
                <w:lang w:eastAsia="en-AU"/>
              </w:rPr>
              <w:t>Patient must be between the ages of 6 and 18 years inclusive</w:t>
            </w:r>
          </w:p>
        </w:tc>
      </w:tr>
    </w:tbl>
    <w:p w:rsidR="00DD48DB" w:rsidRPr="006D49EC" w:rsidRDefault="007E3D12" w:rsidP="00E907D1">
      <w:pPr>
        <w:pStyle w:val="ListParagraph"/>
        <w:widowControl/>
        <w:spacing w:after="0"/>
        <w:ind w:left="0"/>
        <w:rPr>
          <w:rFonts w:ascii="Arial Narrow" w:hAnsi="Arial Narrow"/>
          <w:sz w:val="18"/>
        </w:rPr>
      </w:pPr>
      <w:r w:rsidRPr="006D49EC">
        <w:rPr>
          <w:rFonts w:ascii="Arial Narrow" w:hAnsi="Arial Narrow"/>
          <w:sz w:val="18"/>
          <w:vertAlign w:val="superscript"/>
        </w:rPr>
        <w:t>a</w:t>
      </w:r>
      <w:r w:rsidRPr="006D49EC">
        <w:rPr>
          <w:rFonts w:ascii="Arial Narrow" w:hAnsi="Arial Narrow"/>
          <w:sz w:val="18"/>
        </w:rPr>
        <w:t xml:space="preserve"> requested published price. The submission is requesting a Special Pricing Arrangement (SPA) with an effective DPMQ of $</w:t>
      </w:r>
      <w:r w:rsidR="00CF0A88">
        <w:rPr>
          <w:rFonts w:ascii="Arial Narrow" w:hAnsi="Arial Narrow"/>
          <w:noProof/>
          <w:color w:val="000000"/>
          <w:sz w:val="18"/>
          <w:highlight w:val="black"/>
        </w:rPr>
        <w:t>''''''''''''''</w:t>
      </w:r>
      <w:r w:rsidRPr="006D49EC">
        <w:rPr>
          <w:rFonts w:ascii="Arial Narrow" w:hAnsi="Arial Narrow"/>
          <w:sz w:val="18"/>
        </w:rPr>
        <w:t>.</w:t>
      </w:r>
    </w:p>
    <w:p w:rsidR="00731A01" w:rsidRPr="006D49EC" w:rsidRDefault="00731A01" w:rsidP="00E907D1">
      <w:pPr>
        <w:pStyle w:val="ListParagraph"/>
        <w:widowControl/>
        <w:spacing w:after="0"/>
        <w:ind w:left="0"/>
        <w:rPr>
          <w:rFonts w:asciiTheme="minorHAnsi" w:hAnsiTheme="minorHAnsi"/>
        </w:rPr>
      </w:pPr>
    </w:p>
    <w:p w:rsidR="00032D94" w:rsidRPr="006D49EC" w:rsidRDefault="00032D94" w:rsidP="00E907D1">
      <w:pPr>
        <w:pStyle w:val="ListParagraph"/>
        <w:widowControl/>
        <w:numPr>
          <w:ilvl w:val="1"/>
          <w:numId w:val="3"/>
        </w:numPr>
        <w:contextualSpacing w:val="0"/>
        <w:rPr>
          <w:rFonts w:asciiTheme="minorHAnsi" w:hAnsiTheme="minorHAnsi"/>
        </w:rPr>
      </w:pPr>
      <w:r w:rsidRPr="006D49EC">
        <w:rPr>
          <w:rFonts w:asciiTheme="minorHAnsi" w:hAnsiTheme="minorHAnsi"/>
        </w:rPr>
        <w:t>The requested basis for listing was cost-minimisation compared with atomoxetine among those contraindicated/intolerant to stimulants and</w:t>
      </w:r>
      <w:r w:rsidR="00125EC1" w:rsidRPr="006D49EC">
        <w:rPr>
          <w:rFonts w:asciiTheme="minorHAnsi" w:hAnsiTheme="minorHAnsi"/>
        </w:rPr>
        <w:t xml:space="preserve"> </w:t>
      </w:r>
      <w:r w:rsidRPr="006D49EC">
        <w:rPr>
          <w:rFonts w:asciiTheme="minorHAnsi" w:hAnsiTheme="minorHAnsi"/>
        </w:rPr>
        <w:t xml:space="preserve">cost-effectiveness when used in combination with long-acting stimulants compared to placebo in combination </w:t>
      </w:r>
      <w:r w:rsidRPr="006D49EC">
        <w:rPr>
          <w:rFonts w:asciiTheme="minorHAnsi" w:hAnsiTheme="minorHAnsi"/>
        </w:rPr>
        <w:lastRenderedPageBreak/>
        <w:t>with long-acting stimulants</w:t>
      </w:r>
      <w:r w:rsidR="00AB79E9" w:rsidRPr="006D49EC">
        <w:rPr>
          <w:rFonts w:asciiTheme="minorHAnsi" w:hAnsiTheme="minorHAnsi"/>
        </w:rPr>
        <w:t xml:space="preserve"> for patients who have failed to achieve a satisfactory response</w:t>
      </w:r>
      <w:r w:rsidRPr="006D49EC">
        <w:rPr>
          <w:rFonts w:asciiTheme="minorHAnsi" w:hAnsiTheme="minorHAnsi"/>
        </w:rPr>
        <w:t>.</w:t>
      </w:r>
    </w:p>
    <w:p w:rsidR="00DD48DB" w:rsidRPr="006D49EC" w:rsidRDefault="00032D94" w:rsidP="00E907D1">
      <w:pPr>
        <w:pStyle w:val="ListParagraph"/>
        <w:widowControl/>
        <w:numPr>
          <w:ilvl w:val="1"/>
          <w:numId w:val="3"/>
        </w:numPr>
        <w:contextualSpacing w:val="0"/>
        <w:rPr>
          <w:rFonts w:asciiTheme="minorHAnsi" w:hAnsiTheme="minorHAnsi"/>
        </w:rPr>
      </w:pPr>
      <w:r w:rsidRPr="006D49EC">
        <w:rPr>
          <w:rFonts w:asciiTheme="minorHAnsi" w:hAnsiTheme="minorHAnsi"/>
        </w:rPr>
        <w:t xml:space="preserve">Guanfacine is taken orally, once daily. Patients initiate on 1mg/day and increase in 1mg increments weekly to a maximum dose of 4mg/kg in those aged 6-12 years </w:t>
      </w:r>
      <w:r w:rsidR="00590D41" w:rsidRPr="006D49EC">
        <w:rPr>
          <w:rFonts w:asciiTheme="minorHAnsi" w:hAnsiTheme="minorHAnsi"/>
        </w:rPr>
        <w:t>and to a maximum dose of 7mg/day in those aged 13-17 years. For adjunctive therapy the maximum dose is 4mg/day</w:t>
      </w:r>
      <w:r w:rsidRPr="006D49EC">
        <w:rPr>
          <w:rFonts w:asciiTheme="minorHAnsi" w:hAnsiTheme="minorHAnsi"/>
        </w:rPr>
        <w:t xml:space="preserve">. Discontinuation of guanfacine requires dose tapering to avoid adverse events. </w:t>
      </w:r>
    </w:p>
    <w:p w:rsidR="00B56789" w:rsidRPr="006D49EC" w:rsidRDefault="00B56789" w:rsidP="00B56789">
      <w:pPr>
        <w:pStyle w:val="ListParagraph"/>
        <w:widowControl/>
        <w:numPr>
          <w:ilvl w:val="1"/>
          <w:numId w:val="3"/>
        </w:numPr>
        <w:contextualSpacing w:val="0"/>
      </w:pPr>
      <w:r w:rsidRPr="006D49EC">
        <w:rPr>
          <w:rFonts w:asciiTheme="minorHAnsi" w:hAnsiTheme="minorHAnsi"/>
        </w:rPr>
        <w:t>The</w:t>
      </w:r>
      <w:r w:rsidRPr="006D49EC">
        <w:t xml:space="preserve"> inclusion of patients aged 18 in the requested listing is not supported by the clinical data submitted and is inconsistent with the TGA indication being sought, which includes children and adolescents aged 6-17 years. The ESC noted the PSCR (p4) states that in estimating the potential patient population for the financial implications, “it is proposed that the eligible patient population is for 6-17 years inclusive, to align with the TGA indication”.</w:t>
      </w:r>
    </w:p>
    <w:p w:rsidR="00DD48DB" w:rsidRPr="006D49EC" w:rsidRDefault="00D515F2" w:rsidP="00E907D1">
      <w:pPr>
        <w:pStyle w:val="ListParagraph"/>
        <w:widowControl/>
        <w:numPr>
          <w:ilvl w:val="1"/>
          <w:numId w:val="3"/>
        </w:numPr>
        <w:contextualSpacing w:val="0"/>
        <w:rPr>
          <w:rFonts w:asciiTheme="minorHAnsi" w:hAnsiTheme="minorHAnsi"/>
        </w:rPr>
      </w:pPr>
      <w:r w:rsidRPr="006D49EC">
        <w:rPr>
          <w:rFonts w:asciiTheme="minorHAnsi" w:hAnsiTheme="minorHAnsi"/>
        </w:rPr>
        <w:t>The submission requested a Special Pricing Arrangement (SPA) with a list price of $</w:t>
      </w:r>
      <w:r w:rsidR="00CF0A88">
        <w:rPr>
          <w:rFonts w:asciiTheme="minorHAnsi" w:hAnsiTheme="minorHAnsi"/>
          <w:noProof/>
          <w:color w:val="000000"/>
          <w:highlight w:val="black"/>
        </w:rPr>
        <w:t>'''''''''''''</w:t>
      </w:r>
      <w:r w:rsidRPr="006D49EC">
        <w:rPr>
          <w:rFonts w:asciiTheme="minorHAnsi" w:hAnsiTheme="minorHAnsi"/>
        </w:rPr>
        <w:t xml:space="preserve"> and an effective price of $</w:t>
      </w:r>
      <w:r w:rsidR="00CF0A88">
        <w:rPr>
          <w:rFonts w:asciiTheme="minorHAnsi" w:hAnsiTheme="minorHAnsi"/>
          <w:noProof/>
          <w:color w:val="000000"/>
          <w:highlight w:val="black"/>
        </w:rPr>
        <w:t>''''''''''</w:t>
      </w:r>
      <w:r w:rsidRPr="006D49EC">
        <w:rPr>
          <w:rFonts w:asciiTheme="minorHAnsi" w:hAnsiTheme="minorHAnsi"/>
        </w:rPr>
        <w:t>. The Sponsor has indicated that listing would not proceed without a</w:t>
      </w:r>
      <w:r w:rsidR="00125EC1" w:rsidRPr="006D49EC">
        <w:rPr>
          <w:rFonts w:asciiTheme="minorHAnsi" w:hAnsiTheme="minorHAnsi"/>
        </w:rPr>
        <w:t>n</w:t>
      </w:r>
      <w:r w:rsidRPr="006D49EC">
        <w:rPr>
          <w:rFonts w:asciiTheme="minorHAnsi" w:hAnsiTheme="minorHAnsi"/>
        </w:rPr>
        <w:t xml:space="preserve"> SPA.</w:t>
      </w:r>
    </w:p>
    <w:p w:rsidR="00AA0A84" w:rsidRPr="006D49EC" w:rsidRDefault="00AA0A84" w:rsidP="00AA0A84">
      <w:pPr>
        <w:rPr>
          <w:i/>
        </w:rPr>
      </w:pPr>
      <w:r w:rsidRPr="006D49EC">
        <w:rPr>
          <w:i/>
        </w:rPr>
        <w:t>For more detail on PBAC’s view, see section 7 “PBAC outcome”</w:t>
      </w:r>
    </w:p>
    <w:p w:rsidR="00DD48DB" w:rsidRPr="006D49EC" w:rsidRDefault="00DD48DB" w:rsidP="00E907D1">
      <w:pPr>
        <w:pStyle w:val="Heading2"/>
        <w:ind w:left="567" w:hanging="567"/>
      </w:pPr>
      <w:bookmarkStart w:id="9" w:name="_Toc413139273"/>
      <w:bookmarkStart w:id="10" w:name="_Toc476306883"/>
      <w:bookmarkStart w:id="11" w:name="_Toc480313624"/>
      <w:r w:rsidRPr="006D49EC">
        <w:t>Background</w:t>
      </w:r>
      <w:bookmarkEnd w:id="9"/>
      <w:bookmarkEnd w:id="10"/>
      <w:bookmarkEnd w:id="11"/>
    </w:p>
    <w:p w:rsidR="00DD48DB" w:rsidRPr="006D49EC" w:rsidRDefault="00DD48DB" w:rsidP="00E907D1">
      <w:pPr>
        <w:pStyle w:val="ListParagraph"/>
        <w:widowControl/>
        <w:numPr>
          <w:ilvl w:val="1"/>
          <w:numId w:val="3"/>
        </w:numPr>
        <w:contextualSpacing w:val="0"/>
        <w:rPr>
          <w:rFonts w:asciiTheme="minorHAnsi" w:hAnsiTheme="minorHAnsi"/>
        </w:rPr>
      </w:pPr>
      <w:r w:rsidRPr="006D49EC">
        <w:rPr>
          <w:rFonts w:asciiTheme="minorHAnsi" w:hAnsiTheme="minorHAnsi"/>
        </w:rPr>
        <w:t xml:space="preserve">TGA status: The submission was made under TGA/PBAC Parallel Process. At the time of </w:t>
      </w:r>
      <w:r w:rsidR="000067ED" w:rsidRPr="006D49EC">
        <w:rPr>
          <w:rFonts w:asciiTheme="minorHAnsi" w:hAnsiTheme="minorHAnsi"/>
        </w:rPr>
        <w:t>PBAC consideration</w:t>
      </w:r>
      <w:r w:rsidR="00C52148" w:rsidRPr="006D49EC">
        <w:rPr>
          <w:rFonts w:asciiTheme="minorHAnsi" w:hAnsiTheme="minorHAnsi"/>
        </w:rPr>
        <w:t>, the Clinical Evaluator’s Report</w:t>
      </w:r>
      <w:r w:rsidR="000067ED" w:rsidRPr="006D49EC">
        <w:rPr>
          <w:rFonts w:asciiTheme="minorHAnsi" w:hAnsiTheme="minorHAnsi"/>
        </w:rPr>
        <w:t>,</w:t>
      </w:r>
      <w:r w:rsidR="00C52148" w:rsidRPr="006D49EC">
        <w:rPr>
          <w:rFonts w:asciiTheme="minorHAnsi" w:hAnsiTheme="minorHAnsi"/>
        </w:rPr>
        <w:t xml:space="preserve"> the Delegate’s Overview </w:t>
      </w:r>
      <w:r w:rsidR="000067ED" w:rsidRPr="006D49EC">
        <w:rPr>
          <w:rFonts w:asciiTheme="minorHAnsi" w:hAnsiTheme="minorHAnsi"/>
        </w:rPr>
        <w:t xml:space="preserve">and the ACM advice </w:t>
      </w:r>
      <w:r w:rsidR="00C52148" w:rsidRPr="006D49EC">
        <w:rPr>
          <w:rFonts w:asciiTheme="minorHAnsi" w:hAnsiTheme="minorHAnsi"/>
        </w:rPr>
        <w:t xml:space="preserve">were available. </w:t>
      </w:r>
    </w:p>
    <w:p w:rsidR="00DD48DB" w:rsidRPr="006D49EC" w:rsidRDefault="00D515F2" w:rsidP="00E907D1">
      <w:pPr>
        <w:pStyle w:val="ListParagraph"/>
        <w:widowControl/>
        <w:numPr>
          <w:ilvl w:val="1"/>
          <w:numId w:val="3"/>
        </w:numPr>
        <w:contextualSpacing w:val="0"/>
        <w:rPr>
          <w:rFonts w:asciiTheme="minorHAnsi" w:hAnsiTheme="minorHAnsi"/>
        </w:rPr>
      </w:pPr>
      <w:r w:rsidRPr="006D49EC">
        <w:rPr>
          <w:rFonts w:asciiTheme="minorHAnsi" w:hAnsiTheme="minorHAnsi"/>
        </w:rPr>
        <w:t>Guanfacine has not previously been considered by the PBAC.</w:t>
      </w:r>
    </w:p>
    <w:p w:rsidR="00DD48DB" w:rsidRPr="006D49EC" w:rsidRDefault="00DD48DB" w:rsidP="00E907D1">
      <w:pPr>
        <w:pStyle w:val="Heading2"/>
        <w:ind w:left="567" w:hanging="567"/>
      </w:pPr>
      <w:bookmarkStart w:id="12" w:name="_Toc476306884"/>
      <w:bookmarkStart w:id="13" w:name="_Toc480313625"/>
      <w:r w:rsidRPr="006D49EC">
        <w:t>Population and disease</w:t>
      </w:r>
      <w:bookmarkEnd w:id="12"/>
      <w:bookmarkEnd w:id="13"/>
    </w:p>
    <w:p w:rsidR="00DD48DB" w:rsidRPr="006D49EC" w:rsidRDefault="00D515F2" w:rsidP="00E907D1">
      <w:pPr>
        <w:pStyle w:val="ListParagraph"/>
        <w:widowControl/>
        <w:numPr>
          <w:ilvl w:val="1"/>
          <w:numId w:val="3"/>
        </w:numPr>
        <w:contextualSpacing w:val="0"/>
        <w:rPr>
          <w:rFonts w:asciiTheme="minorHAnsi" w:hAnsiTheme="minorHAnsi"/>
        </w:rPr>
      </w:pPr>
      <w:r w:rsidRPr="006D49EC">
        <w:rPr>
          <w:rFonts w:asciiTheme="minorHAnsi" w:hAnsiTheme="minorHAnsi"/>
        </w:rPr>
        <w:t>Attention deficit hyperactivity disorder (ADHD) is a heterogeneous behavioural syndrome characterised by the core symptoms of hyperactivity, impulsivity and inattention.</w:t>
      </w:r>
    </w:p>
    <w:p w:rsidR="00AA0A84" w:rsidRPr="006D49EC" w:rsidRDefault="00D515F2" w:rsidP="00AA0A84">
      <w:pPr>
        <w:pStyle w:val="ListParagraph"/>
        <w:widowControl/>
        <w:numPr>
          <w:ilvl w:val="1"/>
          <w:numId w:val="3"/>
        </w:numPr>
        <w:rPr>
          <w:rFonts w:asciiTheme="minorHAnsi" w:hAnsiTheme="minorHAnsi"/>
          <w:i/>
        </w:rPr>
      </w:pPr>
      <w:r w:rsidRPr="006D49EC">
        <w:rPr>
          <w:rFonts w:asciiTheme="minorHAnsi" w:hAnsiTheme="minorHAnsi"/>
        </w:rPr>
        <w:t xml:space="preserve">The submission proposed that guanfacine be listed for patients with ADHD in those who are (i) contraindicated to stimulants, (ii) intolerant of stimulants </w:t>
      </w:r>
      <w:r w:rsidR="00D559A0" w:rsidRPr="006D49EC">
        <w:rPr>
          <w:rFonts w:asciiTheme="minorHAnsi" w:hAnsiTheme="minorHAnsi"/>
        </w:rPr>
        <w:t xml:space="preserve">or </w:t>
      </w:r>
      <w:r w:rsidRPr="006D49EC">
        <w:rPr>
          <w:rFonts w:asciiTheme="minorHAnsi" w:hAnsiTheme="minorHAnsi"/>
        </w:rPr>
        <w:t>(iii) who have failed to achieve an adequate response to stimulants. For those contraindicated and intolerant to stimulants, guanfacine is proposed to be an alternative to atomoxetine and in those failing to achieve an adequate response</w:t>
      </w:r>
      <w:r w:rsidR="008039A0" w:rsidRPr="006D49EC">
        <w:rPr>
          <w:rFonts w:asciiTheme="minorHAnsi" w:hAnsiTheme="minorHAnsi"/>
        </w:rPr>
        <w:t xml:space="preserve"> to stimulants</w:t>
      </w:r>
      <w:r w:rsidRPr="006D49EC">
        <w:rPr>
          <w:rFonts w:asciiTheme="minorHAnsi" w:hAnsiTheme="minorHAnsi"/>
        </w:rPr>
        <w:t xml:space="preserve">, that guanfacine replace or be </w:t>
      </w:r>
      <w:r w:rsidR="008039A0" w:rsidRPr="006D49EC">
        <w:rPr>
          <w:rFonts w:asciiTheme="minorHAnsi" w:hAnsiTheme="minorHAnsi"/>
        </w:rPr>
        <w:t>used as add-on therapy</w:t>
      </w:r>
      <w:r w:rsidR="00F27357" w:rsidRPr="006D49EC">
        <w:rPr>
          <w:rFonts w:asciiTheme="minorHAnsi" w:hAnsiTheme="minorHAnsi"/>
        </w:rPr>
        <w:t xml:space="preserve"> to stimulants</w:t>
      </w:r>
      <w:r w:rsidR="00431826" w:rsidRPr="006D49EC">
        <w:rPr>
          <w:rFonts w:asciiTheme="minorHAnsi" w:hAnsiTheme="minorHAnsi"/>
        </w:rPr>
        <w:t xml:space="preserve">. </w:t>
      </w:r>
      <w:r w:rsidR="006B76AF" w:rsidRPr="006D49EC">
        <w:rPr>
          <w:rFonts w:asciiTheme="minorHAnsi" w:hAnsiTheme="minorHAnsi"/>
        </w:rPr>
        <w:t>However, the ESC noted that the clinical evidence presented to support the cost-effectiveness claim for patients with an inadequate response was the use of guanfacine as an add-on and not a replacement of stimulants.</w:t>
      </w:r>
      <w:r w:rsidR="00AA0A84" w:rsidRPr="006D49EC">
        <w:rPr>
          <w:rFonts w:asciiTheme="minorHAnsi" w:hAnsiTheme="minorHAnsi"/>
        </w:rPr>
        <w:t xml:space="preserve"> </w:t>
      </w:r>
    </w:p>
    <w:p w:rsidR="00DD48DB" w:rsidRPr="006D49EC" w:rsidRDefault="00AA0A84" w:rsidP="00AA0A84">
      <w:pPr>
        <w:rPr>
          <w:rFonts w:asciiTheme="minorHAnsi" w:hAnsiTheme="minorHAnsi"/>
          <w:i/>
        </w:rPr>
      </w:pPr>
      <w:r w:rsidRPr="006D49EC">
        <w:rPr>
          <w:rFonts w:asciiTheme="minorHAnsi" w:hAnsiTheme="minorHAnsi"/>
          <w:i/>
          <w:sz w:val="24"/>
          <w:szCs w:val="24"/>
        </w:rPr>
        <w:t>For more detail on PBAC’s view, see section 7 “PBAC outcome”</w:t>
      </w:r>
    </w:p>
    <w:p w:rsidR="00DD48DB" w:rsidRPr="006D49EC" w:rsidRDefault="00DD48DB" w:rsidP="00E907D1">
      <w:pPr>
        <w:pStyle w:val="Heading2"/>
        <w:ind w:left="567" w:hanging="567"/>
      </w:pPr>
      <w:bookmarkStart w:id="14" w:name="_Toc413139275"/>
      <w:bookmarkStart w:id="15" w:name="_Toc476306885"/>
      <w:bookmarkStart w:id="16" w:name="_Toc480313626"/>
      <w:r w:rsidRPr="006D49EC">
        <w:t>Comparator</w:t>
      </w:r>
      <w:bookmarkEnd w:id="14"/>
      <w:bookmarkEnd w:id="15"/>
      <w:bookmarkEnd w:id="16"/>
    </w:p>
    <w:p w:rsidR="00DD48DB" w:rsidRPr="006D49EC" w:rsidRDefault="00431826" w:rsidP="00E907D1">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Atomoxetine for those contraindicated or intolerant to stimulants</w:t>
      </w:r>
      <w:r w:rsidR="00DD48DB" w:rsidRPr="006D49EC">
        <w:rPr>
          <w:rFonts w:asciiTheme="minorHAnsi" w:hAnsiTheme="minorHAnsi"/>
        </w:rPr>
        <w:t xml:space="preserve">. </w:t>
      </w:r>
      <w:r w:rsidR="000067ED" w:rsidRPr="006D49EC">
        <w:rPr>
          <w:rFonts w:asciiTheme="minorHAnsi" w:hAnsiTheme="minorHAnsi"/>
        </w:rPr>
        <w:t>The PBAC agreed t</w:t>
      </w:r>
      <w:r w:rsidR="00DD48DB" w:rsidRPr="006D49EC">
        <w:rPr>
          <w:rFonts w:asciiTheme="minorHAnsi" w:hAnsiTheme="minorHAnsi"/>
        </w:rPr>
        <w:t xml:space="preserve">his </w:t>
      </w:r>
      <w:r w:rsidRPr="006D49EC">
        <w:rPr>
          <w:rFonts w:asciiTheme="minorHAnsi" w:hAnsiTheme="minorHAnsi"/>
        </w:rPr>
        <w:t>was</w:t>
      </w:r>
      <w:r w:rsidR="00DD48DB" w:rsidRPr="006D49EC">
        <w:rPr>
          <w:rFonts w:asciiTheme="minorHAnsi" w:hAnsiTheme="minorHAnsi"/>
        </w:rPr>
        <w:t xml:space="preserve"> the appropriate comparator. </w:t>
      </w:r>
    </w:p>
    <w:p w:rsidR="00DD48DB" w:rsidRPr="006D49EC" w:rsidRDefault="00431826" w:rsidP="00E907D1">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Placebo</w:t>
      </w:r>
      <w:r w:rsidR="008039A0" w:rsidRPr="006D49EC">
        <w:rPr>
          <w:rFonts w:asciiTheme="minorHAnsi" w:hAnsiTheme="minorHAnsi"/>
        </w:rPr>
        <w:t xml:space="preserve"> (as a proxy for no treatment)</w:t>
      </w:r>
      <w:r w:rsidRPr="006D49EC">
        <w:rPr>
          <w:rFonts w:asciiTheme="minorHAnsi" w:hAnsiTheme="minorHAnsi"/>
        </w:rPr>
        <w:t xml:space="preserve"> was nominated as the primary</w:t>
      </w:r>
      <w:r w:rsidR="0004146A">
        <w:rPr>
          <w:rFonts w:asciiTheme="minorHAnsi" w:hAnsiTheme="minorHAnsi"/>
        </w:rPr>
        <w:t xml:space="preserve"> comparator</w:t>
      </w:r>
      <w:r w:rsidRPr="006D49EC">
        <w:rPr>
          <w:rFonts w:asciiTheme="minorHAnsi" w:hAnsiTheme="minorHAnsi"/>
        </w:rPr>
        <w:t>, and clonidine as a secondary comparator for those who are failing to achieve and adequate response to stimulants. Placebo for no treatment would be the relevant</w:t>
      </w:r>
      <w:r w:rsidR="008039A0" w:rsidRPr="006D49EC">
        <w:rPr>
          <w:rFonts w:asciiTheme="minorHAnsi" w:hAnsiTheme="minorHAnsi"/>
        </w:rPr>
        <w:t xml:space="preserve"> comparator</w:t>
      </w:r>
      <w:r w:rsidRPr="006D49EC">
        <w:rPr>
          <w:rFonts w:asciiTheme="minorHAnsi" w:hAnsiTheme="minorHAnsi"/>
        </w:rPr>
        <w:t xml:space="preserve"> in instances where all stimulants have been trialled and failed, otherwise stimulants would be a relevant comparator. Clonidine is not PBS-listed for ADHD and its safety, effectiveness and cost-effectiveness are therefore unknown, thus the evidence provided in the submission for this comparison was not considered </w:t>
      </w:r>
      <w:r w:rsidR="00713EC3">
        <w:rPr>
          <w:rFonts w:asciiTheme="minorHAnsi" w:hAnsiTheme="minorHAnsi"/>
        </w:rPr>
        <w:t>by</w:t>
      </w:r>
      <w:r w:rsidR="00713EC3" w:rsidRPr="006D49EC">
        <w:rPr>
          <w:rFonts w:asciiTheme="minorHAnsi" w:hAnsiTheme="minorHAnsi"/>
        </w:rPr>
        <w:t xml:space="preserve"> </w:t>
      </w:r>
      <w:r w:rsidRPr="006D49EC">
        <w:rPr>
          <w:rFonts w:asciiTheme="minorHAnsi" w:hAnsiTheme="minorHAnsi"/>
        </w:rPr>
        <w:t xml:space="preserve">the </w:t>
      </w:r>
      <w:r w:rsidR="00713EC3">
        <w:rPr>
          <w:rFonts w:asciiTheme="minorHAnsi" w:hAnsiTheme="minorHAnsi"/>
        </w:rPr>
        <w:t>evaluation.</w:t>
      </w:r>
      <w:r w:rsidR="00127B4D" w:rsidRPr="006D49EC">
        <w:rPr>
          <w:rFonts w:asciiTheme="minorHAnsi" w:hAnsiTheme="minorHAnsi"/>
        </w:rPr>
        <w:t xml:space="preserve"> The </w:t>
      </w:r>
      <w:r w:rsidR="00127B4D" w:rsidRPr="009500FD">
        <w:rPr>
          <w:rFonts w:asciiTheme="minorHAnsi" w:hAnsiTheme="minorHAnsi"/>
        </w:rPr>
        <w:t>ESC</w:t>
      </w:r>
      <w:r w:rsidR="00127B4D" w:rsidRPr="006D49EC">
        <w:rPr>
          <w:rFonts w:asciiTheme="minorHAnsi" w:hAnsiTheme="minorHAnsi"/>
        </w:rPr>
        <w:t xml:space="preserve"> </w:t>
      </w:r>
      <w:r w:rsidR="00570640" w:rsidRPr="006D49EC">
        <w:rPr>
          <w:rFonts w:asciiTheme="minorHAnsi" w:hAnsiTheme="minorHAnsi"/>
        </w:rPr>
        <w:t>acknowledged that clon</w:t>
      </w:r>
      <w:r w:rsidR="0004146A">
        <w:rPr>
          <w:rFonts w:asciiTheme="minorHAnsi" w:hAnsiTheme="minorHAnsi"/>
        </w:rPr>
        <w:t>i</w:t>
      </w:r>
      <w:r w:rsidR="00570640" w:rsidRPr="006D49EC">
        <w:rPr>
          <w:rFonts w:asciiTheme="minorHAnsi" w:hAnsiTheme="minorHAnsi"/>
        </w:rPr>
        <w:t xml:space="preserve">dine is the closest analogue to guanfacine, however, </w:t>
      </w:r>
      <w:r w:rsidR="00127B4D" w:rsidRPr="006D49EC">
        <w:rPr>
          <w:rFonts w:asciiTheme="minorHAnsi" w:hAnsiTheme="minorHAnsi"/>
        </w:rPr>
        <w:t xml:space="preserve">considered that clonidine is not a </w:t>
      </w:r>
      <w:r w:rsidR="00B94E6F" w:rsidRPr="006D49EC">
        <w:rPr>
          <w:rFonts w:asciiTheme="minorHAnsi" w:hAnsiTheme="minorHAnsi"/>
        </w:rPr>
        <w:t xml:space="preserve">relevant </w:t>
      </w:r>
      <w:r w:rsidR="00570640" w:rsidRPr="006D49EC">
        <w:rPr>
          <w:rFonts w:asciiTheme="minorHAnsi" w:hAnsiTheme="minorHAnsi"/>
        </w:rPr>
        <w:t xml:space="preserve">secondary </w:t>
      </w:r>
      <w:r w:rsidR="00127B4D" w:rsidRPr="006D49EC">
        <w:rPr>
          <w:rFonts w:asciiTheme="minorHAnsi" w:hAnsiTheme="minorHAnsi"/>
        </w:rPr>
        <w:t>comparator</w:t>
      </w:r>
      <w:r w:rsidR="00570640" w:rsidRPr="006D49EC">
        <w:rPr>
          <w:rFonts w:asciiTheme="minorHAnsi" w:hAnsiTheme="minorHAnsi"/>
        </w:rPr>
        <w:t xml:space="preserve"> given </w:t>
      </w:r>
      <w:r w:rsidR="00127B4D" w:rsidRPr="006D49EC">
        <w:rPr>
          <w:rFonts w:asciiTheme="minorHAnsi" w:hAnsiTheme="minorHAnsi"/>
        </w:rPr>
        <w:t xml:space="preserve">its off-label </w:t>
      </w:r>
      <w:r w:rsidR="00570640" w:rsidRPr="006D49EC">
        <w:rPr>
          <w:rFonts w:asciiTheme="minorHAnsi" w:hAnsiTheme="minorHAnsi"/>
        </w:rPr>
        <w:t xml:space="preserve">use is </w:t>
      </w:r>
      <w:r w:rsidR="00127B4D" w:rsidRPr="006D49EC">
        <w:rPr>
          <w:rFonts w:asciiTheme="minorHAnsi" w:hAnsiTheme="minorHAnsi"/>
        </w:rPr>
        <w:t>in a population for which it is formally not recommended.</w:t>
      </w:r>
      <w:r w:rsidR="00AA0A84" w:rsidRPr="006D49EC">
        <w:rPr>
          <w:rFonts w:asciiTheme="minorHAnsi" w:hAnsiTheme="minorHAnsi"/>
        </w:rPr>
        <w:t xml:space="preserve"> </w:t>
      </w:r>
      <w:r w:rsidR="00537ACA" w:rsidRPr="006D49EC">
        <w:rPr>
          <w:rFonts w:asciiTheme="minorHAnsi" w:hAnsiTheme="minorHAnsi"/>
        </w:rPr>
        <w:t xml:space="preserve">The PBAC agreed with the ESC and considered that clonidine is not a relevant </w:t>
      </w:r>
      <w:r w:rsidR="000067ED" w:rsidRPr="006D49EC">
        <w:rPr>
          <w:rFonts w:asciiTheme="minorHAnsi" w:hAnsiTheme="minorHAnsi"/>
        </w:rPr>
        <w:t xml:space="preserve">secondary </w:t>
      </w:r>
      <w:r w:rsidR="00537ACA" w:rsidRPr="006D49EC">
        <w:rPr>
          <w:rFonts w:asciiTheme="minorHAnsi" w:hAnsiTheme="minorHAnsi"/>
        </w:rPr>
        <w:t>comparator.</w:t>
      </w:r>
    </w:p>
    <w:p w:rsidR="00AA0A84" w:rsidRPr="006D49EC" w:rsidRDefault="00AA0A84" w:rsidP="00AA0A84">
      <w:pPr>
        <w:widowControl/>
        <w:rPr>
          <w:rFonts w:asciiTheme="minorHAnsi" w:hAnsiTheme="minorHAnsi"/>
          <w:i/>
          <w:sz w:val="24"/>
          <w:szCs w:val="24"/>
        </w:rPr>
      </w:pPr>
      <w:r w:rsidRPr="006D49EC">
        <w:rPr>
          <w:rFonts w:asciiTheme="minorHAnsi" w:hAnsiTheme="minorHAnsi"/>
          <w:i/>
          <w:sz w:val="24"/>
          <w:szCs w:val="24"/>
        </w:rPr>
        <w:t>For more detail on PBAC’s view, see section 7 “PBAC outcome”</w:t>
      </w:r>
    </w:p>
    <w:p w:rsidR="00DD48DB" w:rsidRPr="006D49EC" w:rsidRDefault="00DD48DB" w:rsidP="00E907D1">
      <w:pPr>
        <w:pStyle w:val="Heading2"/>
        <w:ind w:left="567" w:hanging="567"/>
      </w:pPr>
      <w:bookmarkStart w:id="17" w:name="_Toc413139276"/>
      <w:bookmarkStart w:id="18" w:name="_Toc476306886"/>
      <w:bookmarkStart w:id="19" w:name="_Toc480313627"/>
      <w:r w:rsidRPr="006D49EC">
        <w:t>Consideration of the evidence</w:t>
      </w:r>
      <w:bookmarkEnd w:id="17"/>
      <w:bookmarkEnd w:id="18"/>
      <w:bookmarkEnd w:id="19"/>
    </w:p>
    <w:p w:rsidR="00AA0A84" w:rsidRPr="006D49EC" w:rsidRDefault="00AA0A84" w:rsidP="00B24C96">
      <w:pPr>
        <w:pStyle w:val="Heading3"/>
        <w:rPr>
          <w:i/>
        </w:rPr>
      </w:pPr>
      <w:bookmarkStart w:id="20" w:name="_Toc413139277"/>
      <w:bookmarkStart w:id="21" w:name="_Toc476306887"/>
      <w:bookmarkStart w:id="22" w:name="_Toc480313628"/>
      <w:r w:rsidRPr="006D49EC">
        <w:rPr>
          <w:i/>
        </w:rPr>
        <w:t>Sponsor hearing</w:t>
      </w:r>
    </w:p>
    <w:p w:rsidR="00AA0A84" w:rsidRPr="006D49EC" w:rsidRDefault="00AA0A84" w:rsidP="00AA0A84">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 xml:space="preserve">The sponsor requested a hearing for this item. The clinician </w:t>
      </w:r>
      <w:r w:rsidR="005E029A" w:rsidRPr="006D49EC">
        <w:rPr>
          <w:rFonts w:asciiTheme="minorHAnsi" w:hAnsiTheme="minorHAnsi"/>
        </w:rPr>
        <w:t>described the heterogeneous causal nature of ADHD, clinical presentations of ADHD, and how patients may respond to therapies.</w:t>
      </w:r>
      <w:r w:rsidR="005E38BF" w:rsidRPr="006D49EC">
        <w:rPr>
          <w:rFonts w:asciiTheme="minorHAnsi" w:hAnsiTheme="minorHAnsi"/>
        </w:rPr>
        <w:t xml:space="preserve"> The clinician described generally good response rates to stimulant therapy, but described</w:t>
      </w:r>
      <w:r w:rsidR="00085F07" w:rsidRPr="006D49EC">
        <w:rPr>
          <w:rFonts w:asciiTheme="minorHAnsi" w:hAnsiTheme="minorHAnsi"/>
        </w:rPr>
        <w:t xml:space="preserve"> two patient groups who would benefit from access to guanfacine: (1)</w:t>
      </w:r>
      <w:r w:rsidR="005E38BF" w:rsidRPr="006D49EC">
        <w:rPr>
          <w:rFonts w:asciiTheme="minorHAnsi" w:hAnsiTheme="minorHAnsi"/>
        </w:rPr>
        <w:t xml:space="preserve"> </w:t>
      </w:r>
      <w:r w:rsidR="00C55AA3" w:rsidRPr="006D49EC">
        <w:rPr>
          <w:rFonts w:asciiTheme="minorHAnsi" w:hAnsiTheme="minorHAnsi"/>
        </w:rPr>
        <w:t>as an alternative to atomoxetine</w:t>
      </w:r>
      <w:r w:rsidR="00085F07" w:rsidRPr="006D49EC">
        <w:rPr>
          <w:rFonts w:asciiTheme="minorHAnsi" w:hAnsiTheme="minorHAnsi"/>
        </w:rPr>
        <w:t xml:space="preserve"> with a novel mechanism of action in patients who are contraindicated or intolerant to stimulants</w:t>
      </w:r>
      <w:r w:rsidR="00C55AA3" w:rsidRPr="006D49EC">
        <w:rPr>
          <w:rFonts w:asciiTheme="minorHAnsi" w:hAnsiTheme="minorHAnsi"/>
        </w:rPr>
        <w:t>, and</w:t>
      </w:r>
      <w:r w:rsidR="00085F07" w:rsidRPr="006D49EC">
        <w:rPr>
          <w:rFonts w:asciiTheme="minorHAnsi" w:hAnsiTheme="minorHAnsi"/>
        </w:rPr>
        <w:t xml:space="preserve"> (2)</w:t>
      </w:r>
      <w:r w:rsidR="00C55AA3" w:rsidRPr="006D49EC">
        <w:rPr>
          <w:rFonts w:asciiTheme="minorHAnsi" w:hAnsiTheme="minorHAnsi"/>
        </w:rPr>
        <w:t xml:space="preserve"> </w:t>
      </w:r>
      <w:r w:rsidR="00085F07" w:rsidRPr="006D49EC">
        <w:rPr>
          <w:rFonts w:asciiTheme="minorHAnsi" w:hAnsiTheme="minorHAnsi"/>
        </w:rPr>
        <w:t xml:space="preserve">as a new </w:t>
      </w:r>
      <w:r w:rsidR="00C55AA3" w:rsidRPr="006D49EC">
        <w:rPr>
          <w:rFonts w:asciiTheme="minorHAnsi" w:hAnsiTheme="minorHAnsi"/>
        </w:rPr>
        <w:t>adjunctive therapy</w:t>
      </w:r>
      <w:r w:rsidR="00085F07" w:rsidRPr="006D49EC">
        <w:rPr>
          <w:rFonts w:asciiTheme="minorHAnsi" w:hAnsiTheme="minorHAnsi"/>
        </w:rPr>
        <w:t xml:space="preserve"> option</w:t>
      </w:r>
      <w:r w:rsidR="00C55AA3" w:rsidRPr="006D49EC">
        <w:rPr>
          <w:rFonts w:asciiTheme="minorHAnsi" w:hAnsiTheme="minorHAnsi"/>
        </w:rPr>
        <w:t xml:space="preserve"> for patients who have a partial response </w:t>
      </w:r>
      <w:r w:rsidR="00085F07" w:rsidRPr="006D49EC">
        <w:rPr>
          <w:rFonts w:asciiTheme="minorHAnsi" w:hAnsiTheme="minorHAnsi"/>
        </w:rPr>
        <w:t>to stimulant therapy, as atomoxetine cannot be used for that purpose.</w:t>
      </w:r>
    </w:p>
    <w:p w:rsidR="00085F07" w:rsidRPr="006D49EC" w:rsidRDefault="00085F07" w:rsidP="00AA0A84">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 xml:space="preserve">The clinician described the difference between response and remission in ADHD using the ADHD-RS-IV scale, and that while a response may represent an improvement in ADHD, that remission was the primary objective </w:t>
      </w:r>
      <w:r w:rsidR="00537ACA" w:rsidRPr="006D49EC">
        <w:rPr>
          <w:rFonts w:asciiTheme="minorHAnsi" w:hAnsiTheme="minorHAnsi"/>
        </w:rPr>
        <w:t xml:space="preserve"> of treatment as it provided the best functional and quality of life outcomes for patients.</w:t>
      </w:r>
      <w:r w:rsidRPr="006D49EC">
        <w:rPr>
          <w:rFonts w:asciiTheme="minorHAnsi" w:hAnsiTheme="minorHAnsi"/>
        </w:rPr>
        <w:t xml:space="preserve"> The clinician </w:t>
      </w:r>
      <w:r w:rsidR="00537ACA" w:rsidRPr="006D49EC">
        <w:rPr>
          <w:rFonts w:asciiTheme="minorHAnsi" w:hAnsiTheme="minorHAnsi"/>
        </w:rPr>
        <w:t>stated that the</w:t>
      </w:r>
      <w:r w:rsidR="00981513" w:rsidRPr="006D49EC">
        <w:rPr>
          <w:rFonts w:asciiTheme="minorHAnsi" w:hAnsiTheme="minorHAnsi"/>
        </w:rPr>
        <w:t xml:space="preserve"> primary population for guanfacine would be for patients who are contraindicated or intolerant to stimulants, which represents up to approximately </w:t>
      </w:r>
      <w:r w:rsidR="00CF0A88">
        <w:rPr>
          <w:rFonts w:asciiTheme="minorHAnsi" w:hAnsiTheme="minorHAnsi"/>
          <w:noProof/>
          <w:color w:val="000000"/>
          <w:highlight w:val="black"/>
        </w:rPr>
        <w:t>''''''</w:t>
      </w:r>
      <w:r w:rsidR="00981513" w:rsidRPr="006D49EC">
        <w:rPr>
          <w:rFonts w:asciiTheme="minorHAnsi" w:hAnsiTheme="minorHAnsi"/>
        </w:rPr>
        <w:t>% of the ADHD population. The clinician stated that use of</w:t>
      </w:r>
      <w:r w:rsidR="00537ACA" w:rsidRPr="006D49EC">
        <w:rPr>
          <w:rFonts w:asciiTheme="minorHAnsi" w:hAnsiTheme="minorHAnsi"/>
        </w:rPr>
        <w:t xml:space="preserve"> guanfacine as an adjunctive therapy to stimulants</w:t>
      </w:r>
      <w:r w:rsidR="00981513" w:rsidRPr="006D49EC">
        <w:rPr>
          <w:rFonts w:asciiTheme="minorHAnsi" w:hAnsiTheme="minorHAnsi"/>
        </w:rPr>
        <w:t xml:space="preserve"> would be for a small population</w:t>
      </w:r>
      <w:r w:rsidR="00CA2514" w:rsidRPr="006D49EC">
        <w:rPr>
          <w:rFonts w:asciiTheme="minorHAnsi" w:hAnsiTheme="minorHAnsi"/>
        </w:rPr>
        <w:t xml:space="preserve"> (</w:t>
      </w:r>
      <w:r w:rsidR="00CF0A88">
        <w:rPr>
          <w:rFonts w:asciiTheme="minorHAnsi" w:hAnsiTheme="minorHAnsi"/>
          <w:noProof/>
          <w:color w:val="000000"/>
          <w:highlight w:val="black"/>
        </w:rPr>
        <w:t>'''''</w:t>
      </w:r>
      <w:r w:rsidR="00CA2514" w:rsidRPr="006D49EC">
        <w:rPr>
          <w:rFonts w:asciiTheme="minorHAnsi" w:hAnsiTheme="minorHAnsi"/>
        </w:rPr>
        <w:t>%-</w:t>
      </w:r>
      <w:r w:rsidR="00CF0A88">
        <w:rPr>
          <w:rFonts w:asciiTheme="minorHAnsi" w:hAnsiTheme="minorHAnsi"/>
          <w:noProof/>
          <w:color w:val="000000"/>
          <w:highlight w:val="black"/>
        </w:rPr>
        <w:t>'''''</w:t>
      </w:r>
      <w:r w:rsidR="00CA2514" w:rsidRPr="006D49EC">
        <w:rPr>
          <w:rFonts w:asciiTheme="minorHAnsi" w:hAnsiTheme="minorHAnsi"/>
        </w:rPr>
        <w:t>% of patients not achieving optimal response ie remission)</w:t>
      </w:r>
      <w:r w:rsidR="00981513" w:rsidRPr="006D49EC">
        <w:rPr>
          <w:rFonts w:asciiTheme="minorHAnsi" w:hAnsiTheme="minorHAnsi"/>
        </w:rPr>
        <w:t>, but</w:t>
      </w:r>
      <w:r w:rsidR="00537ACA" w:rsidRPr="006D49EC">
        <w:rPr>
          <w:rFonts w:asciiTheme="minorHAnsi" w:hAnsiTheme="minorHAnsi"/>
        </w:rPr>
        <w:t xml:space="preserve"> would help </w:t>
      </w:r>
      <w:r w:rsidR="00981513" w:rsidRPr="006D49EC">
        <w:rPr>
          <w:rFonts w:asciiTheme="minorHAnsi" w:hAnsiTheme="minorHAnsi"/>
        </w:rPr>
        <w:t xml:space="preserve">these </w:t>
      </w:r>
      <w:r w:rsidR="00537ACA" w:rsidRPr="006D49EC">
        <w:rPr>
          <w:rFonts w:asciiTheme="minorHAnsi" w:hAnsiTheme="minorHAnsi"/>
        </w:rPr>
        <w:t xml:space="preserve">patients achieve remission, </w:t>
      </w:r>
      <w:r w:rsidR="000067ED" w:rsidRPr="006D49EC">
        <w:rPr>
          <w:rFonts w:asciiTheme="minorHAnsi" w:hAnsiTheme="minorHAnsi"/>
        </w:rPr>
        <w:t xml:space="preserve">and </w:t>
      </w:r>
      <w:r w:rsidR="00537ACA" w:rsidRPr="006D49EC">
        <w:rPr>
          <w:rFonts w:asciiTheme="minorHAnsi" w:hAnsiTheme="minorHAnsi"/>
        </w:rPr>
        <w:t xml:space="preserve">that </w:t>
      </w:r>
      <w:r w:rsidR="000067ED" w:rsidRPr="006D49EC">
        <w:rPr>
          <w:rFonts w:asciiTheme="minorHAnsi" w:hAnsiTheme="minorHAnsi"/>
        </w:rPr>
        <w:t>adjun</w:t>
      </w:r>
      <w:r w:rsidR="0004146A">
        <w:rPr>
          <w:rFonts w:asciiTheme="minorHAnsi" w:hAnsiTheme="minorHAnsi"/>
        </w:rPr>
        <w:t>c</w:t>
      </w:r>
      <w:r w:rsidR="000067ED" w:rsidRPr="006D49EC">
        <w:rPr>
          <w:rFonts w:asciiTheme="minorHAnsi" w:hAnsiTheme="minorHAnsi"/>
        </w:rPr>
        <w:t>tive</w:t>
      </w:r>
      <w:r w:rsidR="00537ACA" w:rsidRPr="006D49EC">
        <w:rPr>
          <w:rFonts w:asciiTheme="minorHAnsi" w:hAnsiTheme="minorHAnsi"/>
        </w:rPr>
        <w:t xml:space="preserve"> therapy may provide combination effects with stimulants to address different types of symptoms.</w:t>
      </w:r>
    </w:p>
    <w:p w:rsidR="00537ACA" w:rsidRPr="006D49EC" w:rsidRDefault="00537ACA" w:rsidP="00AA0A84">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 xml:space="preserve">The clinician stated that the requested listing and TGA indication did not include patients 18 years and over as there is no body of evidence to support its use in these patients, but commented that from a clinician’s perspective it is </w:t>
      </w:r>
      <w:r w:rsidR="00A718BC" w:rsidRPr="006D49EC">
        <w:rPr>
          <w:rFonts w:asciiTheme="minorHAnsi" w:hAnsiTheme="minorHAnsi"/>
        </w:rPr>
        <w:t>difficult</w:t>
      </w:r>
      <w:r w:rsidRPr="006D49EC">
        <w:rPr>
          <w:rFonts w:asciiTheme="minorHAnsi" w:hAnsiTheme="minorHAnsi"/>
        </w:rPr>
        <w:t xml:space="preserve"> to cease treatment in patients who are benefiting from treatment, or to not be able to commence adult patients on therapy.</w:t>
      </w:r>
    </w:p>
    <w:p w:rsidR="00AA0A84" w:rsidRPr="006D49EC" w:rsidRDefault="00AA0A84" w:rsidP="00B24C96">
      <w:pPr>
        <w:pStyle w:val="Heading3"/>
        <w:rPr>
          <w:i/>
        </w:rPr>
      </w:pPr>
      <w:r w:rsidRPr="006D49EC">
        <w:rPr>
          <w:i/>
        </w:rPr>
        <w:t>Consumer comments</w:t>
      </w:r>
    </w:p>
    <w:p w:rsidR="00AA0A84" w:rsidRPr="006D49EC" w:rsidRDefault="00AA0A84" w:rsidP="00AA2097">
      <w:pPr>
        <w:widowControl/>
        <w:rPr>
          <w:rFonts w:asciiTheme="minorHAnsi" w:hAnsiTheme="minorHAnsi"/>
        </w:rPr>
      </w:pPr>
    </w:p>
    <w:p w:rsidR="00AA0A84" w:rsidRPr="006D49EC" w:rsidRDefault="00AA0A84" w:rsidP="00AA0A84">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The PBAC noted that no consumer comme</w:t>
      </w:r>
      <w:r w:rsidR="00AA2097" w:rsidRPr="006D49EC">
        <w:rPr>
          <w:rFonts w:asciiTheme="minorHAnsi" w:hAnsiTheme="minorHAnsi"/>
        </w:rPr>
        <w:t>nts were received for this item</w:t>
      </w:r>
      <w:r w:rsidRPr="006D49EC">
        <w:rPr>
          <w:rFonts w:asciiTheme="minorHAnsi" w:hAnsiTheme="minorHAnsi"/>
        </w:rPr>
        <w:t>.</w:t>
      </w:r>
    </w:p>
    <w:p w:rsidR="00DD48DB" w:rsidRPr="006D49EC" w:rsidRDefault="00DD48DB" w:rsidP="00B24C96">
      <w:pPr>
        <w:pStyle w:val="Heading3"/>
        <w:rPr>
          <w:i/>
        </w:rPr>
      </w:pPr>
      <w:r w:rsidRPr="006D49EC">
        <w:rPr>
          <w:i/>
        </w:rPr>
        <w:t>Clinical trials</w:t>
      </w:r>
      <w:bookmarkEnd w:id="20"/>
      <w:bookmarkEnd w:id="21"/>
      <w:bookmarkEnd w:id="22"/>
    </w:p>
    <w:p w:rsidR="00431826" w:rsidRPr="006D49EC" w:rsidRDefault="00EE7675" w:rsidP="00E907D1">
      <w:pPr>
        <w:pStyle w:val="ListParagraph"/>
        <w:widowControl/>
        <w:numPr>
          <w:ilvl w:val="1"/>
          <w:numId w:val="3"/>
        </w:numPr>
        <w:spacing w:after="0"/>
        <w:rPr>
          <w:rFonts w:asciiTheme="minorHAnsi" w:hAnsiTheme="minorHAnsi"/>
        </w:rPr>
      </w:pPr>
      <w:r w:rsidRPr="006D49EC">
        <w:rPr>
          <w:rFonts w:asciiTheme="minorHAnsi" w:hAnsiTheme="minorHAnsi"/>
        </w:rPr>
        <w:t>The submission was</w:t>
      </w:r>
      <w:r w:rsidR="00431826" w:rsidRPr="006D49EC">
        <w:rPr>
          <w:rFonts w:asciiTheme="minorHAnsi" w:hAnsiTheme="minorHAnsi"/>
        </w:rPr>
        <w:t xml:space="preserve"> based on:</w:t>
      </w:r>
    </w:p>
    <w:p w:rsidR="00431826" w:rsidRPr="006D49EC" w:rsidRDefault="00431826" w:rsidP="00FB647A">
      <w:pPr>
        <w:pStyle w:val="ListParagraph"/>
        <w:widowControl/>
        <w:numPr>
          <w:ilvl w:val="1"/>
          <w:numId w:val="9"/>
        </w:numPr>
        <w:spacing w:after="0"/>
        <w:ind w:left="851" w:hanging="284"/>
        <w:rPr>
          <w:rFonts w:asciiTheme="minorHAnsi" w:hAnsiTheme="minorHAnsi"/>
        </w:rPr>
      </w:pPr>
      <w:r w:rsidRPr="006D49EC">
        <w:rPr>
          <w:rFonts w:asciiTheme="minorHAnsi" w:hAnsiTheme="minorHAnsi"/>
        </w:rPr>
        <w:t xml:space="preserve">one head-to-head randomised trial comparing guanfacine to placebo and atomoxetine (Trial 316). </w:t>
      </w:r>
      <w:r w:rsidR="00EE7675" w:rsidRPr="006D49EC">
        <w:rPr>
          <w:rFonts w:asciiTheme="minorHAnsi" w:hAnsiTheme="minorHAnsi"/>
        </w:rPr>
        <w:t>T</w:t>
      </w:r>
      <w:r w:rsidRPr="006D49EC">
        <w:rPr>
          <w:rFonts w:asciiTheme="minorHAnsi" w:hAnsiTheme="minorHAnsi"/>
        </w:rPr>
        <w:t>he primary analysis for Trial 316 was a comparison of guanfacine and placebo</w:t>
      </w:r>
      <w:r w:rsidR="007536EE">
        <w:rPr>
          <w:rFonts w:asciiTheme="minorHAnsi" w:hAnsiTheme="minorHAnsi"/>
        </w:rPr>
        <w:t>;</w:t>
      </w:r>
      <w:r w:rsidRPr="006D49EC">
        <w:rPr>
          <w:rFonts w:asciiTheme="minorHAnsi" w:hAnsiTheme="minorHAnsi"/>
        </w:rPr>
        <w:t xml:space="preserve"> the comparison of guanfacine and atomoxetine was post-hoc; and</w:t>
      </w:r>
    </w:p>
    <w:p w:rsidR="00431826" w:rsidRPr="006D49EC" w:rsidRDefault="00431826" w:rsidP="00FB647A">
      <w:pPr>
        <w:pStyle w:val="ListParagraph"/>
        <w:widowControl/>
        <w:numPr>
          <w:ilvl w:val="1"/>
          <w:numId w:val="9"/>
        </w:numPr>
        <w:ind w:left="851" w:hanging="284"/>
        <w:contextualSpacing w:val="0"/>
        <w:rPr>
          <w:rFonts w:asciiTheme="minorHAnsi" w:hAnsiTheme="minorHAnsi"/>
        </w:rPr>
      </w:pPr>
      <w:r w:rsidRPr="006D49EC">
        <w:rPr>
          <w:rFonts w:asciiTheme="minorHAnsi" w:hAnsiTheme="minorHAnsi"/>
        </w:rPr>
        <w:t xml:space="preserve">one head-to-head trial comparing guanfacine and placebo as an adjunctive to stimulant therapy in patients with a suboptimal response to long-acting psychostimulant (ADHD-RS-IV score of </w:t>
      </w:r>
      <w:r w:rsidR="00EE7675" w:rsidRPr="006D49EC">
        <w:rPr>
          <w:rFonts w:asciiTheme="minorHAnsi" w:hAnsiTheme="minorHAnsi"/>
        </w:rPr>
        <w:t>≥</w:t>
      </w:r>
      <w:r w:rsidRPr="006D49EC">
        <w:rPr>
          <w:rFonts w:asciiTheme="minorHAnsi" w:hAnsiTheme="minorHAnsi"/>
        </w:rPr>
        <w:t xml:space="preserve">24) and having a need for additional treatment in the opinion of the Investigator (Trial 313). </w:t>
      </w:r>
    </w:p>
    <w:p w:rsidR="00431826" w:rsidRPr="006D49EC" w:rsidRDefault="00EE7675" w:rsidP="00E907D1">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T</w:t>
      </w:r>
      <w:r w:rsidR="00431826" w:rsidRPr="006D49EC">
        <w:rPr>
          <w:rFonts w:asciiTheme="minorHAnsi" w:hAnsiTheme="minorHAnsi"/>
        </w:rPr>
        <w:t xml:space="preserve">he submission </w:t>
      </w:r>
      <w:r w:rsidR="007536EE">
        <w:rPr>
          <w:rFonts w:asciiTheme="minorHAnsi" w:hAnsiTheme="minorHAnsi"/>
        </w:rPr>
        <w:t>included</w:t>
      </w:r>
      <w:r w:rsidR="00431826" w:rsidRPr="006D49EC">
        <w:rPr>
          <w:rFonts w:asciiTheme="minorHAnsi" w:hAnsiTheme="minorHAnsi"/>
        </w:rPr>
        <w:t xml:space="preserve"> an additional six trials (Trials 206, 301, 304, 307, 312 and 314) as supplementary</w:t>
      </w:r>
      <w:r w:rsidR="007536EE">
        <w:rPr>
          <w:rFonts w:asciiTheme="minorHAnsi" w:hAnsiTheme="minorHAnsi"/>
        </w:rPr>
        <w:t xml:space="preserve"> evidence.</w:t>
      </w:r>
      <w:r w:rsidR="00844084" w:rsidRPr="006D49EC">
        <w:rPr>
          <w:rFonts w:asciiTheme="minorHAnsi" w:hAnsiTheme="minorHAnsi"/>
        </w:rPr>
        <w:t xml:space="preserve"> </w:t>
      </w:r>
      <w:r w:rsidR="00431826" w:rsidRPr="006D49EC">
        <w:rPr>
          <w:rFonts w:asciiTheme="minorHAnsi" w:hAnsiTheme="minorHAnsi"/>
        </w:rPr>
        <w:t xml:space="preserve"> </w:t>
      </w:r>
    </w:p>
    <w:p w:rsidR="00EE7675" w:rsidRPr="006D49EC" w:rsidRDefault="00431826" w:rsidP="00E907D1">
      <w:pPr>
        <w:pStyle w:val="ListParagraph"/>
        <w:widowControl/>
        <w:numPr>
          <w:ilvl w:val="1"/>
          <w:numId w:val="3"/>
        </w:numPr>
        <w:ind w:left="578" w:hanging="578"/>
        <w:contextualSpacing w:val="0"/>
        <w:rPr>
          <w:rFonts w:asciiTheme="minorHAnsi" w:hAnsiTheme="minorHAnsi"/>
        </w:rPr>
      </w:pPr>
      <w:r w:rsidRPr="006D49EC">
        <w:rPr>
          <w:rFonts w:asciiTheme="minorHAnsi" w:hAnsiTheme="minorHAnsi"/>
        </w:rPr>
        <w:t xml:space="preserve">The economic analyses presented by the submission rely only on Trials 316 and 313. </w:t>
      </w:r>
    </w:p>
    <w:p w:rsidR="00DD48DB" w:rsidRDefault="00DD48DB" w:rsidP="00E907D1">
      <w:pPr>
        <w:pStyle w:val="ListParagraph"/>
        <w:widowControl/>
        <w:numPr>
          <w:ilvl w:val="1"/>
          <w:numId w:val="3"/>
        </w:numPr>
        <w:contextualSpacing w:val="0"/>
        <w:rPr>
          <w:rFonts w:asciiTheme="minorHAnsi" w:hAnsiTheme="minorHAnsi"/>
        </w:rPr>
      </w:pPr>
      <w:r w:rsidRPr="006D49EC">
        <w:rPr>
          <w:rFonts w:asciiTheme="minorHAnsi" w:hAnsiTheme="minorHAnsi"/>
        </w:rPr>
        <w:t xml:space="preserve">Details of the trials presented in the submission are provided in </w:t>
      </w:r>
      <w:r w:rsidR="00EE7675" w:rsidRPr="006D49EC">
        <w:rPr>
          <w:rFonts w:asciiTheme="minorHAnsi" w:hAnsiTheme="minorHAnsi"/>
        </w:rPr>
        <w:t>Table 2</w:t>
      </w:r>
      <w:r w:rsidRPr="006D49EC">
        <w:rPr>
          <w:rFonts w:asciiTheme="minorHAnsi" w:hAnsiTheme="minorHAnsi"/>
        </w:rPr>
        <w:t xml:space="preserve">.  </w:t>
      </w:r>
    </w:p>
    <w:p w:rsidR="006678DA" w:rsidRPr="006D49EC" w:rsidRDefault="006678DA" w:rsidP="006678DA">
      <w:pPr>
        <w:pStyle w:val="ListParagraph"/>
        <w:widowControl/>
        <w:ind w:left="576"/>
        <w:contextualSpacing w:val="0"/>
        <w:rPr>
          <w:rFonts w:asciiTheme="minorHAnsi" w:hAnsiTheme="minorHAnsi"/>
        </w:rPr>
      </w:pPr>
    </w:p>
    <w:p w:rsidR="00FB5D14" w:rsidRPr="006D49EC" w:rsidRDefault="00FB5D14" w:rsidP="00E907D1">
      <w:pPr>
        <w:pStyle w:val="Caption"/>
      </w:pPr>
      <w:r w:rsidRPr="006D49EC">
        <w:t xml:space="preserve">Table </w:t>
      </w:r>
      <w:r w:rsidR="00ED75E6" w:rsidRPr="006D49EC">
        <w:t>2</w:t>
      </w:r>
      <w:r w:rsidRPr="006D49EC">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1"/>
        <w:gridCol w:w="5992"/>
        <w:gridCol w:w="2069"/>
      </w:tblGrid>
      <w:tr w:rsidR="00EE7675" w:rsidRPr="006D49EC" w:rsidTr="00E907D1">
        <w:trPr>
          <w:tblHeader/>
        </w:trPr>
        <w:tc>
          <w:tcPr>
            <w:tcW w:w="562" w:type="pct"/>
          </w:tcPr>
          <w:p w:rsidR="00EE7675" w:rsidRPr="006D49EC" w:rsidRDefault="00EE7675" w:rsidP="00E907D1">
            <w:pPr>
              <w:widowControl/>
              <w:jc w:val="left"/>
              <w:rPr>
                <w:rFonts w:ascii="Arial Narrow" w:hAnsi="Arial Narrow"/>
                <w:b/>
                <w:sz w:val="20"/>
              </w:rPr>
            </w:pPr>
            <w:r w:rsidRPr="006D49EC">
              <w:rPr>
                <w:rFonts w:ascii="Arial Narrow" w:hAnsi="Arial Narrow"/>
                <w:b/>
                <w:sz w:val="20"/>
              </w:rPr>
              <w:t>Trial</w:t>
            </w:r>
          </w:p>
        </w:tc>
        <w:tc>
          <w:tcPr>
            <w:tcW w:w="3299" w:type="pct"/>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Protocol title / Publication title</w:t>
            </w:r>
          </w:p>
        </w:tc>
        <w:tc>
          <w:tcPr>
            <w:tcW w:w="1139" w:type="pct"/>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Publication citation</w:t>
            </w:r>
          </w:p>
        </w:tc>
      </w:tr>
      <w:tr w:rsidR="00EE7675" w:rsidRPr="006D49EC" w:rsidTr="00A54901">
        <w:tc>
          <w:tcPr>
            <w:tcW w:w="5000" w:type="pct"/>
            <w:gridSpan w:val="3"/>
          </w:tcPr>
          <w:p w:rsidR="00EE7675" w:rsidRPr="006D49EC" w:rsidRDefault="00EE7675" w:rsidP="00E907D1">
            <w:pPr>
              <w:widowControl/>
              <w:jc w:val="left"/>
              <w:rPr>
                <w:rFonts w:ascii="Arial Narrow" w:hAnsi="Arial Narrow"/>
                <w:b/>
                <w:sz w:val="20"/>
              </w:rPr>
            </w:pPr>
            <w:r w:rsidRPr="006D49EC">
              <w:rPr>
                <w:rFonts w:ascii="Arial Narrow" w:hAnsi="Arial Narrow"/>
                <w:b/>
                <w:sz w:val="20"/>
              </w:rPr>
              <w:t>Direct randomised trials</w:t>
            </w:r>
          </w:p>
        </w:tc>
      </w:tr>
      <w:tr w:rsidR="00EE7675" w:rsidRPr="006D49EC" w:rsidTr="00A54901">
        <w:tc>
          <w:tcPr>
            <w:tcW w:w="5000" w:type="pct"/>
            <w:gridSpan w:val="3"/>
          </w:tcPr>
          <w:p w:rsidR="00EE7675" w:rsidRPr="006D49EC" w:rsidRDefault="00EE7675" w:rsidP="00E907D1">
            <w:pPr>
              <w:widowControl/>
              <w:jc w:val="left"/>
              <w:rPr>
                <w:rFonts w:ascii="Arial Narrow" w:hAnsi="Arial Narrow"/>
                <w:b/>
                <w:sz w:val="20"/>
              </w:rPr>
            </w:pPr>
            <w:r w:rsidRPr="006D49EC">
              <w:rPr>
                <w:rFonts w:ascii="Arial Narrow" w:hAnsi="Arial Narrow"/>
                <w:b/>
                <w:sz w:val="20"/>
              </w:rPr>
              <w:t>Guanfacine versus atomoxetine (and placebo)</w:t>
            </w:r>
          </w:p>
        </w:tc>
      </w:tr>
      <w:tr w:rsidR="00EE7675" w:rsidRPr="006D49EC" w:rsidTr="00A54901">
        <w:tc>
          <w:tcPr>
            <w:tcW w:w="562" w:type="pct"/>
            <w:vMerge w:val="restart"/>
          </w:tcPr>
          <w:p w:rsidR="00EE7675" w:rsidRPr="006D49EC" w:rsidRDefault="00EE7675" w:rsidP="00E907D1">
            <w:pPr>
              <w:widowControl/>
              <w:jc w:val="left"/>
              <w:rPr>
                <w:rFonts w:ascii="Arial Narrow" w:hAnsi="Arial Narrow"/>
                <w:sz w:val="20"/>
              </w:rPr>
            </w:pPr>
            <w:r w:rsidRPr="006D49EC">
              <w:rPr>
                <w:rFonts w:ascii="Arial Narrow" w:hAnsi="Arial Narrow"/>
                <w:sz w:val="20"/>
              </w:rPr>
              <w:t>Trial 316</w:t>
            </w:r>
          </w:p>
        </w:tc>
        <w:tc>
          <w:tcPr>
            <w:tcW w:w="3299" w:type="pct"/>
            <w:tcBorders>
              <w:bottom w:val="single" w:sz="4" w:space="0" w:color="auto"/>
            </w:tcBorders>
          </w:tcPr>
          <w:p w:rsidR="00EE7675" w:rsidRPr="006D49EC" w:rsidRDefault="00EE7675" w:rsidP="00E907D1">
            <w:pPr>
              <w:widowControl/>
              <w:jc w:val="left"/>
              <w:rPr>
                <w:rFonts w:ascii="Arial Narrow" w:hAnsi="Arial Narrow"/>
                <w:b/>
                <w:sz w:val="20"/>
              </w:rPr>
            </w:pPr>
            <w:r w:rsidRPr="006D49EC">
              <w:rPr>
                <w:rFonts w:ascii="Arial Narrow" w:hAnsi="Arial Narrow"/>
                <w:sz w:val="20"/>
              </w:rPr>
              <w:t>A Phase 3, Randomised, Double-blind, Multicentre, Parallel-Group, Placebo- and Active-reference, Dose-optimisation Efficacy and Safety Study of Extended-release Guanfacine Hydrochloride in Children and Adolescents Ages 6-17 Years With Attention-Deficit/Hyperactivity Disorder</w:t>
            </w:r>
          </w:p>
        </w:tc>
        <w:tc>
          <w:tcPr>
            <w:tcW w:w="1139" w:type="pct"/>
            <w:tcBorders>
              <w:bottom w:val="single" w:sz="4" w:space="0" w:color="auto"/>
            </w:tcBorders>
          </w:tcPr>
          <w:p w:rsidR="00EE7675" w:rsidRPr="006D49EC" w:rsidRDefault="00EE7675" w:rsidP="00E907D1">
            <w:pPr>
              <w:widowControl/>
              <w:jc w:val="left"/>
              <w:rPr>
                <w:rFonts w:ascii="Arial Narrow" w:hAnsi="Arial Narrow"/>
                <w:b/>
                <w:sz w:val="20"/>
              </w:rPr>
            </w:pPr>
            <w:r w:rsidRPr="006D49EC">
              <w:rPr>
                <w:rFonts w:ascii="Arial Narrow" w:hAnsi="Arial Narrow"/>
                <w:sz w:val="20"/>
              </w:rPr>
              <w:t>15 October 2013</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Borders>
              <w:top w:val="single" w:sz="4" w:space="0" w:color="auto"/>
              <w:bottom w:val="single" w:sz="4" w:space="0" w:color="auto"/>
              <w:right w:val="single" w:sz="4" w:space="0" w:color="auto"/>
            </w:tcBorders>
          </w:tcPr>
          <w:p w:rsidR="00EE7675" w:rsidRPr="006D49EC" w:rsidRDefault="00EE7675" w:rsidP="00E907D1">
            <w:pPr>
              <w:widowControl/>
              <w:pBdr>
                <w:left w:val="single" w:sz="4" w:space="4" w:color="auto"/>
              </w:pBdr>
              <w:jc w:val="left"/>
              <w:rPr>
                <w:rFonts w:ascii="Arial Narrow" w:hAnsi="Arial Narrow"/>
                <w:sz w:val="20"/>
              </w:rPr>
            </w:pPr>
            <w:r w:rsidRPr="006D49EC">
              <w:rPr>
                <w:rFonts w:ascii="Arial Narrow" w:hAnsi="Arial Narrow"/>
                <w:bCs/>
                <w:sz w:val="20"/>
              </w:rPr>
              <w:t>Hervas A, Huss M, Johnson M, et al. Efficacy and safety of extended-release guanfacine hydrochloride in children and adolescents with attention-deficit/hyperactivity disorder: A randomized, controlled, Phase III trial.</w:t>
            </w:r>
          </w:p>
        </w:tc>
        <w:tc>
          <w:tcPr>
            <w:tcW w:w="1139" w:type="pct"/>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bCs/>
                <w:sz w:val="20"/>
              </w:rPr>
              <w:t>Eur. Neuropsychopharmacol.</w:t>
            </w:r>
            <w:r w:rsidRPr="006D49EC" w:rsidDel="00B70053">
              <w:rPr>
                <w:rFonts w:ascii="Arial Narrow" w:hAnsi="Arial Narrow"/>
                <w:bCs/>
                <w:sz w:val="20"/>
              </w:rPr>
              <w:t xml:space="preserve"> </w:t>
            </w:r>
            <w:r w:rsidRPr="006D49EC">
              <w:rPr>
                <w:rFonts w:ascii="Arial Narrow" w:hAnsi="Arial Narrow"/>
                <w:bCs/>
                <w:sz w:val="20"/>
              </w:rPr>
              <w:t>2014; 24(12): 1861-1872</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Borders>
              <w:top w:val="single" w:sz="4" w:space="0" w:color="auto"/>
              <w:bottom w:val="single" w:sz="4" w:space="0" w:color="auto"/>
              <w:right w:val="single" w:sz="4" w:space="0" w:color="auto"/>
            </w:tcBorders>
          </w:tcPr>
          <w:p w:rsidR="00EE7675" w:rsidRPr="006D49EC" w:rsidRDefault="00EE7675" w:rsidP="00E907D1">
            <w:pPr>
              <w:widowControl/>
              <w:pBdr>
                <w:left w:val="single" w:sz="4" w:space="4" w:color="auto"/>
              </w:pBdr>
              <w:jc w:val="left"/>
              <w:rPr>
                <w:rFonts w:ascii="Arial Narrow" w:hAnsi="Arial Narrow"/>
                <w:sz w:val="20"/>
              </w:rPr>
            </w:pPr>
            <w:r w:rsidRPr="006D49EC">
              <w:rPr>
                <w:rFonts w:ascii="Arial Narrow" w:hAnsi="Arial Narrow"/>
                <w:bCs/>
                <w:sz w:val="20"/>
              </w:rPr>
              <w:t>Hervás A, Johnson M, McNicholas F, et al. Clinical global impressions-improvement scores by visit in a European, randomized, double-blind, placebo and active-controlled clinical trial of guanfacine extended release in children and adolescents with attention-deficit/hyperactivity disorder.</w:t>
            </w:r>
          </w:p>
        </w:tc>
        <w:tc>
          <w:tcPr>
            <w:tcW w:w="1139" w:type="pct"/>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bCs/>
                <w:sz w:val="20"/>
              </w:rPr>
              <w:t>Eur. Child Adolesc. Psychiatry</w:t>
            </w:r>
            <w:r w:rsidRPr="006D49EC" w:rsidDel="00B70053">
              <w:rPr>
                <w:rFonts w:ascii="Arial Narrow" w:hAnsi="Arial Narrow"/>
                <w:bCs/>
                <w:sz w:val="20"/>
              </w:rPr>
              <w:t xml:space="preserve"> </w:t>
            </w:r>
            <w:r w:rsidRPr="006D49EC">
              <w:rPr>
                <w:rFonts w:ascii="Arial Narrow" w:hAnsi="Arial Narrow"/>
                <w:bCs/>
                <w:sz w:val="20"/>
              </w:rPr>
              <w:t>2015; 24(1): S138</w:t>
            </w:r>
          </w:p>
        </w:tc>
      </w:tr>
      <w:tr w:rsidR="00EE7675" w:rsidRPr="006D49EC" w:rsidTr="00A54901">
        <w:tc>
          <w:tcPr>
            <w:tcW w:w="562" w:type="pct"/>
            <w:vMerge/>
            <w:tcBorders>
              <w:bottom w:val="nil"/>
            </w:tcBorders>
          </w:tcPr>
          <w:p w:rsidR="00EE7675" w:rsidRPr="006D49EC" w:rsidRDefault="00EE7675" w:rsidP="00E907D1">
            <w:pPr>
              <w:widowControl/>
              <w:jc w:val="left"/>
              <w:rPr>
                <w:rFonts w:ascii="Arial Narrow" w:hAnsi="Arial Narrow"/>
                <w:sz w:val="20"/>
              </w:rPr>
            </w:pPr>
          </w:p>
        </w:tc>
        <w:tc>
          <w:tcPr>
            <w:tcW w:w="3299" w:type="pct"/>
            <w:tcBorders>
              <w:top w:val="single" w:sz="4" w:space="0" w:color="auto"/>
              <w:bottom w:val="single" w:sz="4" w:space="0" w:color="auto"/>
              <w:right w:val="single" w:sz="4" w:space="0" w:color="auto"/>
            </w:tcBorders>
          </w:tcPr>
          <w:p w:rsidR="00EE7675" w:rsidRPr="006D49EC" w:rsidRDefault="00EE7675" w:rsidP="00E907D1">
            <w:pPr>
              <w:widowControl/>
              <w:pBdr>
                <w:left w:val="single" w:sz="4" w:space="4" w:color="auto"/>
              </w:pBdr>
              <w:jc w:val="left"/>
              <w:rPr>
                <w:rFonts w:ascii="Arial Narrow" w:hAnsi="Arial Narrow"/>
                <w:sz w:val="20"/>
              </w:rPr>
            </w:pPr>
            <w:r w:rsidRPr="006D49EC">
              <w:rPr>
                <w:rFonts w:ascii="Arial Narrow" w:hAnsi="Arial Narrow"/>
                <w:bCs/>
                <w:sz w:val="20"/>
              </w:rPr>
              <w:t>Huss M, Johnson M, McNicholas F, et al. Attention-deficit/hyperactivity disorder rating scale IV subscale analysis by visit in a European, phase 3, randomized, double-blind clinical trial of guanfacine extended release in children and adolescents with attention-deficit/hyperactivity deficit.</w:t>
            </w:r>
          </w:p>
        </w:tc>
        <w:tc>
          <w:tcPr>
            <w:tcW w:w="1139" w:type="pct"/>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bCs/>
                <w:sz w:val="20"/>
              </w:rPr>
              <w:t>Eur. Child Adolesc. Psychiatry</w:t>
            </w:r>
            <w:r w:rsidRPr="006D49EC" w:rsidDel="00B70053">
              <w:rPr>
                <w:rFonts w:ascii="Arial Narrow" w:hAnsi="Arial Narrow"/>
                <w:bCs/>
                <w:sz w:val="20"/>
              </w:rPr>
              <w:t xml:space="preserve"> </w:t>
            </w:r>
            <w:r w:rsidRPr="006D49EC">
              <w:rPr>
                <w:rFonts w:ascii="Arial Narrow" w:hAnsi="Arial Narrow"/>
                <w:bCs/>
                <w:sz w:val="20"/>
              </w:rPr>
              <w:t>2015; 24(1): S133-S134</w:t>
            </w:r>
          </w:p>
        </w:tc>
      </w:tr>
      <w:tr w:rsidR="00EE7675" w:rsidRPr="006D49EC" w:rsidTr="00A54901">
        <w:tc>
          <w:tcPr>
            <w:tcW w:w="5000" w:type="pct"/>
            <w:gridSpan w:val="3"/>
            <w:tcBorders>
              <w:top w:val="single" w:sz="4" w:space="0" w:color="auto"/>
              <w:bottom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b/>
                <w:sz w:val="20"/>
              </w:rPr>
              <w:t>Guanfacine + stimulant versus placebo + stimulant</w:t>
            </w:r>
          </w:p>
        </w:tc>
      </w:tr>
      <w:tr w:rsidR="00EE7675" w:rsidRPr="006D49EC" w:rsidTr="00A54901">
        <w:tc>
          <w:tcPr>
            <w:tcW w:w="562" w:type="pct"/>
            <w:vMerge w:val="restart"/>
            <w:tcBorders>
              <w:top w:val="nil"/>
              <w:left w:val="single" w:sz="4" w:space="0" w:color="auto"/>
              <w:right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sz w:val="20"/>
              </w:rPr>
              <w:t>Trial 313</w:t>
            </w:r>
          </w:p>
        </w:tc>
        <w:tc>
          <w:tcPr>
            <w:tcW w:w="3299" w:type="pct"/>
            <w:tcBorders>
              <w:left w:val="single" w:sz="4" w:space="0" w:color="auto"/>
              <w:bottom w:val="single" w:sz="4" w:space="0" w:color="auto"/>
            </w:tcBorders>
          </w:tcPr>
          <w:p w:rsidR="00EE7675" w:rsidRPr="006D49EC" w:rsidRDefault="00EE7675" w:rsidP="00E907D1">
            <w:pPr>
              <w:widowControl/>
              <w:jc w:val="left"/>
              <w:rPr>
                <w:rFonts w:ascii="Arial Narrow" w:hAnsi="Arial Narrow"/>
                <w:bCs/>
                <w:sz w:val="20"/>
              </w:rPr>
            </w:pPr>
            <w:r w:rsidRPr="006D49EC">
              <w:rPr>
                <w:rFonts w:ascii="Arial Narrow" w:hAnsi="Arial Narrow"/>
                <w:bCs/>
                <w:sz w:val="20"/>
              </w:rPr>
              <w:t>A Phase 3, Double-blind, Randomized, Placebo-controlled, Multicenter, Dose-optimization Study Evaluating the Efficacy and Safety of SPD503 in Combination With Psychostimulants in Children and Adolescents Aged 6-17 Years With a Diagnosis of Attention-deficit Hyperactivity Disorder (ADHD)</w:t>
            </w:r>
          </w:p>
        </w:tc>
        <w:tc>
          <w:tcPr>
            <w:tcW w:w="1139" w:type="pct"/>
            <w:tcBorders>
              <w:bottom w:val="single" w:sz="4" w:space="0" w:color="auto"/>
            </w:tcBorders>
          </w:tcPr>
          <w:p w:rsidR="00EE7675" w:rsidRPr="006D49EC" w:rsidRDefault="00EE7675" w:rsidP="00E907D1">
            <w:pPr>
              <w:widowControl/>
              <w:jc w:val="left"/>
              <w:rPr>
                <w:rFonts w:ascii="Arial Narrow" w:hAnsi="Arial Narrow"/>
                <w:bCs/>
                <w:sz w:val="20"/>
              </w:rPr>
            </w:pPr>
            <w:r w:rsidRPr="006D49EC">
              <w:rPr>
                <w:rFonts w:ascii="Arial Narrow" w:hAnsi="Arial Narrow"/>
                <w:bCs/>
                <w:sz w:val="20"/>
              </w:rPr>
              <w:t>30 March 2010</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Borders>
              <w:bottom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bCs/>
                <w:sz w:val="20"/>
              </w:rPr>
              <w:t>Wilens TE, Bukstein O, Brams M, et al. A controlled trial of extended-release guanfacine and psychostimulants for attention-deficit/hyperactivity disorder.</w:t>
            </w:r>
          </w:p>
        </w:tc>
        <w:tc>
          <w:tcPr>
            <w:tcW w:w="1139" w:type="pct"/>
            <w:tcBorders>
              <w:bottom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sz w:val="20"/>
              </w:rPr>
              <w:t>J. Am. Acad. Child Adolesc. Psychiatry 2012; 51(1): 74-85</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Borders>
              <w:top w:val="single" w:sz="4" w:space="0" w:color="auto"/>
              <w:bottom w:val="single" w:sz="4" w:space="0" w:color="auto"/>
              <w:right w:val="single" w:sz="4" w:space="0" w:color="auto"/>
            </w:tcBorders>
          </w:tcPr>
          <w:p w:rsidR="00EE7675" w:rsidRPr="006D49EC" w:rsidRDefault="00EE7675" w:rsidP="00E907D1">
            <w:pPr>
              <w:widowControl/>
              <w:pBdr>
                <w:left w:val="single" w:sz="4" w:space="4" w:color="auto"/>
              </w:pBdr>
              <w:jc w:val="left"/>
              <w:rPr>
                <w:rFonts w:ascii="Arial Narrow" w:hAnsi="Arial Narrow"/>
                <w:sz w:val="20"/>
              </w:rPr>
            </w:pPr>
            <w:r w:rsidRPr="006D49EC">
              <w:rPr>
                <w:rFonts w:ascii="Arial Narrow" w:hAnsi="Arial Narrow"/>
                <w:bCs/>
                <w:sz w:val="20"/>
              </w:rPr>
              <w:t>Findling RL, McBurnett K, White C &amp; Youcha S. Guanfacine extended release adjunctive to a psychostimulant in the treatment of comorbid oppositional symptoms in children and adolescents with attention-deficit/hyperactivity disorder.</w:t>
            </w:r>
          </w:p>
        </w:tc>
        <w:tc>
          <w:tcPr>
            <w:tcW w:w="1139" w:type="pct"/>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bCs/>
                <w:sz w:val="20"/>
              </w:rPr>
              <w:t>J. Child Adolesc. Psychopharmacol.</w:t>
            </w:r>
            <w:r w:rsidRPr="006D49EC" w:rsidDel="00B70053">
              <w:rPr>
                <w:rFonts w:ascii="Arial Narrow" w:hAnsi="Arial Narrow"/>
                <w:bCs/>
                <w:sz w:val="20"/>
              </w:rPr>
              <w:t xml:space="preserve"> </w:t>
            </w:r>
            <w:r w:rsidRPr="006D49EC">
              <w:rPr>
                <w:rFonts w:ascii="Arial Narrow" w:hAnsi="Arial Narrow"/>
                <w:bCs/>
                <w:sz w:val="20"/>
              </w:rPr>
              <w:t>2014; 24(5): 245-252</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Borders>
              <w:top w:val="single" w:sz="4" w:space="0" w:color="auto"/>
              <w:bottom w:val="single" w:sz="4" w:space="0" w:color="auto"/>
              <w:right w:val="single" w:sz="4" w:space="0" w:color="auto"/>
            </w:tcBorders>
          </w:tcPr>
          <w:p w:rsidR="00EE7675" w:rsidRPr="006D49EC" w:rsidRDefault="00EE7675" w:rsidP="00E907D1">
            <w:pPr>
              <w:widowControl/>
              <w:pBdr>
                <w:left w:val="single" w:sz="4" w:space="4" w:color="auto"/>
              </w:pBdr>
              <w:jc w:val="left"/>
              <w:rPr>
                <w:rFonts w:ascii="Arial Narrow" w:hAnsi="Arial Narrow"/>
                <w:sz w:val="20"/>
              </w:rPr>
            </w:pPr>
            <w:r w:rsidRPr="006D49EC">
              <w:rPr>
                <w:rFonts w:ascii="Arial Narrow" w:hAnsi="Arial Narrow"/>
                <w:bCs/>
                <w:sz w:val="20"/>
              </w:rPr>
              <w:t>Cutler AJ, Brams M, Bukstein O, et al. Response/remission with guanfacine extended-release and psychostimulants in children and adolescents with attention-deficit/hyperactivity disorder.</w:t>
            </w:r>
          </w:p>
        </w:tc>
        <w:tc>
          <w:tcPr>
            <w:tcW w:w="1139" w:type="pct"/>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J. Am. Acad. Child Adolesc. Psychiatry </w:t>
            </w:r>
            <w:r w:rsidRPr="006D49EC">
              <w:rPr>
                <w:rFonts w:ascii="Arial Narrow" w:hAnsi="Arial Narrow"/>
                <w:bCs/>
                <w:sz w:val="20"/>
              </w:rPr>
              <w:t>2014; 53(10): 1092-1101</w:t>
            </w:r>
          </w:p>
        </w:tc>
      </w:tr>
      <w:tr w:rsidR="00EE7675" w:rsidRPr="006D49EC" w:rsidTr="00A54901">
        <w:tc>
          <w:tcPr>
            <w:tcW w:w="5000" w:type="pct"/>
            <w:gridSpan w:val="3"/>
          </w:tcPr>
          <w:p w:rsidR="00EE7675" w:rsidRPr="006D49EC" w:rsidRDefault="00EE7675" w:rsidP="00E907D1">
            <w:pPr>
              <w:widowControl/>
              <w:jc w:val="left"/>
              <w:rPr>
                <w:rFonts w:ascii="Arial Narrow" w:hAnsi="Arial Narrow"/>
                <w:b/>
                <w:sz w:val="20"/>
              </w:rPr>
            </w:pPr>
            <w:r w:rsidRPr="006D49EC">
              <w:rPr>
                <w:rFonts w:ascii="Arial Narrow" w:hAnsi="Arial Narrow"/>
                <w:b/>
                <w:sz w:val="20"/>
              </w:rPr>
              <w:t>Guanfacine versus placebo</w:t>
            </w:r>
          </w:p>
        </w:tc>
      </w:tr>
      <w:tr w:rsidR="00EE7675" w:rsidRPr="006D49EC" w:rsidTr="00A54901">
        <w:tc>
          <w:tcPr>
            <w:tcW w:w="562" w:type="pct"/>
            <w:vMerge w:val="restart"/>
          </w:tcPr>
          <w:p w:rsidR="00EE7675" w:rsidRPr="006D49EC" w:rsidRDefault="00EE7675" w:rsidP="00E907D1">
            <w:pPr>
              <w:widowControl/>
              <w:jc w:val="left"/>
              <w:rPr>
                <w:rFonts w:ascii="Arial Narrow" w:hAnsi="Arial Narrow"/>
                <w:sz w:val="20"/>
              </w:rPr>
            </w:pPr>
            <w:r w:rsidRPr="006D49EC">
              <w:rPr>
                <w:rFonts w:ascii="Arial Narrow" w:hAnsi="Arial Narrow"/>
                <w:sz w:val="20"/>
              </w:rPr>
              <w:t>Trial 206</w:t>
            </w: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A phase II study to assess the safety, tolerability and efficacy of SPD503 administered to children and adolescents aged 6-17 years with attention-deficit/hyperactivity disorder (ADHD)</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24 April 2006</w:t>
            </w:r>
          </w:p>
        </w:tc>
      </w:tr>
      <w:tr w:rsidR="00EE7675" w:rsidRPr="006D49EC" w:rsidTr="00A54901">
        <w:tc>
          <w:tcPr>
            <w:tcW w:w="562" w:type="pct"/>
            <w:vMerge/>
          </w:tcPr>
          <w:p w:rsidR="00EE7675" w:rsidRPr="006D49EC" w:rsidDel="00B75ABA"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Kollins SH, López FA, Vince BD, et al. Psychomotor functioning and alertness with guanfacine extended release in subjects with attention-deficit/hyperactivity disorder.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bCs/>
                <w:sz w:val="20"/>
              </w:rPr>
              <w:t>J. Child Adolesc. Psychopharmacol.</w:t>
            </w:r>
            <w:r w:rsidRPr="006D49EC" w:rsidDel="00B70053">
              <w:rPr>
                <w:rFonts w:ascii="Arial Narrow" w:hAnsi="Arial Narrow"/>
                <w:bCs/>
                <w:sz w:val="20"/>
              </w:rPr>
              <w:t xml:space="preserve"> </w:t>
            </w:r>
            <w:r w:rsidRPr="006D49EC">
              <w:rPr>
                <w:rFonts w:ascii="Arial Narrow" w:hAnsi="Arial Narrow"/>
                <w:sz w:val="20"/>
              </w:rPr>
              <w:t xml:space="preserve">2011, 21(2): 111-120. </w:t>
            </w:r>
          </w:p>
        </w:tc>
      </w:tr>
      <w:tr w:rsidR="00EE7675" w:rsidRPr="006D49EC" w:rsidTr="00A54901">
        <w:tc>
          <w:tcPr>
            <w:tcW w:w="562" w:type="pct"/>
            <w:vMerge w:val="restart"/>
          </w:tcPr>
          <w:p w:rsidR="00EE7675" w:rsidRPr="006D49EC" w:rsidRDefault="00EE7675" w:rsidP="00E907D1">
            <w:pPr>
              <w:widowControl/>
              <w:jc w:val="left"/>
              <w:rPr>
                <w:rFonts w:ascii="Arial Narrow" w:hAnsi="Arial Narrow"/>
                <w:sz w:val="20"/>
              </w:rPr>
            </w:pPr>
            <w:r w:rsidRPr="006D49EC">
              <w:rPr>
                <w:rFonts w:ascii="Arial Narrow" w:hAnsi="Arial Narrow"/>
                <w:sz w:val="20"/>
              </w:rPr>
              <w:t>Trial 301</w:t>
            </w: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A phase III, randomised, multi-center, double-blind, parallel-group, placebo controlled safety and efficacy study of SPD503 in children and adolescents aged 6-17 with attention deficit hyperactivity disorder (ADHD)</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16 March 2006</w:t>
            </w:r>
          </w:p>
        </w:tc>
      </w:tr>
      <w:tr w:rsidR="00EE7675" w:rsidRPr="006D49EC" w:rsidTr="00A54901">
        <w:tc>
          <w:tcPr>
            <w:tcW w:w="562" w:type="pct"/>
            <w:vMerge/>
          </w:tcPr>
          <w:p w:rsidR="00EE7675" w:rsidRPr="006D49EC" w:rsidDel="00B75ABA"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Biederman J, Melmed RD, Patel A, et al. A randomized, double-blind, placebo-controlled study of guanfacine extended release in children and adolescents with attention-deficit/hyperactivity disorder.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Pediatr. 2008, 121(1): e73-e84.</w:t>
            </w:r>
          </w:p>
        </w:tc>
      </w:tr>
      <w:tr w:rsidR="00EE7675" w:rsidRPr="006D49EC" w:rsidTr="00A54901">
        <w:tc>
          <w:tcPr>
            <w:tcW w:w="562" w:type="pct"/>
            <w:vMerge w:val="restart"/>
          </w:tcPr>
          <w:p w:rsidR="00EE7675" w:rsidRPr="006D49EC" w:rsidDel="00B75ABA" w:rsidRDefault="00EE7675" w:rsidP="00E907D1">
            <w:pPr>
              <w:widowControl/>
              <w:jc w:val="left"/>
              <w:rPr>
                <w:rFonts w:ascii="Arial Narrow" w:hAnsi="Arial Narrow"/>
                <w:sz w:val="20"/>
              </w:rPr>
            </w:pPr>
            <w:r w:rsidRPr="006D49EC">
              <w:rPr>
                <w:rFonts w:ascii="Arial Narrow" w:hAnsi="Arial Narrow"/>
                <w:sz w:val="20"/>
              </w:rPr>
              <w:t>Trial 304</w:t>
            </w: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A phase II study to assess the safety, tolerability and efficacy of SPD503 administered to children and adolescents aged 6-17 with attention-deficit/hyperactivity disorder (ADHD)</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2 May 2006</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Sallee FR, McGough J, Wigal T, et al. Guanfacine extended release in children and adolescents with attention-deficit/hyperactivity disorder: A placebo-controlled trial.</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J. Am. Acad. Child Adolesc. Psychiatry 2009, 48(2): 155-165</w:t>
            </w:r>
          </w:p>
        </w:tc>
      </w:tr>
      <w:tr w:rsidR="00EE7675" w:rsidRPr="006D49EC" w:rsidTr="00A54901">
        <w:tc>
          <w:tcPr>
            <w:tcW w:w="562" w:type="pct"/>
            <w:vMerge w:val="restart"/>
          </w:tcPr>
          <w:p w:rsidR="00EE7675" w:rsidRPr="006D49EC" w:rsidDel="00B75ABA" w:rsidRDefault="00EE7675" w:rsidP="00E907D1">
            <w:pPr>
              <w:widowControl/>
              <w:jc w:val="left"/>
              <w:rPr>
                <w:rFonts w:ascii="Arial Narrow" w:hAnsi="Arial Narrow"/>
                <w:sz w:val="20"/>
              </w:rPr>
            </w:pPr>
            <w:r w:rsidRPr="006D49EC">
              <w:rPr>
                <w:rFonts w:ascii="Arial Narrow" w:hAnsi="Arial Narrow"/>
                <w:sz w:val="20"/>
              </w:rPr>
              <w:t>Trial 307</w:t>
            </w: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A double-blind, randomized, multi-center, flexible dose study evaluating the efficacy and safety of SPD503 in children aged 6-12 with symptoms of oppositionality and a diagnosis of attention-deficit/hyperactivity disorder</w:t>
            </w:r>
          </w:p>
        </w:tc>
        <w:tc>
          <w:tcPr>
            <w:tcW w:w="1139" w:type="pct"/>
          </w:tcPr>
          <w:p w:rsidR="00EE7675" w:rsidRPr="006D49EC" w:rsidRDefault="00EE7675" w:rsidP="00E907D1">
            <w:pPr>
              <w:widowControl/>
              <w:jc w:val="left"/>
              <w:rPr>
                <w:rFonts w:ascii="Arial Narrow" w:hAnsi="Arial Narrow"/>
                <w:sz w:val="20"/>
              </w:rPr>
            </w:pP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Connor D, Kollins S, Findling R, et al. Effects of guanfacine extended release in children aged 6 to 12 years with oppositional symptoms and a diagnosis of attention-deficit/ hyperactivity disorder.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Biol. Psychiatry 2010, 67(9): 217S. </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Connor DF, Findling RL, Kollins SH, et al. Effects of guanfacine extended release on oppositional symptoms in children aged 612 years with attention-deficit hyperactivity disorder and oppositional symptoms: A randomized, double-blind, placebo-controlled trial.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CNS Drugs 2010, 24(9): 755-768.</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Lopez FA, Lyne A &amp; Youcha S. Efficacy of guanfacine extended release in children with oppositional symptoms and attention-deficit/hyperactivity disorder: A responder analysis. </w:t>
            </w:r>
          </w:p>
        </w:tc>
        <w:tc>
          <w:tcPr>
            <w:tcW w:w="1139" w:type="pct"/>
          </w:tcPr>
          <w:p w:rsidR="00EE7675" w:rsidRPr="006D49EC" w:rsidRDefault="00EE7675" w:rsidP="00E907D1">
            <w:pPr>
              <w:widowControl/>
              <w:jc w:val="left"/>
              <w:rPr>
                <w:rFonts w:ascii="Arial Narrow" w:hAnsi="Arial Narrow"/>
                <w:sz w:val="20"/>
              </w:rPr>
            </w:pPr>
            <w:r w:rsidRPr="006D49EC">
              <w:rPr>
                <w:sz w:val="20"/>
              </w:rPr>
              <w:t>‎</w:t>
            </w:r>
            <w:r w:rsidRPr="006D49EC">
              <w:rPr>
                <w:rFonts w:ascii="Arial Narrow" w:hAnsi="Arial Narrow"/>
                <w:sz w:val="20"/>
              </w:rPr>
              <w:t>J. Pharm. Pract. 2010, 23(2): 155-156.</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Sallee F, Spencer T, Connor D, et al. 2009. Effects of guanfacine extended release on secondary measures in children with attention- deficit/hyperactivity disorder and oppositional symptoms.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Biol. Psychiatry 2009, 65(8): 149S.</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Youcha S, Sallee FR, Connor DF, et al. Effects of guanfacine extended release on individual oppositional symptoms in children with attention-deficit/hyperactivity disorder and the presence of oppositional symptoms.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J. Pharm. Pract. 2010, 23(2): 155.</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Youcha S, Connor DF, Sallee FR &amp; Lyne A. Changes in parental stress with guanfacine extended release in children with attention-deficit/hyperactivity disorder and oppositional symptoms.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J. Pharm. Pract. 2010, 23(2): 153.</w:t>
            </w:r>
          </w:p>
        </w:tc>
      </w:tr>
      <w:tr w:rsidR="00EE7675" w:rsidRPr="006D49EC" w:rsidTr="00A54901">
        <w:tc>
          <w:tcPr>
            <w:tcW w:w="562" w:type="pct"/>
            <w:vMerge w:val="restart"/>
          </w:tcPr>
          <w:p w:rsidR="00EE7675" w:rsidRPr="006D49EC" w:rsidDel="00B75ABA" w:rsidRDefault="00EE7675" w:rsidP="00E907D1">
            <w:pPr>
              <w:widowControl/>
              <w:jc w:val="left"/>
              <w:rPr>
                <w:rFonts w:ascii="Arial Narrow" w:hAnsi="Arial Narrow"/>
                <w:sz w:val="20"/>
              </w:rPr>
            </w:pPr>
            <w:r w:rsidRPr="006D49EC">
              <w:rPr>
                <w:rFonts w:ascii="Arial Narrow" w:hAnsi="Arial Narrow"/>
                <w:sz w:val="20"/>
              </w:rPr>
              <w:t>Trial 312</w:t>
            </w: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A phase 3, double-blind, randomized, multi-center, placebo-controlled, dose-optimization study evaluating the safety, efficacy, and tolerability of once-daily dosing with extended-release guanfacine hydrochloride in adolescents aged 13-17 years diagnosed with attention-deficit/hyperactivity disorder (ADHD)</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3 October 2013</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Wilens TE, Robertson B, Sikirica V, et al. A Randomized, Placebo-Controlled Trial of Guanfacine Extended Release in Adolescents With Attention-Deficit/Hyperactivity Disorder.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J. Am. Acad. Child Adolesc. Psychiatry 2015, 54(11): 916-925.</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Wilens TE, Harper L, Young JL, et al. 2015. Clinical response and symptomatic remission in adolescents with Attention-Deficit/Hyperactivity Disorder receiving guanfacine extended release in a phase 3 study.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ADHD Attention Deficit and Hyperactivity Disorders, 7S98.</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Cutler A, Harper L, Young J, et al. Guanfacine extended release: Daytime sleepiness outcomes from a phase 3 clinical study in adolescents with attention-deficit/hyperactivity disorder.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bCs/>
                <w:sz w:val="20"/>
              </w:rPr>
              <w:t xml:space="preserve">Eur. Neuropsychopharmacol. 2015, </w:t>
            </w:r>
            <w:r w:rsidRPr="006D49EC">
              <w:rPr>
                <w:rFonts w:ascii="Arial Narrow" w:hAnsi="Arial Narrow"/>
                <w:sz w:val="20"/>
              </w:rPr>
              <w:t>25S648-S649.</w:t>
            </w:r>
          </w:p>
        </w:tc>
      </w:tr>
      <w:tr w:rsidR="00EE7675" w:rsidRPr="006D49EC" w:rsidTr="00A54901">
        <w:tc>
          <w:tcPr>
            <w:tcW w:w="562" w:type="pct"/>
            <w:vMerge w:val="restart"/>
          </w:tcPr>
          <w:p w:rsidR="00EE7675" w:rsidRPr="006D49EC" w:rsidDel="00B75ABA" w:rsidRDefault="00EE7675" w:rsidP="00E907D1">
            <w:pPr>
              <w:widowControl/>
              <w:jc w:val="left"/>
              <w:rPr>
                <w:rFonts w:ascii="Arial Narrow" w:hAnsi="Arial Narrow"/>
                <w:sz w:val="20"/>
              </w:rPr>
            </w:pPr>
            <w:r w:rsidRPr="006D49EC">
              <w:rPr>
                <w:rFonts w:ascii="Arial Narrow" w:hAnsi="Arial Narrow"/>
                <w:sz w:val="20"/>
              </w:rPr>
              <w:t>Trial 314</w:t>
            </w: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A phase 3, double-blind, randomized, multi-center, placebo-controlled, dose-optimization study evaluating the tolerability and efficacy of AM and PM once-daily dosing with extended-release guanfacine hydrochloride in children aged 6-12 years with a diagnosis of attention-deficit/hyperactivity disorder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28 January 2011</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Newcorn JH, Stein MA, Childress AC, et al. Randomized, double-blind trial of guanfacine extended release in children with attention-deficit/hyperactivity disorder: Morning or evening administration.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J. Am. Acad. Child Adolesc. Psychiatry 2013, 52(9): 921-930.</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Young J, Rugino T, Dammerman R, et al. Efficacy of guanfacine extended release assessed during the morning, afternoon, and evening using a modified conners' parent rating scale-revised: Short form.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bCs/>
                <w:sz w:val="20"/>
              </w:rPr>
              <w:t>J. Child Adolesc. Psychopharmacol.</w:t>
            </w:r>
            <w:r w:rsidRPr="006D49EC" w:rsidDel="00B70053">
              <w:rPr>
                <w:rFonts w:ascii="Arial Narrow" w:hAnsi="Arial Narrow"/>
                <w:bCs/>
                <w:sz w:val="20"/>
              </w:rPr>
              <w:t xml:space="preserve"> </w:t>
            </w:r>
            <w:r w:rsidRPr="006D49EC">
              <w:rPr>
                <w:rFonts w:ascii="Arial Narrow" w:hAnsi="Arial Narrow"/>
                <w:sz w:val="20"/>
              </w:rPr>
              <w:t>2014, 24(8): 435-441</w:t>
            </w:r>
          </w:p>
        </w:tc>
      </w:tr>
      <w:tr w:rsidR="00EE7675" w:rsidRPr="006D49EC" w:rsidTr="00A54901">
        <w:tc>
          <w:tcPr>
            <w:tcW w:w="562" w:type="pct"/>
            <w:vMerge/>
          </w:tcPr>
          <w:p w:rsidR="00EE7675" w:rsidRPr="006D49EC" w:rsidRDefault="00EE7675" w:rsidP="00E907D1">
            <w:pPr>
              <w:widowControl/>
              <w:jc w:val="left"/>
              <w:rPr>
                <w:rFonts w:ascii="Arial Narrow" w:hAnsi="Arial Narrow"/>
                <w:sz w:val="20"/>
              </w:rPr>
            </w:pPr>
          </w:p>
        </w:tc>
        <w:tc>
          <w:tcPr>
            <w:tcW w:w="329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 xml:space="preserve">Stein MA, Sikirica V, Weiss MD, et al. Does Guanfacine Extended Release Impact Functional Impairment in Children with Attention-Deficit/Hyperactivity Disorder? Results from a Randomized Controlled Trial. </w:t>
            </w:r>
          </w:p>
        </w:tc>
        <w:tc>
          <w:tcPr>
            <w:tcW w:w="1139" w:type="pct"/>
          </w:tcPr>
          <w:p w:rsidR="00EE7675" w:rsidRPr="006D49EC" w:rsidRDefault="00EE7675" w:rsidP="00E907D1">
            <w:pPr>
              <w:widowControl/>
              <w:jc w:val="left"/>
              <w:rPr>
                <w:rFonts w:ascii="Arial Narrow" w:hAnsi="Arial Narrow"/>
                <w:sz w:val="20"/>
              </w:rPr>
            </w:pPr>
            <w:r w:rsidRPr="006D49EC">
              <w:rPr>
                <w:rFonts w:ascii="Arial Narrow" w:hAnsi="Arial Narrow"/>
                <w:sz w:val="20"/>
              </w:rPr>
              <w:t>CNS Drugs 2015, 29(11): 953-962.</w:t>
            </w:r>
          </w:p>
        </w:tc>
      </w:tr>
    </w:tbl>
    <w:p w:rsidR="00DD48DB" w:rsidRPr="006D49EC" w:rsidRDefault="00EE7675" w:rsidP="00E907D1">
      <w:pPr>
        <w:pStyle w:val="TableFooter"/>
        <w:widowControl/>
        <w:spacing w:after="120"/>
      </w:pPr>
      <w:r w:rsidRPr="006D49EC">
        <w:t>Source: Table B-2 (pp 45-47)</w:t>
      </w:r>
    </w:p>
    <w:p w:rsidR="00C34E37" w:rsidRPr="006D49EC" w:rsidRDefault="00DD48DB" w:rsidP="00B24C96">
      <w:pPr>
        <w:pStyle w:val="ListParagraph"/>
        <w:widowControl/>
        <w:numPr>
          <w:ilvl w:val="1"/>
          <w:numId w:val="3"/>
        </w:numPr>
        <w:contextualSpacing w:val="0"/>
        <w:rPr>
          <w:szCs w:val="24"/>
        </w:rPr>
      </w:pPr>
      <w:r w:rsidRPr="006D49EC">
        <w:rPr>
          <w:rFonts w:asciiTheme="minorHAnsi" w:hAnsiTheme="minorHAnsi"/>
        </w:rPr>
        <w:t xml:space="preserve">The key features of the direct randomised trials are summarised in </w:t>
      </w:r>
      <w:r w:rsidR="00EE7675" w:rsidRPr="006D49EC">
        <w:rPr>
          <w:rFonts w:asciiTheme="minorHAnsi" w:hAnsiTheme="minorHAnsi"/>
        </w:rPr>
        <w:t>Table 3</w:t>
      </w:r>
      <w:r w:rsidRPr="006D49EC">
        <w:rPr>
          <w:rFonts w:asciiTheme="minorHAnsi" w:hAnsiTheme="minorHAnsi"/>
        </w:rPr>
        <w:t xml:space="preserve">. </w:t>
      </w:r>
      <w:r w:rsidR="00C34E37" w:rsidRPr="006D49EC">
        <w:rPr>
          <w:rFonts w:asciiTheme="minorHAnsi" w:hAnsiTheme="minorHAnsi"/>
        </w:rPr>
        <w:t>Patients in Trial 313 were on stable doses of long-acting stimulants (some of which are not available in Australia), however the majority of patients were co-administered with stimulants available</w:t>
      </w:r>
      <w:r w:rsidR="00F277AF" w:rsidRPr="006D49EC">
        <w:rPr>
          <w:rFonts w:asciiTheme="minorHAnsi" w:hAnsiTheme="minorHAnsi"/>
        </w:rPr>
        <w:t xml:space="preserve"> on the PBS - Concerta® (45.3%),</w:t>
      </w:r>
      <w:r w:rsidR="00C34E37" w:rsidRPr="006D49EC">
        <w:rPr>
          <w:rFonts w:asciiTheme="minorHAnsi" w:hAnsiTheme="minorHAnsi"/>
        </w:rPr>
        <w:t xml:space="preserve"> lisdexamfetamine (29.5%) or Ritalin LA® (0.4%).</w:t>
      </w:r>
    </w:p>
    <w:p w:rsidR="00FB5D14" w:rsidRPr="006D49EC" w:rsidRDefault="00FB5D14" w:rsidP="00E907D1">
      <w:pPr>
        <w:pStyle w:val="Caption"/>
      </w:pPr>
      <w:r w:rsidRPr="006D49EC">
        <w:t xml:space="preserve">Table </w:t>
      </w:r>
      <w:r w:rsidR="00ED75E6" w:rsidRPr="006D49EC">
        <w:t>3</w:t>
      </w:r>
      <w:r w:rsidRPr="006D49EC">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9"/>
        <w:gridCol w:w="385"/>
        <w:gridCol w:w="1371"/>
        <w:gridCol w:w="716"/>
        <w:gridCol w:w="2285"/>
        <w:gridCol w:w="2350"/>
        <w:gridCol w:w="1166"/>
      </w:tblGrid>
      <w:tr w:rsidR="00EE7675" w:rsidRPr="006D49EC" w:rsidTr="00A54901">
        <w:tc>
          <w:tcPr>
            <w:tcW w:w="445" w:type="pct"/>
            <w:shd w:val="clear" w:color="auto" w:fill="auto"/>
            <w:vAlign w:val="center"/>
          </w:tcPr>
          <w:p w:rsidR="00EE7675" w:rsidRPr="006D49EC" w:rsidRDefault="00EE7675" w:rsidP="00E907D1">
            <w:pPr>
              <w:pStyle w:val="TableText1"/>
              <w:rPr>
                <w:b/>
              </w:rPr>
            </w:pPr>
            <w:r w:rsidRPr="006D49EC">
              <w:rPr>
                <w:b/>
              </w:rPr>
              <w:t>Trial</w:t>
            </w:r>
          </w:p>
        </w:tc>
        <w:tc>
          <w:tcPr>
            <w:tcW w:w="212" w:type="pct"/>
            <w:shd w:val="clear" w:color="auto" w:fill="auto"/>
            <w:vAlign w:val="center"/>
          </w:tcPr>
          <w:p w:rsidR="00EE7675" w:rsidRPr="006D49EC" w:rsidRDefault="00EE7675" w:rsidP="00E907D1">
            <w:pPr>
              <w:pStyle w:val="TableText1"/>
              <w:jc w:val="center"/>
              <w:rPr>
                <w:b/>
                <w:vertAlign w:val="superscript"/>
              </w:rPr>
            </w:pPr>
            <w:r w:rsidRPr="006D49EC">
              <w:rPr>
                <w:b/>
              </w:rPr>
              <w:t>N</w:t>
            </w:r>
            <w:r w:rsidRPr="006D49EC">
              <w:rPr>
                <w:b/>
                <w:vertAlign w:val="superscript"/>
              </w:rPr>
              <w:t>a</w:t>
            </w:r>
          </w:p>
        </w:tc>
        <w:tc>
          <w:tcPr>
            <w:tcW w:w="755" w:type="pct"/>
            <w:shd w:val="clear" w:color="auto" w:fill="auto"/>
            <w:vAlign w:val="center"/>
          </w:tcPr>
          <w:p w:rsidR="00EE7675" w:rsidRPr="006D49EC" w:rsidRDefault="00EE7675" w:rsidP="00E907D1">
            <w:pPr>
              <w:pStyle w:val="TableText1"/>
              <w:jc w:val="center"/>
              <w:rPr>
                <w:b/>
              </w:rPr>
            </w:pPr>
            <w:r w:rsidRPr="006D49EC">
              <w:rPr>
                <w:b/>
              </w:rPr>
              <w:t>Design/duration of DB evaluation</w:t>
            </w:r>
          </w:p>
        </w:tc>
        <w:tc>
          <w:tcPr>
            <w:tcW w:w="394" w:type="pct"/>
            <w:shd w:val="clear" w:color="auto" w:fill="auto"/>
            <w:vAlign w:val="center"/>
          </w:tcPr>
          <w:p w:rsidR="00EE7675" w:rsidRPr="006D49EC" w:rsidRDefault="00EE7675" w:rsidP="00E907D1">
            <w:pPr>
              <w:pStyle w:val="TableText1"/>
              <w:jc w:val="center"/>
              <w:rPr>
                <w:b/>
              </w:rPr>
            </w:pPr>
            <w:r w:rsidRPr="006D49EC">
              <w:rPr>
                <w:b/>
              </w:rPr>
              <w:t>Risk of bias</w:t>
            </w:r>
          </w:p>
        </w:tc>
        <w:tc>
          <w:tcPr>
            <w:tcW w:w="1258" w:type="pct"/>
            <w:shd w:val="clear" w:color="auto" w:fill="auto"/>
            <w:vAlign w:val="center"/>
          </w:tcPr>
          <w:p w:rsidR="00EE7675" w:rsidRPr="006D49EC" w:rsidRDefault="00EE7675" w:rsidP="00E907D1">
            <w:pPr>
              <w:pStyle w:val="TableText1"/>
              <w:jc w:val="center"/>
              <w:rPr>
                <w:b/>
              </w:rPr>
            </w:pPr>
            <w:r w:rsidRPr="006D49EC">
              <w:rPr>
                <w:b/>
              </w:rPr>
              <w:t>Patient population</w:t>
            </w:r>
          </w:p>
        </w:tc>
        <w:tc>
          <w:tcPr>
            <w:tcW w:w="1294" w:type="pct"/>
            <w:shd w:val="clear" w:color="auto" w:fill="auto"/>
            <w:vAlign w:val="center"/>
          </w:tcPr>
          <w:p w:rsidR="00EE7675" w:rsidRPr="006D49EC" w:rsidRDefault="00EE7675" w:rsidP="00E907D1">
            <w:pPr>
              <w:pStyle w:val="TableText1"/>
              <w:jc w:val="center"/>
              <w:rPr>
                <w:b/>
              </w:rPr>
            </w:pPr>
            <w:r w:rsidRPr="006D49EC">
              <w:rPr>
                <w:b/>
              </w:rPr>
              <w:t>Outcome(s)</w:t>
            </w:r>
          </w:p>
        </w:tc>
        <w:tc>
          <w:tcPr>
            <w:tcW w:w="642" w:type="pct"/>
            <w:shd w:val="clear" w:color="auto" w:fill="auto"/>
            <w:vAlign w:val="center"/>
          </w:tcPr>
          <w:p w:rsidR="00EE7675" w:rsidRPr="006D49EC" w:rsidRDefault="00EE7675" w:rsidP="00E907D1">
            <w:pPr>
              <w:pStyle w:val="TableText1"/>
              <w:jc w:val="center"/>
              <w:rPr>
                <w:b/>
              </w:rPr>
            </w:pPr>
            <w:r w:rsidRPr="006D49EC">
              <w:rPr>
                <w:b/>
              </w:rPr>
              <w:t>Use in modelled evaluation</w:t>
            </w:r>
          </w:p>
        </w:tc>
      </w:tr>
      <w:tr w:rsidR="00EE7675" w:rsidRPr="006D49EC" w:rsidTr="00A54901">
        <w:tc>
          <w:tcPr>
            <w:tcW w:w="5000" w:type="pct"/>
            <w:gridSpan w:val="7"/>
            <w:shd w:val="clear" w:color="auto" w:fill="auto"/>
            <w:vAlign w:val="center"/>
          </w:tcPr>
          <w:p w:rsidR="00EE7675" w:rsidRPr="006D49EC" w:rsidRDefault="00EE7675" w:rsidP="00E907D1">
            <w:pPr>
              <w:pStyle w:val="TableText1"/>
              <w:rPr>
                <w:b/>
              </w:rPr>
            </w:pPr>
            <w:r w:rsidRPr="006D49EC">
              <w:rPr>
                <w:b/>
              </w:rPr>
              <w:t>Guanfacine versus atomoxetine (and placebo)</w:t>
            </w:r>
          </w:p>
        </w:tc>
      </w:tr>
      <w:tr w:rsidR="00EE7675" w:rsidRPr="006D49EC" w:rsidTr="00A54901">
        <w:tc>
          <w:tcPr>
            <w:tcW w:w="445" w:type="pct"/>
            <w:shd w:val="clear" w:color="auto" w:fill="auto"/>
            <w:vAlign w:val="center"/>
          </w:tcPr>
          <w:p w:rsidR="00EE7675" w:rsidRPr="006D49EC" w:rsidRDefault="00EE7675" w:rsidP="00E907D1">
            <w:pPr>
              <w:pStyle w:val="TableText1"/>
            </w:pPr>
            <w:r w:rsidRPr="006D49EC">
              <w:t>Trial 316</w:t>
            </w:r>
          </w:p>
        </w:tc>
        <w:tc>
          <w:tcPr>
            <w:tcW w:w="212" w:type="pct"/>
            <w:shd w:val="clear" w:color="auto" w:fill="auto"/>
            <w:vAlign w:val="center"/>
          </w:tcPr>
          <w:p w:rsidR="00EE7675" w:rsidRPr="006D49EC" w:rsidRDefault="00EE7675" w:rsidP="00E907D1">
            <w:pPr>
              <w:pStyle w:val="TableText1"/>
              <w:jc w:val="center"/>
              <w:rPr>
                <w:rFonts w:eastAsia="Times New Roman" w:cs="Times New Roman"/>
              </w:rPr>
            </w:pPr>
            <w:r w:rsidRPr="006D49EC">
              <w:t>338</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rPr>
                <w:rFonts w:eastAsia="Times New Roman" w:cs="Times New Roman"/>
              </w:rPr>
            </w:pPr>
            <w:r w:rsidRPr="006D49EC">
              <w:rPr>
                <w:rFonts w:eastAsia="Times New Roman" w:cs="Times New Roman"/>
              </w:rPr>
              <w:t>10 weeks (6-12)</w:t>
            </w:r>
            <w:r w:rsidRPr="006D49EC">
              <w:rPr>
                <w:rFonts w:eastAsia="Times New Roman" w:cs="Times New Roman"/>
              </w:rPr>
              <w:br/>
              <w:t>13 weeks (13-17)</w:t>
            </w:r>
          </w:p>
        </w:tc>
        <w:tc>
          <w:tcPr>
            <w:tcW w:w="394" w:type="pct"/>
            <w:shd w:val="clear" w:color="auto" w:fill="auto"/>
            <w:vAlign w:val="center"/>
          </w:tcPr>
          <w:p w:rsidR="00EE7675" w:rsidRPr="006D49EC" w:rsidRDefault="00EE7675" w:rsidP="00E907D1">
            <w:pPr>
              <w:pStyle w:val="TableText1"/>
              <w:jc w:val="center"/>
              <w:rPr>
                <w:rFonts w:eastAsia="Times New Roman" w:cs="Times New Roman"/>
              </w:rPr>
            </w:pPr>
            <w:r w:rsidRPr="006D49EC">
              <w:t>Low</w:t>
            </w:r>
          </w:p>
        </w:tc>
        <w:tc>
          <w:tcPr>
            <w:tcW w:w="1258" w:type="pct"/>
            <w:shd w:val="clear" w:color="auto" w:fill="auto"/>
            <w:vAlign w:val="center"/>
          </w:tcPr>
          <w:p w:rsidR="00EE7675" w:rsidRPr="006D49EC" w:rsidRDefault="00EE7675" w:rsidP="00E907D1">
            <w:pPr>
              <w:pStyle w:val="TableText1"/>
              <w:jc w:val="center"/>
              <w:rPr>
                <w:rFonts w:eastAsia="Times New Roman" w:cs="Times New Roman"/>
              </w:rPr>
            </w:pPr>
            <w:r w:rsidRPr="006D49EC">
              <w:t xml:space="preserve">ADHD, </w:t>
            </w:r>
            <w:r w:rsidRPr="006D49EC">
              <w:br/>
              <w:t>ADHD-RS-IV ≥32, CGI-S ≥3,</w:t>
            </w:r>
            <w:r w:rsidRPr="006D49EC">
              <w:br/>
              <w:t xml:space="preserve">excluded those who were well controlled on their current (ADHD) medication, with acceptable tolerability, and the parent/caregiver did not object to the current medication, </w:t>
            </w:r>
            <w:r w:rsidRPr="006D49EC">
              <w:br/>
              <w:t>aged 6-17 years</w:t>
            </w:r>
          </w:p>
        </w:tc>
        <w:tc>
          <w:tcPr>
            <w:tcW w:w="1294" w:type="pct"/>
            <w:shd w:val="clear" w:color="auto" w:fill="auto"/>
          </w:tcPr>
          <w:p w:rsidR="00EE7675" w:rsidRPr="006D49EC" w:rsidRDefault="00EE7675" w:rsidP="00FB647A">
            <w:pPr>
              <w:pStyle w:val="TableText1"/>
              <w:numPr>
                <w:ilvl w:val="0"/>
                <w:numId w:val="7"/>
              </w:numPr>
              <w:ind w:left="112" w:hanging="142"/>
              <w:rPr>
                <w:rFonts w:eastAsia="Times New Roman" w:cs="Times New Roman"/>
              </w:rPr>
            </w:pPr>
            <w:r w:rsidRPr="006D49EC">
              <w:t>Change in ADHD-RS-IV total score</w:t>
            </w:r>
            <w:r w:rsidRPr="006D49EC">
              <w:rPr>
                <w:vertAlign w:val="superscript"/>
              </w:rPr>
              <w:t>c</w:t>
            </w:r>
          </w:p>
          <w:p w:rsidR="00EE7675" w:rsidRPr="006D49EC" w:rsidRDefault="00EE7675" w:rsidP="00FB647A">
            <w:pPr>
              <w:pStyle w:val="TableText1"/>
              <w:numPr>
                <w:ilvl w:val="0"/>
                <w:numId w:val="7"/>
              </w:numPr>
              <w:ind w:left="112" w:hanging="112"/>
              <w:rPr>
                <w:rFonts w:eastAsia="Times New Roman" w:cs="Times New Roman"/>
              </w:rPr>
            </w:pPr>
            <w:r w:rsidRPr="006D49EC">
              <w:t>Proportion responders (ADHD-RS-IV reduction ≥30% and CGI-I ≤2)</w:t>
            </w:r>
          </w:p>
          <w:p w:rsidR="00EE7675" w:rsidRPr="006D49EC" w:rsidRDefault="00EE7675" w:rsidP="00FB647A">
            <w:pPr>
              <w:pStyle w:val="TableText1"/>
              <w:numPr>
                <w:ilvl w:val="0"/>
                <w:numId w:val="7"/>
              </w:numPr>
              <w:ind w:left="112" w:hanging="112"/>
              <w:rPr>
                <w:rFonts w:eastAsia="Times New Roman" w:cs="Times New Roman"/>
              </w:rPr>
            </w:pPr>
            <w:r w:rsidRPr="006D49EC">
              <w:t>Proportion in symptomatic remission (ADHD-RS-IV total score ≤18) and sy</w:t>
            </w:r>
            <w:r w:rsidR="00F65F04" w:rsidRPr="006D49EC">
              <w:t>n</w:t>
            </w:r>
            <w:r w:rsidRPr="006D49EC">
              <w:t>dromal remission (ADHD-RS-IV total score ≤18 AND CGI-S ≤2)</w:t>
            </w:r>
          </w:p>
          <w:p w:rsidR="00EE7675" w:rsidRPr="006D49EC" w:rsidRDefault="00EE7675" w:rsidP="00FB647A">
            <w:pPr>
              <w:pStyle w:val="TableText1"/>
              <w:numPr>
                <w:ilvl w:val="0"/>
                <w:numId w:val="7"/>
              </w:numPr>
              <w:ind w:left="112" w:hanging="112"/>
              <w:rPr>
                <w:rFonts w:eastAsia="Times New Roman" w:cs="Times New Roman"/>
              </w:rPr>
            </w:pPr>
            <w:r w:rsidRPr="006D49EC">
              <w:t>HUI 2/3</w:t>
            </w:r>
          </w:p>
        </w:tc>
        <w:tc>
          <w:tcPr>
            <w:tcW w:w="642" w:type="pct"/>
            <w:shd w:val="clear" w:color="auto" w:fill="auto"/>
            <w:vAlign w:val="center"/>
          </w:tcPr>
          <w:p w:rsidR="00EE7675" w:rsidRPr="006D49EC" w:rsidRDefault="00EE7675" w:rsidP="00E907D1">
            <w:pPr>
              <w:pStyle w:val="TableText1"/>
              <w:jc w:val="center"/>
              <w:rPr>
                <w:rFonts w:eastAsia="Times New Roman" w:cs="Times New Roman"/>
                <w:vertAlign w:val="superscript"/>
              </w:rPr>
            </w:pPr>
            <w:r w:rsidRPr="006D49EC">
              <w:t>Not used</w:t>
            </w:r>
            <w:r w:rsidRPr="006D49EC">
              <w:rPr>
                <w:vertAlign w:val="superscript"/>
              </w:rPr>
              <w:t>b</w:t>
            </w:r>
          </w:p>
        </w:tc>
      </w:tr>
      <w:tr w:rsidR="00EE7675" w:rsidRPr="006D49EC" w:rsidTr="00A54901">
        <w:tc>
          <w:tcPr>
            <w:tcW w:w="5000" w:type="pct"/>
            <w:gridSpan w:val="7"/>
            <w:shd w:val="clear" w:color="auto" w:fill="auto"/>
            <w:vAlign w:val="center"/>
          </w:tcPr>
          <w:p w:rsidR="00EE7675" w:rsidRPr="006D49EC" w:rsidRDefault="00EE7675" w:rsidP="00E907D1">
            <w:pPr>
              <w:pStyle w:val="TableText1"/>
              <w:rPr>
                <w:b/>
              </w:rPr>
            </w:pPr>
            <w:r w:rsidRPr="006D49EC">
              <w:rPr>
                <w:b/>
              </w:rPr>
              <w:t>Guanfacine + stimulant versus placebo + stimulant</w:t>
            </w:r>
          </w:p>
        </w:tc>
      </w:tr>
      <w:tr w:rsidR="00EE7675" w:rsidRPr="006D49EC" w:rsidTr="00A54901">
        <w:tc>
          <w:tcPr>
            <w:tcW w:w="445" w:type="pct"/>
            <w:shd w:val="clear" w:color="auto" w:fill="auto"/>
            <w:vAlign w:val="center"/>
          </w:tcPr>
          <w:p w:rsidR="00EE7675" w:rsidRPr="006D49EC" w:rsidRDefault="00EE7675" w:rsidP="00E907D1">
            <w:pPr>
              <w:pStyle w:val="TableText1"/>
              <w:rPr>
                <w:rFonts w:eastAsia="Times New Roman" w:cs="Times New Roman"/>
              </w:rPr>
            </w:pPr>
            <w:r w:rsidRPr="006D49EC">
              <w:t>Trial 313</w:t>
            </w:r>
          </w:p>
        </w:tc>
        <w:tc>
          <w:tcPr>
            <w:tcW w:w="212" w:type="pct"/>
            <w:shd w:val="clear" w:color="auto" w:fill="auto"/>
            <w:vAlign w:val="center"/>
          </w:tcPr>
          <w:p w:rsidR="00EE7675" w:rsidRPr="006D49EC" w:rsidRDefault="00EE7675" w:rsidP="00E907D1">
            <w:pPr>
              <w:pStyle w:val="TableText1"/>
              <w:jc w:val="center"/>
              <w:rPr>
                <w:rFonts w:eastAsia="Times New Roman" w:cs="Times New Roman"/>
              </w:rPr>
            </w:pPr>
            <w:r w:rsidRPr="006D49EC">
              <w:t>461</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rPr>
                <w:rFonts w:eastAsia="Times New Roman" w:cs="Times New Roman"/>
              </w:rPr>
            </w:pPr>
            <w:r w:rsidRPr="006D49EC">
              <w:rPr>
                <w:rFonts w:eastAsia="Times New Roman" w:cs="Times New Roman"/>
              </w:rPr>
              <w:t>8 weeks</w:t>
            </w:r>
          </w:p>
        </w:tc>
        <w:tc>
          <w:tcPr>
            <w:tcW w:w="394" w:type="pct"/>
            <w:shd w:val="clear" w:color="auto" w:fill="auto"/>
            <w:vAlign w:val="center"/>
          </w:tcPr>
          <w:p w:rsidR="00EE7675" w:rsidRPr="006D49EC" w:rsidRDefault="00EE7675" w:rsidP="00E907D1">
            <w:pPr>
              <w:pStyle w:val="TableText1"/>
              <w:jc w:val="center"/>
              <w:rPr>
                <w:rFonts w:eastAsia="Times New Roman" w:cs="Times New Roman"/>
              </w:rPr>
            </w:pPr>
            <w:r w:rsidRPr="006D49EC">
              <w:t xml:space="preserve">Low </w:t>
            </w:r>
          </w:p>
        </w:tc>
        <w:tc>
          <w:tcPr>
            <w:tcW w:w="1258" w:type="pct"/>
            <w:shd w:val="clear" w:color="auto" w:fill="auto"/>
            <w:vAlign w:val="center"/>
          </w:tcPr>
          <w:p w:rsidR="00EE7675" w:rsidRPr="006D49EC" w:rsidRDefault="00EE7675" w:rsidP="00E907D1">
            <w:pPr>
              <w:pStyle w:val="TableText1"/>
              <w:jc w:val="center"/>
              <w:rPr>
                <w:rFonts w:eastAsia="Times New Roman" w:cs="Times New Roman"/>
              </w:rPr>
            </w:pPr>
            <w:r w:rsidRPr="006D49EC">
              <w:t xml:space="preserve">ADHD, </w:t>
            </w:r>
            <w:r w:rsidRPr="006D49EC">
              <w:br/>
              <w:t>ADHD-RS-IV ≥24, CGI-S ≥3,</w:t>
            </w:r>
            <w:r w:rsidRPr="006D49EC">
              <w:br/>
              <w:t xml:space="preserve">with a suboptimal response to long-acting psychostimulant and had a need </w:t>
            </w:r>
            <w:r w:rsidR="008039A0" w:rsidRPr="006D49EC">
              <w:t xml:space="preserve">for </w:t>
            </w:r>
            <w:r w:rsidRPr="006D49EC">
              <w:t xml:space="preserve">additional treatment in the opinion of the Investigator, </w:t>
            </w:r>
            <w:r w:rsidRPr="006D49EC">
              <w:br/>
              <w:t>aged 6-17 years</w:t>
            </w:r>
          </w:p>
        </w:tc>
        <w:tc>
          <w:tcPr>
            <w:tcW w:w="1294" w:type="pct"/>
            <w:shd w:val="clear" w:color="auto" w:fill="auto"/>
            <w:vAlign w:val="center"/>
          </w:tcPr>
          <w:p w:rsidR="00EE7675" w:rsidRPr="006D49EC" w:rsidRDefault="00EE7675" w:rsidP="00FB647A">
            <w:pPr>
              <w:pStyle w:val="TableText1"/>
              <w:numPr>
                <w:ilvl w:val="0"/>
                <w:numId w:val="7"/>
              </w:numPr>
              <w:ind w:left="112" w:hanging="142"/>
              <w:rPr>
                <w:rFonts w:eastAsia="Times New Roman" w:cs="Times New Roman"/>
              </w:rPr>
            </w:pPr>
            <w:r w:rsidRPr="006D49EC">
              <w:t>Change in ADHD-RS-IV total score</w:t>
            </w:r>
            <w:r w:rsidRPr="006D49EC">
              <w:rPr>
                <w:vertAlign w:val="superscript"/>
              </w:rPr>
              <w:t>c</w:t>
            </w:r>
          </w:p>
          <w:p w:rsidR="00EE7675" w:rsidRPr="006D49EC" w:rsidRDefault="00EE7675" w:rsidP="00FB647A">
            <w:pPr>
              <w:pStyle w:val="TableText1"/>
              <w:numPr>
                <w:ilvl w:val="0"/>
                <w:numId w:val="7"/>
              </w:numPr>
              <w:ind w:left="112" w:hanging="112"/>
              <w:rPr>
                <w:rFonts w:eastAsia="Times New Roman" w:cs="Times New Roman"/>
              </w:rPr>
            </w:pPr>
            <w:r w:rsidRPr="006D49EC">
              <w:t>Proportion responders (ADHD-RS-IV reduction ≥25%)</w:t>
            </w:r>
          </w:p>
          <w:p w:rsidR="00EE7675" w:rsidRPr="006D49EC" w:rsidRDefault="00EE7675" w:rsidP="00FB647A">
            <w:pPr>
              <w:pStyle w:val="TableText1"/>
              <w:numPr>
                <w:ilvl w:val="0"/>
                <w:numId w:val="7"/>
              </w:numPr>
              <w:ind w:left="112" w:hanging="112"/>
              <w:rPr>
                <w:rFonts w:eastAsia="Times New Roman" w:cs="Times New Roman"/>
              </w:rPr>
            </w:pPr>
            <w:r w:rsidRPr="006D49EC">
              <w:t>Proportion in symptomatic remission (ADHD-RS-IV total score ≤18) and sy</w:t>
            </w:r>
            <w:r w:rsidR="00F65F04" w:rsidRPr="006D49EC">
              <w:t>n</w:t>
            </w:r>
            <w:r w:rsidRPr="006D49EC">
              <w:t>dromal remission (ADHD-RS-IV total score ≤18 AND CGI-S ≤2)</w:t>
            </w:r>
          </w:p>
        </w:tc>
        <w:tc>
          <w:tcPr>
            <w:tcW w:w="642" w:type="pct"/>
            <w:shd w:val="clear" w:color="auto" w:fill="auto"/>
            <w:vAlign w:val="center"/>
          </w:tcPr>
          <w:p w:rsidR="00EE7675" w:rsidRPr="006D49EC" w:rsidRDefault="00EE7675" w:rsidP="00E907D1">
            <w:pPr>
              <w:pStyle w:val="TableText1"/>
              <w:jc w:val="center"/>
            </w:pPr>
            <w:r w:rsidRPr="006D49EC">
              <w:t>Yes</w:t>
            </w:r>
          </w:p>
          <w:p w:rsidR="00EE7675" w:rsidRPr="006D49EC" w:rsidRDefault="00EE7675" w:rsidP="00E907D1">
            <w:pPr>
              <w:pStyle w:val="TableText1"/>
              <w:jc w:val="center"/>
              <w:rPr>
                <w:rFonts w:eastAsia="Times New Roman" w:cs="Times New Roman"/>
              </w:rPr>
            </w:pPr>
            <w:r w:rsidRPr="006D49EC">
              <w:t>Symptomatic remission used in the base case and syndromal remission and responder used in sensitivity analyses</w:t>
            </w:r>
          </w:p>
        </w:tc>
      </w:tr>
      <w:tr w:rsidR="00EE7675" w:rsidRPr="006D49EC" w:rsidTr="00A54901">
        <w:tc>
          <w:tcPr>
            <w:tcW w:w="5000" w:type="pct"/>
            <w:gridSpan w:val="7"/>
            <w:shd w:val="clear" w:color="auto" w:fill="auto"/>
            <w:vAlign w:val="center"/>
          </w:tcPr>
          <w:p w:rsidR="00EE7675" w:rsidRPr="006D49EC" w:rsidRDefault="00EE7675" w:rsidP="00E907D1">
            <w:pPr>
              <w:pStyle w:val="TableText1"/>
              <w:rPr>
                <w:b/>
              </w:rPr>
            </w:pPr>
            <w:r w:rsidRPr="006D49EC">
              <w:rPr>
                <w:b/>
              </w:rPr>
              <w:t xml:space="preserve">Guanfacine versus placebo </w:t>
            </w:r>
          </w:p>
        </w:tc>
      </w:tr>
      <w:tr w:rsidR="00EE7675" w:rsidRPr="006D49EC" w:rsidTr="00A54901">
        <w:tc>
          <w:tcPr>
            <w:tcW w:w="445" w:type="pct"/>
            <w:shd w:val="clear" w:color="auto" w:fill="auto"/>
            <w:vAlign w:val="center"/>
          </w:tcPr>
          <w:p w:rsidR="00EE7675" w:rsidRPr="006D49EC" w:rsidRDefault="00EE7675" w:rsidP="00E907D1">
            <w:pPr>
              <w:pStyle w:val="TableText1"/>
              <w:rPr>
                <w:rFonts w:eastAsia="Times New Roman" w:cs="Times New Roman"/>
              </w:rPr>
            </w:pPr>
            <w:r w:rsidRPr="006D49EC">
              <w:t>Trial 206</w:t>
            </w:r>
          </w:p>
        </w:tc>
        <w:tc>
          <w:tcPr>
            <w:tcW w:w="212" w:type="pct"/>
            <w:shd w:val="clear" w:color="auto" w:fill="auto"/>
            <w:vAlign w:val="center"/>
          </w:tcPr>
          <w:p w:rsidR="00EE7675" w:rsidRPr="006D49EC" w:rsidRDefault="00EE7675" w:rsidP="00E907D1">
            <w:pPr>
              <w:pStyle w:val="TableText1"/>
              <w:jc w:val="center"/>
              <w:rPr>
                <w:rFonts w:eastAsia="Times New Roman" w:cs="Times New Roman"/>
              </w:rPr>
            </w:pPr>
            <w:r w:rsidRPr="006D49EC">
              <w:t>182</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rPr>
                <w:rFonts w:eastAsia="Times New Roman" w:cs="Times New Roman"/>
              </w:rPr>
            </w:pPr>
            <w:r w:rsidRPr="006D49EC">
              <w:rPr>
                <w:rFonts w:eastAsia="Times New Roman" w:cs="Times New Roman"/>
              </w:rPr>
              <w:t>6 weeks</w:t>
            </w:r>
          </w:p>
        </w:tc>
        <w:tc>
          <w:tcPr>
            <w:tcW w:w="394" w:type="pct"/>
            <w:shd w:val="clear" w:color="auto" w:fill="auto"/>
            <w:vAlign w:val="center"/>
          </w:tcPr>
          <w:p w:rsidR="00EE7675" w:rsidRPr="006D49EC" w:rsidRDefault="00EE7675" w:rsidP="00E907D1">
            <w:pPr>
              <w:pStyle w:val="TableText1"/>
              <w:jc w:val="center"/>
              <w:rPr>
                <w:rFonts w:eastAsia="Times New Roman" w:cs="Times New Roman"/>
              </w:rPr>
            </w:pPr>
            <w:r w:rsidRPr="006D49EC">
              <w:t>Low</w:t>
            </w:r>
          </w:p>
        </w:tc>
        <w:tc>
          <w:tcPr>
            <w:tcW w:w="1258" w:type="pct"/>
            <w:shd w:val="clear" w:color="auto" w:fill="auto"/>
            <w:vAlign w:val="center"/>
          </w:tcPr>
          <w:p w:rsidR="00EE7675" w:rsidRPr="006D49EC" w:rsidRDefault="00EE7675" w:rsidP="00E907D1">
            <w:pPr>
              <w:pStyle w:val="TableText1"/>
              <w:jc w:val="center"/>
              <w:rPr>
                <w:rFonts w:eastAsia="Times New Roman" w:cs="Times New Roman"/>
              </w:rPr>
            </w:pPr>
            <w:r w:rsidRPr="006D49EC">
              <w:t xml:space="preserve">ADHD, </w:t>
            </w:r>
            <w:r w:rsidRPr="006D49EC">
              <w:br/>
              <w:t>ADHD-RS-IV ≥24, CGI-S ≥4</w:t>
            </w:r>
            <w:r w:rsidRPr="006D49EC">
              <w:br/>
              <w:t>aged 6-17 years</w:t>
            </w:r>
          </w:p>
        </w:tc>
        <w:tc>
          <w:tcPr>
            <w:tcW w:w="1294" w:type="pct"/>
            <w:vMerge w:val="restart"/>
            <w:shd w:val="clear" w:color="auto" w:fill="auto"/>
            <w:vAlign w:val="center"/>
          </w:tcPr>
          <w:p w:rsidR="00EE7675" w:rsidRPr="006D49EC" w:rsidRDefault="00EE7675" w:rsidP="00FB647A">
            <w:pPr>
              <w:pStyle w:val="TableText1"/>
              <w:numPr>
                <w:ilvl w:val="0"/>
                <w:numId w:val="7"/>
              </w:numPr>
              <w:ind w:left="112" w:hanging="142"/>
              <w:rPr>
                <w:rFonts w:eastAsia="Times New Roman" w:cs="Times New Roman"/>
              </w:rPr>
            </w:pPr>
            <w:r w:rsidRPr="006D49EC">
              <w:t>Change in ADHD-RS-IV total score</w:t>
            </w:r>
            <w:r w:rsidRPr="006D49EC">
              <w:rPr>
                <w:vertAlign w:val="superscript"/>
              </w:rPr>
              <w:t xml:space="preserve">c </w:t>
            </w:r>
            <w:r w:rsidRPr="006D49EC">
              <w:t>[all trials]</w:t>
            </w:r>
          </w:p>
          <w:p w:rsidR="00EE7675" w:rsidRPr="006D49EC" w:rsidRDefault="00EE7675" w:rsidP="00FB647A">
            <w:pPr>
              <w:pStyle w:val="TableText1"/>
              <w:numPr>
                <w:ilvl w:val="0"/>
                <w:numId w:val="7"/>
              </w:numPr>
              <w:tabs>
                <w:tab w:val="left" w:pos="112"/>
              </w:tabs>
              <w:ind w:left="112" w:hanging="112"/>
              <w:rPr>
                <w:rFonts w:eastAsia="Times New Roman" w:cs="Times New Roman"/>
              </w:rPr>
            </w:pPr>
            <w:r w:rsidRPr="006D49EC">
              <w:t>Proportion responders (ADHD-RS-IV reduction ≥30% and CGI-I ≤2 [Trials 307, 312, 314] OR ADHD-RS-IV reduction ≥25% [Trial 304])</w:t>
            </w:r>
          </w:p>
          <w:p w:rsidR="00EE7675" w:rsidRPr="006D49EC" w:rsidRDefault="00EE7675" w:rsidP="00FB647A">
            <w:pPr>
              <w:pStyle w:val="TableText1"/>
              <w:numPr>
                <w:ilvl w:val="0"/>
                <w:numId w:val="7"/>
              </w:numPr>
              <w:tabs>
                <w:tab w:val="left" w:pos="112"/>
              </w:tabs>
              <w:ind w:left="112" w:hanging="112"/>
              <w:rPr>
                <w:rFonts w:eastAsia="Times New Roman" w:cs="Times New Roman"/>
              </w:rPr>
            </w:pPr>
            <w:r w:rsidRPr="006D49EC">
              <w:t>Proportion in symptomatic remission (ADHD-RS-IV total score ≤18 [Trials 312 and 314]) and sy</w:t>
            </w:r>
            <w:r w:rsidR="00F65F04" w:rsidRPr="006D49EC">
              <w:t>n</w:t>
            </w:r>
            <w:r w:rsidRPr="006D49EC">
              <w:t>dromal remission (ADHD-RS-IV total score ≤18 AND CGI-S ≤2 [Trial 314])</w:t>
            </w:r>
          </w:p>
          <w:p w:rsidR="00EE7675" w:rsidRPr="006D49EC" w:rsidRDefault="00EE7675" w:rsidP="00FB647A">
            <w:pPr>
              <w:pStyle w:val="TableText1"/>
              <w:numPr>
                <w:ilvl w:val="0"/>
                <w:numId w:val="7"/>
              </w:numPr>
              <w:ind w:left="112" w:hanging="112"/>
              <w:rPr>
                <w:rFonts w:eastAsia="Times New Roman" w:cs="Times New Roman"/>
              </w:rPr>
            </w:pPr>
            <w:r w:rsidRPr="006D49EC">
              <w:t>HUI 2/3 [Trial 314]</w:t>
            </w:r>
          </w:p>
        </w:tc>
        <w:tc>
          <w:tcPr>
            <w:tcW w:w="642" w:type="pct"/>
            <w:shd w:val="clear" w:color="auto" w:fill="auto"/>
            <w:vAlign w:val="center"/>
          </w:tcPr>
          <w:p w:rsidR="00EE7675" w:rsidRPr="006D49EC" w:rsidRDefault="00EE7675" w:rsidP="00E907D1">
            <w:pPr>
              <w:pStyle w:val="TableText1"/>
              <w:jc w:val="center"/>
              <w:rPr>
                <w:rFonts w:eastAsia="Times New Roman" w:cs="Times New Roman"/>
              </w:rPr>
            </w:pPr>
            <w:r w:rsidRPr="006D49EC">
              <w:t>Not used</w:t>
            </w:r>
          </w:p>
        </w:tc>
      </w:tr>
      <w:tr w:rsidR="00EE7675" w:rsidRPr="006D49EC" w:rsidTr="00A54901">
        <w:tc>
          <w:tcPr>
            <w:tcW w:w="445" w:type="pct"/>
            <w:shd w:val="clear" w:color="auto" w:fill="auto"/>
            <w:vAlign w:val="center"/>
          </w:tcPr>
          <w:p w:rsidR="00EE7675" w:rsidRPr="006D49EC" w:rsidRDefault="00EE7675" w:rsidP="00E907D1">
            <w:pPr>
              <w:pStyle w:val="TableText1"/>
            </w:pPr>
            <w:r w:rsidRPr="006D49EC">
              <w:t>Trial 301</w:t>
            </w:r>
          </w:p>
        </w:tc>
        <w:tc>
          <w:tcPr>
            <w:tcW w:w="212" w:type="pct"/>
            <w:shd w:val="clear" w:color="auto" w:fill="auto"/>
            <w:vAlign w:val="center"/>
          </w:tcPr>
          <w:p w:rsidR="00EE7675" w:rsidRPr="006D49EC" w:rsidRDefault="00EE7675" w:rsidP="00E907D1">
            <w:pPr>
              <w:pStyle w:val="TableText1"/>
              <w:jc w:val="center"/>
            </w:pPr>
            <w:r w:rsidRPr="006D49EC">
              <w:t>345</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pPr>
            <w:r w:rsidRPr="006D49EC">
              <w:rPr>
                <w:rFonts w:eastAsia="Times New Roman" w:cs="Times New Roman"/>
              </w:rPr>
              <w:t>5 weeks</w:t>
            </w:r>
          </w:p>
        </w:tc>
        <w:tc>
          <w:tcPr>
            <w:tcW w:w="394" w:type="pct"/>
            <w:shd w:val="clear" w:color="auto" w:fill="auto"/>
            <w:vAlign w:val="center"/>
          </w:tcPr>
          <w:p w:rsidR="00EE7675" w:rsidRPr="006D49EC" w:rsidRDefault="00EE7675" w:rsidP="00E907D1">
            <w:pPr>
              <w:pStyle w:val="TableText1"/>
              <w:jc w:val="center"/>
            </w:pPr>
            <w:r w:rsidRPr="006D49EC">
              <w:t>Low</w:t>
            </w:r>
          </w:p>
        </w:tc>
        <w:tc>
          <w:tcPr>
            <w:tcW w:w="1258" w:type="pct"/>
            <w:shd w:val="clear" w:color="auto" w:fill="auto"/>
            <w:vAlign w:val="center"/>
          </w:tcPr>
          <w:p w:rsidR="00EE7675" w:rsidRPr="006D49EC" w:rsidRDefault="00EE7675" w:rsidP="00E907D1">
            <w:pPr>
              <w:pStyle w:val="TableText1"/>
              <w:jc w:val="center"/>
            </w:pPr>
            <w:r w:rsidRPr="006D49EC">
              <w:t xml:space="preserve">ADHD, </w:t>
            </w:r>
            <w:r w:rsidRPr="006D49EC">
              <w:br/>
              <w:t>aged 6-17 years</w:t>
            </w:r>
          </w:p>
        </w:tc>
        <w:tc>
          <w:tcPr>
            <w:tcW w:w="1294" w:type="pct"/>
            <w:vMerge/>
            <w:shd w:val="clear" w:color="auto" w:fill="auto"/>
            <w:vAlign w:val="center"/>
          </w:tcPr>
          <w:p w:rsidR="00EE7675" w:rsidRPr="006D49EC" w:rsidRDefault="00EE7675" w:rsidP="00E907D1">
            <w:pPr>
              <w:pStyle w:val="TableText1"/>
              <w:jc w:val="center"/>
            </w:pPr>
          </w:p>
        </w:tc>
        <w:tc>
          <w:tcPr>
            <w:tcW w:w="642" w:type="pct"/>
            <w:shd w:val="clear" w:color="auto" w:fill="auto"/>
            <w:vAlign w:val="center"/>
          </w:tcPr>
          <w:p w:rsidR="00EE7675" w:rsidRPr="006D49EC" w:rsidRDefault="00EE7675" w:rsidP="00E907D1">
            <w:pPr>
              <w:pStyle w:val="TableText1"/>
              <w:jc w:val="center"/>
            </w:pPr>
            <w:r w:rsidRPr="006D49EC">
              <w:t>Not used</w:t>
            </w:r>
          </w:p>
        </w:tc>
      </w:tr>
      <w:tr w:rsidR="00EE7675" w:rsidRPr="006D49EC" w:rsidTr="00A54901">
        <w:tc>
          <w:tcPr>
            <w:tcW w:w="445" w:type="pct"/>
            <w:shd w:val="clear" w:color="auto" w:fill="auto"/>
            <w:vAlign w:val="center"/>
          </w:tcPr>
          <w:p w:rsidR="00EE7675" w:rsidRPr="006D49EC" w:rsidRDefault="00EE7675" w:rsidP="00E907D1">
            <w:pPr>
              <w:pStyle w:val="TableText1"/>
              <w:rPr>
                <w:rFonts w:eastAsia="Times New Roman" w:cs="Times New Roman"/>
              </w:rPr>
            </w:pPr>
            <w:r w:rsidRPr="006D49EC">
              <w:t>Trial 304</w:t>
            </w:r>
          </w:p>
        </w:tc>
        <w:tc>
          <w:tcPr>
            <w:tcW w:w="212" w:type="pct"/>
            <w:shd w:val="clear" w:color="auto" w:fill="auto"/>
            <w:vAlign w:val="center"/>
          </w:tcPr>
          <w:p w:rsidR="00EE7675" w:rsidRPr="006D49EC" w:rsidRDefault="00EE7675" w:rsidP="00E907D1">
            <w:pPr>
              <w:pStyle w:val="TableText1"/>
              <w:jc w:val="center"/>
            </w:pPr>
            <w:r w:rsidRPr="006D49EC">
              <w:t>324</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pPr>
            <w:r w:rsidRPr="006D49EC">
              <w:rPr>
                <w:rFonts w:eastAsia="Times New Roman" w:cs="Times New Roman"/>
              </w:rPr>
              <w:t>6 weeks</w:t>
            </w:r>
          </w:p>
        </w:tc>
        <w:tc>
          <w:tcPr>
            <w:tcW w:w="394" w:type="pct"/>
            <w:shd w:val="clear" w:color="auto" w:fill="auto"/>
            <w:vAlign w:val="center"/>
          </w:tcPr>
          <w:p w:rsidR="00EE7675" w:rsidRPr="006D49EC" w:rsidRDefault="00EE7675" w:rsidP="00E907D1">
            <w:pPr>
              <w:pStyle w:val="TableText1"/>
              <w:jc w:val="center"/>
            </w:pPr>
            <w:r w:rsidRPr="006D49EC">
              <w:t>Low</w:t>
            </w:r>
          </w:p>
        </w:tc>
        <w:tc>
          <w:tcPr>
            <w:tcW w:w="1258" w:type="pct"/>
            <w:shd w:val="clear" w:color="auto" w:fill="auto"/>
            <w:vAlign w:val="center"/>
          </w:tcPr>
          <w:p w:rsidR="00EE7675" w:rsidRPr="006D49EC" w:rsidRDefault="00EE7675" w:rsidP="00E907D1">
            <w:pPr>
              <w:pStyle w:val="TableText1"/>
              <w:jc w:val="center"/>
            </w:pPr>
            <w:r w:rsidRPr="006D49EC">
              <w:t xml:space="preserve">ADHD, </w:t>
            </w:r>
            <w:r w:rsidRPr="006D49EC">
              <w:br/>
              <w:t xml:space="preserve">ADHD-RS-IV ≥24, </w:t>
            </w:r>
            <w:r w:rsidRPr="006D49EC">
              <w:br/>
              <w:t>aged 6-17 years</w:t>
            </w:r>
          </w:p>
        </w:tc>
        <w:tc>
          <w:tcPr>
            <w:tcW w:w="1294" w:type="pct"/>
            <w:vMerge/>
            <w:shd w:val="clear" w:color="auto" w:fill="auto"/>
            <w:vAlign w:val="center"/>
          </w:tcPr>
          <w:p w:rsidR="00EE7675" w:rsidRPr="006D49EC" w:rsidRDefault="00EE7675" w:rsidP="00E907D1">
            <w:pPr>
              <w:pStyle w:val="TableText1"/>
              <w:jc w:val="center"/>
            </w:pPr>
          </w:p>
        </w:tc>
        <w:tc>
          <w:tcPr>
            <w:tcW w:w="642" w:type="pct"/>
            <w:shd w:val="clear" w:color="auto" w:fill="auto"/>
            <w:vAlign w:val="center"/>
          </w:tcPr>
          <w:p w:rsidR="00EE7675" w:rsidRPr="006D49EC" w:rsidRDefault="00EE7675" w:rsidP="00E907D1">
            <w:pPr>
              <w:pStyle w:val="TableText1"/>
              <w:jc w:val="center"/>
            </w:pPr>
            <w:r w:rsidRPr="006D49EC">
              <w:t>Not used</w:t>
            </w:r>
          </w:p>
        </w:tc>
      </w:tr>
      <w:tr w:rsidR="00EE7675" w:rsidRPr="006D49EC" w:rsidTr="00A54901">
        <w:tc>
          <w:tcPr>
            <w:tcW w:w="445" w:type="pct"/>
            <w:shd w:val="clear" w:color="auto" w:fill="auto"/>
            <w:vAlign w:val="center"/>
          </w:tcPr>
          <w:p w:rsidR="00EE7675" w:rsidRPr="006D49EC" w:rsidRDefault="00EE7675" w:rsidP="00E907D1">
            <w:pPr>
              <w:pStyle w:val="TableText1"/>
              <w:rPr>
                <w:rFonts w:eastAsia="Times New Roman" w:cs="Times New Roman"/>
              </w:rPr>
            </w:pPr>
            <w:r w:rsidRPr="006D49EC">
              <w:t>Trial 307</w:t>
            </w:r>
          </w:p>
        </w:tc>
        <w:tc>
          <w:tcPr>
            <w:tcW w:w="212" w:type="pct"/>
            <w:shd w:val="clear" w:color="auto" w:fill="auto"/>
            <w:vAlign w:val="center"/>
          </w:tcPr>
          <w:p w:rsidR="00EE7675" w:rsidRPr="006D49EC" w:rsidRDefault="00EE7675" w:rsidP="00E907D1">
            <w:pPr>
              <w:pStyle w:val="TableText1"/>
              <w:jc w:val="center"/>
            </w:pPr>
            <w:r w:rsidRPr="006D49EC">
              <w:t>217</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pPr>
            <w:r w:rsidRPr="006D49EC">
              <w:rPr>
                <w:rFonts w:eastAsia="Times New Roman" w:cs="Times New Roman"/>
              </w:rPr>
              <w:t>8 weeks</w:t>
            </w:r>
          </w:p>
        </w:tc>
        <w:tc>
          <w:tcPr>
            <w:tcW w:w="394" w:type="pct"/>
            <w:shd w:val="clear" w:color="auto" w:fill="auto"/>
            <w:vAlign w:val="center"/>
          </w:tcPr>
          <w:p w:rsidR="00EE7675" w:rsidRPr="006D49EC" w:rsidRDefault="00EE7675" w:rsidP="00E907D1">
            <w:pPr>
              <w:pStyle w:val="TableText1"/>
              <w:jc w:val="center"/>
            </w:pPr>
            <w:r w:rsidRPr="006D49EC">
              <w:t>Low</w:t>
            </w:r>
          </w:p>
        </w:tc>
        <w:tc>
          <w:tcPr>
            <w:tcW w:w="1258" w:type="pct"/>
            <w:shd w:val="clear" w:color="auto" w:fill="auto"/>
            <w:vAlign w:val="center"/>
          </w:tcPr>
          <w:p w:rsidR="00EE7675" w:rsidRPr="006D49EC" w:rsidRDefault="00EE7675" w:rsidP="00E907D1">
            <w:pPr>
              <w:pStyle w:val="TableText1"/>
              <w:jc w:val="center"/>
            </w:pPr>
            <w:r w:rsidRPr="006D49EC">
              <w:t xml:space="preserve">ADHD, </w:t>
            </w:r>
            <w:r w:rsidRPr="006D49EC">
              <w:br/>
              <w:t xml:space="preserve">ADHD-RS-IV ≥24, CGI-S ≥4 </w:t>
            </w:r>
            <w:r w:rsidRPr="006D49EC">
              <w:br/>
              <w:t>aged 6-12 years</w:t>
            </w:r>
          </w:p>
        </w:tc>
        <w:tc>
          <w:tcPr>
            <w:tcW w:w="1294" w:type="pct"/>
            <w:vMerge/>
            <w:shd w:val="clear" w:color="auto" w:fill="auto"/>
            <w:vAlign w:val="center"/>
          </w:tcPr>
          <w:p w:rsidR="00EE7675" w:rsidRPr="006D49EC" w:rsidRDefault="00EE7675" w:rsidP="00E907D1">
            <w:pPr>
              <w:pStyle w:val="TableText1"/>
              <w:jc w:val="center"/>
            </w:pPr>
          </w:p>
        </w:tc>
        <w:tc>
          <w:tcPr>
            <w:tcW w:w="642" w:type="pct"/>
            <w:shd w:val="clear" w:color="auto" w:fill="auto"/>
            <w:vAlign w:val="center"/>
          </w:tcPr>
          <w:p w:rsidR="00EE7675" w:rsidRPr="006D49EC" w:rsidRDefault="00EE7675" w:rsidP="00E907D1">
            <w:pPr>
              <w:pStyle w:val="TableText1"/>
              <w:jc w:val="center"/>
            </w:pPr>
            <w:r w:rsidRPr="006D49EC">
              <w:t>Not used</w:t>
            </w:r>
          </w:p>
        </w:tc>
      </w:tr>
      <w:tr w:rsidR="00EE7675" w:rsidRPr="006D49EC" w:rsidTr="00A54901">
        <w:tc>
          <w:tcPr>
            <w:tcW w:w="445" w:type="pct"/>
            <w:shd w:val="clear" w:color="auto" w:fill="auto"/>
            <w:vAlign w:val="center"/>
          </w:tcPr>
          <w:p w:rsidR="00EE7675" w:rsidRPr="006D49EC" w:rsidRDefault="00EE7675" w:rsidP="00E907D1">
            <w:pPr>
              <w:pStyle w:val="TableText1"/>
            </w:pPr>
            <w:r w:rsidRPr="006D49EC">
              <w:t>Trial 312</w:t>
            </w:r>
          </w:p>
        </w:tc>
        <w:tc>
          <w:tcPr>
            <w:tcW w:w="212" w:type="pct"/>
            <w:shd w:val="clear" w:color="auto" w:fill="auto"/>
            <w:vAlign w:val="center"/>
          </w:tcPr>
          <w:p w:rsidR="00EE7675" w:rsidRPr="006D49EC" w:rsidRDefault="00EE7675" w:rsidP="00E907D1">
            <w:pPr>
              <w:pStyle w:val="TableText1"/>
              <w:jc w:val="center"/>
            </w:pPr>
            <w:r w:rsidRPr="006D49EC">
              <w:t>314</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pPr>
            <w:r w:rsidRPr="006D49EC">
              <w:rPr>
                <w:rFonts w:eastAsia="Times New Roman" w:cs="Times New Roman"/>
              </w:rPr>
              <w:t>13 weeks</w:t>
            </w:r>
          </w:p>
        </w:tc>
        <w:tc>
          <w:tcPr>
            <w:tcW w:w="394" w:type="pct"/>
            <w:shd w:val="clear" w:color="auto" w:fill="auto"/>
            <w:vAlign w:val="center"/>
          </w:tcPr>
          <w:p w:rsidR="00EE7675" w:rsidRPr="006D49EC" w:rsidRDefault="00EE7675" w:rsidP="00E907D1">
            <w:pPr>
              <w:pStyle w:val="TableText1"/>
              <w:jc w:val="center"/>
            </w:pPr>
            <w:r w:rsidRPr="006D49EC">
              <w:t>Low</w:t>
            </w:r>
          </w:p>
        </w:tc>
        <w:tc>
          <w:tcPr>
            <w:tcW w:w="1258" w:type="pct"/>
            <w:shd w:val="clear" w:color="auto" w:fill="auto"/>
            <w:vAlign w:val="center"/>
          </w:tcPr>
          <w:p w:rsidR="00EE7675" w:rsidRPr="006D49EC" w:rsidRDefault="00EE7675" w:rsidP="00E907D1">
            <w:pPr>
              <w:pStyle w:val="TableText1"/>
              <w:jc w:val="center"/>
            </w:pPr>
            <w:r w:rsidRPr="006D49EC">
              <w:t xml:space="preserve">ADHD, </w:t>
            </w:r>
            <w:r w:rsidRPr="006D49EC">
              <w:br/>
              <w:t>ADHD-RS-IV ≥32, CGI-S ≥4, aged 13-17 years</w:t>
            </w:r>
          </w:p>
        </w:tc>
        <w:tc>
          <w:tcPr>
            <w:tcW w:w="1294" w:type="pct"/>
            <w:vMerge/>
            <w:shd w:val="clear" w:color="auto" w:fill="auto"/>
            <w:vAlign w:val="center"/>
          </w:tcPr>
          <w:p w:rsidR="00EE7675" w:rsidRPr="006D49EC" w:rsidRDefault="00EE7675" w:rsidP="00E907D1">
            <w:pPr>
              <w:pStyle w:val="TableText1"/>
              <w:jc w:val="center"/>
            </w:pPr>
          </w:p>
        </w:tc>
        <w:tc>
          <w:tcPr>
            <w:tcW w:w="642" w:type="pct"/>
            <w:shd w:val="clear" w:color="auto" w:fill="auto"/>
            <w:vAlign w:val="center"/>
          </w:tcPr>
          <w:p w:rsidR="00EE7675" w:rsidRPr="006D49EC" w:rsidRDefault="00EE7675" w:rsidP="00E907D1">
            <w:pPr>
              <w:pStyle w:val="TableText1"/>
              <w:jc w:val="center"/>
            </w:pPr>
            <w:r w:rsidRPr="006D49EC">
              <w:t>Not used</w:t>
            </w:r>
          </w:p>
        </w:tc>
      </w:tr>
      <w:tr w:rsidR="00EE7675" w:rsidRPr="006D49EC" w:rsidTr="00A54901">
        <w:tc>
          <w:tcPr>
            <w:tcW w:w="445" w:type="pct"/>
            <w:shd w:val="clear" w:color="auto" w:fill="auto"/>
            <w:vAlign w:val="center"/>
          </w:tcPr>
          <w:p w:rsidR="00EE7675" w:rsidRPr="006D49EC" w:rsidRDefault="00EE7675" w:rsidP="00E907D1">
            <w:pPr>
              <w:pStyle w:val="TableText1"/>
            </w:pPr>
            <w:r w:rsidRPr="006D49EC">
              <w:t>Trial 314</w:t>
            </w:r>
          </w:p>
        </w:tc>
        <w:tc>
          <w:tcPr>
            <w:tcW w:w="212" w:type="pct"/>
            <w:shd w:val="clear" w:color="auto" w:fill="auto"/>
            <w:vAlign w:val="center"/>
          </w:tcPr>
          <w:p w:rsidR="00EE7675" w:rsidRPr="006D49EC" w:rsidRDefault="00EE7675" w:rsidP="00E907D1">
            <w:pPr>
              <w:pStyle w:val="TableText1"/>
              <w:jc w:val="center"/>
            </w:pPr>
            <w:r w:rsidRPr="006D49EC">
              <w:t>340</w:t>
            </w:r>
          </w:p>
        </w:tc>
        <w:tc>
          <w:tcPr>
            <w:tcW w:w="755" w:type="pct"/>
            <w:shd w:val="clear" w:color="auto" w:fill="auto"/>
            <w:vAlign w:val="center"/>
          </w:tcPr>
          <w:p w:rsidR="00EE7675" w:rsidRPr="006D49EC" w:rsidRDefault="00EE7675" w:rsidP="00E907D1">
            <w:pPr>
              <w:pStyle w:val="TableText1"/>
              <w:jc w:val="center"/>
              <w:rPr>
                <w:rFonts w:eastAsia="Times New Roman" w:cs="Times New Roman"/>
              </w:rPr>
            </w:pPr>
            <w:r w:rsidRPr="006D49EC">
              <w:t>R, DB</w:t>
            </w:r>
          </w:p>
          <w:p w:rsidR="00EE7675" w:rsidRPr="006D49EC" w:rsidRDefault="00EE7675" w:rsidP="00E907D1">
            <w:pPr>
              <w:pStyle w:val="TableText1"/>
              <w:jc w:val="center"/>
            </w:pPr>
            <w:r w:rsidRPr="006D49EC">
              <w:rPr>
                <w:rFonts w:eastAsia="Times New Roman" w:cs="Times New Roman"/>
              </w:rPr>
              <w:t>8 weeks</w:t>
            </w:r>
          </w:p>
        </w:tc>
        <w:tc>
          <w:tcPr>
            <w:tcW w:w="394" w:type="pct"/>
            <w:shd w:val="clear" w:color="auto" w:fill="auto"/>
            <w:vAlign w:val="center"/>
          </w:tcPr>
          <w:p w:rsidR="00EE7675" w:rsidRPr="006D49EC" w:rsidRDefault="00EE7675" w:rsidP="00E907D1">
            <w:pPr>
              <w:pStyle w:val="TableText1"/>
              <w:jc w:val="center"/>
            </w:pPr>
            <w:r w:rsidRPr="006D49EC">
              <w:t>Low</w:t>
            </w:r>
          </w:p>
        </w:tc>
        <w:tc>
          <w:tcPr>
            <w:tcW w:w="1258" w:type="pct"/>
            <w:shd w:val="clear" w:color="auto" w:fill="auto"/>
            <w:vAlign w:val="center"/>
          </w:tcPr>
          <w:p w:rsidR="00EE7675" w:rsidRPr="006D49EC" w:rsidRDefault="00EE7675" w:rsidP="00E907D1">
            <w:pPr>
              <w:pStyle w:val="TableText1"/>
              <w:jc w:val="center"/>
            </w:pPr>
            <w:r w:rsidRPr="006D49EC">
              <w:t xml:space="preserve">ADHD, </w:t>
            </w:r>
            <w:r w:rsidRPr="006D49EC">
              <w:br/>
              <w:t xml:space="preserve">ADHD-RS-IV ≥28, CGI-S ≥4, </w:t>
            </w:r>
            <w:r w:rsidRPr="006D49EC">
              <w:br/>
              <w:t>aged 6-12 years</w:t>
            </w:r>
          </w:p>
        </w:tc>
        <w:tc>
          <w:tcPr>
            <w:tcW w:w="1294" w:type="pct"/>
            <w:vMerge/>
            <w:shd w:val="clear" w:color="auto" w:fill="auto"/>
            <w:vAlign w:val="center"/>
          </w:tcPr>
          <w:p w:rsidR="00EE7675" w:rsidRPr="006D49EC" w:rsidRDefault="00EE7675" w:rsidP="00E907D1">
            <w:pPr>
              <w:pStyle w:val="TableText1"/>
              <w:jc w:val="center"/>
            </w:pPr>
          </w:p>
        </w:tc>
        <w:tc>
          <w:tcPr>
            <w:tcW w:w="642" w:type="pct"/>
            <w:shd w:val="clear" w:color="auto" w:fill="auto"/>
            <w:vAlign w:val="center"/>
          </w:tcPr>
          <w:p w:rsidR="00EE7675" w:rsidRPr="006D49EC" w:rsidRDefault="00EE7675" w:rsidP="00E907D1">
            <w:pPr>
              <w:pStyle w:val="TableText1"/>
              <w:jc w:val="center"/>
            </w:pPr>
            <w:r w:rsidRPr="006D49EC">
              <w:t>Not used</w:t>
            </w:r>
          </w:p>
        </w:tc>
      </w:tr>
    </w:tbl>
    <w:p w:rsidR="00EE7675" w:rsidRPr="006D49EC" w:rsidRDefault="00EE7675" w:rsidP="00E907D1">
      <w:pPr>
        <w:pStyle w:val="TableFooter"/>
        <w:widowControl/>
      </w:pPr>
      <w:r w:rsidRPr="006D49EC">
        <w:t xml:space="preserve">ADHD=attention deficit hyperactivity disorder; ADHD-RS-IV=attention deficit hyperactivity disorder rating scale IV; </w:t>
      </w:r>
      <w:r w:rsidR="00731758" w:rsidRPr="006D49EC">
        <w:t xml:space="preserve">CGI-I=Clinical Global Impression - Improvement; CGI-S=Clinical Global Impression - Severity of Illness; </w:t>
      </w:r>
      <w:r w:rsidRPr="006D49EC">
        <w:t>DB=double blind; MC=multi-centre; OL=open label; OS=overall survival; PFS=progression-free survival; R=randomised.</w:t>
      </w:r>
    </w:p>
    <w:p w:rsidR="00EE7675" w:rsidRPr="006D49EC" w:rsidRDefault="00EE7675" w:rsidP="00E907D1">
      <w:pPr>
        <w:pStyle w:val="TableFooter"/>
        <w:widowControl/>
        <w:tabs>
          <w:tab w:val="left" w:pos="284"/>
        </w:tabs>
      </w:pPr>
      <w:r w:rsidRPr="006D49EC">
        <w:rPr>
          <w:vertAlign w:val="superscript"/>
        </w:rPr>
        <w:t>a</w:t>
      </w:r>
      <w:r w:rsidRPr="006D49EC">
        <w:tab/>
        <w:t>randomised</w:t>
      </w:r>
    </w:p>
    <w:p w:rsidR="00EE7675" w:rsidRPr="006D49EC" w:rsidRDefault="00EE7675" w:rsidP="00E907D1">
      <w:pPr>
        <w:pStyle w:val="TableFooter"/>
        <w:widowControl/>
        <w:tabs>
          <w:tab w:val="left" w:pos="284"/>
        </w:tabs>
      </w:pPr>
      <w:r w:rsidRPr="006D49EC">
        <w:rPr>
          <w:vertAlign w:val="superscript"/>
        </w:rPr>
        <w:t>b</w:t>
      </w:r>
      <w:r w:rsidRPr="006D49EC">
        <w:rPr>
          <w:vertAlign w:val="superscript"/>
        </w:rPr>
        <w:tab/>
      </w:r>
      <w:r w:rsidRPr="006D49EC">
        <w:t>not used in modelled economic evaluation, but used in a cost-minimisation analysis versus atomoxetine</w:t>
      </w:r>
    </w:p>
    <w:p w:rsidR="00EE7675" w:rsidRPr="006D49EC" w:rsidRDefault="00EE7675" w:rsidP="00E907D1">
      <w:pPr>
        <w:pStyle w:val="TableFooter"/>
        <w:widowControl/>
        <w:tabs>
          <w:tab w:val="left" w:pos="284"/>
        </w:tabs>
        <w:ind w:left="284" w:hanging="284"/>
      </w:pPr>
      <w:r w:rsidRPr="006D49EC">
        <w:rPr>
          <w:vertAlign w:val="superscript"/>
        </w:rPr>
        <w:t>c</w:t>
      </w:r>
      <w:r w:rsidRPr="006D49EC">
        <w:tab/>
        <w:t>full analysis set (FAS), defined as ‘randomised subjects who took at least 1 dose of investigational product’, to analyse efficacy and safety outcomes, used LOCF for missing efficacy data.</w:t>
      </w:r>
    </w:p>
    <w:p w:rsidR="00EE7675" w:rsidRPr="006D49EC" w:rsidRDefault="00EE7675" w:rsidP="00E907D1">
      <w:pPr>
        <w:pStyle w:val="TableFooter"/>
        <w:widowControl/>
        <w:tabs>
          <w:tab w:val="left" w:pos="284"/>
        </w:tabs>
        <w:ind w:left="284" w:hanging="284"/>
      </w:pPr>
      <w:r w:rsidRPr="006D49EC">
        <w:t>Source: compiled during the evaluation</w:t>
      </w:r>
    </w:p>
    <w:p w:rsidR="00EE7675" w:rsidRPr="006D49EC" w:rsidRDefault="00EE7675" w:rsidP="00E907D1">
      <w:pPr>
        <w:pStyle w:val="ListParagraph"/>
        <w:widowControl/>
        <w:ind w:left="576"/>
        <w:contextualSpacing w:val="0"/>
      </w:pPr>
    </w:p>
    <w:p w:rsidR="00DD48DB" w:rsidRPr="006D49EC" w:rsidRDefault="00DD48DB" w:rsidP="00B24C96">
      <w:pPr>
        <w:pStyle w:val="Heading3"/>
        <w:rPr>
          <w:i/>
        </w:rPr>
      </w:pPr>
      <w:bookmarkStart w:id="23" w:name="_Toc413139278"/>
      <w:bookmarkStart w:id="24" w:name="_Toc476306888"/>
      <w:bookmarkStart w:id="25" w:name="_Toc480313629"/>
      <w:r w:rsidRPr="006D49EC">
        <w:rPr>
          <w:i/>
        </w:rPr>
        <w:t>Comparative effectiveness</w:t>
      </w:r>
      <w:bookmarkEnd w:id="23"/>
      <w:bookmarkEnd w:id="24"/>
      <w:bookmarkEnd w:id="25"/>
      <w:r w:rsidRPr="006D49EC">
        <w:rPr>
          <w:i/>
        </w:rPr>
        <w:t xml:space="preserve"> </w:t>
      </w:r>
    </w:p>
    <w:p w:rsidR="00EE7675" w:rsidRPr="006D49EC" w:rsidRDefault="00EE7675" w:rsidP="00B24C96">
      <w:pPr>
        <w:pStyle w:val="ListParagraph"/>
        <w:widowControl/>
        <w:numPr>
          <w:ilvl w:val="1"/>
          <w:numId w:val="3"/>
        </w:numPr>
        <w:contextualSpacing w:val="0"/>
        <w:rPr>
          <w:rFonts w:asciiTheme="minorHAnsi" w:hAnsiTheme="minorHAnsi"/>
        </w:rPr>
      </w:pPr>
      <w:r w:rsidRPr="006D49EC">
        <w:rPr>
          <w:rFonts w:asciiTheme="minorHAnsi" w:hAnsiTheme="minorHAnsi"/>
        </w:rPr>
        <w:t>Table</w:t>
      </w:r>
      <w:r w:rsidR="00556B3C" w:rsidRPr="006D49EC">
        <w:rPr>
          <w:rFonts w:asciiTheme="minorHAnsi" w:hAnsiTheme="minorHAnsi"/>
        </w:rPr>
        <w:t xml:space="preserve"> </w:t>
      </w:r>
      <w:r w:rsidRPr="006D49EC">
        <w:rPr>
          <w:rFonts w:asciiTheme="minorHAnsi" w:hAnsiTheme="minorHAnsi"/>
        </w:rPr>
        <w:t>4 summarises the changes in ADHD-RS-IV total scores from baseline to endpoint in the trials.</w:t>
      </w:r>
    </w:p>
    <w:p w:rsidR="00FB5D14" w:rsidRPr="006D49EC" w:rsidRDefault="00FB5D14" w:rsidP="00E907D1">
      <w:pPr>
        <w:pStyle w:val="Caption"/>
      </w:pPr>
      <w:r w:rsidRPr="006D49EC">
        <w:t xml:space="preserve">Table </w:t>
      </w:r>
      <w:r w:rsidR="00ED75E6" w:rsidRPr="006D49EC">
        <w:t>4</w:t>
      </w:r>
      <w:r w:rsidRPr="006D49EC">
        <w:t>: Mean change in ADHD-RS-IV scores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700"/>
        <w:gridCol w:w="717"/>
        <w:gridCol w:w="1843"/>
        <w:gridCol w:w="709"/>
        <w:gridCol w:w="1701"/>
        <w:gridCol w:w="2268"/>
      </w:tblGrid>
      <w:tr w:rsidR="00EE7675" w:rsidRPr="006D49EC" w:rsidTr="00A54901">
        <w:tc>
          <w:tcPr>
            <w:tcW w:w="988" w:type="dxa"/>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rPr>
                <w:rFonts w:ascii="Arial Narrow" w:hAnsi="Arial Narrow"/>
                <w:sz w:val="20"/>
              </w:rPr>
            </w:pPr>
            <w:r w:rsidRPr="006D49EC">
              <w:rPr>
                <w:rFonts w:ascii="Arial Narrow" w:hAnsi="Arial Narrow"/>
                <w:b/>
                <w:sz w:val="20"/>
              </w:rPr>
              <w:t>Trial</w:t>
            </w:r>
          </w:p>
        </w:tc>
        <w:tc>
          <w:tcPr>
            <w:tcW w:w="700" w:type="dxa"/>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jc w:val="center"/>
              <w:rPr>
                <w:rFonts w:ascii="Arial Narrow" w:hAnsi="Arial Narrow"/>
                <w:sz w:val="20"/>
              </w:rPr>
            </w:pPr>
            <w:r w:rsidRPr="006D49EC">
              <w:rPr>
                <w:rFonts w:ascii="Arial Narrow" w:hAnsi="Arial Narrow"/>
                <w:b/>
                <w:sz w:val="20"/>
              </w:rPr>
              <w:t>Week</w:t>
            </w:r>
          </w:p>
        </w:tc>
        <w:tc>
          <w:tcPr>
            <w:tcW w:w="717"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b/>
                <w:sz w:val="20"/>
              </w:rPr>
              <w:t>N</w:t>
            </w:r>
          </w:p>
        </w:tc>
        <w:tc>
          <w:tcPr>
            <w:tcW w:w="1843"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b/>
                <w:sz w:val="20"/>
              </w:rPr>
              <w:t>Mean change (SD)</w:t>
            </w:r>
          </w:p>
        </w:tc>
        <w:tc>
          <w:tcPr>
            <w:tcW w:w="709"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b/>
                <w:sz w:val="20"/>
              </w:rPr>
              <w:t>N</w:t>
            </w:r>
          </w:p>
        </w:tc>
        <w:tc>
          <w:tcPr>
            <w:tcW w:w="1701"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b/>
                <w:sz w:val="20"/>
              </w:rPr>
              <w:t>Mean change (SD)</w:t>
            </w:r>
          </w:p>
        </w:tc>
        <w:tc>
          <w:tcPr>
            <w:tcW w:w="226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Mean difference (95% CI)</w:t>
            </w:r>
          </w:p>
        </w:tc>
      </w:tr>
      <w:tr w:rsidR="00EE7675" w:rsidRPr="006D49EC" w:rsidTr="00A54901">
        <w:tc>
          <w:tcPr>
            <w:tcW w:w="1688" w:type="dxa"/>
            <w:gridSpan w:val="2"/>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jc w:val="center"/>
              <w:rPr>
                <w:rFonts w:ascii="Arial Narrow" w:hAnsi="Arial Narrow"/>
                <w:b/>
                <w:sz w:val="20"/>
              </w:rPr>
            </w:pPr>
          </w:p>
        </w:tc>
        <w:tc>
          <w:tcPr>
            <w:tcW w:w="2560" w:type="dxa"/>
            <w:gridSpan w:val="2"/>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GXR</w:t>
            </w:r>
          </w:p>
        </w:tc>
        <w:tc>
          <w:tcPr>
            <w:tcW w:w="2410" w:type="dxa"/>
            <w:gridSpan w:val="2"/>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ATX</w:t>
            </w:r>
          </w:p>
        </w:tc>
        <w:tc>
          <w:tcPr>
            <w:tcW w:w="226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rPr>
                <w:rFonts w:ascii="Arial Narrow" w:hAnsi="Arial Narrow"/>
                <w:sz w:val="20"/>
              </w:rPr>
            </w:pPr>
            <w:r w:rsidRPr="006D49EC">
              <w:rPr>
                <w:rFonts w:ascii="Arial Narrow" w:hAnsi="Arial Narrow"/>
                <w:sz w:val="20"/>
              </w:rPr>
              <w:t>Trial 316</w:t>
            </w:r>
          </w:p>
        </w:tc>
        <w:tc>
          <w:tcPr>
            <w:tcW w:w="700" w:type="dxa"/>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jc w:val="center"/>
              <w:rPr>
                <w:rFonts w:ascii="Arial Narrow" w:hAnsi="Arial Narrow"/>
                <w:sz w:val="20"/>
              </w:rPr>
            </w:pPr>
            <w:r w:rsidRPr="006D49EC">
              <w:rPr>
                <w:rFonts w:ascii="Arial Narrow" w:hAnsi="Arial Narrow"/>
                <w:sz w:val="20"/>
              </w:rPr>
              <w:t>10/13</w:t>
            </w:r>
          </w:p>
        </w:tc>
        <w:tc>
          <w:tcPr>
            <w:tcW w:w="717"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112</w:t>
            </w:r>
          </w:p>
        </w:tc>
        <w:tc>
          <w:tcPr>
            <w:tcW w:w="1843"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-23.9 (12.41)</w:t>
            </w:r>
          </w:p>
        </w:tc>
        <w:tc>
          <w:tcPr>
            <w:tcW w:w="709"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112</w:t>
            </w:r>
          </w:p>
        </w:tc>
        <w:tc>
          <w:tcPr>
            <w:tcW w:w="1701"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-18.6 (11.91)</w:t>
            </w:r>
          </w:p>
        </w:tc>
        <w:tc>
          <w:tcPr>
            <w:tcW w:w="226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-5.30 (-8.49, -2.11)</w:t>
            </w:r>
          </w:p>
        </w:tc>
      </w:tr>
      <w:tr w:rsidR="00EE7675" w:rsidRPr="006D49EC" w:rsidTr="00A54901">
        <w:tc>
          <w:tcPr>
            <w:tcW w:w="1688" w:type="dxa"/>
            <w:gridSpan w:val="2"/>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jc w:val="center"/>
              <w:rPr>
                <w:rFonts w:ascii="Arial Narrow" w:hAnsi="Arial Narrow"/>
                <w:b/>
                <w:sz w:val="20"/>
              </w:rPr>
            </w:pPr>
          </w:p>
        </w:tc>
        <w:tc>
          <w:tcPr>
            <w:tcW w:w="2560" w:type="dxa"/>
            <w:gridSpan w:val="2"/>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GXR + LA stimulants</w:t>
            </w:r>
          </w:p>
        </w:tc>
        <w:tc>
          <w:tcPr>
            <w:tcW w:w="2410" w:type="dxa"/>
            <w:gridSpan w:val="2"/>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PBO + LA stimulants</w:t>
            </w:r>
          </w:p>
        </w:tc>
        <w:tc>
          <w:tcPr>
            <w:tcW w:w="226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rPr>
                <w:rFonts w:ascii="Arial Narrow" w:hAnsi="Arial Narrow"/>
                <w:sz w:val="20"/>
              </w:rPr>
            </w:pPr>
            <w:r w:rsidRPr="006D49EC">
              <w:rPr>
                <w:rFonts w:ascii="Arial Narrow" w:hAnsi="Arial Narrow"/>
                <w:sz w:val="20"/>
              </w:rPr>
              <w:t>Trial 313</w:t>
            </w:r>
          </w:p>
        </w:tc>
        <w:tc>
          <w:tcPr>
            <w:tcW w:w="700" w:type="dxa"/>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jc w:val="center"/>
              <w:rPr>
                <w:rFonts w:ascii="Arial Narrow" w:hAnsi="Arial Narrow"/>
                <w:sz w:val="20"/>
              </w:rPr>
            </w:pPr>
            <w:r w:rsidRPr="006D49EC">
              <w:rPr>
                <w:rFonts w:ascii="Arial Narrow" w:hAnsi="Arial Narrow"/>
                <w:sz w:val="20"/>
              </w:rPr>
              <w:t>8</w:t>
            </w:r>
          </w:p>
        </w:tc>
        <w:tc>
          <w:tcPr>
            <w:tcW w:w="717"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297</w:t>
            </w:r>
          </w:p>
        </w:tc>
        <w:tc>
          <w:tcPr>
            <w:tcW w:w="1843"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-20.7 (12.56)</w:t>
            </w:r>
          </w:p>
        </w:tc>
        <w:tc>
          <w:tcPr>
            <w:tcW w:w="709"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152</w:t>
            </w:r>
          </w:p>
        </w:tc>
        <w:tc>
          <w:tcPr>
            <w:tcW w:w="1701"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sz w:val="20"/>
              </w:rPr>
            </w:pPr>
            <w:r w:rsidRPr="006D49EC">
              <w:rPr>
                <w:rFonts w:ascii="Arial Narrow" w:hAnsi="Arial Narrow"/>
                <w:sz w:val="20"/>
              </w:rPr>
              <w:t>-16.0 (11.77)</w:t>
            </w:r>
          </w:p>
        </w:tc>
        <w:tc>
          <w:tcPr>
            <w:tcW w:w="226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-4.70 (-7.05, -2.35)</w:t>
            </w:r>
          </w:p>
        </w:tc>
      </w:tr>
      <w:tr w:rsidR="00EE7675" w:rsidRPr="006D49EC" w:rsidTr="00A54901">
        <w:tc>
          <w:tcPr>
            <w:tcW w:w="1688" w:type="dxa"/>
            <w:gridSpan w:val="2"/>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jc w:val="center"/>
              <w:rPr>
                <w:rFonts w:ascii="Arial Narrow" w:hAnsi="Arial Narrow"/>
                <w:sz w:val="20"/>
              </w:rPr>
            </w:pPr>
          </w:p>
        </w:tc>
        <w:tc>
          <w:tcPr>
            <w:tcW w:w="2560" w:type="dxa"/>
            <w:gridSpan w:val="2"/>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GXR</w:t>
            </w:r>
          </w:p>
        </w:tc>
        <w:tc>
          <w:tcPr>
            <w:tcW w:w="2410" w:type="dxa"/>
            <w:gridSpan w:val="2"/>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PBO</w:t>
            </w:r>
          </w:p>
        </w:tc>
        <w:tc>
          <w:tcPr>
            <w:tcW w:w="2268" w:type="dxa"/>
            <w:tcBorders>
              <w:top w:val="single" w:sz="4" w:space="0" w:color="auto"/>
              <w:left w:val="single" w:sz="4" w:space="0" w:color="auto"/>
              <w:bottom w:val="single" w:sz="4" w:space="0" w:color="auto"/>
              <w:right w:val="single" w:sz="4" w:space="0" w:color="auto"/>
            </w:tcBorders>
          </w:tcPr>
          <w:p w:rsidR="00EE7675" w:rsidRPr="006D49EC" w:rsidRDefault="00EE7675" w:rsidP="00E907D1">
            <w:pPr>
              <w:widowControl/>
              <w:jc w:val="center"/>
              <w:rPr>
                <w:rFonts w:ascii="Arial Narrow" w:hAnsi="Arial Narrow"/>
                <w:b/>
                <w:sz w:val="20"/>
              </w:rPr>
            </w:pP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rPr>
                <w:rFonts w:ascii="Arial Narrow" w:hAnsi="Arial Narrow"/>
                <w:sz w:val="20"/>
              </w:rPr>
            </w:pPr>
            <w:r w:rsidRPr="006D49EC">
              <w:rPr>
                <w:rFonts w:ascii="Arial Narrow" w:hAnsi="Arial Narrow"/>
                <w:sz w:val="20"/>
              </w:rPr>
              <w:t>Trial 316</w:t>
            </w:r>
          </w:p>
        </w:tc>
        <w:tc>
          <w:tcPr>
            <w:tcW w:w="700"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10/13</w:t>
            </w:r>
          </w:p>
        </w:tc>
        <w:tc>
          <w:tcPr>
            <w:tcW w:w="717"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112</w:t>
            </w:r>
          </w:p>
        </w:tc>
        <w:tc>
          <w:tcPr>
            <w:tcW w:w="1843"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-23.9 (12.41)</w:t>
            </w:r>
          </w:p>
        </w:tc>
        <w:tc>
          <w:tcPr>
            <w:tcW w:w="709"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111</w:t>
            </w:r>
          </w:p>
        </w:tc>
        <w:tc>
          <w:tcPr>
            <w:tcW w:w="1701"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-15.0 (13.07)</w:t>
            </w:r>
          </w:p>
        </w:tc>
        <w:tc>
          <w:tcPr>
            <w:tcW w:w="226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 xml:space="preserve">-8.90 (-12.25, -5.55) </w:t>
            </w: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rPr>
                <w:rFonts w:ascii="Arial Narrow" w:hAnsi="Arial Narrow"/>
                <w:sz w:val="20"/>
              </w:rPr>
            </w:pPr>
            <w:r w:rsidRPr="006D49EC">
              <w:rPr>
                <w:rFonts w:ascii="Arial Narrow" w:hAnsi="Arial Narrow"/>
                <w:sz w:val="20"/>
              </w:rPr>
              <w:t>Trial 206</w:t>
            </w:r>
          </w:p>
        </w:tc>
        <w:tc>
          <w:tcPr>
            <w:tcW w:w="700"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6</w:t>
            </w:r>
          </w:p>
        </w:tc>
        <w:tc>
          <w:tcPr>
            <w:tcW w:w="717"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118</w:t>
            </w:r>
          </w:p>
        </w:tc>
        <w:tc>
          <w:tcPr>
            <w:tcW w:w="1843"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-18.0 (10.72)</w:t>
            </w:r>
          </w:p>
        </w:tc>
        <w:tc>
          <w:tcPr>
            <w:tcW w:w="709"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57</w:t>
            </w:r>
          </w:p>
        </w:tc>
        <w:tc>
          <w:tcPr>
            <w:tcW w:w="1701"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-11.9 (13.12)</w:t>
            </w:r>
          </w:p>
        </w:tc>
        <w:tc>
          <w:tcPr>
            <w:tcW w:w="226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 xml:space="preserve">-6.10 (-10.02, -2.18) </w:t>
            </w: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rPr>
                <w:rFonts w:ascii="Arial Narrow" w:hAnsi="Arial Narrow"/>
                <w:sz w:val="20"/>
              </w:rPr>
            </w:pPr>
            <w:r w:rsidRPr="006D49EC">
              <w:rPr>
                <w:rFonts w:ascii="Arial Narrow" w:hAnsi="Arial Narrow"/>
                <w:sz w:val="20"/>
              </w:rPr>
              <w:t>Trial 301</w:t>
            </w:r>
          </w:p>
        </w:tc>
        <w:tc>
          <w:tcPr>
            <w:tcW w:w="700"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5</w:t>
            </w:r>
          </w:p>
        </w:tc>
        <w:tc>
          <w:tcPr>
            <w:tcW w:w="717"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81</w:t>
            </w:r>
          </w:p>
        </w:tc>
        <w:tc>
          <w:tcPr>
            <w:tcW w:w="1843"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-19.0 (13.71) – 4mg</w:t>
            </w:r>
          </w:p>
        </w:tc>
        <w:tc>
          <w:tcPr>
            <w:tcW w:w="709"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78</w:t>
            </w:r>
          </w:p>
        </w:tc>
        <w:tc>
          <w:tcPr>
            <w:tcW w:w="1701"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-8.86 (12.90)</w:t>
            </w:r>
          </w:p>
        </w:tc>
        <w:tc>
          <w:tcPr>
            <w:tcW w:w="226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 xml:space="preserve">-10.14 (-14.28, -6.00) </w:t>
            </w: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rPr>
                <w:rFonts w:ascii="Arial Narrow" w:hAnsi="Arial Narrow"/>
                <w:sz w:val="20"/>
              </w:rPr>
            </w:pPr>
            <w:r w:rsidRPr="006D49EC">
              <w:rPr>
                <w:rFonts w:ascii="Arial Narrow" w:hAnsi="Arial Narrow"/>
                <w:sz w:val="20"/>
              </w:rPr>
              <w:t>Trial 304</w:t>
            </w:r>
          </w:p>
        </w:tc>
        <w:tc>
          <w:tcPr>
            <w:tcW w:w="700"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6</w:t>
            </w:r>
          </w:p>
        </w:tc>
        <w:tc>
          <w:tcPr>
            <w:tcW w:w="717"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63</w:t>
            </w:r>
          </w:p>
        </w:tc>
        <w:tc>
          <w:tcPr>
            <w:tcW w:w="1843"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-20.9 (11.89) – 4mg</w:t>
            </w:r>
          </w:p>
        </w:tc>
        <w:tc>
          <w:tcPr>
            <w:tcW w:w="709"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63</w:t>
            </w:r>
          </w:p>
        </w:tc>
        <w:tc>
          <w:tcPr>
            <w:tcW w:w="1701"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-12.2 (12.96)</w:t>
            </w:r>
          </w:p>
        </w:tc>
        <w:tc>
          <w:tcPr>
            <w:tcW w:w="226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-8.70 (-13.04, -4.36)</w:t>
            </w: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rPr>
                <w:rFonts w:ascii="Arial Narrow" w:hAnsi="Arial Narrow"/>
                <w:sz w:val="20"/>
              </w:rPr>
            </w:pPr>
            <w:r w:rsidRPr="006D49EC">
              <w:rPr>
                <w:rFonts w:ascii="Arial Narrow" w:hAnsi="Arial Narrow"/>
                <w:sz w:val="20"/>
              </w:rPr>
              <w:t>Trial 307</w:t>
            </w:r>
          </w:p>
        </w:tc>
        <w:tc>
          <w:tcPr>
            <w:tcW w:w="700"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8</w:t>
            </w:r>
          </w:p>
        </w:tc>
        <w:tc>
          <w:tcPr>
            <w:tcW w:w="717"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130</w:t>
            </w:r>
          </w:p>
        </w:tc>
        <w:tc>
          <w:tcPr>
            <w:tcW w:w="1843"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-23.8 (14.43)</w:t>
            </w:r>
          </w:p>
        </w:tc>
        <w:tc>
          <w:tcPr>
            <w:tcW w:w="709"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75</w:t>
            </w:r>
          </w:p>
        </w:tc>
        <w:tc>
          <w:tcPr>
            <w:tcW w:w="1701"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-11.4 (12.65)</w:t>
            </w:r>
          </w:p>
        </w:tc>
        <w:tc>
          <w:tcPr>
            <w:tcW w:w="226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 xml:space="preserve">-12.40 (-16.19, -8.61) </w:t>
            </w: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rPr>
                <w:rFonts w:ascii="Arial Narrow" w:hAnsi="Arial Narrow"/>
                <w:sz w:val="20"/>
              </w:rPr>
            </w:pPr>
            <w:r w:rsidRPr="006D49EC">
              <w:rPr>
                <w:rFonts w:ascii="Arial Narrow" w:hAnsi="Arial Narrow"/>
                <w:sz w:val="20"/>
              </w:rPr>
              <w:t>Trial 312</w:t>
            </w:r>
          </w:p>
        </w:tc>
        <w:tc>
          <w:tcPr>
            <w:tcW w:w="700"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13</w:t>
            </w:r>
          </w:p>
        </w:tc>
        <w:tc>
          <w:tcPr>
            <w:tcW w:w="717"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109</w:t>
            </w:r>
          </w:p>
        </w:tc>
        <w:tc>
          <w:tcPr>
            <w:tcW w:w="1843"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-25.7 (10.09)</w:t>
            </w:r>
          </w:p>
        </w:tc>
        <w:tc>
          <w:tcPr>
            <w:tcW w:w="709"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106</w:t>
            </w:r>
          </w:p>
        </w:tc>
        <w:tc>
          <w:tcPr>
            <w:tcW w:w="1701"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-19.5 (12.63)</w:t>
            </w:r>
          </w:p>
        </w:tc>
        <w:tc>
          <w:tcPr>
            <w:tcW w:w="226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-6.20 (-9.26, -3.14)</w:t>
            </w:r>
          </w:p>
        </w:tc>
      </w:tr>
      <w:tr w:rsidR="00EE7675" w:rsidRPr="006D49EC" w:rsidTr="00A54901">
        <w:tc>
          <w:tcPr>
            <w:tcW w:w="98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rPr>
                <w:rFonts w:ascii="Arial Narrow" w:hAnsi="Arial Narrow"/>
                <w:sz w:val="20"/>
              </w:rPr>
            </w:pPr>
            <w:r w:rsidRPr="006D49EC">
              <w:rPr>
                <w:rFonts w:ascii="Arial Narrow" w:hAnsi="Arial Narrow"/>
                <w:sz w:val="20"/>
              </w:rPr>
              <w:t>Trial 314</w:t>
            </w:r>
          </w:p>
        </w:tc>
        <w:tc>
          <w:tcPr>
            <w:tcW w:w="700"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8</w:t>
            </w:r>
          </w:p>
        </w:tc>
        <w:tc>
          <w:tcPr>
            <w:tcW w:w="717"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216</w:t>
            </w:r>
          </w:p>
        </w:tc>
        <w:tc>
          <w:tcPr>
            <w:tcW w:w="1843"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-20.0 (12.97)</w:t>
            </w:r>
          </w:p>
        </w:tc>
        <w:tc>
          <w:tcPr>
            <w:tcW w:w="709"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110</w:t>
            </w:r>
          </w:p>
        </w:tc>
        <w:tc>
          <w:tcPr>
            <w:tcW w:w="1701"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sz w:val="20"/>
              </w:rPr>
            </w:pPr>
            <w:r w:rsidRPr="006D49EC">
              <w:rPr>
                <w:rFonts w:ascii="Arial Narrow" w:hAnsi="Arial Narrow"/>
                <w:sz w:val="20"/>
              </w:rPr>
              <w:t>-11.0 (12.93)</w:t>
            </w:r>
          </w:p>
        </w:tc>
        <w:tc>
          <w:tcPr>
            <w:tcW w:w="2268" w:type="dxa"/>
            <w:tcBorders>
              <w:top w:val="single" w:sz="4" w:space="0" w:color="auto"/>
              <w:left w:val="single" w:sz="4" w:space="0" w:color="auto"/>
              <w:bottom w:val="single" w:sz="4" w:space="0" w:color="auto"/>
              <w:right w:val="single" w:sz="4" w:space="0" w:color="auto"/>
            </w:tcBorders>
            <w:hideMark/>
          </w:tcPr>
          <w:p w:rsidR="00EE7675" w:rsidRPr="006D49EC" w:rsidRDefault="00EE7675" w:rsidP="00E907D1">
            <w:pPr>
              <w:widowControl/>
              <w:jc w:val="center"/>
              <w:rPr>
                <w:rFonts w:ascii="Arial Narrow" w:hAnsi="Arial Narrow"/>
                <w:b/>
                <w:sz w:val="20"/>
              </w:rPr>
            </w:pPr>
            <w:r w:rsidRPr="006D49EC">
              <w:rPr>
                <w:rFonts w:ascii="Arial Narrow" w:hAnsi="Arial Narrow"/>
                <w:b/>
                <w:sz w:val="20"/>
              </w:rPr>
              <w:t xml:space="preserve">-9.00 (-11.97, -6.03) </w:t>
            </w:r>
          </w:p>
        </w:tc>
      </w:tr>
      <w:tr w:rsidR="00EE7675" w:rsidRPr="006D49EC" w:rsidTr="00A54901">
        <w:tc>
          <w:tcPr>
            <w:tcW w:w="6658" w:type="dxa"/>
            <w:gridSpan w:val="6"/>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rPr>
                <w:rFonts w:ascii="Arial Narrow" w:hAnsi="Arial Narrow"/>
                <w:sz w:val="20"/>
              </w:rPr>
            </w:pPr>
            <w:r w:rsidRPr="006D49EC">
              <w:rPr>
                <w:rFonts w:ascii="Arial Narrow" w:hAnsi="Arial Narrow"/>
                <w:sz w:val="20"/>
              </w:rPr>
              <w:t>Pooled (all trials)</w:t>
            </w:r>
          </w:p>
          <w:p w:rsidR="00EE7675" w:rsidRPr="006D49EC" w:rsidRDefault="00EE7675" w:rsidP="00E907D1">
            <w:pPr>
              <w:widowControl/>
              <w:rPr>
                <w:rFonts w:ascii="Arial Narrow" w:hAnsi="Arial Narrow"/>
                <w:sz w:val="20"/>
              </w:rPr>
            </w:pPr>
            <w:r w:rsidRPr="006D49EC">
              <w:rPr>
                <w:rFonts w:ascii="Arial Narrow" w:hAnsi="Arial Narrow"/>
                <w:sz w:val="20"/>
              </w:rPr>
              <w:t>Chi-square for heterogeneity: P=0.21; I</w:t>
            </w:r>
            <w:r w:rsidRPr="006D49EC">
              <w:rPr>
                <w:rFonts w:ascii="Arial Narrow" w:hAnsi="Arial Narrow"/>
                <w:sz w:val="20"/>
                <w:vertAlign w:val="superscript"/>
              </w:rPr>
              <w:t>2</w:t>
            </w:r>
            <w:r w:rsidRPr="006D49EC">
              <w:rPr>
                <w:rFonts w:ascii="Arial Narrow" w:hAnsi="Arial Narrow"/>
                <w:sz w:val="20"/>
              </w:rPr>
              <w:t xml:space="preserve"> statistic = 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CF0A88" w:rsidP="00E907D1">
            <w:pPr>
              <w:widowControl/>
              <w:jc w:val="center"/>
              <w:rPr>
                <w:rFonts w:ascii="Arial Narrow" w:hAnsi="Arial Narrow"/>
                <w:b/>
                <w:sz w:val="20"/>
              </w:rPr>
            </w:pPr>
            <w:r>
              <w:rPr>
                <w:rFonts w:ascii="Arial Narrow" w:hAnsi="Arial Narrow"/>
                <w:b/>
                <w:noProof/>
                <w:color w:val="000000"/>
                <w:sz w:val="20"/>
                <w:highlight w:val="black"/>
              </w:rPr>
              <w:t>''''''''' '''''''''''''''' ''''''''''''</w:t>
            </w:r>
          </w:p>
        </w:tc>
      </w:tr>
      <w:tr w:rsidR="00EE7675" w:rsidRPr="006D49EC" w:rsidTr="00A54901">
        <w:tc>
          <w:tcPr>
            <w:tcW w:w="6658" w:type="dxa"/>
            <w:gridSpan w:val="6"/>
            <w:tcBorders>
              <w:top w:val="single" w:sz="4" w:space="0" w:color="auto"/>
              <w:left w:val="single" w:sz="4" w:space="0" w:color="auto"/>
              <w:bottom w:val="single" w:sz="4" w:space="0" w:color="auto"/>
              <w:right w:val="single" w:sz="4" w:space="0" w:color="auto"/>
            </w:tcBorders>
            <w:vAlign w:val="center"/>
            <w:hideMark/>
          </w:tcPr>
          <w:p w:rsidR="00EE7675" w:rsidRPr="006D49EC" w:rsidRDefault="00EE7675" w:rsidP="00E907D1">
            <w:pPr>
              <w:widowControl/>
              <w:rPr>
                <w:rFonts w:ascii="Arial Narrow" w:hAnsi="Arial Narrow"/>
                <w:sz w:val="20"/>
              </w:rPr>
            </w:pPr>
            <w:r w:rsidRPr="006D49EC">
              <w:rPr>
                <w:rFonts w:ascii="Arial Narrow" w:hAnsi="Arial Narrow"/>
                <w:sz w:val="20"/>
              </w:rPr>
              <w:t>Pooled (Trials 316, 206, 307, 312, 314 – dose optimised trials)</w:t>
            </w:r>
          </w:p>
          <w:p w:rsidR="00EE7675" w:rsidRPr="006D49EC" w:rsidRDefault="00EE7675" w:rsidP="00E907D1">
            <w:pPr>
              <w:widowControl/>
              <w:rPr>
                <w:rFonts w:ascii="Arial Narrow" w:hAnsi="Arial Narrow"/>
                <w:sz w:val="20"/>
              </w:rPr>
            </w:pPr>
            <w:r w:rsidRPr="006D49EC">
              <w:rPr>
                <w:rFonts w:ascii="Arial Narrow" w:hAnsi="Arial Narrow"/>
                <w:sz w:val="20"/>
              </w:rPr>
              <w:t>Chi-square for heterogeneity: P=0.10; I</w:t>
            </w:r>
            <w:r w:rsidRPr="006D49EC">
              <w:rPr>
                <w:rFonts w:ascii="Arial Narrow" w:hAnsi="Arial Narrow"/>
                <w:sz w:val="20"/>
                <w:vertAlign w:val="superscript"/>
              </w:rPr>
              <w:t xml:space="preserve">2 </w:t>
            </w:r>
            <w:r w:rsidRPr="006D49EC">
              <w:rPr>
                <w:rFonts w:ascii="Arial Narrow" w:hAnsi="Arial Narrow"/>
                <w:sz w:val="20"/>
              </w:rPr>
              <w:t>statistic=49%</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7675" w:rsidRPr="006D49EC" w:rsidRDefault="00CF0A88" w:rsidP="00E907D1">
            <w:pPr>
              <w:widowControl/>
              <w:jc w:val="center"/>
              <w:rPr>
                <w:rFonts w:ascii="Arial Narrow" w:hAnsi="Arial Narrow"/>
                <w:b/>
                <w:sz w:val="20"/>
              </w:rPr>
            </w:pPr>
            <w:r>
              <w:rPr>
                <w:rFonts w:ascii="Arial Narrow" w:hAnsi="Arial Narrow"/>
                <w:b/>
                <w:noProof/>
                <w:color w:val="000000"/>
                <w:sz w:val="20"/>
                <w:highlight w:val="black"/>
              </w:rPr>
              <w:t>''''''''' ''''''''''''''' '''''''''''''</w:t>
            </w:r>
          </w:p>
        </w:tc>
      </w:tr>
      <w:tr w:rsidR="00EE7675" w:rsidRPr="006D49EC" w:rsidTr="00A54901">
        <w:tc>
          <w:tcPr>
            <w:tcW w:w="6658" w:type="dxa"/>
            <w:gridSpan w:val="6"/>
            <w:tcBorders>
              <w:top w:val="single" w:sz="4" w:space="0" w:color="auto"/>
              <w:left w:val="single" w:sz="4" w:space="0" w:color="auto"/>
              <w:bottom w:val="single" w:sz="4" w:space="0" w:color="auto"/>
              <w:right w:val="single" w:sz="4" w:space="0" w:color="auto"/>
            </w:tcBorders>
            <w:vAlign w:val="center"/>
          </w:tcPr>
          <w:p w:rsidR="00EE7675" w:rsidRPr="006D49EC" w:rsidRDefault="00EE7675" w:rsidP="00E907D1">
            <w:pPr>
              <w:widowControl/>
              <w:rPr>
                <w:rFonts w:ascii="Arial Narrow" w:hAnsi="Arial Narrow"/>
                <w:sz w:val="20"/>
              </w:rPr>
            </w:pPr>
            <w:r w:rsidRPr="006D49EC">
              <w:rPr>
                <w:rFonts w:ascii="Arial Narrow" w:hAnsi="Arial Narrow"/>
                <w:sz w:val="20"/>
              </w:rPr>
              <w:t xml:space="preserve">Pooled (Trials 316, 307, 312, 314 – </w:t>
            </w:r>
            <w:r w:rsidRPr="006D49EC">
              <w:rPr>
                <w:rFonts w:ascii="Arial Narrow" w:hAnsi="Arial Narrow"/>
                <w:sz w:val="20"/>
                <w:u w:val="single"/>
              </w:rPr>
              <w:t>maximum</w:t>
            </w:r>
            <w:r w:rsidRPr="006D49EC">
              <w:rPr>
                <w:rFonts w:ascii="Arial Narrow" w:hAnsi="Arial Narrow"/>
                <w:sz w:val="20"/>
              </w:rPr>
              <w:t xml:space="preserve"> dose optimised trials)</w:t>
            </w:r>
          </w:p>
          <w:p w:rsidR="00EE7675" w:rsidRPr="006D49EC" w:rsidRDefault="00EE7675" w:rsidP="00E907D1">
            <w:pPr>
              <w:widowControl/>
              <w:rPr>
                <w:rFonts w:ascii="Arial Narrow" w:hAnsi="Arial Narrow"/>
                <w:sz w:val="20"/>
              </w:rPr>
            </w:pPr>
            <w:r w:rsidRPr="006D49EC">
              <w:rPr>
                <w:rFonts w:ascii="Arial Narrow" w:hAnsi="Arial Narrow"/>
                <w:sz w:val="20"/>
              </w:rPr>
              <w:t>Chi-square for heterogeneity: P=0.10; I</w:t>
            </w:r>
            <w:r w:rsidRPr="006D49EC">
              <w:rPr>
                <w:rFonts w:ascii="Arial Narrow" w:hAnsi="Arial Narrow"/>
                <w:sz w:val="20"/>
                <w:vertAlign w:val="superscript"/>
              </w:rPr>
              <w:t xml:space="preserve">2 </w:t>
            </w:r>
            <w:r w:rsidRPr="006D49EC">
              <w:rPr>
                <w:rFonts w:ascii="Arial Narrow" w:hAnsi="Arial Narrow"/>
                <w:sz w:val="20"/>
              </w:rPr>
              <w:t>statistic=52%</w:t>
            </w:r>
          </w:p>
        </w:tc>
        <w:tc>
          <w:tcPr>
            <w:tcW w:w="2268" w:type="dxa"/>
            <w:tcBorders>
              <w:top w:val="single" w:sz="4" w:space="0" w:color="auto"/>
              <w:left w:val="single" w:sz="4" w:space="0" w:color="auto"/>
              <w:bottom w:val="single" w:sz="4" w:space="0" w:color="auto"/>
              <w:right w:val="single" w:sz="4" w:space="0" w:color="auto"/>
            </w:tcBorders>
            <w:vAlign w:val="center"/>
          </w:tcPr>
          <w:p w:rsidR="00EE7675" w:rsidRPr="00CF0A88" w:rsidRDefault="00CF0A88" w:rsidP="00E907D1">
            <w:pPr>
              <w:widowControl/>
              <w:jc w:val="center"/>
              <w:rPr>
                <w:rFonts w:ascii="Arial Narrow" w:hAnsi="Arial Narrow"/>
                <w:b/>
                <w:sz w:val="20"/>
                <w:highlight w:val="black"/>
              </w:rPr>
            </w:pPr>
            <w:r>
              <w:rPr>
                <w:rFonts w:ascii="Arial Narrow" w:hAnsi="Arial Narrow"/>
                <w:b/>
                <w:noProof/>
                <w:color w:val="000000"/>
                <w:sz w:val="20"/>
                <w:highlight w:val="black"/>
              </w:rPr>
              <w:t>'''''''''' '''''''''''''' ''''''''''''</w:t>
            </w:r>
          </w:p>
        </w:tc>
      </w:tr>
    </w:tbl>
    <w:p w:rsidR="00EE7675" w:rsidRPr="006D49EC" w:rsidRDefault="00EE7675" w:rsidP="00E907D1">
      <w:pPr>
        <w:widowControl/>
        <w:rPr>
          <w:rFonts w:ascii="Arial Narrow" w:hAnsi="Arial Narrow"/>
          <w:sz w:val="18"/>
        </w:rPr>
      </w:pPr>
      <w:r w:rsidRPr="006D49EC">
        <w:rPr>
          <w:rFonts w:ascii="Arial Narrow" w:hAnsi="Arial Narrow"/>
          <w:sz w:val="18"/>
        </w:rPr>
        <w:t>Source: Table B-17, p102; Table B-23, p108; and Table B-29, p116 of the submission</w:t>
      </w:r>
    </w:p>
    <w:p w:rsidR="00EE7675" w:rsidRPr="006D49EC" w:rsidRDefault="00EE7675" w:rsidP="00E907D1">
      <w:pPr>
        <w:widowControl/>
        <w:rPr>
          <w:rFonts w:ascii="Arial Narrow" w:hAnsi="Arial Narrow"/>
          <w:sz w:val="18"/>
        </w:rPr>
      </w:pPr>
      <w:r w:rsidRPr="006D49EC">
        <w:rPr>
          <w:rFonts w:ascii="Arial Narrow" w:hAnsi="Arial Narrow"/>
          <w:sz w:val="18"/>
        </w:rPr>
        <w:t>Bold typography indicates statistically significant differences</w:t>
      </w:r>
    </w:p>
    <w:p w:rsidR="00CB56F0" w:rsidRPr="006D49EC" w:rsidRDefault="00CB56F0" w:rsidP="00E907D1">
      <w:pPr>
        <w:widowControl/>
        <w:rPr>
          <w:rFonts w:ascii="Arial Narrow" w:hAnsi="Arial Narrow"/>
          <w:sz w:val="18"/>
        </w:rPr>
      </w:pPr>
    </w:p>
    <w:p w:rsidR="00CB56F0" w:rsidRPr="006D49EC" w:rsidRDefault="00CB56F0" w:rsidP="00B24C96">
      <w:pPr>
        <w:pStyle w:val="ListParagraph"/>
        <w:widowControl/>
        <w:numPr>
          <w:ilvl w:val="1"/>
          <w:numId w:val="3"/>
        </w:numPr>
        <w:contextualSpacing w:val="0"/>
        <w:rPr>
          <w:rFonts w:asciiTheme="minorHAnsi" w:hAnsiTheme="minorHAnsi"/>
        </w:rPr>
      </w:pPr>
      <w:r w:rsidRPr="006D49EC">
        <w:t xml:space="preserve">A </w:t>
      </w:r>
      <w:r w:rsidRPr="006D49EC">
        <w:rPr>
          <w:rFonts w:asciiTheme="minorHAnsi" w:hAnsiTheme="minorHAnsi"/>
        </w:rPr>
        <w:t>statistically</w:t>
      </w:r>
      <w:r w:rsidRPr="006D49EC">
        <w:t xml:space="preserve"> significant reduction in ADHD-RS-IV scores was demonstrated in </w:t>
      </w:r>
      <w:r w:rsidR="00F72429">
        <w:t xml:space="preserve">both </w:t>
      </w:r>
      <w:r w:rsidRPr="006D49EC">
        <w:t xml:space="preserve">the comparison of guanfacine versus atomoxetine </w:t>
      </w:r>
      <w:r w:rsidR="00F72429">
        <w:t xml:space="preserve">(Trial316) </w:t>
      </w:r>
      <w:r w:rsidRPr="006D49EC">
        <w:t>and guanfacine ± long-acting stimulants versus placebo ± long-acting stimulants</w:t>
      </w:r>
      <w:r w:rsidR="00F72429">
        <w:t xml:space="preserve"> (Trial 313)</w:t>
      </w:r>
      <w:r w:rsidRPr="006D49EC">
        <w:t xml:space="preserve">. The 95% CI for the mean difference in ADHD-RS-IV between treatment groups within comparisons of guanfacine and atomoxetine (Trial 316) and guanfacine + long-acting stimulants versus placebo + long-acting simulants (Trial 313) include both the ‘within treatment’ and ‘between treatment’ MCIDs threshold ADHD-RS-IV score changes from </w:t>
      </w:r>
      <w:r w:rsidR="003213ED" w:rsidRPr="006D49EC">
        <w:t>Zh</w:t>
      </w:r>
      <w:r w:rsidR="003213ED">
        <w:t>a</w:t>
      </w:r>
      <w:r w:rsidR="003213ED" w:rsidRPr="006D49EC">
        <w:t xml:space="preserve">ng </w:t>
      </w:r>
      <w:r w:rsidRPr="006D49EC">
        <w:t>et al (2005)</w:t>
      </w:r>
      <w:r w:rsidR="00844084" w:rsidRPr="006D49EC">
        <w:t xml:space="preserve"> of between 9.6 and 11.4, and 5.2 to 7.7 respectively</w:t>
      </w:r>
      <w:r w:rsidRPr="006D49EC">
        <w:t xml:space="preserve">. Given this, and the fact there are no other validated MCIDs for the ADHD-RS-IV in children and adolescents, there is no robust evidence to support guanfacine and guanfacine + long-acting stimulants as offering a clinically significant improvement compared to atomoxetine and placebo + long-acting stimulants, respectively. </w:t>
      </w:r>
      <w:r w:rsidR="00127B4D" w:rsidRPr="006D49EC">
        <w:t xml:space="preserve">The </w:t>
      </w:r>
      <w:r w:rsidR="00127B4D" w:rsidRPr="00896295">
        <w:t>ESC</w:t>
      </w:r>
      <w:r w:rsidR="00127B4D" w:rsidRPr="006D49EC">
        <w:t xml:space="preserve"> noted the mean difference in both trials did not reach the pre-specified mean difference of 6.6 (as specified in Zhang et al 2005), </w:t>
      </w:r>
      <w:r w:rsidR="00C52148" w:rsidRPr="006D49EC">
        <w:t>and considered that the results were unlikely to indicate a MCID for guanfacine and atomoxetine.</w:t>
      </w:r>
    </w:p>
    <w:p w:rsidR="00CB56F0" w:rsidRPr="006D49EC" w:rsidRDefault="00CB56F0" w:rsidP="00B24C96">
      <w:pPr>
        <w:pStyle w:val="ListParagraph"/>
        <w:widowControl/>
        <w:numPr>
          <w:ilvl w:val="1"/>
          <w:numId w:val="3"/>
        </w:numPr>
        <w:contextualSpacing w:val="0"/>
      </w:pPr>
      <w:r w:rsidRPr="006D49EC">
        <w:t xml:space="preserve">For the comparison of guanfacine and placebo, the interpretation of clinical significance is dependent on the MCID that is considered most acceptable. As the ‘within treatment’ MCID reported by </w:t>
      </w:r>
      <w:r w:rsidR="003213ED" w:rsidRPr="006D49EC">
        <w:t>Zh</w:t>
      </w:r>
      <w:r w:rsidR="003213ED">
        <w:t>a</w:t>
      </w:r>
      <w:r w:rsidR="003213ED" w:rsidRPr="006D49EC">
        <w:t xml:space="preserve">ng </w:t>
      </w:r>
      <w:r w:rsidRPr="006D49EC">
        <w:t>et al (2005) has been validated against the CGI-I scale</w:t>
      </w:r>
      <w:r w:rsidR="00F72429">
        <w:t>,</w:t>
      </w:r>
      <w:r w:rsidRPr="006D49EC">
        <w:t xml:space="preserve"> there could be an argument that a clinically significant difference remains constant regardless of the comparison</w:t>
      </w:r>
      <w:r w:rsidR="00F72429">
        <w:t>.</w:t>
      </w:r>
      <w:r w:rsidRPr="006D49EC">
        <w:t xml:space="preserve"> </w:t>
      </w:r>
      <w:r w:rsidR="00F72429">
        <w:t>T</w:t>
      </w:r>
      <w:r w:rsidRPr="006D49EC">
        <w:t>he 95% CIs in the comparison of guanfacine and placebo do not exceed any of these MCID</w:t>
      </w:r>
      <w:r w:rsidR="00C52148" w:rsidRPr="006D49EC">
        <w:t>s</w:t>
      </w:r>
      <w:r w:rsidRPr="006D49EC">
        <w:t>, thus the clinical significance of the changes in ADHD-RS-IV total scores required consideration.</w:t>
      </w:r>
      <w:r w:rsidR="00127B4D" w:rsidRPr="006D49EC">
        <w:t xml:space="preserve"> The ESC noted ADHD-RS-IV score changes between 25-30% have been validated as meaningful (Goodman et al 2010), and that </w:t>
      </w:r>
      <w:r w:rsidR="00731758" w:rsidRPr="006D49EC">
        <w:t>these percentage</w:t>
      </w:r>
      <w:r w:rsidR="00127B4D" w:rsidRPr="006D49EC">
        <w:t xml:space="preserve"> change</w:t>
      </w:r>
      <w:r w:rsidR="00731758" w:rsidRPr="006D49EC">
        <w:t>s</w:t>
      </w:r>
      <w:r w:rsidR="00127B4D" w:rsidRPr="006D49EC">
        <w:t xml:space="preserve"> </w:t>
      </w:r>
      <w:r w:rsidR="0036484B" w:rsidRPr="006D49EC">
        <w:t xml:space="preserve">have been </w:t>
      </w:r>
      <w:r w:rsidR="00127B4D" w:rsidRPr="006D49EC">
        <w:t xml:space="preserve">used in the trials to classify participants </w:t>
      </w:r>
      <w:r w:rsidR="00886A66" w:rsidRPr="006D49EC">
        <w:t>as</w:t>
      </w:r>
      <w:r w:rsidR="00127B4D" w:rsidRPr="006D49EC">
        <w:t xml:space="preserve"> responders and non-responders.</w:t>
      </w:r>
    </w:p>
    <w:p w:rsidR="00CB56F0" w:rsidRPr="006D49EC" w:rsidRDefault="00CB56F0" w:rsidP="00B24C96">
      <w:pPr>
        <w:pStyle w:val="ListParagraph"/>
        <w:widowControl/>
        <w:numPr>
          <w:ilvl w:val="1"/>
          <w:numId w:val="3"/>
        </w:numPr>
        <w:contextualSpacing w:val="0"/>
        <w:rPr>
          <w:rFonts w:asciiTheme="minorHAnsi" w:hAnsiTheme="minorHAnsi"/>
        </w:rPr>
      </w:pPr>
      <w:r w:rsidRPr="006D49EC">
        <w:rPr>
          <w:rFonts w:asciiTheme="minorHAnsi" w:hAnsiTheme="minorHAnsi"/>
        </w:rPr>
        <w:t>Table 5 summarises the proportion of patients achieving ‘responder’ status in the trials.</w:t>
      </w:r>
    </w:p>
    <w:p w:rsidR="00FB5D14" w:rsidRPr="006D49EC" w:rsidRDefault="00FB5D14" w:rsidP="00E907D1">
      <w:pPr>
        <w:pStyle w:val="Caption"/>
      </w:pPr>
      <w:r w:rsidRPr="006D49EC">
        <w:t xml:space="preserve">Table </w:t>
      </w:r>
      <w:r w:rsidR="00ED75E6" w:rsidRPr="006D49EC">
        <w:t>5</w:t>
      </w:r>
      <w:r w:rsidRPr="006D49EC">
        <w:t>: Proportion classified as a responder in the trials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1630"/>
        <w:gridCol w:w="1630"/>
        <w:gridCol w:w="1843"/>
        <w:gridCol w:w="1843"/>
        <w:gridCol w:w="1134"/>
      </w:tblGrid>
      <w:tr w:rsidR="00CB56F0" w:rsidRPr="006D49EC" w:rsidTr="00A54901">
        <w:tc>
          <w:tcPr>
            <w:tcW w:w="846"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rPr>
                <w:rFonts w:ascii="Arial Narrow" w:hAnsi="Arial Narrow"/>
                <w:b/>
                <w:sz w:val="20"/>
              </w:rPr>
            </w:pPr>
            <w:r w:rsidRPr="006D49EC">
              <w:rPr>
                <w:rFonts w:ascii="Arial Narrow" w:hAnsi="Arial Narrow"/>
                <w:b/>
                <w:sz w:val="20"/>
              </w:rPr>
              <w:t>Trial</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n/N (%)</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n/N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RR (95% CI)</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RD (95% 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NNT (95% CI)</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GXR</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ATX</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rPr>
                <w:rFonts w:ascii="Arial Narrow" w:hAnsi="Arial Narrow"/>
                <w:sz w:val="20"/>
                <w:vertAlign w:val="superscript"/>
              </w:rPr>
            </w:pPr>
            <w:r w:rsidRPr="006D49EC">
              <w:rPr>
                <w:rFonts w:ascii="Arial Narrow" w:hAnsi="Arial Narrow"/>
                <w:sz w:val="20"/>
              </w:rPr>
              <w:t>Trial 316</w:t>
            </w:r>
            <w:r w:rsidRPr="006D49EC">
              <w:rPr>
                <w:rFonts w:ascii="Arial Narrow" w:hAnsi="Arial Narrow"/>
                <w:sz w:val="20"/>
                <w:vertAlign w:val="superscript"/>
              </w:rPr>
              <w:t>a</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b/>
                <w:sz w:val="20"/>
              </w:rPr>
            </w:pPr>
            <w:r w:rsidRPr="006D49EC">
              <w:rPr>
                <w:rFonts w:ascii="Arial Narrow" w:hAnsi="Arial Narrow"/>
                <w:sz w:val="20"/>
              </w:rPr>
              <w:t>72/112 (64.3)</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sz w:val="20"/>
              </w:rPr>
              <w:t>62/112 (55.4)</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sz w:val="20"/>
              </w:rPr>
              <w:t>1.16 (0.94, 1.44)</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sz w:val="20"/>
              </w:rPr>
              <w:t>0.09 (-0.04, 0.22)</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sz w:val="20"/>
              </w:rPr>
            </w:pPr>
            <w:r w:rsidRPr="006D49EC">
              <w:rPr>
                <w:rFonts w:ascii="Arial Narrow" w:hAnsi="Arial Narrow"/>
                <w:sz w:val="20"/>
              </w:rPr>
              <w:t>NA</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GXR+LA stimulants</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PBO+LA stimulants</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rPr>
                <w:rFonts w:ascii="Arial Narrow" w:hAnsi="Arial Narrow"/>
                <w:sz w:val="20"/>
              </w:rPr>
            </w:pPr>
            <w:r w:rsidRPr="006D49EC">
              <w:rPr>
                <w:rFonts w:ascii="Arial Narrow" w:hAnsi="Arial Narrow"/>
                <w:sz w:val="20"/>
              </w:rPr>
              <w:t>Trial 313</w:t>
            </w:r>
            <w:r w:rsidRPr="006D49EC">
              <w:rPr>
                <w:rFonts w:ascii="Arial Narrow" w:hAnsi="Arial Narrow"/>
                <w:sz w:val="20"/>
                <w:vertAlign w:val="superscript"/>
              </w:rPr>
              <w:t>b</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sz w:val="20"/>
              </w:rPr>
              <w:t>241/297 (81.1)</w:t>
            </w:r>
          </w:p>
        </w:tc>
        <w:tc>
          <w:tcPr>
            <w:tcW w:w="1630"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sz w:val="20"/>
              </w:rPr>
            </w:pPr>
            <w:r w:rsidRPr="006D49EC">
              <w:rPr>
                <w:rFonts w:ascii="Arial Narrow" w:hAnsi="Arial Narrow"/>
                <w:sz w:val="20"/>
              </w:rPr>
              <w:t>106/152 (69.7)</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1.16 (1.03, 1.31)</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0.11 (0.03, 0.20)</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9 (5, 33)</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b/>
                <w:sz w:val="20"/>
              </w:rPr>
              <w:t>GXR</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b/>
                <w:sz w:val="20"/>
              </w:rPr>
              <w:t>PBO</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rPr>
                <w:rFonts w:ascii="Arial Narrow" w:hAnsi="Arial Narrow"/>
                <w:sz w:val="20"/>
                <w:vertAlign w:val="superscript"/>
              </w:rPr>
            </w:pPr>
            <w:r w:rsidRPr="006D49EC">
              <w:rPr>
                <w:rFonts w:ascii="Arial Narrow" w:hAnsi="Arial Narrow"/>
                <w:sz w:val="20"/>
              </w:rPr>
              <w:t>Trial 316</w:t>
            </w:r>
            <w:r w:rsidRPr="006D49EC">
              <w:rPr>
                <w:rFonts w:ascii="Arial Narrow" w:hAnsi="Arial Narrow"/>
                <w:sz w:val="20"/>
                <w:vertAlign w:val="superscript"/>
              </w:rPr>
              <w:t>a</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72/112 (64.3)</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47/111 (42.3)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1.52 (1.17, 1.96)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0.22 (0.09, 0.35)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4 (3 11)</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left"/>
              <w:rPr>
                <w:rFonts w:ascii="Arial Narrow" w:hAnsi="Arial Narrow"/>
                <w:sz w:val="20"/>
                <w:vertAlign w:val="superscript"/>
              </w:rPr>
            </w:pPr>
            <w:r w:rsidRPr="006D49EC">
              <w:rPr>
                <w:rFonts w:ascii="Arial Narrow" w:hAnsi="Arial Narrow"/>
                <w:sz w:val="20"/>
              </w:rPr>
              <w:t>Trial 304</w:t>
            </w:r>
            <w:r w:rsidRPr="006D49EC">
              <w:rPr>
                <w:rFonts w:ascii="Arial Narrow" w:hAnsi="Arial Narrow"/>
                <w:sz w:val="20"/>
                <w:vertAlign w:val="superscript"/>
              </w:rPr>
              <w:t>b</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51/63 (81.0) – 4mg</w:t>
            </w:r>
          </w:p>
          <w:p w:rsidR="00CB56F0" w:rsidRPr="006D49EC" w:rsidRDefault="00CB56F0" w:rsidP="00E907D1">
            <w:pPr>
              <w:widowControl/>
              <w:jc w:val="center"/>
              <w:rPr>
                <w:rFonts w:ascii="Arial Narrow" w:hAnsi="Arial Narrow"/>
                <w:sz w:val="20"/>
              </w:rPr>
            </w:pPr>
            <w:r w:rsidRPr="006D49EC">
              <w:rPr>
                <w:rFonts w:ascii="Arial Narrow" w:hAnsi="Arial Narrow"/>
                <w:sz w:val="20"/>
              </w:rPr>
              <w:t>182/243 (74.9) - all</w:t>
            </w:r>
          </w:p>
        </w:tc>
        <w:tc>
          <w:tcPr>
            <w:tcW w:w="1630"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36/63 (57.1)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1.42 (1.11, 1.81)</w:t>
            </w:r>
          </w:p>
          <w:p w:rsidR="00CB56F0" w:rsidRPr="006D49EC" w:rsidRDefault="00CB56F0" w:rsidP="00E907D1">
            <w:pPr>
              <w:widowControl/>
              <w:jc w:val="center"/>
              <w:rPr>
                <w:rFonts w:ascii="Arial Narrow" w:hAnsi="Arial Narrow"/>
                <w:b/>
                <w:sz w:val="20"/>
              </w:rPr>
            </w:pPr>
            <w:r w:rsidRPr="006D49EC">
              <w:rPr>
                <w:rFonts w:ascii="Arial Narrow" w:hAnsi="Arial Narrow"/>
                <w:b/>
                <w:sz w:val="20"/>
              </w:rPr>
              <w:t>2.24 (1.26, 3.99)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0.24 (0.08, 0.39)</w:t>
            </w:r>
          </w:p>
          <w:p w:rsidR="00CB56F0" w:rsidRPr="006D49EC" w:rsidRDefault="00CB56F0" w:rsidP="00E907D1">
            <w:pPr>
              <w:widowControl/>
              <w:jc w:val="center"/>
              <w:rPr>
                <w:rFonts w:ascii="Arial Narrow" w:hAnsi="Arial Narrow"/>
                <w:b/>
                <w:sz w:val="20"/>
              </w:rPr>
            </w:pPr>
            <w:r w:rsidRPr="006D49EC">
              <w:rPr>
                <w:rFonts w:ascii="Arial Narrow" w:hAnsi="Arial Narrow"/>
                <w:b/>
                <w:sz w:val="20"/>
              </w:rPr>
              <w:t>0.18 (0.04, 0.31)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4 (3, 13)</w:t>
            </w:r>
          </w:p>
          <w:p w:rsidR="00CB56F0" w:rsidRPr="006D49EC" w:rsidRDefault="00CB56F0" w:rsidP="00E907D1">
            <w:pPr>
              <w:widowControl/>
              <w:jc w:val="center"/>
              <w:rPr>
                <w:rFonts w:ascii="Arial Narrow" w:hAnsi="Arial Narrow"/>
                <w:b/>
                <w:sz w:val="20"/>
              </w:rPr>
            </w:pPr>
            <w:r w:rsidRPr="006D49EC">
              <w:rPr>
                <w:rFonts w:ascii="Arial Narrow" w:hAnsi="Arial Narrow"/>
                <w:b/>
                <w:sz w:val="20"/>
              </w:rPr>
              <w:t>5 (3, 25)</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rPr>
                <w:rFonts w:ascii="Arial Narrow" w:hAnsi="Arial Narrow"/>
                <w:sz w:val="20"/>
                <w:vertAlign w:val="superscript"/>
              </w:rPr>
            </w:pPr>
            <w:r w:rsidRPr="006D49EC">
              <w:rPr>
                <w:rFonts w:ascii="Arial Narrow" w:hAnsi="Arial Narrow"/>
                <w:sz w:val="20"/>
              </w:rPr>
              <w:t>Trial 307</w:t>
            </w:r>
            <w:r w:rsidRPr="006D49EC">
              <w:rPr>
                <w:rFonts w:ascii="Arial Narrow" w:hAnsi="Arial Narrow"/>
                <w:sz w:val="20"/>
                <w:vertAlign w:val="superscript"/>
              </w:rPr>
              <w:t>a</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90/130 (69.2)</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23/74 (31.1)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2.23 (1.56, 3.19)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0.38 (0.25, 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3 (2, 4)</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rPr>
                <w:rFonts w:ascii="Arial Narrow" w:hAnsi="Arial Narrow"/>
                <w:sz w:val="20"/>
                <w:vertAlign w:val="superscript"/>
              </w:rPr>
            </w:pPr>
            <w:r w:rsidRPr="006D49EC">
              <w:rPr>
                <w:rFonts w:ascii="Arial Narrow" w:hAnsi="Arial Narrow"/>
                <w:sz w:val="20"/>
              </w:rPr>
              <w:t>Trial 312</w:t>
            </w:r>
            <w:r w:rsidRPr="006D49EC">
              <w:rPr>
                <w:rFonts w:ascii="Arial Narrow" w:hAnsi="Arial Narrow"/>
                <w:sz w:val="20"/>
                <w:vertAlign w:val="superscript"/>
              </w:rPr>
              <w:t>a</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103/154 (66.9)</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71/155 (45.8)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1.46 (1.19, 1.79)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0.21 (0.10, 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5 (3, 10)</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rPr>
                <w:rFonts w:ascii="Arial Narrow" w:hAnsi="Arial Narrow"/>
                <w:sz w:val="20"/>
                <w:vertAlign w:val="superscript"/>
              </w:rPr>
            </w:pPr>
            <w:r w:rsidRPr="006D49EC">
              <w:rPr>
                <w:rFonts w:ascii="Arial Narrow" w:hAnsi="Arial Narrow"/>
                <w:sz w:val="20"/>
              </w:rPr>
              <w:t>Trial 314</w:t>
            </w:r>
            <w:r w:rsidRPr="006D49EC">
              <w:rPr>
                <w:rFonts w:ascii="Arial Narrow" w:hAnsi="Arial Narrow"/>
                <w:sz w:val="20"/>
                <w:vertAlign w:val="superscript"/>
              </w:rPr>
              <w:t>a</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132/215 (61.4)</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widowControl/>
              <w:jc w:val="center"/>
              <w:rPr>
                <w:rFonts w:ascii="Arial Narrow" w:hAnsi="Arial Narrow"/>
                <w:sz w:val="20"/>
              </w:rPr>
            </w:pPr>
            <w:r w:rsidRPr="006D49EC">
              <w:rPr>
                <w:rFonts w:ascii="Arial Narrow" w:hAnsi="Arial Narrow"/>
                <w:sz w:val="20"/>
              </w:rPr>
              <w:t>34/110 (30.9)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1.99 (1.47, 2.68)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0.30 (0.20, 0.41)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3 (2, 5)</w:t>
            </w:r>
          </w:p>
        </w:tc>
      </w:tr>
      <w:tr w:rsidR="00CB56F0" w:rsidRPr="006D49EC" w:rsidTr="00A54901">
        <w:tc>
          <w:tcPr>
            <w:tcW w:w="4106" w:type="dxa"/>
            <w:gridSpan w:val="3"/>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rPr>
                <w:rFonts w:ascii="Arial Narrow" w:hAnsi="Arial Narrow"/>
                <w:sz w:val="20"/>
              </w:rPr>
            </w:pPr>
            <w:r w:rsidRPr="006D49EC">
              <w:rPr>
                <w:rFonts w:ascii="Arial Narrow" w:hAnsi="Arial Narrow"/>
                <w:sz w:val="20"/>
              </w:rPr>
              <w:t>Pooled (all trials), using 4mg GXR from Trial 304</w:t>
            </w:r>
          </w:p>
          <w:p w:rsidR="00CB56F0" w:rsidRPr="006D49EC" w:rsidRDefault="00CB56F0" w:rsidP="00E907D1">
            <w:pPr>
              <w:widowControl/>
              <w:rPr>
                <w:rFonts w:ascii="Arial Narrow" w:hAnsi="Arial Narrow"/>
                <w:sz w:val="20"/>
              </w:rPr>
            </w:pPr>
            <w:r w:rsidRPr="006D49EC">
              <w:rPr>
                <w:rFonts w:ascii="Arial Narrow" w:hAnsi="Arial Narrow"/>
                <w:sz w:val="20"/>
              </w:rPr>
              <w:t xml:space="preserve">Chi-square for heterogeneity: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1.64 (1.39, 1.93)</w:t>
            </w:r>
          </w:p>
          <w:p w:rsidR="00CB56F0" w:rsidRPr="006D49EC" w:rsidRDefault="00CB56F0" w:rsidP="00E907D1">
            <w:pPr>
              <w:widowControl/>
              <w:jc w:val="center"/>
              <w:rPr>
                <w:rFonts w:ascii="Arial Narrow" w:hAnsi="Arial Narrow"/>
                <w:b/>
                <w:sz w:val="20"/>
              </w:rPr>
            </w:pPr>
            <w:r w:rsidRPr="006D49EC">
              <w:rPr>
                <w:rFonts w:ascii="Arial Narrow" w:hAnsi="Arial Narrow"/>
                <w:sz w:val="20"/>
              </w:rPr>
              <w:t>P=0.10; I</w:t>
            </w:r>
            <w:r w:rsidRPr="006D49EC">
              <w:rPr>
                <w:rFonts w:ascii="Arial Narrow" w:hAnsi="Arial Narrow"/>
                <w:sz w:val="20"/>
                <w:vertAlign w:val="superscript"/>
              </w:rPr>
              <w:t>2</w:t>
            </w:r>
            <w:r w:rsidRPr="006D49EC">
              <w:rPr>
                <w:rFonts w:ascii="Arial Narrow" w:hAnsi="Arial Narrow"/>
                <w:sz w:val="20"/>
              </w:rPr>
              <w:t xml:space="preserve"> statistic=48%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0.27 (0.21, 0.33)</w:t>
            </w:r>
          </w:p>
          <w:p w:rsidR="00CB56F0" w:rsidRPr="006D49EC" w:rsidRDefault="00CB56F0" w:rsidP="00E907D1">
            <w:pPr>
              <w:widowControl/>
              <w:jc w:val="center"/>
              <w:rPr>
                <w:rFonts w:ascii="Arial Narrow" w:hAnsi="Arial Narrow"/>
                <w:sz w:val="20"/>
              </w:rPr>
            </w:pPr>
            <w:r w:rsidRPr="006D49EC">
              <w:rPr>
                <w:rFonts w:ascii="Arial Narrow" w:hAnsi="Arial Narrow"/>
                <w:sz w:val="20"/>
              </w:rPr>
              <w:t>P=0.28 I</w:t>
            </w:r>
            <w:r w:rsidRPr="006D49EC">
              <w:rPr>
                <w:rFonts w:ascii="Arial Narrow" w:hAnsi="Arial Narrow"/>
                <w:sz w:val="20"/>
                <w:vertAlign w:val="superscript"/>
              </w:rPr>
              <w:t>2</w:t>
            </w:r>
            <w:r w:rsidRPr="006D49EC">
              <w:rPr>
                <w:rFonts w:ascii="Arial Narrow" w:hAnsi="Arial Narrow"/>
                <w:sz w:val="20"/>
              </w:rPr>
              <w:t xml:space="preserve"> statistic=21%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4 (3, 5)</w:t>
            </w:r>
          </w:p>
        </w:tc>
      </w:tr>
      <w:tr w:rsidR="00CB56F0" w:rsidRPr="006D49EC" w:rsidTr="00A54901">
        <w:tc>
          <w:tcPr>
            <w:tcW w:w="4106" w:type="dxa"/>
            <w:gridSpan w:val="3"/>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rPr>
                <w:rFonts w:ascii="Arial Narrow" w:hAnsi="Arial Narrow"/>
                <w:sz w:val="20"/>
              </w:rPr>
            </w:pPr>
            <w:r w:rsidRPr="006D49EC">
              <w:rPr>
                <w:rFonts w:ascii="Arial Narrow" w:hAnsi="Arial Narrow"/>
                <w:sz w:val="20"/>
              </w:rPr>
              <w:t>Pooled (all trials), using lumped (all) GXR from Trial 304</w:t>
            </w:r>
          </w:p>
          <w:p w:rsidR="00CB56F0" w:rsidRPr="006D49EC" w:rsidRDefault="00CB56F0" w:rsidP="00E907D1">
            <w:pPr>
              <w:widowControl/>
              <w:rPr>
                <w:rFonts w:ascii="Arial Narrow" w:hAnsi="Arial Narrow"/>
                <w:sz w:val="20"/>
              </w:rPr>
            </w:pPr>
            <w:r w:rsidRPr="006D49EC">
              <w:rPr>
                <w:rFonts w:ascii="Arial Narrow" w:hAnsi="Arial Narrow"/>
                <w:sz w:val="20"/>
              </w:rPr>
              <w:t xml:space="preserve">Chi-square for heterogeneity: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CF0A88" w:rsidRDefault="00CF0A88" w:rsidP="00E907D1">
            <w:pPr>
              <w:widowControl/>
              <w:jc w:val="center"/>
              <w:rPr>
                <w:rFonts w:ascii="Arial Narrow" w:hAnsi="Arial Narrow"/>
                <w:b/>
                <w:sz w:val="20"/>
                <w:highlight w:val="black"/>
              </w:rPr>
            </w:pPr>
            <w:r>
              <w:rPr>
                <w:rFonts w:ascii="Arial Narrow" w:hAnsi="Arial Narrow"/>
                <w:b/>
                <w:noProof/>
                <w:color w:val="000000"/>
                <w:sz w:val="20"/>
                <w:highlight w:val="black"/>
              </w:rPr>
              <w:t>''''''''' '''''''''' '''''''''</w:t>
            </w:r>
          </w:p>
          <w:p w:rsidR="00CB56F0" w:rsidRPr="00CF0A88" w:rsidRDefault="00CF0A88" w:rsidP="00E907D1">
            <w:pPr>
              <w:widowControl/>
              <w:jc w:val="center"/>
              <w:rPr>
                <w:rFonts w:ascii="Arial Narrow" w:hAnsi="Arial Narrow"/>
                <w:sz w:val="20"/>
                <w:highlight w:val="black"/>
              </w:rPr>
            </w:pPr>
            <w:r>
              <w:rPr>
                <w:rFonts w:ascii="Arial Narrow" w:hAnsi="Arial Narrow"/>
                <w:noProof/>
                <w:color w:val="000000"/>
                <w:sz w:val="20"/>
                <w:highlight w:val="black"/>
              </w:rPr>
              <w:t>'''''''''''''''''''' '''''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CF0A88" w:rsidRDefault="00CF0A88" w:rsidP="00E907D1">
            <w:pPr>
              <w:widowControl/>
              <w:jc w:val="center"/>
              <w:rPr>
                <w:rFonts w:ascii="Arial Narrow" w:hAnsi="Arial Narrow"/>
                <w:b/>
                <w:sz w:val="20"/>
                <w:highlight w:val="black"/>
              </w:rPr>
            </w:pPr>
            <w:r>
              <w:rPr>
                <w:rFonts w:ascii="Arial Narrow" w:hAnsi="Arial Narrow"/>
                <w:b/>
                <w:noProof/>
                <w:color w:val="000000"/>
                <w:sz w:val="20"/>
                <w:highlight w:val="black"/>
              </w:rPr>
              <w:t>'''''''' '''''''''' ''''''''''</w:t>
            </w:r>
          </w:p>
          <w:p w:rsidR="00CB56F0" w:rsidRPr="00CF0A88" w:rsidRDefault="00CF0A88" w:rsidP="00E907D1">
            <w:pPr>
              <w:widowControl/>
              <w:jc w:val="center"/>
              <w:rPr>
                <w:rFonts w:ascii="Arial Narrow" w:hAnsi="Arial Narrow"/>
                <w:sz w:val="20"/>
                <w:highlight w:val="black"/>
              </w:rPr>
            </w:pPr>
            <w:r>
              <w:rPr>
                <w:rFonts w:ascii="Arial Narrow" w:hAnsi="Arial Narrow"/>
                <w:noProof/>
                <w:color w:val="000000"/>
                <w:sz w:val="20"/>
                <w:highlight w:val="black"/>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F0A88" w:rsidP="00E907D1">
            <w:pPr>
              <w:widowControl/>
              <w:jc w:val="center"/>
              <w:rPr>
                <w:rFonts w:ascii="Arial Narrow" w:hAnsi="Arial Narrow"/>
                <w:b/>
                <w:sz w:val="20"/>
              </w:rPr>
            </w:pPr>
            <w:r>
              <w:rPr>
                <w:rFonts w:ascii="Arial Narrow" w:hAnsi="Arial Narrow"/>
                <w:b/>
                <w:noProof/>
                <w:color w:val="000000"/>
                <w:sz w:val="20"/>
                <w:highlight w:val="black"/>
              </w:rPr>
              <w:t>''' ''''' '''''</w:t>
            </w:r>
          </w:p>
        </w:tc>
      </w:tr>
      <w:tr w:rsidR="00CB56F0" w:rsidRPr="006D49EC" w:rsidTr="00A54901">
        <w:tc>
          <w:tcPr>
            <w:tcW w:w="4106" w:type="dxa"/>
            <w:gridSpan w:val="3"/>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widowControl/>
              <w:jc w:val="left"/>
              <w:rPr>
                <w:rFonts w:ascii="Arial Narrow" w:hAnsi="Arial Narrow"/>
                <w:sz w:val="20"/>
              </w:rPr>
            </w:pPr>
            <w:r w:rsidRPr="006D49EC">
              <w:rPr>
                <w:rFonts w:ascii="Arial Narrow" w:hAnsi="Arial Narrow"/>
                <w:sz w:val="20"/>
              </w:rPr>
              <w:t>Pooled (Trials 316, 307, 312, 314 – dose optimised trials, all trials also had same definition of ‘responder’</w:t>
            </w:r>
            <w:r w:rsidRPr="006D49EC">
              <w:rPr>
                <w:rFonts w:ascii="Arial Narrow" w:hAnsi="Arial Narrow"/>
                <w:sz w:val="20"/>
                <w:vertAlign w:val="superscript"/>
              </w:rPr>
              <w:t>a</w:t>
            </w:r>
            <w:r w:rsidRPr="006D49EC">
              <w:rPr>
                <w:rFonts w:ascii="Arial Narrow" w:hAnsi="Arial Narrow"/>
                <w:sz w:val="20"/>
              </w:rPr>
              <w:t>)</w:t>
            </w:r>
          </w:p>
          <w:p w:rsidR="00CB56F0" w:rsidRPr="006D49EC" w:rsidRDefault="00CB56F0" w:rsidP="00E907D1">
            <w:pPr>
              <w:widowControl/>
              <w:rPr>
                <w:rFonts w:ascii="Arial Narrow" w:hAnsi="Arial Narrow"/>
                <w:sz w:val="20"/>
              </w:rPr>
            </w:pPr>
            <w:r w:rsidRPr="006D49EC">
              <w:rPr>
                <w:rFonts w:ascii="Arial Narrow" w:hAnsi="Arial Narrow"/>
                <w:sz w:val="20"/>
              </w:rPr>
              <w:t xml:space="preserve">Chi-square for heterogeneity: </w:t>
            </w:r>
          </w:p>
        </w:tc>
        <w:tc>
          <w:tcPr>
            <w:tcW w:w="1843" w:type="dxa"/>
            <w:tcBorders>
              <w:top w:val="single" w:sz="4" w:space="0" w:color="auto"/>
              <w:left w:val="single" w:sz="4" w:space="0" w:color="auto"/>
              <w:bottom w:val="single" w:sz="4" w:space="0" w:color="auto"/>
              <w:right w:val="single" w:sz="4" w:space="0" w:color="auto"/>
            </w:tcBorders>
            <w:vAlign w:val="bottom"/>
            <w:hideMark/>
          </w:tcPr>
          <w:p w:rsidR="00CB56F0" w:rsidRPr="00CF0A88" w:rsidRDefault="00CF0A88" w:rsidP="00E907D1">
            <w:pPr>
              <w:widowControl/>
              <w:jc w:val="center"/>
              <w:rPr>
                <w:rFonts w:ascii="Arial Narrow" w:hAnsi="Arial Narrow"/>
                <w:b/>
                <w:sz w:val="20"/>
                <w:highlight w:val="black"/>
              </w:rPr>
            </w:pPr>
            <w:r>
              <w:rPr>
                <w:rFonts w:ascii="Arial Narrow" w:hAnsi="Arial Narrow"/>
                <w:b/>
                <w:noProof/>
                <w:color w:val="000000"/>
                <w:sz w:val="20"/>
                <w:highlight w:val="black"/>
              </w:rPr>
              <w:t>''''''''' '''''''''''' ''''''''''</w:t>
            </w:r>
          </w:p>
          <w:p w:rsidR="00CB56F0" w:rsidRPr="00CF0A88" w:rsidRDefault="00CF0A88" w:rsidP="00E907D1">
            <w:pPr>
              <w:widowControl/>
              <w:jc w:val="center"/>
              <w:rPr>
                <w:rFonts w:ascii="Arial Narrow" w:hAnsi="Arial Narrow"/>
                <w:b/>
                <w:sz w:val="20"/>
                <w:highlight w:val="black"/>
              </w:rPr>
            </w:pPr>
            <w:r>
              <w:rPr>
                <w:rFonts w:ascii="Arial Narrow" w:hAnsi="Arial Narrow"/>
                <w:noProof/>
                <w:color w:val="000000"/>
                <w:sz w:val="20"/>
                <w:highlight w:val="black"/>
              </w:rPr>
              <w:t>''''''''''''''''' ''''' ''''''''''''''''''''''''''''</w:t>
            </w:r>
          </w:p>
        </w:tc>
        <w:tc>
          <w:tcPr>
            <w:tcW w:w="1843" w:type="dxa"/>
            <w:tcBorders>
              <w:top w:val="single" w:sz="4" w:space="0" w:color="auto"/>
              <w:left w:val="single" w:sz="4" w:space="0" w:color="auto"/>
              <w:bottom w:val="single" w:sz="4" w:space="0" w:color="auto"/>
              <w:right w:val="single" w:sz="4" w:space="0" w:color="auto"/>
            </w:tcBorders>
            <w:vAlign w:val="bottom"/>
            <w:hideMark/>
          </w:tcPr>
          <w:p w:rsidR="00CB56F0" w:rsidRPr="00CF0A88" w:rsidRDefault="00CF0A88" w:rsidP="00E907D1">
            <w:pPr>
              <w:widowControl/>
              <w:jc w:val="center"/>
              <w:rPr>
                <w:rFonts w:ascii="Arial Narrow" w:hAnsi="Arial Narrow"/>
                <w:b/>
                <w:sz w:val="20"/>
                <w:highlight w:val="black"/>
              </w:rPr>
            </w:pPr>
            <w:r>
              <w:rPr>
                <w:rFonts w:ascii="Arial Narrow" w:hAnsi="Arial Narrow"/>
                <w:b/>
                <w:noProof/>
                <w:color w:val="000000"/>
                <w:sz w:val="20"/>
                <w:highlight w:val="black"/>
              </w:rPr>
              <w:t>''''''''' ''''''''''' ''''''''''</w:t>
            </w:r>
          </w:p>
          <w:p w:rsidR="00CB56F0" w:rsidRPr="00CF0A88" w:rsidRDefault="00CF0A88" w:rsidP="00E907D1">
            <w:pPr>
              <w:widowControl/>
              <w:jc w:val="center"/>
              <w:rPr>
                <w:rFonts w:ascii="Arial Narrow" w:hAnsi="Arial Narrow"/>
                <w:b/>
                <w:sz w:val="20"/>
                <w:highlight w:val="black"/>
              </w:rPr>
            </w:pPr>
            <w:r>
              <w:rPr>
                <w:rFonts w:ascii="Arial Narrow" w:hAnsi="Arial Narrow"/>
                <w:noProof/>
                <w:color w:val="000000"/>
                <w:sz w:val="20"/>
                <w:highlight w:val="black"/>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CF0A88" w:rsidRDefault="00CF0A88" w:rsidP="00E907D1">
            <w:pPr>
              <w:widowControl/>
              <w:jc w:val="center"/>
              <w:rPr>
                <w:rFonts w:ascii="Arial Narrow" w:hAnsi="Arial Narrow"/>
                <w:b/>
                <w:sz w:val="20"/>
                <w:highlight w:val="black"/>
              </w:rPr>
            </w:pPr>
            <w:r>
              <w:rPr>
                <w:rFonts w:ascii="Arial Narrow" w:hAnsi="Arial Narrow"/>
                <w:b/>
                <w:noProof/>
                <w:color w:val="000000"/>
                <w:sz w:val="20"/>
                <w:highlight w:val="black"/>
              </w:rPr>
              <w:t>''' ''''' ''''</w:t>
            </w:r>
          </w:p>
        </w:tc>
      </w:tr>
    </w:tbl>
    <w:p w:rsidR="00CB56F0" w:rsidRPr="006D49EC" w:rsidRDefault="00CB56F0" w:rsidP="00E907D1">
      <w:pPr>
        <w:widowControl/>
        <w:rPr>
          <w:rFonts w:ascii="Arial Narrow" w:hAnsi="Arial Narrow"/>
          <w:sz w:val="18"/>
        </w:rPr>
      </w:pPr>
      <w:r w:rsidRPr="006D49EC">
        <w:rPr>
          <w:rFonts w:ascii="Arial Narrow" w:hAnsi="Arial Narrow"/>
          <w:sz w:val="18"/>
        </w:rPr>
        <w:t>Source: Table B-18, p102; Table B-24, p109 and Table B-30, p118 of the submission</w:t>
      </w:r>
    </w:p>
    <w:p w:rsidR="00CB56F0" w:rsidRPr="006D49EC" w:rsidRDefault="00CB56F0" w:rsidP="00E907D1">
      <w:pPr>
        <w:widowControl/>
        <w:tabs>
          <w:tab w:val="left" w:pos="284"/>
        </w:tabs>
        <w:rPr>
          <w:rFonts w:ascii="Arial Narrow" w:hAnsi="Arial Narrow"/>
          <w:sz w:val="18"/>
        </w:rPr>
      </w:pPr>
      <w:r w:rsidRPr="006D49EC">
        <w:rPr>
          <w:rFonts w:ascii="Arial Narrow" w:hAnsi="Arial Narrow"/>
          <w:sz w:val="18"/>
          <w:vertAlign w:val="superscript"/>
        </w:rPr>
        <w:t>a</w:t>
      </w:r>
      <w:r w:rsidRPr="006D49EC">
        <w:rPr>
          <w:rFonts w:ascii="Arial Narrow" w:hAnsi="Arial Narrow"/>
          <w:sz w:val="18"/>
        </w:rPr>
        <w:tab/>
        <w:t>responder defined as a reduction of ≥30% in ADHD-RS-IV and CGI-I ≤2</w:t>
      </w:r>
    </w:p>
    <w:p w:rsidR="00CB56F0" w:rsidRPr="006D49EC" w:rsidRDefault="00CB56F0" w:rsidP="00E907D1">
      <w:pPr>
        <w:widowControl/>
        <w:tabs>
          <w:tab w:val="left" w:pos="284"/>
        </w:tabs>
        <w:rPr>
          <w:rFonts w:ascii="Arial Narrow" w:hAnsi="Arial Narrow"/>
          <w:sz w:val="18"/>
        </w:rPr>
      </w:pPr>
      <w:r w:rsidRPr="006D49EC">
        <w:rPr>
          <w:rFonts w:ascii="Arial Narrow" w:hAnsi="Arial Narrow"/>
          <w:sz w:val="18"/>
          <w:vertAlign w:val="superscript"/>
        </w:rPr>
        <w:t>b</w:t>
      </w:r>
      <w:r w:rsidRPr="006D49EC">
        <w:rPr>
          <w:rFonts w:ascii="Arial Narrow" w:hAnsi="Arial Narrow"/>
          <w:sz w:val="18"/>
        </w:rPr>
        <w:tab/>
        <w:t xml:space="preserve">responder defined as a reduction of </w:t>
      </w:r>
      <w:r w:rsidRPr="006D49EC">
        <w:rPr>
          <w:rFonts w:ascii="Arial Narrow" w:hAnsi="Arial Narrow"/>
          <w:sz w:val="18"/>
          <w:szCs w:val="22"/>
        </w:rPr>
        <w:t xml:space="preserve">≥25% </w:t>
      </w:r>
      <w:r w:rsidRPr="006D49EC">
        <w:rPr>
          <w:rFonts w:ascii="Arial Narrow" w:hAnsi="Arial Narrow"/>
          <w:sz w:val="18"/>
        </w:rPr>
        <w:t>in ADHD-RS-IV</w:t>
      </w:r>
      <w:r w:rsidRPr="006D49EC">
        <w:rPr>
          <w:rFonts w:ascii="Arial Narrow" w:hAnsi="Arial Narrow"/>
          <w:sz w:val="18"/>
          <w:szCs w:val="18"/>
        </w:rPr>
        <w:t xml:space="preserve"> </w:t>
      </w:r>
    </w:p>
    <w:p w:rsidR="00CB56F0" w:rsidRPr="006D49EC" w:rsidRDefault="00CB56F0" w:rsidP="00E907D1">
      <w:pPr>
        <w:widowControl/>
        <w:rPr>
          <w:rFonts w:ascii="Arial Narrow" w:hAnsi="Arial Narrow"/>
          <w:sz w:val="18"/>
        </w:rPr>
      </w:pPr>
      <w:r w:rsidRPr="006D49EC">
        <w:rPr>
          <w:rFonts w:ascii="Arial Narrow" w:hAnsi="Arial Narrow"/>
          <w:sz w:val="18"/>
        </w:rPr>
        <w:t>RR=relative risk, RD=risk difference, NNT=number need to treat, CI=confidence interval</w:t>
      </w:r>
    </w:p>
    <w:p w:rsidR="00CB56F0" w:rsidRPr="006D49EC" w:rsidRDefault="00CB56F0" w:rsidP="00E907D1">
      <w:pPr>
        <w:widowControl/>
        <w:rPr>
          <w:rFonts w:ascii="Arial Narrow" w:hAnsi="Arial Narrow"/>
          <w:sz w:val="18"/>
        </w:rPr>
      </w:pPr>
      <w:r w:rsidRPr="006D49EC">
        <w:rPr>
          <w:rFonts w:ascii="Arial Narrow" w:hAnsi="Arial Narrow"/>
          <w:sz w:val="18"/>
        </w:rPr>
        <w:t>Bold typography indicates statistically significant differences</w:t>
      </w:r>
    </w:p>
    <w:p w:rsidR="00CB56F0" w:rsidRPr="006D49EC" w:rsidRDefault="00CB56F0" w:rsidP="00E907D1">
      <w:pPr>
        <w:widowControl/>
        <w:rPr>
          <w:sz w:val="20"/>
        </w:rPr>
      </w:pPr>
    </w:p>
    <w:p w:rsidR="00CB56F0" w:rsidRPr="006D49EC" w:rsidRDefault="00CB56F0" w:rsidP="005668D2">
      <w:pPr>
        <w:pStyle w:val="ListParagraph"/>
        <w:widowControl/>
        <w:numPr>
          <w:ilvl w:val="1"/>
          <w:numId w:val="3"/>
        </w:numPr>
        <w:contextualSpacing w:val="0"/>
        <w:rPr>
          <w:rFonts w:asciiTheme="minorHAnsi" w:hAnsiTheme="minorHAnsi"/>
        </w:rPr>
      </w:pPr>
      <w:r w:rsidRPr="006D49EC">
        <w:rPr>
          <w:rFonts w:asciiTheme="minorHAnsi" w:hAnsiTheme="minorHAnsi"/>
        </w:rPr>
        <w:t xml:space="preserve">No statistically significant difference was observed between those treated with guanfacine or atomoxetine for the proportion of patients who were classified as responders (defined as a reduction of ≥30% in ADHD-RS-IV and CGI-I ≤2) in Trial 316. A statistically significantly greater proportion of patients were classified as responders in the comparison of guanfacine ± long-acting stimulants versus placebo ± long-acting stimulants; defined as ≥30% change in ADHD-RS-IV AND CGI-I ≤2 in Trials 316, 307, 312, 314; or as ≥25% change in ADHD-RS-IV in Trials 313 and 304. Although Trial 313 had a lower level of ADHD total score reduction in the definition of responder, this was measuring the additional level of response above suboptimal responses to concomitant stimulants and may be considered reasonable. </w:t>
      </w:r>
    </w:p>
    <w:p w:rsidR="00CB56F0" w:rsidRPr="006D49EC" w:rsidRDefault="00CB56F0" w:rsidP="00B24C96">
      <w:pPr>
        <w:pStyle w:val="ListParagraph"/>
        <w:widowControl/>
        <w:numPr>
          <w:ilvl w:val="1"/>
          <w:numId w:val="3"/>
        </w:numPr>
        <w:contextualSpacing w:val="0"/>
        <w:rPr>
          <w:rFonts w:asciiTheme="minorHAnsi" w:hAnsiTheme="minorHAnsi"/>
        </w:rPr>
      </w:pPr>
      <w:r w:rsidRPr="006D49EC">
        <w:rPr>
          <w:rFonts w:asciiTheme="minorHAnsi" w:hAnsiTheme="minorHAnsi"/>
        </w:rPr>
        <w:t>Table 6 summarises the proportion of patients achieving ‘remission’ status in the trials</w:t>
      </w:r>
      <w:r w:rsidR="00886A66" w:rsidRPr="006D49EC">
        <w:rPr>
          <w:rFonts w:asciiTheme="minorHAnsi" w:hAnsiTheme="minorHAnsi"/>
        </w:rPr>
        <w:t xml:space="preserve"> as defined by a score of ≤18</w:t>
      </w:r>
      <w:r w:rsidRPr="006D49EC">
        <w:rPr>
          <w:rFonts w:asciiTheme="minorHAnsi" w:hAnsiTheme="minorHAnsi"/>
        </w:rPr>
        <w:t>.</w:t>
      </w:r>
    </w:p>
    <w:p w:rsidR="003A3A31" w:rsidRPr="006D49EC" w:rsidRDefault="003A3A31" w:rsidP="00E907D1">
      <w:pPr>
        <w:pStyle w:val="Caption"/>
      </w:pPr>
      <w:r w:rsidRPr="006D49EC">
        <w:t xml:space="preserve">Table </w:t>
      </w:r>
      <w:r w:rsidR="00ED75E6" w:rsidRPr="006D49EC">
        <w:t>6</w:t>
      </w:r>
      <w:r w:rsidRPr="006D49EC">
        <w:t>: Proportion classified as being in ‘remission’ in the trials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1630"/>
        <w:gridCol w:w="1630"/>
        <w:gridCol w:w="1843"/>
        <w:gridCol w:w="1843"/>
        <w:gridCol w:w="1134"/>
      </w:tblGrid>
      <w:tr w:rsidR="00CB56F0" w:rsidRPr="006D49EC" w:rsidTr="00A54901">
        <w:tc>
          <w:tcPr>
            <w:tcW w:w="846"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keepNext/>
              <w:widowControl/>
              <w:rPr>
                <w:rFonts w:ascii="Arial Narrow" w:hAnsi="Arial Narrow"/>
                <w:b/>
                <w:sz w:val="20"/>
              </w:rPr>
            </w:pPr>
            <w:r w:rsidRPr="006D49EC">
              <w:rPr>
                <w:rFonts w:ascii="Arial Narrow" w:hAnsi="Arial Narrow"/>
                <w:b/>
                <w:sz w:val="20"/>
              </w:rPr>
              <w:t>Trial</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n/N (%)</w:t>
            </w:r>
          </w:p>
        </w:tc>
        <w:tc>
          <w:tcPr>
            <w:tcW w:w="1630"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n/N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RR (95% CI)</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RD (95% 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NNT (95% CI)</w:t>
            </w:r>
          </w:p>
        </w:tc>
      </w:tr>
      <w:tr w:rsidR="00CB56F0" w:rsidRPr="006D49EC" w:rsidTr="00A54901">
        <w:tc>
          <w:tcPr>
            <w:tcW w:w="8926" w:type="dxa"/>
            <w:gridSpan w:val="6"/>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left"/>
              <w:rPr>
                <w:rFonts w:ascii="Arial Narrow" w:hAnsi="Arial Narrow"/>
                <w:b/>
                <w:sz w:val="20"/>
              </w:rPr>
            </w:pPr>
            <w:r w:rsidRPr="006D49EC">
              <w:rPr>
                <w:rFonts w:ascii="Arial Narrow" w:hAnsi="Arial Narrow"/>
                <w:b/>
                <w:sz w:val="20"/>
              </w:rPr>
              <w:t>Symptomatic remission (ADHD-RS-IV total score ≤18)</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GXR</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ATX</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rPr>
                <w:rFonts w:ascii="Arial Narrow" w:hAnsi="Arial Narrow"/>
                <w:sz w:val="20"/>
                <w:vertAlign w:val="superscript"/>
              </w:rPr>
            </w:pPr>
            <w:r w:rsidRPr="006D49EC">
              <w:rPr>
                <w:rFonts w:ascii="Arial Narrow" w:hAnsi="Arial Narrow"/>
                <w:sz w:val="20"/>
              </w:rPr>
              <w:t>Trial 316</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b/>
                <w:sz w:val="20"/>
              </w:rPr>
            </w:pPr>
            <w:r w:rsidRPr="006D49EC">
              <w:rPr>
                <w:rFonts w:ascii="Arial Narrow" w:hAnsi="Arial Narrow"/>
                <w:sz w:val="20"/>
              </w:rPr>
              <w:t>57/112 (50.9)</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38/112 (33.9)</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1.50 (1.09, 2.06)</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0.17 (0.04, 0.30)</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6 (3, 25)</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GXR+LA stimulants</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PBO+LA stimulants</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rPr>
                <w:rFonts w:ascii="Arial Narrow" w:hAnsi="Arial Narrow"/>
                <w:sz w:val="20"/>
              </w:rPr>
            </w:pPr>
            <w:r w:rsidRPr="006D49EC">
              <w:rPr>
                <w:rFonts w:ascii="Arial Narrow" w:hAnsi="Arial Narrow"/>
                <w:sz w:val="20"/>
              </w:rPr>
              <w:t>Trial 313</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183/297 (61.6)</w:t>
            </w:r>
          </w:p>
        </w:tc>
        <w:tc>
          <w:tcPr>
            <w:tcW w:w="1630"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70/152 (46.1)</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1.34 (1.10, 1.62)</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0.16 (0.06, 0.25)</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6 (4, 17)</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b/>
                <w:sz w:val="20"/>
              </w:rPr>
              <w:t>GXR</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b/>
                <w:sz w:val="20"/>
              </w:rPr>
              <w:t>PBO</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keepNext/>
              <w:widowControl/>
              <w:rPr>
                <w:rFonts w:ascii="Arial Narrow" w:hAnsi="Arial Narrow"/>
                <w:sz w:val="20"/>
                <w:vertAlign w:val="superscript"/>
              </w:rPr>
            </w:pPr>
            <w:r w:rsidRPr="006D49EC">
              <w:rPr>
                <w:rFonts w:ascii="Arial Narrow" w:hAnsi="Arial Narrow"/>
                <w:sz w:val="20"/>
              </w:rPr>
              <w:t>Trial 316</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57/112 (50.9)</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31/111 (27.9)</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1.82 (1.28, 2.59)</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0.23 (0.10, 0.35)</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4 (3, 10)</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keepNext/>
              <w:widowControl/>
              <w:rPr>
                <w:rFonts w:ascii="Arial Narrow" w:hAnsi="Arial Narrow"/>
                <w:sz w:val="20"/>
                <w:vertAlign w:val="superscript"/>
              </w:rPr>
            </w:pPr>
            <w:r w:rsidRPr="006D49EC">
              <w:rPr>
                <w:rFonts w:ascii="Arial Narrow" w:hAnsi="Arial Narrow"/>
                <w:sz w:val="20"/>
              </w:rPr>
              <w:t>Trial 312</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95/154 (61.7)</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64/155 (41.3)</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1.49 (1.19, 1.87)</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0.20 (0.09, 0.31)</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5 (3, 11)</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hideMark/>
          </w:tcPr>
          <w:p w:rsidR="00CB56F0" w:rsidRPr="006D49EC" w:rsidRDefault="00CB56F0" w:rsidP="00E907D1">
            <w:pPr>
              <w:keepNext/>
              <w:widowControl/>
              <w:rPr>
                <w:rFonts w:ascii="Arial Narrow" w:hAnsi="Arial Narrow"/>
                <w:sz w:val="20"/>
                <w:vertAlign w:val="superscript"/>
              </w:rPr>
            </w:pPr>
            <w:r w:rsidRPr="006D49EC">
              <w:rPr>
                <w:rFonts w:ascii="Arial Narrow" w:hAnsi="Arial Narrow"/>
                <w:sz w:val="20"/>
              </w:rPr>
              <w:t>Trial 314</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101/216 (46.8)</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center"/>
              <w:rPr>
                <w:rFonts w:ascii="Arial Narrow" w:hAnsi="Arial Narrow"/>
                <w:sz w:val="20"/>
              </w:rPr>
            </w:pPr>
            <w:r w:rsidRPr="006D49EC">
              <w:rPr>
                <w:rFonts w:ascii="Arial Narrow" w:hAnsi="Arial Narrow"/>
                <w:sz w:val="20"/>
              </w:rPr>
              <w:t>20/110 (18.2)</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2.57 (1.69, 3.92)</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0.29 (0.18, 0.38)</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keepNext/>
              <w:widowControl/>
              <w:jc w:val="center"/>
              <w:rPr>
                <w:rFonts w:ascii="Arial Narrow" w:hAnsi="Arial Narrow"/>
                <w:b/>
                <w:sz w:val="20"/>
              </w:rPr>
            </w:pPr>
            <w:r w:rsidRPr="006D49EC">
              <w:rPr>
                <w:rFonts w:ascii="Arial Narrow" w:hAnsi="Arial Narrow"/>
                <w:b/>
                <w:sz w:val="20"/>
              </w:rPr>
              <w:t>3 (3, 5)</w:t>
            </w:r>
          </w:p>
        </w:tc>
      </w:tr>
      <w:tr w:rsidR="00CB56F0" w:rsidRPr="006D49EC" w:rsidTr="00A54901">
        <w:tc>
          <w:tcPr>
            <w:tcW w:w="4106" w:type="dxa"/>
            <w:gridSpan w:val="3"/>
            <w:tcBorders>
              <w:top w:val="single" w:sz="4" w:space="0" w:color="auto"/>
              <w:left w:val="single" w:sz="4" w:space="0" w:color="auto"/>
              <w:bottom w:val="single" w:sz="4" w:space="0" w:color="auto"/>
              <w:right w:val="single" w:sz="4" w:space="0" w:color="auto"/>
            </w:tcBorders>
            <w:vAlign w:val="center"/>
            <w:hideMark/>
          </w:tcPr>
          <w:p w:rsidR="00CB56F0" w:rsidRPr="006D49EC" w:rsidRDefault="00CB56F0" w:rsidP="00E907D1">
            <w:pPr>
              <w:keepNext/>
              <w:widowControl/>
              <w:rPr>
                <w:rFonts w:ascii="Arial Narrow" w:hAnsi="Arial Narrow"/>
                <w:sz w:val="20"/>
              </w:rPr>
            </w:pPr>
            <w:r w:rsidRPr="006D49EC">
              <w:rPr>
                <w:rFonts w:ascii="Arial Narrow" w:hAnsi="Arial Narrow"/>
                <w:sz w:val="20"/>
              </w:rPr>
              <w:t>Pooled (all trials)</w:t>
            </w:r>
          </w:p>
          <w:p w:rsidR="00CB56F0" w:rsidRPr="006D49EC" w:rsidRDefault="00CB56F0" w:rsidP="00E907D1">
            <w:pPr>
              <w:keepNext/>
              <w:widowControl/>
              <w:rPr>
                <w:rFonts w:ascii="Arial Narrow" w:hAnsi="Arial Narrow"/>
                <w:sz w:val="20"/>
              </w:rPr>
            </w:pPr>
            <w:r w:rsidRPr="006D49EC">
              <w:rPr>
                <w:rFonts w:ascii="Arial Narrow" w:hAnsi="Arial Narrow"/>
                <w:sz w:val="20"/>
              </w:rPr>
              <w:t xml:space="preserve">Chi-square for heterogeneity: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CF0A88" w:rsidRDefault="00CF0A88" w:rsidP="00E907D1">
            <w:pPr>
              <w:keepNext/>
              <w:widowControl/>
              <w:jc w:val="center"/>
              <w:rPr>
                <w:rFonts w:ascii="Arial Narrow" w:hAnsi="Arial Narrow"/>
                <w:b/>
                <w:sz w:val="20"/>
              </w:rPr>
            </w:pPr>
            <w:r>
              <w:rPr>
                <w:rFonts w:ascii="Arial Narrow" w:hAnsi="Arial Narrow"/>
                <w:b/>
                <w:noProof/>
                <w:color w:val="000000"/>
                <w:sz w:val="20"/>
                <w:highlight w:val="black"/>
              </w:rPr>
              <w:t>''''''''' '''''''''''' '''''''''''</w:t>
            </w:r>
          </w:p>
          <w:p w:rsidR="00CB56F0" w:rsidRPr="00CF0A88" w:rsidRDefault="00CF0A88" w:rsidP="00E907D1">
            <w:pPr>
              <w:keepNext/>
              <w:widowControl/>
              <w:jc w:val="center"/>
              <w:rPr>
                <w:rFonts w:ascii="Arial Narrow" w:hAnsi="Arial Narrow"/>
                <w:b/>
                <w:sz w:val="20"/>
                <w:highlight w:val="black"/>
              </w:rPr>
            </w:pPr>
            <w:r>
              <w:rPr>
                <w:rFonts w:ascii="Arial Narrow" w:hAnsi="Arial Narrow"/>
                <w:noProof/>
                <w:color w:val="000000"/>
                <w:sz w:val="20"/>
                <w:highlight w:val="black"/>
              </w:rPr>
              <w:t>'''''''''''''''''' '''''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6F0" w:rsidRPr="00CF0A88" w:rsidRDefault="00CF0A88" w:rsidP="00E907D1">
            <w:pPr>
              <w:keepNext/>
              <w:widowControl/>
              <w:jc w:val="center"/>
              <w:rPr>
                <w:rFonts w:ascii="Arial Narrow" w:hAnsi="Arial Narrow"/>
                <w:b/>
                <w:sz w:val="20"/>
                <w:highlight w:val="black"/>
              </w:rPr>
            </w:pPr>
            <w:r>
              <w:rPr>
                <w:rFonts w:ascii="Arial Narrow" w:hAnsi="Arial Narrow"/>
                <w:b/>
                <w:noProof/>
                <w:color w:val="000000"/>
                <w:sz w:val="20"/>
                <w:highlight w:val="black"/>
              </w:rPr>
              <w:t>'''''''' ''''''''''' ''''''''''</w:t>
            </w:r>
          </w:p>
          <w:p w:rsidR="00CB56F0" w:rsidRPr="006D49EC" w:rsidRDefault="00CF0A88" w:rsidP="00E907D1">
            <w:pPr>
              <w:keepNext/>
              <w:widowControl/>
              <w:jc w:val="center"/>
              <w:rPr>
                <w:rFonts w:ascii="Arial Narrow" w:hAnsi="Arial Narrow"/>
                <w:sz w:val="20"/>
              </w:rPr>
            </w:pPr>
            <w:r>
              <w:rPr>
                <w:rFonts w:ascii="Arial Narrow" w:hAnsi="Arial Narrow"/>
                <w:noProof/>
                <w:color w:val="000000"/>
                <w:sz w:val="20"/>
                <w:highlight w:val="black"/>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6F0" w:rsidRPr="00CF0A88" w:rsidRDefault="00CF0A88" w:rsidP="00E907D1">
            <w:pPr>
              <w:keepNext/>
              <w:widowControl/>
              <w:jc w:val="center"/>
              <w:rPr>
                <w:rFonts w:ascii="Arial Narrow" w:hAnsi="Arial Narrow"/>
                <w:b/>
                <w:sz w:val="20"/>
                <w:highlight w:val="black"/>
              </w:rPr>
            </w:pPr>
            <w:r>
              <w:rPr>
                <w:rFonts w:ascii="Arial Narrow" w:hAnsi="Arial Narrow"/>
                <w:b/>
                <w:noProof/>
                <w:color w:val="000000"/>
                <w:sz w:val="20"/>
                <w:highlight w:val="black"/>
              </w:rPr>
              <w:t>''' ''''' ''''</w:t>
            </w:r>
          </w:p>
        </w:tc>
      </w:tr>
      <w:tr w:rsidR="00CB56F0" w:rsidRPr="006D49EC" w:rsidTr="00A54901">
        <w:tc>
          <w:tcPr>
            <w:tcW w:w="8926" w:type="dxa"/>
            <w:gridSpan w:val="6"/>
            <w:tcBorders>
              <w:top w:val="single" w:sz="4" w:space="0" w:color="auto"/>
              <w:left w:val="single" w:sz="4" w:space="0" w:color="auto"/>
              <w:bottom w:val="single" w:sz="4" w:space="0" w:color="auto"/>
              <w:right w:val="single" w:sz="4" w:space="0" w:color="auto"/>
            </w:tcBorders>
          </w:tcPr>
          <w:p w:rsidR="00CB56F0" w:rsidRPr="006D49EC" w:rsidRDefault="00CB56F0" w:rsidP="00E907D1">
            <w:pPr>
              <w:keepNext/>
              <w:widowControl/>
              <w:jc w:val="left"/>
              <w:rPr>
                <w:rFonts w:ascii="Arial Narrow" w:hAnsi="Arial Narrow"/>
                <w:b/>
                <w:sz w:val="20"/>
              </w:rPr>
            </w:pPr>
            <w:r w:rsidRPr="006D49EC">
              <w:rPr>
                <w:rFonts w:ascii="Arial Narrow" w:hAnsi="Arial Narrow"/>
                <w:b/>
                <w:sz w:val="20"/>
              </w:rPr>
              <w:t>Syndromal remission (ADHD-RS-IV total score ≤18 AND CGI-S ≤2)</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b/>
                <w:sz w:val="20"/>
              </w:rPr>
              <w:t>GXR+LA stimulants</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b/>
                <w:sz w:val="20"/>
              </w:rPr>
              <w:t>PBO+LA stimulants</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rPr>
                <w:rFonts w:ascii="Arial Narrow" w:hAnsi="Arial Narrow"/>
                <w:sz w:val="20"/>
              </w:rPr>
            </w:pPr>
            <w:r w:rsidRPr="006D49EC">
              <w:rPr>
                <w:rFonts w:ascii="Arial Narrow" w:hAnsi="Arial Narrow"/>
                <w:sz w:val="20"/>
              </w:rPr>
              <w:t>Trial 313</w:t>
            </w:r>
          </w:p>
        </w:tc>
        <w:tc>
          <w:tcPr>
            <w:tcW w:w="1630"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sz w:val="20"/>
              </w:rPr>
            </w:pPr>
            <w:r w:rsidRPr="006D49EC">
              <w:rPr>
                <w:rFonts w:ascii="Arial Narrow" w:hAnsi="Arial Narrow"/>
                <w:sz w:val="20"/>
              </w:rPr>
              <w:t>129/297 (43.4)</w:t>
            </w:r>
          </w:p>
        </w:tc>
        <w:tc>
          <w:tcPr>
            <w:tcW w:w="1630"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sz w:val="20"/>
              </w:rPr>
            </w:pPr>
            <w:r w:rsidRPr="006D49EC">
              <w:rPr>
                <w:rFonts w:ascii="Arial Narrow" w:hAnsi="Arial Narrow"/>
                <w:sz w:val="20"/>
              </w:rPr>
              <w:t>45/152 (29.6)</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1.47 (1.11, 1.94)</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0.14 (0.05, 0.23)</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7 (4, 20)</w:t>
            </w: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rPr>
                <w:rFonts w:ascii="Arial Narrow" w:hAnsi="Arial Narrow"/>
                <w:sz w:val="20"/>
              </w:rPr>
            </w:pP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b/>
                <w:sz w:val="20"/>
              </w:rPr>
              <w:t>GXR</w:t>
            </w:r>
          </w:p>
        </w:tc>
        <w:tc>
          <w:tcPr>
            <w:tcW w:w="1630" w:type="dxa"/>
            <w:tcBorders>
              <w:top w:val="single" w:sz="4" w:space="0" w:color="auto"/>
              <w:left w:val="single" w:sz="4" w:space="0" w:color="auto"/>
              <w:bottom w:val="single" w:sz="4" w:space="0" w:color="auto"/>
              <w:right w:val="single" w:sz="4" w:space="0" w:color="auto"/>
            </w:tcBorders>
          </w:tcPr>
          <w:p w:rsidR="00CB56F0" w:rsidRPr="006D49EC" w:rsidRDefault="00CB56F0" w:rsidP="00E907D1">
            <w:pPr>
              <w:widowControl/>
              <w:jc w:val="center"/>
              <w:rPr>
                <w:rFonts w:ascii="Arial Narrow" w:hAnsi="Arial Narrow"/>
                <w:sz w:val="20"/>
              </w:rPr>
            </w:pPr>
            <w:r w:rsidRPr="006D49EC">
              <w:rPr>
                <w:rFonts w:ascii="Arial Narrow" w:hAnsi="Arial Narrow"/>
                <w:b/>
                <w:sz w:val="20"/>
              </w:rPr>
              <w:t>PBO</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p>
        </w:tc>
      </w:tr>
      <w:tr w:rsidR="00CB56F0" w:rsidRPr="006D49EC" w:rsidTr="00A54901">
        <w:tc>
          <w:tcPr>
            <w:tcW w:w="846"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rPr>
                <w:rFonts w:ascii="Arial Narrow" w:hAnsi="Arial Narrow"/>
                <w:sz w:val="20"/>
              </w:rPr>
            </w:pPr>
            <w:r w:rsidRPr="006D49EC">
              <w:rPr>
                <w:rFonts w:ascii="Arial Narrow" w:hAnsi="Arial Narrow"/>
                <w:sz w:val="20"/>
              </w:rPr>
              <w:t>Trial 314</w:t>
            </w:r>
          </w:p>
        </w:tc>
        <w:tc>
          <w:tcPr>
            <w:tcW w:w="1630"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sz w:val="20"/>
              </w:rPr>
            </w:pPr>
            <w:r w:rsidRPr="006D49EC">
              <w:rPr>
                <w:rFonts w:ascii="Arial Narrow" w:hAnsi="Arial Narrow"/>
                <w:sz w:val="20"/>
              </w:rPr>
              <w:t>63/216 (29.2)</w:t>
            </w:r>
          </w:p>
        </w:tc>
        <w:tc>
          <w:tcPr>
            <w:tcW w:w="1630"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sz w:val="20"/>
              </w:rPr>
            </w:pPr>
            <w:r w:rsidRPr="006D49EC">
              <w:rPr>
                <w:rFonts w:ascii="Arial Narrow" w:hAnsi="Arial Narrow"/>
                <w:sz w:val="20"/>
              </w:rPr>
              <w:t>12/110 (10.9)</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2.67 (1.51, 4.74)</w:t>
            </w:r>
          </w:p>
        </w:tc>
        <w:tc>
          <w:tcPr>
            <w:tcW w:w="1843"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0.18 (0.10, 0.27)</w:t>
            </w:r>
          </w:p>
        </w:tc>
        <w:tc>
          <w:tcPr>
            <w:tcW w:w="1134" w:type="dxa"/>
            <w:tcBorders>
              <w:top w:val="single" w:sz="4" w:space="0" w:color="auto"/>
              <w:left w:val="single" w:sz="4" w:space="0" w:color="auto"/>
              <w:bottom w:val="single" w:sz="4" w:space="0" w:color="auto"/>
              <w:right w:val="single" w:sz="4" w:space="0" w:color="auto"/>
            </w:tcBorders>
            <w:vAlign w:val="center"/>
          </w:tcPr>
          <w:p w:rsidR="00CB56F0" w:rsidRPr="006D49EC" w:rsidRDefault="00CB56F0" w:rsidP="00E907D1">
            <w:pPr>
              <w:widowControl/>
              <w:jc w:val="center"/>
              <w:rPr>
                <w:rFonts w:ascii="Arial Narrow" w:hAnsi="Arial Narrow"/>
                <w:b/>
                <w:sz w:val="20"/>
              </w:rPr>
            </w:pPr>
            <w:r w:rsidRPr="006D49EC">
              <w:rPr>
                <w:rFonts w:ascii="Arial Narrow" w:hAnsi="Arial Narrow"/>
                <w:b/>
                <w:sz w:val="20"/>
              </w:rPr>
              <w:t>4 (3, 10)</w:t>
            </w:r>
          </w:p>
        </w:tc>
      </w:tr>
    </w:tbl>
    <w:p w:rsidR="00CB56F0" w:rsidRPr="006D49EC" w:rsidRDefault="00CB56F0" w:rsidP="00E907D1">
      <w:pPr>
        <w:widowControl/>
        <w:rPr>
          <w:rFonts w:ascii="Arial Narrow" w:hAnsi="Arial Narrow"/>
          <w:sz w:val="18"/>
        </w:rPr>
      </w:pPr>
      <w:r w:rsidRPr="006D49EC">
        <w:rPr>
          <w:rFonts w:ascii="Arial Narrow" w:hAnsi="Arial Narrow"/>
          <w:sz w:val="18"/>
        </w:rPr>
        <w:t>Bold typography indicates statistically significant differences</w:t>
      </w:r>
    </w:p>
    <w:p w:rsidR="00CB56F0" w:rsidRPr="006D49EC" w:rsidRDefault="00CB56F0" w:rsidP="00E907D1">
      <w:pPr>
        <w:widowControl/>
        <w:rPr>
          <w:rFonts w:ascii="Arial Narrow" w:hAnsi="Arial Narrow"/>
          <w:sz w:val="18"/>
        </w:rPr>
      </w:pPr>
      <w:r w:rsidRPr="006D49EC">
        <w:rPr>
          <w:rFonts w:ascii="Arial Narrow" w:hAnsi="Arial Narrow"/>
          <w:sz w:val="18"/>
        </w:rPr>
        <w:t>RR=relative risk, RD=risk difference, NNT=number need to treat, CI=confidence interval, NA = not applicable</w:t>
      </w:r>
    </w:p>
    <w:p w:rsidR="00CB56F0" w:rsidRPr="006D49EC" w:rsidRDefault="00CB56F0" w:rsidP="00E907D1">
      <w:pPr>
        <w:widowControl/>
        <w:rPr>
          <w:rFonts w:ascii="Arial Narrow" w:hAnsi="Arial Narrow"/>
          <w:sz w:val="18"/>
        </w:rPr>
      </w:pPr>
      <w:r w:rsidRPr="006D49EC">
        <w:rPr>
          <w:rFonts w:ascii="Arial Narrow" w:hAnsi="Arial Narrow"/>
          <w:sz w:val="18"/>
        </w:rPr>
        <w:t>Source: T able B-19, p103, Table B-25, p110 and Table B-31, p120 of the submission</w:t>
      </w:r>
    </w:p>
    <w:p w:rsidR="00CB56F0" w:rsidRPr="006D49EC" w:rsidRDefault="00CB56F0" w:rsidP="00E907D1">
      <w:pPr>
        <w:widowControl/>
        <w:rPr>
          <w:rFonts w:ascii="Arial Narrow" w:hAnsi="Arial Narrow"/>
          <w:sz w:val="18"/>
        </w:rPr>
      </w:pPr>
    </w:p>
    <w:p w:rsidR="00CB56F0" w:rsidRPr="006D49EC" w:rsidRDefault="00CB56F0" w:rsidP="00B24C96">
      <w:pPr>
        <w:pStyle w:val="ListParagraph"/>
        <w:widowControl/>
        <w:numPr>
          <w:ilvl w:val="1"/>
          <w:numId w:val="3"/>
        </w:numPr>
        <w:contextualSpacing w:val="0"/>
        <w:rPr>
          <w:rFonts w:asciiTheme="minorHAnsi" w:hAnsiTheme="minorHAnsi"/>
        </w:rPr>
      </w:pPr>
      <w:r w:rsidRPr="006D49EC">
        <w:t>A statistically significantly greater proportion of those treated with guanfacine ± long-acting stimulants achieved “symptomatic” or “syndromal” remission compared with those treated with atomoxetine or placebo ± long-acting stimulants. Unlike the “responder” analysis, this outcome does not take into consideration baseline ADHD-RS-IV scores, where those with higher baseline ADHD-RS-IV would presumably be less likely to reach these thresholds.</w:t>
      </w:r>
    </w:p>
    <w:p w:rsidR="00DD48DB" w:rsidRPr="006D49EC" w:rsidRDefault="00DD48DB" w:rsidP="00B24C96">
      <w:pPr>
        <w:pStyle w:val="Heading3"/>
        <w:rPr>
          <w:i/>
        </w:rPr>
      </w:pPr>
      <w:bookmarkStart w:id="26" w:name="_Toc413139279"/>
      <w:bookmarkStart w:id="27" w:name="_Toc476306889"/>
      <w:bookmarkStart w:id="28" w:name="_Toc480313630"/>
      <w:r w:rsidRPr="006D49EC">
        <w:rPr>
          <w:i/>
        </w:rPr>
        <w:t>Comparative harms</w:t>
      </w:r>
      <w:bookmarkEnd w:id="26"/>
      <w:bookmarkEnd w:id="27"/>
      <w:bookmarkEnd w:id="28"/>
    </w:p>
    <w:p w:rsidR="00CB56F0" w:rsidRPr="006D49EC" w:rsidRDefault="00CB56F0" w:rsidP="00B24C96">
      <w:pPr>
        <w:pStyle w:val="ListParagraph"/>
        <w:widowControl/>
        <w:numPr>
          <w:ilvl w:val="1"/>
          <w:numId w:val="3"/>
        </w:numPr>
        <w:contextualSpacing w:val="0"/>
      </w:pPr>
      <w:bookmarkStart w:id="29" w:name="_Toc476306890"/>
      <w:bookmarkStart w:id="30" w:name="_Toc413139281"/>
      <w:r w:rsidRPr="006D49EC">
        <w:t>Compared with atomoxetine; those treated with guanfacine were statistically significantly more likely to experience somnolence, diarrhoea and increased appetite, and less likely to experience a sedative event, vomiting, nausea and decrease</w:t>
      </w:r>
      <w:r w:rsidR="001E6A2D" w:rsidRPr="006D49EC">
        <w:t>d</w:t>
      </w:r>
      <w:r w:rsidRPr="006D49EC">
        <w:t xml:space="preserve"> appetite.</w:t>
      </w:r>
    </w:p>
    <w:p w:rsidR="00CB56F0" w:rsidRPr="006D49EC" w:rsidRDefault="00CB56F0" w:rsidP="00B24C96">
      <w:pPr>
        <w:pStyle w:val="ListParagraph"/>
        <w:widowControl/>
        <w:numPr>
          <w:ilvl w:val="1"/>
          <w:numId w:val="3"/>
        </w:numPr>
        <w:contextualSpacing w:val="0"/>
      </w:pPr>
      <w:r w:rsidRPr="006D49EC">
        <w:t>Compared with placebo + long-acting stimulants, those treated with guanfacine + long-acting stimulants were statistically significantly more likely to experience any treatment-emergent adverse event, somnolence, headache, sedative event, abdominal pain (upper) and fatigue.</w:t>
      </w:r>
    </w:p>
    <w:p w:rsidR="00CB56F0" w:rsidRPr="006D49EC" w:rsidRDefault="00CB56F0" w:rsidP="00B24C96">
      <w:pPr>
        <w:pStyle w:val="ListParagraph"/>
        <w:widowControl/>
        <w:numPr>
          <w:ilvl w:val="1"/>
          <w:numId w:val="3"/>
        </w:numPr>
        <w:contextualSpacing w:val="0"/>
      </w:pPr>
      <w:r w:rsidRPr="006D49EC">
        <w:t>Compared with placebo as monotherapy, those treated with guanfacine as monotherapy were statistically significantly more likely to experience any treatment emergent adverse event (TEAE), TEAEs related to drug, severe TEAE, withdrawal or dose reduction due to TEAE, somnolence, headache, sedation, gastrointestinal disorders, abdominal pain (upper), dry mouth, fatigue and irritability.</w:t>
      </w:r>
    </w:p>
    <w:p w:rsidR="00DD48DB" w:rsidRPr="006D49EC" w:rsidRDefault="00DD48DB" w:rsidP="00B24C96">
      <w:pPr>
        <w:pStyle w:val="Heading3"/>
        <w:rPr>
          <w:i/>
        </w:rPr>
      </w:pPr>
      <w:bookmarkStart w:id="31" w:name="_Toc480313631"/>
      <w:r w:rsidRPr="006D49EC">
        <w:rPr>
          <w:i/>
        </w:rPr>
        <w:t>Benefits and harms</w:t>
      </w:r>
      <w:bookmarkEnd w:id="29"/>
      <w:bookmarkEnd w:id="31"/>
    </w:p>
    <w:p w:rsidR="00DD48DB" w:rsidRPr="006D49EC" w:rsidRDefault="00ED75E6" w:rsidP="00B24C96">
      <w:pPr>
        <w:pStyle w:val="ListParagraph"/>
        <w:widowControl/>
        <w:numPr>
          <w:ilvl w:val="1"/>
          <w:numId w:val="3"/>
        </w:numPr>
        <w:contextualSpacing w:val="0"/>
        <w:rPr>
          <w:rFonts w:asciiTheme="minorHAnsi" w:hAnsiTheme="minorHAnsi"/>
        </w:rPr>
      </w:pPr>
      <w:r w:rsidRPr="006D49EC">
        <w:rPr>
          <w:rFonts w:asciiTheme="minorHAnsi" w:hAnsiTheme="minorHAnsi"/>
        </w:rPr>
        <w:t>Summaries</w:t>
      </w:r>
      <w:r w:rsidR="00DD48DB" w:rsidRPr="006D49EC">
        <w:rPr>
          <w:rFonts w:asciiTheme="minorHAnsi" w:hAnsiTheme="minorHAnsi"/>
        </w:rPr>
        <w:t xml:space="preserve"> of the comparative benefits and harms for </w:t>
      </w:r>
      <w:r w:rsidR="00CB56F0" w:rsidRPr="006D49EC">
        <w:rPr>
          <w:rFonts w:asciiTheme="minorHAnsi" w:hAnsiTheme="minorHAnsi"/>
        </w:rPr>
        <w:t xml:space="preserve">guanfacine </w:t>
      </w:r>
      <w:r w:rsidR="00AF4751" w:rsidRPr="006D49EC">
        <w:rPr>
          <w:rFonts w:asciiTheme="minorHAnsi" w:hAnsiTheme="minorHAnsi" w:cstheme="minorHAnsi"/>
        </w:rPr>
        <w:t>±</w:t>
      </w:r>
      <w:r w:rsidR="00CB56F0" w:rsidRPr="006D49EC">
        <w:rPr>
          <w:rFonts w:asciiTheme="minorHAnsi" w:hAnsiTheme="minorHAnsi"/>
        </w:rPr>
        <w:t xml:space="preserve"> long-acting stimulants</w:t>
      </w:r>
      <w:r w:rsidR="00DD48DB" w:rsidRPr="006D49EC">
        <w:rPr>
          <w:rFonts w:asciiTheme="minorHAnsi" w:hAnsiTheme="minorHAnsi"/>
        </w:rPr>
        <w:t xml:space="preserve"> versus </w:t>
      </w:r>
      <w:r w:rsidR="00CB56F0" w:rsidRPr="006D49EC">
        <w:rPr>
          <w:rFonts w:asciiTheme="minorHAnsi" w:hAnsiTheme="minorHAnsi"/>
        </w:rPr>
        <w:t xml:space="preserve">placebo </w:t>
      </w:r>
      <w:r w:rsidR="00AF4751" w:rsidRPr="006D49EC">
        <w:rPr>
          <w:rFonts w:asciiTheme="minorHAnsi" w:hAnsiTheme="minorHAnsi" w:cstheme="minorHAnsi"/>
        </w:rPr>
        <w:t>±</w:t>
      </w:r>
      <w:r w:rsidR="00CB56F0" w:rsidRPr="006D49EC">
        <w:rPr>
          <w:rFonts w:asciiTheme="minorHAnsi" w:hAnsiTheme="minorHAnsi"/>
        </w:rPr>
        <w:t xml:space="preserve"> long-acting stimulants</w:t>
      </w:r>
      <w:r w:rsidRPr="006D49EC">
        <w:rPr>
          <w:rFonts w:asciiTheme="minorHAnsi" w:hAnsiTheme="minorHAnsi"/>
        </w:rPr>
        <w:t>, and for guanfacine versus atomoxetine</w:t>
      </w:r>
      <w:r w:rsidR="00DD48DB" w:rsidRPr="006D49EC">
        <w:rPr>
          <w:rFonts w:asciiTheme="minorHAnsi" w:hAnsiTheme="minorHAnsi"/>
        </w:rPr>
        <w:t xml:space="preserve"> </w:t>
      </w:r>
      <w:r w:rsidRPr="006D49EC">
        <w:rPr>
          <w:rFonts w:asciiTheme="minorHAnsi" w:hAnsiTheme="minorHAnsi"/>
        </w:rPr>
        <w:t>are</w:t>
      </w:r>
      <w:r w:rsidR="00DD48DB" w:rsidRPr="006D49EC">
        <w:rPr>
          <w:rFonts w:asciiTheme="minorHAnsi" w:hAnsiTheme="minorHAnsi"/>
        </w:rPr>
        <w:t xml:space="preserve"> presented in </w:t>
      </w:r>
      <w:r w:rsidR="00CB56F0" w:rsidRPr="006D49EC">
        <w:rPr>
          <w:rFonts w:asciiTheme="minorHAnsi" w:hAnsiTheme="minorHAnsi"/>
        </w:rPr>
        <w:t>Table</w:t>
      </w:r>
      <w:r w:rsidRPr="006D49EC">
        <w:rPr>
          <w:rFonts w:asciiTheme="minorHAnsi" w:hAnsiTheme="minorHAnsi"/>
        </w:rPr>
        <w:t>s</w:t>
      </w:r>
      <w:r w:rsidR="00CB56F0" w:rsidRPr="006D49EC">
        <w:rPr>
          <w:rFonts w:asciiTheme="minorHAnsi" w:hAnsiTheme="minorHAnsi"/>
        </w:rPr>
        <w:t xml:space="preserve"> 7</w:t>
      </w:r>
      <w:r w:rsidRPr="006D49EC">
        <w:rPr>
          <w:rFonts w:asciiTheme="minorHAnsi" w:hAnsiTheme="minorHAnsi"/>
        </w:rPr>
        <w:t xml:space="preserve"> and 8</w:t>
      </w:r>
      <w:r w:rsidR="00DD48DB" w:rsidRPr="006D49EC">
        <w:rPr>
          <w:rFonts w:asciiTheme="minorHAnsi" w:hAnsiTheme="minorHAnsi"/>
        </w:rPr>
        <w:t xml:space="preserve">. </w:t>
      </w:r>
      <w:r w:rsidR="00A54901" w:rsidRPr="006D49EC">
        <w:rPr>
          <w:rFonts w:asciiTheme="minorHAnsi" w:hAnsiTheme="minorHAnsi"/>
        </w:rPr>
        <w:t xml:space="preserve">Symptomatic remission was the outcome used in the base case of the modelled economic evaluation. </w:t>
      </w:r>
      <w:r w:rsidR="00D903CD" w:rsidRPr="006D49EC">
        <w:rPr>
          <w:rFonts w:asciiTheme="minorHAnsi" w:hAnsiTheme="minorHAnsi"/>
        </w:rPr>
        <w:t>T</w:t>
      </w:r>
      <w:r w:rsidR="00CB56F0" w:rsidRPr="006D49EC">
        <w:rPr>
          <w:rFonts w:asciiTheme="minorHAnsi" w:hAnsiTheme="minorHAnsi"/>
        </w:rPr>
        <w:t>he submission presented a cost-minimisation analysis versus atomoxetine</w:t>
      </w:r>
      <w:r w:rsidR="00A54901" w:rsidRPr="006D49EC">
        <w:rPr>
          <w:rFonts w:asciiTheme="minorHAnsi" w:hAnsiTheme="minorHAnsi"/>
        </w:rPr>
        <w:t>.</w:t>
      </w:r>
    </w:p>
    <w:p w:rsidR="003A3A31" w:rsidRPr="006D49EC" w:rsidRDefault="003A3A31" w:rsidP="00E907D1">
      <w:pPr>
        <w:pStyle w:val="Caption"/>
      </w:pPr>
      <w:r w:rsidRPr="006D49EC">
        <w:t xml:space="preserve">Table </w:t>
      </w:r>
      <w:r w:rsidR="00ED75E6" w:rsidRPr="006D49EC">
        <w:t>7</w:t>
      </w:r>
      <w:r w:rsidRPr="006D49EC">
        <w:t>: Summary of comparative benefits and harms for guanfacine and placebo</w:t>
      </w:r>
      <w:r w:rsidR="00D96BED" w:rsidRPr="006D49EC">
        <w:t>*</w:t>
      </w:r>
    </w:p>
    <w:tbl>
      <w:tblPr>
        <w:tblStyle w:val="TableGrid"/>
        <w:tblW w:w="4995" w:type="pct"/>
        <w:tblInd w:w="28" w:type="dxa"/>
        <w:tblLayout w:type="fixed"/>
        <w:tblCellMar>
          <w:left w:w="28" w:type="dxa"/>
          <w:right w:w="28" w:type="dxa"/>
        </w:tblCellMar>
        <w:tblLook w:val="04A0" w:firstRow="1" w:lastRow="0" w:firstColumn="1" w:lastColumn="0" w:noHBand="0" w:noVBand="1"/>
        <w:tblCaption w:val="Summary of comparative benefits and harms"/>
      </w:tblPr>
      <w:tblGrid>
        <w:gridCol w:w="1968"/>
        <w:gridCol w:w="501"/>
        <w:gridCol w:w="472"/>
        <w:gridCol w:w="100"/>
        <w:gridCol w:w="401"/>
        <w:gridCol w:w="677"/>
        <w:gridCol w:w="308"/>
        <w:gridCol w:w="826"/>
        <w:gridCol w:w="289"/>
        <w:gridCol w:w="684"/>
        <w:gridCol w:w="316"/>
        <w:gridCol w:w="203"/>
        <w:gridCol w:w="450"/>
        <w:gridCol w:w="347"/>
        <w:gridCol w:w="259"/>
        <w:gridCol w:w="1272"/>
      </w:tblGrid>
      <w:tr w:rsidR="00380081" w:rsidRPr="006D49EC" w:rsidTr="0052731B">
        <w:trPr>
          <w:trHeight w:val="150"/>
          <w:tblHeader/>
        </w:trPr>
        <w:tc>
          <w:tcPr>
            <w:tcW w:w="5000" w:type="pct"/>
            <w:gridSpan w:val="16"/>
            <w:shd w:val="clear" w:color="auto" w:fill="auto"/>
            <w:vAlign w:val="center"/>
          </w:tcPr>
          <w:p w:rsidR="00380081" w:rsidRPr="006D49EC" w:rsidRDefault="00380081" w:rsidP="00E907D1">
            <w:pPr>
              <w:pStyle w:val="TableText1"/>
              <w:rPr>
                <w:b/>
                <w:u w:val="single"/>
              </w:rPr>
            </w:pPr>
            <w:r w:rsidRPr="006D49EC">
              <w:rPr>
                <w:b/>
                <w:u w:val="single"/>
              </w:rPr>
              <w:t>Benefits</w:t>
            </w:r>
          </w:p>
        </w:tc>
      </w:tr>
      <w:tr w:rsidR="00380081" w:rsidRPr="006D49EC" w:rsidTr="00380081">
        <w:trPr>
          <w:trHeight w:val="150"/>
        </w:trPr>
        <w:tc>
          <w:tcPr>
            <w:tcW w:w="5000" w:type="pct"/>
            <w:gridSpan w:val="16"/>
            <w:shd w:val="clear" w:color="auto" w:fill="auto"/>
            <w:vAlign w:val="center"/>
          </w:tcPr>
          <w:p w:rsidR="00380081" w:rsidRPr="006D49EC" w:rsidRDefault="00380081" w:rsidP="00E907D1">
            <w:pPr>
              <w:pStyle w:val="TableText1"/>
            </w:pPr>
            <w:r w:rsidRPr="006D49EC">
              <w:rPr>
                <w:b/>
              </w:rPr>
              <w:t>Symptomatic remission (ADHD-RS-IV total score ≤18)</w:t>
            </w:r>
          </w:p>
        </w:tc>
      </w:tr>
      <w:tr w:rsidR="00380081" w:rsidRPr="006D49EC" w:rsidTr="004739E3">
        <w:trPr>
          <w:trHeight w:val="150"/>
        </w:trPr>
        <w:tc>
          <w:tcPr>
            <w:tcW w:w="1085" w:type="pct"/>
            <w:vMerge w:val="restart"/>
            <w:shd w:val="clear" w:color="auto" w:fill="auto"/>
            <w:vAlign w:val="center"/>
          </w:tcPr>
          <w:p w:rsidR="00380081" w:rsidRPr="006D49EC" w:rsidRDefault="00380081" w:rsidP="00E907D1">
            <w:pPr>
              <w:pStyle w:val="TableText1"/>
              <w:rPr>
                <w:b/>
              </w:rPr>
            </w:pPr>
            <w:r w:rsidRPr="006D49EC">
              <w:rPr>
                <w:b/>
              </w:rPr>
              <w:t>Trial</w:t>
            </w:r>
          </w:p>
        </w:tc>
        <w:tc>
          <w:tcPr>
            <w:tcW w:w="591" w:type="pct"/>
            <w:gridSpan w:val="3"/>
            <w:vMerge w:val="restart"/>
            <w:shd w:val="clear" w:color="auto" w:fill="auto"/>
            <w:vAlign w:val="center"/>
          </w:tcPr>
          <w:p w:rsidR="00380081" w:rsidRPr="006D49EC" w:rsidRDefault="00380081" w:rsidP="00E907D1">
            <w:pPr>
              <w:pStyle w:val="TableText1"/>
              <w:jc w:val="center"/>
              <w:rPr>
                <w:b/>
              </w:rPr>
            </w:pPr>
            <w:r w:rsidRPr="006D49EC">
              <w:rPr>
                <w:b/>
              </w:rPr>
              <w:t>Guanfacine</w:t>
            </w:r>
          </w:p>
        </w:tc>
        <w:tc>
          <w:tcPr>
            <w:tcW w:w="594" w:type="pct"/>
            <w:gridSpan w:val="2"/>
            <w:vMerge w:val="restart"/>
            <w:shd w:val="clear" w:color="auto" w:fill="auto"/>
            <w:vAlign w:val="center"/>
          </w:tcPr>
          <w:p w:rsidR="00380081" w:rsidRPr="006D49EC" w:rsidRDefault="00380081" w:rsidP="00E907D1">
            <w:pPr>
              <w:pStyle w:val="TableText1"/>
              <w:jc w:val="center"/>
              <w:rPr>
                <w:b/>
              </w:rPr>
            </w:pPr>
            <w:r w:rsidRPr="006D49EC">
              <w:rPr>
                <w:b/>
              </w:rPr>
              <w:t>Placebo</w:t>
            </w:r>
          </w:p>
        </w:tc>
        <w:tc>
          <w:tcPr>
            <w:tcW w:w="784" w:type="pct"/>
            <w:gridSpan w:val="3"/>
            <w:vMerge w:val="restart"/>
            <w:shd w:val="clear" w:color="auto" w:fill="auto"/>
            <w:vAlign w:val="center"/>
          </w:tcPr>
          <w:p w:rsidR="00380081" w:rsidRPr="006D49EC" w:rsidRDefault="00380081" w:rsidP="00E907D1">
            <w:pPr>
              <w:pStyle w:val="TableText1"/>
              <w:jc w:val="center"/>
              <w:rPr>
                <w:b/>
              </w:rPr>
            </w:pPr>
            <w:r w:rsidRPr="006D49EC">
              <w:rPr>
                <w:b/>
              </w:rPr>
              <w:t>RR (95% CI)</w:t>
            </w:r>
          </w:p>
        </w:tc>
        <w:tc>
          <w:tcPr>
            <w:tcW w:w="1245" w:type="pct"/>
            <w:gridSpan w:val="6"/>
            <w:shd w:val="clear" w:color="auto" w:fill="auto"/>
            <w:vAlign w:val="center"/>
          </w:tcPr>
          <w:p w:rsidR="00380081" w:rsidRPr="006D49EC" w:rsidRDefault="00380081" w:rsidP="00E907D1">
            <w:pPr>
              <w:pStyle w:val="TableText1"/>
              <w:jc w:val="center"/>
              <w:rPr>
                <w:b/>
              </w:rPr>
            </w:pPr>
            <w:r w:rsidRPr="006D49EC">
              <w:rPr>
                <w:b/>
              </w:rPr>
              <w:t>Events/100 patients*</w:t>
            </w:r>
          </w:p>
        </w:tc>
        <w:tc>
          <w:tcPr>
            <w:tcW w:w="701" w:type="pct"/>
            <w:vMerge w:val="restart"/>
            <w:shd w:val="clear" w:color="auto" w:fill="auto"/>
            <w:vAlign w:val="center"/>
          </w:tcPr>
          <w:p w:rsidR="00380081" w:rsidRPr="006D49EC" w:rsidRDefault="00380081" w:rsidP="00E907D1">
            <w:pPr>
              <w:pStyle w:val="TableText1"/>
              <w:jc w:val="center"/>
              <w:rPr>
                <w:b/>
              </w:rPr>
            </w:pPr>
            <w:r w:rsidRPr="006D49EC">
              <w:rPr>
                <w:b/>
              </w:rPr>
              <w:t>RD (95% CI)</w:t>
            </w:r>
          </w:p>
        </w:tc>
      </w:tr>
      <w:tr w:rsidR="00380081" w:rsidRPr="006D49EC" w:rsidTr="004739E3">
        <w:trPr>
          <w:trHeight w:val="315"/>
        </w:trPr>
        <w:tc>
          <w:tcPr>
            <w:tcW w:w="1085" w:type="pct"/>
            <w:vMerge/>
            <w:shd w:val="clear" w:color="auto" w:fill="auto"/>
            <w:vAlign w:val="center"/>
          </w:tcPr>
          <w:p w:rsidR="00380081" w:rsidRPr="006D49EC" w:rsidRDefault="00380081" w:rsidP="00E907D1">
            <w:pPr>
              <w:pStyle w:val="TableText1"/>
            </w:pPr>
          </w:p>
        </w:tc>
        <w:tc>
          <w:tcPr>
            <w:tcW w:w="591" w:type="pct"/>
            <w:gridSpan w:val="3"/>
            <w:vMerge/>
            <w:shd w:val="clear" w:color="auto" w:fill="auto"/>
            <w:vAlign w:val="center"/>
          </w:tcPr>
          <w:p w:rsidR="00380081" w:rsidRPr="006D49EC" w:rsidRDefault="00380081" w:rsidP="00E907D1">
            <w:pPr>
              <w:pStyle w:val="TableText1"/>
              <w:jc w:val="center"/>
            </w:pPr>
          </w:p>
        </w:tc>
        <w:tc>
          <w:tcPr>
            <w:tcW w:w="594" w:type="pct"/>
            <w:gridSpan w:val="2"/>
            <w:vMerge/>
            <w:shd w:val="clear" w:color="auto" w:fill="auto"/>
            <w:vAlign w:val="center"/>
          </w:tcPr>
          <w:p w:rsidR="00380081" w:rsidRPr="006D49EC" w:rsidRDefault="00380081" w:rsidP="00E907D1">
            <w:pPr>
              <w:pStyle w:val="TableText1"/>
              <w:jc w:val="center"/>
            </w:pPr>
          </w:p>
        </w:tc>
        <w:tc>
          <w:tcPr>
            <w:tcW w:w="784" w:type="pct"/>
            <w:gridSpan w:val="3"/>
            <w:vMerge/>
            <w:shd w:val="clear" w:color="auto" w:fill="auto"/>
            <w:vAlign w:val="center"/>
          </w:tcPr>
          <w:p w:rsidR="00380081" w:rsidRPr="006D49EC" w:rsidRDefault="00380081" w:rsidP="00E907D1">
            <w:pPr>
              <w:pStyle w:val="TableText1"/>
            </w:pPr>
          </w:p>
        </w:tc>
        <w:tc>
          <w:tcPr>
            <w:tcW w:w="663" w:type="pct"/>
            <w:gridSpan w:val="3"/>
            <w:shd w:val="clear" w:color="auto" w:fill="auto"/>
            <w:vAlign w:val="center"/>
          </w:tcPr>
          <w:p w:rsidR="00380081" w:rsidRPr="006D49EC" w:rsidRDefault="00380081" w:rsidP="00E907D1">
            <w:pPr>
              <w:pStyle w:val="TableText1"/>
              <w:jc w:val="center"/>
              <w:rPr>
                <w:b/>
              </w:rPr>
            </w:pPr>
            <w:r w:rsidRPr="006D49EC">
              <w:rPr>
                <w:b/>
              </w:rPr>
              <w:t>Guanfacine</w:t>
            </w:r>
          </w:p>
        </w:tc>
        <w:tc>
          <w:tcPr>
            <w:tcW w:w="582" w:type="pct"/>
            <w:gridSpan w:val="3"/>
            <w:shd w:val="clear" w:color="auto" w:fill="auto"/>
            <w:vAlign w:val="center"/>
          </w:tcPr>
          <w:p w:rsidR="00380081" w:rsidRPr="006D49EC" w:rsidRDefault="00380081" w:rsidP="00E907D1">
            <w:pPr>
              <w:pStyle w:val="TableText1"/>
              <w:jc w:val="center"/>
              <w:rPr>
                <w:b/>
              </w:rPr>
            </w:pPr>
            <w:r w:rsidRPr="006D49EC">
              <w:rPr>
                <w:b/>
              </w:rPr>
              <w:t xml:space="preserve">Placebo </w:t>
            </w:r>
          </w:p>
        </w:tc>
        <w:tc>
          <w:tcPr>
            <w:tcW w:w="701" w:type="pct"/>
            <w:vMerge/>
            <w:shd w:val="clear" w:color="auto" w:fill="auto"/>
            <w:vAlign w:val="center"/>
          </w:tcPr>
          <w:p w:rsidR="00380081" w:rsidRPr="006D49EC" w:rsidRDefault="00380081" w:rsidP="00E907D1">
            <w:pPr>
              <w:pStyle w:val="TableText1"/>
            </w:pPr>
          </w:p>
        </w:tc>
      </w:tr>
      <w:tr w:rsidR="00380081" w:rsidRPr="006D49EC" w:rsidTr="004739E3">
        <w:tc>
          <w:tcPr>
            <w:tcW w:w="1085" w:type="pct"/>
            <w:tcBorders>
              <w:bottom w:val="double" w:sz="4" w:space="0" w:color="auto"/>
            </w:tcBorders>
            <w:shd w:val="clear" w:color="auto" w:fill="auto"/>
            <w:vAlign w:val="center"/>
          </w:tcPr>
          <w:p w:rsidR="00380081" w:rsidRPr="006D49EC" w:rsidRDefault="00380081" w:rsidP="00E907D1">
            <w:pPr>
              <w:pStyle w:val="TableText1"/>
            </w:pPr>
            <w:r w:rsidRPr="006D49EC">
              <w:t>Trial 313</w:t>
            </w:r>
          </w:p>
          <w:p w:rsidR="00380081" w:rsidRPr="006D49EC" w:rsidRDefault="00380081" w:rsidP="00E907D1">
            <w:pPr>
              <w:pStyle w:val="TableText1"/>
            </w:pPr>
            <w:r w:rsidRPr="006D49EC">
              <w:t>Used in combination with stimulants</w:t>
            </w:r>
          </w:p>
        </w:tc>
        <w:tc>
          <w:tcPr>
            <w:tcW w:w="591"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183/297</w:t>
            </w:r>
          </w:p>
        </w:tc>
        <w:tc>
          <w:tcPr>
            <w:tcW w:w="594"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70/152</w:t>
            </w:r>
          </w:p>
        </w:tc>
        <w:tc>
          <w:tcPr>
            <w:tcW w:w="784"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rPr>
                <w:b/>
              </w:rPr>
              <w:t>1.34 (1.10, 1.62)</w:t>
            </w:r>
          </w:p>
        </w:tc>
        <w:tc>
          <w:tcPr>
            <w:tcW w:w="663"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61.6</w:t>
            </w:r>
          </w:p>
        </w:tc>
        <w:tc>
          <w:tcPr>
            <w:tcW w:w="582"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46.1</w:t>
            </w:r>
          </w:p>
        </w:tc>
        <w:tc>
          <w:tcPr>
            <w:tcW w:w="701" w:type="pct"/>
            <w:tcBorders>
              <w:bottom w:val="double" w:sz="4" w:space="0" w:color="auto"/>
            </w:tcBorders>
            <w:shd w:val="clear" w:color="auto" w:fill="auto"/>
            <w:vAlign w:val="center"/>
          </w:tcPr>
          <w:p w:rsidR="00380081" w:rsidRPr="006D49EC" w:rsidRDefault="00380081" w:rsidP="00E907D1">
            <w:pPr>
              <w:pStyle w:val="TableText1"/>
            </w:pPr>
            <w:r w:rsidRPr="006D49EC">
              <w:rPr>
                <w:b/>
              </w:rPr>
              <w:t>0.16 (0.06, 0.25)</w:t>
            </w:r>
          </w:p>
        </w:tc>
      </w:tr>
      <w:tr w:rsidR="00380081" w:rsidRPr="006D49EC" w:rsidTr="00380081">
        <w:tc>
          <w:tcPr>
            <w:tcW w:w="5000" w:type="pct"/>
            <w:gridSpan w:val="16"/>
            <w:shd w:val="clear" w:color="auto" w:fill="auto"/>
          </w:tcPr>
          <w:p w:rsidR="00380081" w:rsidRPr="006D49EC" w:rsidRDefault="00380081" w:rsidP="00E907D1">
            <w:pPr>
              <w:pStyle w:val="TableText1"/>
              <w:rPr>
                <w:b/>
              </w:rPr>
            </w:pPr>
            <w:r w:rsidRPr="006D49EC">
              <w:rPr>
                <w:b/>
              </w:rPr>
              <w:t>Responder (reduction in ADHD-RS-IV of ≥25% [Trials 313, 304] or ≥30% and CGI-I ≤2 [Trials 316, 307, 312, 314])</w:t>
            </w:r>
          </w:p>
        </w:tc>
      </w:tr>
      <w:tr w:rsidR="00380081" w:rsidRPr="006D49EC" w:rsidTr="004739E3">
        <w:tc>
          <w:tcPr>
            <w:tcW w:w="1085" w:type="pct"/>
            <w:tcBorders>
              <w:bottom w:val="double" w:sz="4" w:space="0" w:color="auto"/>
            </w:tcBorders>
            <w:shd w:val="clear" w:color="auto" w:fill="auto"/>
            <w:vAlign w:val="center"/>
          </w:tcPr>
          <w:p w:rsidR="00380081" w:rsidRPr="006D49EC" w:rsidRDefault="00380081" w:rsidP="00E907D1">
            <w:pPr>
              <w:pStyle w:val="TableText1"/>
            </w:pPr>
            <w:r w:rsidRPr="006D49EC">
              <w:t>Trial 313</w:t>
            </w:r>
          </w:p>
          <w:p w:rsidR="00380081" w:rsidRPr="006D49EC" w:rsidRDefault="00380081" w:rsidP="00E907D1">
            <w:pPr>
              <w:pStyle w:val="TableText1"/>
            </w:pPr>
            <w:r w:rsidRPr="006D49EC">
              <w:t>Used in combination with stimulants</w:t>
            </w:r>
          </w:p>
        </w:tc>
        <w:tc>
          <w:tcPr>
            <w:tcW w:w="591"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241/297</w:t>
            </w:r>
          </w:p>
        </w:tc>
        <w:tc>
          <w:tcPr>
            <w:tcW w:w="594"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106/152</w:t>
            </w:r>
          </w:p>
        </w:tc>
        <w:tc>
          <w:tcPr>
            <w:tcW w:w="784" w:type="pct"/>
            <w:gridSpan w:val="3"/>
            <w:tcBorders>
              <w:bottom w:val="double" w:sz="4" w:space="0" w:color="auto"/>
            </w:tcBorders>
            <w:shd w:val="clear" w:color="auto" w:fill="auto"/>
            <w:vAlign w:val="center"/>
          </w:tcPr>
          <w:p w:rsidR="00380081" w:rsidRPr="006D49EC" w:rsidRDefault="00380081" w:rsidP="00E907D1">
            <w:pPr>
              <w:widowControl/>
              <w:jc w:val="center"/>
              <w:rPr>
                <w:rFonts w:ascii="Arial Narrow" w:hAnsi="Arial Narrow"/>
                <w:b/>
                <w:sz w:val="20"/>
              </w:rPr>
            </w:pPr>
            <w:r w:rsidRPr="006D49EC">
              <w:rPr>
                <w:rFonts w:ascii="Arial Narrow" w:hAnsi="Arial Narrow"/>
                <w:b/>
                <w:sz w:val="20"/>
              </w:rPr>
              <w:t>1.16 (1.03, 1.31)</w:t>
            </w:r>
          </w:p>
        </w:tc>
        <w:tc>
          <w:tcPr>
            <w:tcW w:w="663"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81.1</w:t>
            </w:r>
          </w:p>
        </w:tc>
        <w:tc>
          <w:tcPr>
            <w:tcW w:w="582"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69.7</w:t>
            </w:r>
          </w:p>
        </w:tc>
        <w:tc>
          <w:tcPr>
            <w:tcW w:w="701" w:type="pct"/>
            <w:tcBorders>
              <w:bottom w:val="double" w:sz="4" w:space="0" w:color="auto"/>
            </w:tcBorders>
            <w:shd w:val="clear" w:color="auto" w:fill="auto"/>
            <w:vAlign w:val="center"/>
          </w:tcPr>
          <w:p w:rsidR="00380081" w:rsidRPr="006D49EC" w:rsidRDefault="00380081" w:rsidP="00E907D1">
            <w:pPr>
              <w:pStyle w:val="TableText1"/>
              <w:jc w:val="center"/>
              <w:rPr>
                <w:b/>
              </w:rPr>
            </w:pPr>
            <w:r w:rsidRPr="006D49EC">
              <w:rPr>
                <w:b/>
              </w:rPr>
              <w:t>0.11 (0.03, 0.20)</w:t>
            </w:r>
          </w:p>
        </w:tc>
      </w:tr>
      <w:tr w:rsidR="00380081" w:rsidRPr="006D49EC" w:rsidTr="00380081">
        <w:tc>
          <w:tcPr>
            <w:tcW w:w="5000" w:type="pct"/>
            <w:gridSpan w:val="16"/>
            <w:shd w:val="clear" w:color="auto" w:fill="auto"/>
            <w:vAlign w:val="center"/>
          </w:tcPr>
          <w:p w:rsidR="00380081" w:rsidRPr="006D49EC" w:rsidRDefault="00380081" w:rsidP="00E907D1">
            <w:pPr>
              <w:pStyle w:val="TableText1"/>
              <w:rPr>
                <w:b/>
              </w:rPr>
            </w:pPr>
            <w:r w:rsidRPr="006D49EC">
              <w:rPr>
                <w:b/>
              </w:rPr>
              <w:t>Mean change in ADHD-RS-IV scores</w:t>
            </w:r>
          </w:p>
        </w:tc>
      </w:tr>
      <w:tr w:rsidR="00380081" w:rsidRPr="006D49EC" w:rsidTr="004739E3">
        <w:trPr>
          <w:trHeight w:val="225"/>
        </w:trPr>
        <w:tc>
          <w:tcPr>
            <w:tcW w:w="1085" w:type="pct"/>
            <w:vMerge w:val="restart"/>
            <w:shd w:val="clear" w:color="auto" w:fill="auto"/>
            <w:vAlign w:val="center"/>
          </w:tcPr>
          <w:p w:rsidR="00380081" w:rsidRPr="006D49EC" w:rsidRDefault="00380081" w:rsidP="00E907D1">
            <w:pPr>
              <w:pStyle w:val="TableText1"/>
              <w:rPr>
                <w:b/>
              </w:rPr>
            </w:pPr>
            <w:r w:rsidRPr="006D49EC">
              <w:rPr>
                <w:b/>
              </w:rPr>
              <w:t>Trial</w:t>
            </w:r>
          </w:p>
        </w:tc>
        <w:tc>
          <w:tcPr>
            <w:tcW w:w="1355" w:type="pct"/>
            <w:gridSpan w:val="6"/>
            <w:shd w:val="clear" w:color="auto" w:fill="auto"/>
            <w:vAlign w:val="center"/>
          </w:tcPr>
          <w:p w:rsidR="00380081" w:rsidRPr="006D49EC" w:rsidRDefault="00380081" w:rsidP="00E907D1">
            <w:pPr>
              <w:pStyle w:val="TableText1"/>
              <w:jc w:val="center"/>
              <w:rPr>
                <w:b/>
              </w:rPr>
            </w:pPr>
            <w:r w:rsidRPr="006D49EC">
              <w:rPr>
                <w:b/>
              </w:rPr>
              <w:t xml:space="preserve">Guanfacine </w:t>
            </w:r>
          </w:p>
        </w:tc>
        <w:tc>
          <w:tcPr>
            <w:tcW w:w="1525" w:type="pct"/>
            <w:gridSpan w:val="6"/>
            <w:shd w:val="clear" w:color="auto" w:fill="auto"/>
            <w:vAlign w:val="center"/>
          </w:tcPr>
          <w:p w:rsidR="00380081" w:rsidRPr="006D49EC" w:rsidRDefault="00380081" w:rsidP="00E907D1">
            <w:pPr>
              <w:pStyle w:val="TableText1"/>
              <w:jc w:val="center"/>
              <w:rPr>
                <w:b/>
              </w:rPr>
            </w:pPr>
            <w:r w:rsidRPr="006D49EC">
              <w:rPr>
                <w:b/>
              </w:rPr>
              <w:t xml:space="preserve">Placebo </w:t>
            </w:r>
          </w:p>
        </w:tc>
        <w:tc>
          <w:tcPr>
            <w:tcW w:w="1035" w:type="pct"/>
            <w:gridSpan w:val="3"/>
            <w:vMerge w:val="restart"/>
            <w:shd w:val="clear" w:color="auto" w:fill="auto"/>
            <w:vAlign w:val="center"/>
          </w:tcPr>
          <w:p w:rsidR="00380081" w:rsidRPr="006D49EC" w:rsidRDefault="00380081" w:rsidP="00E907D1">
            <w:pPr>
              <w:pStyle w:val="TableText1"/>
              <w:jc w:val="center"/>
            </w:pPr>
            <w:r w:rsidRPr="006D49EC">
              <w:rPr>
                <w:b/>
              </w:rPr>
              <w:t xml:space="preserve">Mean difference* </w:t>
            </w:r>
            <w:r w:rsidRPr="006D49EC">
              <w:rPr>
                <w:b/>
              </w:rPr>
              <w:br/>
              <w:t>(95% CI)</w:t>
            </w:r>
          </w:p>
        </w:tc>
      </w:tr>
      <w:tr w:rsidR="00380081" w:rsidRPr="006D49EC" w:rsidTr="004739E3">
        <w:trPr>
          <w:trHeight w:val="225"/>
        </w:trPr>
        <w:tc>
          <w:tcPr>
            <w:tcW w:w="1085" w:type="pct"/>
            <w:vMerge/>
            <w:shd w:val="clear" w:color="auto" w:fill="auto"/>
            <w:vAlign w:val="center"/>
          </w:tcPr>
          <w:p w:rsidR="00380081" w:rsidRPr="006D49EC" w:rsidRDefault="00380081" w:rsidP="00E907D1">
            <w:pPr>
              <w:pStyle w:val="TableText1"/>
            </w:pPr>
          </w:p>
        </w:tc>
        <w:tc>
          <w:tcPr>
            <w:tcW w:w="276" w:type="pct"/>
            <w:shd w:val="clear" w:color="auto" w:fill="auto"/>
            <w:vAlign w:val="center"/>
          </w:tcPr>
          <w:p w:rsidR="00380081" w:rsidRPr="006D49EC" w:rsidRDefault="00380081" w:rsidP="00E907D1">
            <w:pPr>
              <w:pStyle w:val="TableText1"/>
              <w:jc w:val="center"/>
              <w:rPr>
                <w:b/>
              </w:rPr>
            </w:pPr>
            <w:r w:rsidRPr="006D49EC">
              <w:rPr>
                <w:b/>
              </w:rPr>
              <w:t>n</w:t>
            </w:r>
          </w:p>
        </w:tc>
        <w:tc>
          <w:tcPr>
            <w:tcW w:w="536" w:type="pct"/>
            <w:gridSpan w:val="3"/>
            <w:shd w:val="clear" w:color="auto" w:fill="auto"/>
            <w:vAlign w:val="center"/>
          </w:tcPr>
          <w:p w:rsidR="00380081" w:rsidRPr="006D49EC" w:rsidRDefault="00380081" w:rsidP="00E907D1">
            <w:pPr>
              <w:pStyle w:val="TableText1"/>
              <w:jc w:val="center"/>
              <w:rPr>
                <w:b/>
              </w:rPr>
            </w:pPr>
            <w:r w:rsidRPr="006D49EC">
              <w:rPr>
                <w:b/>
              </w:rPr>
              <w:t xml:space="preserve">Mean ∆ </w:t>
            </w:r>
          </w:p>
        </w:tc>
        <w:tc>
          <w:tcPr>
            <w:tcW w:w="543" w:type="pct"/>
            <w:gridSpan w:val="2"/>
            <w:shd w:val="clear" w:color="auto" w:fill="auto"/>
            <w:vAlign w:val="center"/>
          </w:tcPr>
          <w:p w:rsidR="00380081" w:rsidRPr="006D49EC" w:rsidRDefault="00380081" w:rsidP="00E907D1">
            <w:pPr>
              <w:pStyle w:val="TableText1"/>
              <w:jc w:val="center"/>
              <w:rPr>
                <w:b/>
              </w:rPr>
            </w:pPr>
            <w:r w:rsidRPr="006D49EC">
              <w:rPr>
                <w:b/>
              </w:rPr>
              <w:t>SD</w:t>
            </w:r>
          </w:p>
        </w:tc>
        <w:tc>
          <w:tcPr>
            <w:tcW w:w="455" w:type="pct"/>
            <w:shd w:val="clear" w:color="auto" w:fill="auto"/>
            <w:vAlign w:val="center"/>
          </w:tcPr>
          <w:p w:rsidR="00380081" w:rsidRPr="006D49EC" w:rsidRDefault="00380081" w:rsidP="00E907D1">
            <w:pPr>
              <w:pStyle w:val="TableText1"/>
              <w:jc w:val="center"/>
              <w:rPr>
                <w:b/>
              </w:rPr>
            </w:pPr>
            <w:r w:rsidRPr="006D49EC">
              <w:rPr>
                <w:b/>
              </w:rPr>
              <w:t>n</w:t>
            </w:r>
          </w:p>
        </w:tc>
        <w:tc>
          <w:tcPr>
            <w:tcW w:w="536" w:type="pct"/>
            <w:gridSpan w:val="2"/>
            <w:shd w:val="clear" w:color="auto" w:fill="auto"/>
            <w:vAlign w:val="center"/>
          </w:tcPr>
          <w:p w:rsidR="00380081" w:rsidRPr="006D49EC" w:rsidRDefault="00380081" w:rsidP="00E907D1">
            <w:pPr>
              <w:pStyle w:val="TableText1"/>
              <w:jc w:val="center"/>
              <w:rPr>
                <w:b/>
              </w:rPr>
            </w:pPr>
            <w:r w:rsidRPr="006D49EC">
              <w:rPr>
                <w:b/>
              </w:rPr>
              <w:t xml:space="preserve">Mean ∆ </w:t>
            </w:r>
          </w:p>
        </w:tc>
        <w:tc>
          <w:tcPr>
            <w:tcW w:w="534" w:type="pct"/>
            <w:gridSpan w:val="3"/>
            <w:shd w:val="clear" w:color="auto" w:fill="auto"/>
            <w:vAlign w:val="center"/>
          </w:tcPr>
          <w:p w:rsidR="00380081" w:rsidRPr="006D49EC" w:rsidRDefault="00380081" w:rsidP="00E907D1">
            <w:pPr>
              <w:pStyle w:val="TableText1"/>
              <w:jc w:val="center"/>
              <w:rPr>
                <w:b/>
              </w:rPr>
            </w:pPr>
            <w:r w:rsidRPr="006D49EC">
              <w:rPr>
                <w:b/>
              </w:rPr>
              <w:t>SD</w:t>
            </w:r>
          </w:p>
        </w:tc>
        <w:tc>
          <w:tcPr>
            <w:tcW w:w="1035" w:type="pct"/>
            <w:gridSpan w:val="3"/>
            <w:vMerge/>
            <w:shd w:val="clear" w:color="auto" w:fill="auto"/>
            <w:vAlign w:val="center"/>
          </w:tcPr>
          <w:p w:rsidR="00380081" w:rsidRPr="006D49EC" w:rsidRDefault="00380081" w:rsidP="00E907D1">
            <w:pPr>
              <w:pStyle w:val="TableText1"/>
            </w:pPr>
          </w:p>
        </w:tc>
      </w:tr>
      <w:tr w:rsidR="00380081" w:rsidRPr="006D49EC" w:rsidTr="004739E3">
        <w:tc>
          <w:tcPr>
            <w:tcW w:w="1085" w:type="pct"/>
            <w:tcBorders>
              <w:bottom w:val="double" w:sz="4" w:space="0" w:color="auto"/>
            </w:tcBorders>
            <w:shd w:val="clear" w:color="auto" w:fill="auto"/>
            <w:vAlign w:val="center"/>
          </w:tcPr>
          <w:p w:rsidR="00380081" w:rsidRPr="006D49EC" w:rsidRDefault="00380081" w:rsidP="00E907D1">
            <w:pPr>
              <w:pStyle w:val="TableText1"/>
            </w:pPr>
            <w:r w:rsidRPr="006D49EC">
              <w:t>Trial 313</w:t>
            </w:r>
          </w:p>
          <w:p w:rsidR="00380081" w:rsidRPr="006D49EC" w:rsidRDefault="00380081" w:rsidP="00E907D1">
            <w:pPr>
              <w:pStyle w:val="TableText1"/>
            </w:pPr>
            <w:r w:rsidRPr="006D49EC">
              <w:t>Used in combination with stimulants</w:t>
            </w:r>
          </w:p>
        </w:tc>
        <w:tc>
          <w:tcPr>
            <w:tcW w:w="276" w:type="pct"/>
            <w:tcBorders>
              <w:bottom w:val="double" w:sz="4" w:space="0" w:color="auto"/>
            </w:tcBorders>
            <w:shd w:val="clear" w:color="auto" w:fill="auto"/>
            <w:vAlign w:val="center"/>
          </w:tcPr>
          <w:p w:rsidR="00380081" w:rsidRPr="006D49EC" w:rsidRDefault="00380081" w:rsidP="00E907D1">
            <w:pPr>
              <w:pStyle w:val="TableText1"/>
              <w:jc w:val="center"/>
            </w:pPr>
            <w:r w:rsidRPr="006D49EC">
              <w:t>297</w:t>
            </w:r>
          </w:p>
        </w:tc>
        <w:tc>
          <w:tcPr>
            <w:tcW w:w="536"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-20.7</w:t>
            </w:r>
          </w:p>
        </w:tc>
        <w:tc>
          <w:tcPr>
            <w:tcW w:w="543"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12.56</w:t>
            </w:r>
          </w:p>
        </w:tc>
        <w:tc>
          <w:tcPr>
            <w:tcW w:w="455" w:type="pct"/>
            <w:tcBorders>
              <w:bottom w:val="double" w:sz="4" w:space="0" w:color="auto"/>
            </w:tcBorders>
            <w:shd w:val="clear" w:color="auto" w:fill="auto"/>
            <w:vAlign w:val="center"/>
          </w:tcPr>
          <w:p w:rsidR="00380081" w:rsidRPr="006D49EC" w:rsidRDefault="00380081" w:rsidP="00E907D1">
            <w:pPr>
              <w:pStyle w:val="TableText1"/>
              <w:jc w:val="center"/>
            </w:pPr>
            <w:r w:rsidRPr="006D49EC">
              <w:t>152</w:t>
            </w:r>
          </w:p>
        </w:tc>
        <w:tc>
          <w:tcPr>
            <w:tcW w:w="536"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-16.0</w:t>
            </w:r>
          </w:p>
        </w:tc>
        <w:tc>
          <w:tcPr>
            <w:tcW w:w="534"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11.77</w:t>
            </w:r>
          </w:p>
        </w:tc>
        <w:tc>
          <w:tcPr>
            <w:tcW w:w="1035"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rPr>
                <w:b/>
              </w:rPr>
              <w:t>-4.70 (-7.05, -2.35)</w:t>
            </w:r>
          </w:p>
        </w:tc>
      </w:tr>
      <w:tr w:rsidR="00380081" w:rsidRPr="006D49EC" w:rsidTr="00380081">
        <w:tc>
          <w:tcPr>
            <w:tcW w:w="5000" w:type="pct"/>
            <w:gridSpan w:val="16"/>
            <w:tcBorders>
              <w:top w:val="double" w:sz="4" w:space="0" w:color="auto"/>
            </w:tcBorders>
            <w:shd w:val="clear" w:color="auto" w:fill="auto"/>
            <w:vAlign w:val="center"/>
          </w:tcPr>
          <w:p w:rsidR="00380081" w:rsidRPr="006D49EC" w:rsidRDefault="00380081" w:rsidP="00E907D1">
            <w:pPr>
              <w:pStyle w:val="TableText1"/>
              <w:rPr>
                <w:b/>
                <w:u w:val="single"/>
              </w:rPr>
            </w:pPr>
            <w:r w:rsidRPr="006D49EC">
              <w:rPr>
                <w:b/>
                <w:u w:val="single"/>
              </w:rPr>
              <w:t>Harms</w:t>
            </w:r>
          </w:p>
        </w:tc>
      </w:tr>
      <w:tr w:rsidR="00380081" w:rsidRPr="006D49EC" w:rsidTr="004739E3">
        <w:trPr>
          <w:trHeight w:val="70"/>
        </w:trPr>
        <w:tc>
          <w:tcPr>
            <w:tcW w:w="1085" w:type="pct"/>
            <w:vMerge w:val="restart"/>
            <w:shd w:val="clear" w:color="auto" w:fill="auto"/>
            <w:vAlign w:val="center"/>
          </w:tcPr>
          <w:p w:rsidR="00380081" w:rsidRPr="006D49EC" w:rsidRDefault="00380081" w:rsidP="00E907D1">
            <w:pPr>
              <w:pStyle w:val="TableText1"/>
            </w:pPr>
          </w:p>
        </w:tc>
        <w:tc>
          <w:tcPr>
            <w:tcW w:w="536" w:type="pct"/>
            <w:gridSpan w:val="2"/>
            <w:vMerge w:val="restart"/>
            <w:shd w:val="clear" w:color="auto" w:fill="auto"/>
            <w:vAlign w:val="center"/>
          </w:tcPr>
          <w:p w:rsidR="00380081" w:rsidRPr="006D49EC" w:rsidRDefault="00380081" w:rsidP="00E907D1">
            <w:pPr>
              <w:pStyle w:val="TableText1"/>
              <w:jc w:val="center"/>
              <w:rPr>
                <w:b/>
              </w:rPr>
            </w:pPr>
            <w:r w:rsidRPr="006D49EC">
              <w:rPr>
                <w:b/>
              </w:rPr>
              <w:t xml:space="preserve">Guanfacine </w:t>
            </w:r>
          </w:p>
        </w:tc>
        <w:tc>
          <w:tcPr>
            <w:tcW w:w="649" w:type="pct"/>
            <w:gridSpan w:val="3"/>
            <w:vMerge w:val="restart"/>
            <w:shd w:val="clear" w:color="auto" w:fill="auto"/>
            <w:vAlign w:val="center"/>
          </w:tcPr>
          <w:p w:rsidR="00380081" w:rsidRPr="006D49EC" w:rsidRDefault="00380081" w:rsidP="00E907D1">
            <w:pPr>
              <w:pStyle w:val="TableText1"/>
              <w:jc w:val="center"/>
              <w:rPr>
                <w:b/>
              </w:rPr>
            </w:pPr>
            <w:r w:rsidRPr="006D49EC">
              <w:rPr>
                <w:b/>
              </w:rPr>
              <w:t xml:space="preserve">Placebo </w:t>
            </w:r>
          </w:p>
        </w:tc>
        <w:tc>
          <w:tcPr>
            <w:tcW w:w="784" w:type="pct"/>
            <w:gridSpan w:val="3"/>
            <w:vMerge w:val="restart"/>
            <w:shd w:val="clear" w:color="auto" w:fill="auto"/>
            <w:vAlign w:val="center"/>
          </w:tcPr>
          <w:p w:rsidR="00380081" w:rsidRPr="006D49EC" w:rsidRDefault="00380081" w:rsidP="00E907D1">
            <w:pPr>
              <w:pStyle w:val="TableText1"/>
              <w:jc w:val="center"/>
              <w:rPr>
                <w:b/>
              </w:rPr>
            </w:pPr>
            <w:r w:rsidRPr="006D49EC">
              <w:rPr>
                <w:b/>
              </w:rPr>
              <w:t>RR (95% CI)</w:t>
            </w:r>
          </w:p>
        </w:tc>
        <w:tc>
          <w:tcPr>
            <w:tcW w:w="1102" w:type="pct"/>
            <w:gridSpan w:val="5"/>
            <w:shd w:val="clear" w:color="auto" w:fill="auto"/>
            <w:vAlign w:val="center"/>
          </w:tcPr>
          <w:p w:rsidR="00380081" w:rsidRPr="006D49EC" w:rsidRDefault="00380081" w:rsidP="00E907D1">
            <w:pPr>
              <w:pStyle w:val="TableText1"/>
              <w:jc w:val="center"/>
              <w:rPr>
                <w:b/>
              </w:rPr>
            </w:pPr>
            <w:r w:rsidRPr="006D49EC">
              <w:rPr>
                <w:b/>
              </w:rPr>
              <w:t>Events/100 patients*</w:t>
            </w:r>
          </w:p>
        </w:tc>
        <w:tc>
          <w:tcPr>
            <w:tcW w:w="844" w:type="pct"/>
            <w:gridSpan w:val="2"/>
            <w:vMerge w:val="restart"/>
            <w:shd w:val="clear" w:color="auto" w:fill="auto"/>
            <w:vAlign w:val="center"/>
          </w:tcPr>
          <w:p w:rsidR="00380081" w:rsidRPr="006D49EC" w:rsidRDefault="00380081" w:rsidP="00E907D1">
            <w:pPr>
              <w:pStyle w:val="TableText1"/>
              <w:jc w:val="center"/>
              <w:rPr>
                <w:b/>
              </w:rPr>
            </w:pPr>
            <w:r w:rsidRPr="006D49EC">
              <w:rPr>
                <w:b/>
              </w:rPr>
              <w:t>RD (95% CI)</w:t>
            </w:r>
          </w:p>
        </w:tc>
      </w:tr>
      <w:tr w:rsidR="00380081" w:rsidRPr="006D49EC" w:rsidTr="004739E3">
        <w:trPr>
          <w:trHeight w:val="390"/>
        </w:trPr>
        <w:tc>
          <w:tcPr>
            <w:tcW w:w="1085" w:type="pct"/>
            <w:vMerge/>
            <w:shd w:val="clear" w:color="auto" w:fill="auto"/>
            <w:vAlign w:val="center"/>
          </w:tcPr>
          <w:p w:rsidR="00380081" w:rsidRPr="006D49EC" w:rsidRDefault="00380081" w:rsidP="00E907D1">
            <w:pPr>
              <w:pStyle w:val="TableText1"/>
            </w:pPr>
          </w:p>
        </w:tc>
        <w:tc>
          <w:tcPr>
            <w:tcW w:w="536" w:type="pct"/>
            <w:gridSpan w:val="2"/>
            <w:vMerge/>
            <w:shd w:val="clear" w:color="auto" w:fill="auto"/>
            <w:vAlign w:val="center"/>
          </w:tcPr>
          <w:p w:rsidR="00380081" w:rsidRPr="006D49EC" w:rsidRDefault="00380081" w:rsidP="00E907D1">
            <w:pPr>
              <w:pStyle w:val="TableText1"/>
            </w:pPr>
          </w:p>
        </w:tc>
        <w:tc>
          <w:tcPr>
            <w:tcW w:w="649" w:type="pct"/>
            <w:gridSpan w:val="3"/>
            <w:vMerge/>
            <w:shd w:val="clear" w:color="auto" w:fill="auto"/>
            <w:vAlign w:val="center"/>
          </w:tcPr>
          <w:p w:rsidR="00380081" w:rsidRPr="006D49EC" w:rsidRDefault="00380081" w:rsidP="00E907D1">
            <w:pPr>
              <w:pStyle w:val="TableText1"/>
            </w:pPr>
          </w:p>
        </w:tc>
        <w:tc>
          <w:tcPr>
            <w:tcW w:w="784" w:type="pct"/>
            <w:gridSpan w:val="3"/>
            <w:vMerge/>
            <w:shd w:val="clear" w:color="auto" w:fill="auto"/>
            <w:vAlign w:val="center"/>
          </w:tcPr>
          <w:p w:rsidR="00380081" w:rsidRPr="006D49EC" w:rsidRDefault="00380081" w:rsidP="00E907D1">
            <w:pPr>
              <w:pStyle w:val="TableText1"/>
            </w:pPr>
          </w:p>
        </w:tc>
        <w:tc>
          <w:tcPr>
            <w:tcW w:w="551" w:type="pct"/>
            <w:gridSpan w:val="2"/>
            <w:shd w:val="clear" w:color="auto" w:fill="auto"/>
            <w:vAlign w:val="center"/>
          </w:tcPr>
          <w:p w:rsidR="00380081" w:rsidRPr="006D49EC" w:rsidRDefault="00380081" w:rsidP="00E907D1">
            <w:pPr>
              <w:pStyle w:val="TableText1"/>
              <w:jc w:val="center"/>
              <w:rPr>
                <w:b/>
              </w:rPr>
            </w:pPr>
            <w:r w:rsidRPr="006D49EC">
              <w:rPr>
                <w:b/>
              </w:rPr>
              <w:t xml:space="preserve">Guanfacine </w:t>
            </w:r>
          </w:p>
        </w:tc>
        <w:tc>
          <w:tcPr>
            <w:tcW w:w="551" w:type="pct"/>
            <w:gridSpan w:val="3"/>
            <w:shd w:val="clear" w:color="auto" w:fill="auto"/>
            <w:vAlign w:val="center"/>
          </w:tcPr>
          <w:p w:rsidR="00380081" w:rsidRPr="006D49EC" w:rsidRDefault="00380081" w:rsidP="00E907D1">
            <w:pPr>
              <w:pStyle w:val="TableText1"/>
              <w:jc w:val="center"/>
              <w:rPr>
                <w:b/>
              </w:rPr>
            </w:pPr>
            <w:r w:rsidRPr="006D49EC">
              <w:rPr>
                <w:b/>
              </w:rPr>
              <w:t xml:space="preserve">Placebo </w:t>
            </w:r>
          </w:p>
        </w:tc>
        <w:tc>
          <w:tcPr>
            <w:tcW w:w="844" w:type="pct"/>
            <w:gridSpan w:val="2"/>
            <w:vMerge/>
            <w:shd w:val="clear" w:color="auto" w:fill="auto"/>
            <w:vAlign w:val="center"/>
          </w:tcPr>
          <w:p w:rsidR="00380081" w:rsidRPr="006D49EC" w:rsidRDefault="00380081" w:rsidP="00E907D1">
            <w:pPr>
              <w:pStyle w:val="TableText1"/>
            </w:pPr>
          </w:p>
        </w:tc>
      </w:tr>
      <w:tr w:rsidR="00380081" w:rsidRPr="006D49EC" w:rsidTr="00380081">
        <w:tc>
          <w:tcPr>
            <w:tcW w:w="5000" w:type="pct"/>
            <w:gridSpan w:val="16"/>
            <w:shd w:val="clear" w:color="auto" w:fill="auto"/>
            <w:vAlign w:val="center"/>
          </w:tcPr>
          <w:p w:rsidR="00380081" w:rsidRPr="006D49EC" w:rsidRDefault="00380081" w:rsidP="00E907D1">
            <w:pPr>
              <w:pStyle w:val="TableText1"/>
              <w:rPr>
                <w:b/>
              </w:rPr>
            </w:pPr>
            <w:r w:rsidRPr="006D49EC">
              <w:rPr>
                <w:b/>
              </w:rPr>
              <w:t>Abdominal pain (upper)</w:t>
            </w:r>
          </w:p>
        </w:tc>
      </w:tr>
      <w:tr w:rsidR="00380081" w:rsidRPr="006D49EC" w:rsidTr="004739E3">
        <w:tc>
          <w:tcPr>
            <w:tcW w:w="1085" w:type="pct"/>
            <w:tcBorders>
              <w:bottom w:val="double" w:sz="4" w:space="0" w:color="auto"/>
            </w:tcBorders>
            <w:shd w:val="clear" w:color="auto" w:fill="auto"/>
            <w:vAlign w:val="center"/>
          </w:tcPr>
          <w:p w:rsidR="00380081" w:rsidRPr="006D49EC" w:rsidRDefault="00380081" w:rsidP="00E907D1">
            <w:pPr>
              <w:pStyle w:val="TableText1"/>
            </w:pPr>
            <w:r w:rsidRPr="006D49EC">
              <w:t>Trial 313</w:t>
            </w:r>
          </w:p>
          <w:p w:rsidR="00380081" w:rsidRPr="006D49EC" w:rsidRDefault="00380081" w:rsidP="00E907D1">
            <w:pPr>
              <w:pStyle w:val="TableText1"/>
            </w:pPr>
            <w:r w:rsidRPr="006D49EC">
              <w:t>Used in combination with stimulants</w:t>
            </w:r>
          </w:p>
        </w:tc>
        <w:tc>
          <w:tcPr>
            <w:tcW w:w="536"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25/302</w:t>
            </w:r>
          </w:p>
        </w:tc>
        <w:tc>
          <w:tcPr>
            <w:tcW w:w="649"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3/153</w:t>
            </w:r>
          </w:p>
        </w:tc>
        <w:tc>
          <w:tcPr>
            <w:tcW w:w="784"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rPr>
                <w:b/>
              </w:rPr>
              <w:t>4.22 (1.39, 13.04)</w:t>
            </w:r>
          </w:p>
        </w:tc>
        <w:tc>
          <w:tcPr>
            <w:tcW w:w="551"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8.3</w:t>
            </w:r>
          </w:p>
        </w:tc>
        <w:tc>
          <w:tcPr>
            <w:tcW w:w="551"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2.0</w:t>
            </w:r>
          </w:p>
        </w:tc>
        <w:tc>
          <w:tcPr>
            <w:tcW w:w="844" w:type="pct"/>
            <w:gridSpan w:val="2"/>
            <w:tcBorders>
              <w:bottom w:val="double" w:sz="4" w:space="0" w:color="auto"/>
            </w:tcBorders>
            <w:shd w:val="clear" w:color="auto" w:fill="auto"/>
            <w:vAlign w:val="center"/>
          </w:tcPr>
          <w:p w:rsidR="00380081" w:rsidRPr="006D49EC" w:rsidRDefault="00380081" w:rsidP="00E907D1">
            <w:pPr>
              <w:pStyle w:val="TableText1"/>
              <w:jc w:val="center"/>
              <w:rPr>
                <w:b/>
              </w:rPr>
            </w:pPr>
            <w:r w:rsidRPr="006D49EC">
              <w:rPr>
                <w:b/>
              </w:rPr>
              <w:t>0.06 (0.02, 0.10)</w:t>
            </w:r>
          </w:p>
        </w:tc>
      </w:tr>
      <w:tr w:rsidR="00380081" w:rsidRPr="006D49EC" w:rsidTr="00380081">
        <w:tc>
          <w:tcPr>
            <w:tcW w:w="5000" w:type="pct"/>
            <w:gridSpan w:val="16"/>
            <w:shd w:val="clear" w:color="auto" w:fill="auto"/>
            <w:vAlign w:val="center"/>
          </w:tcPr>
          <w:p w:rsidR="00380081" w:rsidRPr="006D49EC" w:rsidRDefault="00380081" w:rsidP="00E907D1">
            <w:pPr>
              <w:pStyle w:val="TableText1"/>
              <w:rPr>
                <w:b/>
              </w:rPr>
            </w:pPr>
            <w:r w:rsidRPr="006D49EC">
              <w:rPr>
                <w:b/>
              </w:rPr>
              <w:t xml:space="preserve">Somnolence </w:t>
            </w:r>
          </w:p>
        </w:tc>
      </w:tr>
      <w:tr w:rsidR="00380081" w:rsidRPr="006D49EC" w:rsidTr="004739E3">
        <w:tc>
          <w:tcPr>
            <w:tcW w:w="1085" w:type="pct"/>
            <w:tcBorders>
              <w:bottom w:val="double" w:sz="4" w:space="0" w:color="auto"/>
            </w:tcBorders>
            <w:shd w:val="clear" w:color="auto" w:fill="auto"/>
            <w:vAlign w:val="center"/>
          </w:tcPr>
          <w:p w:rsidR="00380081" w:rsidRPr="006D49EC" w:rsidRDefault="00380081" w:rsidP="00E907D1">
            <w:pPr>
              <w:pStyle w:val="TableText1"/>
            </w:pPr>
            <w:r w:rsidRPr="006D49EC">
              <w:t>Trial 313</w:t>
            </w:r>
          </w:p>
          <w:p w:rsidR="00380081" w:rsidRPr="006D49EC" w:rsidRDefault="00380081" w:rsidP="00E907D1">
            <w:pPr>
              <w:pStyle w:val="TableText1"/>
            </w:pPr>
            <w:r w:rsidRPr="006D49EC">
              <w:t>Used in combination with stimulants</w:t>
            </w:r>
          </w:p>
        </w:tc>
        <w:tc>
          <w:tcPr>
            <w:tcW w:w="536"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41/302</w:t>
            </w:r>
          </w:p>
        </w:tc>
        <w:tc>
          <w:tcPr>
            <w:tcW w:w="649"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7/153</w:t>
            </w:r>
          </w:p>
        </w:tc>
        <w:tc>
          <w:tcPr>
            <w:tcW w:w="784"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rPr>
                <w:b/>
              </w:rPr>
              <w:t>2.97 (1.40, 6.38)</w:t>
            </w:r>
          </w:p>
        </w:tc>
        <w:tc>
          <w:tcPr>
            <w:tcW w:w="551"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t>13.6</w:t>
            </w:r>
          </w:p>
        </w:tc>
        <w:tc>
          <w:tcPr>
            <w:tcW w:w="551" w:type="pct"/>
            <w:gridSpan w:val="3"/>
            <w:tcBorders>
              <w:bottom w:val="double" w:sz="4" w:space="0" w:color="auto"/>
            </w:tcBorders>
            <w:shd w:val="clear" w:color="auto" w:fill="auto"/>
            <w:vAlign w:val="center"/>
          </w:tcPr>
          <w:p w:rsidR="00380081" w:rsidRPr="006D49EC" w:rsidRDefault="00380081" w:rsidP="00E907D1">
            <w:pPr>
              <w:pStyle w:val="TableText1"/>
              <w:jc w:val="center"/>
            </w:pPr>
            <w:r w:rsidRPr="006D49EC">
              <w:t>4.6</w:t>
            </w:r>
          </w:p>
        </w:tc>
        <w:tc>
          <w:tcPr>
            <w:tcW w:w="844" w:type="pct"/>
            <w:gridSpan w:val="2"/>
            <w:tcBorders>
              <w:bottom w:val="double" w:sz="4" w:space="0" w:color="auto"/>
            </w:tcBorders>
            <w:shd w:val="clear" w:color="auto" w:fill="auto"/>
            <w:vAlign w:val="center"/>
          </w:tcPr>
          <w:p w:rsidR="00380081" w:rsidRPr="006D49EC" w:rsidRDefault="00380081" w:rsidP="00E907D1">
            <w:pPr>
              <w:pStyle w:val="TableText1"/>
              <w:jc w:val="center"/>
            </w:pPr>
            <w:r w:rsidRPr="006D49EC">
              <w:rPr>
                <w:b/>
              </w:rPr>
              <w:t>0.09 (0.03, 0.14)</w:t>
            </w:r>
          </w:p>
        </w:tc>
      </w:tr>
    </w:tbl>
    <w:p w:rsidR="00DD48DB" w:rsidRPr="006D49EC" w:rsidRDefault="00DD48DB" w:rsidP="00E907D1">
      <w:pPr>
        <w:pStyle w:val="TableFooter"/>
        <w:widowControl/>
      </w:pPr>
      <w:r w:rsidRPr="006D49EC">
        <w:t>Abbreviations: PBO = placebo; RD = risk difference; RR = risk ratio</w:t>
      </w:r>
    </w:p>
    <w:p w:rsidR="00D96BED" w:rsidRPr="006D49EC" w:rsidRDefault="00D96BED" w:rsidP="00E907D1">
      <w:pPr>
        <w:pStyle w:val="TableFooter"/>
        <w:widowControl/>
      </w:pPr>
      <w:r w:rsidRPr="006D49EC">
        <w:t>*Trial 313 duration of exposure 8 weeks</w:t>
      </w:r>
    </w:p>
    <w:p w:rsidR="00DD48DB" w:rsidRPr="006D49EC" w:rsidRDefault="00DD48DB" w:rsidP="00E907D1">
      <w:pPr>
        <w:pStyle w:val="TableFooter"/>
        <w:widowControl/>
        <w:spacing w:after="120"/>
      </w:pPr>
      <w:r w:rsidRPr="006D49EC">
        <w:t>Source:</w:t>
      </w:r>
      <w:r w:rsidR="00E423DE" w:rsidRPr="006D49EC">
        <w:t xml:space="preserve"> compiled during the evaluation</w:t>
      </w:r>
    </w:p>
    <w:p w:rsidR="00DD48DB" w:rsidRPr="006D49EC" w:rsidRDefault="00DD48DB"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On the basis of </w:t>
      </w:r>
      <w:r w:rsidR="00824B31" w:rsidRPr="006D49EC">
        <w:rPr>
          <w:rFonts w:asciiTheme="minorHAnsi" w:hAnsiTheme="minorHAnsi"/>
        </w:rPr>
        <w:t xml:space="preserve">direct </w:t>
      </w:r>
      <w:r w:rsidRPr="006D49EC">
        <w:rPr>
          <w:rFonts w:asciiTheme="minorHAnsi" w:hAnsiTheme="minorHAnsi"/>
        </w:rPr>
        <w:t xml:space="preserve">comparison evidence presented by the submission, for every 100 patients treated with </w:t>
      </w:r>
      <w:r w:rsidR="00824B31" w:rsidRPr="006D49EC">
        <w:rPr>
          <w:rFonts w:asciiTheme="minorHAnsi" w:hAnsiTheme="minorHAnsi"/>
        </w:rPr>
        <w:t>guanfacine + long-acting stimulant</w:t>
      </w:r>
      <w:r w:rsidRPr="006D49EC">
        <w:rPr>
          <w:rFonts w:asciiTheme="minorHAnsi" w:hAnsiTheme="minorHAnsi"/>
        </w:rPr>
        <w:t xml:space="preserve"> in comparison to </w:t>
      </w:r>
      <w:r w:rsidR="00824B31" w:rsidRPr="006D49EC">
        <w:rPr>
          <w:rFonts w:asciiTheme="minorHAnsi" w:hAnsiTheme="minorHAnsi"/>
        </w:rPr>
        <w:t>placebo + long-acting stimulant</w:t>
      </w:r>
      <w:r w:rsidR="00653969" w:rsidRPr="006D49EC">
        <w:rPr>
          <w:rFonts w:asciiTheme="minorHAnsi" w:hAnsiTheme="minorHAnsi"/>
        </w:rPr>
        <w:t>, over a duration of exposure of 8 weeks.</w:t>
      </w:r>
      <w:r w:rsidRPr="006D49EC">
        <w:rPr>
          <w:rFonts w:asciiTheme="minorHAnsi" w:hAnsiTheme="minorHAnsi"/>
        </w:rPr>
        <w:t>:</w:t>
      </w:r>
    </w:p>
    <w:p w:rsidR="00DD48DB" w:rsidRPr="006D49EC" w:rsidRDefault="00DD48DB" w:rsidP="00E907D1">
      <w:pPr>
        <w:pStyle w:val="ListParagraph"/>
        <w:widowControl/>
        <w:numPr>
          <w:ilvl w:val="0"/>
          <w:numId w:val="1"/>
        </w:numPr>
        <w:spacing w:after="0"/>
        <w:ind w:left="993" w:hanging="284"/>
        <w:contextualSpacing w:val="0"/>
        <w:rPr>
          <w:rFonts w:asciiTheme="minorHAnsi" w:hAnsiTheme="minorHAnsi"/>
        </w:rPr>
      </w:pPr>
      <w:r w:rsidRPr="006D49EC">
        <w:rPr>
          <w:rFonts w:asciiTheme="minorHAnsi" w:hAnsiTheme="minorHAnsi"/>
        </w:rPr>
        <w:t xml:space="preserve">Approximately 16 additional patients would </w:t>
      </w:r>
      <w:r w:rsidR="00824B31" w:rsidRPr="006D49EC">
        <w:rPr>
          <w:rFonts w:asciiTheme="minorHAnsi" w:hAnsiTheme="minorHAnsi"/>
        </w:rPr>
        <w:t>achieve symptomatic remission</w:t>
      </w:r>
      <w:r w:rsidRPr="006D49EC">
        <w:rPr>
          <w:rFonts w:asciiTheme="minorHAnsi" w:hAnsiTheme="minorHAnsi"/>
        </w:rPr>
        <w:t xml:space="preserve"> </w:t>
      </w:r>
    </w:p>
    <w:p w:rsidR="00380081" w:rsidRPr="006D49EC" w:rsidRDefault="00380081" w:rsidP="00E907D1">
      <w:pPr>
        <w:pStyle w:val="ListParagraph"/>
        <w:widowControl/>
        <w:numPr>
          <w:ilvl w:val="0"/>
          <w:numId w:val="1"/>
        </w:numPr>
        <w:spacing w:after="0"/>
        <w:ind w:left="993" w:hanging="284"/>
        <w:contextualSpacing w:val="0"/>
        <w:rPr>
          <w:rFonts w:asciiTheme="minorHAnsi" w:hAnsiTheme="minorHAnsi"/>
        </w:rPr>
      </w:pPr>
      <w:r w:rsidRPr="006D49EC">
        <w:rPr>
          <w:rFonts w:asciiTheme="minorHAnsi" w:hAnsiTheme="minorHAnsi"/>
        </w:rPr>
        <w:t xml:space="preserve">Approximately 11 would be classified as a responder (defined as an ADHD-RS-IV </w:t>
      </w:r>
      <w:r w:rsidR="00653969" w:rsidRPr="006D49EC">
        <w:rPr>
          <w:rFonts w:asciiTheme="minorHAnsi" w:hAnsiTheme="minorHAnsi"/>
        </w:rPr>
        <w:t xml:space="preserve">reduction of </w:t>
      </w:r>
      <w:r w:rsidRPr="006D49EC">
        <w:rPr>
          <w:rFonts w:asciiTheme="minorHAnsi" w:hAnsiTheme="minorHAnsi"/>
        </w:rPr>
        <w:t xml:space="preserve">≥25%) </w:t>
      </w:r>
    </w:p>
    <w:p w:rsidR="00DD48DB" w:rsidRPr="006D49EC" w:rsidRDefault="00824B31" w:rsidP="00E907D1">
      <w:pPr>
        <w:pStyle w:val="ListParagraph"/>
        <w:widowControl/>
        <w:numPr>
          <w:ilvl w:val="0"/>
          <w:numId w:val="1"/>
        </w:numPr>
        <w:spacing w:after="0"/>
        <w:ind w:left="993" w:hanging="284"/>
        <w:contextualSpacing w:val="0"/>
        <w:rPr>
          <w:rFonts w:asciiTheme="minorHAnsi" w:hAnsiTheme="minorHAnsi"/>
        </w:rPr>
      </w:pPr>
      <w:r w:rsidRPr="006D49EC">
        <w:rPr>
          <w:rFonts w:asciiTheme="minorHAnsi" w:hAnsiTheme="minorHAnsi"/>
        </w:rPr>
        <w:t xml:space="preserve">Approximately a 4.70 point </w:t>
      </w:r>
      <w:r w:rsidR="00EA0898" w:rsidRPr="006D49EC">
        <w:rPr>
          <w:rFonts w:asciiTheme="minorHAnsi" w:hAnsiTheme="minorHAnsi"/>
        </w:rPr>
        <w:t xml:space="preserve">greater </w:t>
      </w:r>
      <w:r w:rsidRPr="006D49EC">
        <w:rPr>
          <w:rFonts w:asciiTheme="minorHAnsi" w:hAnsiTheme="minorHAnsi"/>
        </w:rPr>
        <w:t xml:space="preserve">reduction in the ADHD-RS-IV total score </w:t>
      </w:r>
      <w:r w:rsidR="00EA0898" w:rsidRPr="006D49EC">
        <w:rPr>
          <w:rFonts w:asciiTheme="minorHAnsi" w:hAnsiTheme="minorHAnsi"/>
        </w:rPr>
        <w:t>was achieved</w:t>
      </w:r>
      <w:r w:rsidR="00D514F8" w:rsidRPr="006D49EC">
        <w:rPr>
          <w:rFonts w:asciiTheme="minorHAnsi" w:hAnsiTheme="minorHAnsi"/>
        </w:rPr>
        <w:t>.</w:t>
      </w:r>
      <w:r w:rsidR="00EA0898" w:rsidRPr="006D49EC">
        <w:rPr>
          <w:rFonts w:asciiTheme="minorHAnsi" w:hAnsiTheme="minorHAnsi"/>
        </w:rPr>
        <w:t xml:space="preserve"> Note, </w:t>
      </w:r>
      <w:r w:rsidR="00C34E37" w:rsidRPr="006D49EC">
        <w:rPr>
          <w:rFonts w:asciiTheme="minorHAnsi" w:hAnsiTheme="minorHAnsi"/>
        </w:rPr>
        <w:t>this may not represent</w:t>
      </w:r>
      <w:r w:rsidR="00EA0898" w:rsidRPr="006D49EC">
        <w:rPr>
          <w:rFonts w:asciiTheme="minorHAnsi" w:hAnsiTheme="minorHAnsi"/>
        </w:rPr>
        <w:t xml:space="preserve"> a clinically significant change in </w:t>
      </w:r>
      <w:r w:rsidR="00F65F04" w:rsidRPr="006D49EC">
        <w:rPr>
          <w:rFonts w:asciiTheme="minorHAnsi" w:hAnsiTheme="minorHAnsi"/>
        </w:rPr>
        <w:t>ADHD</w:t>
      </w:r>
      <w:r w:rsidR="00F65F04" w:rsidRPr="006D49EC">
        <w:rPr>
          <w:rFonts w:asciiTheme="minorHAnsi" w:hAnsiTheme="minorHAnsi"/>
        </w:rPr>
        <w:noBreakHyphen/>
        <w:t>RS</w:t>
      </w:r>
      <w:r w:rsidR="00F65F04" w:rsidRPr="006D49EC">
        <w:rPr>
          <w:rFonts w:asciiTheme="minorHAnsi" w:hAnsiTheme="minorHAnsi"/>
        </w:rPr>
        <w:noBreakHyphen/>
      </w:r>
      <w:r w:rsidR="00EA0898" w:rsidRPr="006D49EC">
        <w:rPr>
          <w:rFonts w:asciiTheme="minorHAnsi" w:hAnsiTheme="minorHAnsi"/>
        </w:rPr>
        <w:t>IV total score.</w:t>
      </w:r>
    </w:p>
    <w:p w:rsidR="00D366BE" w:rsidRPr="006D49EC" w:rsidRDefault="00DD48DB" w:rsidP="00E907D1">
      <w:pPr>
        <w:pStyle w:val="ListParagraph"/>
        <w:widowControl/>
        <w:numPr>
          <w:ilvl w:val="0"/>
          <w:numId w:val="1"/>
        </w:numPr>
        <w:ind w:left="993" w:hanging="284"/>
        <w:contextualSpacing w:val="0"/>
      </w:pPr>
      <w:r w:rsidRPr="006D49EC">
        <w:rPr>
          <w:rFonts w:asciiTheme="minorHAnsi" w:hAnsiTheme="minorHAnsi"/>
        </w:rPr>
        <w:t xml:space="preserve">Approximately </w:t>
      </w:r>
      <w:r w:rsidR="00824B31" w:rsidRPr="006D49EC">
        <w:rPr>
          <w:rFonts w:asciiTheme="minorHAnsi" w:hAnsiTheme="minorHAnsi"/>
        </w:rPr>
        <w:t>6</w:t>
      </w:r>
      <w:r w:rsidRPr="006D49EC">
        <w:rPr>
          <w:rFonts w:asciiTheme="minorHAnsi" w:hAnsiTheme="minorHAnsi"/>
        </w:rPr>
        <w:t xml:space="preserve"> additional </w:t>
      </w:r>
      <w:r w:rsidR="00824B31" w:rsidRPr="006D49EC">
        <w:rPr>
          <w:rFonts w:asciiTheme="minorHAnsi" w:hAnsiTheme="minorHAnsi"/>
        </w:rPr>
        <w:t>patients would have abdominal pain (upper) and 9 additional patients would have somnolence</w:t>
      </w:r>
      <w:bookmarkStart w:id="32" w:name="_Toc476306891"/>
      <w:r w:rsidR="00D514F8" w:rsidRPr="006D49EC">
        <w:rPr>
          <w:rFonts w:asciiTheme="minorHAnsi" w:hAnsiTheme="minorHAnsi"/>
        </w:rPr>
        <w:t>.</w:t>
      </w:r>
    </w:p>
    <w:p w:rsidR="00ED75E6" w:rsidRPr="006D49EC" w:rsidRDefault="00ED75E6" w:rsidP="00E907D1">
      <w:pPr>
        <w:pStyle w:val="Caption"/>
      </w:pPr>
      <w:r w:rsidRPr="006D49EC">
        <w:t>Table 8: Summary of comparative benefits and harms for guanfacine and atomoxetine</w:t>
      </w:r>
      <w:r w:rsidR="00D96BED" w:rsidRPr="006D49EC">
        <w:t>*</w:t>
      </w:r>
    </w:p>
    <w:tbl>
      <w:tblPr>
        <w:tblStyle w:val="TableGrid"/>
        <w:tblW w:w="4995" w:type="pct"/>
        <w:tblInd w:w="28" w:type="dxa"/>
        <w:tblLayout w:type="fixed"/>
        <w:tblCellMar>
          <w:left w:w="28" w:type="dxa"/>
          <w:right w:w="28" w:type="dxa"/>
        </w:tblCellMar>
        <w:tblLook w:val="04A0" w:firstRow="1" w:lastRow="0" w:firstColumn="1" w:lastColumn="0" w:noHBand="0" w:noVBand="1"/>
        <w:tblCaption w:val="Summary of comparative benefits and harms"/>
      </w:tblPr>
      <w:tblGrid>
        <w:gridCol w:w="1972"/>
        <w:gridCol w:w="497"/>
        <w:gridCol w:w="472"/>
        <w:gridCol w:w="103"/>
        <w:gridCol w:w="397"/>
        <w:gridCol w:w="677"/>
        <w:gridCol w:w="307"/>
        <w:gridCol w:w="826"/>
        <w:gridCol w:w="145"/>
        <w:gridCol w:w="827"/>
        <w:gridCol w:w="243"/>
        <w:gridCol w:w="722"/>
        <w:gridCol w:w="348"/>
        <w:gridCol w:w="1537"/>
      </w:tblGrid>
      <w:tr w:rsidR="00ED75E6" w:rsidRPr="006D49EC" w:rsidTr="0052731B">
        <w:trPr>
          <w:trHeight w:val="150"/>
          <w:tblHeader/>
        </w:trPr>
        <w:tc>
          <w:tcPr>
            <w:tcW w:w="5000" w:type="pct"/>
            <w:gridSpan w:val="14"/>
            <w:shd w:val="clear" w:color="auto" w:fill="auto"/>
            <w:vAlign w:val="center"/>
          </w:tcPr>
          <w:p w:rsidR="00ED75E6" w:rsidRPr="006D49EC" w:rsidRDefault="00ED75E6" w:rsidP="00E907D1">
            <w:pPr>
              <w:pStyle w:val="TableText1"/>
              <w:rPr>
                <w:b/>
                <w:u w:val="single"/>
              </w:rPr>
            </w:pPr>
            <w:r w:rsidRPr="006D49EC">
              <w:rPr>
                <w:b/>
                <w:u w:val="single"/>
              </w:rPr>
              <w:t>Benefits</w:t>
            </w:r>
          </w:p>
        </w:tc>
      </w:tr>
      <w:tr w:rsidR="00ED75E6" w:rsidRPr="006D49EC" w:rsidTr="0034553D">
        <w:trPr>
          <w:trHeight w:val="150"/>
        </w:trPr>
        <w:tc>
          <w:tcPr>
            <w:tcW w:w="5000" w:type="pct"/>
            <w:gridSpan w:val="14"/>
            <w:shd w:val="clear" w:color="auto" w:fill="auto"/>
            <w:vAlign w:val="center"/>
          </w:tcPr>
          <w:p w:rsidR="00ED75E6" w:rsidRPr="006D49EC" w:rsidRDefault="00ED75E6" w:rsidP="00E907D1">
            <w:pPr>
              <w:pStyle w:val="TableText1"/>
            </w:pPr>
            <w:r w:rsidRPr="006D49EC">
              <w:rPr>
                <w:b/>
              </w:rPr>
              <w:t>Symptomatic remission (ADHD-RS-IV total score ≤18)</w:t>
            </w:r>
          </w:p>
        </w:tc>
      </w:tr>
      <w:tr w:rsidR="00ED75E6" w:rsidRPr="006D49EC" w:rsidTr="00ED75E6">
        <w:trPr>
          <w:trHeight w:val="150"/>
        </w:trPr>
        <w:tc>
          <w:tcPr>
            <w:tcW w:w="1086" w:type="pct"/>
            <w:vMerge w:val="restart"/>
            <w:shd w:val="clear" w:color="auto" w:fill="auto"/>
            <w:vAlign w:val="center"/>
          </w:tcPr>
          <w:p w:rsidR="00ED75E6" w:rsidRPr="006D49EC" w:rsidRDefault="00ED75E6" w:rsidP="00E907D1">
            <w:pPr>
              <w:pStyle w:val="TableText1"/>
              <w:rPr>
                <w:b/>
              </w:rPr>
            </w:pPr>
            <w:r w:rsidRPr="006D49EC">
              <w:rPr>
                <w:b/>
              </w:rPr>
              <w:t>Trial</w:t>
            </w:r>
          </w:p>
        </w:tc>
        <w:tc>
          <w:tcPr>
            <w:tcW w:w="591" w:type="pct"/>
            <w:gridSpan w:val="3"/>
            <w:vMerge w:val="restart"/>
            <w:shd w:val="clear" w:color="auto" w:fill="auto"/>
            <w:vAlign w:val="center"/>
          </w:tcPr>
          <w:p w:rsidR="00ED75E6" w:rsidRPr="006D49EC" w:rsidRDefault="00ED75E6" w:rsidP="00E907D1">
            <w:pPr>
              <w:pStyle w:val="TableText1"/>
              <w:jc w:val="center"/>
              <w:rPr>
                <w:b/>
              </w:rPr>
            </w:pPr>
            <w:r w:rsidRPr="006D49EC">
              <w:rPr>
                <w:b/>
              </w:rPr>
              <w:t>Guanfacine</w:t>
            </w:r>
          </w:p>
        </w:tc>
        <w:tc>
          <w:tcPr>
            <w:tcW w:w="592" w:type="pct"/>
            <w:gridSpan w:val="2"/>
            <w:vMerge w:val="restart"/>
            <w:shd w:val="clear" w:color="auto" w:fill="auto"/>
            <w:vAlign w:val="center"/>
          </w:tcPr>
          <w:p w:rsidR="00ED75E6" w:rsidRPr="006D49EC" w:rsidRDefault="00ED75E6" w:rsidP="00E907D1">
            <w:pPr>
              <w:pStyle w:val="TableText1"/>
              <w:jc w:val="center"/>
              <w:rPr>
                <w:b/>
              </w:rPr>
            </w:pPr>
            <w:r w:rsidRPr="006D49EC">
              <w:rPr>
                <w:b/>
              </w:rPr>
              <w:t>Atomoxetine</w:t>
            </w:r>
          </w:p>
        </w:tc>
        <w:tc>
          <w:tcPr>
            <w:tcW w:w="704" w:type="pct"/>
            <w:gridSpan w:val="3"/>
            <w:vMerge w:val="restart"/>
            <w:shd w:val="clear" w:color="auto" w:fill="auto"/>
            <w:vAlign w:val="center"/>
          </w:tcPr>
          <w:p w:rsidR="00ED75E6" w:rsidRPr="006D49EC" w:rsidRDefault="00ED75E6" w:rsidP="00E907D1">
            <w:pPr>
              <w:pStyle w:val="TableText1"/>
              <w:jc w:val="center"/>
              <w:rPr>
                <w:b/>
              </w:rPr>
            </w:pPr>
            <w:r w:rsidRPr="006D49EC">
              <w:rPr>
                <w:b/>
              </w:rPr>
              <w:t>RR (95% CI)</w:t>
            </w:r>
          </w:p>
        </w:tc>
        <w:tc>
          <w:tcPr>
            <w:tcW w:w="1179" w:type="pct"/>
            <w:gridSpan w:val="4"/>
            <w:shd w:val="clear" w:color="auto" w:fill="auto"/>
            <w:vAlign w:val="center"/>
          </w:tcPr>
          <w:p w:rsidR="00ED75E6" w:rsidRPr="006D49EC" w:rsidRDefault="00ED75E6" w:rsidP="00E907D1">
            <w:pPr>
              <w:pStyle w:val="TableText1"/>
              <w:jc w:val="center"/>
              <w:rPr>
                <w:b/>
              </w:rPr>
            </w:pPr>
            <w:r w:rsidRPr="006D49EC">
              <w:rPr>
                <w:b/>
              </w:rPr>
              <w:t>Events/100 patients*</w:t>
            </w:r>
          </w:p>
        </w:tc>
        <w:tc>
          <w:tcPr>
            <w:tcW w:w="848" w:type="pct"/>
            <w:vMerge w:val="restart"/>
            <w:shd w:val="clear" w:color="auto" w:fill="auto"/>
            <w:vAlign w:val="center"/>
          </w:tcPr>
          <w:p w:rsidR="00ED75E6" w:rsidRPr="006D49EC" w:rsidRDefault="00ED75E6" w:rsidP="00E907D1">
            <w:pPr>
              <w:pStyle w:val="TableText1"/>
              <w:jc w:val="center"/>
              <w:rPr>
                <w:b/>
              </w:rPr>
            </w:pPr>
            <w:r w:rsidRPr="006D49EC">
              <w:rPr>
                <w:b/>
              </w:rPr>
              <w:t>RD (95% CI)</w:t>
            </w:r>
          </w:p>
        </w:tc>
      </w:tr>
      <w:tr w:rsidR="00ED75E6" w:rsidRPr="006D49EC" w:rsidTr="00ED75E6">
        <w:trPr>
          <w:trHeight w:val="315"/>
        </w:trPr>
        <w:tc>
          <w:tcPr>
            <w:tcW w:w="1086" w:type="pct"/>
            <w:vMerge/>
            <w:shd w:val="clear" w:color="auto" w:fill="auto"/>
            <w:vAlign w:val="center"/>
          </w:tcPr>
          <w:p w:rsidR="00ED75E6" w:rsidRPr="006D49EC" w:rsidRDefault="00ED75E6" w:rsidP="00E907D1">
            <w:pPr>
              <w:pStyle w:val="TableText1"/>
            </w:pPr>
          </w:p>
        </w:tc>
        <w:tc>
          <w:tcPr>
            <w:tcW w:w="591" w:type="pct"/>
            <w:gridSpan w:val="3"/>
            <w:vMerge/>
            <w:shd w:val="clear" w:color="auto" w:fill="auto"/>
            <w:vAlign w:val="center"/>
          </w:tcPr>
          <w:p w:rsidR="00ED75E6" w:rsidRPr="006D49EC" w:rsidRDefault="00ED75E6" w:rsidP="00E907D1">
            <w:pPr>
              <w:pStyle w:val="TableText1"/>
              <w:jc w:val="center"/>
            </w:pPr>
          </w:p>
        </w:tc>
        <w:tc>
          <w:tcPr>
            <w:tcW w:w="592" w:type="pct"/>
            <w:gridSpan w:val="2"/>
            <w:vMerge/>
            <w:shd w:val="clear" w:color="auto" w:fill="auto"/>
            <w:vAlign w:val="center"/>
          </w:tcPr>
          <w:p w:rsidR="00ED75E6" w:rsidRPr="006D49EC" w:rsidRDefault="00ED75E6" w:rsidP="00E907D1">
            <w:pPr>
              <w:pStyle w:val="TableText1"/>
              <w:jc w:val="center"/>
            </w:pPr>
          </w:p>
        </w:tc>
        <w:tc>
          <w:tcPr>
            <w:tcW w:w="704" w:type="pct"/>
            <w:gridSpan w:val="3"/>
            <w:vMerge/>
            <w:shd w:val="clear" w:color="auto" w:fill="auto"/>
            <w:vAlign w:val="center"/>
          </w:tcPr>
          <w:p w:rsidR="00ED75E6" w:rsidRPr="006D49EC" w:rsidRDefault="00ED75E6" w:rsidP="00E907D1">
            <w:pPr>
              <w:pStyle w:val="TableText1"/>
            </w:pPr>
          </w:p>
        </w:tc>
        <w:tc>
          <w:tcPr>
            <w:tcW w:w="590" w:type="pct"/>
            <w:gridSpan w:val="2"/>
            <w:shd w:val="clear" w:color="auto" w:fill="auto"/>
            <w:vAlign w:val="center"/>
          </w:tcPr>
          <w:p w:rsidR="00ED75E6" w:rsidRPr="006D49EC" w:rsidRDefault="00ED75E6" w:rsidP="00E907D1">
            <w:pPr>
              <w:pStyle w:val="TableText1"/>
              <w:jc w:val="center"/>
              <w:rPr>
                <w:b/>
              </w:rPr>
            </w:pPr>
            <w:r w:rsidRPr="006D49EC">
              <w:rPr>
                <w:b/>
              </w:rPr>
              <w:t>Guanfacine</w:t>
            </w:r>
          </w:p>
        </w:tc>
        <w:tc>
          <w:tcPr>
            <w:tcW w:w="590" w:type="pct"/>
            <w:gridSpan w:val="2"/>
            <w:shd w:val="clear" w:color="auto" w:fill="auto"/>
            <w:vAlign w:val="center"/>
          </w:tcPr>
          <w:p w:rsidR="00ED75E6" w:rsidRPr="006D49EC" w:rsidRDefault="00ED75E6" w:rsidP="00E907D1">
            <w:pPr>
              <w:pStyle w:val="TableText1"/>
              <w:jc w:val="center"/>
              <w:rPr>
                <w:b/>
              </w:rPr>
            </w:pPr>
            <w:r w:rsidRPr="006D49EC">
              <w:rPr>
                <w:b/>
              </w:rPr>
              <w:t xml:space="preserve">Atomoxetine </w:t>
            </w:r>
          </w:p>
        </w:tc>
        <w:tc>
          <w:tcPr>
            <w:tcW w:w="848" w:type="pct"/>
            <w:vMerge/>
            <w:shd w:val="clear" w:color="auto" w:fill="auto"/>
            <w:vAlign w:val="center"/>
          </w:tcPr>
          <w:p w:rsidR="00ED75E6" w:rsidRPr="006D49EC" w:rsidRDefault="00ED75E6" w:rsidP="00E907D1">
            <w:pPr>
              <w:pStyle w:val="TableText1"/>
            </w:pPr>
          </w:p>
        </w:tc>
      </w:tr>
      <w:tr w:rsidR="00ED75E6" w:rsidRPr="006D49EC" w:rsidTr="00ED75E6">
        <w:tc>
          <w:tcPr>
            <w:tcW w:w="1086" w:type="pct"/>
            <w:tcBorders>
              <w:bottom w:val="single" w:sz="4" w:space="0" w:color="auto"/>
            </w:tcBorders>
            <w:shd w:val="clear" w:color="auto" w:fill="auto"/>
            <w:vAlign w:val="center"/>
          </w:tcPr>
          <w:p w:rsidR="00ED75E6" w:rsidRPr="006D49EC" w:rsidRDefault="00ED75E6" w:rsidP="00E907D1">
            <w:pPr>
              <w:pStyle w:val="TableText1"/>
            </w:pPr>
            <w:r w:rsidRPr="006D49EC">
              <w:t>Trial 316</w:t>
            </w:r>
          </w:p>
        </w:tc>
        <w:tc>
          <w:tcPr>
            <w:tcW w:w="591" w:type="pct"/>
            <w:gridSpan w:val="3"/>
            <w:tcBorders>
              <w:bottom w:val="single" w:sz="4" w:space="0" w:color="auto"/>
            </w:tcBorders>
            <w:shd w:val="clear" w:color="auto" w:fill="auto"/>
            <w:vAlign w:val="center"/>
          </w:tcPr>
          <w:p w:rsidR="00ED75E6" w:rsidRPr="006D49EC" w:rsidRDefault="00ED75E6" w:rsidP="00E907D1">
            <w:pPr>
              <w:pStyle w:val="TableText1"/>
              <w:jc w:val="center"/>
            </w:pPr>
            <w:r w:rsidRPr="006D49EC">
              <w:t>57/112</w:t>
            </w:r>
          </w:p>
        </w:tc>
        <w:tc>
          <w:tcPr>
            <w:tcW w:w="592"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38/112</w:t>
            </w:r>
          </w:p>
        </w:tc>
        <w:tc>
          <w:tcPr>
            <w:tcW w:w="704" w:type="pct"/>
            <w:gridSpan w:val="3"/>
            <w:tcBorders>
              <w:bottom w:val="single" w:sz="4" w:space="0" w:color="auto"/>
            </w:tcBorders>
            <w:shd w:val="clear" w:color="auto" w:fill="auto"/>
            <w:vAlign w:val="center"/>
          </w:tcPr>
          <w:p w:rsidR="00ED75E6" w:rsidRPr="006D49EC" w:rsidRDefault="00ED75E6" w:rsidP="00E907D1">
            <w:pPr>
              <w:pStyle w:val="TableText1"/>
              <w:jc w:val="center"/>
            </w:pPr>
            <w:r w:rsidRPr="006D49EC">
              <w:rPr>
                <w:b/>
              </w:rPr>
              <w:t>1.50 (1.09, 2.06)</w:t>
            </w:r>
          </w:p>
        </w:tc>
        <w:tc>
          <w:tcPr>
            <w:tcW w:w="590"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50.9</w:t>
            </w:r>
          </w:p>
        </w:tc>
        <w:tc>
          <w:tcPr>
            <w:tcW w:w="590"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33.9</w:t>
            </w:r>
          </w:p>
        </w:tc>
        <w:tc>
          <w:tcPr>
            <w:tcW w:w="848" w:type="pct"/>
            <w:tcBorders>
              <w:bottom w:val="single" w:sz="4" w:space="0" w:color="auto"/>
            </w:tcBorders>
            <w:shd w:val="clear" w:color="auto" w:fill="auto"/>
            <w:vAlign w:val="center"/>
          </w:tcPr>
          <w:p w:rsidR="00ED75E6" w:rsidRPr="006D49EC" w:rsidRDefault="00ED75E6" w:rsidP="00E907D1">
            <w:pPr>
              <w:pStyle w:val="TableText1"/>
              <w:jc w:val="center"/>
            </w:pPr>
            <w:r w:rsidRPr="006D49EC">
              <w:rPr>
                <w:b/>
              </w:rPr>
              <w:t>0.17 (0.04, 0.30)</w:t>
            </w:r>
          </w:p>
        </w:tc>
      </w:tr>
      <w:tr w:rsidR="00ED75E6" w:rsidRPr="006D49EC" w:rsidTr="0034553D">
        <w:tc>
          <w:tcPr>
            <w:tcW w:w="5000" w:type="pct"/>
            <w:gridSpan w:val="14"/>
            <w:shd w:val="clear" w:color="auto" w:fill="auto"/>
          </w:tcPr>
          <w:p w:rsidR="00ED75E6" w:rsidRPr="006D49EC" w:rsidRDefault="00ED75E6" w:rsidP="00E907D1">
            <w:pPr>
              <w:pStyle w:val="TableText1"/>
              <w:rPr>
                <w:b/>
              </w:rPr>
            </w:pPr>
            <w:r w:rsidRPr="006D49EC">
              <w:rPr>
                <w:b/>
              </w:rPr>
              <w:t>Responder (reduction in ADHD-RS-IV of ≥30% and CGI-I ≤2)</w:t>
            </w:r>
          </w:p>
        </w:tc>
      </w:tr>
      <w:tr w:rsidR="00ED75E6" w:rsidRPr="006D49EC" w:rsidTr="00ED75E6">
        <w:tc>
          <w:tcPr>
            <w:tcW w:w="1086" w:type="pct"/>
            <w:tcBorders>
              <w:bottom w:val="single" w:sz="4" w:space="0" w:color="auto"/>
            </w:tcBorders>
            <w:shd w:val="clear" w:color="auto" w:fill="auto"/>
            <w:vAlign w:val="center"/>
          </w:tcPr>
          <w:p w:rsidR="00ED75E6" w:rsidRPr="006D49EC" w:rsidRDefault="00ED75E6" w:rsidP="00E907D1">
            <w:pPr>
              <w:pStyle w:val="TableText1"/>
            </w:pPr>
            <w:r w:rsidRPr="006D49EC">
              <w:t>Trial 316</w:t>
            </w:r>
          </w:p>
        </w:tc>
        <w:tc>
          <w:tcPr>
            <w:tcW w:w="591" w:type="pct"/>
            <w:gridSpan w:val="3"/>
            <w:tcBorders>
              <w:bottom w:val="single" w:sz="4" w:space="0" w:color="auto"/>
            </w:tcBorders>
            <w:shd w:val="clear" w:color="auto" w:fill="auto"/>
            <w:vAlign w:val="center"/>
          </w:tcPr>
          <w:p w:rsidR="00ED75E6" w:rsidRPr="006D49EC" w:rsidRDefault="00ED75E6" w:rsidP="00E907D1">
            <w:pPr>
              <w:pStyle w:val="TableText1"/>
              <w:jc w:val="center"/>
            </w:pPr>
            <w:r w:rsidRPr="006D49EC">
              <w:t>72/112</w:t>
            </w:r>
          </w:p>
        </w:tc>
        <w:tc>
          <w:tcPr>
            <w:tcW w:w="592"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62/112</w:t>
            </w:r>
          </w:p>
        </w:tc>
        <w:tc>
          <w:tcPr>
            <w:tcW w:w="704" w:type="pct"/>
            <w:gridSpan w:val="3"/>
            <w:tcBorders>
              <w:bottom w:val="single" w:sz="4" w:space="0" w:color="auto"/>
            </w:tcBorders>
            <w:shd w:val="clear" w:color="auto" w:fill="auto"/>
            <w:vAlign w:val="center"/>
          </w:tcPr>
          <w:p w:rsidR="00ED75E6" w:rsidRPr="00772E2E" w:rsidRDefault="00ED75E6" w:rsidP="00E907D1">
            <w:pPr>
              <w:widowControl/>
              <w:jc w:val="center"/>
              <w:rPr>
                <w:rFonts w:ascii="Arial Narrow" w:hAnsi="Arial Narrow"/>
                <w:sz w:val="20"/>
              </w:rPr>
            </w:pPr>
            <w:r w:rsidRPr="00772E2E">
              <w:rPr>
                <w:rFonts w:ascii="Arial Narrow" w:hAnsi="Arial Narrow"/>
                <w:sz w:val="20"/>
              </w:rPr>
              <w:t>1.16 (0.94, 1.44)</w:t>
            </w:r>
          </w:p>
        </w:tc>
        <w:tc>
          <w:tcPr>
            <w:tcW w:w="590"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64.3</w:t>
            </w:r>
          </w:p>
        </w:tc>
        <w:tc>
          <w:tcPr>
            <w:tcW w:w="590"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55.4</w:t>
            </w:r>
          </w:p>
        </w:tc>
        <w:tc>
          <w:tcPr>
            <w:tcW w:w="848" w:type="pct"/>
            <w:tcBorders>
              <w:bottom w:val="single" w:sz="4" w:space="0" w:color="auto"/>
            </w:tcBorders>
            <w:shd w:val="clear" w:color="auto" w:fill="auto"/>
            <w:vAlign w:val="center"/>
          </w:tcPr>
          <w:p w:rsidR="00ED75E6" w:rsidRPr="006D49EC" w:rsidRDefault="00ED75E6" w:rsidP="00E907D1">
            <w:pPr>
              <w:pStyle w:val="TableText1"/>
              <w:jc w:val="center"/>
            </w:pPr>
            <w:r w:rsidRPr="006D49EC">
              <w:t>0.09 (-0.04, 0.22)</w:t>
            </w:r>
          </w:p>
        </w:tc>
      </w:tr>
      <w:tr w:rsidR="00ED75E6" w:rsidRPr="006D49EC" w:rsidTr="0034553D">
        <w:tc>
          <w:tcPr>
            <w:tcW w:w="5000" w:type="pct"/>
            <w:gridSpan w:val="14"/>
            <w:shd w:val="clear" w:color="auto" w:fill="auto"/>
            <w:vAlign w:val="center"/>
          </w:tcPr>
          <w:p w:rsidR="00ED75E6" w:rsidRPr="006D49EC" w:rsidRDefault="00ED75E6" w:rsidP="00E907D1">
            <w:pPr>
              <w:pStyle w:val="TableText1"/>
              <w:rPr>
                <w:b/>
              </w:rPr>
            </w:pPr>
            <w:r w:rsidRPr="006D49EC">
              <w:rPr>
                <w:b/>
              </w:rPr>
              <w:t>Mean change in ADHD-RS-IV scores</w:t>
            </w:r>
          </w:p>
        </w:tc>
      </w:tr>
      <w:tr w:rsidR="00ED75E6" w:rsidRPr="006D49EC" w:rsidTr="00ED75E6">
        <w:trPr>
          <w:trHeight w:val="225"/>
        </w:trPr>
        <w:tc>
          <w:tcPr>
            <w:tcW w:w="1086" w:type="pct"/>
            <w:vMerge w:val="restart"/>
            <w:shd w:val="clear" w:color="auto" w:fill="auto"/>
            <w:vAlign w:val="center"/>
          </w:tcPr>
          <w:p w:rsidR="00ED75E6" w:rsidRPr="006D49EC" w:rsidRDefault="00ED75E6" w:rsidP="00E907D1">
            <w:pPr>
              <w:pStyle w:val="TableText1"/>
              <w:rPr>
                <w:b/>
              </w:rPr>
            </w:pPr>
            <w:r w:rsidRPr="006D49EC">
              <w:rPr>
                <w:b/>
              </w:rPr>
              <w:t>Trial</w:t>
            </w:r>
          </w:p>
        </w:tc>
        <w:tc>
          <w:tcPr>
            <w:tcW w:w="1352" w:type="pct"/>
            <w:gridSpan w:val="6"/>
            <w:shd w:val="clear" w:color="auto" w:fill="auto"/>
            <w:vAlign w:val="center"/>
          </w:tcPr>
          <w:p w:rsidR="00ED75E6" w:rsidRPr="006D49EC" w:rsidRDefault="00ED75E6" w:rsidP="00E907D1">
            <w:pPr>
              <w:pStyle w:val="TableText1"/>
              <w:jc w:val="center"/>
              <w:rPr>
                <w:b/>
              </w:rPr>
            </w:pPr>
            <w:r w:rsidRPr="006D49EC">
              <w:rPr>
                <w:b/>
              </w:rPr>
              <w:t xml:space="preserve">Guanfacine </w:t>
            </w:r>
          </w:p>
        </w:tc>
        <w:tc>
          <w:tcPr>
            <w:tcW w:w="1523" w:type="pct"/>
            <w:gridSpan w:val="5"/>
            <w:shd w:val="clear" w:color="auto" w:fill="auto"/>
            <w:vAlign w:val="center"/>
          </w:tcPr>
          <w:p w:rsidR="00ED75E6" w:rsidRPr="006D49EC" w:rsidRDefault="00ED75E6" w:rsidP="00E907D1">
            <w:pPr>
              <w:pStyle w:val="TableText1"/>
              <w:jc w:val="center"/>
              <w:rPr>
                <w:b/>
              </w:rPr>
            </w:pPr>
            <w:r w:rsidRPr="006D49EC">
              <w:rPr>
                <w:b/>
              </w:rPr>
              <w:t>Atomoxetine</w:t>
            </w:r>
          </w:p>
        </w:tc>
        <w:tc>
          <w:tcPr>
            <w:tcW w:w="1040" w:type="pct"/>
            <w:gridSpan w:val="2"/>
            <w:vMerge w:val="restart"/>
            <w:shd w:val="clear" w:color="auto" w:fill="auto"/>
            <w:vAlign w:val="center"/>
          </w:tcPr>
          <w:p w:rsidR="00ED75E6" w:rsidRPr="006D49EC" w:rsidRDefault="00ED75E6" w:rsidP="00E907D1">
            <w:pPr>
              <w:pStyle w:val="TableText1"/>
              <w:jc w:val="center"/>
            </w:pPr>
            <w:r w:rsidRPr="006D49EC">
              <w:rPr>
                <w:b/>
              </w:rPr>
              <w:t xml:space="preserve">Mean difference* </w:t>
            </w:r>
            <w:r w:rsidRPr="006D49EC">
              <w:rPr>
                <w:b/>
              </w:rPr>
              <w:br/>
              <w:t>(95% CI)</w:t>
            </w:r>
          </w:p>
        </w:tc>
      </w:tr>
      <w:tr w:rsidR="00ED75E6" w:rsidRPr="006D49EC" w:rsidTr="00ED75E6">
        <w:trPr>
          <w:trHeight w:val="225"/>
        </w:trPr>
        <w:tc>
          <w:tcPr>
            <w:tcW w:w="1086" w:type="pct"/>
            <w:vMerge/>
            <w:shd w:val="clear" w:color="auto" w:fill="auto"/>
            <w:vAlign w:val="center"/>
          </w:tcPr>
          <w:p w:rsidR="00ED75E6" w:rsidRPr="006D49EC" w:rsidRDefault="00ED75E6" w:rsidP="00E907D1">
            <w:pPr>
              <w:pStyle w:val="TableText1"/>
            </w:pPr>
          </w:p>
        </w:tc>
        <w:tc>
          <w:tcPr>
            <w:tcW w:w="274" w:type="pct"/>
            <w:shd w:val="clear" w:color="auto" w:fill="auto"/>
            <w:vAlign w:val="center"/>
          </w:tcPr>
          <w:p w:rsidR="00ED75E6" w:rsidRPr="006D49EC" w:rsidRDefault="00ED75E6" w:rsidP="00E907D1">
            <w:pPr>
              <w:pStyle w:val="TableText1"/>
              <w:jc w:val="center"/>
              <w:rPr>
                <w:b/>
              </w:rPr>
            </w:pPr>
            <w:r w:rsidRPr="006D49EC">
              <w:rPr>
                <w:b/>
              </w:rPr>
              <w:t>n</w:t>
            </w:r>
          </w:p>
        </w:tc>
        <w:tc>
          <w:tcPr>
            <w:tcW w:w="536" w:type="pct"/>
            <w:gridSpan w:val="3"/>
            <w:shd w:val="clear" w:color="auto" w:fill="auto"/>
            <w:vAlign w:val="center"/>
          </w:tcPr>
          <w:p w:rsidR="00ED75E6" w:rsidRPr="006D49EC" w:rsidRDefault="00ED75E6" w:rsidP="00E907D1">
            <w:pPr>
              <w:pStyle w:val="TableText1"/>
              <w:jc w:val="center"/>
              <w:rPr>
                <w:b/>
              </w:rPr>
            </w:pPr>
            <w:r w:rsidRPr="006D49EC">
              <w:rPr>
                <w:b/>
              </w:rPr>
              <w:t xml:space="preserve">Mean ∆ </w:t>
            </w:r>
          </w:p>
        </w:tc>
        <w:tc>
          <w:tcPr>
            <w:tcW w:w="542" w:type="pct"/>
            <w:gridSpan w:val="2"/>
            <w:shd w:val="clear" w:color="auto" w:fill="auto"/>
            <w:vAlign w:val="center"/>
          </w:tcPr>
          <w:p w:rsidR="00ED75E6" w:rsidRPr="006D49EC" w:rsidRDefault="00ED75E6" w:rsidP="00E907D1">
            <w:pPr>
              <w:pStyle w:val="TableText1"/>
              <w:jc w:val="center"/>
              <w:rPr>
                <w:b/>
              </w:rPr>
            </w:pPr>
            <w:r w:rsidRPr="006D49EC">
              <w:rPr>
                <w:b/>
              </w:rPr>
              <w:t>SD</w:t>
            </w:r>
          </w:p>
        </w:tc>
        <w:tc>
          <w:tcPr>
            <w:tcW w:w="455" w:type="pct"/>
            <w:shd w:val="clear" w:color="auto" w:fill="auto"/>
            <w:vAlign w:val="center"/>
          </w:tcPr>
          <w:p w:rsidR="00ED75E6" w:rsidRPr="006D49EC" w:rsidRDefault="00ED75E6" w:rsidP="00E907D1">
            <w:pPr>
              <w:pStyle w:val="TableText1"/>
              <w:jc w:val="center"/>
              <w:rPr>
                <w:b/>
              </w:rPr>
            </w:pPr>
            <w:r w:rsidRPr="006D49EC">
              <w:rPr>
                <w:b/>
              </w:rPr>
              <w:t>n</w:t>
            </w:r>
          </w:p>
        </w:tc>
        <w:tc>
          <w:tcPr>
            <w:tcW w:w="536" w:type="pct"/>
            <w:gridSpan w:val="2"/>
            <w:shd w:val="clear" w:color="auto" w:fill="auto"/>
            <w:vAlign w:val="center"/>
          </w:tcPr>
          <w:p w:rsidR="00ED75E6" w:rsidRPr="006D49EC" w:rsidRDefault="00ED75E6" w:rsidP="00E907D1">
            <w:pPr>
              <w:pStyle w:val="TableText1"/>
              <w:jc w:val="center"/>
              <w:rPr>
                <w:b/>
              </w:rPr>
            </w:pPr>
            <w:r w:rsidRPr="006D49EC">
              <w:rPr>
                <w:b/>
              </w:rPr>
              <w:t xml:space="preserve">Mean ∆ </w:t>
            </w:r>
          </w:p>
        </w:tc>
        <w:tc>
          <w:tcPr>
            <w:tcW w:w="532" w:type="pct"/>
            <w:gridSpan w:val="2"/>
            <w:shd w:val="clear" w:color="auto" w:fill="auto"/>
            <w:vAlign w:val="center"/>
          </w:tcPr>
          <w:p w:rsidR="00ED75E6" w:rsidRPr="006D49EC" w:rsidRDefault="00ED75E6" w:rsidP="00E907D1">
            <w:pPr>
              <w:pStyle w:val="TableText1"/>
              <w:jc w:val="center"/>
              <w:rPr>
                <w:b/>
              </w:rPr>
            </w:pPr>
            <w:r w:rsidRPr="006D49EC">
              <w:rPr>
                <w:b/>
              </w:rPr>
              <w:t>SD</w:t>
            </w:r>
          </w:p>
        </w:tc>
        <w:tc>
          <w:tcPr>
            <w:tcW w:w="1040" w:type="pct"/>
            <w:gridSpan w:val="2"/>
            <w:vMerge/>
            <w:shd w:val="clear" w:color="auto" w:fill="auto"/>
            <w:vAlign w:val="center"/>
          </w:tcPr>
          <w:p w:rsidR="00ED75E6" w:rsidRPr="006D49EC" w:rsidRDefault="00ED75E6" w:rsidP="00E907D1">
            <w:pPr>
              <w:pStyle w:val="TableText1"/>
            </w:pPr>
          </w:p>
        </w:tc>
      </w:tr>
      <w:tr w:rsidR="00ED75E6" w:rsidRPr="006D49EC" w:rsidTr="00ED75E6">
        <w:tc>
          <w:tcPr>
            <w:tcW w:w="1086" w:type="pct"/>
            <w:tcBorders>
              <w:bottom w:val="single" w:sz="4" w:space="0" w:color="auto"/>
            </w:tcBorders>
            <w:shd w:val="clear" w:color="auto" w:fill="auto"/>
            <w:vAlign w:val="center"/>
          </w:tcPr>
          <w:p w:rsidR="00ED75E6" w:rsidRPr="006D49EC" w:rsidRDefault="00ED75E6" w:rsidP="00E907D1">
            <w:pPr>
              <w:pStyle w:val="TableText1"/>
            </w:pPr>
            <w:r w:rsidRPr="006D49EC">
              <w:t>Trial 316</w:t>
            </w:r>
          </w:p>
        </w:tc>
        <w:tc>
          <w:tcPr>
            <w:tcW w:w="274" w:type="pct"/>
            <w:tcBorders>
              <w:bottom w:val="single" w:sz="4" w:space="0" w:color="auto"/>
            </w:tcBorders>
            <w:shd w:val="clear" w:color="auto" w:fill="auto"/>
            <w:vAlign w:val="center"/>
          </w:tcPr>
          <w:p w:rsidR="00ED75E6" w:rsidRPr="006D49EC" w:rsidRDefault="00ED75E6" w:rsidP="00E907D1">
            <w:pPr>
              <w:pStyle w:val="TableText1"/>
              <w:jc w:val="center"/>
            </w:pPr>
            <w:r w:rsidRPr="006D49EC">
              <w:t>112</w:t>
            </w:r>
          </w:p>
        </w:tc>
        <w:tc>
          <w:tcPr>
            <w:tcW w:w="536" w:type="pct"/>
            <w:gridSpan w:val="3"/>
            <w:tcBorders>
              <w:bottom w:val="single" w:sz="4" w:space="0" w:color="auto"/>
            </w:tcBorders>
            <w:shd w:val="clear" w:color="auto" w:fill="auto"/>
            <w:vAlign w:val="center"/>
          </w:tcPr>
          <w:p w:rsidR="00ED75E6" w:rsidRPr="006D49EC" w:rsidRDefault="00ED75E6" w:rsidP="00E907D1">
            <w:pPr>
              <w:pStyle w:val="TableText1"/>
              <w:jc w:val="center"/>
            </w:pPr>
            <w:r w:rsidRPr="006D49EC">
              <w:t>-23.9</w:t>
            </w:r>
          </w:p>
        </w:tc>
        <w:tc>
          <w:tcPr>
            <w:tcW w:w="542"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12.41</w:t>
            </w:r>
          </w:p>
        </w:tc>
        <w:tc>
          <w:tcPr>
            <w:tcW w:w="455" w:type="pct"/>
            <w:tcBorders>
              <w:bottom w:val="single" w:sz="4" w:space="0" w:color="auto"/>
            </w:tcBorders>
            <w:shd w:val="clear" w:color="auto" w:fill="auto"/>
            <w:vAlign w:val="center"/>
          </w:tcPr>
          <w:p w:rsidR="00ED75E6" w:rsidRPr="006D49EC" w:rsidRDefault="00ED75E6" w:rsidP="00E907D1">
            <w:pPr>
              <w:pStyle w:val="TableText1"/>
              <w:jc w:val="center"/>
            </w:pPr>
            <w:r w:rsidRPr="006D49EC">
              <w:t>112</w:t>
            </w:r>
          </w:p>
        </w:tc>
        <w:tc>
          <w:tcPr>
            <w:tcW w:w="536"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-18.6</w:t>
            </w:r>
          </w:p>
        </w:tc>
        <w:tc>
          <w:tcPr>
            <w:tcW w:w="532"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11.91</w:t>
            </w:r>
          </w:p>
        </w:tc>
        <w:tc>
          <w:tcPr>
            <w:tcW w:w="1040"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rPr>
                <w:b/>
              </w:rPr>
              <w:t>-5.30 (-8.49, -2.11)</w:t>
            </w:r>
          </w:p>
        </w:tc>
      </w:tr>
      <w:tr w:rsidR="00ED75E6" w:rsidRPr="006D49EC" w:rsidTr="0034553D">
        <w:tc>
          <w:tcPr>
            <w:tcW w:w="5000" w:type="pct"/>
            <w:gridSpan w:val="14"/>
            <w:tcBorders>
              <w:top w:val="single" w:sz="4" w:space="0" w:color="auto"/>
            </w:tcBorders>
            <w:shd w:val="clear" w:color="auto" w:fill="auto"/>
            <w:vAlign w:val="center"/>
          </w:tcPr>
          <w:p w:rsidR="00ED75E6" w:rsidRPr="006D49EC" w:rsidRDefault="00ED75E6" w:rsidP="00E907D1">
            <w:pPr>
              <w:pStyle w:val="TableText1"/>
              <w:rPr>
                <w:b/>
                <w:u w:val="single"/>
              </w:rPr>
            </w:pPr>
            <w:r w:rsidRPr="006D49EC">
              <w:rPr>
                <w:b/>
                <w:u w:val="single"/>
              </w:rPr>
              <w:t>Harms</w:t>
            </w:r>
          </w:p>
        </w:tc>
      </w:tr>
      <w:tr w:rsidR="00ED75E6" w:rsidRPr="006D49EC" w:rsidTr="00ED75E6">
        <w:trPr>
          <w:trHeight w:val="70"/>
        </w:trPr>
        <w:tc>
          <w:tcPr>
            <w:tcW w:w="1086" w:type="pct"/>
            <w:vMerge w:val="restart"/>
            <w:shd w:val="clear" w:color="auto" w:fill="auto"/>
            <w:vAlign w:val="center"/>
          </w:tcPr>
          <w:p w:rsidR="00ED75E6" w:rsidRPr="006D49EC" w:rsidRDefault="00ED75E6" w:rsidP="00E907D1">
            <w:pPr>
              <w:pStyle w:val="TableText1"/>
            </w:pPr>
          </w:p>
        </w:tc>
        <w:tc>
          <w:tcPr>
            <w:tcW w:w="534" w:type="pct"/>
            <w:gridSpan w:val="2"/>
            <w:vMerge w:val="restart"/>
            <w:shd w:val="clear" w:color="auto" w:fill="auto"/>
            <w:vAlign w:val="center"/>
          </w:tcPr>
          <w:p w:rsidR="00ED75E6" w:rsidRPr="006D49EC" w:rsidRDefault="00ED75E6" w:rsidP="00E907D1">
            <w:pPr>
              <w:pStyle w:val="TableText1"/>
              <w:jc w:val="center"/>
              <w:rPr>
                <w:b/>
              </w:rPr>
            </w:pPr>
            <w:r w:rsidRPr="006D49EC">
              <w:rPr>
                <w:b/>
              </w:rPr>
              <w:t xml:space="preserve">Guanfacine </w:t>
            </w:r>
          </w:p>
        </w:tc>
        <w:tc>
          <w:tcPr>
            <w:tcW w:w="649" w:type="pct"/>
            <w:gridSpan w:val="3"/>
            <w:vMerge w:val="restart"/>
            <w:shd w:val="clear" w:color="auto" w:fill="auto"/>
            <w:vAlign w:val="center"/>
          </w:tcPr>
          <w:p w:rsidR="00ED75E6" w:rsidRPr="006D49EC" w:rsidRDefault="00ED75E6" w:rsidP="00E907D1">
            <w:pPr>
              <w:pStyle w:val="TableText1"/>
              <w:jc w:val="center"/>
              <w:rPr>
                <w:b/>
              </w:rPr>
            </w:pPr>
            <w:r w:rsidRPr="006D49EC">
              <w:rPr>
                <w:b/>
              </w:rPr>
              <w:t>Atomoxetine</w:t>
            </w:r>
          </w:p>
        </w:tc>
        <w:tc>
          <w:tcPr>
            <w:tcW w:w="704" w:type="pct"/>
            <w:gridSpan w:val="3"/>
            <w:vMerge w:val="restart"/>
            <w:shd w:val="clear" w:color="auto" w:fill="auto"/>
            <w:vAlign w:val="center"/>
          </w:tcPr>
          <w:p w:rsidR="00ED75E6" w:rsidRPr="006D49EC" w:rsidRDefault="00ED75E6" w:rsidP="00E907D1">
            <w:pPr>
              <w:pStyle w:val="TableText1"/>
              <w:jc w:val="center"/>
              <w:rPr>
                <w:b/>
              </w:rPr>
            </w:pPr>
            <w:r w:rsidRPr="006D49EC">
              <w:rPr>
                <w:b/>
              </w:rPr>
              <w:t>RR (95% CI)</w:t>
            </w:r>
          </w:p>
        </w:tc>
        <w:tc>
          <w:tcPr>
            <w:tcW w:w="1179" w:type="pct"/>
            <w:gridSpan w:val="4"/>
            <w:shd w:val="clear" w:color="auto" w:fill="auto"/>
            <w:vAlign w:val="center"/>
          </w:tcPr>
          <w:p w:rsidR="00ED75E6" w:rsidRPr="006D49EC" w:rsidRDefault="00ED75E6" w:rsidP="00E907D1">
            <w:pPr>
              <w:pStyle w:val="TableText1"/>
              <w:jc w:val="center"/>
              <w:rPr>
                <w:b/>
              </w:rPr>
            </w:pPr>
            <w:r w:rsidRPr="006D49EC">
              <w:rPr>
                <w:b/>
              </w:rPr>
              <w:t>Events/100 patients*</w:t>
            </w:r>
          </w:p>
        </w:tc>
        <w:tc>
          <w:tcPr>
            <w:tcW w:w="848" w:type="pct"/>
            <w:vMerge w:val="restart"/>
            <w:shd w:val="clear" w:color="auto" w:fill="auto"/>
            <w:vAlign w:val="center"/>
          </w:tcPr>
          <w:p w:rsidR="00ED75E6" w:rsidRPr="006D49EC" w:rsidRDefault="00ED75E6" w:rsidP="00E907D1">
            <w:pPr>
              <w:pStyle w:val="TableText1"/>
              <w:jc w:val="center"/>
              <w:rPr>
                <w:b/>
              </w:rPr>
            </w:pPr>
            <w:r w:rsidRPr="006D49EC">
              <w:rPr>
                <w:b/>
              </w:rPr>
              <w:t>RD (95% CI)</w:t>
            </w:r>
          </w:p>
        </w:tc>
      </w:tr>
      <w:tr w:rsidR="00ED75E6" w:rsidRPr="006D49EC" w:rsidTr="00ED75E6">
        <w:trPr>
          <w:trHeight w:val="390"/>
        </w:trPr>
        <w:tc>
          <w:tcPr>
            <w:tcW w:w="1086" w:type="pct"/>
            <w:vMerge/>
            <w:shd w:val="clear" w:color="auto" w:fill="auto"/>
            <w:vAlign w:val="center"/>
          </w:tcPr>
          <w:p w:rsidR="00ED75E6" w:rsidRPr="006D49EC" w:rsidRDefault="00ED75E6" w:rsidP="00E907D1">
            <w:pPr>
              <w:pStyle w:val="TableText1"/>
            </w:pPr>
          </w:p>
        </w:tc>
        <w:tc>
          <w:tcPr>
            <w:tcW w:w="534" w:type="pct"/>
            <w:gridSpan w:val="2"/>
            <w:vMerge/>
            <w:shd w:val="clear" w:color="auto" w:fill="auto"/>
            <w:vAlign w:val="center"/>
          </w:tcPr>
          <w:p w:rsidR="00ED75E6" w:rsidRPr="006D49EC" w:rsidRDefault="00ED75E6" w:rsidP="00E907D1">
            <w:pPr>
              <w:pStyle w:val="TableText1"/>
            </w:pPr>
          </w:p>
        </w:tc>
        <w:tc>
          <w:tcPr>
            <w:tcW w:w="649" w:type="pct"/>
            <w:gridSpan w:val="3"/>
            <w:vMerge/>
            <w:shd w:val="clear" w:color="auto" w:fill="auto"/>
            <w:vAlign w:val="center"/>
          </w:tcPr>
          <w:p w:rsidR="00ED75E6" w:rsidRPr="006D49EC" w:rsidRDefault="00ED75E6" w:rsidP="00E907D1">
            <w:pPr>
              <w:pStyle w:val="TableText1"/>
            </w:pPr>
          </w:p>
        </w:tc>
        <w:tc>
          <w:tcPr>
            <w:tcW w:w="704" w:type="pct"/>
            <w:gridSpan w:val="3"/>
            <w:vMerge/>
            <w:shd w:val="clear" w:color="auto" w:fill="auto"/>
            <w:vAlign w:val="center"/>
          </w:tcPr>
          <w:p w:rsidR="00ED75E6" w:rsidRPr="006D49EC" w:rsidRDefault="00ED75E6" w:rsidP="00E907D1">
            <w:pPr>
              <w:pStyle w:val="TableText1"/>
            </w:pPr>
          </w:p>
        </w:tc>
        <w:tc>
          <w:tcPr>
            <w:tcW w:w="590" w:type="pct"/>
            <w:gridSpan w:val="2"/>
            <w:shd w:val="clear" w:color="auto" w:fill="auto"/>
            <w:vAlign w:val="center"/>
          </w:tcPr>
          <w:p w:rsidR="00ED75E6" w:rsidRPr="006D49EC" w:rsidRDefault="00ED75E6" w:rsidP="00E907D1">
            <w:pPr>
              <w:pStyle w:val="TableText1"/>
              <w:jc w:val="center"/>
              <w:rPr>
                <w:b/>
              </w:rPr>
            </w:pPr>
            <w:r w:rsidRPr="006D49EC">
              <w:rPr>
                <w:b/>
              </w:rPr>
              <w:t xml:space="preserve">Guanfacine </w:t>
            </w:r>
          </w:p>
        </w:tc>
        <w:tc>
          <w:tcPr>
            <w:tcW w:w="590" w:type="pct"/>
            <w:gridSpan w:val="2"/>
            <w:shd w:val="clear" w:color="auto" w:fill="auto"/>
            <w:vAlign w:val="center"/>
          </w:tcPr>
          <w:p w:rsidR="00ED75E6" w:rsidRPr="006D49EC" w:rsidRDefault="00ED75E6" w:rsidP="00E907D1">
            <w:pPr>
              <w:pStyle w:val="TableText1"/>
              <w:jc w:val="center"/>
              <w:rPr>
                <w:b/>
              </w:rPr>
            </w:pPr>
            <w:r w:rsidRPr="006D49EC">
              <w:rPr>
                <w:b/>
              </w:rPr>
              <w:t>Atomoxetine</w:t>
            </w:r>
          </w:p>
        </w:tc>
        <w:tc>
          <w:tcPr>
            <w:tcW w:w="848" w:type="pct"/>
            <w:vMerge/>
            <w:shd w:val="clear" w:color="auto" w:fill="auto"/>
            <w:vAlign w:val="center"/>
          </w:tcPr>
          <w:p w:rsidR="00ED75E6" w:rsidRPr="006D49EC" w:rsidRDefault="00ED75E6" w:rsidP="00E907D1">
            <w:pPr>
              <w:pStyle w:val="TableText1"/>
            </w:pPr>
          </w:p>
        </w:tc>
      </w:tr>
      <w:tr w:rsidR="00ED75E6" w:rsidRPr="006D49EC" w:rsidTr="0034553D">
        <w:tc>
          <w:tcPr>
            <w:tcW w:w="5000" w:type="pct"/>
            <w:gridSpan w:val="14"/>
            <w:shd w:val="clear" w:color="auto" w:fill="auto"/>
            <w:vAlign w:val="center"/>
          </w:tcPr>
          <w:p w:rsidR="00ED75E6" w:rsidRPr="006D49EC" w:rsidRDefault="00ED75E6" w:rsidP="00E907D1">
            <w:pPr>
              <w:pStyle w:val="TableText1"/>
              <w:rPr>
                <w:b/>
              </w:rPr>
            </w:pPr>
            <w:r w:rsidRPr="006D49EC">
              <w:rPr>
                <w:b/>
              </w:rPr>
              <w:t xml:space="preserve">Somnolence </w:t>
            </w:r>
          </w:p>
        </w:tc>
      </w:tr>
      <w:tr w:rsidR="00ED75E6" w:rsidRPr="006D49EC" w:rsidTr="00ED75E6">
        <w:tc>
          <w:tcPr>
            <w:tcW w:w="1086" w:type="pct"/>
            <w:tcBorders>
              <w:bottom w:val="single" w:sz="4" w:space="0" w:color="auto"/>
            </w:tcBorders>
            <w:shd w:val="clear" w:color="auto" w:fill="auto"/>
            <w:vAlign w:val="center"/>
          </w:tcPr>
          <w:p w:rsidR="00ED75E6" w:rsidRPr="006D49EC" w:rsidRDefault="00ED75E6" w:rsidP="00E907D1">
            <w:pPr>
              <w:pStyle w:val="TableText1"/>
            </w:pPr>
            <w:r w:rsidRPr="006D49EC">
              <w:t>Trial 316</w:t>
            </w:r>
          </w:p>
        </w:tc>
        <w:tc>
          <w:tcPr>
            <w:tcW w:w="534"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50/11</w:t>
            </w:r>
            <w:r w:rsidR="0034553D" w:rsidRPr="006D49EC">
              <w:t>4</w:t>
            </w:r>
          </w:p>
        </w:tc>
        <w:tc>
          <w:tcPr>
            <w:tcW w:w="649" w:type="pct"/>
            <w:gridSpan w:val="3"/>
            <w:tcBorders>
              <w:bottom w:val="single" w:sz="4" w:space="0" w:color="auto"/>
            </w:tcBorders>
            <w:shd w:val="clear" w:color="auto" w:fill="auto"/>
            <w:vAlign w:val="center"/>
          </w:tcPr>
          <w:p w:rsidR="00ED75E6" w:rsidRPr="006D49EC" w:rsidRDefault="00ED75E6" w:rsidP="00E907D1">
            <w:pPr>
              <w:pStyle w:val="TableText1"/>
              <w:jc w:val="center"/>
            </w:pPr>
            <w:r w:rsidRPr="006D49EC">
              <w:t>20/112</w:t>
            </w:r>
          </w:p>
        </w:tc>
        <w:tc>
          <w:tcPr>
            <w:tcW w:w="704" w:type="pct"/>
            <w:gridSpan w:val="3"/>
            <w:tcBorders>
              <w:bottom w:val="single" w:sz="4" w:space="0" w:color="auto"/>
            </w:tcBorders>
            <w:shd w:val="clear" w:color="auto" w:fill="auto"/>
            <w:vAlign w:val="center"/>
          </w:tcPr>
          <w:p w:rsidR="00ED75E6" w:rsidRPr="006D49EC" w:rsidRDefault="00ED75E6" w:rsidP="00E907D1">
            <w:pPr>
              <w:pStyle w:val="TableText1"/>
              <w:jc w:val="center"/>
            </w:pPr>
            <w:r w:rsidRPr="006D49EC">
              <w:rPr>
                <w:b/>
              </w:rPr>
              <w:t>2.46 (1.59, 3.87)</w:t>
            </w:r>
          </w:p>
        </w:tc>
        <w:tc>
          <w:tcPr>
            <w:tcW w:w="590"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43.9</w:t>
            </w:r>
          </w:p>
        </w:tc>
        <w:tc>
          <w:tcPr>
            <w:tcW w:w="590" w:type="pct"/>
            <w:gridSpan w:val="2"/>
            <w:tcBorders>
              <w:bottom w:val="single" w:sz="4" w:space="0" w:color="auto"/>
            </w:tcBorders>
            <w:shd w:val="clear" w:color="auto" w:fill="auto"/>
            <w:vAlign w:val="center"/>
          </w:tcPr>
          <w:p w:rsidR="00ED75E6" w:rsidRPr="006D49EC" w:rsidRDefault="00ED75E6" w:rsidP="00E907D1">
            <w:pPr>
              <w:pStyle w:val="TableText1"/>
              <w:jc w:val="center"/>
            </w:pPr>
            <w:r w:rsidRPr="006D49EC">
              <w:t>17.9</w:t>
            </w:r>
          </w:p>
        </w:tc>
        <w:tc>
          <w:tcPr>
            <w:tcW w:w="848" w:type="pct"/>
            <w:tcBorders>
              <w:bottom w:val="single" w:sz="4" w:space="0" w:color="auto"/>
            </w:tcBorders>
            <w:shd w:val="clear" w:color="auto" w:fill="auto"/>
            <w:vAlign w:val="center"/>
          </w:tcPr>
          <w:p w:rsidR="00ED75E6" w:rsidRPr="006D49EC" w:rsidRDefault="00ED75E6" w:rsidP="00E907D1">
            <w:pPr>
              <w:pStyle w:val="TableText1"/>
              <w:jc w:val="center"/>
              <w:rPr>
                <w:b/>
              </w:rPr>
            </w:pPr>
            <w:r w:rsidRPr="006D49EC">
              <w:rPr>
                <w:b/>
              </w:rPr>
              <w:t>0.2</w:t>
            </w:r>
            <w:r w:rsidR="0034553D" w:rsidRPr="006D49EC">
              <w:rPr>
                <w:b/>
              </w:rPr>
              <w:t>6</w:t>
            </w:r>
            <w:r w:rsidRPr="006D49EC">
              <w:rPr>
                <w:b/>
              </w:rPr>
              <w:t xml:space="preserve"> (0.1</w:t>
            </w:r>
            <w:r w:rsidR="0034553D" w:rsidRPr="006D49EC">
              <w:rPr>
                <w:b/>
              </w:rPr>
              <w:t>4</w:t>
            </w:r>
            <w:r w:rsidRPr="006D49EC">
              <w:rPr>
                <w:b/>
              </w:rPr>
              <w:t>, 0.3</w:t>
            </w:r>
            <w:r w:rsidR="0034553D" w:rsidRPr="006D49EC">
              <w:rPr>
                <w:b/>
              </w:rPr>
              <w:t>7</w:t>
            </w:r>
            <w:r w:rsidRPr="006D49EC">
              <w:rPr>
                <w:b/>
              </w:rPr>
              <w:t>)</w:t>
            </w:r>
          </w:p>
        </w:tc>
      </w:tr>
      <w:tr w:rsidR="00ED75E6" w:rsidRPr="006D49EC" w:rsidTr="0034553D">
        <w:tc>
          <w:tcPr>
            <w:tcW w:w="5000" w:type="pct"/>
            <w:gridSpan w:val="14"/>
            <w:shd w:val="clear" w:color="auto" w:fill="auto"/>
            <w:vAlign w:val="center"/>
          </w:tcPr>
          <w:p w:rsidR="00ED75E6" w:rsidRPr="006D49EC" w:rsidRDefault="0034553D" w:rsidP="00E907D1">
            <w:pPr>
              <w:pStyle w:val="TableText1"/>
              <w:rPr>
                <w:b/>
              </w:rPr>
            </w:pPr>
            <w:r w:rsidRPr="006D49EC">
              <w:rPr>
                <w:b/>
              </w:rPr>
              <w:t>Nausea</w:t>
            </w:r>
          </w:p>
        </w:tc>
      </w:tr>
      <w:tr w:rsidR="00ED75E6" w:rsidRPr="006D49EC" w:rsidTr="00ED75E6">
        <w:tc>
          <w:tcPr>
            <w:tcW w:w="1086" w:type="pct"/>
            <w:tcBorders>
              <w:bottom w:val="single" w:sz="4" w:space="0" w:color="auto"/>
            </w:tcBorders>
            <w:shd w:val="clear" w:color="auto" w:fill="auto"/>
            <w:vAlign w:val="center"/>
          </w:tcPr>
          <w:p w:rsidR="00ED75E6" w:rsidRPr="006D49EC" w:rsidRDefault="00ED75E6" w:rsidP="00E907D1">
            <w:pPr>
              <w:pStyle w:val="TableText1"/>
            </w:pPr>
            <w:r w:rsidRPr="006D49EC">
              <w:t>Trial 316</w:t>
            </w:r>
          </w:p>
        </w:tc>
        <w:tc>
          <w:tcPr>
            <w:tcW w:w="534" w:type="pct"/>
            <w:gridSpan w:val="2"/>
            <w:tcBorders>
              <w:bottom w:val="single" w:sz="4" w:space="0" w:color="auto"/>
            </w:tcBorders>
            <w:shd w:val="clear" w:color="auto" w:fill="auto"/>
            <w:vAlign w:val="center"/>
          </w:tcPr>
          <w:p w:rsidR="00ED75E6" w:rsidRPr="006D49EC" w:rsidRDefault="0034553D" w:rsidP="00E907D1">
            <w:pPr>
              <w:pStyle w:val="TableText1"/>
              <w:jc w:val="center"/>
            </w:pPr>
            <w:r w:rsidRPr="006D49EC">
              <w:t>18</w:t>
            </w:r>
            <w:r w:rsidR="00ED75E6" w:rsidRPr="006D49EC">
              <w:t>/11</w:t>
            </w:r>
            <w:r w:rsidRPr="006D49EC">
              <w:t>4</w:t>
            </w:r>
          </w:p>
        </w:tc>
        <w:tc>
          <w:tcPr>
            <w:tcW w:w="649" w:type="pct"/>
            <w:gridSpan w:val="3"/>
            <w:tcBorders>
              <w:bottom w:val="single" w:sz="4" w:space="0" w:color="auto"/>
            </w:tcBorders>
            <w:shd w:val="clear" w:color="auto" w:fill="auto"/>
            <w:vAlign w:val="center"/>
          </w:tcPr>
          <w:p w:rsidR="00ED75E6" w:rsidRPr="006D49EC" w:rsidRDefault="0034553D" w:rsidP="00E907D1">
            <w:pPr>
              <w:pStyle w:val="TableText1"/>
              <w:jc w:val="center"/>
            </w:pPr>
            <w:r w:rsidRPr="006D49EC">
              <w:t>30</w:t>
            </w:r>
            <w:r w:rsidR="00ED75E6" w:rsidRPr="006D49EC">
              <w:t>/112</w:t>
            </w:r>
          </w:p>
        </w:tc>
        <w:tc>
          <w:tcPr>
            <w:tcW w:w="704" w:type="pct"/>
            <w:gridSpan w:val="3"/>
            <w:tcBorders>
              <w:bottom w:val="single" w:sz="4" w:space="0" w:color="auto"/>
            </w:tcBorders>
            <w:shd w:val="clear" w:color="auto" w:fill="auto"/>
            <w:vAlign w:val="center"/>
          </w:tcPr>
          <w:p w:rsidR="00ED75E6" w:rsidRPr="006D49EC" w:rsidRDefault="0034553D" w:rsidP="00E907D1">
            <w:pPr>
              <w:pStyle w:val="TableText1"/>
              <w:jc w:val="center"/>
            </w:pPr>
            <w:r w:rsidRPr="006D49EC">
              <w:rPr>
                <w:b/>
              </w:rPr>
              <w:t>0.59 (0.35, 0.98)</w:t>
            </w:r>
          </w:p>
        </w:tc>
        <w:tc>
          <w:tcPr>
            <w:tcW w:w="590" w:type="pct"/>
            <w:gridSpan w:val="2"/>
            <w:tcBorders>
              <w:bottom w:val="single" w:sz="4" w:space="0" w:color="auto"/>
            </w:tcBorders>
            <w:shd w:val="clear" w:color="auto" w:fill="auto"/>
            <w:vAlign w:val="center"/>
          </w:tcPr>
          <w:p w:rsidR="00ED75E6" w:rsidRPr="006D49EC" w:rsidRDefault="0034553D" w:rsidP="00E907D1">
            <w:pPr>
              <w:pStyle w:val="TableText1"/>
              <w:jc w:val="center"/>
            </w:pPr>
            <w:r w:rsidRPr="006D49EC">
              <w:t>15.8</w:t>
            </w:r>
          </w:p>
        </w:tc>
        <w:tc>
          <w:tcPr>
            <w:tcW w:w="590" w:type="pct"/>
            <w:gridSpan w:val="2"/>
            <w:tcBorders>
              <w:bottom w:val="single" w:sz="4" w:space="0" w:color="auto"/>
            </w:tcBorders>
            <w:shd w:val="clear" w:color="auto" w:fill="auto"/>
            <w:vAlign w:val="center"/>
          </w:tcPr>
          <w:p w:rsidR="00ED75E6" w:rsidRPr="006D49EC" w:rsidRDefault="0034553D" w:rsidP="00E907D1">
            <w:pPr>
              <w:pStyle w:val="TableText1"/>
              <w:jc w:val="center"/>
            </w:pPr>
            <w:r w:rsidRPr="006D49EC">
              <w:t>26.8</w:t>
            </w:r>
          </w:p>
        </w:tc>
        <w:tc>
          <w:tcPr>
            <w:tcW w:w="848" w:type="pct"/>
            <w:tcBorders>
              <w:bottom w:val="single" w:sz="4" w:space="0" w:color="auto"/>
            </w:tcBorders>
            <w:shd w:val="clear" w:color="auto" w:fill="auto"/>
            <w:vAlign w:val="center"/>
          </w:tcPr>
          <w:p w:rsidR="00ED75E6" w:rsidRPr="006D49EC" w:rsidRDefault="00ED75E6" w:rsidP="00E907D1">
            <w:pPr>
              <w:pStyle w:val="TableText1"/>
              <w:jc w:val="center"/>
              <w:rPr>
                <w:b/>
              </w:rPr>
            </w:pPr>
            <w:r w:rsidRPr="006D49EC">
              <w:rPr>
                <w:b/>
              </w:rPr>
              <w:t>-0.</w:t>
            </w:r>
            <w:r w:rsidR="0034553D" w:rsidRPr="006D49EC">
              <w:rPr>
                <w:b/>
              </w:rPr>
              <w:t xml:space="preserve">11 </w:t>
            </w:r>
            <w:r w:rsidRPr="006D49EC">
              <w:rPr>
                <w:b/>
              </w:rPr>
              <w:t>(-0.2</w:t>
            </w:r>
            <w:r w:rsidR="0034553D" w:rsidRPr="006D49EC">
              <w:rPr>
                <w:b/>
              </w:rPr>
              <w:t>1</w:t>
            </w:r>
            <w:r w:rsidRPr="006D49EC">
              <w:rPr>
                <w:b/>
              </w:rPr>
              <w:t xml:space="preserve">, </w:t>
            </w:r>
            <w:r w:rsidR="0034553D" w:rsidRPr="006D49EC">
              <w:rPr>
                <w:b/>
              </w:rPr>
              <w:t>-0.003</w:t>
            </w:r>
            <w:r w:rsidRPr="006D49EC">
              <w:rPr>
                <w:b/>
              </w:rPr>
              <w:t>)</w:t>
            </w:r>
          </w:p>
        </w:tc>
      </w:tr>
    </w:tbl>
    <w:p w:rsidR="00ED75E6" w:rsidRPr="006D49EC" w:rsidRDefault="00D903CD" w:rsidP="00E907D1">
      <w:pPr>
        <w:widowControl/>
        <w:spacing w:after="120"/>
        <w:rPr>
          <w:rFonts w:ascii="Arial Narrow" w:hAnsi="Arial Narrow"/>
          <w:sz w:val="18"/>
        </w:rPr>
      </w:pPr>
      <w:r w:rsidRPr="006D49EC">
        <w:t>*</w:t>
      </w:r>
      <w:r w:rsidRPr="006D49EC">
        <w:rPr>
          <w:rFonts w:ascii="Arial Narrow" w:hAnsi="Arial Narrow"/>
          <w:sz w:val="18"/>
        </w:rPr>
        <w:t>Trial 316 duration of exposure 13 weeks</w:t>
      </w:r>
    </w:p>
    <w:p w:rsidR="00ED75E6" w:rsidRPr="006D49EC" w:rsidRDefault="00ED75E6" w:rsidP="00B24C96">
      <w:pPr>
        <w:pStyle w:val="ListParagraph"/>
        <w:widowControl/>
        <w:numPr>
          <w:ilvl w:val="1"/>
          <w:numId w:val="3"/>
        </w:numPr>
        <w:contextualSpacing w:val="0"/>
      </w:pPr>
      <w:r w:rsidRPr="006D49EC">
        <w:t>On the basis of direct comparison evidence presented by the submission, for every 100 patients treated with guanfacine in comparison to atomoxetine, over a duration of exposure of 13 weeks:</w:t>
      </w:r>
    </w:p>
    <w:p w:rsidR="00ED75E6" w:rsidRPr="006D49EC" w:rsidRDefault="00ED75E6" w:rsidP="00E907D1">
      <w:pPr>
        <w:pStyle w:val="ListParagraph"/>
        <w:widowControl/>
        <w:numPr>
          <w:ilvl w:val="0"/>
          <w:numId w:val="1"/>
        </w:numPr>
        <w:spacing w:after="0"/>
        <w:ind w:left="993" w:hanging="284"/>
        <w:contextualSpacing w:val="0"/>
        <w:rPr>
          <w:rFonts w:asciiTheme="minorHAnsi" w:hAnsiTheme="minorHAnsi"/>
          <w:szCs w:val="24"/>
        </w:rPr>
      </w:pPr>
      <w:r w:rsidRPr="006D49EC">
        <w:rPr>
          <w:rFonts w:asciiTheme="minorHAnsi" w:hAnsiTheme="minorHAnsi"/>
          <w:szCs w:val="24"/>
        </w:rPr>
        <w:t>Approximately 17 additional patients would achieve symptomatic remission.</w:t>
      </w:r>
    </w:p>
    <w:p w:rsidR="00ED75E6" w:rsidRPr="006D49EC" w:rsidRDefault="00ED75E6" w:rsidP="00E907D1">
      <w:pPr>
        <w:pStyle w:val="ListParagraph"/>
        <w:widowControl/>
        <w:numPr>
          <w:ilvl w:val="0"/>
          <w:numId w:val="1"/>
        </w:numPr>
        <w:spacing w:after="0"/>
        <w:ind w:left="993" w:hanging="284"/>
        <w:contextualSpacing w:val="0"/>
        <w:rPr>
          <w:rFonts w:asciiTheme="minorHAnsi" w:hAnsiTheme="minorHAnsi"/>
          <w:szCs w:val="24"/>
        </w:rPr>
      </w:pPr>
      <w:r w:rsidRPr="006D49EC">
        <w:rPr>
          <w:rFonts w:asciiTheme="minorHAnsi" w:hAnsiTheme="minorHAnsi"/>
          <w:szCs w:val="24"/>
        </w:rPr>
        <w:t xml:space="preserve">A similar number of patients would be classified as a responder (defined as an ADHD-RS-IV reduction of ≥30% and a CGI-I ≤2). </w:t>
      </w:r>
    </w:p>
    <w:p w:rsidR="00ED75E6" w:rsidRPr="006D49EC" w:rsidRDefault="00ED75E6" w:rsidP="00E907D1">
      <w:pPr>
        <w:pStyle w:val="ListParagraph"/>
        <w:widowControl/>
        <w:numPr>
          <w:ilvl w:val="0"/>
          <w:numId w:val="1"/>
        </w:numPr>
        <w:spacing w:after="0"/>
        <w:ind w:left="993" w:hanging="284"/>
        <w:contextualSpacing w:val="0"/>
        <w:rPr>
          <w:rFonts w:asciiTheme="minorHAnsi" w:hAnsiTheme="minorHAnsi"/>
          <w:szCs w:val="24"/>
        </w:rPr>
      </w:pPr>
      <w:r w:rsidRPr="006D49EC">
        <w:rPr>
          <w:rFonts w:asciiTheme="minorHAnsi" w:hAnsiTheme="minorHAnsi"/>
          <w:szCs w:val="24"/>
        </w:rPr>
        <w:t xml:space="preserve">Approximately a 5.30 point greater reduction in the ADHD-RS-IV total score </w:t>
      </w:r>
      <w:r w:rsidR="00181703">
        <w:rPr>
          <w:rFonts w:asciiTheme="minorHAnsi" w:hAnsiTheme="minorHAnsi"/>
          <w:szCs w:val="24"/>
        </w:rPr>
        <w:t>would be</w:t>
      </w:r>
      <w:r w:rsidR="00181703" w:rsidRPr="006D49EC">
        <w:rPr>
          <w:rFonts w:asciiTheme="minorHAnsi" w:hAnsiTheme="minorHAnsi"/>
          <w:szCs w:val="24"/>
        </w:rPr>
        <w:t xml:space="preserve"> </w:t>
      </w:r>
      <w:r w:rsidRPr="006D49EC">
        <w:rPr>
          <w:rFonts w:asciiTheme="minorHAnsi" w:hAnsiTheme="minorHAnsi"/>
          <w:szCs w:val="24"/>
        </w:rPr>
        <w:t>achieved. Note, this may not represent a clinically significant change in ADHD-RS-IV total score.</w:t>
      </w:r>
    </w:p>
    <w:p w:rsidR="00ED75E6" w:rsidRPr="006D49EC" w:rsidRDefault="00ED75E6" w:rsidP="00E907D1">
      <w:pPr>
        <w:pStyle w:val="ListParagraph"/>
        <w:widowControl/>
        <w:numPr>
          <w:ilvl w:val="0"/>
          <w:numId w:val="1"/>
        </w:numPr>
        <w:spacing w:after="0"/>
        <w:ind w:left="993" w:hanging="284"/>
        <w:contextualSpacing w:val="0"/>
        <w:rPr>
          <w:szCs w:val="24"/>
        </w:rPr>
      </w:pPr>
      <w:r w:rsidRPr="006D49EC">
        <w:rPr>
          <w:rFonts w:asciiTheme="minorHAnsi" w:hAnsiTheme="minorHAnsi"/>
          <w:szCs w:val="24"/>
        </w:rPr>
        <w:t xml:space="preserve">Approximately </w:t>
      </w:r>
      <w:r w:rsidR="0034553D" w:rsidRPr="006D49EC">
        <w:rPr>
          <w:rFonts w:asciiTheme="minorHAnsi" w:hAnsiTheme="minorHAnsi"/>
          <w:szCs w:val="24"/>
        </w:rPr>
        <w:t xml:space="preserve">26 </w:t>
      </w:r>
      <w:r w:rsidRPr="006D49EC">
        <w:rPr>
          <w:rFonts w:asciiTheme="minorHAnsi" w:hAnsiTheme="minorHAnsi"/>
          <w:szCs w:val="24"/>
        </w:rPr>
        <w:t>additional patients would experience somnolence.</w:t>
      </w:r>
    </w:p>
    <w:p w:rsidR="00ED75E6" w:rsidRPr="006D49EC" w:rsidRDefault="00ED75E6" w:rsidP="00E907D1">
      <w:pPr>
        <w:pStyle w:val="ListParagraph"/>
        <w:widowControl/>
        <w:numPr>
          <w:ilvl w:val="0"/>
          <w:numId w:val="1"/>
        </w:numPr>
        <w:spacing w:after="0"/>
        <w:ind w:left="993" w:hanging="284"/>
        <w:contextualSpacing w:val="0"/>
      </w:pPr>
      <w:r w:rsidRPr="006D49EC">
        <w:rPr>
          <w:rFonts w:asciiTheme="minorHAnsi" w:hAnsiTheme="minorHAnsi"/>
          <w:szCs w:val="24"/>
        </w:rPr>
        <w:t xml:space="preserve">Approximately </w:t>
      </w:r>
      <w:r w:rsidR="0034553D" w:rsidRPr="006D49EC">
        <w:rPr>
          <w:rFonts w:asciiTheme="minorHAnsi" w:hAnsiTheme="minorHAnsi"/>
          <w:szCs w:val="24"/>
        </w:rPr>
        <w:t xml:space="preserve">11 </w:t>
      </w:r>
      <w:r w:rsidRPr="006D49EC">
        <w:rPr>
          <w:rFonts w:asciiTheme="minorHAnsi" w:hAnsiTheme="minorHAnsi"/>
          <w:szCs w:val="24"/>
        </w:rPr>
        <w:t xml:space="preserve">fewer patients would experience </w:t>
      </w:r>
      <w:r w:rsidR="0034553D" w:rsidRPr="006D49EC">
        <w:rPr>
          <w:rFonts w:asciiTheme="minorHAnsi" w:hAnsiTheme="minorHAnsi"/>
          <w:szCs w:val="24"/>
        </w:rPr>
        <w:t>nausea</w:t>
      </w:r>
      <w:r w:rsidRPr="006D49EC">
        <w:rPr>
          <w:rFonts w:asciiTheme="minorHAnsi" w:hAnsiTheme="minorHAnsi"/>
          <w:szCs w:val="24"/>
        </w:rPr>
        <w:t>.</w:t>
      </w:r>
    </w:p>
    <w:p w:rsidR="00DD48DB" w:rsidRPr="006D49EC" w:rsidRDefault="00DD48DB" w:rsidP="00B24C96">
      <w:pPr>
        <w:pStyle w:val="Heading3"/>
        <w:rPr>
          <w:i/>
        </w:rPr>
      </w:pPr>
      <w:bookmarkStart w:id="33" w:name="_Toc480313632"/>
      <w:r w:rsidRPr="006D49EC">
        <w:rPr>
          <w:i/>
        </w:rPr>
        <w:t>Clinical claim</w:t>
      </w:r>
      <w:bookmarkEnd w:id="30"/>
      <w:bookmarkEnd w:id="32"/>
      <w:bookmarkEnd w:id="33"/>
    </w:p>
    <w:p w:rsidR="00D21583" w:rsidRPr="006D49EC" w:rsidRDefault="00D21583" w:rsidP="00B24C96">
      <w:pPr>
        <w:pStyle w:val="ListParagraph"/>
        <w:widowControl/>
        <w:numPr>
          <w:ilvl w:val="1"/>
          <w:numId w:val="3"/>
        </w:numPr>
        <w:contextualSpacing w:val="0"/>
        <w:rPr>
          <w:rFonts w:asciiTheme="minorHAnsi" w:hAnsiTheme="minorHAnsi"/>
        </w:rPr>
      </w:pPr>
      <w:r w:rsidRPr="006D49EC">
        <w:t xml:space="preserve">The submission described guanfacine as superior in terms of comparative </w:t>
      </w:r>
      <w:r w:rsidRPr="006D49EC">
        <w:rPr>
          <w:rFonts w:asciiTheme="minorHAnsi" w:hAnsiTheme="minorHAnsi"/>
        </w:rPr>
        <w:t>effectiveness</w:t>
      </w:r>
      <w:r w:rsidRPr="006D49EC">
        <w:t xml:space="preserve"> and as “having a trend towards [comparative] inferior safety” over atomoxetine in patients who are </w:t>
      </w:r>
      <w:r w:rsidRPr="006D49EC">
        <w:rPr>
          <w:szCs w:val="22"/>
        </w:rPr>
        <w:t>“contraindicated to stimulant therapy or are switching to guanfacine monotherapy due to poor tolerability”</w:t>
      </w:r>
      <w:r w:rsidRPr="006D49EC">
        <w:rPr>
          <w:rFonts w:asciiTheme="minorHAnsi" w:hAnsiTheme="minorHAnsi"/>
        </w:rPr>
        <w:t xml:space="preserve">. </w:t>
      </w:r>
      <w:r w:rsidR="009C11BB" w:rsidRPr="006D49EC">
        <w:rPr>
          <w:rFonts w:asciiTheme="minorHAnsi" w:hAnsiTheme="minorHAnsi"/>
        </w:rPr>
        <w:t>T</w:t>
      </w:r>
      <w:r w:rsidRPr="006D49EC">
        <w:rPr>
          <w:rFonts w:asciiTheme="minorHAnsi" w:hAnsiTheme="minorHAnsi"/>
        </w:rPr>
        <w:t>he claim regarding comparative safety was reasonable however the claim regarding co</w:t>
      </w:r>
      <w:r w:rsidR="00D635E7" w:rsidRPr="006D49EC">
        <w:rPr>
          <w:rFonts w:asciiTheme="minorHAnsi" w:hAnsiTheme="minorHAnsi"/>
        </w:rPr>
        <w:t xml:space="preserve">mparative effectiveness </w:t>
      </w:r>
      <w:r w:rsidR="00333FC9">
        <w:rPr>
          <w:rFonts w:asciiTheme="minorHAnsi" w:hAnsiTheme="minorHAnsi"/>
        </w:rPr>
        <w:t>may not be reasonable</w:t>
      </w:r>
      <w:r w:rsidRPr="006D49EC">
        <w:rPr>
          <w:rFonts w:asciiTheme="minorHAnsi" w:hAnsiTheme="minorHAnsi"/>
        </w:rPr>
        <w:t xml:space="preserve"> as:</w:t>
      </w:r>
    </w:p>
    <w:p w:rsidR="00D21583" w:rsidRPr="006D49EC" w:rsidRDefault="00D21583" w:rsidP="00FB647A">
      <w:pPr>
        <w:pStyle w:val="ListParagraph"/>
        <w:widowControl/>
        <w:numPr>
          <w:ilvl w:val="0"/>
          <w:numId w:val="10"/>
        </w:numPr>
        <w:spacing w:after="0"/>
        <w:ind w:left="851" w:hanging="284"/>
        <w:contextualSpacing w:val="0"/>
        <w:rPr>
          <w:rFonts w:asciiTheme="minorHAnsi" w:hAnsiTheme="minorHAnsi"/>
        </w:rPr>
      </w:pPr>
      <w:r w:rsidRPr="006D49EC">
        <w:rPr>
          <w:rFonts w:asciiTheme="minorHAnsi" w:hAnsiTheme="minorHAnsi"/>
        </w:rPr>
        <w:t>The comparison of guanfacine and atomoxetine was not the primary comparison of the trial and was conducted post-hoc;</w:t>
      </w:r>
    </w:p>
    <w:p w:rsidR="00D21583" w:rsidRPr="006D49EC" w:rsidRDefault="00D21583" w:rsidP="00FB647A">
      <w:pPr>
        <w:pStyle w:val="ListParagraph"/>
        <w:widowControl/>
        <w:numPr>
          <w:ilvl w:val="0"/>
          <w:numId w:val="10"/>
        </w:numPr>
        <w:spacing w:after="0"/>
        <w:ind w:left="851" w:hanging="284"/>
        <w:contextualSpacing w:val="0"/>
        <w:rPr>
          <w:rFonts w:asciiTheme="minorHAnsi" w:hAnsiTheme="minorHAnsi"/>
        </w:rPr>
      </w:pPr>
      <w:r w:rsidRPr="006D49EC">
        <w:rPr>
          <w:rFonts w:asciiTheme="minorHAnsi" w:hAnsiTheme="minorHAnsi"/>
        </w:rPr>
        <w:t>The patients enrolled in Trial 316 were not entirely representative of the requested population as they were not required to have contraindications or be intolerant to stimulants for enrolment;</w:t>
      </w:r>
    </w:p>
    <w:p w:rsidR="00D21583" w:rsidRPr="006D49EC" w:rsidRDefault="00D21583" w:rsidP="00FB647A">
      <w:pPr>
        <w:pStyle w:val="ListParagraph"/>
        <w:widowControl/>
        <w:numPr>
          <w:ilvl w:val="0"/>
          <w:numId w:val="10"/>
        </w:numPr>
        <w:spacing w:after="0"/>
        <w:ind w:left="851" w:hanging="284"/>
        <w:contextualSpacing w:val="0"/>
        <w:rPr>
          <w:rFonts w:asciiTheme="minorHAnsi" w:hAnsiTheme="minorHAnsi"/>
        </w:rPr>
      </w:pPr>
      <w:r w:rsidRPr="006D49EC">
        <w:rPr>
          <w:rFonts w:asciiTheme="minorHAnsi" w:hAnsiTheme="minorHAnsi"/>
        </w:rPr>
        <w:t xml:space="preserve">Although a statistically significant </w:t>
      </w:r>
      <w:r w:rsidR="00A26CF4">
        <w:rPr>
          <w:rFonts w:asciiTheme="minorHAnsi" w:hAnsiTheme="minorHAnsi"/>
        </w:rPr>
        <w:t xml:space="preserve">greater </w:t>
      </w:r>
      <w:r w:rsidRPr="006D49EC">
        <w:rPr>
          <w:rFonts w:asciiTheme="minorHAnsi" w:hAnsiTheme="minorHAnsi"/>
        </w:rPr>
        <w:t xml:space="preserve">reduction in ADHD-RS-IV scores </w:t>
      </w:r>
      <w:r w:rsidR="00333FC9">
        <w:rPr>
          <w:rFonts w:asciiTheme="minorHAnsi" w:hAnsiTheme="minorHAnsi"/>
        </w:rPr>
        <w:t>was</w:t>
      </w:r>
      <w:r w:rsidR="00333FC9" w:rsidRPr="006D49EC">
        <w:rPr>
          <w:rFonts w:asciiTheme="minorHAnsi" w:hAnsiTheme="minorHAnsi"/>
        </w:rPr>
        <w:t xml:space="preserve"> </w:t>
      </w:r>
      <w:r w:rsidRPr="006D49EC">
        <w:rPr>
          <w:rFonts w:asciiTheme="minorHAnsi" w:hAnsiTheme="minorHAnsi"/>
        </w:rPr>
        <w:t>observed for those treated with guanfacine compared with those treated with atomoxetine, the clinical significance of the difference was uncertain</w:t>
      </w:r>
      <w:r w:rsidR="00252388" w:rsidRPr="006D49EC">
        <w:rPr>
          <w:rFonts w:asciiTheme="minorHAnsi" w:hAnsiTheme="minorHAnsi"/>
        </w:rPr>
        <w:t>; and</w:t>
      </w:r>
    </w:p>
    <w:p w:rsidR="00D21583" w:rsidRPr="006D49EC" w:rsidRDefault="00D21583" w:rsidP="00FB647A">
      <w:pPr>
        <w:pStyle w:val="ListParagraph"/>
        <w:widowControl/>
        <w:numPr>
          <w:ilvl w:val="0"/>
          <w:numId w:val="10"/>
        </w:numPr>
        <w:ind w:left="851" w:hanging="284"/>
        <w:rPr>
          <w:rFonts w:asciiTheme="minorHAnsi" w:hAnsiTheme="minorHAnsi"/>
        </w:rPr>
      </w:pPr>
      <w:r w:rsidRPr="006D49EC">
        <w:rPr>
          <w:rFonts w:asciiTheme="minorHAnsi" w:hAnsiTheme="minorHAnsi"/>
        </w:rPr>
        <w:t>No statistically significant differences in the proportion of responders (defined as ADHD-RS-IV total score reduction ≥30% and a CGI-I ≤2), were observed between treatments, but a statistically significantly greater proportion of patients treated with guanfacine achieved “symptomatic remission” (defined as ADHD-RS-IV total score ≤18)</w:t>
      </w:r>
      <w:r w:rsidR="00252388" w:rsidRPr="006D49EC">
        <w:rPr>
          <w:rFonts w:asciiTheme="minorHAnsi" w:hAnsiTheme="minorHAnsi"/>
        </w:rPr>
        <w:t>.</w:t>
      </w:r>
    </w:p>
    <w:p w:rsidR="00844084" w:rsidRPr="006D49EC" w:rsidRDefault="000D5D4A" w:rsidP="00FB647A">
      <w:pPr>
        <w:pStyle w:val="ListParagraph"/>
        <w:widowControl/>
        <w:numPr>
          <w:ilvl w:val="0"/>
          <w:numId w:val="10"/>
        </w:numPr>
        <w:ind w:left="851" w:hanging="284"/>
        <w:contextualSpacing w:val="0"/>
        <w:rPr>
          <w:rFonts w:asciiTheme="minorHAnsi" w:hAnsiTheme="minorHAnsi"/>
        </w:rPr>
      </w:pPr>
      <w:r w:rsidRPr="006D49EC">
        <w:rPr>
          <w:rFonts w:asciiTheme="minorHAnsi" w:hAnsiTheme="minorHAnsi"/>
        </w:rPr>
        <w:t>The ESC noted the submission</w:t>
      </w:r>
      <w:r w:rsidR="00844084" w:rsidRPr="006D49EC">
        <w:rPr>
          <w:rFonts w:asciiTheme="minorHAnsi" w:hAnsiTheme="minorHAnsi"/>
        </w:rPr>
        <w:t xml:space="preserve"> adopted an assumption of non-inferiority in taking a c</w:t>
      </w:r>
      <w:r w:rsidRPr="006D49EC">
        <w:rPr>
          <w:rFonts w:asciiTheme="minorHAnsi" w:hAnsiTheme="minorHAnsi"/>
        </w:rPr>
        <w:t>ost-minimisation approach in the</w:t>
      </w:r>
      <w:r w:rsidR="00844084" w:rsidRPr="006D49EC">
        <w:rPr>
          <w:rFonts w:asciiTheme="minorHAnsi" w:hAnsiTheme="minorHAnsi"/>
        </w:rPr>
        <w:t xml:space="preserve"> economic analysis.</w:t>
      </w:r>
    </w:p>
    <w:p w:rsidR="00252388" w:rsidRPr="006D49EC" w:rsidRDefault="00252388" w:rsidP="00B24C96">
      <w:pPr>
        <w:pStyle w:val="ListParagraph"/>
        <w:widowControl/>
        <w:numPr>
          <w:ilvl w:val="1"/>
          <w:numId w:val="3"/>
        </w:numPr>
        <w:contextualSpacing w:val="0"/>
      </w:pPr>
      <w:r w:rsidRPr="006D49EC">
        <w:t>The submission described guanfacine in combination with stimulant therapy as superior in terms of comparative effectiveness and inferior in terms of comparative safety over placebo in combination with stimulant therapy in patients who “intend to support the use of guanfacine as add-on therapy in patients who have an unsatisfactory response on optimal stimulant</w:t>
      </w:r>
      <w:r w:rsidRPr="006D49EC">
        <w:rPr>
          <w:szCs w:val="22"/>
        </w:rPr>
        <w:t xml:space="preserve"> </w:t>
      </w:r>
      <w:r w:rsidRPr="006D49EC">
        <w:t xml:space="preserve">therapy”. This claim was reasonable in terms of comparative safety, however, the claim of superior effectiveness </w:t>
      </w:r>
      <w:r w:rsidR="00333FC9">
        <w:t xml:space="preserve">may not be reasonable </w:t>
      </w:r>
      <w:r w:rsidRPr="006D49EC">
        <w:t>as:</w:t>
      </w:r>
    </w:p>
    <w:p w:rsidR="00252388" w:rsidRPr="006D49EC" w:rsidRDefault="00252388" w:rsidP="00FB647A">
      <w:pPr>
        <w:pStyle w:val="ListParagraph"/>
        <w:widowControl/>
        <w:numPr>
          <w:ilvl w:val="1"/>
          <w:numId w:val="11"/>
        </w:numPr>
        <w:spacing w:after="0"/>
        <w:ind w:left="851" w:hanging="284"/>
        <w:contextualSpacing w:val="0"/>
      </w:pPr>
      <w:r w:rsidRPr="006D49EC">
        <w:t xml:space="preserve">Although a statistically significant </w:t>
      </w:r>
      <w:r w:rsidR="00A26CF4">
        <w:t xml:space="preserve">greater </w:t>
      </w:r>
      <w:r w:rsidRPr="006D49EC">
        <w:t xml:space="preserve">reduction in ADHD-RS-IV scores </w:t>
      </w:r>
      <w:r w:rsidR="00426E9B" w:rsidRPr="006D49EC">
        <w:t xml:space="preserve">was </w:t>
      </w:r>
      <w:r w:rsidRPr="006D49EC">
        <w:t xml:space="preserve">observed for those treated with guanfacine + long-acting stimulants compared with those treated with placebo + long-acting stimulants, the clinical significance of the difference was uncertain. </w:t>
      </w:r>
    </w:p>
    <w:p w:rsidR="000D5D4A" w:rsidRPr="006D49EC" w:rsidRDefault="00252388" w:rsidP="00FB647A">
      <w:pPr>
        <w:pStyle w:val="ListParagraph"/>
        <w:widowControl/>
        <w:numPr>
          <w:ilvl w:val="1"/>
          <w:numId w:val="11"/>
        </w:numPr>
        <w:ind w:left="851" w:hanging="284"/>
        <w:contextualSpacing w:val="0"/>
      </w:pPr>
      <w:r w:rsidRPr="006D49EC">
        <w:t>It was however noted that a statistically significantly greater proportion of patients treated with guanfacine + long-acting stimulants also achieved “responder” (defined as ADHD-RS-IV total score reduction ≥25%) and “symptomatic” (defined as ADHD-RS-IV total score ≤18) and “syndromal” (defined as ADHD-RS-IV total score ≤18 AND CGI-S ≤2) remission status, compared with those treated with placebo + long-acting stimulants.</w:t>
      </w:r>
    </w:p>
    <w:p w:rsidR="00B24C96" w:rsidRPr="006D49EC" w:rsidRDefault="00BE0E07" w:rsidP="00E23879">
      <w:pPr>
        <w:pStyle w:val="ListParagraph"/>
        <w:widowControl/>
        <w:numPr>
          <w:ilvl w:val="1"/>
          <w:numId w:val="3"/>
        </w:numPr>
        <w:contextualSpacing w:val="0"/>
      </w:pPr>
      <w:r w:rsidRPr="006D49EC">
        <w:t>Although the submission suggest</w:t>
      </w:r>
      <w:r w:rsidR="00333FC9">
        <w:t>ed</w:t>
      </w:r>
      <w:r w:rsidRPr="006D49EC">
        <w:t xml:space="preserve"> that guanfacine could be used as monotherapy among those who have failed to achieve an adequate response to stimulants, the submission did not provide a clinical claim for this population. The trials informing a comparison of guanfacine monotherapy and placebo enrolled patients with or without a history of prior stimulant use (ranging from 18.5% to 73.3% of patients with prior stimulant use)</w:t>
      </w:r>
      <w:r w:rsidR="00A26CF4">
        <w:t>.</w:t>
      </w:r>
      <w:r w:rsidRPr="006D49EC">
        <w:t xml:space="preserve"> </w:t>
      </w:r>
      <w:r w:rsidR="00A26CF4">
        <w:t>T</w:t>
      </w:r>
      <w:r w:rsidRPr="006D49EC">
        <w:t>hus, as discussed above for “patients who are intolerant of stimulants”, any clinical claim made for use of guanfacine as monotherapy would require acceptance that the comparative effectiveness and safety versus placebo observed in a broader ADHD population would also apply to those who are achieving an inadequate response to stimulants.</w:t>
      </w:r>
    </w:p>
    <w:p w:rsidR="00B24C96" w:rsidRPr="006D49EC" w:rsidRDefault="00B24C96"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considered that the claim of </w:t>
      </w:r>
      <w:r w:rsidR="00CA1973" w:rsidRPr="006D49EC">
        <w:rPr>
          <w:rFonts w:asciiTheme="minorHAnsi" w:hAnsiTheme="minorHAnsi"/>
        </w:rPr>
        <w:t xml:space="preserve">superior comparative effectiveness over atomoxetine </w:t>
      </w:r>
      <w:r w:rsidR="001C78DB" w:rsidRPr="006D49EC">
        <w:rPr>
          <w:rFonts w:asciiTheme="minorHAnsi" w:hAnsiTheme="minorHAnsi"/>
        </w:rPr>
        <w:t>was questionable</w:t>
      </w:r>
      <w:r w:rsidR="00CA1973" w:rsidRPr="006D49EC">
        <w:rPr>
          <w:rFonts w:asciiTheme="minorHAnsi" w:hAnsiTheme="minorHAnsi"/>
        </w:rPr>
        <w:t>, but noted the submission requested listing on a cost-minimisation basis with atomoxetine, and a claim of non-inferiority to support listing on that basis</w:t>
      </w:r>
      <w:r w:rsidR="002702BE" w:rsidRPr="006D49EC">
        <w:rPr>
          <w:rFonts w:asciiTheme="minorHAnsi" w:hAnsiTheme="minorHAnsi"/>
        </w:rPr>
        <w:t xml:space="preserve"> was adequately supported</w:t>
      </w:r>
      <w:r w:rsidR="00CA1973" w:rsidRPr="006D49EC">
        <w:rPr>
          <w:rFonts w:asciiTheme="minorHAnsi" w:hAnsiTheme="minorHAnsi"/>
        </w:rPr>
        <w:t>, for patients who are contraindicated or intolerant to stimulants.</w:t>
      </w:r>
    </w:p>
    <w:p w:rsidR="001C78DB" w:rsidRPr="006D49EC" w:rsidRDefault="001C78DB" w:rsidP="001C78DB">
      <w:pPr>
        <w:pStyle w:val="ListParagraph"/>
        <w:widowControl/>
        <w:numPr>
          <w:ilvl w:val="1"/>
          <w:numId w:val="3"/>
        </w:numPr>
        <w:contextualSpacing w:val="0"/>
        <w:rPr>
          <w:rFonts w:asciiTheme="minorHAnsi" w:hAnsiTheme="minorHAnsi"/>
        </w:rPr>
      </w:pPr>
      <w:r w:rsidRPr="006D49EC">
        <w:rPr>
          <w:rFonts w:asciiTheme="minorHAnsi" w:hAnsiTheme="minorHAnsi"/>
        </w:rPr>
        <w:t>The PBAC considered the claim of a trend towards inferior, comparative safety compared to atomoxetine for patients who are contraindicated or intolerant to stimulant therapy was adequately supported.</w:t>
      </w:r>
    </w:p>
    <w:p w:rsidR="000B5C0F" w:rsidRPr="006D49EC" w:rsidRDefault="000B5C0F" w:rsidP="00B24C96">
      <w:pPr>
        <w:pStyle w:val="ListParagraph"/>
        <w:widowControl/>
        <w:numPr>
          <w:ilvl w:val="1"/>
          <w:numId w:val="3"/>
        </w:numPr>
        <w:contextualSpacing w:val="0"/>
        <w:rPr>
          <w:rFonts w:asciiTheme="minorHAnsi" w:hAnsiTheme="minorHAnsi"/>
        </w:rPr>
      </w:pPr>
      <w:r w:rsidRPr="006D49EC">
        <w:rPr>
          <w:rFonts w:asciiTheme="minorHAnsi" w:hAnsiTheme="minorHAnsi"/>
        </w:rPr>
        <w:t>T</w:t>
      </w:r>
      <w:r w:rsidR="0037466C" w:rsidRPr="006D49EC">
        <w:rPr>
          <w:rFonts w:asciiTheme="minorHAnsi" w:hAnsiTheme="minorHAnsi"/>
        </w:rPr>
        <w:t>he PBAC considered</w:t>
      </w:r>
      <w:r w:rsidRPr="006D49EC">
        <w:rPr>
          <w:rFonts w:asciiTheme="minorHAnsi" w:hAnsiTheme="minorHAnsi"/>
        </w:rPr>
        <w:t xml:space="preserve"> the claim of superior comparative effectiveness over placebo </w:t>
      </w:r>
      <w:r w:rsidR="00106AF7" w:rsidRPr="006D49EC">
        <w:rPr>
          <w:rFonts w:asciiTheme="minorHAnsi" w:hAnsiTheme="minorHAnsi"/>
        </w:rPr>
        <w:t xml:space="preserve">as adjunctive therapy </w:t>
      </w:r>
      <w:r w:rsidRPr="006D49EC">
        <w:rPr>
          <w:rFonts w:asciiTheme="minorHAnsi" w:hAnsiTheme="minorHAnsi"/>
        </w:rPr>
        <w:t xml:space="preserve">in patients who have an inadequate response to stimulant therapy may be supported for adjunctive therapy, but the extent of benefit was unclear. </w:t>
      </w:r>
    </w:p>
    <w:p w:rsidR="0037466C" w:rsidRPr="006D49EC" w:rsidRDefault="0037466C"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considered the claim of </w:t>
      </w:r>
      <w:r w:rsidR="00106AF7" w:rsidRPr="006D49EC">
        <w:rPr>
          <w:rFonts w:asciiTheme="minorHAnsi" w:hAnsiTheme="minorHAnsi"/>
        </w:rPr>
        <w:t>infer</w:t>
      </w:r>
      <w:r w:rsidRPr="006D49EC">
        <w:rPr>
          <w:rFonts w:asciiTheme="minorHAnsi" w:hAnsiTheme="minorHAnsi"/>
        </w:rPr>
        <w:t xml:space="preserve">ior comparative </w:t>
      </w:r>
      <w:r w:rsidR="00106AF7" w:rsidRPr="006D49EC">
        <w:rPr>
          <w:rFonts w:asciiTheme="minorHAnsi" w:hAnsiTheme="minorHAnsi"/>
        </w:rPr>
        <w:t>safety</w:t>
      </w:r>
      <w:r w:rsidRPr="006D49EC">
        <w:rPr>
          <w:rFonts w:asciiTheme="minorHAnsi" w:hAnsiTheme="minorHAnsi"/>
        </w:rPr>
        <w:t xml:space="preserve"> compared to placebo </w:t>
      </w:r>
      <w:r w:rsidR="00106AF7" w:rsidRPr="006D49EC">
        <w:rPr>
          <w:rFonts w:asciiTheme="minorHAnsi" w:hAnsiTheme="minorHAnsi"/>
        </w:rPr>
        <w:t>as adjunctive therapy in patients who have an inadequate response to stimulant therapy</w:t>
      </w:r>
      <w:r w:rsidRPr="006D49EC">
        <w:rPr>
          <w:rFonts w:asciiTheme="minorHAnsi" w:hAnsiTheme="minorHAnsi"/>
        </w:rPr>
        <w:t xml:space="preserve"> was adequately supported.</w:t>
      </w:r>
    </w:p>
    <w:p w:rsidR="004E4285" w:rsidRPr="006D49EC" w:rsidRDefault="004E4285" w:rsidP="00B24C96">
      <w:pPr>
        <w:pStyle w:val="ListParagraph"/>
        <w:widowControl/>
        <w:numPr>
          <w:ilvl w:val="1"/>
          <w:numId w:val="3"/>
        </w:numPr>
        <w:contextualSpacing w:val="0"/>
        <w:rPr>
          <w:rFonts w:asciiTheme="minorHAnsi" w:hAnsiTheme="minorHAnsi"/>
        </w:rPr>
      </w:pPr>
      <w:r w:rsidRPr="006D49EC">
        <w:rPr>
          <w:rFonts w:asciiTheme="minorHAnsi" w:hAnsiTheme="minorHAnsi"/>
        </w:rPr>
        <w:t>The PBAC noted the submission did not make an explicit clinical claim for guanfacine as monotherapy in patients who had an inadequate response to stimulant therapy</w:t>
      </w:r>
      <w:r w:rsidR="00990A0E" w:rsidRPr="006D49EC">
        <w:rPr>
          <w:rFonts w:asciiTheme="minorHAnsi" w:hAnsiTheme="minorHAnsi"/>
        </w:rPr>
        <w:t>, and further noted that no evidence to support a listing in this population was presented</w:t>
      </w:r>
      <w:r w:rsidRPr="006D49EC">
        <w:rPr>
          <w:rFonts w:asciiTheme="minorHAnsi" w:hAnsiTheme="minorHAnsi"/>
        </w:rPr>
        <w:t>.</w:t>
      </w:r>
    </w:p>
    <w:p w:rsidR="00DD48DB" w:rsidRPr="006D49EC" w:rsidRDefault="00DD48DB" w:rsidP="00B24C96">
      <w:pPr>
        <w:pStyle w:val="Heading3"/>
        <w:rPr>
          <w:i/>
        </w:rPr>
      </w:pPr>
      <w:bookmarkStart w:id="34" w:name="_Toc413139282"/>
      <w:bookmarkStart w:id="35" w:name="_Toc476306892"/>
      <w:bookmarkStart w:id="36" w:name="_Toc480313633"/>
      <w:r w:rsidRPr="006D49EC">
        <w:rPr>
          <w:i/>
        </w:rPr>
        <w:t>Economic analysis</w:t>
      </w:r>
      <w:bookmarkEnd w:id="34"/>
      <w:bookmarkEnd w:id="35"/>
      <w:bookmarkEnd w:id="36"/>
    </w:p>
    <w:p w:rsidR="00DD48DB" w:rsidRPr="006D49EC" w:rsidRDefault="00267926" w:rsidP="00B24C96">
      <w:pPr>
        <w:pStyle w:val="ListParagraph"/>
        <w:widowControl/>
        <w:numPr>
          <w:ilvl w:val="1"/>
          <w:numId w:val="3"/>
        </w:numPr>
        <w:contextualSpacing w:val="0"/>
        <w:rPr>
          <w:rFonts w:asciiTheme="minorHAnsi" w:hAnsiTheme="minorHAnsi"/>
        </w:rPr>
      </w:pPr>
      <w:r w:rsidRPr="006D49EC">
        <w:rPr>
          <w:rFonts w:asciiTheme="minorHAnsi" w:hAnsiTheme="minorHAnsi"/>
        </w:rPr>
        <w:t>The submission presented (i) a cost-minimisation analysis versus atomoxetine for patients who are contraindicated or intolerant to stimulants and (ii) a cost-utility analysis for treatment with guanfacine + long-acting stimu</w:t>
      </w:r>
      <w:r w:rsidR="001D19D1" w:rsidRPr="006D49EC">
        <w:rPr>
          <w:rFonts w:asciiTheme="minorHAnsi" w:hAnsiTheme="minorHAnsi"/>
        </w:rPr>
        <w:t>la</w:t>
      </w:r>
      <w:r w:rsidRPr="006D49EC">
        <w:rPr>
          <w:rFonts w:asciiTheme="minorHAnsi" w:hAnsiTheme="minorHAnsi"/>
        </w:rPr>
        <w:t>nts versus placebo + long-acting stimulants in patients who fail to achieve an adequate response to stimulant therapy.</w:t>
      </w:r>
    </w:p>
    <w:p w:rsidR="00A26CF4" w:rsidRPr="00A26CF4" w:rsidRDefault="009C11BB" w:rsidP="00A26CF4">
      <w:pPr>
        <w:widowControl/>
        <w:spacing w:after="120"/>
        <w:rPr>
          <w:rFonts w:ascii="Calibri" w:hAnsi="Calibri" w:cs="Times New Roman"/>
          <w:i/>
          <w:snapToGrid/>
          <w:sz w:val="24"/>
          <w:szCs w:val="24"/>
        </w:rPr>
      </w:pPr>
      <w:r w:rsidRPr="00A26CF4">
        <w:rPr>
          <w:rFonts w:ascii="Calibri" w:hAnsi="Calibri" w:cs="Times New Roman"/>
          <w:i/>
          <w:snapToGrid/>
          <w:sz w:val="24"/>
          <w:szCs w:val="24"/>
        </w:rPr>
        <w:t xml:space="preserve">(i) Cost-minimisation analysis versus atomoxetine </w:t>
      </w:r>
    </w:p>
    <w:p w:rsidR="00267926" w:rsidRPr="006D49EC" w:rsidRDefault="00267926"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w:t>
      </w:r>
      <w:r w:rsidR="00F530C5" w:rsidRPr="006D49EC">
        <w:rPr>
          <w:rFonts w:asciiTheme="minorHAnsi" w:hAnsiTheme="minorHAnsi"/>
        </w:rPr>
        <w:t xml:space="preserve">trial-based </w:t>
      </w:r>
      <w:r w:rsidRPr="006D49EC">
        <w:rPr>
          <w:rFonts w:asciiTheme="minorHAnsi" w:hAnsiTheme="minorHAnsi"/>
        </w:rPr>
        <w:t xml:space="preserve">equi-effective doses </w:t>
      </w:r>
      <w:r w:rsidR="00106AF7" w:rsidRPr="006D49EC">
        <w:rPr>
          <w:rFonts w:asciiTheme="minorHAnsi" w:hAnsiTheme="minorHAnsi"/>
        </w:rPr>
        <w:t>are</w:t>
      </w:r>
      <w:r w:rsidRPr="006D49EC">
        <w:rPr>
          <w:rFonts w:asciiTheme="minorHAnsi" w:hAnsiTheme="minorHAnsi"/>
        </w:rPr>
        <w:t xml:space="preserve"> estimated as guanfacine 3.6mg per day (or </w:t>
      </w:r>
      <w:r w:rsidRPr="006E7A34">
        <w:rPr>
          <w:rFonts w:asciiTheme="minorHAnsi" w:hAnsiTheme="minorHAnsi"/>
        </w:rPr>
        <w:t>1.19 tablets) up to 13 weeks and atomoxetine 42.1mg per day (or 1.08 capsules</w:t>
      </w:r>
      <w:r w:rsidRPr="006D49EC">
        <w:rPr>
          <w:rFonts w:asciiTheme="minorHAnsi" w:hAnsiTheme="minorHAnsi"/>
        </w:rPr>
        <w:t xml:space="preserve">) for up to 13 weeks based on the results of Trial 316. </w:t>
      </w:r>
    </w:p>
    <w:p w:rsidR="006B793B" w:rsidRPr="006D49EC" w:rsidRDefault="006B793B"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submission estimated that the average daily dose of atomoxetine in Australian clinical practice is </w:t>
      </w:r>
      <w:r w:rsidRPr="006E7A34">
        <w:rPr>
          <w:rFonts w:asciiTheme="minorHAnsi" w:hAnsiTheme="minorHAnsi"/>
        </w:rPr>
        <w:t xml:space="preserve">34.17 mg/day </w:t>
      </w:r>
      <w:r w:rsidR="003A25E9" w:rsidRPr="006E7A34">
        <w:t>and 1.31</w:t>
      </w:r>
      <w:r w:rsidR="003A25E9" w:rsidRPr="006D49EC">
        <w:t xml:space="preserve"> capsules </w:t>
      </w:r>
      <w:r w:rsidR="00C67FD4" w:rsidRPr="006D49EC">
        <w:rPr>
          <w:rFonts w:asciiTheme="minorHAnsi" w:hAnsiTheme="minorHAnsi"/>
        </w:rPr>
        <w:t>from a 10% PBS sample</w:t>
      </w:r>
      <w:r w:rsidRPr="006D49EC">
        <w:rPr>
          <w:rFonts w:asciiTheme="minorHAnsi" w:hAnsiTheme="minorHAnsi"/>
        </w:rPr>
        <w:t xml:space="preserve">. </w:t>
      </w:r>
      <w:r w:rsidR="00F302A6" w:rsidRPr="006D49EC">
        <w:t xml:space="preserve">Very little information is provided with respect to the population used in the analysis, although it appeared to be based on </w:t>
      </w:r>
      <w:r w:rsidR="00F302A6" w:rsidRPr="006E7A34">
        <w:t>67</w:t>
      </w:r>
      <w:r w:rsidR="00F302A6" w:rsidRPr="006D49EC">
        <w:t xml:space="preserve"> patients who were dispensed at least two prescriptions of atomoxetine. </w:t>
      </w:r>
      <w:r w:rsidRPr="006D49EC">
        <w:rPr>
          <w:rFonts w:asciiTheme="minorHAnsi" w:hAnsiTheme="minorHAnsi"/>
        </w:rPr>
        <w:t>The submission noted that this dosing was lower than that observed in Trial 316 (42.1mg/day) and suggested this may have been due to (i) the trial not including titration doses</w:t>
      </w:r>
      <w:r w:rsidR="00F302A6" w:rsidRPr="006D49EC">
        <w:rPr>
          <w:rFonts w:asciiTheme="minorHAnsi" w:hAnsiTheme="minorHAnsi"/>
        </w:rPr>
        <w:t xml:space="preserve">, </w:t>
      </w:r>
      <w:r w:rsidR="00F302A6" w:rsidRPr="006D49EC">
        <w:t>estimation of equi-effective doses should be based on ‘steady state’ dosing (p208 of the PBAC Guidelines v4-5);</w:t>
      </w:r>
      <w:r w:rsidRPr="006D49EC">
        <w:rPr>
          <w:rFonts w:asciiTheme="minorHAnsi" w:hAnsiTheme="minorHAnsi"/>
        </w:rPr>
        <w:t xml:space="preserve"> and (ii) the patients in Trial 316 tended to be older than the PBS population taking atomoxetine. </w:t>
      </w:r>
      <w:r w:rsidR="0022747F" w:rsidRPr="006D49EC">
        <w:t xml:space="preserve"> </w:t>
      </w:r>
      <w:r w:rsidR="00844084" w:rsidRPr="006D49EC">
        <w:rPr>
          <w:rFonts w:asciiTheme="minorHAnsi" w:hAnsiTheme="minorHAnsi"/>
        </w:rPr>
        <w:t>In the PSCR</w:t>
      </w:r>
      <w:r w:rsidR="00906CC8" w:rsidRPr="006D49EC">
        <w:rPr>
          <w:rFonts w:asciiTheme="minorHAnsi" w:hAnsiTheme="minorHAnsi"/>
        </w:rPr>
        <w:t xml:space="preserve"> (p3)</w:t>
      </w:r>
      <w:r w:rsidR="00844084" w:rsidRPr="006D49EC">
        <w:rPr>
          <w:rFonts w:asciiTheme="minorHAnsi" w:hAnsiTheme="minorHAnsi"/>
        </w:rPr>
        <w:t xml:space="preserve"> the sponsor provided more details on the 10% PBS sample and indicated that the sample used was concessional patients only</w:t>
      </w:r>
      <w:r w:rsidR="003C1DC5" w:rsidRPr="006D49EC">
        <w:rPr>
          <w:rFonts w:asciiTheme="minorHAnsi" w:hAnsiTheme="minorHAnsi"/>
        </w:rPr>
        <w:t>,</w:t>
      </w:r>
      <w:r w:rsidR="00844084" w:rsidRPr="006D49EC">
        <w:rPr>
          <w:rFonts w:asciiTheme="minorHAnsi" w:hAnsiTheme="minorHAnsi"/>
        </w:rPr>
        <w:t xml:space="preserve"> </w:t>
      </w:r>
      <w:r w:rsidR="00906CC8" w:rsidRPr="006D49EC">
        <w:rPr>
          <w:rFonts w:asciiTheme="minorHAnsi" w:hAnsiTheme="minorHAnsi"/>
        </w:rPr>
        <w:t>who were</w:t>
      </w:r>
      <w:r w:rsidR="00844084" w:rsidRPr="006D49EC">
        <w:rPr>
          <w:rFonts w:asciiTheme="minorHAnsi" w:hAnsiTheme="minorHAnsi"/>
        </w:rPr>
        <w:t xml:space="preserve"> naïve to ADHD </w:t>
      </w:r>
      <w:r w:rsidR="00906CC8" w:rsidRPr="006D49EC">
        <w:rPr>
          <w:rFonts w:asciiTheme="minorHAnsi" w:hAnsiTheme="minorHAnsi"/>
        </w:rPr>
        <w:t>medication</w:t>
      </w:r>
      <w:r w:rsidR="00844084" w:rsidRPr="006D49EC">
        <w:rPr>
          <w:rFonts w:asciiTheme="minorHAnsi" w:hAnsiTheme="minorHAnsi"/>
        </w:rPr>
        <w:t xml:space="preserve">. </w:t>
      </w:r>
      <w:r w:rsidR="00844084" w:rsidRPr="009500FD">
        <w:rPr>
          <w:rFonts w:asciiTheme="minorHAnsi" w:hAnsiTheme="minorHAnsi"/>
        </w:rPr>
        <w:t>The ESC</w:t>
      </w:r>
      <w:r w:rsidR="00844084" w:rsidRPr="006D49EC">
        <w:rPr>
          <w:rFonts w:asciiTheme="minorHAnsi" w:hAnsiTheme="minorHAnsi"/>
        </w:rPr>
        <w:t xml:space="preserve"> considered that </w:t>
      </w:r>
      <w:r w:rsidR="00513BD3" w:rsidRPr="006D49EC">
        <w:rPr>
          <w:rFonts w:asciiTheme="minorHAnsi" w:hAnsiTheme="minorHAnsi"/>
        </w:rPr>
        <w:t xml:space="preserve">both </w:t>
      </w:r>
      <w:r w:rsidR="00844084" w:rsidRPr="006D49EC">
        <w:rPr>
          <w:rFonts w:asciiTheme="minorHAnsi" w:hAnsiTheme="minorHAnsi"/>
        </w:rPr>
        <w:t xml:space="preserve">these criteria could lead to a non-representative sample given there is likely to be large use in non-concessional patients, and patients naïve to ADHD medication </w:t>
      </w:r>
      <w:r w:rsidR="003C1DC5" w:rsidRPr="006D49EC">
        <w:rPr>
          <w:rFonts w:asciiTheme="minorHAnsi" w:hAnsiTheme="minorHAnsi"/>
        </w:rPr>
        <w:t>c</w:t>
      </w:r>
      <w:r w:rsidR="00906CC8" w:rsidRPr="006D49EC">
        <w:rPr>
          <w:rFonts w:asciiTheme="minorHAnsi" w:hAnsiTheme="minorHAnsi"/>
        </w:rPr>
        <w:t xml:space="preserve">ould </w:t>
      </w:r>
      <w:r w:rsidR="00844084" w:rsidRPr="006D49EC">
        <w:rPr>
          <w:rFonts w:asciiTheme="minorHAnsi" w:hAnsiTheme="minorHAnsi"/>
        </w:rPr>
        <w:t xml:space="preserve">only represent </w:t>
      </w:r>
      <w:r w:rsidR="00906CC8" w:rsidRPr="006D49EC">
        <w:rPr>
          <w:rFonts w:asciiTheme="minorHAnsi" w:hAnsiTheme="minorHAnsi"/>
        </w:rPr>
        <w:t xml:space="preserve">the </w:t>
      </w:r>
      <w:r w:rsidR="003C1DC5" w:rsidRPr="006D49EC">
        <w:rPr>
          <w:rFonts w:asciiTheme="minorHAnsi" w:hAnsiTheme="minorHAnsi"/>
        </w:rPr>
        <w:t xml:space="preserve">use of atomoxetine on the PBS for patients </w:t>
      </w:r>
      <w:r w:rsidR="00906CC8" w:rsidRPr="006D49EC">
        <w:rPr>
          <w:rFonts w:asciiTheme="minorHAnsi" w:hAnsiTheme="minorHAnsi"/>
        </w:rPr>
        <w:t>contraindicated</w:t>
      </w:r>
      <w:r w:rsidR="00844084" w:rsidRPr="006D49EC">
        <w:rPr>
          <w:rFonts w:asciiTheme="minorHAnsi" w:hAnsiTheme="minorHAnsi"/>
        </w:rPr>
        <w:t xml:space="preserve"> </w:t>
      </w:r>
      <w:r w:rsidR="00906CC8" w:rsidRPr="006D49EC">
        <w:rPr>
          <w:rFonts w:asciiTheme="minorHAnsi" w:hAnsiTheme="minorHAnsi"/>
        </w:rPr>
        <w:t>to stimulants and not th</w:t>
      </w:r>
      <w:r w:rsidR="003C1DC5" w:rsidRPr="006D49EC">
        <w:rPr>
          <w:rFonts w:asciiTheme="minorHAnsi" w:hAnsiTheme="minorHAnsi"/>
        </w:rPr>
        <w:t>os</w:t>
      </w:r>
      <w:r w:rsidR="00906CC8" w:rsidRPr="006D49EC">
        <w:rPr>
          <w:rFonts w:asciiTheme="minorHAnsi" w:hAnsiTheme="minorHAnsi"/>
        </w:rPr>
        <w:t>e</w:t>
      </w:r>
      <w:r w:rsidR="003C1DC5" w:rsidRPr="006D49EC">
        <w:rPr>
          <w:rFonts w:asciiTheme="minorHAnsi" w:hAnsiTheme="minorHAnsi"/>
        </w:rPr>
        <w:t xml:space="preserve"> who are</w:t>
      </w:r>
      <w:r w:rsidR="00906CC8" w:rsidRPr="006D49EC">
        <w:rPr>
          <w:rFonts w:asciiTheme="minorHAnsi" w:hAnsiTheme="minorHAnsi"/>
        </w:rPr>
        <w:t xml:space="preserve"> </w:t>
      </w:r>
      <w:r w:rsidR="003C1DC5" w:rsidRPr="006D49EC">
        <w:rPr>
          <w:rFonts w:asciiTheme="minorHAnsi" w:hAnsiTheme="minorHAnsi"/>
        </w:rPr>
        <w:t>intolerant to stimulants</w:t>
      </w:r>
      <w:r w:rsidR="00844084" w:rsidRPr="006D49EC">
        <w:rPr>
          <w:rFonts w:asciiTheme="minorHAnsi" w:hAnsiTheme="minorHAnsi"/>
        </w:rPr>
        <w:t xml:space="preserve">.  </w:t>
      </w:r>
    </w:p>
    <w:p w:rsidR="003C1DC5" w:rsidRPr="006D49EC" w:rsidRDefault="003C1DC5"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submission requested a relativity of guanfacine </w:t>
      </w:r>
      <w:r w:rsidRPr="006E7A34">
        <w:rPr>
          <w:rFonts w:asciiTheme="minorHAnsi" w:hAnsiTheme="minorHAnsi"/>
        </w:rPr>
        <w:t>1.19</w:t>
      </w:r>
      <w:r w:rsidRPr="006D49EC">
        <w:rPr>
          <w:rFonts w:asciiTheme="minorHAnsi" w:hAnsiTheme="minorHAnsi"/>
        </w:rPr>
        <w:t xml:space="preserve"> tablets/day (from Trial 316) and atomoxetine </w:t>
      </w:r>
      <w:r w:rsidRPr="006E7A34">
        <w:rPr>
          <w:rFonts w:asciiTheme="minorHAnsi" w:hAnsiTheme="minorHAnsi"/>
        </w:rPr>
        <w:t>1.31</w:t>
      </w:r>
      <w:r w:rsidRPr="006D49EC">
        <w:rPr>
          <w:rFonts w:asciiTheme="minorHAnsi" w:hAnsiTheme="minorHAnsi"/>
        </w:rPr>
        <w:t xml:space="preserve"> capsules/day (derived from a 10% PBS sample). Based on a weighted average ex-manufacturer price of $</w:t>
      </w:r>
      <w:r w:rsidR="00CF0A88">
        <w:rPr>
          <w:rFonts w:asciiTheme="minorHAnsi" w:hAnsiTheme="minorHAnsi"/>
          <w:noProof/>
          <w:color w:val="000000"/>
          <w:highlight w:val="black"/>
        </w:rPr>
        <w:t>''''''''</w:t>
      </w:r>
      <w:r w:rsidRPr="006D49EC">
        <w:rPr>
          <w:rFonts w:asciiTheme="minorHAnsi" w:hAnsiTheme="minorHAnsi"/>
        </w:rPr>
        <w:t>/day for atomoxetine, the submission derived an effective DPMQ of $</w:t>
      </w:r>
      <w:r w:rsidR="00CF0A88">
        <w:rPr>
          <w:rFonts w:asciiTheme="minorHAnsi" w:hAnsiTheme="minorHAnsi"/>
          <w:noProof/>
          <w:color w:val="000000"/>
          <w:highlight w:val="black"/>
        </w:rPr>
        <w:t>'''''''''''</w:t>
      </w:r>
      <w:r w:rsidRPr="006D49EC">
        <w:rPr>
          <w:rFonts w:asciiTheme="minorHAnsi" w:hAnsiTheme="minorHAnsi"/>
        </w:rPr>
        <w:t xml:space="preserve">. </w:t>
      </w:r>
    </w:p>
    <w:p w:rsidR="00426E9B" w:rsidRPr="006D49EC" w:rsidRDefault="00426E9B"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submission did not explicitly provide a justification for requesting this relativity, but it was presumably to incorporate the “current” use of atomoxetine in Australia. </w:t>
      </w:r>
      <w:r w:rsidR="003C1DC5" w:rsidRPr="006D49EC">
        <w:rPr>
          <w:rFonts w:asciiTheme="minorHAnsi" w:hAnsiTheme="minorHAnsi"/>
        </w:rPr>
        <w:t>The PSCR (p3) argued that the cost-minimisation analysis based on the relative number of capsules/tablets per patient per day rather than the total dose per day was appropriate given the flat pricing structure of atomoxetine (and proposed for guanfacine) on the PBS and that the Study 316 protocol artificially lowered the number of capsules per day; whereas in clini</w:t>
      </w:r>
      <w:r w:rsidR="00F65F04" w:rsidRPr="006D49EC">
        <w:rPr>
          <w:rFonts w:asciiTheme="minorHAnsi" w:hAnsiTheme="minorHAnsi"/>
        </w:rPr>
        <w:t>cal practice approximately 30% o</w:t>
      </w:r>
      <w:r w:rsidR="003C1DC5" w:rsidRPr="006D49EC">
        <w:rPr>
          <w:rFonts w:asciiTheme="minorHAnsi" w:hAnsiTheme="minorHAnsi"/>
        </w:rPr>
        <w:t xml:space="preserve">f patients treated with atomoxetine adopt twice daily dosing to reduce side-effects. </w:t>
      </w:r>
      <w:r w:rsidRPr="006D49EC">
        <w:rPr>
          <w:rFonts w:asciiTheme="minorHAnsi" w:hAnsiTheme="minorHAnsi"/>
        </w:rPr>
        <w:t>There are numerous concerns with the approach taken in estimating the average doses and capsules/day of atomoxetine based on this 10% PBS sample</w:t>
      </w:r>
      <w:r w:rsidR="001510DB" w:rsidRPr="006D49EC">
        <w:rPr>
          <w:rFonts w:asciiTheme="minorHAnsi" w:hAnsiTheme="minorHAnsi"/>
        </w:rPr>
        <w:t xml:space="preserve"> and in the derivation of the cost/day</w:t>
      </w:r>
      <w:r w:rsidRPr="006D49EC">
        <w:rPr>
          <w:rFonts w:asciiTheme="minorHAnsi" w:hAnsiTheme="minorHAnsi"/>
        </w:rPr>
        <w:t xml:space="preserve">. However, even if </w:t>
      </w:r>
      <w:r w:rsidR="001510DB" w:rsidRPr="006D49EC">
        <w:rPr>
          <w:rFonts w:asciiTheme="minorHAnsi" w:hAnsiTheme="minorHAnsi"/>
        </w:rPr>
        <w:t xml:space="preserve">the atomoxetine dose and capsules/day were </w:t>
      </w:r>
      <w:r w:rsidRPr="006D49EC">
        <w:rPr>
          <w:rFonts w:asciiTheme="minorHAnsi" w:hAnsiTheme="minorHAnsi"/>
        </w:rPr>
        <w:t xml:space="preserve">estimated appropriately, </w:t>
      </w:r>
      <w:r w:rsidR="001510DB" w:rsidRPr="006D49EC">
        <w:rPr>
          <w:rFonts w:asciiTheme="minorHAnsi" w:hAnsiTheme="minorHAnsi"/>
        </w:rPr>
        <w:t>the dose of guanfacine (and average tablets per day) required in this population to achieve non-inferior outcomes is unknown.</w:t>
      </w:r>
    </w:p>
    <w:p w:rsidR="003C1DC5" w:rsidRPr="006D49EC" w:rsidRDefault="001510DB" w:rsidP="00B24C96">
      <w:pPr>
        <w:pStyle w:val="ListParagraph"/>
        <w:widowControl/>
        <w:numPr>
          <w:ilvl w:val="1"/>
          <w:numId w:val="3"/>
        </w:numPr>
        <w:contextualSpacing w:val="0"/>
        <w:rPr>
          <w:rFonts w:asciiTheme="minorHAnsi" w:hAnsiTheme="minorHAnsi"/>
        </w:rPr>
      </w:pPr>
      <w:r w:rsidRPr="006D49EC">
        <w:rPr>
          <w:rFonts w:asciiTheme="minorHAnsi" w:hAnsiTheme="minorHAnsi"/>
        </w:rPr>
        <w:t>A cost-minimisation analysis b</w:t>
      </w:r>
      <w:r w:rsidR="00267926" w:rsidRPr="006D49EC">
        <w:rPr>
          <w:rFonts w:asciiTheme="minorHAnsi" w:hAnsiTheme="minorHAnsi"/>
        </w:rPr>
        <w:t xml:space="preserve">ased on the relativity of guanfacine </w:t>
      </w:r>
      <w:r w:rsidR="00267926" w:rsidRPr="003E2358">
        <w:rPr>
          <w:rFonts w:asciiTheme="minorHAnsi" w:hAnsiTheme="minorHAnsi"/>
        </w:rPr>
        <w:t>1.19 tablets</w:t>
      </w:r>
      <w:r w:rsidR="00267926" w:rsidRPr="006D49EC">
        <w:rPr>
          <w:rFonts w:asciiTheme="minorHAnsi" w:hAnsiTheme="minorHAnsi"/>
        </w:rPr>
        <w:t xml:space="preserve">/day and </w:t>
      </w:r>
      <w:r w:rsidR="00267926" w:rsidRPr="003E2358">
        <w:rPr>
          <w:rFonts w:asciiTheme="minorHAnsi" w:hAnsiTheme="minorHAnsi"/>
        </w:rPr>
        <w:t>1.08 atomoxetine</w:t>
      </w:r>
      <w:r w:rsidR="00267926" w:rsidRPr="006D49EC">
        <w:rPr>
          <w:rFonts w:asciiTheme="minorHAnsi" w:hAnsiTheme="minorHAnsi"/>
        </w:rPr>
        <w:t xml:space="preserve"> capsules</w:t>
      </w:r>
      <w:r w:rsidR="001D19D1" w:rsidRPr="006D49EC">
        <w:rPr>
          <w:rFonts w:asciiTheme="minorHAnsi" w:hAnsiTheme="minorHAnsi"/>
        </w:rPr>
        <w:t>/</w:t>
      </w:r>
      <w:r w:rsidR="00267926" w:rsidRPr="006D49EC">
        <w:rPr>
          <w:rFonts w:asciiTheme="minorHAnsi" w:hAnsiTheme="minorHAnsi"/>
        </w:rPr>
        <w:t>day and a weighted average ex-manufacturer price of $</w:t>
      </w:r>
      <w:r w:rsidR="00CF0A88">
        <w:rPr>
          <w:rFonts w:asciiTheme="minorHAnsi" w:hAnsiTheme="minorHAnsi"/>
          <w:noProof/>
          <w:color w:val="000000"/>
          <w:highlight w:val="black"/>
        </w:rPr>
        <w:t>''''''''</w:t>
      </w:r>
      <w:r w:rsidR="00267926" w:rsidRPr="006D49EC">
        <w:rPr>
          <w:rFonts w:asciiTheme="minorHAnsi" w:hAnsiTheme="minorHAnsi"/>
        </w:rPr>
        <w:t>/day for atomoxetine, results in an effective DPMQ of $</w:t>
      </w:r>
      <w:r w:rsidR="00CF0A88">
        <w:rPr>
          <w:rFonts w:asciiTheme="minorHAnsi" w:hAnsiTheme="minorHAnsi"/>
          <w:noProof/>
          <w:color w:val="000000"/>
          <w:highlight w:val="black"/>
        </w:rPr>
        <w:t>''''''''''</w:t>
      </w:r>
      <w:r w:rsidR="00267926" w:rsidRPr="006D49EC">
        <w:rPr>
          <w:rFonts w:asciiTheme="minorHAnsi" w:hAnsiTheme="minorHAnsi"/>
        </w:rPr>
        <w:t>.</w:t>
      </w:r>
      <w:r w:rsidR="003C1DC5" w:rsidRPr="006D49EC">
        <w:rPr>
          <w:rFonts w:asciiTheme="minorHAnsi" w:hAnsiTheme="minorHAnsi"/>
        </w:rPr>
        <w:t xml:space="preserve"> The </w:t>
      </w:r>
      <w:r w:rsidR="003C1DC5" w:rsidRPr="009500FD">
        <w:rPr>
          <w:rFonts w:asciiTheme="minorHAnsi" w:hAnsiTheme="minorHAnsi"/>
        </w:rPr>
        <w:t>ESC</w:t>
      </w:r>
      <w:r w:rsidR="003C1DC5" w:rsidRPr="006D49EC">
        <w:rPr>
          <w:rFonts w:asciiTheme="minorHAnsi" w:hAnsiTheme="minorHAnsi"/>
        </w:rPr>
        <w:t xml:space="preserve"> considered that equi-effective doses based on the trial doses were appropriate.</w:t>
      </w:r>
      <w:r w:rsidR="004E4285" w:rsidRPr="006D49EC">
        <w:rPr>
          <w:rFonts w:asciiTheme="minorHAnsi" w:hAnsiTheme="minorHAnsi"/>
        </w:rPr>
        <w:t xml:space="preserve"> The PBAC agreed with the </w:t>
      </w:r>
      <w:r w:rsidR="004E4285" w:rsidRPr="009500FD">
        <w:rPr>
          <w:rFonts w:asciiTheme="minorHAnsi" w:hAnsiTheme="minorHAnsi"/>
        </w:rPr>
        <w:t>ESC</w:t>
      </w:r>
      <w:r w:rsidR="004E4285" w:rsidRPr="006D49EC">
        <w:rPr>
          <w:rFonts w:asciiTheme="minorHAnsi" w:hAnsiTheme="minorHAnsi"/>
        </w:rPr>
        <w:t xml:space="preserve"> and considered a cost-minimisation analysis based on equi-effective doses derived from the trials was appropriate.</w:t>
      </w:r>
    </w:p>
    <w:p w:rsidR="00A26CF4" w:rsidRPr="00A26CF4" w:rsidRDefault="003C1DC5" w:rsidP="00A26CF4">
      <w:pPr>
        <w:widowControl/>
        <w:spacing w:after="120"/>
        <w:rPr>
          <w:rFonts w:ascii="Calibri" w:hAnsi="Calibri" w:cs="Times New Roman"/>
          <w:i/>
          <w:snapToGrid/>
          <w:sz w:val="24"/>
          <w:szCs w:val="24"/>
        </w:rPr>
      </w:pPr>
      <w:r w:rsidRPr="00A26CF4">
        <w:rPr>
          <w:rFonts w:ascii="Calibri" w:hAnsi="Calibri" w:cs="Times New Roman"/>
          <w:i/>
          <w:snapToGrid/>
          <w:sz w:val="24"/>
          <w:szCs w:val="24"/>
        </w:rPr>
        <w:t xml:space="preserve">(ii) a cost-utility analysis for treatment with guanfacine + long-acting stimulants versus placebo + long-acting stimulants in patients who fail to achieve an adequate response to stimulant therapy </w:t>
      </w:r>
    </w:p>
    <w:p w:rsidR="001D19D1" w:rsidRPr="006D49EC" w:rsidRDefault="001D19D1" w:rsidP="00B24C96">
      <w:pPr>
        <w:pStyle w:val="ListParagraph"/>
        <w:widowControl/>
        <w:numPr>
          <w:ilvl w:val="1"/>
          <w:numId w:val="3"/>
        </w:numPr>
        <w:contextualSpacing w:val="0"/>
        <w:rPr>
          <w:rFonts w:asciiTheme="minorHAnsi" w:hAnsiTheme="minorHAnsi"/>
        </w:rPr>
      </w:pPr>
      <w:r w:rsidRPr="006D49EC">
        <w:t xml:space="preserve">A summary of model structure presented in the submission and rationale is presented in Table </w:t>
      </w:r>
      <w:r w:rsidR="00ED75E6" w:rsidRPr="006D49EC">
        <w:t>9</w:t>
      </w:r>
      <w:r w:rsidRPr="006D49EC">
        <w:t>.</w:t>
      </w:r>
      <w:r w:rsidR="00B1453F" w:rsidRPr="006D49EC">
        <w:t xml:space="preserve"> The model presented in the submission was </w:t>
      </w:r>
      <w:r w:rsidR="006B793B" w:rsidRPr="006D49EC">
        <w:t xml:space="preserve">based on </w:t>
      </w:r>
      <w:r w:rsidR="00B1453F" w:rsidRPr="006D49EC">
        <w:t>th</w:t>
      </w:r>
      <w:r w:rsidR="006B793B" w:rsidRPr="006D49EC">
        <w:t>e model</w:t>
      </w:r>
      <w:r w:rsidR="00B1453F" w:rsidRPr="006D49EC">
        <w:t xml:space="preserve"> presented in the lisdexamfetamine submissions considered at the July 2013 and July 2014 PBAC meetings</w:t>
      </w:r>
      <w:r w:rsidR="006B793B" w:rsidRPr="006D49EC">
        <w:t>. T</w:t>
      </w:r>
      <w:r w:rsidR="00B1453F" w:rsidRPr="006D49EC">
        <w:t xml:space="preserve">he </w:t>
      </w:r>
      <w:r w:rsidR="006B793B" w:rsidRPr="006D49EC">
        <w:t xml:space="preserve">key </w:t>
      </w:r>
      <w:r w:rsidR="00B1453F" w:rsidRPr="006D49EC">
        <w:t xml:space="preserve">differences </w:t>
      </w:r>
      <w:r w:rsidR="006B793B" w:rsidRPr="006D49EC">
        <w:t>between the models are (i)</w:t>
      </w:r>
      <w:r w:rsidR="00B1453F" w:rsidRPr="006D49EC">
        <w:t xml:space="preserve"> the time horizon (limited to one year in the current submission compared with five years previously) and </w:t>
      </w:r>
      <w:r w:rsidR="006B793B" w:rsidRPr="006D49EC">
        <w:t xml:space="preserve">(ii) </w:t>
      </w:r>
      <w:r w:rsidR="00B1453F" w:rsidRPr="006D49EC">
        <w:t xml:space="preserve">differences in the definition of response (symptomatic response defined as </w:t>
      </w:r>
      <w:r w:rsidR="006B793B" w:rsidRPr="006D49EC">
        <w:t>ADHD-RS-IV ≤18</w:t>
      </w:r>
      <w:r w:rsidR="00B1453F" w:rsidRPr="006D49EC">
        <w:t xml:space="preserve"> </w:t>
      </w:r>
      <w:r w:rsidR="00C76EFC" w:rsidRPr="006D49EC">
        <w:t>(i</w:t>
      </w:r>
      <w:r w:rsidR="00F65F04" w:rsidRPr="006D49EC">
        <w:t>.</w:t>
      </w:r>
      <w:r w:rsidR="00C76EFC" w:rsidRPr="006D49EC">
        <w:t>e</w:t>
      </w:r>
      <w:r w:rsidR="00F65F04" w:rsidRPr="006D49EC">
        <w:t>.</w:t>
      </w:r>
      <w:r w:rsidR="00C76EFC" w:rsidRPr="006D49EC">
        <w:t xml:space="preserve"> remission) </w:t>
      </w:r>
      <w:r w:rsidR="00B1453F" w:rsidRPr="006D49EC">
        <w:t>compared with a reduction of 50% or more on the ADHD rating scale and a score of 1 (much improved) or 2 (improved) on the clinician-rated CGI-I previously).</w:t>
      </w:r>
      <w:r w:rsidR="00513BD3" w:rsidRPr="006D49EC">
        <w:t xml:space="preserve"> The </w:t>
      </w:r>
      <w:r w:rsidR="00513BD3" w:rsidRPr="009500FD">
        <w:t>ESC</w:t>
      </w:r>
      <w:r w:rsidR="00513BD3" w:rsidRPr="006D49EC">
        <w:t xml:space="preserve"> consider</w:t>
      </w:r>
      <w:r w:rsidR="003C1DC5" w:rsidRPr="006D49EC">
        <w:t>ed</w:t>
      </w:r>
      <w:r w:rsidR="00513BD3" w:rsidRPr="006D49EC">
        <w:t xml:space="preserve"> </w:t>
      </w:r>
      <w:r w:rsidR="00C76EFC" w:rsidRPr="006D49EC">
        <w:t>an</w:t>
      </w:r>
      <w:r w:rsidR="00513BD3" w:rsidRPr="006D49EC">
        <w:t xml:space="preserve"> </w:t>
      </w:r>
      <w:r w:rsidR="00C76EFC" w:rsidRPr="006D49EC">
        <w:t xml:space="preserve">economic </w:t>
      </w:r>
      <w:r w:rsidR="00513BD3" w:rsidRPr="006D49EC">
        <w:t>analysis based on responder</w:t>
      </w:r>
      <w:r w:rsidR="00C76EFC" w:rsidRPr="006D49EC">
        <w:t xml:space="preserve"> definitions, rather than remission, may have been informative</w:t>
      </w:r>
      <w:r w:rsidR="00513BD3" w:rsidRPr="006D49EC">
        <w:t xml:space="preserve"> </w:t>
      </w:r>
      <w:r w:rsidR="00C76EFC" w:rsidRPr="006D49EC">
        <w:t>as</w:t>
      </w:r>
      <w:r w:rsidR="00513BD3" w:rsidRPr="006D49EC">
        <w:t xml:space="preserve"> this will include the health benefits of participants who are improving substantially from very severe illness but not quite reaching the cut-off of </w:t>
      </w:r>
      <w:r w:rsidR="00E907D1" w:rsidRPr="006D49EC">
        <w:t>ADHD</w:t>
      </w:r>
      <w:r w:rsidR="00E907D1" w:rsidRPr="006D49EC">
        <w:noBreakHyphen/>
        <w:t>RS</w:t>
      </w:r>
      <w:r w:rsidR="00E907D1" w:rsidRPr="006D49EC">
        <w:noBreakHyphen/>
        <w:t>IV </w:t>
      </w:r>
      <w:r w:rsidR="00C76EFC" w:rsidRPr="006D49EC">
        <w:t>≤18</w:t>
      </w:r>
      <w:r w:rsidR="00513BD3" w:rsidRPr="006D49EC">
        <w:t>.</w:t>
      </w:r>
    </w:p>
    <w:p w:rsidR="003A3A31" w:rsidRPr="006D49EC" w:rsidRDefault="003A3A31" w:rsidP="00E907D1">
      <w:pPr>
        <w:pStyle w:val="Caption"/>
      </w:pPr>
      <w:r w:rsidRPr="006D49EC">
        <w:t xml:space="preserve">Table </w:t>
      </w:r>
      <w:r w:rsidR="00ED75E6" w:rsidRPr="006D49EC">
        <w:t>9</w:t>
      </w:r>
      <w:r w:rsidRPr="006D49EC">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6786"/>
      </w:tblGrid>
      <w:tr w:rsidR="00DD48DB" w:rsidRPr="006D49EC" w:rsidTr="00023CAE">
        <w:trPr>
          <w:tblHeader/>
        </w:trPr>
        <w:tc>
          <w:tcPr>
            <w:tcW w:w="1264" w:type="pct"/>
            <w:shd w:val="clear" w:color="auto" w:fill="auto"/>
            <w:vAlign w:val="center"/>
          </w:tcPr>
          <w:p w:rsidR="00DD48DB" w:rsidRPr="006D49EC" w:rsidRDefault="00DD48DB" w:rsidP="00E907D1">
            <w:pPr>
              <w:pStyle w:val="TableText1"/>
              <w:rPr>
                <w:b/>
              </w:rPr>
            </w:pPr>
            <w:r w:rsidRPr="006D49EC">
              <w:rPr>
                <w:b/>
              </w:rPr>
              <w:t>Component</w:t>
            </w:r>
          </w:p>
        </w:tc>
        <w:tc>
          <w:tcPr>
            <w:tcW w:w="3736" w:type="pct"/>
            <w:shd w:val="clear" w:color="auto" w:fill="auto"/>
            <w:vAlign w:val="center"/>
          </w:tcPr>
          <w:p w:rsidR="00DD48DB" w:rsidRPr="006D49EC" w:rsidRDefault="00DD48DB" w:rsidP="00E907D1">
            <w:pPr>
              <w:pStyle w:val="TableText1"/>
              <w:rPr>
                <w:b/>
              </w:rPr>
            </w:pPr>
            <w:r w:rsidRPr="006D49EC">
              <w:rPr>
                <w:b/>
              </w:rPr>
              <w:t>Summary</w:t>
            </w:r>
          </w:p>
        </w:tc>
      </w:tr>
      <w:tr w:rsidR="00DD48DB" w:rsidRPr="006D49EC" w:rsidTr="00023CAE">
        <w:tc>
          <w:tcPr>
            <w:tcW w:w="1264" w:type="pct"/>
            <w:shd w:val="clear" w:color="auto" w:fill="auto"/>
            <w:vAlign w:val="center"/>
          </w:tcPr>
          <w:p w:rsidR="00DD48DB" w:rsidRPr="006D49EC" w:rsidRDefault="00DD48DB" w:rsidP="00E907D1">
            <w:pPr>
              <w:pStyle w:val="TableText1"/>
            </w:pPr>
            <w:r w:rsidRPr="006D49EC">
              <w:t>Time horizon</w:t>
            </w:r>
          </w:p>
        </w:tc>
        <w:tc>
          <w:tcPr>
            <w:tcW w:w="3736" w:type="pct"/>
            <w:shd w:val="clear" w:color="auto" w:fill="auto"/>
            <w:vAlign w:val="center"/>
          </w:tcPr>
          <w:p w:rsidR="00DD48DB" w:rsidRPr="006D49EC" w:rsidRDefault="001D19D1" w:rsidP="00E907D1">
            <w:pPr>
              <w:pStyle w:val="TableText1"/>
            </w:pPr>
            <w:r w:rsidRPr="006D49EC">
              <w:t>1 year in the model versus 8 weeks in the trial for initial response rates. Maintenance of response was derived from a long-term extension study (Study 318, enrolling patients from Trials 315 and 316) where 2-year guanfacine discontinuation rates were reported</w:t>
            </w:r>
          </w:p>
        </w:tc>
      </w:tr>
      <w:tr w:rsidR="00DD48DB" w:rsidRPr="006D49EC" w:rsidTr="00023CAE">
        <w:tc>
          <w:tcPr>
            <w:tcW w:w="1264" w:type="pct"/>
            <w:shd w:val="clear" w:color="auto" w:fill="auto"/>
            <w:vAlign w:val="center"/>
          </w:tcPr>
          <w:p w:rsidR="00DD48DB" w:rsidRPr="006D49EC" w:rsidRDefault="00DD48DB" w:rsidP="00E907D1">
            <w:pPr>
              <w:pStyle w:val="TableText1"/>
            </w:pPr>
            <w:r w:rsidRPr="006D49EC">
              <w:t>Outcomes</w:t>
            </w:r>
          </w:p>
        </w:tc>
        <w:tc>
          <w:tcPr>
            <w:tcW w:w="3736" w:type="pct"/>
            <w:shd w:val="clear" w:color="auto" w:fill="auto"/>
            <w:vAlign w:val="center"/>
          </w:tcPr>
          <w:p w:rsidR="00DD48DB" w:rsidRPr="006D49EC" w:rsidRDefault="001D19D1" w:rsidP="00E907D1">
            <w:pPr>
              <w:pStyle w:val="TableText1"/>
            </w:pPr>
            <w:r w:rsidRPr="006D49EC">
              <w:t xml:space="preserve">Quality-adjusted-life-years (QALYs). </w:t>
            </w:r>
          </w:p>
        </w:tc>
      </w:tr>
      <w:tr w:rsidR="00DD48DB" w:rsidRPr="006D49EC" w:rsidTr="00023CAE">
        <w:tc>
          <w:tcPr>
            <w:tcW w:w="1264" w:type="pct"/>
            <w:shd w:val="clear" w:color="auto" w:fill="auto"/>
            <w:vAlign w:val="center"/>
          </w:tcPr>
          <w:p w:rsidR="00DD48DB" w:rsidRPr="006D49EC" w:rsidRDefault="00DD48DB" w:rsidP="00E907D1">
            <w:pPr>
              <w:pStyle w:val="TableText1"/>
            </w:pPr>
            <w:r w:rsidRPr="006D49EC">
              <w:t>Methods used to generate results</w:t>
            </w:r>
          </w:p>
        </w:tc>
        <w:tc>
          <w:tcPr>
            <w:tcW w:w="3736" w:type="pct"/>
            <w:shd w:val="clear" w:color="auto" w:fill="auto"/>
            <w:vAlign w:val="center"/>
          </w:tcPr>
          <w:p w:rsidR="00DD48DB" w:rsidRPr="006D49EC" w:rsidRDefault="001D19D1" w:rsidP="00E907D1">
            <w:pPr>
              <w:pStyle w:val="TableText1"/>
            </w:pPr>
            <w:r w:rsidRPr="006D49EC">
              <w:t>A Markov cohort expected value analysis</w:t>
            </w:r>
          </w:p>
        </w:tc>
      </w:tr>
      <w:tr w:rsidR="00DD48DB" w:rsidRPr="006D49EC" w:rsidTr="00023CAE">
        <w:tc>
          <w:tcPr>
            <w:tcW w:w="1264" w:type="pct"/>
            <w:shd w:val="clear" w:color="auto" w:fill="auto"/>
            <w:vAlign w:val="center"/>
          </w:tcPr>
          <w:p w:rsidR="00DD48DB" w:rsidRPr="006D49EC" w:rsidRDefault="00DD48DB" w:rsidP="00E907D1">
            <w:pPr>
              <w:pStyle w:val="TableText1"/>
            </w:pPr>
            <w:r w:rsidRPr="006D49EC">
              <w:t>Health states</w:t>
            </w:r>
          </w:p>
        </w:tc>
        <w:tc>
          <w:tcPr>
            <w:tcW w:w="3736" w:type="pct"/>
            <w:shd w:val="clear" w:color="auto" w:fill="auto"/>
            <w:vAlign w:val="center"/>
          </w:tcPr>
          <w:p w:rsidR="00DD48DB" w:rsidRPr="006D49EC" w:rsidRDefault="001D19D1" w:rsidP="00E907D1">
            <w:pPr>
              <w:pStyle w:val="TableText1"/>
            </w:pPr>
            <w:r w:rsidRPr="006D49EC">
              <w:t>Responder/non-responder. Base case: responder defined as symptomatic remission (ADHD-RS-IV ≤18), with responder defined as syndromal remission (ADHD-RS-IV ≤18 &amp; CGI-S ≤2) and ADHD-RS-IV reduction of ≥25% in sensitivity analyses.</w:t>
            </w:r>
          </w:p>
        </w:tc>
      </w:tr>
      <w:tr w:rsidR="00DD48DB" w:rsidRPr="006D49EC" w:rsidTr="00023CAE">
        <w:tc>
          <w:tcPr>
            <w:tcW w:w="1264" w:type="pct"/>
            <w:shd w:val="clear" w:color="auto" w:fill="auto"/>
            <w:vAlign w:val="center"/>
          </w:tcPr>
          <w:p w:rsidR="00DD48DB" w:rsidRPr="006D49EC" w:rsidRDefault="00DD48DB" w:rsidP="00E907D1">
            <w:pPr>
              <w:pStyle w:val="TableText1"/>
            </w:pPr>
            <w:r w:rsidRPr="006D49EC">
              <w:t>Utilities</w:t>
            </w:r>
          </w:p>
        </w:tc>
        <w:tc>
          <w:tcPr>
            <w:tcW w:w="3736" w:type="pct"/>
            <w:shd w:val="clear" w:color="auto" w:fill="auto"/>
            <w:vAlign w:val="center"/>
          </w:tcPr>
          <w:p w:rsidR="00DD48DB" w:rsidRPr="006D49EC" w:rsidRDefault="001D19D1" w:rsidP="00E907D1">
            <w:pPr>
              <w:pStyle w:val="TableText1"/>
            </w:pPr>
            <w:r w:rsidRPr="006D49EC">
              <w:t>Utility values for responder and non-responder health states (</w:t>
            </w:r>
            <w:r w:rsidR="00CF0A88">
              <w:rPr>
                <w:noProof/>
                <w:color w:val="000000"/>
                <w:highlight w:val="black"/>
              </w:rPr>
              <w:t>''''''''''''''</w:t>
            </w:r>
            <w:r w:rsidRPr="006D49EC">
              <w:t xml:space="preserve"> and </w:t>
            </w:r>
            <w:r w:rsidR="00CF0A88">
              <w:rPr>
                <w:noProof/>
                <w:color w:val="000000"/>
                <w:highlight w:val="black"/>
              </w:rPr>
              <w:t>''''''''''''''</w:t>
            </w:r>
            <w:r w:rsidRPr="006D49EC">
              <w:t>) are taken from Trial 325 based upon comparable definitions of ‘response’ with Trial 313.</w:t>
            </w:r>
          </w:p>
        </w:tc>
      </w:tr>
      <w:tr w:rsidR="00DD48DB" w:rsidRPr="006D49EC" w:rsidTr="00023CAE">
        <w:tc>
          <w:tcPr>
            <w:tcW w:w="1264" w:type="pct"/>
            <w:shd w:val="clear" w:color="auto" w:fill="auto"/>
            <w:vAlign w:val="center"/>
          </w:tcPr>
          <w:p w:rsidR="00DD48DB" w:rsidRPr="006D49EC" w:rsidRDefault="00DD48DB" w:rsidP="00E907D1">
            <w:pPr>
              <w:pStyle w:val="TableText1"/>
            </w:pPr>
            <w:r w:rsidRPr="006D49EC">
              <w:t>Cycle length</w:t>
            </w:r>
          </w:p>
        </w:tc>
        <w:tc>
          <w:tcPr>
            <w:tcW w:w="3736" w:type="pct"/>
            <w:shd w:val="clear" w:color="auto" w:fill="auto"/>
            <w:vAlign w:val="center"/>
          </w:tcPr>
          <w:p w:rsidR="00DD48DB" w:rsidRPr="006D49EC" w:rsidRDefault="001D19D1" w:rsidP="00E907D1">
            <w:pPr>
              <w:pStyle w:val="TableText1"/>
            </w:pPr>
            <w:r w:rsidRPr="006D49EC">
              <w:t xml:space="preserve">28 </w:t>
            </w:r>
            <w:r w:rsidR="00DD48DB" w:rsidRPr="006D49EC">
              <w:t>days</w:t>
            </w:r>
          </w:p>
        </w:tc>
      </w:tr>
      <w:tr w:rsidR="00DD48DB" w:rsidRPr="006D49EC" w:rsidTr="00023CAE">
        <w:tc>
          <w:tcPr>
            <w:tcW w:w="1264" w:type="pct"/>
            <w:shd w:val="clear" w:color="auto" w:fill="auto"/>
            <w:vAlign w:val="center"/>
          </w:tcPr>
          <w:p w:rsidR="00DD48DB" w:rsidRPr="006D49EC" w:rsidRDefault="00DD48DB" w:rsidP="00E907D1">
            <w:pPr>
              <w:pStyle w:val="TableText1"/>
            </w:pPr>
            <w:r w:rsidRPr="006D49EC">
              <w:t>Transition probabilities</w:t>
            </w:r>
          </w:p>
        </w:tc>
        <w:tc>
          <w:tcPr>
            <w:tcW w:w="3736" w:type="pct"/>
            <w:shd w:val="clear" w:color="auto" w:fill="auto"/>
            <w:vAlign w:val="center"/>
          </w:tcPr>
          <w:p w:rsidR="00DD48DB" w:rsidRPr="006D49EC" w:rsidRDefault="001D19D1" w:rsidP="00E907D1">
            <w:pPr>
              <w:pStyle w:val="TableText1"/>
            </w:pPr>
            <w:r w:rsidRPr="006D49EC">
              <w:t>Initial response from Trial 313 (8 week trial) and discontinuation rates derived from a two-year long-term study (Study 318)</w:t>
            </w:r>
          </w:p>
        </w:tc>
      </w:tr>
    </w:tbl>
    <w:p w:rsidR="00DD48DB" w:rsidRDefault="00DD48DB" w:rsidP="00E907D1">
      <w:pPr>
        <w:pStyle w:val="TableFooter"/>
        <w:widowControl/>
      </w:pPr>
      <w:r w:rsidRPr="006D49EC">
        <w:t xml:space="preserve">Source: </w:t>
      </w:r>
      <w:r w:rsidR="00D32556" w:rsidRPr="006D49EC">
        <w:t>Section D of</w:t>
      </w:r>
      <w:r w:rsidRPr="006D49EC">
        <w:t xml:space="preserve"> the submission</w:t>
      </w:r>
    </w:p>
    <w:p w:rsidR="00040205" w:rsidRPr="006D49EC" w:rsidRDefault="00040205" w:rsidP="00E907D1">
      <w:pPr>
        <w:pStyle w:val="TableFooter"/>
        <w:widowControl/>
      </w:pPr>
    </w:p>
    <w:p w:rsidR="00DD48DB" w:rsidRPr="006D49EC" w:rsidRDefault="001D19D1"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Table </w:t>
      </w:r>
      <w:r w:rsidR="00ED75E6" w:rsidRPr="006D49EC">
        <w:rPr>
          <w:rFonts w:asciiTheme="minorHAnsi" w:hAnsiTheme="minorHAnsi"/>
        </w:rPr>
        <w:t xml:space="preserve">10 </w:t>
      </w:r>
      <w:r w:rsidRPr="006D49EC">
        <w:rPr>
          <w:rFonts w:asciiTheme="minorHAnsi" w:hAnsiTheme="minorHAnsi"/>
        </w:rPr>
        <w:t xml:space="preserve">summarises the key inputs and assumptions driving the outputs of the model. </w:t>
      </w:r>
    </w:p>
    <w:p w:rsidR="003A3A31" w:rsidRPr="006D49EC" w:rsidRDefault="003A3A31" w:rsidP="00E907D1">
      <w:pPr>
        <w:pStyle w:val="Caption"/>
      </w:pPr>
      <w:r w:rsidRPr="006D49EC">
        <w:t xml:space="preserve">Table </w:t>
      </w:r>
      <w:r w:rsidR="00ED75E6" w:rsidRPr="006D49EC">
        <w:t>10</w:t>
      </w:r>
      <w:r w:rsidRPr="006D49EC">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4"/>
        <w:gridCol w:w="4639"/>
        <w:gridCol w:w="2449"/>
      </w:tblGrid>
      <w:tr w:rsidR="00DD48DB" w:rsidRPr="006D49EC" w:rsidTr="00D2090D">
        <w:trPr>
          <w:tblHeader/>
        </w:trPr>
        <w:tc>
          <w:tcPr>
            <w:tcW w:w="1098" w:type="pct"/>
            <w:shd w:val="clear" w:color="auto" w:fill="auto"/>
            <w:vAlign w:val="center"/>
          </w:tcPr>
          <w:p w:rsidR="00DD48DB" w:rsidRPr="006D49EC" w:rsidRDefault="00DD48DB" w:rsidP="00E907D1">
            <w:pPr>
              <w:pStyle w:val="TableText1"/>
              <w:rPr>
                <w:b/>
              </w:rPr>
            </w:pPr>
            <w:r w:rsidRPr="006D49EC">
              <w:rPr>
                <w:b/>
              </w:rPr>
              <w:t>Description</w:t>
            </w:r>
          </w:p>
        </w:tc>
        <w:tc>
          <w:tcPr>
            <w:tcW w:w="2554" w:type="pct"/>
            <w:shd w:val="clear" w:color="auto" w:fill="auto"/>
            <w:vAlign w:val="center"/>
          </w:tcPr>
          <w:p w:rsidR="00DD48DB" w:rsidRPr="006D49EC" w:rsidRDefault="00DD48DB" w:rsidP="00E907D1">
            <w:pPr>
              <w:pStyle w:val="TableText1"/>
              <w:rPr>
                <w:b/>
              </w:rPr>
            </w:pPr>
            <w:r w:rsidRPr="006D49EC">
              <w:rPr>
                <w:b/>
              </w:rPr>
              <w:t>Method/Value</w:t>
            </w:r>
          </w:p>
        </w:tc>
        <w:tc>
          <w:tcPr>
            <w:tcW w:w="1348" w:type="pct"/>
            <w:shd w:val="clear" w:color="auto" w:fill="auto"/>
            <w:vAlign w:val="center"/>
          </w:tcPr>
          <w:p w:rsidR="00DD48DB" w:rsidRPr="006D49EC" w:rsidRDefault="00DD48DB" w:rsidP="00E907D1">
            <w:pPr>
              <w:pStyle w:val="TableText1"/>
              <w:rPr>
                <w:b/>
              </w:rPr>
            </w:pPr>
            <w:r w:rsidRPr="006D49EC">
              <w:rPr>
                <w:b/>
              </w:rPr>
              <w:t>Impact</w:t>
            </w:r>
          </w:p>
        </w:tc>
      </w:tr>
      <w:tr w:rsidR="00DD48DB" w:rsidRPr="006D49EC" w:rsidTr="00D2090D">
        <w:tc>
          <w:tcPr>
            <w:tcW w:w="1098" w:type="pct"/>
            <w:shd w:val="clear" w:color="auto" w:fill="auto"/>
            <w:vAlign w:val="center"/>
          </w:tcPr>
          <w:p w:rsidR="00DD48DB" w:rsidRPr="006D49EC" w:rsidRDefault="001D19D1" w:rsidP="00E907D1">
            <w:pPr>
              <w:pStyle w:val="TableText1"/>
            </w:pPr>
            <w:r w:rsidRPr="006D49EC">
              <w:t>Treatment effect (definition of responder)</w:t>
            </w:r>
          </w:p>
        </w:tc>
        <w:tc>
          <w:tcPr>
            <w:tcW w:w="2554" w:type="pct"/>
            <w:shd w:val="clear" w:color="auto" w:fill="auto"/>
            <w:vAlign w:val="center"/>
          </w:tcPr>
          <w:p w:rsidR="00DD48DB" w:rsidRPr="006D49EC" w:rsidRDefault="001D19D1" w:rsidP="00E907D1">
            <w:pPr>
              <w:pStyle w:val="TableText1"/>
            </w:pPr>
            <w:r w:rsidRPr="006D49EC">
              <w:t xml:space="preserve">Base case defines responders based on symptomatic remission (ADHD-RS-IV ≤18). </w:t>
            </w:r>
            <w:r w:rsidR="00D2090D" w:rsidRPr="006D49EC">
              <w:t>Defining responder by a</w:t>
            </w:r>
            <w:r w:rsidR="00F65F04" w:rsidRPr="006D49EC">
              <w:t>n</w:t>
            </w:r>
            <w:r w:rsidR="00D2090D" w:rsidRPr="006D49EC">
              <w:t xml:space="preserve"> ADHD-RS-IV reduction of ≥25% significantly increases the ICER</w:t>
            </w:r>
            <w:r w:rsidR="009924C5" w:rsidRPr="006D49EC">
              <w:t xml:space="preserve">. The PSCR (p4) stated that using an absolute threshold to define response is more appropriate as it attaches quality of life and QALYs to the severity of, rather than a change in, symptoms experienced by the patient. As noted above, </w:t>
            </w:r>
            <w:r w:rsidR="009924C5" w:rsidRPr="009500FD">
              <w:t>ESC</w:t>
            </w:r>
            <w:r w:rsidR="009924C5" w:rsidRPr="006D49EC">
              <w:t xml:space="preserve"> considers this may not account for health benefits of participants who are improving substantially from very severe illness but not quite reaching the cut-off of ADHD-RS-IV ≤18.  </w:t>
            </w:r>
            <w:r w:rsidRPr="006D49EC">
              <w:t xml:space="preserve"> </w:t>
            </w:r>
          </w:p>
        </w:tc>
        <w:tc>
          <w:tcPr>
            <w:tcW w:w="1348" w:type="pct"/>
            <w:shd w:val="clear" w:color="auto" w:fill="auto"/>
            <w:vAlign w:val="center"/>
          </w:tcPr>
          <w:p w:rsidR="00DD48DB" w:rsidRPr="006D49EC" w:rsidRDefault="00DD48DB" w:rsidP="00E907D1">
            <w:pPr>
              <w:pStyle w:val="TableText1"/>
            </w:pPr>
            <w:r w:rsidRPr="006D49EC">
              <w:t xml:space="preserve">High, favours </w:t>
            </w:r>
            <w:r w:rsidR="001D19D1" w:rsidRPr="006D49EC">
              <w:t>guanfacine</w:t>
            </w:r>
          </w:p>
        </w:tc>
      </w:tr>
      <w:tr w:rsidR="00DD48DB" w:rsidRPr="006D49EC" w:rsidTr="00D2090D">
        <w:tc>
          <w:tcPr>
            <w:tcW w:w="1098" w:type="pct"/>
            <w:shd w:val="clear" w:color="auto" w:fill="auto"/>
            <w:vAlign w:val="center"/>
          </w:tcPr>
          <w:p w:rsidR="00DD48DB" w:rsidRPr="006D49EC" w:rsidRDefault="00DD48DB" w:rsidP="00E907D1">
            <w:pPr>
              <w:pStyle w:val="TableText1"/>
            </w:pPr>
            <w:r w:rsidRPr="006D49EC">
              <w:t>Utilities</w:t>
            </w:r>
          </w:p>
        </w:tc>
        <w:tc>
          <w:tcPr>
            <w:tcW w:w="2554" w:type="pct"/>
            <w:shd w:val="clear" w:color="auto" w:fill="auto"/>
            <w:vAlign w:val="center"/>
          </w:tcPr>
          <w:p w:rsidR="00DD48DB" w:rsidRPr="006D49EC" w:rsidRDefault="00DD48DB" w:rsidP="00E907D1">
            <w:pPr>
              <w:pStyle w:val="TableText1"/>
            </w:pPr>
            <w:r w:rsidRPr="006D49EC">
              <w:t xml:space="preserve">High values for model health states taken from </w:t>
            </w:r>
            <w:r w:rsidR="00D2090D" w:rsidRPr="006D49EC">
              <w:t xml:space="preserve">a lisdexamfetamine trial (Trial 325) </w:t>
            </w:r>
            <w:r w:rsidR="00D2090D" w:rsidRPr="007A10DF">
              <w:t xml:space="preserve">– </w:t>
            </w:r>
            <w:r w:rsidR="00CF0A88">
              <w:rPr>
                <w:noProof/>
                <w:color w:val="000000"/>
                <w:highlight w:val="black"/>
              </w:rPr>
              <w:t>''''''''''''''</w:t>
            </w:r>
            <w:r w:rsidR="00D2090D" w:rsidRPr="006D49EC">
              <w:t xml:space="preserve"> for responder and </w:t>
            </w:r>
            <w:r w:rsidR="00CF0A88">
              <w:rPr>
                <w:noProof/>
                <w:color w:val="000000"/>
                <w:highlight w:val="black"/>
              </w:rPr>
              <w:t>''''''''''''</w:t>
            </w:r>
            <w:r w:rsidR="00D2090D" w:rsidRPr="006D49EC">
              <w:t xml:space="preserve"> for non-responder in the base case. Issue</w:t>
            </w:r>
            <w:r w:rsidR="009924C5" w:rsidRPr="006D49EC">
              <w:t>s</w:t>
            </w:r>
            <w:r w:rsidR="00D2090D" w:rsidRPr="006D49EC">
              <w:t xml:space="preserve"> with the derivation of these utilities have been considered before when they were used in the July 2013 lisdexamfetamine submission. Use of alternative values has a significant effect on the ICER.</w:t>
            </w:r>
            <w:r w:rsidRPr="006D49EC">
              <w:t xml:space="preserve"> </w:t>
            </w:r>
            <w:r w:rsidR="00D2090D" w:rsidRPr="006D49EC">
              <w:t>N</w:t>
            </w:r>
            <w:r w:rsidRPr="006D49EC">
              <w:t>o disutility for AEs</w:t>
            </w:r>
            <w:r w:rsidR="00513BD3" w:rsidRPr="006D49EC">
              <w:t>. The utilities based on responders (</w:t>
            </w:r>
            <w:r w:rsidR="006706BD" w:rsidRPr="006D49EC">
              <w:t xml:space="preserve">e.g. </w:t>
            </w:r>
            <w:r w:rsidR="00513BD3" w:rsidRPr="006D49EC">
              <w:t xml:space="preserve"> ADHD-RS-IV ≥30% &amp; CGI-I of 1 or 2) may better reflect the utilities associated with treatment responses (responder=</w:t>
            </w:r>
            <w:r w:rsidR="00CF0A88">
              <w:rPr>
                <w:noProof/>
                <w:color w:val="000000"/>
                <w:highlight w:val="black"/>
              </w:rPr>
              <w:t>''''''''''''''</w:t>
            </w:r>
            <w:r w:rsidR="00513BD3" w:rsidRPr="006D49EC">
              <w:t>; non-responder=</w:t>
            </w:r>
            <w:r w:rsidR="00CF0A88">
              <w:rPr>
                <w:noProof/>
                <w:color w:val="000000"/>
                <w:highlight w:val="black"/>
              </w:rPr>
              <w:t>'''''''''''''</w:t>
            </w:r>
            <w:r w:rsidR="00513BD3" w:rsidRPr="006D49EC">
              <w:t>).</w:t>
            </w:r>
          </w:p>
        </w:tc>
        <w:tc>
          <w:tcPr>
            <w:tcW w:w="1348" w:type="pct"/>
            <w:shd w:val="clear" w:color="auto" w:fill="auto"/>
            <w:vAlign w:val="center"/>
          </w:tcPr>
          <w:p w:rsidR="00DD48DB" w:rsidRPr="006D49EC" w:rsidRDefault="00DD48DB" w:rsidP="00E907D1">
            <w:pPr>
              <w:pStyle w:val="TableText1"/>
            </w:pPr>
            <w:r w:rsidRPr="006D49EC">
              <w:t xml:space="preserve">High, favours </w:t>
            </w:r>
            <w:r w:rsidR="00D2090D" w:rsidRPr="006D49EC">
              <w:t>guanfacine</w:t>
            </w:r>
          </w:p>
        </w:tc>
      </w:tr>
      <w:tr w:rsidR="00D2090D" w:rsidRPr="006D49EC" w:rsidTr="00D2090D">
        <w:tc>
          <w:tcPr>
            <w:tcW w:w="1098" w:type="pct"/>
            <w:shd w:val="clear" w:color="auto" w:fill="auto"/>
            <w:vAlign w:val="center"/>
          </w:tcPr>
          <w:p w:rsidR="00D2090D" w:rsidRPr="006D49EC" w:rsidRDefault="00D2090D" w:rsidP="00E907D1">
            <w:pPr>
              <w:pStyle w:val="TableText1"/>
            </w:pPr>
            <w:r w:rsidRPr="006D49EC">
              <w:t xml:space="preserve">Cost </w:t>
            </w:r>
          </w:p>
        </w:tc>
        <w:tc>
          <w:tcPr>
            <w:tcW w:w="2554" w:type="pct"/>
            <w:shd w:val="clear" w:color="auto" w:fill="auto"/>
            <w:vAlign w:val="center"/>
          </w:tcPr>
          <w:p w:rsidR="00D2090D" w:rsidRPr="006D49EC" w:rsidRDefault="00EF6A81" w:rsidP="00E907D1">
            <w:pPr>
              <w:pStyle w:val="TableText1"/>
            </w:pPr>
            <w:r w:rsidRPr="006D49EC">
              <w:t>The model excludes drug and non-drug costs associated with titration of guanfacine to optimal doses and excluded cost that would be associated with dose tapering at discontinuation.</w:t>
            </w:r>
          </w:p>
        </w:tc>
        <w:tc>
          <w:tcPr>
            <w:tcW w:w="1348" w:type="pct"/>
            <w:shd w:val="clear" w:color="auto" w:fill="auto"/>
            <w:vAlign w:val="center"/>
          </w:tcPr>
          <w:p w:rsidR="00D2090D" w:rsidRPr="006D49EC" w:rsidRDefault="00EF6A81" w:rsidP="00E907D1">
            <w:pPr>
              <w:pStyle w:val="TableText1"/>
            </w:pPr>
            <w:r w:rsidRPr="006D49EC">
              <w:t>High, favours guanfacine</w:t>
            </w:r>
          </w:p>
        </w:tc>
      </w:tr>
    </w:tbl>
    <w:p w:rsidR="00040205" w:rsidRDefault="00DD48DB" w:rsidP="00E907D1">
      <w:pPr>
        <w:pStyle w:val="TableFooter"/>
        <w:widowControl/>
      </w:pPr>
      <w:r w:rsidRPr="006D49EC">
        <w:t>Source: compiled during the evaluation</w:t>
      </w:r>
    </w:p>
    <w:p w:rsidR="00DD48DB" w:rsidRPr="006D49EC" w:rsidRDefault="00DD48DB" w:rsidP="00E907D1">
      <w:pPr>
        <w:pStyle w:val="TableFooter"/>
        <w:widowControl/>
      </w:pPr>
      <w:r w:rsidRPr="006D49EC">
        <w:t xml:space="preserve"> </w:t>
      </w:r>
    </w:p>
    <w:p w:rsidR="00DD48DB" w:rsidRPr="006D49EC" w:rsidRDefault="00D862E8"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Table </w:t>
      </w:r>
      <w:r w:rsidR="00ED75E6" w:rsidRPr="006D49EC">
        <w:rPr>
          <w:rFonts w:asciiTheme="minorHAnsi" w:hAnsiTheme="minorHAnsi"/>
        </w:rPr>
        <w:t xml:space="preserve">11 </w:t>
      </w:r>
      <w:r w:rsidRPr="006D49EC">
        <w:rPr>
          <w:rFonts w:asciiTheme="minorHAnsi" w:hAnsiTheme="minorHAnsi"/>
        </w:rPr>
        <w:t xml:space="preserve">presents the results of the stepped economic evaluation presented in the submission. </w:t>
      </w:r>
      <w:r w:rsidR="00185E5A" w:rsidRPr="006D49EC">
        <w:rPr>
          <w:rFonts w:asciiTheme="minorHAnsi" w:hAnsiTheme="minorHAnsi"/>
        </w:rPr>
        <w:t xml:space="preserve">The price </w:t>
      </w:r>
      <w:r w:rsidR="00432FD6" w:rsidRPr="006D49EC">
        <w:rPr>
          <w:rFonts w:asciiTheme="minorHAnsi" w:hAnsiTheme="minorHAnsi"/>
        </w:rPr>
        <w:t xml:space="preserve">derived </w:t>
      </w:r>
      <w:r w:rsidR="00185E5A" w:rsidRPr="006D49EC">
        <w:rPr>
          <w:rFonts w:asciiTheme="minorHAnsi" w:hAnsiTheme="minorHAnsi"/>
        </w:rPr>
        <w:t xml:space="preserve">from the cost-minimisation </w:t>
      </w:r>
      <w:r w:rsidR="00432FD6" w:rsidRPr="006D49EC">
        <w:rPr>
          <w:rFonts w:asciiTheme="minorHAnsi" w:hAnsiTheme="minorHAnsi"/>
        </w:rPr>
        <w:t xml:space="preserve">analysis </w:t>
      </w:r>
      <w:r w:rsidR="00185E5A" w:rsidRPr="006D49EC">
        <w:rPr>
          <w:rFonts w:asciiTheme="minorHAnsi" w:hAnsiTheme="minorHAnsi"/>
        </w:rPr>
        <w:t>of guanfacine versus atomoxetine ($</w:t>
      </w:r>
      <w:r w:rsidR="00CF0A88">
        <w:rPr>
          <w:rFonts w:asciiTheme="minorHAnsi" w:hAnsiTheme="minorHAnsi"/>
          <w:noProof/>
          <w:color w:val="000000"/>
          <w:highlight w:val="black"/>
        </w:rPr>
        <w:t>''''''''''</w:t>
      </w:r>
      <w:r w:rsidR="00185E5A" w:rsidRPr="006D49EC">
        <w:rPr>
          <w:rFonts w:asciiTheme="minorHAnsi" w:hAnsiTheme="minorHAnsi"/>
        </w:rPr>
        <w:t xml:space="preserve">) was the assumed price for guanfacine in the model. </w:t>
      </w:r>
      <w:r w:rsidR="00D379B1" w:rsidRPr="006D49EC">
        <w:t xml:space="preserve">The base case ICER was </w:t>
      </w:r>
      <w:r w:rsidR="009B28EF">
        <w:t>$45,000/QALY - $75,000/QALY</w:t>
      </w:r>
      <w:r w:rsidR="00D379B1" w:rsidRPr="006D49EC">
        <w:t xml:space="preserve"> which compares to the ICER for atomoxetine in the second-line treatment of ADHD of between ($15,000 and $45,000/QALY (Atomoxetine PSD, November 2006)). </w:t>
      </w:r>
      <w:r w:rsidRPr="006D49EC">
        <w:rPr>
          <w:rFonts w:asciiTheme="minorHAnsi" w:hAnsiTheme="minorHAnsi"/>
        </w:rPr>
        <w:t>These results include the incorrect cost per day for methylphenidate, assumed to be $</w:t>
      </w:r>
      <w:r w:rsidR="00CF0A88">
        <w:rPr>
          <w:rFonts w:asciiTheme="minorHAnsi" w:hAnsiTheme="minorHAnsi"/>
          <w:noProof/>
          <w:color w:val="000000"/>
          <w:highlight w:val="black"/>
        </w:rPr>
        <w:t>''''''''</w:t>
      </w:r>
      <w:r w:rsidRPr="006D49EC">
        <w:rPr>
          <w:rFonts w:asciiTheme="minorHAnsi" w:hAnsiTheme="minorHAnsi"/>
        </w:rPr>
        <w:t xml:space="preserve"> rather than </w:t>
      </w:r>
      <w:r w:rsidR="00D32556" w:rsidRPr="006D49EC">
        <w:rPr>
          <w:rFonts w:asciiTheme="minorHAnsi" w:hAnsiTheme="minorHAnsi"/>
        </w:rPr>
        <w:t>$</w:t>
      </w:r>
      <w:r w:rsidR="00CF0A88">
        <w:rPr>
          <w:rFonts w:asciiTheme="minorHAnsi" w:hAnsiTheme="minorHAnsi"/>
          <w:noProof/>
          <w:color w:val="000000"/>
          <w:highlight w:val="black"/>
        </w:rPr>
        <w:t>'''''''''</w:t>
      </w:r>
      <w:r w:rsidR="00D32556" w:rsidRPr="006D49EC">
        <w:rPr>
          <w:rFonts w:asciiTheme="minorHAnsi" w:hAnsiTheme="minorHAnsi"/>
        </w:rPr>
        <w:t>. T</w:t>
      </w:r>
      <w:r w:rsidRPr="006D49EC">
        <w:rPr>
          <w:rFonts w:asciiTheme="minorHAnsi" w:hAnsiTheme="minorHAnsi"/>
        </w:rPr>
        <w:t xml:space="preserve">he </w:t>
      </w:r>
      <w:r w:rsidR="00D32556" w:rsidRPr="006D49EC">
        <w:rPr>
          <w:rFonts w:asciiTheme="minorHAnsi" w:hAnsiTheme="minorHAnsi"/>
        </w:rPr>
        <w:t xml:space="preserve">ICER increases slightly to </w:t>
      </w:r>
      <w:r w:rsidR="009B28EF">
        <w:t xml:space="preserve">$45,000/QALY - $75,000/QALY </w:t>
      </w:r>
      <w:r w:rsidR="00D32556" w:rsidRPr="006D49EC">
        <w:rPr>
          <w:rFonts w:asciiTheme="minorHAnsi" w:hAnsiTheme="minorHAnsi"/>
        </w:rPr>
        <w:t>when assuming a daily cost of $</w:t>
      </w:r>
      <w:r w:rsidR="00CF0A88">
        <w:rPr>
          <w:rFonts w:asciiTheme="minorHAnsi" w:hAnsiTheme="minorHAnsi"/>
          <w:noProof/>
          <w:color w:val="000000"/>
          <w:highlight w:val="black"/>
        </w:rPr>
        <w:t>''''''''</w:t>
      </w:r>
      <w:r w:rsidR="00D32556" w:rsidRPr="006D49EC">
        <w:rPr>
          <w:rFonts w:asciiTheme="minorHAnsi" w:hAnsiTheme="minorHAnsi"/>
        </w:rPr>
        <w:t>.</w:t>
      </w:r>
      <w:r w:rsidRPr="006D49EC">
        <w:rPr>
          <w:rFonts w:asciiTheme="minorHAnsi" w:hAnsiTheme="minorHAnsi"/>
        </w:rPr>
        <w:t xml:space="preserve"> </w:t>
      </w:r>
    </w:p>
    <w:p w:rsidR="003A3A31" w:rsidRPr="006D49EC" w:rsidRDefault="003A3A31" w:rsidP="00E907D1">
      <w:pPr>
        <w:pStyle w:val="Caption"/>
      </w:pPr>
      <w:r w:rsidRPr="006D49EC">
        <w:t xml:space="preserve">Table </w:t>
      </w:r>
      <w:r w:rsidR="00ED75E6" w:rsidRPr="006D49EC">
        <w:t>11</w:t>
      </w:r>
      <w:r w:rsidRPr="006D49EC">
        <w:t>: Results of the stepped economic evaluation from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2"/>
        <w:gridCol w:w="1802"/>
        <w:gridCol w:w="1804"/>
        <w:gridCol w:w="2054"/>
      </w:tblGrid>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b/>
                <w:sz w:val="20"/>
              </w:rPr>
            </w:pPr>
            <w:r w:rsidRPr="006D49EC">
              <w:rPr>
                <w:rFonts w:ascii="Arial Narrow" w:hAnsi="Arial Narrow" w:cs="Times New Roman"/>
                <w:b/>
                <w:sz w:val="20"/>
              </w:rPr>
              <w:t>Step and component</w:t>
            </w:r>
          </w:p>
        </w:tc>
        <w:tc>
          <w:tcPr>
            <w:tcW w:w="992" w:type="pct"/>
          </w:tcPr>
          <w:p w:rsidR="00EF6A81" w:rsidRPr="006D49EC" w:rsidRDefault="00EF6A81" w:rsidP="00E907D1">
            <w:pPr>
              <w:widowControl/>
              <w:jc w:val="center"/>
              <w:rPr>
                <w:rFonts w:ascii="Arial Narrow" w:hAnsi="Arial Narrow" w:cs="Times New Roman"/>
                <w:b/>
                <w:sz w:val="20"/>
              </w:rPr>
            </w:pPr>
            <w:r w:rsidRPr="006D49EC">
              <w:rPr>
                <w:rFonts w:ascii="Arial Narrow" w:hAnsi="Arial Narrow" w:cs="Times New Roman"/>
                <w:b/>
                <w:sz w:val="20"/>
              </w:rPr>
              <w:t>GXR+LA S</w:t>
            </w:r>
          </w:p>
        </w:tc>
        <w:tc>
          <w:tcPr>
            <w:tcW w:w="993" w:type="pct"/>
            <w:vAlign w:val="center"/>
          </w:tcPr>
          <w:p w:rsidR="00EF6A81" w:rsidRPr="006D49EC" w:rsidRDefault="00EF6A81" w:rsidP="00E907D1">
            <w:pPr>
              <w:widowControl/>
              <w:jc w:val="center"/>
              <w:rPr>
                <w:rFonts w:ascii="Arial Narrow" w:hAnsi="Arial Narrow" w:cs="Times New Roman"/>
                <w:b/>
                <w:sz w:val="20"/>
              </w:rPr>
            </w:pPr>
            <w:r w:rsidRPr="006D49EC">
              <w:rPr>
                <w:rFonts w:ascii="Arial Narrow" w:hAnsi="Arial Narrow" w:cs="Times New Roman"/>
                <w:b/>
                <w:sz w:val="20"/>
              </w:rPr>
              <w:t>PBO+LA S</w:t>
            </w:r>
          </w:p>
        </w:tc>
        <w:tc>
          <w:tcPr>
            <w:tcW w:w="1131" w:type="pct"/>
          </w:tcPr>
          <w:p w:rsidR="00EF6A81" w:rsidRPr="006D49EC" w:rsidRDefault="00EF6A81" w:rsidP="00E907D1">
            <w:pPr>
              <w:widowControl/>
              <w:jc w:val="center"/>
              <w:rPr>
                <w:rFonts w:ascii="Arial Narrow" w:hAnsi="Arial Narrow" w:cs="Times New Roman"/>
                <w:b/>
                <w:sz w:val="20"/>
              </w:rPr>
            </w:pPr>
            <w:r w:rsidRPr="006D49EC">
              <w:rPr>
                <w:rFonts w:ascii="Arial Narrow" w:hAnsi="Arial Narrow" w:cs="Times New Roman"/>
                <w:b/>
                <w:sz w:val="20"/>
              </w:rPr>
              <w:t>Increment</w:t>
            </w:r>
          </w:p>
        </w:tc>
      </w:tr>
      <w:tr w:rsidR="00EF6A81" w:rsidRPr="006D49EC" w:rsidTr="00717882">
        <w:tc>
          <w:tcPr>
            <w:tcW w:w="5000" w:type="pct"/>
            <w:gridSpan w:val="4"/>
            <w:vAlign w:val="center"/>
          </w:tcPr>
          <w:p w:rsidR="00EF6A81" w:rsidRPr="006D49EC" w:rsidRDefault="00EF6A81" w:rsidP="00E907D1">
            <w:pPr>
              <w:keepNext/>
              <w:widowControl/>
              <w:jc w:val="left"/>
              <w:rPr>
                <w:rFonts w:ascii="Arial Narrow" w:hAnsi="Arial Narrow" w:cs="Arial Narrow"/>
                <w:b/>
                <w:bCs/>
                <w:sz w:val="20"/>
              </w:rPr>
            </w:pPr>
            <w:r w:rsidRPr="006D49EC">
              <w:rPr>
                <w:rFonts w:ascii="Arial Narrow" w:hAnsi="Arial Narrow" w:cs="Arial Narrow"/>
                <w:b/>
                <w:bCs/>
                <w:sz w:val="20"/>
              </w:rPr>
              <w:t xml:space="preserve">Step 1: Cost per responder at 4 weeks </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z w:val="20"/>
              </w:rPr>
            </w:pPr>
            <w:r w:rsidRPr="006D49EC">
              <w:rPr>
                <w:rFonts w:ascii="Arial Narrow" w:hAnsi="Arial Narrow" w:cs="Times New Roman"/>
                <w:sz w:val="20"/>
              </w:rPr>
              <w:t>Costs (drug-costs only)</w:t>
            </w:r>
          </w:p>
        </w:tc>
        <w:tc>
          <w:tcPr>
            <w:tcW w:w="992"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993" w:type="pct"/>
            <w:vAlign w:val="center"/>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1131"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z w:val="20"/>
              </w:rPr>
            </w:pPr>
            <w:r w:rsidRPr="006D49EC">
              <w:rPr>
                <w:rFonts w:ascii="Arial Narrow" w:hAnsi="Arial Narrow" w:cs="Times New Roman"/>
                <w:sz w:val="20"/>
              </w:rPr>
              <w:t>Probability of response</w:t>
            </w:r>
          </w:p>
        </w:tc>
        <w:tc>
          <w:tcPr>
            <w:tcW w:w="992" w:type="pct"/>
          </w:tcPr>
          <w:p w:rsidR="00EF6A81" w:rsidRPr="006D49EC" w:rsidRDefault="00EF6A81" w:rsidP="00E907D1">
            <w:pPr>
              <w:widowControl/>
              <w:jc w:val="center"/>
              <w:rPr>
                <w:rFonts w:ascii="Arial Narrow" w:hAnsi="Arial Narrow" w:cs="Times New Roman"/>
                <w:sz w:val="20"/>
              </w:rPr>
            </w:pPr>
            <w:r w:rsidRPr="009500FD">
              <w:rPr>
                <w:rFonts w:ascii="Arial Narrow" w:hAnsi="Arial Narrow" w:cs="Times New Roman"/>
                <w:sz w:val="20"/>
              </w:rPr>
              <w:t>0.616</w:t>
            </w:r>
          </w:p>
        </w:tc>
        <w:tc>
          <w:tcPr>
            <w:tcW w:w="993" w:type="pct"/>
            <w:vAlign w:val="center"/>
          </w:tcPr>
          <w:p w:rsidR="00EF6A81" w:rsidRPr="006D49EC" w:rsidRDefault="00EF6A81" w:rsidP="00E907D1">
            <w:pPr>
              <w:widowControl/>
              <w:jc w:val="center"/>
              <w:rPr>
                <w:rFonts w:ascii="Arial Narrow" w:hAnsi="Arial Narrow" w:cs="Times New Roman"/>
                <w:sz w:val="20"/>
              </w:rPr>
            </w:pPr>
            <w:r w:rsidRPr="009500FD">
              <w:rPr>
                <w:rFonts w:ascii="Arial Narrow" w:hAnsi="Arial Narrow" w:cs="Times New Roman"/>
                <w:sz w:val="20"/>
              </w:rPr>
              <w:t>0.461</w:t>
            </w:r>
          </w:p>
        </w:tc>
        <w:tc>
          <w:tcPr>
            <w:tcW w:w="1131" w:type="pct"/>
          </w:tcPr>
          <w:p w:rsidR="00EF6A81" w:rsidRPr="006D49EC" w:rsidRDefault="00EF6A81" w:rsidP="00E907D1">
            <w:pPr>
              <w:widowControl/>
              <w:jc w:val="center"/>
              <w:rPr>
                <w:rFonts w:ascii="Arial Narrow" w:hAnsi="Arial Narrow" w:cs="Times New Roman"/>
                <w:sz w:val="20"/>
              </w:rPr>
            </w:pPr>
            <w:r w:rsidRPr="009500FD">
              <w:rPr>
                <w:rFonts w:ascii="Arial Narrow" w:hAnsi="Arial Narrow" w:cs="Times New Roman"/>
                <w:sz w:val="20"/>
              </w:rPr>
              <w:t>0.155</w:t>
            </w:r>
          </w:p>
        </w:tc>
      </w:tr>
      <w:tr w:rsidR="00EF6A81" w:rsidRPr="006D49EC" w:rsidTr="00717882">
        <w:tc>
          <w:tcPr>
            <w:tcW w:w="3869" w:type="pct"/>
            <w:gridSpan w:val="3"/>
            <w:vAlign w:val="center"/>
          </w:tcPr>
          <w:p w:rsidR="00EF6A81" w:rsidRPr="006D49EC" w:rsidRDefault="00EF6A81" w:rsidP="00E907D1">
            <w:pPr>
              <w:widowControl/>
              <w:jc w:val="right"/>
              <w:rPr>
                <w:rFonts w:ascii="Arial Narrow" w:hAnsi="Arial Narrow" w:cs="Times New Roman"/>
                <w:sz w:val="20"/>
              </w:rPr>
            </w:pPr>
            <w:r w:rsidRPr="006D49EC">
              <w:rPr>
                <w:rFonts w:ascii="Arial Narrow" w:hAnsi="Arial Narrow" w:cs="Times New Roman"/>
                <w:snapToGrid/>
                <w:sz w:val="20"/>
              </w:rPr>
              <w:t>Incremental cost per responder</w:t>
            </w:r>
          </w:p>
        </w:tc>
        <w:tc>
          <w:tcPr>
            <w:tcW w:w="1131"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r w:rsidR="00EF6A81" w:rsidRPr="006D49EC" w:rsidTr="00717882">
        <w:tc>
          <w:tcPr>
            <w:tcW w:w="5000" w:type="pct"/>
            <w:gridSpan w:val="4"/>
            <w:vAlign w:val="center"/>
          </w:tcPr>
          <w:p w:rsidR="00EF6A81" w:rsidRPr="006D49EC" w:rsidRDefault="00EF6A81" w:rsidP="00E907D1">
            <w:pPr>
              <w:keepNext/>
              <w:widowControl/>
              <w:jc w:val="left"/>
              <w:rPr>
                <w:rFonts w:ascii="Arial Narrow" w:hAnsi="Arial Narrow" w:cs="Arial Narrow"/>
                <w:b/>
                <w:bCs/>
                <w:sz w:val="20"/>
              </w:rPr>
            </w:pPr>
            <w:r w:rsidRPr="006D49EC">
              <w:rPr>
                <w:rFonts w:ascii="Arial Narrow" w:hAnsi="Arial Narrow" w:cs="Arial Narrow"/>
                <w:b/>
                <w:bCs/>
                <w:sz w:val="20"/>
              </w:rPr>
              <w:t>Step 2: Extrapolation to 1 year</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z w:val="20"/>
              </w:rPr>
            </w:pPr>
            <w:r w:rsidRPr="006D49EC">
              <w:rPr>
                <w:rFonts w:ascii="Arial Narrow" w:hAnsi="Arial Narrow" w:cs="Times New Roman"/>
                <w:sz w:val="20"/>
              </w:rPr>
              <w:t>Costs</w:t>
            </w:r>
          </w:p>
        </w:tc>
        <w:tc>
          <w:tcPr>
            <w:tcW w:w="992"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993" w:type="pct"/>
            <w:vAlign w:val="center"/>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1131"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z w:val="20"/>
              </w:rPr>
            </w:pPr>
            <w:r w:rsidRPr="006D49EC">
              <w:rPr>
                <w:rFonts w:ascii="Arial Narrow" w:hAnsi="Arial Narrow" w:cs="Times New Roman"/>
                <w:sz w:val="20"/>
              </w:rPr>
              <w:t>Probability of response</w:t>
            </w:r>
          </w:p>
        </w:tc>
        <w:tc>
          <w:tcPr>
            <w:tcW w:w="992" w:type="pct"/>
          </w:tcPr>
          <w:p w:rsidR="00EF6A81" w:rsidRPr="006D49EC" w:rsidRDefault="00EF6A81" w:rsidP="00E907D1">
            <w:pPr>
              <w:widowControl/>
              <w:jc w:val="center"/>
              <w:rPr>
                <w:rFonts w:ascii="Arial Narrow" w:hAnsi="Arial Narrow" w:cs="Times New Roman"/>
                <w:sz w:val="20"/>
              </w:rPr>
            </w:pPr>
            <w:r w:rsidRPr="00886A26">
              <w:rPr>
                <w:rFonts w:ascii="Arial Narrow" w:hAnsi="Arial Narrow" w:cs="Times New Roman"/>
                <w:sz w:val="20"/>
              </w:rPr>
              <w:t>0.580</w:t>
            </w:r>
          </w:p>
        </w:tc>
        <w:tc>
          <w:tcPr>
            <w:tcW w:w="993" w:type="pct"/>
            <w:vAlign w:val="center"/>
          </w:tcPr>
          <w:p w:rsidR="00EF6A81" w:rsidRPr="006D49EC" w:rsidRDefault="00EF6A81" w:rsidP="00E907D1">
            <w:pPr>
              <w:widowControl/>
              <w:jc w:val="center"/>
              <w:rPr>
                <w:rFonts w:ascii="Arial Narrow" w:hAnsi="Arial Narrow" w:cs="Times New Roman"/>
                <w:sz w:val="20"/>
              </w:rPr>
            </w:pPr>
            <w:r w:rsidRPr="00886A26">
              <w:rPr>
                <w:rFonts w:ascii="Arial Narrow" w:hAnsi="Arial Narrow" w:cs="Times New Roman"/>
                <w:sz w:val="20"/>
              </w:rPr>
              <w:t>0.434</w:t>
            </w:r>
          </w:p>
        </w:tc>
        <w:tc>
          <w:tcPr>
            <w:tcW w:w="1131" w:type="pct"/>
          </w:tcPr>
          <w:p w:rsidR="00EF6A81" w:rsidRPr="006D49EC" w:rsidRDefault="00EF6A81" w:rsidP="00E907D1">
            <w:pPr>
              <w:widowControl/>
              <w:jc w:val="center"/>
              <w:rPr>
                <w:rFonts w:ascii="Arial Narrow" w:hAnsi="Arial Narrow" w:cs="Times New Roman"/>
                <w:sz w:val="20"/>
              </w:rPr>
            </w:pPr>
            <w:r w:rsidRPr="00886A26">
              <w:rPr>
                <w:rFonts w:ascii="Arial Narrow" w:hAnsi="Arial Narrow" w:cs="Times New Roman"/>
                <w:sz w:val="20"/>
              </w:rPr>
              <w:t>0.146</w:t>
            </w:r>
          </w:p>
        </w:tc>
      </w:tr>
      <w:tr w:rsidR="00EF6A81" w:rsidRPr="006D49EC" w:rsidTr="00717882">
        <w:tc>
          <w:tcPr>
            <w:tcW w:w="3869" w:type="pct"/>
            <w:gridSpan w:val="3"/>
            <w:vAlign w:val="center"/>
          </w:tcPr>
          <w:p w:rsidR="00EF6A81" w:rsidRPr="006D49EC" w:rsidRDefault="00EF6A81" w:rsidP="00E907D1">
            <w:pPr>
              <w:widowControl/>
              <w:jc w:val="right"/>
              <w:rPr>
                <w:rFonts w:ascii="Arial Narrow" w:hAnsi="Arial Narrow" w:cs="Times New Roman"/>
                <w:sz w:val="20"/>
              </w:rPr>
            </w:pPr>
            <w:r w:rsidRPr="006D49EC">
              <w:rPr>
                <w:rFonts w:ascii="Arial Narrow" w:hAnsi="Arial Narrow" w:cs="Times New Roman"/>
                <w:snapToGrid/>
                <w:sz w:val="20"/>
              </w:rPr>
              <w:t>Incremental cost per responder</w:t>
            </w:r>
          </w:p>
        </w:tc>
        <w:tc>
          <w:tcPr>
            <w:tcW w:w="1131"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r w:rsidR="00EF6A81" w:rsidRPr="006D49EC" w:rsidTr="00717882">
        <w:tc>
          <w:tcPr>
            <w:tcW w:w="5000" w:type="pct"/>
            <w:gridSpan w:val="4"/>
            <w:vAlign w:val="center"/>
          </w:tcPr>
          <w:p w:rsidR="00EF6A81" w:rsidRPr="006D49EC" w:rsidRDefault="00EF6A81" w:rsidP="00E907D1">
            <w:pPr>
              <w:keepNext/>
              <w:widowControl/>
              <w:jc w:val="left"/>
              <w:rPr>
                <w:rFonts w:ascii="Arial Narrow" w:hAnsi="Arial Narrow" w:cs="Arial Narrow"/>
                <w:b/>
                <w:bCs/>
                <w:sz w:val="20"/>
              </w:rPr>
            </w:pPr>
            <w:r w:rsidRPr="006D49EC">
              <w:rPr>
                <w:rFonts w:ascii="Arial Narrow" w:hAnsi="Arial Narrow" w:cs="Arial Narrow"/>
                <w:b/>
                <w:bCs/>
                <w:sz w:val="20"/>
              </w:rPr>
              <w:t>Step 3: Include health-state costs</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z w:val="20"/>
              </w:rPr>
            </w:pPr>
            <w:r w:rsidRPr="006D49EC">
              <w:rPr>
                <w:rFonts w:ascii="Arial Narrow" w:hAnsi="Arial Narrow" w:cs="Times New Roman"/>
                <w:sz w:val="20"/>
              </w:rPr>
              <w:t>Costs</w:t>
            </w:r>
          </w:p>
        </w:tc>
        <w:tc>
          <w:tcPr>
            <w:tcW w:w="992"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993" w:type="pct"/>
            <w:vAlign w:val="center"/>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1131"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z w:val="20"/>
              </w:rPr>
            </w:pPr>
            <w:r w:rsidRPr="006D49EC">
              <w:rPr>
                <w:rFonts w:ascii="Arial Narrow" w:hAnsi="Arial Narrow" w:cs="Times New Roman"/>
                <w:sz w:val="20"/>
              </w:rPr>
              <w:t>Probability of response</w:t>
            </w:r>
          </w:p>
        </w:tc>
        <w:tc>
          <w:tcPr>
            <w:tcW w:w="992" w:type="pct"/>
          </w:tcPr>
          <w:p w:rsidR="00EF6A81" w:rsidRPr="006D49EC" w:rsidRDefault="00EF6A81" w:rsidP="00E907D1">
            <w:pPr>
              <w:widowControl/>
              <w:jc w:val="center"/>
              <w:rPr>
                <w:rFonts w:ascii="Arial Narrow" w:hAnsi="Arial Narrow" w:cs="Times New Roman"/>
                <w:sz w:val="20"/>
              </w:rPr>
            </w:pPr>
            <w:r w:rsidRPr="00886A26">
              <w:rPr>
                <w:rFonts w:ascii="Arial Narrow" w:hAnsi="Arial Narrow" w:cs="Times New Roman"/>
                <w:sz w:val="20"/>
              </w:rPr>
              <w:t>0.580</w:t>
            </w:r>
          </w:p>
        </w:tc>
        <w:tc>
          <w:tcPr>
            <w:tcW w:w="993" w:type="pct"/>
            <w:vAlign w:val="center"/>
          </w:tcPr>
          <w:p w:rsidR="00EF6A81" w:rsidRPr="006D49EC" w:rsidRDefault="00EF6A81" w:rsidP="00E907D1">
            <w:pPr>
              <w:widowControl/>
              <w:jc w:val="center"/>
              <w:rPr>
                <w:rFonts w:ascii="Arial Narrow" w:hAnsi="Arial Narrow" w:cs="Times New Roman"/>
                <w:sz w:val="20"/>
              </w:rPr>
            </w:pPr>
            <w:r w:rsidRPr="00886A26">
              <w:rPr>
                <w:rFonts w:ascii="Arial Narrow" w:hAnsi="Arial Narrow" w:cs="Times New Roman"/>
                <w:sz w:val="20"/>
              </w:rPr>
              <w:t>0.434</w:t>
            </w:r>
          </w:p>
        </w:tc>
        <w:tc>
          <w:tcPr>
            <w:tcW w:w="1131" w:type="pct"/>
          </w:tcPr>
          <w:p w:rsidR="00EF6A81" w:rsidRPr="006D49EC" w:rsidRDefault="00EF6A81" w:rsidP="00E907D1">
            <w:pPr>
              <w:widowControl/>
              <w:jc w:val="center"/>
              <w:rPr>
                <w:rFonts w:ascii="Arial Narrow" w:hAnsi="Arial Narrow" w:cs="Times New Roman"/>
                <w:sz w:val="20"/>
              </w:rPr>
            </w:pPr>
            <w:r w:rsidRPr="00886A26">
              <w:rPr>
                <w:rFonts w:ascii="Arial Narrow" w:hAnsi="Arial Narrow" w:cs="Times New Roman"/>
                <w:sz w:val="20"/>
              </w:rPr>
              <w:t>0.146</w:t>
            </w:r>
          </w:p>
        </w:tc>
      </w:tr>
      <w:tr w:rsidR="00EF6A81" w:rsidRPr="006D49EC" w:rsidTr="00717882">
        <w:tc>
          <w:tcPr>
            <w:tcW w:w="3869" w:type="pct"/>
            <w:gridSpan w:val="3"/>
            <w:vAlign w:val="center"/>
          </w:tcPr>
          <w:p w:rsidR="00EF6A81" w:rsidRPr="006D49EC" w:rsidRDefault="00EF6A81" w:rsidP="00E907D1">
            <w:pPr>
              <w:widowControl/>
              <w:jc w:val="right"/>
              <w:rPr>
                <w:rFonts w:ascii="Arial Narrow" w:hAnsi="Arial Narrow" w:cs="Times New Roman"/>
                <w:b/>
                <w:sz w:val="20"/>
              </w:rPr>
            </w:pPr>
            <w:r w:rsidRPr="006D49EC">
              <w:rPr>
                <w:rFonts w:ascii="Arial Narrow" w:hAnsi="Arial Narrow" w:cs="Times New Roman"/>
                <w:snapToGrid/>
                <w:sz w:val="20"/>
              </w:rPr>
              <w:t>Incremental cost per responder</w:t>
            </w:r>
          </w:p>
        </w:tc>
        <w:tc>
          <w:tcPr>
            <w:tcW w:w="1131" w:type="pct"/>
          </w:tcPr>
          <w:p w:rsidR="00EF6A81" w:rsidRPr="006D49EC" w:rsidRDefault="00EF6A81" w:rsidP="00E907D1">
            <w:pPr>
              <w:widowControl/>
              <w:jc w:val="center"/>
              <w:rPr>
                <w:rFonts w:ascii="Arial Narrow" w:hAnsi="Arial Narrow" w:cs="Times New Roman"/>
                <w:b/>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r w:rsidR="00EF6A81" w:rsidRPr="006D49EC" w:rsidTr="00717882">
        <w:tc>
          <w:tcPr>
            <w:tcW w:w="5000" w:type="pct"/>
            <w:gridSpan w:val="4"/>
            <w:vAlign w:val="center"/>
          </w:tcPr>
          <w:p w:rsidR="00EF6A81" w:rsidRPr="006D49EC" w:rsidRDefault="00EF6A81" w:rsidP="00E907D1">
            <w:pPr>
              <w:widowControl/>
              <w:rPr>
                <w:rFonts w:ascii="Arial Narrow" w:hAnsi="Arial Narrow" w:cs="Times New Roman"/>
                <w:sz w:val="20"/>
              </w:rPr>
            </w:pPr>
            <w:r w:rsidRPr="006D49EC">
              <w:rPr>
                <w:rFonts w:ascii="Arial Narrow" w:hAnsi="Arial Narrow" w:cs="Arial Narrow"/>
                <w:b/>
                <w:bCs/>
                <w:sz w:val="20"/>
              </w:rPr>
              <w:t>Step 4: Transform health-states to QALYs</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napToGrid/>
                <w:sz w:val="20"/>
              </w:rPr>
            </w:pPr>
            <w:r w:rsidRPr="006D49EC">
              <w:rPr>
                <w:rFonts w:ascii="Arial Narrow" w:hAnsi="Arial Narrow" w:cs="Times New Roman"/>
                <w:sz w:val="20"/>
              </w:rPr>
              <w:t>Costs</w:t>
            </w:r>
          </w:p>
        </w:tc>
        <w:tc>
          <w:tcPr>
            <w:tcW w:w="992" w:type="pct"/>
          </w:tcPr>
          <w:p w:rsidR="00EF6A81" w:rsidRPr="006D49EC" w:rsidRDefault="00EF6A81" w:rsidP="00E907D1">
            <w:pPr>
              <w:widowControl/>
              <w:jc w:val="center"/>
              <w:rPr>
                <w:rFonts w:ascii="Arial Narrow" w:hAnsi="Arial Narrow" w:cs="Times New Roman"/>
                <w:snapToGrid/>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993" w:type="pct"/>
            <w:vAlign w:val="center"/>
          </w:tcPr>
          <w:p w:rsidR="00EF6A81" w:rsidRPr="006D49EC" w:rsidRDefault="00EF6A81" w:rsidP="00E907D1">
            <w:pPr>
              <w:widowControl/>
              <w:jc w:val="center"/>
              <w:rPr>
                <w:rFonts w:ascii="Arial Narrow" w:hAnsi="Arial Narrow" w:cs="Times New Roman"/>
                <w:snapToGrid/>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c>
          <w:tcPr>
            <w:tcW w:w="1131"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r w:rsidR="00EF6A81" w:rsidRPr="006D49EC" w:rsidTr="00717882">
        <w:tc>
          <w:tcPr>
            <w:tcW w:w="1884" w:type="pct"/>
            <w:vAlign w:val="center"/>
          </w:tcPr>
          <w:p w:rsidR="00EF6A81" w:rsidRPr="006D49EC" w:rsidRDefault="00EF6A81" w:rsidP="00E907D1">
            <w:pPr>
              <w:widowControl/>
              <w:jc w:val="left"/>
              <w:rPr>
                <w:rFonts w:ascii="Arial Narrow" w:hAnsi="Arial Narrow" w:cs="Times New Roman"/>
                <w:snapToGrid/>
                <w:sz w:val="20"/>
              </w:rPr>
            </w:pPr>
            <w:r w:rsidRPr="006D49EC">
              <w:rPr>
                <w:rFonts w:ascii="Arial Narrow" w:hAnsi="Arial Narrow" w:cs="Times New Roman"/>
                <w:snapToGrid/>
                <w:sz w:val="20"/>
              </w:rPr>
              <w:t>QALYs</w:t>
            </w:r>
          </w:p>
        </w:tc>
        <w:tc>
          <w:tcPr>
            <w:tcW w:w="992" w:type="pct"/>
            <w:vAlign w:val="center"/>
          </w:tcPr>
          <w:p w:rsidR="00EF6A81" w:rsidRPr="003E2358" w:rsidRDefault="00EF6A81" w:rsidP="00E907D1">
            <w:pPr>
              <w:widowControl/>
              <w:jc w:val="center"/>
              <w:rPr>
                <w:rFonts w:ascii="Arial Narrow" w:hAnsi="Arial Narrow" w:cs="Times New Roman"/>
                <w:snapToGrid/>
                <w:sz w:val="20"/>
              </w:rPr>
            </w:pPr>
            <w:r w:rsidRPr="003E2358">
              <w:rPr>
                <w:rFonts w:ascii="Arial Narrow" w:hAnsi="Arial Narrow" w:cs="Times New Roman"/>
                <w:snapToGrid/>
                <w:sz w:val="20"/>
              </w:rPr>
              <w:t>0.8841</w:t>
            </w:r>
          </w:p>
        </w:tc>
        <w:tc>
          <w:tcPr>
            <w:tcW w:w="993" w:type="pct"/>
            <w:vAlign w:val="center"/>
          </w:tcPr>
          <w:p w:rsidR="00EF6A81" w:rsidRPr="003E2358" w:rsidRDefault="00EF6A81" w:rsidP="00E907D1">
            <w:pPr>
              <w:widowControl/>
              <w:jc w:val="center"/>
              <w:rPr>
                <w:rFonts w:ascii="Arial Narrow" w:hAnsi="Arial Narrow" w:cs="Times New Roman"/>
                <w:snapToGrid/>
                <w:sz w:val="20"/>
              </w:rPr>
            </w:pPr>
            <w:r w:rsidRPr="003E2358">
              <w:rPr>
                <w:rFonts w:ascii="Arial Narrow" w:hAnsi="Arial Narrow" w:cs="Times New Roman"/>
                <w:snapToGrid/>
                <w:sz w:val="20"/>
              </w:rPr>
              <w:t>0.8706</w:t>
            </w:r>
          </w:p>
        </w:tc>
        <w:tc>
          <w:tcPr>
            <w:tcW w:w="1131" w:type="pct"/>
          </w:tcPr>
          <w:p w:rsidR="00EF6A81" w:rsidRPr="003E2358" w:rsidRDefault="00EF6A81" w:rsidP="00E907D1">
            <w:pPr>
              <w:widowControl/>
              <w:jc w:val="center"/>
              <w:rPr>
                <w:rFonts w:ascii="Arial Narrow" w:hAnsi="Arial Narrow" w:cs="Times New Roman"/>
                <w:sz w:val="20"/>
              </w:rPr>
            </w:pPr>
            <w:r w:rsidRPr="003E2358">
              <w:rPr>
                <w:rFonts w:ascii="Arial Narrow" w:hAnsi="Arial Narrow" w:cs="Times New Roman"/>
                <w:sz w:val="20"/>
              </w:rPr>
              <w:t>0.0135</w:t>
            </w:r>
          </w:p>
        </w:tc>
      </w:tr>
      <w:tr w:rsidR="00EF6A81" w:rsidRPr="006D49EC" w:rsidTr="00717882">
        <w:tc>
          <w:tcPr>
            <w:tcW w:w="3869" w:type="pct"/>
            <w:gridSpan w:val="3"/>
            <w:vAlign w:val="center"/>
          </w:tcPr>
          <w:p w:rsidR="00EF6A81" w:rsidRPr="006D49EC" w:rsidRDefault="00EF6A81" w:rsidP="00E907D1">
            <w:pPr>
              <w:widowControl/>
              <w:jc w:val="right"/>
              <w:rPr>
                <w:rFonts w:ascii="Arial Narrow" w:hAnsi="Arial Narrow" w:cs="Times New Roman"/>
                <w:snapToGrid/>
                <w:sz w:val="20"/>
              </w:rPr>
            </w:pPr>
            <w:r w:rsidRPr="006D49EC">
              <w:rPr>
                <w:rFonts w:ascii="Arial Narrow" w:hAnsi="Arial Narrow" w:cs="Times New Roman"/>
                <w:snapToGrid/>
                <w:sz w:val="20"/>
              </w:rPr>
              <w:t>Incremental cost/QALY</w:t>
            </w:r>
          </w:p>
        </w:tc>
        <w:tc>
          <w:tcPr>
            <w:tcW w:w="1131" w:type="pct"/>
          </w:tcPr>
          <w:p w:rsidR="00EF6A81" w:rsidRPr="006D49EC" w:rsidRDefault="00EF6A81" w:rsidP="00E907D1">
            <w:pPr>
              <w:widowControl/>
              <w:jc w:val="center"/>
              <w:rPr>
                <w:rFonts w:ascii="Arial Narrow" w:hAnsi="Arial Narrow" w:cs="Times New Roman"/>
                <w:sz w:val="20"/>
              </w:rPr>
            </w:pPr>
            <w:r w:rsidRPr="006D49EC">
              <w:rPr>
                <w:rFonts w:ascii="Arial Narrow" w:hAnsi="Arial Narrow" w:cs="Times New Roman"/>
                <w:sz w:val="20"/>
              </w:rPr>
              <w:t>$</w:t>
            </w:r>
            <w:r w:rsidR="00CF0A88">
              <w:rPr>
                <w:rFonts w:ascii="Arial Narrow" w:hAnsi="Arial Narrow" w:cs="Times New Roman"/>
                <w:noProof/>
                <w:color w:val="000000"/>
                <w:sz w:val="20"/>
                <w:highlight w:val="black"/>
              </w:rPr>
              <w:t>'''''''''''''''''</w:t>
            </w:r>
          </w:p>
        </w:tc>
      </w:tr>
    </w:tbl>
    <w:p w:rsidR="00EF6A81" w:rsidRPr="006D49EC" w:rsidRDefault="00EF6A81" w:rsidP="00E907D1">
      <w:pPr>
        <w:pStyle w:val="TableFooter"/>
        <w:widowControl/>
      </w:pPr>
      <w:r w:rsidRPr="006D49EC">
        <w:t>Source: Table D-14, page 209 of the submission</w:t>
      </w:r>
    </w:p>
    <w:p w:rsidR="00EF6A81" w:rsidRDefault="00EF6A81" w:rsidP="00E907D1">
      <w:pPr>
        <w:pStyle w:val="TableFooter"/>
        <w:widowControl/>
      </w:pPr>
      <w:r w:rsidRPr="006D49EC">
        <w:t>GXR=guanfacine, PBO=placebo, LA S=long-acting stimulant</w:t>
      </w:r>
    </w:p>
    <w:p w:rsidR="00040205" w:rsidRPr="006D49EC" w:rsidRDefault="00040205" w:rsidP="00E907D1">
      <w:pPr>
        <w:pStyle w:val="TableFooter"/>
        <w:widowControl/>
      </w:pPr>
    </w:p>
    <w:p w:rsidR="00DD48DB" w:rsidRPr="006D49EC" w:rsidRDefault="00D32556" w:rsidP="00B24C96">
      <w:pPr>
        <w:pStyle w:val="ListParagraph"/>
        <w:widowControl/>
        <w:numPr>
          <w:ilvl w:val="1"/>
          <w:numId w:val="3"/>
        </w:numPr>
        <w:contextualSpacing w:val="0"/>
        <w:rPr>
          <w:rFonts w:asciiTheme="minorHAnsi" w:hAnsiTheme="minorHAnsi"/>
        </w:rPr>
      </w:pPr>
      <w:r w:rsidRPr="006D49EC">
        <w:rPr>
          <w:rFonts w:asciiTheme="minorHAnsi" w:hAnsiTheme="minorHAnsi"/>
        </w:rPr>
        <w:t>Using the DPMQ derived from the cost-minimisation analysis conducted during the evaluation ($</w:t>
      </w:r>
      <w:r w:rsidR="00CF0A88">
        <w:rPr>
          <w:rFonts w:asciiTheme="minorHAnsi" w:hAnsiTheme="minorHAnsi"/>
          <w:noProof/>
          <w:color w:val="000000"/>
          <w:highlight w:val="black"/>
        </w:rPr>
        <w:t>''''''''''</w:t>
      </w:r>
      <w:r w:rsidRPr="006D49EC">
        <w:rPr>
          <w:rFonts w:asciiTheme="minorHAnsi" w:hAnsiTheme="minorHAnsi"/>
        </w:rPr>
        <w:t>) and assuming a daily cost of $</w:t>
      </w:r>
      <w:r w:rsidR="00CF0A88">
        <w:rPr>
          <w:rFonts w:asciiTheme="minorHAnsi" w:hAnsiTheme="minorHAnsi"/>
          <w:noProof/>
          <w:color w:val="000000"/>
          <w:highlight w:val="black"/>
        </w:rPr>
        <w:t>'''''''''</w:t>
      </w:r>
      <w:r w:rsidRPr="006D49EC">
        <w:rPr>
          <w:rFonts w:asciiTheme="minorHAnsi" w:hAnsiTheme="minorHAnsi"/>
        </w:rPr>
        <w:t xml:space="preserve"> for methylphenidate results in an ICER of </w:t>
      </w:r>
      <w:r w:rsidR="003D636C">
        <w:t>$45,000/QALY - $75,000/QALY</w:t>
      </w:r>
      <w:r w:rsidR="00DD48DB" w:rsidRPr="006D49EC">
        <w:rPr>
          <w:rFonts w:asciiTheme="minorHAnsi" w:hAnsiTheme="minorHAnsi"/>
        </w:rPr>
        <w:t>.</w:t>
      </w:r>
    </w:p>
    <w:p w:rsidR="00DD48DB" w:rsidRPr="006D49EC" w:rsidRDefault="00D32556"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submission conducted a series of univariate sensitivity analyses and further univariate and multivariate analyses were conducted during the evaluation. </w:t>
      </w:r>
      <w:r w:rsidR="00D514F8" w:rsidRPr="006D49EC">
        <w:rPr>
          <w:rFonts w:asciiTheme="minorHAnsi" w:hAnsiTheme="minorHAnsi"/>
        </w:rPr>
        <w:t>T</w:t>
      </w:r>
      <w:r w:rsidRPr="006D49EC">
        <w:rPr>
          <w:rFonts w:asciiTheme="minorHAnsi" w:hAnsiTheme="minorHAnsi"/>
        </w:rPr>
        <w:t>he ICER was most sensitive to the definition of responder used, utility values assumed for responder and non-responder and inclusion of estimated drug and non-drug costs associated with guanfacine titration.</w:t>
      </w:r>
      <w:r w:rsidR="00DD48DB" w:rsidRPr="006D49EC">
        <w:rPr>
          <w:rFonts w:asciiTheme="minorHAnsi" w:hAnsiTheme="minorHAnsi"/>
        </w:rPr>
        <w:t xml:space="preserve"> </w:t>
      </w:r>
      <w:r w:rsidR="009924C5" w:rsidRPr="006D49EC">
        <w:rPr>
          <w:rFonts w:asciiTheme="minorHAnsi" w:hAnsiTheme="minorHAnsi"/>
        </w:rPr>
        <w:t>Table 1</w:t>
      </w:r>
      <w:r w:rsidR="00F65F04" w:rsidRPr="006D49EC">
        <w:rPr>
          <w:rFonts w:asciiTheme="minorHAnsi" w:hAnsiTheme="minorHAnsi"/>
        </w:rPr>
        <w:t>2</w:t>
      </w:r>
      <w:r w:rsidR="009924C5" w:rsidRPr="006D49EC">
        <w:rPr>
          <w:rFonts w:asciiTheme="minorHAnsi" w:hAnsiTheme="minorHAnsi"/>
        </w:rPr>
        <w:t xml:space="preserve"> summarises key sensitivity analysis results varying the definition of response and using different utilities.</w:t>
      </w:r>
    </w:p>
    <w:p w:rsidR="00827F55" w:rsidRPr="006D49EC" w:rsidRDefault="007C3C5D"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w:t>
      </w:r>
      <w:r w:rsidRPr="00A42904">
        <w:rPr>
          <w:rFonts w:asciiTheme="minorHAnsi" w:hAnsiTheme="minorHAnsi"/>
        </w:rPr>
        <w:t>ESC</w:t>
      </w:r>
      <w:r w:rsidRPr="006D49EC">
        <w:rPr>
          <w:rFonts w:asciiTheme="minorHAnsi" w:hAnsiTheme="minorHAnsi"/>
        </w:rPr>
        <w:t xml:space="preserve"> considered a</w:t>
      </w:r>
      <w:r w:rsidR="00827F55" w:rsidRPr="006D49EC">
        <w:rPr>
          <w:rFonts w:asciiTheme="minorHAnsi" w:hAnsiTheme="minorHAnsi"/>
        </w:rPr>
        <w:t xml:space="preserve"> reasonable</w:t>
      </w:r>
      <w:r w:rsidRPr="006D49EC">
        <w:rPr>
          <w:rFonts w:asciiTheme="minorHAnsi" w:hAnsiTheme="minorHAnsi"/>
        </w:rPr>
        <w:t xml:space="preserve"> alternative </w:t>
      </w:r>
      <w:r w:rsidR="00827F55" w:rsidRPr="006D49EC">
        <w:rPr>
          <w:rFonts w:asciiTheme="minorHAnsi" w:hAnsiTheme="minorHAnsi"/>
        </w:rPr>
        <w:t>base case could define response as ADHD-RS-IV total score reduction ≥25% and use u</w:t>
      </w:r>
      <w:r w:rsidR="00410481" w:rsidRPr="006D49EC">
        <w:rPr>
          <w:rFonts w:asciiTheme="minorHAnsi" w:hAnsiTheme="minorHAnsi"/>
        </w:rPr>
        <w:t xml:space="preserve">tilities based </w:t>
      </w:r>
      <w:r w:rsidR="00827F55" w:rsidRPr="006D49EC">
        <w:rPr>
          <w:rFonts w:asciiTheme="minorHAnsi" w:hAnsiTheme="minorHAnsi"/>
        </w:rPr>
        <w:t xml:space="preserve">on </w:t>
      </w:r>
      <w:r w:rsidR="00410481" w:rsidRPr="006D49EC">
        <w:rPr>
          <w:rFonts w:asciiTheme="minorHAnsi" w:hAnsiTheme="minorHAnsi"/>
        </w:rPr>
        <w:t>ADHD-RS-IV improvement of ≥30% and a CGI-I score of 1 or 2</w:t>
      </w:r>
      <w:r w:rsidR="00410481" w:rsidRPr="006D49EC">
        <w:rPr>
          <w:rFonts w:asciiTheme="minorHAnsi" w:hAnsiTheme="minorHAnsi" w:cstheme="minorHAnsi"/>
        </w:rPr>
        <w:t>.</w:t>
      </w:r>
      <w:r w:rsidRPr="006D49EC">
        <w:rPr>
          <w:rFonts w:asciiTheme="minorHAnsi" w:hAnsiTheme="minorHAnsi" w:cstheme="minorHAnsi"/>
        </w:rPr>
        <w:t xml:space="preserve"> </w:t>
      </w:r>
      <w:r w:rsidR="006706BD" w:rsidRPr="006D49EC">
        <w:rPr>
          <w:rFonts w:asciiTheme="minorHAnsi" w:hAnsiTheme="minorHAnsi" w:cstheme="minorHAnsi"/>
        </w:rPr>
        <w:t xml:space="preserve">The </w:t>
      </w:r>
      <w:r w:rsidR="006706BD" w:rsidRPr="00A42904">
        <w:rPr>
          <w:rFonts w:asciiTheme="minorHAnsi" w:hAnsiTheme="minorHAnsi" w:cstheme="minorHAnsi"/>
        </w:rPr>
        <w:t>ES</w:t>
      </w:r>
      <w:r w:rsidR="006706BD" w:rsidRPr="006D49EC">
        <w:rPr>
          <w:rFonts w:asciiTheme="minorHAnsi" w:hAnsiTheme="minorHAnsi" w:cstheme="minorHAnsi"/>
        </w:rPr>
        <w:t xml:space="preserve">C acknowledged that utilities were available from trial 325 where responders where classified </w:t>
      </w:r>
      <w:r w:rsidR="006706BD" w:rsidRPr="006D49EC">
        <w:rPr>
          <w:rFonts w:asciiTheme="minorHAnsi" w:hAnsiTheme="minorHAnsi" w:cstheme="minorHAnsi"/>
          <w:szCs w:val="24"/>
        </w:rPr>
        <w:t>by ADHD-RS-IV ≥30%.</w:t>
      </w:r>
      <w:r w:rsidR="006706BD" w:rsidRPr="006D49EC">
        <w:rPr>
          <w:rFonts w:asciiTheme="minorHAnsi" w:hAnsiTheme="minorHAnsi" w:cstheme="minorHAnsi"/>
          <w:b/>
          <w:szCs w:val="24"/>
        </w:rPr>
        <w:t xml:space="preserve"> </w:t>
      </w:r>
      <w:r w:rsidR="006706BD" w:rsidRPr="006D49EC">
        <w:rPr>
          <w:rFonts w:asciiTheme="minorHAnsi" w:hAnsiTheme="minorHAnsi" w:cstheme="minorHAnsi"/>
          <w:szCs w:val="24"/>
        </w:rPr>
        <w:t>However it was felt these were likely to be optimistic utilities.</w:t>
      </w:r>
      <w:r w:rsidR="006706BD" w:rsidRPr="006D49EC">
        <w:rPr>
          <w:rFonts w:ascii="Arial Narrow" w:hAnsi="Arial Narrow"/>
          <w:b/>
          <w:sz w:val="20"/>
        </w:rPr>
        <w:t xml:space="preserve"> </w:t>
      </w:r>
      <w:r w:rsidR="00827F55" w:rsidRPr="006D49EC">
        <w:rPr>
          <w:rFonts w:asciiTheme="minorHAnsi" w:hAnsiTheme="minorHAnsi"/>
        </w:rPr>
        <w:t>The results of th</w:t>
      </w:r>
      <w:r w:rsidR="00587565" w:rsidRPr="006D49EC">
        <w:rPr>
          <w:rFonts w:asciiTheme="minorHAnsi" w:hAnsiTheme="minorHAnsi"/>
        </w:rPr>
        <w:t>is</w:t>
      </w:r>
      <w:r w:rsidR="00827F55" w:rsidRPr="006D49EC">
        <w:rPr>
          <w:rFonts w:asciiTheme="minorHAnsi" w:hAnsiTheme="minorHAnsi"/>
        </w:rPr>
        <w:t xml:space="preserve"> alternative economic analysis resulted in an ICER of </w:t>
      </w:r>
      <w:r w:rsidR="003267E4">
        <w:rPr>
          <w:rFonts w:asciiTheme="minorHAnsi" w:hAnsiTheme="minorHAnsi"/>
        </w:rPr>
        <w:t>$105,000</w:t>
      </w:r>
      <w:r w:rsidR="00CD2385">
        <w:rPr>
          <w:rFonts w:asciiTheme="minorHAnsi" w:hAnsiTheme="minorHAnsi"/>
        </w:rPr>
        <w:t xml:space="preserve"> </w:t>
      </w:r>
      <w:r w:rsidR="003267E4">
        <w:rPr>
          <w:rFonts w:asciiTheme="minorHAnsi" w:hAnsiTheme="minorHAnsi"/>
        </w:rPr>
        <w:t>-</w:t>
      </w:r>
      <w:r w:rsidR="00CD2385">
        <w:rPr>
          <w:rFonts w:asciiTheme="minorHAnsi" w:hAnsiTheme="minorHAnsi"/>
        </w:rPr>
        <w:t xml:space="preserve"> </w:t>
      </w:r>
      <w:r w:rsidR="003267E4">
        <w:rPr>
          <w:rFonts w:asciiTheme="minorHAnsi" w:hAnsiTheme="minorHAnsi"/>
        </w:rPr>
        <w:t>$200,000</w:t>
      </w:r>
      <w:r w:rsidR="00837484">
        <w:rPr>
          <w:rFonts w:asciiTheme="minorHAnsi" w:hAnsiTheme="minorHAnsi"/>
        </w:rPr>
        <w:t xml:space="preserve"> </w:t>
      </w:r>
      <w:r w:rsidR="00827F55" w:rsidRPr="006D49EC">
        <w:rPr>
          <w:rFonts w:asciiTheme="minorHAnsi" w:hAnsiTheme="minorHAnsi"/>
        </w:rPr>
        <w:t>per QALY when the guanfacine price was adjusted for the corrected price of modified release methylphenidate</w:t>
      </w:r>
      <w:r w:rsidR="00587565" w:rsidRPr="006D49EC">
        <w:rPr>
          <w:rFonts w:asciiTheme="minorHAnsi" w:hAnsiTheme="minorHAnsi"/>
        </w:rPr>
        <w:t xml:space="preserve"> (see highlighted sensitivity analysis in Table </w:t>
      </w:r>
      <w:r w:rsidR="00ED75E6" w:rsidRPr="006D49EC">
        <w:rPr>
          <w:rFonts w:asciiTheme="minorHAnsi" w:hAnsiTheme="minorHAnsi"/>
        </w:rPr>
        <w:t>12</w:t>
      </w:r>
      <w:r w:rsidR="00587565" w:rsidRPr="006D49EC">
        <w:rPr>
          <w:rFonts w:asciiTheme="minorHAnsi" w:hAnsiTheme="minorHAnsi"/>
        </w:rPr>
        <w:t>)</w:t>
      </w:r>
      <w:r w:rsidR="00827F55" w:rsidRPr="006D49EC">
        <w:rPr>
          <w:rFonts w:asciiTheme="minorHAnsi" w:hAnsiTheme="minorHAnsi"/>
        </w:rPr>
        <w:t xml:space="preserve">. </w:t>
      </w:r>
    </w:p>
    <w:p w:rsidR="00D970E8" w:rsidRPr="006D49EC" w:rsidRDefault="00D970E8"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noted the advice of the </w:t>
      </w:r>
      <w:r w:rsidRPr="00A42904">
        <w:rPr>
          <w:rFonts w:asciiTheme="minorHAnsi" w:hAnsiTheme="minorHAnsi"/>
        </w:rPr>
        <w:t>ESC,</w:t>
      </w:r>
      <w:r w:rsidRPr="006D49EC">
        <w:rPr>
          <w:rFonts w:asciiTheme="minorHAnsi" w:hAnsiTheme="minorHAnsi"/>
        </w:rPr>
        <w:t xml:space="preserve"> which considered that using a definition of ‘responder’ (defined by a 25% improvement in ADHD-RS-IV score) may be a more appropriate basis for the economic model. The PBAC also noted the </w:t>
      </w:r>
      <w:r w:rsidRPr="00A42904">
        <w:rPr>
          <w:rFonts w:asciiTheme="minorHAnsi" w:hAnsiTheme="minorHAnsi"/>
        </w:rPr>
        <w:t>advice</w:t>
      </w:r>
      <w:r w:rsidRPr="006D49EC">
        <w:rPr>
          <w:rFonts w:asciiTheme="minorHAnsi" w:hAnsiTheme="minorHAnsi"/>
        </w:rPr>
        <w:t xml:space="preserve"> of provided during the sponsor hearing, which clarified the importance of remission (defined by an ADHD-RS-IV score ≤18) in patient outcomes, and considered that the use of remission rates in the economic model </w:t>
      </w:r>
      <w:r w:rsidR="00106AF7" w:rsidRPr="006D49EC">
        <w:rPr>
          <w:rFonts w:asciiTheme="minorHAnsi" w:hAnsiTheme="minorHAnsi"/>
        </w:rPr>
        <w:t>i</w:t>
      </w:r>
      <w:r w:rsidRPr="006D49EC">
        <w:rPr>
          <w:rFonts w:asciiTheme="minorHAnsi" w:hAnsiTheme="minorHAnsi"/>
        </w:rPr>
        <w:t>s appropriate.</w:t>
      </w:r>
    </w:p>
    <w:p w:rsidR="00ED75E6" w:rsidRPr="006D49EC" w:rsidRDefault="00ED75E6" w:rsidP="00E907D1">
      <w:pPr>
        <w:pStyle w:val="Caption"/>
      </w:pPr>
      <w:r w:rsidRPr="006D49EC">
        <w:t>Table 12: Results of univariate and multivariate sensitivity analyses, adjusting definition of response and utilities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0"/>
        <w:gridCol w:w="2401"/>
        <w:gridCol w:w="2401"/>
      </w:tblGrid>
      <w:tr w:rsidR="00513BD3" w:rsidRPr="006D49EC" w:rsidTr="00C03ECC">
        <w:trPr>
          <w:tblHeader/>
        </w:trPr>
        <w:tc>
          <w:tcPr>
            <w:tcW w:w="2356" w:type="pct"/>
            <w:vMerge w:val="restart"/>
            <w:tcBorders>
              <w:left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p>
        </w:tc>
        <w:tc>
          <w:tcPr>
            <w:tcW w:w="2644" w:type="pct"/>
            <w:gridSpan w:val="2"/>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b/>
                <w:sz w:val="20"/>
              </w:rPr>
            </w:pPr>
            <w:r w:rsidRPr="006D49EC">
              <w:rPr>
                <w:rFonts w:ascii="Arial Narrow" w:hAnsi="Arial Narrow"/>
                <w:b/>
                <w:sz w:val="20"/>
              </w:rPr>
              <w:t>Incremental cost-effectiveness (ICER)</w:t>
            </w:r>
            <w:r w:rsidR="00FA3243" w:rsidRPr="006D49EC">
              <w:rPr>
                <w:rFonts w:ascii="Arial Narrow" w:hAnsi="Arial Narrow"/>
                <w:b/>
                <w:sz w:val="20"/>
              </w:rPr>
              <w:t xml:space="preserve"> ($ per QALY)</w:t>
            </w:r>
          </w:p>
        </w:tc>
      </w:tr>
      <w:tr w:rsidR="00513BD3" w:rsidRPr="006D49EC" w:rsidTr="00C03ECC">
        <w:tc>
          <w:tcPr>
            <w:tcW w:w="2356" w:type="pct"/>
            <w:vMerge/>
            <w:tcBorders>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b/>
                <w:sz w:val="20"/>
              </w:rPr>
            </w:pPr>
            <w:r w:rsidRPr="006D49EC">
              <w:rPr>
                <w:rFonts w:ascii="Arial Narrow" w:hAnsi="Arial Narrow"/>
                <w:b/>
                <w:sz w:val="20"/>
              </w:rPr>
              <w:t>Submission</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b/>
                <w:sz w:val="20"/>
              </w:rPr>
              <w:t>Correcting Concerta® cost</w:t>
            </w:r>
            <w:r w:rsidRPr="006D49EC">
              <w:rPr>
                <w:rFonts w:ascii="Arial Narrow" w:hAnsi="Arial Narrow"/>
                <w:b/>
                <w:sz w:val="20"/>
                <w:vertAlign w:val="superscript"/>
              </w:rPr>
              <w:t>a</w:t>
            </w:r>
            <w:r w:rsidRPr="006D49EC">
              <w:rPr>
                <w:rFonts w:ascii="Arial Narrow" w:hAnsi="Arial Narrow"/>
                <w:b/>
                <w:sz w:val="20"/>
              </w:rPr>
              <w:t xml:space="preserve"> and guanfacine DPMQ</w:t>
            </w:r>
            <w:r w:rsidRPr="006D49EC">
              <w:rPr>
                <w:rFonts w:ascii="Arial Narrow" w:hAnsi="Arial Narrow"/>
                <w:b/>
                <w:sz w:val="20"/>
                <w:vertAlign w:val="superscript"/>
              </w:rPr>
              <w:t>b</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Base case – Symptomatic remission</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≤18</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13BD3" w:rsidRPr="006D49EC" w:rsidTr="00C03ECC">
        <w:tc>
          <w:tcPr>
            <w:tcW w:w="5000" w:type="pct"/>
            <w:gridSpan w:val="3"/>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rPr>
                <w:rFonts w:ascii="Arial Narrow" w:hAnsi="Arial Narrow"/>
                <w:b/>
                <w:sz w:val="20"/>
              </w:rPr>
            </w:pPr>
            <w:r w:rsidRPr="006D49EC">
              <w:rPr>
                <w:rFonts w:ascii="Arial Narrow" w:hAnsi="Arial Narrow"/>
                <w:b/>
                <w:sz w:val="20"/>
              </w:rPr>
              <w:t>Definition of response</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Syndromal remission</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total score ≤18 AND CGI-S ≤2</w:t>
            </w:r>
          </w:p>
          <w:p w:rsidR="00513BD3" w:rsidRPr="006D49EC" w:rsidRDefault="00513BD3" w:rsidP="00E907D1">
            <w:pPr>
              <w:keepNext/>
              <w:widowControl/>
              <w:jc w:val="left"/>
              <w:rPr>
                <w:rFonts w:ascii="Arial Narrow" w:hAnsi="Arial Narrow"/>
                <w:sz w:val="20"/>
                <w:vertAlign w:val="superscript"/>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b/>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 xml:space="preserve">Responder </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total score reduction ≥25%</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13BD3" w:rsidRPr="006D49EC" w:rsidTr="00C03ECC">
        <w:tc>
          <w:tcPr>
            <w:tcW w:w="5000" w:type="pct"/>
            <w:gridSpan w:val="3"/>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rPr>
                <w:rFonts w:ascii="Arial Narrow" w:hAnsi="Arial Narrow"/>
                <w:b/>
                <w:sz w:val="20"/>
              </w:rPr>
            </w:pPr>
            <w:r w:rsidRPr="006D49EC">
              <w:rPr>
                <w:rFonts w:ascii="Arial Narrow" w:hAnsi="Arial Narrow"/>
                <w:b/>
                <w:sz w:val="20"/>
              </w:rPr>
              <w:t>Utility values: reported in Trial 325 where response defined as ADHD-RS-IV ≥30% &amp; CGI-I of 1 or 2</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Symptomatic remission</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≤18</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Syndromal remission</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total score ≤18 AND CGI-S ≤2</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87565" w:rsidRPr="006D49EC" w:rsidTr="00FA3243">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 xml:space="preserve">Responder </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total score reduction ≥25%</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13BD3" w:rsidRPr="006D49EC" w:rsidTr="00C03ECC">
        <w:tc>
          <w:tcPr>
            <w:tcW w:w="5000" w:type="pct"/>
            <w:gridSpan w:val="3"/>
            <w:tcBorders>
              <w:top w:val="single" w:sz="4" w:space="0" w:color="auto"/>
              <w:left w:val="single" w:sz="4" w:space="0" w:color="auto"/>
              <w:bottom w:val="single" w:sz="4" w:space="0" w:color="auto"/>
              <w:right w:val="single" w:sz="4" w:space="0" w:color="auto"/>
            </w:tcBorders>
          </w:tcPr>
          <w:p w:rsidR="00513BD3" w:rsidRPr="006D49EC" w:rsidRDefault="00513BD3" w:rsidP="00E907D1">
            <w:pPr>
              <w:keepNext/>
              <w:widowControl/>
              <w:jc w:val="left"/>
              <w:rPr>
                <w:rFonts w:ascii="Arial Narrow" w:hAnsi="Arial Narrow"/>
                <w:sz w:val="20"/>
              </w:rPr>
            </w:pPr>
            <w:r w:rsidRPr="006D49EC">
              <w:rPr>
                <w:rFonts w:ascii="Arial Narrow" w:hAnsi="Arial Narrow"/>
                <w:b/>
                <w:sz w:val="20"/>
              </w:rPr>
              <w:t xml:space="preserve">Utility values: reported in Trial 325 where response defined as ADHD-RS-IV ≥30% </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Symptomatic remission</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≤18</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Syndromal remission</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total score ≤18 AND CGI-S ≤2</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r w:rsidR="00513BD3" w:rsidRPr="006D49EC" w:rsidTr="00C03ECC">
        <w:tc>
          <w:tcPr>
            <w:tcW w:w="2356"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left"/>
              <w:rPr>
                <w:rFonts w:ascii="Arial Narrow" w:hAnsi="Arial Narrow"/>
                <w:sz w:val="20"/>
              </w:rPr>
            </w:pPr>
            <w:r w:rsidRPr="006D49EC">
              <w:rPr>
                <w:rFonts w:ascii="Arial Narrow" w:hAnsi="Arial Narrow"/>
                <w:sz w:val="20"/>
              </w:rPr>
              <w:t xml:space="preserve">Responder </w:t>
            </w:r>
          </w:p>
          <w:p w:rsidR="00513BD3" w:rsidRPr="006D49EC" w:rsidRDefault="00513BD3" w:rsidP="00E907D1">
            <w:pPr>
              <w:keepNext/>
              <w:widowControl/>
              <w:jc w:val="left"/>
              <w:rPr>
                <w:rFonts w:ascii="Arial Narrow" w:hAnsi="Arial Narrow"/>
                <w:sz w:val="18"/>
                <w:szCs w:val="18"/>
              </w:rPr>
            </w:pPr>
            <w:r w:rsidRPr="006D49EC">
              <w:rPr>
                <w:rFonts w:ascii="Arial Narrow" w:hAnsi="Arial Narrow"/>
                <w:sz w:val="18"/>
                <w:szCs w:val="18"/>
              </w:rPr>
              <w:t>Responder: ADHD-RS-IV total score reduction ≥25%</w:t>
            </w:r>
          </w:p>
          <w:p w:rsidR="00513BD3" w:rsidRPr="006D49EC" w:rsidRDefault="00513BD3" w:rsidP="00E907D1">
            <w:pPr>
              <w:keepNext/>
              <w:widowControl/>
              <w:jc w:val="left"/>
              <w:rPr>
                <w:rFonts w:ascii="Arial Narrow" w:hAnsi="Arial Narrow"/>
                <w:sz w:val="20"/>
              </w:rPr>
            </w:pPr>
            <w:r w:rsidRPr="006D49EC">
              <w:rPr>
                <w:rFonts w:ascii="Arial Narrow" w:hAnsi="Arial Narrow"/>
                <w:sz w:val="18"/>
                <w:szCs w:val="18"/>
              </w:rPr>
              <w:t>Utilities: R=</w:t>
            </w:r>
            <w:r w:rsidR="00CF0A88">
              <w:rPr>
                <w:rFonts w:ascii="Arial Narrow" w:hAnsi="Arial Narrow"/>
                <w:noProof/>
                <w:color w:val="000000"/>
                <w:sz w:val="18"/>
                <w:szCs w:val="18"/>
                <w:highlight w:val="black"/>
              </w:rPr>
              <w:t>'''''''''''''</w:t>
            </w:r>
            <w:r w:rsidRPr="006D49EC">
              <w:rPr>
                <w:rFonts w:ascii="Arial Narrow" w:hAnsi="Arial Narrow"/>
                <w:sz w:val="18"/>
                <w:szCs w:val="18"/>
              </w:rPr>
              <w:t>; NR=</w:t>
            </w:r>
            <w:r w:rsidR="00CF0A88">
              <w:rPr>
                <w:rFonts w:ascii="Arial Narrow" w:hAnsi="Arial Narrow"/>
                <w:noProof/>
                <w:color w:val="000000"/>
                <w:sz w:val="18"/>
                <w:szCs w:val="18"/>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c>
          <w:tcPr>
            <w:tcW w:w="1322" w:type="pct"/>
            <w:tcBorders>
              <w:top w:val="single" w:sz="4" w:space="0" w:color="auto"/>
              <w:left w:val="single" w:sz="4" w:space="0" w:color="auto"/>
              <w:bottom w:val="single" w:sz="4" w:space="0" w:color="auto"/>
              <w:right w:val="single" w:sz="4" w:space="0" w:color="auto"/>
            </w:tcBorders>
            <w:vAlign w:val="center"/>
          </w:tcPr>
          <w:p w:rsidR="00513BD3" w:rsidRPr="006D49EC" w:rsidRDefault="00513BD3" w:rsidP="00E907D1">
            <w:pPr>
              <w:keepNext/>
              <w:widowControl/>
              <w:jc w:val="center"/>
              <w:rPr>
                <w:rFonts w:ascii="Arial Narrow" w:hAnsi="Arial Narrow"/>
                <w:sz w:val="20"/>
              </w:rPr>
            </w:pPr>
            <w:r w:rsidRPr="006D49EC">
              <w:rPr>
                <w:rFonts w:ascii="Arial Narrow" w:hAnsi="Arial Narrow"/>
                <w:sz w:val="20"/>
              </w:rPr>
              <w:t>$</w:t>
            </w:r>
            <w:r w:rsidR="00CF0A88">
              <w:rPr>
                <w:rFonts w:ascii="Arial Narrow" w:hAnsi="Arial Narrow"/>
                <w:noProof/>
                <w:color w:val="000000"/>
                <w:sz w:val="20"/>
                <w:highlight w:val="black"/>
              </w:rPr>
              <w:t>'''''''''''''''''</w:t>
            </w:r>
          </w:p>
        </w:tc>
      </w:tr>
    </w:tbl>
    <w:p w:rsidR="00513BD3" w:rsidRPr="006D49EC" w:rsidRDefault="00513BD3" w:rsidP="00E907D1">
      <w:pPr>
        <w:pStyle w:val="TableFooter"/>
        <w:keepNext/>
        <w:widowControl/>
      </w:pPr>
      <w:r w:rsidRPr="006D49EC">
        <w:t>Source: Table D-15 of submission (page 211-212) &amp; additional analyses conducted by evaluator</w:t>
      </w:r>
    </w:p>
    <w:p w:rsidR="00513BD3" w:rsidRPr="006D49EC" w:rsidRDefault="00513BD3" w:rsidP="00E907D1">
      <w:pPr>
        <w:pStyle w:val="TableFooter"/>
        <w:widowControl/>
      </w:pPr>
      <w:r w:rsidRPr="006D49EC">
        <w:t>R=responder; NR=non-responder</w:t>
      </w:r>
    </w:p>
    <w:p w:rsidR="00513BD3" w:rsidRPr="006D49EC" w:rsidRDefault="00513BD3" w:rsidP="00E907D1">
      <w:pPr>
        <w:pStyle w:val="TableFooter"/>
        <w:widowControl/>
        <w:tabs>
          <w:tab w:val="left" w:pos="284"/>
        </w:tabs>
      </w:pPr>
      <w:r w:rsidRPr="006D49EC">
        <w:rPr>
          <w:vertAlign w:val="superscript"/>
        </w:rPr>
        <w:t>a</w:t>
      </w:r>
      <w:r w:rsidRPr="006D49EC">
        <w:rPr>
          <w:vertAlign w:val="superscript"/>
        </w:rPr>
        <w:tab/>
      </w:r>
      <w:r w:rsidRPr="006D49EC">
        <w:t>cost of Concerta® applied as $</w:t>
      </w:r>
      <w:r w:rsidR="00CF0A88">
        <w:rPr>
          <w:noProof/>
          <w:color w:val="000000"/>
          <w:highlight w:val="black"/>
        </w:rPr>
        <w:t>''''''''''</w:t>
      </w:r>
      <w:r w:rsidRPr="006D49EC">
        <w:t xml:space="preserve"> per day in submission’s model, should be $</w:t>
      </w:r>
      <w:r w:rsidR="00CF0A88">
        <w:rPr>
          <w:noProof/>
          <w:color w:val="000000"/>
          <w:highlight w:val="black"/>
        </w:rPr>
        <w:t>'''''''''''</w:t>
      </w:r>
    </w:p>
    <w:p w:rsidR="00513BD3" w:rsidRPr="006D49EC" w:rsidRDefault="00513BD3" w:rsidP="00E907D1">
      <w:pPr>
        <w:pStyle w:val="TableFooter"/>
        <w:widowControl/>
        <w:tabs>
          <w:tab w:val="left" w:pos="284"/>
        </w:tabs>
      </w:pPr>
      <w:r w:rsidRPr="006D49EC">
        <w:rPr>
          <w:vertAlign w:val="superscript"/>
        </w:rPr>
        <w:t>b</w:t>
      </w:r>
      <w:r w:rsidRPr="006D49EC">
        <w:rPr>
          <w:vertAlign w:val="superscript"/>
        </w:rPr>
        <w:tab/>
      </w:r>
      <w:r w:rsidRPr="006D49EC">
        <w:t>DPMQ of $</w:t>
      </w:r>
      <w:r w:rsidR="00CF0A88">
        <w:rPr>
          <w:noProof/>
          <w:color w:val="000000"/>
          <w:highlight w:val="black"/>
        </w:rPr>
        <w:t>''''''''''''</w:t>
      </w:r>
      <w:r w:rsidRPr="006D49EC">
        <w:t xml:space="preserve"> for guanfacine</w:t>
      </w:r>
    </w:p>
    <w:p w:rsidR="00DD48DB" w:rsidRPr="006D49EC" w:rsidRDefault="00DD48DB" w:rsidP="00B24C96">
      <w:pPr>
        <w:pStyle w:val="Heading3"/>
        <w:rPr>
          <w:i/>
        </w:rPr>
      </w:pPr>
      <w:bookmarkStart w:id="37" w:name="_Toc413139283"/>
      <w:bookmarkStart w:id="38" w:name="_Toc476306893"/>
      <w:bookmarkStart w:id="39" w:name="_Toc480313634"/>
      <w:r w:rsidRPr="006D49EC">
        <w:rPr>
          <w:i/>
        </w:rPr>
        <w:t>Drug cost/patient</w:t>
      </w:r>
      <w:r w:rsidR="00D32556" w:rsidRPr="006D49EC">
        <w:rPr>
          <w:i/>
        </w:rPr>
        <w:t>/</w:t>
      </w:r>
      <w:r w:rsidRPr="006D49EC">
        <w:rPr>
          <w:i/>
        </w:rPr>
        <w:t>year: $</w:t>
      </w:r>
      <w:bookmarkEnd w:id="37"/>
      <w:bookmarkEnd w:id="38"/>
      <w:bookmarkEnd w:id="39"/>
      <w:r w:rsidR="00CF0A88">
        <w:rPr>
          <w:i/>
          <w:noProof/>
          <w:color w:val="000000"/>
          <w:highlight w:val="black"/>
        </w:rPr>
        <w:t>''''''''''''''</w:t>
      </w:r>
    </w:p>
    <w:p w:rsidR="00DD48DB" w:rsidRPr="006D49EC" w:rsidRDefault="00D32556" w:rsidP="00B24C96">
      <w:pPr>
        <w:pStyle w:val="ListParagraph"/>
        <w:widowControl/>
        <w:numPr>
          <w:ilvl w:val="1"/>
          <w:numId w:val="3"/>
        </w:numPr>
        <w:contextualSpacing w:val="0"/>
        <w:rPr>
          <w:rFonts w:asciiTheme="minorHAnsi" w:hAnsiTheme="minorHAnsi"/>
        </w:rPr>
      </w:pPr>
      <w:r w:rsidRPr="006D49EC">
        <w:rPr>
          <w:rFonts w:asciiTheme="minorHAnsi" w:hAnsiTheme="minorHAnsi"/>
        </w:rPr>
        <w:t>Drug cost/patient/year</w:t>
      </w:r>
      <w:r w:rsidR="00D514F8" w:rsidRPr="006D49EC">
        <w:rPr>
          <w:rFonts w:asciiTheme="minorHAnsi" w:hAnsiTheme="minorHAnsi"/>
        </w:rPr>
        <w:t xml:space="preserve"> was</w:t>
      </w:r>
      <w:r w:rsidRPr="006D49EC">
        <w:rPr>
          <w:rFonts w:asciiTheme="minorHAnsi" w:hAnsiTheme="minorHAnsi"/>
        </w:rPr>
        <w:t xml:space="preserve"> derived </w:t>
      </w:r>
      <w:r w:rsidR="00917536" w:rsidRPr="006D49EC">
        <w:rPr>
          <w:rFonts w:asciiTheme="minorHAnsi" w:hAnsiTheme="minorHAnsi"/>
        </w:rPr>
        <w:t>from the requested effective DPMQ:</w:t>
      </w:r>
      <w:r w:rsidRPr="006D49EC">
        <w:rPr>
          <w:rFonts w:asciiTheme="minorHAnsi" w:hAnsiTheme="minorHAnsi"/>
        </w:rPr>
        <w:t xml:space="preserve"> $</w:t>
      </w:r>
      <w:r w:rsidR="00CF0A88">
        <w:rPr>
          <w:rFonts w:asciiTheme="minorHAnsi" w:hAnsiTheme="minorHAnsi"/>
          <w:noProof/>
          <w:color w:val="000000"/>
          <w:highlight w:val="black"/>
        </w:rPr>
        <w:t>''''''''''''</w:t>
      </w:r>
      <w:r w:rsidRPr="006D49EC">
        <w:rPr>
          <w:rFonts w:asciiTheme="minorHAnsi" w:hAnsiTheme="minorHAnsi"/>
        </w:rPr>
        <w:t>/28*</w:t>
      </w:r>
      <w:r w:rsidR="00F439BD" w:rsidRPr="006D49EC">
        <w:rPr>
          <w:rFonts w:asciiTheme="minorHAnsi" w:hAnsiTheme="minorHAnsi"/>
        </w:rPr>
        <w:t>1.19*</w:t>
      </w:r>
      <w:r w:rsidRPr="006D49EC">
        <w:rPr>
          <w:rFonts w:asciiTheme="minorHAnsi" w:hAnsiTheme="minorHAnsi"/>
        </w:rPr>
        <w:t>365</w:t>
      </w:r>
      <w:r w:rsidR="00917536" w:rsidRPr="006D49EC">
        <w:rPr>
          <w:rFonts w:asciiTheme="minorHAnsi" w:hAnsiTheme="minorHAnsi"/>
        </w:rPr>
        <w:t xml:space="preserve"> </w:t>
      </w:r>
      <w:r w:rsidR="00F439BD" w:rsidRPr="006D49EC">
        <w:rPr>
          <w:rFonts w:asciiTheme="minorHAnsi" w:hAnsiTheme="minorHAnsi"/>
        </w:rPr>
        <w:t>(</w:t>
      </w:r>
      <w:r w:rsidR="00917536" w:rsidRPr="006D49EC">
        <w:rPr>
          <w:rFonts w:asciiTheme="minorHAnsi" w:hAnsiTheme="minorHAnsi"/>
        </w:rPr>
        <w:t xml:space="preserve">assuming </w:t>
      </w:r>
      <w:r w:rsidR="00CF0A88">
        <w:rPr>
          <w:rFonts w:asciiTheme="minorHAnsi" w:hAnsiTheme="minorHAnsi"/>
          <w:noProof/>
          <w:color w:val="000000"/>
          <w:highlight w:val="black"/>
        </w:rPr>
        <w:t>'''''</w:t>
      </w:r>
      <w:r w:rsidR="00917536" w:rsidRPr="006D49EC">
        <w:rPr>
          <w:rFonts w:asciiTheme="minorHAnsi" w:hAnsiTheme="minorHAnsi"/>
        </w:rPr>
        <w:t xml:space="preserve">% take one tablet and </w:t>
      </w:r>
      <w:r w:rsidR="00CF0A88">
        <w:rPr>
          <w:rFonts w:asciiTheme="minorHAnsi" w:hAnsiTheme="minorHAnsi"/>
          <w:noProof/>
          <w:color w:val="000000"/>
          <w:highlight w:val="black"/>
        </w:rPr>
        <w:t>'''''</w:t>
      </w:r>
      <w:r w:rsidR="00917536" w:rsidRPr="006D49EC">
        <w:rPr>
          <w:rFonts w:asciiTheme="minorHAnsi" w:hAnsiTheme="minorHAnsi"/>
        </w:rPr>
        <w:t>% take two tablets per day</w:t>
      </w:r>
      <w:r w:rsidR="00F439BD" w:rsidRPr="006D49EC">
        <w:rPr>
          <w:rFonts w:asciiTheme="minorHAnsi" w:hAnsiTheme="minorHAnsi"/>
        </w:rPr>
        <w:t>) or $</w:t>
      </w:r>
      <w:r w:rsidR="00CF0A88">
        <w:rPr>
          <w:rFonts w:asciiTheme="minorHAnsi" w:hAnsiTheme="minorHAnsi"/>
          <w:noProof/>
          <w:color w:val="000000"/>
          <w:highlight w:val="black"/>
        </w:rPr>
        <w:t>'''''''''''''''</w:t>
      </w:r>
      <w:r w:rsidR="00F439BD" w:rsidRPr="006D49EC">
        <w:rPr>
          <w:rFonts w:asciiTheme="minorHAnsi" w:hAnsiTheme="minorHAnsi"/>
        </w:rPr>
        <w:t xml:space="preserve"> based on a DPMQ of $</w:t>
      </w:r>
      <w:r w:rsidR="00CF0A88">
        <w:rPr>
          <w:rFonts w:asciiTheme="minorHAnsi" w:hAnsiTheme="minorHAnsi"/>
          <w:noProof/>
          <w:color w:val="000000"/>
          <w:highlight w:val="black"/>
        </w:rPr>
        <w:t>'''''''''''</w:t>
      </w:r>
      <w:r w:rsidRPr="006D49EC">
        <w:rPr>
          <w:rFonts w:asciiTheme="minorHAnsi" w:hAnsiTheme="minorHAnsi"/>
        </w:rPr>
        <w:t xml:space="preserve">. This compares with </w:t>
      </w:r>
      <w:r w:rsidR="0027259B" w:rsidRPr="006D49EC">
        <w:rPr>
          <w:rFonts w:asciiTheme="minorHAnsi" w:hAnsiTheme="minorHAnsi"/>
        </w:rPr>
        <w:t>$</w:t>
      </w:r>
      <w:r w:rsidR="00CF0A88">
        <w:rPr>
          <w:rFonts w:asciiTheme="minorHAnsi" w:hAnsiTheme="minorHAnsi"/>
          <w:noProof/>
          <w:color w:val="000000"/>
          <w:highlight w:val="black"/>
        </w:rPr>
        <w:t>''''''''''''''''</w:t>
      </w:r>
      <w:r w:rsidR="0027259B" w:rsidRPr="006D49EC">
        <w:rPr>
          <w:rFonts w:asciiTheme="minorHAnsi" w:hAnsiTheme="minorHAnsi"/>
        </w:rPr>
        <w:t xml:space="preserve"> </w:t>
      </w:r>
      <w:r w:rsidR="00F439BD" w:rsidRPr="006D49EC">
        <w:rPr>
          <w:rFonts w:asciiTheme="minorHAnsi" w:hAnsiTheme="minorHAnsi"/>
        </w:rPr>
        <w:t xml:space="preserve">(assuming </w:t>
      </w:r>
      <w:r w:rsidR="00CF0A88">
        <w:rPr>
          <w:rFonts w:asciiTheme="minorHAnsi" w:hAnsiTheme="minorHAnsi"/>
          <w:noProof/>
          <w:color w:val="000000"/>
          <w:highlight w:val="black"/>
        </w:rPr>
        <w:t>'''</w:t>
      </w:r>
      <w:r w:rsidR="00F439BD" w:rsidRPr="006D49EC">
        <w:rPr>
          <w:rFonts w:asciiTheme="minorHAnsi" w:hAnsiTheme="minorHAnsi"/>
        </w:rPr>
        <w:t xml:space="preserve"> 80mg or 100mg atomoxetine capsule per day ($</w:t>
      </w:r>
      <w:r w:rsidR="00CF0A88">
        <w:rPr>
          <w:rFonts w:asciiTheme="minorHAnsi" w:hAnsiTheme="minorHAnsi"/>
          <w:noProof/>
          <w:color w:val="000000"/>
          <w:highlight w:val="black"/>
        </w:rPr>
        <w:t>''''''''''''''</w:t>
      </w:r>
      <w:r w:rsidR="00F439BD" w:rsidRPr="006D49EC">
        <w:rPr>
          <w:rFonts w:asciiTheme="minorHAnsi" w:hAnsiTheme="minorHAnsi"/>
        </w:rPr>
        <w:t>/28*365)) or $</w:t>
      </w:r>
      <w:r w:rsidR="00CF0A88">
        <w:rPr>
          <w:rFonts w:asciiTheme="minorHAnsi" w:hAnsiTheme="minorHAnsi"/>
          <w:noProof/>
          <w:color w:val="000000"/>
          <w:highlight w:val="black"/>
        </w:rPr>
        <w:t>''''''''''''''''</w:t>
      </w:r>
      <w:r w:rsidR="00F439BD" w:rsidRPr="006D49EC">
        <w:rPr>
          <w:rFonts w:asciiTheme="minorHAnsi" w:hAnsiTheme="minorHAnsi"/>
        </w:rPr>
        <w:t xml:space="preserve"> for </w:t>
      </w:r>
      <w:r w:rsidR="0027259B" w:rsidRPr="006D49EC">
        <w:rPr>
          <w:rFonts w:asciiTheme="minorHAnsi" w:hAnsiTheme="minorHAnsi"/>
        </w:rPr>
        <w:t>atomoxetine</w:t>
      </w:r>
      <w:r w:rsidR="00F439BD" w:rsidRPr="006D49EC">
        <w:rPr>
          <w:rFonts w:asciiTheme="minorHAnsi" w:hAnsiTheme="minorHAnsi"/>
        </w:rPr>
        <w:t xml:space="preserve"> 10-60mg formulations ($</w:t>
      </w:r>
      <w:r w:rsidR="00CF0A88">
        <w:rPr>
          <w:rFonts w:asciiTheme="minorHAnsi" w:hAnsiTheme="minorHAnsi"/>
          <w:noProof/>
          <w:color w:val="000000"/>
          <w:highlight w:val="black"/>
        </w:rPr>
        <w:t>'''''''''''''</w:t>
      </w:r>
      <w:r w:rsidR="00F439BD" w:rsidRPr="006D49EC">
        <w:rPr>
          <w:rFonts w:asciiTheme="minorHAnsi" w:hAnsiTheme="minorHAnsi"/>
        </w:rPr>
        <w:t xml:space="preserve">/56*1.3*365; assuming </w:t>
      </w:r>
      <w:r w:rsidR="00CF0A88">
        <w:rPr>
          <w:rFonts w:asciiTheme="minorHAnsi" w:hAnsiTheme="minorHAnsi"/>
          <w:noProof/>
          <w:color w:val="000000"/>
          <w:highlight w:val="black"/>
        </w:rPr>
        <w:t>'''''</w:t>
      </w:r>
      <w:r w:rsidR="00F439BD" w:rsidRPr="006D49EC">
        <w:rPr>
          <w:rFonts w:asciiTheme="minorHAnsi" w:hAnsiTheme="minorHAnsi"/>
        </w:rPr>
        <w:t xml:space="preserve">% take one capsule and </w:t>
      </w:r>
      <w:r w:rsidR="00CF0A88">
        <w:rPr>
          <w:rFonts w:asciiTheme="minorHAnsi" w:hAnsiTheme="minorHAnsi"/>
          <w:noProof/>
          <w:color w:val="000000"/>
          <w:highlight w:val="black"/>
        </w:rPr>
        <w:t>'''''</w:t>
      </w:r>
      <w:r w:rsidR="00F439BD" w:rsidRPr="006D49EC">
        <w:rPr>
          <w:rFonts w:asciiTheme="minorHAnsi" w:hAnsiTheme="minorHAnsi"/>
        </w:rPr>
        <w:t>% take two capsules per day).</w:t>
      </w:r>
    </w:p>
    <w:p w:rsidR="00DD48DB" w:rsidRPr="006D49EC" w:rsidRDefault="00DD48DB" w:rsidP="00B24C96">
      <w:pPr>
        <w:pStyle w:val="Heading3"/>
        <w:rPr>
          <w:i/>
        </w:rPr>
      </w:pPr>
      <w:bookmarkStart w:id="40" w:name="_Toc413139284"/>
      <w:bookmarkStart w:id="41" w:name="_Toc476306894"/>
      <w:bookmarkStart w:id="42" w:name="_Toc480313635"/>
      <w:r w:rsidRPr="006D49EC">
        <w:rPr>
          <w:i/>
        </w:rPr>
        <w:t>Estimated PBS usage &amp; financial implications</w:t>
      </w:r>
      <w:bookmarkEnd w:id="40"/>
      <w:bookmarkEnd w:id="41"/>
      <w:bookmarkEnd w:id="42"/>
    </w:p>
    <w:p w:rsidR="00DD48DB" w:rsidRPr="006D49EC" w:rsidRDefault="00DD48DB"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This submission </w:t>
      </w:r>
      <w:r w:rsidR="006D49EC">
        <w:rPr>
          <w:rFonts w:asciiTheme="minorHAnsi" w:hAnsiTheme="minorHAnsi"/>
        </w:rPr>
        <w:t>wa</w:t>
      </w:r>
      <w:r w:rsidR="006D49EC" w:rsidRPr="006D49EC">
        <w:rPr>
          <w:rFonts w:asciiTheme="minorHAnsi" w:hAnsiTheme="minorHAnsi"/>
        </w:rPr>
        <w:t xml:space="preserve">s </w:t>
      </w:r>
      <w:r w:rsidRPr="006D49EC">
        <w:rPr>
          <w:rFonts w:asciiTheme="minorHAnsi" w:hAnsiTheme="minorHAnsi"/>
        </w:rPr>
        <w:t xml:space="preserve">not considered by DUSC.  </w:t>
      </w:r>
    </w:p>
    <w:p w:rsidR="00DD48DB" w:rsidRPr="006D49EC" w:rsidRDefault="00717882"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Table </w:t>
      </w:r>
      <w:r w:rsidR="00ED75E6" w:rsidRPr="006D49EC">
        <w:rPr>
          <w:rFonts w:asciiTheme="minorHAnsi" w:hAnsiTheme="minorHAnsi"/>
        </w:rPr>
        <w:t xml:space="preserve">13 </w:t>
      </w:r>
      <w:r w:rsidRPr="006D49EC">
        <w:rPr>
          <w:rFonts w:asciiTheme="minorHAnsi" w:hAnsiTheme="minorHAnsi"/>
        </w:rPr>
        <w:t>summarises the estimated use and financial implications of listing guanfacine.</w:t>
      </w:r>
    </w:p>
    <w:p w:rsidR="003A3A31" w:rsidRPr="006D49EC" w:rsidRDefault="003A3A31" w:rsidP="00E907D1">
      <w:pPr>
        <w:pStyle w:val="Caption"/>
      </w:pPr>
      <w:r w:rsidRPr="006D49EC">
        <w:t xml:space="preserve">Table </w:t>
      </w:r>
      <w:r w:rsidR="00ED75E6" w:rsidRPr="006D49EC">
        <w:t>13</w:t>
      </w:r>
      <w:r w:rsidRPr="006D49EC">
        <w:t>: Estimated use and financial implications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54"/>
        <w:gridCol w:w="1260"/>
        <w:gridCol w:w="1260"/>
        <w:gridCol w:w="1262"/>
        <w:gridCol w:w="1260"/>
        <w:gridCol w:w="1262"/>
      </w:tblGrid>
      <w:tr w:rsidR="00717882" w:rsidRPr="006D49EC" w:rsidTr="00717882">
        <w:trPr>
          <w:tblHeader/>
        </w:trPr>
        <w:tc>
          <w:tcPr>
            <w:tcW w:w="1558" w:type="pct"/>
            <w:shd w:val="clear" w:color="auto" w:fill="auto"/>
            <w:vAlign w:val="center"/>
          </w:tcPr>
          <w:p w:rsidR="00717882" w:rsidRPr="006D49EC" w:rsidRDefault="00717882" w:rsidP="00E907D1">
            <w:pPr>
              <w:pStyle w:val="TableText1"/>
            </w:pPr>
          </w:p>
        </w:tc>
        <w:tc>
          <w:tcPr>
            <w:tcW w:w="688" w:type="pct"/>
            <w:shd w:val="clear" w:color="auto" w:fill="auto"/>
            <w:vAlign w:val="center"/>
          </w:tcPr>
          <w:p w:rsidR="00717882" w:rsidRPr="006D49EC" w:rsidRDefault="00717882" w:rsidP="00E907D1">
            <w:pPr>
              <w:pStyle w:val="TableText1"/>
              <w:jc w:val="center"/>
              <w:rPr>
                <w:b/>
              </w:rPr>
            </w:pPr>
            <w:r w:rsidRPr="006D49EC">
              <w:rPr>
                <w:b/>
              </w:rPr>
              <w:t>Year 1</w:t>
            </w:r>
          </w:p>
        </w:tc>
        <w:tc>
          <w:tcPr>
            <w:tcW w:w="688" w:type="pct"/>
            <w:shd w:val="clear" w:color="auto" w:fill="auto"/>
            <w:vAlign w:val="center"/>
          </w:tcPr>
          <w:p w:rsidR="00717882" w:rsidRPr="006D49EC" w:rsidRDefault="00717882" w:rsidP="00E907D1">
            <w:pPr>
              <w:pStyle w:val="TableText1"/>
              <w:jc w:val="center"/>
              <w:rPr>
                <w:b/>
              </w:rPr>
            </w:pPr>
            <w:r w:rsidRPr="006D49EC">
              <w:rPr>
                <w:b/>
              </w:rPr>
              <w:t>Year 2</w:t>
            </w:r>
          </w:p>
        </w:tc>
        <w:tc>
          <w:tcPr>
            <w:tcW w:w="689" w:type="pct"/>
            <w:shd w:val="clear" w:color="auto" w:fill="auto"/>
            <w:vAlign w:val="center"/>
          </w:tcPr>
          <w:p w:rsidR="00717882" w:rsidRPr="006D49EC" w:rsidRDefault="00717882" w:rsidP="00E907D1">
            <w:pPr>
              <w:pStyle w:val="TableText1"/>
              <w:jc w:val="center"/>
              <w:rPr>
                <w:b/>
              </w:rPr>
            </w:pPr>
            <w:r w:rsidRPr="006D49EC">
              <w:rPr>
                <w:b/>
              </w:rPr>
              <w:t>Year 3</w:t>
            </w:r>
          </w:p>
        </w:tc>
        <w:tc>
          <w:tcPr>
            <w:tcW w:w="688" w:type="pct"/>
            <w:shd w:val="clear" w:color="auto" w:fill="auto"/>
            <w:vAlign w:val="center"/>
          </w:tcPr>
          <w:p w:rsidR="00717882" w:rsidRPr="006D49EC" w:rsidRDefault="00717882" w:rsidP="00E907D1">
            <w:pPr>
              <w:pStyle w:val="TableText1"/>
              <w:jc w:val="center"/>
              <w:rPr>
                <w:b/>
              </w:rPr>
            </w:pPr>
            <w:r w:rsidRPr="006D49EC">
              <w:rPr>
                <w:b/>
              </w:rPr>
              <w:t>Year 4</w:t>
            </w:r>
          </w:p>
        </w:tc>
        <w:tc>
          <w:tcPr>
            <w:tcW w:w="689" w:type="pct"/>
            <w:tcBorders>
              <w:right w:val="single" w:sz="4" w:space="0" w:color="auto"/>
            </w:tcBorders>
            <w:shd w:val="clear" w:color="auto" w:fill="auto"/>
            <w:vAlign w:val="center"/>
          </w:tcPr>
          <w:p w:rsidR="00717882" w:rsidRPr="006D49EC" w:rsidRDefault="00717882" w:rsidP="00E907D1">
            <w:pPr>
              <w:pStyle w:val="TableText1"/>
              <w:jc w:val="center"/>
              <w:rPr>
                <w:b/>
              </w:rPr>
            </w:pPr>
            <w:r w:rsidRPr="006D49EC">
              <w:rPr>
                <w:b/>
              </w:rPr>
              <w:t>Year 5</w:t>
            </w:r>
          </w:p>
        </w:tc>
      </w:tr>
      <w:tr w:rsidR="00717882" w:rsidRPr="006D49EC" w:rsidTr="00717882">
        <w:tc>
          <w:tcPr>
            <w:tcW w:w="5000" w:type="pct"/>
            <w:gridSpan w:val="6"/>
            <w:tcBorders>
              <w:right w:val="single" w:sz="4" w:space="0" w:color="auto"/>
            </w:tcBorders>
            <w:shd w:val="clear" w:color="auto" w:fill="auto"/>
            <w:vAlign w:val="center"/>
          </w:tcPr>
          <w:p w:rsidR="00717882" w:rsidRPr="006D49EC" w:rsidRDefault="00717882" w:rsidP="00E907D1">
            <w:pPr>
              <w:pStyle w:val="TableText1"/>
              <w:rPr>
                <w:b/>
              </w:rPr>
            </w:pPr>
            <w:r w:rsidRPr="006D49EC">
              <w:rPr>
                <w:b/>
              </w:rPr>
              <w:t>Estimated extent of use</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Number of scripts dispensed</w:t>
            </w:r>
            <w:r w:rsidRPr="006D49EC">
              <w:rPr>
                <w:vertAlign w:val="superscript"/>
              </w:rPr>
              <w:t>a</w:t>
            </w:r>
          </w:p>
        </w:tc>
        <w:tc>
          <w:tcPr>
            <w:tcW w:w="688" w:type="pct"/>
            <w:shd w:val="clear" w:color="auto" w:fill="auto"/>
            <w:vAlign w:val="center"/>
          </w:tcPr>
          <w:p w:rsidR="00717882" w:rsidRPr="00CF0A88" w:rsidRDefault="00CF0A88" w:rsidP="00E907D1">
            <w:pPr>
              <w:pStyle w:val="TableText1"/>
              <w:jc w:val="center"/>
              <w:rPr>
                <w:highlight w:val="black"/>
              </w:rPr>
            </w:pPr>
            <w:r>
              <w:rPr>
                <w:noProof/>
                <w:color w:val="000000"/>
                <w:highlight w:val="black"/>
              </w:rPr>
              <w:t>''''''''''''''''</w:t>
            </w:r>
            <w:r w:rsidR="00717882" w:rsidRPr="00CF0A88">
              <w:rPr>
                <w:highlight w:val="black"/>
              </w:rPr>
              <w:t xml:space="preserve"> </w:t>
            </w:r>
          </w:p>
        </w:tc>
        <w:tc>
          <w:tcPr>
            <w:tcW w:w="688" w:type="pct"/>
            <w:shd w:val="clear" w:color="auto" w:fill="auto"/>
            <w:vAlign w:val="center"/>
          </w:tcPr>
          <w:p w:rsidR="00717882" w:rsidRPr="00CF0A88" w:rsidRDefault="00CF0A88" w:rsidP="00E907D1">
            <w:pPr>
              <w:pStyle w:val="TableText1"/>
              <w:jc w:val="center"/>
              <w:rPr>
                <w:highlight w:val="black"/>
              </w:rPr>
            </w:pPr>
            <w:r>
              <w:rPr>
                <w:noProof/>
                <w:color w:val="000000"/>
                <w:highlight w:val="black"/>
              </w:rPr>
              <w:t>'''''''''''''''</w:t>
            </w:r>
            <w:r w:rsidR="00717882" w:rsidRPr="00CF0A88">
              <w:rPr>
                <w:highlight w:val="black"/>
              </w:rPr>
              <w:t xml:space="preserve"> </w:t>
            </w:r>
          </w:p>
        </w:tc>
        <w:tc>
          <w:tcPr>
            <w:tcW w:w="689" w:type="pct"/>
            <w:shd w:val="clear" w:color="auto" w:fill="auto"/>
            <w:vAlign w:val="center"/>
          </w:tcPr>
          <w:p w:rsidR="00717882" w:rsidRPr="00CF0A88" w:rsidRDefault="00CF0A88" w:rsidP="00E907D1">
            <w:pPr>
              <w:pStyle w:val="TableText1"/>
              <w:jc w:val="center"/>
              <w:rPr>
                <w:highlight w:val="black"/>
              </w:rPr>
            </w:pPr>
            <w:r>
              <w:rPr>
                <w:noProof/>
                <w:color w:val="000000"/>
                <w:highlight w:val="black"/>
              </w:rPr>
              <w:t>'''''''''''''''</w:t>
            </w:r>
            <w:r w:rsidR="00717882" w:rsidRPr="00CF0A88">
              <w:rPr>
                <w:highlight w:val="black"/>
              </w:rPr>
              <w:t xml:space="preserve"> </w:t>
            </w:r>
          </w:p>
        </w:tc>
        <w:tc>
          <w:tcPr>
            <w:tcW w:w="688" w:type="pct"/>
            <w:shd w:val="clear" w:color="auto" w:fill="auto"/>
            <w:vAlign w:val="center"/>
          </w:tcPr>
          <w:p w:rsidR="00717882" w:rsidRPr="00CF0A88" w:rsidRDefault="00CF0A88" w:rsidP="00E907D1">
            <w:pPr>
              <w:pStyle w:val="TableText1"/>
              <w:jc w:val="center"/>
              <w:rPr>
                <w:highlight w:val="black"/>
              </w:rPr>
            </w:pPr>
            <w:r>
              <w:rPr>
                <w:noProof/>
                <w:color w:val="000000"/>
                <w:highlight w:val="black"/>
              </w:rPr>
              <w:t>'''''''''''''''</w:t>
            </w:r>
            <w:r w:rsidR="00717882" w:rsidRPr="00CF0A88">
              <w:rPr>
                <w:highlight w:val="black"/>
              </w:rPr>
              <w:t xml:space="preserve"> </w:t>
            </w:r>
          </w:p>
        </w:tc>
        <w:tc>
          <w:tcPr>
            <w:tcW w:w="689" w:type="pct"/>
            <w:tcBorders>
              <w:right w:val="single" w:sz="4" w:space="0" w:color="auto"/>
            </w:tcBorders>
            <w:shd w:val="clear" w:color="auto" w:fill="auto"/>
            <w:vAlign w:val="center"/>
          </w:tcPr>
          <w:p w:rsidR="00717882" w:rsidRPr="00CF0A88" w:rsidRDefault="00CF0A88" w:rsidP="00E907D1">
            <w:pPr>
              <w:pStyle w:val="TableText1"/>
              <w:jc w:val="center"/>
              <w:rPr>
                <w:highlight w:val="black"/>
              </w:rPr>
            </w:pPr>
            <w:r>
              <w:rPr>
                <w:noProof/>
                <w:color w:val="000000"/>
                <w:highlight w:val="black"/>
              </w:rPr>
              <w:t>''''''''''''''''''''</w:t>
            </w:r>
            <w:r w:rsidR="00717882" w:rsidRPr="00CF0A88">
              <w:rPr>
                <w:highlight w:val="black"/>
              </w:rPr>
              <w:t xml:space="preserve"> </w:t>
            </w:r>
          </w:p>
        </w:tc>
      </w:tr>
      <w:tr w:rsidR="00717882" w:rsidRPr="006D49EC" w:rsidTr="00717882">
        <w:tc>
          <w:tcPr>
            <w:tcW w:w="5000" w:type="pct"/>
            <w:gridSpan w:val="6"/>
            <w:tcBorders>
              <w:right w:val="single" w:sz="4" w:space="0" w:color="auto"/>
            </w:tcBorders>
            <w:shd w:val="clear" w:color="auto" w:fill="auto"/>
            <w:vAlign w:val="center"/>
          </w:tcPr>
          <w:p w:rsidR="00717882" w:rsidRPr="006D49EC" w:rsidRDefault="00717882" w:rsidP="00E907D1">
            <w:pPr>
              <w:pStyle w:val="TableText1"/>
              <w:rPr>
                <w:b/>
              </w:rPr>
            </w:pPr>
            <w:r w:rsidRPr="006D49EC">
              <w:rPr>
                <w:b/>
              </w:rPr>
              <w:t>Estimated financial implications of guanfacine</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Cost to PBS/RPBS</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9"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9" w:type="pct"/>
            <w:tcBorders>
              <w:right w:val="single" w:sz="4" w:space="0" w:color="auto"/>
            </w:tcBorders>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Copayments</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9"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9" w:type="pct"/>
            <w:tcBorders>
              <w:right w:val="single" w:sz="4" w:space="0" w:color="auto"/>
            </w:tcBorders>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Cost to PBS/RPBS less copayments</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vAlign w:val="center"/>
          </w:tcPr>
          <w:p w:rsidR="00717882" w:rsidRPr="006D49EC" w:rsidRDefault="00717882" w:rsidP="00E907D1">
            <w:pPr>
              <w:pStyle w:val="TableText1"/>
              <w:jc w:val="center"/>
            </w:pPr>
            <w:r w:rsidRPr="006D49EC">
              <w:t>$4</w:t>
            </w:r>
            <w:r w:rsidR="00CF0A88">
              <w:rPr>
                <w:noProof/>
                <w:color w:val="000000"/>
                <w:highlight w:val="black"/>
              </w:rPr>
              <w:t>'''''''''''''''''''''</w:t>
            </w:r>
          </w:p>
        </w:tc>
        <w:tc>
          <w:tcPr>
            <w:tcW w:w="689"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c>
          <w:tcPr>
            <w:tcW w:w="689" w:type="pct"/>
            <w:tcBorders>
              <w:right w:val="single" w:sz="4" w:space="0" w:color="auto"/>
            </w:tcBorders>
            <w:shd w:val="clear" w:color="auto" w:fill="auto"/>
            <w:vAlign w:val="center"/>
          </w:tcPr>
          <w:p w:rsidR="00717882" w:rsidRPr="006D49EC" w:rsidRDefault="00717882" w:rsidP="00E907D1">
            <w:pPr>
              <w:pStyle w:val="TableText1"/>
              <w:jc w:val="center"/>
            </w:pPr>
            <w:r w:rsidRPr="006D49EC">
              <w:t>$</w:t>
            </w:r>
            <w:r w:rsidR="00CF0A88">
              <w:rPr>
                <w:noProof/>
                <w:color w:val="000000"/>
                <w:highlight w:val="black"/>
              </w:rPr>
              <w:t>'''''''''''''''''''''</w:t>
            </w:r>
          </w:p>
        </w:tc>
      </w:tr>
      <w:tr w:rsidR="00717882" w:rsidRPr="006D49EC" w:rsidTr="00717882">
        <w:tc>
          <w:tcPr>
            <w:tcW w:w="5000" w:type="pct"/>
            <w:gridSpan w:val="6"/>
            <w:tcBorders>
              <w:right w:val="single" w:sz="4" w:space="0" w:color="auto"/>
            </w:tcBorders>
            <w:shd w:val="clear" w:color="auto" w:fill="auto"/>
            <w:vAlign w:val="center"/>
          </w:tcPr>
          <w:p w:rsidR="00717882" w:rsidRPr="006D49EC" w:rsidRDefault="00717882" w:rsidP="00E907D1">
            <w:pPr>
              <w:pStyle w:val="TableText1"/>
              <w:rPr>
                <w:b/>
              </w:rPr>
            </w:pPr>
            <w:r w:rsidRPr="006D49EC">
              <w:rPr>
                <w:b/>
              </w:rPr>
              <w:t>Estimated financial implications for atomoxetine, clonidine</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Cost to PBS/RPBS</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tcBorders>
              <w:right w:val="single" w:sz="4" w:space="0" w:color="auto"/>
            </w:tcBorders>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Copayments</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Cost to PBS/RPBS less copayments</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tcBorders>
              <w:right w:val="single" w:sz="4" w:space="0" w:color="auto"/>
            </w:tcBorders>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r>
      <w:tr w:rsidR="00717882" w:rsidRPr="006D49EC" w:rsidTr="00717882">
        <w:tc>
          <w:tcPr>
            <w:tcW w:w="5000" w:type="pct"/>
            <w:gridSpan w:val="6"/>
            <w:tcBorders>
              <w:right w:val="single" w:sz="4" w:space="0" w:color="auto"/>
            </w:tcBorders>
            <w:shd w:val="clear" w:color="auto" w:fill="auto"/>
            <w:vAlign w:val="center"/>
          </w:tcPr>
          <w:p w:rsidR="00717882" w:rsidRPr="006D49EC" w:rsidRDefault="00717882" w:rsidP="00E907D1">
            <w:pPr>
              <w:pStyle w:val="TableText1"/>
              <w:rPr>
                <w:b/>
              </w:rPr>
            </w:pPr>
            <w:r w:rsidRPr="006D49EC">
              <w:rPr>
                <w:b/>
              </w:rPr>
              <w:t xml:space="preserve">Net financial implications </w:t>
            </w:r>
          </w:p>
        </w:tc>
      </w:tr>
      <w:tr w:rsidR="00717882" w:rsidRPr="006D49EC" w:rsidTr="00717882">
        <w:tc>
          <w:tcPr>
            <w:tcW w:w="1558" w:type="pct"/>
            <w:shd w:val="clear" w:color="auto" w:fill="auto"/>
            <w:vAlign w:val="center"/>
          </w:tcPr>
          <w:p w:rsidR="00717882" w:rsidRPr="006D49EC" w:rsidRDefault="00717882" w:rsidP="00E907D1">
            <w:pPr>
              <w:pStyle w:val="TableText1"/>
            </w:pPr>
            <w:r w:rsidRPr="006D49EC">
              <w:t>Net cost to PBS/RPBS</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8" w:type="pct"/>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c>
          <w:tcPr>
            <w:tcW w:w="689" w:type="pct"/>
            <w:tcBorders>
              <w:right w:val="single" w:sz="4" w:space="0" w:color="auto"/>
            </w:tcBorders>
            <w:shd w:val="clear" w:color="auto" w:fill="auto"/>
          </w:tcPr>
          <w:p w:rsidR="00717882" w:rsidRPr="006D49EC" w:rsidRDefault="00717882" w:rsidP="00E907D1">
            <w:pPr>
              <w:pStyle w:val="TableText1"/>
              <w:jc w:val="center"/>
            </w:pPr>
            <w:r w:rsidRPr="006D49EC">
              <w:t>$</w:t>
            </w:r>
            <w:r w:rsidR="00CF0A88">
              <w:rPr>
                <w:noProof/>
                <w:color w:val="000000"/>
                <w:highlight w:val="black"/>
              </w:rPr>
              <w:t>'''''''''''''''''''''''''</w:t>
            </w:r>
          </w:p>
        </w:tc>
      </w:tr>
    </w:tbl>
    <w:p w:rsidR="00DD48DB" w:rsidRPr="006D49EC" w:rsidRDefault="00DD48DB" w:rsidP="00E907D1">
      <w:pPr>
        <w:pStyle w:val="TableFooter"/>
        <w:widowControl/>
      </w:pPr>
      <w:r w:rsidRPr="006D49EC">
        <w:rPr>
          <w:vertAlign w:val="superscript"/>
        </w:rPr>
        <w:t>a</w:t>
      </w:r>
      <w:r w:rsidRPr="006D49EC">
        <w:t xml:space="preserve"> Assuming number of scripts per year as estimated by the submission.</w:t>
      </w:r>
    </w:p>
    <w:p w:rsidR="00DD48DB" w:rsidRDefault="00DD48DB" w:rsidP="00E907D1">
      <w:pPr>
        <w:pStyle w:val="TableFooter"/>
        <w:widowControl/>
      </w:pPr>
      <w:r w:rsidRPr="006D49EC">
        <w:t xml:space="preserve">Source: </w:t>
      </w:r>
      <w:r w:rsidR="00717882" w:rsidRPr="006D49EC">
        <w:t>Section E of the submission</w:t>
      </w:r>
    </w:p>
    <w:p w:rsidR="001F4F36" w:rsidRDefault="001F4F36" w:rsidP="00E907D1">
      <w:pPr>
        <w:pStyle w:val="TableFooter"/>
        <w:widowControl/>
      </w:pPr>
    </w:p>
    <w:p w:rsidR="001F4F36" w:rsidRPr="00CD2385" w:rsidRDefault="001F4F36" w:rsidP="00E907D1">
      <w:pPr>
        <w:pStyle w:val="TableFooter"/>
        <w:widowControl/>
        <w:rPr>
          <w:rFonts w:asciiTheme="minorHAnsi" w:hAnsiTheme="minorHAnsi"/>
          <w:sz w:val="24"/>
          <w:szCs w:val="24"/>
        </w:rPr>
      </w:pPr>
      <w:r w:rsidRPr="00CD2385">
        <w:rPr>
          <w:rFonts w:asciiTheme="minorHAnsi" w:hAnsiTheme="minorHAnsi"/>
          <w:sz w:val="24"/>
          <w:szCs w:val="24"/>
        </w:rPr>
        <w:t xml:space="preserve">The redacted table shows that at year 5, the estimated number of </w:t>
      </w:r>
      <w:r w:rsidR="00CD2385">
        <w:rPr>
          <w:rFonts w:asciiTheme="minorHAnsi" w:hAnsiTheme="minorHAnsi"/>
          <w:sz w:val="24"/>
          <w:szCs w:val="24"/>
        </w:rPr>
        <w:t>scripts</w:t>
      </w:r>
      <w:r w:rsidRPr="00CD2385">
        <w:rPr>
          <w:rFonts w:asciiTheme="minorHAnsi" w:hAnsiTheme="minorHAnsi"/>
          <w:sz w:val="24"/>
          <w:szCs w:val="24"/>
        </w:rPr>
        <w:t xml:space="preserve"> is 100,000-200,000 and the net cost to the PBS would be less than $10 million per year. </w:t>
      </w:r>
    </w:p>
    <w:p w:rsidR="00040205" w:rsidRPr="006D49EC" w:rsidRDefault="00040205" w:rsidP="00E907D1">
      <w:pPr>
        <w:pStyle w:val="TableFooter"/>
        <w:widowControl/>
      </w:pPr>
    </w:p>
    <w:p w:rsidR="00717882" w:rsidRPr="006D49EC" w:rsidRDefault="00717882"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There is a potential for the number of scripts of guanfacine to be different </w:t>
      </w:r>
      <w:r w:rsidR="006D49EC">
        <w:rPr>
          <w:rFonts w:asciiTheme="minorHAnsi" w:hAnsiTheme="minorHAnsi"/>
        </w:rPr>
        <w:t xml:space="preserve">to </w:t>
      </w:r>
      <w:r w:rsidRPr="006D49EC">
        <w:rPr>
          <w:rFonts w:asciiTheme="minorHAnsi" w:hAnsiTheme="minorHAnsi"/>
        </w:rPr>
        <w:t xml:space="preserve">those estimated in the submission. </w:t>
      </w:r>
    </w:p>
    <w:p w:rsidR="00717882" w:rsidRPr="006D49EC" w:rsidRDefault="00717882" w:rsidP="00FB647A">
      <w:pPr>
        <w:pStyle w:val="ListParagraph"/>
        <w:widowControl/>
        <w:numPr>
          <w:ilvl w:val="0"/>
          <w:numId w:val="12"/>
        </w:numPr>
        <w:ind w:left="851" w:hanging="284"/>
      </w:pPr>
      <w:r w:rsidRPr="006D49EC">
        <w:t>The estimates only include patients aged 6-17 years inclusive, should 18 year olds also be eligible, the estimates are underestimated.</w:t>
      </w:r>
    </w:p>
    <w:p w:rsidR="00717882" w:rsidRPr="006D49EC" w:rsidRDefault="00717882" w:rsidP="00FB647A">
      <w:pPr>
        <w:pStyle w:val="ListParagraph"/>
        <w:widowControl/>
        <w:numPr>
          <w:ilvl w:val="0"/>
          <w:numId w:val="12"/>
        </w:numPr>
        <w:ind w:left="851" w:hanging="284"/>
      </w:pPr>
      <w:r w:rsidRPr="006D49EC">
        <w:t>The estimates of guanfacine scripts are a likely underestimate</w:t>
      </w:r>
      <w:r w:rsidR="006706BD" w:rsidRPr="006D49EC">
        <w:t>d</w:t>
      </w:r>
      <w:r w:rsidRPr="006D49EC">
        <w:t xml:space="preserve"> as the titration phase for guanfacine (</w:t>
      </w:r>
      <w:r w:rsidR="006D49EC">
        <w:t>and</w:t>
      </w:r>
      <w:r w:rsidR="006D49EC" w:rsidRPr="006D49EC">
        <w:t xml:space="preserve"> </w:t>
      </w:r>
      <w:r w:rsidRPr="006D49EC">
        <w:t xml:space="preserve">other therapies) </w:t>
      </w:r>
      <w:r w:rsidR="00D514F8" w:rsidRPr="006D49EC">
        <w:t xml:space="preserve">has </w:t>
      </w:r>
      <w:r w:rsidRPr="006D49EC">
        <w:t>not been accounted for.</w:t>
      </w:r>
    </w:p>
    <w:p w:rsidR="00717882" w:rsidRPr="006D49EC" w:rsidRDefault="00717882" w:rsidP="00FB647A">
      <w:pPr>
        <w:pStyle w:val="ListParagraph"/>
        <w:widowControl/>
        <w:numPr>
          <w:ilvl w:val="0"/>
          <w:numId w:val="12"/>
        </w:numPr>
        <w:ind w:left="851" w:hanging="284"/>
      </w:pPr>
      <w:r w:rsidRPr="006D49EC">
        <w:t>There is potential that patients who initiate on clonidine and stimulants + clonidine (assuming they are using clonidine for the treatment of ADHD) may be contraindicated or intolerant to stimulants (relevant to the former group) or require clonidine as add-on due to a suboptimal response to stimulants (relevant to the latter group), making them eligible for treatment with guanfacine. Their exclusion from the estimates would therefore result in the number of guanfacine scripts being underestimated.</w:t>
      </w:r>
    </w:p>
    <w:p w:rsidR="00717882" w:rsidRPr="006D49EC" w:rsidRDefault="00717882" w:rsidP="00FB647A">
      <w:pPr>
        <w:pStyle w:val="ListParagraph"/>
        <w:widowControl/>
        <w:numPr>
          <w:ilvl w:val="0"/>
          <w:numId w:val="12"/>
        </w:numPr>
        <w:ind w:left="851" w:hanging="284"/>
      </w:pPr>
      <w:r w:rsidRPr="006D49EC">
        <w:t xml:space="preserve">It is not known how many patients who are currently taking stimulants are achieving a suboptimal response, thus the assumption of </w:t>
      </w:r>
      <w:r w:rsidR="00CF0A88">
        <w:rPr>
          <w:noProof/>
          <w:color w:val="000000"/>
          <w:highlight w:val="black"/>
        </w:rPr>
        <w:t>'''''</w:t>
      </w:r>
      <w:r w:rsidRPr="006D49EC">
        <w:t>% may be under- or over-estimated.</w:t>
      </w:r>
    </w:p>
    <w:p w:rsidR="00717882" w:rsidRPr="006D49EC" w:rsidRDefault="00717882" w:rsidP="00FB647A">
      <w:pPr>
        <w:pStyle w:val="ListParagraph"/>
        <w:widowControl/>
        <w:numPr>
          <w:ilvl w:val="0"/>
          <w:numId w:val="12"/>
        </w:numPr>
        <w:ind w:left="851" w:hanging="284"/>
      </w:pPr>
      <w:r w:rsidRPr="006D49EC">
        <w:t xml:space="preserve">The submission’s estimates do not account for the possibility that guanfacine may be used concomitantly with short-acting stimulants, thus the estimates may be underestimated. </w:t>
      </w:r>
    </w:p>
    <w:p w:rsidR="00717882" w:rsidRPr="006D49EC" w:rsidRDefault="00587565" w:rsidP="00FB647A">
      <w:pPr>
        <w:pStyle w:val="ListParagraph"/>
        <w:widowControl/>
        <w:numPr>
          <w:ilvl w:val="0"/>
          <w:numId w:val="12"/>
        </w:numPr>
        <w:spacing w:after="0"/>
        <w:ind w:left="851" w:hanging="284"/>
      </w:pPr>
      <w:r w:rsidRPr="006D49EC">
        <w:t>T</w:t>
      </w:r>
      <w:r w:rsidR="00717882" w:rsidRPr="006D49EC">
        <w:t xml:space="preserve">here is no long-term data to indicate whether guanfacine may have an impact on growth. It is possible that doses of stimulants may be decreased to limit exposure due to their known impact on growth or other adverse events, with the potential to add-on guanfacine. The estimates do not account for this, thus the estimates may be underestimated. </w:t>
      </w:r>
    </w:p>
    <w:p w:rsidR="00844084" w:rsidRPr="006D49EC" w:rsidRDefault="00717882" w:rsidP="00E907D1">
      <w:pPr>
        <w:pStyle w:val="ListParagraph"/>
        <w:widowControl/>
        <w:spacing w:before="120" w:after="160"/>
        <w:ind w:left="576"/>
        <w:contextualSpacing w:val="0"/>
      </w:pPr>
      <w:r w:rsidRPr="006D49EC">
        <w:t>Overall, the net impact of these uncertainties on the likely use of guanfacine is unknown.</w:t>
      </w:r>
      <w:r w:rsidR="00587565" w:rsidRPr="006D49EC">
        <w:t xml:space="preserve"> </w:t>
      </w:r>
      <w:r w:rsidR="007C3C5D" w:rsidRPr="006D49EC">
        <w:t xml:space="preserve">The </w:t>
      </w:r>
      <w:r w:rsidR="007C3C5D" w:rsidRPr="00A42904">
        <w:t>ESC c</w:t>
      </w:r>
      <w:r w:rsidR="007C3C5D" w:rsidRPr="006D49EC">
        <w:t xml:space="preserve">onsidered </w:t>
      </w:r>
      <w:r w:rsidR="00587565" w:rsidRPr="006D49EC">
        <w:t>o</w:t>
      </w:r>
      <w:r w:rsidR="00844084" w:rsidRPr="006D49EC">
        <w:t xml:space="preserve">n </w:t>
      </w:r>
      <w:r w:rsidR="00587565" w:rsidRPr="006D49EC">
        <w:t xml:space="preserve">the </w:t>
      </w:r>
      <w:r w:rsidR="00844084" w:rsidRPr="006D49EC">
        <w:t xml:space="preserve">balance of </w:t>
      </w:r>
      <w:r w:rsidR="009D7D37" w:rsidRPr="006D49EC">
        <w:t>these</w:t>
      </w:r>
      <w:r w:rsidR="00844084" w:rsidRPr="006D49EC">
        <w:t xml:space="preserve"> uncertainties, the utilisation and financial estimates were likely</w:t>
      </w:r>
      <w:r w:rsidR="009D7D37" w:rsidRPr="006D49EC">
        <w:t xml:space="preserve"> to be</w:t>
      </w:r>
      <w:r w:rsidR="00844084" w:rsidRPr="006D49EC">
        <w:t xml:space="preserve"> underestimated.</w:t>
      </w:r>
    </w:p>
    <w:p w:rsidR="00717882" w:rsidRPr="006D49EC" w:rsidRDefault="00717882"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assumption of no impacts on </w:t>
      </w:r>
      <w:r w:rsidR="005B0FC0" w:rsidRPr="006D49EC">
        <w:rPr>
          <w:rFonts w:asciiTheme="minorHAnsi" w:hAnsiTheme="minorHAnsi"/>
        </w:rPr>
        <w:t xml:space="preserve">other </w:t>
      </w:r>
      <w:r w:rsidRPr="006D49EC">
        <w:rPr>
          <w:rFonts w:asciiTheme="minorHAnsi" w:hAnsiTheme="minorHAnsi"/>
        </w:rPr>
        <w:t>government health budgets may not be reasonable as:</w:t>
      </w:r>
    </w:p>
    <w:p w:rsidR="00717882" w:rsidRPr="006D49EC" w:rsidRDefault="00717882" w:rsidP="00FB647A">
      <w:pPr>
        <w:pStyle w:val="ListParagraph"/>
        <w:widowControl/>
        <w:numPr>
          <w:ilvl w:val="0"/>
          <w:numId w:val="12"/>
        </w:numPr>
        <w:spacing w:after="0"/>
        <w:ind w:left="851" w:hanging="284"/>
      </w:pPr>
      <w:r w:rsidRPr="006D49EC">
        <w:t>the titration phase for guanfacine, which could be for up to 7 weeks, has not been accounted for. This phase may be associated with additional specialist visits for determining response for dose optimisation, which would lead to differential resource use; and</w:t>
      </w:r>
    </w:p>
    <w:p w:rsidR="00717882" w:rsidRPr="006D49EC" w:rsidRDefault="00717882" w:rsidP="00FB647A">
      <w:pPr>
        <w:pStyle w:val="ListParagraph"/>
        <w:widowControl/>
        <w:numPr>
          <w:ilvl w:val="0"/>
          <w:numId w:val="12"/>
        </w:numPr>
        <w:spacing w:after="0"/>
        <w:ind w:left="851" w:hanging="284"/>
      </w:pPr>
      <w:r w:rsidRPr="006D49EC">
        <w:t xml:space="preserve">guanfacine was associated with different adverse events compared with atomoxetine and a number of adverse events occurred statistically significantly more often when guanfacine was added to stimulant therapy compared with no add-on treatment. These differences in adverse event profiles may also lead to differential resource use. </w:t>
      </w:r>
    </w:p>
    <w:p w:rsidR="003C7B31" w:rsidRPr="006D49EC" w:rsidRDefault="003C7B31" w:rsidP="00E907D1">
      <w:pPr>
        <w:widowControl/>
        <w:jc w:val="left"/>
        <w:rPr>
          <w:rFonts w:ascii="Calibri" w:hAnsi="Calibri"/>
          <w:b/>
          <w:sz w:val="28"/>
        </w:rPr>
      </w:pPr>
    </w:p>
    <w:p w:rsidR="00F65F04" w:rsidRPr="006D49EC" w:rsidRDefault="00AA0A84" w:rsidP="00AA0A84">
      <w:pPr>
        <w:widowControl/>
        <w:rPr>
          <w:rFonts w:asciiTheme="minorHAnsi" w:hAnsiTheme="minorHAnsi"/>
          <w:i/>
          <w:iCs/>
          <w:sz w:val="24"/>
          <w:szCs w:val="24"/>
        </w:rPr>
      </w:pPr>
      <w:r w:rsidRPr="006D49EC">
        <w:rPr>
          <w:rFonts w:asciiTheme="minorHAnsi" w:hAnsiTheme="minorHAnsi"/>
          <w:i/>
          <w:iCs/>
          <w:sz w:val="24"/>
          <w:szCs w:val="24"/>
        </w:rPr>
        <w:t>For more detail on PBAC’s view, see section 7 “PBAC outcome”</w:t>
      </w:r>
    </w:p>
    <w:p w:rsidR="00B24C96" w:rsidRPr="006D49EC" w:rsidRDefault="00B24C96" w:rsidP="00AA0A84">
      <w:pPr>
        <w:widowControl/>
        <w:rPr>
          <w:rFonts w:asciiTheme="minorHAnsi" w:hAnsiTheme="minorHAnsi"/>
          <w:i/>
          <w:iCs/>
          <w:sz w:val="24"/>
          <w:szCs w:val="24"/>
        </w:rPr>
      </w:pPr>
    </w:p>
    <w:p w:rsidR="00B24C96" w:rsidRPr="006D49EC" w:rsidRDefault="00B24C96" w:rsidP="00B24C96">
      <w:pPr>
        <w:pStyle w:val="Heading2"/>
      </w:pPr>
      <w:r w:rsidRPr="006D49EC">
        <w:t>PBAC Outcome</w:t>
      </w:r>
    </w:p>
    <w:p w:rsidR="00B24C96" w:rsidRPr="006D49EC" w:rsidRDefault="00731A01" w:rsidP="006F23CD">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recommended the listing of guanfacine on a cost-minimisation basis with atomoxetine for the treatment of patients </w:t>
      </w:r>
      <w:r w:rsidR="006F23CD" w:rsidRPr="006D49EC">
        <w:rPr>
          <w:rFonts w:asciiTheme="minorHAnsi" w:hAnsiTheme="minorHAnsi"/>
        </w:rPr>
        <w:t xml:space="preserve">with attention deficit hyperactivity disorder (ADHD) </w:t>
      </w:r>
      <w:r w:rsidRPr="006D49EC">
        <w:rPr>
          <w:rFonts w:asciiTheme="minorHAnsi" w:hAnsiTheme="minorHAnsi"/>
        </w:rPr>
        <w:t>who are contraindicat</w:t>
      </w:r>
      <w:r w:rsidR="002A42DA" w:rsidRPr="006D49EC">
        <w:rPr>
          <w:rFonts w:asciiTheme="minorHAnsi" w:hAnsiTheme="minorHAnsi"/>
        </w:rPr>
        <w:t>ed or</w:t>
      </w:r>
      <w:r w:rsidRPr="006D49EC">
        <w:rPr>
          <w:rFonts w:asciiTheme="minorHAnsi" w:hAnsiTheme="minorHAnsi"/>
        </w:rPr>
        <w:t xml:space="preserve"> intolerant to stimulant therapy. The PBAC did not recommend the listing of guanfacine as </w:t>
      </w:r>
      <w:r w:rsidR="0056102A" w:rsidRPr="006D49EC">
        <w:rPr>
          <w:rFonts w:asciiTheme="minorHAnsi" w:hAnsiTheme="minorHAnsi"/>
        </w:rPr>
        <w:t>adjunctive</w:t>
      </w:r>
      <w:r w:rsidRPr="006D49EC">
        <w:rPr>
          <w:rFonts w:asciiTheme="minorHAnsi" w:hAnsiTheme="minorHAnsi"/>
        </w:rPr>
        <w:t xml:space="preserve"> </w:t>
      </w:r>
      <w:r w:rsidR="00841D99" w:rsidRPr="006D49EC">
        <w:rPr>
          <w:rFonts w:asciiTheme="minorHAnsi" w:hAnsiTheme="minorHAnsi"/>
        </w:rPr>
        <w:t>therapy</w:t>
      </w:r>
      <w:r w:rsidRPr="006D49EC">
        <w:rPr>
          <w:rFonts w:asciiTheme="minorHAnsi" w:hAnsiTheme="minorHAnsi"/>
        </w:rPr>
        <w:t xml:space="preserve"> in patients who have failed to achieve an adequate response to stimulants </w:t>
      </w:r>
      <w:r w:rsidR="00E556F9" w:rsidRPr="006D49EC">
        <w:rPr>
          <w:rFonts w:asciiTheme="minorHAnsi" w:hAnsiTheme="minorHAnsi"/>
        </w:rPr>
        <w:t xml:space="preserve">given </w:t>
      </w:r>
      <w:r w:rsidR="00901887" w:rsidRPr="006D49EC">
        <w:rPr>
          <w:rFonts w:asciiTheme="minorHAnsi" w:hAnsiTheme="minorHAnsi"/>
        </w:rPr>
        <w:t xml:space="preserve">the </w:t>
      </w:r>
      <w:r w:rsidR="00E556F9" w:rsidRPr="006D49EC">
        <w:rPr>
          <w:rFonts w:asciiTheme="minorHAnsi" w:hAnsiTheme="minorHAnsi"/>
        </w:rPr>
        <w:t xml:space="preserve">uncertain </w:t>
      </w:r>
      <w:r w:rsidR="00E556F9" w:rsidRPr="006D49EC">
        <w:t xml:space="preserve">clinical significance of the trial </w:t>
      </w:r>
      <w:r w:rsidR="00A13ECE" w:rsidRPr="006D49EC">
        <w:t>outcomes and</w:t>
      </w:r>
      <w:r w:rsidR="00E556F9" w:rsidRPr="006D49EC">
        <w:t xml:space="preserve"> </w:t>
      </w:r>
      <w:r w:rsidR="00A13ECE" w:rsidRPr="006D49EC">
        <w:rPr>
          <w:rFonts w:asciiTheme="minorHAnsi" w:hAnsiTheme="minorHAnsi"/>
        </w:rPr>
        <w:t xml:space="preserve">the </w:t>
      </w:r>
      <w:r w:rsidR="00A718BC" w:rsidRPr="006D49EC">
        <w:rPr>
          <w:rFonts w:asciiTheme="minorHAnsi" w:hAnsiTheme="minorHAnsi"/>
        </w:rPr>
        <w:t>uncertain</w:t>
      </w:r>
      <w:r w:rsidR="00A13ECE" w:rsidRPr="006D49EC">
        <w:rPr>
          <w:rFonts w:asciiTheme="minorHAnsi" w:hAnsiTheme="minorHAnsi"/>
        </w:rPr>
        <w:t xml:space="preserve"> </w:t>
      </w:r>
      <w:r w:rsidR="00A718BC" w:rsidRPr="006D49EC">
        <w:rPr>
          <w:rFonts w:asciiTheme="minorHAnsi" w:hAnsiTheme="minorHAnsi"/>
        </w:rPr>
        <w:t>cost-effectiveness</w:t>
      </w:r>
      <w:r w:rsidRPr="006D49EC">
        <w:rPr>
          <w:rFonts w:asciiTheme="minorHAnsi" w:hAnsiTheme="minorHAnsi"/>
        </w:rPr>
        <w:t>.</w:t>
      </w:r>
      <w:r w:rsidR="00841D99" w:rsidRPr="006D49EC">
        <w:rPr>
          <w:rFonts w:asciiTheme="minorHAnsi" w:hAnsiTheme="minorHAnsi"/>
        </w:rPr>
        <w:t xml:space="preserve"> The PBAC did not recommend the listing of guanfacine as monotherapy in patients who have failed to achieve an adequate response to stimulants as </w:t>
      </w:r>
      <w:r w:rsidR="00901887" w:rsidRPr="006D49EC">
        <w:rPr>
          <w:rFonts w:asciiTheme="minorHAnsi" w:hAnsiTheme="minorHAnsi"/>
        </w:rPr>
        <w:t>the</w:t>
      </w:r>
      <w:r w:rsidR="00841D99" w:rsidRPr="006D49EC">
        <w:rPr>
          <w:rFonts w:asciiTheme="minorHAnsi" w:hAnsiTheme="minorHAnsi"/>
        </w:rPr>
        <w:t xml:space="preserve"> evidence presented </w:t>
      </w:r>
      <w:r w:rsidR="00901887" w:rsidRPr="006D49EC">
        <w:rPr>
          <w:rFonts w:asciiTheme="minorHAnsi" w:hAnsiTheme="minorHAnsi"/>
        </w:rPr>
        <w:t>did not</w:t>
      </w:r>
      <w:r w:rsidR="00841D99" w:rsidRPr="006D49EC">
        <w:rPr>
          <w:rFonts w:asciiTheme="minorHAnsi" w:hAnsiTheme="minorHAnsi"/>
        </w:rPr>
        <w:t xml:space="preserve"> support a listing in that population.</w:t>
      </w:r>
    </w:p>
    <w:p w:rsidR="00A718BC" w:rsidRPr="006D49EC" w:rsidRDefault="00A718BC" w:rsidP="00CA2514">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w:t>
      </w:r>
      <w:r w:rsidR="00CA2514" w:rsidRPr="006D49EC">
        <w:rPr>
          <w:rFonts w:asciiTheme="minorHAnsi" w:hAnsiTheme="minorHAnsi"/>
        </w:rPr>
        <w:t xml:space="preserve">noted the comments in the sponsor hearing and agreed </w:t>
      </w:r>
      <w:r w:rsidRPr="006D49EC">
        <w:rPr>
          <w:rFonts w:asciiTheme="minorHAnsi" w:hAnsiTheme="minorHAnsi"/>
        </w:rPr>
        <w:t>there was a clinical place for guanfacine as an alternative treatment option to atomoxetine for patients who are</w:t>
      </w:r>
      <w:r w:rsidR="00CA2514" w:rsidRPr="006D49EC">
        <w:rPr>
          <w:rFonts w:asciiTheme="minorHAnsi" w:hAnsiTheme="minorHAnsi"/>
        </w:rPr>
        <w:t xml:space="preserve"> contraindicated or intolerant to </w:t>
      </w:r>
      <w:r w:rsidRPr="006D49EC">
        <w:rPr>
          <w:rFonts w:asciiTheme="minorHAnsi" w:hAnsiTheme="minorHAnsi"/>
        </w:rPr>
        <w:t xml:space="preserve">stimulants. The PBAC also considered there may be a clinical place for guanfacine as add-on therapy for the small sub-set of patients with an inadequate response to stimulants. </w:t>
      </w:r>
      <w:r w:rsidR="00CA2514" w:rsidRPr="006D49EC">
        <w:rPr>
          <w:rFonts w:asciiTheme="minorHAnsi" w:hAnsiTheme="minorHAnsi"/>
        </w:rPr>
        <w:t xml:space="preserve">However, PBAC noted </w:t>
      </w:r>
      <w:r w:rsidR="00DF42B4" w:rsidRPr="006D49EC">
        <w:rPr>
          <w:rFonts w:asciiTheme="minorHAnsi" w:hAnsiTheme="minorHAnsi"/>
        </w:rPr>
        <w:t>that ‘a satisfactory response’ and ‘optimised stimulant therapy’ are</w:t>
      </w:r>
      <w:r w:rsidR="00CA2514" w:rsidRPr="006D49EC">
        <w:rPr>
          <w:rFonts w:asciiTheme="minorHAnsi" w:hAnsiTheme="minorHAnsi"/>
        </w:rPr>
        <w:t xml:space="preserve"> broad defin</w:t>
      </w:r>
      <w:r w:rsidR="00DF42B4" w:rsidRPr="006D49EC">
        <w:rPr>
          <w:rFonts w:asciiTheme="minorHAnsi" w:hAnsiTheme="minorHAnsi"/>
        </w:rPr>
        <w:t>itions</w:t>
      </w:r>
      <w:r w:rsidR="00CA2514" w:rsidRPr="006D49EC">
        <w:rPr>
          <w:rFonts w:asciiTheme="minorHAnsi" w:hAnsiTheme="minorHAnsi"/>
        </w:rPr>
        <w:t xml:space="preserve">, which may be difficult to implement </w:t>
      </w:r>
      <w:r w:rsidR="00DF42B4" w:rsidRPr="006D49EC">
        <w:rPr>
          <w:rFonts w:asciiTheme="minorHAnsi" w:hAnsiTheme="minorHAnsi"/>
        </w:rPr>
        <w:t xml:space="preserve">and contain to the </w:t>
      </w:r>
      <w:r w:rsidR="00CF0A88">
        <w:rPr>
          <w:rFonts w:asciiTheme="minorHAnsi" w:hAnsiTheme="minorHAnsi"/>
          <w:noProof/>
          <w:color w:val="000000"/>
          <w:highlight w:val="black"/>
        </w:rPr>
        <w:t>'''''</w:t>
      </w:r>
      <w:r w:rsidR="00DF42B4" w:rsidRPr="006D49EC">
        <w:rPr>
          <w:rFonts w:asciiTheme="minorHAnsi" w:hAnsiTheme="minorHAnsi"/>
        </w:rPr>
        <w:t>%-</w:t>
      </w:r>
      <w:r w:rsidR="00CF0A88">
        <w:rPr>
          <w:rFonts w:asciiTheme="minorHAnsi" w:hAnsiTheme="minorHAnsi"/>
          <w:noProof/>
          <w:color w:val="000000"/>
          <w:highlight w:val="black"/>
        </w:rPr>
        <w:t>'''''</w:t>
      </w:r>
      <w:r w:rsidR="00DF42B4" w:rsidRPr="006D49EC">
        <w:rPr>
          <w:rFonts w:asciiTheme="minorHAnsi" w:hAnsiTheme="minorHAnsi"/>
        </w:rPr>
        <w:t xml:space="preserve">% of patients requiring adjunct therapy to achieve remission, as identified in the sponsor hearing as the patient group </w:t>
      </w:r>
      <w:r w:rsidR="00F31087" w:rsidRPr="006D49EC">
        <w:rPr>
          <w:rFonts w:asciiTheme="minorHAnsi" w:hAnsiTheme="minorHAnsi"/>
        </w:rPr>
        <w:t>likely to benefit from</w:t>
      </w:r>
      <w:r w:rsidR="00DF42B4" w:rsidRPr="006D49EC">
        <w:rPr>
          <w:rFonts w:asciiTheme="minorHAnsi" w:hAnsiTheme="minorHAnsi"/>
        </w:rPr>
        <w:t xml:space="preserve"> adjunctive therapy.</w:t>
      </w:r>
    </w:p>
    <w:p w:rsidR="00EE45AD" w:rsidRPr="006D49EC" w:rsidRDefault="00EE45AD" w:rsidP="00EE45AD">
      <w:pPr>
        <w:pStyle w:val="ListParagraph"/>
        <w:widowControl/>
        <w:numPr>
          <w:ilvl w:val="1"/>
          <w:numId w:val="3"/>
        </w:numPr>
        <w:contextualSpacing w:val="0"/>
        <w:rPr>
          <w:rFonts w:asciiTheme="minorHAnsi" w:hAnsiTheme="minorHAnsi"/>
        </w:rPr>
      </w:pPr>
      <w:r w:rsidRPr="006D49EC">
        <w:rPr>
          <w:rFonts w:asciiTheme="minorHAnsi" w:hAnsiTheme="minorHAnsi"/>
        </w:rPr>
        <w:t>The PBAC considered that the restrictions for guanfacine for the recommended indications should be aligned with the current listings of atomoxetine</w:t>
      </w:r>
      <w:r w:rsidR="00EB07AB" w:rsidRPr="006D49EC">
        <w:rPr>
          <w:rFonts w:asciiTheme="minorHAnsi" w:hAnsiTheme="minorHAnsi"/>
        </w:rPr>
        <w:t>.</w:t>
      </w:r>
      <w:r w:rsidR="00BC2434" w:rsidRPr="006D49EC">
        <w:rPr>
          <w:rFonts w:asciiTheme="minorHAnsi" w:hAnsiTheme="minorHAnsi"/>
        </w:rPr>
        <w:t xml:space="preserve"> </w:t>
      </w:r>
      <w:r w:rsidRPr="006D49EC">
        <w:rPr>
          <w:rFonts w:asciiTheme="minorHAnsi" w:hAnsiTheme="minorHAnsi"/>
        </w:rPr>
        <w:t>The PBAC recommended that, similar to atomoxetine, guanfacine for these indications should be a streamlined authority.</w:t>
      </w:r>
    </w:p>
    <w:p w:rsidR="00EE45AD" w:rsidRPr="006D49EC" w:rsidRDefault="00EE45AD" w:rsidP="00EE45AD">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noted the submission requested that guanfacine be restricted to patients 17 years and younger. The Committee noted the clinician input at the sponsor hearing, which described that </w:t>
      </w:r>
      <w:r w:rsidR="00A26CF4">
        <w:rPr>
          <w:rFonts w:asciiTheme="minorHAnsi" w:hAnsiTheme="minorHAnsi"/>
        </w:rPr>
        <w:t>there was limited evidence fo</w:t>
      </w:r>
      <w:r w:rsidRPr="006D49EC">
        <w:rPr>
          <w:rFonts w:asciiTheme="minorHAnsi" w:hAnsiTheme="minorHAnsi"/>
        </w:rPr>
        <w:t xml:space="preserve">r patients aged 18 and over, and agreed that restricting guanfacine in such a way that patients may be forced to discontinue treatment at 18 years of age would create challenges for prescribers and patients. The Committee noted that initiation of atomoxetine was restricted </w:t>
      </w:r>
      <w:r w:rsidR="006F23CD" w:rsidRPr="006D49EC">
        <w:rPr>
          <w:rFonts w:asciiTheme="minorHAnsi" w:hAnsiTheme="minorHAnsi"/>
        </w:rPr>
        <w:t xml:space="preserve">to </w:t>
      </w:r>
      <w:r w:rsidRPr="006D49EC">
        <w:rPr>
          <w:rFonts w:asciiTheme="minorHAnsi" w:hAnsiTheme="minorHAnsi"/>
        </w:rPr>
        <w:t>patients under the age of 18, but that continuing restrictions permitted patients to continue on treatment without age restrictions.</w:t>
      </w:r>
    </w:p>
    <w:p w:rsidR="00F31087" w:rsidRPr="006D49EC" w:rsidRDefault="00F31087" w:rsidP="00F31087">
      <w:pPr>
        <w:pStyle w:val="ListParagraph"/>
        <w:widowControl/>
        <w:numPr>
          <w:ilvl w:val="1"/>
          <w:numId w:val="3"/>
        </w:numPr>
        <w:contextualSpacing w:val="0"/>
        <w:rPr>
          <w:rFonts w:asciiTheme="minorHAnsi" w:hAnsiTheme="minorHAnsi"/>
        </w:rPr>
      </w:pPr>
      <w:r w:rsidRPr="006D49EC">
        <w:rPr>
          <w:rFonts w:asciiTheme="minorHAnsi" w:hAnsiTheme="minorHAnsi"/>
        </w:rPr>
        <w:t>The PBAC accepted that atomoxetine was the appropriate comparator for patients who are contraindicated or intolerant to stimulant therapy</w:t>
      </w:r>
      <w:r w:rsidR="006F23CD" w:rsidRPr="006D49EC">
        <w:rPr>
          <w:rFonts w:asciiTheme="minorHAnsi" w:hAnsiTheme="minorHAnsi"/>
        </w:rPr>
        <w:t>.</w:t>
      </w:r>
      <w:r w:rsidRPr="006D49EC">
        <w:rPr>
          <w:rFonts w:asciiTheme="minorHAnsi" w:hAnsiTheme="minorHAnsi"/>
        </w:rPr>
        <w:t xml:space="preserve"> </w:t>
      </w:r>
      <w:r w:rsidR="006F23CD" w:rsidRPr="006D49EC">
        <w:rPr>
          <w:rFonts w:asciiTheme="minorHAnsi" w:hAnsiTheme="minorHAnsi"/>
        </w:rPr>
        <w:t>The PBAC</w:t>
      </w:r>
      <w:r w:rsidRPr="006D49EC">
        <w:rPr>
          <w:rFonts w:asciiTheme="minorHAnsi" w:hAnsiTheme="minorHAnsi"/>
        </w:rPr>
        <w:t xml:space="preserve"> also accepted placebo </w:t>
      </w:r>
      <w:r w:rsidR="00A15E77" w:rsidRPr="006D49EC">
        <w:rPr>
          <w:rFonts w:asciiTheme="minorHAnsi" w:hAnsiTheme="minorHAnsi"/>
        </w:rPr>
        <w:t>a</w:t>
      </w:r>
      <w:r w:rsidRPr="006D49EC">
        <w:rPr>
          <w:rFonts w:asciiTheme="minorHAnsi" w:hAnsiTheme="minorHAnsi"/>
        </w:rPr>
        <w:t xml:space="preserve">s the appropriate comparator for patients who have an inadequate response to stimulant therapy, either as adjunctive or monotherapy, although other stimulants would also be an appropriate comparator. The PBAC did not accept clonidine as </w:t>
      </w:r>
      <w:r w:rsidR="006F23CD" w:rsidRPr="006D49EC">
        <w:rPr>
          <w:rFonts w:asciiTheme="minorHAnsi" w:hAnsiTheme="minorHAnsi"/>
        </w:rPr>
        <w:t xml:space="preserve">an informative </w:t>
      </w:r>
      <w:r w:rsidRPr="006D49EC">
        <w:rPr>
          <w:rFonts w:asciiTheme="minorHAnsi" w:hAnsiTheme="minorHAnsi"/>
        </w:rPr>
        <w:t>secondary comparator in th</w:t>
      </w:r>
      <w:r w:rsidR="006F23CD" w:rsidRPr="006D49EC">
        <w:rPr>
          <w:rFonts w:asciiTheme="minorHAnsi" w:hAnsiTheme="minorHAnsi"/>
        </w:rPr>
        <w:t>is</w:t>
      </w:r>
      <w:r w:rsidRPr="006D49EC">
        <w:rPr>
          <w:rFonts w:asciiTheme="minorHAnsi" w:hAnsiTheme="minorHAnsi"/>
        </w:rPr>
        <w:t xml:space="preserve"> population as it is neither TGA registered nor PBS listed in Australia for the treatment of ADHD, and thus its safety, efficacy and cost-effectiveness are unknown.</w:t>
      </w:r>
    </w:p>
    <w:p w:rsidR="00111042" w:rsidRPr="006D49EC" w:rsidRDefault="00111042" w:rsidP="00111042">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w:t>
      </w:r>
      <w:r w:rsidR="00B65C88" w:rsidRPr="006D49EC">
        <w:rPr>
          <w:rFonts w:asciiTheme="minorHAnsi" w:hAnsiTheme="minorHAnsi"/>
        </w:rPr>
        <w:t>noted the claim of superior comparative effectiveness with atomoxetine was questionable given Trial 316 did not specifically recruit patients intolerant or contraindicated to stimulants and the comparison with at</w:t>
      </w:r>
      <w:r w:rsidR="00612248" w:rsidRPr="006D49EC">
        <w:rPr>
          <w:rFonts w:asciiTheme="minorHAnsi" w:hAnsiTheme="minorHAnsi"/>
        </w:rPr>
        <w:t>o</w:t>
      </w:r>
      <w:r w:rsidR="00B65C88" w:rsidRPr="006D49EC">
        <w:rPr>
          <w:rFonts w:asciiTheme="minorHAnsi" w:hAnsiTheme="minorHAnsi"/>
        </w:rPr>
        <w:t>moxetine was post-hoc.  Over 50% of patient</w:t>
      </w:r>
      <w:r w:rsidR="006F23CD" w:rsidRPr="006D49EC">
        <w:rPr>
          <w:rFonts w:asciiTheme="minorHAnsi" w:hAnsiTheme="minorHAnsi"/>
        </w:rPr>
        <w:t>s</w:t>
      </w:r>
      <w:r w:rsidR="00B65C88" w:rsidRPr="006D49EC">
        <w:rPr>
          <w:rFonts w:asciiTheme="minorHAnsi" w:hAnsiTheme="minorHAnsi"/>
        </w:rPr>
        <w:t xml:space="preserve"> </w:t>
      </w:r>
      <w:r w:rsidR="00A15E77" w:rsidRPr="006D49EC">
        <w:rPr>
          <w:rFonts w:asciiTheme="minorHAnsi" w:hAnsiTheme="minorHAnsi"/>
        </w:rPr>
        <w:t xml:space="preserve">in </w:t>
      </w:r>
      <w:r w:rsidR="00B65C88" w:rsidRPr="006D49EC">
        <w:rPr>
          <w:rFonts w:asciiTheme="minorHAnsi" w:hAnsiTheme="minorHAnsi"/>
        </w:rPr>
        <w:t>Trial 316 w</w:t>
      </w:r>
      <w:r w:rsidR="006F23CD" w:rsidRPr="006D49EC">
        <w:rPr>
          <w:rFonts w:asciiTheme="minorHAnsi" w:hAnsiTheme="minorHAnsi"/>
        </w:rPr>
        <w:t>ere</w:t>
      </w:r>
      <w:r w:rsidR="00B65C88" w:rsidRPr="006D49EC">
        <w:rPr>
          <w:rFonts w:asciiTheme="minorHAnsi" w:hAnsiTheme="minorHAnsi"/>
        </w:rPr>
        <w:t xml:space="preserve"> treatment naïve and only a small proportion of those would have been contraindicated for stimulants. Of the </w:t>
      </w:r>
      <w:r w:rsidR="00612248" w:rsidRPr="006D49EC">
        <w:rPr>
          <w:rFonts w:asciiTheme="minorHAnsi" w:hAnsiTheme="minorHAnsi"/>
        </w:rPr>
        <w:t>remaining</w:t>
      </w:r>
      <w:r w:rsidR="00B65C88" w:rsidRPr="006D49EC">
        <w:rPr>
          <w:rFonts w:asciiTheme="minorHAnsi" w:hAnsiTheme="minorHAnsi"/>
        </w:rPr>
        <w:t xml:space="preserve"> 49.6% </w:t>
      </w:r>
      <w:r w:rsidR="00612248" w:rsidRPr="006D49EC">
        <w:rPr>
          <w:rFonts w:asciiTheme="minorHAnsi" w:hAnsiTheme="minorHAnsi"/>
        </w:rPr>
        <w:t xml:space="preserve">who did take prior </w:t>
      </w:r>
      <w:r w:rsidR="00984196" w:rsidRPr="006D49EC">
        <w:rPr>
          <w:rFonts w:asciiTheme="minorHAnsi" w:hAnsiTheme="minorHAnsi"/>
        </w:rPr>
        <w:t>stimulants,</w:t>
      </w:r>
      <w:r w:rsidR="00612248" w:rsidRPr="006D49EC">
        <w:rPr>
          <w:rFonts w:asciiTheme="minorHAnsi" w:hAnsiTheme="minorHAnsi"/>
        </w:rPr>
        <w:t xml:space="preserve"> only 37.1% had intolerable side effects.</w:t>
      </w:r>
      <w:r w:rsidR="00B65C88" w:rsidRPr="006D49EC">
        <w:rPr>
          <w:rFonts w:asciiTheme="minorHAnsi" w:hAnsiTheme="minorHAnsi"/>
        </w:rPr>
        <w:t xml:space="preserve"> However, despite these </w:t>
      </w:r>
      <w:r w:rsidR="00612248" w:rsidRPr="006D49EC">
        <w:rPr>
          <w:rFonts w:asciiTheme="minorHAnsi" w:hAnsiTheme="minorHAnsi"/>
        </w:rPr>
        <w:t xml:space="preserve">applicability and statistical </w:t>
      </w:r>
      <w:r w:rsidR="006F23CD" w:rsidRPr="006D49EC">
        <w:rPr>
          <w:rFonts w:asciiTheme="minorHAnsi" w:hAnsiTheme="minorHAnsi"/>
        </w:rPr>
        <w:t xml:space="preserve">power </w:t>
      </w:r>
      <w:r w:rsidR="00612248" w:rsidRPr="006D49EC">
        <w:rPr>
          <w:rFonts w:asciiTheme="minorHAnsi" w:hAnsiTheme="minorHAnsi"/>
        </w:rPr>
        <w:t>issues</w:t>
      </w:r>
      <w:r w:rsidR="00B65C88" w:rsidRPr="006D49EC">
        <w:rPr>
          <w:rFonts w:asciiTheme="minorHAnsi" w:hAnsiTheme="minorHAnsi"/>
        </w:rPr>
        <w:t xml:space="preserve">, </w:t>
      </w:r>
      <w:r w:rsidR="00A974F7" w:rsidRPr="006D49EC">
        <w:rPr>
          <w:rFonts w:asciiTheme="minorHAnsi" w:hAnsiTheme="minorHAnsi"/>
        </w:rPr>
        <w:t xml:space="preserve">the PBAC noted </w:t>
      </w:r>
      <w:r w:rsidR="00B65C88" w:rsidRPr="006D49EC">
        <w:rPr>
          <w:rFonts w:asciiTheme="minorHAnsi" w:hAnsiTheme="minorHAnsi"/>
        </w:rPr>
        <w:t xml:space="preserve">the data </w:t>
      </w:r>
      <w:r w:rsidR="00A15E77" w:rsidRPr="006D49EC">
        <w:rPr>
          <w:rFonts w:asciiTheme="minorHAnsi" w:hAnsiTheme="minorHAnsi"/>
        </w:rPr>
        <w:t xml:space="preserve">for remission and </w:t>
      </w:r>
      <w:r w:rsidR="00A15E77" w:rsidRPr="006D49EC">
        <w:t>mean change in ADHD-RS-IV scores</w:t>
      </w:r>
      <w:r w:rsidR="00A15E77" w:rsidRPr="006D49EC">
        <w:rPr>
          <w:rFonts w:asciiTheme="minorHAnsi" w:hAnsiTheme="minorHAnsi"/>
        </w:rPr>
        <w:t xml:space="preserve"> </w:t>
      </w:r>
      <w:r w:rsidR="00B65C88" w:rsidRPr="006D49EC">
        <w:rPr>
          <w:rFonts w:asciiTheme="minorHAnsi" w:hAnsiTheme="minorHAnsi"/>
        </w:rPr>
        <w:t>favoured guanfacine</w:t>
      </w:r>
      <w:r w:rsidR="00A15E77" w:rsidRPr="006D49EC">
        <w:rPr>
          <w:rFonts w:asciiTheme="minorHAnsi" w:hAnsiTheme="minorHAnsi"/>
        </w:rPr>
        <w:t>,</w:t>
      </w:r>
      <w:r w:rsidR="00B65C88" w:rsidRPr="006D49EC">
        <w:rPr>
          <w:rFonts w:asciiTheme="minorHAnsi" w:hAnsiTheme="minorHAnsi"/>
        </w:rPr>
        <w:t xml:space="preserve"> </w:t>
      </w:r>
      <w:r w:rsidR="00A974F7" w:rsidRPr="006D49EC">
        <w:rPr>
          <w:rFonts w:asciiTheme="minorHAnsi" w:hAnsiTheme="minorHAnsi"/>
        </w:rPr>
        <w:t>and by taking a cost-minimisation approach in the economic analysis the submission adopted an assumption of non-inferiority. The PBAC accepted this as reasonable.</w:t>
      </w:r>
    </w:p>
    <w:p w:rsidR="00A974F7" w:rsidRPr="006D49EC" w:rsidRDefault="00A974F7" w:rsidP="00111042">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considered the claim </w:t>
      </w:r>
      <w:r w:rsidR="00DA5E88" w:rsidRPr="006D49EC">
        <w:rPr>
          <w:rFonts w:asciiTheme="minorHAnsi" w:hAnsiTheme="minorHAnsi"/>
        </w:rPr>
        <w:t xml:space="preserve">of a </w:t>
      </w:r>
      <w:r w:rsidRPr="006D49EC">
        <w:rPr>
          <w:rFonts w:asciiTheme="minorHAnsi" w:hAnsiTheme="minorHAnsi"/>
        </w:rPr>
        <w:t xml:space="preserve">trend towards </w:t>
      </w:r>
      <w:r w:rsidR="001C78DB" w:rsidRPr="006D49EC">
        <w:rPr>
          <w:rFonts w:asciiTheme="minorHAnsi" w:hAnsiTheme="minorHAnsi"/>
        </w:rPr>
        <w:t xml:space="preserve">inferior </w:t>
      </w:r>
      <w:r w:rsidRPr="006D49EC">
        <w:rPr>
          <w:rFonts w:asciiTheme="minorHAnsi" w:hAnsiTheme="minorHAnsi"/>
        </w:rPr>
        <w:t>comparative safety over atomoxetine was reasonable.</w:t>
      </w:r>
    </w:p>
    <w:p w:rsidR="00766333" w:rsidRPr="006D49EC" w:rsidRDefault="00A15E77" w:rsidP="00A15E77">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noted that for adjunctive therapy, Trial 313 showed </w:t>
      </w:r>
      <w:r w:rsidR="007D2459" w:rsidRPr="006D49EC">
        <w:rPr>
          <w:rFonts w:asciiTheme="minorHAnsi" w:hAnsiTheme="minorHAnsi"/>
        </w:rPr>
        <w:t xml:space="preserve">statistically significant </w:t>
      </w:r>
      <w:r w:rsidR="00DA5E88" w:rsidRPr="006D49EC">
        <w:rPr>
          <w:rFonts w:asciiTheme="minorHAnsi" w:hAnsiTheme="minorHAnsi"/>
        </w:rPr>
        <w:t xml:space="preserve">improvements for guanfacine over placebo </w:t>
      </w:r>
      <w:r w:rsidR="007D2459" w:rsidRPr="006D49EC">
        <w:rPr>
          <w:rFonts w:asciiTheme="minorHAnsi" w:hAnsiTheme="minorHAnsi"/>
        </w:rPr>
        <w:t>for all outcomes</w:t>
      </w:r>
      <w:r w:rsidR="00DA5E88" w:rsidRPr="006D49EC">
        <w:rPr>
          <w:rFonts w:asciiTheme="minorHAnsi" w:hAnsiTheme="minorHAnsi"/>
        </w:rPr>
        <w:t>, although</w:t>
      </w:r>
      <w:r w:rsidR="007D2459" w:rsidRPr="006D49EC">
        <w:rPr>
          <w:rFonts w:asciiTheme="minorHAnsi" w:hAnsiTheme="minorHAnsi"/>
        </w:rPr>
        <w:t xml:space="preserve"> </w:t>
      </w:r>
      <w:r w:rsidR="00A26CF4" w:rsidRPr="006D49EC">
        <w:rPr>
          <w:rFonts w:asciiTheme="minorHAnsi" w:hAnsiTheme="minorHAnsi"/>
        </w:rPr>
        <w:t xml:space="preserve">the </w:t>
      </w:r>
      <w:r w:rsidR="00A26CF4">
        <w:rPr>
          <w:rFonts w:asciiTheme="minorHAnsi" w:hAnsiTheme="minorHAnsi"/>
        </w:rPr>
        <w:t xml:space="preserve">clinical significance of the </w:t>
      </w:r>
      <w:r w:rsidR="00DA5E88" w:rsidRPr="006D49EC">
        <w:rPr>
          <w:rFonts w:asciiTheme="minorHAnsi" w:hAnsiTheme="minorHAnsi"/>
        </w:rPr>
        <w:t xml:space="preserve">change in ADHD score was </w:t>
      </w:r>
      <w:r w:rsidR="00A26CF4">
        <w:rPr>
          <w:rFonts w:asciiTheme="minorHAnsi" w:hAnsiTheme="minorHAnsi"/>
        </w:rPr>
        <w:t>uncertain</w:t>
      </w:r>
      <w:r w:rsidR="00DA5E88" w:rsidRPr="006D49EC">
        <w:rPr>
          <w:rFonts w:asciiTheme="minorHAnsi" w:hAnsiTheme="minorHAnsi"/>
        </w:rPr>
        <w:t>.</w:t>
      </w:r>
      <w:r w:rsidR="007D2459" w:rsidRPr="006D49EC">
        <w:rPr>
          <w:rFonts w:asciiTheme="minorHAnsi" w:hAnsiTheme="minorHAnsi"/>
        </w:rPr>
        <w:t xml:space="preserve"> </w:t>
      </w:r>
      <w:r w:rsidR="00DA5E88" w:rsidRPr="006D49EC">
        <w:rPr>
          <w:rFonts w:asciiTheme="minorHAnsi" w:hAnsiTheme="minorHAnsi"/>
        </w:rPr>
        <w:t xml:space="preserve">The PBAC did not accept the clinical data for guanfacine monotherapy versus placebo provided any basis for accepting monotherapy use </w:t>
      </w:r>
      <w:r w:rsidR="00DA5E88" w:rsidRPr="006D49EC">
        <w:t>among those who have failed to achieve an adequate response to stimulants.</w:t>
      </w:r>
    </w:p>
    <w:p w:rsidR="00A15E77" w:rsidRPr="006D49EC" w:rsidRDefault="00DA5E88" w:rsidP="00111042">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accepted the claim of inferior </w:t>
      </w:r>
      <w:r w:rsidRPr="006D49EC">
        <w:t>comparative safety over placebo in combination with stimulant therapy</w:t>
      </w:r>
      <w:r w:rsidRPr="006D49EC">
        <w:rPr>
          <w:rFonts w:asciiTheme="minorHAnsi" w:hAnsiTheme="minorHAnsi"/>
        </w:rPr>
        <w:t>.</w:t>
      </w:r>
    </w:p>
    <w:p w:rsidR="00D1050E" w:rsidRPr="006D49EC" w:rsidRDefault="00D1050E" w:rsidP="00B24C96">
      <w:pPr>
        <w:pStyle w:val="ListParagraph"/>
        <w:widowControl/>
        <w:numPr>
          <w:ilvl w:val="1"/>
          <w:numId w:val="3"/>
        </w:numPr>
        <w:contextualSpacing w:val="0"/>
        <w:rPr>
          <w:rFonts w:asciiTheme="minorHAnsi" w:hAnsiTheme="minorHAnsi"/>
        </w:rPr>
      </w:pPr>
      <w:r w:rsidRPr="006D49EC">
        <w:rPr>
          <w:rFonts w:asciiTheme="minorHAnsi" w:hAnsiTheme="minorHAnsi"/>
        </w:rPr>
        <w:t>For the cost-minimisation to atomoxetine, the PBAC noted the submission argued</w:t>
      </w:r>
      <w:r w:rsidR="008B3DFC" w:rsidRPr="006D49EC">
        <w:rPr>
          <w:rFonts w:asciiTheme="minorHAnsi" w:hAnsiTheme="minorHAnsi"/>
        </w:rPr>
        <w:t xml:space="preserve"> that </w:t>
      </w:r>
      <w:r w:rsidRPr="006D49EC">
        <w:rPr>
          <w:rFonts w:asciiTheme="minorHAnsi" w:hAnsiTheme="minorHAnsi"/>
        </w:rPr>
        <w:t>analysis based on the relative number of capsules/tablets per patient per day rather than the total dose per day was appropriate given the flat pricing structure of atomoxetine (and proposed for guanfacine) on the PBS. However, the PBAC considered the 10% PBS sample used by the submission to establish equi-effective doses was unreliable</w:t>
      </w:r>
      <w:r w:rsidR="008B3DFC" w:rsidRPr="006D49EC">
        <w:rPr>
          <w:rFonts w:asciiTheme="minorHAnsi" w:hAnsiTheme="minorHAnsi"/>
        </w:rPr>
        <w:t xml:space="preserve">. The PBAC also noted the reduced price offered in the pre-PBAC response (pp. 2-3) weighted the dosing across the trial data and clinical practice data, but again considered the reliance on the 10% PBS sample was fraught. </w:t>
      </w:r>
      <w:r w:rsidRPr="006D49EC">
        <w:rPr>
          <w:rFonts w:asciiTheme="minorHAnsi" w:hAnsiTheme="minorHAnsi"/>
        </w:rPr>
        <w:t xml:space="preserve"> </w:t>
      </w:r>
      <w:r w:rsidR="008B3DFC" w:rsidRPr="006D49EC">
        <w:rPr>
          <w:rFonts w:asciiTheme="minorHAnsi" w:hAnsiTheme="minorHAnsi"/>
        </w:rPr>
        <w:t>The PBAC</w:t>
      </w:r>
      <w:r w:rsidRPr="006D49EC">
        <w:rPr>
          <w:rFonts w:asciiTheme="minorHAnsi" w:hAnsiTheme="minorHAnsi"/>
        </w:rPr>
        <w:t xml:space="preserve"> a</w:t>
      </w:r>
      <w:r w:rsidR="008B3DFC" w:rsidRPr="006D49EC">
        <w:rPr>
          <w:rFonts w:asciiTheme="minorHAnsi" w:hAnsiTheme="minorHAnsi"/>
        </w:rPr>
        <w:t xml:space="preserve">ccepted </w:t>
      </w:r>
      <w:r w:rsidRPr="006D49EC">
        <w:rPr>
          <w:rFonts w:asciiTheme="minorHAnsi" w:hAnsiTheme="minorHAnsi"/>
        </w:rPr>
        <w:t>the equi-effective doses from the trial data, as calculated during the evaluation, to be the most relevant</w:t>
      </w:r>
      <w:r w:rsidR="008B3DFC" w:rsidRPr="006D49EC">
        <w:rPr>
          <w:rFonts w:asciiTheme="minorHAnsi" w:hAnsiTheme="minorHAnsi"/>
        </w:rPr>
        <w:t>; t</w:t>
      </w:r>
      <w:r w:rsidRPr="006D49EC">
        <w:rPr>
          <w:rFonts w:asciiTheme="minorHAnsi" w:hAnsiTheme="minorHAnsi"/>
        </w:rPr>
        <w:t xml:space="preserve">he equi-effective </w:t>
      </w:r>
      <w:r w:rsidR="008B3DFC" w:rsidRPr="006D49EC">
        <w:rPr>
          <w:rFonts w:asciiTheme="minorHAnsi" w:hAnsiTheme="minorHAnsi"/>
        </w:rPr>
        <w:t>doses are guanfacine 3.6mg per day (or 1.19 tablets) up to 13 weeks and atomoxetine 42.1mg per day (or 1.08 capsules) for up to 13 weeks, based on the results of Trial 316.</w:t>
      </w:r>
    </w:p>
    <w:p w:rsidR="00A37EEF" w:rsidRPr="006D49EC" w:rsidRDefault="00F02CFB"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noted the cost-utility analysis used to calculate the ICER was based on the same model used in the lisdexamfetamine submission, </w:t>
      </w:r>
      <w:r w:rsidR="00AC1EF7" w:rsidRPr="006D49EC">
        <w:rPr>
          <w:rFonts w:asciiTheme="minorHAnsi" w:hAnsiTheme="minorHAnsi"/>
        </w:rPr>
        <w:t xml:space="preserve">with some changed parameters, including the time horizon and use of remission rates rather than response rates. </w:t>
      </w:r>
      <w:r w:rsidR="00EE45AD" w:rsidRPr="006D49EC">
        <w:rPr>
          <w:rFonts w:asciiTheme="minorHAnsi" w:hAnsiTheme="minorHAnsi"/>
        </w:rPr>
        <w:t>Noting the clinician opinion at the sponsor hearing, t</w:t>
      </w:r>
      <w:r w:rsidR="00D970E8" w:rsidRPr="006D49EC">
        <w:rPr>
          <w:rFonts w:asciiTheme="minorHAnsi" w:hAnsiTheme="minorHAnsi"/>
        </w:rPr>
        <w:t>he Committee considered the use of remission rate was an appropria</w:t>
      </w:r>
      <w:r w:rsidR="0081727D" w:rsidRPr="006D49EC">
        <w:rPr>
          <w:rFonts w:asciiTheme="minorHAnsi" w:hAnsiTheme="minorHAnsi"/>
        </w:rPr>
        <w:t xml:space="preserve">te basis for the economic model, however, the PBAC noted the sensitivity of the model to the alternative base case provided by </w:t>
      </w:r>
      <w:r w:rsidR="0081727D" w:rsidRPr="00A42904">
        <w:rPr>
          <w:rFonts w:asciiTheme="minorHAnsi" w:hAnsiTheme="minorHAnsi"/>
        </w:rPr>
        <w:t>the ESC</w:t>
      </w:r>
      <w:r w:rsidR="00A37EEF" w:rsidRPr="00A42904">
        <w:rPr>
          <w:rFonts w:asciiTheme="minorHAnsi" w:hAnsiTheme="minorHAnsi"/>
        </w:rPr>
        <w:t>.</w:t>
      </w:r>
      <w:r w:rsidR="0081727D" w:rsidRPr="006D49EC">
        <w:rPr>
          <w:rFonts w:asciiTheme="minorHAnsi" w:hAnsiTheme="minorHAnsi"/>
        </w:rPr>
        <w:t xml:space="preserve"> </w:t>
      </w:r>
      <w:r w:rsidR="00A37EEF" w:rsidRPr="006D49EC">
        <w:rPr>
          <w:rFonts w:asciiTheme="minorHAnsi" w:hAnsiTheme="minorHAnsi"/>
        </w:rPr>
        <w:t>The PBAC</w:t>
      </w:r>
      <w:r w:rsidR="0081727D" w:rsidRPr="006D49EC">
        <w:rPr>
          <w:rFonts w:asciiTheme="minorHAnsi" w:hAnsiTheme="minorHAnsi"/>
        </w:rPr>
        <w:t xml:space="preserve"> considered </w:t>
      </w:r>
      <w:r w:rsidR="004A22C4">
        <w:t xml:space="preserve">the </w:t>
      </w:r>
      <w:r w:rsidR="004A22C4" w:rsidRPr="00BC06DC">
        <w:rPr>
          <w:color w:val="000000" w:themeColor="text1"/>
        </w:rPr>
        <w:t xml:space="preserve">sensitivity of the model to the outcome used </w:t>
      </w:r>
      <w:r w:rsidR="0081727D" w:rsidRPr="006D49EC">
        <w:rPr>
          <w:rFonts w:asciiTheme="minorHAnsi" w:hAnsiTheme="minorHAnsi"/>
        </w:rPr>
        <w:t xml:space="preserve">and the difficulty in containing the eligible population under the proposed restriction meant </w:t>
      </w:r>
      <w:r w:rsidR="00984196">
        <w:rPr>
          <w:rFonts w:asciiTheme="minorHAnsi" w:hAnsiTheme="minorHAnsi"/>
        </w:rPr>
        <w:t xml:space="preserve">that </w:t>
      </w:r>
      <w:r w:rsidR="0081727D" w:rsidRPr="006D49EC">
        <w:rPr>
          <w:rFonts w:asciiTheme="minorHAnsi" w:hAnsiTheme="minorHAnsi"/>
        </w:rPr>
        <w:t>overall the ICER was not acceptable at the price proposed. Even using the reduced price calculated during the evaluation from the cost-minimisation to atomoxetine, the ICER of</w:t>
      </w:r>
      <w:r w:rsidR="00D970E8" w:rsidRPr="006D49EC">
        <w:rPr>
          <w:rFonts w:asciiTheme="minorHAnsi" w:hAnsiTheme="minorHAnsi"/>
        </w:rPr>
        <w:t xml:space="preserve"> </w:t>
      </w:r>
      <w:r w:rsidR="004440CC">
        <w:rPr>
          <w:rFonts w:asciiTheme="minorHAnsi" w:hAnsiTheme="minorHAnsi"/>
        </w:rPr>
        <w:t>$45,000</w:t>
      </w:r>
      <w:r w:rsidR="00A42904">
        <w:rPr>
          <w:rFonts w:asciiTheme="minorHAnsi" w:hAnsiTheme="minorHAnsi"/>
        </w:rPr>
        <w:t>/</w:t>
      </w:r>
      <w:r w:rsidR="00A42904" w:rsidRPr="006D49EC">
        <w:rPr>
          <w:rFonts w:asciiTheme="minorHAnsi" w:hAnsiTheme="minorHAnsi"/>
        </w:rPr>
        <w:t>QALY</w:t>
      </w:r>
      <w:r w:rsidR="004440CC">
        <w:rPr>
          <w:rFonts w:asciiTheme="minorHAnsi" w:hAnsiTheme="minorHAnsi"/>
        </w:rPr>
        <w:t>-$75,0000</w:t>
      </w:r>
      <w:r w:rsidR="00A42904">
        <w:rPr>
          <w:rFonts w:asciiTheme="minorHAnsi" w:hAnsiTheme="minorHAnsi"/>
        </w:rPr>
        <w:t>/</w:t>
      </w:r>
      <w:r w:rsidR="00A42904" w:rsidRPr="00A42904">
        <w:rPr>
          <w:rFonts w:asciiTheme="minorHAnsi" w:hAnsiTheme="minorHAnsi"/>
        </w:rPr>
        <w:t xml:space="preserve"> </w:t>
      </w:r>
      <w:r w:rsidR="00A42904" w:rsidRPr="006D49EC">
        <w:rPr>
          <w:rFonts w:asciiTheme="minorHAnsi" w:hAnsiTheme="minorHAnsi"/>
        </w:rPr>
        <w:t xml:space="preserve">QALY </w:t>
      </w:r>
      <w:r w:rsidR="0081727D" w:rsidRPr="006D49EC">
        <w:rPr>
          <w:rFonts w:asciiTheme="minorHAnsi" w:hAnsiTheme="minorHAnsi"/>
        </w:rPr>
        <w:t xml:space="preserve">was considered uncertain and unacceptable. </w:t>
      </w:r>
    </w:p>
    <w:p w:rsidR="00A37EEF" w:rsidRPr="006D49EC" w:rsidRDefault="00BD47A7"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considered that the </w:t>
      </w:r>
      <w:r w:rsidR="00A663C8" w:rsidRPr="006D49EC">
        <w:rPr>
          <w:rFonts w:asciiTheme="minorHAnsi" w:hAnsiTheme="minorHAnsi"/>
        </w:rPr>
        <w:t>utilisation and financial estimates were probably underestimated, and was concerned that how guanfacine would be used in practice was unclear. In particular, the PBAC noted that the dose titration period was not accounted for in the estimates, and the different adverse event profiles of guanfacine and atomoxetine created uncertainty around substitution and use of these therapies in practice.</w:t>
      </w:r>
      <w:r w:rsidR="00A37EEF" w:rsidRPr="006D49EC">
        <w:rPr>
          <w:rFonts w:asciiTheme="minorHAnsi" w:hAnsiTheme="minorHAnsi"/>
        </w:rPr>
        <w:t xml:space="preserve">  As an add-on to stimulants, the PBAC considered the assumption of </w:t>
      </w:r>
      <w:r w:rsidR="005D2D8A">
        <w:rPr>
          <w:rFonts w:asciiTheme="minorHAnsi" w:hAnsiTheme="minorHAnsi"/>
          <w:noProof/>
          <w:color w:val="000000"/>
          <w:highlight w:val="black"/>
        </w:rPr>
        <w:t>'''''</w:t>
      </w:r>
      <w:r w:rsidR="00A37EEF" w:rsidRPr="006D49EC">
        <w:rPr>
          <w:rFonts w:asciiTheme="minorHAnsi" w:hAnsiTheme="minorHAnsi"/>
        </w:rPr>
        <w:t>% of patients currently taking stimulants achieving a suboptimal response may be reasonable, but would likely underestimate uptake given the clinician discretion is assessing when the response is inadequate and stimulant use is optimal.</w:t>
      </w:r>
    </w:p>
    <w:p w:rsidR="00B24C96" w:rsidRPr="006D49EC" w:rsidRDefault="00A849EE"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considered that a minor submission with a lower price </w:t>
      </w:r>
      <w:r w:rsidR="00E46C5D" w:rsidRPr="006D49EC">
        <w:rPr>
          <w:rFonts w:asciiTheme="minorHAnsi" w:hAnsiTheme="minorHAnsi"/>
        </w:rPr>
        <w:t xml:space="preserve">with no other amendments to the economic model </w:t>
      </w:r>
      <w:r w:rsidRPr="006D49EC">
        <w:rPr>
          <w:rFonts w:asciiTheme="minorHAnsi" w:hAnsiTheme="minorHAnsi"/>
        </w:rPr>
        <w:t xml:space="preserve">for the </w:t>
      </w:r>
      <w:r w:rsidR="00E46C5D" w:rsidRPr="006D49EC">
        <w:rPr>
          <w:rFonts w:asciiTheme="minorHAnsi" w:hAnsiTheme="minorHAnsi"/>
        </w:rPr>
        <w:t>adjunctive</w:t>
      </w:r>
      <w:r w:rsidRPr="006D49EC">
        <w:rPr>
          <w:rFonts w:asciiTheme="minorHAnsi" w:hAnsiTheme="minorHAnsi"/>
        </w:rPr>
        <w:t xml:space="preserve"> therapy indication for patients who have an inadequate response to stimulant therapy would be required to address the issue of </w:t>
      </w:r>
      <w:r w:rsidR="00E46C5D" w:rsidRPr="006D49EC">
        <w:rPr>
          <w:rFonts w:asciiTheme="minorHAnsi" w:hAnsiTheme="minorHAnsi"/>
        </w:rPr>
        <w:t>uncertain</w:t>
      </w:r>
      <w:r w:rsidRPr="006D49EC">
        <w:rPr>
          <w:rFonts w:asciiTheme="minorHAnsi" w:hAnsiTheme="minorHAnsi"/>
        </w:rPr>
        <w:t xml:space="preserve"> cost-effectiveness in this population. The PBAC also considered that as this would likely result in a weighted price scenario for the listings of guanfacine, that new financial estimates would be required as part of any resubmission.</w:t>
      </w:r>
      <w:r w:rsidR="00E46C5D" w:rsidRPr="006D49EC">
        <w:rPr>
          <w:rFonts w:asciiTheme="minorHAnsi" w:hAnsiTheme="minorHAnsi"/>
        </w:rPr>
        <w:t xml:space="preserve"> </w:t>
      </w:r>
    </w:p>
    <w:p w:rsidR="00913660" w:rsidRPr="006D49EC" w:rsidRDefault="00913660" w:rsidP="00B24C96">
      <w:pPr>
        <w:pStyle w:val="ListParagraph"/>
        <w:widowControl/>
        <w:numPr>
          <w:ilvl w:val="1"/>
          <w:numId w:val="3"/>
        </w:numPr>
        <w:contextualSpacing w:val="0"/>
        <w:rPr>
          <w:rFonts w:asciiTheme="minorHAnsi" w:hAnsiTheme="minorHAnsi"/>
        </w:rPr>
      </w:pPr>
      <w:r w:rsidRPr="006D49EC">
        <w:rPr>
          <w:rFonts w:asciiTheme="minorHAnsi" w:hAnsiTheme="minorHAnsi"/>
        </w:rPr>
        <w:t>The PBAC advised that guanfacine should not be treated as interchangeable on an individual basis with any other drugs.</w:t>
      </w:r>
    </w:p>
    <w:p w:rsidR="00B24C96" w:rsidRPr="006D49EC" w:rsidRDefault="00B24C96"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advised that </w:t>
      </w:r>
      <w:r w:rsidR="00913660" w:rsidRPr="006D49EC">
        <w:rPr>
          <w:rFonts w:asciiTheme="minorHAnsi" w:hAnsiTheme="minorHAnsi"/>
        </w:rPr>
        <w:t>guanfacine</w:t>
      </w:r>
      <w:r w:rsidRPr="006D49EC">
        <w:rPr>
          <w:rFonts w:asciiTheme="minorHAnsi" w:hAnsiTheme="minorHAnsi"/>
        </w:rPr>
        <w:t xml:space="preserve"> is not suitable for prescribing by nurse practitioners.  </w:t>
      </w:r>
    </w:p>
    <w:p w:rsidR="00B24C96" w:rsidRPr="006D49EC" w:rsidRDefault="00B24C96" w:rsidP="00B24C96">
      <w:pPr>
        <w:pStyle w:val="ListParagraph"/>
        <w:widowControl/>
        <w:numPr>
          <w:ilvl w:val="1"/>
          <w:numId w:val="3"/>
        </w:numPr>
        <w:contextualSpacing w:val="0"/>
        <w:rPr>
          <w:rFonts w:asciiTheme="minorHAnsi" w:hAnsiTheme="minorHAnsi"/>
        </w:rPr>
      </w:pPr>
      <w:r w:rsidRPr="006D49EC">
        <w:rPr>
          <w:rFonts w:asciiTheme="minorHAnsi" w:hAnsiTheme="minorHAnsi"/>
        </w:rPr>
        <w:t xml:space="preserve">The PBAC recommended that the Early Supply Rule should apply. </w:t>
      </w:r>
    </w:p>
    <w:p w:rsidR="00B24C96" w:rsidRPr="006D49EC" w:rsidRDefault="00B24C96" w:rsidP="00954D31">
      <w:pPr>
        <w:pStyle w:val="ListParagraph"/>
        <w:widowControl/>
        <w:numPr>
          <w:ilvl w:val="1"/>
          <w:numId w:val="3"/>
        </w:numPr>
        <w:contextualSpacing w:val="0"/>
        <w:rPr>
          <w:rFonts w:asciiTheme="minorHAnsi" w:hAnsiTheme="minorHAnsi"/>
          <w:bCs/>
          <w:szCs w:val="24"/>
        </w:rPr>
      </w:pPr>
      <w:r w:rsidRPr="006D49EC">
        <w:rPr>
          <w:rFonts w:asciiTheme="minorHAnsi" w:hAnsiTheme="minorHAnsi"/>
        </w:rPr>
        <w:t>The PBAC noted that this submission is not eligible for an Independent Review</w:t>
      </w:r>
      <w:r w:rsidR="00954D31" w:rsidRPr="006D49EC">
        <w:rPr>
          <w:rFonts w:asciiTheme="minorHAnsi" w:hAnsiTheme="minorHAnsi"/>
        </w:rPr>
        <w:t xml:space="preserve"> as it received a positive recommendation.</w:t>
      </w:r>
    </w:p>
    <w:p w:rsidR="00B24C96" w:rsidRPr="006D49EC" w:rsidRDefault="00B24C96" w:rsidP="00B24C96">
      <w:pPr>
        <w:rPr>
          <w:rFonts w:asciiTheme="minorHAnsi" w:hAnsiTheme="minorHAnsi"/>
          <w:b/>
          <w:bCs/>
          <w:sz w:val="24"/>
          <w:szCs w:val="24"/>
        </w:rPr>
      </w:pPr>
    </w:p>
    <w:p w:rsidR="00B24C96" w:rsidRPr="006D49EC" w:rsidRDefault="00B24C96" w:rsidP="00B24C96">
      <w:pPr>
        <w:pStyle w:val="Heading3"/>
      </w:pPr>
      <w:r w:rsidRPr="006D49EC">
        <w:t>Outcome:</w:t>
      </w:r>
    </w:p>
    <w:p w:rsidR="00B24C96" w:rsidRPr="006D49EC" w:rsidRDefault="00B24C96" w:rsidP="00B24C96">
      <w:pPr>
        <w:rPr>
          <w:rFonts w:asciiTheme="minorHAnsi" w:hAnsiTheme="minorHAnsi"/>
          <w:bCs/>
          <w:sz w:val="24"/>
          <w:szCs w:val="24"/>
        </w:rPr>
      </w:pPr>
      <w:r w:rsidRPr="006D49EC">
        <w:rPr>
          <w:rFonts w:asciiTheme="minorHAnsi" w:hAnsiTheme="minorHAnsi"/>
          <w:bCs/>
          <w:sz w:val="24"/>
          <w:szCs w:val="24"/>
        </w:rPr>
        <w:t>Recommended</w:t>
      </w:r>
      <w:r w:rsidR="00731A01" w:rsidRPr="006D49EC">
        <w:rPr>
          <w:rFonts w:asciiTheme="minorHAnsi" w:hAnsiTheme="minorHAnsi"/>
          <w:bCs/>
          <w:sz w:val="24"/>
          <w:szCs w:val="24"/>
        </w:rPr>
        <w:t xml:space="preserve"> – Patients contraindicated or intolerant to stimulant therapy</w:t>
      </w:r>
    </w:p>
    <w:p w:rsidR="00731A01" w:rsidRPr="006D49EC" w:rsidRDefault="00731A01" w:rsidP="00B24C96">
      <w:pPr>
        <w:rPr>
          <w:rFonts w:asciiTheme="minorHAnsi" w:hAnsiTheme="minorHAnsi"/>
          <w:bCs/>
          <w:sz w:val="24"/>
          <w:szCs w:val="24"/>
        </w:rPr>
      </w:pPr>
    </w:p>
    <w:p w:rsidR="00731A01" w:rsidRPr="006D49EC" w:rsidRDefault="00731A01" w:rsidP="00B24C96">
      <w:pPr>
        <w:rPr>
          <w:rFonts w:asciiTheme="minorHAnsi" w:hAnsiTheme="minorHAnsi"/>
          <w:bCs/>
          <w:sz w:val="24"/>
          <w:szCs w:val="24"/>
        </w:rPr>
      </w:pPr>
      <w:r w:rsidRPr="006D49EC">
        <w:rPr>
          <w:rFonts w:asciiTheme="minorHAnsi" w:hAnsiTheme="minorHAnsi"/>
          <w:bCs/>
          <w:sz w:val="24"/>
          <w:szCs w:val="24"/>
        </w:rPr>
        <w:t>Rejected – Add-on or monotherapy in patients w</w:t>
      </w:r>
      <w:r w:rsidR="00A0678F" w:rsidRPr="006D49EC">
        <w:rPr>
          <w:rFonts w:asciiTheme="minorHAnsi" w:hAnsiTheme="minorHAnsi"/>
          <w:bCs/>
          <w:sz w:val="24"/>
          <w:szCs w:val="24"/>
        </w:rPr>
        <w:t xml:space="preserve">ho have </w:t>
      </w:r>
      <w:r w:rsidR="00A849EE" w:rsidRPr="006D49EC">
        <w:rPr>
          <w:rFonts w:asciiTheme="minorHAnsi" w:hAnsiTheme="minorHAnsi"/>
          <w:bCs/>
          <w:sz w:val="24"/>
          <w:szCs w:val="24"/>
        </w:rPr>
        <w:t>an</w:t>
      </w:r>
      <w:r w:rsidRPr="006D49EC">
        <w:rPr>
          <w:rFonts w:asciiTheme="minorHAnsi" w:hAnsiTheme="minorHAnsi"/>
          <w:bCs/>
          <w:sz w:val="24"/>
          <w:szCs w:val="24"/>
        </w:rPr>
        <w:t xml:space="preserve"> </w:t>
      </w:r>
      <w:r w:rsidR="00A849EE" w:rsidRPr="006D49EC">
        <w:rPr>
          <w:rFonts w:asciiTheme="minorHAnsi" w:hAnsiTheme="minorHAnsi"/>
          <w:bCs/>
          <w:sz w:val="24"/>
          <w:szCs w:val="24"/>
        </w:rPr>
        <w:t>in</w:t>
      </w:r>
      <w:r w:rsidRPr="006D49EC">
        <w:rPr>
          <w:rFonts w:asciiTheme="minorHAnsi" w:hAnsiTheme="minorHAnsi"/>
          <w:bCs/>
          <w:sz w:val="24"/>
          <w:szCs w:val="24"/>
        </w:rPr>
        <w:t>adequate response to stimulants</w:t>
      </w:r>
    </w:p>
    <w:p w:rsidR="00BC06DC" w:rsidRPr="006D49EC" w:rsidRDefault="00BC06DC" w:rsidP="00B24C96">
      <w:pPr>
        <w:rPr>
          <w:rFonts w:asciiTheme="minorHAnsi" w:hAnsiTheme="minorHAnsi"/>
          <w:b/>
          <w:bCs/>
          <w:sz w:val="24"/>
          <w:szCs w:val="24"/>
        </w:rPr>
      </w:pPr>
    </w:p>
    <w:p w:rsidR="00B24C96" w:rsidRPr="006D49EC" w:rsidRDefault="00B24C96" w:rsidP="00B24C96">
      <w:pPr>
        <w:pStyle w:val="Heading2"/>
        <w:rPr>
          <w:i/>
        </w:rPr>
      </w:pPr>
      <w:r w:rsidRPr="006D49EC">
        <w:t>Recommended listing</w:t>
      </w:r>
    </w:p>
    <w:p w:rsidR="00B24C96" w:rsidRPr="006D49EC" w:rsidRDefault="00B24C96" w:rsidP="00B24C96">
      <w:pPr>
        <w:rPr>
          <w:rFonts w:asciiTheme="minorHAnsi" w:hAnsiTheme="minorHAnsi"/>
          <w:b/>
          <w:bCs/>
          <w:i/>
          <w:sz w:val="24"/>
          <w:szCs w:val="24"/>
        </w:rPr>
      </w:pPr>
    </w:p>
    <w:p w:rsidR="00B24C96" w:rsidRPr="006D49EC" w:rsidRDefault="00B24C96" w:rsidP="00185E82">
      <w:pPr>
        <w:pStyle w:val="ListParagraph"/>
        <w:widowControl/>
        <w:numPr>
          <w:ilvl w:val="1"/>
          <w:numId w:val="3"/>
        </w:numPr>
        <w:contextualSpacing w:val="0"/>
        <w:rPr>
          <w:rFonts w:asciiTheme="minorHAnsi" w:hAnsiTheme="minorHAnsi"/>
          <w:b/>
          <w:bCs/>
          <w:szCs w:val="24"/>
        </w:rPr>
      </w:pPr>
      <w:r w:rsidRPr="006D49EC">
        <w:rPr>
          <w:rFonts w:asciiTheme="minorHAnsi" w:hAnsiTheme="minorHAnsi"/>
          <w:bCs/>
          <w:szCs w:val="24"/>
        </w:rPr>
        <w:t>Add new item:</w:t>
      </w:r>
    </w:p>
    <w:tbl>
      <w:tblPr>
        <w:tblW w:w="5000" w:type="pct"/>
        <w:tblCellMar>
          <w:left w:w="28" w:type="dxa"/>
          <w:right w:w="28" w:type="dxa"/>
        </w:tblCellMar>
        <w:tblLook w:val="0000" w:firstRow="0" w:lastRow="0" w:firstColumn="0" w:lastColumn="0" w:noHBand="0" w:noVBand="0"/>
      </w:tblPr>
      <w:tblGrid>
        <w:gridCol w:w="27"/>
        <w:gridCol w:w="3255"/>
        <w:gridCol w:w="432"/>
        <w:gridCol w:w="527"/>
        <w:gridCol w:w="903"/>
        <w:gridCol w:w="1137"/>
        <w:gridCol w:w="2801"/>
      </w:tblGrid>
      <w:tr w:rsidR="00185E82" w:rsidRPr="006D49EC" w:rsidTr="00DE000B">
        <w:trPr>
          <w:cantSplit/>
          <w:trHeight w:val="471"/>
        </w:trPr>
        <w:tc>
          <w:tcPr>
            <w:tcW w:w="2045" w:type="pct"/>
            <w:gridSpan w:val="3"/>
            <w:tcBorders>
              <w:bottom w:val="single" w:sz="4" w:space="0" w:color="auto"/>
            </w:tcBorders>
          </w:tcPr>
          <w:p w:rsidR="00185E82" w:rsidRPr="006D49EC" w:rsidRDefault="00185E82" w:rsidP="00857ABC">
            <w:pPr>
              <w:keepNext/>
              <w:rPr>
                <w:rFonts w:asciiTheme="minorHAnsi" w:hAnsiTheme="minorHAnsi"/>
                <w:sz w:val="20"/>
              </w:rPr>
            </w:pPr>
            <w:r w:rsidRPr="006D49EC">
              <w:rPr>
                <w:rFonts w:asciiTheme="minorHAnsi" w:hAnsiTheme="minorHAnsi"/>
                <w:sz w:val="20"/>
              </w:rPr>
              <w:t>Name, Restriction,</w:t>
            </w:r>
          </w:p>
          <w:p w:rsidR="00185E82" w:rsidRPr="006D49EC" w:rsidRDefault="00185E82" w:rsidP="00857ABC">
            <w:pPr>
              <w:keepNext/>
              <w:rPr>
                <w:rFonts w:asciiTheme="minorHAnsi" w:hAnsiTheme="minorHAnsi"/>
                <w:sz w:val="20"/>
              </w:rPr>
            </w:pPr>
            <w:r w:rsidRPr="006D49EC">
              <w:rPr>
                <w:rFonts w:asciiTheme="minorHAnsi" w:hAnsiTheme="minorHAnsi"/>
                <w:sz w:val="20"/>
              </w:rPr>
              <w:t>Manner of administration and form</w:t>
            </w:r>
          </w:p>
        </w:tc>
        <w:tc>
          <w:tcPr>
            <w:tcW w:w="290" w:type="pct"/>
            <w:tcBorders>
              <w:bottom w:val="single" w:sz="4" w:space="0" w:color="auto"/>
            </w:tcBorders>
          </w:tcPr>
          <w:p w:rsidR="00185E82" w:rsidRPr="006D49EC" w:rsidRDefault="00185E82" w:rsidP="00857ABC">
            <w:pPr>
              <w:keepNext/>
              <w:jc w:val="center"/>
              <w:rPr>
                <w:rFonts w:asciiTheme="minorHAnsi" w:hAnsiTheme="minorHAnsi"/>
                <w:sz w:val="20"/>
              </w:rPr>
            </w:pPr>
            <w:r w:rsidRPr="006D49EC">
              <w:rPr>
                <w:rFonts w:asciiTheme="minorHAnsi" w:hAnsiTheme="minorHAnsi"/>
                <w:sz w:val="20"/>
              </w:rPr>
              <w:t>Max.</w:t>
            </w:r>
          </w:p>
          <w:p w:rsidR="00185E82" w:rsidRPr="006D49EC" w:rsidRDefault="00185E82" w:rsidP="00857ABC">
            <w:pPr>
              <w:keepNext/>
              <w:jc w:val="center"/>
              <w:rPr>
                <w:rFonts w:asciiTheme="minorHAnsi" w:hAnsiTheme="minorHAnsi"/>
                <w:sz w:val="20"/>
              </w:rPr>
            </w:pPr>
            <w:r w:rsidRPr="006D49EC">
              <w:rPr>
                <w:rFonts w:asciiTheme="minorHAnsi" w:hAnsiTheme="minorHAnsi"/>
                <w:sz w:val="20"/>
              </w:rPr>
              <w:t>Qty</w:t>
            </w:r>
          </w:p>
        </w:tc>
        <w:tc>
          <w:tcPr>
            <w:tcW w:w="497" w:type="pct"/>
            <w:tcBorders>
              <w:bottom w:val="single" w:sz="4" w:space="0" w:color="auto"/>
            </w:tcBorders>
          </w:tcPr>
          <w:p w:rsidR="00185E82" w:rsidRPr="006D49EC" w:rsidRDefault="00185E82" w:rsidP="00857ABC">
            <w:pPr>
              <w:keepNext/>
              <w:jc w:val="center"/>
              <w:rPr>
                <w:rFonts w:asciiTheme="minorHAnsi" w:hAnsiTheme="minorHAnsi"/>
                <w:sz w:val="20"/>
              </w:rPr>
            </w:pPr>
            <w:r w:rsidRPr="006D49EC">
              <w:rPr>
                <w:rFonts w:asciiTheme="minorHAnsi" w:hAnsiTheme="minorHAnsi"/>
                <w:sz w:val="20"/>
              </w:rPr>
              <w:t>№.of</w:t>
            </w:r>
          </w:p>
          <w:p w:rsidR="00185E82" w:rsidRPr="006D49EC" w:rsidRDefault="00185E82" w:rsidP="00857ABC">
            <w:pPr>
              <w:keepNext/>
              <w:jc w:val="center"/>
              <w:rPr>
                <w:rFonts w:asciiTheme="minorHAnsi" w:hAnsiTheme="minorHAnsi"/>
                <w:sz w:val="20"/>
              </w:rPr>
            </w:pPr>
            <w:r w:rsidRPr="006D49EC">
              <w:rPr>
                <w:rFonts w:asciiTheme="minorHAnsi" w:hAnsiTheme="minorHAnsi"/>
                <w:sz w:val="20"/>
              </w:rPr>
              <w:t>Rpts</w:t>
            </w:r>
          </w:p>
        </w:tc>
        <w:tc>
          <w:tcPr>
            <w:tcW w:w="2168" w:type="pct"/>
            <w:gridSpan w:val="2"/>
            <w:tcBorders>
              <w:bottom w:val="single" w:sz="4" w:space="0" w:color="auto"/>
            </w:tcBorders>
          </w:tcPr>
          <w:p w:rsidR="00185E82" w:rsidRPr="006D49EC" w:rsidRDefault="00185E82" w:rsidP="00857ABC">
            <w:pPr>
              <w:keepNext/>
              <w:jc w:val="center"/>
              <w:rPr>
                <w:rFonts w:asciiTheme="minorHAnsi" w:hAnsiTheme="minorHAnsi"/>
                <w:sz w:val="20"/>
              </w:rPr>
            </w:pPr>
            <w:r w:rsidRPr="006D49EC">
              <w:rPr>
                <w:rFonts w:asciiTheme="minorHAnsi" w:hAnsiTheme="minorHAnsi"/>
                <w:sz w:val="20"/>
              </w:rPr>
              <w:t>Proprietary Name and Manufacturer</w:t>
            </w:r>
          </w:p>
        </w:tc>
      </w:tr>
      <w:tr w:rsidR="00185E82" w:rsidRPr="006D49EC" w:rsidTr="00DE000B">
        <w:trPr>
          <w:cantSplit/>
          <w:trHeight w:val="577"/>
        </w:trPr>
        <w:tc>
          <w:tcPr>
            <w:tcW w:w="2045" w:type="pct"/>
            <w:gridSpan w:val="3"/>
          </w:tcPr>
          <w:p w:rsidR="00185E82" w:rsidRPr="006D49EC" w:rsidRDefault="00185E82" w:rsidP="00857ABC">
            <w:pPr>
              <w:keepNext/>
              <w:rPr>
                <w:rFonts w:asciiTheme="minorHAnsi" w:hAnsiTheme="minorHAnsi"/>
                <w:sz w:val="20"/>
              </w:rPr>
            </w:pPr>
            <w:r w:rsidRPr="006D49EC">
              <w:rPr>
                <w:rFonts w:asciiTheme="minorHAnsi" w:hAnsiTheme="minorHAnsi"/>
                <w:smallCaps/>
                <w:sz w:val="20"/>
              </w:rPr>
              <w:t>GUANFACINE</w:t>
            </w:r>
          </w:p>
          <w:p w:rsidR="00185E82" w:rsidRPr="006D49EC" w:rsidRDefault="00185E82" w:rsidP="00857ABC">
            <w:pPr>
              <w:keepNext/>
              <w:rPr>
                <w:rFonts w:asciiTheme="minorHAnsi" w:hAnsiTheme="minorHAnsi"/>
                <w:sz w:val="20"/>
              </w:rPr>
            </w:pPr>
            <w:r w:rsidRPr="006D49EC">
              <w:rPr>
                <w:rFonts w:asciiTheme="minorHAnsi" w:hAnsiTheme="minorHAnsi"/>
                <w:sz w:val="20"/>
              </w:rPr>
              <w:t>Tablet containing guanfacine hydrochloride 1 mg, 28</w:t>
            </w:r>
          </w:p>
          <w:p w:rsidR="00185E82" w:rsidRPr="006D49EC" w:rsidRDefault="00185E82" w:rsidP="00857ABC">
            <w:pPr>
              <w:keepNext/>
              <w:rPr>
                <w:rFonts w:asciiTheme="minorHAnsi" w:hAnsiTheme="minorHAnsi"/>
                <w:sz w:val="20"/>
              </w:rPr>
            </w:pPr>
            <w:r w:rsidRPr="006D49EC">
              <w:rPr>
                <w:rFonts w:asciiTheme="minorHAnsi" w:hAnsiTheme="minorHAnsi"/>
                <w:sz w:val="20"/>
              </w:rPr>
              <w:t>Tablet containing guanfacine hydrochloride 2 mg, 28</w:t>
            </w:r>
          </w:p>
          <w:p w:rsidR="00185E82" w:rsidRPr="006D49EC" w:rsidRDefault="00185E82" w:rsidP="00857ABC">
            <w:pPr>
              <w:keepNext/>
              <w:rPr>
                <w:rFonts w:asciiTheme="minorHAnsi" w:hAnsiTheme="minorHAnsi"/>
                <w:sz w:val="20"/>
              </w:rPr>
            </w:pPr>
            <w:r w:rsidRPr="006D49EC">
              <w:rPr>
                <w:rFonts w:asciiTheme="minorHAnsi" w:hAnsiTheme="minorHAnsi"/>
                <w:sz w:val="20"/>
              </w:rPr>
              <w:t>Tablet containing guanfacine hydrochloride 3 mg, 28</w:t>
            </w:r>
          </w:p>
          <w:p w:rsidR="00185E82" w:rsidRPr="006D49EC" w:rsidRDefault="00185E82" w:rsidP="00857ABC">
            <w:pPr>
              <w:keepNext/>
              <w:rPr>
                <w:rFonts w:asciiTheme="minorHAnsi" w:hAnsiTheme="minorHAnsi"/>
                <w:sz w:val="20"/>
              </w:rPr>
            </w:pPr>
            <w:r w:rsidRPr="006D49EC">
              <w:rPr>
                <w:rFonts w:asciiTheme="minorHAnsi" w:hAnsiTheme="minorHAnsi"/>
                <w:sz w:val="20"/>
              </w:rPr>
              <w:t>Tablet containing guanfacine hydrochloride 4 mg, 28</w:t>
            </w:r>
          </w:p>
        </w:tc>
        <w:tc>
          <w:tcPr>
            <w:tcW w:w="290" w:type="pct"/>
          </w:tcPr>
          <w:p w:rsidR="00185E82" w:rsidRPr="006D49EC" w:rsidRDefault="00185E82" w:rsidP="00857ABC">
            <w:pPr>
              <w:keepNext/>
              <w:jc w:val="center"/>
              <w:rPr>
                <w:rFonts w:asciiTheme="minorHAnsi" w:hAnsiTheme="minorHAnsi"/>
                <w:sz w:val="20"/>
              </w:rPr>
            </w:pPr>
          </w:p>
          <w:p w:rsidR="00185E82" w:rsidRPr="00A42904" w:rsidRDefault="00185E82" w:rsidP="00857ABC">
            <w:pPr>
              <w:keepNext/>
              <w:jc w:val="center"/>
              <w:rPr>
                <w:rFonts w:asciiTheme="minorHAnsi" w:hAnsiTheme="minorHAnsi"/>
                <w:sz w:val="20"/>
              </w:rPr>
            </w:pPr>
            <w:r w:rsidRPr="00A42904">
              <w:rPr>
                <w:rFonts w:asciiTheme="minorHAnsi" w:hAnsiTheme="minorHAnsi"/>
                <w:sz w:val="20"/>
              </w:rPr>
              <w:t>1</w:t>
            </w:r>
          </w:p>
          <w:p w:rsidR="00185E82" w:rsidRPr="00A42904" w:rsidRDefault="00185E82" w:rsidP="00857ABC">
            <w:pPr>
              <w:keepNext/>
              <w:jc w:val="center"/>
              <w:rPr>
                <w:rFonts w:asciiTheme="minorHAnsi" w:hAnsiTheme="minorHAnsi"/>
                <w:sz w:val="20"/>
              </w:rPr>
            </w:pPr>
          </w:p>
          <w:p w:rsidR="00185E82" w:rsidRPr="00A42904" w:rsidRDefault="00185E82" w:rsidP="00857ABC">
            <w:pPr>
              <w:keepNext/>
              <w:jc w:val="center"/>
              <w:rPr>
                <w:rFonts w:asciiTheme="minorHAnsi" w:hAnsiTheme="minorHAnsi"/>
                <w:sz w:val="20"/>
              </w:rPr>
            </w:pPr>
            <w:r w:rsidRPr="00A42904">
              <w:rPr>
                <w:rFonts w:asciiTheme="minorHAnsi" w:hAnsiTheme="minorHAnsi"/>
                <w:sz w:val="20"/>
              </w:rPr>
              <w:t>1</w:t>
            </w:r>
          </w:p>
          <w:p w:rsidR="00185E82" w:rsidRPr="00A42904" w:rsidRDefault="00185E82" w:rsidP="00857ABC">
            <w:pPr>
              <w:keepNext/>
              <w:jc w:val="center"/>
              <w:rPr>
                <w:rFonts w:asciiTheme="minorHAnsi" w:hAnsiTheme="minorHAnsi"/>
                <w:sz w:val="20"/>
              </w:rPr>
            </w:pPr>
          </w:p>
          <w:p w:rsidR="00185E82" w:rsidRPr="00A42904" w:rsidRDefault="00185E82" w:rsidP="00857ABC">
            <w:pPr>
              <w:keepNext/>
              <w:jc w:val="center"/>
              <w:rPr>
                <w:rFonts w:asciiTheme="minorHAnsi" w:hAnsiTheme="minorHAnsi"/>
                <w:sz w:val="20"/>
              </w:rPr>
            </w:pPr>
            <w:r w:rsidRPr="00A42904">
              <w:rPr>
                <w:rFonts w:asciiTheme="minorHAnsi" w:hAnsiTheme="minorHAnsi"/>
                <w:sz w:val="20"/>
              </w:rPr>
              <w:t>1</w:t>
            </w:r>
          </w:p>
          <w:p w:rsidR="00185E82" w:rsidRPr="00A42904"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r w:rsidRPr="00A42904">
              <w:rPr>
                <w:rFonts w:asciiTheme="minorHAnsi" w:hAnsiTheme="minorHAnsi"/>
                <w:sz w:val="20"/>
              </w:rPr>
              <w:t>1</w:t>
            </w:r>
          </w:p>
        </w:tc>
        <w:tc>
          <w:tcPr>
            <w:tcW w:w="497" w:type="pct"/>
          </w:tcPr>
          <w:p w:rsidR="00185E82" w:rsidRPr="006D49EC" w:rsidRDefault="00185E82" w:rsidP="00857ABC">
            <w:pPr>
              <w:keepNext/>
              <w:jc w:val="center"/>
              <w:rPr>
                <w:rFonts w:asciiTheme="minorHAnsi" w:hAnsiTheme="minorHAnsi"/>
                <w:sz w:val="20"/>
              </w:rPr>
            </w:pPr>
          </w:p>
          <w:p w:rsidR="00185E82" w:rsidRPr="00A42904" w:rsidRDefault="00185E82" w:rsidP="00857ABC">
            <w:pPr>
              <w:keepNext/>
              <w:jc w:val="center"/>
              <w:rPr>
                <w:rFonts w:asciiTheme="minorHAnsi" w:hAnsiTheme="minorHAnsi"/>
                <w:sz w:val="20"/>
              </w:rPr>
            </w:pPr>
            <w:r w:rsidRPr="00A42904">
              <w:rPr>
                <w:rFonts w:asciiTheme="minorHAnsi" w:hAnsiTheme="minorHAnsi"/>
                <w:sz w:val="20"/>
              </w:rPr>
              <w:t>5</w:t>
            </w:r>
          </w:p>
          <w:p w:rsidR="00185E82" w:rsidRPr="00A42904" w:rsidRDefault="00185E82" w:rsidP="00857ABC">
            <w:pPr>
              <w:keepNext/>
              <w:jc w:val="center"/>
              <w:rPr>
                <w:rFonts w:asciiTheme="minorHAnsi" w:hAnsiTheme="minorHAnsi"/>
                <w:sz w:val="20"/>
              </w:rPr>
            </w:pPr>
          </w:p>
          <w:p w:rsidR="00185E82" w:rsidRPr="00A42904" w:rsidRDefault="00185E82" w:rsidP="00857ABC">
            <w:pPr>
              <w:keepNext/>
              <w:jc w:val="center"/>
              <w:rPr>
                <w:rFonts w:asciiTheme="minorHAnsi" w:hAnsiTheme="minorHAnsi"/>
                <w:sz w:val="20"/>
              </w:rPr>
            </w:pPr>
            <w:r w:rsidRPr="00A42904">
              <w:rPr>
                <w:rFonts w:asciiTheme="minorHAnsi" w:hAnsiTheme="minorHAnsi"/>
                <w:sz w:val="20"/>
              </w:rPr>
              <w:t>5</w:t>
            </w:r>
          </w:p>
          <w:p w:rsidR="00185E82" w:rsidRPr="00A42904" w:rsidRDefault="00185E82" w:rsidP="00857ABC">
            <w:pPr>
              <w:keepNext/>
              <w:jc w:val="center"/>
              <w:rPr>
                <w:rFonts w:asciiTheme="minorHAnsi" w:hAnsiTheme="minorHAnsi"/>
                <w:sz w:val="20"/>
              </w:rPr>
            </w:pPr>
          </w:p>
          <w:p w:rsidR="00185E82" w:rsidRPr="00A42904" w:rsidRDefault="00185E82" w:rsidP="00857ABC">
            <w:pPr>
              <w:keepNext/>
              <w:jc w:val="center"/>
              <w:rPr>
                <w:rFonts w:asciiTheme="minorHAnsi" w:hAnsiTheme="minorHAnsi"/>
                <w:sz w:val="20"/>
              </w:rPr>
            </w:pPr>
            <w:r w:rsidRPr="00A42904">
              <w:rPr>
                <w:rFonts w:asciiTheme="minorHAnsi" w:hAnsiTheme="minorHAnsi"/>
                <w:sz w:val="20"/>
              </w:rPr>
              <w:t>5</w:t>
            </w:r>
          </w:p>
          <w:p w:rsidR="00185E82" w:rsidRPr="00A42904"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r w:rsidRPr="00A42904">
              <w:rPr>
                <w:rFonts w:asciiTheme="minorHAnsi" w:hAnsiTheme="minorHAnsi"/>
                <w:sz w:val="20"/>
              </w:rPr>
              <w:t>5</w:t>
            </w:r>
          </w:p>
        </w:tc>
        <w:tc>
          <w:tcPr>
            <w:tcW w:w="626" w:type="pct"/>
          </w:tcPr>
          <w:p w:rsidR="00185E82" w:rsidRPr="006D49EC"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r w:rsidRPr="006D49EC">
              <w:rPr>
                <w:rFonts w:asciiTheme="minorHAnsi" w:hAnsiTheme="minorHAnsi"/>
                <w:sz w:val="20"/>
              </w:rPr>
              <w:t>Intuniv</w:t>
            </w:r>
            <w:r w:rsidRPr="006D49EC">
              <w:rPr>
                <w:rFonts w:asciiTheme="minorHAnsi" w:hAnsiTheme="minorHAnsi"/>
                <w:sz w:val="20"/>
                <w:vertAlign w:val="superscript"/>
              </w:rPr>
              <w:t>®</w:t>
            </w:r>
          </w:p>
        </w:tc>
        <w:tc>
          <w:tcPr>
            <w:tcW w:w="1542" w:type="pct"/>
          </w:tcPr>
          <w:p w:rsidR="00185E82" w:rsidRPr="006D49EC"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p>
          <w:p w:rsidR="00185E82" w:rsidRPr="006D49EC" w:rsidRDefault="00185E82" w:rsidP="00857ABC">
            <w:pPr>
              <w:keepNext/>
              <w:jc w:val="center"/>
              <w:rPr>
                <w:rFonts w:asciiTheme="minorHAnsi" w:hAnsiTheme="minorHAnsi"/>
                <w:sz w:val="20"/>
              </w:rPr>
            </w:pPr>
            <w:r w:rsidRPr="006D49EC">
              <w:rPr>
                <w:rFonts w:asciiTheme="minorHAnsi" w:hAnsiTheme="minorHAnsi"/>
                <w:sz w:val="20"/>
              </w:rPr>
              <w:t>Shire Australia Pty Limited</w:t>
            </w:r>
          </w:p>
        </w:tc>
      </w:tr>
      <w:tr w:rsidR="00185E82" w:rsidRPr="006D49EC" w:rsidTr="00185E82">
        <w:tblPrEx>
          <w:tblCellMar>
            <w:left w:w="108" w:type="dxa"/>
            <w:right w:w="108" w:type="dxa"/>
          </w:tblCellMar>
        </w:tblPrEx>
        <w:trPr>
          <w:gridBefore w:val="1"/>
          <w:wBefore w:w="15" w:type="pct"/>
          <w:cantSplit/>
          <w:trHeight w:val="360"/>
        </w:trPr>
        <w:tc>
          <w:tcPr>
            <w:tcW w:w="1792" w:type="pct"/>
            <w:tcBorders>
              <w:bottom w:val="single" w:sz="4" w:space="0" w:color="auto"/>
            </w:tcBorders>
          </w:tcPr>
          <w:p w:rsidR="00185E82" w:rsidRPr="006D49EC" w:rsidRDefault="00185E82" w:rsidP="00857ABC">
            <w:pPr>
              <w:rPr>
                <w:rFonts w:asciiTheme="minorHAnsi" w:hAnsiTheme="minorHAnsi"/>
                <w:b/>
                <w:sz w:val="20"/>
              </w:rPr>
            </w:pPr>
          </w:p>
        </w:tc>
        <w:tc>
          <w:tcPr>
            <w:tcW w:w="3193" w:type="pct"/>
            <w:gridSpan w:val="5"/>
            <w:tcBorders>
              <w:bottom w:val="single" w:sz="4" w:space="0" w:color="auto"/>
            </w:tcBorders>
          </w:tcPr>
          <w:p w:rsidR="00185E82" w:rsidRPr="006D49EC" w:rsidRDefault="00185E82" w:rsidP="00857ABC">
            <w:pPr>
              <w:rPr>
                <w:rFonts w:asciiTheme="minorHAnsi" w:hAnsiTheme="minorHAnsi"/>
                <w:sz w:val="20"/>
              </w:rPr>
            </w:pP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 xml:space="preserve">Category / </w:t>
            </w:r>
          </w:p>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Program</w:t>
            </w: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sz w:val="18"/>
                <w:szCs w:val="18"/>
              </w:rPr>
            </w:pPr>
            <w:r w:rsidRPr="006D49EC">
              <w:rPr>
                <w:rFonts w:asciiTheme="minorHAnsi" w:hAnsiTheme="minorHAnsi"/>
                <w:sz w:val="18"/>
                <w:szCs w:val="18"/>
              </w:rPr>
              <w:t>GENERAL – General Schedule (Code GE)</w:t>
            </w:r>
          </w:p>
          <w:p w:rsidR="00185E82" w:rsidRPr="006D49EC" w:rsidRDefault="00185E82" w:rsidP="00857ABC">
            <w:pPr>
              <w:rPr>
                <w:rFonts w:asciiTheme="minorHAnsi" w:hAnsiTheme="minorHAnsi"/>
                <w:sz w:val="18"/>
                <w:szCs w:val="18"/>
              </w:rPr>
            </w:pP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Prescriber type:</w:t>
            </w: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sz w:val="18"/>
                <w:szCs w:val="18"/>
              </w:rPr>
            </w:pPr>
            <w:r w:rsidRPr="006D49EC">
              <w:rPr>
                <w:rFonts w:asciiTheme="minorHAnsi" w:hAnsiTheme="minorHAnsi"/>
                <w:sz w:val="18"/>
                <w:szCs w:val="18"/>
              </w:rPr>
              <w:fldChar w:fldCharType="begin">
                <w:ffData>
                  <w:name w:val="Check1"/>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 xml:space="preserve">Dental  </w:t>
            </w:r>
            <w:r w:rsidRPr="006D49EC">
              <w:rPr>
                <w:rFonts w:asciiTheme="minorHAnsi" w:hAnsiTheme="minorHAnsi"/>
                <w:sz w:val="18"/>
                <w:szCs w:val="18"/>
              </w:rPr>
              <w:fldChar w:fldCharType="begin">
                <w:ffData>
                  <w:name w:val=""/>
                  <w:enabled/>
                  <w:calcOnExit w:val="0"/>
                  <w:checkBox>
                    <w:sizeAuto/>
                    <w:default w:val="1"/>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 xml:space="preserve">Medical Practitioners  </w:t>
            </w:r>
            <w:r w:rsidRPr="006D49EC">
              <w:rPr>
                <w:rFonts w:asciiTheme="minorHAnsi" w:hAnsiTheme="minorHAnsi"/>
                <w:sz w:val="18"/>
                <w:szCs w:val="18"/>
              </w:rPr>
              <w:fldChar w:fldCharType="begin">
                <w:ffData>
                  <w:name w:val="Check3"/>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 xml:space="preserve">Nurse practitioners  </w:t>
            </w:r>
            <w:r w:rsidRPr="006D49EC">
              <w:rPr>
                <w:rFonts w:asciiTheme="minorHAnsi" w:hAnsiTheme="minorHAnsi"/>
                <w:sz w:val="18"/>
                <w:szCs w:val="18"/>
              </w:rPr>
              <w:fldChar w:fldCharType="begin">
                <w:ffData>
                  <w:name w:val=""/>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Optometrists</w:t>
            </w:r>
          </w:p>
          <w:p w:rsidR="00185E82" w:rsidRPr="006D49EC" w:rsidRDefault="00185E82" w:rsidP="00857ABC">
            <w:pPr>
              <w:rPr>
                <w:rFonts w:asciiTheme="minorHAnsi" w:hAnsiTheme="minorHAnsi"/>
                <w:sz w:val="18"/>
                <w:szCs w:val="18"/>
              </w:rPr>
            </w:pPr>
            <w:r w:rsidRPr="006D49EC">
              <w:rPr>
                <w:rFonts w:asciiTheme="minorHAnsi" w:hAnsiTheme="minorHAnsi"/>
                <w:sz w:val="18"/>
                <w:szCs w:val="18"/>
              </w:rPr>
              <w:fldChar w:fldCharType="begin">
                <w:ffData>
                  <w:name w:val="Check5"/>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Midwives</w:t>
            </w: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Condition:</w:t>
            </w: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DE000B">
            <w:pPr>
              <w:rPr>
                <w:rFonts w:asciiTheme="minorHAnsi" w:hAnsiTheme="minorHAnsi"/>
                <w:sz w:val="18"/>
                <w:szCs w:val="18"/>
              </w:rPr>
            </w:pPr>
            <w:r w:rsidRPr="006D49EC">
              <w:rPr>
                <w:rFonts w:asciiTheme="minorHAnsi" w:hAnsiTheme="minorHAnsi"/>
                <w:sz w:val="18"/>
                <w:szCs w:val="18"/>
              </w:rPr>
              <w:t xml:space="preserve">Attention deficit hyperactivity disorder </w:t>
            </w: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PBS Indication:</w:t>
            </w: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DE000B">
            <w:pPr>
              <w:rPr>
                <w:rFonts w:asciiTheme="minorHAnsi" w:hAnsiTheme="minorHAnsi"/>
                <w:sz w:val="18"/>
                <w:szCs w:val="18"/>
              </w:rPr>
            </w:pPr>
            <w:r w:rsidRPr="006D49EC">
              <w:rPr>
                <w:rFonts w:asciiTheme="minorHAnsi" w:hAnsiTheme="minorHAnsi"/>
                <w:sz w:val="18"/>
                <w:szCs w:val="18"/>
              </w:rPr>
              <w:t xml:space="preserve">Attention deficit hyperactivity disorder </w:t>
            </w: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Treatment phase:</w:t>
            </w:r>
          </w:p>
          <w:p w:rsidR="00185E82" w:rsidRPr="006D49EC" w:rsidRDefault="00185E82" w:rsidP="00857ABC">
            <w:pPr>
              <w:rPr>
                <w:rFonts w:asciiTheme="minorHAnsi" w:hAnsiTheme="minorHAnsi"/>
                <w:i/>
                <w:sz w:val="18"/>
                <w:szCs w:val="18"/>
              </w:rPr>
            </w:pP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185E82">
            <w:pPr>
              <w:rPr>
                <w:rFonts w:asciiTheme="minorHAnsi" w:hAnsiTheme="minorHAnsi"/>
                <w:sz w:val="18"/>
                <w:szCs w:val="18"/>
              </w:rPr>
            </w:pPr>
            <w:r w:rsidRPr="006D49EC">
              <w:rPr>
                <w:rFonts w:asciiTheme="minorHAnsi" w:hAnsiTheme="minorHAnsi"/>
                <w:sz w:val="18"/>
                <w:szCs w:val="18"/>
              </w:rPr>
              <w:t>Initial</w:t>
            </w: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Restriction:</w:t>
            </w:r>
          </w:p>
          <w:p w:rsidR="00185E82" w:rsidRPr="006D49EC" w:rsidRDefault="00185E82" w:rsidP="00857ABC">
            <w:pPr>
              <w:rPr>
                <w:rFonts w:asciiTheme="minorHAnsi" w:hAnsiTheme="minorHAnsi"/>
                <w:sz w:val="18"/>
                <w:szCs w:val="18"/>
              </w:rPr>
            </w:pP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857ABC">
            <w:pPr>
              <w:spacing w:line="360" w:lineRule="auto"/>
              <w:rPr>
                <w:rFonts w:asciiTheme="minorHAnsi" w:hAnsiTheme="minorHAnsi"/>
                <w:sz w:val="18"/>
                <w:szCs w:val="18"/>
              </w:rPr>
            </w:pPr>
            <w:r w:rsidRPr="006D49EC">
              <w:rPr>
                <w:rFonts w:asciiTheme="minorHAnsi" w:hAnsiTheme="minorHAnsi"/>
                <w:sz w:val="18"/>
                <w:szCs w:val="18"/>
              </w:rPr>
              <w:fldChar w:fldCharType="begin">
                <w:ffData>
                  <w:name w:val=""/>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Restricted benefit</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r w:rsidR="00185E82" w:rsidRPr="006D49EC">
              <w:rPr>
                <w:rFonts w:asciiTheme="minorHAnsi" w:hAnsiTheme="minorHAnsi"/>
                <w:sz w:val="18"/>
                <w:szCs w:val="18"/>
              </w:rPr>
              <w:t>Authority Required - In Writing</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Check3"/>
                  <w:enabled/>
                  <w:calcOnExit w:val="0"/>
                  <w:checkBox>
                    <w:sizeAuto/>
                    <w:default w:val="0"/>
                  </w:checkBox>
                </w:ffData>
              </w:fldChar>
            </w:r>
            <w:r>
              <w:rPr>
                <w:rFonts w:asciiTheme="minorHAnsi" w:hAnsiTheme="minorHAnsi"/>
                <w:sz w:val="18"/>
                <w:szCs w:val="18"/>
              </w:rPr>
              <w:instrText xml:space="preserve"> </w:instrText>
            </w:r>
            <w:bookmarkStart w:id="43" w:name="Check3"/>
            <w:r>
              <w:rPr>
                <w:rFonts w:asciiTheme="minorHAnsi" w:hAnsiTheme="minorHAnsi"/>
                <w:sz w:val="18"/>
                <w:szCs w:val="18"/>
              </w:rPr>
              <w:instrText xml:space="preserve">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bookmarkEnd w:id="43"/>
            <w:r w:rsidR="00185E82" w:rsidRPr="006D49EC">
              <w:rPr>
                <w:rFonts w:asciiTheme="minorHAnsi" w:hAnsiTheme="minorHAnsi"/>
                <w:sz w:val="18"/>
                <w:szCs w:val="18"/>
              </w:rPr>
              <w:t>Authority Required - Telephone</w:t>
            </w:r>
          </w:p>
          <w:p w:rsidR="00185E82" w:rsidRPr="006D49EC" w:rsidRDefault="00185E82" w:rsidP="00857ABC">
            <w:pPr>
              <w:spacing w:line="360" w:lineRule="auto"/>
              <w:rPr>
                <w:rFonts w:asciiTheme="minorHAnsi" w:hAnsiTheme="minorHAnsi"/>
                <w:sz w:val="18"/>
                <w:szCs w:val="18"/>
              </w:rPr>
            </w:pPr>
            <w:r w:rsidRPr="006D49EC">
              <w:rPr>
                <w:rFonts w:asciiTheme="minorHAnsi" w:hAnsiTheme="minorHAnsi"/>
                <w:sz w:val="18"/>
                <w:szCs w:val="18"/>
              </w:rPr>
              <w:fldChar w:fldCharType="begin">
                <w:ffData>
                  <w:name w:val=""/>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Authority Required – Emergency</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w:instrText>
            </w:r>
            <w:bookmarkStart w:id="44" w:name="Check5"/>
            <w:r>
              <w:rPr>
                <w:rFonts w:asciiTheme="minorHAnsi" w:hAnsiTheme="minorHAnsi"/>
                <w:sz w:val="18"/>
                <w:szCs w:val="18"/>
              </w:rPr>
              <w:instrText xml:space="preserve">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bookmarkEnd w:id="44"/>
            <w:r w:rsidR="00185E82" w:rsidRPr="006D49EC">
              <w:rPr>
                <w:rFonts w:asciiTheme="minorHAnsi" w:hAnsiTheme="minorHAnsi"/>
                <w:sz w:val="18"/>
                <w:szCs w:val="18"/>
              </w:rPr>
              <w:t>Authority Required - Electronic</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r w:rsidR="00185E82" w:rsidRPr="006D49EC">
              <w:rPr>
                <w:rFonts w:asciiTheme="minorHAnsi" w:hAnsiTheme="minorHAnsi"/>
                <w:sz w:val="18"/>
                <w:szCs w:val="18"/>
              </w:rPr>
              <w:t>Streamlined</w:t>
            </w: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Treatment criteria:</w:t>
            </w: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857ABC">
            <w:pPr>
              <w:spacing w:before="120" w:after="120"/>
              <w:rPr>
                <w:rFonts w:asciiTheme="minorHAnsi" w:hAnsiTheme="minorHAnsi"/>
                <w:sz w:val="18"/>
                <w:szCs w:val="18"/>
              </w:rPr>
            </w:pPr>
            <w:r w:rsidRPr="006D49EC">
              <w:rPr>
                <w:rFonts w:asciiTheme="minorHAnsi" w:hAnsiTheme="minorHAnsi"/>
                <w:sz w:val="18"/>
                <w:szCs w:val="18"/>
              </w:rPr>
              <w:t>Must be treated by a paediatrician or psychiatrist</w:t>
            </w:r>
          </w:p>
        </w:tc>
      </w:tr>
      <w:tr w:rsidR="00185E82" w:rsidRPr="006D49EC" w:rsidTr="00185E82">
        <w:tblPrEx>
          <w:tblCellMar>
            <w:left w:w="108" w:type="dxa"/>
            <w:right w:w="108" w:type="dxa"/>
          </w:tblCellMar>
        </w:tblPrEx>
        <w:trPr>
          <w:gridBefore w:val="1"/>
          <w:wBefore w:w="15" w:type="pc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Clinical criteria:</w:t>
            </w:r>
          </w:p>
          <w:p w:rsidR="00185E82" w:rsidRPr="006D49EC" w:rsidRDefault="00185E82" w:rsidP="00857ABC">
            <w:pPr>
              <w:rPr>
                <w:rFonts w:asciiTheme="minorHAnsi" w:hAnsiTheme="minorHAnsi"/>
                <w:sz w:val="18"/>
                <w:szCs w:val="18"/>
              </w:rPr>
            </w:pP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5E82" w:rsidP="00FB647A">
            <w:pPr>
              <w:pStyle w:val="ListParagraph"/>
              <w:widowControl/>
              <w:numPr>
                <w:ilvl w:val="0"/>
                <w:numId w:val="13"/>
              </w:numPr>
              <w:spacing w:before="120"/>
              <w:ind w:left="210" w:hanging="210"/>
              <w:contextualSpacing w:val="0"/>
              <w:jc w:val="left"/>
              <w:rPr>
                <w:rFonts w:asciiTheme="minorHAnsi" w:hAnsiTheme="minorHAnsi"/>
                <w:sz w:val="18"/>
                <w:szCs w:val="18"/>
              </w:rPr>
            </w:pPr>
            <w:r w:rsidRPr="006D49EC">
              <w:rPr>
                <w:rFonts w:asciiTheme="minorHAnsi" w:hAnsiTheme="minorHAnsi"/>
                <w:sz w:val="18"/>
                <w:szCs w:val="18"/>
              </w:rPr>
              <w:t>The condition must be or have been diagnosed according to the DSM-5 criteria</w:t>
            </w:r>
          </w:p>
          <w:p w:rsidR="00185E82" w:rsidRPr="006D49EC" w:rsidRDefault="00185E82" w:rsidP="00857ABC">
            <w:pPr>
              <w:pStyle w:val="ListParagraph"/>
              <w:spacing w:before="120"/>
              <w:ind w:left="210"/>
              <w:contextualSpacing w:val="0"/>
              <w:rPr>
                <w:rFonts w:asciiTheme="minorHAnsi" w:hAnsiTheme="minorHAnsi"/>
                <w:b/>
                <w:sz w:val="18"/>
                <w:szCs w:val="18"/>
              </w:rPr>
            </w:pPr>
            <w:r w:rsidRPr="006D49EC">
              <w:rPr>
                <w:rFonts w:asciiTheme="minorHAnsi" w:hAnsiTheme="minorHAnsi"/>
                <w:b/>
                <w:sz w:val="18"/>
                <w:szCs w:val="18"/>
              </w:rPr>
              <w:t>AND</w:t>
            </w:r>
          </w:p>
          <w:p w:rsidR="00185E82" w:rsidRPr="006D49EC" w:rsidRDefault="00185E82" w:rsidP="00FB647A">
            <w:pPr>
              <w:pStyle w:val="ListParagraph"/>
              <w:widowControl/>
              <w:numPr>
                <w:ilvl w:val="0"/>
                <w:numId w:val="13"/>
              </w:numPr>
              <w:spacing w:before="120"/>
              <w:ind w:left="210" w:hanging="210"/>
              <w:contextualSpacing w:val="0"/>
              <w:jc w:val="left"/>
              <w:rPr>
                <w:rFonts w:asciiTheme="minorHAnsi" w:hAnsiTheme="minorHAnsi"/>
                <w:sz w:val="18"/>
                <w:szCs w:val="18"/>
              </w:rPr>
            </w:pPr>
            <w:r w:rsidRPr="006D49EC">
              <w:rPr>
                <w:rFonts w:asciiTheme="minorHAnsi" w:hAnsiTheme="minorHAnsi"/>
                <w:sz w:val="18"/>
                <w:szCs w:val="18"/>
              </w:rPr>
              <w:t xml:space="preserve">Patient must have a contraindication to </w:t>
            </w:r>
            <w:r w:rsidR="00DE000B" w:rsidRPr="006D49EC">
              <w:rPr>
                <w:rFonts w:asciiTheme="minorHAnsi" w:hAnsiTheme="minorHAnsi"/>
                <w:sz w:val="18"/>
                <w:szCs w:val="18"/>
              </w:rPr>
              <w:t>dexamfetamine</w:t>
            </w:r>
            <w:r w:rsidRPr="006D49EC">
              <w:rPr>
                <w:rFonts w:asciiTheme="minorHAnsi" w:hAnsiTheme="minorHAnsi"/>
                <w:sz w:val="18"/>
                <w:szCs w:val="18"/>
              </w:rPr>
              <w:t xml:space="preserve">, methylphenidate or lisdexamfetamine as specified in TGA-approved product information; </w:t>
            </w:r>
            <w:r w:rsidRPr="006D49EC">
              <w:rPr>
                <w:rFonts w:asciiTheme="minorHAnsi" w:hAnsiTheme="minorHAnsi"/>
                <w:b/>
                <w:sz w:val="18"/>
                <w:szCs w:val="18"/>
              </w:rPr>
              <w:t>OR</w:t>
            </w:r>
          </w:p>
          <w:p w:rsidR="00185E82" w:rsidRPr="006D49EC" w:rsidRDefault="00185E82" w:rsidP="00FB647A">
            <w:pPr>
              <w:pStyle w:val="ListParagraph"/>
              <w:widowControl/>
              <w:numPr>
                <w:ilvl w:val="0"/>
                <w:numId w:val="13"/>
              </w:numPr>
              <w:spacing w:before="120"/>
              <w:ind w:left="210" w:hanging="210"/>
              <w:contextualSpacing w:val="0"/>
              <w:jc w:val="left"/>
              <w:rPr>
                <w:rFonts w:asciiTheme="minorHAnsi" w:hAnsiTheme="minorHAnsi"/>
                <w:sz w:val="18"/>
                <w:szCs w:val="18"/>
              </w:rPr>
            </w:pPr>
            <w:r w:rsidRPr="006D49EC">
              <w:rPr>
                <w:rFonts w:asciiTheme="minorHAnsi" w:hAnsiTheme="minorHAnsi"/>
                <w:sz w:val="18"/>
                <w:szCs w:val="18"/>
              </w:rPr>
              <w:t xml:space="preserve">Patient must have a comorbid mood disorder that has developed or worsened as a result of </w:t>
            </w:r>
            <w:r w:rsidR="00DE000B" w:rsidRPr="006D49EC">
              <w:rPr>
                <w:rFonts w:asciiTheme="minorHAnsi" w:hAnsiTheme="minorHAnsi"/>
                <w:sz w:val="18"/>
                <w:szCs w:val="18"/>
              </w:rPr>
              <w:t>dexamfetamine</w:t>
            </w:r>
            <w:r w:rsidRPr="006D49EC">
              <w:rPr>
                <w:rFonts w:asciiTheme="minorHAnsi" w:hAnsiTheme="minorHAnsi"/>
                <w:sz w:val="18"/>
                <w:szCs w:val="18"/>
              </w:rPr>
              <w:t xml:space="preserve">, methylphenidate or lisdexamfetamine treatment and is of a severity necessitating treatment withdrawal; </w:t>
            </w:r>
            <w:r w:rsidRPr="006D49EC">
              <w:rPr>
                <w:rFonts w:asciiTheme="minorHAnsi" w:hAnsiTheme="minorHAnsi"/>
                <w:b/>
                <w:sz w:val="18"/>
                <w:szCs w:val="18"/>
              </w:rPr>
              <w:t>OR</w:t>
            </w:r>
          </w:p>
          <w:p w:rsidR="00185E82" w:rsidRPr="006D49EC" w:rsidRDefault="00185E82" w:rsidP="00FB647A">
            <w:pPr>
              <w:pStyle w:val="ListParagraph"/>
              <w:widowControl/>
              <w:numPr>
                <w:ilvl w:val="0"/>
                <w:numId w:val="13"/>
              </w:numPr>
              <w:spacing w:before="120"/>
              <w:ind w:left="210" w:hanging="210"/>
              <w:contextualSpacing w:val="0"/>
              <w:jc w:val="left"/>
              <w:rPr>
                <w:rFonts w:asciiTheme="minorHAnsi" w:hAnsiTheme="minorHAnsi"/>
                <w:sz w:val="18"/>
                <w:szCs w:val="18"/>
              </w:rPr>
            </w:pPr>
            <w:r w:rsidRPr="006D49EC">
              <w:rPr>
                <w:rFonts w:asciiTheme="minorHAnsi" w:hAnsiTheme="minorHAnsi"/>
                <w:sz w:val="18"/>
                <w:szCs w:val="18"/>
              </w:rPr>
              <w:t xml:space="preserve">Patient must be at an unacceptable medical risk of a severity necessitating permanent stimulant treatment withdrawal if given a stimulant treatment with another agent; </w:t>
            </w:r>
            <w:r w:rsidRPr="006D49EC">
              <w:rPr>
                <w:rFonts w:asciiTheme="minorHAnsi" w:hAnsiTheme="minorHAnsi"/>
                <w:b/>
                <w:sz w:val="18"/>
                <w:szCs w:val="18"/>
              </w:rPr>
              <w:t>OR</w:t>
            </w:r>
          </w:p>
          <w:p w:rsidR="00185E82" w:rsidRPr="006D49EC" w:rsidRDefault="00185E82" w:rsidP="00FB647A">
            <w:pPr>
              <w:pStyle w:val="ListParagraph"/>
              <w:widowControl/>
              <w:numPr>
                <w:ilvl w:val="0"/>
                <w:numId w:val="13"/>
              </w:numPr>
              <w:spacing w:before="120"/>
              <w:ind w:left="210" w:hanging="210"/>
              <w:contextualSpacing w:val="0"/>
              <w:jc w:val="left"/>
              <w:rPr>
                <w:rFonts w:asciiTheme="minorHAnsi" w:hAnsiTheme="minorHAnsi"/>
                <w:sz w:val="18"/>
                <w:szCs w:val="18"/>
              </w:rPr>
            </w:pPr>
            <w:r w:rsidRPr="006D49EC">
              <w:rPr>
                <w:rFonts w:asciiTheme="minorHAnsi" w:hAnsiTheme="minorHAnsi"/>
                <w:sz w:val="18"/>
                <w:szCs w:val="18"/>
              </w:rPr>
              <w:t xml:space="preserve">Patient must have experienced adverse reactions of a severity necessitating permanent treatment withdrawal following treatment with </w:t>
            </w:r>
            <w:r w:rsidR="00DE000B" w:rsidRPr="006D49EC">
              <w:rPr>
                <w:rFonts w:asciiTheme="minorHAnsi" w:hAnsiTheme="minorHAnsi"/>
                <w:sz w:val="18"/>
                <w:szCs w:val="18"/>
              </w:rPr>
              <w:t>dexamfetamine</w:t>
            </w:r>
            <w:r w:rsidRPr="006D49EC">
              <w:rPr>
                <w:rFonts w:asciiTheme="minorHAnsi" w:hAnsiTheme="minorHAnsi"/>
                <w:sz w:val="18"/>
                <w:szCs w:val="18"/>
              </w:rPr>
              <w:t>, methylphenidate and lisdexamfetamine (not simultaneously)</w:t>
            </w:r>
            <w:r w:rsidR="00DE000B" w:rsidRPr="006D49EC">
              <w:rPr>
                <w:rFonts w:asciiTheme="minorHAnsi" w:hAnsiTheme="minorHAnsi"/>
                <w:sz w:val="18"/>
                <w:szCs w:val="18"/>
              </w:rPr>
              <w:t>.</w:t>
            </w:r>
          </w:p>
        </w:tc>
      </w:tr>
      <w:tr w:rsidR="00185E82" w:rsidRPr="006D49EC" w:rsidTr="00185E82">
        <w:tblPrEx>
          <w:tblCellMar>
            <w:left w:w="108" w:type="dxa"/>
            <w:right w:w="108" w:type="dxa"/>
          </w:tblCellMar>
        </w:tblPrEx>
        <w:trPr>
          <w:gridBefore w:val="1"/>
          <w:wBefore w:w="15" w:type="pct"/>
          <w:cantSplit/>
          <w:trHeight w:val="360"/>
        </w:trPr>
        <w:tc>
          <w:tcPr>
            <w:tcW w:w="1792"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Population criteria:</w:t>
            </w:r>
          </w:p>
        </w:tc>
        <w:tc>
          <w:tcPr>
            <w:tcW w:w="3193" w:type="pct"/>
            <w:gridSpan w:val="5"/>
            <w:tcBorders>
              <w:top w:val="single" w:sz="4" w:space="0" w:color="auto"/>
              <w:left w:val="single" w:sz="4" w:space="0" w:color="auto"/>
              <w:bottom w:val="single" w:sz="4" w:space="0" w:color="auto"/>
              <w:right w:val="single" w:sz="4" w:space="0" w:color="auto"/>
            </w:tcBorders>
          </w:tcPr>
          <w:p w:rsidR="00185E82" w:rsidRPr="006D49EC" w:rsidRDefault="00181703" w:rsidP="00857ABC">
            <w:pPr>
              <w:rPr>
                <w:rFonts w:asciiTheme="minorHAnsi" w:hAnsiTheme="minorHAnsi"/>
                <w:sz w:val="18"/>
                <w:szCs w:val="18"/>
              </w:rPr>
            </w:pPr>
            <w:r w:rsidRPr="00181703">
              <w:rPr>
                <w:rFonts w:asciiTheme="minorHAnsi" w:hAnsiTheme="minorHAnsi"/>
                <w:sz w:val="18"/>
                <w:szCs w:val="18"/>
              </w:rPr>
              <w:t>Patient must be or have been diagno</w:t>
            </w:r>
            <w:r>
              <w:rPr>
                <w:rFonts w:asciiTheme="minorHAnsi" w:hAnsiTheme="minorHAnsi"/>
                <w:sz w:val="18"/>
                <w:szCs w:val="18"/>
              </w:rPr>
              <w:t>sed between the ages of 6 and 17</w:t>
            </w:r>
            <w:r w:rsidRPr="00181703">
              <w:rPr>
                <w:rFonts w:asciiTheme="minorHAnsi" w:hAnsiTheme="minorHAnsi"/>
                <w:sz w:val="18"/>
                <w:szCs w:val="18"/>
              </w:rPr>
              <w:t xml:space="preserve"> years inclusive</w:t>
            </w:r>
            <w:r w:rsidR="00185E82" w:rsidRPr="006D49EC">
              <w:rPr>
                <w:rFonts w:asciiTheme="minorHAnsi" w:hAnsiTheme="minorHAnsi"/>
                <w:sz w:val="18"/>
                <w:szCs w:val="18"/>
              </w:rPr>
              <w:t>.</w:t>
            </w:r>
          </w:p>
        </w:tc>
      </w:tr>
    </w:tbl>
    <w:p w:rsidR="00B24C96" w:rsidRPr="006D49EC" w:rsidRDefault="00B24C96" w:rsidP="00B24C96">
      <w:pPr>
        <w:rPr>
          <w:rFonts w:asciiTheme="minorHAnsi" w:hAnsiTheme="minorHAnsi"/>
          <w:b/>
          <w:bCs/>
          <w:sz w:val="18"/>
          <w:szCs w:val="18"/>
          <w:highlight w:val="yellow"/>
        </w:rPr>
      </w:pPr>
    </w:p>
    <w:tbl>
      <w:tblPr>
        <w:tblW w:w="5000" w:type="pct"/>
        <w:tblLook w:val="0000" w:firstRow="0" w:lastRow="0" w:firstColumn="0" w:lastColumn="0" w:noHBand="0" w:noVBand="0"/>
      </w:tblPr>
      <w:tblGrid>
        <w:gridCol w:w="3322"/>
        <w:gridCol w:w="5920"/>
      </w:tblGrid>
      <w:tr w:rsidR="00185E82" w:rsidRPr="006D49EC" w:rsidTr="00095C2E">
        <w:trPr>
          <w:trHeight w:val="360"/>
        </w:trPr>
        <w:tc>
          <w:tcPr>
            <w:tcW w:w="1797"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 xml:space="preserve">Category / </w:t>
            </w:r>
          </w:p>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Program</w:t>
            </w:r>
          </w:p>
        </w:tc>
        <w:tc>
          <w:tcPr>
            <w:tcW w:w="3203"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sz w:val="18"/>
                <w:szCs w:val="18"/>
              </w:rPr>
            </w:pPr>
            <w:r w:rsidRPr="006D49EC">
              <w:rPr>
                <w:rFonts w:asciiTheme="minorHAnsi" w:hAnsiTheme="minorHAnsi"/>
                <w:sz w:val="18"/>
                <w:szCs w:val="18"/>
              </w:rPr>
              <w:t>GENERAL – General Schedule (Code GE)</w:t>
            </w:r>
          </w:p>
          <w:p w:rsidR="00185E82" w:rsidRPr="006D49EC" w:rsidRDefault="00185E82" w:rsidP="00857ABC">
            <w:pPr>
              <w:rPr>
                <w:rFonts w:asciiTheme="minorHAnsi" w:hAnsiTheme="minorHAnsi"/>
                <w:sz w:val="18"/>
                <w:szCs w:val="18"/>
              </w:rPr>
            </w:pPr>
          </w:p>
        </w:tc>
      </w:tr>
      <w:tr w:rsidR="00185E82" w:rsidRPr="006D49EC" w:rsidTr="00095C2E">
        <w:trPr>
          <w:trHeight w:val="360"/>
        </w:trPr>
        <w:tc>
          <w:tcPr>
            <w:tcW w:w="1797"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Prescriber type:</w:t>
            </w:r>
          </w:p>
        </w:tc>
        <w:tc>
          <w:tcPr>
            <w:tcW w:w="3203"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sz w:val="18"/>
                <w:szCs w:val="18"/>
              </w:rPr>
            </w:pPr>
            <w:r w:rsidRPr="006D49EC">
              <w:rPr>
                <w:rFonts w:asciiTheme="minorHAnsi" w:hAnsiTheme="minorHAnsi"/>
                <w:sz w:val="18"/>
                <w:szCs w:val="18"/>
              </w:rPr>
              <w:fldChar w:fldCharType="begin">
                <w:ffData>
                  <w:name w:val="Check1"/>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 xml:space="preserve">Dental  </w:t>
            </w:r>
            <w:r w:rsidRPr="006D49EC">
              <w:rPr>
                <w:rFonts w:asciiTheme="minorHAnsi" w:hAnsiTheme="minorHAnsi"/>
                <w:sz w:val="18"/>
                <w:szCs w:val="18"/>
              </w:rPr>
              <w:fldChar w:fldCharType="begin">
                <w:ffData>
                  <w:name w:val=""/>
                  <w:enabled/>
                  <w:calcOnExit w:val="0"/>
                  <w:checkBox>
                    <w:sizeAuto/>
                    <w:default w:val="1"/>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 xml:space="preserve">Medical Practitioners  </w:t>
            </w:r>
            <w:r w:rsidRPr="006D49EC">
              <w:rPr>
                <w:rFonts w:asciiTheme="minorHAnsi" w:hAnsiTheme="minorHAnsi"/>
                <w:sz w:val="18"/>
                <w:szCs w:val="18"/>
              </w:rPr>
              <w:fldChar w:fldCharType="begin">
                <w:ffData>
                  <w:name w:val="Check3"/>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 xml:space="preserve">Nurse practitioners  </w:t>
            </w:r>
            <w:r w:rsidRPr="006D49EC">
              <w:rPr>
                <w:rFonts w:asciiTheme="minorHAnsi" w:hAnsiTheme="minorHAnsi"/>
                <w:sz w:val="18"/>
                <w:szCs w:val="18"/>
              </w:rPr>
              <w:fldChar w:fldCharType="begin">
                <w:ffData>
                  <w:name w:val=""/>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Optometrists</w:t>
            </w:r>
          </w:p>
          <w:p w:rsidR="00185E82" w:rsidRPr="006D49EC" w:rsidRDefault="00185E82" w:rsidP="00857ABC">
            <w:pPr>
              <w:rPr>
                <w:rFonts w:asciiTheme="minorHAnsi" w:hAnsiTheme="minorHAnsi"/>
                <w:sz w:val="18"/>
                <w:szCs w:val="18"/>
              </w:rPr>
            </w:pPr>
            <w:r w:rsidRPr="006D49EC">
              <w:rPr>
                <w:rFonts w:asciiTheme="minorHAnsi" w:hAnsiTheme="minorHAnsi"/>
                <w:sz w:val="18"/>
                <w:szCs w:val="18"/>
              </w:rPr>
              <w:fldChar w:fldCharType="begin">
                <w:ffData>
                  <w:name w:val="Check5"/>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Midwives</w:t>
            </w:r>
          </w:p>
        </w:tc>
      </w:tr>
      <w:tr w:rsidR="00185E82" w:rsidRPr="006D49EC" w:rsidTr="00095C2E">
        <w:trPr>
          <w:trHeight w:val="360"/>
        </w:trPr>
        <w:tc>
          <w:tcPr>
            <w:tcW w:w="1797"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Condition:</w:t>
            </w:r>
          </w:p>
        </w:tc>
        <w:tc>
          <w:tcPr>
            <w:tcW w:w="3203" w:type="pct"/>
            <w:tcBorders>
              <w:top w:val="single" w:sz="4" w:space="0" w:color="auto"/>
              <w:left w:val="single" w:sz="4" w:space="0" w:color="auto"/>
              <w:bottom w:val="single" w:sz="4" w:space="0" w:color="auto"/>
              <w:right w:val="single" w:sz="4" w:space="0" w:color="auto"/>
            </w:tcBorders>
          </w:tcPr>
          <w:p w:rsidR="00185E82" w:rsidRPr="006D49EC" w:rsidRDefault="00185E82" w:rsidP="00185E82">
            <w:pPr>
              <w:rPr>
                <w:rFonts w:asciiTheme="minorHAnsi" w:hAnsiTheme="minorHAnsi"/>
                <w:sz w:val="18"/>
                <w:szCs w:val="18"/>
              </w:rPr>
            </w:pPr>
            <w:r w:rsidRPr="006D49EC">
              <w:rPr>
                <w:rFonts w:asciiTheme="minorHAnsi" w:hAnsiTheme="minorHAnsi"/>
                <w:sz w:val="18"/>
                <w:szCs w:val="18"/>
              </w:rPr>
              <w:t xml:space="preserve">Attention deficit hyperactivity disorder </w:t>
            </w:r>
          </w:p>
        </w:tc>
      </w:tr>
      <w:tr w:rsidR="00185E82" w:rsidRPr="006D49EC" w:rsidTr="00095C2E">
        <w:trPr>
          <w:trHeight w:val="360"/>
        </w:trPr>
        <w:tc>
          <w:tcPr>
            <w:tcW w:w="1797"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PBS Indication:</w:t>
            </w:r>
          </w:p>
        </w:tc>
        <w:tc>
          <w:tcPr>
            <w:tcW w:w="3203" w:type="pct"/>
            <w:tcBorders>
              <w:top w:val="single" w:sz="4" w:space="0" w:color="auto"/>
              <w:left w:val="single" w:sz="4" w:space="0" w:color="auto"/>
              <w:bottom w:val="single" w:sz="4" w:space="0" w:color="auto"/>
              <w:right w:val="single" w:sz="4" w:space="0" w:color="auto"/>
            </w:tcBorders>
          </w:tcPr>
          <w:p w:rsidR="00185E82" w:rsidRPr="006D49EC" w:rsidRDefault="00185E82" w:rsidP="00185E82">
            <w:pPr>
              <w:rPr>
                <w:rFonts w:asciiTheme="minorHAnsi" w:hAnsiTheme="minorHAnsi"/>
                <w:sz w:val="18"/>
                <w:szCs w:val="18"/>
              </w:rPr>
            </w:pPr>
            <w:r w:rsidRPr="006D49EC">
              <w:rPr>
                <w:rFonts w:asciiTheme="minorHAnsi" w:hAnsiTheme="minorHAnsi"/>
                <w:sz w:val="18"/>
                <w:szCs w:val="18"/>
              </w:rPr>
              <w:t xml:space="preserve">Attention deficit hyperactivity disorder </w:t>
            </w:r>
          </w:p>
        </w:tc>
      </w:tr>
      <w:tr w:rsidR="00185E82" w:rsidRPr="006D49EC" w:rsidTr="00095C2E">
        <w:trPr>
          <w:trHeight w:val="360"/>
        </w:trPr>
        <w:tc>
          <w:tcPr>
            <w:tcW w:w="1797"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Treatment phase:</w:t>
            </w:r>
          </w:p>
          <w:p w:rsidR="00185E82" w:rsidRPr="006D49EC" w:rsidRDefault="00185E82" w:rsidP="00857ABC">
            <w:pPr>
              <w:rPr>
                <w:rFonts w:asciiTheme="minorHAnsi" w:hAnsiTheme="minorHAnsi"/>
                <w:i/>
                <w:sz w:val="18"/>
                <w:szCs w:val="18"/>
              </w:rPr>
            </w:pPr>
          </w:p>
        </w:tc>
        <w:tc>
          <w:tcPr>
            <w:tcW w:w="3203" w:type="pct"/>
            <w:tcBorders>
              <w:top w:val="single" w:sz="4" w:space="0" w:color="auto"/>
              <w:left w:val="single" w:sz="4" w:space="0" w:color="auto"/>
              <w:bottom w:val="single" w:sz="4" w:space="0" w:color="auto"/>
              <w:right w:val="single" w:sz="4" w:space="0" w:color="auto"/>
            </w:tcBorders>
          </w:tcPr>
          <w:p w:rsidR="00185E82" w:rsidRPr="006D49EC" w:rsidRDefault="00185E82" w:rsidP="00185E82">
            <w:pPr>
              <w:rPr>
                <w:rFonts w:asciiTheme="minorHAnsi" w:hAnsiTheme="minorHAnsi"/>
                <w:sz w:val="18"/>
                <w:szCs w:val="18"/>
              </w:rPr>
            </w:pPr>
            <w:r w:rsidRPr="006D49EC">
              <w:rPr>
                <w:rFonts w:asciiTheme="minorHAnsi" w:hAnsiTheme="minorHAnsi"/>
                <w:sz w:val="18"/>
                <w:szCs w:val="18"/>
              </w:rPr>
              <w:t>Continuing</w:t>
            </w:r>
          </w:p>
        </w:tc>
      </w:tr>
      <w:tr w:rsidR="00185E82" w:rsidRPr="006D49EC" w:rsidTr="00095C2E">
        <w:trPr>
          <w:trHeight w:val="360"/>
        </w:trPr>
        <w:tc>
          <w:tcPr>
            <w:tcW w:w="1797"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Restriction:</w:t>
            </w:r>
          </w:p>
          <w:p w:rsidR="00185E82" w:rsidRPr="006D49EC" w:rsidRDefault="00185E82" w:rsidP="00857ABC">
            <w:pPr>
              <w:rPr>
                <w:rFonts w:asciiTheme="minorHAnsi" w:hAnsiTheme="minorHAnsi"/>
                <w:sz w:val="18"/>
                <w:szCs w:val="18"/>
              </w:rPr>
            </w:pPr>
          </w:p>
        </w:tc>
        <w:tc>
          <w:tcPr>
            <w:tcW w:w="3203"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spacing w:line="360" w:lineRule="auto"/>
              <w:rPr>
                <w:rFonts w:asciiTheme="minorHAnsi" w:hAnsiTheme="minorHAnsi"/>
                <w:sz w:val="18"/>
                <w:szCs w:val="18"/>
              </w:rPr>
            </w:pPr>
            <w:r w:rsidRPr="006D49EC">
              <w:rPr>
                <w:rFonts w:asciiTheme="minorHAnsi" w:hAnsiTheme="minorHAnsi"/>
                <w:sz w:val="18"/>
                <w:szCs w:val="18"/>
              </w:rPr>
              <w:fldChar w:fldCharType="begin">
                <w:ffData>
                  <w:name w:val=""/>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Restricted benefit</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r w:rsidR="00185E82" w:rsidRPr="006D49EC">
              <w:rPr>
                <w:rFonts w:asciiTheme="minorHAnsi" w:hAnsiTheme="minorHAnsi"/>
                <w:sz w:val="18"/>
                <w:szCs w:val="18"/>
              </w:rPr>
              <w:t>Authority Required - In Writing</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r w:rsidR="00185E82" w:rsidRPr="006D49EC">
              <w:rPr>
                <w:rFonts w:asciiTheme="minorHAnsi" w:hAnsiTheme="minorHAnsi"/>
                <w:sz w:val="18"/>
                <w:szCs w:val="18"/>
              </w:rPr>
              <w:t>Authority Required - Telephone</w:t>
            </w:r>
          </w:p>
          <w:p w:rsidR="00185E82" w:rsidRPr="006D49EC" w:rsidRDefault="00185E82" w:rsidP="00857ABC">
            <w:pPr>
              <w:spacing w:line="360" w:lineRule="auto"/>
              <w:rPr>
                <w:rFonts w:asciiTheme="minorHAnsi" w:hAnsiTheme="minorHAnsi"/>
                <w:sz w:val="18"/>
                <w:szCs w:val="18"/>
              </w:rPr>
            </w:pPr>
            <w:r w:rsidRPr="006D49EC">
              <w:rPr>
                <w:rFonts w:asciiTheme="minorHAnsi" w:hAnsiTheme="minorHAnsi"/>
                <w:sz w:val="18"/>
                <w:szCs w:val="18"/>
              </w:rPr>
              <w:fldChar w:fldCharType="begin">
                <w:ffData>
                  <w:name w:val=""/>
                  <w:enabled/>
                  <w:calcOnExit w:val="0"/>
                  <w:checkBox>
                    <w:sizeAuto/>
                    <w:default w:val="0"/>
                  </w:checkBox>
                </w:ffData>
              </w:fldChar>
            </w:r>
            <w:r w:rsidRPr="006D49EC">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sidRPr="006D49EC">
              <w:rPr>
                <w:rFonts w:asciiTheme="minorHAnsi" w:hAnsiTheme="minorHAnsi"/>
                <w:sz w:val="18"/>
                <w:szCs w:val="18"/>
              </w:rPr>
              <w:fldChar w:fldCharType="end"/>
            </w:r>
            <w:r w:rsidRPr="006D49EC">
              <w:rPr>
                <w:rFonts w:asciiTheme="minorHAnsi" w:hAnsiTheme="minorHAnsi"/>
                <w:sz w:val="18"/>
                <w:szCs w:val="18"/>
              </w:rPr>
              <w:t>Authority Required – Emergency</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r w:rsidR="00185E82" w:rsidRPr="006D49EC">
              <w:rPr>
                <w:rFonts w:asciiTheme="minorHAnsi" w:hAnsiTheme="minorHAnsi"/>
                <w:sz w:val="18"/>
                <w:szCs w:val="18"/>
              </w:rPr>
              <w:t>Authority Required - Electronic</w:t>
            </w:r>
          </w:p>
          <w:p w:rsidR="00185E82" w:rsidRPr="006D49EC" w:rsidRDefault="00181703" w:rsidP="00857ABC">
            <w:pPr>
              <w:spacing w:line="360" w:lineRule="auto"/>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5D2D8A">
              <w:rPr>
                <w:rFonts w:asciiTheme="minorHAnsi" w:hAnsiTheme="minorHAnsi"/>
                <w:sz w:val="18"/>
                <w:szCs w:val="18"/>
              </w:rPr>
            </w:r>
            <w:r w:rsidR="005D2D8A">
              <w:rPr>
                <w:rFonts w:asciiTheme="minorHAnsi" w:hAnsiTheme="minorHAnsi"/>
                <w:sz w:val="18"/>
                <w:szCs w:val="18"/>
              </w:rPr>
              <w:fldChar w:fldCharType="separate"/>
            </w:r>
            <w:r>
              <w:rPr>
                <w:rFonts w:asciiTheme="minorHAnsi" w:hAnsiTheme="minorHAnsi"/>
                <w:sz w:val="18"/>
                <w:szCs w:val="18"/>
              </w:rPr>
              <w:fldChar w:fldCharType="end"/>
            </w:r>
            <w:r w:rsidR="00185E82" w:rsidRPr="006D49EC">
              <w:rPr>
                <w:rFonts w:asciiTheme="minorHAnsi" w:hAnsiTheme="minorHAnsi"/>
                <w:sz w:val="18"/>
                <w:szCs w:val="18"/>
              </w:rPr>
              <w:t>Streamlined</w:t>
            </w:r>
          </w:p>
        </w:tc>
      </w:tr>
      <w:tr w:rsidR="00185E82" w:rsidRPr="006D49EC" w:rsidTr="00095C2E">
        <w:trPr>
          <w:trHeight w:val="360"/>
        </w:trPr>
        <w:tc>
          <w:tcPr>
            <w:tcW w:w="1797" w:type="pct"/>
            <w:tcBorders>
              <w:top w:val="single" w:sz="4" w:space="0" w:color="auto"/>
              <w:left w:val="single" w:sz="4" w:space="0" w:color="auto"/>
              <w:bottom w:val="single" w:sz="4" w:space="0" w:color="auto"/>
              <w:right w:val="single" w:sz="4" w:space="0" w:color="auto"/>
            </w:tcBorders>
          </w:tcPr>
          <w:p w:rsidR="00185E82" w:rsidRPr="006D49EC" w:rsidRDefault="00185E82" w:rsidP="00857ABC">
            <w:pPr>
              <w:rPr>
                <w:rFonts w:asciiTheme="minorHAnsi" w:hAnsiTheme="minorHAnsi"/>
                <w:b/>
                <w:sz w:val="18"/>
                <w:szCs w:val="18"/>
              </w:rPr>
            </w:pPr>
            <w:r w:rsidRPr="006D49EC">
              <w:rPr>
                <w:rFonts w:asciiTheme="minorHAnsi" w:hAnsiTheme="minorHAnsi"/>
                <w:b/>
                <w:sz w:val="18"/>
                <w:szCs w:val="18"/>
              </w:rPr>
              <w:t>Clinical criteria:</w:t>
            </w:r>
          </w:p>
          <w:p w:rsidR="00185E82" w:rsidRPr="006D49EC" w:rsidRDefault="00185E82" w:rsidP="00857ABC">
            <w:pPr>
              <w:rPr>
                <w:rFonts w:asciiTheme="minorHAnsi" w:hAnsiTheme="minorHAnsi"/>
                <w:sz w:val="18"/>
                <w:szCs w:val="18"/>
              </w:rPr>
            </w:pPr>
          </w:p>
        </w:tc>
        <w:tc>
          <w:tcPr>
            <w:tcW w:w="3203" w:type="pct"/>
            <w:tcBorders>
              <w:top w:val="single" w:sz="4" w:space="0" w:color="auto"/>
              <w:left w:val="single" w:sz="4" w:space="0" w:color="auto"/>
              <w:bottom w:val="single" w:sz="4" w:space="0" w:color="auto"/>
              <w:right w:val="single" w:sz="4" w:space="0" w:color="auto"/>
            </w:tcBorders>
          </w:tcPr>
          <w:p w:rsidR="00185E82" w:rsidRPr="006D49EC" w:rsidRDefault="00185E82" w:rsidP="00185E82">
            <w:pPr>
              <w:pStyle w:val="ListParagraph"/>
              <w:widowControl/>
              <w:spacing w:before="120"/>
              <w:ind w:left="210"/>
              <w:contextualSpacing w:val="0"/>
              <w:jc w:val="left"/>
              <w:rPr>
                <w:rFonts w:asciiTheme="minorHAnsi" w:hAnsiTheme="minorHAnsi"/>
                <w:sz w:val="18"/>
                <w:szCs w:val="18"/>
              </w:rPr>
            </w:pPr>
            <w:r w:rsidRPr="006D49EC">
              <w:rPr>
                <w:rFonts w:asciiTheme="minorHAnsi" w:hAnsiTheme="minorHAnsi"/>
                <w:sz w:val="18"/>
                <w:szCs w:val="18"/>
              </w:rPr>
              <w:t>Patient must have previously received PBS-subsidised treatment with this drug</w:t>
            </w:r>
            <w:r w:rsidR="00181703">
              <w:rPr>
                <w:rFonts w:asciiTheme="minorHAnsi" w:hAnsiTheme="minorHAnsi"/>
                <w:sz w:val="18"/>
                <w:szCs w:val="18"/>
              </w:rPr>
              <w:t>.</w:t>
            </w:r>
          </w:p>
        </w:tc>
      </w:tr>
    </w:tbl>
    <w:p w:rsidR="00185E82" w:rsidRPr="006D49EC" w:rsidRDefault="00185E82" w:rsidP="00B24C96">
      <w:pPr>
        <w:rPr>
          <w:rFonts w:asciiTheme="minorHAnsi" w:hAnsiTheme="minorHAnsi"/>
          <w:b/>
          <w:bCs/>
          <w:sz w:val="24"/>
          <w:szCs w:val="24"/>
          <w:highlight w:val="yellow"/>
        </w:rPr>
      </w:pPr>
    </w:p>
    <w:p w:rsidR="00B24C96" w:rsidRPr="00FB647A" w:rsidRDefault="008C5CD5" w:rsidP="008C5CD5">
      <w:pPr>
        <w:pStyle w:val="Heading2"/>
      </w:pPr>
      <w:r w:rsidRPr="00FB647A">
        <w:t>Context for Decision</w:t>
      </w:r>
    </w:p>
    <w:p w:rsidR="008C5CD5" w:rsidRPr="00FB647A" w:rsidRDefault="008C5CD5" w:rsidP="008C5CD5">
      <w:pPr>
        <w:ind w:left="426"/>
        <w:rPr>
          <w:rFonts w:asciiTheme="minorHAnsi" w:hAnsiTheme="minorHAnsi"/>
          <w:sz w:val="24"/>
          <w:szCs w:val="24"/>
        </w:rPr>
      </w:pPr>
      <w:r w:rsidRPr="00FB647A">
        <w:rPr>
          <w:rFonts w:asciiTheme="minorHAnsi" w:hAnsi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C5CD5" w:rsidRPr="00FB647A" w:rsidRDefault="008C5CD5" w:rsidP="008C5CD5">
      <w:pPr>
        <w:rPr>
          <w:rFonts w:asciiTheme="minorHAnsi" w:hAnsiTheme="minorHAnsi"/>
          <w:sz w:val="24"/>
          <w:szCs w:val="24"/>
        </w:rPr>
      </w:pPr>
    </w:p>
    <w:p w:rsidR="008C5CD5" w:rsidRPr="00FB647A" w:rsidRDefault="008C5CD5" w:rsidP="008C5CD5">
      <w:pPr>
        <w:pStyle w:val="Heading2"/>
      </w:pPr>
      <w:r w:rsidRPr="00FB647A">
        <w:t xml:space="preserve">Sponsor’s comment </w:t>
      </w:r>
    </w:p>
    <w:p w:rsidR="008C5CD5" w:rsidRPr="008C5CD5" w:rsidRDefault="002B23E3" w:rsidP="008C5CD5">
      <w:r>
        <w:rPr>
          <w:rFonts w:asciiTheme="minorHAnsi" w:hAnsiTheme="minorHAnsi"/>
          <w:bCs/>
          <w:sz w:val="24"/>
          <w:szCs w:val="24"/>
        </w:rPr>
        <w:t xml:space="preserve">Shire will continue to work with the Department of Health so that </w:t>
      </w:r>
      <w:r w:rsidRPr="0076142A">
        <w:rPr>
          <w:rFonts w:asciiTheme="minorHAnsi" w:hAnsiTheme="minorHAnsi"/>
          <w:bCs/>
          <w:sz w:val="24"/>
          <w:szCs w:val="24"/>
        </w:rPr>
        <w:t xml:space="preserve">patients with ADHD </w:t>
      </w:r>
      <w:r>
        <w:rPr>
          <w:rFonts w:asciiTheme="minorHAnsi" w:hAnsiTheme="minorHAnsi"/>
          <w:bCs/>
          <w:sz w:val="24"/>
          <w:szCs w:val="24"/>
        </w:rPr>
        <w:t xml:space="preserve">may access guanfacine on the PBS. </w:t>
      </w:r>
    </w:p>
    <w:sectPr w:rsidR="008C5CD5" w:rsidRPr="008C5CD5" w:rsidSect="009500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35FD9C" w15:done="0"/>
  <w15:commentEx w15:paraId="19959054" w15:done="0"/>
  <w15:commentEx w15:paraId="1B5F389F" w15:done="0"/>
  <w15:commentEx w15:paraId="645F6B10" w15:done="0"/>
  <w15:commentEx w15:paraId="408034BD" w15:paraIdParent="645F6B10" w15:done="0"/>
  <w15:commentEx w15:paraId="11F4FAAA" w15:done="0"/>
  <w15:commentEx w15:paraId="7D312C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8A" w:rsidRDefault="005D2D8A" w:rsidP="00124A51">
      <w:r>
        <w:separator/>
      </w:r>
    </w:p>
  </w:endnote>
  <w:endnote w:type="continuationSeparator" w:id="0">
    <w:p w:rsidR="005D2D8A" w:rsidRDefault="005D2D8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0B" w:rsidRDefault="00F70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Theme="minorHAnsi" w:hAnsiTheme="minorHAnsi"/>
        <w:noProof/>
        <w:sz w:val="24"/>
        <w:szCs w:val="24"/>
      </w:rPr>
    </w:sdtEndPr>
    <w:sdtContent>
      <w:p w:rsidR="00F70D0B" w:rsidRPr="00541A0D" w:rsidRDefault="00F70D0B" w:rsidP="00AA0A84">
        <w:pPr>
          <w:pStyle w:val="Footer"/>
          <w:ind w:left="360"/>
          <w:jc w:val="center"/>
          <w:rPr>
            <w:sz w:val="20"/>
          </w:rPr>
        </w:pPr>
      </w:p>
      <w:p w:rsidR="00F70D0B" w:rsidRPr="008B2CC0" w:rsidRDefault="00F70D0B" w:rsidP="00AA0A84">
        <w:pPr>
          <w:pStyle w:val="Footer"/>
          <w:ind w:left="360"/>
          <w:jc w:val="center"/>
          <w:rPr>
            <w:rFonts w:asciiTheme="minorHAnsi" w:hAnsiTheme="minorHAnsi"/>
            <w:noProof/>
            <w:sz w:val="24"/>
            <w:szCs w:val="24"/>
          </w:rPr>
        </w:pPr>
        <w:r w:rsidRPr="008B2CC0">
          <w:rPr>
            <w:rFonts w:asciiTheme="minorHAnsi" w:hAnsiTheme="minorHAnsi"/>
            <w:sz w:val="24"/>
            <w:szCs w:val="24"/>
          </w:rPr>
          <w:fldChar w:fldCharType="begin"/>
        </w:r>
        <w:r w:rsidRPr="008B2CC0">
          <w:rPr>
            <w:rFonts w:asciiTheme="minorHAnsi" w:hAnsiTheme="minorHAnsi"/>
            <w:sz w:val="24"/>
            <w:szCs w:val="24"/>
          </w:rPr>
          <w:instrText xml:space="preserve"> PAGE   \* MERGEFORMAT </w:instrText>
        </w:r>
        <w:r w:rsidRPr="008B2CC0">
          <w:rPr>
            <w:rFonts w:asciiTheme="minorHAnsi" w:hAnsiTheme="minorHAnsi"/>
            <w:sz w:val="24"/>
            <w:szCs w:val="24"/>
          </w:rPr>
          <w:fldChar w:fldCharType="separate"/>
        </w:r>
        <w:r w:rsidR="005D2D8A">
          <w:rPr>
            <w:rFonts w:asciiTheme="minorHAnsi" w:hAnsiTheme="minorHAnsi"/>
            <w:noProof/>
            <w:sz w:val="24"/>
            <w:szCs w:val="24"/>
          </w:rPr>
          <w:t>1</w:t>
        </w:r>
        <w:r w:rsidRPr="008B2CC0">
          <w:rPr>
            <w:rFonts w:asciiTheme="minorHAnsi" w:hAnsiTheme="minorHAnsi"/>
            <w:noProof/>
            <w:sz w:val="24"/>
            <w:szCs w:val="24"/>
          </w:rPr>
          <w:fldChar w:fldCharType="end"/>
        </w:r>
      </w:p>
    </w:sdtContent>
  </w:sdt>
  <w:p w:rsidR="00F70D0B" w:rsidRPr="00AA0A84" w:rsidRDefault="00F70D0B" w:rsidP="00AA0A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0B" w:rsidRDefault="00F70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8A" w:rsidRDefault="005D2D8A" w:rsidP="00124A51">
      <w:r>
        <w:separator/>
      </w:r>
    </w:p>
  </w:footnote>
  <w:footnote w:type="continuationSeparator" w:id="0">
    <w:p w:rsidR="005D2D8A" w:rsidRDefault="005D2D8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0B" w:rsidRDefault="00F70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0B" w:rsidRPr="008C5CD5" w:rsidRDefault="00F70D0B" w:rsidP="00AA0A84">
    <w:pPr>
      <w:pStyle w:val="Header"/>
      <w:ind w:left="360"/>
      <w:jc w:val="center"/>
      <w:rPr>
        <w:i/>
        <w:color w:val="808080"/>
        <w:szCs w:val="22"/>
      </w:rPr>
    </w:pPr>
    <w:r w:rsidRPr="008C5CD5">
      <w:rPr>
        <w:i/>
        <w:color w:val="808080"/>
        <w:szCs w:val="22"/>
      </w:rPr>
      <w:t>Public Summary Document – July 2017 PBAC Meeting</w:t>
    </w:r>
  </w:p>
  <w:p w:rsidR="00F70D0B" w:rsidRPr="008C5CD5" w:rsidRDefault="00F70D0B" w:rsidP="00AA0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0B" w:rsidRDefault="00F70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962F9"/>
    <w:multiLevelType w:val="hybridMultilevel"/>
    <w:tmpl w:val="506A626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
    <w:nsid w:val="284E6825"/>
    <w:multiLevelType w:val="multilevel"/>
    <w:tmpl w:val="434623BC"/>
    <w:lvl w:ilvl="0">
      <w:start w:val="1"/>
      <w:numFmt w:val="decimal"/>
      <w:pStyle w:val="Heading2"/>
      <w:lvlText w:val="%1"/>
      <w:lvlJc w:val="left"/>
      <w:pPr>
        <w:ind w:left="432" w:hanging="432"/>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75C062A"/>
    <w:multiLevelType w:val="hybridMultilevel"/>
    <w:tmpl w:val="3B245D9C"/>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9F410C"/>
    <w:multiLevelType w:val="hybridMultilevel"/>
    <w:tmpl w:val="4CE8BDE4"/>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7">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3532BAF"/>
    <w:multiLevelType w:val="multilevel"/>
    <w:tmpl w:val="15745E00"/>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74675B7D"/>
    <w:multiLevelType w:val="multilevel"/>
    <w:tmpl w:val="3264915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784D033C"/>
    <w:multiLevelType w:val="multilevel"/>
    <w:tmpl w:val="138C669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D4D596D"/>
    <w:multiLevelType w:val="multilevel"/>
    <w:tmpl w:val="D03C1E04"/>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7F2D4034"/>
    <w:multiLevelType w:val="hybridMultilevel"/>
    <w:tmpl w:val="A3465D1E"/>
    <w:lvl w:ilvl="0" w:tplc="822C394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5"/>
  </w:num>
  <w:num w:numId="5">
    <w:abstractNumId w:val="3"/>
  </w:num>
  <w:num w:numId="6">
    <w:abstractNumId w:val="7"/>
  </w:num>
  <w:num w:numId="7">
    <w:abstractNumId w:val="4"/>
  </w:num>
  <w:num w:numId="8">
    <w:abstractNumId w:val="1"/>
  </w:num>
  <w:num w:numId="9">
    <w:abstractNumId w:val="8"/>
  </w:num>
  <w:num w:numId="10">
    <w:abstractNumId w:val="6"/>
  </w:num>
  <w:num w:numId="11">
    <w:abstractNumId w:val="11"/>
  </w:num>
  <w:num w:numId="12">
    <w:abstractNumId w:val="9"/>
  </w:num>
  <w:num w:numId="13">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1FC"/>
    <w:rsid w:val="00003499"/>
    <w:rsid w:val="00004E1C"/>
    <w:rsid w:val="000057C7"/>
    <w:rsid w:val="00005EF3"/>
    <w:rsid w:val="000067ED"/>
    <w:rsid w:val="00006CC3"/>
    <w:rsid w:val="00006EF9"/>
    <w:rsid w:val="00007231"/>
    <w:rsid w:val="00007726"/>
    <w:rsid w:val="00007849"/>
    <w:rsid w:val="000107AD"/>
    <w:rsid w:val="00010A8B"/>
    <w:rsid w:val="00013247"/>
    <w:rsid w:val="000134EC"/>
    <w:rsid w:val="0001422A"/>
    <w:rsid w:val="0001441A"/>
    <w:rsid w:val="00014794"/>
    <w:rsid w:val="00014B9C"/>
    <w:rsid w:val="000153CC"/>
    <w:rsid w:val="00015886"/>
    <w:rsid w:val="0001612C"/>
    <w:rsid w:val="000162EF"/>
    <w:rsid w:val="000202C7"/>
    <w:rsid w:val="0002225F"/>
    <w:rsid w:val="000226FE"/>
    <w:rsid w:val="00022D6A"/>
    <w:rsid w:val="00023763"/>
    <w:rsid w:val="00023CAE"/>
    <w:rsid w:val="0002485F"/>
    <w:rsid w:val="000249B5"/>
    <w:rsid w:val="00026116"/>
    <w:rsid w:val="00031B37"/>
    <w:rsid w:val="000320FC"/>
    <w:rsid w:val="0003294A"/>
    <w:rsid w:val="00032D94"/>
    <w:rsid w:val="00033476"/>
    <w:rsid w:val="00036405"/>
    <w:rsid w:val="00040205"/>
    <w:rsid w:val="00040895"/>
    <w:rsid w:val="0004146A"/>
    <w:rsid w:val="00041FFC"/>
    <w:rsid w:val="000424F1"/>
    <w:rsid w:val="00042A50"/>
    <w:rsid w:val="00042E88"/>
    <w:rsid w:val="00043C37"/>
    <w:rsid w:val="00045861"/>
    <w:rsid w:val="00047505"/>
    <w:rsid w:val="00047877"/>
    <w:rsid w:val="000479F1"/>
    <w:rsid w:val="00047C4D"/>
    <w:rsid w:val="00051273"/>
    <w:rsid w:val="00053220"/>
    <w:rsid w:val="000533DF"/>
    <w:rsid w:val="000546D7"/>
    <w:rsid w:val="00054A47"/>
    <w:rsid w:val="0005579F"/>
    <w:rsid w:val="000571F4"/>
    <w:rsid w:val="00057457"/>
    <w:rsid w:val="00057A87"/>
    <w:rsid w:val="00060327"/>
    <w:rsid w:val="0006089F"/>
    <w:rsid w:val="00060A80"/>
    <w:rsid w:val="0006115B"/>
    <w:rsid w:val="000625D3"/>
    <w:rsid w:val="0006313D"/>
    <w:rsid w:val="00064262"/>
    <w:rsid w:val="0006548B"/>
    <w:rsid w:val="000673E6"/>
    <w:rsid w:val="000701F1"/>
    <w:rsid w:val="00071248"/>
    <w:rsid w:val="000720B9"/>
    <w:rsid w:val="00072C0A"/>
    <w:rsid w:val="00073436"/>
    <w:rsid w:val="00074F28"/>
    <w:rsid w:val="0007731C"/>
    <w:rsid w:val="000775F1"/>
    <w:rsid w:val="000802A5"/>
    <w:rsid w:val="0008046D"/>
    <w:rsid w:val="00080592"/>
    <w:rsid w:val="000807FE"/>
    <w:rsid w:val="00080A4C"/>
    <w:rsid w:val="00080ECE"/>
    <w:rsid w:val="000812CA"/>
    <w:rsid w:val="00083416"/>
    <w:rsid w:val="00085F07"/>
    <w:rsid w:val="0008607A"/>
    <w:rsid w:val="0008699F"/>
    <w:rsid w:val="00087DB8"/>
    <w:rsid w:val="00087FD2"/>
    <w:rsid w:val="00090C7E"/>
    <w:rsid w:val="00090F11"/>
    <w:rsid w:val="000939F8"/>
    <w:rsid w:val="00093D21"/>
    <w:rsid w:val="000955CC"/>
    <w:rsid w:val="00095C2E"/>
    <w:rsid w:val="00096041"/>
    <w:rsid w:val="000978AD"/>
    <w:rsid w:val="000A20A1"/>
    <w:rsid w:val="000A44D0"/>
    <w:rsid w:val="000A5783"/>
    <w:rsid w:val="000A6CB8"/>
    <w:rsid w:val="000B0679"/>
    <w:rsid w:val="000B2BA4"/>
    <w:rsid w:val="000B5C0F"/>
    <w:rsid w:val="000B5C46"/>
    <w:rsid w:val="000B7941"/>
    <w:rsid w:val="000C1BDB"/>
    <w:rsid w:val="000C2961"/>
    <w:rsid w:val="000C2B1E"/>
    <w:rsid w:val="000C7A4B"/>
    <w:rsid w:val="000C7D9E"/>
    <w:rsid w:val="000D0EEE"/>
    <w:rsid w:val="000D1A8C"/>
    <w:rsid w:val="000D1BFC"/>
    <w:rsid w:val="000D3C72"/>
    <w:rsid w:val="000D4419"/>
    <w:rsid w:val="000D4853"/>
    <w:rsid w:val="000D4AD7"/>
    <w:rsid w:val="000D5165"/>
    <w:rsid w:val="000D5CED"/>
    <w:rsid w:val="000D5D4A"/>
    <w:rsid w:val="000D5D90"/>
    <w:rsid w:val="000D67F5"/>
    <w:rsid w:val="000D7E24"/>
    <w:rsid w:val="000E2C9E"/>
    <w:rsid w:val="000E321A"/>
    <w:rsid w:val="000E3380"/>
    <w:rsid w:val="000E4E65"/>
    <w:rsid w:val="000F0CCB"/>
    <w:rsid w:val="000F2071"/>
    <w:rsid w:val="000F2D7A"/>
    <w:rsid w:val="000F3DB0"/>
    <w:rsid w:val="000F4BB8"/>
    <w:rsid w:val="000F57BF"/>
    <w:rsid w:val="000F7127"/>
    <w:rsid w:val="000F73DA"/>
    <w:rsid w:val="00100C82"/>
    <w:rsid w:val="00100F8A"/>
    <w:rsid w:val="00101708"/>
    <w:rsid w:val="00101FBE"/>
    <w:rsid w:val="00103925"/>
    <w:rsid w:val="001057B8"/>
    <w:rsid w:val="0010587F"/>
    <w:rsid w:val="00106AF7"/>
    <w:rsid w:val="0011032E"/>
    <w:rsid w:val="00110D10"/>
    <w:rsid w:val="00111042"/>
    <w:rsid w:val="00111C85"/>
    <w:rsid w:val="00112225"/>
    <w:rsid w:val="0011348B"/>
    <w:rsid w:val="001158A3"/>
    <w:rsid w:val="00115924"/>
    <w:rsid w:val="00115EB4"/>
    <w:rsid w:val="00121799"/>
    <w:rsid w:val="001222FC"/>
    <w:rsid w:val="00123980"/>
    <w:rsid w:val="00124361"/>
    <w:rsid w:val="00124A51"/>
    <w:rsid w:val="0012528D"/>
    <w:rsid w:val="00125EC1"/>
    <w:rsid w:val="00126621"/>
    <w:rsid w:val="00126BF6"/>
    <w:rsid w:val="00127B4D"/>
    <w:rsid w:val="00127C6D"/>
    <w:rsid w:val="001301E9"/>
    <w:rsid w:val="00131A40"/>
    <w:rsid w:val="00134458"/>
    <w:rsid w:val="0013669A"/>
    <w:rsid w:val="00136EB0"/>
    <w:rsid w:val="00136F86"/>
    <w:rsid w:val="00137645"/>
    <w:rsid w:val="00137C85"/>
    <w:rsid w:val="0014015A"/>
    <w:rsid w:val="00140293"/>
    <w:rsid w:val="00140E99"/>
    <w:rsid w:val="0014207F"/>
    <w:rsid w:val="00143E73"/>
    <w:rsid w:val="00144E2F"/>
    <w:rsid w:val="00145540"/>
    <w:rsid w:val="001456B0"/>
    <w:rsid w:val="00145E7A"/>
    <w:rsid w:val="00146D9E"/>
    <w:rsid w:val="001510DB"/>
    <w:rsid w:val="00151A58"/>
    <w:rsid w:val="00151FCB"/>
    <w:rsid w:val="00152159"/>
    <w:rsid w:val="001524C6"/>
    <w:rsid w:val="001528E0"/>
    <w:rsid w:val="001529B6"/>
    <w:rsid w:val="001540A0"/>
    <w:rsid w:val="001554A0"/>
    <w:rsid w:val="00155574"/>
    <w:rsid w:val="001555D3"/>
    <w:rsid w:val="00157130"/>
    <w:rsid w:val="00157E90"/>
    <w:rsid w:val="0016009D"/>
    <w:rsid w:val="00160BA8"/>
    <w:rsid w:val="00160D3C"/>
    <w:rsid w:val="00162913"/>
    <w:rsid w:val="001633B5"/>
    <w:rsid w:val="00163EFF"/>
    <w:rsid w:val="00164501"/>
    <w:rsid w:val="001661FB"/>
    <w:rsid w:val="00166B6D"/>
    <w:rsid w:val="001674C8"/>
    <w:rsid w:val="001727EB"/>
    <w:rsid w:val="00172F3E"/>
    <w:rsid w:val="001733B5"/>
    <w:rsid w:val="001741E3"/>
    <w:rsid w:val="00174B47"/>
    <w:rsid w:val="00175D5D"/>
    <w:rsid w:val="00181054"/>
    <w:rsid w:val="00181703"/>
    <w:rsid w:val="00182253"/>
    <w:rsid w:val="00184681"/>
    <w:rsid w:val="00185E5A"/>
    <w:rsid w:val="00185E82"/>
    <w:rsid w:val="0018752F"/>
    <w:rsid w:val="001901BF"/>
    <w:rsid w:val="00190C84"/>
    <w:rsid w:val="00191228"/>
    <w:rsid w:val="001920E0"/>
    <w:rsid w:val="00192DED"/>
    <w:rsid w:val="00194815"/>
    <w:rsid w:val="00195222"/>
    <w:rsid w:val="001975D8"/>
    <w:rsid w:val="001A0731"/>
    <w:rsid w:val="001A0F09"/>
    <w:rsid w:val="001A2D0C"/>
    <w:rsid w:val="001A49CA"/>
    <w:rsid w:val="001A4E8E"/>
    <w:rsid w:val="001A743B"/>
    <w:rsid w:val="001A76D5"/>
    <w:rsid w:val="001B04A6"/>
    <w:rsid w:val="001B0EC2"/>
    <w:rsid w:val="001B2869"/>
    <w:rsid w:val="001B28AD"/>
    <w:rsid w:val="001B28FB"/>
    <w:rsid w:val="001B3443"/>
    <w:rsid w:val="001B3500"/>
    <w:rsid w:val="001B3FA6"/>
    <w:rsid w:val="001B483F"/>
    <w:rsid w:val="001B4FC1"/>
    <w:rsid w:val="001B5BF9"/>
    <w:rsid w:val="001B627F"/>
    <w:rsid w:val="001B7B01"/>
    <w:rsid w:val="001B7D95"/>
    <w:rsid w:val="001C0876"/>
    <w:rsid w:val="001C1E10"/>
    <w:rsid w:val="001C1F65"/>
    <w:rsid w:val="001C4F51"/>
    <w:rsid w:val="001C622E"/>
    <w:rsid w:val="001C6E66"/>
    <w:rsid w:val="001C78DB"/>
    <w:rsid w:val="001D02CF"/>
    <w:rsid w:val="001D19D1"/>
    <w:rsid w:val="001D3AE0"/>
    <w:rsid w:val="001D5DFF"/>
    <w:rsid w:val="001D66D8"/>
    <w:rsid w:val="001E0D1B"/>
    <w:rsid w:val="001E238E"/>
    <w:rsid w:val="001E2B1E"/>
    <w:rsid w:val="001E308B"/>
    <w:rsid w:val="001E4C72"/>
    <w:rsid w:val="001E51A0"/>
    <w:rsid w:val="001E52EB"/>
    <w:rsid w:val="001E5D9D"/>
    <w:rsid w:val="001E63F6"/>
    <w:rsid w:val="001E6A2D"/>
    <w:rsid w:val="001E6E8B"/>
    <w:rsid w:val="001E740C"/>
    <w:rsid w:val="001E7696"/>
    <w:rsid w:val="001E7D49"/>
    <w:rsid w:val="001F0A92"/>
    <w:rsid w:val="001F0F1C"/>
    <w:rsid w:val="001F1235"/>
    <w:rsid w:val="001F1CB3"/>
    <w:rsid w:val="001F32AA"/>
    <w:rsid w:val="001F4187"/>
    <w:rsid w:val="001F4F36"/>
    <w:rsid w:val="001F70AA"/>
    <w:rsid w:val="001F7361"/>
    <w:rsid w:val="00200482"/>
    <w:rsid w:val="0020093E"/>
    <w:rsid w:val="002018F6"/>
    <w:rsid w:val="0020385F"/>
    <w:rsid w:val="002058E3"/>
    <w:rsid w:val="00206004"/>
    <w:rsid w:val="0020631D"/>
    <w:rsid w:val="00206498"/>
    <w:rsid w:val="00207021"/>
    <w:rsid w:val="00207D00"/>
    <w:rsid w:val="002105C1"/>
    <w:rsid w:val="00213E1A"/>
    <w:rsid w:val="002140A8"/>
    <w:rsid w:val="00217ECF"/>
    <w:rsid w:val="00221FF0"/>
    <w:rsid w:val="0022203B"/>
    <w:rsid w:val="00222296"/>
    <w:rsid w:val="00222E36"/>
    <w:rsid w:val="00223034"/>
    <w:rsid w:val="00223B49"/>
    <w:rsid w:val="00224DD4"/>
    <w:rsid w:val="00225D0B"/>
    <w:rsid w:val="00225F0B"/>
    <w:rsid w:val="0022747F"/>
    <w:rsid w:val="00227FB5"/>
    <w:rsid w:val="00230883"/>
    <w:rsid w:val="002309CC"/>
    <w:rsid w:val="0023140F"/>
    <w:rsid w:val="00232941"/>
    <w:rsid w:val="00236093"/>
    <w:rsid w:val="00237844"/>
    <w:rsid w:val="0023790C"/>
    <w:rsid w:val="0024018E"/>
    <w:rsid w:val="00241671"/>
    <w:rsid w:val="002437CE"/>
    <w:rsid w:val="00243988"/>
    <w:rsid w:val="00245CAA"/>
    <w:rsid w:val="00245CE8"/>
    <w:rsid w:val="0024757F"/>
    <w:rsid w:val="00252388"/>
    <w:rsid w:val="002527E8"/>
    <w:rsid w:val="002528E8"/>
    <w:rsid w:val="00252C5C"/>
    <w:rsid w:val="00254DCF"/>
    <w:rsid w:val="0025534B"/>
    <w:rsid w:val="00255BB7"/>
    <w:rsid w:val="0025613A"/>
    <w:rsid w:val="002562DC"/>
    <w:rsid w:val="00257130"/>
    <w:rsid w:val="0026050F"/>
    <w:rsid w:val="00260E7B"/>
    <w:rsid w:val="00261524"/>
    <w:rsid w:val="002617AE"/>
    <w:rsid w:val="00262A87"/>
    <w:rsid w:val="00264150"/>
    <w:rsid w:val="002663EE"/>
    <w:rsid w:val="00266D22"/>
    <w:rsid w:val="00267926"/>
    <w:rsid w:val="00267B0B"/>
    <w:rsid w:val="002702BE"/>
    <w:rsid w:val="0027205C"/>
    <w:rsid w:val="0027259B"/>
    <w:rsid w:val="00274584"/>
    <w:rsid w:val="00275C5A"/>
    <w:rsid w:val="00276D30"/>
    <w:rsid w:val="0027723D"/>
    <w:rsid w:val="002806CC"/>
    <w:rsid w:val="0028095F"/>
    <w:rsid w:val="00280F5C"/>
    <w:rsid w:val="00281014"/>
    <w:rsid w:val="00281D85"/>
    <w:rsid w:val="00282275"/>
    <w:rsid w:val="002856D4"/>
    <w:rsid w:val="0028663D"/>
    <w:rsid w:val="002901E6"/>
    <w:rsid w:val="002934A9"/>
    <w:rsid w:val="002946D2"/>
    <w:rsid w:val="00297C6D"/>
    <w:rsid w:val="002A0AF8"/>
    <w:rsid w:val="002A14AB"/>
    <w:rsid w:val="002A3228"/>
    <w:rsid w:val="002A42DA"/>
    <w:rsid w:val="002A49E4"/>
    <w:rsid w:val="002A4BE7"/>
    <w:rsid w:val="002B013A"/>
    <w:rsid w:val="002B07A7"/>
    <w:rsid w:val="002B1C1F"/>
    <w:rsid w:val="002B23E3"/>
    <w:rsid w:val="002B37C7"/>
    <w:rsid w:val="002B432F"/>
    <w:rsid w:val="002B4C0C"/>
    <w:rsid w:val="002B4C7B"/>
    <w:rsid w:val="002B5B90"/>
    <w:rsid w:val="002B6504"/>
    <w:rsid w:val="002B6CCE"/>
    <w:rsid w:val="002B72E6"/>
    <w:rsid w:val="002B7525"/>
    <w:rsid w:val="002C04F0"/>
    <w:rsid w:val="002C2775"/>
    <w:rsid w:val="002C27C1"/>
    <w:rsid w:val="002C3364"/>
    <w:rsid w:val="002C4E54"/>
    <w:rsid w:val="002C59B5"/>
    <w:rsid w:val="002C6EF7"/>
    <w:rsid w:val="002C741B"/>
    <w:rsid w:val="002C79B5"/>
    <w:rsid w:val="002D2627"/>
    <w:rsid w:val="002D42D2"/>
    <w:rsid w:val="002D4698"/>
    <w:rsid w:val="002E7036"/>
    <w:rsid w:val="002E7237"/>
    <w:rsid w:val="002F2C82"/>
    <w:rsid w:val="002F37E4"/>
    <w:rsid w:val="002F4F96"/>
    <w:rsid w:val="002F705E"/>
    <w:rsid w:val="002F76C8"/>
    <w:rsid w:val="00301017"/>
    <w:rsid w:val="003015D6"/>
    <w:rsid w:val="003021C3"/>
    <w:rsid w:val="00302603"/>
    <w:rsid w:val="00303059"/>
    <w:rsid w:val="00303896"/>
    <w:rsid w:val="00303FE6"/>
    <w:rsid w:val="003054C0"/>
    <w:rsid w:val="0030786C"/>
    <w:rsid w:val="00310021"/>
    <w:rsid w:val="0031031A"/>
    <w:rsid w:val="0031086D"/>
    <w:rsid w:val="00310981"/>
    <w:rsid w:val="00311544"/>
    <w:rsid w:val="003130BD"/>
    <w:rsid w:val="00313EF8"/>
    <w:rsid w:val="00315498"/>
    <w:rsid w:val="003201CC"/>
    <w:rsid w:val="003207B3"/>
    <w:rsid w:val="003213ED"/>
    <w:rsid w:val="0032249D"/>
    <w:rsid w:val="003226F2"/>
    <w:rsid w:val="0032546D"/>
    <w:rsid w:val="00325BC0"/>
    <w:rsid w:val="003267E4"/>
    <w:rsid w:val="00326F61"/>
    <w:rsid w:val="00327B13"/>
    <w:rsid w:val="003314EF"/>
    <w:rsid w:val="003316F1"/>
    <w:rsid w:val="00331AC5"/>
    <w:rsid w:val="00332CF3"/>
    <w:rsid w:val="00333D92"/>
    <w:rsid w:val="00333FC9"/>
    <w:rsid w:val="00335EF2"/>
    <w:rsid w:val="003363B1"/>
    <w:rsid w:val="003366C9"/>
    <w:rsid w:val="003371B0"/>
    <w:rsid w:val="00337C2C"/>
    <w:rsid w:val="0034182C"/>
    <w:rsid w:val="00342B41"/>
    <w:rsid w:val="00342C64"/>
    <w:rsid w:val="003438DD"/>
    <w:rsid w:val="0034553D"/>
    <w:rsid w:val="00350196"/>
    <w:rsid w:val="00350691"/>
    <w:rsid w:val="00352DDC"/>
    <w:rsid w:val="0035355F"/>
    <w:rsid w:val="0035412F"/>
    <w:rsid w:val="003548DD"/>
    <w:rsid w:val="00354962"/>
    <w:rsid w:val="00354E7C"/>
    <w:rsid w:val="0035620E"/>
    <w:rsid w:val="00356B10"/>
    <w:rsid w:val="00356B93"/>
    <w:rsid w:val="00360A4B"/>
    <w:rsid w:val="00364093"/>
    <w:rsid w:val="0036427F"/>
    <w:rsid w:val="0036484B"/>
    <w:rsid w:val="00365FB3"/>
    <w:rsid w:val="003673C5"/>
    <w:rsid w:val="00371CF9"/>
    <w:rsid w:val="00374539"/>
    <w:rsid w:val="0037466C"/>
    <w:rsid w:val="00374ECA"/>
    <w:rsid w:val="00377631"/>
    <w:rsid w:val="00380081"/>
    <w:rsid w:val="00381047"/>
    <w:rsid w:val="0038130F"/>
    <w:rsid w:val="00382250"/>
    <w:rsid w:val="0038273D"/>
    <w:rsid w:val="0038365C"/>
    <w:rsid w:val="00383FBE"/>
    <w:rsid w:val="00390334"/>
    <w:rsid w:val="00391569"/>
    <w:rsid w:val="00392099"/>
    <w:rsid w:val="00393954"/>
    <w:rsid w:val="0039490C"/>
    <w:rsid w:val="00396FD0"/>
    <w:rsid w:val="00397A4B"/>
    <w:rsid w:val="003A0492"/>
    <w:rsid w:val="003A10B1"/>
    <w:rsid w:val="003A1746"/>
    <w:rsid w:val="003A1A7A"/>
    <w:rsid w:val="003A1CD9"/>
    <w:rsid w:val="003A1DE5"/>
    <w:rsid w:val="003A25E9"/>
    <w:rsid w:val="003A3A31"/>
    <w:rsid w:val="003A46E7"/>
    <w:rsid w:val="003A4748"/>
    <w:rsid w:val="003A690C"/>
    <w:rsid w:val="003A73DF"/>
    <w:rsid w:val="003B1961"/>
    <w:rsid w:val="003B265E"/>
    <w:rsid w:val="003B3A06"/>
    <w:rsid w:val="003B3CC9"/>
    <w:rsid w:val="003C0AB2"/>
    <w:rsid w:val="003C1DC5"/>
    <w:rsid w:val="003C2081"/>
    <w:rsid w:val="003C44B9"/>
    <w:rsid w:val="003C7B31"/>
    <w:rsid w:val="003C7E82"/>
    <w:rsid w:val="003D06CA"/>
    <w:rsid w:val="003D0902"/>
    <w:rsid w:val="003D1145"/>
    <w:rsid w:val="003D13C5"/>
    <w:rsid w:val="003D1828"/>
    <w:rsid w:val="003D2422"/>
    <w:rsid w:val="003D3E0F"/>
    <w:rsid w:val="003D636C"/>
    <w:rsid w:val="003E17F1"/>
    <w:rsid w:val="003E220B"/>
    <w:rsid w:val="003E2358"/>
    <w:rsid w:val="003E3619"/>
    <w:rsid w:val="003E3D11"/>
    <w:rsid w:val="003E6364"/>
    <w:rsid w:val="003E6707"/>
    <w:rsid w:val="003E6F4F"/>
    <w:rsid w:val="003F05AE"/>
    <w:rsid w:val="003F09D8"/>
    <w:rsid w:val="003F1453"/>
    <w:rsid w:val="003F35ED"/>
    <w:rsid w:val="003F4156"/>
    <w:rsid w:val="003F4864"/>
    <w:rsid w:val="003F5A37"/>
    <w:rsid w:val="003F5D1E"/>
    <w:rsid w:val="00400E27"/>
    <w:rsid w:val="0040208B"/>
    <w:rsid w:val="00407D5B"/>
    <w:rsid w:val="00410092"/>
    <w:rsid w:val="00410481"/>
    <w:rsid w:val="00410708"/>
    <w:rsid w:val="00410EC7"/>
    <w:rsid w:val="00414476"/>
    <w:rsid w:val="0041570C"/>
    <w:rsid w:val="004162F8"/>
    <w:rsid w:val="00420661"/>
    <w:rsid w:val="004207D2"/>
    <w:rsid w:val="00420B9F"/>
    <w:rsid w:val="004216BA"/>
    <w:rsid w:val="004226B1"/>
    <w:rsid w:val="00424FEE"/>
    <w:rsid w:val="004258BD"/>
    <w:rsid w:val="00426CC2"/>
    <w:rsid w:val="00426E9B"/>
    <w:rsid w:val="00430CAF"/>
    <w:rsid w:val="00430CEF"/>
    <w:rsid w:val="00431826"/>
    <w:rsid w:val="004319F8"/>
    <w:rsid w:val="00432FD6"/>
    <w:rsid w:val="00433044"/>
    <w:rsid w:val="0043384D"/>
    <w:rsid w:val="00435011"/>
    <w:rsid w:val="004360ED"/>
    <w:rsid w:val="004363A6"/>
    <w:rsid w:val="00437D81"/>
    <w:rsid w:val="00441062"/>
    <w:rsid w:val="00442876"/>
    <w:rsid w:val="004440CC"/>
    <w:rsid w:val="004443A7"/>
    <w:rsid w:val="00445440"/>
    <w:rsid w:val="004464EB"/>
    <w:rsid w:val="00446684"/>
    <w:rsid w:val="00447071"/>
    <w:rsid w:val="004474EF"/>
    <w:rsid w:val="00453859"/>
    <w:rsid w:val="00454093"/>
    <w:rsid w:val="004544B4"/>
    <w:rsid w:val="00455C51"/>
    <w:rsid w:val="00455D45"/>
    <w:rsid w:val="00456872"/>
    <w:rsid w:val="00456EEA"/>
    <w:rsid w:val="00460689"/>
    <w:rsid w:val="00460F71"/>
    <w:rsid w:val="00461619"/>
    <w:rsid w:val="00463BCC"/>
    <w:rsid w:val="00463CB6"/>
    <w:rsid w:val="00464595"/>
    <w:rsid w:val="004650DA"/>
    <w:rsid w:val="00465D22"/>
    <w:rsid w:val="004662EE"/>
    <w:rsid w:val="00466ED6"/>
    <w:rsid w:val="00470889"/>
    <w:rsid w:val="00470E56"/>
    <w:rsid w:val="00471CCD"/>
    <w:rsid w:val="004739E3"/>
    <w:rsid w:val="00475514"/>
    <w:rsid w:val="0047646A"/>
    <w:rsid w:val="00476B93"/>
    <w:rsid w:val="0047765B"/>
    <w:rsid w:val="00482412"/>
    <w:rsid w:val="00483C93"/>
    <w:rsid w:val="004866C6"/>
    <w:rsid w:val="004867E2"/>
    <w:rsid w:val="004876B0"/>
    <w:rsid w:val="004903B7"/>
    <w:rsid w:val="00490C9F"/>
    <w:rsid w:val="00491707"/>
    <w:rsid w:val="00491B3A"/>
    <w:rsid w:val="00492070"/>
    <w:rsid w:val="00492CFD"/>
    <w:rsid w:val="0049300B"/>
    <w:rsid w:val="0049458F"/>
    <w:rsid w:val="00495E08"/>
    <w:rsid w:val="004962D2"/>
    <w:rsid w:val="00497088"/>
    <w:rsid w:val="00497D6E"/>
    <w:rsid w:val="004A0DA1"/>
    <w:rsid w:val="004A1F1B"/>
    <w:rsid w:val="004A2027"/>
    <w:rsid w:val="004A22C4"/>
    <w:rsid w:val="004A2EA6"/>
    <w:rsid w:val="004A6597"/>
    <w:rsid w:val="004A6CE8"/>
    <w:rsid w:val="004A7A89"/>
    <w:rsid w:val="004B002F"/>
    <w:rsid w:val="004B09E0"/>
    <w:rsid w:val="004B1CB4"/>
    <w:rsid w:val="004B2F18"/>
    <w:rsid w:val="004B3DDB"/>
    <w:rsid w:val="004B3E95"/>
    <w:rsid w:val="004B44FD"/>
    <w:rsid w:val="004B49AA"/>
    <w:rsid w:val="004B4F81"/>
    <w:rsid w:val="004B5419"/>
    <w:rsid w:val="004B576C"/>
    <w:rsid w:val="004B5CFC"/>
    <w:rsid w:val="004B734B"/>
    <w:rsid w:val="004B7AB2"/>
    <w:rsid w:val="004C20C5"/>
    <w:rsid w:val="004C29E2"/>
    <w:rsid w:val="004C2E06"/>
    <w:rsid w:val="004C3D65"/>
    <w:rsid w:val="004C4AED"/>
    <w:rsid w:val="004C5A3B"/>
    <w:rsid w:val="004C7D91"/>
    <w:rsid w:val="004D33A8"/>
    <w:rsid w:val="004D3A49"/>
    <w:rsid w:val="004D41A5"/>
    <w:rsid w:val="004D4829"/>
    <w:rsid w:val="004D5475"/>
    <w:rsid w:val="004D550A"/>
    <w:rsid w:val="004D5530"/>
    <w:rsid w:val="004D5B3E"/>
    <w:rsid w:val="004D5F24"/>
    <w:rsid w:val="004E0EB8"/>
    <w:rsid w:val="004E1CB0"/>
    <w:rsid w:val="004E2273"/>
    <w:rsid w:val="004E2ADC"/>
    <w:rsid w:val="004E2E9D"/>
    <w:rsid w:val="004E4285"/>
    <w:rsid w:val="004E43B2"/>
    <w:rsid w:val="004E43DD"/>
    <w:rsid w:val="004E64A5"/>
    <w:rsid w:val="004E7B45"/>
    <w:rsid w:val="004F01F3"/>
    <w:rsid w:val="004F15BD"/>
    <w:rsid w:val="004F1D02"/>
    <w:rsid w:val="004F201E"/>
    <w:rsid w:val="004F2679"/>
    <w:rsid w:val="004F372F"/>
    <w:rsid w:val="004F5C2F"/>
    <w:rsid w:val="004F6E4C"/>
    <w:rsid w:val="004F7865"/>
    <w:rsid w:val="005002C4"/>
    <w:rsid w:val="00500B17"/>
    <w:rsid w:val="005018CB"/>
    <w:rsid w:val="0050518C"/>
    <w:rsid w:val="00505F68"/>
    <w:rsid w:val="00506928"/>
    <w:rsid w:val="00506B28"/>
    <w:rsid w:val="005074ED"/>
    <w:rsid w:val="005112D9"/>
    <w:rsid w:val="00512F75"/>
    <w:rsid w:val="00513BD3"/>
    <w:rsid w:val="00513EA7"/>
    <w:rsid w:val="005152B5"/>
    <w:rsid w:val="005160DD"/>
    <w:rsid w:val="005170AB"/>
    <w:rsid w:val="005204BE"/>
    <w:rsid w:val="00521319"/>
    <w:rsid w:val="00522643"/>
    <w:rsid w:val="00523C28"/>
    <w:rsid w:val="005245E5"/>
    <w:rsid w:val="00524D2D"/>
    <w:rsid w:val="005265BE"/>
    <w:rsid w:val="00527306"/>
    <w:rsid w:val="0052731B"/>
    <w:rsid w:val="0052750A"/>
    <w:rsid w:val="00527A7D"/>
    <w:rsid w:val="005303E0"/>
    <w:rsid w:val="00531251"/>
    <w:rsid w:val="00531C2D"/>
    <w:rsid w:val="00533351"/>
    <w:rsid w:val="00534AA4"/>
    <w:rsid w:val="00534D6C"/>
    <w:rsid w:val="00535C94"/>
    <w:rsid w:val="00537ACA"/>
    <w:rsid w:val="005415B1"/>
    <w:rsid w:val="00545D38"/>
    <w:rsid w:val="0054611C"/>
    <w:rsid w:val="00551625"/>
    <w:rsid w:val="005516BF"/>
    <w:rsid w:val="00552388"/>
    <w:rsid w:val="00552BD3"/>
    <w:rsid w:val="00555109"/>
    <w:rsid w:val="005561BD"/>
    <w:rsid w:val="00556B3C"/>
    <w:rsid w:val="0056102A"/>
    <w:rsid w:val="00561707"/>
    <w:rsid w:val="00561AD1"/>
    <w:rsid w:val="00562439"/>
    <w:rsid w:val="00562D46"/>
    <w:rsid w:val="00564704"/>
    <w:rsid w:val="005663A3"/>
    <w:rsid w:val="005668D2"/>
    <w:rsid w:val="0056696F"/>
    <w:rsid w:val="00567CFA"/>
    <w:rsid w:val="00570640"/>
    <w:rsid w:val="0057248E"/>
    <w:rsid w:val="0057257D"/>
    <w:rsid w:val="00572ED0"/>
    <w:rsid w:val="005735E4"/>
    <w:rsid w:val="005736F6"/>
    <w:rsid w:val="00575D8D"/>
    <w:rsid w:val="00576972"/>
    <w:rsid w:val="00576F20"/>
    <w:rsid w:val="00581DA2"/>
    <w:rsid w:val="005827CC"/>
    <w:rsid w:val="00583699"/>
    <w:rsid w:val="005848C3"/>
    <w:rsid w:val="00587565"/>
    <w:rsid w:val="00590154"/>
    <w:rsid w:val="00590D41"/>
    <w:rsid w:val="00592EC1"/>
    <w:rsid w:val="00593776"/>
    <w:rsid w:val="00593AB2"/>
    <w:rsid w:val="005940FF"/>
    <w:rsid w:val="00596FA9"/>
    <w:rsid w:val="005974FB"/>
    <w:rsid w:val="005A427B"/>
    <w:rsid w:val="005A58F9"/>
    <w:rsid w:val="005A5A6D"/>
    <w:rsid w:val="005A658B"/>
    <w:rsid w:val="005A66F3"/>
    <w:rsid w:val="005A67D9"/>
    <w:rsid w:val="005A6F50"/>
    <w:rsid w:val="005B0FC0"/>
    <w:rsid w:val="005B146D"/>
    <w:rsid w:val="005B3771"/>
    <w:rsid w:val="005B394A"/>
    <w:rsid w:val="005B449F"/>
    <w:rsid w:val="005B5857"/>
    <w:rsid w:val="005B6530"/>
    <w:rsid w:val="005C06C2"/>
    <w:rsid w:val="005C07E6"/>
    <w:rsid w:val="005C150C"/>
    <w:rsid w:val="005C1B83"/>
    <w:rsid w:val="005C1EC1"/>
    <w:rsid w:val="005C346B"/>
    <w:rsid w:val="005C3544"/>
    <w:rsid w:val="005C793A"/>
    <w:rsid w:val="005D044D"/>
    <w:rsid w:val="005D066A"/>
    <w:rsid w:val="005D0D1E"/>
    <w:rsid w:val="005D18AD"/>
    <w:rsid w:val="005D1B4C"/>
    <w:rsid w:val="005D2D8A"/>
    <w:rsid w:val="005D5BA0"/>
    <w:rsid w:val="005D5D5D"/>
    <w:rsid w:val="005D6172"/>
    <w:rsid w:val="005D6265"/>
    <w:rsid w:val="005D7865"/>
    <w:rsid w:val="005E029A"/>
    <w:rsid w:val="005E1B6A"/>
    <w:rsid w:val="005E2C8A"/>
    <w:rsid w:val="005E38BF"/>
    <w:rsid w:val="005E4C8C"/>
    <w:rsid w:val="005E53E9"/>
    <w:rsid w:val="005E70A8"/>
    <w:rsid w:val="005E73B0"/>
    <w:rsid w:val="005E73C0"/>
    <w:rsid w:val="005F00EA"/>
    <w:rsid w:val="005F02A2"/>
    <w:rsid w:val="005F1D4D"/>
    <w:rsid w:val="005F255D"/>
    <w:rsid w:val="005F2706"/>
    <w:rsid w:val="005F3BBF"/>
    <w:rsid w:val="005F4BF8"/>
    <w:rsid w:val="005F4C40"/>
    <w:rsid w:val="005F57A9"/>
    <w:rsid w:val="005F6A8F"/>
    <w:rsid w:val="00600B35"/>
    <w:rsid w:val="00603E82"/>
    <w:rsid w:val="006050A3"/>
    <w:rsid w:val="0060602E"/>
    <w:rsid w:val="00607669"/>
    <w:rsid w:val="00607A09"/>
    <w:rsid w:val="006109A5"/>
    <w:rsid w:val="00610B76"/>
    <w:rsid w:val="00611861"/>
    <w:rsid w:val="00612248"/>
    <w:rsid w:val="00612F97"/>
    <w:rsid w:val="006132DD"/>
    <w:rsid w:val="006140AA"/>
    <w:rsid w:val="00615CC4"/>
    <w:rsid w:val="00616802"/>
    <w:rsid w:val="00617244"/>
    <w:rsid w:val="00617E12"/>
    <w:rsid w:val="006211E6"/>
    <w:rsid w:val="00621477"/>
    <w:rsid w:val="00622629"/>
    <w:rsid w:val="006227ED"/>
    <w:rsid w:val="00622A63"/>
    <w:rsid w:val="00624681"/>
    <w:rsid w:val="0062679D"/>
    <w:rsid w:val="00626EA1"/>
    <w:rsid w:val="00626F08"/>
    <w:rsid w:val="00630A1D"/>
    <w:rsid w:val="00630AC6"/>
    <w:rsid w:val="00631D6B"/>
    <w:rsid w:val="006321FC"/>
    <w:rsid w:val="00633B44"/>
    <w:rsid w:val="0063479F"/>
    <w:rsid w:val="006364A1"/>
    <w:rsid w:val="006368A2"/>
    <w:rsid w:val="00636DBB"/>
    <w:rsid w:val="00637BFD"/>
    <w:rsid w:val="00640833"/>
    <w:rsid w:val="0064107F"/>
    <w:rsid w:val="0064134C"/>
    <w:rsid w:val="006416DC"/>
    <w:rsid w:val="00641860"/>
    <w:rsid w:val="00642F04"/>
    <w:rsid w:val="0064378C"/>
    <w:rsid w:val="00643F4C"/>
    <w:rsid w:val="006449B6"/>
    <w:rsid w:val="00644E29"/>
    <w:rsid w:val="00646595"/>
    <w:rsid w:val="006471CC"/>
    <w:rsid w:val="006503C1"/>
    <w:rsid w:val="0065079F"/>
    <w:rsid w:val="0065225A"/>
    <w:rsid w:val="00653809"/>
    <w:rsid w:val="00653969"/>
    <w:rsid w:val="00654500"/>
    <w:rsid w:val="0065538E"/>
    <w:rsid w:val="006575EF"/>
    <w:rsid w:val="006626B0"/>
    <w:rsid w:val="00662FA2"/>
    <w:rsid w:val="0066311B"/>
    <w:rsid w:val="006640B4"/>
    <w:rsid w:val="006652EF"/>
    <w:rsid w:val="0066566E"/>
    <w:rsid w:val="00665CAC"/>
    <w:rsid w:val="00667548"/>
    <w:rsid w:val="006678DA"/>
    <w:rsid w:val="00670421"/>
    <w:rsid w:val="006706BD"/>
    <w:rsid w:val="00672A98"/>
    <w:rsid w:val="00673B66"/>
    <w:rsid w:val="006742FF"/>
    <w:rsid w:val="00674E42"/>
    <w:rsid w:val="0067569D"/>
    <w:rsid w:val="00675ADF"/>
    <w:rsid w:val="00675B5A"/>
    <w:rsid w:val="00675EC1"/>
    <w:rsid w:val="00680B25"/>
    <w:rsid w:val="00681262"/>
    <w:rsid w:val="006819C8"/>
    <w:rsid w:val="00682112"/>
    <w:rsid w:val="00683C07"/>
    <w:rsid w:val="0068431F"/>
    <w:rsid w:val="00685D39"/>
    <w:rsid w:val="006872BA"/>
    <w:rsid w:val="006901F5"/>
    <w:rsid w:val="00691155"/>
    <w:rsid w:val="006917D7"/>
    <w:rsid w:val="00691B86"/>
    <w:rsid w:val="00692477"/>
    <w:rsid w:val="00692F01"/>
    <w:rsid w:val="00694F44"/>
    <w:rsid w:val="00695026"/>
    <w:rsid w:val="00696D23"/>
    <w:rsid w:val="006A15EB"/>
    <w:rsid w:val="006A62DB"/>
    <w:rsid w:val="006A6F66"/>
    <w:rsid w:val="006A7F7B"/>
    <w:rsid w:val="006B1584"/>
    <w:rsid w:val="006B40F7"/>
    <w:rsid w:val="006B4944"/>
    <w:rsid w:val="006B50BE"/>
    <w:rsid w:val="006B60BD"/>
    <w:rsid w:val="006B6B78"/>
    <w:rsid w:val="006B759B"/>
    <w:rsid w:val="006B76AF"/>
    <w:rsid w:val="006B793B"/>
    <w:rsid w:val="006B7971"/>
    <w:rsid w:val="006C108B"/>
    <w:rsid w:val="006C15FB"/>
    <w:rsid w:val="006C2527"/>
    <w:rsid w:val="006C2A8E"/>
    <w:rsid w:val="006C3D41"/>
    <w:rsid w:val="006C57DE"/>
    <w:rsid w:val="006C5B12"/>
    <w:rsid w:val="006D03AD"/>
    <w:rsid w:val="006D267F"/>
    <w:rsid w:val="006D3C7D"/>
    <w:rsid w:val="006D49EC"/>
    <w:rsid w:val="006D5A1D"/>
    <w:rsid w:val="006D5D5F"/>
    <w:rsid w:val="006D6B88"/>
    <w:rsid w:val="006D6FEC"/>
    <w:rsid w:val="006D79C3"/>
    <w:rsid w:val="006E0D26"/>
    <w:rsid w:val="006E3D47"/>
    <w:rsid w:val="006E55C8"/>
    <w:rsid w:val="006E5F3D"/>
    <w:rsid w:val="006E645C"/>
    <w:rsid w:val="006E6780"/>
    <w:rsid w:val="006E73C1"/>
    <w:rsid w:val="006E7A34"/>
    <w:rsid w:val="006E7C0E"/>
    <w:rsid w:val="006F0739"/>
    <w:rsid w:val="006F0A15"/>
    <w:rsid w:val="006F0D48"/>
    <w:rsid w:val="006F1700"/>
    <w:rsid w:val="006F23CD"/>
    <w:rsid w:val="006F34F6"/>
    <w:rsid w:val="006F414B"/>
    <w:rsid w:val="006F4395"/>
    <w:rsid w:val="006F4AB7"/>
    <w:rsid w:val="006F63A5"/>
    <w:rsid w:val="0070276E"/>
    <w:rsid w:val="007027B5"/>
    <w:rsid w:val="00702F8F"/>
    <w:rsid w:val="00703BAF"/>
    <w:rsid w:val="00703DA0"/>
    <w:rsid w:val="0070463D"/>
    <w:rsid w:val="0070676A"/>
    <w:rsid w:val="00706775"/>
    <w:rsid w:val="00706BBD"/>
    <w:rsid w:val="00706C84"/>
    <w:rsid w:val="007073AF"/>
    <w:rsid w:val="007102A8"/>
    <w:rsid w:val="00711A36"/>
    <w:rsid w:val="007124B5"/>
    <w:rsid w:val="00713B46"/>
    <w:rsid w:val="00713EC3"/>
    <w:rsid w:val="00713F2B"/>
    <w:rsid w:val="007155B8"/>
    <w:rsid w:val="00716251"/>
    <w:rsid w:val="007172AD"/>
    <w:rsid w:val="00717882"/>
    <w:rsid w:val="007179E7"/>
    <w:rsid w:val="007200DC"/>
    <w:rsid w:val="00721072"/>
    <w:rsid w:val="007211CA"/>
    <w:rsid w:val="0072144B"/>
    <w:rsid w:val="00721570"/>
    <w:rsid w:val="00721635"/>
    <w:rsid w:val="00721687"/>
    <w:rsid w:val="0072416F"/>
    <w:rsid w:val="00724526"/>
    <w:rsid w:val="00725E2C"/>
    <w:rsid w:val="00731758"/>
    <w:rsid w:val="00731A01"/>
    <w:rsid w:val="007321BC"/>
    <w:rsid w:val="00735328"/>
    <w:rsid w:val="00736332"/>
    <w:rsid w:val="0073685B"/>
    <w:rsid w:val="00737BFB"/>
    <w:rsid w:val="00740AFF"/>
    <w:rsid w:val="00740F72"/>
    <w:rsid w:val="0074153F"/>
    <w:rsid w:val="0074284B"/>
    <w:rsid w:val="00742B28"/>
    <w:rsid w:val="00745916"/>
    <w:rsid w:val="00746461"/>
    <w:rsid w:val="00747D98"/>
    <w:rsid w:val="0075153F"/>
    <w:rsid w:val="007535D7"/>
    <w:rsid w:val="007536EE"/>
    <w:rsid w:val="00753A18"/>
    <w:rsid w:val="00753AA3"/>
    <w:rsid w:val="007541AC"/>
    <w:rsid w:val="00754BF1"/>
    <w:rsid w:val="00755BC1"/>
    <w:rsid w:val="007567EB"/>
    <w:rsid w:val="00756B97"/>
    <w:rsid w:val="00756E80"/>
    <w:rsid w:val="007575D7"/>
    <w:rsid w:val="007578F9"/>
    <w:rsid w:val="00762D8D"/>
    <w:rsid w:val="00762ED2"/>
    <w:rsid w:val="007644F3"/>
    <w:rsid w:val="007649B9"/>
    <w:rsid w:val="00766333"/>
    <w:rsid w:val="007666BC"/>
    <w:rsid w:val="0076676D"/>
    <w:rsid w:val="00767E26"/>
    <w:rsid w:val="0077210E"/>
    <w:rsid w:val="007723E7"/>
    <w:rsid w:val="00772E2E"/>
    <w:rsid w:val="007749A7"/>
    <w:rsid w:val="00774E38"/>
    <w:rsid w:val="00775A0F"/>
    <w:rsid w:val="007763F1"/>
    <w:rsid w:val="00776E2D"/>
    <w:rsid w:val="00777400"/>
    <w:rsid w:val="00777950"/>
    <w:rsid w:val="00777F92"/>
    <w:rsid w:val="00781B05"/>
    <w:rsid w:val="00782826"/>
    <w:rsid w:val="00783184"/>
    <w:rsid w:val="00783E7C"/>
    <w:rsid w:val="00784628"/>
    <w:rsid w:val="00786DB2"/>
    <w:rsid w:val="00787A54"/>
    <w:rsid w:val="007919D0"/>
    <w:rsid w:val="007926BA"/>
    <w:rsid w:val="00793EA7"/>
    <w:rsid w:val="00797D99"/>
    <w:rsid w:val="007A0A12"/>
    <w:rsid w:val="007A10DF"/>
    <w:rsid w:val="007A1933"/>
    <w:rsid w:val="007A3C93"/>
    <w:rsid w:val="007A48E1"/>
    <w:rsid w:val="007A6FC2"/>
    <w:rsid w:val="007A7AC9"/>
    <w:rsid w:val="007B1735"/>
    <w:rsid w:val="007B177B"/>
    <w:rsid w:val="007B251D"/>
    <w:rsid w:val="007B3DF9"/>
    <w:rsid w:val="007B3EA2"/>
    <w:rsid w:val="007B43AF"/>
    <w:rsid w:val="007B45A8"/>
    <w:rsid w:val="007B4D79"/>
    <w:rsid w:val="007B5592"/>
    <w:rsid w:val="007B6487"/>
    <w:rsid w:val="007B6DAC"/>
    <w:rsid w:val="007B77D1"/>
    <w:rsid w:val="007C1104"/>
    <w:rsid w:val="007C1AF9"/>
    <w:rsid w:val="007C1FDA"/>
    <w:rsid w:val="007C361D"/>
    <w:rsid w:val="007C3C5D"/>
    <w:rsid w:val="007C42F9"/>
    <w:rsid w:val="007C6A98"/>
    <w:rsid w:val="007D0126"/>
    <w:rsid w:val="007D0B38"/>
    <w:rsid w:val="007D0D72"/>
    <w:rsid w:val="007D1603"/>
    <w:rsid w:val="007D2459"/>
    <w:rsid w:val="007D26AE"/>
    <w:rsid w:val="007D6CE0"/>
    <w:rsid w:val="007E0D63"/>
    <w:rsid w:val="007E3D12"/>
    <w:rsid w:val="007E43D5"/>
    <w:rsid w:val="007E668E"/>
    <w:rsid w:val="007E765B"/>
    <w:rsid w:val="007E76B8"/>
    <w:rsid w:val="007E79A5"/>
    <w:rsid w:val="007F04AC"/>
    <w:rsid w:val="007F077A"/>
    <w:rsid w:val="007F1017"/>
    <w:rsid w:val="007F25C6"/>
    <w:rsid w:val="007F4468"/>
    <w:rsid w:val="007F4A3F"/>
    <w:rsid w:val="007F737C"/>
    <w:rsid w:val="008014C2"/>
    <w:rsid w:val="00802EA7"/>
    <w:rsid w:val="008039A0"/>
    <w:rsid w:val="00805142"/>
    <w:rsid w:val="0080548B"/>
    <w:rsid w:val="008064A0"/>
    <w:rsid w:val="0080759B"/>
    <w:rsid w:val="00807A8B"/>
    <w:rsid w:val="00812149"/>
    <w:rsid w:val="008123C2"/>
    <w:rsid w:val="00813FCC"/>
    <w:rsid w:val="00814A5A"/>
    <w:rsid w:val="00814BD5"/>
    <w:rsid w:val="00815138"/>
    <w:rsid w:val="0081515E"/>
    <w:rsid w:val="00815655"/>
    <w:rsid w:val="008166EF"/>
    <w:rsid w:val="0081727D"/>
    <w:rsid w:val="00820EAE"/>
    <w:rsid w:val="0082133D"/>
    <w:rsid w:val="008235AF"/>
    <w:rsid w:val="00823A54"/>
    <w:rsid w:val="00824B31"/>
    <w:rsid w:val="008264EB"/>
    <w:rsid w:val="0082652E"/>
    <w:rsid w:val="00827F55"/>
    <w:rsid w:val="008304B2"/>
    <w:rsid w:val="008311F7"/>
    <w:rsid w:val="008324E8"/>
    <w:rsid w:val="00833914"/>
    <w:rsid w:val="00833B05"/>
    <w:rsid w:val="008351BF"/>
    <w:rsid w:val="00835F0B"/>
    <w:rsid w:val="00836C5F"/>
    <w:rsid w:val="00837484"/>
    <w:rsid w:val="00840A79"/>
    <w:rsid w:val="00840CA2"/>
    <w:rsid w:val="0084185C"/>
    <w:rsid w:val="00841D99"/>
    <w:rsid w:val="008425D0"/>
    <w:rsid w:val="00843F1A"/>
    <w:rsid w:val="00844084"/>
    <w:rsid w:val="0084433B"/>
    <w:rsid w:val="00850157"/>
    <w:rsid w:val="00850197"/>
    <w:rsid w:val="0085288D"/>
    <w:rsid w:val="00855758"/>
    <w:rsid w:val="008560AA"/>
    <w:rsid w:val="00856E9A"/>
    <w:rsid w:val="00857ABC"/>
    <w:rsid w:val="00857D66"/>
    <w:rsid w:val="008611B2"/>
    <w:rsid w:val="00862502"/>
    <w:rsid w:val="00863079"/>
    <w:rsid w:val="00863AE5"/>
    <w:rsid w:val="00864596"/>
    <w:rsid w:val="00865893"/>
    <w:rsid w:val="00866920"/>
    <w:rsid w:val="00866B1A"/>
    <w:rsid w:val="00866E3E"/>
    <w:rsid w:val="00870FD5"/>
    <w:rsid w:val="0087137D"/>
    <w:rsid w:val="008730BA"/>
    <w:rsid w:val="008770CF"/>
    <w:rsid w:val="00877FEF"/>
    <w:rsid w:val="00880D46"/>
    <w:rsid w:val="00882874"/>
    <w:rsid w:val="00883787"/>
    <w:rsid w:val="0088394C"/>
    <w:rsid w:val="00883E74"/>
    <w:rsid w:val="00884046"/>
    <w:rsid w:val="00884F9A"/>
    <w:rsid w:val="00886A26"/>
    <w:rsid w:val="00886A66"/>
    <w:rsid w:val="00890566"/>
    <w:rsid w:val="00890CD3"/>
    <w:rsid w:val="00890E02"/>
    <w:rsid w:val="0089238E"/>
    <w:rsid w:val="00892873"/>
    <w:rsid w:val="00894489"/>
    <w:rsid w:val="0089507A"/>
    <w:rsid w:val="00896295"/>
    <w:rsid w:val="008963A5"/>
    <w:rsid w:val="008A12CC"/>
    <w:rsid w:val="008A1CD2"/>
    <w:rsid w:val="008A2047"/>
    <w:rsid w:val="008A3C3E"/>
    <w:rsid w:val="008A4101"/>
    <w:rsid w:val="008A4B4F"/>
    <w:rsid w:val="008A698D"/>
    <w:rsid w:val="008A6D12"/>
    <w:rsid w:val="008A79DE"/>
    <w:rsid w:val="008B0656"/>
    <w:rsid w:val="008B092F"/>
    <w:rsid w:val="008B1FE9"/>
    <w:rsid w:val="008B2613"/>
    <w:rsid w:val="008B2CC0"/>
    <w:rsid w:val="008B38E9"/>
    <w:rsid w:val="008B39A7"/>
    <w:rsid w:val="008B3A66"/>
    <w:rsid w:val="008B3D8A"/>
    <w:rsid w:val="008B3DFC"/>
    <w:rsid w:val="008B4298"/>
    <w:rsid w:val="008B678C"/>
    <w:rsid w:val="008B7D7E"/>
    <w:rsid w:val="008C0DB7"/>
    <w:rsid w:val="008C1ACC"/>
    <w:rsid w:val="008C2A4D"/>
    <w:rsid w:val="008C38B0"/>
    <w:rsid w:val="008C3D7D"/>
    <w:rsid w:val="008C5CD5"/>
    <w:rsid w:val="008C7D88"/>
    <w:rsid w:val="008C7ECB"/>
    <w:rsid w:val="008D23D6"/>
    <w:rsid w:val="008D3AF9"/>
    <w:rsid w:val="008D445A"/>
    <w:rsid w:val="008D5019"/>
    <w:rsid w:val="008D76C3"/>
    <w:rsid w:val="008D7AF6"/>
    <w:rsid w:val="008E16A3"/>
    <w:rsid w:val="008E1B9E"/>
    <w:rsid w:val="008E4165"/>
    <w:rsid w:val="008E770D"/>
    <w:rsid w:val="008E778B"/>
    <w:rsid w:val="008F120A"/>
    <w:rsid w:val="008F3609"/>
    <w:rsid w:val="008F3836"/>
    <w:rsid w:val="008F3A16"/>
    <w:rsid w:val="008F48EB"/>
    <w:rsid w:val="008F4F0B"/>
    <w:rsid w:val="008F6E2A"/>
    <w:rsid w:val="009004F1"/>
    <w:rsid w:val="00900B5A"/>
    <w:rsid w:val="009011CF"/>
    <w:rsid w:val="00901887"/>
    <w:rsid w:val="00902DAC"/>
    <w:rsid w:val="00902E6A"/>
    <w:rsid w:val="00903410"/>
    <w:rsid w:val="009062A5"/>
    <w:rsid w:val="00906B7F"/>
    <w:rsid w:val="00906CC8"/>
    <w:rsid w:val="0091044D"/>
    <w:rsid w:val="00910642"/>
    <w:rsid w:val="0091078C"/>
    <w:rsid w:val="00911272"/>
    <w:rsid w:val="009116DD"/>
    <w:rsid w:val="0091245F"/>
    <w:rsid w:val="009130B4"/>
    <w:rsid w:val="00913660"/>
    <w:rsid w:val="009142F1"/>
    <w:rsid w:val="0091526B"/>
    <w:rsid w:val="00915AFF"/>
    <w:rsid w:val="00917536"/>
    <w:rsid w:val="0091794C"/>
    <w:rsid w:val="0092241D"/>
    <w:rsid w:val="00924B4D"/>
    <w:rsid w:val="00924BA5"/>
    <w:rsid w:val="00925827"/>
    <w:rsid w:val="00925C58"/>
    <w:rsid w:val="00926EAC"/>
    <w:rsid w:val="00927436"/>
    <w:rsid w:val="00930371"/>
    <w:rsid w:val="00930475"/>
    <w:rsid w:val="009328D0"/>
    <w:rsid w:val="00933F2C"/>
    <w:rsid w:val="009348F7"/>
    <w:rsid w:val="009357FE"/>
    <w:rsid w:val="009358A8"/>
    <w:rsid w:val="009364C7"/>
    <w:rsid w:val="009370CC"/>
    <w:rsid w:val="00940E57"/>
    <w:rsid w:val="009410EB"/>
    <w:rsid w:val="00941380"/>
    <w:rsid w:val="00941747"/>
    <w:rsid w:val="00941CF4"/>
    <w:rsid w:val="00945D20"/>
    <w:rsid w:val="00946758"/>
    <w:rsid w:val="00947A72"/>
    <w:rsid w:val="009500FD"/>
    <w:rsid w:val="009530B1"/>
    <w:rsid w:val="00954D31"/>
    <w:rsid w:val="00955265"/>
    <w:rsid w:val="00955795"/>
    <w:rsid w:val="00960C0F"/>
    <w:rsid w:val="00962CB9"/>
    <w:rsid w:val="009639A6"/>
    <w:rsid w:val="00964251"/>
    <w:rsid w:val="00964312"/>
    <w:rsid w:val="009644F4"/>
    <w:rsid w:val="00964E48"/>
    <w:rsid w:val="00964EF5"/>
    <w:rsid w:val="009657A3"/>
    <w:rsid w:val="009668E2"/>
    <w:rsid w:val="00966923"/>
    <w:rsid w:val="00967598"/>
    <w:rsid w:val="00973DF6"/>
    <w:rsid w:val="00974D8D"/>
    <w:rsid w:val="00975ABD"/>
    <w:rsid w:val="00976036"/>
    <w:rsid w:val="0098027B"/>
    <w:rsid w:val="00980F5A"/>
    <w:rsid w:val="00981513"/>
    <w:rsid w:val="00981D4E"/>
    <w:rsid w:val="00983E57"/>
    <w:rsid w:val="00984196"/>
    <w:rsid w:val="00984D60"/>
    <w:rsid w:val="00985096"/>
    <w:rsid w:val="00985D6D"/>
    <w:rsid w:val="00987272"/>
    <w:rsid w:val="009873D3"/>
    <w:rsid w:val="0098744E"/>
    <w:rsid w:val="00990A0E"/>
    <w:rsid w:val="009911D2"/>
    <w:rsid w:val="009924C5"/>
    <w:rsid w:val="00992B6D"/>
    <w:rsid w:val="00992E90"/>
    <w:rsid w:val="00995199"/>
    <w:rsid w:val="00996B1A"/>
    <w:rsid w:val="00996E94"/>
    <w:rsid w:val="0099707F"/>
    <w:rsid w:val="009A0726"/>
    <w:rsid w:val="009A11BA"/>
    <w:rsid w:val="009A19B9"/>
    <w:rsid w:val="009A1E78"/>
    <w:rsid w:val="009A2593"/>
    <w:rsid w:val="009A5486"/>
    <w:rsid w:val="009A5DE5"/>
    <w:rsid w:val="009A73AD"/>
    <w:rsid w:val="009B250A"/>
    <w:rsid w:val="009B28EF"/>
    <w:rsid w:val="009B316B"/>
    <w:rsid w:val="009B3E26"/>
    <w:rsid w:val="009B7BB1"/>
    <w:rsid w:val="009C11BB"/>
    <w:rsid w:val="009C3334"/>
    <w:rsid w:val="009C38BF"/>
    <w:rsid w:val="009C7ED4"/>
    <w:rsid w:val="009D07BB"/>
    <w:rsid w:val="009D37A5"/>
    <w:rsid w:val="009D469A"/>
    <w:rsid w:val="009D5B91"/>
    <w:rsid w:val="009D6772"/>
    <w:rsid w:val="009D7BC4"/>
    <w:rsid w:val="009D7D37"/>
    <w:rsid w:val="009E4C07"/>
    <w:rsid w:val="009E4EAF"/>
    <w:rsid w:val="009E5EFD"/>
    <w:rsid w:val="009E63A2"/>
    <w:rsid w:val="009E6DD2"/>
    <w:rsid w:val="009E6E4D"/>
    <w:rsid w:val="009E708E"/>
    <w:rsid w:val="009F05D9"/>
    <w:rsid w:val="009F2E81"/>
    <w:rsid w:val="009F79B1"/>
    <w:rsid w:val="00A03D43"/>
    <w:rsid w:val="00A04380"/>
    <w:rsid w:val="00A060D7"/>
    <w:rsid w:val="00A0678F"/>
    <w:rsid w:val="00A06923"/>
    <w:rsid w:val="00A10F6B"/>
    <w:rsid w:val="00A11085"/>
    <w:rsid w:val="00A11AE4"/>
    <w:rsid w:val="00A1337C"/>
    <w:rsid w:val="00A13948"/>
    <w:rsid w:val="00A13ECE"/>
    <w:rsid w:val="00A13FC2"/>
    <w:rsid w:val="00A1422A"/>
    <w:rsid w:val="00A1536C"/>
    <w:rsid w:val="00A15E77"/>
    <w:rsid w:val="00A16E17"/>
    <w:rsid w:val="00A1708C"/>
    <w:rsid w:val="00A212B1"/>
    <w:rsid w:val="00A218DC"/>
    <w:rsid w:val="00A25000"/>
    <w:rsid w:val="00A26CF4"/>
    <w:rsid w:val="00A27AEC"/>
    <w:rsid w:val="00A324F7"/>
    <w:rsid w:val="00A3468E"/>
    <w:rsid w:val="00A3499A"/>
    <w:rsid w:val="00A349FE"/>
    <w:rsid w:val="00A34E4E"/>
    <w:rsid w:val="00A35D16"/>
    <w:rsid w:val="00A361D2"/>
    <w:rsid w:val="00A36491"/>
    <w:rsid w:val="00A37EEF"/>
    <w:rsid w:val="00A418A9"/>
    <w:rsid w:val="00A42904"/>
    <w:rsid w:val="00A4303D"/>
    <w:rsid w:val="00A4354E"/>
    <w:rsid w:val="00A43905"/>
    <w:rsid w:val="00A439AE"/>
    <w:rsid w:val="00A43C59"/>
    <w:rsid w:val="00A443B4"/>
    <w:rsid w:val="00A448D6"/>
    <w:rsid w:val="00A45187"/>
    <w:rsid w:val="00A50222"/>
    <w:rsid w:val="00A50ECD"/>
    <w:rsid w:val="00A52729"/>
    <w:rsid w:val="00A53675"/>
    <w:rsid w:val="00A54901"/>
    <w:rsid w:val="00A54D44"/>
    <w:rsid w:val="00A55E21"/>
    <w:rsid w:val="00A563FF"/>
    <w:rsid w:val="00A56B6A"/>
    <w:rsid w:val="00A56DC6"/>
    <w:rsid w:val="00A578DC"/>
    <w:rsid w:val="00A6132D"/>
    <w:rsid w:val="00A63701"/>
    <w:rsid w:val="00A6405D"/>
    <w:rsid w:val="00A64684"/>
    <w:rsid w:val="00A654D5"/>
    <w:rsid w:val="00A65596"/>
    <w:rsid w:val="00A663C8"/>
    <w:rsid w:val="00A6725B"/>
    <w:rsid w:val="00A71866"/>
    <w:rsid w:val="00A718BC"/>
    <w:rsid w:val="00A74BE6"/>
    <w:rsid w:val="00A750FD"/>
    <w:rsid w:val="00A755AC"/>
    <w:rsid w:val="00A77B55"/>
    <w:rsid w:val="00A807CA"/>
    <w:rsid w:val="00A81290"/>
    <w:rsid w:val="00A8234A"/>
    <w:rsid w:val="00A82D20"/>
    <w:rsid w:val="00A82D9F"/>
    <w:rsid w:val="00A83916"/>
    <w:rsid w:val="00A84345"/>
    <w:rsid w:val="00A849EE"/>
    <w:rsid w:val="00A863CC"/>
    <w:rsid w:val="00A86E8B"/>
    <w:rsid w:val="00A87BCF"/>
    <w:rsid w:val="00A91251"/>
    <w:rsid w:val="00A92197"/>
    <w:rsid w:val="00A93072"/>
    <w:rsid w:val="00A959D8"/>
    <w:rsid w:val="00A969EE"/>
    <w:rsid w:val="00A97279"/>
    <w:rsid w:val="00A974F7"/>
    <w:rsid w:val="00AA0A84"/>
    <w:rsid w:val="00AA2042"/>
    <w:rsid w:val="00AA2097"/>
    <w:rsid w:val="00AA3FE6"/>
    <w:rsid w:val="00AA7143"/>
    <w:rsid w:val="00AB042A"/>
    <w:rsid w:val="00AB0646"/>
    <w:rsid w:val="00AB0E4D"/>
    <w:rsid w:val="00AB0F20"/>
    <w:rsid w:val="00AB1243"/>
    <w:rsid w:val="00AB2063"/>
    <w:rsid w:val="00AB296A"/>
    <w:rsid w:val="00AB2D34"/>
    <w:rsid w:val="00AB2D6E"/>
    <w:rsid w:val="00AB30B4"/>
    <w:rsid w:val="00AB3409"/>
    <w:rsid w:val="00AB3430"/>
    <w:rsid w:val="00AB565B"/>
    <w:rsid w:val="00AB5D14"/>
    <w:rsid w:val="00AB6AC5"/>
    <w:rsid w:val="00AB79E9"/>
    <w:rsid w:val="00AB7CFA"/>
    <w:rsid w:val="00AC173A"/>
    <w:rsid w:val="00AC1EF7"/>
    <w:rsid w:val="00AC3D8E"/>
    <w:rsid w:val="00AC4118"/>
    <w:rsid w:val="00AC4262"/>
    <w:rsid w:val="00AC47AA"/>
    <w:rsid w:val="00AC5252"/>
    <w:rsid w:val="00AC652C"/>
    <w:rsid w:val="00AC6BE7"/>
    <w:rsid w:val="00AC6D51"/>
    <w:rsid w:val="00AC7180"/>
    <w:rsid w:val="00AD0A4E"/>
    <w:rsid w:val="00AD16A1"/>
    <w:rsid w:val="00AD2123"/>
    <w:rsid w:val="00AD28D5"/>
    <w:rsid w:val="00AD3054"/>
    <w:rsid w:val="00AD3314"/>
    <w:rsid w:val="00AD36CC"/>
    <w:rsid w:val="00AD3CF0"/>
    <w:rsid w:val="00AD4D97"/>
    <w:rsid w:val="00AD4E8D"/>
    <w:rsid w:val="00AD5EF0"/>
    <w:rsid w:val="00AD5FDB"/>
    <w:rsid w:val="00AE35C8"/>
    <w:rsid w:val="00AE3D1C"/>
    <w:rsid w:val="00AE5507"/>
    <w:rsid w:val="00AE63A1"/>
    <w:rsid w:val="00AF0E63"/>
    <w:rsid w:val="00AF288A"/>
    <w:rsid w:val="00AF4751"/>
    <w:rsid w:val="00AF498A"/>
    <w:rsid w:val="00AF57DE"/>
    <w:rsid w:val="00AF5E5F"/>
    <w:rsid w:val="00AF75FA"/>
    <w:rsid w:val="00B00307"/>
    <w:rsid w:val="00B018EF"/>
    <w:rsid w:val="00B022AA"/>
    <w:rsid w:val="00B043F3"/>
    <w:rsid w:val="00B04A8E"/>
    <w:rsid w:val="00B04BCB"/>
    <w:rsid w:val="00B07B0D"/>
    <w:rsid w:val="00B1453F"/>
    <w:rsid w:val="00B14583"/>
    <w:rsid w:val="00B16CCB"/>
    <w:rsid w:val="00B20D42"/>
    <w:rsid w:val="00B21F0F"/>
    <w:rsid w:val="00B23036"/>
    <w:rsid w:val="00B23669"/>
    <w:rsid w:val="00B23FCB"/>
    <w:rsid w:val="00B24AD9"/>
    <w:rsid w:val="00B24C96"/>
    <w:rsid w:val="00B25664"/>
    <w:rsid w:val="00B25E36"/>
    <w:rsid w:val="00B26388"/>
    <w:rsid w:val="00B2687F"/>
    <w:rsid w:val="00B27F01"/>
    <w:rsid w:val="00B3195D"/>
    <w:rsid w:val="00B332DB"/>
    <w:rsid w:val="00B34098"/>
    <w:rsid w:val="00B34647"/>
    <w:rsid w:val="00B34AFC"/>
    <w:rsid w:val="00B37354"/>
    <w:rsid w:val="00B42851"/>
    <w:rsid w:val="00B438AC"/>
    <w:rsid w:val="00B45173"/>
    <w:rsid w:val="00B4672A"/>
    <w:rsid w:val="00B46CA6"/>
    <w:rsid w:val="00B46DAA"/>
    <w:rsid w:val="00B47FBA"/>
    <w:rsid w:val="00B506B8"/>
    <w:rsid w:val="00B50DB8"/>
    <w:rsid w:val="00B528EA"/>
    <w:rsid w:val="00B53905"/>
    <w:rsid w:val="00B53DB3"/>
    <w:rsid w:val="00B54B5B"/>
    <w:rsid w:val="00B5562E"/>
    <w:rsid w:val="00B56789"/>
    <w:rsid w:val="00B56FEF"/>
    <w:rsid w:val="00B57000"/>
    <w:rsid w:val="00B57314"/>
    <w:rsid w:val="00B607CC"/>
    <w:rsid w:val="00B60939"/>
    <w:rsid w:val="00B60AFD"/>
    <w:rsid w:val="00B62715"/>
    <w:rsid w:val="00B64D16"/>
    <w:rsid w:val="00B65C88"/>
    <w:rsid w:val="00B66B95"/>
    <w:rsid w:val="00B66EED"/>
    <w:rsid w:val="00B67517"/>
    <w:rsid w:val="00B70053"/>
    <w:rsid w:val="00B72C95"/>
    <w:rsid w:val="00B72E5D"/>
    <w:rsid w:val="00B73478"/>
    <w:rsid w:val="00B73ECB"/>
    <w:rsid w:val="00B74383"/>
    <w:rsid w:val="00B75297"/>
    <w:rsid w:val="00B75ABA"/>
    <w:rsid w:val="00B76513"/>
    <w:rsid w:val="00B7728F"/>
    <w:rsid w:val="00B775DE"/>
    <w:rsid w:val="00B818A4"/>
    <w:rsid w:val="00B83FB4"/>
    <w:rsid w:val="00B8441F"/>
    <w:rsid w:val="00B84910"/>
    <w:rsid w:val="00B8604A"/>
    <w:rsid w:val="00B862AD"/>
    <w:rsid w:val="00B8649C"/>
    <w:rsid w:val="00B86B01"/>
    <w:rsid w:val="00B902A0"/>
    <w:rsid w:val="00B92A08"/>
    <w:rsid w:val="00B92D0B"/>
    <w:rsid w:val="00B941B3"/>
    <w:rsid w:val="00B94945"/>
    <w:rsid w:val="00B94E6F"/>
    <w:rsid w:val="00B95ED6"/>
    <w:rsid w:val="00B97C99"/>
    <w:rsid w:val="00BA081B"/>
    <w:rsid w:val="00BA147B"/>
    <w:rsid w:val="00BA2164"/>
    <w:rsid w:val="00BA2898"/>
    <w:rsid w:val="00BA2CDB"/>
    <w:rsid w:val="00BA55B6"/>
    <w:rsid w:val="00BB4A53"/>
    <w:rsid w:val="00BB6DF7"/>
    <w:rsid w:val="00BB7405"/>
    <w:rsid w:val="00BC06DC"/>
    <w:rsid w:val="00BC0AA7"/>
    <w:rsid w:val="00BC2434"/>
    <w:rsid w:val="00BC402E"/>
    <w:rsid w:val="00BC41B0"/>
    <w:rsid w:val="00BD010E"/>
    <w:rsid w:val="00BD2542"/>
    <w:rsid w:val="00BD32FF"/>
    <w:rsid w:val="00BD3684"/>
    <w:rsid w:val="00BD47A7"/>
    <w:rsid w:val="00BD5B0B"/>
    <w:rsid w:val="00BD689E"/>
    <w:rsid w:val="00BD6CF3"/>
    <w:rsid w:val="00BE01D7"/>
    <w:rsid w:val="00BE04B5"/>
    <w:rsid w:val="00BE0E07"/>
    <w:rsid w:val="00BE1FF9"/>
    <w:rsid w:val="00BE2180"/>
    <w:rsid w:val="00BE24B0"/>
    <w:rsid w:val="00BE4275"/>
    <w:rsid w:val="00BE4500"/>
    <w:rsid w:val="00BE4B61"/>
    <w:rsid w:val="00BE524D"/>
    <w:rsid w:val="00BE772B"/>
    <w:rsid w:val="00BF06EE"/>
    <w:rsid w:val="00BF1C7E"/>
    <w:rsid w:val="00BF2433"/>
    <w:rsid w:val="00BF3BED"/>
    <w:rsid w:val="00BF61C9"/>
    <w:rsid w:val="00BF7EC0"/>
    <w:rsid w:val="00C0206C"/>
    <w:rsid w:val="00C03ECC"/>
    <w:rsid w:val="00C06A63"/>
    <w:rsid w:val="00C074CE"/>
    <w:rsid w:val="00C1159D"/>
    <w:rsid w:val="00C15146"/>
    <w:rsid w:val="00C15EB0"/>
    <w:rsid w:val="00C1664F"/>
    <w:rsid w:val="00C2008A"/>
    <w:rsid w:val="00C235CC"/>
    <w:rsid w:val="00C23DD9"/>
    <w:rsid w:val="00C25418"/>
    <w:rsid w:val="00C25CDF"/>
    <w:rsid w:val="00C25D9C"/>
    <w:rsid w:val="00C26C21"/>
    <w:rsid w:val="00C30C9E"/>
    <w:rsid w:val="00C310FD"/>
    <w:rsid w:val="00C31649"/>
    <w:rsid w:val="00C316E2"/>
    <w:rsid w:val="00C32D8B"/>
    <w:rsid w:val="00C3393E"/>
    <w:rsid w:val="00C34BE3"/>
    <w:rsid w:val="00C34E37"/>
    <w:rsid w:val="00C34F68"/>
    <w:rsid w:val="00C40385"/>
    <w:rsid w:val="00C409E3"/>
    <w:rsid w:val="00C4131A"/>
    <w:rsid w:val="00C418F9"/>
    <w:rsid w:val="00C434AF"/>
    <w:rsid w:val="00C43E6E"/>
    <w:rsid w:val="00C440B3"/>
    <w:rsid w:val="00C461E8"/>
    <w:rsid w:val="00C46B96"/>
    <w:rsid w:val="00C4705F"/>
    <w:rsid w:val="00C51DB5"/>
    <w:rsid w:val="00C52148"/>
    <w:rsid w:val="00C55AA3"/>
    <w:rsid w:val="00C57220"/>
    <w:rsid w:val="00C600B0"/>
    <w:rsid w:val="00C6064B"/>
    <w:rsid w:val="00C62131"/>
    <w:rsid w:val="00C621B7"/>
    <w:rsid w:val="00C63106"/>
    <w:rsid w:val="00C63A04"/>
    <w:rsid w:val="00C63E05"/>
    <w:rsid w:val="00C647AA"/>
    <w:rsid w:val="00C64A67"/>
    <w:rsid w:val="00C64DD2"/>
    <w:rsid w:val="00C65576"/>
    <w:rsid w:val="00C66165"/>
    <w:rsid w:val="00C6758B"/>
    <w:rsid w:val="00C67FD4"/>
    <w:rsid w:val="00C728FC"/>
    <w:rsid w:val="00C729A9"/>
    <w:rsid w:val="00C72DA5"/>
    <w:rsid w:val="00C75015"/>
    <w:rsid w:val="00C750C8"/>
    <w:rsid w:val="00C76068"/>
    <w:rsid w:val="00C76EFC"/>
    <w:rsid w:val="00C777BA"/>
    <w:rsid w:val="00C800B8"/>
    <w:rsid w:val="00C8213F"/>
    <w:rsid w:val="00C8216C"/>
    <w:rsid w:val="00C822F6"/>
    <w:rsid w:val="00C82B78"/>
    <w:rsid w:val="00C84BB4"/>
    <w:rsid w:val="00C86293"/>
    <w:rsid w:val="00C87943"/>
    <w:rsid w:val="00C8797A"/>
    <w:rsid w:val="00C9053F"/>
    <w:rsid w:val="00C91DF8"/>
    <w:rsid w:val="00C938CF"/>
    <w:rsid w:val="00C93A17"/>
    <w:rsid w:val="00C93A1E"/>
    <w:rsid w:val="00C94B2F"/>
    <w:rsid w:val="00C9635E"/>
    <w:rsid w:val="00C963CB"/>
    <w:rsid w:val="00CA1973"/>
    <w:rsid w:val="00CA2514"/>
    <w:rsid w:val="00CA253D"/>
    <w:rsid w:val="00CA3DB0"/>
    <w:rsid w:val="00CA5245"/>
    <w:rsid w:val="00CA7B09"/>
    <w:rsid w:val="00CB2CFA"/>
    <w:rsid w:val="00CB3124"/>
    <w:rsid w:val="00CB3145"/>
    <w:rsid w:val="00CB4C3E"/>
    <w:rsid w:val="00CB54C6"/>
    <w:rsid w:val="00CB56F0"/>
    <w:rsid w:val="00CB5B1A"/>
    <w:rsid w:val="00CB7CB7"/>
    <w:rsid w:val="00CB7EDA"/>
    <w:rsid w:val="00CC2DAE"/>
    <w:rsid w:val="00CC31EF"/>
    <w:rsid w:val="00CC354E"/>
    <w:rsid w:val="00CC7C7D"/>
    <w:rsid w:val="00CD1773"/>
    <w:rsid w:val="00CD2385"/>
    <w:rsid w:val="00CD2677"/>
    <w:rsid w:val="00CD5FD1"/>
    <w:rsid w:val="00CD6999"/>
    <w:rsid w:val="00CD6ADC"/>
    <w:rsid w:val="00CE6274"/>
    <w:rsid w:val="00CE6863"/>
    <w:rsid w:val="00CE7748"/>
    <w:rsid w:val="00CF021B"/>
    <w:rsid w:val="00CF0A88"/>
    <w:rsid w:val="00CF0BBA"/>
    <w:rsid w:val="00CF219C"/>
    <w:rsid w:val="00CF2446"/>
    <w:rsid w:val="00CF2901"/>
    <w:rsid w:val="00CF456B"/>
    <w:rsid w:val="00CF5A22"/>
    <w:rsid w:val="00CF7278"/>
    <w:rsid w:val="00CF75FD"/>
    <w:rsid w:val="00CF7AA9"/>
    <w:rsid w:val="00D00059"/>
    <w:rsid w:val="00D015A7"/>
    <w:rsid w:val="00D01F34"/>
    <w:rsid w:val="00D0262E"/>
    <w:rsid w:val="00D02DE3"/>
    <w:rsid w:val="00D03E07"/>
    <w:rsid w:val="00D06134"/>
    <w:rsid w:val="00D074AB"/>
    <w:rsid w:val="00D07B07"/>
    <w:rsid w:val="00D07C8A"/>
    <w:rsid w:val="00D10384"/>
    <w:rsid w:val="00D1050E"/>
    <w:rsid w:val="00D10D15"/>
    <w:rsid w:val="00D110BD"/>
    <w:rsid w:val="00D12338"/>
    <w:rsid w:val="00D1268D"/>
    <w:rsid w:val="00D14AF7"/>
    <w:rsid w:val="00D160CE"/>
    <w:rsid w:val="00D16351"/>
    <w:rsid w:val="00D16AA1"/>
    <w:rsid w:val="00D16C43"/>
    <w:rsid w:val="00D17B12"/>
    <w:rsid w:val="00D17D6C"/>
    <w:rsid w:val="00D2090D"/>
    <w:rsid w:val="00D20A36"/>
    <w:rsid w:val="00D20BDB"/>
    <w:rsid w:val="00D21583"/>
    <w:rsid w:val="00D21FEA"/>
    <w:rsid w:val="00D2204E"/>
    <w:rsid w:val="00D226BF"/>
    <w:rsid w:val="00D23001"/>
    <w:rsid w:val="00D233AF"/>
    <w:rsid w:val="00D24E2F"/>
    <w:rsid w:val="00D309AE"/>
    <w:rsid w:val="00D31165"/>
    <w:rsid w:val="00D31AEE"/>
    <w:rsid w:val="00D32556"/>
    <w:rsid w:val="00D33F95"/>
    <w:rsid w:val="00D34315"/>
    <w:rsid w:val="00D35718"/>
    <w:rsid w:val="00D357FF"/>
    <w:rsid w:val="00D358E1"/>
    <w:rsid w:val="00D364B6"/>
    <w:rsid w:val="00D366BE"/>
    <w:rsid w:val="00D36942"/>
    <w:rsid w:val="00D3745E"/>
    <w:rsid w:val="00D3760D"/>
    <w:rsid w:val="00D379B1"/>
    <w:rsid w:val="00D4041F"/>
    <w:rsid w:val="00D40654"/>
    <w:rsid w:val="00D42506"/>
    <w:rsid w:val="00D42A41"/>
    <w:rsid w:val="00D442D0"/>
    <w:rsid w:val="00D44309"/>
    <w:rsid w:val="00D514F8"/>
    <w:rsid w:val="00D515F2"/>
    <w:rsid w:val="00D524A1"/>
    <w:rsid w:val="00D52680"/>
    <w:rsid w:val="00D53269"/>
    <w:rsid w:val="00D5329C"/>
    <w:rsid w:val="00D539C5"/>
    <w:rsid w:val="00D53DFE"/>
    <w:rsid w:val="00D54057"/>
    <w:rsid w:val="00D559A0"/>
    <w:rsid w:val="00D56427"/>
    <w:rsid w:val="00D57088"/>
    <w:rsid w:val="00D604F8"/>
    <w:rsid w:val="00D624A3"/>
    <w:rsid w:val="00D6256D"/>
    <w:rsid w:val="00D6284C"/>
    <w:rsid w:val="00D634E5"/>
    <w:rsid w:val="00D635E7"/>
    <w:rsid w:val="00D63FA3"/>
    <w:rsid w:val="00D65793"/>
    <w:rsid w:val="00D65928"/>
    <w:rsid w:val="00D660F8"/>
    <w:rsid w:val="00D710BF"/>
    <w:rsid w:val="00D76202"/>
    <w:rsid w:val="00D76A44"/>
    <w:rsid w:val="00D77B24"/>
    <w:rsid w:val="00D819EF"/>
    <w:rsid w:val="00D81E9D"/>
    <w:rsid w:val="00D84D6E"/>
    <w:rsid w:val="00D862E8"/>
    <w:rsid w:val="00D903CD"/>
    <w:rsid w:val="00D911FD"/>
    <w:rsid w:val="00D93753"/>
    <w:rsid w:val="00D94200"/>
    <w:rsid w:val="00D945D3"/>
    <w:rsid w:val="00D957A0"/>
    <w:rsid w:val="00D96BED"/>
    <w:rsid w:val="00D970E8"/>
    <w:rsid w:val="00D97D4A"/>
    <w:rsid w:val="00D97D66"/>
    <w:rsid w:val="00DA11DF"/>
    <w:rsid w:val="00DA30F0"/>
    <w:rsid w:val="00DA347C"/>
    <w:rsid w:val="00DA3EFB"/>
    <w:rsid w:val="00DA5E88"/>
    <w:rsid w:val="00DA6FDE"/>
    <w:rsid w:val="00DA74CC"/>
    <w:rsid w:val="00DA77A5"/>
    <w:rsid w:val="00DB1EF4"/>
    <w:rsid w:val="00DB2DF2"/>
    <w:rsid w:val="00DB3150"/>
    <w:rsid w:val="00DB561E"/>
    <w:rsid w:val="00DB6A32"/>
    <w:rsid w:val="00DC1613"/>
    <w:rsid w:val="00DC1CC3"/>
    <w:rsid w:val="00DC224C"/>
    <w:rsid w:val="00DC2CF1"/>
    <w:rsid w:val="00DC48C7"/>
    <w:rsid w:val="00DC5501"/>
    <w:rsid w:val="00DC77DD"/>
    <w:rsid w:val="00DC7DE7"/>
    <w:rsid w:val="00DD3F28"/>
    <w:rsid w:val="00DD4537"/>
    <w:rsid w:val="00DD48DB"/>
    <w:rsid w:val="00DD4E15"/>
    <w:rsid w:val="00DD50CE"/>
    <w:rsid w:val="00DD6CAA"/>
    <w:rsid w:val="00DE000B"/>
    <w:rsid w:val="00DE1EB8"/>
    <w:rsid w:val="00DE392D"/>
    <w:rsid w:val="00DE3D38"/>
    <w:rsid w:val="00DE4FCB"/>
    <w:rsid w:val="00DE5A79"/>
    <w:rsid w:val="00DE6247"/>
    <w:rsid w:val="00DE670F"/>
    <w:rsid w:val="00DF01E5"/>
    <w:rsid w:val="00DF0B64"/>
    <w:rsid w:val="00DF42B4"/>
    <w:rsid w:val="00DF5D2B"/>
    <w:rsid w:val="00DF6C01"/>
    <w:rsid w:val="00E00230"/>
    <w:rsid w:val="00E017D8"/>
    <w:rsid w:val="00E032F8"/>
    <w:rsid w:val="00E03695"/>
    <w:rsid w:val="00E048A1"/>
    <w:rsid w:val="00E04DE0"/>
    <w:rsid w:val="00E05B23"/>
    <w:rsid w:val="00E05BA6"/>
    <w:rsid w:val="00E0721F"/>
    <w:rsid w:val="00E10149"/>
    <w:rsid w:val="00E11368"/>
    <w:rsid w:val="00E13171"/>
    <w:rsid w:val="00E157D3"/>
    <w:rsid w:val="00E15DC4"/>
    <w:rsid w:val="00E16372"/>
    <w:rsid w:val="00E17C93"/>
    <w:rsid w:val="00E20CFE"/>
    <w:rsid w:val="00E20ED1"/>
    <w:rsid w:val="00E20ED6"/>
    <w:rsid w:val="00E21358"/>
    <w:rsid w:val="00E21F9C"/>
    <w:rsid w:val="00E2249B"/>
    <w:rsid w:val="00E22A0D"/>
    <w:rsid w:val="00E23879"/>
    <w:rsid w:val="00E247C0"/>
    <w:rsid w:val="00E24DC1"/>
    <w:rsid w:val="00E2771E"/>
    <w:rsid w:val="00E303F6"/>
    <w:rsid w:val="00E3042C"/>
    <w:rsid w:val="00E311C3"/>
    <w:rsid w:val="00E31CB1"/>
    <w:rsid w:val="00E320F8"/>
    <w:rsid w:val="00E32A17"/>
    <w:rsid w:val="00E37569"/>
    <w:rsid w:val="00E3781F"/>
    <w:rsid w:val="00E412E4"/>
    <w:rsid w:val="00E41864"/>
    <w:rsid w:val="00E41E30"/>
    <w:rsid w:val="00E423DE"/>
    <w:rsid w:val="00E43D70"/>
    <w:rsid w:val="00E43FB0"/>
    <w:rsid w:val="00E45C1C"/>
    <w:rsid w:val="00E462DA"/>
    <w:rsid w:val="00E4663A"/>
    <w:rsid w:val="00E46C5D"/>
    <w:rsid w:val="00E47B2C"/>
    <w:rsid w:val="00E502AD"/>
    <w:rsid w:val="00E502ED"/>
    <w:rsid w:val="00E51560"/>
    <w:rsid w:val="00E5189E"/>
    <w:rsid w:val="00E51F27"/>
    <w:rsid w:val="00E5258F"/>
    <w:rsid w:val="00E52651"/>
    <w:rsid w:val="00E52914"/>
    <w:rsid w:val="00E53287"/>
    <w:rsid w:val="00E53859"/>
    <w:rsid w:val="00E5533A"/>
    <w:rsid w:val="00E55424"/>
    <w:rsid w:val="00E556F9"/>
    <w:rsid w:val="00E55BB5"/>
    <w:rsid w:val="00E61170"/>
    <w:rsid w:val="00E62E86"/>
    <w:rsid w:val="00E62EC5"/>
    <w:rsid w:val="00E64DC5"/>
    <w:rsid w:val="00E65D22"/>
    <w:rsid w:val="00E65E79"/>
    <w:rsid w:val="00E67416"/>
    <w:rsid w:val="00E67589"/>
    <w:rsid w:val="00E70222"/>
    <w:rsid w:val="00E7079A"/>
    <w:rsid w:val="00E71139"/>
    <w:rsid w:val="00E71848"/>
    <w:rsid w:val="00E718B6"/>
    <w:rsid w:val="00E718E7"/>
    <w:rsid w:val="00E73581"/>
    <w:rsid w:val="00E763F5"/>
    <w:rsid w:val="00E76B65"/>
    <w:rsid w:val="00E81BEF"/>
    <w:rsid w:val="00E83BDF"/>
    <w:rsid w:val="00E870BA"/>
    <w:rsid w:val="00E877E0"/>
    <w:rsid w:val="00E90280"/>
    <w:rsid w:val="00E907D1"/>
    <w:rsid w:val="00E909F4"/>
    <w:rsid w:val="00E9363E"/>
    <w:rsid w:val="00E9498A"/>
    <w:rsid w:val="00E95375"/>
    <w:rsid w:val="00E97181"/>
    <w:rsid w:val="00E976B9"/>
    <w:rsid w:val="00EA0898"/>
    <w:rsid w:val="00EA0D92"/>
    <w:rsid w:val="00EA2355"/>
    <w:rsid w:val="00EA32B2"/>
    <w:rsid w:val="00EA3864"/>
    <w:rsid w:val="00EA3973"/>
    <w:rsid w:val="00EA4258"/>
    <w:rsid w:val="00EA4FF7"/>
    <w:rsid w:val="00EA5321"/>
    <w:rsid w:val="00EA759C"/>
    <w:rsid w:val="00EA7745"/>
    <w:rsid w:val="00EB07AB"/>
    <w:rsid w:val="00EB07D7"/>
    <w:rsid w:val="00EB0F46"/>
    <w:rsid w:val="00EB15B6"/>
    <w:rsid w:val="00EB19A6"/>
    <w:rsid w:val="00EB270F"/>
    <w:rsid w:val="00EB3F17"/>
    <w:rsid w:val="00EB4916"/>
    <w:rsid w:val="00EB4B25"/>
    <w:rsid w:val="00EB5182"/>
    <w:rsid w:val="00EB59CC"/>
    <w:rsid w:val="00EB5BCC"/>
    <w:rsid w:val="00EB5E28"/>
    <w:rsid w:val="00EB61CA"/>
    <w:rsid w:val="00EB6C77"/>
    <w:rsid w:val="00EB78ED"/>
    <w:rsid w:val="00EB79E1"/>
    <w:rsid w:val="00EC00C9"/>
    <w:rsid w:val="00EC1625"/>
    <w:rsid w:val="00EC163A"/>
    <w:rsid w:val="00EC1690"/>
    <w:rsid w:val="00EC221D"/>
    <w:rsid w:val="00EC2963"/>
    <w:rsid w:val="00EC485B"/>
    <w:rsid w:val="00EC50D9"/>
    <w:rsid w:val="00EC5617"/>
    <w:rsid w:val="00EC6F5C"/>
    <w:rsid w:val="00EC7B1D"/>
    <w:rsid w:val="00ED04C2"/>
    <w:rsid w:val="00ED51B1"/>
    <w:rsid w:val="00ED5523"/>
    <w:rsid w:val="00ED5743"/>
    <w:rsid w:val="00ED61BE"/>
    <w:rsid w:val="00ED7551"/>
    <w:rsid w:val="00ED75E6"/>
    <w:rsid w:val="00EE05B4"/>
    <w:rsid w:val="00EE07D3"/>
    <w:rsid w:val="00EE1AC8"/>
    <w:rsid w:val="00EE2F19"/>
    <w:rsid w:val="00EE2F89"/>
    <w:rsid w:val="00EE45AD"/>
    <w:rsid w:val="00EE5005"/>
    <w:rsid w:val="00EE5F9D"/>
    <w:rsid w:val="00EE7675"/>
    <w:rsid w:val="00EE77AA"/>
    <w:rsid w:val="00EE7B68"/>
    <w:rsid w:val="00EF11C5"/>
    <w:rsid w:val="00EF39DB"/>
    <w:rsid w:val="00EF3DAB"/>
    <w:rsid w:val="00EF6A81"/>
    <w:rsid w:val="00EF72B4"/>
    <w:rsid w:val="00EF75B0"/>
    <w:rsid w:val="00EF79C3"/>
    <w:rsid w:val="00F01203"/>
    <w:rsid w:val="00F02008"/>
    <w:rsid w:val="00F02CFB"/>
    <w:rsid w:val="00F0400A"/>
    <w:rsid w:val="00F061EB"/>
    <w:rsid w:val="00F067A2"/>
    <w:rsid w:val="00F06C42"/>
    <w:rsid w:val="00F10F84"/>
    <w:rsid w:val="00F11F7C"/>
    <w:rsid w:val="00F12761"/>
    <w:rsid w:val="00F1521E"/>
    <w:rsid w:val="00F15906"/>
    <w:rsid w:val="00F1624E"/>
    <w:rsid w:val="00F16C57"/>
    <w:rsid w:val="00F16CDD"/>
    <w:rsid w:val="00F1778E"/>
    <w:rsid w:val="00F205BC"/>
    <w:rsid w:val="00F20C99"/>
    <w:rsid w:val="00F213B1"/>
    <w:rsid w:val="00F226AC"/>
    <w:rsid w:val="00F23B07"/>
    <w:rsid w:val="00F23FA8"/>
    <w:rsid w:val="00F24837"/>
    <w:rsid w:val="00F2575F"/>
    <w:rsid w:val="00F27357"/>
    <w:rsid w:val="00F274FD"/>
    <w:rsid w:val="00F277AF"/>
    <w:rsid w:val="00F302A6"/>
    <w:rsid w:val="00F302F7"/>
    <w:rsid w:val="00F31087"/>
    <w:rsid w:val="00F326B4"/>
    <w:rsid w:val="00F33253"/>
    <w:rsid w:val="00F33D7C"/>
    <w:rsid w:val="00F33DE9"/>
    <w:rsid w:val="00F34377"/>
    <w:rsid w:val="00F34F70"/>
    <w:rsid w:val="00F3619A"/>
    <w:rsid w:val="00F401DD"/>
    <w:rsid w:val="00F4024E"/>
    <w:rsid w:val="00F40369"/>
    <w:rsid w:val="00F439BD"/>
    <w:rsid w:val="00F44404"/>
    <w:rsid w:val="00F4467A"/>
    <w:rsid w:val="00F46623"/>
    <w:rsid w:val="00F46CB6"/>
    <w:rsid w:val="00F472DF"/>
    <w:rsid w:val="00F5072E"/>
    <w:rsid w:val="00F50DB3"/>
    <w:rsid w:val="00F51074"/>
    <w:rsid w:val="00F5201D"/>
    <w:rsid w:val="00F530C5"/>
    <w:rsid w:val="00F53450"/>
    <w:rsid w:val="00F54B06"/>
    <w:rsid w:val="00F55E73"/>
    <w:rsid w:val="00F575E8"/>
    <w:rsid w:val="00F5795F"/>
    <w:rsid w:val="00F60092"/>
    <w:rsid w:val="00F60977"/>
    <w:rsid w:val="00F617AB"/>
    <w:rsid w:val="00F62CCF"/>
    <w:rsid w:val="00F63491"/>
    <w:rsid w:val="00F63C51"/>
    <w:rsid w:val="00F64765"/>
    <w:rsid w:val="00F64FD6"/>
    <w:rsid w:val="00F65F04"/>
    <w:rsid w:val="00F67E45"/>
    <w:rsid w:val="00F7007D"/>
    <w:rsid w:val="00F707FC"/>
    <w:rsid w:val="00F708CE"/>
    <w:rsid w:val="00F70D0B"/>
    <w:rsid w:val="00F7222A"/>
    <w:rsid w:val="00F72429"/>
    <w:rsid w:val="00F73278"/>
    <w:rsid w:val="00F744EE"/>
    <w:rsid w:val="00F75FAA"/>
    <w:rsid w:val="00F76051"/>
    <w:rsid w:val="00F7672D"/>
    <w:rsid w:val="00F80E5D"/>
    <w:rsid w:val="00F81183"/>
    <w:rsid w:val="00F8127C"/>
    <w:rsid w:val="00F82948"/>
    <w:rsid w:val="00F83927"/>
    <w:rsid w:val="00F8465E"/>
    <w:rsid w:val="00F851CE"/>
    <w:rsid w:val="00F85ACB"/>
    <w:rsid w:val="00F87018"/>
    <w:rsid w:val="00F903EB"/>
    <w:rsid w:val="00F91A76"/>
    <w:rsid w:val="00F94504"/>
    <w:rsid w:val="00F968C5"/>
    <w:rsid w:val="00F97A78"/>
    <w:rsid w:val="00FA1284"/>
    <w:rsid w:val="00FA1363"/>
    <w:rsid w:val="00FA136B"/>
    <w:rsid w:val="00FA1EBA"/>
    <w:rsid w:val="00FA24E7"/>
    <w:rsid w:val="00FA26C1"/>
    <w:rsid w:val="00FA3243"/>
    <w:rsid w:val="00FA56C4"/>
    <w:rsid w:val="00FA6728"/>
    <w:rsid w:val="00FA694D"/>
    <w:rsid w:val="00FA7519"/>
    <w:rsid w:val="00FB07BB"/>
    <w:rsid w:val="00FB2FCB"/>
    <w:rsid w:val="00FB4A6D"/>
    <w:rsid w:val="00FB5D14"/>
    <w:rsid w:val="00FB647A"/>
    <w:rsid w:val="00FB73B9"/>
    <w:rsid w:val="00FC1074"/>
    <w:rsid w:val="00FC150B"/>
    <w:rsid w:val="00FC1884"/>
    <w:rsid w:val="00FC260D"/>
    <w:rsid w:val="00FC360F"/>
    <w:rsid w:val="00FC43C0"/>
    <w:rsid w:val="00FC46E1"/>
    <w:rsid w:val="00FC4A64"/>
    <w:rsid w:val="00FC4E42"/>
    <w:rsid w:val="00FC61CA"/>
    <w:rsid w:val="00FC74A8"/>
    <w:rsid w:val="00FC779D"/>
    <w:rsid w:val="00FD0D06"/>
    <w:rsid w:val="00FD0EE2"/>
    <w:rsid w:val="00FD1A75"/>
    <w:rsid w:val="00FD1C21"/>
    <w:rsid w:val="00FD2100"/>
    <w:rsid w:val="00FD23FE"/>
    <w:rsid w:val="00FD2C0B"/>
    <w:rsid w:val="00FD2FB5"/>
    <w:rsid w:val="00FD446D"/>
    <w:rsid w:val="00FD6F2A"/>
    <w:rsid w:val="00FD7F19"/>
    <w:rsid w:val="00FE0B77"/>
    <w:rsid w:val="00FE0BA7"/>
    <w:rsid w:val="00FE1752"/>
    <w:rsid w:val="00FE2F35"/>
    <w:rsid w:val="00FE4046"/>
    <w:rsid w:val="00FE5D1F"/>
    <w:rsid w:val="00FE61A4"/>
    <w:rsid w:val="00FE690B"/>
    <w:rsid w:val="00FE7F5E"/>
    <w:rsid w:val="00FF017C"/>
    <w:rsid w:val="00FF08B5"/>
    <w:rsid w:val="00FF09AB"/>
    <w:rsid w:val="00FF2679"/>
    <w:rsid w:val="00FF3DCF"/>
    <w:rsid w:val="00FF466D"/>
    <w:rsid w:val="00FF4827"/>
    <w:rsid w:val="00FF583A"/>
    <w:rsid w:val="00FF5AA3"/>
    <w:rsid w:val="00FF5EE6"/>
    <w:rsid w:val="00FF6BFD"/>
    <w:rsid w:val="00FF720C"/>
    <w:rsid w:val="00FF7D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Body Text" w:uiPriority="99" w:qFormat="1"/>
    <w:lsdException w:name="Body Text Indent" w:uiPriority="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1A743B"/>
    <w:pPr>
      <w:spacing w:before="120" w:after="160"/>
      <w:ind w:left="1418" w:hanging="1418"/>
      <w:outlineLvl w:val="0"/>
    </w:pPr>
    <w:rPr>
      <w:rFonts w:asciiTheme="minorHAnsi" w:hAnsiTheme="minorHAnsi"/>
      <w:b/>
      <w:sz w:val="36"/>
    </w:rPr>
  </w:style>
  <w:style w:type="paragraph" w:styleId="Heading2">
    <w:name w:val="heading 2"/>
    <w:basedOn w:val="Heading1"/>
    <w:next w:val="Normal"/>
    <w:link w:val="Heading2Char"/>
    <w:uiPriority w:val="1"/>
    <w:qFormat/>
    <w:rsid w:val="001A743B"/>
    <w:pPr>
      <w:keepNext/>
      <w:keepLines/>
      <w:widowControl/>
      <w:numPr>
        <w:numId w:val="3"/>
      </w:numPr>
      <w:jc w:val="left"/>
      <w:outlineLvl w:val="1"/>
    </w:pPr>
    <w:rPr>
      <w:sz w:val="32"/>
    </w:rPr>
  </w:style>
  <w:style w:type="paragraph" w:styleId="Heading3">
    <w:name w:val="heading 3"/>
    <w:basedOn w:val="Normal"/>
    <w:next w:val="Normal"/>
    <w:link w:val="Heading3Char"/>
    <w:uiPriority w:val="1"/>
    <w:qFormat/>
    <w:rsid w:val="00B24C96"/>
    <w:pPr>
      <w:widowControl/>
      <w:spacing w:before="240" w:after="120"/>
      <w:outlineLvl w:val="2"/>
    </w:pPr>
    <w:rPr>
      <w:rFonts w:ascii="Calibri" w:hAnsi="Calibri"/>
      <w:b/>
      <w:sz w:val="28"/>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A83916"/>
    <w:pPr>
      <w:spacing w:after="60"/>
    </w:pPr>
    <w:rPr>
      <w:rFonts w:ascii="Arial Narrow" w:hAnsi="Arial Narrow"/>
      <w:b/>
      <w:sz w:val="20"/>
    </w:rPr>
  </w:style>
  <w:style w:type="character" w:customStyle="1" w:styleId="Heading2Char">
    <w:name w:val="Heading 2 Char"/>
    <w:link w:val="Heading2"/>
    <w:uiPriority w:val="1"/>
    <w:rsid w:val="001A743B"/>
    <w:rPr>
      <w:rFonts w:asciiTheme="minorHAnsi" w:hAnsiTheme="minorHAnsi" w:cs="Arial"/>
      <w:b/>
      <w:snapToGrid w:val="0"/>
      <w:sz w:val="3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FB5D14"/>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FB5D14"/>
    <w:rPr>
      <w:rFonts w:ascii="Arial Narrow" w:eastAsiaTheme="minorHAnsi" w:hAnsi="Arial Narrow" w:cstheme="minorBidi"/>
      <w:b/>
      <w:szCs w:val="22"/>
      <w:lang w:eastAsia="en-US"/>
    </w:rPr>
  </w:style>
  <w:style w:type="paragraph" w:styleId="Title">
    <w:name w:val="Title"/>
    <w:basedOn w:val="Normal"/>
    <w:next w:val="Normal"/>
    <w:link w:val="TitleChar"/>
    <w:uiPriority w:val="7"/>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D366BE"/>
    <w:pPr>
      <w:spacing w:after="120"/>
      <w:ind w:left="720"/>
      <w:contextualSpacing/>
    </w:pPr>
    <w:rPr>
      <w:rFonts w:ascii="Calibri" w:hAnsi="Calibri"/>
      <w:sz w:val="24"/>
    </w:r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A56B6A"/>
    <w:pPr>
      <w:widowControl/>
      <w:spacing w:after="120"/>
      <w:jc w:val="left"/>
    </w:pPr>
    <w:rPr>
      <w:rFonts w:cs="Times New Roman"/>
      <w:snapToGrid/>
      <w:sz w:val="20"/>
    </w:rPr>
  </w:style>
  <w:style w:type="paragraph" w:customStyle="1" w:styleId="TableHeading0">
    <w:name w:val="TableHeading"/>
    <w:basedOn w:val="Normal"/>
    <w:uiPriority w:val="99"/>
    <w:qFormat/>
    <w:rsid w:val="00A83916"/>
    <w:pPr>
      <w:keepNext/>
      <w:widowControl/>
      <w:spacing w:after="60"/>
      <w:jc w:val="left"/>
    </w:pPr>
    <w:rPr>
      <w:rFonts w:ascii="Arial Narrow" w:hAnsi="Arial Narrow" w:cs="Arial Narrow"/>
      <w:b/>
      <w:bCs/>
      <w:snapToGrid/>
      <w:sz w:val="20"/>
    </w:rPr>
  </w:style>
  <w:style w:type="character" w:customStyle="1" w:styleId="TabletextChar">
    <w:name w:val="Table text Char"/>
    <w:link w:val="Tabletext"/>
    <w:uiPriority w:val="2"/>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1A743B"/>
    <w:rPr>
      <w:rFonts w:asciiTheme="minorHAnsi" w:hAnsiTheme="minorHAnsi" w:cs="Arial"/>
      <w:b/>
      <w:snapToGrid w:val="0"/>
      <w:sz w:val="36"/>
      <w:lang w:eastAsia="en-US"/>
    </w:rPr>
  </w:style>
  <w:style w:type="character" w:customStyle="1" w:styleId="Heading3Char">
    <w:name w:val="Heading 3 Char"/>
    <w:basedOn w:val="DefaultParagraphFont"/>
    <w:link w:val="Heading3"/>
    <w:uiPriority w:val="1"/>
    <w:rsid w:val="00B24C96"/>
    <w:rPr>
      <w:rFonts w:ascii="Calibri" w:hAnsi="Calibri" w:cs="Arial"/>
      <w:b/>
      <w:snapToGrid w:val="0"/>
      <w:sz w:val="28"/>
      <w:lang w:eastAsia="en-US"/>
    </w:rPr>
  </w:style>
  <w:style w:type="paragraph" w:customStyle="1" w:styleId="V50Heading2nonumbers">
    <w:name w:val="V5.0 Heading 2 no numbers"/>
    <w:basedOn w:val="Heading2"/>
    <w:uiPriority w:val="99"/>
    <w:qFormat/>
    <w:rsid w:val="00DD48DB"/>
    <w:pPr>
      <w:ind w:left="578" w:hanging="578"/>
    </w:pPr>
    <w:rPr>
      <w:rFonts w:eastAsiaTheme="majorEastAsia" w:cstheme="majorBidi"/>
      <w:i/>
      <w:snapToGrid/>
      <w:szCs w:val="28"/>
    </w:rPr>
  </w:style>
  <w:style w:type="paragraph" w:customStyle="1" w:styleId="V50Instructions">
    <w:name w:val="V5.0 Instructions"/>
    <w:basedOn w:val="Normal"/>
    <w:link w:val="V50InstructionsChar"/>
    <w:qFormat/>
    <w:rsid w:val="00DD48DB"/>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uiPriority w:val="5"/>
    <w:rsid w:val="00DD48DB"/>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DD48DB"/>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DD48DB"/>
    <w:rPr>
      <w:rFonts w:ascii="Arial" w:hAnsi="Arial" w:cs="Arial"/>
      <w:b/>
      <w:bCs/>
      <w:i/>
      <w:snapToGrid w:val="0"/>
      <w:sz w:val="22"/>
      <w:szCs w:val="22"/>
      <w:lang w:eastAsia="en-US"/>
    </w:rPr>
  </w:style>
  <w:style w:type="paragraph" w:customStyle="1" w:styleId="V50Heading1nonumbers">
    <w:name w:val="V5.0 Heading 1 no numbers"/>
    <w:basedOn w:val="Heading1"/>
    <w:uiPriority w:val="99"/>
    <w:qFormat/>
    <w:rsid w:val="00DD48DB"/>
    <w:pPr>
      <w:keepNext/>
      <w:keepLines/>
      <w:widowControl/>
      <w:ind w:left="0" w:firstLine="0"/>
      <w:jc w:val="left"/>
    </w:pPr>
    <w:rPr>
      <w:rFonts w:eastAsiaTheme="majorEastAsia" w:cstheme="majorBidi"/>
      <w:caps/>
      <w:snapToGrid/>
      <w:szCs w:val="28"/>
    </w:rPr>
  </w:style>
  <w:style w:type="paragraph" w:customStyle="1" w:styleId="V50TableText">
    <w:name w:val="V5.0 TableText"/>
    <w:link w:val="V50TableTextChar"/>
    <w:qFormat/>
    <w:rsid w:val="00DD48DB"/>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uiPriority w:val="99"/>
    <w:qFormat/>
    <w:rsid w:val="00DD48DB"/>
    <w:rPr>
      <w:b/>
      <w:color w:val="4BACC6" w:themeColor="accent5"/>
    </w:rPr>
  </w:style>
  <w:style w:type="paragraph" w:customStyle="1" w:styleId="V50InstructionsBullets">
    <w:name w:val="V5.0 Instructions Bullets"/>
    <w:basedOn w:val="V50Instructions"/>
    <w:uiPriority w:val="99"/>
    <w:qFormat/>
    <w:rsid w:val="00DD48DB"/>
    <w:pPr>
      <w:numPr>
        <w:numId w:val="4"/>
      </w:numPr>
      <w:spacing w:before="0" w:after="0"/>
      <w:ind w:left="714" w:hanging="357"/>
    </w:pPr>
  </w:style>
  <w:style w:type="table" w:customStyle="1" w:styleId="TableGridLight1">
    <w:name w:val="Table Grid Light1"/>
    <w:basedOn w:val="TableNormal"/>
    <w:uiPriority w:val="40"/>
    <w:rsid w:val="00DD48D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D48D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link w:val="TableTextChar0"/>
    <w:uiPriority w:val="99"/>
    <w:qFormat/>
    <w:rsid w:val="00FE4046"/>
    <w:pPr>
      <w:keepNext/>
      <w:widowControl/>
      <w:spacing w:before="40" w:after="40"/>
      <w:jc w:val="left"/>
    </w:pPr>
    <w:rPr>
      <w:rFonts w:ascii="Arial Narrow" w:eastAsiaTheme="minorHAnsi" w:hAnsi="Arial Narrow" w:cstheme="minorBidi"/>
      <w:snapToGrid/>
      <w:sz w:val="20"/>
      <w:szCs w:val="22"/>
    </w:rPr>
  </w:style>
  <w:style w:type="paragraph" w:styleId="FootnoteText">
    <w:name w:val="footnote text"/>
    <w:basedOn w:val="Normal"/>
    <w:link w:val="FootnoteTextChar"/>
    <w:unhideWhenUsed/>
    <w:rsid w:val="00DD48DB"/>
    <w:pPr>
      <w:widowControl/>
      <w:jc w:val="left"/>
    </w:pPr>
    <w:rPr>
      <w:rFonts w:asciiTheme="minorHAnsi" w:eastAsiaTheme="minorHAnsi" w:hAnsiTheme="minorHAnsi" w:cstheme="minorBidi"/>
      <w:snapToGrid/>
      <w:sz w:val="18"/>
    </w:rPr>
  </w:style>
  <w:style w:type="character" w:customStyle="1" w:styleId="FootnoteTextChar">
    <w:name w:val="Footnote Text Char"/>
    <w:basedOn w:val="DefaultParagraphFont"/>
    <w:link w:val="FootnoteText"/>
    <w:rsid w:val="00DD48DB"/>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DD48DB"/>
    <w:rPr>
      <w:vertAlign w:val="superscript"/>
    </w:rPr>
  </w:style>
  <w:style w:type="paragraph" w:customStyle="1" w:styleId="TableFigNoteLast">
    <w:name w:val="TableFigNote Last"/>
    <w:basedOn w:val="Normal"/>
    <w:uiPriority w:val="99"/>
    <w:qFormat/>
    <w:rsid w:val="00DD48DB"/>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DD48DB"/>
    <w:rPr>
      <w:b w:val="0"/>
      <w:i/>
      <w:iCs/>
    </w:rPr>
  </w:style>
  <w:style w:type="paragraph" w:customStyle="1" w:styleId="TableHeading">
    <w:name w:val="Table Heading"/>
    <w:basedOn w:val="Normal"/>
    <w:uiPriority w:val="99"/>
    <w:qFormat/>
    <w:rsid w:val="00DD48DB"/>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DD48DB"/>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DD48DB"/>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DD48DB"/>
    <w:pPr>
      <w:keepNext/>
    </w:pPr>
    <w:rPr>
      <w:b/>
    </w:rPr>
  </w:style>
  <w:style w:type="character" w:customStyle="1" w:styleId="V50TablenameChar">
    <w:name w:val="V5.0 Table name Char"/>
    <w:basedOn w:val="DefaultParagraphFont"/>
    <w:link w:val="V50Tablename"/>
    <w:rsid w:val="00DD48DB"/>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DD48DB"/>
    <w:pPr>
      <w:spacing w:after="120"/>
      <w:contextualSpacing/>
      <w:jc w:val="both"/>
    </w:pPr>
    <w:rPr>
      <w:sz w:val="18"/>
      <w:szCs w:val="18"/>
    </w:rPr>
  </w:style>
  <w:style w:type="character" w:customStyle="1" w:styleId="V50TablenoteChar">
    <w:name w:val="V5.0 Tablenote Char"/>
    <w:basedOn w:val="DefaultParagraphFont"/>
    <w:link w:val="V50Tablenote"/>
    <w:rsid w:val="00DD48DB"/>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DD48DB"/>
    <w:rPr>
      <w:rFonts w:ascii="Arial Narrow" w:hAnsi="Arial Narrow" w:cs="Arial"/>
      <w:snapToGrid w:val="0"/>
      <w:sz w:val="18"/>
      <w:lang w:eastAsia="en-US"/>
    </w:rPr>
  </w:style>
  <w:style w:type="paragraph" w:customStyle="1" w:styleId="TableNotes">
    <w:name w:val="TableNotes"/>
    <w:basedOn w:val="Normal"/>
    <w:uiPriority w:val="99"/>
    <w:qFormat/>
    <w:rsid w:val="00DD48DB"/>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DD48DB"/>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DD48DB"/>
    <w:rPr>
      <w:rFonts w:asciiTheme="minorHAnsi" w:eastAsiaTheme="minorHAnsi" w:hAnsiTheme="minorHAnsi" w:cs="Arial"/>
      <w:sz w:val="18"/>
      <w:szCs w:val="18"/>
      <w:lang w:val="en-US" w:eastAsia="en-US"/>
    </w:rPr>
  </w:style>
  <w:style w:type="paragraph" w:customStyle="1" w:styleId="Style1">
    <w:name w:val="Style1"/>
    <w:basedOn w:val="Normal"/>
    <w:uiPriority w:val="99"/>
    <w:rsid w:val="00DD48DB"/>
  </w:style>
  <w:style w:type="paragraph" w:customStyle="1" w:styleId="PBACheading10">
    <w:name w:val="PBAC heading 1"/>
    <w:uiPriority w:val="99"/>
    <w:qFormat/>
    <w:rsid w:val="00DD48DB"/>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72"/>
    <w:locked/>
    <w:rsid w:val="00D366BE"/>
    <w:rPr>
      <w:rFonts w:ascii="Calibri" w:hAnsi="Calibri" w:cs="Arial"/>
      <w:snapToGrid w:val="0"/>
      <w:sz w:val="24"/>
      <w:lang w:eastAsia="en-US"/>
    </w:rPr>
  </w:style>
  <w:style w:type="numbering" w:customStyle="1" w:styleId="Headings">
    <w:name w:val="Headings"/>
    <w:uiPriority w:val="99"/>
    <w:rsid w:val="00DD48DB"/>
    <w:pPr>
      <w:numPr>
        <w:numId w:val="5"/>
      </w:numPr>
    </w:pPr>
  </w:style>
  <w:style w:type="character" w:styleId="FollowedHyperlink">
    <w:name w:val="FollowedHyperlink"/>
    <w:basedOn w:val="DefaultParagraphFont"/>
    <w:uiPriority w:val="99"/>
    <w:semiHidden/>
    <w:unhideWhenUsed/>
    <w:rsid w:val="00DD48DB"/>
    <w:rPr>
      <w:color w:val="800080" w:themeColor="followedHyperlink"/>
      <w:u w:val="single"/>
    </w:rPr>
  </w:style>
  <w:style w:type="paragraph" w:customStyle="1" w:styleId="BulletLast">
    <w:name w:val="Bullet Last"/>
    <w:basedOn w:val="Normal"/>
    <w:uiPriority w:val="99"/>
    <w:qFormat/>
    <w:rsid w:val="00DD48DB"/>
    <w:pPr>
      <w:widowControl/>
      <w:numPr>
        <w:numId w:val="6"/>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uiPriority w:val="99"/>
    <w:qFormat/>
    <w:rsid w:val="00DD48DB"/>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DD48DB"/>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D48DB"/>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uiPriority w:val="99"/>
    <w:rsid w:val="00DD48DB"/>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Left">
    <w:name w:val="Table Left"/>
    <w:basedOn w:val="Normal"/>
    <w:link w:val="TableLeftChar"/>
    <w:uiPriority w:val="99"/>
    <w:qFormat/>
    <w:rsid w:val="00E67589"/>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E67589"/>
    <w:rPr>
      <w:rFonts w:ascii="Candara" w:hAnsi="Candara"/>
      <w:szCs w:val="22"/>
      <w:lang w:eastAsia="en-US"/>
    </w:rPr>
  </w:style>
  <w:style w:type="character" w:customStyle="1" w:styleId="Heading4Char1">
    <w:name w:val="Heading 4 Char1"/>
    <w:aliases w:val="Heading 1 - Body Char1"/>
    <w:basedOn w:val="DefaultParagraphFont"/>
    <w:uiPriority w:val="5"/>
    <w:semiHidden/>
    <w:rsid w:val="00E53287"/>
    <w:rPr>
      <w:rFonts w:asciiTheme="majorHAnsi" w:eastAsiaTheme="majorEastAsia" w:hAnsiTheme="majorHAnsi" w:cstheme="majorBidi"/>
      <w:i/>
      <w:iCs/>
      <w:color w:val="365F91" w:themeColor="accent1" w:themeShade="BF"/>
      <w:sz w:val="22"/>
      <w:lang w:eastAsia="en-US"/>
    </w:rPr>
  </w:style>
  <w:style w:type="character" w:customStyle="1" w:styleId="Heading5Char1">
    <w:name w:val="Heading 5 Char1"/>
    <w:aliases w:val="Heading 2 - Body Char1"/>
    <w:basedOn w:val="DefaultParagraphFont"/>
    <w:uiPriority w:val="7"/>
    <w:semiHidden/>
    <w:rsid w:val="00E53287"/>
    <w:rPr>
      <w:rFonts w:asciiTheme="majorHAnsi" w:eastAsiaTheme="majorEastAsia" w:hAnsiTheme="majorHAnsi" w:cstheme="majorBidi"/>
      <w:color w:val="365F91" w:themeColor="accent1" w:themeShade="BF"/>
      <w:sz w:val="22"/>
      <w:lang w:eastAsia="en-US"/>
    </w:rPr>
  </w:style>
  <w:style w:type="character" w:customStyle="1" w:styleId="Heading6Char1">
    <w:name w:val="Heading 6 Char1"/>
    <w:aliases w:val="Heading 3 - Body Char1"/>
    <w:basedOn w:val="DefaultParagraphFont"/>
    <w:uiPriority w:val="7"/>
    <w:semiHidden/>
    <w:rsid w:val="00E53287"/>
    <w:rPr>
      <w:rFonts w:asciiTheme="majorHAnsi" w:eastAsiaTheme="majorEastAsia" w:hAnsiTheme="majorHAnsi" w:cstheme="majorBidi"/>
      <w:color w:val="243F60" w:themeColor="accent1" w:themeShade="7F"/>
      <w:sz w:val="22"/>
      <w:lang w:eastAsia="en-US"/>
    </w:rPr>
  </w:style>
  <w:style w:type="paragraph" w:customStyle="1" w:styleId="msonormal0">
    <w:name w:val="msonormal"/>
    <w:basedOn w:val="Normal"/>
    <w:uiPriority w:val="99"/>
    <w:rsid w:val="00E53287"/>
    <w:pPr>
      <w:widowControl/>
      <w:spacing w:before="100" w:after="100"/>
      <w:jc w:val="left"/>
    </w:pPr>
    <w:rPr>
      <w:rFonts w:ascii="Times New Roman" w:hAnsi="Times New Roman" w:cs="Times New Roman"/>
      <w:snapToGrid/>
      <w:sz w:val="24"/>
      <w:lang w:val="en-GB"/>
    </w:rPr>
  </w:style>
  <w:style w:type="character" w:customStyle="1" w:styleId="Heading9Char1">
    <w:name w:val="Heading 9 Char1"/>
    <w:aliases w:val="Section heading - Body Char1"/>
    <w:basedOn w:val="DefaultParagraphFont"/>
    <w:uiPriority w:val="7"/>
    <w:semiHidden/>
    <w:rsid w:val="00E53287"/>
    <w:rPr>
      <w:rFonts w:asciiTheme="majorHAnsi" w:eastAsiaTheme="majorEastAsia" w:hAnsiTheme="majorHAnsi" w:cstheme="majorBidi"/>
      <w:i/>
      <w:iCs/>
      <w:color w:val="272727" w:themeColor="text1" w:themeTint="D8"/>
      <w:sz w:val="21"/>
      <w:szCs w:val="21"/>
      <w:lang w:eastAsia="en-US"/>
    </w:rPr>
  </w:style>
  <w:style w:type="character" w:customStyle="1" w:styleId="CommentTextChar1">
    <w:name w:val="Comment Text Char1"/>
    <w:aliases w:val="Comment Text Char Char Char Char1,Comment Text Char Char Char2"/>
    <w:basedOn w:val="DefaultParagraphFont"/>
    <w:uiPriority w:val="99"/>
    <w:semiHidden/>
    <w:rsid w:val="00E53287"/>
    <w:rPr>
      <w:rFonts w:ascii="Arial" w:hAnsi="Arial" w:cs="Arial"/>
      <w:lang w:eastAsia="en-US"/>
    </w:rPr>
  </w:style>
  <w:style w:type="character" w:customStyle="1" w:styleId="HeaderChar1">
    <w:name w:val="Header Char1"/>
    <w:aliases w:val="Page Header Char1,Header title Char1,he=header Char1,cntr/bld Char1"/>
    <w:basedOn w:val="DefaultParagraphFont"/>
    <w:semiHidden/>
    <w:rsid w:val="00E53287"/>
    <w:rPr>
      <w:rFonts w:ascii="Arial" w:hAnsi="Arial" w:cs="Arial"/>
      <w:sz w:val="22"/>
      <w:lang w:eastAsia="en-US"/>
    </w:rPr>
  </w:style>
  <w:style w:type="character" w:customStyle="1" w:styleId="TableTextChar0">
    <w:name w:val="Table Text Char"/>
    <w:link w:val="TableText1"/>
    <w:uiPriority w:val="99"/>
    <w:rsid w:val="0074284B"/>
    <w:rPr>
      <w:rFonts w:ascii="Arial Narrow" w:eastAsiaTheme="minorHAnsi" w:hAnsi="Arial Narrow" w:cstheme="minorBidi"/>
      <w:szCs w:val="22"/>
      <w:lang w:eastAsia="en-US"/>
    </w:rPr>
  </w:style>
  <w:style w:type="paragraph" w:customStyle="1" w:styleId="TableNotes1">
    <w:name w:val="Table Notes"/>
    <w:basedOn w:val="Normal"/>
    <w:next w:val="Normal"/>
    <w:uiPriority w:val="99"/>
    <w:qFormat/>
    <w:rsid w:val="0074284B"/>
    <w:pPr>
      <w:keepNext/>
      <w:keepLines/>
      <w:widowControl/>
      <w:spacing w:after="360"/>
      <w:contextualSpacing/>
      <w:jc w:val="left"/>
    </w:pPr>
    <w:rPr>
      <w:rFonts w:cs="Times New Roman"/>
      <w:snapToGrid/>
      <w:sz w:val="16"/>
      <w:szCs w:val="24"/>
      <w:lang w:eastAsia="en-AU"/>
    </w:rPr>
  </w:style>
  <w:style w:type="paragraph" w:customStyle="1" w:styleId="Tablecaption">
    <w:name w:val="Table caption"/>
    <w:basedOn w:val="Caption"/>
    <w:rsid w:val="0074284B"/>
    <w:pPr>
      <w:spacing w:before="120" w:after="120"/>
      <w:ind w:left="1077" w:hanging="1077"/>
    </w:pPr>
    <w:rPr>
      <w:rFonts w:ascii="Gill Sans MT" w:hAnsi="Gill Sans MT"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Body Text" w:uiPriority="99" w:qFormat="1"/>
    <w:lsdException w:name="Body Text Indent" w:uiPriority="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1A743B"/>
    <w:pPr>
      <w:spacing w:before="120" w:after="160"/>
      <w:ind w:left="1418" w:hanging="1418"/>
      <w:outlineLvl w:val="0"/>
    </w:pPr>
    <w:rPr>
      <w:rFonts w:asciiTheme="minorHAnsi" w:hAnsiTheme="minorHAnsi"/>
      <w:b/>
      <w:sz w:val="36"/>
    </w:rPr>
  </w:style>
  <w:style w:type="paragraph" w:styleId="Heading2">
    <w:name w:val="heading 2"/>
    <w:basedOn w:val="Heading1"/>
    <w:next w:val="Normal"/>
    <w:link w:val="Heading2Char"/>
    <w:uiPriority w:val="1"/>
    <w:qFormat/>
    <w:rsid w:val="001A743B"/>
    <w:pPr>
      <w:keepNext/>
      <w:keepLines/>
      <w:widowControl/>
      <w:numPr>
        <w:numId w:val="3"/>
      </w:numPr>
      <w:jc w:val="left"/>
      <w:outlineLvl w:val="1"/>
    </w:pPr>
    <w:rPr>
      <w:sz w:val="32"/>
    </w:rPr>
  </w:style>
  <w:style w:type="paragraph" w:styleId="Heading3">
    <w:name w:val="heading 3"/>
    <w:basedOn w:val="Normal"/>
    <w:next w:val="Normal"/>
    <w:link w:val="Heading3Char"/>
    <w:uiPriority w:val="1"/>
    <w:qFormat/>
    <w:rsid w:val="00B24C96"/>
    <w:pPr>
      <w:widowControl/>
      <w:spacing w:before="240" w:after="120"/>
      <w:outlineLvl w:val="2"/>
    </w:pPr>
    <w:rPr>
      <w:rFonts w:ascii="Calibri" w:hAnsi="Calibri"/>
      <w:b/>
      <w:sz w:val="28"/>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A83916"/>
    <w:pPr>
      <w:spacing w:after="60"/>
    </w:pPr>
    <w:rPr>
      <w:rFonts w:ascii="Arial Narrow" w:hAnsi="Arial Narrow"/>
      <w:b/>
      <w:sz w:val="20"/>
    </w:rPr>
  </w:style>
  <w:style w:type="character" w:customStyle="1" w:styleId="Heading2Char">
    <w:name w:val="Heading 2 Char"/>
    <w:link w:val="Heading2"/>
    <w:uiPriority w:val="1"/>
    <w:rsid w:val="001A743B"/>
    <w:rPr>
      <w:rFonts w:asciiTheme="minorHAnsi" w:hAnsiTheme="minorHAnsi" w:cs="Arial"/>
      <w:b/>
      <w:snapToGrid w:val="0"/>
      <w:sz w:val="3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FB5D14"/>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FB5D14"/>
    <w:rPr>
      <w:rFonts w:ascii="Arial Narrow" w:eastAsiaTheme="minorHAnsi" w:hAnsi="Arial Narrow" w:cstheme="minorBidi"/>
      <w:b/>
      <w:szCs w:val="22"/>
      <w:lang w:eastAsia="en-US"/>
    </w:rPr>
  </w:style>
  <w:style w:type="paragraph" w:styleId="Title">
    <w:name w:val="Title"/>
    <w:basedOn w:val="Normal"/>
    <w:next w:val="Normal"/>
    <w:link w:val="TitleChar"/>
    <w:uiPriority w:val="7"/>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D366BE"/>
    <w:pPr>
      <w:spacing w:after="120"/>
      <w:ind w:left="720"/>
      <w:contextualSpacing/>
    </w:pPr>
    <w:rPr>
      <w:rFonts w:ascii="Calibri" w:hAnsi="Calibri"/>
      <w:sz w:val="24"/>
    </w:r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A56B6A"/>
    <w:pPr>
      <w:widowControl/>
      <w:spacing w:after="120"/>
      <w:jc w:val="left"/>
    </w:pPr>
    <w:rPr>
      <w:rFonts w:cs="Times New Roman"/>
      <w:snapToGrid/>
      <w:sz w:val="20"/>
    </w:rPr>
  </w:style>
  <w:style w:type="paragraph" w:customStyle="1" w:styleId="TableHeading0">
    <w:name w:val="TableHeading"/>
    <w:basedOn w:val="Normal"/>
    <w:uiPriority w:val="99"/>
    <w:qFormat/>
    <w:rsid w:val="00A83916"/>
    <w:pPr>
      <w:keepNext/>
      <w:widowControl/>
      <w:spacing w:after="60"/>
      <w:jc w:val="left"/>
    </w:pPr>
    <w:rPr>
      <w:rFonts w:ascii="Arial Narrow" w:hAnsi="Arial Narrow" w:cs="Arial Narrow"/>
      <w:b/>
      <w:bCs/>
      <w:snapToGrid/>
      <w:sz w:val="20"/>
    </w:rPr>
  </w:style>
  <w:style w:type="character" w:customStyle="1" w:styleId="TabletextChar">
    <w:name w:val="Table text Char"/>
    <w:link w:val="Tabletext"/>
    <w:uiPriority w:val="2"/>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1A743B"/>
    <w:rPr>
      <w:rFonts w:asciiTheme="minorHAnsi" w:hAnsiTheme="minorHAnsi" w:cs="Arial"/>
      <w:b/>
      <w:snapToGrid w:val="0"/>
      <w:sz w:val="36"/>
      <w:lang w:eastAsia="en-US"/>
    </w:rPr>
  </w:style>
  <w:style w:type="character" w:customStyle="1" w:styleId="Heading3Char">
    <w:name w:val="Heading 3 Char"/>
    <w:basedOn w:val="DefaultParagraphFont"/>
    <w:link w:val="Heading3"/>
    <w:uiPriority w:val="1"/>
    <w:rsid w:val="00B24C96"/>
    <w:rPr>
      <w:rFonts w:ascii="Calibri" w:hAnsi="Calibri" w:cs="Arial"/>
      <w:b/>
      <w:snapToGrid w:val="0"/>
      <w:sz w:val="28"/>
      <w:lang w:eastAsia="en-US"/>
    </w:rPr>
  </w:style>
  <w:style w:type="paragraph" w:customStyle="1" w:styleId="V50Heading2nonumbers">
    <w:name w:val="V5.0 Heading 2 no numbers"/>
    <w:basedOn w:val="Heading2"/>
    <w:uiPriority w:val="99"/>
    <w:qFormat/>
    <w:rsid w:val="00DD48DB"/>
    <w:pPr>
      <w:ind w:left="578" w:hanging="578"/>
    </w:pPr>
    <w:rPr>
      <w:rFonts w:eastAsiaTheme="majorEastAsia" w:cstheme="majorBidi"/>
      <w:i/>
      <w:snapToGrid/>
      <w:szCs w:val="28"/>
    </w:rPr>
  </w:style>
  <w:style w:type="paragraph" w:customStyle="1" w:styleId="V50Instructions">
    <w:name w:val="V5.0 Instructions"/>
    <w:basedOn w:val="Normal"/>
    <w:link w:val="V50InstructionsChar"/>
    <w:qFormat/>
    <w:rsid w:val="00DD48DB"/>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uiPriority w:val="5"/>
    <w:rsid w:val="00DD48DB"/>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DD48DB"/>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DD48DB"/>
    <w:rPr>
      <w:rFonts w:ascii="Arial" w:hAnsi="Arial" w:cs="Arial"/>
      <w:b/>
      <w:bCs/>
      <w:i/>
      <w:snapToGrid w:val="0"/>
      <w:sz w:val="22"/>
      <w:szCs w:val="22"/>
      <w:lang w:eastAsia="en-US"/>
    </w:rPr>
  </w:style>
  <w:style w:type="paragraph" w:customStyle="1" w:styleId="V50Heading1nonumbers">
    <w:name w:val="V5.0 Heading 1 no numbers"/>
    <w:basedOn w:val="Heading1"/>
    <w:uiPriority w:val="99"/>
    <w:qFormat/>
    <w:rsid w:val="00DD48DB"/>
    <w:pPr>
      <w:keepNext/>
      <w:keepLines/>
      <w:widowControl/>
      <w:ind w:left="0" w:firstLine="0"/>
      <w:jc w:val="left"/>
    </w:pPr>
    <w:rPr>
      <w:rFonts w:eastAsiaTheme="majorEastAsia" w:cstheme="majorBidi"/>
      <w:caps/>
      <w:snapToGrid/>
      <w:szCs w:val="28"/>
    </w:rPr>
  </w:style>
  <w:style w:type="paragraph" w:customStyle="1" w:styleId="V50TableText">
    <w:name w:val="V5.0 TableText"/>
    <w:link w:val="V50TableTextChar"/>
    <w:qFormat/>
    <w:rsid w:val="00DD48DB"/>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uiPriority w:val="99"/>
    <w:qFormat/>
    <w:rsid w:val="00DD48DB"/>
    <w:rPr>
      <w:b/>
      <w:color w:val="4BACC6" w:themeColor="accent5"/>
    </w:rPr>
  </w:style>
  <w:style w:type="paragraph" w:customStyle="1" w:styleId="V50InstructionsBullets">
    <w:name w:val="V5.0 Instructions Bullets"/>
    <w:basedOn w:val="V50Instructions"/>
    <w:uiPriority w:val="99"/>
    <w:qFormat/>
    <w:rsid w:val="00DD48DB"/>
    <w:pPr>
      <w:numPr>
        <w:numId w:val="4"/>
      </w:numPr>
      <w:spacing w:before="0" w:after="0"/>
      <w:ind w:left="714" w:hanging="357"/>
    </w:pPr>
  </w:style>
  <w:style w:type="table" w:customStyle="1" w:styleId="TableGridLight1">
    <w:name w:val="Table Grid Light1"/>
    <w:basedOn w:val="TableNormal"/>
    <w:uiPriority w:val="40"/>
    <w:rsid w:val="00DD48D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D48D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link w:val="TableTextChar0"/>
    <w:uiPriority w:val="99"/>
    <w:qFormat/>
    <w:rsid w:val="00FE4046"/>
    <w:pPr>
      <w:keepNext/>
      <w:widowControl/>
      <w:spacing w:before="40" w:after="40"/>
      <w:jc w:val="left"/>
    </w:pPr>
    <w:rPr>
      <w:rFonts w:ascii="Arial Narrow" w:eastAsiaTheme="minorHAnsi" w:hAnsi="Arial Narrow" w:cstheme="minorBidi"/>
      <w:snapToGrid/>
      <w:sz w:val="20"/>
      <w:szCs w:val="22"/>
    </w:rPr>
  </w:style>
  <w:style w:type="paragraph" w:styleId="FootnoteText">
    <w:name w:val="footnote text"/>
    <w:basedOn w:val="Normal"/>
    <w:link w:val="FootnoteTextChar"/>
    <w:unhideWhenUsed/>
    <w:rsid w:val="00DD48DB"/>
    <w:pPr>
      <w:widowControl/>
      <w:jc w:val="left"/>
    </w:pPr>
    <w:rPr>
      <w:rFonts w:asciiTheme="minorHAnsi" w:eastAsiaTheme="minorHAnsi" w:hAnsiTheme="minorHAnsi" w:cstheme="minorBidi"/>
      <w:snapToGrid/>
      <w:sz w:val="18"/>
    </w:rPr>
  </w:style>
  <w:style w:type="character" w:customStyle="1" w:styleId="FootnoteTextChar">
    <w:name w:val="Footnote Text Char"/>
    <w:basedOn w:val="DefaultParagraphFont"/>
    <w:link w:val="FootnoteText"/>
    <w:rsid w:val="00DD48DB"/>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DD48DB"/>
    <w:rPr>
      <w:vertAlign w:val="superscript"/>
    </w:rPr>
  </w:style>
  <w:style w:type="paragraph" w:customStyle="1" w:styleId="TableFigNoteLast">
    <w:name w:val="TableFigNote Last"/>
    <w:basedOn w:val="Normal"/>
    <w:uiPriority w:val="99"/>
    <w:qFormat/>
    <w:rsid w:val="00DD48DB"/>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DD48DB"/>
    <w:rPr>
      <w:b w:val="0"/>
      <w:i/>
      <w:iCs/>
    </w:rPr>
  </w:style>
  <w:style w:type="paragraph" w:customStyle="1" w:styleId="TableHeading">
    <w:name w:val="Table Heading"/>
    <w:basedOn w:val="Normal"/>
    <w:uiPriority w:val="99"/>
    <w:qFormat/>
    <w:rsid w:val="00DD48DB"/>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DD48DB"/>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DD48DB"/>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DD48DB"/>
    <w:pPr>
      <w:keepNext/>
    </w:pPr>
    <w:rPr>
      <w:b/>
    </w:rPr>
  </w:style>
  <w:style w:type="character" w:customStyle="1" w:styleId="V50TablenameChar">
    <w:name w:val="V5.0 Table name Char"/>
    <w:basedOn w:val="DefaultParagraphFont"/>
    <w:link w:val="V50Tablename"/>
    <w:rsid w:val="00DD48DB"/>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DD48DB"/>
    <w:pPr>
      <w:spacing w:after="120"/>
      <w:contextualSpacing/>
      <w:jc w:val="both"/>
    </w:pPr>
    <w:rPr>
      <w:sz w:val="18"/>
      <w:szCs w:val="18"/>
    </w:rPr>
  </w:style>
  <w:style w:type="character" w:customStyle="1" w:styleId="V50TablenoteChar">
    <w:name w:val="V5.0 Tablenote Char"/>
    <w:basedOn w:val="DefaultParagraphFont"/>
    <w:link w:val="V50Tablenote"/>
    <w:rsid w:val="00DD48DB"/>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DD48DB"/>
    <w:rPr>
      <w:rFonts w:ascii="Arial Narrow" w:hAnsi="Arial Narrow" w:cs="Arial"/>
      <w:snapToGrid w:val="0"/>
      <w:sz w:val="18"/>
      <w:lang w:eastAsia="en-US"/>
    </w:rPr>
  </w:style>
  <w:style w:type="paragraph" w:customStyle="1" w:styleId="TableNotes">
    <w:name w:val="TableNotes"/>
    <w:basedOn w:val="Normal"/>
    <w:uiPriority w:val="99"/>
    <w:qFormat/>
    <w:rsid w:val="00DD48DB"/>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DD48DB"/>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DD48DB"/>
    <w:rPr>
      <w:rFonts w:asciiTheme="minorHAnsi" w:eastAsiaTheme="minorHAnsi" w:hAnsiTheme="minorHAnsi" w:cs="Arial"/>
      <w:sz w:val="18"/>
      <w:szCs w:val="18"/>
      <w:lang w:val="en-US" w:eastAsia="en-US"/>
    </w:rPr>
  </w:style>
  <w:style w:type="paragraph" w:customStyle="1" w:styleId="Style1">
    <w:name w:val="Style1"/>
    <w:basedOn w:val="Normal"/>
    <w:uiPriority w:val="99"/>
    <w:rsid w:val="00DD48DB"/>
  </w:style>
  <w:style w:type="paragraph" w:customStyle="1" w:styleId="PBACheading10">
    <w:name w:val="PBAC heading 1"/>
    <w:uiPriority w:val="99"/>
    <w:qFormat/>
    <w:rsid w:val="00DD48DB"/>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72"/>
    <w:locked/>
    <w:rsid w:val="00D366BE"/>
    <w:rPr>
      <w:rFonts w:ascii="Calibri" w:hAnsi="Calibri" w:cs="Arial"/>
      <w:snapToGrid w:val="0"/>
      <w:sz w:val="24"/>
      <w:lang w:eastAsia="en-US"/>
    </w:rPr>
  </w:style>
  <w:style w:type="numbering" w:customStyle="1" w:styleId="Headings">
    <w:name w:val="Headings"/>
    <w:uiPriority w:val="99"/>
    <w:rsid w:val="00DD48DB"/>
    <w:pPr>
      <w:numPr>
        <w:numId w:val="5"/>
      </w:numPr>
    </w:pPr>
  </w:style>
  <w:style w:type="character" w:styleId="FollowedHyperlink">
    <w:name w:val="FollowedHyperlink"/>
    <w:basedOn w:val="DefaultParagraphFont"/>
    <w:uiPriority w:val="99"/>
    <w:semiHidden/>
    <w:unhideWhenUsed/>
    <w:rsid w:val="00DD48DB"/>
    <w:rPr>
      <w:color w:val="800080" w:themeColor="followedHyperlink"/>
      <w:u w:val="single"/>
    </w:rPr>
  </w:style>
  <w:style w:type="paragraph" w:customStyle="1" w:styleId="BulletLast">
    <w:name w:val="Bullet Last"/>
    <w:basedOn w:val="Normal"/>
    <w:uiPriority w:val="99"/>
    <w:qFormat/>
    <w:rsid w:val="00DD48DB"/>
    <w:pPr>
      <w:widowControl/>
      <w:numPr>
        <w:numId w:val="6"/>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uiPriority w:val="99"/>
    <w:qFormat/>
    <w:rsid w:val="00DD48DB"/>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DD48DB"/>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D48DB"/>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uiPriority w:val="99"/>
    <w:rsid w:val="00DD48DB"/>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Left">
    <w:name w:val="Table Left"/>
    <w:basedOn w:val="Normal"/>
    <w:link w:val="TableLeftChar"/>
    <w:uiPriority w:val="99"/>
    <w:qFormat/>
    <w:rsid w:val="00E67589"/>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E67589"/>
    <w:rPr>
      <w:rFonts w:ascii="Candara" w:hAnsi="Candara"/>
      <w:szCs w:val="22"/>
      <w:lang w:eastAsia="en-US"/>
    </w:rPr>
  </w:style>
  <w:style w:type="character" w:customStyle="1" w:styleId="Heading4Char1">
    <w:name w:val="Heading 4 Char1"/>
    <w:aliases w:val="Heading 1 - Body Char1"/>
    <w:basedOn w:val="DefaultParagraphFont"/>
    <w:uiPriority w:val="5"/>
    <w:semiHidden/>
    <w:rsid w:val="00E53287"/>
    <w:rPr>
      <w:rFonts w:asciiTheme="majorHAnsi" w:eastAsiaTheme="majorEastAsia" w:hAnsiTheme="majorHAnsi" w:cstheme="majorBidi"/>
      <w:i/>
      <w:iCs/>
      <w:color w:val="365F91" w:themeColor="accent1" w:themeShade="BF"/>
      <w:sz w:val="22"/>
      <w:lang w:eastAsia="en-US"/>
    </w:rPr>
  </w:style>
  <w:style w:type="character" w:customStyle="1" w:styleId="Heading5Char1">
    <w:name w:val="Heading 5 Char1"/>
    <w:aliases w:val="Heading 2 - Body Char1"/>
    <w:basedOn w:val="DefaultParagraphFont"/>
    <w:uiPriority w:val="7"/>
    <w:semiHidden/>
    <w:rsid w:val="00E53287"/>
    <w:rPr>
      <w:rFonts w:asciiTheme="majorHAnsi" w:eastAsiaTheme="majorEastAsia" w:hAnsiTheme="majorHAnsi" w:cstheme="majorBidi"/>
      <w:color w:val="365F91" w:themeColor="accent1" w:themeShade="BF"/>
      <w:sz w:val="22"/>
      <w:lang w:eastAsia="en-US"/>
    </w:rPr>
  </w:style>
  <w:style w:type="character" w:customStyle="1" w:styleId="Heading6Char1">
    <w:name w:val="Heading 6 Char1"/>
    <w:aliases w:val="Heading 3 - Body Char1"/>
    <w:basedOn w:val="DefaultParagraphFont"/>
    <w:uiPriority w:val="7"/>
    <w:semiHidden/>
    <w:rsid w:val="00E53287"/>
    <w:rPr>
      <w:rFonts w:asciiTheme="majorHAnsi" w:eastAsiaTheme="majorEastAsia" w:hAnsiTheme="majorHAnsi" w:cstheme="majorBidi"/>
      <w:color w:val="243F60" w:themeColor="accent1" w:themeShade="7F"/>
      <w:sz w:val="22"/>
      <w:lang w:eastAsia="en-US"/>
    </w:rPr>
  </w:style>
  <w:style w:type="paragraph" w:customStyle="1" w:styleId="msonormal0">
    <w:name w:val="msonormal"/>
    <w:basedOn w:val="Normal"/>
    <w:uiPriority w:val="99"/>
    <w:rsid w:val="00E53287"/>
    <w:pPr>
      <w:widowControl/>
      <w:spacing w:before="100" w:after="100"/>
      <w:jc w:val="left"/>
    </w:pPr>
    <w:rPr>
      <w:rFonts w:ascii="Times New Roman" w:hAnsi="Times New Roman" w:cs="Times New Roman"/>
      <w:snapToGrid/>
      <w:sz w:val="24"/>
      <w:lang w:val="en-GB"/>
    </w:rPr>
  </w:style>
  <w:style w:type="character" w:customStyle="1" w:styleId="Heading9Char1">
    <w:name w:val="Heading 9 Char1"/>
    <w:aliases w:val="Section heading - Body Char1"/>
    <w:basedOn w:val="DefaultParagraphFont"/>
    <w:uiPriority w:val="7"/>
    <w:semiHidden/>
    <w:rsid w:val="00E53287"/>
    <w:rPr>
      <w:rFonts w:asciiTheme="majorHAnsi" w:eastAsiaTheme="majorEastAsia" w:hAnsiTheme="majorHAnsi" w:cstheme="majorBidi"/>
      <w:i/>
      <w:iCs/>
      <w:color w:val="272727" w:themeColor="text1" w:themeTint="D8"/>
      <w:sz w:val="21"/>
      <w:szCs w:val="21"/>
      <w:lang w:eastAsia="en-US"/>
    </w:rPr>
  </w:style>
  <w:style w:type="character" w:customStyle="1" w:styleId="CommentTextChar1">
    <w:name w:val="Comment Text Char1"/>
    <w:aliases w:val="Comment Text Char Char Char Char1,Comment Text Char Char Char2"/>
    <w:basedOn w:val="DefaultParagraphFont"/>
    <w:uiPriority w:val="99"/>
    <w:semiHidden/>
    <w:rsid w:val="00E53287"/>
    <w:rPr>
      <w:rFonts w:ascii="Arial" w:hAnsi="Arial" w:cs="Arial"/>
      <w:lang w:eastAsia="en-US"/>
    </w:rPr>
  </w:style>
  <w:style w:type="character" w:customStyle="1" w:styleId="HeaderChar1">
    <w:name w:val="Header Char1"/>
    <w:aliases w:val="Page Header Char1,Header title Char1,he=header Char1,cntr/bld Char1"/>
    <w:basedOn w:val="DefaultParagraphFont"/>
    <w:semiHidden/>
    <w:rsid w:val="00E53287"/>
    <w:rPr>
      <w:rFonts w:ascii="Arial" w:hAnsi="Arial" w:cs="Arial"/>
      <w:sz w:val="22"/>
      <w:lang w:eastAsia="en-US"/>
    </w:rPr>
  </w:style>
  <w:style w:type="character" w:customStyle="1" w:styleId="TableTextChar0">
    <w:name w:val="Table Text Char"/>
    <w:link w:val="TableText1"/>
    <w:uiPriority w:val="99"/>
    <w:rsid w:val="0074284B"/>
    <w:rPr>
      <w:rFonts w:ascii="Arial Narrow" w:eastAsiaTheme="minorHAnsi" w:hAnsi="Arial Narrow" w:cstheme="minorBidi"/>
      <w:szCs w:val="22"/>
      <w:lang w:eastAsia="en-US"/>
    </w:rPr>
  </w:style>
  <w:style w:type="paragraph" w:customStyle="1" w:styleId="TableNotes1">
    <w:name w:val="Table Notes"/>
    <w:basedOn w:val="Normal"/>
    <w:next w:val="Normal"/>
    <w:uiPriority w:val="99"/>
    <w:qFormat/>
    <w:rsid w:val="0074284B"/>
    <w:pPr>
      <w:keepNext/>
      <w:keepLines/>
      <w:widowControl/>
      <w:spacing w:after="360"/>
      <w:contextualSpacing/>
      <w:jc w:val="left"/>
    </w:pPr>
    <w:rPr>
      <w:rFonts w:cs="Times New Roman"/>
      <w:snapToGrid/>
      <w:sz w:val="16"/>
      <w:szCs w:val="24"/>
      <w:lang w:eastAsia="en-AU"/>
    </w:rPr>
  </w:style>
  <w:style w:type="paragraph" w:customStyle="1" w:styleId="Tablecaption">
    <w:name w:val="Table caption"/>
    <w:basedOn w:val="Caption"/>
    <w:rsid w:val="0074284B"/>
    <w:pPr>
      <w:spacing w:before="120" w:after="120"/>
      <w:ind w:left="1077" w:hanging="1077"/>
    </w:pPr>
    <w:rPr>
      <w:rFonts w:ascii="Gill Sans MT" w:hAnsi="Gill Sans MT"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00526">
      <w:bodyDiv w:val="1"/>
      <w:marLeft w:val="0"/>
      <w:marRight w:val="0"/>
      <w:marTop w:val="0"/>
      <w:marBottom w:val="0"/>
      <w:divBdr>
        <w:top w:val="none" w:sz="0" w:space="0" w:color="auto"/>
        <w:left w:val="none" w:sz="0" w:space="0" w:color="auto"/>
        <w:bottom w:val="none" w:sz="0" w:space="0" w:color="auto"/>
        <w:right w:val="none" w:sz="0" w:space="0" w:color="auto"/>
      </w:divBdr>
      <w:divsChild>
        <w:div w:id="1916544364">
          <w:marLeft w:val="360"/>
          <w:marRight w:val="0"/>
          <w:marTop w:val="40"/>
          <w:marBottom w:val="40"/>
          <w:divBdr>
            <w:top w:val="none" w:sz="0" w:space="0" w:color="auto"/>
            <w:left w:val="none" w:sz="0" w:space="0" w:color="auto"/>
            <w:bottom w:val="none" w:sz="0" w:space="0" w:color="auto"/>
            <w:right w:val="none" w:sz="0" w:space="0" w:color="auto"/>
          </w:divBdr>
        </w:div>
        <w:div w:id="673654000">
          <w:marLeft w:val="1080"/>
          <w:marRight w:val="0"/>
          <w:marTop w:val="40"/>
          <w:marBottom w:val="40"/>
          <w:divBdr>
            <w:top w:val="none" w:sz="0" w:space="0" w:color="auto"/>
            <w:left w:val="none" w:sz="0" w:space="0" w:color="auto"/>
            <w:bottom w:val="none" w:sz="0" w:space="0" w:color="auto"/>
            <w:right w:val="none" w:sz="0" w:space="0" w:color="auto"/>
          </w:divBdr>
        </w:div>
      </w:divsChild>
    </w:div>
    <w:div w:id="660617610">
      <w:bodyDiv w:val="1"/>
      <w:marLeft w:val="0"/>
      <w:marRight w:val="0"/>
      <w:marTop w:val="0"/>
      <w:marBottom w:val="0"/>
      <w:divBdr>
        <w:top w:val="none" w:sz="0" w:space="0" w:color="auto"/>
        <w:left w:val="none" w:sz="0" w:space="0" w:color="auto"/>
        <w:bottom w:val="none" w:sz="0" w:space="0" w:color="auto"/>
        <w:right w:val="none" w:sz="0" w:space="0" w:color="auto"/>
      </w:divBdr>
    </w:div>
    <w:div w:id="776100752">
      <w:bodyDiv w:val="1"/>
      <w:marLeft w:val="0"/>
      <w:marRight w:val="0"/>
      <w:marTop w:val="0"/>
      <w:marBottom w:val="0"/>
      <w:divBdr>
        <w:top w:val="none" w:sz="0" w:space="0" w:color="auto"/>
        <w:left w:val="none" w:sz="0" w:space="0" w:color="auto"/>
        <w:bottom w:val="none" w:sz="0" w:space="0" w:color="auto"/>
        <w:right w:val="none" w:sz="0" w:space="0" w:color="auto"/>
      </w:divBdr>
      <w:divsChild>
        <w:div w:id="533082363">
          <w:marLeft w:val="1166"/>
          <w:marRight w:val="0"/>
          <w:marTop w:val="0"/>
          <w:marBottom w:val="0"/>
          <w:divBdr>
            <w:top w:val="none" w:sz="0" w:space="0" w:color="auto"/>
            <w:left w:val="none" w:sz="0" w:space="0" w:color="auto"/>
            <w:bottom w:val="none" w:sz="0" w:space="0" w:color="auto"/>
            <w:right w:val="none" w:sz="0" w:space="0" w:color="auto"/>
          </w:divBdr>
        </w:div>
      </w:divsChild>
    </w:div>
    <w:div w:id="886918437">
      <w:bodyDiv w:val="1"/>
      <w:marLeft w:val="0"/>
      <w:marRight w:val="0"/>
      <w:marTop w:val="0"/>
      <w:marBottom w:val="0"/>
      <w:divBdr>
        <w:top w:val="none" w:sz="0" w:space="0" w:color="auto"/>
        <w:left w:val="none" w:sz="0" w:space="0" w:color="auto"/>
        <w:bottom w:val="none" w:sz="0" w:space="0" w:color="auto"/>
        <w:right w:val="none" w:sz="0" w:space="0" w:color="auto"/>
      </w:divBdr>
    </w:div>
    <w:div w:id="1721977353">
      <w:bodyDiv w:val="1"/>
      <w:marLeft w:val="0"/>
      <w:marRight w:val="0"/>
      <w:marTop w:val="0"/>
      <w:marBottom w:val="0"/>
      <w:divBdr>
        <w:top w:val="none" w:sz="0" w:space="0" w:color="auto"/>
        <w:left w:val="none" w:sz="0" w:space="0" w:color="auto"/>
        <w:bottom w:val="none" w:sz="0" w:space="0" w:color="auto"/>
        <w:right w:val="none" w:sz="0" w:space="0" w:color="auto"/>
      </w:divBdr>
    </w:div>
    <w:div w:id="1800299977">
      <w:bodyDiv w:val="1"/>
      <w:marLeft w:val="0"/>
      <w:marRight w:val="0"/>
      <w:marTop w:val="0"/>
      <w:marBottom w:val="0"/>
      <w:divBdr>
        <w:top w:val="none" w:sz="0" w:space="0" w:color="auto"/>
        <w:left w:val="none" w:sz="0" w:space="0" w:color="auto"/>
        <w:bottom w:val="none" w:sz="0" w:space="0" w:color="auto"/>
        <w:right w:val="none" w:sz="0" w:space="0" w:color="auto"/>
      </w:divBdr>
    </w:div>
    <w:div w:id="1859656658">
      <w:bodyDiv w:val="1"/>
      <w:marLeft w:val="0"/>
      <w:marRight w:val="0"/>
      <w:marTop w:val="0"/>
      <w:marBottom w:val="0"/>
      <w:divBdr>
        <w:top w:val="none" w:sz="0" w:space="0" w:color="auto"/>
        <w:left w:val="none" w:sz="0" w:space="0" w:color="auto"/>
        <w:bottom w:val="none" w:sz="0" w:space="0" w:color="auto"/>
        <w:right w:val="none" w:sz="0" w:space="0" w:color="auto"/>
      </w:divBdr>
    </w:div>
    <w:div w:id="1981298384">
      <w:bodyDiv w:val="1"/>
      <w:marLeft w:val="0"/>
      <w:marRight w:val="0"/>
      <w:marTop w:val="0"/>
      <w:marBottom w:val="0"/>
      <w:divBdr>
        <w:top w:val="none" w:sz="0" w:space="0" w:color="auto"/>
        <w:left w:val="none" w:sz="0" w:space="0" w:color="auto"/>
        <w:bottom w:val="none" w:sz="0" w:space="0" w:color="auto"/>
        <w:right w:val="none" w:sz="0" w:space="0" w:color="auto"/>
      </w:divBdr>
    </w:div>
    <w:div w:id="20579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740B-43CC-4C2E-851E-EF750A24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10549</Words>
  <Characters>60130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2017-10-12T05:28:00Z</dcterms:created>
  <dcterms:modified xsi:type="dcterms:W3CDTF">2017-10-12T05:28:00Z</dcterms:modified>
</cp:coreProperties>
</file>