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F8D" w:rsidRPr="003B355D" w:rsidRDefault="00487A99" w:rsidP="00D453F1">
      <w:pPr>
        <w:ind w:left="1418" w:hanging="1418"/>
        <w:jc w:val="left"/>
        <w:outlineLvl w:val="0"/>
        <w:rPr>
          <w:rFonts w:asciiTheme="minorHAnsi" w:hAnsiTheme="minorHAnsi"/>
          <w:b/>
          <w:sz w:val="36"/>
          <w:szCs w:val="36"/>
        </w:rPr>
      </w:pPr>
      <w:bookmarkStart w:id="0" w:name="_GoBack"/>
      <w:bookmarkEnd w:id="0"/>
      <w:r w:rsidRPr="003B355D">
        <w:rPr>
          <w:rFonts w:asciiTheme="minorHAnsi" w:hAnsiTheme="minorHAnsi"/>
          <w:b/>
          <w:sz w:val="36"/>
          <w:szCs w:val="36"/>
        </w:rPr>
        <w:t>7.03</w:t>
      </w:r>
      <w:r w:rsidR="00137F8D" w:rsidRPr="003B355D">
        <w:rPr>
          <w:rFonts w:asciiTheme="minorHAnsi" w:hAnsiTheme="minorHAnsi"/>
          <w:b/>
          <w:sz w:val="36"/>
          <w:szCs w:val="36"/>
        </w:rPr>
        <w:tab/>
      </w:r>
      <w:r w:rsidR="00510EEE" w:rsidRPr="003B355D">
        <w:rPr>
          <w:rFonts w:asciiTheme="minorHAnsi" w:hAnsiTheme="minorHAnsi"/>
          <w:b/>
          <w:sz w:val="36"/>
          <w:szCs w:val="36"/>
        </w:rPr>
        <w:t>LIRAGLUTIDE (</w:t>
      </w:r>
      <w:proofErr w:type="spellStart"/>
      <w:r w:rsidR="00510EEE" w:rsidRPr="003B355D">
        <w:rPr>
          <w:rFonts w:asciiTheme="minorHAnsi" w:hAnsiTheme="minorHAnsi"/>
          <w:b/>
          <w:sz w:val="36"/>
          <w:szCs w:val="36"/>
        </w:rPr>
        <w:t>rys</w:t>
      </w:r>
      <w:proofErr w:type="spellEnd"/>
      <w:r w:rsidR="00510EEE" w:rsidRPr="003B355D">
        <w:rPr>
          <w:rFonts w:asciiTheme="minorHAnsi" w:hAnsiTheme="minorHAnsi"/>
          <w:b/>
          <w:sz w:val="36"/>
          <w:szCs w:val="36"/>
        </w:rPr>
        <w:t>)</w:t>
      </w:r>
      <w:proofErr w:type="gramStart"/>
      <w:r w:rsidR="00137F8D" w:rsidRPr="003B355D">
        <w:rPr>
          <w:rFonts w:asciiTheme="minorHAnsi" w:hAnsiTheme="minorHAnsi"/>
          <w:b/>
          <w:sz w:val="36"/>
          <w:szCs w:val="36"/>
        </w:rPr>
        <w:t>,</w:t>
      </w:r>
      <w:proofErr w:type="gramEnd"/>
      <w:r w:rsidR="00137F8D" w:rsidRPr="003B355D">
        <w:rPr>
          <w:rFonts w:asciiTheme="minorHAnsi" w:hAnsiTheme="minorHAnsi"/>
          <w:b/>
          <w:sz w:val="36"/>
          <w:szCs w:val="36"/>
        </w:rPr>
        <w:br/>
      </w:r>
      <w:r w:rsidR="00510EEE" w:rsidRPr="003B355D">
        <w:rPr>
          <w:rFonts w:asciiTheme="minorHAnsi" w:hAnsiTheme="minorHAnsi"/>
          <w:b/>
          <w:sz w:val="36"/>
          <w:szCs w:val="36"/>
        </w:rPr>
        <w:t>injection solution, pre-filled 3 mL pen, 6 mg/mL, 2 and 3 pen packs</w:t>
      </w:r>
      <w:r w:rsidR="00137F8D" w:rsidRPr="003B355D">
        <w:rPr>
          <w:rFonts w:asciiTheme="minorHAnsi" w:hAnsiTheme="minorHAnsi"/>
          <w:b/>
          <w:sz w:val="36"/>
          <w:szCs w:val="36"/>
        </w:rPr>
        <w:t xml:space="preserve">, </w:t>
      </w:r>
      <w:r w:rsidR="00137F8D" w:rsidRPr="003B355D">
        <w:rPr>
          <w:rFonts w:asciiTheme="minorHAnsi" w:hAnsiTheme="minorHAnsi"/>
          <w:b/>
          <w:sz w:val="36"/>
          <w:szCs w:val="36"/>
        </w:rPr>
        <w:br/>
      </w:r>
      <w:proofErr w:type="spellStart"/>
      <w:r w:rsidR="00510EEE" w:rsidRPr="003B355D">
        <w:rPr>
          <w:rFonts w:asciiTheme="minorHAnsi" w:hAnsiTheme="minorHAnsi"/>
          <w:b/>
          <w:sz w:val="36"/>
          <w:szCs w:val="36"/>
        </w:rPr>
        <w:t>Victoza</w:t>
      </w:r>
      <w:proofErr w:type="spellEnd"/>
      <w:r w:rsidR="00137F8D" w:rsidRPr="003B355D">
        <w:rPr>
          <w:rFonts w:asciiTheme="minorHAnsi" w:hAnsiTheme="minorHAnsi"/>
          <w:b/>
          <w:sz w:val="36"/>
          <w:szCs w:val="36"/>
          <w:vertAlign w:val="superscript"/>
        </w:rPr>
        <w:t>®</w:t>
      </w:r>
      <w:r w:rsidR="00137F8D" w:rsidRPr="003B355D">
        <w:rPr>
          <w:rFonts w:asciiTheme="minorHAnsi" w:hAnsiTheme="minorHAnsi"/>
          <w:b/>
          <w:sz w:val="36"/>
          <w:szCs w:val="36"/>
        </w:rPr>
        <w:t xml:space="preserve">, </w:t>
      </w:r>
      <w:r w:rsidR="00510EEE" w:rsidRPr="003B355D">
        <w:rPr>
          <w:rFonts w:asciiTheme="minorHAnsi" w:hAnsiTheme="minorHAnsi"/>
          <w:b/>
          <w:sz w:val="36"/>
          <w:szCs w:val="36"/>
        </w:rPr>
        <w:t>Novo Nordisk Pharmaceuticals</w:t>
      </w:r>
    </w:p>
    <w:p w:rsidR="00137F8D" w:rsidRPr="003B355D" w:rsidRDefault="00137F8D" w:rsidP="00D54241">
      <w:pPr>
        <w:pStyle w:val="Heading1"/>
        <w:keepNext/>
        <w:keepLines/>
        <w:widowControl/>
        <w:numPr>
          <w:ilvl w:val="0"/>
          <w:numId w:val="4"/>
        </w:numPr>
        <w:spacing w:before="400" w:after="120"/>
        <w:ind w:left="709" w:hanging="709"/>
        <w:rPr>
          <w:rFonts w:eastAsiaTheme="majorEastAsia" w:cstheme="majorBidi"/>
          <w:caps w:val="0"/>
          <w:snapToGrid/>
          <w:szCs w:val="28"/>
        </w:rPr>
      </w:pPr>
      <w:bookmarkStart w:id="1" w:name="_Toc413139271"/>
      <w:bookmarkStart w:id="2" w:name="_Toc476306881"/>
      <w:bookmarkStart w:id="3" w:name="_Toc482048969"/>
      <w:r w:rsidRPr="003B355D">
        <w:rPr>
          <w:rFonts w:eastAsiaTheme="majorEastAsia" w:cstheme="majorBidi"/>
          <w:caps w:val="0"/>
          <w:snapToGrid/>
          <w:szCs w:val="28"/>
        </w:rPr>
        <w:t>Purpose of Application</w:t>
      </w:r>
      <w:bookmarkEnd w:id="1"/>
      <w:bookmarkEnd w:id="2"/>
      <w:bookmarkEnd w:id="3"/>
    </w:p>
    <w:p w:rsidR="00137F8D" w:rsidRPr="003B355D" w:rsidRDefault="00033907" w:rsidP="00D54241">
      <w:pPr>
        <w:pStyle w:val="ESnumberedpara"/>
        <w:numPr>
          <w:ilvl w:val="1"/>
          <w:numId w:val="3"/>
        </w:numPr>
        <w:rPr>
          <w:rFonts w:asciiTheme="minorHAnsi" w:hAnsiTheme="minorHAnsi"/>
          <w:sz w:val="24"/>
          <w:szCs w:val="24"/>
        </w:rPr>
      </w:pPr>
      <w:r w:rsidRPr="003B355D">
        <w:rPr>
          <w:rFonts w:asciiTheme="minorHAnsi" w:hAnsiTheme="minorHAnsi"/>
          <w:sz w:val="24"/>
          <w:szCs w:val="24"/>
        </w:rPr>
        <w:t>The submission request</w:t>
      </w:r>
      <w:r w:rsidR="00242397" w:rsidRPr="003B355D">
        <w:rPr>
          <w:rFonts w:asciiTheme="minorHAnsi" w:hAnsiTheme="minorHAnsi"/>
          <w:sz w:val="24"/>
          <w:szCs w:val="24"/>
        </w:rPr>
        <w:t>ed</w:t>
      </w:r>
      <w:r w:rsidRPr="003B355D">
        <w:rPr>
          <w:rFonts w:asciiTheme="minorHAnsi" w:hAnsiTheme="minorHAnsi"/>
          <w:sz w:val="24"/>
          <w:szCs w:val="24"/>
        </w:rPr>
        <w:t xml:space="preserve"> </w:t>
      </w:r>
      <w:r w:rsidR="00137F8D" w:rsidRPr="003B355D">
        <w:rPr>
          <w:rFonts w:asciiTheme="minorHAnsi" w:hAnsiTheme="minorHAnsi"/>
          <w:sz w:val="24"/>
          <w:szCs w:val="24"/>
        </w:rPr>
        <w:t>Authority Required</w:t>
      </w:r>
      <w:r w:rsidRPr="003B355D">
        <w:rPr>
          <w:rFonts w:asciiTheme="minorHAnsi" w:hAnsiTheme="minorHAnsi"/>
          <w:sz w:val="24"/>
          <w:szCs w:val="24"/>
        </w:rPr>
        <w:t xml:space="preserve"> (STREAMLINE</w:t>
      </w:r>
      <w:r w:rsidR="00242397" w:rsidRPr="003B355D">
        <w:rPr>
          <w:rFonts w:asciiTheme="minorHAnsi" w:hAnsiTheme="minorHAnsi"/>
          <w:sz w:val="24"/>
          <w:szCs w:val="24"/>
        </w:rPr>
        <w:t>D</w:t>
      </w:r>
      <w:r w:rsidRPr="003B355D">
        <w:rPr>
          <w:rFonts w:asciiTheme="minorHAnsi" w:hAnsiTheme="minorHAnsi"/>
          <w:sz w:val="24"/>
          <w:szCs w:val="24"/>
        </w:rPr>
        <w:t>)</w:t>
      </w:r>
      <w:r w:rsidR="009F1E4D" w:rsidRPr="003B355D">
        <w:rPr>
          <w:rFonts w:asciiTheme="minorHAnsi" w:hAnsiTheme="minorHAnsi"/>
          <w:sz w:val="24"/>
          <w:szCs w:val="24"/>
        </w:rPr>
        <w:t xml:space="preserve"> </w:t>
      </w:r>
      <w:r w:rsidR="00137F8D" w:rsidRPr="003B355D">
        <w:rPr>
          <w:rFonts w:asciiTheme="minorHAnsi" w:hAnsiTheme="minorHAnsi"/>
          <w:sz w:val="24"/>
          <w:szCs w:val="24"/>
        </w:rPr>
        <w:t>listing</w:t>
      </w:r>
      <w:r w:rsidR="009F1E4D" w:rsidRPr="003B355D">
        <w:rPr>
          <w:rFonts w:asciiTheme="minorHAnsi" w:hAnsiTheme="minorHAnsi"/>
          <w:sz w:val="24"/>
          <w:szCs w:val="24"/>
        </w:rPr>
        <w:t>s</w:t>
      </w:r>
      <w:r w:rsidR="00137F8D" w:rsidRPr="003B355D">
        <w:rPr>
          <w:rFonts w:asciiTheme="minorHAnsi" w:hAnsiTheme="minorHAnsi"/>
          <w:sz w:val="24"/>
          <w:szCs w:val="24"/>
        </w:rPr>
        <w:t xml:space="preserve"> for </w:t>
      </w:r>
      <w:r w:rsidR="009F1E4D" w:rsidRPr="003B355D">
        <w:rPr>
          <w:rFonts w:asciiTheme="minorHAnsi" w:hAnsiTheme="minorHAnsi"/>
          <w:sz w:val="24"/>
          <w:szCs w:val="24"/>
        </w:rPr>
        <w:t>liraglutide (</w:t>
      </w:r>
      <w:proofErr w:type="spellStart"/>
      <w:r w:rsidR="009F1E4D" w:rsidRPr="003B355D">
        <w:rPr>
          <w:rFonts w:asciiTheme="minorHAnsi" w:hAnsiTheme="minorHAnsi"/>
          <w:sz w:val="24"/>
          <w:szCs w:val="24"/>
        </w:rPr>
        <w:t>rys</w:t>
      </w:r>
      <w:proofErr w:type="spellEnd"/>
      <w:r w:rsidR="009F1E4D" w:rsidRPr="003B355D">
        <w:rPr>
          <w:rFonts w:asciiTheme="minorHAnsi" w:hAnsiTheme="minorHAnsi"/>
          <w:sz w:val="24"/>
          <w:szCs w:val="24"/>
        </w:rPr>
        <w:t>)</w:t>
      </w:r>
      <w:r w:rsidR="00137F8D" w:rsidRPr="003B355D">
        <w:rPr>
          <w:rFonts w:asciiTheme="minorHAnsi" w:hAnsiTheme="minorHAnsi"/>
          <w:sz w:val="24"/>
          <w:szCs w:val="24"/>
        </w:rPr>
        <w:t xml:space="preserve"> for treatment of </w:t>
      </w:r>
      <w:r w:rsidR="009F1E4D" w:rsidRPr="003B355D">
        <w:rPr>
          <w:rFonts w:asciiTheme="minorHAnsi" w:hAnsiTheme="minorHAnsi"/>
          <w:sz w:val="24"/>
          <w:szCs w:val="24"/>
        </w:rPr>
        <w:t xml:space="preserve">patients with </w:t>
      </w:r>
      <w:r w:rsidR="008D31BF" w:rsidRPr="003B355D">
        <w:rPr>
          <w:rFonts w:asciiTheme="minorHAnsi" w:hAnsiTheme="minorHAnsi"/>
          <w:sz w:val="24"/>
          <w:szCs w:val="24"/>
        </w:rPr>
        <w:t>Type 2 diabetes</w:t>
      </w:r>
      <w:r w:rsidR="009F1E4D" w:rsidRPr="003B355D">
        <w:rPr>
          <w:rFonts w:asciiTheme="minorHAnsi" w:hAnsiTheme="minorHAnsi"/>
          <w:sz w:val="24"/>
          <w:szCs w:val="24"/>
        </w:rPr>
        <w:t xml:space="preserve"> mellitus and high cardiovascular risk as dual therapy with metformin or a sulfonylurea, triple therapy with metformin and a sulfonylurea, dual therapy with insulin and triple therapy with insulin and metformin.</w:t>
      </w:r>
    </w:p>
    <w:p w:rsidR="00DA1A50" w:rsidRPr="003B355D" w:rsidRDefault="00DA1A50" w:rsidP="00D54241">
      <w:pPr>
        <w:pStyle w:val="ESnumberedpara"/>
        <w:numPr>
          <w:ilvl w:val="1"/>
          <w:numId w:val="3"/>
        </w:numPr>
        <w:rPr>
          <w:rFonts w:asciiTheme="minorHAnsi" w:hAnsiTheme="minorHAnsi"/>
          <w:sz w:val="24"/>
          <w:szCs w:val="24"/>
        </w:rPr>
      </w:pPr>
      <w:r w:rsidRPr="003B355D">
        <w:rPr>
          <w:rFonts w:asciiTheme="minorHAnsi" w:hAnsiTheme="minorHAnsi"/>
          <w:sz w:val="24"/>
          <w:szCs w:val="24"/>
        </w:rPr>
        <w:t>The submission claimed liraglutide provides a reduction in cardiovascular risk in addition to the reduction achieved by glycaemic control alone (i.e. reduction in HbA1c).  However, the submission acknowledged that the mechanism of action by which liraglutide provides cardiovascular benefits in addition to glycaemic control remains unknown (p.137 of the submission).</w:t>
      </w:r>
    </w:p>
    <w:p w:rsidR="00D453F1" w:rsidRDefault="00D453F1" w:rsidP="00D453F1">
      <w:pPr>
        <w:pStyle w:val="Caption"/>
      </w:pPr>
      <w:r>
        <w:t xml:space="preserve">Table </w:t>
      </w:r>
      <w:r>
        <w:rPr>
          <w:noProof/>
        </w:rPr>
        <w:t>1</w:t>
      </w:r>
      <w:r w:rsidRPr="006578B0">
        <w:t>: Key components of the clinical issue addressed in the submission</w:t>
      </w:r>
    </w:p>
    <w:tbl>
      <w:tblPr>
        <w:tblStyle w:val="TableGrid"/>
        <w:tblW w:w="0" w:type="auto"/>
        <w:tblLook w:val="04A0" w:firstRow="1" w:lastRow="0" w:firstColumn="1" w:lastColumn="0" w:noHBand="0" w:noVBand="1"/>
        <w:tblCaption w:val="Key components of the clinical issue addressed in the submission"/>
      </w:tblPr>
      <w:tblGrid>
        <w:gridCol w:w="1696"/>
        <w:gridCol w:w="7484"/>
      </w:tblGrid>
      <w:tr w:rsidR="00137F8D" w:rsidRPr="003B355D" w:rsidTr="009F1E4D">
        <w:trPr>
          <w:cantSplit/>
          <w:tblHeader/>
        </w:trPr>
        <w:tc>
          <w:tcPr>
            <w:tcW w:w="1696" w:type="dxa"/>
            <w:shd w:val="clear" w:color="auto" w:fill="auto"/>
          </w:tcPr>
          <w:p w:rsidR="00137F8D" w:rsidRPr="003B355D" w:rsidRDefault="00137F8D" w:rsidP="00E94275">
            <w:pPr>
              <w:pStyle w:val="TableText1"/>
              <w:rPr>
                <w:b/>
              </w:rPr>
            </w:pPr>
            <w:r w:rsidRPr="003B355D">
              <w:rPr>
                <w:b/>
              </w:rPr>
              <w:t>Component</w:t>
            </w:r>
          </w:p>
        </w:tc>
        <w:tc>
          <w:tcPr>
            <w:tcW w:w="7484" w:type="dxa"/>
            <w:shd w:val="clear" w:color="auto" w:fill="auto"/>
          </w:tcPr>
          <w:p w:rsidR="00137F8D" w:rsidRPr="003B355D" w:rsidRDefault="00137F8D" w:rsidP="00E94275">
            <w:pPr>
              <w:pStyle w:val="TableText1"/>
              <w:rPr>
                <w:b/>
              </w:rPr>
            </w:pPr>
            <w:r w:rsidRPr="003B355D">
              <w:rPr>
                <w:b/>
              </w:rPr>
              <w:t>Description</w:t>
            </w:r>
          </w:p>
        </w:tc>
      </w:tr>
      <w:tr w:rsidR="009F1E4D" w:rsidRPr="003B355D" w:rsidTr="009F1E4D">
        <w:trPr>
          <w:cantSplit/>
        </w:trPr>
        <w:tc>
          <w:tcPr>
            <w:tcW w:w="1696" w:type="dxa"/>
            <w:shd w:val="clear" w:color="auto" w:fill="auto"/>
          </w:tcPr>
          <w:p w:rsidR="009F1E4D" w:rsidRPr="003B355D" w:rsidRDefault="009F1E4D" w:rsidP="00E94275">
            <w:pPr>
              <w:pStyle w:val="TableText1"/>
            </w:pPr>
            <w:r w:rsidRPr="003B355D">
              <w:t>Population</w:t>
            </w:r>
          </w:p>
        </w:tc>
        <w:tc>
          <w:tcPr>
            <w:tcW w:w="7484" w:type="dxa"/>
            <w:shd w:val="clear" w:color="auto" w:fill="auto"/>
          </w:tcPr>
          <w:p w:rsidR="009F1E4D" w:rsidRPr="003B355D" w:rsidRDefault="009F1E4D" w:rsidP="00694C85">
            <w:pPr>
              <w:pStyle w:val="TableText1"/>
              <w:spacing w:before="0" w:after="0"/>
            </w:pPr>
            <w:r w:rsidRPr="003B355D">
              <w:t xml:space="preserve">Patients with </w:t>
            </w:r>
            <w:r w:rsidR="008D31BF" w:rsidRPr="003B355D">
              <w:t>Type 2 diabetes</w:t>
            </w:r>
            <w:r w:rsidRPr="003B355D">
              <w:t xml:space="preserve">; AND </w:t>
            </w:r>
          </w:p>
          <w:p w:rsidR="009F1E4D" w:rsidRPr="003B355D" w:rsidRDefault="00242397" w:rsidP="00694C85">
            <w:pPr>
              <w:pStyle w:val="TableText1"/>
              <w:spacing w:before="0" w:after="0"/>
            </w:pPr>
            <w:r w:rsidRPr="003B355D">
              <w:t xml:space="preserve">- </w:t>
            </w:r>
            <w:r w:rsidR="009F1E4D" w:rsidRPr="003B355D">
              <w:t xml:space="preserve">≥50 years of age with a history of a prior cardiovascular event; OR </w:t>
            </w:r>
          </w:p>
          <w:p w:rsidR="009F1E4D" w:rsidRPr="003B355D" w:rsidRDefault="00242397" w:rsidP="00E94275">
            <w:pPr>
              <w:pStyle w:val="TableText1"/>
            </w:pPr>
            <w:r w:rsidRPr="003B355D">
              <w:t xml:space="preserve">- </w:t>
            </w:r>
            <w:r w:rsidR="009F1E4D" w:rsidRPr="003B355D">
              <w:t>≥60 years of age at high risk of a cardiovascular event</w:t>
            </w:r>
            <w:r w:rsidR="00817ED5" w:rsidRPr="003B355D">
              <w:t>; OR</w:t>
            </w:r>
          </w:p>
          <w:p w:rsidR="00817ED5" w:rsidRPr="003B355D" w:rsidRDefault="00817ED5" w:rsidP="00E94275">
            <w:pPr>
              <w:pStyle w:val="TableText1"/>
            </w:pPr>
            <w:r w:rsidRPr="003B355D">
              <w:t>- an Aboriginal and Torres Strait Islander</w:t>
            </w:r>
          </w:p>
        </w:tc>
      </w:tr>
      <w:tr w:rsidR="009F1E4D" w:rsidRPr="003B355D" w:rsidTr="009F1E4D">
        <w:trPr>
          <w:cantSplit/>
        </w:trPr>
        <w:tc>
          <w:tcPr>
            <w:tcW w:w="1696" w:type="dxa"/>
            <w:shd w:val="clear" w:color="auto" w:fill="auto"/>
          </w:tcPr>
          <w:p w:rsidR="009F1E4D" w:rsidRPr="003B355D" w:rsidRDefault="009F1E4D" w:rsidP="00E94275">
            <w:pPr>
              <w:pStyle w:val="TableText1"/>
            </w:pPr>
            <w:r w:rsidRPr="003B355D">
              <w:t>Intervention</w:t>
            </w:r>
          </w:p>
        </w:tc>
        <w:tc>
          <w:tcPr>
            <w:tcW w:w="7484" w:type="dxa"/>
            <w:shd w:val="clear" w:color="auto" w:fill="auto"/>
          </w:tcPr>
          <w:p w:rsidR="009F1E4D" w:rsidRPr="003B355D" w:rsidRDefault="009F1E4D" w:rsidP="00E94275">
            <w:pPr>
              <w:pStyle w:val="TableText1"/>
            </w:pPr>
            <w:r w:rsidRPr="003B355D">
              <w:t>Liraglutide 0.6 mg to 1.8 mg daily by subcutaneous injection, in combination with metformin or a sulfonylurea, metformin and a sulfonylurea or insulin (with or without metformin)</w:t>
            </w:r>
          </w:p>
        </w:tc>
      </w:tr>
      <w:tr w:rsidR="009F1E4D" w:rsidRPr="003B355D" w:rsidTr="009F1E4D">
        <w:trPr>
          <w:cantSplit/>
        </w:trPr>
        <w:tc>
          <w:tcPr>
            <w:tcW w:w="1696" w:type="dxa"/>
            <w:shd w:val="clear" w:color="auto" w:fill="auto"/>
          </w:tcPr>
          <w:p w:rsidR="009F1E4D" w:rsidRPr="003B355D" w:rsidRDefault="009F1E4D" w:rsidP="00E94275">
            <w:pPr>
              <w:pStyle w:val="TableText1"/>
            </w:pPr>
            <w:r w:rsidRPr="003B355D">
              <w:t>Comparator</w:t>
            </w:r>
          </w:p>
        </w:tc>
        <w:tc>
          <w:tcPr>
            <w:tcW w:w="7484" w:type="dxa"/>
            <w:shd w:val="clear" w:color="auto" w:fill="auto"/>
          </w:tcPr>
          <w:p w:rsidR="009F1E4D" w:rsidRPr="003B355D" w:rsidRDefault="009F1E4D" w:rsidP="00E94275">
            <w:pPr>
              <w:pStyle w:val="TableText1"/>
            </w:pPr>
            <w:r w:rsidRPr="003B355D">
              <w:t>Exenatide 10 µg twice daily or 2 mg once weekly by subcutaneous injection</w:t>
            </w:r>
          </w:p>
        </w:tc>
      </w:tr>
      <w:tr w:rsidR="009F1E4D" w:rsidRPr="003B355D" w:rsidTr="009F1E4D">
        <w:trPr>
          <w:cantSplit/>
        </w:trPr>
        <w:tc>
          <w:tcPr>
            <w:tcW w:w="1696" w:type="dxa"/>
            <w:shd w:val="clear" w:color="auto" w:fill="auto"/>
          </w:tcPr>
          <w:p w:rsidR="009F1E4D" w:rsidRPr="003B355D" w:rsidRDefault="009F1E4D" w:rsidP="00E94275">
            <w:pPr>
              <w:pStyle w:val="TableText1"/>
            </w:pPr>
            <w:r w:rsidRPr="003B355D">
              <w:t>Outcomes</w:t>
            </w:r>
          </w:p>
        </w:tc>
        <w:tc>
          <w:tcPr>
            <w:tcW w:w="7484" w:type="dxa"/>
            <w:shd w:val="clear" w:color="auto" w:fill="auto"/>
          </w:tcPr>
          <w:p w:rsidR="009F1E4D" w:rsidRPr="003B355D" w:rsidRDefault="009F1E4D" w:rsidP="00E94275">
            <w:pPr>
              <w:pStyle w:val="TableText1"/>
            </w:pPr>
            <w:r w:rsidRPr="003B355D">
              <w:t>Composite outcome MACE (cardiovascular death, non-fatal myocardial infarction, non-fatal stroke); expanded composite cardiovascular outcome: cardiovascular death, non-fatal myocardial infarction, non-fatal stroke, coronary revascularisation, hospitalisation for unstable angina pectoris, hospitalisation for heart failure; individual components of the expanded composite cardiovascular outcome; composite microvascular outcome (retinopathy, nephropathy); effectiveness outcomes (HbA1c, body weight, BMI, waist circumference, blood pressure, serum lipids); EQ-5D</w:t>
            </w:r>
          </w:p>
        </w:tc>
      </w:tr>
      <w:tr w:rsidR="009F1E4D" w:rsidRPr="003B355D" w:rsidTr="009F1E4D">
        <w:trPr>
          <w:cantSplit/>
        </w:trPr>
        <w:tc>
          <w:tcPr>
            <w:tcW w:w="1696" w:type="dxa"/>
            <w:shd w:val="clear" w:color="auto" w:fill="auto"/>
          </w:tcPr>
          <w:p w:rsidR="009F1E4D" w:rsidRPr="003B355D" w:rsidRDefault="009F1E4D" w:rsidP="00E94275">
            <w:pPr>
              <w:pStyle w:val="TableText1"/>
            </w:pPr>
            <w:r w:rsidRPr="003B355D">
              <w:t>Clinical claim</w:t>
            </w:r>
          </w:p>
        </w:tc>
        <w:tc>
          <w:tcPr>
            <w:tcW w:w="7484" w:type="dxa"/>
            <w:shd w:val="clear" w:color="auto" w:fill="auto"/>
          </w:tcPr>
          <w:p w:rsidR="009F1E4D" w:rsidRPr="003B355D" w:rsidRDefault="009F1E4D" w:rsidP="009F1E4D">
            <w:pPr>
              <w:pStyle w:val="TableText1"/>
            </w:pPr>
            <w:r w:rsidRPr="003B355D">
              <w:t>The submission relies on a prior decision of the PBAC which considered liraglutide to be non</w:t>
            </w:r>
            <w:r w:rsidR="003B355D">
              <w:t>-</w:t>
            </w:r>
            <w:r w:rsidRPr="003B355D">
              <w:t xml:space="preserve">inferior to exenatide in terms of reduction in HbA1c in </w:t>
            </w:r>
            <w:r w:rsidR="008D31BF" w:rsidRPr="003B355D">
              <w:t>Type 2 diabetes</w:t>
            </w:r>
            <w:r w:rsidRPr="003B355D">
              <w:t>. The current submission claims superiority to exenatide in some patients in terms of reduction in cardiovascular risk</w:t>
            </w:r>
            <w:r w:rsidR="00990A09" w:rsidRPr="003B355D">
              <w:t>, and similar safety.</w:t>
            </w:r>
          </w:p>
        </w:tc>
      </w:tr>
    </w:tbl>
    <w:p w:rsidR="001F4B2F" w:rsidRPr="003B355D" w:rsidRDefault="001F4B2F" w:rsidP="0089138C">
      <w:pPr>
        <w:pStyle w:val="TableFooter"/>
      </w:pPr>
      <w:r w:rsidRPr="003B355D">
        <w:t>Source: Constructed during the evaluation</w:t>
      </w:r>
    </w:p>
    <w:p w:rsidR="00B540CE" w:rsidRPr="003B355D" w:rsidRDefault="001F4B2F" w:rsidP="0089138C">
      <w:pPr>
        <w:pStyle w:val="TableFooter"/>
      </w:pPr>
      <w:r w:rsidRPr="003B355D">
        <w:t>Abbreviations: BMI, body mass index; EQ-5D, EuroQol-5D; HbA1c, glycosylated haemoglobin</w:t>
      </w:r>
    </w:p>
    <w:p w:rsidR="00A326BF" w:rsidRDefault="00A326BF">
      <w:pPr>
        <w:widowControl/>
        <w:jc w:val="left"/>
        <w:rPr>
          <w:rFonts w:asciiTheme="minorHAnsi" w:eastAsiaTheme="majorEastAsia" w:hAnsiTheme="minorHAnsi" w:cstheme="majorBidi"/>
          <w:b/>
          <w:snapToGrid/>
          <w:sz w:val="32"/>
          <w:szCs w:val="28"/>
        </w:rPr>
      </w:pPr>
      <w:bookmarkStart w:id="4" w:name="_Toc413139272"/>
      <w:bookmarkStart w:id="5" w:name="_Toc476306882"/>
      <w:bookmarkStart w:id="6" w:name="_Toc482048970"/>
      <w:r>
        <w:rPr>
          <w:rFonts w:eastAsiaTheme="majorEastAsia" w:cstheme="majorBidi"/>
          <w:caps/>
          <w:snapToGrid/>
          <w:szCs w:val="28"/>
        </w:rPr>
        <w:br w:type="page"/>
      </w:r>
    </w:p>
    <w:p w:rsidR="00137F8D" w:rsidRPr="003B355D" w:rsidRDefault="00137F8D" w:rsidP="00D54241">
      <w:pPr>
        <w:pStyle w:val="Heading1"/>
        <w:keepNext/>
        <w:keepLines/>
        <w:widowControl/>
        <w:numPr>
          <w:ilvl w:val="0"/>
          <w:numId w:val="4"/>
        </w:numPr>
        <w:spacing w:before="400" w:after="120"/>
        <w:ind w:left="709" w:hanging="709"/>
        <w:rPr>
          <w:rFonts w:eastAsiaTheme="majorEastAsia" w:cstheme="majorBidi"/>
          <w:caps w:val="0"/>
          <w:snapToGrid/>
          <w:szCs w:val="28"/>
        </w:rPr>
      </w:pPr>
      <w:r w:rsidRPr="003B355D">
        <w:rPr>
          <w:rFonts w:eastAsiaTheme="majorEastAsia" w:cstheme="majorBidi"/>
          <w:caps w:val="0"/>
          <w:snapToGrid/>
          <w:szCs w:val="28"/>
        </w:rPr>
        <w:lastRenderedPageBreak/>
        <w:t>Requested listing</w:t>
      </w:r>
      <w:bookmarkEnd w:id="4"/>
      <w:bookmarkEnd w:id="5"/>
      <w:bookmarkEnd w:id="6"/>
    </w:p>
    <w:p w:rsidR="00B7361A" w:rsidRPr="003B355D" w:rsidRDefault="00B7361A" w:rsidP="00B7361A">
      <w:pPr>
        <w:pStyle w:val="ListParagraph"/>
        <w:numPr>
          <w:ilvl w:val="1"/>
          <w:numId w:val="29"/>
        </w:numPr>
        <w:rPr>
          <w:rFonts w:asciiTheme="minorHAnsi" w:hAnsiTheme="minorHAnsi"/>
          <w:sz w:val="24"/>
          <w:szCs w:val="24"/>
        </w:rPr>
      </w:pPr>
      <w:r w:rsidRPr="003B355D">
        <w:rPr>
          <w:rFonts w:asciiTheme="minorHAnsi" w:hAnsiTheme="minorHAnsi"/>
          <w:sz w:val="24"/>
          <w:szCs w:val="24"/>
        </w:rPr>
        <w:t>Suggestions</w:t>
      </w:r>
      <w:r w:rsidRPr="003B355D">
        <w:rPr>
          <w:rFonts w:asciiTheme="minorHAnsi" w:eastAsia="SimSun" w:hAnsiTheme="minorHAnsi"/>
          <w:iCs/>
          <w:color w:val="000000"/>
          <w:sz w:val="24"/>
          <w:szCs w:val="24"/>
        </w:rPr>
        <w:t xml:space="preserve"> and additions proposed by the Secretariat to the requested listing are added in italics and suggested deletions are crossed out with strikethrough.</w:t>
      </w:r>
    </w:p>
    <w:p w:rsidR="00B7361A" w:rsidRPr="003B355D" w:rsidRDefault="00B7361A" w:rsidP="00B7361A">
      <w:pPr>
        <w:rPr>
          <w:rFonts w:eastAsiaTheme="majorEastAsia"/>
        </w:rPr>
      </w:pPr>
    </w:p>
    <w:tbl>
      <w:tblPr>
        <w:tblW w:w="5010" w:type="pct"/>
        <w:tblCellMar>
          <w:left w:w="28" w:type="dxa"/>
          <w:right w:w="28" w:type="dxa"/>
        </w:tblCellMar>
        <w:tblLook w:val="0000" w:firstRow="0" w:lastRow="0" w:firstColumn="0" w:lastColumn="0" w:noHBand="0" w:noVBand="0"/>
      </w:tblPr>
      <w:tblGrid>
        <w:gridCol w:w="7"/>
        <w:gridCol w:w="3380"/>
        <w:gridCol w:w="768"/>
        <w:gridCol w:w="925"/>
        <w:gridCol w:w="1660"/>
        <w:gridCol w:w="715"/>
        <w:gridCol w:w="1645"/>
      </w:tblGrid>
      <w:tr w:rsidR="00137F8D" w:rsidRPr="003B355D" w:rsidTr="00F21284">
        <w:trPr>
          <w:cantSplit/>
          <w:trHeight w:val="463"/>
        </w:trPr>
        <w:tc>
          <w:tcPr>
            <w:tcW w:w="1861" w:type="pct"/>
            <w:gridSpan w:val="2"/>
            <w:tcBorders>
              <w:bottom w:val="single" w:sz="4" w:space="0" w:color="auto"/>
            </w:tcBorders>
            <w:vAlign w:val="center"/>
          </w:tcPr>
          <w:p w:rsidR="00137F8D" w:rsidRPr="003B355D" w:rsidRDefault="00137F8D" w:rsidP="00E94275">
            <w:pPr>
              <w:pStyle w:val="TableText1"/>
              <w:rPr>
                <w:b/>
              </w:rPr>
            </w:pPr>
            <w:r w:rsidRPr="003B355D">
              <w:rPr>
                <w:b/>
              </w:rPr>
              <w:t>Name, Restriction,</w:t>
            </w:r>
          </w:p>
          <w:p w:rsidR="00137F8D" w:rsidRPr="003B355D" w:rsidRDefault="00137F8D" w:rsidP="00E94275">
            <w:pPr>
              <w:pStyle w:val="TableText1"/>
              <w:rPr>
                <w:b/>
              </w:rPr>
            </w:pPr>
            <w:r w:rsidRPr="003B355D">
              <w:rPr>
                <w:b/>
              </w:rPr>
              <w:t>Manner of administration and form</w:t>
            </w:r>
          </w:p>
        </w:tc>
        <w:tc>
          <w:tcPr>
            <w:tcW w:w="422" w:type="pct"/>
            <w:tcBorders>
              <w:bottom w:val="single" w:sz="4" w:space="0" w:color="auto"/>
            </w:tcBorders>
            <w:vAlign w:val="center"/>
          </w:tcPr>
          <w:p w:rsidR="00137F8D" w:rsidRPr="003B355D" w:rsidRDefault="00137F8D" w:rsidP="00142A89">
            <w:pPr>
              <w:pStyle w:val="TableText1"/>
              <w:jc w:val="center"/>
              <w:rPr>
                <w:b/>
              </w:rPr>
            </w:pPr>
            <w:r w:rsidRPr="003B355D">
              <w:rPr>
                <w:b/>
              </w:rPr>
              <w:t>Max.</w:t>
            </w:r>
          </w:p>
          <w:p w:rsidR="00137F8D" w:rsidRPr="003B355D" w:rsidRDefault="00137F8D" w:rsidP="00142A89">
            <w:pPr>
              <w:pStyle w:val="TableText1"/>
              <w:jc w:val="center"/>
              <w:rPr>
                <w:b/>
              </w:rPr>
            </w:pPr>
            <w:r w:rsidRPr="003B355D">
              <w:rPr>
                <w:b/>
              </w:rPr>
              <w:t>Qty</w:t>
            </w:r>
            <w:r w:rsidR="00142A89" w:rsidRPr="003B355D">
              <w:rPr>
                <w:b/>
              </w:rPr>
              <w:t>.</w:t>
            </w:r>
          </w:p>
        </w:tc>
        <w:tc>
          <w:tcPr>
            <w:tcW w:w="508" w:type="pct"/>
            <w:tcBorders>
              <w:bottom w:val="single" w:sz="4" w:space="0" w:color="auto"/>
            </w:tcBorders>
            <w:vAlign w:val="center"/>
          </w:tcPr>
          <w:p w:rsidR="00137F8D" w:rsidRPr="003B355D" w:rsidRDefault="00137F8D" w:rsidP="00142A89">
            <w:pPr>
              <w:pStyle w:val="TableText1"/>
              <w:jc w:val="center"/>
              <w:rPr>
                <w:b/>
              </w:rPr>
            </w:pPr>
            <w:r w:rsidRPr="003B355D">
              <w:rPr>
                <w:b/>
              </w:rPr>
              <w:t>№.of</w:t>
            </w:r>
          </w:p>
          <w:p w:rsidR="00137F8D" w:rsidRPr="003B355D" w:rsidRDefault="00137F8D" w:rsidP="00142A89">
            <w:pPr>
              <w:pStyle w:val="TableText1"/>
              <w:jc w:val="center"/>
              <w:rPr>
                <w:b/>
              </w:rPr>
            </w:pPr>
            <w:proofErr w:type="spellStart"/>
            <w:r w:rsidRPr="003B355D">
              <w:rPr>
                <w:b/>
              </w:rPr>
              <w:t>Rpts</w:t>
            </w:r>
            <w:proofErr w:type="spellEnd"/>
            <w:r w:rsidR="00142A89" w:rsidRPr="003B355D">
              <w:rPr>
                <w:b/>
              </w:rPr>
              <w:t>.</w:t>
            </w:r>
          </w:p>
        </w:tc>
        <w:tc>
          <w:tcPr>
            <w:tcW w:w="912" w:type="pct"/>
            <w:tcBorders>
              <w:bottom w:val="single" w:sz="4" w:space="0" w:color="auto"/>
            </w:tcBorders>
            <w:vAlign w:val="center"/>
          </w:tcPr>
          <w:p w:rsidR="00137F8D" w:rsidRPr="003B355D" w:rsidRDefault="00137F8D" w:rsidP="00142A89">
            <w:pPr>
              <w:pStyle w:val="TableText1"/>
              <w:jc w:val="center"/>
              <w:rPr>
                <w:b/>
              </w:rPr>
            </w:pPr>
            <w:r w:rsidRPr="003B355D">
              <w:rPr>
                <w:b/>
              </w:rPr>
              <w:t>Dispensed Price for Max. Qty</w:t>
            </w:r>
            <w:r w:rsidR="00142A89" w:rsidRPr="003B355D">
              <w:rPr>
                <w:b/>
              </w:rPr>
              <w:t>.</w:t>
            </w:r>
          </w:p>
        </w:tc>
        <w:tc>
          <w:tcPr>
            <w:tcW w:w="1297" w:type="pct"/>
            <w:gridSpan w:val="2"/>
            <w:tcBorders>
              <w:bottom w:val="single" w:sz="4" w:space="0" w:color="auto"/>
            </w:tcBorders>
            <w:vAlign w:val="center"/>
          </w:tcPr>
          <w:p w:rsidR="00137F8D" w:rsidRPr="003B355D" w:rsidRDefault="00137F8D" w:rsidP="00142A89">
            <w:pPr>
              <w:pStyle w:val="TableText1"/>
              <w:jc w:val="center"/>
              <w:rPr>
                <w:b/>
              </w:rPr>
            </w:pPr>
            <w:r w:rsidRPr="003B355D">
              <w:rPr>
                <w:b/>
              </w:rPr>
              <w:t>Proprietary Name and Manufacturer</w:t>
            </w:r>
          </w:p>
        </w:tc>
      </w:tr>
      <w:tr w:rsidR="00A33B10" w:rsidRPr="003B355D" w:rsidTr="00F21284">
        <w:trPr>
          <w:cantSplit/>
          <w:trHeight w:val="1307"/>
        </w:trPr>
        <w:tc>
          <w:tcPr>
            <w:tcW w:w="1861" w:type="pct"/>
            <w:gridSpan w:val="2"/>
          </w:tcPr>
          <w:p w:rsidR="00A33B10" w:rsidRPr="003B355D" w:rsidRDefault="00A33B10" w:rsidP="00163EB6">
            <w:pPr>
              <w:pStyle w:val="TableText1"/>
              <w:jc w:val="left"/>
            </w:pPr>
            <w:r w:rsidRPr="003B355D">
              <w:rPr>
                <w:smallCaps/>
              </w:rPr>
              <w:t>Liraglutide (</w:t>
            </w:r>
            <w:proofErr w:type="spellStart"/>
            <w:r w:rsidRPr="003B355D">
              <w:rPr>
                <w:smallCaps/>
              </w:rPr>
              <w:t>rys</w:t>
            </w:r>
            <w:proofErr w:type="spellEnd"/>
            <w:r w:rsidRPr="003B355D">
              <w:rPr>
                <w:smallCaps/>
              </w:rPr>
              <w:t>)</w:t>
            </w:r>
          </w:p>
          <w:p w:rsidR="00A33B10" w:rsidRPr="003B355D" w:rsidRDefault="00A33B10" w:rsidP="00163EB6">
            <w:pPr>
              <w:pStyle w:val="TableText1"/>
              <w:jc w:val="left"/>
            </w:pPr>
            <w:r w:rsidRPr="003B355D">
              <w:t>Injection, 3 mL pre-filled, multi-dose, disposable pen, 6 mg/mL: 2 pen pack</w:t>
            </w:r>
          </w:p>
          <w:p w:rsidR="00A33B10" w:rsidRPr="003B355D" w:rsidRDefault="00A33B10" w:rsidP="00163EB6">
            <w:pPr>
              <w:pStyle w:val="TableText1"/>
              <w:jc w:val="left"/>
            </w:pPr>
            <w:r w:rsidRPr="003B355D">
              <w:t>Injection, 3 mL pre-filled, multi-dose, disposable pen, 6 mg/mL: 3 pen pack</w:t>
            </w:r>
          </w:p>
        </w:tc>
        <w:tc>
          <w:tcPr>
            <w:tcW w:w="422" w:type="pct"/>
          </w:tcPr>
          <w:p w:rsidR="00A33B10" w:rsidRPr="003B355D" w:rsidRDefault="00A33B10" w:rsidP="00A33B10">
            <w:pPr>
              <w:pStyle w:val="TableText1"/>
              <w:spacing w:before="120"/>
              <w:jc w:val="center"/>
            </w:pPr>
          </w:p>
          <w:p w:rsidR="00A33B10" w:rsidRPr="003B355D" w:rsidRDefault="00A33B10" w:rsidP="00A33B10">
            <w:pPr>
              <w:pStyle w:val="TableText1"/>
              <w:jc w:val="center"/>
            </w:pPr>
            <w:r w:rsidRPr="003B355D">
              <w:t>1</w:t>
            </w:r>
          </w:p>
          <w:p w:rsidR="00A33B10" w:rsidRPr="003B355D" w:rsidRDefault="00A33B10" w:rsidP="00A33B10">
            <w:pPr>
              <w:pStyle w:val="TableText1"/>
              <w:jc w:val="center"/>
            </w:pPr>
          </w:p>
          <w:p w:rsidR="00A33B10" w:rsidRPr="003B355D" w:rsidRDefault="00A33B10" w:rsidP="00A33B10">
            <w:pPr>
              <w:pStyle w:val="TableText1"/>
              <w:jc w:val="center"/>
            </w:pPr>
            <w:r w:rsidRPr="003B355D">
              <w:t>1</w:t>
            </w:r>
          </w:p>
        </w:tc>
        <w:tc>
          <w:tcPr>
            <w:tcW w:w="508" w:type="pct"/>
          </w:tcPr>
          <w:p w:rsidR="00A33B10" w:rsidRPr="003B355D" w:rsidRDefault="00A33B10" w:rsidP="00A33B10">
            <w:pPr>
              <w:pStyle w:val="TableText1"/>
              <w:spacing w:before="120"/>
              <w:jc w:val="center"/>
            </w:pPr>
          </w:p>
          <w:p w:rsidR="00A33B10" w:rsidRPr="00497929" w:rsidRDefault="00A33B10" w:rsidP="00A33B10">
            <w:pPr>
              <w:pStyle w:val="TableText1"/>
              <w:jc w:val="center"/>
            </w:pPr>
            <w:r w:rsidRPr="00497929">
              <w:t>5</w:t>
            </w:r>
          </w:p>
          <w:p w:rsidR="00A33B10" w:rsidRPr="00497929" w:rsidRDefault="00A33B10" w:rsidP="00A33B10">
            <w:pPr>
              <w:pStyle w:val="TableText1"/>
              <w:jc w:val="center"/>
            </w:pPr>
          </w:p>
          <w:p w:rsidR="00A33B10" w:rsidRPr="003B355D" w:rsidRDefault="00A33B10" w:rsidP="00A33B10">
            <w:pPr>
              <w:pStyle w:val="TableText1"/>
              <w:jc w:val="center"/>
            </w:pPr>
            <w:r w:rsidRPr="00497929">
              <w:t>5</w:t>
            </w:r>
          </w:p>
        </w:tc>
        <w:tc>
          <w:tcPr>
            <w:tcW w:w="912" w:type="pct"/>
          </w:tcPr>
          <w:p w:rsidR="00A33B10" w:rsidRPr="00F21284" w:rsidRDefault="005E3A6D" w:rsidP="00A33B10">
            <w:pPr>
              <w:pStyle w:val="TableText1"/>
              <w:spacing w:before="120"/>
              <w:jc w:val="center"/>
            </w:pPr>
            <w:r w:rsidRPr="00F21284">
              <w:t>Effective / Published</w:t>
            </w:r>
          </w:p>
          <w:p w:rsidR="00A33B10" w:rsidRPr="00F21284" w:rsidRDefault="00A33B10" w:rsidP="00A33B10">
            <w:pPr>
              <w:pStyle w:val="TableText1"/>
              <w:jc w:val="center"/>
            </w:pPr>
            <w:r w:rsidRPr="00F21284">
              <w:t>$</w:t>
            </w:r>
            <w:r w:rsidR="002578F9">
              <w:rPr>
                <w:noProof/>
                <w:color w:val="000000"/>
                <w:highlight w:val="black"/>
              </w:rPr>
              <w:t>'''''''''''''</w:t>
            </w:r>
            <w:r w:rsidR="005E3A6D" w:rsidRPr="00F21284">
              <w:t xml:space="preserve"> / </w:t>
            </w:r>
            <w:r w:rsidR="008F22F6" w:rsidRPr="00F21284">
              <w:t>$</w:t>
            </w:r>
            <w:r w:rsidR="002578F9">
              <w:rPr>
                <w:noProof/>
                <w:color w:val="000000"/>
                <w:highlight w:val="black"/>
              </w:rPr>
              <w:t>'''''''''''''''''</w:t>
            </w:r>
          </w:p>
          <w:p w:rsidR="00A33B10" w:rsidRPr="002578F9" w:rsidRDefault="00A33B10" w:rsidP="00A33B10">
            <w:pPr>
              <w:pStyle w:val="TableText1"/>
              <w:jc w:val="center"/>
            </w:pPr>
          </w:p>
          <w:p w:rsidR="00A33B10" w:rsidRPr="003B355D" w:rsidRDefault="00A33B10" w:rsidP="00817ED5">
            <w:pPr>
              <w:pStyle w:val="TableText1"/>
              <w:jc w:val="center"/>
              <w:rPr>
                <w:i/>
              </w:rPr>
            </w:pPr>
            <w:r w:rsidRPr="00F21284">
              <w:t>$</w:t>
            </w:r>
            <w:r w:rsidR="002578F9">
              <w:rPr>
                <w:noProof/>
                <w:color w:val="000000"/>
                <w:highlight w:val="black"/>
              </w:rPr>
              <w:t>''''''''''''''''</w:t>
            </w:r>
            <w:r w:rsidR="008F22F6" w:rsidRPr="00F21284">
              <w:t xml:space="preserve"> / $</w:t>
            </w:r>
            <w:r w:rsidR="002578F9">
              <w:rPr>
                <w:noProof/>
                <w:color w:val="000000"/>
                <w:highlight w:val="black"/>
              </w:rPr>
              <w:t>'''''''''''''''</w:t>
            </w:r>
          </w:p>
        </w:tc>
        <w:tc>
          <w:tcPr>
            <w:tcW w:w="393" w:type="pct"/>
            <w:vAlign w:val="center"/>
          </w:tcPr>
          <w:p w:rsidR="00A33B10" w:rsidRPr="003B355D" w:rsidRDefault="00A33B10" w:rsidP="00163EB6">
            <w:pPr>
              <w:pStyle w:val="TableText1"/>
              <w:jc w:val="center"/>
            </w:pPr>
            <w:proofErr w:type="spellStart"/>
            <w:r w:rsidRPr="003B355D">
              <w:t>Victoza</w:t>
            </w:r>
            <w:proofErr w:type="spellEnd"/>
            <w:r w:rsidRPr="003B355D">
              <w:t>®</w:t>
            </w:r>
          </w:p>
        </w:tc>
        <w:tc>
          <w:tcPr>
            <w:tcW w:w="904" w:type="pct"/>
            <w:vAlign w:val="center"/>
          </w:tcPr>
          <w:p w:rsidR="00A33B10" w:rsidRPr="003B355D" w:rsidRDefault="00A33B10" w:rsidP="00163EB6">
            <w:pPr>
              <w:pStyle w:val="TableText1"/>
              <w:jc w:val="center"/>
            </w:pPr>
            <w:r w:rsidRPr="003B355D">
              <w:t>Novo Nordisk Pharmaceuticals P/L</w:t>
            </w:r>
          </w:p>
        </w:tc>
      </w:tr>
      <w:tr w:rsidR="00B7361A" w:rsidRPr="003B355D" w:rsidTr="00F21284">
        <w:tblPrEx>
          <w:tblCellMar>
            <w:left w:w="108" w:type="dxa"/>
            <w:right w:w="108" w:type="dxa"/>
          </w:tblCellMar>
        </w:tblPrEx>
        <w:trPr>
          <w:gridBefore w:val="1"/>
          <w:wBefore w:w="4" w:type="pct"/>
          <w:cantSplit/>
          <w:trHeight w:val="360"/>
        </w:trPr>
        <w:tc>
          <w:tcPr>
            <w:tcW w:w="1857" w:type="pct"/>
            <w:tcBorders>
              <w:top w:val="single" w:sz="4" w:space="0" w:color="auto"/>
              <w:left w:val="single" w:sz="4" w:space="0" w:color="auto"/>
              <w:bottom w:val="single" w:sz="4" w:space="0" w:color="auto"/>
              <w:right w:val="single" w:sz="4" w:space="0" w:color="auto"/>
            </w:tcBorders>
          </w:tcPr>
          <w:p w:rsidR="00B7361A" w:rsidRPr="003B355D" w:rsidRDefault="00B7361A" w:rsidP="00C9551E">
            <w:pPr>
              <w:widowControl/>
              <w:rPr>
                <w:rFonts w:ascii="Arial Narrow" w:hAnsi="Arial Narrow"/>
                <w:b/>
                <w:snapToGrid/>
                <w:sz w:val="20"/>
                <w:lang w:eastAsia="en-AU"/>
              </w:rPr>
            </w:pPr>
            <w:r w:rsidRPr="003B355D">
              <w:rPr>
                <w:rFonts w:ascii="Arial Narrow" w:hAnsi="Arial Narrow"/>
                <w:b/>
                <w:snapToGrid/>
                <w:sz w:val="20"/>
                <w:lang w:eastAsia="en-AU"/>
              </w:rPr>
              <w:t xml:space="preserve">Category / </w:t>
            </w:r>
          </w:p>
          <w:p w:rsidR="00B7361A" w:rsidRPr="003B355D" w:rsidRDefault="00B7361A" w:rsidP="00C9551E">
            <w:pPr>
              <w:widowControl/>
              <w:rPr>
                <w:rFonts w:ascii="Arial Narrow" w:hAnsi="Arial Narrow"/>
                <w:b/>
                <w:snapToGrid/>
                <w:sz w:val="20"/>
                <w:lang w:eastAsia="en-AU"/>
              </w:rPr>
            </w:pPr>
            <w:r w:rsidRPr="003B355D">
              <w:rPr>
                <w:rFonts w:ascii="Arial Narrow" w:hAnsi="Arial Narrow"/>
                <w:b/>
                <w:snapToGrid/>
                <w:sz w:val="20"/>
                <w:lang w:eastAsia="en-AU"/>
              </w:rPr>
              <w:t>Program</w:t>
            </w:r>
          </w:p>
        </w:tc>
        <w:tc>
          <w:tcPr>
            <w:tcW w:w="3139" w:type="pct"/>
            <w:gridSpan w:val="5"/>
            <w:tcBorders>
              <w:top w:val="single" w:sz="4" w:space="0" w:color="auto"/>
              <w:left w:val="single" w:sz="4" w:space="0" w:color="auto"/>
              <w:bottom w:val="single" w:sz="4" w:space="0" w:color="auto"/>
              <w:right w:val="single" w:sz="4" w:space="0" w:color="auto"/>
            </w:tcBorders>
          </w:tcPr>
          <w:p w:rsidR="00B7361A" w:rsidRPr="003B355D" w:rsidRDefault="00B7361A" w:rsidP="00C9551E">
            <w:pPr>
              <w:widowControl/>
              <w:jc w:val="left"/>
              <w:rPr>
                <w:rFonts w:ascii="Arial Narrow" w:hAnsi="Arial Narrow"/>
                <w:snapToGrid/>
                <w:sz w:val="20"/>
                <w:lang w:eastAsia="en-AU"/>
              </w:rPr>
            </w:pPr>
            <w:r w:rsidRPr="003B355D">
              <w:rPr>
                <w:rFonts w:ascii="Arial Narrow" w:hAnsi="Arial Narrow"/>
                <w:snapToGrid/>
                <w:sz w:val="20"/>
                <w:lang w:eastAsia="en-AU"/>
              </w:rPr>
              <w:t>GENERAL – General Schedule (Code GE)</w:t>
            </w:r>
          </w:p>
          <w:p w:rsidR="00B7361A" w:rsidRPr="003B355D" w:rsidRDefault="00B7361A" w:rsidP="00C9551E">
            <w:pPr>
              <w:widowControl/>
              <w:jc w:val="left"/>
              <w:rPr>
                <w:rFonts w:ascii="Arial Narrow" w:hAnsi="Arial Narrow"/>
                <w:snapToGrid/>
                <w:sz w:val="20"/>
                <w:lang w:eastAsia="en-AU"/>
              </w:rPr>
            </w:pPr>
          </w:p>
        </w:tc>
      </w:tr>
      <w:tr w:rsidR="00B7361A" w:rsidRPr="003B355D" w:rsidTr="00F21284">
        <w:tblPrEx>
          <w:tblCellMar>
            <w:left w:w="108" w:type="dxa"/>
            <w:right w:w="108" w:type="dxa"/>
          </w:tblCellMar>
        </w:tblPrEx>
        <w:trPr>
          <w:gridBefore w:val="1"/>
          <w:wBefore w:w="4" w:type="pct"/>
          <w:cantSplit/>
          <w:trHeight w:val="360"/>
        </w:trPr>
        <w:tc>
          <w:tcPr>
            <w:tcW w:w="1857" w:type="pct"/>
            <w:tcBorders>
              <w:top w:val="single" w:sz="4" w:space="0" w:color="auto"/>
              <w:left w:val="single" w:sz="4" w:space="0" w:color="auto"/>
              <w:bottom w:val="single" w:sz="4" w:space="0" w:color="auto"/>
              <w:right w:val="single" w:sz="4" w:space="0" w:color="auto"/>
            </w:tcBorders>
          </w:tcPr>
          <w:p w:rsidR="00B7361A" w:rsidRPr="003B355D" w:rsidRDefault="00B7361A" w:rsidP="00C9551E">
            <w:pPr>
              <w:widowControl/>
              <w:rPr>
                <w:rFonts w:ascii="Arial Narrow" w:hAnsi="Arial Narrow"/>
                <w:b/>
                <w:snapToGrid/>
                <w:sz w:val="20"/>
                <w:lang w:eastAsia="en-AU"/>
              </w:rPr>
            </w:pPr>
            <w:r w:rsidRPr="003B355D">
              <w:rPr>
                <w:rFonts w:ascii="Arial Narrow" w:hAnsi="Arial Narrow"/>
                <w:b/>
                <w:snapToGrid/>
                <w:sz w:val="20"/>
                <w:lang w:eastAsia="en-AU"/>
              </w:rPr>
              <w:t>Prescriber type:</w:t>
            </w:r>
          </w:p>
          <w:p w:rsidR="00B7361A" w:rsidRPr="003B355D" w:rsidRDefault="00B7361A" w:rsidP="00C9551E">
            <w:pPr>
              <w:widowControl/>
              <w:rPr>
                <w:rFonts w:ascii="Arial Narrow" w:hAnsi="Arial Narrow"/>
                <w:b/>
                <w:snapToGrid/>
                <w:sz w:val="20"/>
                <w:lang w:eastAsia="en-AU"/>
              </w:rPr>
            </w:pPr>
          </w:p>
        </w:tc>
        <w:tc>
          <w:tcPr>
            <w:tcW w:w="3139" w:type="pct"/>
            <w:gridSpan w:val="5"/>
            <w:tcBorders>
              <w:top w:val="single" w:sz="4" w:space="0" w:color="auto"/>
              <w:left w:val="single" w:sz="4" w:space="0" w:color="auto"/>
              <w:bottom w:val="single" w:sz="4" w:space="0" w:color="auto"/>
              <w:right w:val="single" w:sz="4" w:space="0" w:color="auto"/>
            </w:tcBorders>
          </w:tcPr>
          <w:p w:rsidR="00B7361A" w:rsidRPr="003B355D" w:rsidRDefault="00B7361A" w:rsidP="00C9551E">
            <w:pPr>
              <w:widowControl/>
              <w:jc w:val="left"/>
              <w:rPr>
                <w:rFonts w:ascii="Arial Narrow" w:hAnsi="Arial Narrow"/>
                <w:snapToGrid/>
                <w:sz w:val="20"/>
                <w:lang w:eastAsia="en-AU"/>
              </w:rPr>
            </w:pPr>
            <w:r w:rsidRPr="003B355D">
              <w:rPr>
                <w:rFonts w:ascii="Arial Narrow" w:hAnsi="Arial Narrow"/>
                <w:snapToGrid/>
                <w:sz w:val="20"/>
                <w:lang w:eastAsia="en-AU"/>
              </w:rPr>
              <w:fldChar w:fldCharType="begin">
                <w:ffData>
                  <w:name w:val="Check1"/>
                  <w:enabled/>
                  <w:calcOnExit w:val="0"/>
                  <w:checkBox>
                    <w:sizeAuto/>
                    <w:default w:val="0"/>
                  </w:checkBox>
                </w:ffData>
              </w:fldChar>
            </w:r>
            <w:r w:rsidRPr="003B355D">
              <w:rPr>
                <w:rFonts w:ascii="Arial Narrow" w:hAnsi="Arial Narrow"/>
                <w:snapToGrid/>
                <w:sz w:val="20"/>
                <w:lang w:eastAsia="en-AU"/>
              </w:rPr>
              <w:instrText xml:space="preserve"> FORMCHECKBOX </w:instrText>
            </w:r>
            <w:r w:rsidR="00680D27">
              <w:rPr>
                <w:rFonts w:ascii="Arial Narrow" w:hAnsi="Arial Narrow"/>
                <w:snapToGrid/>
                <w:sz w:val="20"/>
                <w:lang w:eastAsia="en-AU"/>
              </w:rPr>
            </w:r>
            <w:r w:rsidR="00680D27">
              <w:rPr>
                <w:rFonts w:ascii="Arial Narrow" w:hAnsi="Arial Narrow"/>
                <w:snapToGrid/>
                <w:sz w:val="20"/>
                <w:lang w:eastAsia="en-AU"/>
              </w:rPr>
              <w:fldChar w:fldCharType="separate"/>
            </w:r>
            <w:r w:rsidRPr="003B355D">
              <w:rPr>
                <w:rFonts w:ascii="Arial Narrow" w:hAnsi="Arial Narrow"/>
                <w:snapToGrid/>
                <w:sz w:val="20"/>
                <w:lang w:eastAsia="en-AU"/>
              </w:rPr>
              <w:fldChar w:fldCharType="end"/>
            </w:r>
            <w:r w:rsidRPr="003B355D">
              <w:rPr>
                <w:rFonts w:ascii="Arial Narrow" w:hAnsi="Arial Narrow"/>
                <w:snapToGrid/>
                <w:sz w:val="20"/>
                <w:lang w:eastAsia="en-AU"/>
              </w:rPr>
              <w:t xml:space="preserve">Dental  </w:t>
            </w:r>
            <w:r w:rsidRPr="003B355D">
              <w:rPr>
                <w:rFonts w:ascii="Arial Narrow" w:hAnsi="Arial Narrow"/>
                <w:snapToGrid/>
                <w:sz w:val="20"/>
                <w:lang w:eastAsia="en-AU"/>
              </w:rPr>
              <w:fldChar w:fldCharType="begin">
                <w:ffData>
                  <w:name w:val=""/>
                  <w:enabled/>
                  <w:calcOnExit w:val="0"/>
                  <w:checkBox>
                    <w:sizeAuto/>
                    <w:default w:val="1"/>
                  </w:checkBox>
                </w:ffData>
              </w:fldChar>
            </w:r>
            <w:r w:rsidRPr="003B355D">
              <w:rPr>
                <w:rFonts w:ascii="Arial Narrow" w:hAnsi="Arial Narrow"/>
                <w:snapToGrid/>
                <w:sz w:val="20"/>
                <w:lang w:eastAsia="en-AU"/>
              </w:rPr>
              <w:instrText xml:space="preserve"> FORMCHECKBOX </w:instrText>
            </w:r>
            <w:r w:rsidR="00680D27">
              <w:rPr>
                <w:rFonts w:ascii="Arial Narrow" w:hAnsi="Arial Narrow"/>
                <w:snapToGrid/>
                <w:sz w:val="20"/>
                <w:lang w:eastAsia="en-AU"/>
              </w:rPr>
            </w:r>
            <w:r w:rsidR="00680D27">
              <w:rPr>
                <w:rFonts w:ascii="Arial Narrow" w:hAnsi="Arial Narrow"/>
                <w:snapToGrid/>
                <w:sz w:val="20"/>
                <w:lang w:eastAsia="en-AU"/>
              </w:rPr>
              <w:fldChar w:fldCharType="separate"/>
            </w:r>
            <w:r w:rsidRPr="003B355D">
              <w:rPr>
                <w:rFonts w:ascii="Arial Narrow" w:hAnsi="Arial Narrow"/>
                <w:snapToGrid/>
                <w:sz w:val="20"/>
                <w:lang w:eastAsia="en-AU"/>
              </w:rPr>
              <w:fldChar w:fldCharType="end"/>
            </w:r>
            <w:r w:rsidRPr="003B355D">
              <w:rPr>
                <w:rFonts w:ascii="Arial Narrow" w:hAnsi="Arial Narrow"/>
                <w:snapToGrid/>
                <w:sz w:val="20"/>
                <w:lang w:eastAsia="en-AU"/>
              </w:rPr>
              <w:t xml:space="preserve">Medical Practitioners  </w:t>
            </w:r>
            <w:r w:rsidRPr="003B355D">
              <w:rPr>
                <w:rFonts w:ascii="Arial Narrow" w:hAnsi="Arial Narrow"/>
                <w:snapToGrid/>
                <w:sz w:val="20"/>
                <w:lang w:eastAsia="en-AU"/>
              </w:rPr>
              <w:fldChar w:fldCharType="begin">
                <w:ffData>
                  <w:name w:val="Check3"/>
                  <w:enabled/>
                  <w:calcOnExit w:val="0"/>
                  <w:checkBox>
                    <w:sizeAuto/>
                    <w:default w:val="0"/>
                  </w:checkBox>
                </w:ffData>
              </w:fldChar>
            </w:r>
            <w:r w:rsidRPr="003B355D">
              <w:rPr>
                <w:rFonts w:ascii="Arial Narrow" w:hAnsi="Arial Narrow"/>
                <w:snapToGrid/>
                <w:sz w:val="20"/>
                <w:lang w:eastAsia="en-AU"/>
              </w:rPr>
              <w:instrText xml:space="preserve"> FORMCHECKBOX </w:instrText>
            </w:r>
            <w:r w:rsidR="00680D27">
              <w:rPr>
                <w:rFonts w:ascii="Arial Narrow" w:hAnsi="Arial Narrow"/>
                <w:snapToGrid/>
                <w:sz w:val="20"/>
                <w:lang w:eastAsia="en-AU"/>
              </w:rPr>
            </w:r>
            <w:r w:rsidR="00680D27">
              <w:rPr>
                <w:rFonts w:ascii="Arial Narrow" w:hAnsi="Arial Narrow"/>
                <w:snapToGrid/>
                <w:sz w:val="20"/>
                <w:lang w:eastAsia="en-AU"/>
              </w:rPr>
              <w:fldChar w:fldCharType="separate"/>
            </w:r>
            <w:r w:rsidRPr="003B355D">
              <w:rPr>
                <w:rFonts w:ascii="Arial Narrow" w:hAnsi="Arial Narrow"/>
                <w:snapToGrid/>
                <w:sz w:val="20"/>
                <w:lang w:eastAsia="en-AU"/>
              </w:rPr>
              <w:fldChar w:fldCharType="end"/>
            </w:r>
            <w:r w:rsidRPr="003B355D">
              <w:rPr>
                <w:rFonts w:ascii="Arial Narrow" w:hAnsi="Arial Narrow"/>
                <w:snapToGrid/>
                <w:sz w:val="20"/>
                <w:lang w:eastAsia="en-AU"/>
              </w:rPr>
              <w:t xml:space="preserve">Nurse practitioners  </w:t>
            </w:r>
            <w:r w:rsidRPr="003B355D">
              <w:rPr>
                <w:rFonts w:ascii="Arial Narrow" w:hAnsi="Arial Narrow"/>
                <w:snapToGrid/>
                <w:sz w:val="20"/>
                <w:lang w:eastAsia="en-AU"/>
              </w:rPr>
              <w:fldChar w:fldCharType="begin">
                <w:ffData>
                  <w:name w:val=""/>
                  <w:enabled/>
                  <w:calcOnExit w:val="0"/>
                  <w:checkBox>
                    <w:sizeAuto/>
                    <w:default w:val="0"/>
                  </w:checkBox>
                </w:ffData>
              </w:fldChar>
            </w:r>
            <w:r w:rsidRPr="003B355D">
              <w:rPr>
                <w:rFonts w:ascii="Arial Narrow" w:hAnsi="Arial Narrow"/>
                <w:snapToGrid/>
                <w:sz w:val="20"/>
                <w:lang w:eastAsia="en-AU"/>
              </w:rPr>
              <w:instrText xml:space="preserve"> FORMCHECKBOX </w:instrText>
            </w:r>
            <w:r w:rsidR="00680D27">
              <w:rPr>
                <w:rFonts w:ascii="Arial Narrow" w:hAnsi="Arial Narrow"/>
                <w:snapToGrid/>
                <w:sz w:val="20"/>
                <w:lang w:eastAsia="en-AU"/>
              </w:rPr>
            </w:r>
            <w:r w:rsidR="00680D27">
              <w:rPr>
                <w:rFonts w:ascii="Arial Narrow" w:hAnsi="Arial Narrow"/>
                <w:snapToGrid/>
                <w:sz w:val="20"/>
                <w:lang w:eastAsia="en-AU"/>
              </w:rPr>
              <w:fldChar w:fldCharType="separate"/>
            </w:r>
            <w:r w:rsidRPr="003B355D">
              <w:rPr>
                <w:rFonts w:ascii="Arial Narrow" w:hAnsi="Arial Narrow"/>
                <w:snapToGrid/>
                <w:sz w:val="20"/>
                <w:lang w:eastAsia="en-AU"/>
              </w:rPr>
              <w:fldChar w:fldCharType="end"/>
            </w:r>
            <w:r w:rsidRPr="003B355D">
              <w:rPr>
                <w:rFonts w:ascii="Arial Narrow" w:hAnsi="Arial Narrow"/>
                <w:snapToGrid/>
                <w:sz w:val="20"/>
                <w:lang w:eastAsia="en-AU"/>
              </w:rPr>
              <w:t>Optometrists</w:t>
            </w:r>
          </w:p>
          <w:p w:rsidR="00B7361A" w:rsidRPr="003B355D" w:rsidRDefault="00B7361A" w:rsidP="00C9551E">
            <w:pPr>
              <w:widowControl/>
              <w:jc w:val="left"/>
              <w:rPr>
                <w:rFonts w:ascii="Arial Narrow" w:hAnsi="Arial Narrow"/>
                <w:snapToGrid/>
                <w:sz w:val="20"/>
                <w:lang w:eastAsia="en-AU"/>
              </w:rPr>
            </w:pPr>
            <w:r w:rsidRPr="003B355D">
              <w:rPr>
                <w:rFonts w:ascii="Arial Narrow" w:hAnsi="Arial Narrow"/>
                <w:snapToGrid/>
                <w:sz w:val="20"/>
                <w:lang w:eastAsia="en-AU"/>
              </w:rPr>
              <w:fldChar w:fldCharType="begin">
                <w:ffData>
                  <w:name w:val="Check5"/>
                  <w:enabled/>
                  <w:calcOnExit w:val="0"/>
                  <w:checkBox>
                    <w:sizeAuto/>
                    <w:default w:val="0"/>
                  </w:checkBox>
                </w:ffData>
              </w:fldChar>
            </w:r>
            <w:r w:rsidRPr="003B355D">
              <w:rPr>
                <w:rFonts w:ascii="Arial Narrow" w:hAnsi="Arial Narrow"/>
                <w:snapToGrid/>
                <w:sz w:val="20"/>
                <w:lang w:eastAsia="en-AU"/>
              </w:rPr>
              <w:instrText xml:space="preserve"> FORMCHECKBOX </w:instrText>
            </w:r>
            <w:r w:rsidR="00680D27">
              <w:rPr>
                <w:rFonts w:ascii="Arial Narrow" w:hAnsi="Arial Narrow"/>
                <w:snapToGrid/>
                <w:sz w:val="20"/>
                <w:lang w:eastAsia="en-AU"/>
              </w:rPr>
            </w:r>
            <w:r w:rsidR="00680D27">
              <w:rPr>
                <w:rFonts w:ascii="Arial Narrow" w:hAnsi="Arial Narrow"/>
                <w:snapToGrid/>
                <w:sz w:val="20"/>
                <w:lang w:eastAsia="en-AU"/>
              </w:rPr>
              <w:fldChar w:fldCharType="separate"/>
            </w:r>
            <w:r w:rsidRPr="003B355D">
              <w:rPr>
                <w:rFonts w:ascii="Arial Narrow" w:hAnsi="Arial Narrow"/>
                <w:snapToGrid/>
                <w:sz w:val="20"/>
                <w:lang w:eastAsia="en-AU"/>
              </w:rPr>
              <w:fldChar w:fldCharType="end"/>
            </w:r>
            <w:r w:rsidRPr="003B355D">
              <w:rPr>
                <w:rFonts w:ascii="Arial Narrow" w:hAnsi="Arial Narrow"/>
                <w:snapToGrid/>
                <w:sz w:val="20"/>
                <w:lang w:eastAsia="en-AU"/>
              </w:rPr>
              <w:t>Midwives</w:t>
            </w:r>
          </w:p>
        </w:tc>
      </w:tr>
      <w:tr w:rsidR="00B7361A" w:rsidRPr="003B355D" w:rsidTr="00F21284">
        <w:tblPrEx>
          <w:tblCellMar>
            <w:left w:w="108" w:type="dxa"/>
            <w:right w:w="108" w:type="dxa"/>
          </w:tblCellMar>
        </w:tblPrEx>
        <w:trPr>
          <w:gridBefore w:val="1"/>
          <w:wBefore w:w="4" w:type="pct"/>
          <w:cantSplit/>
          <w:trHeight w:val="360"/>
        </w:trPr>
        <w:tc>
          <w:tcPr>
            <w:tcW w:w="1857" w:type="pct"/>
            <w:tcBorders>
              <w:top w:val="single" w:sz="4" w:space="0" w:color="auto"/>
              <w:left w:val="single" w:sz="4" w:space="0" w:color="auto"/>
              <w:bottom w:val="single" w:sz="4" w:space="0" w:color="auto"/>
              <w:right w:val="single" w:sz="4" w:space="0" w:color="auto"/>
            </w:tcBorders>
          </w:tcPr>
          <w:p w:rsidR="00B7361A" w:rsidRPr="003B355D" w:rsidRDefault="00B7361A" w:rsidP="00C9551E">
            <w:pPr>
              <w:widowControl/>
              <w:rPr>
                <w:rFonts w:ascii="Arial Narrow" w:hAnsi="Arial Narrow"/>
                <w:b/>
                <w:snapToGrid/>
                <w:sz w:val="20"/>
                <w:lang w:eastAsia="en-AU"/>
              </w:rPr>
            </w:pPr>
            <w:r w:rsidRPr="003B355D">
              <w:rPr>
                <w:rFonts w:ascii="Arial Narrow" w:hAnsi="Arial Narrow"/>
                <w:b/>
                <w:snapToGrid/>
                <w:sz w:val="20"/>
                <w:lang w:eastAsia="en-AU"/>
              </w:rPr>
              <w:t>Condition:</w:t>
            </w:r>
          </w:p>
        </w:tc>
        <w:tc>
          <w:tcPr>
            <w:tcW w:w="3139" w:type="pct"/>
            <w:gridSpan w:val="5"/>
            <w:tcBorders>
              <w:top w:val="single" w:sz="4" w:space="0" w:color="auto"/>
              <w:left w:val="single" w:sz="4" w:space="0" w:color="auto"/>
              <w:bottom w:val="single" w:sz="4" w:space="0" w:color="auto"/>
              <w:right w:val="single" w:sz="4" w:space="0" w:color="auto"/>
            </w:tcBorders>
          </w:tcPr>
          <w:p w:rsidR="00B7361A" w:rsidRPr="003B355D" w:rsidRDefault="00B7361A" w:rsidP="00C9551E">
            <w:pPr>
              <w:widowControl/>
              <w:jc w:val="left"/>
              <w:rPr>
                <w:rFonts w:ascii="Arial Narrow" w:hAnsi="Arial Narrow"/>
                <w:snapToGrid/>
                <w:sz w:val="20"/>
                <w:lang w:eastAsia="en-AU"/>
              </w:rPr>
            </w:pPr>
            <w:r w:rsidRPr="003B355D">
              <w:rPr>
                <w:rFonts w:ascii="Arial Narrow" w:hAnsi="Arial Narrow"/>
                <w:snapToGrid/>
                <w:sz w:val="20"/>
                <w:lang w:eastAsia="en-AU"/>
              </w:rPr>
              <w:t>Diabetes mellitus type 2</w:t>
            </w:r>
          </w:p>
        </w:tc>
      </w:tr>
      <w:tr w:rsidR="00B7361A" w:rsidRPr="003B355D" w:rsidTr="00F21284">
        <w:tblPrEx>
          <w:tblCellMar>
            <w:left w:w="108" w:type="dxa"/>
            <w:right w:w="108" w:type="dxa"/>
          </w:tblCellMar>
        </w:tblPrEx>
        <w:trPr>
          <w:gridBefore w:val="1"/>
          <w:wBefore w:w="4" w:type="pct"/>
          <w:cantSplit/>
          <w:trHeight w:val="409"/>
        </w:trPr>
        <w:tc>
          <w:tcPr>
            <w:tcW w:w="1857" w:type="pct"/>
            <w:tcBorders>
              <w:top w:val="single" w:sz="4" w:space="0" w:color="auto"/>
              <w:left w:val="single" w:sz="4" w:space="0" w:color="auto"/>
              <w:bottom w:val="single" w:sz="4" w:space="0" w:color="auto"/>
              <w:right w:val="single" w:sz="4" w:space="0" w:color="auto"/>
            </w:tcBorders>
          </w:tcPr>
          <w:p w:rsidR="00B7361A" w:rsidRPr="003B355D" w:rsidRDefault="00B7361A" w:rsidP="00C9551E">
            <w:pPr>
              <w:widowControl/>
              <w:rPr>
                <w:rFonts w:ascii="Arial Narrow" w:hAnsi="Arial Narrow"/>
                <w:b/>
                <w:snapToGrid/>
                <w:sz w:val="20"/>
                <w:lang w:eastAsia="en-AU"/>
              </w:rPr>
            </w:pPr>
            <w:r w:rsidRPr="003B355D">
              <w:rPr>
                <w:rFonts w:ascii="Arial Narrow" w:hAnsi="Arial Narrow"/>
                <w:b/>
                <w:snapToGrid/>
                <w:sz w:val="20"/>
                <w:lang w:eastAsia="en-AU"/>
              </w:rPr>
              <w:t>PBS Indication:</w:t>
            </w:r>
          </w:p>
          <w:p w:rsidR="00B7361A" w:rsidRPr="003B355D" w:rsidRDefault="00B7361A" w:rsidP="00C9551E">
            <w:pPr>
              <w:widowControl/>
              <w:rPr>
                <w:rFonts w:ascii="Arial Narrow" w:hAnsi="Arial Narrow"/>
                <w:b/>
                <w:snapToGrid/>
                <w:sz w:val="20"/>
                <w:lang w:eastAsia="en-AU"/>
              </w:rPr>
            </w:pPr>
          </w:p>
          <w:p w:rsidR="00B7361A" w:rsidRPr="003B355D" w:rsidRDefault="00B7361A" w:rsidP="00C9551E">
            <w:pPr>
              <w:widowControl/>
              <w:rPr>
                <w:rFonts w:ascii="Arial Narrow" w:hAnsi="Arial Narrow"/>
                <w:i/>
                <w:snapToGrid/>
                <w:sz w:val="20"/>
                <w:lang w:eastAsia="en-AU"/>
              </w:rPr>
            </w:pPr>
          </w:p>
        </w:tc>
        <w:tc>
          <w:tcPr>
            <w:tcW w:w="3139" w:type="pct"/>
            <w:gridSpan w:val="5"/>
            <w:tcBorders>
              <w:top w:val="single" w:sz="4" w:space="0" w:color="auto"/>
              <w:left w:val="single" w:sz="4" w:space="0" w:color="auto"/>
              <w:bottom w:val="single" w:sz="4" w:space="0" w:color="auto"/>
              <w:right w:val="single" w:sz="4" w:space="0" w:color="auto"/>
            </w:tcBorders>
          </w:tcPr>
          <w:p w:rsidR="00B7361A" w:rsidRPr="003B355D" w:rsidRDefault="00B7361A" w:rsidP="00C9551E">
            <w:pPr>
              <w:widowControl/>
              <w:jc w:val="left"/>
              <w:rPr>
                <w:rFonts w:ascii="Arial Narrow" w:hAnsi="Arial Narrow"/>
                <w:snapToGrid/>
                <w:sz w:val="20"/>
                <w:lang w:eastAsia="en-AU"/>
              </w:rPr>
            </w:pPr>
            <w:r w:rsidRPr="003B355D">
              <w:rPr>
                <w:rFonts w:ascii="Arial Narrow" w:hAnsi="Arial Narrow"/>
                <w:snapToGrid/>
                <w:sz w:val="20"/>
                <w:lang w:eastAsia="en-AU"/>
              </w:rPr>
              <w:t>Diabetes mellitus type 2</w:t>
            </w:r>
          </w:p>
        </w:tc>
      </w:tr>
      <w:tr w:rsidR="00B7361A" w:rsidRPr="003B355D" w:rsidTr="00F21284">
        <w:tblPrEx>
          <w:tblCellMar>
            <w:left w:w="108" w:type="dxa"/>
            <w:right w:w="108" w:type="dxa"/>
          </w:tblCellMar>
        </w:tblPrEx>
        <w:trPr>
          <w:gridBefore w:val="1"/>
          <w:wBefore w:w="4" w:type="pct"/>
          <w:cantSplit/>
          <w:trHeight w:val="360"/>
        </w:trPr>
        <w:tc>
          <w:tcPr>
            <w:tcW w:w="1857" w:type="pct"/>
            <w:tcBorders>
              <w:top w:val="single" w:sz="4" w:space="0" w:color="auto"/>
              <w:left w:val="single" w:sz="4" w:space="0" w:color="auto"/>
              <w:bottom w:val="single" w:sz="4" w:space="0" w:color="auto"/>
              <w:right w:val="single" w:sz="4" w:space="0" w:color="auto"/>
            </w:tcBorders>
          </w:tcPr>
          <w:p w:rsidR="00B7361A" w:rsidRPr="003B355D" w:rsidRDefault="00B7361A" w:rsidP="00C9551E">
            <w:pPr>
              <w:widowControl/>
              <w:rPr>
                <w:rFonts w:ascii="Arial Narrow" w:hAnsi="Arial Narrow"/>
                <w:b/>
                <w:snapToGrid/>
                <w:sz w:val="20"/>
                <w:lang w:eastAsia="en-AU"/>
              </w:rPr>
            </w:pPr>
            <w:r w:rsidRPr="003B355D">
              <w:rPr>
                <w:rFonts w:ascii="Arial Narrow" w:hAnsi="Arial Narrow"/>
                <w:b/>
                <w:snapToGrid/>
                <w:sz w:val="20"/>
                <w:lang w:eastAsia="en-AU"/>
              </w:rPr>
              <w:t>Treatment phase:</w:t>
            </w:r>
          </w:p>
          <w:p w:rsidR="00B7361A" w:rsidRPr="003B355D" w:rsidRDefault="00B7361A" w:rsidP="00C9551E">
            <w:pPr>
              <w:widowControl/>
              <w:rPr>
                <w:rFonts w:ascii="Arial Narrow" w:hAnsi="Arial Narrow"/>
                <w:i/>
                <w:snapToGrid/>
                <w:sz w:val="20"/>
                <w:lang w:eastAsia="en-AU"/>
              </w:rPr>
            </w:pPr>
          </w:p>
        </w:tc>
        <w:tc>
          <w:tcPr>
            <w:tcW w:w="3139" w:type="pct"/>
            <w:gridSpan w:val="5"/>
            <w:tcBorders>
              <w:top w:val="single" w:sz="4" w:space="0" w:color="auto"/>
              <w:left w:val="single" w:sz="4" w:space="0" w:color="auto"/>
              <w:bottom w:val="single" w:sz="4" w:space="0" w:color="auto"/>
              <w:right w:val="single" w:sz="4" w:space="0" w:color="auto"/>
            </w:tcBorders>
          </w:tcPr>
          <w:p w:rsidR="00B7361A" w:rsidRPr="003B355D" w:rsidRDefault="00B7361A" w:rsidP="00C9551E">
            <w:pPr>
              <w:widowControl/>
              <w:jc w:val="left"/>
              <w:rPr>
                <w:rFonts w:ascii="Arial Narrow" w:hAnsi="Arial Narrow"/>
                <w:snapToGrid/>
                <w:sz w:val="20"/>
                <w:lang w:eastAsia="en-AU"/>
              </w:rPr>
            </w:pPr>
            <w:r w:rsidRPr="003B355D">
              <w:rPr>
                <w:rFonts w:ascii="Arial Narrow" w:hAnsi="Arial Narrow"/>
                <w:snapToGrid/>
                <w:sz w:val="20"/>
                <w:lang w:eastAsia="en-AU"/>
              </w:rPr>
              <w:t>Dual combination therapy with metformin or a sulfonylurea.</w:t>
            </w:r>
          </w:p>
        </w:tc>
      </w:tr>
      <w:tr w:rsidR="00B7361A" w:rsidRPr="003B355D" w:rsidTr="00F21284">
        <w:tblPrEx>
          <w:tblCellMar>
            <w:left w:w="108" w:type="dxa"/>
            <w:right w:w="108" w:type="dxa"/>
          </w:tblCellMar>
        </w:tblPrEx>
        <w:trPr>
          <w:gridBefore w:val="1"/>
          <w:wBefore w:w="4" w:type="pct"/>
          <w:cantSplit/>
          <w:trHeight w:val="360"/>
        </w:trPr>
        <w:tc>
          <w:tcPr>
            <w:tcW w:w="1857" w:type="pct"/>
            <w:tcBorders>
              <w:top w:val="single" w:sz="4" w:space="0" w:color="auto"/>
              <w:left w:val="single" w:sz="4" w:space="0" w:color="auto"/>
              <w:bottom w:val="single" w:sz="4" w:space="0" w:color="auto"/>
              <w:right w:val="single" w:sz="4" w:space="0" w:color="auto"/>
            </w:tcBorders>
          </w:tcPr>
          <w:p w:rsidR="00B7361A" w:rsidRPr="003B355D" w:rsidRDefault="00B7361A" w:rsidP="00C9551E">
            <w:pPr>
              <w:widowControl/>
              <w:rPr>
                <w:rFonts w:ascii="Arial Narrow" w:hAnsi="Arial Narrow"/>
                <w:b/>
                <w:snapToGrid/>
                <w:sz w:val="20"/>
                <w:lang w:eastAsia="en-AU"/>
              </w:rPr>
            </w:pPr>
            <w:r w:rsidRPr="003B355D">
              <w:rPr>
                <w:rFonts w:ascii="Arial Narrow" w:hAnsi="Arial Narrow"/>
                <w:b/>
                <w:snapToGrid/>
                <w:sz w:val="20"/>
                <w:lang w:eastAsia="en-AU"/>
              </w:rPr>
              <w:t>Restriction Level / Method:</w:t>
            </w:r>
          </w:p>
          <w:p w:rsidR="00B7361A" w:rsidRPr="003B355D" w:rsidRDefault="00B7361A" w:rsidP="00C9551E">
            <w:pPr>
              <w:widowControl/>
              <w:jc w:val="left"/>
              <w:rPr>
                <w:rFonts w:ascii="Arial Narrow" w:hAnsi="Arial Narrow"/>
                <w:i/>
                <w:snapToGrid/>
                <w:sz w:val="20"/>
                <w:highlight w:val="yellow"/>
                <w:lang w:eastAsia="en-AU"/>
              </w:rPr>
            </w:pPr>
          </w:p>
          <w:p w:rsidR="00B7361A" w:rsidRPr="003B355D" w:rsidRDefault="00B7361A" w:rsidP="00C9551E">
            <w:pPr>
              <w:widowControl/>
              <w:jc w:val="left"/>
              <w:rPr>
                <w:rFonts w:ascii="Arial Narrow" w:hAnsi="Arial Narrow"/>
                <w:i/>
                <w:snapToGrid/>
                <w:sz w:val="20"/>
                <w:lang w:eastAsia="en-AU"/>
              </w:rPr>
            </w:pPr>
          </w:p>
        </w:tc>
        <w:tc>
          <w:tcPr>
            <w:tcW w:w="3139" w:type="pct"/>
            <w:gridSpan w:val="5"/>
            <w:tcBorders>
              <w:top w:val="single" w:sz="4" w:space="0" w:color="auto"/>
              <w:left w:val="single" w:sz="4" w:space="0" w:color="auto"/>
              <w:bottom w:val="single" w:sz="4" w:space="0" w:color="auto"/>
              <w:right w:val="single" w:sz="4" w:space="0" w:color="auto"/>
            </w:tcBorders>
          </w:tcPr>
          <w:p w:rsidR="00B7361A" w:rsidRPr="003B355D" w:rsidRDefault="00B7361A" w:rsidP="00C9551E">
            <w:pPr>
              <w:widowControl/>
              <w:jc w:val="left"/>
              <w:rPr>
                <w:rFonts w:ascii="Arial Narrow" w:hAnsi="Arial Narrow"/>
                <w:snapToGrid/>
                <w:sz w:val="20"/>
                <w:lang w:eastAsia="en-AU"/>
              </w:rPr>
            </w:pPr>
            <w:r w:rsidRPr="003B355D">
              <w:rPr>
                <w:rFonts w:ascii="Arial Narrow" w:hAnsi="Arial Narrow"/>
                <w:snapToGrid/>
                <w:sz w:val="20"/>
                <w:lang w:eastAsia="en-AU"/>
              </w:rPr>
              <w:fldChar w:fldCharType="begin">
                <w:ffData>
                  <w:name w:val="Check1"/>
                  <w:enabled/>
                  <w:calcOnExit w:val="0"/>
                  <w:checkBox>
                    <w:sizeAuto/>
                    <w:default w:val="0"/>
                  </w:checkBox>
                </w:ffData>
              </w:fldChar>
            </w:r>
            <w:r w:rsidRPr="003B355D">
              <w:rPr>
                <w:rFonts w:ascii="Arial Narrow" w:hAnsi="Arial Narrow"/>
                <w:snapToGrid/>
                <w:sz w:val="20"/>
                <w:lang w:eastAsia="en-AU"/>
              </w:rPr>
              <w:instrText xml:space="preserve"> FORMCHECKBOX </w:instrText>
            </w:r>
            <w:r w:rsidR="00680D27">
              <w:rPr>
                <w:rFonts w:ascii="Arial Narrow" w:hAnsi="Arial Narrow"/>
                <w:snapToGrid/>
                <w:sz w:val="20"/>
                <w:lang w:eastAsia="en-AU"/>
              </w:rPr>
            </w:r>
            <w:r w:rsidR="00680D27">
              <w:rPr>
                <w:rFonts w:ascii="Arial Narrow" w:hAnsi="Arial Narrow"/>
                <w:snapToGrid/>
                <w:sz w:val="20"/>
                <w:lang w:eastAsia="en-AU"/>
              </w:rPr>
              <w:fldChar w:fldCharType="separate"/>
            </w:r>
            <w:r w:rsidRPr="003B355D">
              <w:rPr>
                <w:rFonts w:ascii="Arial Narrow" w:hAnsi="Arial Narrow"/>
                <w:snapToGrid/>
                <w:sz w:val="20"/>
                <w:lang w:eastAsia="en-AU"/>
              </w:rPr>
              <w:fldChar w:fldCharType="end"/>
            </w:r>
            <w:r w:rsidRPr="003B355D">
              <w:rPr>
                <w:rFonts w:ascii="Arial Narrow" w:hAnsi="Arial Narrow"/>
                <w:snapToGrid/>
                <w:sz w:val="20"/>
                <w:lang w:eastAsia="en-AU"/>
              </w:rPr>
              <w:t>Restricted benefit</w:t>
            </w:r>
          </w:p>
          <w:p w:rsidR="00B7361A" w:rsidRPr="003B355D" w:rsidRDefault="00B7361A" w:rsidP="00C9551E">
            <w:pPr>
              <w:widowControl/>
              <w:jc w:val="left"/>
              <w:rPr>
                <w:rFonts w:ascii="Arial Narrow" w:hAnsi="Arial Narrow"/>
                <w:snapToGrid/>
                <w:sz w:val="20"/>
                <w:lang w:eastAsia="en-AU"/>
              </w:rPr>
            </w:pPr>
            <w:r w:rsidRPr="003B355D">
              <w:rPr>
                <w:rFonts w:ascii="Arial Narrow" w:hAnsi="Arial Narrow"/>
                <w:snapToGrid/>
                <w:sz w:val="20"/>
                <w:lang w:eastAsia="en-AU"/>
              </w:rPr>
              <w:fldChar w:fldCharType="begin">
                <w:ffData>
                  <w:name w:val=""/>
                  <w:enabled/>
                  <w:calcOnExit w:val="0"/>
                  <w:checkBox>
                    <w:sizeAuto/>
                    <w:default w:val="0"/>
                  </w:checkBox>
                </w:ffData>
              </w:fldChar>
            </w:r>
            <w:r w:rsidRPr="003B355D">
              <w:rPr>
                <w:rFonts w:ascii="Arial Narrow" w:hAnsi="Arial Narrow"/>
                <w:snapToGrid/>
                <w:sz w:val="20"/>
                <w:lang w:eastAsia="en-AU"/>
              </w:rPr>
              <w:instrText xml:space="preserve"> FORMCHECKBOX </w:instrText>
            </w:r>
            <w:r w:rsidR="00680D27">
              <w:rPr>
                <w:rFonts w:ascii="Arial Narrow" w:hAnsi="Arial Narrow"/>
                <w:snapToGrid/>
                <w:sz w:val="20"/>
                <w:lang w:eastAsia="en-AU"/>
              </w:rPr>
            </w:r>
            <w:r w:rsidR="00680D27">
              <w:rPr>
                <w:rFonts w:ascii="Arial Narrow" w:hAnsi="Arial Narrow"/>
                <w:snapToGrid/>
                <w:sz w:val="20"/>
                <w:lang w:eastAsia="en-AU"/>
              </w:rPr>
              <w:fldChar w:fldCharType="separate"/>
            </w:r>
            <w:r w:rsidRPr="003B355D">
              <w:rPr>
                <w:rFonts w:ascii="Arial Narrow" w:hAnsi="Arial Narrow"/>
                <w:snapToGrid/>
                <w:sz w:val="20"/>
                <w:lang w:eastAsia="en-AU"/>
              </w:rPr>
              <w:fldChar w:fldCharType="end"/>
            </w:r>
            <w:r w:rsidRPr="003B355D">
              <w:rPr>
                <w:rFonts w:ascii="Arial Narrow" w:hAnsi="Arial Narrow"/>
                <w:snapToGrid/>
                <w:sz w:val="20"/>
                <w:lang w:eastAsia="en-AU"/>
              </w:rPr>
              <w:t>Authority Required - In Writing</w:t>
            </w:r>
          </w:p>
          <w:p w:rsidR="00B7361A" w:rsidRPr="003B355D" w:rsidRDefault="00B7361A" w:rsidP="00C9551E">
            <w:pPr>
              <w:widowControl/>
              <w:jc w:val="left"/>
              <w:rPr>
                <w:rFonts w:ascii="Arial Narrow" w:hAnsi="Arial Narrow"/>
                <w:snapToGrid/>
                <w:sz w:val="20"/>
                <w:lang w:eastAsia="en-AU"/>
              </w:rPr>
            </w:pPr>
            <w:r w:rsidRPr="003B355D">
              <w:rPr>
                <w:rFonts w:ascii="Arial Narrow" w:hAnsi="Arial Narrow"/>
                <w:snapToGrid/>
                <w:sz w:val="20"/>
                <w:lang w:eastAsia="en-AU"/>
              </w:rPr>
              <w:fldChar w:fldCharType="begin">
                <w:ffData>
                  <w:name w:val="Check3"/>
                  <w:enabled/>
                  <w:calcOnExit w:val="0"/>
                  <w:checkBox>
                    <w:sizeAuto/>
                    <w:default w:val="0"/>
                  </w:checkBox>
                </w:ffData>
              </w:fldChar>
            </w:r>
            <w:r w:rsidRPr="003B355D">
              <w:rPr>
                <w:rFonts w:ascii="Arial Narrow" w:hAnsi="Arial Narrow"/>
                <w:snapToGrid/>
                <w:sz w:val="20"/>
                <w:lang w:eastAsia="en-AU"/>
              </w:rPr>
              <w:instrText xml:space="preserve"> FORMCHECKBOX </w:instrText>
            </w:r>
            <w:r w:rsidR="00680D27">
              <w:rPr>
                <w:rFonts w:ascii="Arial Narrow" w:hAnsi="Arial Narrow"/>
                <w:snapToGrid/>
                <w:sz w:val="20"/>
                <w:lang w:eastAsia="en-AU"/>
              </w:rPr>
            </w:r>
            <w:r w:rsidR="00680D27">
              <w:rPr>
                <w:rFonts w:ascii="Arial Narrow" w:hAnsi="Arial Narrow"/>
                <w:snapToGrid/>
                <w:sz w:val="20"/>
                <w:lang w:eastAsia="en-AU"/>
              </w:rPr>
              <w:fldChar w:fldCharType="separate"/>
            </w:r>
            <w:r w:rsidRPr="003B355D">
              <w:rPr>
                <w:rFonts w:ascii="Arial Narrow" w:hAnsi="Arial Narrow"/>
                <w:snapToGrid/>
                <w:sz w:val="20"/>
                <w:lang w:eastAsia="en-AU"/>
              </w:rPr>
              <w:fldChar w:fldCharType="end"/>
            </w:r>
            <w:r w:rsidRPr="003B355D">
              <w:rPr>
                <w:rFonts w:ascii="Arial Narrow" w:hAnsi="Arial Narrow"/>
                <w:snapToGrid/>
                <w:sz w:val="20"/>
                <w:lang w:eastAsia="en-AU"/>
              </w:rPr>
              <w:t>Authority Required - Telephone</w:t>
            </w:r>
          </w:p>
          <w:p w:rsidR="00B7361A" w:rsidRPr="003B355D" w:rsidRDefault="00B7361A" w:rsidP="00C9551E">
            <w:pPr>
              <w:widowControl/>
              <w:jc w:val="left"/>
              <w:rPr>
                <w:rFonts w:ascii="Arial Narrow" w:hAnsi="Arial Narrow"/>
                <w:snapToGrid/>
                <w:sz w:val="20"/>
                <w:lang w:eastAsia="en-AU"/>
              </w:rPr>
            </w:pPr>
            <w:r w:rsidRPr="003B355D">
              <w:rPr>
                <w:rFonts w:ascii="Arial Narrow" w:hAnsi="Arial Narrow"/>
                <w:snapToGrid/>
                <w:sz w:val="20"/>
                <w:lang w:eastAsia="en-AU"/>
              </w:rPr>
              <w:fldChar w:fldCharType="begin">
                <w:ffData>
                  <w:name w:val=""/>
                  <w:enabled/>
                  <w:calcOnExit w:val="0"/>
                  <w:checkBox>
                    <w:sizeAuto/>
                    <w:default w:val="0"/>
                  </w:checkBox>
                </w:ffData>
              </w:fldChar>
            </w:r>
            <w:r w:rsidRPr="003B355D">
              <w:rPr>
                <w:rFonts w:ascii="Arial Narrow" w:hAnsi="Arial Narrow"/>
                <w:snapToGrid/>
                <w:sz w:val="20"/>
                <w:lang w:eastAsia="en-AU"/>
              </w:rPr>
              <w:instrText xml:space="preserve"> FORMCHECKBOX </w:instrText>
            </w:r>
            <w:r w:rsidR="00680D27">
              <w:rPr>
                <w:rFonts w:ascii="Arial Narrow" w:hAnsi="Arial Narrow"/>
                <w:snapToGrid/>
                <w:sz w:val="20"/>
                <w:lang w:eastAsia="en-AU"/>
              </w:rPr>
            </w:r>
            <w:r w:rsidR="00680D27">
              <w:rPr>
                <w:rFonts w:ascii="Arial Narrow" w:hAnsi="Arial Narrow"/>
                <w:snapToGrid/>
                <w:sz w:val="20"/>
                <w:lang w:eastAsia="en-AU"/>
              </w:rPr>
              <w:fldChar w:fldCharType="separate"/>
            </w:r>
            <w:r w:rsidRPr="003B355D">
              <w:rPr>
                <w:rFonts w:ascii="Arial Narrow" w:hAnsi="Arial Narrow"/>
                <w:snapToGrid/>
                <w:sz w:val="20"/>
                <w:lang w:eastAsia="en-AU"/>
              </w:rPr>
              <w:fldChar w:fldCharType="end"/>
            </w:r>
            <w:r w:rsidRPr="003B355D">
              <w:rPr>
                <w:rFonts w:ascii="Arial Narrow" w:hAnsi="Arial Narrow"/>
                <w:snapToGrid/>
                <w:sz w:val="20"/>
                <w:lang w:eastAsia="en-AU"/>
              </w:rPr>
              <w:t>Authority Required - Emergency</w:t>
            </w:r>
          </w:p>
          <w:p w:rsidR="00B7361A" w:rsidRPr="003B355D" w:rsidRDefault="00B7361A" w:rsidP="00C9551E">
            <w:pPr>
              <w:widowControl/>
              <w:jc w:val="left"/>
              <w:rPr>
                <w:rFonts w:ascii="Arial Narrow" w:hAnsi="Arial Narrow"/>
                <w:snapToGrid/>
                <w:sz w:val="20"/>
                <w:lang w:eastAsia="en-AU"/>
              </w:rPr>
            </w:pPr>
            <w:r w:rsidRPr="003B355D">
              <w:rPr>
                <w:rFonts w:ascii="Arial Narrow" w:hAnsi="Arial Narrow"/>
                <w:snapToGrid/>
                <w:sz w:val="20"/>
                <w:lang w:eastAsia="en-AU"/>
              </w:rPr>
              <w:fldChar w:fldCharType="begin">
                <w:ffData>
                  <w:name w:val="Check5"/>
                  <w:enabled/>
                  <w:calcOnExit w:val="0"/>
                  <w:checkBox>
                    <w:sizeAuto/>
                    <w:default w:val="0"/>
                  </w:checkBox>
                </w:ffData>
              </w:fldChar>
            </w:r>
            <w:r w:rsidRPr="003B355D">
              <w:rPr>
                <w:rFonts w:ascii="Arial Narrow" w:hAnsi="Arial Narrow"/>
                <w:snapToGrid/>
                <w:sz w:val="20"/>
                <w:lang w:eastAsia="en-AU"/>
              </w:rPr>
              <w:instrText xml:space="preserve"> FORMCHECKBOX </w:instrText>
            </w:r>
            <w:r w:rsidR="00680D27">
              <w:rPr>
                <w:rFonts w:ascii="Arial Narrow" w:hAnsi="Arial Narrow"/>
                <w:snapToGrid/>
                <w:sz w:val="20"/>
                <w:lang w:eastAsia="en-AU"/>
              </w:rPr>
            </w:r>
            <w:r w:rsidR="00680D27">
              <w:rPr>
                <w:rFonts w:ascii="Arial Narrow" w:hAnsi="Arial Narrow"/>
                <w:snapToGrid/>
                <w:sz w:val="20"/>
                <w:lang w:eastAsia="en-AU"/>
              </w:rPr>
              <w:fldChar w:fldCharType="separate"/>
            </w:r>
            <w:r w:rsidRPr="003B355D">
              <w:rPr>
                <w:rFonts w:ascii="Arial Narrow" w:hAnsi="Arial Narrow"/>
                <w:snapToGrid/>
                <w:sz w:val="20"/>
                <w:lang w:eastAsia="en-AU"/>
              </w:rPr>
              <w:fldChar w:fldCharType="end"/>
            </w:r>
            <w:r w:rsidRPr="003B355D">
              <w:rPr>
                <w:rFonts w:ascii="Arial Narrow" w:hAnsi="Arial Narrow"/>
                <w:snapToGrid/>
                <w:sz w:val="20"/>
                <w:lang w:eastAsia="en-AU"/>
              </w:rPr>
              <w:t>Authority Required - Electronic</w:t>
            </w:r>
          </w:p>
          <w:p w:rsidR="00B7361A" w:rsidRPr="003B355D" w:rsidRDefault="00B7361A" w:rsidP="00C9551E">
            <w:pPr>
              <w:widowControl/>
              <w:jc w:val="left"/>
              <w:rPr>
                <w:rFonts w:ascii="Arial Narrow" w:hAnsi="Arial Narrow"/>
                <w:snapToGrid/>
                <w:sz w:val="20"/>
                <w:lang w:eastAsia="en-AU"/>
              </w:rPr>
            </w:pPr>
            <w:r w:rsidRPr="003B355D">
              <w:rPr>
                <w:rFonts w:ascii="Arial Narrow" w:hAnsi="Arial Narrow"/>
                <w:snapToGrid/>
                <w:sz w:val="20"/>
                <w:lang w:eastAsia="en-AU"/>
              </w:rPr>
              <w:fldChar w:fldCharType="begin">
                <w:ffData>
                  <w:name w:val=""/>
                  <w:enabled/>
                  <w:calcOnExit w:val="0"/>
                  <w:checkBox>
                    <w:sizeAuto/>
                    <w:default w:val="1"/>
                  </w:checkBox>
                </w:ffData>
              </w:fldChar>
            </w:r>
            <w:r w:rsidRPr="003B355D">
              <w:rPr>
                <w:rFonts w:ascii="Arial Narrow" w:hAnsi="Arial Narrow"/>
                <w:snapToGrid/>
                <w:sz w:val="20"/>
                <w:lang w:eastAsia="en-AU"/>
              </w:rPr>
              <w:instrText xml:space="preserve"> FORMCHECKBOX </w:instrText>
            </w:r>
            <w:r w:rsidR="00680D27">
              <w:rPr>
                <w:rFonts w:ascii="Arial Narrow" w:hAnsi="Arial Narrow"/>
                <w:snapToGrid/>
                <w:sz w:val="20"/>
                <w:lang w:eastAsia="en-AU"/>
              </w:rPr>
            </w:r>
            <w:r w:rsidR="00680D27">
              <w:rPr>
                <w:rFonts w:ascii="Arial Narrow" w:hAnsi="Arial Narrow"/>
                <w:snapToGrid/>
                <w:sz w:val="20"/>
                <w:lang w:eastAsia="en-AU"/>
              </w:rPr>
              <w:fldChar w:fldCharType="separate"/>
            </w:r>
            <w:r w:rsidRPr="003B355D">
              <w:rPr>
                <w:rFonts w:ascii="Arial Narrow" w:hAnsi="Arial Narrow"/>
                <w:snapToGrid/>
                <w:sz w:val="20"/>
                <w:lang w:eastAsia="en-AU"/>
              </w:rPr>
              <w:fldChar w:fldCharType="end"/>
            </w:r>
            <w:r w:rsidRPr="003B355D">
              <w:rPr>
                <w:rFonts w:ascii="Arial Narrow" w:hAnsi="Arial Narrow"/>
                <w:snapToGrid/>
                <w:sz w:val="20"/>
                <w:lang w:eastAsia="en-AU"/>
              </w:rPr>
              <w:t>Streamlined</w:t>
            </w:r>
          </w:p>
        </w:tc>
      </w:tr>
      <w:tr w:rsidR="00B7361A" w:rsidRPr="003B355D" w:rsidTr="00F21284">
        <w:tblPrEx>
          <w:tblCellMar>
            <w:left w:w="108" w:type="dxa"/>
            <w:right w:w="108" w:type="dxa"/>
          </w:tblCellMar>
        </w:tblPrEx>
        <w:trPr>
          <w:gridBefore w:val="1"/>
          <w:wBefore w:w="4" w:type="pct"/>
          <w:cantSplit/>
          <w:trHeight w:val="788"/>
        </w:trPr>
        <w:tc>
          <w:tcPr>
            <w:tcW w:w="1857" w:type="pct"/>
            <w:tcBorders>
              <w:top w:val="single" w:sz="4" w:space="0" w:color="auto"/>
              <w:left w:val="single" w:sz="4" w:space="0" w:color="auto"/>
              <w:bottom w:val="single" w:sz="4" w:space="0" w:color="auto"/>
              <w:right w:val="single" w:sz="4" w:space="0" w:color="auto"/>
            </w:tcBorders>
          </w:tcPr>
          <w:p w:rsidR="00B7361A" w:rsidRPr="003B355D" w:rsidRDefault="00B7361A" w:rsidP="00C9551E">
            <w:pPr>
              <w:widowControl/>
              <w:jc w:val="left"/>
              <w:rPr>
                <w:rFonts w:ascii="Arial Narrow" w:hAnsi="Arial Narrow"/>
                <w:b/>
                <w:snapToGrid/>
                <w:sz w:val="20"/>
                <w:lang w:eastAsia="en-AU"/>
              </w:rPr>
            </w:pPr>
            <w:r w:rsidRPr="003B355D">
              <w:rPr>
                <w:rFonts w:ascii="Arial Narrow" w:hAnsi="Arial Narrow"/>
                <w:b/>
                <w:snapToGrid/>
                <w:sz w:val="20"/>
                <w:lang w:eastAsia="en-AU"/>
              </w:rPr>
              <w:t>Treatment criteria:</w:t>
            </w:r>
          </w:p>
          <w:p w:rsidR="00B7361A" w:rsidRPr="003B355D" w:rsidRDefault="00B7361A" w:rsidP="00C9551E">
            <w:pPr>
              <w:widowControl/>
              <w:jc w:val="left"/>
              <w:rPr>
                <w:rFonts w:ascii="Arial Narrow" w:hAnsi="Arial Narrow"/>
                <w:i/>
                <w:snapToGrid/>
                <w:sz w:val="20"/>
                <w:lang w:eastAsia="en-AU"/>
              </w:rPr>
            </w:pPr>
          </w:p>
          <w:p w:rsidR="00B7361A" w:rsidRPr="003B355D" w:rsidRDefault="00B7361A" w:rsidP="00C9551E">
            <w:pPr>
              <w:widowControl/>
              <w:jc w:val="left"/>
              <w:rPr>
                <w:rFonts w:ascii="Arial Narrow" w:hAnsi="Arial Narrow"/>
                <w:snapToGrid/>
                <w:sz w:val="20"/>
                <w:lang w:eastAsia="en-AU"/>
              </w:rPr>
            </w:pPr>
          </w:p>
        </w:tc>
        <w:tc>
          <w:tcPr>
            <w:tcW w:w="3139" w:type="pct"/>
            <w:gridSpan w:val="5"/>
            <w:tcBorders>
              <w:top w:val="single" w:sz="4" w:space="0" w:color="auto"/>
              <w:left w:val="single" w:sz="4" w:space="0" w:color="auto"/>
              <w:bottom w:val="single" w:sz="4" w:space="0" w:color="auto"/>
              <w:right w:val="single" w:sz="4" w:space="0" w:color="auto"/>
            </w:tcBorders>
          </w:tcPr>
          <w:p w:rsidR="00B7361A" w:rsidRPr="003B355D" w:rsidRDefault="00B7361A" w:rsidP="00C9551E">
            <w:pPr>
              <w:widowControl/>
              <w:jc w:val="left"/>
              <w:rPr>
                <w:rFonts w:ascii="Arial Narrow" w:hAnsi="Arial Narrow"/>
                <w:snapToGrid/>
                <w:sz w:val="20"/>
                <w:lang w:eastAsia="en-AU"/>
              </w:rPr>
            </w:pPr>
            <w:r w:rsidRPr="003B355D">
              <w:rPr>
                <w:rFonts w:ascii="Arial Narrow" w:hAnsi="Arial Narrow"/>
                <w:snapToGrid/>
                <w:sz w:val="20"/>
                <w:lang w:eastAsia="en-AU"/>
              </w:rPr>
              <w:t>The treatment must be in combination with metformin.</w:t>
            </w:r>
          </w:p>
          <w:p w:rsidR="00B7361A" w:rsidRPr="003B355D" w:rsidRDefault="00B7361A" w:rsidP="00C9551E">
            <w:pPr>
              <w:widowControl/>
              <w:jc w:val="left"/>
              <w:rPr>
                <w:rFonts w:ascii="Arial Narrow" w:hAnsi="Arial Narrow"/>
                <w:snapToGrid/>
                <w:sz w:val="20"/>
                <w:lang w:eastAsia="en-AU"/>
              </w:rPr>
            </w:pPr>
            <w:r w:rsidRPr="003B355D">
              <w:rPr>
                <w:rFonts w:ascii="Arial Narrow" w:hAnsi="Arial Narrow"/>
                <w:snapToGrid/>
                <w:sz w:val="20"/>
                <w:lang w:eastAsia="en-AU"/>
              </w:rPr>
              <w:t>OR:</w:t>
            </w:r>
          </w:p>
          <w:p w:rsidR="00B7361A" w:rsidRPr="003B355D" w:rsidRDefault="00B7361A" w:rsidP="00C9551E">
            <w:pPr>
              <w:widowControl/>
              <w:jc w:val="left"/>
              <w:rPr>
                <w:rFonts w:ascii="Arial Narrow" w:hAnsi="Arial Narrow"/>
                <w:snapToGrid/>
                <w:sz w:val="20"/>
                <w:lang w:eastAsia="en-AU"/>
              </w:rPr>
            </w:pPr>
            <w:r w:rsidRPr="003B355D">
              <w:rPr>
                <w:rFonts w:ascii="Arial Narrow" w:hAnsi="Arial Narrow"/>
                <w:snapToGrid/>
                <w:sz w:val="20"/>
                <w:lang w:eastAsia="en-AU"/>
              </w:rPr>
              <w:t>The treatment must be in combination with a sulfonylurea</w:t>
            </w:r>
          </w:p>
        </w:tc>
      </w:tr>
      <w:tr w:rsidR="00B7361A" w:rsidRPr="003B355D" w:rsidTr="00F21284">
        <w:tblPrEx>
          <w:tblCellMar>
            <w:left w:w="108" w:type="dxa"/>
            <w:right w:w="108" w:type="dxa"/>
          </w:tblCellMar>
        </w:tblPrEx>
        <w:trPr>
          <w:gridBefore w:val="1"/>
          <w:wBefore w:w="4" w:type="pct"/>
          <w:cantSplit/>
          <w:trHeight w:val="788"/>
        </w:trPr>
        <w:tc>
          <w:tcPr>
            <w:tcW w:w="1857" w:type="pct"/>
            <w:tcBorders>
              <w:top w:val="single" w:sz="4" w:space="0" w:color="auto"/>
              <w:left w:val="single" w:sz="4" w:space="0" w:color="auto"/>
              <w:bottom w:val="single" w:sz="4" w:space="0" w:color="auto"/>
              <w:right w:val="single" w:sz="4" w:space="0" w:color="auto"/>
            </w:tcBorders>
          </w:tcPr>
          <w:p w:rsidR="00B7361A" w:rsidRPr="003B355D" w:rsidRDefault="00B7361A" w:rsidP="00C9551E">
            <w:pPr>
              <w:widowControl/>
              <w:rPr>
                <w:rFonts w:ascii="Arial Narrow" w:hAnsi="Arial Narrow"/>
                <w:b/>
                <w:snapToGrid/>
                <w:sz w:val="20"/>
                <w:lang w:eastAsia="en-AU"/>
              </w:rPr>
            </w:pPr>
            <w:r w:rsidRPr="003B355D">
              <w:rPr>
                <w:rFonts w:ascii="Arial Narrow" w:hAnsi="Arial Narrow"/>
                <w:b/>
                <w:snapToGrid/>
                <w:sz w:val="20"/>
                <w:lang w:eastAsia="en-AU"/>
              </w:rPr>
              <w:lastRenderedPageBreak/>
              <w:t>Clinical criteria:</w:t>
            </w:r>
          </w:p>
          <w:p w:rsidR="00B7361A" w:rsidRPr="003B355D" w:rsidRDefault="00B7361A" w:rsidP="00C9551E">
            <w:pPr>
              <w:widowControl/>
              <w:jc w:val="left"/>
              <w:rPr>
                <w:rFonts w:ascii="Arial Narrow" w:hAnsi="Arial Narrow"/>
                <w:b/>
                <w:snapToGrid/>
                <w:sz w:val="20"/>
                <w:lang w:eastAsia="en-AU"/>
              </w:rPr>
            </w:pPr>
          </w:p>
        </w:tc>
        <w:tc>
          <w:tcPr>
            <w:tcW w:w="3139" w:type="pct"/>
            <w:gridSpan w:val="5"/>
            <w:tcBorders>
              <w:top w:val="single" w:sz="4" w:space="0" w:color="auto"/>
              <w:left w:val="single" w:sz="4" w:space="0" w:color="auto"/>
              <w:bottom w:val="single" w:sz="4" w:space="0" w:color="auto"/>
              <w:right w:val="single" w:sz="4" w:space="0" w:color="auto"/>
            </w:tcBorders>
          </w:tcPr>
          <w:p w:rsidR="00B7361A" w:rsidRPr="003B355D" w:rsidRDefault="00B7361A" w:rsidP="00C9551E">
            <w:pPr>
              <w:widowControl/>
              <w:jc w:val="left"/>
              <w:rPr>
                <w:rFonts w:ascii="Arial Narrow" w:hAnsi="Arial Narrow"/>
                <w:snapToGrid/>
                <w:sz w:val="20"/>
                <w:lang w:eastAsia="en-AU"/>
              </w:rPr>
            </w:pPr>
            <w:r w:rsidRPr="003B355D">
              <w:rPr>
                <w:rFonts w:ascii="Arial Narrow" w:hAnsi="Arial Narrow"/>
                <w:snapToGrid/>
                <w:sz w:val="20"/>
                <w:lang w:eastAsia="en-AU"/>
              </w:rPr>
              <w:t>Patient must have a contraindication to a combination of metformin and a sulfonylurea; OR</w:t>
            </w:r>
          </w:p>
          <w:p w:rsidR="00B7361A" w:rsidRPr="003B355D" w:rsidRDefault="00B7361A" w:rsidP="00C9551E">
            <w:pPr>
              <w:widowControl/>
              <w:jc w:val="left"/>
              <w:rPr>
                <w:rFonts w:ascii="Arial Narrow" w:hAnsi="Arial Narrow"/>
                <w:snapToGrid/>
                <w:sz w:val="20"/>
                <w:lang w:eastAsia="en-AU"/>
              </w:rPr>
            </w:pPr>
          </w:p>
          <w:p w:rsidR="00B7361A" w:rsidRPr="003B355D" w:rsidRDefault="00B7361A" w:rsidP="00C9551E">
            <w:pPr>
              <w:widowControl/>
              <w:jc w:val="left"/>
              <w:rPr>
                <w:rFonts w:ascii="Arial Narrow" w:hAnsi="Arial Narrow"/>
                <w:snapToGrid/>
                <w:sz w:val="20"/>
                <w:lang w:eastAsia="en-AU"/>
              </w:rPr>
            </w:pPr>
            <w:r w:rsidRPr="003B355D">
              <w:rPr>
                <w:rFonts w:ascii="Arial Narrow" w:hAnsi="Arial Narrow"/>
                <w:snapToGrid/>
                <w:sz w:val="20"/>
                <w:lang w:eastAsia="en-AU"/>
              </w:rPr>
              <w:t>Patient must not have tolerated a combination of metformin and a sulfonylurea,</w:t>
            </w:r>
          </w:p>
          <w:p w:rsidR="00B7361A" w:rsidRPr="003B355D" w:rsidRDefault="00B7361A" w:rsidP="00C9551E">
            <w:pPr>
              <w:widowControl/>
              <w:jc w:val="left"/>
              <w:rPr>
                <w:rFonts w:ascii="Arial Narrow" w:hAnsi="Arial Narrow"/>
                <w:snapToGrid/>
                <w:sz w:val="20"/>
                <w:lang w:eastAsia="en-AU"/>
              </w:rPr>
            </w:pPr>
          </w:p>
          <w:p w:rsidR="00B7361A" w:rsidRPr="003B355D" w:rsidRDefault="00B7361A" w:rsidP="00C9551E">
            <w:pPr>
              <w:widowControl/>
              <w:jc w:val="left"/>
              <w:rPr>
                <w:rFonts w:ascii="Arial Narrow" w:hAnsi="Arial Narrow"/>
                <w:snapToGrid/>
                <w:sz w:val="20"/>
                <w:lang w:eastAsia="en-AU"/>
              </w:rPr>
            </w:pPr>
            <w:r w:rsidRPr="003B355D">
              <w:rPr>
                <w:rFonts w:ascii="Arial Narrow" w:hAnsi="Arial Narrow"/>
                <w:snapToGrid/>
                <w:sz w:val="20"/>
                <w:lang w:eastAsia="en-AU"/>
              </w:rPr>
              <w:t>AND</w:t>
            </w:r>
          </w:p>
          <w:p w:rsidR="00B7361A" w:rsidRPr="003B355D" w:rsidRDefault="00B7361A" w:rsidP="00C9551E">
            <w:pPr>
              <w:widowControl/>
              <w:jc w:val="left"/>
              <w:rPr>
                <w:rFonts w:ascii="Arial Narrow" w:hAnsi="Arial Narrow"/>
                <w:snapToGrid/>
                <w:sz w:val="20"/>
                <w:lang w:eastAsia="en-AU"/>
              </w:rPr>
            </w:pPr>
          </w:p>
          <w:p w:rsidR="00B7361A" w:rsidRPr="003B355D" w:rsidRDefault="00B7361A" w:rsidP="00C9551E">
            <w:pPr>
              <w:widowControl/>
              <w:jc w:val="left"/>
              <w:rPr>
                <w:rFonts w:ascii="Arial Narrow" w:hAnsi="Arial Narrow"/>
                <w:snapToGrid/>
                <w:sz w:val="20"/>
                <w:lang w:eastAsia="en-AU"/>
              </w:rPr>
            </w:pPr>
            <w:r w:rsidRPr="003B355D">
              <w:rPr>
                <w:rFonts w:ascii="Arial Narrow" w:hAnsi="Arial Narrow"/>
                <w:snapToGrid/>
                <w:sz w:val="20"/>
                <w:lang w:eastAsia="en-AU"/>
              </w:rPr>
              <w:t>Patient must have, or have had, a glycosylated haemoglobin (HbA1c) measurement greater than 7% prior to the initiation of a dipeptidyl peptidase 4 inhibitor (gliptin), a thiazolidinedione (</w:t>
            </w:r>
            <w:proofErr w:type="spellStart"/>
            <w:r w:rsidRPr="003B355D">
              <w:rPr>
                <w:rFonts w:ascii="Arial Narrow" w:hAnsi="Arial Narrow"/>
                <w:snapToGrid/>
                <w:sz w:val="20"/>
                <w:lang w:eastAsia="en-AU"/>
              </w:rPr>
              <w:t>glitazone</w:t>
            </w:r>
            <w:proofErr w:type="spellEnd"/>
            <w:r w:rsidRPr="003B355D">
              <w:rPr>
                <w:rFonts w:ascii="Arial Narrow" w:hAnsi="Arial Narrow"/>
                <w:snapToGrid/>
                <w:sz w:val="20"/>
                <w:lang w:eastAsia="en-AU"/>
              </w:rPr>
              <w:t>), a glucagon-like peptide-1 or a sodium-glucose co-transporter 2 (SGLT2) inhibitor despite treatment with either metformin or a sulfonylurea; OR</w:t>
            </w:r>
          </w:p>
          <w:p w:rsidR="00B7361A" w:rsidRPr="003B355D" w:rsidRDefault="00B7361A" w:rsidP="00C9551E">
            <w:pPr>
              <w:widowControl/>
              <w:jc w:val="left"/>
              <w:rPr>
                <w:rFonts w:ascii="Arial Narrow" w:hAnsi="Arial Narrow"/>
                <w:snapToGrid/>
                <w:sz w:val="20"/>
                <w:lang w:eastAsia="en-AU"/>
              </w:rPr>
            </w:pPr>
          </w:p>
          <w:p w:rsidR="00B7361A" w:rsidRPr="003B355D" w:rsidRDefault="00B7361A" w:rsidP="00C9551E">
            <w:pPr>
              <w:widowControl/>
              <w:jc w:val="left"/>
              <w:rPr>
                <w:rFonts w:ascii="Arial Narrow" w:hAnsi="Arial Narrow"/>
                <w:snapToGrid/>
                <w:sz w:val="20"/>
                <w:lang w:eastAsia="en-AU"/>
              </w:rPr>
            </w:pPr>
            <w:r w:rsidRPr="003B355D">
              <w:rPr>
                <w:rFonts w:ascii="Arial Narrow" w:hAnsi="Arial Narrow"/>
                <w:snapToGrid/>
                <w:sz w:val="20"/>
                <w:lang w:eastAsia="en-AU"/>
              </w:rPr>
              <w:t xml:space="preserve">Patient must have, or have had, where HbA1c measurement is clinically inappropriate, blood glucose levels greater than 10 </w:t>
            </w:r>
            <w:proofErr w:type="spellStart"/>
            <w:r w:rsidRPr="003B355D">
              <w:rPr>
                <w:rFonts w:ascii="Arial Narrow" w:hAnsi="Arial Narrow"/>
                <w:snapToGrid/>
                <w:sz w:val="20"/>
                <w:lang w:eastAsia="en-AU"/>
              </w:rPr>
              <w:t>mmol</w:t>
            </w:r>
            <w:proofErr w:type="spellEnd"/>
            <w:r w:rsidRPr="003B355D">
              <w:rPr>
                <w:rFonts w:ascii="Arial Narrow" w:hAnsi="Arial Narrow"/>
                <w:snapToGrid/>
                <w:sz w:val="20"/>
                <w:lang w:eastAsia="en-AU"/>
              </w:rPr>
              <w:t xml:space="preserve"> per L in more than 20% of tests over a 2 week period prior to initiation with a gliptin, a </w:t>
            </w:r>
            <w:proofErr w:type="spellStart"/>
            <w:r w:rsidRPr="003B355D">
              <w:rPr>
                <w:rFonts w:ascii="Arial Narrow" w:hAnsi="Arial Narrow"/>
                <w:snapToGrid/>
                <w:sz w:val="20"/>
                <w:lang w:eastAsia="en-AU"/>
              </w:rPr>
              <w:t>glitazone</w:t>
            </w:r>
            <w:proofErr w:type="spellEnd"/>
            <w:r w:rsidRPr="003B355D">
              <w:rPr>
                <w:rFonts w:ascii="Arial Narrow" w:hAnsi="Arial Narrow"/>
                <w:snapToGrid/>
                <w:sz w:val="20"/>
                <w:lang w:eastAsia="en-AU"/>
              </w:rPr>
              <w:t>, a glucagon-like peptide-1 or an SGLT2 inhibitor despite treatment with either metformin or a sulfonylurea.</w:t>
            </w:r>
          </w:p>
          <w:p w:rsidR="00B7361A" w:rsidRPr="003B355D" w:rsidRDefault="00B7361A" w:rsidP="00C9551E">
            <w:pPr>
              <w:widowControl/>
              <w:jc w:val="left"/>
              <w:rPr>
                <w:rFonts w:ascii="Arial Narrow" w:hAnsi="Arial Narrow"/>
                <w:snapToGrid/>
                <w:sz w:val="20"/>
                <w:lang w:eastAsia="en-AU"/>
              </w:rPr>
            </w:pPr>
          </w:p>
          <w:p w:rsidR="00B7361A" w:rsidRPr="003B355D" w:rsidRDefault="00B7361A" w:rsidP="00C9551E">
            <w:pPr>
              <w:widowControl/>
              <w:jc w:val="left"/>
              <w:rPr>
                <w:rFonts w:ascii="Arial Narrow" w:hAnsi="Arial Narrow"/>
                <w:snapToGrid/>
                <w:sz w:val="20"/>
                <w:lang w:eastAsia="en-AU"/>
              </w:rPr>
            </w:pPr>
            <w:r w:rsidRPr="003B355D">
              <w:rPr>
                <w:rFonts w:ascii="Arial Narrow" w:hAnsi="Arial Narrow"/>
                <w:snapToGrid/>
                <w:sz w:val="20"/>
                <w:lang w:eastAsia="en-AU"/>
              </w:rPr>
              <w:t>AND</w:t>
            </w:r>
          </w:p>
          <w:p w:rsidR="00B7361A" w:rsidRPr="003B355D" w:rsidRDefault="00B7361A" w:rsidP="00C9551E">
            <w:pPr>
              <w:widowControl/>
              <w:jc w:val="left"/>
              <w:rPr>
                <w:rFonts w:ascii="Arial Narrow" w:hAnsi="Arial Narrow"/>
                <w:snapToGrid/>
                <w:sz w:val="20"/>
                <w:lang w:eastAsia="en-AU"/>
              </w:rPr>
            </w:pPr>
          </w:p>
          <w:p w:rsidR="00B7361A" w:rsidRPr="003B355D" w:rsidRDefault="00B7361A" w:rsidP="00C9551E">
            <w:pPr>
              <w:widowControl/>
              <w:jc w:val="left"/>
              <w:rPr>
                <w:rFonts w:ascii="Arial Narrow" w:hAnsi="Arial Narrow"/>
                <w:snapToGrid/>
                <w:sz w:val="20"/>
                <w:lang w:eastAsia="en-AU"/>
              </w:rPr>
            </w:pPr>
            <w:r w:rsidRPr="003B355D">
              <w:rPr>
                <w:rFonts w:ascii="Arial Narrow" w:hAnsi="Arial Narrow"/>
                <w:snapToGrid/>
                <w:sz w:val="20"/>
                <w:lang w:eastAsia="en-AU"/>
              </w:rPr>
              <w:t xml:space="preserve">The treatment must not be used in combination with </w:t>
            </w:r>
            <w:proofErr w:type="gramStart"/>
            <w:r w:rsidRPr="003B355D">
              <w:rPr>
                <w:rFonts w:ascii="Arial Narrow" w:hAnsi="Arial Narrow"/>
                <w:snapToGrid/>
                <w:sz w:val="20"/>
                <w:lang w:eastAsia="en-AU"/>
              </w:rPr>
              <w:t>an insulin</w:t>
            </w:r>
            <w:proofErr w:type="gramEnd"/>
            <w:r w:rsidRPr="003B355D">
              <w:rPr>
                <w:rFonts w:ascii="Arial Narrow" w:hAnsi="Arial Narrow"/>
                <w:snapToGrid/>
                <w:sz w:val="20"/>
                <w:lang w:eastAsia="en-AU"/>
              </w:rPr>
              <w:t>, a thiazolidinedione (</w:t>
            </w:r>
            <w:proofErr w:type="spellStart"/>
            <w:r w:rsidRPr="003B355D">
              <w:rPr>
                <w:rFonts w:ascii="Arial Narrow" w:hAnsi="Arial Narrow"/>
                <w:snapToGrid/>
                <w:sz w:val="20"/>
                <w:lang w:eastAsia="en-AU"/>
              </w:rPr>
              <w:t>glitazone</w:t>
            </w:r>
            <w:proofErr w:type="spellEnd"/>
            <w:r w:rsidRPr="003B355D">
              <w:rPr>
                <w:rFonts w:ascii="Arial Narrow" w:hAnsi="Arial Narrow"/>
                <w:snapToGrid/>
                <w:sz w:val="20"/>
                <w:lang w:eastAsia="en-AU"/>
              </w:rPr>
              <w:t>), or a dipeptidyl peptidase 4 inhibitor.</w:t>
            </w:r>
          </w:p>
          <w:p w:rsidR="00B7361A" w:rsidRPr="003B355D" w:rsidRDefault="00B7361A" w:rsidP="00C9551E">
            <w:pPr>
              <w:widowControl/>
              <w:jc w:val="left"/>
              <w:rPr>
                <w:rFonts w:ascii="Arial Narrow" w:hAnsi="Arial Narrow"/>
                <w:snapToGrid/>
                <w:sz w:val="20"/>
                <w:lang w:eastAsia="en-AU"/>
              </w:rPr>
            </w:pPr>
          </w:p>
          <w:p w:rsidR="00B7361A" w:rsidRPr="003B355D" w:rsidRDefault="00B7361A" w:rsidP="00C9551E">
            <w:pPr>
              <w:widowControl/>
              <w:jc w:val="left"/>
              <w:rPr>
                <w:rFonts w:ascii="Arial Narrow" w:hAnsi="Arial Narrow"/>
                <w:snapToGrid/>
                <w:sz w:val="20"/>
                <w:lang w:eastAsia="en-AU"/>
              </w:rPr>
            </w:pPr>
            <w:r w:rsidRPr="003B355D">
              <w:rPr>
                <w:rFonts w:ascii="Arial Narrow" w:hAnsi="Arial Narrow"/>
                <w:snapToGrid/>
                <w:sz w:val="20"/>
                <w:lang w:eastAsia="en-AU"/>
              </w:rPr>
              <w:t>AND</w:t>
            </w:r>
          </w:p>
          <w:p w:rsidR="00B7361A" w:rsidRPr="003B355D" w:rsidRDefault="00B7361A" w:rsidP="00C9551E">
            <w:pPr>
              <w:widowControl/>
              <w:jc w:val="left"/>
              <w:rPr>
                <w:rFonts w:ascii="Arial Narrow" w:hAnsi="Arial Narrow"/>
                <w:snapToGrid/>
                <w:sz w:val="20"/>
                <w:lang w:eastAsia="en-AU"/>
              </w:rPr>
            </w:pPr>
          </w:p>
          <w:p w:rsidR="00B7361A" w:rsidRPr="003B355D" w:rsidRDefault="00B7361A" w:rsidP="00C9551E">
            <w:pPr>
              <w:widowControl/>
              <w:jc w:val="left"/>
              <w:rPr>
                <w:rFonts w:ascii="Arial Narrow" w:hAnsi="Arial Narrow"/>
                <w:snapToGrid/>
                <w:sz w:val="20"/>
                <w:lang w:eastAsia="en-AU"/>
              </w:rPr>
            </w:pPr>
            <w:r w:rsidRPr="003B355D">
              <w:rPr>
                <w:rFonts w:ascii="Arial Narrow" w:hAnsi="Arial Narrow"/>
                <w:i/>
                <w:snapToGrid/>
                <w:sz w:val="20"/>
                <w:lang w:eastAsia="en-AU"/>
              </w:rPr>
              <w:t>Patient must be 50 years or older</w:t>
            </w:r>
            <w:r w:rsidRPr="003B355D">
              <w:rPr>
                <w:rFonts w:ascii="Arial Narrow" w:hAnsi="Arial Narrow"/>
                <w:snapToGrid/>
                <w:sz w:val="20"/>
                <w:lang w:eastAsia="en-AU"/>
              </w:rPr>
              <w:t xml:space="preserve"> with established cardiovascular disease (including at least one of the following: coronary heart disease, prior myocardial infarction, prior stroke or prior transient ischemic attack or peripheral vascular disease) or chronic renal failure (defined as glomerular filtration rate &lt; 60 mL/min/1.73m</w:t>
            </w:r>
            <w:r w:rsidRPr="003B355D">
              <w:rPr>
                <w:rFonts w:ascii="Arial Narrow" w:hAnsi="Arial Narrow"/>
                <w:snapToGrid/>
                <w:sz w:val="20"/>
                <w:vertAlign w:val="superscript"/>
                <w:lang w:eastAsia="en-AU"/>
              </w:rPr>
              <w:t>2</w:t>
            </w:r>
            <w:r w:rsidRPr="003B355D">
              <w:rPr>
                <w:rFonts w:ascii="Arial Narrow" w:hAnsi="Arial Narrow"/>
                <w:snapToGrid/>
                <w:sz w:val="20"/>
                <w:lang w:eastAsia="en-AU"/>
              </w:rPr>
              <w:t>) or chronic heart failure (New York Heart Association class II or III); OR</w:t>
            </w:r>
          </w:p>
          <w:p w:rsidR="00B7361A" w:rsidRPr="003B355D" w:rsidRDefault="00B7361A" w:rsidP="00C9551E">
            <w:pPr>
              <w:widowControl/>
              <w:jc w:val="left"/>
              <w:rPr>
                <w:rFonts w:ascii="Arial Narrow" w:hAnsi="Arial Narrow"/>
                <w:snapToGrid/>
                <w:sz w:val="20"/>
                <w:lang w:eastAsia="en-AU"/>
              </w:rPr>
            </w:pPr>
          </w:p>
          <w:p w:rsidR="00B7361A" w:rsidRPr="003B355D" w:rsidRDefault="00B7361A" w:rsidP="00C9551E">
            <w:pPr>
              <w:widowControl/>
              <w:jc w:val="left"/>
              <w:rPr>
                <w:rFonts w:ascii="Arial Narrow" w:hAnsi="Arial Narrow"/>
                <w:snapToGrid/>
                <w:sz w:val="20"/>
                <w:lang w:eastAsia="en-AU"/>
              </w:rPr>
            </w:pPr>
            <w:r w:rsidRPr="003B355D">
              <w:rPr>
                <w:rFonts w:ascii="Arial Narrow" w:hAnsi="Arial Narrow"/>
                <w:i/>
                <w:snapToGrid/>
                <w:sz w:val="20"/>
                <w:lang w:eastAsia="en-AU"/>
              </w:rPr>
              <w:t>Patient must be  60 years or older</w:t>
            </w:r>
            <w:r w:rsidRPr="003B355D">
              <w:rPr>
                <w:rFonts w:ascii="Arial Narrow" w:hAnsi="Arial Narrow"/>
                <w:snapToGrid/>
                <w:sz w:val="20"/>
                <w:lang w:eastAsia="en-AU"/>
              </w:rPr>
              <w:t xml:space="preserve"> with microalbuminuria or proteinuria (defined as urinary albumin excretion rate of &gt;20mcg/min or urinary albumin to creatinine ratio of &gt; 2.5 for males, &gt; 3.5 for females); OR</w:t>
            </w:r>
          </w:p>
          <w:p w:rsidR="00B7361A" w:rsidRPr="003B355D" w:rsidRDefault="00B7361A" w:rsidP="00C9551E">
            <w:pPr>
              <w:widowControl/>
              <w:jc w:val="left"/>
              <w:rPr>
                <w:rFonts w:ascii="Arial Narrow" w:hAnsi="Arial Narrow"/>
                <w:snapToGrid/>
                <w:sz w:val="20"/>
                <w:lang w:eastAsia="en-AU"/>
              </w:rPr>
            </w:pPr>
          </w:p>
          <w:p w:rsidR="00B7361A" w:rsidRPr="003B355D" w:rsidRDefault="00B7361A" w:rsidP="00C9551E">
            <w:pPr>
              <w:widowControl/>
              <w:jc w:val="left"/>
              <w:rPr>
                <w:rFonts w:ascii="Arial Narrow" w:hAnsi="Arial Narrow"/>
                <w:snapToGrid/>
                <w:sz w:val="20"/>
                <w:lang w:eastAsia="en-AU"/>
              </w:rPr>
            </w:pPr>
            <w:r w:rsidRPr="003B355D">
              <w:rPr>
                <w:rFonts w:ascii="Arial Narrow" w:hAnsi="Arial Narrow"/>
                <w:snapToGrid/>
                <w:sz w:val="20"/>
                <w:lang w:eastAsia="en-AU"/>
              </w:rPr>
              <w:t>Patient must be an Aboriginal or Torres Strait Islander</w:t>
            </w:r>
          </w:p>
        </w:tc>
      </w:tr>
      <w:tr w:rsidR="00B7361A" w:rsidRPr="003B355D" w:rsidTr="00F21284">
        <w:tblPrEx>
          <w:tblCellMar>
            <w:left w:w="108" w:type="dxa"/>
            <w:right w:w="108" w:type="dxa"/>
          </w:tblCellMar>
        </w:tblPrEx>
        <w:trPr>
          <w:gridBefore w:val="1"/>
          <w:wBefore w:w="4" w:type="pct"/>
          <w:cantSplit/>
          <w:trHeight w:val="360"/>
        </w:trPr>
        <w:tc>
          <w:tcPr>
            <w:tcW w:w="1857" w:type="pct"/>
            <w:tcBorders>
              <w:top w:val="single" w:sz="4" w:space="0" w:color="auto"/>
              <w:left w:val="single" w:sz="4" w:space="0" w:color="auto"/>
              <w:bottom w:val="single" w:sz="4" w:space="0" w:color="auto"/>
              <w:right w:val="single" w:sz="4" w:space="0" w:color="auto"/>
            </w:tcBorders>
          </w:tcPr>
          <w:p w:rsidR="00B7361A" w:rsidRPr="003B355D" w:rsidRDefault="00B7361A" w:rsidP="00C9551E">
            <w:pPr>
              <w:widowControl/>
              <w:rPr>
                <w:rFonts w:ascii="Arial Narrow" w:hAnsi="Arial Narrow"/>
                <w:b/>
                <w:snapToGrid/>
                <w:sz w:val="20"/>
                <w:lang w:eastAsia="en-AU"/>
              </w:rPr>
            </w:pPr>
            <w:r w:rsidRPr="003B355D">
              <w:rPr>
                <w:rFonts w:ascii="Arial Narrow" w:hAnsi="Arial Narrow"/>
                <w:b/>
                <w:snapToGrid/>
                <w:sz w:val="20"/>
                <w:lang w:eastAsia="en-AU"/>
              </w:rPr>
              <w:lastRenderedPageBreak/>
              <w:t>Prescriber Instructions</w:t>
            </w:r>
          </w:p>
          <w:p w:rsidR="00B7361A" w:rsidRPr="003B355D" w:rsidRDefault="00B7361A" w:rsidP="00C9551E">
            <w:pPr>
              <w:widowControl/>
              <w:rPr>
                <w:rFonts w:ascii="Arial Narrow" w:hAnsi="Arial Narrow"/>
                <w:snapToGrid/>
                <w:sz w:val="20"/>
                <w:lang w:eastAsia="en-AU"/>
              </w:rPr>
            </w:pPr>
          </w:p>
        </w:tc>
        <w:tc>
          <w:tcPr>
            <w:tcW w:w="3139" w:type="pct"/>
            <w:gridSpan w:val="5"/>
            <w:tcBorders>
              <w:top w:val="single" w:sz="4" w:space="0" w:color="auto"/>
              <w:left w:val="single" w:sz="4" w:space="0" w:color="auto"/>
              <w:bottom w:val="single" w:sz="4" w:space="0" w:color="auto"/>
              <w:right w:val="single" w:sz="4" w:space="0" w:color="auto"/>
            </w:tcBorders>
          </w:tcPr>
          <w:p w:rsidR="00B7361A" w:rsidRPr="003B355D" w:rsidRDefault="00B7361A" w:rsidP="00C9551E">
            <w:pPr>
              <w:widowControl/>
              <w:jc w:val="left"/>
              <w:rPr>
                <w:rFonts w:ascii="Arial Narrow" w:hAnsi="Arial Narrow"/>
                <w:snapToGrid/>
                <w:sz w:val="20"/>
                <w:lang w:eastAsia="en-AU"/>
              </w:rPr>
            </w:pPr>
            <w:r w:rsidRPr="003B355D">
              <w:rPr>
                <w:rFonts w:ascii="Arial Narrow" w:hAnsi="Arial Narrow"/>
                <w:snapToGrid/>
                <w:sz w:val="20"/>
                <w:lang w:eastAsia="en-AU"/>
              </w:rPr>
              <w:t xml:space="preserve">The date and level of the qualifying HbA1c measurement must be, or must have been, documented in the patient's medical records at the time treatment with a gliptin, a </w:t>
            </w:r>
            <w:proofErr w:type="spellStart"/>
            <w:r w:rsidRPr="003B355D">
              <w:rPr>
                <w:rFonts w:ascii="Arial Narrow" w:hAnsi="Arial Narrow"/>
                <w:snapToGrid/>
                <w:sz w:val="20"/>
                <w:lang w:eastAsia="en-AU"/>
              </w:rPr>
              <w:t>glitazone</w:t>
            </w:r>
            <w:proofErr w:type="spellEnd"/>
            <w:r w:rsidRPr="003B355D">
              <w:rPr>
                <w:rFonts w:ascii="Arial Narrow" w:hAnsi="Arial Narrow"/>
                <w:snapToGrid/>
                <w:sz w:val="20"/>
                <w:lang w:eastAsia="en-AU"/>
              </w:rPr>
              <w:t>, a glucagon-like peptide-1 or an SGLT2 inhibitor is initiated.</w:t>
            </w:r>
          </w:p>
          <w:p w:rsidR="00B7361A" w:rsidRPr="003B355D" w:rsidRDefault="00B7361A" w:rsidP="00C9551E">
            <w:pPr>
              <w:widowControl/>
              <w:jc w:val="left"/>
              <w:rPr>
                <w:rFonts w:ascii="Arial Narrow" w:hAnsi="Arial Narrow"/>
                <w:snapToGrid/>
                <w:sz w:val="20"/>
                <w:lang w:eastAsia="en-AU"/>
              </w:rPr>
            </w:pPr>
          </w:p>
          <w:p w:rsidR="00B7361A" w:rsidRPr="003B355D" w:rsidRDefault="00B7361A" w:rsidP="00C9551E">
            <w:pPr>
              <w:widowControl/>
              <w:jc w:val="left"/>
              <w:rPr>
                <w:rFonts w:ascii="Arial Narrow" w:hAnsi="Arial Narrow"/>
                <w:snapToGrid/>
                <w:sz w:val="20"/>
                <w:lang w:eastAsia="en-AU"/>
              </w:rPr>
            </w:pPr>
            <w:r w:rsidRPr="003B355D">
              <w:rPr>
                <w:rFonts w:ascii="Arial Narrow" w:hAnsi="Arial Narrow"/>
                <w:snapToGrid/>
                <w:sz w:val="20"/>
                <w:lang w:eastAsia="en-AU"/>
              </w:rPr>
              <w:t xml:space="preserve">The HbA1c must be no more than 4 months old at the time treatment with a gliptin, a </w:t>
            </w:r>
            <w:proofErr w:type="spellStart"/>
            <w:r w:rsidRPr="003B355D">
              <w:rPr>
                <w:rFonts w:ascii="Arial Narrow" w:hAnsi="Arial Narrow"/>
                <w:snapToGrid/>
                <w:sz w:val="20"/>
                <w:lang w:eastAsia="en-AU"/>
              </w:rPr>
              <w:t>glitazone</w:t>
            </w:r>
            <w:proofErr w:type="spellEnd"/>
            <w:r w:rsidRPr="003B355D">
              <w:rPr>
                <w:rFonts w:ascii="Arial Narrow" w:hAnsi="Arial Narrow"/>
                <w:snapToGrid/>
                <w:sz w:val="20"/>
                <w:lang w:eastAsia="en-AU"/>
              </w:rPr>
              <w:t>, a glucagon-like peptide-1 or an SGLT2 inhibitor was initiated.</w:t>
            </w:r>
          </w:p>
          <w:p w:rsidR="00B7361A" w:rsidRPr="003B355D" w:rsidRDefault="00B7361A" w:rsidP="00C9551E">
            <w:pPr>
              <w:widowControl/>
              <w:jc w:val="left"/>
              <w:rPr>
                <w:rFonts w:ascii="Arial Narrow" w:hAnsi="Arial Narrow"/>
                <w:snapToGrid/>
                <w:sz w:val="20"/>
                <w:lang w:eastAsia="en-AU"/>
              </w:rPr>
            </w:pPr>
          </w:p>
          <w:p w:rsidR="00B7361A" w:rsidRPr="003B355D" w:rsidRDefault="00B7361A" w:rsidP="00C9551E">
            <w:pPr>
              <w:widowControl/>
              <w:jc w:val="left"/>
              <w:rPr>
                <w:rFonts w:ascii="Arial Narrow" w:hAnsi="Arial Narrow"/>
                <w:snapToGrid/>
                <w:sz w:val="20"/>
                <w:lang w:eastAsia="en-AU"/>
              </w:rPr>
            </w:pPr>
            <w:r w:rsidRPr="003B355D">
              <w:rPr>
                <w:rFonts w:ascii="Arial Narrow" w:hAnsi="Arial Narrow"/>
                <w:snapToGrid/>
                <w:sz w:val="20"/>
                <w:lang w:eastAsia="en-AU"/>
              </w:rPr>
              <w:t>Blood glucose monitoring may be used as an alternative assessment to HbA1c levels in the following circumstances:</w:t>
            </w:r>
          </w:p>
          <w:p w:rsidR="00B7361A" w:rsidRPr="003B355D" w:rsidRDefault="00B7361A" w:rsidP="00C9551E">
            <w:pPr>
              <w:widowControl/>
              <w:jc w:val="left"/>
              <w:rPr>
                <w:rFonts w:ascii="Arial Narrow" w:hAnsi="Arial Narrow"/>
                <w:snapToGrid/>
                <w:sz w:val="20"/>
                <w:lang w:eastAsia="en-AU"/>
              </w:rPr>
            </w:pPr>
          </w:p>
          <w:p w:rsidR="00B7361A" w:rsidRPr="003B355D" w:rsidRDefault="00B7361A" w:rsidP="00C9551E">
            <w:pPr>
              <w:widowControl/>
              <w:jc w:val="left"/>
              <w:rPr>
                <w:rFonts w:ascii="Arial Narrow" w:hAnsi="Arial Narrow"/>
                <w:snapToGrid/>
                <w:sz w:val="20"/>
                <w:lang w:eastAsia="en-AU"/>
              </w:rPr>
            </w:pPr>
            <w:r w:rsidRPr="003B355D">
              <w:rPr>
                <w:rFonts w:ascii="Arial Narrow" w:hAnsi="Arial Narrow"/>
                <w:snapToGrid/>
                <w:sz w:val="20"/>
                <w:lang w:eastAsia="en-AU"/>
              </w:rPr>
              <w:t xml:space="preserve">(a) A clinical condition with reduced red blood cell survival, including haemolytic anaemia and </w:t>
            </w:r>
            <w:proofErr w:type="spellStart"/>
            <w:r w:rsidRPr="003B355D">
              <w:rPr>
                <w:rFonts w:ascii="Arial Narrow" w:hAnsi="Arial Narrow"/>
                <w:snapToGrid/>
                <w:sz w:val="20"/>
                <w:lang w:eastAsia="en-AU"/>
              </w:rPr>
              <w:t>haemoglobinopathies</w:t>
            </w:r>
            <w:proofErr w:type="spellEnd"/>
            <w:r w:rsidRPr="003B355D">
              <w:rPr>
                <w:rFonts w:ascii="Arial Narrow" w:hAnsi="Arial Narrow"/>
                <w:snapToGrid/>
                <w:sz w:val="20"/>
                <w:lang w:eastAsia="en-AU"/>
              </w:rPr>
              <w:t>; and/or</w:t>
            </w:r>
          </w:p>
          <w:p w:rsidR="00B7361A" w:rsidRPr="003B355D" w:rsidRDefault="00B7361A" w:rsidP="00C9551E">
            <w:pPr>
              <w:widowControl/>
              <w:jc w:val="left"/>
              <w:rPr>
                <w:rFonts w:ascii="Arial Narrow" w:hAnsi="Arial Narrow"/>
                <w:snapToGrid/>
                <w:sz w:val="20"/>
                <w:lang w:eastAsia="en-AU"/>
              </w:rPr>
            </w:pPr>
          </w:p>
          <w:p w:rsidR="00B7361A" w:rsidRPr="003B355D" w:rsidRDefault="00B7361A" w:rsidP="00C9551E">
            <w:pPr>
              <w:widowControl/>
              <w:jc w:val="left"/>
              <w:rPr>
                <w:rFonts w:ascii="Arial Narrow" w:hAnsi="Arial Narrow"/>
                <w:snapToGrid/>
                <w:sz w:val="20"/>
                <w:lang w:eastAsia="en-AU"/>
              </w:rPr>
            </w:pPr>
            <w:r w:rsidRPr="003B355D">
              <w:rPr>
                <w:rFonts w:ascii="Arial Narrow" w:hAnsi="Arial Narrow"/>
                <w:snapToGrid/>
                <w:sz w:val="20"/>
                <w:lang w:eastAsia="en-AU"/>
              </w:rPr>
              <w:t>b) Had red cell transfusion within the previous 3 months.</w:t>
            </w:r>
          </w:p>
          <w:p w:rsidR="00B7361A" w:rsidRPr="003B355D" w:rsidRDefault="00B7361A" w:rsidP="00C9551E">
            <w:pPr>
              <w:widowControl/>
              <w:jc w:val="left"/>
              <w:rPr>
                <w:rFonts w:ascii="Arial Narrow" w:hAnsi="Arial Narrow"/>
                <w:snapToGrid/>
                <w:sz w:val="20"/>
                <w:lang w:eastAsia="en-AU"/>
              </w:rPr>
            </w:pPr>
          </w:p>
          <w:p w:rsidR="00B7361A" w:rsidRPr="003B355D" w:rsidRDefault="00B7361A" w:rsidP="00C9551E">
            <w:pPr>
              <w:widowControl/>
              <w:jc w:val="left"/>
              <w:rPr>
                <w:rFonts w:ascii="Arial Narrow" w:hAnsi="Arial Narrow"/>
                <w:snapToGrid/>
                <w:sz w:val="20"/>
                <w:lang w:eastAsia="en-AU"/>
              </w:rPr>
            </w:pPr>
            <w:r w:rsidRPr="003B355D">
              <w:rPr>
                <w:rFonts w:ascii="Arial Narrow" w:hAnsi="Arial Narrow"/>
                <w:snapToGrid/>
                <w:sz w:val="20"/>
                <w:lang w:eastAsia="en-AU"/>
              </w:rPr>
              <w:t xml:space="preserve">The results of the blood glucose monitoring, which must be no more than 4 months old at the time of initiation of treatment with a gliptin, a </w:t>
            </w:r>
            <w:proofErr w:type="spellStart"/>
            <w:r w:rsidRPr="003B355D">
              <w:rPr>
                <w:rFonts w:ascii="Arial Narrow" w:hAnsi="Arial Narrow"/>
                <w:snapToGrid/>
                <w:sz w:val="20"/>
                <w:lang w:eastAsia="en-AU"/>
              </w:rPr>
              <w:t>glitazone</w:t>
            </w:r>
            <w:proofErr w:type="spellEnd"/>
            <w:r w:rsidRPr="003B355D">
              <w:rPr>
                <w:rFonts w:ascii="Arial Narrow" w:hAnsi="Arial Narrow"/>
                <w:snapToGrid/>
                <w:sz w:val="20"/>
                <w:lang w:eastAsia="en-AU"/>
              </w:rPr>
              <w:t xml:space="preserve"> or a glucagon-like peptide-1, must be documented in the patient’s medical records.</w:t>
            </w:r>
          </w:p>
        </w:tc>
      </w:tr>
      <w:tr w:rsidR="00B7361A" w:rsidRPr="003B355D" w:rsidTr="00F21284">
        <w:tblPrEx>
          <w:tblCellMar>
            <w:left w:w="108" w:type="dxa"/>
            <w:right w:w="108" w:type="dxa"/>
          </w:tblCellMar>
        </w:tblPrEx>
        <w:trPr>
          <w:gridBefore w:val="1"/>
          <w:wBefore w:w="4" w:type="pct"/>
          <w:cantSplit/>
          <w:trHeight w:val="360"/>
        </w:trPr>
        <w:tc>
          <w:tcPr>
            <w:tcW w:w="1857" w:type="pct"/>
            <w:tcBorders>
              <w:top w:val="single" w:sz="4" w:space="0" w:color="auto"/>
              <w:left w:val="single" w:sz="4" w:space="0" w:color="auto"/>
              <w:bottom w:val="single" w:sz="4" w:space="0" w:color="auto"/>
              <w:right w:val="single" w:sz="4" w:space="0" w:color="auto"/>
            </w:tcBorders>
          </w:tcPr>
          <w:p w:rsidR="00B7361A" w:rsidRPr="003B355D" w:rsidRDefault="00B7361A" w:rsidP="00C9551E">
            <w:pPr>
              <w:widowControl/>
              <w:rPr>
                <w:rFonts w:ascii="Arial Narrow" w:hAnsi="Arial Narrow"/>
                <w:b/>
                <w:snapToGrid/>
                <w:sz w:val="20"/>
                <w:lang w:eastAsia="en-AU"/>
              </w:rPr>
            </w:pPr>
            <w:r w:rsidRPr="003B355D">
              <w:rPr>
                <w:rFonts w:ascii="Arial Narrow" w:hAnsi="Arial Narrow"/>
                <w:b/>
                <w:snapToGrid/>
                <w:sz w:val="20"/>
                <w:lang w:eastAsia="en-AU"/>
              </w:rPr>
              <w:t>Administrative Advice</w:t>
            </w:r>
          </w:p>
          <w:p w:rsidR="00B7361A" w:rsidRPr="003B355D" w:rsidRDefault="00B7361A" w:rsidP="00C9551E">
            <w:pPr>
              <w:widowControl/>
              <w:rPr>
                <w:rFonts w:ascii="Arial Narrow" w:hAnsi="Arial Narrow"/>
                <w:i/>
                <w:snapToGrid/>
                <w:sz w:val="20"/>
                <w:lang w:eastAsia="en-AU"/>
              </w:rPr>
            </w:pPr>
          </w:p>
        </w:tc>
        <w:tc>
          <w:tcPr>
            <w:tcW w:w="3139" w:type="pct"/>
            <w:gridSpan w:val="5"/>
            <w:tcBorders>
              <w:top w:val="single" w:sz="4" w:space="0" w:color="auto"/>
              <w:left w:val="single" w:sz="4" w:space="0" w:color="auto"/>
              <w:bottom w:val="single" w:sz="4" w:space="0" w:color="auto"/>
              <w:right w:val="single" w:sz="4" w:space="0" w:color="auto"/>
            </w:tcBorders>
          </w:tcPr>
          <w:p w:rsidR="00B7361A" w:rsidRPr="003B355D" w:rsidRDefault="00B7361A" w:rsidP="00C9551E">
            <w:pPr>
              <w:widowControl/>
              <w:jc w:val="left"/>
              <w:rPr>
                <w:rFonts w:ascii="Arial Narrow" w:hAnsi="Arial Narrow"/>
                <w:snapToGrid/>
                <w:sz w:val="20"/>
                <w:lang w:eastAsia="en-AU"/>
              </w:rPr>
            </w:pPr>
            <w:r w:rsidRPr="003B355D">
              <w:rPr>
                <w:rFonts w:ascii="Arial Narrow" w:hAnsi="Arial Narrow"/>
                <w:snapToGrid/>
                <w:sz w:val="20"/>
                <w:lang w:eastAsia="en-AU"/>
              </w:rPr>
              <w:t>Liraglutide is not PBS-subsidised as monotherapy.</w:t>
            </w:r>
          </w:p>
          <w:p w:rsidR="00B7361A" w:rsidRPr="003B355D" w:rsidRDefault="00B7361A" w:rsidP="00C9551E">
            <w:pPr>
              <w:widowControl/>
              <w:jc w:val="left"/>
              <w:rPr>
                <w:rFonts w:ascii="Arial Narrow" w:hAnsi="Arial Narrow"/>
                <w:snapToGrid/>
                <w:sz w:val="20"/>
                <w:lang w:eastAsia="en-AU"/>
              </w:rPr>
            </w:pPr>
          </w:p>
          <w:p w:rsidR="00B7361A" w:rsidRPr="003B355D" w:rsidRDefault="00B7361A" w:rsidP="00C9551E">
            <w:pPr>
              <w:widowControl/>
              <w:jc w:val="left"/>
              <w:rPr>
                <w:rFonts w:ascii="Arial Narrow" w:hAnsi="Arial Narrow"/>
                <w:snapToGrid/>
                <w:sz w:val="20"/>
                <w:lang w:eastAsia="en-AU"/>
              </w:rPr>
            </w:pPr>
            <w:r w:rsidRPr="003B355D">
              <w:rPr>
                <w:rFonts w:ascii="Arial Narrow" w:hAnsi="Arial Narrow"/>
                <w:snapToGrid/>
                <w:sz w:val="20"/>
                <w:lang w:eastAsia="en-AU"/>
              </w:rPr>
              <w:t>No increase in the maximum quantity or number of units may be authorised</w:t>
            </w:r>
          </w:p>
          <w:p w:rsidR="00B7361A" w:rsidRPr="003B355D" w:rsidRDefault="00B7361A" w:rsidP="00C9551E">
            <w:pPr>
              <w:widowControl/>
              <w:jc w:val="left"/>
              <w:rPr>
                <w:rFonts w:ascii="Arial Narrow" w:hAnsi="Arial Narrow"/>
                <w:snapToGrid/>
                <w:sz w:val="20"/>
                <w:lang w:eastAsia="en-AU"/>
              </w:rPr>
            </w:pPr>
          </w:p>
          <w:p w:rsidR="00B7361A" w:rsidRPr="003B355D" w:rsidRDefault="00B7361A" w:rsidP="00C9551E">
            <w:pPr>
              <w:widowControl/>
              <w:jc w:val="left"/>
              <w:rPr>
                <w:rFonts w:ascii="Arial Narrow" w:hAnsi="Arial Narrow"/>
                <w:snapToGrid/>
                <w:sz w:val="20"/>
                <w:lang w:eastAsia="en-AU"/>
              </w:rPr>
            </w:pPr>
            <w:r w:rsidRPr="003B355D">
              <w:rPr>
                <w:rFonts w:ascii="Arial Narrow" w:hAnsi="Arial Narrow"/>
                <w:snapToGrid/>
                <w:sz w:val="20"/>
                <w:lang w:eastAsia="en-AU"/>
              </w:rPr>
              <w:t>No increase in the maximum number of repeats may be authorised</w:t>
            </w:r>
          </w:p>
        </w:tc>
      </w:tr>
      <w:tr w:rsidR="00B7361A" w:rsidRPr="003B355D" w:rsidTr="00F21284">
        <w:tblPrEx>
          <w:tblCellMar>
            <w:left w:w="108" w:type="dxa"/>
            <w:right w:w="108" w:type="dxa"/>
          </w:tblCellMar>
        </w:tblPrEx>
        <w:trPr>
          <w:gridBefore w:val="1"/>
          <w:wBefore w:w="4" w:type="pct"/>
          <w:cantSplit/>
          <w:trHeight w:val="360"/>
        </w:trPr>
        <w:tc>
          <w:tcPr>
            <w:tcW w:w="1857" w:type="pct"/>
            <w:tcBorders>
              <w:top w:val="single" w:sz="4" w:space="0" w:color="auto"/>
              <w:left w:val="single" w:sz="4" w:space="0" w:color="auto"/>
              <w:bottom w:val="single" w:sz="4" w:space="0" w:color="auto"/>
              <w:right w:val="single" w:sz="4" w:space="0" w:color="auto"/>
            </w:tcBorders>
          </w:tcPr>
          <w:p w:rsidR="00B7361A" w:rsidRPr="003B355D" w:rsidRDefault="00B7361A" w:rsidP="00C9551E">
            <w:pPr>
              <w:rPr>
                <w:rFonts w:ascii="Arial Narrow" w:hAnsi="Arial Narrow"/>
                <w:b/>
                <w:sz w:val="20"/>
              </w:rPr>
            </w:pPr>
            <w:r w:rsidRPr="003B355D">
              <w:rPr>
                <w:rFonts w:ascii="Arial Narrow" w:hAnsi="Arial Narrow"/>
                <w:b/>
                <w:sz w:val="20"/>
              </w:rPr>
              <w:t>Condition/Indication:</w:t>
            </w:r>
          </w:p>
        </w:tc>
        <w:tc>
          <w:tcPr>
            <w:tcW w:w="3139" w:type="pct"/>
            <w:gridSpan w:val="5"/>
            <w:tcBorders>
              <w:top w:val="single" w:sz="4" w:space="0" w:color="auto"/>
              <w:left w:val="single" w:sz="4" w:space="0" w:color="auto"/>
              <w:bottom w:val="single" w:sz="4" w:space="0" w:color="auto"/>
              <w:right w:val="single" w:sz="4" w:space="0" w:color="auto"/>
            </w:tcBorders>
          </w:tcPr>
          <w:p w:rsidR="00B7361A" w:rsidRPr="003B355D" w:rsidRDefault="00B7361A" w:rsidP="00C9551E">
            <w:pPr>
              <w:rPr>
                <w:rFonts w:ascii="Arial Narrow" w:hAnsi="Arial Narrow"/>
                <w:sz w:val="20"/>
              </w:rPr>
            </w:pPr>
            <w:r w:rsidRPr="003B355D">
              <w:rPr>
                <w:rFonts w:ascii="Arial Narrow" w:hAnsi="Arial Narrow"/>
                <w:sz w:val="20"/>
              </w:rPr>
              <w:t>Diabetes mellitus type 2</w:t>
            </w:r>
          </w:p>
        </w:tc>
      </w:tr>
      <w:tr w:rsidR="00B7361A" w:rsidRPr="003B355D" w:rsidTr="00F21284">
        <w:tblPrEx>
          <w:tblCellMar>
            <w:left w:w="108" w:type="dxa"/>
            <w:right w:w="108" w:type="dxa"/>
          </w:tblCellMar>
        </w:tblPrEx>
        <w:trPr>
          <w:gridBefore w:val="1"/>
          <w:wBefore w:w="4" w:type="pct"/>
          <w:cantSplit/>
          <w:trHeight w:val="337"/>
        </w:trPr>
        <w:tc>
          <w:tcPr>
            <w:tcW w:w="1857" w:type="pct"/>
            <w:tcBorders>
              <w:top w:val="single" w:sz="4" w:space="0" w:color="auto"/>
              <w:left w:val="single" w:sz="4" w:space="0" w:color="auto"/>
              <w:bottom w:val="single" w:sz="4" w:space="0" w:color="auto"/>
              <w:right w:val="single" w:sz="4" w:space="0" w:color="auto"/>
            </w:tcBorders>
          </w:tcPr>
          <w:p w:rsidR="00B7361A" w:rsidRPr="003B355D" w:rsidRDefault="00B7361A" w:rsidP="00C9551E">
            <w:pPr>
              <w:rPr>
                <w:rFonts w:ascii="Arial Narrow" w:hAnsi="Arial Narrow"/>
                <w:b/>
                <w:sz w:val="20"/>
              </w:rPr>
            </w:pPr>
            <w:r w:rsidRPr="003B355D">
              <w:rPr>
                <w:rFonts w:ascii="Arial Narrow" w:hAnsi="Arial Narrow"/>
                <w:b/>
                <w:sz w:val="20"/>
              </w:rPr>
              <w:t>Restriction:</w:t>
            </w:r>
          </w:p>
        </w:tc>
        <w:tc>
          <w:tcPr>
            <w:tcW w:w="3139" w:type="pct"/>
            <w:gridSpan w:val="5"/>
            <w:tcBorders>
              <w:top w:val="single" w:sz="4" w:space="0" w:color="auto"/>
              <w:left w:val="single" w:sz="4" w:space="0" w:color="auto"/>
              <w:bottom w:val="single" w:sz="4" w:space="0" w:color="auto"/>
              <w:right w:val="single" w:sz="4" w:space="0" w:color="auto"/>
            </w:tcBorders>
          </w:tcPr>
          <w:p w:rsidR="00B7361A" w:rsidRPr="003B355D" w:rsidRDefault="00B7361A" w:rsidP="00C9551E">
            <w:pPr>
              <w:rPr>
                <w:rFonts w:ascii="Arial Narrow" w:hAnsi="Arial Narrow"/>
                <w:sz w:val="20"/>
              </w:rPr>
            </w:pPr>
            <w:r w:rsidRPr="003B355D">
              <w:rPr>
                <w:rFonts w:ascii="Arial Narrow" w:hAnsi="Arial Narrow"/>
                <w:sz w:val="20"/>
              </w:rPr>
              <w:fldChar w:fldCharType="begin">
                <w:ffData>
                  <w:name w:val="Check1"/>
                  <w:enabled/>
                  <w:calcOnExit w:val="0"/>
                  <w:checkBox>
                    <w:sizeAuto/>
                    <w:default w:val="0"/>
                  </w:checkBox>
                </w:ffData>
              </w:fldChar>
            </w:r>
            <w:r w:rsidRPr="003B355D">
              <w:rPr>
                <w:rFonts w:ascii="Arial Narrow" w:hAnsi="Arial Narrow"/>
                <w:sz w:val="20"/>
              </w:rPr>
              <w:instrText xml:space="preserve"> FORMCHECKBOX </w:instrText>
            </w:r>
            <w:r w:rsidR="00680D27">
              <w:rPr>
                <w:rFonts w:ascii="Arial Narrow" w:hAnsi="Arial Narrow"/>
                <w:sz w:val="20"/>
              </w:rPr>
            </w:r>
            <w:r w:rsidR="00680D27">
              <w:rPr>
                <w:rFonts w:ascii="Arial Narrow" w:hAnsi="Arial Narrow"/>
                <w:sz w:val="20"/>
              </w:rPr>
              <w:fldChar w:fldCharType="separate"/>
            </w:r>
            <w:r w:rsidRPr="003B355D">
              <w:rPr>
                <w:rFonts w:ascii="Arial Narrow" w:hAnsi="Arial Narrow"/>
                <w:sz w:val="20"/>
              </w:rPr>
              <w:fldChar w:fldCharType="end"/>
            </w:r>
            <w:r w:rsidRPr="003B355D">
              <w:rPr>
                <w:rFonts w:ascii="Arial Narrow" w:hAnsi="Arial Narrow"/>
                <w:sz w:val="20"/>
              </w:rPr>
              <w:t>Restricted benefit</w:t>
            </w:r>
          </w:p>
          <w:p w:rsidR="00B7361A" w:rsidRPr="003B355D" w:rsidRDefault="00B7361A" w:rsidP="00C9551E">
            <w:pPr>
              <w:rPr>
                <w:rFonts w:ascii="Arial Narrow" w:hAnsi="Arial Narrow"/>
                <w:sz w:val="20"/>
              </w:rPr>
            </w:pPr>
            <w:r w:rsidRPr="003B355D">
              <w:rPr>
                <w:rFonts w:ascii="Arial Narrow" w:hAnsi="Arial Narrow"/>
                <w:sz w:val="20"/>
              </w:rPr>
              <w:fldChar w:fldCharType="begin">
                <w:ffData>
                  <w:name w:val=""/>
                  <w:enabled/>
                  <w:calcOnExit w:val="0"/>
                  <w:checkBox>
                    <w:sizeAuto/>
                    <w:default w:val="0"/>
                  </w:checkBox>
                </w:ffData>
              </w:fldChar>
            </w:r>
            <w:r w:rsidRPr="003B355D">
              <w:rPr>
                <w:rFonts w:ascii="Arial Narrow" w:hAnsi="Arial Narrow"/>
                <w:sz w:val="20"/>
              </w:rPr>
              <w:instrText xml:space="preserve"> FORMCHECKBOX </w:instrText>
            </w:r>
            <w:r w:rsidR="00680D27">
              <w:rPr>
                <w:rFonts w:ascii="Arial Narrow" w:hAnsi="Arial Narrow"/>
                <w:sz w:val="20"/>
              </w:rPr>
            </w:r>
            <w:r w:rsidR="00680D27">
              <w:rPr>
                <w:rFonts w:ascii="Arial Narrow" w:hAnsi="Arial Narrow"/>
                <w:sz w:val="20"/>
              </w:rPr>
              <w:fldChar w:fldCharType="separate"/>
            </w:r>
            <w:r w:rsidRPr="003B355D">
              <w:rPr>
                <w:rFonts w:ascii="Arial Narrow" w:hAnsi="Arial Narrow"/>
                <w:sz w:val="20"/>
              </w:rPr>
              <w:fldChar w:fldCharType="end"/>
            </w:r>
            <w:r w:rsidRPr="003B355D">
              <w:rPr>
                <w:rFonts w:ascii="Arial Narrow" w:hAnsi="Arial Narrow"/>
                <w:sz w:val="20"/>
              </w:rPr>
              <w:t>Authority Required - In Writing</w:t>
            </w:r>
          </w:p>
          <w:p w:rsidR="00B7361A" w:rsidRPr="003B355D" w:rsidRDefault="00B7361A" w:rsidP="00C9551E">
            <w:pPr>
              <w:rPr>
                <w:rFonts w:ascii="Arial Narrow" w:hAnsi="Arial Narrow"/>
                <w:sz w:val="20"/>
              </w:rPr>
            </w:pPr>
            <w:r w:rsidRPr="003B355D">
              <w:rPr>
                <w:rFonts w:ascii="Arial Narrow" w:hAnsi="Arial Narrow"/>
                <w:sz w:val="20"/>
              </w:rPr>
              <w:fldChar w:fldCharType="begin">
                <w:ffData>
                  <w:name w:val="Check3"/>
                  <w:enabled/>
                  <w:calcOnExit w:val="0"/>
                  <w:checkBox>
                    <w:sizeAuto/>
                    <w:default w:val="0"/>
                  </w:checkBox>
                </w:ffData>
              </w:fldChar>
            </w:r>
            <w:r w:rsidRPr="003B355D">
              <w:rPr>
                <w:rFonts w:ascii="Arial Narrow" w:hAnsi="Arial Narrow"/>
                <w:sz w:val="20"/>
              </w:rPr>
              <w:instrText xml:space="preserve"> FORMCHECKBOX </w:instrText>
            </w:r>
            <w:r w:rsidR="00680D27">
              <w:rPr>
                <w:rFonts w:ascii="Arial Narrow" w:hAnsi="Arial Narrow"/>
                <w:sz w:val="20"/>
              </w:rPr>
            </w:r>
            <w:r w:rsidR="00680D27">
              <w:rPr>
                <w:rFonts w:ascii="Arial Narrow" w:hAnsi="Arial Narrow"/>
                <w:sz w:val="20"/>
              </w:rPr>
              <w:fldChar w:fldCharType="separate"/>
            </w:r>
            <w:r w:rsidRPr="003B355D">
              <w:rPr>
                <w:rFonts w:ascii="Arial Narrow" w:hAnsi="Arial Narrow"/>
                <w:sz w:val="20"/>
              </w:rPr>
              <w:fldChar w:fldCharType="end"/>
            </w:r>
            <w:r w:rsidRPr="003B355D">
              <w:rPr>
                <w:rFonts w:ascii="Arial Narrow" w:hAnsi="Arial Narrow"/>
                <w:sz w:val="20"/>
              </w:rPr>
              <w:t>Authority Required - Telephone</w:t>
            </w:r>
          </w:p>
          <w:p w:rsidR="00B7361A" w:rsidRPr="003B355D" w:rsidRDefault="00B7361A" w:rsidP="00C9551E">
            <w:pPr>
              <w:rPr>
                <w:rFonts w:ascii="Arial Narrow" w:hAnsi="Arial Narrow"/>
                <w:sz w:val="20"/>
              </w:rPr>
            </w:pPr>
            <w:r w:rsidRPr="003B355D">
              <w:rPr>
                <w:rFonts w:ascii="Arial Narrow" w:hAnsi="Arial Narrow"/>
                <w:sz w:val="20"/>
              </w:rPr>
              <w:fldChar w:fldCharType="begin">
                <w:ffData>
                  <w:name w:val=""/>
                  <w:enabled/>
                  <w:calcOnExit w:val="0"/>
                  <w:checkBox>
                    <w:sizeAuto/>
                    <w:default w:val="0"/>
                  </w:checkBox>
                </w:ffData>
              </w:fldChar>
            </w:r>
            <w:r w:rsidRPr="003B355D">
              <w:rPr>
                <w:rFonts w:ascii="Arial Narrow" w:hAnsi="Arial Narrow"/>
                <w:sz w:val="20"/>
              </w:rPr>
              <w:instrText xml:space="preserve"> FORMCHECKBOX </w:instrText>
            </w:r>
            <w:r w:rsidR="00680D27">
              <w:rPr>
                <w:rFonts w:ascii="Arial Narrow" w:hAnsi="Arial Narrow"/>
                <w:sz w:val="20"/>
              </w:rPr>
            </w:r>
            <w:r w:rsidR="00680D27">
              <w:rPr>
                <w:rFonts w:ascii="Arial Narrow" w:hAnsi="Arial Narrow"/>
                <w:sz w:val="20"/>
              </w:rPr>
              <w:fldChar w:fldCharType="separate"/>
            </w:r>
            <w:r w:rsidRPr="003B355D">
              <w:rPr>
                <w:rFonts w:ascii="Arial Narrow" w:hAnsi="Arial Narrow"/>
                <w:sz w:val="20"/>
              </w:rPr>
              <w:fldChar w:fldCharType="end"/>
            </w:r>
            <w:r w:rsidRPr="003B355D">
              <w:rPr>
                <w:rFonts w:ascii="Arial Narrow" w:hAnsi="Arial Narrow"/>
                <w:sz w:val="20"/>
              </w:rPr>
              <w:t>Authority Required - Emergency</w:t>
            </w:r>
          </w:p>
          <w:p w:rsidR="00B7361A" w:rsidRPr="003B355D" w:rsidRDefault="00B7361A" w:rsidP="00C9551E">
            <w:pPr>
              <w:rPr>
                <w:rFonts w:ascii="Arial Narrow" w:hAnsi="Arial Narrow"/>
                <w:sz w:val="20"/>
              </w:rPr>
            </w:pPr>
            <w:r w:rsidRPr="003B355D">
              <w:rPr>
                <w:rFonts w:ascii="Arial Narrow" w:hAnsi="Arial Narrow"/>
                <w:sz w:val="20"/>
              </w:rPr>
              <w:fldChar w:fldCharType="begin">
                <w:ffData>
                  <w:name w:val="Check5"/>
                  <w:enabled/>
                  <w:calcOnExit w:val="0"/>
                  <w:checkBox>
                    <w:sizeAuto/>
                    <w:default w:val="0"/>
                  </w:checkBox>
                </w:ffData>
              </w:fldChar>
            </w:r>
            <w:r w:rsidRPr="003B355D">
              <w:rPr>
                <w:rFonts w:ascii="Arial Narrow" w:hAnsi="Arial Narrow"/>
                <w:sz w:val="20"/>
              </w:rPr>
              <w:instrText xml:space="preserve"> FORMCHECKBOX </w:instrText>
            </w:r>
            <w:r w:rsidR="00680D27">
              <w:rPr>
                <w:rFonts w:ascii="Arial Narrow" w:hAnsi="Arial Narrow"/>
                <w:sz w:val="20"/>
              </w:rPr>
            </w:r>
            <w:r w:rsidR="00680D27">
              <w:rPr>
                <w:rFonts w:ascii="Arial Narrow" w:hAnsi="Arial Narrow"/>
                <w:sz w:val="20"/>
              </w:rPr>
              <w:fldChar w:fldCharType="separate"/>
            </w:r>
            <w:r w:rsidRPr="003B355D">
              <w:rPr>
                <w:rFonts w:ascii="Arial Narrow" w:hAnsi="Arial Narrow"/>
                <w:sz w:val="20"/>
              </w:rPr>
              <w:fldChar w:fldCharType="end"/>
            </w:r>
            <w:r w:rsidRPr="003B355D">
              <w:rPr>
                <w:rFonts w:ascii="Arial Narrow" w:hAnsi="Arial Narrow"/>
                <w:sz w:val="20"/>
              </w:rPr>
              <w:t>Authority Required - Electronic</w:t>
            </w:r>
          </w:p>
          <w:p w:rsidR="00B7361A" w:rsidRPr="003B355D" w:rsidRDefault="00B7361A" w:rsidP="00C9551E">
            <w:pPr>
              <w:rPr>
                <w:rFonts w:ascii="Arial Narrow" w:hAnsi="Arial Narrow"/>
                <w:i/>
                <w:sz w:val="20"/>
              </w:rPr>
            </w:pPr>
            <w:r w:rsidRPr="003B355D">
              <w:rPr>
                <w:rFonts w:ascii="Arial Narrow" w:hAnsi="Arial Narrow"/>
                <w:sz w:val="20"/>
              </w:rPr>
              <w:fldChar w:fldCharType="begin">
                <w:ffData>
                  <w:name w:val="Check5"/>
                  <w:enabled/>
                  <w:calcOnExit w:val="0"/>
                  <w:checkBox>
                    <w:sizeAuto/>
                    <w:default w:val="1"/>
                  </w:checkBox>
                </w:ffData>
              </w:fldChar>
            </w:r>
            <w:bookmarkStart w:id="7" w:name="Check5"/>
            <w:r w:rsidRPr="003B355D">
              <w:rPr>
                <w:rFonts w:ascii="Arial Narrow" w:hAnsi="Arial Narrow"/>
                <w:sz w:val="20"/>
              </w:rPr>
              <w:instrText xml:space="preserve"> FORMCHECKBOX </w:instrText>
            </w:r>
            <w:r w:rsidR="00680D27">
              <w:rPr>
                <w:rFonts w:ascii="Arial Narrow" w:hAnsi="Arial Narrow"/>
                <w:sz w:val="20"/>
              </w:rPr>
            </w:r>
            <w:r w:rsidR="00680D27">
              <w:rPr>
                <w:rFonts w:ascii="Arial Narrow" w:hAnsi="Arial Narrow"/>
                <w:sz w:val="20"/>
              </w:rPr>
              <w:fldChar w:fldCharType="separate"/>
            </w:r>
            <w:r w:rsidRPr="003B355D">
              <w:rPr>
                <w:rFonts w:ascii="Arial Narrow" w:hAnsi="Arial Narrow"/>
                <w:sz w:val="20"/>
              </w:rPr>
              <w:fldChar w:fldCharType="end"/>
            </w:r>
            <w:bookmarkEnd w:id="7"/>
            <w:r w:rsidRPr="003B355D">
              <w:rPr>
                <w:rFonts w:ascii="Arial Narrow" w:hAnsi="Arial Narrow"/>
                <w:sz w:val="20"/>
              </w:rPr>
              <w:t>Streamlined</w:t>
            </w:r>
          </w:p>
        </w:tc>
      </w:tr>
      <w:tr w:rsidR="00B7361A" w:rsidRPr="003B355D" w:rsidTr="00F21284">
        <w:tblPrEx>
          <w:tblCellMar>
            <w:left w:w="108" w:type="dxa"/>
            <w:right w:w="108" w:type="dxa"/>
          </w:tblCellMar>
        </w:tblPrEx>
        <w:trPr>
          <w:gridBefore w:val="1"/>
          <w:wBefore w:w="4" w:type="pct"/>
          <w:cantSplit/>
          <w:trHeight w:val="523"/>
        </w:trPr>
        <w:tc>
          <w:tcPr>
            <w:tcW w:w="1857" w:type="pct"/>
            <w:tcBorders>
              <w:top w:val="single" w:sz="4" w:space="0" w:color="auto"/>
              <w:left w:val="single" w:sz="4" w:space="0" w:color="auto"/>
              <w:bottom w:val="single" w:sz="4" w:space="0" w:color="auto"/>
              <w:right w:val="single" w:sz="4" w:space="0" w:color="auto"/>
            </w:tcBorders>
          </w:tcPr>
          <w:p w:rsidR="00B7361A" w:rsidRPr="003B355D" w:rsidRDefault="00B7361A" w:rsidP="00C9551E">
            <w:pPr>
              <w:rPr>
                <w:rFonts w:ascii="Arial Narrow" w:hAnsi="Arial Narrow"/>
                <w:b/>
                <w:sz w:val="20"/>
              </w:rPr>
            </w:pPr>
            <w:r w:rsidRPr="003B355D">
              <w:rPr>
                <w:rFonts w:ascii="Arial Narrow" w:hAnsi="Arial Narrow"/>
                <w:b/>
                <w:sz w:val="20"/>
              </w:rPr>
              <w:t>Treatment phase:</w:t>
            </w:r>
          </w:p>
        </w:tc>
        <w:tc>
          <w:tcPr>
            <w:tcW w:w="3139" w:type="pct"/>
            <w:gridSpan w:val="5"/>
            <w:tcBorders>
              <w:top w:val="single" w:sz="4" w:space="0" w:color="auto"/>
              <w:left w:val="single" w:sz="4" w:space="0" w:color="auto"/>
              <w:bottom w:val="single" w:sz="4" w:space="0" w:color="auto"/>
              <w:right w:val="single" w:sz="4" w:space="0" w:color="auto"/>
            </w:tcBorders>
          </w:tcPr>
          <w:p w:rsidR="00B7361A" w:rsidRPr="003B355D" w:rsidRDefault="00B7361A" w:rsidP="00C9551E">
            <w:pPr>
              <w:rPr>
                <w:rFonts w:ascii="Arial Narrow" w:hAnsi="Arial Narrow"/>
                <w:sz w:val="20"/>
              </w:rPr>
            </w:pPr>
            <w:r w:rsidRPr="003B355D">
              <w:rPr>
                <w:rFonts w:ascii="Arial Narrow" w:hAnsi="Arial Narrow"/>
                <w:sz w:val="20"/>
              </w:rPr>
              <w:t>Triple combination therapy with metformin and a sulfonylurea.</w:t>
            </w:r>
          </w:p>
          <w:p w:rsidR="00B7361A" w:rsidRPr="003B355D" w:rsidRDefault="00B7361A" w:rsidP="00C9551E">
            <w:pPr>
              <w:rPr>
                <w:rFonts w:ascii="Arial Narrow" w:hAnsi="Arial Narrow"/>
                <w:i/>
                <w:sz w:val="20"/>
              </w:rPr>
            </w:pPr>
          </w:p>
        </w:tc>
      </w:tr>
      <w:tr w:rsidR="00B7361A" w:rsidRPr="003B355D" w:rsidTr="00F21284">
        <w:tblPrEx>
          <w:tblCellMar>
            <w:left w:w="108" w:type="dxa"/>
            <w:right w:w="108" w:type="dxa"/>
          </w:tblCellMar>
        </w:tblPrEx>
        <w:trPr>
          <w:gridBefore w:val="1"/>
          <w:wBefore w:w="4" w:type="pct"/>
          <w:cantSplit/>
          <w:trHeight w:val="360"/>
        </w:trPr>
        <w:tc>
          <w:tcPr>
            <w:tcW w:w="1857" w:type="pct"/>
            <w:tcBorders>
              <w:top w:val="single" w:sz="4" w:space="0" w:color="auto"/>
              <w:left w:val="single" w:sz="4" w:space="0" w:color="auto"/>
              <w:bottom w:val="single" w:sz="4" w:space="0" w:color="auto"/>
              <w:right w:val="single" w:sz="4" w:space="0" w:color="auto"/>
            </w:tcBorders>
          </w:tcPr>
          <w:p w:rsidR="00B7361A" w:rsidRPr="003B355D" w:rsidRDefault="00B7361A" w:rsidP="00C9551E">
            <w:pPr>
              <w:rPr>
                <w:rFonts w:ascii="Arial Narrow" w:hAnsi="Arial Narrow"/>
                <w:b/>
                <w:sz w:val="20"/>
              </w:rPr>
            </w:pPr>
            <w:r w:rsidRPr="003B355D">
              <w:rPr>
                <w:rFonts w:ascii="Arial Narrow" w:hAnsi="Arial Narrow"/>
                <w:b/>
                <w:sz w:val="20"/>
              </w:rPr>
              <w:t>Treatment criteria:</w:t>
            </w:r>
          </w:p>
          <w:p w:rsidR="00B7361A" w:rsidRPr="003B355D" w:rsidRDefault="00B7361A" w:rsidP="00C9551E">
            <w:pPr>
              <w:rPr>
                <w:rFonts w:ascii="Arial Narrow" w:hAnsi="Arial Narrow"/>
                <w:sz w:val="20"/>
              </w:rPr>
            </w:pPr>
          </w:p>
        </w:tc>
        <w:tc>
          <w:tcPr>
            <w:tcW w:w="3139" w:type="pct"/>
            <w:gridSpan w:val="5"/>
            <w:tcBorders>
              <w:top w:val="single" w:sz="4" w:space="0" w:color="auto"/>
              <w:left w:val="single" w:sz="4" w:space="0" w:color="auto"/>
              <w:bottom w:val="single" w:sz="4" w:space="0" w:color="auto"/>
              <w:right w:val="single" w:sz="4" w:space="0" w:color="auto"/>
            </w:tcBorders>
          </w:tcPr>
          <w:p w:rsidR="00B7361A" w:rsidRPr="003B355D" w:rsidRDefault="00B7361A" w:rsidP="00C9551E">
            <w:pPr>
              <w:rPr>
                <w:rFonts w:ascii="Arial Narrow" w:hAnsi="Arial Narrow"/>
                <w:sz w:val="20"/>
              </w:rPr>
            </w:pPr>
            <w:r w:rsidRPr="003B355D">
              <w:rPr>
                <w:rFonts w:ascii="Arial Narrow" w:hAnsi="Arial Narrow"/>
                <w:sz w:val="20"/>
              </w:rPr>
              <w:t>The treatment must be in combination with metformin and a sulfonylurea.</w:t>
            </w:r>
          </w:p>
        </w:tc>
      </w:tr>
      <w:tr w:rsidR="00B7361A" w:rsidRPr="003B355D" w:rsidTr="00F21284">
        <w:tblPrEx>
          <w:tblCellMar>
            <w:left w:w="108" w:type="dxa"/>
            <w:right w:w="108" w:type="dxa"/>
          </w:tblCellMar>
        </w:tblPrEx>
        <w:trPr>
          <w:gridBefore w:val="1"/>
          <w:wBefore w:w="4" w:type="pct"/>
          <w:trHeight w:val="360"/>
        </w:trPr>
        <w:tc>
          <w:tcPr>
            <w:tcW w:w="1857" w:type="pct"/>
            <w:tcBorders>
              <w:top w:val="single" w:sz="4" w:space="0" w:color="auto"/>
              <w:left w:val="single" w:sz="4" w:space="0" w:color="auto"/>
              <w:bottom w:val="single" w:sz="4" w:space="0" w:color="auto"/>
              <w:right w:val="single" w:sz="4" w:space="0" w:color="auto"/>
            </w:tcBorders>
          </w:tcPr>
          <w:p w:rsidR="00B7361A" w:rsidRPr="003B355D" w:rsidRDefault="00B7361A" w:rsidP="00C9551E">
            <w:pPr>
              <w:rPr>
                <w:rFonts w:ascii="Arial Narrow" w:hAnsi="Arial Narrow"/>
                <w:b/>
                <w:sz w:val="20"/>
              </w:rPr>
            </w:pPr>
            <w:r w:rsidRPr="003B355D">
              <w:rPr>
                <w:rFonts w:ascii="Arial Narrow" w:hAnsi="Arial Narrow"/>
                <w:b/>
                <w:sz w:val="20"/>
              </w:rPr>
              <w:t>Clinical criteria:</w:t>
            </w:r>
          </w:p>
          <w:p w:rsidR="00B7361A" w:rsidRPr="003B355D" w:rsidRDefault="00B7361A" w:rsidP="00C9551E">
            <w:pPr>
              <w:rPr>
                <w:rFonts w:ascii="Arial Narrow" w:hAnsi="Arial Narrow"/>
                <w:i/>
                <w:sz w:val="20"/>
              </w:rPr>
            </w:pPr>
          </w:p>
          <w:p w:rsidR="00B7361A" w:rsidRPr="003B355D" w:rsidRDefault="00B7361A" w:rsidP="00C9551E">
            <w:pPr>
              <w:rPr>
                <w:rFonts w:ascii="Arial Narrow" w:hAnsi="Arial Narrow"/>
                <w:sz w:val="20"/>
              </w:rPr>
            </w:pPr>
          </w:p>
        </w:tc>
        <w:tc>
          <w:tcPr>
            <w:tcW w:w="3139" w:type="pct"/>
            <w:gridSpan w:val="5"/>
            <w:tcBorders>
              <w:top w:val="single" w:sz="4" w:space="0" w:color="auto"/>
              <w:left w:val="single" w:sz="4" w:space="0" w:color="auto"/>
              <w:bottom w:val="single" w:sz="4" w:space="0" w:color="auto"/>
              <w:right w:val="single" w:sz="4" w:space="0" w:color="auto"/>
            </w:tcBorders>
          </w:tcPr>
          <w:p w:rsidR="00B7361A" w:rsidRPr="003B355D" w:rsidRDefault="00B7361A" w:rsidP="00C9551E">
            <w:pPr>
              <w:rPr>
                <w:rFonts w:ascii="Arial Narrow" w:hAnsi="Arial Narrow"/>
                <w:sz w:val="20"/>
              </w:rPr>
            </w:pPr>
            <w:r w:rsidRPr="003B355D">
              <w:rPr>
                <w:rFonts w:ascii="Arial Narrow" w:hAnsi="Arial Narrow"/>
                <w:sz w:val="20"/>
              </w:rPr>
              <w:t>Patient must have a glycosylated haemoglobin (HbA1c) greater than 7% prior to initiation of a dipeptidyl peptidase 4 inhibitor (gliptin), a thiazolidinedione (</w:t>
            </w:r>
            <w:proofErr w:type="spellStart"/>
            <w:r w:rsidRPr="003B355D">
              <w:rPr>
                <w:rFonts w:ascii="Arial Narrow" w:hAnsi="Arial Narrow"/>
                <w:sz w:val="20"/>
              </w:rPr>
              <w:t>glitazone</w:t>
            </w:r>
            <w:proofErr w:type="spellEnd"/>
            <w:r w:rsidRPr="003B355D">
              <w:rPr>
                <w:rFonts w:ascii="Arial Narrow" w:hAnsi="Arial Narrow"/>
                <w:sz w:val="20"/>
              </w:rPr>
              <w:t>) or a glucagon-like peptide-1 despite treatment with either metformin or a sulfonylurea; OR</w:t>
            </w:r>
          </w:p>
          <w:p w:rsidR="00B7361A" w:rsidRPr="003B355D" w:rsidRDefault="00B7361A" w:rsidP="00C9551E">
            <w:pPr>
              <w:rPr>
                <w:rFonts w:ascii="Arial Narrow" w:hAnsi="Arial Narrow"/>
                <w:sz w:val="20"/>
              </w:rPr>
            </w:pPr>
          </w:p>
          <w:p w:rsidR="00B7361A" w:rsidRPr="003B355D" w:rsidRDefault="00B7361A" w:rsidP="00C9551E">
            <w:pPr>
              <w:rPr>
                <w:rFonts w:ascii="Arial Narrow" w:hAnsi="Arial Narrow"/>
                <w:sz w:val="20"/>
              </w:rPr>
            </w:pPr>
            <w:r w:rsidRPr="003B355D">
              <w:rPr>
                <w:rFonts w:ascii="Arial Narrow" w:hAnsi="Arial Narrow"/>
                <w:sz w:val="20"/>
              </w:rPr>
              <w:t xml:space="preserve">Patient must have, where HbA1c measurement is clinically inappropriate, blood glucose levels greater than 10 </w:t>
            </w:r>
            <w:proofErr w:type="spellStart"/>
            <w:r w:rsidRPr="003B355D">
              <w:rPr>
                <w:rFonts w:ascii="Arial Narrow" w:hAnsi="Arial Narrow"/>
                <w:sz w:val="20"/>
              </w:rPr>
              <w:t>mmol</w:t>
            </w:r>
            <w:proofErr w:type="spellEnd"/>
            <w:r w:rsidRPr="003B355D">
              <w:rPr>
                <w:rFonts w:ascii="Arial Narrow" w:hAnsi="Arial Narrow"/>
                <w:sz w:val="20"/>
              </w:rPr>
              <w:t xml:space="preserve"> per L in more than 20% of tests over a two week period prior to initiation of a gliptin, a </w:t>
            </w:r>
            <w:proofErr w:type="spellStart"/>
            <w:r w:rsidRPr="003B355D">
              <w:rPr>
                <w:rFonts w:ascii="Arial Narrow" w:hAnsi="Arial Narrow"/>
                <w:sz w:val="20"/>
              </w:rPr>
              <w:t>glitazone</w:t>
            </w:r>
            <w:proofErr w:type="spellEnd"/>
            <w:r w:rsidRPr="003B355D">
              <w:rPr>
                <w:rFonts w:ascii="Arial Narrow" w:hAnsi="Arial Narrow"/>
                <w:sz w:val="20"/>
              </w:rPr>
              <w:t xml:space="preserve"> or a glucagon-like peptide-1 despite treatment with metformin or a sulfonylurea.</w:t>
            </w:r>
          </w:p>
          <w:p w:rsidR="00B7361A" w:rsidRPr="003B355D" w:rsidRDefault="00B7361A" w:rsidP="00C9551E">
            <w:pPr>
              <w:rPr>
                <w:rFonts w:ascii="Arial Narrow" w:hAnsi="Arial Narrow"/>
                <w:sz w:val="20"/>
              </w:rPr>
            </w:pPr>
          </w:p>
          <w:p w:rsidR="00B7361A" w:rsidRPr="003B355D" w:rsidRDefault="00B7361A" w:rsidP="00C9551E">
            <w:pPr>
              <w:rPr>
                <w:rFonts w:ascii="Arial Narrow" w:hAnsi="Arial Narrow"/>
                <w:sz w:val="20"/>
              </w:rPr>
            </w:pPr>
            <w:r w:rsidRPr="003B355D">
              <w:rPr>
                <w:rFonts w:ascii="Arial Narrow" w:hAnsi="Arial Narrow"/>
                <w:sz w:val="20"/>
              </w:rPr>
              <w:t>AND</w:t>
            </w:r>
          </w:p>
          <w:p w:rsidR="00B7361A" w:rsidRPr="003B355D" w:rsidRDefault="00B7361A" w:rsidP="00C9551E">
            <w:pPr>
              <w:rPr>
                <w:rFonts w:ascii="Arial Narrow" w:hAnsi="Arial Narrow"/>
                <w:sz w:val="20"/>
              </w:rPr>
            </w:pPr>
          </w:p>
          <w:p w:rsidR="00B7361A" w:rsidRPr="003B355D" w:rsidRDefault="00B7361A" w:rsidP="00C9551E">
            <w:pPr>
              <w:rPr>
                <w:rFonts w:ascii="Arial Narrow" w:hAnsi="Arial Narrow"/>
                <w:sz w:val="20"/>
              </w:rPr>
            </w:pPr>
            <w:r w:rsidRPr="003B355D">
              <w:rPr>
                <w:rFonts w:ascii="Arial Narrow" w:hAnsi="Arial Narrow"/>
                <w:sz w:val="20"/>
              </w:rPr>
              <w:t xml:space="preserve">The treatment must not be used in combination with </w:t>
            </w:r>
            <w:proofErr w:type="gramStart"/>
            <w:r w:rsidRPr="003B355D">
              <w:rPr>
                <w:rFonts w:ascii="Arial Narrow" w:hAnsi="Arial Narrow"/>
                <w:sz w:val="20"/>
              </w:rPr>
              <w:t>an insulin</w:t>
            </w:r>
            <w:proofErr w:type="gramEnd"/>
            <w:r w:rsidRPr="003B355D">
              <w:rPr>
                <w:rFonts w:ascii="Arial Narrow" w:hAnsi="Arial Narrow"/>
                <w:sz w:val="20"/>
              </w:rPr>
              <w:t>, a thiazolidinedione (</w:t>
            </w:r>
            <w:proofErr w:type="spellStart"/>
            <w:r w:rsidRPr="003B355D">
              <w:rPr>
                <w:rFonts w:ascii="Arial Narrow" w:hAnsi="Arial Narrow"/>
                <w:sz w:val="20"/>
              </w:rPr>
              <w:t>glitazone</w:t>
            </w:r>
            <w:proofErr w:type="spellEnd"/>
            <w:r w:rsidRPr="003B355D">
              <w:rPr>
                <w:rFonts w:ascii="Arial Narrow" w:hAnsi="Arial Narrow"/>
                <w:sz w:val="20"/>
              </w:rPr>
              <w:t>), or a dipeptidyl peptidase 4 inhibitor (gliptin).</w:t>
            </w:r>
          </w:p>
          <w:p w:rsidR="00B7361A" w:rsidRPr="003B355D" w:rsidRDefault="00B7361A" w:rsidP="00C9551E">
            <w:pPr>
              <w:rPr>
                <w:rFonts w:ascii="Arial Narrow" w:hAnsi="Arial Narrow"/>
                <w:sz w:val="20"/>
              </w:rPr>
            </w:pPr>
          </w:p>
          <w:p w:rsidR="00B7361A" w:rsidRPr="003B355D" w:rsidRDefault="00B7361A" w:rsidP="00C9551E">
            <w:pPr>
              <w:rPr>
                <w:rFonts w:ascii="Arial Narrow" w:hAnsi="Arial Narrow"/>
                <w:sz w:val="20"/>
              </w:rPr>
            </w:pPr>
            <w:r w:rsidRPr="003B355D">
              <w:rPr>
                <w:rFonts w:ascii="Arial Narrow" w:hAnsi="Arial Narrow"/>
                <w:sz w:val="20"/>
              </w:rPr>
              <w:t>AND</w:t>
            </w:r>
          </w:p>
          <w:p w:rsidR="00B7361A" w:rsidRPr="003B355D" w:rsidRDefault="00B7361A" w:rsidP="00C9551E">
            <w:pPr>
              <w:rPr>
                <w:rFonts w:ascii="Arial Narrow" w:hAnsi="Arial Narrow"/>
                <w:sz w:val="20"/>
              </w:rPr>
            </w:pPr>
          </w:p>
          <w:p w:rsidR="00B7361A" w:rsidRPr="003B355D" w:rsidRDefault="00B7361A" w:rsidP="00C9551E">
            <w:pPr>
              <w:rPr>
                <w:rFonts w:ascii="Arial Narrow" w:hAnsi="Arial Narrow"/>
                <w:sz w:val="20"/>
              </w:rPr>
            </w:pPr>
            <w:r w:rsidRPr="003B355D">
              <w:rPr>
                <w:rFonts w:ascii="Arial Narrow" w:hAnsi="Arial Narrow"/>
                <w:i/>
                <w:sz w:val="20"/>
              </w:rPr>
              <w:t>Patient must be</w:t>
            </w:r>
            <w:r w:rsidRPr="003B355D">
              <w:rPr>
                <w:rFonts w:ascii="Arial Narrow" w:hAnsi="Arial Narrow"/>
                <w:sz w:val="20"/>
              </w:rPr>
              <w:t xml:space="preserve"> 50 years </w:t>
            </w:r>
            <w:r w:rsidRPr="003B355D">
              <w:rPr>
                <w:rFonts w:ascii="Arial Narrow" w:hAnsi="Arial Narrow"/>
                <w:i/>
                <w:sz w:val="20"/>
              </w:rPr>
              <w:t>or older</w:t>
            </w:r>
            <w:r w:rsidRPr="003B355D">
              <w:rPr>
                <w:rFonts w:ascii="Arial Narrow" w:hAnsi="Arial Narrow"/>
                <w:sz w:val="20"/>
              </w:rPr>
              <w:t xml:space="preserve"> with established cardiovascular disease </w:t>
            </w:r>
            <w:r w:rsidRPr="003B355D">
              <w:rPr>
                <w:rFonts w:ascii="Arial Narrow" w:hAnsi="Arial Narrow"/>
                <w:sz w:val="20"/>
              </w:rPr>
              <w:lastRenderedPageBreak/>
              <w:t>(including at least one of the following: coronary heart disease, prior myocardial infarction, prior stroke or prior transient ischemic attack or peripheral vascular disease) or chronic renal failure (defined as glomerular filtration rate &lt; 60 mL/min/1.73m2) or chronic heart failure (New York Heart Association class II or III); OR</w:t>
            </w:r>
          </w:p>
          <w:p w:rsidR="00B7361A" w:rsidRPr="003B355D" w:rsidRDefault="00B7361A" w:rsidP="00C9551E">
            <w:pPr>
              <w:rPr>
                <w:rFonts w:ascii="Arial Narrow" w:hAnsi="Arial Narrow"/>
                <w:sz w:val="20"/>
              </w:rPr>
            </w:pPr>
          </w:p>
          <w:p w:rsidR="00B7361A" w:rsidRPr="003B355D" w:rsidRDefault="00B7361A" w:rsidP="00C9551E">
            <w:pPr>
              <w:rPr>
                <w:rFonts w:ascii="Arial Narrow" w:hAnsi="Arial Narrow"/>
                <w:sz w:val="20"/>
              </w:rPr>
            </w:pPr>
            <w:r w:rsidRPr="003B355D">
              <w:rPr>
                <w:rFonts w:ascii="Arial Narrow" w:hAnsi="Arial Narrow"/>
                <w:i/>
                <w:sz w:val="20"/>
              </w:rPr>
              <w:t>Patient must be</w:t>
            </w:r>
            <w:r w:rsidRPr="003B355D">
              <w:rPr>
                <w:rFonts w:ascii="Arial Narrow" w:hAnsi="Arial Narrow"/>
                <w:sz w:val="20"/>
              </w:rPr>
              <w:t xml:space="preserve"> 60 years </w:t>
            </w:r>
            <w:r w:rsidRPr="003B355D">
              <w:rPr>
                <w:rFonts w:ascii="Arial Narrow" w:hAnsi="Arial Narrow"/>
                <w:i/>
                <w:sz w:val="20"/>
              </w:rPr>
              <w:t>or older</w:t>
            </w:r>
            <w:r w:rsidRPr="003B355D">
              <w:rPr>
                <w:rFonts w:ascii="Arial Narrow" w:hAnsi="Arial Narrow"/>
                <w:sz w:val="20"/>
              </w:rPr>
              <w:t xml:space="preserve"> with microalbuminuria or proteinuria (defined as urinary albumin excretion rate of &gt;20mcg/min or urinary albumin to creatinine ratio of &gt; 2.5 for males, &gt; 3.5 for females); OR</w:t>
            </w:r>
          </w:p>
          <w:p w:rsidR="00B7361A" w:rsidRPr="003B355D" w:rsidRDefault="00B7361A" w:rsidP="00C9551E">
            <w:pPr>
              <w:rPr>
                <w:rFonts w:ascii="Arial Narrow" w:hAnsi="Arial Narrow"/>
                <w:sz w:val="20"/>
              </w:rPr>
            </w:pPr>
          </w:p>
          <w:p w:rsidR="00B7361A" w:rsidRPr="003B355D" w:rsidRDefault="00B7361A" w:rsidP="00C9551E">
            <w:pPr>
              <w:rPr>
                <w:rFonts w:ascii="Arial Narrow" w:hAnsi="Arial Narrow"/>
                <w:sz w:val="20"/>
              </w:rPr>
            </w:pPr>
            <w:r w:rsidRPr="003B355D">
              <w:rPr>
                <w:rFonts w:ascii="Arial Narrow" w:hAnsi="Arial Narrow"/>
                <w:sz w:val="20"/>
              </w:rPr>
              <w:t xml:space="preserve"> </w:t>
            </w:r>
            <w:r w:rsidRPr="003B355D">
              <w:rPr>
                <w:rFonts w:ascii="Arial Narrow" w:hAnsi="Arial Narrow"/>
                <w:i/>
                <w:sz w:val="20"/>
              </w:rPr>
              <w:t>Patient must be</w:t>
            </w:r>
            <w:r w:rsidRPr="003B355D">
              <w:rPr>
                <w:rFonts w:ascii="Arial Narrow" w:hAnsi="Arial Narrow"/>
                <w:sz w:val="20"/>
              </w:rPr>
              <w:t xml:space="preserve"> an Aboriginal or Torres Strait Islander</w:t>
            </w:r>
          </w:p>
        </w:tc>
      </w:tr>
      <w:tr w:rsidR="00B7361A" w:rsidRPr="003B355D" w:rsidTr="00F21284">
        <w:tblPrEx>
          <w:tblCellMar>
            <w:left w:w="108" w:type="dxa"/>
            <w:right w:w="108" w:type="dxa"/>
          </w:tblCellMar>
        </w:tblPrEx>
        <w:trPr>
          <w:gridBefore w:val="1"/>
          <w:wBefore w:w="4" w:type="pct"/>
          <w:trHeight w:val="360"/>
        </w:trPr>
        <w:tc>
          <w:tcPr>
            <w:tcW w:w="1857" w:type="pct"/>
            <w:tcBorders>
              <w:top w:val="single" w:sz="4" w:space="0" w:color="auto"/>
              <w:left w:val="single" w:sz="4" w:space="0" w:color="auto"/>
              <w:bottom w:val="single" w:sz="4" w:space="0" w:color="auto"/>
              <w:right w:val="single" w:sz="4" w:space="0" w:color="auto"/>
            </w:tcBorders>
          </w:tcPr>
          <w:p w:rsidR="00B7361A" w:rsidRPr="003B355D" w:rsidRDefault="00B7361A" w:rsidP="00C9551E">
            <w:pPr>
              <w:rPr>
                <w:rFonts w:ascii="Arial Narrow" w:hAnsi="Arial Narrow"/>
                <w:b/>
                <w:sz w:val="20"/>
              </w:rPr>
            </w:pPr>
            <w:r w:rsidRPr="003B355D">
              <w:rPr>
                <w:rFonts w:ascii="Arial Narrow" w:hAnsi="Arial Narrow"/>
                <w:b/>
                <w:sz w:val="20"/>
              </w:rPr>
              <w:lastRenderedPageBreak/>
              <w:t>Prescriber Instructions</w:t>
            </w:r>
          </w:p>
          <w:p w:rsidR="00B7361A" w:rsidRPr="003B355D" w:rsidRDefault="00B7361A" w:rsidP="00C9551E">
            <w:pPr>
              <w:rPr>
                <w:rFonts w:ascii="Arial Narrow" w:hAnsi="Arial Narrow"/>
                <w:sz w:val="20"/>
              </w:rPr>
            </w:pPr>
          </w:p>
        </w:tc>
        <w:tc>
          <w:tcPr>
            <w:tcW w:w="3139" w:type="pct"/>
            <w:gridSpan w:val="5"/>
            <w:tcBorders>
              <w:top w:val="single" w:sz="4" w:space="0" w:color="auto"/>
              <w:left w:val="single" w:sz="4" w:space="0" w:color="auto"/>
              <w:bottom w:val="single" w:sz="4" w:space="0" w:color="auto"/>
              <w:right w:val="single" w:sz="4" w:space="0" w:color="auto"/>
            </w:tcBorders>
          </w:tcPr>
          <w:p w:rsidR="00B7361A" w:rsidRPr="003B355D" w:rsidRDefault="00B7361A" w:rsidP="00C9551E">
            <w:pPr>
              <w:rPr>
                <w:rFonts w:ascii="Arial Narrow" w:hAnsi="Arial Narrow"/>
                <w:sz w:val="20"/>
              </w:rPr>
            </w:pPr>
            <w:r w:rsidRPr="003B355D">
              <w:rPr>
                <w:rFonts w:ascii="Arial Narrow" w:hAnsi="Arial Narrow"/>
                <w:sz w:val="20"/>
              </w:rPr>
              <w:t xml:space="preserve">The date and level of the qualifying HbA1c measurement must be, or must have been, documented in the patient's medical records at the time treatment with a gliptin, a </w:t>
            </w:r>
            <w:proofErr w:type="spellStart"/>
            <w:r w:rsidRPr="003B355D">
              <w:rPr>
                <w:rFonts w:ascii="Arial Narrow" w:hAnsi="Arial Narrow"/>
                <w:sz w:val="20"/>
              </w:rPr>
              <w:t>glitazone</w:t>
            </w:r>
            <w:proofErr w:type="spellEnd"/>
            <w:r w:rsidRPr="003B355D">
              <w:rPr>
                <w:rFonts w:ascii="Arial Narrow" w:hAnsi="Arial Narrow"/>
                <w:sz w:val="20"/>
              </w:rPr>
              <w:t>, a glucagon-like peptide-1 or an SGLT2 inhibitor is initiated.</w:t>
            </w:r>
          </w:p>
          <w:p w:rsidR="00B7361A" w:rsidRPr="003B355D" w:rsidRDefault="00B7361A" w:rsidP="00C9551E">
            <w:pPr>
              <w:rPr>
                <w:rFonts w:ascii="Arial Narrow" w:hAnsi="Arial Narrow"/>
                <w:sz w:val="20"/>
              </w:rPr>
            </w:pPr>
          </w:p>
          <w:p w:rsidR="00B7361A" w:rsidRPr="003B355D" w:rsidRDefault="00B7361A" w:rsidP="00C9551E">
            <w:pPr>
              <w:rPr>
                <w:rFonts w:ascii="Arial Narrow" w:hAnsi="Arial Narrow"/>
                <w:sz w:val="20"/>
              </w:rPr>
            </w:pPr>
            <w:r w:rsidRPr="003B355D">
              <w:rPr>
                <w:rFonts w:ascii="Arial Narrow" w:hAnsi="Arial Narrow"/>
                <w:sz w:val="20"/>
              </w:rPr>
              <w:t xml:space="preserve">The HbA1c must be no more than 4 months old at the time treatment with a gliptin, a </w:t>
            </w:r>
            <w:proofErr w:type="spellStart"/>
            <w:r w:rsidRPr="003B355D">
              <w:rPr>
                <w:rFonts w:ascii="Arial Narrow" w:hAnsi="Arial Narrow"/>
                <w:sz w:val="20"/>
              </w:rPr>
              <w:t>glitazone</w:t>
            </w:r>
            <w:proofErr w:type="spellEnd"/>
            <w:r w:rsidRPr="003B355D">
              <w:rPr>
                <w:rFonts w:ascii="Arial Narrow" w:hAnsi="Arial Narrow"/>
                <w:sz w:val="20"/>
              </w:rPr>
              <w:t>, a glucagon-like peptide-1 or an SGLT2 inhibitor was initiated.</w:t>
            </w:r>
          </w:p>
          <w:p w:rsidR="00B7361A" w:rsidRPr="003B355D" w:rsidRDefault="00B7361A" w:rsidP="00C9551E">
            <w:pPr>
              <w:rPr>
                <w:rFonts w:ascii="Arial Narrow" w:hAnsi="Arial Narrow"/>
                <w:sz w:val="20"/>
              </w:rPr>
            </w:pPr>
          </w:p>
          <w:p w:rsidR="00B7361A" w:rsidRPr="003B355D" w:rsidRDefault="00B7361A" w:rsidP="00C9551E">
            <w:pPr>
              <w:rPr>
                <w:rFonts w:ascii="Arial Narrow" w:hAnsi="Arial Narrow"/>
                <w:sz w:val="20"/>
              </w:rPr>
            </w:pPr>
            <w:r w:rsidRPr="003B355D">
              <w:rPr>
                <w:rFonts w:ascii="Arial Narrow" w:hAnsi="Arial Narrow"/>
                <w:sz w:val="20"/>
              </w:rPr>
              <w:t>Blood glucose monitoring may be used as an alternative assessment to HbA1c levels in the following circumstances:</w:t>
            </w:r>
          </w:p>
          <w:p w:rsidR="00B7361A" w:rsidRPr="003B355D" w:rsidRDefault="00B7361A" w:rsidP="00C9551E">
            <w:pPr>
              <w:rPr>
                <w:rFonts w:ascii="Arial Narrow" w:hAnsi="Arial Narrow"/>
                <w:sz w:val="20"/>
              </w:rPr>
            </w:pPr>
          </w:p>
          <w:p w:rsidR="00B7361A" w:rsidRPr="003B355D" w:rsidRDefault="00B7361A" w:rsidP="00C9551E">
            <w:pPr>
              <w:rPr>
                <w:rFonts w:ascii="Arial Narrow" w:hAnsi="Arial Narrow"/>
                <w:sz w:val="20"/>
              </w:rPr>
            </w:pPr>
            <w:r w:rsidRPr="003B355D">
              <w:rPr>
                <w:rFonts w:ascii="Arial Narrow" w:hAnsi="Arial Narrow"/>
                <w:sz w:val="20"/>
              </w:rPr>
              <w:t xml:space="preserve">(a) A clinical condition with reduced red blood cell survival, including haemolytic anaemias and </w:t>
            </w:r>
            <w:proofErr w:type="spellStart"/>
            <w:r w:rsidRPr="003B355D">
              <w:rPr>
                <w:rFonts w:ascii="Arial Narrow" w:hAnsi="Arial Narrow"/>
                <w:sz w:val="20"/>
              </w:rPr>
              <w:t>haemoglobinopathies</w:t>
            </w:r>
            <w:proofErr w:type="spellEnd"/>
            <w:r w:rsidRPr="003B355D">
              <w:rPr>
                <w:rFonts w:ascii="Arial Narrow" w:hAnsi="Arial Narrow"/>
                <w:sz w:val="20"/>
              </w:rPr>
              <w:t>; and/or</w:t>
            </w:r>
          </w:p>
          <w:p w:rsidR="00B7361A" w:rsidRPr="003B355D" w:rsidRDefault="00B7361A" w:rsidP="00C9551E">
            <w:pPr>
              <w:rPr>
                <w:rFonts w:ascii="Arial Narrow" w:hAnsi="Arial Narrow"/>
                <w:sz w:val="20"/>
              </w:rPr>
            </w:pPr>
          </w:p>
          <w:p w:rsidR="00B7361A" w:rsidRPr="003B355D" w:rsidRDefault="00B7361A" w:rsidP="00C9551E">
            <w:pPr>
              <w:rPr>
                <w:rFonts w:ascii="Arial Narrow" w:hAnsi="Arial Narrow"/>
                <w:sz w:val="20"/>
              </w:rPr>
            </w:pPr>
            <w:r w:rsidRPr="003B355D">
              <w:rPr>
                <w:rFonts w:ascii="Arial Narrow" w:hAnsi="Arial Narrow"/>
                <w:sz w:val="20"/>
              </w:rPr>
              <w:t>(b) Had red cell transfusion within the previous 3 months.</w:t>
            </w:r>
          </w:p>
          <w:p w:rsidR="00B7361A" w:rsidRPr="003B355D" w:rsidRDefault="00B7361A" w:rsidP="00C9551E">
            <w:pPr>
              <w:rPr>
                <w:rFonts w:ascii="Arial Narrow" w:hAnsi="Arial Narrow"/>
                <w:sz w:val="20"/>
              </w:rPr>
            </w:pPr>
          </w:p>
          <w:p w:rsidR="00B7361A" w:rsidRPr="003B355D" w:rsidRDefault="00B7361A" w:rsidP="00C9551E">
            <w:pPr>
              <w:rPr>
                <w:rFonts w:ascii="Arial Narrow" w:hAnsi="Arial Narrow"/>
                <w:sz w:val="20"/>
              </w:rPr>
            </w:pPr>
            <w:r w:rsidRPr="003B355D">
              <w:rPr>
                <w:rFonts w:ascii="Arial Narrow" w:hAnsi="Arial Narrow"/>
                <w:sz w:val="20"/>
              </w:rPr>
              <w:t xml:space="preserve">The results of the blood glucose monitoring, which must be no more than 4 months old at the time of initiation of treatment with a gliptin, a </w:t>
            </w:r>
            <w:proofErr w:type="spellStart"/>
            <w:r w:rsidRPr="003B355D">
              <w:rPr>
                <w:rFonts w:ascii="Arial Narrow" w:hAnsi="Arial Narrow"/>
                <w:sz w:val="20"/>
              </w:rPr>
              <w:t>glitazone</w:t>
            </w:r>
            <w:proofErr w:type="spellEnd"/>
            <w:r w:rsidRPr="003B355D">
              <w:rPr>
                <w:rFonts w:ascii="Arial Narrow" w:hAnsi="Arial Narrow"/>
                <w:sz w:val="20"/>
              </w:rPr>
              <w:t>, a glucagon-like peptide-1 or an SGLT2 inhibitor, must be documented in the patient's medical records.</w:t>
            </w:r>
          </w:p>
        </w:tc>
      </w:tr>
      <w:tr w:rsidR="00B7361A" w:rsidRPr="003B355D" w:rsidTr="00F21284">
        <w:tblPrEx>
          <w:tblCellMar>
            <w:left w:w="108" w:type="dxa"/>
            <w:right w:w="108" w:type="dxa"/>
          </w:tblCellMar>
        </w:tblPrEx>
        <w:trPr>
          <w:gridBefore w:val="1"/>
          <w:wBefore w:w="4" w:type="pct"/>
          <w:cantSplit/>
          <w:trHeight w:val="360"/>
        </w:trPr>
        <w:tc>
          <w:tcPr>
            <w:tcW w:w="1857" w:type="pct"/>
            <w:tcBorders>
              <w:top w:val="single" w:sz="4" w:space="0" w:color="auto"/>
              <w:left w:val="single" w:sz="4" w:space="0" w:color="auto"/>
              <w:bottom w:val="single" w:sz="4" w:space="0" w:color="auto"/>
              <w:right w:val="single" w:sz="4" w:space="0" w:color="auto"/>
            </w:tcBorders>
          </w:tcPr>
          <w:p w:rsidR="00B7361A" w:rsidRPr="003B355D" w:rsidRDefault="00B7361A" w:rsidP="00C9551E">
            <w:pPr>
              <w:rPr>
                <w:rFonts w:ascii="Arial Narrow" w:hAnsi="Arial Narrow"/>
                <w:b/>
                <w:sz w:val="20"/>
              </w:rPr>
            </w:pPr>
            <w:r w:rsidRPr="003B355D">
              <w:rPr>
                <w:rFonts w:ascii="Arial Narrow" w:hAnsi="Arial Narrow"/>
                <w:b/>
                <w:sz w:val="20"/>
              </w:rPr>
              <w:t>Administrative Advice</w:t>
            </w:r>
          </w:p>
          <w:p w:rsidR="00B7361A" w:rsidRPr="003B355D" w:rsidRDefault="00B7361A" w:rsidP="00C9551E">
            <w:pPr>
              <w:rPr>
                <w:rFonts w:ascii="Arial Narrow" w:hAnsi="Arial Narrow"/>
                <w:i/>
                <w:sz w:val="20"/>
              </w:rPr>
            </w:pPr>
          </w:p>
        </w:tc>
        <w:tc>
          <w:tcPr>
            <w:tcW w:w="3139" w:type="pct"/>
            <w:gridSpan w:val="5"/>
            <w:tcBorders>
              <w:top w:val="single" w:sz="4" w:space="0" w:color="auto"/>
              <w:left w:val="single" w:sz="4" w:space="0" w:color="auto"/>
              <w:bottom w:val="single" w:sz="4" w:space="0" w:color="auto"/>
              <w:right w:val="single" w:sz="4" w:space="0" w:color="auto"/>
            </w:tcBorders>
          </w:tcPr>
          <w:p w:rsidR="00B7361A" w:rsidRPr="003B355D" w:rsidRDefault="00B7361A" w:rsidP="00C9551E">
            <w:pPr>
              <w:rPr>
                <w:rFonts w:ascii="Arial Narrow" w:hAnsi="Arial Narrow"/>
                <w:sz w:val="20"/>
              </w:rPr>
            </w:pPr>
            <w:r w:rsidRPr="003B355D">
              <w:rPr>
                <w:rFonts w:ascii="Arial Narrow" w:hAnsi="Arial Narrow"/>
                <w:sz w:val="20"/>
              </w:rPr>
              <w:t>Liraglutide is not PBS-subsidised as monotherapy.</w:t>
            </w:r>
          </w:p>
          <w:p w:rsidR="00B7361A" w:rsidRPr="003B355D" w:rsidRDefault="00B7361A" w:rsidP="00C9551E">
            <w:pPr>
              <w:rPr>
                <w:rFonts w:ascii="Arial Narrow" w:hAnsi="Arial Narrow"/>
                <w:sz w:val="20"/>
              </w:rPr>
            </w:pPr>
          </w:p>
          <w:p w:rsidR="00B7361A" w:rsidRPr="003B355D" w:rsidRDefault="00B7361A" w:rsidP="00C9551E">
            <w:pPr>
              <w:rPr>
                <w:rFonts w:ascii="Arial Narrow" w:hAnsi="Arial Narrow"/>
                <w:sz w:val="20"/>
              </w:rPr>
            </w:pPr>
            <w:r w:rsidRPr="003B355D">
              <w:rPr>
                <w:rFonts w:ascii="Arial Narrow" w:hAnsi="Arial Narrow"/>
                <w:sz w:val="20"/>
              </w:rPr>
              <w:t>No increase in the maximum quantity or number of units may be authorised</w:t>
            </w:r>
          </w:p>
          <w:p w:rsidR="00B7361A" w:rsidRPr="003B355D" w:rsidRDefault="00B7361A" w:rsidP="00C9551E">
            <w:pPr>
              <w:rPr>
                <w:rFonts w:ascii="Arial Narrow" w:hAnsi="Arial Narrow"/>
                <w:sz w:val="20"/>
              </w:rPr>
            </w:pPr>
          </w:p>
          <w:p w:rsidR="00B7361A" w:rsidRPr="003B355D" w:rsidRDefault="00B7361A" w:rsidP="00C9551E">
            <w:pPr>
              <w:rPr>
                <w:rFonts w:ascii="Arial Narrow" w:hAnsi="Arial Narrow"/>
                <w:sz w:val="20"/>
              </w:rPr>
            </w:pPr>
            <w:r w:rsidRPr="003B355D">
              <w:rPr>
                <w:rFonts w:ascii="Arial Narrow" w:hAnsi="Arial Narrow"/>
                <w:sz w:val="20"/>
              </w:rPr>
              <w:t>No increase in the maximum number of repeats may be authorised.</w:t>
            </w:r>
          </w:p>
          <w:p w:rsidR="00B7361A" w:rsidRPr="003B355D" w:rsidRDefault="00B7361A" w:rsidP="00C9551E">
            <w:pPr>
              <w:rPr>
                <w:rFonts w:ascii="Arial Narrow" w:hAnsi="Arial Narrow"/>
                <w:sz w:val="20"/>
              </w:rPr>
            </w:pPr>
          </w:p>
        </w:tc>
      </w:tr>
      <w:tr w:rsidR="00B7361A" w:rsidRPr="003B355D" w:rsidTr="00F21284">
        <w:tblPrEx>
          <w:tblCellMar>
            <w:left w:w="108" w:type="dxa"/>
            <w:right w:w="108" w:type="dxa"/>
          </w:tblCellMar>
        </w:tblPrEx>
        <w:trPr>
          <w:gridBefore w:val="1"/>
          <w:wBefore w:w="4" w:type="pct"/>
          <w:cantSplit/>
          <w:trHeight w:val="360"/>
        </w:trPr>
        <w:tc>
          <w:tcPr>
            <w:tcW w:w="1857" w:type="pct"/>
            <w:tcBorders>
              <w:top w:val="single" w:sz="4" w:space="0" w:color="auto"/>
              <w:left w:val="single" w:sz="4" w:space="0" w:color="auto"/>
              <w:bottom w:val="single" w:sz="4" w:space="0" w:color="auto"/>
              <w:right w:val="single" w:sz="4" w:space="0" w:color="auto"/>
            </w:tcBorders>
          </w:tcPr>
          <w:p w:rsidR="00B7361A" w:rsidRPr="003B355D" w:rsidRDefault="00B7361A" w:rsidP="00C9551E">
            <w:pPr>
              <w:rPr>
                <w:rFonts w:ascii="Arial Narrow" w:hAnsi="Arial Narrow"/>
                <w:b/>
                <w:sz w:val="20"/>
              </w:rPr>
            </w:pPr>
            <w:r w:rsidRPr="003B355D">
              <w:rPr>
                <w:rFonts w:ascii="Arial Narrow" w:hAnsi="Arial Narrow"/>
                <w:b/>
                <w:sz w:val="20"/>
              </w:rPr>
              <w:t>Condition/Indication:</w:t>
            </w:r>
          </w:p>
        </w:tc>
        <w:tc>
          <w:tcPr>
            <w:tcW w:w="3139" w:type="pct"/>
            <w:gridSpan w:val="5"/>
            <w:tcBorders>
              <w:top w:val="single" w:sz="4" w:space="0" w:color="auto"/>
              <w:left w:val="single" w:sz="4" w:space="0" w:color="auto"/>
              <w:bottom w:val="single" w:sz="4" w:space="0" w:color="auto"/>
              <w:right w:val="single" w:sz="4" w:space="0" w:color="auto"/>
            </w:tcBorders>
          </w:tcPr>
          <w:p w:rsidR="00B7361A" w:rsidRPr="003B355D" w:rsidRDefault="00B7361A" w:rsidP="00C9551E">
            <w:pPr>
              <w:rPr>
                <w:rFonts w:ascii="Arial Narrow" w:hAnsi="Arial Narrow"/>
                <w:sz w:val="20"/>
              </w:rPr>
            </w:pPr>
            <w:r w:rsidRPr="003B355D">
              <w:rPr>
                <w:rFonts w:ascii="Arial Narrow" w:hAnsi="Arial Narrow"/>
                <w:sz w:val="20"/>
              </w:rPr>
              <w:t>Diabetes mellitus type 2</w:t>
            </w:r>
          </w:p>
        </w:tc>
      </w:tr>
      <w:tr w:rsidR="00B7361A" w:rsidRPr="003B355D" w:rsidTr="00F21284">
        <w:tblPrEx>
          <w:tblCellMar>
            <w:left w:w="108" w:type="dxa"/>
            <w:right w:w="108" w:type="dxa"/>
          </w:tblCellMar>
        </w:tblPrEx>
        <w:trPr>
          <w:gridBefore w:val="1"/>
          <w:wBefore w:w="4" w:type="pct"/>
          <w:cantSplit/>
          <w:trHeight w:val="337"/>
        </w:trPr>
        <w:tc>
          <w:tcPr>
            <w:tcW w:w="1857" w:type="pct"/>
            <w:tcBorders>
              <w:top w:val="single" w:sz="4" w:space="0" w:color="auto"/>
              <w:left w:val="single" w:sz="4" w:space="0" w:color="auto"/>
              <w:bottom w:val="single" w:sz="4" w:space="0" w:color="auto"/>
              <w:right w:val="single" w:sz="4" w:space="0" w:color="auto"/>
            </w:tcBorders>
          </w:tcPr>
          <w:p w:rsidR="00B7361A" w:rsidRPr="003B355D" w:rsidRDefault="00B7361A" w:rsidP="00C9551E">
            <w:pPr>
              <w:rPr>
                <w:rFonts w:ascii="Arial Narrow" w:hAnsi="Arial Narrow"/>
                <w:b/>
                <w:sz w:val="20"/>
              </w:rPr>
            </w:pPr>
            <w:r w:rsidRPr="003B355D">
              <w:rPr>
                <w:rFonts w:ascii="Arial Narrow" w:hAnsi="Arial Narrow"/>
                <w:b/>
                <w:sz w:val="20"/>
              </w:rPr>
              <w:t>Restriction:</w:t>
            </w:r>
          </w:p>
        </w:tc>
        <w:tc>
          <w:tcPr>
            <w:tcW w:w="3139" w:type="pct"/>
            <w:gridSpan w:val="5"/>
            <w:tcBorders>
              <w:top w:val="single" w:sz="4" w:space="0" w:color="auto"/>
              <w:left w:val="single" w:sz="4" w:space="0" w:color="auto"/>
              <w:bottom w:val="single" w:sz="4" w:space="0" w:color="auto"/>
              <w:right w:val="single" w:sz="4" w:space="0" w:color="auto"/>
            </w:tcBorders>
          </w:tcPr>
          <w:p w:rsidR="00B7361A" w:rsidRPr="003B355D" w:rsidRDefault="00B7361A" w:rsidP="00C9551E">
            <w:pPr>
              <w:widowControl/>
              <w:jc w:val="left"/>
              <w:rPr>
                <w:rFonts w:ascii="Arial Narrow" w:hAnsi="Arial Narrow"/>
                <w:snapToGrid/>
                <w:sz w:val="20"/>
                <w:lang w:eastAsia="en-AU"/>
              </w:rPr>
            </w:pPr>
            <w:r w:rsidRPr="003B355D">
              <w:rPr>
                <w:rFonts w:ascii="Arial Narrow" w:hAnsi="Arial Narrow"/>
                <w:snapToGrid/>
                <w:sz w:val="20"/>
                <w:lang w:eastAsia="en-AU"/>
              </w:rPr>
              <w:fldChar w:fldCharType="begin">
                <w:ffData>
                  <w:name w:val="Check1"/>
                  <w:enabled/>
                  <w:calcOnExit w:val="0"/>
                  <w:checkBox>
                    <w:sizeAuto/>
                    <w:default w:val="0"/>
                  </w:checkBox>
                </w:ffData>
              </w:fldChar>
            </w:r>
            <w:r w:rsidRPr="003B355D">
              <w:rPr>
                <w:rFonts w:ascii="Arial Narrow" w:hAnsi="Arial Narrow"/>
                <w:snapToGrid/>
                <w:sz w:val="20"/>
                <w:lang w:eastAsia="en-AU"/>
              </w:rPr>
              <w:instrText xml:space="preserve"> FORMCHECKBOX </w:instrText>
            </w:r>
            <w:r w:rsidR="00680D27">
              <w:rPr>
                <w:rFonts w:ascii="Arial Narrow" w:hAnsi="Arial Narrow"/>
                <w:snapToGrid/>
                <w:sz w:val="20"/>
                <w:lang w:eastAsia="en-AU"/>
              </w:rPr>
            </w:r>
            <w:r w:rsidR="00680D27">
              <w:rPr>
                <w:rFonts w:ascii="Arial Narrow" w:hAnsi="Arial Narrow"/>
                <w:snapToGrid/>
                <w:sz w:val="20"/>
                <w:lang w:eastAsia="en-AU"/>
              </w:rPr>
              <w:fldChar w:fldCharType="separate"/>
            </w:r>
            <w:r w:rsidRPr="003B355D">
              <w:rPr>
                <w:rFonts w:ascii="Arial Narrow" w:hAnsi="Arial Narrow"/>
                <w:snapToGrid/>
                <w:sz w:val="20"/>
                <w:lang w:eastAsia="en-AU"/>
              </w:rPr>
              <w:fldChar w:fldCharType="end"/>
            </w:r>
            <w:r w:rsidRPr="003B355D">
              <w:rPr>
                <w:rFonts w:ascii="Arial Narrow" w:hAnsi="Arial Narrow"/>
                <w:snapToGrid/>
                <w:sz w:val="20"/>
                <w:lang w:eastAsia="en-AU"/>
              </w:rPr>
              <w:t>Restricted benefit</w:t>
            </w:r>
          </w:p>
          <w:p w:rsidR="00B7361A" w:rsidRPr="003B355D" w:rsidRDefault="00B7361A" w:rsidP="00C9551E">
            <w:pPr>
              <w:widowControl/>
              <w:jc w:val="left"/>
              <w:rPr>
                <w:rFonts w:ascii="Arial Narrow" w:hAnsi="Arial Narrow"/>
                <w:snapToGrid/>
                <w:sz w:val="20"/>
                <w:lang w:eastAsia="en-AU"/>
              </w:rPr>
            </w:pPr>
            <w:r w:rsidRPr="003B355D">
              <w:rPr>
                <w:rFonts w:ascii="Arial Narrow" w:hAnsi="Arial Narrow"/>
                <w:snapToGrid/>
                <w:sz w:val="20"/>
                <w:lang w:eastAsia="en-AU"/>
              </w:rPr>
              <w:fldChar w:fldCharType="begin">
                <w:ffData>
                  <w:name w:val=""/>
                  <w:enabled/>
                  <w:calcOnExit w:val="0"/>
                  <w:checkBox>
                    <w:sizeAuto/>
                    <w:default w:val="0"/>
                  </w:checkBox>
                </w:ffData>
              </w:fldChar>
            </w:r>
            <w:r w:rsidRPr="003B355D">
              <w:rPr>
                <w:rFonts w:ascii="Arial Narrow" w:hAnsi="Arial Narrow"/>
                <w:snapToGrid/>
                <w:sz w:val="20"/>
                <w:lang w:eastAsia="en-AU"/>
              </w:rPr>
              <w:instrText xml:space="preserve"> FORMCHECKBOX </w:instrText>
            </w:r>
            <w:r w:rsidR="00680D27">
              <w:rPr>
                <w:rFonts w:ascii="Arial Narrow" w:hAnsi="Arial Narrow"/>
                <w:snapToGrid/>
                <w:sz w:val="20"/>
                <w:lang w:eastAsia="en-AU"/>
              </w:rPr>
            </w:r>
            <w:r w:rsidR="00680D27">
              <w:rPr>
                <w:rFonts w:ascii="Arial Narrow" w:hAnsi="Arial Narrow"/>
                <w:snapToGrid/>
                <w:sz w:val="20"/>
                <w:lang w:eastAsia="en-AU"/>
              </w:rPr>
              <w:fldChar w:fldCharType="separate"/>
            </w:r>
            <w:r w:rsidRPr="003B355D">
              <w:rPr>
                <w:rFonts w:ascii="Arial Narrow" w:hAnsi="Arial Narrow"/>
                <w:snapToGrid/>
                <w:sz w:val="20"/>
                <w:lang w:eastAsia="en-AU"/>
              </w:rPr>
              <w:fldChar w:fldCharType="end"/>
            </w:r>
            <w:r w:rsidRPr="003B355D">
              <w:rPr>
                <w:rFonts w:ascii="Arial Narrow" w:hAnsi="Arial Narrow"/>
                <w:snapToGrid/>
                <w:sz w:val="20"/>
                <w:lang w:eastAsia="en-AU"/>
              </w:rPr>
              <w:t>Authority Required - In Writing</w:t>
            </w:r>
          </w:p>
          <w:p w:rsidR="00B7361A" w:rsidRPr="003B355D" w:rsidRDefault="00B7361A" w:rsidP="00C9551E">
            <w:pPr>
              <w:widowControl/>
              <w:jc w:val="left"/>
              <w:rPr>
                <w:rFonts w:ascii="Arial Narrow" w:hAnsi="Arial Narrow"/>
                <w:snapToGrid/>
                <w:sz w:val="20"/>
                <w:lang w:eastAsia="en-AU"/>
              </w:rPr>
            </w:pPr>
            <w:r w:rsidRPr="003B355D">
              <w:rPr>
                <w:rFonts w:ascii="Arial Narrow" w:hAnsi="Arial Narrow"/>
                <w:snapToGrid/>
                <w:sz w:val="20"/>
                <w:lang w:eastAsia="en-AU"/>
              </w:rPr>
              <w:fldChar w:fldCharType="begin">
                <w:ffData>
                  <w:name w:val="Check3"/>
                  <w:enabled/>
                  <w:calcOnExit w:val="0"/>
                  <w:checkBox>
                    <w:sizeAuto/>
                    <w:default w:val="0"/>
                  </w:checkBox>
                </w:ffData>
              </w:fldChar>
            </w:r>
            <w:r w:rsidRPr="003B355D">
              <w:rPr>
                <w:rFonts w:ascii="Arial Narrow" w:hAnsi="Arial Narrow"/>
                <w:snapToGrid/>
                <w:sz w:val="20"/>
                <w:lang w:eastAsia="en-AU"/>
              </w:rPr>
              <w:instrText xml:space="preserve"> FORMCHECKBOX </w:instrText>
            </w:r>
            <w:r w:rsidR="00680D27">
              <w:rPr>
                <w:rFonts w:ascii="Arial Narrow" w:hAnsi="Arial Narrow"/>
                <w:snapToGrid/>
                <w:sz w:val="20"/>
                <w:lang w:eastAsia="en-AU"/>
              </w:rPr>
            </w:r>
            <w:r w:rsidR="00680D27">
              <w:rPr>
                <w:rFonts w:ascii="Arial Narrow" w:hAnsi="Arial Narrow"/>
                <w:snapToGrid/>
                <w:sz w:val="20"/>
                <w:lang w:eastAsia="en-AU"/>
              </w:rPr>
              <w:fldChar w:fldCharType="separate"/>
            </w:r>
            <w:r w:rsidRPr="003B355D">
              <w:rPr>
                <w:rFonts w:ascii="Arial Narrow" w:hAnsi="Arial Narrow"/>
                <w:snapToGrid/>
                <w:sz w:val="20"/>
                <w:lang w:eastAsia="en-AU"/>
              </w:rPr>
              <w:fldChar w:fldCharType="end"/>
            </w:r>
            <w:r w:rsidRPr="003B355D">
              <w:rPr>
                <w:rFonts w:ascii="Arial Narrow" w:hAnsi="Arial Narrow"/>
                <w:snapToGrid/>
                <w:sz w:val="20"/>
                <w:lang w:eastAsia="en-AU"/>
              </w:rPr>
              <w:t>Authority Required - Telephone</w:t>
            </w:r>
          </w:p>
          <w:p w:rsidR="00B7361A" w:rsidRPr="003B355D" w:rsidRDefault="00B7361A" w:rsidP="00C9551E">
            <w:pPr>
              <w:widowControl/>
              <w:jc w:val="left"/>
              <w:rPr>
                <w:rFonts w:ascii="Arial Narrow" w:hAnsi="Arial Narrow"/>
                <w:snapToGrid/>
                <w:sz w:val="20"/>
                <w:lang w:eastAsia="en-AU"/>
              </w:rPr>
            </w:pPr>
            <w:r w:rsidRPr="003B355D">
              <w:rPr>
                <w:rFonts w:ascii="Arial Narrow" w:hAnsi="Arial Narrow"/>
                <w:snapToGrid/>
                <w:sz w:val="20"/>
                <w:lang w:eastAsia="en-AU"/>
              </w:rPr>
              <w:fldChar w:fldCharType="begin">
                <w:ffData>
                  <w:name w:val=""/>
                  <w:enabled/>
                  <w:calcOnExit w:val="0"/>
                  <w:checkBox>
                    <w:sizeAuto/>
                    <w:default w:val="0"/>
                  </w:checkBox>
                </w:ffData>
              </w:fldChar>
            </w:r>
            <w:r w:rsidRPr="003B355D">
              <w:rPr>
                <w:rFonts w:ascii="Arial Narrow" w:hAnsi="Arial Narrow"/>
                <w:snapToGrid/>
                <w:sz w:val="20"/>
                <w:lang w:eastAsia="en-AU"/>
              </w:rPr>
              <w:instrText xml:space="preserve"> FORMCHECKBOX </w:instrText>
            </w:r>
            <w:r w:rsidR="00680D27">
              <w:rPr>
                <w:rFonts w:ascii="Arial Narrow" w:hAnsi="Arial Narrow"/>
                <w:snapToGrid/>
                <w:sz w:val="20"/>
                <w:lang w:eastAsia="en-AU"/>
              </w:rPr>
            </w:r>
            <w:r w:rsidR="00680D27">
              <w:rPr>
                <w:rFonts w:ascii="Arial Narrow" w:hAnsi="Arial Narrow"/>
                <w:snapToGrid/>
                <w:sz w:val="20"/>
                <w:lang w:eastAsia="en-AU"/>
              </w:rPr>
              <w:fldChar w:fldCharType="separate"/>
            </w:r>
            <w:r w:rsidRPr="003B355D">
              <w:rPr>
                <w:rFonts w:ascii="Arial Narrow" w:hAnsi="Arial Narrow"/>
                <w:snapToGrid/>
                <w:sz w:val="20"/>
                <w:lang w:eastAsia="en-AU"/>
              </w:rPr>
              <w:fldChar w:fldCharType="end"/>
            </w:r>
            <w:r w:rsidRPr="003B355D">
              <w:rPr>
                <w:rFonts w:ascii="Arial Narrow" w:hAnsi="Arial Narrow"/>
                <w:snapToGrid/>
                <w:sz w:val="20"/>
                <w:lang w:eastAsia="en-AU"/>
              </w:rPr>
              <w:t>Authority Required - Emergency</w:t>
            </w:r>
          </w:p>
          <w:p w:rsidR="00B7361A" w:rsidRPr="003B355D" w:rsidRDefault="00B7361A" w:rsidP="00C9551E">
            <w:pPr>
              <w:widowControl/>
              <w:jc w:val="left"/>
              <w:rPr>
                <w:rFonts w:ascii="Arial Narrow" w:hAnsi="Arial Narrow"/>
                <w:snapToGrid/>
                <w:sz w:val="20"/>
                <w:lang w:eastAsia="en-AU"/>
              </w:rPr>
            </w:pPr>
            <w:r w:rsidRPr="003B355D">
              <w:rPr>
                <w:rFonts w:ascii="Arial Narrow" w:hAnsi="Arial Narrow"/>
                <w:snapToGrid/>
                <w:sz w:val="20"/>
                <w:lang w:eastAsia="en-AU"/>
              </w:rPr>
              <w:fldChar w:fldCharType="begin">
                <w:ffData>
                  <w:name w:val="Check5"/>
                  <w:enabled/>
                  <w:calcOnExit w:val="0"/>
                  <w:checkBox>
                    <w:sizeAuto/>
                    <w:default w:val="0"/>
                  </w:checkBox>
                </w:ffData>
              </w:fldChar>
            </w:r>
            <w:r w:rsidRPr="003B355D">
              <w:rPr>
                <w:rFonts w:ascii="Arial Narrow" w:hAnsi="Arial Narrow"/>
                <w:snapToGrid/>
                <w:sz w:val="20"/>
                <w:lang w:eastAsia="en-AU"/>
              </w:rPr>
              <w:instrText xml:space="preserve"> FORMCHECKBOX </w:instrText>
            </w:r>
            <w:r w:rsidR="00680D27">
              <w:rPr>
                <w:rFonts w:ascii="Arial Narrow" w:hAnsi="Arial Narrow"/>
                <w:snapToGrid/>
                <w:sz w:val="20"/>
                <w:lang w:eastAsia="en-AU"/>
              </w:rPr>
            </w:r>
            <w:r w:rsidR="00680D27">
              <w:rPr>
                <w:rFonts w:ascii="Arial Narrow" w:hAnsi="Arial Narrow"/>
                <w:snapToGrid/>
                <w:sz w:val="20"/>
                <w:lang w:eastAsia="en-AU"/>
              </w:rPr>
              <w:fldChar w:fldCharType="separate"/>
            </w:r>
            <w:r w:rsidRPr="003B355D">
              <w:rPr>
                <w:rFonts w:ascii="Arial Narrow" w:hAnsi="Arial Narrow"/>
                <w:snapToGrid/>
                <w:sz w:val="20"/>
                <w:lang w:eastAsia="en-AU"/>
              </w:rPr>
              <w:fldChar w:fldCharType="end"/>
            </w:r>
            <w:r w:rsidRPr="003B355D">
              <w:rPr>
                <w:rFonts w:ascii="Arial Narrow" w:hAnsi="Arial Narrow"/>
                <w:snapToGrid/>
                <w:sz w:val="20"/>
                <w:lang w:eastAsia="en-AU"/>
              </w:rPr>
              <w:t>Authority Required - Electronic</w:t>
            </w:r>
          </w:p>
          <w:p w:rsidR="00B7361A" w:rsidRPr="003B355D" w:rsidRDefault="00B7361A" w:rsidP="00C9551E">
            <w:pPr>
              <w:rPr>
                <w:rFonts w:ascii="Arial Narrow" w:hAnsi="Arial Narrow"/>
                <w:i/>
                <w:sz w:val="20"/>
              </w:rPr>
            </w:pPr>
            <w:r w:rsidRPr="003B355D">
              <w:rPr>
                <w:rFonts w:ascii="Arial Narrow" w:hAnsi="Arial Narrow"/>
                <w:snapToGrid/>
                <w:sz w:val="20"/>
                <w:lang w:eastAsia="en-AU"/>
              </w:rPr>
              <w:fldChar w:fldCharType="begin">
                <w:ffData>
                  <w:name w:val="Check5"/>
                  <w:enabled/>
                  <w:calcOnExit w:val="0"/>
                  <w:checkBox>
                    <w:sizeAuto/>
                    <w:default w:val="1"/>
                  </w:checkBox>
                </w:ffData>
              </w:fldChar>
            </w:r>
            <w:r w:rsidRPr="003B355D">
              <w:rPr>
                <w:rFonts w:ascii="Arial Narrow" w:hAnsi="Arial Narrow"/>
                <w:snapToGrid/>
                <w:sz w:val="20"/>
                <w:lang w:eastAsia="en-AU"/>
              </w:rPr>
              <w:instrText xml:space="preserve"> FORMCHECKBOX </w:instrText>
            </w:r>
            <w:r w:rsidR="00680D27">
              <w:rPr>
                <w:rFonts w:ascii="Arial Narrow" w:hAnsi="Arial Narrow"/>
                <w:snapToGrid/>
                <w:sz w:val="20"/>
                <w:lang w:eastAsia="en-AU"/>
              </w:rPr>
            </w:r>
            <w:r w:rsidR="00680D27">
              <w:rPr>
                <w:rFonts w:ascii="Arial Narrow" w:hAnsi="Arial Narrow"/>
                <w:snapToGrid/>
                <w:sz w:val="20"/>
                <w:lang w:eastAsia="en-AU"/>
              </w:rPr>
              <w:fldChar w:fldCharType="separate"/>
            </w:r>
            <w:r w:rsidRPr="003B355D">
              <w:rPr>
                <w:rFonts w:ascii="Arial Narrow" w:hAnsi="Arial Narrow"/>
                <w:snapToGrid/>
                <w:sz w:val="20"/>
                <w:lang w:eastAsia="en-AU"/>
              </w:rPr>
              <w:fldChar w:fldCharType="end"/>
            </w:r>
            <w:r w:rsidRPr="003B355D">
              <w:rPr>
                <w:rFonts w:ascii="Arial Narrow" w:hAnsi="Arial Narrow"/>
                <w:snapToGrid/>
                <w:sz w:val="20"/>
                <w:lang w:eastAsia="en-AU"/>
              </w:rPr>
              <w:t>Streamlined</w:t>
            </w:r>
          </w:p>
        </w:tc>
      </w:tr>
      <w:tr w:rsidR="00B7361A" w:rsidRPr="003B355D" w:rsidTr="00F21284">
        <w:tblPrEx>
          <w:tblCellMar>
            <w:left w:w="108" w:type="dxa"/>
            <w:right w:w="108" w:type="dxa"/>
          </w:tblCellMar>
        </w:tblPrEx>
        <w:trPr>
          <w:gridBefore w:val="1"/>
          <w:wBefore w:w="4" w:type="pct"/>
          <w:cantSplit/>
          <w:trHeight w:val="523"/>
        </w:trPr>
        <w:tc>
          <w:tcPr>
            <w:tcW w:w="1857" w:type="pct"/>
            <w:tcBorders>
              <w:top w:val="single" w:sz="4" w:space="0" w:color="auto"/>
              <w:left w:val="single" w:sz="4" w:space="0" w:color="auto"/>
              <w:bottom w:val="single" w:sz="4" w:space="0" w:color="auto"/>
              <w:right w:val="single" w:sz="4" w:space="0" w:color="auto"/>
            </w:tcBorders>
          </w:tcPr>
          <w:p w:rsidR="00B7361A" w:rsidRPr="003B355D" w:rsidRDefault="00B7361A" w:rsidP="00C9551E">
            <w:pPr>
              <w:rPr>
                <w:rFonts w:ascii="Arial Narrow" w:hAnsi="Arial Narrow"/>
                <w:b/>
                <w:sz w:val="20"/>
              </w:rPr>
            </w:pPr>
            <w:r w:rsidRPr="003B355D">
              <w:rPr>
                <w:rFonts w:ascii="Arial Narrow" w:hAnsi="Arial Narrow"/>
                <w:b/>
                <w:sz w:val="20"/>
              </w:rPr>
              <w:t>Treatment phase:</w:t>
            </w:r>
          </w:p>
        </w:tc>
        <w:tc>
          <w:tcPr>
            <w:tcW w:w="3139" w:type="pct"/>
            <w:gridSpan w:val="5"/>
            <w:tcBorders>
              <w:top w:val="single" w:sz="4" w:space="0" w:color="auto"/>
              <w:left w:val="single" w:sz="4" w:space="0" w:color="auto"/>
              <w:bottom w:val="single" w:sz="4" w:space="0" w:color="auto"/>
              <w:right w:val="single" w:sz="4" w:space="0" w:color="auto"/>
            </w:tcBorders>
          </w:tcPr>
          <w:p w:rsidR="00B7361A" w:rsidRPr="003B355D" w:rsidRDefault="00B7361A" w:rsidP="00C9551E">
            <w:pPr>
              <w:rPr>
                <w:rFonts w:ascii="Arial Narrow" w:hAnsi="Arial Narrow"/>
                <w:sz w:val="20"/>
              </w:rPr>
            </w:pPr>
            <w:r w:rsidRPr="003B355D">
              <w:rPr>
                <w:rFonts w:ascii="Arial Narrow" w:hAnsi="Arial Narrow"/>
                <w:snapToGrid/>
                <w:sz w:val="20"/>
                <w:lang w:eastAsia="en-AU"/>
              </w:rPr>
              <w:t>Dual combination therapy with insulin</w:t>
            </w:r>
          </w:p>
        </w:tc>
      </w:tr>
      <w:tr w:rsidR="00B7361A" w:rsidRPr="003B355D" w:rsidTr="00F21284">
        <w:tblPrEx>
          <w:tblCellMar>
            <w:left w:w="108" w:type="dxa"/>
            <w:right w:w="108" w:type="dxa"/>
          </w:tblCellMar>
        </w:tblPrEx>
        <w:trPr>
          <w:gridBefore w:val="1"/>
          <w:wBefore w:w="4" w:type="pct"/>
          <w:cantSplit/>
          <w:trHeight w:val="360"/>
        </w:trPr>
        <w:tc>
          <w:tcPr>
            <w:tcW w:w="1857" w:type="pct"/>
            <w:tcBorders>
              <w:top w:val="single" w:sz="4" w:space="0" w:color="auto"/>
              <w:left w:val="single" w:sz="4" w:space="0" w:color="auto"/>
              <w:bottom w:val="single" w:sz="4" w:space="0" w:color="auto"/>
              <w:right w:val="single" w:sz="4" w:space="0" w:color="auto"/>
            </w:tcBorders>
          </w:tcPr>
          <w:p w:rsidR="00B7361A" w:rsidRPr="003B355D" w:rsidRDefault="00B7361A" w:rsidP="00C9551E">
            <w:pPr>
              <w:rPr>
                <w:rFonts w:ascii="Arial Narrow" w:hAnsi="Arial Narrow"/>
                <w:b/>
                <w:sz w:val="20"/>
              </w:rPr>
            </w:pPr>
            <w:r w:rsidRPr="003B355D">
              <w:rPr>
                <w:rFonts w:ascii="Arial Narrow" w:hAnsi="Arial Narrow"/>
                <w:b/>
                <w:sz w:val="20"/>
              </w:rPr>
              <w:t>Treatment criteria:</w:t>
            </w:r>
          </w:p>
          <w:p w:rsidR="00B7361A" w:rsidRPr="003B355D" w:rsidRDefault="00B7361A" w:rsidP="00C9551E">
            <w:pPr>
              <w:rPr>
                <w:rFonts w:ascii="Arial Narrow" w:hAnsi="Arial Narrow"/>
                <w:sz w:val="20"/>
              </w:rPr>
            </w:pPr>
          </w:p>
        </w:tc>
        <w:tc>
          <w:tcPr>
            <w:tcW w:w="3139" w:type="pct"/>
            <w:gridSpan w:val="5"/>
            <w:tcBorders>
              <w:top w:val="single" w:sz="4" w:space="0" w:color="auto"/>
              <w:left w:val="single" w:sz="4" w:space="0" w:color="auto"/>
              <w:bottom w:val="single" w:sz="4" w:space="0" w:color="auto"/>
              <w:right w:val="single" w:sz="4" w:space="0" w:color="auto"/>
            </w:tcBorders>
          </w:tcPr>
          <w:p w:rsidR="00B7361A" w:rsidRPr="003B355D" w:rsidRDefault="00B7361A" w:rsidP="00C9551E">
            <w:pPr>
              <w:rPr>
                <w:rFonts w:ascii="Arial Narrow" w:hAnsi="Arial Narrow"/>
                <w:i/>
                <w:snapToGrid/>
                <w:sz w:val="20"/>
                <w:lang w:eastAsia="en-AU"/>
              </w:rPr>
            </w:pPr>
            <w:r w:rsidRPr="003B355D">
              <w:rPr>
                <w:rFonts w:ascii="Arial Narrow" w:hAnsi="Arial Narrow"/>
                <w:i/>
                <w:snapToGrid/>
                <w:sz w:val="20"/>
                <w:lang w:eastAsia="en-AU"/>
              </w:rPr>
              <w:t>The treatment must be used in combination with insulin</w:t>
            </w:r>
          </w:p>
          <w:p w:rsidR="00B7361A" w:rsidRPr="003B355D" w:rsidRDefault="00B7361A" w:rsidP="00C9551E">
            <w:pPr>
              <w:rPr>
                <w:rFonts w:ascii="Arial Narrow" w:hAnsi="Arial Narrow"/>
                <w:sz w:val="20"/>
              </w:rPr>
            </w:pPr>
          </w:p>
        </w:tc>
      </w:tr>
      <w:tr w:rsidR="00B7361A" w:rsidRPr="003B355D" w:rsidTr="00F21284">
        <w:tblPrEx>
          <w:tblCellMar>
            <w:left w:w="108" w:type="dxa"/>
            <w:right w:w="108" w:type="dxa"/>
          </w:tblCellMar>
        </w:tblPrEx>
        <w:trPr>
          <w:gridBefore w:val="1"/>
          <w:wBefore w:w="4" w:type="pct"/>
          <w:trHeight w:val="360"/>
        </w:trPr>
        <w:tc>
          <w:tcPr>
            <w:tcW w:w="1857" w:type="pct"/>
            <w:tcBorders>
              <w:top w:val="single" w:sz="4" w:space="0" w:color="auto"/>
              <w:left w:val="single" w:sz="4" w:space="0" w:color="auto"/>
              <w:bottom w:val="single" w:sz="4" w:space="0" w:color="auto"/>
              <w:right w:val="single" w:sz="4" w:space="0" w:color="auto"/>
            </w:tcBorders>
          </w:tcPr>
          <w:p w:rsidR="00B7361A" w:rsidRPr="003B355D" w:rsidRDefault="00B7361A" w:rsidP="00C9551E">
            <w:pPr>
              <w:rPr>
                <w:rFonts w:ascii="Arial Narrow" w:hAnsi="Arial Narrow"/>
                <w:b/>
                <w:sz w:val="20"/>
              </w:rPr>
            </w:pPr>
            <w:r w:rsidRPr="003B355D">
              <w:rPr>
                <w:rFonts w:ascii="Arial Narrow" w:hAnsi="Arial Narrow"/>
                <w:b/>
                <w:sz w:val="20"/>
              </w:rPr>
              <w:t>Clinical criteria:</w:t>
            </w:r>
          </w:p>
          <w:p w:rsidR="00B7361A" w:rsidRPr="003B355D" w:rsidRDefault="00B7361A" w:rsidP="00C9551E">
            <w:pPr>
              <w:rPr>
                <w:rFonts w:ascii="Arial Narrow" w:hAnsi="Arial Narrow"/>
                <w:i/>
                <w:sz w:val="20"/>
              </w:rPr>
            </w:pPr>
          </w:p>
          <w:p w:rsidR="00B7361A" w:rsidRPr="003B355D" w:rsidRDefault="00B7361A" w:rsidP="00C9551E">
            <w:pPr>
              <w:rPr>
                <w:rFonts w:ascii="Arial Narrow" w:hAnsi="Arial Narrow"/>
                <w:sz w:val="20"/>
              </w:rPr>
            </w:pPr>
          </w:p>
        </w:tc>
        <w:tc>
          <w:tcPr>
            <w:tcW w:w="3139" w:type="pct"/>
            <w:gridSpan w:val="5"/>
            <w:tcBorders>
              <w:top w:val="single" w:sz="4" w:space="0" w:color="auto"/>
              <w:left w:val="single" w:sz="4" w:space="0" w:color="auto"/>
              <w:bottom w:val="single" w:sz="4" w:space="0" w:color="auto"/>
              <w:right w:val="single" w:sz="4" w:space="0" w:color="auto"/>
            </w:tcBorders>
          </w:tcPr>
          <w:p w:rsidR="00B7361A" w:rsidRPr="003B355D" w:rsidRDefault="00B7361A" w:rsidP="00C9551E">
            <w:pPr>
              <w:rPr>
                <w:rFonts w:ascii="Arial Narrow" w:hAnsi="Arial Narrow"/>
                <w:sz w:val="20"/>
              </w:rPr>
            </w:pPr>
            <w:r w:rsidRPr="003B355D">
              <w:rPr>
                <w:rFonts w:ascii="Arial Narrow" w:hAnsi="Arial Narrow"/>
                <w:sz w:val="20"/>
              </w:rPr>
              <w:t>Patient must have, or have had, a glycosylated haemoglobin (HbA1c) measurement greater than 7% prior to the initiation of a dipeptidyl peptidase 4 inhibitor (gliptin), a thiazolidinedione (</w:t>
            </w:r>
            <w:proofErr w:type="spellStart"/>
            <w:r w:rsidRPr="003B355D">
              <w:rPr>
                <w:rFonts w:ascii="Arial Narrow" w:hAnsi="Arial Narrow"/>
                <w:sz w:val="20"/>
              </w:rPr>
              <w:t>glitazone</w:t>
            </w:r>
            <w:proofErr w:type="spellEnd"/>
            <w:r w:rsidRPr="003B355D">
              <w:rPr>
                <w:rFonts w:ascii="Arial Narrow" w:hAnsi="Arial Narrow"/>
                <w:sz w:val="20"/>
              </w:rPr>
              <w:t>), a glucagon-like peptide-1 or a sodium-glucose co-transporter 2 (SGLT2) inhibitor despite treatment with either metformin or a sulfonylurea; OR</w:t>
            </w:r>
          </w:p>
          <w:p w:rsidR="00B7361A" w:rsidRPr="003B355D" w:rsidRDefault="00B7361A" w:rsidP="00C9551E">
            <w:pPr>
              <w:rPr>
                <w:rFonts w:ascii="Arial Narrow" w:hAnsi="Arial Narrow"/>
                <w:sz w:val="20"/>
              </w:rPr>
            </w:pPr>
          </w:p>
          <w:p w:rsidR="00B7361A" w:rsidRPr="003B355D" w:rsidRDefault="00B7361A" w:rsidP="00C9551E">
            <w:pPr>
              <w:rPr>
                <w:rFonts w:ascii="Arial Narrow" w:hAnsi="Arial Narrow"/>
                <w:sz w:val="20"/>
              </w:rPr>
            </w:pPr>
            <w:r w:rsidRPr="003B355D">
              <w:rPr>
                <w:rFonts w:ascii="Arial Narrow" w:hAnsi="Arial Narrow"/>
                <w:sz w:val="20"/>
              </w:rPr>
              <w:lastRenderedPageBreak/>
              <w:t xml:space="preserve">Patient must have, or have had, where HbA1c measurement is clinically inappropriate, blood glucose levels greater than 10 </w:t>
            </w:r>
            <w:proofErr w:type="spellStart"/>
            <w:r w:rsidRPr="003B355D">
              <w:rPr>
                <w:rFonts w:ascii="Arial Narrow" w:hAnsi="Arial Narrow"/>
                <w:sz w:val="20"/>
              </w:rPr>
              <w:t>mmol</w:t>
            </w:r>
            <w:proofErr w:type="spellEnd"/>
            <w:r w:rsidRPr="003B355D">
              <w:rPr>
                <w:rFonts w:ascii="Arial Narrow" w:hAnsi="Arial Narrow"/>
                <w:sz w:val="20"/>
              </w:rPr>
              <w:t xml:space="preserve"> per L in more than 20% of tests over a 2 week period prior to initiation with a gliptin, a </w:t>
            </w:r>
            <w:proofErr w:type="spellStart"/>
            <w:r w:rsidRPr="003B355D">
              <w:rPr>
                <w:rFonts w:ascii="Arial Narrow" w:hAnsi="Arial Narrow"/>
                <w:sz w:val="20"/>
              </w:rPr>
              <w:t>glitazone</w:t>
            </w:r>
            <w:proofErr w:type="spellEnd"/>
            <w:r w:rsidRPr="003B355D">
              <w:rPr>
                <w:rFonts w:ascii="Arial Narrow" w:hAnsi="Arial Narrow"/>
                <w:sz w:val="20"/>
              </w:rPr>
              <w:t>, a glucagon-like peptide-1 or an SGLT2 inhibitor despite treatment with either metformin or a sulfonylurea.</w:t>
            </w:r>
          </w:p>
          <w:p w:rsidR="00B7361A" w:rsidRPr="003B355D" w:rsidRDefault="00B7361A" w:rsidP="00C9551E">
            <w:pPr>
              <w:rPr>
                <w:rFonts w:ascii="Arial Narrow" w:hAnsi="Arial Narrow"/>
                <w:sz w:val="20"/>
              </w:rPr>
            </w:pPr>
          </w:p>
          <w:p w:rsidR="00B7361A" w:rsidRPr="003B355D" w:rsidRDefault="00B7361A" w:rsidP="00C9551E">
            <w:pPr>
              <w:rPr>
                <w:rFonts w:ascii="Arial Narrow" w:hAnsi="Arial Narrow"/>
                <w:sz w:val="20"/>
              </w:rPr>
            </w:pPr>
            <w:r w:rsidRPr="003B355D">
              <w:rPr>
                <w:rFonts w:ascii="Arial Narrow" w:hAnsi="Arial Narrow"/>
                <w:sz w:val="20"/>
              </w:rPr>
              <w:t>AND</w:t>
            </w:r>
          </w:p>
          <w:p w:rsidR="00B7361A" w:rsidRPr="003B355D" w:rsidRDefault="00B7361A" w:rsidP="00C9551E">
            <w:pPr>
              <w:rPr>
                <w:rFonts w:ascii="Arial Narrow" w:hAnsi="Arial Narrow"/>
                <w:sz w:val="20"/>
              </w:rPr>
            </w:pPr>
          </w:p>
          <w:p w:rsidR="00B7361A" w:rsidRPr="003B355D" w:rsidRDefault="00B7361A" w:rsidP="00C9551E">
            <w:pPr>
              <w:rPr>
                <w:rFonts w:ascii="Arial Narrow" w:hAnsi="Arial Narrow"/>
                <w:sz w:val="20"/>
              </w:rPr>
            </w:pPr>
            <w:r w:rsidRPr="003B355D">
              <w:rPr>
                <w:rFonts w:ascii="Arial Narrow" w:hAnsi="Arial Narrow"/>
                <w:sz w:val="20"/>
              </w:rPr>
              <w:t>The treatment must not be used in combination with a thiazolidinedione (</w:t>
            </w:r>
            <w:proofErr w:type="spellStart"/>
            <w:r w:rsidRPr="003B355D">
              <w:rPr>
                <w:rFonts w:ascii="Arial Narrow" w:hAnsi="Arial Narrow"/>
                <w:sz w:val="20"/>
              </w:rPr>
              <w:t>glitazone</w:t>
            </w:r>
            <w:proofErr w:type="spellEnd"/>
            <w:r w:rsidRPr="003B355D">
              <w:rPr>
                <w:rFonts w:ascii="Arial Narrow" w:hAnsi="Arial Narrow"/>
                <w:sz w:val="20"/>
              </w:rPr>
              <w:t xml:space="preserve">), or a dipeptidyl peptidase </w:t>
            </w:r>
            <w:proofErr w:type="gramStart"/>
            <w:r w:rsidRPr="003B355D">
              <w:rPr>
                <w:rFonts w:ascii="Arial Narrow" w:hAnsi="Arial Narrow"/>
                <w:sz w:val="20"/>
              </w:rPr>
              <w:t>4 inhibitor</w:t>
            </w:r>
            <w:proofErr w:type="gramEnd"/>
            <w:r w:rsidRPr="003B355D">
              <w:rPr>
                <w:rFonts w:ascii="Arial Narrow" w:hAnsi="Arial Narrow"/>
                <w:sz w:val="20"/>
              </w:rPr>
              <w:t>.</w:t>
            </w:r>
          </w:p>
          <w:p w:rsidR="00B7361A" w:rsidRPr="003B355D" w:rsidRDefault="00B7361A" w:rsidP="00C9551E">
            <w:pPr>
              <w:rPr>
                <w:rFonts w:ascii="Arial Narrow" w:hAnsi="Arial Narrow"/>
                <w:sz w:val="20"/>
              </w:rPr>
            </w:pPr>
          </w:p>
          <w:p w:rsidR="00B7361A" w:rsidRPr="003B355D" w:rsidRDefault="00B7361A" w:rsidP="00C9551E">
            <w:pPr>
              <w:rPr>
                <w:rFonts w:ascii="Arial Narrow" w:hAnsi="Arial Narrow"/>
                <w:sz w:val="20"/>
              </w:rPr>
            </w:pPr>
            <w:r w:rsidRPr="003B355D">
              <w:rPr>
                <w:rFonts w:ascii="Arial Narrow" w:hAnsi="Arial Narrow"/>
                <w:sz w:val="20"/>
              </w:rPr>
              <w:t>AND</w:t>
            </w:r>
          </w:p>
          <w:p w:rsidR="00B7361A" w:rsidRPr="003B355D" w:rsidRDefault="00B7361A" w:rsidP="00C9551E">
            <w:pPr>
              <w:rPr>
                <w:rFonts w:ascii="Arial Narrow" w:hAnsi="Arial Narrow"/>
                <w:sz w:val="20"/>
              </w:rPr>
            </w:pPr>
          </w:p>
          <w:p w:rsidR="00B7361A" w:rsidRPr="003B355D" w:rsidRDefault="00B7361A" w:rsidP="00C9551E">
            <w:pPr>
              <w:rPr>
                <w:rFonts w:ascii="Arial Narrow" w:hAnsi="Arial Narrow"/>
                <w:sz w:val="20"/>
              </w:rPr>
            </w:pPr>
            <w:r w:rsidRPr="003B355D">
              <w:rPr>
                <w:rFonts w:ascii="Arial Narrow" w:hAnsi="Arial Narrow"/>
                <w:i/>
                <w:sz w:val="20"/>
              </w:rPr>
              <w:t xml:space="preserve">Patient must be </w:t>
            </w:r>
            <w:r w:rsidRPr="003B355D">
              <w:rPr>
                <w:rFonts w:ascii="Arial Narrow" w:hAnsi="Arial Narrow"/>
                <w:sz w:val="20"/>
              </w:rPr>
              <w:t xml:space="preserve">50 years </w:t>
            </w:r>
            <w:r w:rsidRPr="003B355D">
              <w:rPr>
                <w:rFonts w:ascii="Arial Narrow" w:hAnsi="Arial Narrow"/>
                <w:i/>
                <w:sz w:val="20"/>
              </w:rPr>
              <w:t>or older</w:t>
            </w:r>
            <w:r w:rsidRPr="003B355D">
              <w:rPr>
                <w:rFonts w:ascii="Arial Narrow" w:hAnsi="Arial Narrow"/>
                <w:sz w:val="20"/>
              </w:rPr>
              <w:t xml:space="preserve"> with established cardiovascular disease (including at least one of the following: coronary heart disease, prior myocardial infarction, prior stroke or prior transient ischemic attack or peripheral vascular disease) or chronic renal failure (defined as glomerular filtration rate &lt; 60 mL/min/1.73m2) or chronic heart failure (New York Heart Association class II or III); OR</w:t>
            </w:r>
          </w:p>
          <w:p w:rsidR="00B7361A" w:rsidRPr="003B355D" w:rsidRDefault="00B7361A" w:rsidP="00C9551E">
            <w:pPr>
              <w:rPr>
                <w:rFonts w:ascii="Arial Narrow" w:hAnsi="Arial Narrow"/>
                <w:sz w:val="20"/>
              </w:rPr>
            </w:pPr>
          </w:p>
          <w:p w:rsidR="00B7361A" w:rsidRPr="003B355D" w:rsidRDefault="00B7361A" w:rsidP="00C9551E">
            <w:pPr>
              <w:rPr>
                <w:rFonts w:ascii="Arial Narrow" w:hAnsi="Arial Narrow"/>
                <w:sz w:val="20"/>
              </w:rPr>
            </w:pPr>
            <w:r w:rsidRPr="003B355D">
              <w:rPr>
                <w:rFonts w:ascii="Arial Narrow" w:hAnsi="Arial Narrow"/>
                <w:i/>
                <w:sz w:val="20"/>
              </w:rPr>
              <w:t>Patient must be</w:t>
            </w:r>
            <w:r w:rsidRPr="003B355D">
              <w:rPr>
                <w:rFonts w:ascii="Arial Narrow" w:hAnsi="Arial Narrow"/>
                <w:sz w:val="20"/>
              </w:rPr>
              <w:t xml:space="preserve"> 60 years </w:t>
            </w:r>
            <w:r w:rsidRPr="003B355D">
              <w:rPr>
                <w:rFonts w:ascii="Arial Narrow" w:hAnsi="Arial Narrow"/>
                <w:i/>
                <w:sz w:val="20"/>
              </w:rPr>
              <w:t>or older</w:t>
            </w:r>
            <w:r w:rsidRPr="003B355D">
              <w:rPr>
                <w:rFonts w:ascii="Arial Narrow" w:hAnsi="Arial Narrow"/>
                <w:sz w:val="20"/>
              </w:rPr>
              <w:t xml:space="preserve"> with microalbuminuria or proteinuria (defined as urinary albumin excretion rate of &gt;20mcg/min or urinary albumin to creatinine ratio of &gt; 2.5 for males, &gt; 3.5 for females); OR</w:t>
            </w:r>
          </w:p>
          <w:p w:rsidR="00B7361A" w:rsidRPr="003B355D" w:rsidRDefault="00B7361A" w:rsidP="00C9551E">
            <w:pPr>
              <w:rPr>
                <w:rFonts w:ascii="Arial Narrow" w:hAnsi="Arial Narrow"/>
                <w:sz w:val="20"/>
              </w:rPr>
            </w:pPr>
          </w:p>
          <w:p w:rsidR="00B7361A" w:rsidRPr="003B355D" w:rsidRDefault="00B7361A" w:rsidP="00C9551E">
            <w:pPr>
              <w:rPr>
                <w:rFonts w:ascii="Arial Narrow" w:hAnsi="Arial Narrow"/>
                <w:sz w:val="20"/>
              </w:rPr>
            </w:pPr>
            <w:r w:rsidRPr="003B355D">
              <w:rPr>
                <w:rFonts w:ascii="Arial Narrow" w:hAnsi="Arial Narrow"/>
                <w:i/>
                <w:sz w:val="20"/>
              </w:rPr>
              <w:t>Patient must be</w:t>
            </w:r>
            <w:r w:rsidRPr="003B355D">
              <w:rPr>
                <w:rFonts w:ascii="Arial Narrow" w:hAnsi="Arial Narrow"/>
                <w:sz w:val="20"/>
              </w:rPr>
              <w:t xml:space="preserve"> an Aboriginal or Torres Strait Islander</w:t>
            </w:r>
          </w:p>
        </w:tc>
      </w:tr>
      <w:tr w:rsidR="00B7361A" w:rsidRPr="003B355D" w:rsidTr="00F21284">
        <w:tblPrEx>
          <w:tblCellMar>
            <w:left w:w="108" w:type="dxa"/>
            <w:right w:w="108" w:type="dxa"/>
          </w:tblCellMar>
        </w:tblPrEx>
        <w:trPr>
          <w:gridBefore w:val="1"/>
          <w:wBefore w:w="4" w:type="pct"/>
          <w:trHeight w:val="360"/>
        </w:trPr>
        <w:tc>
          <w:tcPr>
            <w:tcW w:w="1857" w:type="pct"/>
            <w:tcBorders>
              <w:top w:val="single" w:sz="4" w:space="0" w:color="auto"/>
              <w:left w:val="single" w:sz="4" w:space="0" w:color="auto"/>
              <w:bottom w:val="single" w:sz="4" w:space="0" w:color="auto"/>
              <w:right w:val="single" w:sz="4" w:space="0" w:color="auto"/>
            </w:tcBorders>
          </w:tcPr>
          <w:p w:rsidR="00B7361A" w:rsidRPr="003B355D" w:rsidRDefault="00B7361A" w:rsidP="00C9551E">
            <w:pPr>
              <w:rPr>
                <w:rFonts w:ascii="Arial Narrow" w:hAnsi="Arial Narrow"/>
                <w:b/>
                <w:sz w:val="20"/>
              </w:rPr>
            </w:pPr>
            <w:r w:rsidRPr="003B355D">
              <w:rPr>
                <w:rFonts w:ascii="Arial Narrow" w:hAnsi="Arial Narrow"/>
                <w:b/>
                <w:sz w:val="20"/>
              </w:rPr>
              <w:lastRenderedPageBreak/>
              <w:t>Prescriber Instructions</w:t>
            </w:r>
          </w:p>
          <w:p w:rsidR="00B7361A" w:rsidRPr="003B355D" w:rsidRDefault="00B7361A" w:rsidP="00C9551E">
            <w:pPr>
              <w:rPr>
                <w:rFonts w:ascii="Arial Narrow" w:hAnsi="Arial Narrow"/>
                <w:sz w:val="20"/>
              </w:rPr>
            </w:pPr>
          </w:p>
        </w:tc>
        <w:tc>
          <w:tcPr>
            <w:tcW w:w="3139" w:type="pct"/>
            <w:gridSpan w:val="5"/>
            <w:tcBorders>
              <w:top w:val="single" w:sz="4" w:space="0" w:color="auto"/>
              <w:left w:val="single" w:sz="4" w:space="0" w:color="auto"/>
              <w:bottom w:val="single" w:sz="4" w:space="0" w:color="auto"/>
              <w:right w:val="single" w:sz="4" w:space="0" w:color="auto"/>
            </w:tcBorders>
          </w:tcPr>
          <w:p w:rsidR="00B7361A" w:rsidRPr="003B355D" w:rsidRDefault="00B7361A" w:rsidP="00C9551E">
            <w:pPr>
              <w:widowControl/>
              <w:jc w:val="left"/>
              <w:rPr>
                <w:rFonts w:ascii="Arial Narrow" w:hAnsi="Arial Narrow"/>
                <w:sz w:val="20"/>
              </w:rPr>
            </w:pPr>
            <w:r w:rsidRPr="003B355D">
              <w:rPr>
                <w:rFonts w:ascii="Arial Narrow" w:hAnsi="Arial Narrow"/>
                <w:sz w:val="20"/>
              </w:rPr>
              <w:t xml:space="preserve">The date and level of the qualifying HbA1c measurement must be, or must have been, documented in the patient's medical records at the time treatment with a gliptin, a </w:t>
            </w:r>
            <w:proofErr w:type="spellStart"/>
            <w:r w:rsidRPr="003B355D">
              <w:rPr>
                <w:rFonts w:ascii="Arial Narrow" w:hAnsi="Arial Narrow"/>
                <w:sz w:val="20"/>
              </w:rPr>
              <w:t>glitazone</w:t>
            </w:r>
            <w:proofErr w:type="spellEnd"/>
            <w:r w:rsidRPr="003B355D">
              <w:rPr>
                <w:rFonts w:ascii="Arial Narrow" w:hAnsi="Arial Narrow"/>
                <w:sz w:val="20"/>
              </w:rPr>
              <w:t>, a glucagon-like peptide-1 or an SGLT2 inhibitor is initiated.</w:t>
            </w:r>
          </w:p>
          <w:p w:rsidR="00B7361A" w:rsidRPr="003B355D" w:rsidRDefault="00B7361A" w:rsidP="00C9551E">
            <w:pPr>
              <w:widowControl/>
              <w:jc w:val="left"/>
              <w:rPr>
                <w:rFonts w:ascii="Arial Narrow" w:hAnsi="Arial Narrow"/>
                <w:sz w:val="20"/>
              </w:rPr>
            </w:pPr>
          </w:p>
          <w:p w:rsidR="00B7361A" w:rsidRPr="003B355D" w:rsidRDefault="00B7361A" w:rsidP="00C9551E">
            <w:pPr>
              <w:rPr>
                <w:rFonts w:ascii="Arial Narrow" w:hAnsi="Arial Narrow"/>
                <w:sz w:val="20"/>
              </w:rPr>
            </w:pPr>
            <w:r w:rsidRPr="003B355D">
              <w:rPr>
                <w:rFonts w:ascii="Arial Narrow" w:hAnsi="Arial Narrow"/>
                <w:sz w:val="20"/>
              </w:rPr>
              <w:t xml:space="preserve">The HbA1c must be no more than 4 months old at the time treatment with a gliptin, a </w:t>
            </w:r>
            <w:proofErr w:type="spellStart"/>
            <w:r w:rsidRPr="003B355D">
              <w:rPr>
                <w:rFonts w:ascii="Arial Narrow" w:hAnsi="Arial Narrow"/>
                <w:sz w:val="20"/>
              </w:rPr>
              <w:t>glitazone</w:t>
            </w:r>
            <w:proofErr w:type="spellEnd"/>
            <w:r w:rsidRPr="003B355D">
              <w:rPr>
                <w:rFonts w:ascii="Arial Narrow" w:hAnsi="Arial Narrow"/>
                <w:sz w:val="20"/>
              </w:rPr>
              <w:t>, a glucagon-like peptide-1 or an SGLT2 inhibitor was initiated.</w:t>
            </w:r>
          </w:p>
          <w:p w:rsidR="00B7361A" w:rsidRPr="003B355D" w:rsidRDefault="00B7361A" w:rsidP="00C9551E">
            <w:pPr>
              <w:rPr>
                <w:rFonts w:ascii="Arial Narrow" w:hAnsi="Arial Narrow"/>
                <w:sz w:val="20"/>
              </w:rPr>
            </w:pPr>
          </w:p>
          <w:p w:rsidR="00B7361A" w:rsidRPr="003B355D" w:rsidRDefault="00B7361A" w:rsidP="00C9551E">
            <w:pPr>
              <w:rPr>
                <w:rFonts w:ascii="Arial Narrow" w:hAnsi="Arial Narrow"/>
                <w:sz w:val="20"/>
              </w:rPr>
            </w:pPr>
            <w:r w:rsidRPr="003B355D">
              <w:rPr>
                <w:rFonts w:ascii="Arial Narrow" w:hAnsi="Arial Narrow"/>
                <w:sz w:val="20"/>
              </w:rPr>
              <w:t>Blood glucose monitoring may be used as an alternative assessment to HbA1c levels in the following circumstances:</w:t>
            </w:r>
          </w:p>
          <w:p w:rsidR="00B7361A" w:rsidRPr="003B355D" w:rsidRDefault="00B7361A" w:rsidP="00C9551E">
            <w:pPr>
              <w:rPr>
                <w:rFonts w:ascii="Arial Narrow" w:hAnsi="Arial Narrow"/>
                <w:sz w:val="20"/>
              </w:rPr>
            </w:pPr>
          </w:p>
          <w:p w:rsidR="00B7361A" w:rsidRPr="003B355D" w:rsidRDefault="00B7361A" w:rsidP="00C9551E">
            <w:pPr>
              <w:rPr>
                <w:rFonts w:ascii="Arial Narrow" w:hAnsi="Arial Narrow"/>
                <w:sz w:val="20"/>
              </w:rPr>
            </w:pPr>
            <w:r w:rsidRPr="003B355D">
              <w:rPr>
                <w:rFonts w:ascii="Arial Narrow" w:hAnsi="Arial Narrow"/>
                <w:sz w:val="20"/>
              </w:rPr>
              <w:t xml:space="preserve">(a) A clinical condition with reduced red blood cell survival, including haemolytic anaemias and </w:t>
            </w:r>
            <w:proofErr w:type="spellStart"/>
            <w:r w:rsidRPr="003B355D">
              <w:rPr>
                <w:rFonts w:ascii="Arial Narrow" w:hAnsi="Arial Narrow"/>
                <w:sz w:val="20"/>
              </w:rPr>
              <w:t>haemoglobinopathies</w:t>
            </w:r>
            <w:proofErr w:type="spellEnd"/>
            <w:r w:rsidRPr="003B355D">
              <w:rPr>
                <w:rFonts w:ascii="Arial Narrow" w:hAnsi="Arial Narrow"/>
                <w:sz w:val="20"/>
              </w:rPr>
              <w:t>; and/or</w:t>
            </w:r>
          </w:p>
          <w:p w:rsidR="00B7361A" w:rsidRPr="003B355D" w:rsidRDefault="00B7361A" w:rsidP="00C9551E">
            <w:pPr>
              <w:rPr>
                <w:rFonts w:ascii="Arial Narrow" w:hAnsi="Arial Narrow"/>
                <w:sz w:val="20"/>
              </w:rPr>
            </w:pPr>
          </w:p>
          <w:p w:rsidR="00B7361A" w:rsidRPr="003B355D" w:rsidRDefault="00B7361A" w:rsidP="00C9551E">
            <w:pPr>
              <w:rPr>
                <w:rFonts w:ascii="Arial Narrow" w:hAnsi="Arial Narrow"/>
                <w:sz w:val="20"/>
              </w:rPr>
            </w:pPr>
            <w:r w:rsidRPr="003B355D">
              <w:rPr>
                <w:rFonts w:ascii="Arial Narrow" w:hAnsi="Arial Narrow"/>
                <w:sz w:val="20"/>
              </w:rPr>
              <w:t>(b) Had red cell transfusion within the previous 3 months.</w:t>
            </w:r>
          </w:p>
          <w:p w:rsidR="00B7361A" w:rsidRPr="003B355D" w:rsidRDefault="00B7361A" w:rsidP="00C9551E">
            <w:pPr>
              <w:rPr>
                <w:rFonts w:ascii="Arial Narrow" w:hAnsi="Arial Narrow"/>
                <w:sz w:val="20"/>
              </w:rPr>
            </w:pPr>
          </w:p>
          <w:p w:rsidR="00B7361A" w:rsidRPr="003B355D" w:rsidRDefault="00B7361A" w:rsidP="00C9551E">
            <w:pPr>
              <w:rPr>
                <w:rFonts w:ascii="Arial Narrow" w:hAnsi="Arial Narrow"/>
                <w:sz w:val="20"/>
              </w:rPr>
            </w:pPr>
            <w:r w:rsidRPr="003B355D">
              <w:rPr>
                <w:rFonts w:ascii="Arial Narrow" w:hAnsi="Arial Narrow"/>
                <w:sz w:val="20"/>
              </w:rPr>
              <w:t xml:space="preserve">The results of the blood glucose monitoring, which must be no more than 4 months old at the time of initiation of treatment with a gliptin, a </w:t>
            </w:r>
            <w:proofErr w:type="spellStart"/>
            <w:r w:rsidRPr="003B355D">
              <w:rPr>
                <w:rFonts w:ascii="Arial Narrow" w:hAnsi="Arial Narrow"/>
                <w:sz w:val="20"/>
              </w:rPr>
              <w:t>glitazone</w:t>
            </w:r>
            <w:proofErr w:type="spellEnd"/>
            <w:r w:rsidRPr="003B355D">
              <w:rPr>
                <w:rFonts w:ascii="Arial Narrow" w:hAnsi="Arial Narrow"/>
                <w:sz w:val="20"/>
              </w:rPr>
              <w:t>, a glucagon-like peptide-1 or an SGLT2 inhibitor, must be documented in the patient's medical records.</w:t>
            </w:r>
          </w:p>
        </w:tc>
      </w:tr>
      <w:tr w:rsidR="00B7361A" w:rsidRPr="003B355D" w:rsidTr="00F21284">
        <w:tblPrEx>
          <w:tblCellMar>
            <w:left w:w="108" w:type="dxa"/>
            <w:right w:w="108" w:type="dxa"/>
          </w:tblCellMar>
        </w:tblPrEx>
        <w:trPr>
          <w:gridBefore w:val="1"/>
          <w:wBefore w:w="4" w:type="pct"/>
          <w:cantSplit/>
          <w:trHeight w:val="360"/>
        </w:trPr>
        <w:tc>
          <w:tcPr>
            <w:tcW w:w="1857" w:type="pct"/>
            <w:tcBorders>
              <w:top w:val="single" w:sz="4" w:space="0" w:color="auto"/>
              <w:left w:val="single" w:sz="4" w:space="0" w:color="auto"/>
              <w:bottom w:val="single" w:sz="4" w:space="0" w:color="auto"/>
              <w:right w:val="single" w:sz="4" w:space="0" w:color="auto"/>
            </w:tcBorders>
          </w:tcPr>
          <w:p w:rsidR="00B7361A" w:rsidRPr="003B355D" w:rsidRDefault="00B7361A" w:rsidP="00C9551E">
            <w:pPr>
              <w:rPr>
                <w:rFonts w:ascii="Arial Narrow" w:hAnsi="Arial Narrow"/>
                <w:b/>
                <w:sz w:val="20"/>
              </w:rPr>
            </w:pPr>
            <w:r w:rsidRPr="003B355D">
              <w:rPr>
                <w:rFonts w:ascii="Arial Narrow" w:hAnsi="Arial Narrow"/>
                <w:b/>
                <w:sz w:val="20"/>
              </w:rPr>
              <w:t>Administrative Advice</w:t>
            </w:r>
          </w:p>
          <w:p w:rsidR="00B7361A" w:rsidRPr="003B355D" w:rsidRDefault="00B7361A" w:rsidP="00C9551E">
            <w:pPr>
              <w:rPr>
                <w:rFonts w:ascii="Arial Narrow" w:hAnsi="Arial Narrow"/>
                <w:i/>
                <w:sz w:val="20"/>
              </w:rPr>
            </w:pPr>
          </w:p>
        </w:tc>
        <w:tc>
          <w:tcPr>
            <w:tcW w:w="3139" w:type="pct"/>
            <w:gridSpan w:val="5"/>
            <w:tcBorders>
              <w:top w:val="single" w:sz="4" w:space="0" w:color="auto"/>
              <w:left w:val="single" w:sz="4" w:space="0" w:color="auto"/>
              <w:bottom w:val="single" w:sz="4" w:space="0" w:color="auto"/>
              <w:right w:val="single" w:sz="4" w:space="0" w:color="auto"/>
            </w:tcBorders>
          </w:tcPr>
          <w:p w:rsidR="00B7361A" w:rsidRPr="003B355D" w:rsidRDefault="00B7361A" w:rsidP="00C9551E">
            <w:pPr>
              <w:rPr>
                <w:rFonts w:ascii="Arial Narrow" w:hAnsi="Arial Narrow"/>
                <w:sz w:val="20"/>
              </w:rPr>
            </w:pPr>
            <w:r w:rsidRPr="003B355D">
              <w:rPr>
                <w:rFonts w:ascii="Arial Narrow" w:hAnsi="Arial Narrow"/>
                <w:sz w:val="20"/>
              </w:rPr>
              <w:t>Liraglutide is not PBS-subsidised as monotherapy.</w:t>
            </w:r>
          </w:p>
          <w:p w:rsidR="00B7361A" w:rsidRPr="003B355D" w:rsidRDefault="00B7361A" w:rsidP="00C9551E">
            <w:pPr>
              <w:rPr>
                <w:rFonts w:ascii="Arial Narrow" w:hAnsi="Arial Narrow"/>
                <w:sz w:val="20"/>
              </w:rPr>
            </w:pPr>
          </w:p>
          <w:p w:rsidR="00B7361A" w:rsidRPr="003B355D" w:rsidRDefault="00B7361A" w:rsidP="00C9551E">
            <w:pPr>
              <w:rPr>
                <w:rFonts w:ascii="Arial Narrow" w:hAnsi="Arial Narrow"/>
                <w:sz w:val="20"/>
              </w:rPr>
            </w:pPr>
            <w:r w:rsidRPr="003B355D">
              <w:rPr>
                <w:rFonts w:ascii="Arial Narrow" w:hAnsi="Arial Narrow"/>
                <w:sz w:val="20"/>
              </w:rPr>
              <w:t>No increase in the maximum quantity or number of units may be authorised</w:t>
            </w:r>
          </w:p>
          <w:p w:rsidR="00B7361A" w:rsidRPr="003B355D" w:rsidRDefault="00B7361A" w:rsidP="00C9551E">
            <w:pPr>
              <w:rPr>
                <w:rFonts w:ascii="Arial Narrow" w:hAnsi="Arial Narrow"/>
                <w:sz w:val="20"/>
              </w:rPr>
            </w:pPr>
          </w:p>
          <w:p w:rsidR="00B7361A" w:rsidRPr="003B355D" w:rsidRDefault="00B7361A" w:rsidP="00C9551E">
            <w:pPr>
              <w:rPr>
                <w:rFonts w:ascii="Arial Narrow" w:hAnsi="Arial Narrow"/>
                <w:sz w:val="20"/>
              </w:rPr>
            </w:pPr>
            <w:r w:rsidRPr="003B355D">
              <w:rPr>
                <w:rFonts w:ascii="Arial Narrow" w:hAnsi="Arial Narrow"/>
                <w:sz w:val="20"/>
              </w:rPr>
              <w:t>No increase in the maximum number of repeats may be authorised.</w:t>
            </w:r>
          </w:p>
        </w:tc>
      </w:tr>
    </w:tbl>
    <w:p w:rsidR="00B7361A" w:rsidRPr="003B355D" w:rsidRDefault="00B7361A" w:rsidP="00B7361A">
      <w:pPr>
        <w:widowControl/>
        <w:rPr>
          <w:snapToGrid/>
          <w:szCs w:val="22"/>
          <w:lang w:eastAsia="en-AU"/>
        </w:rPr>
      </w:pP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670"/>
      </w:tblGrid>
      <w:tr w:rsidR="00B7361A" w:rsidRPr="003B355D" w:rsidTr="00FB0669">
        <w:trPr>
          <w:trHeight w:val="70"/>
        </w:trPr>
        <w:tc>
          <w:tcPr>
            <w:tcW w:w="1875" w:type="pct"/>
          </w:tcPr>
          <w:p w:rsidR="00B7361A" w:rsidRPr="003B355D" w:rsidRDefault="00B7361A" w:rsidP="00C9551E">
            <w:pPr>
              <w:widowControl/>
              <w:rPr>
                <w:rFonts w:ascii="Arial Narrow" w:eastAsia="Calibri" w:hAnsi="Arial Narrow"/>
                <w:b/>
                <w:snapToGrid/>
                <w:sz w:val="20"/>
              </w:rPr>
            </w:pPr>
            <w:r w:rsidRPr="003B355D">
              <w:rPr>
                <w:rFonts w:ascii="Arial Narrow" w:eastAsia="Calibri" w:hAnsi="Arial Narrow"/>
                <w:b/>
                <w:snapToGrid/>
                <w:sz w:val="20"/>
              </w:rPr>
              <w:t>Condition/Indication:</w:t>
            </w:r>
          </w:p>
        </w:tc>
        <w:tc>
          <w:tcPr>
            <w:tcW w:w="3125" w:type="pct"/>
          </w:tcPr>
          <w:p w:rsidR="00B7361A" w:rsidRPr="003B355D" w:rsidRDefault="00B7361A" w:rsidP="00C9551E">
            <w:pPr>
              <w:widowControl/>
              <w:rPr>
                <w:rFonts w:ascii="Arial Narrow" w:eastAsia="Calibri" w:hAnsi="Arial Narrow"/>
                <w:snapToGrid/>
                <w:sz w:val="20"/>
              </w:rPr>
            </w:pPr>
            <w:r w:rsidRPr="003B355D">
              <w:rPr>
                <w:rFonts w:ascii="Arial Narrow" w:eastAsia="Calibri" w:hAnsi="Arial Narrow"/>
                <w:snapToGrid/>
                <w:sz w:val="20"/>
              </w:rPr>
              <w:t>Diabetes mellitus type 2</w:t>
            </w:r>
          </w:p>
        </w:tc>
      </w:tr>
      <w:tr w:rsidR="00B7361A" w:rsidRPr="003B355D" w:rsidTr="00FB0669">
        <w:trPr>
          <w:trHeight w:val="360"/>
        </w:trPr>
        <w:tc>
          <w:tcPr>
            <w:tcW w:w="1875" w:type="pct"/>
          </w:tcPr>
          <w:p w:rsidR="00B7361A" w:rsidRPr="003B355D" w:rsidRDefault="00B7361A" w:rsidP="00C9551E">
            <w:pPr>
              <w:widowControl/>
              <w:rPr>
                <w:rFonts w:ascii="Arial Narrow" w:eastAsia="Calibri" w:hAnsi="Arial Narrow"/>
                <w:b/>
                <w:snapToGrid/>
                <w:sz w:val="20"/>
              </w:rPr>
            </w:pPr>
            <w:r w:rsidRPr="003B355D">
              <w:rPr>
                <w:rFonts w:ascii="Arial Narrow" w:eastAsia="Calibri" w:hAnsi="Arial Narrow"/>
                <w:b/>
                <w:snapToGrid/>
                <w:sz w:val="20"/>
              </w:rPr>
              <w:t>Restriction:</w:t>
            </w:r>
          </w:p>
        </w:tc>
        <w:tc>
          <w:tcPr>
            <w:tcW w:w="3125" w:type="pct"/>
          </w:tcPr>
          <w:p w:rsidR="00B7361A" w:rsidRPr="003B355D" w:rsidRDefault="00B7361A" w:rsidP="00C9551E">
            <w:pPr>
              <w:widowControl/>
              <w:rPr>
                <w:rFonts w:ascii="Arial Narrow" w:eastAsia="Calibri" w:hAnsi="Arial Narrow"/>
                <w:snapToGrid/>
                <w:sz w:val="20"/>
              </w:rPr>
            </w:pPr>
            <w:r w:rsidRPr="003B355D">
              <w:rPr>
                <w:rFonts w:ascii="Arial Narrow" w:eastAsia="Calibri" w:hAnsi="Arial Narrow"/>
                <w:snapToGrid/>
                <w:sz w:val="20"/>
              </w:rPr>
              <w:t>Authority required (STREAMLINED)</w:t>
            </w:r>
          </w:p>
        </w:tc>
      </w:tr>
      <w:tr w:rsidR="00B7361A" w:rsidRPr="003B355D" w:rsidTr="00FB0669">
        <w:trPr>
          <w:trHeight w:val="70"/>
        </w:trPr>
        <w:tc>
          <w:tcPr>
            <w:tcW w:w="1875" w:type="pct"/>
          </w:tcPr>
          <w:p w:rsidR="00B7361A" w:rsidRPr="003B355D" w:rsidRDefault="00B7361A" w:rsidP="00C9551E">
            <w:pPr>
              <w:widowControl/>
              <w:rPr>
                <w:rFonts w:ascii="Arial Narrow" w:eastAsia="Calibri" w:hAnsi="Arial Narrow"/>
                <w:b/>
                <w:snapToGrid/>
                <w:sz w:val="20"/>
              </w:rPr>
            </w:pPr>
            <w:r w:rsidRPr="003B355D">
              <w:rPr>
                <w:rFonts w:ascii="Arial Narrow" w:eastAsia="Calibri" w:hAnsi="Arial Narrow"/>
                <w:b/>
                <w:snapToGrid/>
                <w:sz w:val="20"/>
              </w:rPr>
              <w:t>Treatment phase:</w:t>
            </w:r>
          </w:p>
        </w:tc>
        <w:tc>
          <w:tcPr>
            <w:tcW w:w="3125" w:type="pct"/>
          </w:tcPr>
          <w:p w:rsidR="00B7361A" w:rsidRPr="003B355D" w:rsidRDefault="00B7361A" w:rsidP="00C9551E">
            <w:pPr>
              <w:widowControl/>
              <w:rPr>
                <w:rFonts w:ascii="Arial Narrow" w:eastAsia="Calibri" w:hAnsi="Arial Narrow"/>
                <w:snapToGrid/>
                <w:sz w:val="20"/>
              </w:rPr>
            </w:pPr>
            <w:r w:rsidRPr="003B355D">
              <w:rPr>
                <w:rFonts w:ascii="Arial Narrow" w:eastAsia="Calibri" w:hAnsi="Arial Narrow"/>
                <w:snapToGrid/>
                <w:sz w:val="20"/>
              </w:rPr>
              <w:t>Triple combination therapy with insulin and metformin</w:t>
            </w:r>
          </w:p>
        </w:tc>
      </w:tr>
      <w:tr w:rsidR="00B7361A" w:rsidRPr="003B355D" w:rsidTr="00FB0669">
        <w:tblPrEx>
          <w:tblLook w:val="04A0" w:firstRow="1" w:lastRow="0" w:firstColumn="1" w:lastColumn="0" w:noHBand="0" w:noVBand="1"/>
        </w:tblPrEx>
        <w:trPr>
          <w:trHeight w:val="70"/>
        </w:trPr>
        <w:tc>
          <w:tcPr>
            <w:tcW w:w="1875" w:type="pct"/>
          </w:tcPr>
          <w:p w:rsidR="00B7361A" w:rsidRPr="003B355D" w:rsidRDefault="00B7361A" w:rsidP="00C9551E">
            <w:pPr>
              <w:widowControl/>
              <w:rPr>
                <w:rFonts w:ascii="Arial Narrow" w:eastAsia="Calibri" w:hAnsi="Arial Narrow"/>
                <w:b/>
                <w:snapToGrid/>
                <w:sz w:val="20"/>
              </w:rPr>
            </w:pPr>
            <w:r w:rsidRPr="003B355D">
              <w:rPr>
                <w:rFonts w:ascii="Arial Narrow" w:eastAsia="Calibri" w:hAnsi="Arial Narrow"/>
                <w:b/>
                <w:snapToGrid/>
                <w:sz w:val="20"/>
              </w:rPr>
              <w:t>Treatment criteria:</w:t>
            </w:r>
          </w:p>
        </w:tc>
        <w:tc>
          <w:tcPr>
            <w:tcW w:w="3125" w:type="pct"/>
          </w:tcPr>
          <w:p w:rsidR="00B7361A" w:rsidRPr="003B355D" w:rsidRDefault="00B7361A" w:rsidP="00C9551E">
            <w:pPr>
              <w:widowControl/>
              <w:rPr>
                <w:rFonts w:ascii="Arial Narrow" w:eastAsia="Calibri" w:hAnsi="Arial Narrow"/>
                <w:snapToGrid/>
                <w:sz w:val="20"/>
              </w:rPr>
            </w:pPr>
            <w:r w:rsidRPr="003B355D">
              <w:rPr>
                <w:rFonts w:ascii="Arial Narrow" w:eastAsia="Calibri" w:hAnsi="Arial Narrow"/>
                <w:snapToGrid/>
                <w:sz w:val="20"/>
              </w:rPr>
              <w:t>The treatment must be used in combination with insulin and metformin</w:t>
            </w:r>
          </w:p>
        </w:tc>
      </w:tr>
      <w:tr w:rsidR="00B7361A" w:rsidRPr="003B355D" w:rsidTr="00FB0669">
        <w:tblPrEx>
          <w:tblLook w:val="04A0" w:firstRow="1" w:lastRow="0" w:firstColumn="1" w:lastColumn="0" w:noHBand="0" w:noVBand="1"/>
        </w:tblPrEx>
        <w:trPr>
          <w:trHeight w:val="360"/>
        </w:trPr>
        <w:tc>
          <w:tcPr>
            <w:tcW w:w="1875" w:type="pct"/>
          </w:tcPr>
          <w:p w:rsidR="00B7361A" w:rsidRPr="003B355D" w:rsidRDefault="00B7361A" w:rsidP="00C9551E">
            <w:pPr>
              <w:widowControl/>
              <w:rPr>
                <w:rFonts w:ascii="Arial Narrow" w:eastAsia="Calibri" w:hAnsi="Arial Narrow"/>
                <w:b/>
                <w:snapToGrid/>
                <w:sz w:val="20"/>
              </w:rPr>
            </w:pPr>
            <w:r w:rsidRPr="003B355D">
              <w:rPr>
                <w:rFonts w:ascii="Arial Narrow" w:eastAsia="Calibri" w:hAnsi="Arial Narrow"/>
                <w:b/>
                <w:snapToGrid/>
                <w:sz w:val="20"/>
              </w:rPr>
              <w:lastRenderedPageBreak/>
              <w:t>Clinical criteria:</w:t>
            </w:r>
          </w:p>
          <w:p w:rsidR="00B7361A" w:rsidRPr="003B355D" w:rsidRDefault="00B7361A" w:rsidP="00C9551E">
            <w:pPr>
              <w:widowControl/>
              <w:rPr>
                <w:rFonts w:ascii="Arial Narrow" w:eastAsia="Calibri" w:hAnsi="Arial Narrow"/>
                <w:snapToGrid/>
                <w:sz w:val="20"/>
              </w:rPr>
            </w:pPr>
          </w:p>
        </w:tc>
        <w:tc>
          <w:tcPr>
            <w:tcW w:w="3125" w:type="pct"/>
          </w:tcPr>
          <w:p w:rsidR="00B7361A" w:rsidRPr="003B355D" w:rsidRDefault="00B7361A" w:rsidP="00C9551E">
            <w:pPr>
              <w:widowControl/>
              <w:rPr>
                <w:rFonts w:ascii="Arial Narrow" w:eastAsia="Calibri" w:hAnsi="Arial Narrow"/>
                <w:snapToGrid/>
                <w:sz w:val="20"/>
              </w:rPr>
            </w:pPr>
            <w:r w:rsidRPr="003B355D">
              <w:rPr>
                <w:rFonts w:ascii="Arial Narrow" w:eastAsia="Calibri" w:hAnsi="Arial Narrow"/>
                <w:snapToGrid/>
                <w:sz w:val="20"/>
              </w:rPr>
              <w:t xml:space="preserve">Patient must have, or have had, a </w:t>
            </w:r>
            <w:r w:rsidRPr="003B355D">
              <w:rPr>
                <w:rFonts w:ascii="Arial Narrow" w:hAnsi="Arial Narrow"/>
                <w:sz w:val="20"/>
              </w:rPr>
              <w:t>glycosylated haemoglobin (</w:t>
            </w:r>
            <w:r w:rsidRPr="003B355D">
              <w:rPr>
                <w:rFonts w:ascii="Arial Narrow" w:eastAsia="Calibri" w:hAnsi="Arial Narrow"/>
                <w:snapToGrid/>
                <w:sz w:val="20"/>
              </w:rPr>
              <w:t>HbA1c) measurement greater than 7% prior to the initiation of a dipeptidyl peptidase 4 inhibitor (gliptin), a thiazolidinedione (</w:t>
            </w:r>
            <w:proofErr w:type="spellStart"/>
            <w:r w:rsidRPr="003B355D">
              <w:rPr>
                <w:rFonts w:ascii="Arial Narrow" w:eastAsia="Calibri" w:hAnsi="Arial Narrow"/>
                <w:snapToGrid/>
                <w:sz w:val="20"/>
              </w:rPr>
              <w:t>glitazone</w:t>
            </w:r>
            <w:proofErr w:type="spellEnd"/>
            <w:r w:rsidRPr="003B355D">
              <w:rPr>
                <w:rFonts w:ascii="Arial Narrow" w:eastAsia="Calibri" w:hAnsi="Arial Narrow"/>
                <w:snapToGrid/>
                <w:sz w:val="20"/>
              </w:rPr>
              <w:t>), a glucagon-like peptide-1 or a sodium-glucose co-transporter 2 (SGLT2) inhibitor despite treatment with either metformin or a sulfonylurea; OR</w:t>
            </w:r>
          </w:p>
          <w:p w:rsidR="00B7361A" w:rsidRPr="003B355D" w:rsidRDefault="00B7361A" w:rsidP="00C9551E">
            <w:pPr>
              <w:widowControl/>
              <w:rPr>
                <w:rFonts w:ascii="Arial Narrow" w:eastAsia="Calibri" w:hAnsi="Arial Narrow"/>
                <w:snapToGrid/>
                <w:sz w:val="20"/>
              </w:rPr>
            </w:pPr>
          </w:p>
          <w:p w:rsidR="00B7361A" w:rsidRPr="003B355D" w:rsidRDefault="00B7361A" w:rsidP="00C9551E">
            <w:pPr>
              <w:widowControl/>
              <w:rPr>
                <w:rFonts w:ascii="Arial Narrow" w:eastAsia="Calibri" w:hAnsi="Arial Narrow"/>
                <w:snapToGrid/>
                <w:sz w:val="20"/>
              </w:rPr>
            </w:pPr>
            <w:r w:rsidRPr="003B355D">
              <w:rPr>
                <w:rFonts w:ascii="Arial Narrow" w:eastAsia="Calibri" w:hAnsi="Arial Narrow"/>
                <w:snapToGrid/>
                <w:sz w:val="20"/>
              </w:rPr>
              <w:t xml:space="preserve">Patient must have, or have had, where HbA1c measurement is clinically inappropriate, blood glucose levels greater than 10 </w:t>
            </w:r>
            <w:proofErr w:type="spellStart"/>
            <w:r w:rsidRPr="003B355D">
              <w:rPr>
                <w:rFonts w:ascii="Arial Narrow" w:eastAsia="Calibri" w:hAnsi="Arial Narrow"/>
                <w:snapToGrid/>
                <w:sz w:val="20"/>
              </w:rPr>
              <w:t>mmol</w:t>
            </w:r>
            <w:proofErr w:type="spellEnd"/>
            <w:r w:rsidRPr="003B355D">
              <w:rPr>
                <w:rFonts w:ascii="Arial Narrow" w:eastAsia="Calibri" w:hAnsi="Arial Narrow"/>
                <w:snapToGrid/>
                <w:sz w:val="20"/>
              </w:rPr>
              <w:t xml:space="preserve"> per L in more than 20% of tests over a 2 week period prior to initiation with a gliptin, a </w:t>
            </w:r>
            <w:proofErr w:type="spellStart"/>
            <w:r w:rsidRPr="003B355D">
              <w:rPr>
                <w:rFonts w:ascii="Arial Narrow" w:eastAsia="Calibri" w:hAnsi="Arial Narrow"/>
                <w:snapToGrid/>
                <w:sz w:val="20"/>
              </w:rPr>
              <w:t>glitazone</w:t>
            </w:r>
            <w:proofErr w:type="spellEnd"/>
            <w:r w:rsidRPr="003B355D">
              <w:rPr>
                <w:rFonts w:ascii="Arial Narrow" w:eastAsia="Calibri" w:hAnsi="Arial Narrow"/>
                <w:snapToGrid/>
                <w:sz w:val="20"/>
              </w:rPr>
              <w:t>, a glucagon-like peptide-1 or an SGLT2 inhibitor despite treatment with either metformin or a sulfonylurea.</w:t>
            </w:r>
          </w:p>
          <w:p w:rsidR="00B7361A" w:rsidRPr="003B355D" w:rsidRDefault="00B7361A" w:rsidP="00C9551E">
            <w:pPr>
              <w:widowControl/>
              <w:rPr>
                <w:rFonts w:ascii="Arial Narrow" w:eastAsia="Calibri" w:hAnsi="Arial Narrow"/>
                <w:snapToGrid/>
                <w:sz w:val="20"/>
              </w:rPr>
            </w:pPr>
          </w:p>
          <w:p w:rsidR="00B7361A" w:rsidRPr="003B355D" w:rsidRDefault="00B7361A" w:rsidP="00C9551E">
            <w:pPr>
              <w:widowControl/>
              <w:rPr>
                <w:rFonts w:ascii="Arial Narrow" w:eastAsia="Calibri" w:hAnsi="Arial Narrow"/>
                <w:snapToGrid/>
                <w:sz w:val="20"/>
              </w:rPr>
            </w:pPr>
            <w:r w:rsidRPr="003B355D">
              <w:rPr>
                <w:rFonts w:ascii="Arial Narrow" w:eastAsia="Calibri" w:hAnsi="Arial Narrow"/>
                <w:snapToGrid/>
                <w:sz w:val="20"/>
              </w:rPr>
              <w:t>AND</w:t>
            </w:r>
          </w:p>
          <w:p w:rsidR="00B7361A" w:rsidRPr="003B355D" w:rsidRDefault="00B7361A" w:rsidP="00C9551E">
            <w:pPr>
              <w:widowControl/>
              <w:rPr>
                <w:rFonts w:ascii="Arial Narrow" w:eastAsia="Calibri" w:hAnsi="Arial Narrow"/>
                <w:snapToGrid/>
                <w:sz w:val="20"/>
              </w:rPr>
            </w:pPr>
          </w:p>
          <w:p w:rsidR="00B7361A" w:rsidRPr="003B355D" w:rsidRDefault="00B7361A" w:rsidP="00C9551E">
            <w:pPr>
              <w:widowControl/>
              <w:rPr>
                <w:rFonts w:ascii="Arial Narrow" w:eastAsia="Calibri" w:hAnsi="Arial Narrow"/>
                <w:snapToGrid/>
                <w:sz w:val="20"/>
              </w:rPr>
            </w:pPr>
            <w:r w:rsidRPr="003B355D">
              <w:rPr>
                <w:rFonts w:ascii="Arial Narrow" w:eastAsia="Calibri" w:hAnsi="Arial Narrow"/>
                <w:snapToGrid/>
                <w:sz w:val="20"/>
              </w:rPr>
              <w:t>The treatment must not be used in combination with a thiazolidinedione (</w:t>
            </w:r>
            <w:proofErr w:type="spellStart"/>
            <w:r w:rsidRPr="003B355D">
              <w:rPr>
                <w:rFonts w:ascii="Arial Narrow" w:eastAsia="Calibri" w:hAnsi="Arial Narrow"/>
                <w:snapToGrid/>
                <w:sz w:val="20"/>
              </w:rPr>
              <w:t>glitazone</w:t>
            </w:r>
            <w:proofErr w:type="spellEnd"/>
            <w:r w:rsidRPr="003B355D">
              <w:rPr>
                <w:rFonts w:ascii="Arial Narrow" w:eastAsia="Calibri" w:hAnsi="Arial Narrow"/>
                <w:snapToGrid/>
                <w:sz w:val="20"/>
              </w:rPr>
              <w:t xml:space="preserve">), or a dipeptidyl peptidase </w:t>
            </w:r>
            <w:proofErr w:type="gramStart"/>
            <w:r w:rsidRPr="003B355D">
              <w:rPr>
                <w:rFonts w:ascii="Arial Narrow" w:eastAsia="Calibri" w:hAnsi="Arial Narrow"/>
                <w:snapToGrid/>
                <w:sz w:val="20"/>
              </w:rPr>
              <w:t>4 inhibitor</w:t>
            </w:r>
            <w:proofErr w:type="gramEnd"/>
            <w:r w:rsidRPr="003B355D">
              <w:rPr>
                <w:rFonts w:ascii="Arial Narrow" w:eastAsia="Calibri" w:hAnsi="Arial Narrow"/>
                <w:snapToGrid/>
                <w:sz w:val="20"/>
              </w:rPr>
              <w:t>.</w:t>
            </w:r>
          </w:p>
          <w:p w:rsidR="00B7361A" w:rsidRPr="003B355D" w:rsidRDefault="00B7361A" w:rsidP="00C9551E">
            <w:pPr>
              <w:widowControl/>
              <w:rPr>
                <w:rFonts w:ascii="Arial Narrow" w:eastAsia="Calibri" w:hAnsi="Arial Narrow"/>
                <w:snapToGrid/>
                <w:sz w:val="20"/>
              </w:rPr>
            </w:pPr>
          </w:p>
          <w:p w:rsidR="00B7361A" w:rsidRPr="003B355D" w:rsidRDefault="00B7361A" w:rsidP="00C9551E">
            <w:pPr>
              <w:widowControl/>
              <w:rPr>
                <w:rFonts w:ascii="Arial Narrow" w:eastAsia="Calibri" w:hAnsi="Arial Narrow"/>
                <w:snapToGrid/>
                <w:sz w:val="20"/>
                <w:u w:val="single"/>
              </w:rPr>
            </w:pPr>
          </w:p>
          <w:p w:rsidR="00B7361A" w:rsidRPr="003B355D" w:rsidRDefault="00B7361A" w:rsidP="00C9551E">
            <w:pPr>
              <w:widowControl/>
              <w:rPr>
                <w:rFonts w:ascii="Arial Narrow" w:eastAsia="Calibri" w:hAnsi="Arial Narrow"/>
                <w:snapToGrid/>
                <w:sz w:val="20"/>
              </w:rPr>
            </w:pPr>
            <w:r w:rsidRPr="003B355D">
              <w:rPr>
                <w:rFonts w:ascii="Arial Narrow" w:eastAsia="Calibri" w:hAnsi="Arial Narrow"/>
                <w:i/>
                <w:snapToGrid/>
                <w:sz w:val="20"/>
              </w:rPr>
              <w:t xml:space="preserve">Patient must be </w:t>
            </w:r>
            <w:r w:rsidRPr="003B355D">
              <w:rPr>
                <w:rFonts w:ascii="Arial Narrow" w:eastAsia="Calibri" w:hAnsi="Arial Narrow"/>
                <w:snapToGrid/>
                <w:sz w:val="20"/>
              </w:rPr>
              <w:t xml:space="preserve">50 years </w:t>
            </w:r>
            <w:r w:rsidRPr="003B355D">
              <w:rPr>
                <w:rFonts w:ascii="Arial Narrow" w:eastAsia="Calibri" w:hAnsi="Arial Narrow"/>
                <w:i/>
                <w:snapToGrid/>
                <w:sz w:val="20"/>
              </w:rPr>
              <w:t>or older</w:t>
            </w:r>
            <w:r w:rsidRPr="003B355D">
              <w:rPr>
                <w:rFonts w:ascii="Arial Narrow" w:eastAsia="Calibri" w:hAnsi="Arial Narrow"/>
                <w:snapToGrid/>
                <w:sz w:val="20"/>
              </w:rPr>
              <w:t xml:space="preserve"> with established cardiovascular disease (including at least one of the following: coronary heart disease, prior myocardial infarction, prior stroke or prior transient ischemic attack or peripheral vascular disease) or chronic renal failure (defined as glomerular filtration rate &lt; 60 mL/min/1.73m2) or chronic heart failure (New York Heart Association class II or III); OR</w:t>
            </w:r>
          </w:p>
          <w:p w:rsidR="00B7361A" w:rsidRPr="003B355D" w:rsidRDefault="00B7361A" w:rsidP="00C9551E">
            <w:pPr>
              <w:widowControl/>
              <w:rPr>
                <w:rFonts w:ascii="Arial Narrow" w:eastAsia="Calibri" w:hAnsi="Arial Narrow"/>
                <w:snapToGrid/>
                <w:sz w:val="20"/>
              </w:rPr>
            </w:pPr>
          </w:p>
          <w:p w:rsidR="00B7361A" w:rsidRPr="003B355D" w:rsidRDefault="00B7361A" w:rsidP="00C9551E">
            <w:pPr>
              <w:widowControl/>
              <w:rPr>
                <w:rFonts w:ascii="Arial Narrow" w:eastAsia="Calibri" w:hAnsi="Arial Narrow"/>
                <w:snapToGrid/>
                <w:sz w:val="20"/>
              </w:rPr>
            </w:pPr>
            <w:r w:rsidRPr="003B355D">
              <w:rPr>
                <w:rFonts w:ascii="Arial Narrow" w:eastAsia="Calibri" w:hAnsi="Arial Narrow"/>
                <w:i/>
                <w:snapToGrid/>
                <w:sz w:val="20"/>
              </w:rPr>
              <w:t xml:space="preserve">Patient must be </w:t>
            </w:r>
            <w:r w:rsidRPr="003B355D">
              <w:rPr>
                <w:rFonts w:ascii="Arial Narrow" w:eastAsia="Calibri" w:hAnsi="Arial Narrow"/>
                <w:snapToGrid/>
                <w:sz w:val="20"/>
              </w:rPr>
              <w:t xml:space="preserve">60 years </w:t>
            </w:r>
            <w:r w:rsidRPr="003B355D">
              <w:rPr>
                <w:rFonts w:ascii="Arial Narrow" w:eastAsia="Calibri" w:hAnsi="Arial Narrow"/>
                <w:i/>
                <w:snapToGrid/>
                <w:sz w:val="20"/>
              </w:rPr>
              <w:t>or older</w:t>
            </w:r>
            <w:r w:rsidRPr="003B355D">
              <w:rPr>
                <w:rFonts w:ascii="Arial Narrow" w:eastAsia="Calibri" w:hAnsi="Arial Narrow"/>
                <w:snapToGrid/>
                <w:sz w:val="20"/>
              </w:rPr>
              <w:t xml:space="preserve"> with microalbuminuria or proteinuria (defined as urinary albumin excretion rate of &gt;20mcg/min or urinary albumin to creatinine ratio of &gt; 2.5 for males, &gt; 3.5 for females); OR </w:t>
            </w:r>
          </w:p>
          <w:p w:rsidR="00B7361A" w:rsidRPr="003B355D" w:rsidRDefault="00B7361A" w:rsidP="00C9551E">
            <w:pPr>
              <w:widowControl/>
              <w:rPr>
                <w:rFonts w:ascii="Arial Narrow" w:eastAsia="Calibri" w:hAnsi="Arial Narrow"/>
                <w:snapToGrid/>
                <w:sz w:val="20"/>
              </w:rPr>
            </w:pPr>
          </w:p>
          <w:p w:rsidR="00B7361A" w:rsidRPr="003B355D" w:rsidRDefault="00B7361A" w:rsidP="00C9551E">
            <w:pPr>
              <w:widowControl/>
              <w:spacing w:after="200"/>
              <w:rPr>
                <w:rFonts w:ascii="Arial Narrow" w:eastAsia="Calibri" w:hAnsi="Arial Narrow"/>
                <w:snapToGrid/>
                <w:sz w:val="20"/>
              </w:rPr>
            </w:pPr>
            <w:r w:rsidRPr="003B355D">
              <w:rPr>
                <w:rFonts w:ascii="Arial Narrow" w:eastAsia="Calibri" w:hAnsi="Arial Narrow"/>
                <w:i/>
                <w:snapToGrid/>
                <w:sz w:val="20"/>
              </w:rPr>
              <w:t>Patient must be</w:t>
            </w:r>
            <w:r w:rsidRPr="003B355D">
              <w:rPr>
                <w:rFonts w:ascii="Arial Narrow" w:eastAsia="Calibri" w:hAnsi="Arial Narrow"/>
                <w:snapToGrid/>
                <w:sz w:val="20"/>
              </w:rPr>
              <w:t xml:space="preserve"> An Aboriginal or Torres Strait Islander.</w:t>
            </w:r>
          </w:p>
        </w:tc>
      </w:tr>
      <w:tr w:rsidR="00B7361A" w:rsidRPr="003B355D" w:rsidTr="00FB0669">
        <w:tblPrEx>
          <w:tblLook w:val="04A0" w:firstRow="1" w:lastRow="0" w:firstColumn="1" w:lastColumn="0" w:noHBand="0" w:noVBand="1"/>
        </w:tblPrEx>
        <w:trPr>
          <w:trHeight w:val="360"/>
        </w:trPr>
        <w:tc>
          <w:tcPr>
            <w:tcW w:w="1875" w:type="pct"/>
          </w:tcPr>
          <w:p w:rsidR="00B7361A" w:rsidRPr="003B355D" w:rsidRDefault="00B7361A" w:rsidP="00C9551E">
            <w:pPr>
              <w:widowControl/>
              <w:rPr>
                <w:rFonts w:ascii="Arial Narrow" w:eastAsia="Calibri" w:hAnsi="Arial Narrow"/>
                <w:b/>
                <w:i/>
                <w:snapToGrid/>
                <w:sz w:val="20"/>
              </w:rPr>
            </w:pPr>
            <w:r w:rsidRPr="003B355D">
              <w:rPr>
                <w:rFonts w:ascii="Arial Narrow" w:eastAsia="Calibri" w:hAnsi="Arial Narrow"/>
                <w:b/>
                <w:i/>
                <w:snapToGrid/>
                <w:sz w:val="20"/>
              </w:rPr>
              <w:t>Prescriber Instructions</w:t>
            </w:r>
          </w:p>
          <w:p w:rsidR="00B7361A" w:rsidRPr="003B355D" w:rsidRDefault="00B7361A" w:rsidP="00C9551E">
            <w:pPr>
              <w:widowControl/>
              <w:rPr>
                <w:rFonts w:ascii="Arial Narrow" w:eastAsia="Calibri" w:hAnsi="Arial Narrow"/>
                <w:i/>
                <w:snapToGrid/>
                <w:sz w:val="20"/>
              </w:rPr>
            </w:pPr>
          </w:p>
          <w:p w:rsidR="00B7361A" w:rsidRPr="003B355D" w:rsidRDefault="00B7361A" w:rsidP="00C9551E">
            <w:pPr>
              <w:widowControl/>
              <w:rPr>
                <w:rFonts w:ascii="Arial Narrow" w:eastAsia="Calibri" w:hAnsi="Arial Narrow"/>
                <w:i/>
                <w:snapToGrid/>
                <w:sz w:val="20"/>
              </w:rPr>
            </w:pPr>
          </w:p>
        </w:tc>
        <w:tc>
          <w:tcPr>
            <w:tcW w:w="3125" w:type="pct"/>
          </w:tcPr>
          <w:p w:rsidR="00B7361A" w:rsidRPr="003B355D" w:rsidRDefault="00B7361A" w:rsidP="00C9551E">
            <w:pPr>
              <w:widowControl/>
              <w:rPr>
                <w:rFonts w:ascii="Arial Narrow" w:eastAsia="Calibri" w:hAnsi="Arial Narrow"/>
                <w:snapToGrid/>
                <w:sz w:val="20"/>
              </w:rPr>
            </w:pPr>
            <w:r w:rsidRPr="003B355D">
              <w:rPr>
                <w:rFonts w:ascii="Arial Narrow" w:eastAsia="Calibri" w:hAnsi="Arial Narrow"/>
                <w:snapToGrid/>
                <w:sz w:val="20"/>
              </w:rPr>
              <w:t xml:space="preserve">The date and level of the qualifying HbA1c measurement must be, or must have been, documented in the patient's medical records at the time treatment with a gliptin, a </w:t>
            </w:r>
            <w:proofErr w:type="spellStart"/>
            <w:r w:rsidRPr="003B355D">
              <w:rPr>
                <w:rFonts w:ascii="Arial Narrow" w:eastAsia="Calibri" w:hAnsi="Arial Narrow"/>
                <w:snapToGrid/>
                <w:sz w:val="20"/>
              </w:rPr>
              <w:t>glitazone</w:t>
            </w:r>
            <w:proofErr w:type="spellEnd"/>
            <w:r w:rsidRPr="003B355D">
              <w:rPr>
                <w:rFonts w:ascii="Arial Narrow" w:eastAsia="Calibri" w:hAnsi="Arial Narrow"/>
                <w:snapToGrid/>
                <w:sz w:val="20"/>
              </w:rPr>
              <w:t>, a glucagon-like peptide-1 or an SGLT2 inhibitor is initiated.</w:t>
            </w:r>
          </w:p>
          <w:p w:rsidR="00B7361A" w:rsidRPr="003B355D" w:rsidRDefault="00B7361A" w:rsidP="00C9551E">
            <w:pPr>
              <w:widowControl/>
              <w:rPr>
                <w:rFonts w:ascii="Arial Narrow" w:eastAsia="Calibri" w:hAnsi="Arial Narrow"/>
                <w:snapToGrid/>
                <w:sz w:val="20"/>
              </w:rPr>
            </w:pPr>
          </w:p>
          <w:p w:rsidR="00B7361A" w:rsidRPr="003B355D" w:rsidRDefault="00B7361A" w:rsidP="00C9551E">
            <w:pPr>
              <w:widowControl/>
              <w:rPr>
                <w:rFonts w:ascii="Arial Narrow" w:eastAsia="Calibri" w:hAnsi="Arial Narrow"/>
                <w:snapToGrid/>
                <w:sz w:val="20"/>
              </w:rPr>
            </w:pPr>
            <w:r w:rsidRPr="003B355D">
              <w:rPr>
                <w:rFonts w:ascii="Arial Narrow" w:eastAsia="Calibri" w:hAnsi="Arial Narrow"/>
                <w:snapToGrid/>
                <w:sz w:val="20"/>
              </w:rPr>
              <w:t xml:space="preserve">The HbA1c must be no more than 4 months old at the time treatment with a gliptin, a </w:t>
            </w:r>
            <w:proofErr w:type="spellStart"/>
            <w:r w:rsidRPr="003B355D">
              <w:rPr>
                <w:rFonts w:ascii="Arial Narrow" w:eastAsia="Calibri" w:hAnsi="Arial Narrow"/>
                <w:snapToGrid/>
                <w:sz w:val="20"/>
              </w:rPr>
              <w:t>glitazone</w:t>
            </w:r>
            <w:proofErr w:type="spellEnd"/>
            <w:r w:rsidRPr="003B355D">
              <w:rPr>
                <w:rFonts w:ascii="Arial Narrow" w:eastAsia="Calibri" w:hAnsi="Arial Narrow"/>
                <w:snapToGrid/>
                <w:sz w:val="20"/>
              </w:rPr>
              <w:t>, a glucagon-like peptide-1 or an SGLT2 inhibitor was initiated.</w:t>
            </w:r>
          </w:p>
          <w:p w:rsidR="00B7361A" w:rsidRPr="003B355D" w:rsidRDefault="00B7361A" w:rsidP="00C9551E">
            <w:pPr>
              <w:widowControl/>
              <w:rPr>
                <w:rFonts w:ascii="Arial Narrow" w:eastAsia="Calibri" w:hAnsi="Arial Narrow"/>
                <w:snapToGrid/>
                <w:sz w:val="20"/>
              </w:rPr>
            </w:pPr>
          </w:p>
          <w:p w:rsidR="00B7361A" w:rsidRPr="003B355D" w:rsidRDefault="00B7361A" w:rsidP="00C9551E">
            <w:pPr>
              <w:widowControl/>
              <w:rPr>
                <w:rFonts w:ascii="Arial Narrow" w:eastAsia="Calibri" w:hAnsi="Arial Narrow"/>
                <w:snapToGrid/>
                <w:sz w:val="20"/>
              </w:rPr>
            </w:pPr>
            <w:r w:rsidRPr="003B355D">
              <w:rPr>
                <w:rFonts w:ascii="Arial Narrow" w:eastAsia="Calibri" w:hAnsi="Arial Narrow"/>
                <w:snapToGrid/>
                <w:sz w:val="20"/>
              </w:rPr>
              <w:t>Blood glucose monitoring may be used as an alternative assessment to HbA1c levels in the following circumstances:</w:t>
            </w:r>
          </w:p>
          <w:p w:rsidR="00B7361A" w:rsidRPr="003B355D" w:rsidRDefault="00B7361A" w:rsidP="00C9551E">
            <w:pPr>
              <w:widowControl/>
              <w:rPr>
                <w:rFonts w:ascii="Arial Narrow" w:eastAsia="Calibri" w:hAnsi="Arial Narrow"/>
                <w:snapToGrid/>
                <w:sz w:val="20"/>
              </w:rPr>
            </w:pPr>
          </w:p>
          <w:p w:rsidR="00B7361A" w:rsidRPr="003B355D" w:rsidRDefault="00B7361A" w:rsidP="00C9551E">
            <w:pPr>
              <w:widowControl/>
              <w:rPr>
                <w:rFonts w:ascii="Arial Narrow" w:eastAsia="Calibri" w:hAnsi="Arial Narrow"/>
                <w:snapToGrid/>
                <w:sz w:val="20"/>
              </w:rPr>
            </w:pPr>
            <w:r w:rsidRPr="003B355D">
              <w:rPr>
                <w:rFonts w:ascii="Arial Narrow" w:eastAsia="Calibri" w:hAnsi="Arial Narrow"/>
                <w:snapToGrid/>
                <w:sz w:val="20"/>
              </w:rPr>
              <w:t xml:space="preserve">(a) A clinical condition with reduced red blood cell survival, including haemolytic anaemias and </w:t>
            </w:r>
            <w:proofErr w:type="spellStart"/>
            <w:r w:rsidRPr="003B355D">
              <w:rPr>
                <w:rFonts w:ascii="Arial Narrow" w:eastAsia="Calibri" w:hAnsi="Arial Narrow"/>
                <w:snapToGrid/>
                <w:sz w:val="20"/>
              </w:rPr>
              <w:t>haemoglobinopathies</w:t>
            </w:r>
            <w:proofErr w:type="spellEnd"/>
            <w:r w:rsidRPr="003B355D">
              <w:rPr>
                <w:rFonts w:ascii="Arial Narrow" w:eastAsia="Calibri" w:hAnsi="Arial Narrow"/>
                <w:snapToGrid/>
                <w:sz w:val="20"/>
              </w:rPr>
              <w:t>; and/or</w:t>
            </w:r>
          </w:p>
          <w:p w:rsidR="00B7361A" w:rsidRPr="003B355D" w:rsidRDefault="00B7361A" w:rsidP="00C9551E">
            <w:pPr>
              <w:widowControl/>
              <w:rPr>
                <w:rFonts w:ascii="Arial Narrow" w:eastAsia="Calibri" w:hAnsi="Arial Narrow"/>
                <w:snapToGrid/>
                <w:sz w:val="20"/>
              </w:rPr>
            </w:pPr>
          </w:p>
          <w:p w:rsidR="00B7361A" w:rsidRPr="003B355D" w:rsidRDefault="00B7361A" w:rsidP="00C9551E">
            <w:pPr>
              <w:widowControl/>
              <w:rPr>
                <w:rFonts w:ascii="Arial Narrow" w:eastAsia="Calibri" w:hAnsi="Arial Narrow"/>
                <w:snapToGrid/>
                <w:sz w:val="20"/>
              </w:rPr>
            </w:pPr>
            <w:r w:rsidRPr="003B355D">
              <w:rPr>
                <w:rFonts w:ascii="Arial Narrow" w:eastAsia="Calibri" w:hAnsi="Arial Narrow"/>
                <w:snapToGrid/>
                <w:sz w:val="20"/>
              </w:rPr>
              <w:t>(b) Had red cell transfusion within the previous 3 months.</w:t>
            </w:r>
          </w:p>
          <w:p w:rsidR="00B7361A" w:rsidRPr="003B355D" w:rsidRDefault="00B7361A" w:rsidP="00C9551E">
            <w:pPr>
              <w:widowControl/>
              <w:rPr>
                <w:rFonts w:ascii="Arial Narrow" w:eastAsia="Calibri" w:hAnsi="Arial Narrow"/>
                <w:snapToGrid/>
                <w:sz w:val="20"/>
              </w:rPr>
            </w:pPr>
          </w:p>
          <w:p w:rsidR="00B7361A" w:rsidRPr="003B355D" w:rsidRDefault="00B7361A" w:rsidP="00C9551E">
            <w:pPr>
              <w:widowControl/>
              <w:rPr>
                <w:rFonts w:ascii="Arial Narrow" w:eastAsia="Calibri" w:hAnsi="Arial Narrow"/>
                <w:snapToGrid/>
                <w:sz w:val="20"/>
              </w:rPr>
            </w:pPr>
            <w:r w:rsidRPr="003B355D">
              <w:rPr>
                <w:rFonts w:ascii="Arial Narrow" w:eastAsia="Calibri" w:hAnsi="Arial Narrow"/>
                <w:snapToGrid/>
                <w:sz w:val="20"/>
              </w:rPr>
              <w:t xml:space="preserve">The results of the blood glucose monitoring, which must be no more than 4 months old at the time of initiation of treatment with a gliptin, a </w:t>
            </w:r>
            <w:proofErr w:type="spellStart"/>
            <w:r w:rsidRPr="003B355D">
              <w:rPr>
                <w:rFonts w:ascii="Arial Narrow" w:eastAsia="Calibri" w:hAnsi="Arial Narrow"/>
                <w:snapToGrid/>
                <w:sz w:val="20"/>
              </w:rPr>
              <w:t>glitazone</w:t>
            </w:r>
            <w:proofErr w:type="spellEnd"/>
            <w:r w:rsidRPr="003B355D">
              <w:rPr>
                <w:rFonts w:ascii="Arial Narrow" w:eastAsia="Calibri" w:hAnsi="Arial Narrow"/>
                <w:snapToGrid/>
                <w:sz w:val="20"/>
              </w:rPr>
              <w:t>, a glucagon-like peptide-1 or an SGLT2 inhibitor, must be documented in the patient's medical records.</w:t>
            </w:r>
          </w:p>
        </w:tc>
      </w:tr>
      <w:tr w:rsidR="00B7361A" w:rsidRPr="003B355D" w:rsidTr="00FB0669">
        <w:tblPrEx>
          <w:tblLook w:val="04A0" w:firstRow="1" w:lastRow="0" w:firstColumn="1" w:lastColumn="0" w:noHBand="0" w:noVBand="1"/>
        </w:tblPrEx>
        <w:trPr>
          <w:trHeight w:val="360"/>
        </w:trPr>
        <w:tc>
          <w:tcPr>
            <w:tcW w:w="1875" w:type="pct"/>
          </w:tcPr>
          <w:p w:rsidR="00B7361A" w:rsidRPr="003B355D" w:rsidRDefault="00B7361A" w:rsidP="00C9551E">
            <w:pPr>
              <w:widowControl/>
              <w:rPr>
                <w:rFonts w:ascii="Arial Narrow" w:eastAsia="Calibri" w:hAnsi="Arial Narrow"/>
                <w:b/>
                <w:i/>
                <w:snapToGrid/>
                <w:sz w:val="20"/>
              </w:rPr>
            </w:pPr>
            <w:r w:rsidRPr="003B355D">
              <w:rPr>
                <w:rFonts w:ascii="Arial Narrow" w:eastAsia="Calibri" w:hAnsi="Arial Narrow"/>
                <w:b/>
                <w:i/>
                <w:snapToGrid/>
                <w:sz w:val="20"/>
              </w:rPr>
              <w:t>Administrative Advice</w:t>
            </w:r>
          </w:p>
          <w:p w:rsidR="00B7361A" w:rsidRPr="003B355D" w:rsidRDefault="00B7361A" w:rsidP="00C9551E">
            <w:pPr>
              <w:widowControl/>
              <w:rPr>
                <w:rFonts w:ascii="Arial Narrow" w:eastAsia="Calibri" w:hAnsi="Arial Narrow"/>
                <w:i/>
                <w:snapToGrid/>
                <w:sz w:val="20"/>
              </w:rPr>
            </w:pPr>
          </w:p>
          <w:p w:rsidR="00B7361A" w:rsidRPr="003B355D" w:rsidRDefault="00B7361A" w:rsidP="00C9551E">
            <w:pPr>
              <w:widowControl/>
              <w:rPr>
                <w:rFonts w:ascii="Arial Narrow" w:eastAsia="Calibri" w:hAnsi="Arial Narrow"/>
                <w:i/>
                <w:snapToGrid/>
                <w:sz w:val="20"/>
              </w:rPr>
            </w:pPr>
          </w:p>
          <w:p w:rsidR="00B7361A" w:rsidRPr="003B355D" w:rsidRDefault="00B7361A" w:rsidP="00C9551E">
            <w:pPr>
              <w:widowControl/>
              <w:rPr>
                <w:rFonts w:ascii="Arial Narrow" w:eastAsia="Calibri" w:hAnsi="Arial Narrow"/>
                <w:i/>
                <w:snapToGrid/>
                <w:sz w:val="20"/>
              </w:rPr>
            </w:pPr>
          </w:p>
        </w:tc>
        <w:tc>
          <w:tcPr>
            <w:tcW w:w="3125" w:type="pct"/>
          </w:tcPr>
          <w:p w:rsidR="00B7361A" w:rsidRPr="003B355D" w:rsidRDefault="00B7361A" w:rsidP="00C9551E">
            <w:pPr>
              <w:widowControl/>
              <w:rPr>
                <w:rFonts w:ascii="Arial Narrow" w:eastAsia="Calibri" w:hAnsi="Arial Narrow"/>
                <w:snapToGrid/>
                <w:sz w:val="20"/>
              </w:rPr>
            </w:pPr>
            <w:r w:rsidRPr="003B355D">
              <w:rPr>
                <w:rFonts w:ascii="Arial Narrow" w:eastAsia="Calibri" w:hAnsi="Arial Narrow"/>
                <w:snapToGrid/>
                <w:sz w:val="20"/>
              </w:rPr>
              <w:t>Liraglutide is not PBS-subsidised as monotherapy.</w:t>
            </w:r>
          </w:p>
          <w:p w:rsidR="00B7361A" w:rsidRPr="003B355D" w:rsidRDefault="00B7361A" w:rsidP="00C9551E">
            <w:pPr>
              <w:widowControl/>
              <w:rPr>
                <w:rFonts w:ascii="Arial Narrow" w:eastAsia="Calibri" w:hAnsi="Arial Narrow"/>
                <w:snapToGrid/>
                <w:sz w:val="20"/>
              </w:rPr>
            </w:pPr>
          </w:p>
          <w:p w:rsidR="00B7361A" w:rsidRPr="003B355D" w:rsidRDefault="00B7361A" w:rsidP="00C9551E">
            <w:pPr>
              <w:widowControl/>
              <w:rPr>
                <w:rFonts w:ascii="Arial Narrow" w:eastAsia="Calibri" w:hAnsi="Arial Narrow"/>
                <w:snapToGrid/>
                <w:sz w:val="20"/>
              </w:rPr>
            </w:pPr>
            <w:r w:rsidRPr="003B355D">
              <w:rPr>
                <w:rFonts w:ascii="Arial Narrow" w:eastAsia="Calibri" w:hAnsi="Arial Narrow"/>
                <w:snapToGrid/>
                <w:sz w:val="20"/>
              </w:rPr>
              <w:t>No increase in the maximum quantity or number of units may be authorised</w:t>
            </w:r>
          </w:p>
          <w:p w:rsidR="00B7361A" w:rsidRPr="003B355D" w:rsidRDefault="00B7361A" w:rsidP="00C9551E">
            <w:pPr>
              <w:widowControl/>
              <w:rPr>
                <w:rFonts w:ascii="Arial Narrow" w:eastAsia="Calibri" w:hAnsi="Arial Narrow"/>
                <w:snapToGrid/>
                <w:sz w:val="20"/>
              </w:rPr>
            </w:pPr>
            <w:r w:rsidRPr="003B355D">
              <w:rPr>
                <w:rFonts w:ascii="Arial Narrow" w:eastAsia="Calibri" w:hAnsi="Arial Narrow"/>
                <w:snapToGrid/>
                <w:sz w:val="20"/>
              </w:rPr>
              <w:t>No increase in the maximum number of repeats may be authorised.</w:t>
            </w:r>
          </w:p>
        </w:tc>
      </w:tr>
    </w:tbl>
    <w:p w:rsidR="00913F36" w:rsidRPr="003B355D" w:rsidRDefault="00B55E1A" w:rsidP="00B05081">
      <w:pPr>
        <w:pStyle w:val="ESnumberedpara"/>
        <w:numPr>
          <w:ilvl w:val="1"/>
          <w:numId w:val="29"/>
        </w:numPr>
        <w:rPr>
          <w:rFonts w:asciiTheme="minorHAnsi" w:hAnsiTheme="minorHAnsi"/>
          <w:sz w:val="24"/>
          <w:szCs w:val="24"/>
        </w:rPr>
      </w:pPr>
      <w:r w:rsidRPr="003B355D">
        <w:rPr>
          <w:rFonts w:asciiTheme="minorHAnsi" w:hAnsiTheme="minorHAnsi"/>
          <w:sz w:val="24"/>
          <w:szCs w:val="24"/>
        </w:rPr>
        <w:lastRenderedPageBreak/>
        <w:t>In t</w:t>
      </w:r>
      <w:r w:rsidR="005E3A6D" w:rsidRPr="003B355D">
        <w:rPr>
          <w:rFonts w:asciiTheme="minorHAnsi" w:hAnsiTheme="minorHAnsi"/>
          <w:sz w:val="24"/>
          <w:szCs w:val="24"/>
        </w:rPr>
        <w:t xml:space="preserve">he PSCR (p.1) the sponsor </w:t>
      </w:r>
      <w:r w:rsidRPr="003B355D">
        <w:rPr>
          <w:rFonts w:asciiTheme="minorHAnsi" w:hAnsiTheme="minorHAnsi"/>
          <w:sz w:val="24"/>
          <w:szCs w:val="24"/>
        </w:rPr>
        <w:t>proposed</w:t>
      </w:r>
      <w:r w:rsidR="005E3A6D" w:rsidRPr="003B355D">
        <w:rPr>
          <w:rFonts w:asciiTheme="minorHAnsi" w:hAnsiTheme="minorHAnsi"/>
          <w:sz w:val="24"/>
          <w:szCs w:val="24"/>
        </w:rPr>
        <w:t xml:space="preserve"> revis</w:t>
      </w:r>
      <w:r w:rsidRPr="003B355D">
        <w:rPr>
          <w:rFonts w:asciiTheme="minorHAnsi" w:hAnsiTheme="minorHAnsi"/>
          <w:sz w:val="24"/>
          <w:szCs w:val="24"/>
        </w:rPr>
        <w:t>ions to</w:t>
      </w:r>
      <w:r w:rsidR="005E3A6D" w:rsidRPr="003B355D">
        <w:rPr>
          <w:rFonts w:asciiTheme="minorHAnsi" w:hAnsiTheme="minorHAnsi"/>
          <w:sz w:val="24"/>
          <w:szCs w:val="24"/>
        </w:rPr>
        <w:t xml:space="preserve"> the PBS restriction and pricing for liraglutide 1.2 mg/day. The sponsor </w:t>
      </w:r>
      <w:r w:rsidRPr="003B355D">
        <w:rPr>
          <w:rFonts w:asciiTheme="minorHAnsi" w:hAnsiTheme="minorHAnsi"/>
          <w:sz w:val="24"/>
          <w:szCs w:val="24"/>
        </w:rPr>
        <w:t xml:space="preserve">requested </w:t>
      </w:r>
      <w:r w:rsidR="00A242E7">
        <w:rPr>
          <w:rFonts w:asciiTheme="minorHAnsi" w:hAnsiTheme="minorHAnsi"/>
          <w:sz w:val="24"/>
          <w:szCs w:val="24"/>
        </w:rPr>
        <w:t>progressing</w:t>
      </w:r>
      <w:r w:rsidR="00A242E7" w:rsidRPr="003B355D">
        <w:rPr>
          <w:rFonts w:asciiTheme="minorHAnsi" w:hAnsiTheme="minorHAnsi"/>
          <w:sz w:val="24"/>
          <w:szCs w:val="24"/>
        </w:rPr>
        <w:t xml:space="preserve"> </w:t>
      </w:r>
      <w:r w:rsidR="005E3A6D" w:rsidRPr="003B355D">
        <w:rPr>
          <w:rFonts w:asciiTheme="minorHAnsi" w:hAnsiTheme="minorHAnsi"/>
          <w:sz w:val="24"/>
          <w:szCs w:val="24"/>
        </w:rPr>
        <w:t xml:space="preserve">the recommendation from the PBAC in March 2013 for </w:t>
      </w:r>
      <w:proofErr w:type="spellStart"/>
      <w:r w:rsidR="005E3A6D" w:rsidRPr="003B355D">
        <w:rPr>
          <w:rFonts w:asciiTheme="minorHAnsi" w:hAnsiTheme="minorHAnsi"/>
          <w:sz w:val="24"/>
          <w:szCs w:val="24"/>
        </w:rPr>
        <w:t>Victoza</w:t>
      </w:r>
      <w:proofErr w:type="spellEnd"/>
      <w:r w:rsidR="005E3A6D" w:rsidRPr="003B355D">
        <w:rPr>
          <w:rFonts w:asciiTheme="minorHAnsi" w:hAnsiTheme="minorHAnsi"/>
          <w:sz w:val="24"/>
          <w:szCs w:val="24"/>
        </w:rPr>
        <w:t>® 1.2 mg/day (2 pen pack): DPMQ $</w:t>
      </w:r>
      <w:r w:rsidR="002578F9">
        <w:rPr>
          <w:rFonts w:asciiTheme="minorHAnsi" w:hAnsiTheme="minorHAnsi"/>
          <w:noProof/>
          <w:color w:val="000000"/>
          <w:sz w:val="24"/>
          <w:szCs w:val="24"/>
          <w:highlight w:val="black"/>
        </w:rPr>
        <w:t>''''''''''' '''''''''''''''''''' '''' '''''''''''' '''''''''''''''''''''' '''''''''' '''''''''''''''''''''''''  ''''' ''''' ''''''''' ''' ''''''''''''''''' ''''''''''''''' ''''''''''''' '''''''''''''''' ''''''''''''''' '''''' ''''''''''''''' '''''''''''''''' '''' ''''''' ''''''''''''' '''''''''''''''' '''''''' ''''''''''''''''''' ''''''''' ''''''' '''''''''''' '''''''''''''' ''''''''' ''''''''''''''''' ''''' ''''''</w:t>
      </w:r>
      <w:r w:rsidR="005E3A6D" w:rsidRPr="007E0044">
        <w:rPr>
          <w:rFonts w:asciiTheme="minorHAnsi" w:hAnsiTheme="minorHAnsi"/>
          <w:sz w:val="24"/>
          <w:szCs w:val="24"/>
        </w:rPr>
        <w:t>.</w:t>
      </w:r>
      <w:r w:rsidR="005E3A6D" w:rsidRPr="003B355D">
        <w:rPr>
          <w:rFonts w:asciiTheme="minorHAnsi" w:hAnsiTheme="minorHAnsi"/>
          <w:sz w:val="24"/>
          <w:szCs w:val="24"/>
        </w:rPr>
        <w:t xml:space="preserve"> The ESC noted the March 2013 recommendation did not include combination use with insulin.</w:t>
      </w:r>
      <w:r w:rsidR="00913F36" w:rsidRPr="003B355D">
        <w:rPr>
          <w:rFonts w:asciiTheme="minorHAnsi" w:hAnsiTheme="minorHAnsi"/>
          <w:sz w:val="24"/>
          <w:szCs w:val="24"/>
        </w:rPr>
        <w:t xml:space="preserve"> </w:t>
      </w:r>
    </w:p>
    <w:p w:rsidR="00913F36" w:rsidRPr="003B355D" w:rsidRDefault="00913F36" w:rsidP="00B05081">
      <w:pPr>
        <w:pStyle w:val="ESnumberedpara"/>
        <w:numPr>
          <w:ilvl w:val="1"/>
          <w:numId w:val="29"/>
        </w:numPr>
        <w:rPr>
          <w:rFonts w:asciiTheme="minorHAnsi" w:hAnsiTheme="minorHAnsi"/>
          <w:sz w:val="24"/>
          <w:szCs w:val="24"/>
        </w:rPr>
      </w:pPr>
      <w:r w:rsidRPr="003B355D">
        <w:rPr>
          <w:rFonts w:asciiTheme="minorHAnsi" w:hAnsiTheme="minorHAnsi"/>
          <w:sz w:val="24"/>
          <w:szCs w:val="24"/>
        </w:rPr>
        <w:t>Prior to March 2013, the submissions for liraglutide did not present any efficacy data for liraglutide 1.2</w:t>
      </w:r>
      <w:r w:rsidR="00FA3788" w:rsidRPr="003B355D">
        <w:rPr>
          <w:rFonts w:asciiTheme="minorHAnsi" w:hAnsiTheme="minorHAnsi"/>
          <w:sz w:val="24"/>
          <w:szCs w:val="24"/>
        </w:rPr>
        <w:t xml:space="preserve"> </w:t>
      </w:r>
      <w:r w:rsidRPr="003B355D">
        <w:rPr>
          <w:rFonts w:asciiTheme="minorHAnsi" w:hAnsiTheme="minorHAnsi"/>
          <w:sz w:val="24"/>
          <w:szCs w:val="24"/>
        </w:rPr>
        <w:t>mg daily as the submissions assumed that liraglutide 1.2</w:t>
      </w:r>
      <w:r w:rsidR="00FA3788" w:rsidRPr="003B355D">
        <w:rPr>
          <w:rFonts w:asciiTheme="minorHAnsi" w:hAnsiTheme="minorHAnsi"/>
          <w:sz w:val="24"/>
          <w:szCs w:val="24"/>
        </w:rPr>
        <w:t xml:space="preserve"> </w:t>
      </w:r>
      <w:r w:rsidRPr="003B355D">
        <w:rPr>
          <w:rFonts w:asciiTheme="minorHAnsi" w:hAnsiTheme="minorHAnsi"/>
          <w:sz w:val="24"/>
          <w:szCs w:val="24"/>
        </w:rPr>
        <w:t>mg/day was a titration dose and all patients would up-titrate to 1.8</w:t>
      </w:r>
      <w:r w:rsidR="00FA3788" w:rsidRPr="003B355D">
        <w:rPr>
          <w:rFonts w:asciiTheme="minorHAnsi" w:hAnsiTheme="minorHAnsi"/>
          <w:sz w:val="24"/>
          <w:szCs w:val="24"/>
        </w:rPr>
        <w:t xml:space="preserve"> </w:t>
      </w:r>
      <w:r w:rsidRPr="003B355D">
        <w:rPr>
          <w:rFonts w:asciiTheme="minorHAnsi" w:hAnsiTheme="minorHAnsi"/>
          <w:sz w:val="24"/>
          <w:szCs w:val="24"/>
        </w:rPr>
        <w:t>mg/day based on Study 1797 (LEAD-6). The March 2013 re-submission assumed that the most common dose of liraglutide would be 1.2</w:t>
      </w:r>
      <w:r w:rsidR="00FA3788" w:rsidRPr="003B355D">
        <w:rPr>
          <w:rFonts w:asciiTheme="minorHAnsi" w:hAnsiTheme="minorHAnsi"/>
          <w:sz w:val="24"/>
          <w:szCs w:val="24"/>
        </w:rPr>
        <w:t xml:space="preserve"> </w:t>
      </w:r>
      <w:r w:rsidRPr="003B355D">
        <w:rPr>
          <w:rFonts w:asciiTheme="minorHAnsi" w:hAnsiTheme="minorHAnsi"/>
          <w:sz w:val="24"/>
          <w:szCs w:val="24"/>
        </w:rPr>
        <w:t>mg/day based on German usage data.</w:t>
      </w:r>
      <w:r w:rsidR="00FA3788" w:rsidRPr="003B355D">
        <w:rPr>
          <w:rFonts w:asciiTheme="minorHAnsi" w:hAnsiTheme="minorHAnsi"/>
          <w:sz w:val="24"/>
          <w:szCs w:val="24"/>
        </w:rPr>
        <w:t xml:space="preserve"> In this resubmission, the dose in the LEADER trial was titrated to 1.8 mg, with 84.8% of</w:t>
      </w:r>
      <w:r w:rsidR="00FA3788" w:rsidRPr="003B355D">
        <w:rPr>
          <w:rFonts w:asciiTheme="minorHAnsi" w:hAnsiTheme="minorHAnsi"/>
          <w:i/>
          <w:sz w:val="24"/>
          <w:szCs w:val="24"/>
        </w:rPr>
        <w:t xml:space="preserve"> </w:t>
      </w:r>
      <w:r w:rsidR="00FA3788" w:rsidRPr="003B355D">
        <w:rPr>
          <w:rFonts w:asciiTheme="minorHAnsi" w:hAnsiTheme="minorHAnsi"/>
          <w:sz w:val="24"/>
          <w:szCs w:val="24"/>
        </w:rPr>
        <w:t xml:space="preserve">patients exposed to 1.8 mg. </w:t>
      </w:r>
    </w:p>
    <w:p w:rsidR="00913F36" w:rsidRPr="003B355D" w:rsidRDefault="00B55E1A" w:rsidP="00B05081">
      <w:pPr>
        <w:pStyle w:val="ESnumberedpara"/>
        <w:numPr>
          <w:ilvl w:val="1"/>
          <w:numId w:val="29"/>
        </w:numPr>
        <w:rPr>
          <w:rFonts w:asciiTheme="minorHAnsi" w:hAnsiTheme="minorHAnsi"/>
          <w:sz w:val="24"/>
          <w:szCs w:val="24"/>
        </w:rPr>
      </w:pPr>
      <w:r w:rsidRPr="003B355D">
        <w:rPr>
          <w:rFonts w:asciiTheme="minorHAnsi" w:hAnsiTheme="minorHAnsi" w:cs="Arial"/>
          <w:color w:val="222222"/>
          <w:sz w:val="24"/>
          <w:szCs w:val="24"/>
          <w:lang w:eastAsia="en-AU"/>
        </w:rPr>
        <w:t>In t</w:t>
      </w:r>
      <w:r w:rsidR="005E3A6D" w:rsidRPr="003B355D">
        <w:rPr>
          <w:rFonts w:asciiTheme="minorHAnsi" w:hAnsiTheme="minorHAnsi" w:cs="Arial"/>
          <w:color w:val="222222"/>
          <w:sz w:val="24"/>
          <w:szCs w:val="24"/>
          <w:lang w:eastAsia="en-AU"/>
        </w:rPr>
        <w:t>he</w:t>
      </w:r>
      <w:r w:rsidR="005E3A6D" w:rsidRPr="003B355D">
        <w:rPr>
          <w:rFonts w:asciiTheme="minorHAnsi" w:hAnsiTheme="minorHAnsi"/>
          <w:sz w:val="24"/>
          <w:szCs w:val="24"/>
        </w:rPr>
        <w:t xml:space="preserve"> PSCR (p.1) the sponsor </w:t>
      </w:r>
      <w:r w:rsidRPr="003B355D">
        <w:rPr>
          <w:rFonts w:asciiTheme="minorHAnsi" w:hAnsiTheme="minorHAnsi"/>
          <w:sz w:val="24"/>
          <w:szCs w:val="24"/>
        </w:rPr>
        <w:t xml:space="preserve">proposed </w:t>
      </w:r>
      <w:r w:rsidR="005E3A6D" w:rsidRPr="003B355D">
        <w:rPr>
          <w:rFonts w:asciiTheme="minorHAnsi" w:hAnsiTheme="minorHAnsi"/>
          <w:sz w:val="24"/>
          <w:szCs w:val="24"/>
        </w:rPr>
        <w:t>revis</w:t>
      </w:r>
      <w:r w:rsidRPr="003B355D">
        <w:rPr>
          <w:rFonts w:asciiTheme="minorHAnsi" w:hAnsiTheme="minorHAnsi"/>
          <w:sz w:val="24"/>
          <w:szCs w:val="24"/>
        </w:rPr>
        <w:t>ions to</w:t>
      </w:r>
      <w:r w:rsidR="005E3A6D" w:rsidRPr="003B355D">
        <w:rPr>
          <w:rFonts w:asciiTheme="minorHAnsi" w:hAnsiTheme="minorHAnsi"/>
          <w:sz w:val="24"/>
          <w:szCs w:val="24"/>
        </w:rPr>
        <w:t xml:space="preserve"> the PBS restriction and pricing for liraglutide 1.8</w:t>
      </w:r>
      <w:r w:rsidR="00197B5E" w:rsidRPr="003B355D">
        <w:rPr>
          <w:rFonts w:asciiTheme="minorHAnsi" w:hAnsiTheme="minorHAnsi"/>
          <w:sz w:val="24"/>
          <w:szCs w:val="24"/>
        </w:rPr>
        <w:t xml:space="preserve"> </w:t>
      </w:r>
      <w:r w:rsidR="005E3A6D" w:rsidRPr="003B355D">
        <w:rPr>
          <w:rFonts w:asciiTheme="minorHAnsi" w:hAnsiTheme="minorHAnsi"/>
          <w:sz w:val="24"/>
          <w:szCs w:val="24"/>
        </w:rPr>
        <w:t>mg/day (3 pen pack): DPMQ $</w:t>
      </w:r>
      <w:r w:rsidR="002578F9">
        <w:rPr>
          <w:rFonts w:asciiTheme="minorHAnsi" w:hAnsiTheme="minorHAnsi"/>
          <w:noProof/>
          <w:color w:val="000000"/>
          <w:sz w:val="24"/>
          <w:szCs w:val="24"/>
          <w:highlight w:val="black"/>
        </w:rPr>
        <w:t>''''''''''''</w:t>
      </w:r>
      <w:r w:rsidR="005E3A6D" w:rsidRPr="003B355D">
        <w:rPr>
          <w:rFonts w:asciiTheme="minorHAnsi" w:hAnsiTheme="minorHAnsi"/>
          <w:sz w:val="24"/>
          <w:szCs w:val="24"/>
        </w:rPr>
        <w:t xml:space="preserve"> (1.5 × ex-manufacturer price for the 1.2</w:t>
      </w:r>
      <w:r w:rsidR="00197B5E" w:rsidRPr="003B355D">
        <w:rPr>
          <w:rFonts w:asciiTheme="minorHAnsi" w:hAnsiTheme="minorHAnsi"/>
          <w:sz w:val="24"/>
          <w:szCs w:val="24"/>
        </w:rPr>
        <w:t xml:space="preserve"> </w:t>
      </w:r>
      <w:r w:rsidR="005E3A6D" w:rsidRPr="003B355D">
        <w:rPr>
          <w:rFonts w:asciiTheme="minorHAnsi" w:hAnsiTheme="minorHAnsi"/>
          <w:sz w:val="24"/>
          <w:szCs w:val="24"/>
        </w:rPr>
        <w:t>mg/day dose) for patients with T2DM at high cardiovascular (CV) risk. The ESC was uncertain whether the progression of 1.2</w:t>
      </w:r>
      <w:r w:rsidR="00197B5E" w:rsidRPr="003B355D">
        <w:rPr>
          <w:rFonts w:asciiTheme="minorHAnsi" w:hAnsiTheme="minorHAnsi"/>
          <w:sz w:val="24"/>
          <w:szCs w:val="24"/>
        </w:rPr>
        <w:t> </w:t>
      </w:r>
      <w:r w:rsidR="005E3A6D" w:rsidRPr="003B355D">
        <w:rPr>
          <w:rFonts w:asciiTheme="minorHAnsi" w:hAnsiTheme="minorHAnsi"/>
          <w:sz w:val="24"/>
          <w:szCs w:val="24"/>
        </w:rPr>
        <w:t>mg/day recommendation would go ahead regardless of the outcome for the 1.8</w:t>
      </w:r>
      <w:r w:rsidR="00197B5E" w:rsidRPr="003B355D">
        <w:rPr>
          <w:rFonts w:asciiTheme="minorHAnsi" w:hAnsiTheme="minorHAnsi"/>
          <w:sz w:val="24"/>
          <w:szCs w:val="24"/>
        </w:rPr>
        <w:t> </w:t>
      </w:r>
      <w:r w:rsidR="005E3A6D" w:rsidRPr="003B355D">
        <w:rPr>
          <w:rFonts w:asciiTheme="minorHAnsi" w:hAnsiTheme="minorHAnsi"/>
          <w:sz w:val="24"/>
          <w:szCs w:val="24"/>
        </w:rPr>
        <w:t>mg/day proposed restriction</w:t>
      </w:r>
      <w:r w:rsidR="00913F36" w:rsidRPr="003B355D">
        <w:t xml:space="preserve"> </w:t>
      </w:r>
      <w:r w:rsidR="00913F36" w:rsidRPr="003B355D">
        <w:rPr>
          <w:rFonts w:asciiTheme="minorHAnsi" w:hAnsiTheme="minorHAnsi"/>
          <w:sz w:val="24"/>
          <w:szCs w:val="24"/>
        </w:rPr>
        <w:t xml:space="preserve">and how the different restrictions by strength could be implemented in clinical practice. </w:t>
      </w:r>
      <w:r w:rsidR="00B7361A" w:rsidRPr="003B355D">
        <w:rPr>
          <w:rFonts w:asciiTheme="minorHAnsi" w:hAnsiTheme="minorHAnsi"/>
          <w:sz w:val="24"/>
          <w:szCs w:val="24"/>
        </w:rPr>
        <w:t>The Pre-PBAC response (p.1) indicated the 1.2</w:t>
      </w:r>
      <w:r w:rsidRPr="003B355D">
        <w:rPr>
          <w:rFonts w:asciiTheme="minorHAnsi" w:hAnsiTheme="minorHAnsi"/>
          <w:sz w:val="24"/>
          <w:szCs w:val="24"/>
        </w:rPr>
        <w:t> </w:t>
      </w:r>
      <w:r w:rsidR="00B7361A" w:rsidRPr="003B355D">
        <w:rPr>
          <w:rFonts w:asciiTheme="minorHAnsi" w:hAnsiTheme="minorHAnsi"/>
          <w:sz w:val="24"/>
          <w:szCs w:val="24"/>
        </w:rPr>
        <w:t xml:space="preserve">mg/day </w:t>
      </w:r>
      <w:r w:rsidRPr="003B355D">
        <w:rPr>
          <w:rFonts w:asciiTheme="minorHAnsi" w:hAnsiTheme="minorHAnsi"/>
          <w:sz w:val="24"/>
          <w:szCs w:val="24"/>
        </w:rPr>
        <w:t xml:space="preserve">listing </w:t>
      </w:r>
      <w:r w:rsidR="00B7361A" w:rsidRPr="003B355D">
        <w:rPr>
          <w:rFonts w:asciiTheme="minorHAnsi" w:hAnsiTheme="minorHAnsi"/>
          <w:sz w:val="24"/>
          <w:szCs w:val="24"/>
        </w:rPr>
        <w:t>would go ahead alongside 1.8</w:t>
      </w:r>
      <w:r w:rsidRPr="003B355D">
        <w:rPr>
          <w:rFonts w:asciiTheme="minorHAnsi" w:hAnsiTheme="minorHAnsi"/>
          <w:sz w:val="24"/>
          <w:szCs w:val="24"/>
        </w:rPr>
        <w:t> </w:t>
      </w:r>
      <w:r w:rsidR="00B7361A" w:rsidRPr="003B355D">
        <w:rPr>
          <w:rFonts w:asciiTheme="minorHAnsi" w:hAnsiTheme="minorHAnsi"/>
          <w:sz w:val="24"/>
          <w:szCs w:val="24"/>
        </w:rPr>
        <w:t xml:space="preserve">mg/day and having both doses available would meet the clinical need for T2DM </w:t>
      </w:r>
      <w:r w:rsidR="00B05081" w:rsidRPr="003B355D">
        <w:rPr>
          <w:rFonts w:asciiTheme="minorHAnsi" w:hAnsiTheme="minorHAnsi"/>
          <w:sz w:val="24"/>
          <w:szCs w:val="24"/>
        </w:rPr>
        <w:t>patients</w:t>
      </w:r>
      <w:r w:rsidR="00B7361A" w:rsidRPr="003B355D">
        <w:rPr>
          <w:rFonts w:asciiTheme="minorHAnsi" w:hAnsiTheme="minorHAnsi"/>
          <w:sz w:val="24"/>
          <w:szCs w:val="24"/>
        </w:rPr>
        <w:t>.</w:t>
      </w:r>
    </w:p>
    <w:p w:rsidR="00FA6B43" w:rsidRPr="003B355D" w:rsidRDefault="00FA6B43" w:rsidP="00DA62D8">
      <w:pPr>
        <w:pStyle w:val="ESnumberedpara"/>
        <w:numPr>
          <w:ilvl w:val="1"/>
          <w:numId w:val="29"/>
        </w:numPr>
        <w:rPr>
          <w:rFonts w:asciiTheme="minorHAnsi" w:hAnsiTheme="minorHAnsi"/>
          <w:sz w:val="24"/>
          <w:szCs w:val="24"/>
        </w:rPr>
      </w:pPr>
      <w:r w:rsidRPr="003B355D">
        <w:rPr>
          <w:rFonts w:asciiTheme="minorHAnsi" w:hAnsiTheme="minorHAnsi" w:cs="Arial"/>
          <w:color w:val="222222"/>
          <w:sz w:val="24"/>
          <w:szCs w:val="24"/>
          <w:lang w:eastAsia="en-AU"/>
        </w:rPr>
        <w:t xml:space="preserve">The ESC considered the proposed restrictions to be complex and unworkable with incentive to send patients for unnecessary tests and exclusion of patients who may benefit. </w:t>
      </w:r>
      <w:r w:rsidRPr="003B355D">
        <w:rPr>
          <w:rFonts w:asciiTheme="minorHAnsi" w:hAnsiTheme="minorHAnsi"/>
          <w:sz w:val="24"/>
          <w:szCs w:val="24"/>
        </w:rPr>
        <w:t>The restriction would be difficult to implement in practice. Although the trial was for a highly selected population, it is unclear whether other patients would benefit; particularly younger patients or those with undiagnosed CV disease.</w:t>
      </w:r>
      <w:r w:rsidR="00B540CE" w:rsidRPr="003B355D">
        <w:rPr>
          <w:rFonts w:asciiTheme="minorHAnsi" w:hAnsiTheme="minorHAnsi"/>
          <w:sz w:val="24"/>
          <w:szCs w:val="24"/>
        </w:rPr>
        <w:t xml:space="preserve"> </w:t>
      </w:r>
      <w:r w:rsidR="00052204" w:rsidRPr="003B355D">
        <w:rPr>
          <w:rFonts w:asciiTheme="minorHAnsi" w:hAnsiTheme="minorHAnsi"/>
          <w:sz w:val="24"/>
          <w:szCs w:val="24"/>
        </w:rPr>
        <w:t>Inclusion of age criteria may be inappropriate, especially for patients with symptomatic CV disease.</w:t>
      </w:r>
    </w:p>
    <w:p w:rsidR="00A40A52" w:rsidRPr="003B355D" w:rsidRDefault="00A40A52" w:rsidP="00F063C7">
      <w:pPr>
        <w:spacing w:after="120" w:line="276" w:lineRule="auto"/>
        <w:rPr>
          <w:rFonts w:asciiTheme="minorHAnsi" w:eastAsia="SimSun" w:hAnsiTheme="minorHAnsi"/>
          <w:i/>
          <w:iCs/>
          <w:color w:val="000000"/>
          <w:sz w:val="24"/>
          <w:szCs w:val="24"/>
        </w:rPr>
      </w:pPr>
      <w:r w:rsidRPr="003B355D">
        <w:rPr>
          <w:rFonts w:asciiTheme="minorHAnsi" w:eastAsia="SimSun" w:hAnsiTheme="minorHAnsi"/>
          <w:i/>
          <w:iCs/>
          <w:color w:val="000000"/>
          <w:sz w:val="24"/>
          <w:szCs w:val="24"/>
        </w:rPr>
        <w:t>For more detail on PBAC’s view, see section 7 “PBAC outcome”</w:t>
      </w:r>
    </w:p>
    <w:p w:rsidR="00137F8D" w:rsidRPr="003B355D" w:rsidRDefault="00137F8D" w:rsidP="00D54241">
      <w:pPr>
        <w:pStyle w:val="Heading1"/>
        <w:keepNext/>
        <w:keepLines/>
        <w:widowControl/>
        <w:numPr>
          <w:ilvl w:val="0"/>
          <w:numId w:val="4"/>
        </w:numPr>
        <w:spacing w:before="400" w:after="120"/>
        <w:ind w:left="709" w:hanging="709"/>
        <w:rPr>
          <w:rFonts w:eastAsiaTheme="majorEastAsia" w:cstheme="majorBidi"/>
          <w:caps w:val="0"/>
          <w:snapToGrid/>
          <w:szCs w:val="28"/>
        </w:rPr>
      </w:pPr>
      <w:bookmarkStart w:id="8" w:name="_Toc413139273"/>
      <w:bookmarkStart w:id="9" w:name="_Toc476306883"/>
      <w:bookmarkStart w:id="10" w:name="_Toc482048971"/>
      <w:r w:rsidRPr="003B355D">
        <w:rPr>
          <w:rFonts w:eastAsiaTheme="majorEastAsia" w:cstheme="majorBidi"/>
          <w:caps w:val="0"/>
          <w:snapToGrid/>
          <w:szCs w:val="28"/>
        </w:rPr>
        <w:t>Background</w:t>
      </w:r>
      <w:bookmarkEnd w:id="8"/>
      <w:bookmarkEnd w:id="9"/>
      <w:bookmarkEnd w:id="10"/>
    </w:p>
    <w:p w:rsidR="001C4143" w:rsidRPr="003B355D" w:rsidRDefault="001C4143" w:rsidP="001C4143">
      <w:pPr>
        <w:pStyle w:val="ListParagraph"/>
        <w:widowControl/>
        <w:numPr>
          <w:ilvl w:val="0"/>
          <w:numId w:val="30"/>
        </w:numPr>
        <w:spacing w:before="120" w:after="160"/>
        <w:contextualSpacing w:val="0"/>
        <w:rPr>
          <w:rFonts w:asciiTheme="minorHAnsi" w:eastAsiaTheme="minorHAnsi" w:hAnsiTheme="minorHAnsi" w:cstheme="minorBidi"/>
          <w:snapToGrid/>
          <w:vanish/>
          <w:sz w:val="24"/>
          <w:szCs w:val="24"/>
        </w:rPr>
      </w:pPr>
    </w:p>
    <w:p w:rsidR="001C4143" w:rsidRPr="003B355D" w:rsidRDefault="001C4143" w:rsidP="001C4143">
      <w:pPr>
        <w:pStyle w:val="ListParagraph"/>
        <w:widowControl/>
        <w:numPr>
          <w:ilvl w:val="0"/>
          <w:numId w:val="30"/>
        </w:numPr>
        <w:spacing w:before="120" w:after="160"/>
        <w:contextualSpacing w:val="0"/>
        <w:rPr>
          <w:rFonts w:asciiTheme="minorHAnsi" w:eastAsiaTheme="minorHAnsi" w:hAnsiTheme="minorHAnsi" w:cstheme="minorBidi"/>
          <w:snapToGrid/>
          <w:vanish/>
          <w:sz w:val="24"/>
          <w:szCs w:val="24"/>
        </w:rPr>
      </w:pPr>
    </w:p>
    <w:p w:rsidR="001C4143" w:rsidRPr="003B355D" w:rsidRDefault="001C4143" w:rsidP="001C4143">
      <w:pPr>
        <w:pStyle w:val="ListParagraph"/>
        <w:widowControl/>
        <w:numPr>
          <w:ilvl w:val="0"/>
          <w:numId w:val="30"/>
        </w:numPr>
        <w:spacing w:before="120" w:after="160"/>
        <w:contextualSpacing w:val="0"/>
        <w:rPr>
          <w:rFonts w:asciiTheme="minorHAnsi" w:eastAsiaTheme="minorHAnsi" w:hAnsiTheme="minorHAnsi" w:cstheme="minorBidi"/>
          <w:snapToGrid/>
          <w:vanish/>
          <w:sz w:val="24"/>
          <w:szCs w:val="24"/>
        </w:rPr>
      </w:pPr>
    </w:p>
    <w:p w:rsidR="00DB5EC1" w:rsidRPr="003B355D" w:rsidRDefault="009930BA" w:rsidP="00B05081">
      <w:pPr>
        <w:pStyle w:val="ESnumberedpara"/>
        <w:numPr>
          <w:ilvl w:val="1"/>
          <w:numId w:val="30"/>
        </w:numPr>
        <w:rPr>
          <w:rFonts w:asciiTheme="minorHAnsi" w:hAnsiTheme="minorHAnsi"/>
          <w:sz w:val="24"/>
          <w:szCs w:val="24"/>
        </w:rPr>
      </w:pPr>
      <w:r w:rsidRPr="003B355D">
        <w:rPr>
          <w:rFonts w:asciiTheme="minorHAnsi" w:hAnsiTheme="minorHAnsi"/>
          <w:sz w:val="24"/>
          <w:szCs w:val="24"/>
        </w:rPr>
        <w:t>Liraglutide (</w:t>
      </w:r>
      <w:proofErr w:type="spellStart"/>
      <w:r w:rsidRPr="003B355D">
        <w:rPr>
          <w:rFonts w:asciiTheme="minorHAnsi" w:hAnsiTheme="minorHAnsi"/>
          <w:sz w:val="24"/>
          <w:szCs w:val="24"/>
        </w:rPr>
        <w:t>Victoza</w:t>
      </w:r>
      <w:proofErr w:type="spellEnd"/>
      <w:r w:rsidRPr="003B355D">
        <w:rPr>
          <w:rFonts w:asciiTheme="minorHAnsi" w:hAnsiTheme="minorHAnsi"/>
          <w:sz w:val="24"/>
          <w:szCs w:val="24"/>
          <w:vertAlign w:val="superscript"/>
        </w:rPr>
        <w:t>®</w:t>
      </w:r>
      <w:r w:rsidRPr="003B355D">
        <w:rPr>
          <w:rFonts w:asciiTheme="minorHAnsi" w:hAnsiTheme="minorHAnsi"/>
          <w:sz w:val="24"/>
          <w:szCs w:val="24"/>
        </w:rPr>
        <w:t>) was registered on the Australian Register of Therapeutic Goods (ARTG) on 28 August 2010 as an adjunct to diet and exercise for the treatment of adults with Type 2 diabetes mellitus to achieve glycaemic control</w:t>
      </w:r>
      <w:r w:rsidR="009D72A9" w:rsidRPr="003B355D">
        <w:rPr>
          <w:rFonts w:asciiTheme="minorHAnsi" w:hAnsiTheme="minorHAnsi"/>
          <w:sz w:val="24"/>
          <w:szCs w:val="24"/>
        </w:rPr>
        <w:t xml:space="preserve"> in dual combination therapy with metformin or a sulfonylurea, triple combination therapy with metformin and a sulfonylurea, and </w:t>
      </w:r>
      <w:r w:rsidR="00B05081" w:rsidRPr="003B355D">
        <w:rPr>
          <w:rFonts w:asciiTheme="minorHAnsi" w:hAnsiTheme="minorHAnsi"/>
          <w:sz w:val="24"/>
          <w:szCs w:val="24"/>
        </w:rPr>
        <w:t>in combination therapy with basal insulin, with or without metformin</w:t>
      </w:r>
      <w:r w:rsidR="009D72A9" w:rsidRPr="003B355D">
        <w:rPr>
          <w:rFonts w:asciiTheme="minorHAnsi" w:hAnsiTheme="minorHAnsi"/>
          <w:sz w:val="24"/>
          <w:szCs w:val="24"/>
        </w:rPr>
        <w:t>. Liraglutide (</w:t>
      </w:r>
      <w:proofErr w:type="spellStart"/>
      <w:r w:rsidR="009D72A9" w:rsidRPr="003B355D">
        <w:rPr>
          <w:rFonts w:asciiTheme="minorHAnsi" w:hAnsiTheme="minorHAnsi"/>
          <w:sz w:val="24"/>
          <w:szCs w:val="24"/>
        </w:rPr>
        <w:t>Saxenda</w:t>
      </w:r>
      <w:proofErr w:type="spellEnd"/>
      <w:r w:rsidR="009D72A9" w:rsidRPr="003B355D">
        <w:rPr>
          <w:rFonts w:asciiTheme="minorHAnsi" w:hAnsiTheme="minorHAnsi"/>
          <w:sz w:val="24"/>
          <w:szCs w:val="24"/>
          <w:vertAlign w:val="superscript"/>
        </w:rPr>
        <w:t>®</w:t>
      </w:r>
      <w:r w:rsidR="009D72A9" w:rsidRPr="003B355D">
        <w:rPr>
          <w:rFonts w:asciiTheme="minorHAnsi" w:hAnsiTheme="minorHAnsi"/>
          <w:sz w:val="24"/>
          <w:szCs w:val="24"/>
        </w:rPr>
        <w:t>) is also registered on the ARTG as an adjunct to a reduced-calorie diet and increased physical activity for chronic weight management in adult patients.</w:t>
      </w:r>
      <w:r w:rsidR="00DB5EC1" w:rsidRPr="003B355D">
        <w:rPr>
          <w:rFonts w:asciiTheme="minorHAnsi" w:hAnsiTheme="minorHAnsi"/>
          <w:sz w:val="24"/>
          <w:szCs w:val="24"/>
        </w:rPr>
        <w:t xml:space="preserve"> </w:t>
      </w:r>
    </w:p>
    <w:p w:rsidR="00DB5EC1" w:rsidRPr="003B355D" w:rsidRDefault="00DB5EC1" w:rsidP="001C4143">
      <w:pPr>
        <w:pStyle w:val="ESnumberedpara"/>
        <w:numPr>
          <w:ilvl w:val="1"/>
          <w:numId w:val="30"/>
        </w:numPr>
        <w:rPr>
          <w:rFonts w:asciiTheme="minorHAnsi" w:hAnsiTheme="minorHAnsi"/>
          <w:sz w:val="24"/>
          <w:szCs w:val="24"/>
        </w:rPr>
      </w:pPr>
      <w:r w:rsidRPr="003B355D">
        <w:rPr>
          <w:rFonts w:asciiTheme="minorHAnsi" w:hAnsiTheme="minorHAnsi"/>
          <w:sz w:val="24"/>
          <w:szCs w:val="24"/>
        </w:rPr>
        <w:lastRenderedPageBreak/>
        <w:t>A</w:t>
      </w:r>
      <w:r w:rsidR="00B55E1A" w:rsidRPr="003B355D">
        <w:rPr>
          <w:rFonts w:asciiTheme="minorHAnsi" w:hAnsiTheme="minorHAnsi"/>
          <w:sz w:val="24"/>
          <w:szCs w:val="24"/>
        </w:rPr>
        <w:t xml:space="preserve"> TGA</w:t>
      </w:r>
      <w:r w:rsidRPr="003B355D">
        <w:rPr>
          <w:rFonts w:asciiTheme="minorHAnsi" w:hAnsiTheme="minorHAnsi"/>
          <w:sz w:val="24"/>
          <w:szCs w:val="24"/>
        </w:rPr>
        <w:t xml:space="preserve"> application for an extension of the current liraglutide indication to include the treatment of patients with Type 2 diabetes and high cardiovascular risk was submitted on 31 October 2016 and will be considered at the December 2017 Advisory Committee on Medicines meeting. TGA documents were not available during the evaluation. The ESC advised the concurrent review of the pivotal evidence presented in the LEADER trial is of relevance to the PBAC. </w:t>
      </w:r>
      <w:r w:rsidR="006603D3" w:rsidRPr="003B355D">
        <w:rPr>
          <w:rFonts w:asciiTheme="minorHAnsi" w:hAnsiTheme="minorHAnsi"/>
          <w:sz w:val="24"/>
          <w:szCs w:val="24"/>
        </w:rPr>
        <w:t xml:space="preserve">The PBAC agreed the outcome of the TGA evaluation will be informative. </w:t>
      </w:r>
    </w:p>
    <w:p w:rsidR="001C4143" w:rsidRPr="003B355D" w:rsidRDefault="001C4143" w:rsidP="001C4143">
      <w:pPr>
        <w:pStyle w:val="ListParagraph"/>
        <w:widowControl/>
        <w:numPr>
          <w:ilvl w:val="0"/>
          <w:numId w:val="31"/>
        </w:numPr>
        <w:spacing w:before="120" w:after="160"/>
        <w:contextualSpacing w:val="0"/>
        <w:rPr>
          <w:rFonts w:asciiTheme="minorHAnsi" w:eastAsiaTheme="minorHAnsi" w:hAnsiTheme="minorHAnsi" w:cstheme="minorBidi"/>
          <w:snapToGrid/>
          <w:vanish/>
          <w:sz w:val="24"/>
          <w:szCs w:val="24"/>
        </w:rPr>
      </w:pPr>
    </w:p>
    <w:p w:rsidR="001C4143" w:rsidRPr="003B355D" w:rsidRDefault="001C4143" w:rsidP="001C4143">
      <w:pPr>
        <w:pStyle w:val="ListParagraph"/>
        <w:widowControl/>
        <w:numPr>
          <w:ilvl w:val="0"/>
          <w:numId w:val="31"/>
        </w:numPr>
        <w:spacing w:before="120" w:after="160"/>
        <w:contextualSpacing w:val="0"/>
        <w:rPr>
          <w:rFonts w:asciiTheme="minorHAnsi" w:eastAsiaTheme="minorHAnsi" w:hAnsiTheme="minorHAnsi" w:cstheme="minorBidi"/>
          <w:snapToGrid/>
          <w:vanish/>
          <w:sz w:val="24"/>
          <w:szCs w:val="24"/>
        </w:rPr>
      </w:pPr>
    </w:p>
    <w:p w:rsidR="00137F8D" w:rsidRPr="003B355D" w:rsidRDefault="009D72A9" w:rsidP="001C4143">
      <w:pPr>
        <w:pStyle w:val="ESnumberedparablue"/>
        <w:numPr>
          <w:ilvl w:val="1"/>
          <w:numId w:val="31"/>
        </w:numPr>
        <w:rPr>
          <w:rFonts w:asciiTheme="minorHAnsi" w:hAnsiTheme="minorHAnsi"/>
          <w:color w:val="auto"/>
          <w:sz w:val="24"/>
          <w:szCs w:val="24"/>
        </w:rPr>
      </w:pPr>
      <w:r w:rsidRPr="003B355D">
        <w:rPr>
          <w:rFonts w:asciiTheme="minorHAnsi" w:hAnsiTheme="minorHAnsi"/>
          <w:color w:val="auto"/>
          <w:sz w:val="24"/>
          <w:szCs w:val="24"/>
        </w:rPr>
        <w:t xml:space="preserve">Liraglutide has been considered </w:t>
      </w:r>
      <w:r w:rsidR="00BF5E25" w:rsidRPr="003B355D">
        <w:rPr>
          <w:rFonts w:asciiTheme="minorHAnsi" w:hAnsiTheme="minorHAnsi"/>
          <w:color w:val="auto"/>
          <w:sz w:val="24"/>
          <w:szCs w:val="24"/>
        </w:rPr>
        <w:t xml:space="preserve">by the PBAC </w:t>
      </w:r>
      <w:r w:rsidRPr="003B355D">
        <w:rPr>
          <w:rFonts w:asciiTheme="minorHAnsi" w:hAnsiTheme="minorHAnsi"/>
          <w:color w:val="auto"/>
          <w:sz w:val="24"/>
          <w:szCs w:val="24"/>
        </w:rPr>
        <w:t>for use in Type 2 diabetes on five previous occasions (November 2010, July 2011, November 2011, March 2013, November 2015)</w:t>
      </w:r>
      <w:r w:rsidR="00BF5E25" w:rsidRPr="003B355D">
        <w:rPr>
          <w:rFonts w:asciiTheme="minorHAnsi" w:hAnsiTheme="minorHAnsi"/>
          <w:color w:val="auto"/>
          <w:sz w:val="24"/>
          <w:szCs w:val="24"/>
        </w:rPr>
        <w:t>,</w:t>
      </w:r>
      <w:r w:rsidRPr="003B355D">
        <w:rPr>
          <w:rFonts w:asciiTheme="minorHAnsi" w:hAnsiTheme="minorHAnsi"/>
          <w:color w:val="auto"/>
          <w:sz w:val="24"/>
          <w:szCs w:val="24"/>
        </w:rPr>
        <w:t xml:space="preserve"> and </w:t>
      </w:r>
      <w:r w:rsidR="00587BD0" w:rsidRPr="003B355D">
        <w:rPr>
          <w:rFonts w:asciiTheme="minorHAnsi" w:hAnsiTheme="minorHAnsi"/>
          <w:color w:val="auto"/>
          <w:sz w:val="24"/>
          <w:szCs w:val="24"/>
        </w:rPr>
        <w:t xml:space="preserve">liraglutide 1.2 mg once daily </w:t>
      </w:r>
      <w:r w:rsidRPr="003B355D">
        <w:rPr>
          <w:rFonts w:asciiTheme="minorHAnsi" w:hAnsiTheme="minorHAnsi"/>
          <w:color w:val="auto"/>
          <w:sz w:val="24"/>
          <w:szCs w:val="24"/>
        </w:rPr>
        <w:t>was recommended for listing</w:t>
      </w:r>
      <w:r w:rsidR="00C722F5" w:rsidRPr="003B355D">
        <w:rPr>
          <w:rFonts w:asciiTheme="minorHAnsi" w:hAnsiTheme="minorHAnsi"/>
          <w:color w:val="auto"/>
          <w:sz w:val="24"/>
          <w:szCs w:val="24"/>
        </w:rPr>
        <w:t xml:space="preserve"> on </w:t>
      </w:r>
      <w:r w:rsidR="00CD324A" w:rsidRPr="003B355D">
        <w:rPr>
          <w:rFonts w:asciiTheme="minorHAnsi" w:hAnsiTheme="minorHAnsi"/>
          <w:color w:val="auto"/>
          <w:sz w:val="24"/>
          <w:szCs w:val="24"/>
        </w:rPr>
        <w:t>the</w:t>
      </w:r>
      <w:r w:rsidR="00C722F5" w:rsidRPr="003B355D">
        <w:rPr>
          <w:rFonts w:asciiTheme="minorHAnsi" w:hAnsiTheme="minorHAnsi"/>
          <w:color w:val="auto"/>
          <w:sz w:val="24"/>
          <w:szCs w:val="24"/>
        </w:rPr>
        <w:t xml:space="preserve"> basis</w:t>
      </w:r>
      <w:r w:rsidR="00CD324A" w:rsidRPr="003B355D">
        <w:rPr>
          <w:rFonts w:asciiTheme="minorHAnsi" w:hAnsiTheme="minorHAnsi"/>
          <w:color w:val="auto"/>
          <w:sz w:val="24"/>
          <w:szCs w:val="24"/>
        </w:rPr>
        <w:t xml:space="preserve"> of non-inferiority</w:t>
      </w:r>
      <w:r w:rsidR="00C722F5" w:rsidRPr="003B355D">
        <w:rPr>
          <w:rFonts w:asciiTheme="minorHAnsi" w:hAnsiTheme="minorHAnsi"/>
          <w:color w:val="auto"/>
          <w:sz w:val="24"/>
          <w:szCs w:val="24"/>
        </w:rPr>
        <w:t xml:space="preserve"> </w:t>
      </w:r>
      <w:r w:rsidR="00CD324A" w:rsidRPr="003B355D">
        <w:rPr>
          <w:rFonts w:asciiTheme="minorHAnsi" w:hAnsiTheme="minorHAnsi"/>
          <w:color w:val="auto"/>
          <w:sz w:val="24"/>
          <w:szCs w:val="24"/>
        </w:rPr>
        <w:t>to</w:t>
      </w:r>
      <w:r w:rsidR="00C722F5" w:rsidRPr="003B355D">
        <w:rPr>
          <w:rFonts w:asciiTheme="minorHAnsi" w:hAnsiTheme="minorHAnsi"/>
          <w:color w:val="auto"/>
          <w:sz w:val="24"/>
          <w:szCs w:val="24"/>
        </w:rPr>
        <w:t xml:space="preserve"> exenatide</w:t>
      </w:r>
      <w:r w:rsidR="00587BD0" w:rsidRPr="003B355D">
        <w:rPr>
          <w:rFonts w:asciiTheme="minorHAnsi" w:hAnsiTheme="minorHAnsi"/>
          <w:color w:val="auto"/>
          <w:sz w:val="24"/>
          <w:szCs w:val="24"/>
        </w:rPr>
        <w:t xml:space="preserve"> 10 µg twice daily</w:t>
      </w:r>
      <w:r w:rsidRPr="003B355D">
        <w:rPr>
          <w:rFonts w:asciiTheme="minorHAnsi" w:hAnsiTheme="minorHAnsi"/>
          <w:color w:val="auto"/>
          <w:sz w:val="24"/>
          <w:szCs w:val="24"/>
        </w:rPr>
        <w:t xml:space="preserve"> in dual combination therapy with metformin or a sulfonylurea and triple combination therapy with metformin and a sulfonylurea at the March 2013 meeting. </w:t>
      </w:r>
      <w:r w:rsidR="00BF5E25" w:rsidRPr="003B355D">
        <w:rPr>
          <w:rFonts w:asciiTheme="minorHAnsi" w:hAnsiTheme="minorHAnsi"/>
          <w:color w:val="auto"/>
          <w:sz w:val="24"/>
          <w:szCs w:val="24"/>
        </w:rPr>
        <w:t>Liraglutide was not listed on the PBS.</w:t>
      </w:r>
    </w:p>
    <w:p w:rsidR="00A40A52" w:rsidRPr="003B355D" w:rsidRDefault="00BF5E25" w:rsidP="00B540CE">
      <w:pPr>
        <w:pStyle w:val="ESnumberedparablue"/>
        <w:numPr>
          <w:ilvl w:val="1"/>
          <w:numId w:val="31"/>
        </w:numPr>
        <w:rPr>
          <w:rFonts w:asciiTheme="minorHAnsi" w:hAnsiTheme="minorHAnsi"/>
          <w:color w:val="auto"/>
          <w:sz w:val="24"/>
          <w:szCs w:val="24"/>
        </w:rPr>
      </w:pPr>
      <w:r w:rsidRPr="003B355D">
        <w:rPr>
          <w:rFonts w:asciiTheme="minorHAnsi" w:hAnsiTheme="minorHAnsi"/>
          <w:color w:val="auto"/>
          <w:sz w:val="24"/>
          <w:szCs w:val="24"/>
        </w:rPr>
        <w:t xml:space="preserve">The PBAC has not previously considered submissions for the requested restriction; patients with Type 2 diabetes with high cardiovascular risk. </w:t>
      </w:r>
    </w:p>
    <w:p w:rsidR="00B540CE" w:rsidRPr="003B355D" w:rsidRDefault="00A40A52" w:rsidP="00B540CE">
      <w:pPr>
        <w:pStyle w:val="ESnumberedparablue"/>
        <w:rPr>
          <w:rFonts w:asciiTheme="minorHAnsi" w:hAnsiTheme="minorHAnsi"/>
          <w:color w:val="auto"/>
          <w:sz w:val="24"/>
          <w:szCs w:val="24"/>
        </w:rPr>
      </w:pPr>
      <w:r w:rsidRPr="003B355D">
        <w:rPr>
          <w:rFonts w:asciiTheme="minorHAnsi" w:hAnsiTheme="minorHAnsi"/>
          <w:i/>
          <w:color w:val="auto"/>
          <w:sz w:val="24"/>
          <w:szCs w:val="24"/>
        </w:rPr>
        <w:t>For more detail on PBAC’s view, see section 7 “PBAC outcome”</w:t>
      </w:r>
    </w:p>
    <w:p w:rsidR="00137F8D" w:rsidRPr="003B355D" w:rsidRDefault="00137F8D" w:rsidP="00D54241">
      <w:pPr>
        <w:pStyle w:val="Heading1"/>
        <w:keepNext/>
        <w:keepLines/>
        <w:widowControl/>
        <w:numPr>
          <w:ilvl w:val="0"/>
          <w:numId w:val="4"/>
        </w:numPr>
        <w:spacing w:before="400" w:after="120"/>
        <w:ind w:left="709" w:hanging="709"/>
        <w:rPr>
          <w:rFonts w:eastAsiaTheme="majorEastAsia" w:cstheme="majorBidi"/>
          <w:caps w:val="0"/>
          <w:snapToGrid/>
          <w:szCs w:val="28"/>
        </w:rPr>
      </w:pPr>
      <w:bookmarkStart w:id="11" w:name="_Toc476306884"/>
      <w:bookmarkStart w:id="12" w:name="_Toc482048972"/>
      <w:r w:rsidRPr="003B355D">
        <w:rPr>
          <w:rFonts w:eastAsiaTheme="majorEastAsia" w:cstheme="majorBidi"/>
          <w:caps w:val="0"/>
          <w:snapToGrid/>
          <w:szCs w:val="28"/>
        </w:rPr>
        <w:t>Population and disease</w:t>
      </w:r>
      <w:bookmarkEnd w:id="11"/>
      <w:bookmarkEnd w:id="12"/>
    </w:p>
    <w:p w:rsidR="001C4143" w:rsidRPr="003B355D" w:rsidRDefault="001C4143" w:rsidP="001C4143">
      <w:pPr>
        <w:pStyle w:val="ListParagraph"/>
        <w:widowControl/>
        <w:numPr>
          <w:ilvl w:val="0"/>
          <w:numId w:val="32"/>
        </w:numPr>
        <w:spacing w:before="120" w:after="160"/>
        <w:contextualSpacing w:val="0"/>
        <w:rPr>
          <w:rFonts w:asciiTheme="minorHAnsi" w:eastAsiaTheme="minorHAnsi" w:hAnsiTheme="minorHAnsi" w:cstheme="minorBidi"/>
          <w:snapToGrid/>
          <w:vanish/>
          <w:sz w:val="24"/>
          <w:szCs w:val="24"/>
        </w:rPr>
      </w:pPr>
    </w:p>
    <w:p w:rsidR="001C4143" w:rsidRPr="003B355D" w:rsidRDefault="001C4143" w:rsidP="001C4143">
      <w:pPr>
        <w:pStyle w:val="ListParagraph"/>
        <w:widowControl/>
        <w:numPr>
          <w:ilvl w:val="0"/>
          <w:numId w:val="32"/>
        </w:numPr>
        <w:spacing w:before="120" w:after="160"/>
        <w:contextualSpacing w:val="0"/>
        <w:rPr>
          <w:rFonts w:asciiTheme="minorHAnsi" w:eastAsiaTheme="minorHAnsi" w:hAnsiTheme="minorHAnsi" w:cstheme="minorBidi"/>
          <w:snapToGrid/>
          <w:vanish/>
          <w:sz w:val="24"/>
          <w:szCs w:val="24"/>
        </w:rPr>
      </w:pPr>
    </w:p>
    <w:p w:rsidR="00137F8D" w:rsidRPr="003B355D" w:rsidRDefault="009345A0" w:rsidP="001C4143">
      <w:pPr>
        <w:pStyle w:val="ESnumberedparablue"/>
        <w:numPr>
          <w:ilvl w:val="1"/>
          <w:numId w:val="32"/>
        </w:numPr>
        <w:rPr>
          <w:rFonts w:asciiTheme="minorHAnsi" w:hAnsiTheme="minorHAnsi"/>
          <w:color w:val="auto"/>
          <w:sz w:val="24"/>
          <w:szCs w:val="24"/>
        </w:rPr>
      </w:pPr>
      <w:r w:rsidRPr="003B355D">
        <w:rPr>
          <w:rFonts w:asciiTheme="minorHAnsi" w:hAnsiTheme="minorHAnsi"/>
          <w:color w:val="auto"/>
          <w:sz w:val="24"/>
          <w:szCs w:val="24"/>
        </w:rPr>
        <w:t xml:space="preserve">Type 2 diabetes is a long term progressive metabolic disorder </w:t>
      </w:r>
      <w:r w:rsidR="008C4C21" w:rsidRPr="003B355D">
        <w:rPr>
          <w:rFonts w:asciiTheme="minorHAnsi" w:hAnsiTheme="minorHAnsi"/>
          <w:color w:val="auto"/>
          <w:sz w:val="24"/>
          <w:szCs w:val="24"/>
        </w:rPr>
        <w:t>caused by</w:t>
      </w:r>
      <w:r w:rsidRPr="003B355D">
        <w:rPr>
          <w:rFonts w:asciiTheme="minorHAnsi" w:hAnsiTheme="minorHAnsi"/>
          <w:color w:val="auto"/>
          <w:sz w:val="24"/>
          <w:szCs w:val="24"/>
        </w:rPr>
        <w:t xml:space="preserve"> resistance to the glucose modulating effects of insulin </w:t>
      </w:r>
      <w:r w:rsidR="008C4C21" w:rsidRPr="003B355D">
        <w:rPr>
          <w:rFonts w:asciiTheme="minorHAnsi" w:hAnsiTheme="minorHAnsi"/>
          <w:color w:val="auto"/>
          <w:sz w:val="24"/>
          <w:szCs w:val="24"/>
        </w:rPr>
        <w:t xml:space="preserve">in body tissues </w:t>
      </w:r>
      <w:r w:rsidRPr="003B355D">
        <w:rPr>
          <w:rFonts w:asciiTheme="minorHAnsi" w:hAnsiTheme="minorHAnsi"/>
          <w:color w:val="auto"/>
          <w:sz w:val="24"/>
          <w:szCs w:val="24"/>
        </w:rPr>
        <w:t xml:space="preserve">and/or gradual loss </w:t>
      </w:r>
      <w:r w:rsidR="008C4C21" w:rsidRPr="003B355D">
        <w:rPr>
          <w:rFonts w:asciiTheme="minorHAnsi" w:hAnsiTheme="minorHAnsi"/>
          <w:color w:val="auto"/>
          <w:sz w:val="24"/>
          <w:szCs w:val="24"/>
        </w:rPr>
        <w:t>of</w:t>
      </w:r>
      <w:r w:rsidRPr="003B355D">
        <w:rPr>
          <w:rFonts w:asciiTheme="minorHAnsi" w:hAnsiTheme="minorHAnsi"/>
          <w:color w:val="auto"/>
          <w:sz w:val="24"/>
          <w:szCs w:val="24"/>
        </w:rPr>
        <w:t xml:space="preserve"> capacit</w:t>
      </w:r>
      <w:r w:rsidR="008C4C21" w:rsidRPr="003B355D">
        <w:rPr>
          <w:rFonts w:asciiTheme="minorHAnsi" w:hAnsiTheme="minorHAnsi"/>
          <w:color w:val="auto"/>
          <w:sz w:val="24"/>
          <w:szCs w:val="24"/>
        </w:rPr>
        <w:t xml:space="preserve">y to produce sufficient insulin. Type 2 diabetes is associated with strong familial </w:t>
      </w:r>
      <w:r w:rsidR="008F22F6" w:rsidRPr="003B355D">
        <w:rPr>
          <w:rFonts w:asciiTheme="minorHAnsi" w:hAnsiTheme="minorHAnsi"/>
          <w:color w:val="auto"/>
          <w:sz w:val="24"/>
          <w:szCs w:val="24"/>
        </w:rPr>
        <w:t xml:space="preserve">and </w:t>
      </w:r>
      <w:r w:rsidR="008C4C21" w:rsidRPr="003B355D">
        <w:rPr>
          <w:rFonts w:asciiTheme="minorHAnsi" w:hAnsiTheme="minorHAnsi"/>
          <w:color w:val="auto"/>
          <w:sz w:val="24"/>
          <w:szCs w:val="24"/>
        </w:rPr>
        <w:t xml:space="preserve">lifestyle risk factors. Long terms complications </w:t>
      </w:r>
      <w:r w:rsidR="00D855E0" w:rsidRPr="003B355D">
        <w:rPr>
          <w:rFonts w:asciiTheme="minorHAnsi" w:hAnsiTheme="minorHAnsi"/>
          <w:color w:val="auto"/>
          <w:sz w:val="24"/>
          <w:szCs w:val="24"/>
        </w:rPr>
        <w:t>i</w:t>
      </w:r>
      <w:r w:rsidR="008C4C21" w:rsidRPr="003B355D">
        <w:rPr>
          <w:rFonts w:asciiTheme="minorHAnsi" w:hAnsiTheme="minorHAnsi"/>
          <w:color w:val="auto"/>
          <w:sz w:val="24"/>
          <w:szCs w:val="24"/>
        </w:rPr>
        <w:t xml:space="preserve">nclude heart disease, stroke, diabetic retinopathy which may lead to blindness, diabetic nephropathy which may lead to end stage renal failure and peripheral vascular disease which may lead to amputation. Type </w:t>
      </w:r>
      <w:proofErr w:type="gramStart"/>
      <w:r w:rsidR="008C4C21" w:rsidRPr="003B355D">
        <w:rPr>
          <w:rFonts w:asciiTheme="minorHAnsi" w:hAnsiTheme="minorHAnsi"/>
          <w:color w:val="auto"/>
          <w:sz w:val="24"/>
          <w:szCs w:val="24"/>
        </w:rPr>
        <w:t>2 diabetes</w:t>
      </w:r>
      <w:proofErr w:type="gramEnd"/>
      <w:r w:rsidR="008C4C21" w:rsidRPr="003B355D">
        <w:rPr>
          <w:rFonts w:asciiTheme="minorHAnsi" w:hAnsiTheme="minorHAnsi"/>
          <w:color w:val="auto"/>
          <w:sz w:val="24"/>
          <w:szCs w:val="24"/>
        </w:rPr>
        <w:t xml:space="preserve"> </w:t>
      </w:r>
      <w:r w:rsidR="00D855E0" w:rsidRPr="003B355D">
        <w:rPr>
          <w:rFonts w:asciiTheme="minorHAnsi" w:hAnsiTheme="minorHAnsi"/>
          <w:color w:val="auto"/>
          <w:sz w:val="24"/>
          <w:szCs w:val="24"/>
        </w:rPr>
        <w:t xml:space="preserve">substantially </w:t>
      </w:r>
      <w:r w:rsidR="008C4C21" w:rsidRPr="003B355D">
        <w:rPr>
          <w:rFonts w:asciiTheme="minorHAnsi" w:hAnsiTheme="minorHAnsi"/>
          <w:color w:val="auto"/>
          <w:sz w:val="24"/>
          <w:szCs w:val="24"/>
        </w:rPr>
        <w:t xml:space="preserve">increases </w:t>
      </w:r>
      <w:r w:rsidR="00D855E0" w:rsidRPr="003B355D">
        <w:rPr>
          <w:rFonts w:asciiTheme="minorHAnsi" w:hAnsiTheme="minorHAnsi"/>
          <w:color w:val="auto"/>
          <w:sz w:val="24"/>
          <w:szCs w:val="24"/>
        </w:rPr>
        <w:t>the</w:t>
      </w:r>
      <w:r w:rsidR="008C4C21" w:rsidRPr="003B355D">
        <w:rPr>
          <w:rFonts w:asciiTheme="minorHAnsi" w:hAnsiTheme="minorHAnsi"/>
          <w:color w:val="auto"/>
          <w:sz w:val="24"/>
          <w:szCs w:val="24"/>
        </w:rPr>
        <w:t xml:space="preserve"> risk</w:t>
      </w:r>
      <w:r w:rsidR="00D855E0" w:rsidRPr="003B355D">
        <w:rPr>
          <w:rFonts w:asciiTheme="minorHAnsi" w:hAnsiTheme="minorHAnsi"/>
          <w:color w:val="auto"/>
          <w:sz w:val="24"/>
          <w:szCs w:val="24"/>
        </w:rPr>
        <w:t xml:space="preserve"> of cardiovascular disease</w:t>
      </w:r>
      <w:r w:rsidR="00D11079" w:rsidRPr="003B355D">
        <w:rPr>
          <w:rFonts w:asciiTheme="minorHAnsi" w:hAnsiTheme="minorHAnsi"/>
          <w:color w:val="auto"/>
          <w:sz w:val="24"/>
          <w:szCs w:val="24"/>
        </w:rPr>
        <w:t>, cardiovascular mortality</w:t>
      </w:r>
      <w:r w:rsidR="00D855E0" w:rsidRPr="003B355D">
        <w:rPr>
          <w:rFonts w:asciiTheme="minorHAnsi" w:hAnsiTheme="minorHAnsi"/>
          <w:color w:val="auto"/>
          <w:sz w:val="24"/>
          <w:szCs w:val="24"/>
        </w:rPr>
        <w:t xml:space="preserve"> and chronic kidney disease leading to end stage renal failure.</w:t>
      </w:r>
      <w:r w:rsidR="00AF7EF7" w:rsidRPr="003B355D">
        <w:rPr>
          <w:rFonts w:asciiTheme="minorHAnsi" w:hAnsiTheme="minorHAnsi"/>
          <w:color w:val="auto"/>
          <w:sz w:val="24"/>
          <w:szCs w:val="24"/>
        </w:rPr>
        <w:t xml:space="preserve"> </w:t>
      </w:r>
    </w:p>
    <w:p w:rsidR="00137F8D" w:rsidRPr="003B355D" w:rsidRDefault="00BA3396" w:rsidP="001C4143">
      <w:pPr>
        <w:pStyle w:val="ESnumberedparablue"/>
        <w:numPr>
          <w:ilvl w:val="1"/>
          <w:numId w:val="32"/>
        </w:numPr>
        <w:rPr>
          <w:rFonts w:asciiTheme="minorHAnsi" w:hAnsiTheme="minorHAnsi"/>
          <w:color w:val="auto"/>
          <w:sz w:val="24"/>
          <w:szCs w:val="24"/>
        </w:rPr>
      </w:pPr>
      <w:r w:rsidRPr="003B355D">
        <w:rPr>
          <w:rFonts w:asciiTheme="minorHAnsi" w:hAnsiTheme="minorHAnsi"/>
          <w:color w:val="auto"/>
          <w:sz w:val="24"/>
          <w:szCs w:val="24"/>
        </w:rPr>
        <w:t xml:space="preserve">The submission proposed that liraglutide would offer an alternative to exenatide within the current </w:t>
      </w:r>
      <w:r w:rsidR="007B6B18" w:rsidRPr="003B355D">
        <w:rPr>
          <w:rFonts w:asciiTheme="minorHAnsi" w:hAnsiTheme="minorHAnsi"/>
          <w:color w:val="auto"/>
          <w:sz w:val="24"/>
          <w:szCs w:val="24"/>
        </w:rPr>
        <w:t xml:space="preserve">clinical management </w:t>
      </w:r>
      <w:r w:rsidRPr="003B355D">
        <w:rPr>
          <w:rFonts w:asciiTheme="minorHAnsi" w:hAnsiTheme="minorHAnsi"/>
          <w:color w:val="auto"/>
          <w:sz w:val="24"/>
          <w:szCs w:val="24"/>
        </w:rPr>
        <w:t>algorithm</w:t>
      </w:r>
      <w:r w:rsidR="004F41CA" w:rsidRPr="003B355D">
        <w:rPr>
          <w:rFonts w:asciiTheme="minorHAnsi" w:hAnsiTheme="minorHAnsi"/>
          <w:color w:val="auto"/>
          <w:sz w:val="24"/>
          <w:szCs w:val="24"/>
        </w:rPr>
        <w:t>.</w:t>
      </w:r>
      <w:r w:rsidR="00D11079" w:rsidRPr="003B355D">
        <w:rPr>
          <w:rFonts w:asciiTheme="minorHAnsi" w:hAnsiTheme="minorHAnsi"/>
          <w:color w:val="auto"/>
          <w:sz w:val="24"/>
          <w:szCs w:val="24"/>
        </w:rPr>
        <w:t xml:space="preserve"> </w:t>
      </w:r>
    </w:p>
    <w:p w:rsidR="00A40A52" w:rsidRPr="003B355D" w:rsidRDefault="00A40A52" w:rsidP="00A40A52">
      <w:pPr>
        <w:pStyle w:val="ESnumberedparablue"/>
        <w:rPr>
          <w:rFonts w:asciiTheme="minorHAnsi" w:hAnsiTheme="minorHAnsi"/>
          <w:i/>
          <w:color w:val="auto"/>
          <w:sz w:val="24"/>
          <w:szCs w:val="24"/>
        </w:rPr>
      </w:pPr>
      <w:r w:rsidRPr="003B355D">
        <w:rPr>
          <w:rFonts w:asciiTheme="minorHAnsi" w:hAnsiTheme="minorHAnsi"/>
          <w:i/>
          <w:color w:val="auto"/>
          <w:sz w:val="24"/>
          <w:szCs w:val="24"/>
        </w:rPr>
        <w:t>For more detail on PBAC’s view, see section 7 “PBAC outcome”</w:t>
      </w:r>
    </w:p>
    <w:p w:rsidR="00137F8D" w:rsidRPr="003B355D" w:rsidRDefault="00137F8D" w:rsidP="00D54241">
      <w:pPr>
        <w:pStyle w:val="Heading1"/>
        <w:keepNext/>
        <w:keepLines/>
        <w:widowControl/>
        <w:numPr>
          <w:ilvl w:val="0"/>
          <w:numId w:val="4"/>
        </w:numPr>
        <w:spacing w:before="400" w:after="120"/>
        <w:ind w:left="709" w:hanging="709"/>
        <w:rPr>
          <w:rFonts w:eastAsiaTheme="majorEastAsia" w:cstheme="majorBidi"/>
          <w:caps w:val="0"/>
          <w:snapToGrid/>
          <w:szCs w:val="28"/>
        </w:rPr>
      </w:pPr>
      <w:bookmarkStart w:id="13" w:name="_Toc413139275"/>
      <w:bookmarkStart w:id="14" w:name="_Toc476306885"/>
      <w:bookmarkStart w:id="15" w:name="_Toc482048973"/>
      <w:r w:rsidRPr="003B355D">
        <w:rPr>
          <w:rFonts w:eastAsiaTheme="majorEastAsia" w:cstheme="majorBidi"/>
          <w:caps w:val="0"/>
          <w:snapToGrid/>
          <w:szCs w:val="28"/>
        </w:rPr>
        <w:t>Comparator</w:t>
      </w:r>
      <w:bookmarkEnd w:id="13"/>
      <w:bookmarkEnd w:id="14"/>
      <w:bookmarkEnd w:id="15"/>
    </w:p>
    <w:p w:rsidR="00432A61" w:rsidRPr="003B355D" w:rsidRDefault="00432A61" w:rsidP="00432A61">
      <w:pPr>
        <w:pStyle w:val="ListParagraph"/>
        <w:numPr>
          <w:ilvl w:val="0"/>
          <w:numId w:val="33"/>
        </w:numPr>
        <w:rPr>
          <w:rFonts w:asciiTheme="minorHAnsi" w:hAnsiTheme="minorHAnsi"/>
          <w:vanish/>
          <w:sz w:val="24"/>
          <w:szCs w:val="24"/>
        </w:rPr>
      </w:pPr>
    </w:p>
    <w:p w:rsidR="00432A61" w:rsidRPr="003B355D" w:rsidRDefault="00432A61" w:rsidP="00432A61">
      <w:pPr>
        <w:pStyle w:val="ListParagraph"/>
        <w:numPr>
          <w:ilvl w:val="0"/>
          <w:numId w:val="33"/>
        </w:numPr>
        <w:rPr>
          <w:rFonts w:asciiTheme="minorHAnsi" w:hAnsiTheme="minorHAnsi"/>
          <w:vanish/>
          <w:sz w:val="24"/>
          <w:szCs w:val="24"/>
        </w:rPr>
      </w:pPr>
    </w:p>
    <w:p w:rsidR="000F142E" w:rsidRPr="003B355D" w:rsidRDefault="00432F4D" w:rsidP="00432A61">
      <w:pPr>
        <w:pStyle w:val="ListParagraph"/>
        <w:numPr>
          <w:ilvl w:val="1"/>
          <w:numId w:val="33"/>
        </w:numPr>
        <w:rPr>
          <w:rFonts w:asciiTheme="minorHAnsi" w:eastAsiaTheme="minorHAnsi" w:hAnsiTheme="minorHAnsi" w:cstheme="minorBidi"/>
          <w:i/>
          <w:snapToGrid/>
          <w:sz w:val="24"/>
          <w:szCs w:val="24"/>
        </w:rPr>
      </w:pPr>
      <w:r w:rsidRPr="003B355D">
        <w:rPr>
          <w:rFonts w:asciiTheme="minorHAnsi" w:hAnsiTheme="minorHAnsi"/>
          <w:sz w:val="24"/>
          <w:szCs w:val="24"/>
        </w:rPr>
        <w:t>The submission nominated e</w:t>
      </w:r>
      <w:r w:rsidR="007B6B18" w:rsidRPr="003B355D">
        <w:rPr>
          <w:rFonts w:asciiTheme="minorHAnsi" w:hAnsiTheme="minorHAnsi"/>
          <w:sz w:val="24"/>
          <w:szCs w:val="24"/>
        </w:rPr>
        <w:t>xenatide</w:t>
      </w:r>
      <w:r w:rsidRPr="003B355D">
        <w:rPr>
          <w:rFonts w:asciiTheme="minorHAnsi" w:hAnsiTheme="minorHAnsi"/>
          <w:sz w:val="24"/>
          <w:szCs w:val="24"/>
        </w:rPr>
        <w:t xml:space="preserve"> as the main comparator</w:t>
      </w:r>
      <w:r w:rsidR="007B6B18" w:rsidRPr="003B355D">
        <w:rPr>
          <w:rFonts w:asciiTheme="minorHAnsi" w:hAnsiTheme="minorHAnsi"/>
          <w:sz w:val="24"/>
          <w:szCs w:val="24"/>
        </w:rPr>
        <w:t>.</w:t>
      </w:r>
      <w:r w:rsidR="00137F8D" w:rsidRPr="003B355D">
        <w:rPr>
          <w:rFonts w:asciiTheme="minorHAnsi" w:hAnsiTheme="minorHAnsi"/>
          <w:sz w:val="24"/>
          <w:szCs w:val="24"/>
        </w:rPr>
        <w:t xml:space="preserve"> </w:t>
      </w:r>
      <w:r w:rsidR="007B6B18" w:rsidRPr="003B355D">
        <w:rPr>
          <w:rFonts w:asciiTheme="minorHAnsi" w:hAnsiTheme="minorHAnsi"/>
          <w:sz w:val="24"/>
          <w:szCs w:val="24"/>
        </w:rPr>
        <w:t xml:space="preserve">This </w:t>
      </w:r>
      <w:r w:rsidR="0074441E" w:rsidRPr="003B355D">
        <w:rPr>
          <w:rFonts w:asciiTheme="minorHAnsi" w:hAnsiTheme="minorHAnsi"/>
          <w:sz w:val="24"/>
          <w:szCs w:val="24"/>
        </w:rPr>
        <w:t>is</w:t>
      </w:r>
      <w:r w:rsidR="007B6B18" w:rsidRPr="003B355D">
        <w:rPr>
          <w:rFonts w:asciiTheme="minorHAnsi" w:hAnsiTheme="minorHAnsi"/>
          <w:sz w:val="24"/>
          <w:szCs w:val="24"/>
        </w:rPr>
        <w:t xml:space="preserve"> an appropriate comparator. </w:t>
      </w:r>
      <w:r w:rsidRPr="003B355D">
        <w:rPr>
          <w:rFonts w:asciiTheme="minorHAnsi" w:hAnsiTheme="minorHAnsi"/>
          <w:sz w:val="24"/>
          <w:szCs w:val="24"/>
        </w:rPr>
        <w:t xml:space="preserve">However, </w:t>
      </w:r>
      <w:proofErr w:type="spellStart"/>
      <w:r w:rsidR="00A73AFC" w:rsidRPr="003B355D">
        <w:rPr>
          <w:rFonts w:asciiTheme="minorHAnsi" w:hAnsiTheme="minorHAnsi"/>
          <w:sz w:val="24"/>
          <w:szCs w:val="24"/>
        </w:rPr>
        <w:t>e</w:t>
      </w:r>
      <w:r w:rsidR="007B6B18" w:rsidRPr="003B355D">
        <w:rPr>
          <w:rFonts w:asciiTheme="minorHAnsi" w:hAnsiTheme="minorHAnsi"/>
          <w:sz w:val="24"/>
          <w:szCs w:val="24"/>
        </w:rPr>
        <w:t>mpagliflozin</w:t>
      </w:r>
      <w:proofErr w:type="spellEnd"/>
      <w:r w:rsidRPr="003B355D">
        <w:rPr>
          <w:rFonts w:asciiTheme="minorHAnsi" w:hAnsiTheme="minorHAnsi"/>
          <w:sz w:val="24"/>
          <w:szCs w:val="24"/>
        </w:rPr>
        <w:t xml:space="preserve"> (registered for use in patients with type 2 diabetes and established cardiovascular disease)</w:t>
      </w:r>
      <w:r w:rsidR="007B6B18" w:rsidRPr="003B355D">
        <w:rPr>
          <w:rFonts w:asciiTheme="minorHAnsi" w:hAnsiTheme="minorHAnsi"/>
          <w:sz w:val="24"/>
          <w:szCs w:val="24"/>
        </w:rPr>
        <w:t xml:space="preserve"> or other listed diabetes medicines likely to be substituted with liraglutide may also be appropriate secondary comparators.</w:t>
      </w:r>
      <w:r w:rsidR="0009624A" w:rsidRPr="003B355D">
        <w:rPr>
          <w:rFonts w:asciiTheme="minorHAnsi" w:hAnsiTheme="minorHAnsi"/>
          <w:sz w:val="24"/>
          <w:szCs w:val="24"/>
        </w:rPr>
        <w:t xml:space="preserve"> </w:t>
      </w:r>
      <w:r w:rsidR="000F142E" w:rsidRPr="003B355D">
        <w:rPr>
          <w:rFonts w:asciiTheme="minorHAnsi" w:eastAsiaTheme="minorHAnsi" w:hAnsiTheme="minorHAnsi" w:cstheme="minorBidi"/>
          <w:snapToGrid/>
          <w:sz w:val="24"/>
          <w:szCs w:val="24"/>
        </w:rPr>
        <w:t xml:space="preserve">The PSCR (p.2) argued that </w:t>
      </w:r>
      <w:proofErr w:type="spellStart"/>
      <w:r w:rsidR="000F142E" w:rsidRPr="003B355D">
        <w:rPr>
          <w:rFonts w:asciiTheme="minorHAnsi" w:eastAsiaTheme="minorHAnsi" w:hAnsiTheme="minorHAnsi" w:cstheme="minorBidi"/>
          <w:snapToGrid/>
          <w:sz w:val="24"/>
          <w:szCs w:val="24"/>
        </w:rPr>
        <w:t>empagliflozin</w:t>
      </w:r>
      <w:proofErr w:type="spellEnd"/>
      <w:r w:rsidR="000F142E" w:rsidRPr="003B355D">
        <w:rPr>
          <w:rFonts w:asciiTheme="minorHAnsi" w:eastAsiaTheme="minorHAnsi" w:hAnsiTheme="minorHAnsi" w:cstheme="minorBidi"/>
          <w:snapToGrid/>
          <w:sz w:val="24"/>
          <w:szCs w:val="24"/>
        </w:rPr>
        <w:t xml:space="preserve"> is not an appropriate comparator as it has a different mechanism of action and that </w:t>
      </w:r>
      <w:proofErr w:type="spellStart"/>
      <w:r w:rsidR="000F142E" w:rsidRPr="003B355D">
        <w:rPr>
          <w:rFonts w:asciiTheme="minorHAnsi" w:eastAsiaTheme="minorHAnsi" w:hAnsiTheme="minorHAnsi" w:cstheme="minorBidi"/>
          <w:snapToGrid/>
          <w:sz w:val="24"/>
          <w:szCs w:val="24"/>
        </w:rPr>
        <w:t>empagliflozin</w:t>
      </w:r>
      <w:proofErr w:type="spellEnd"/>
      <w:r w:rsidR="000F142E" w:rsidRPr="003B355D">
        <w:rPr>
          <w:rFonts w:asciiTheme="minorHAnsi" w:eastAsiaTheme="minorHAnsi" w:hAnsiTheme="minorHAnsi" w:cstheme="minorBidi"/>
          <w:snapToGrid/>
          <w:sz w:val="24"/>
          <w:szCs w:val="24"/>
        </w:rPr>
        <w:t xml:space="preserve"> is listed </w:t>
      </w:r>
      <w:r w:rsidR="000F142E" w:rsidRPr="003B355D">
        <w:rPr>
          <w:rFonts w:asciiTheme="minorHAnsi" w:eastAsiaTheme="minorHAnsi" w:hAnsiTheme="minorHAnsi" w:cstheme="minorBidi"/>
          <w:snapToGrid/>
          <w:sz w:val="24"/>
          <w:szCs w:val="24"/>
        </w:rPr>
        <w:lastRenderedPageBreak/>
        <w:t xml:space="preserve">on the PBS for glycaemic control and not CV outcomes. The ESC considered </w:t>
      </w:r>
      <w:proofErr w:type="spellStart"/>
      <w:r w:rsidR="000F142E" w:rsidRPr="003B355D">
        <w:rPr>
          <w:rFonts w:asciiTheme="minorHAnsi" w:eastAsiaTheme="minorHAnsi" w:hAnsiTheme="minorHAnsi" w:cstheme="minorBidi"/>
          <w:snapToGrid/>
          <w:sz w:val="24"/>
          <w:szCs w:val="24"/>
        </w:rPr>
        <w:t>empagliflozin</w:t>
      </w:r>
      <w:proofErr w:type="spellEnd"/>
      <w:r w:rsidR="000F142E" w:rsidRPr="003B355D">
        <w:rPr>
          <w:rFonts w:asciiTheme="minorHAnsi" w:eastAsiaTheme="minorHAnsi" w:hAnsiTheme="minorHAnsi" w:cstheme="minorBidi"/>
          <w:snapToGrid/>
          <w:sz w:val="24"/>
          <w:szCs w:val="24"/>
        </w:rPr>
        <w:t xml:space="preserve"> prescribing may target the same patient group proposed for 1.8</w:t>
      </w:r>
      <w:r w:rsidR="00197B5E" w:rsidRPr="003B355D">
        <w:rPr>
          <w:rFonts w:asciiTheme="minorHAnsi" w:eastAsiaTheme="minorHAnsi" w:hAnsiTheme="minorHAnsi" w:cstheme="minorBidi"/>
          <w:snapToGrid/>
          <w:sz w:val="24"/>
          <w:szCs w:val="24"/>
        </w:rPr>
        <w:t> </w:t>
      </w:r>
      <w:r w:rsidR="000F142E" w:rsidRPr="003B355D">
        <w:rPr>
          <w:rFonts w:asciiTheme="minorHAnsi" w:eastAsiaTheme="minorHAnsi" w:hAnsiTheme="minorHAnsi" w:cstheme="minorBidi"/>
          <w:snapToGrid/>
          <w:sz w:val="24"/>
          <w:szCs w:val="24"/>
        </w:rPr>
        <w:t>mg/day liraglutide despite not having a specific PBS listing and is a relevant comparator given it offers similar reductions in direct CV outcomes across the broader Type 2 diabetes population at a substantially lower price.</w:t>
      </w:r>
      <w:r w:rsidR="000F142E" w:rsidRPr="003B355D">
        <w:rPr>
          <w:rFonts w:asciiTheme="minorHAnsi" w:eastAsiaTheme="minorHAnsi" w:hAnsiTheme="minorHAnsi" w:cstheme="minorBidi"/>
          <w:i/>
          <w:snapToGrid/>
          <w:sz w:val="24"/>
          <w:szCs w:val="24"/>
        </w:rPr>
        <w:t xml:space="preserve"> </w:t>
      </w:r>
    </w:p>
    <w:p w:rsidR="00B540CE" w:rsidRPr="003B355D" w:rsidRDefault="00DA1A50" w:rsidP="00B540CE">
      <w:pPr>
        <w:pStyle w:val="ESnumberedparablue"/>
        <w:numPr>
          <w:ilvl w:val="1"/>
          <w:numId w:val="33"/>
        </w:numPr>
        <w:rPr>
          <w:rFonts w:asciiTheme="minorHAnsi" w:eastAsiaTheme="majorEastAsia" w:hAnsiTheme="minorHAnsi" w:cstheme="majorBidi"/>
          <w:i/>
          <w:color w:val="auto"/>
          <w:sz w:val="32"/>
          <w:szCs w:val="28"/>
        </w:rPr>
      </w:pPr>
      <w:r w:rsidRPr="003B355D">
        <w:rPr>
          <w:rFonts w:asciiTheme="minorHAnsi" w:hAnsiTheme="minorHAnsi"/>
          <w:color w:val="auto"/>
          <w:sz w:val="24"/>
          <w:szCs w:val="24"/>
        </w:rPr>
        <w:t>Exenatide</w:t>
      </w:r>
      <w:r w:rsidRPr="003B355D">
        <w:rPr>
          <w:rFonts w:asciiTheme="minorHAnsi" w:hAnsiTheme="minorHAnsi"/>
          <w:sz w:val="24"/>
          <w:szCs w:val="24"/>
        </w:rPr>
        <w:t xml:space="preserve"> </w:t>
      </w:r>
      <w:r w:rsidRPr="003B355D">
        <w:rPr>
          <w:rFonts w:asciiTheme="minorHAnsi" w:hAnsiTheme="minorHAnsi"/>
          <w:color w:val="auto"/>
          <w:sz w:val="24"/>
          <w:szCs w:val="24"/>
        </w:rPr>
        <w:t xml:space="preserve">clinical trial data relevant to the requested restriction could not be identified for the submission. Therefore, placebo was used as a proxy for exenatide treatment effects in the clinical comparison and the economic analysis, assuming exenatide provided no difference in reduction in cardiovascular risk for patients with Type 2 diabetes compared to placebo. The absence of evidence of exenatide providing cardiovascular benefits to patients with Type 2 diabetes is not evidence of </w:t>
      </w:r>
      <w:proofErr w:type="gramStart"/>
      <w:r w:rsidRPr="003B355D">
        <w:rPr>
          <w:rFonts w:asciiTheme="minorHAnsi" w:hAnsiTheme="minorHAnsi"/>
          <w:color w:val="auto"/>
          <w:sz w:val="24"/>
          <w:szCs w:val="24"/>
        </w:rPr>
        <w:t>no</w:t>
      </w:r>
      <w:proofErr w:type="gramEnd"/>
      <w:r w:rsidRPr="003B355D">
        <w:rPr>
          <w:rFonts w:asciiTheme="minorHAnsi" w:hAnsiTheme="minorHAnsi"/>
          <w:color w:val="auto"/>
          <w:sz w:val="24"/>
          <w:szCs w:val="24"/>
        </w:rPr>
        <w:t xml:space="preserve"> treatment effect and the </w:t>
      </w:r>
      <w:r w:rsidR="00D6415A" w:rsidRPr="003B355D">
        <w:rPr>
          <w:rFonts w:asciiTheme="minorHAnsi" w:hAnsiTheme="minorHAnsi"/>
          <w:color w:val="auto"/>
          <w:sz w:val="24"/>
          <w:szCs w:val="24"/>
        </w:rPr>
        <w:t xml:space="preserve">ESC considered the </w:t>
      </w:r>
      <w:r w:rsidRPr="003B355D">
        <w:rPr>
          <w:rFonts w:asciiTheme="minorHAnsi" w:hAnsiTheme="minorHAnsi"/>
          <w:color w:val="auto"/>
          <w:sz w:val="24"/>
          <w:szCs w:val="24"/>
        </w:rPr>
        <w:t>use of placebo as a proxy for exenatide was not appropriate.  The exenatide EXSCEL cardiovascular outcomes trial</w:t>
      </w:r>
      <w:r w:rsidR="00197B5E" w:rsidRPr="003B355D">
        <w:rPr>
          <w:rFonts w:asciiTheme="minorHAnsi" w:hAnsiTheme="minorHAnsi"/>
          <w:color w:val="auto"/>
          <w:sz w:val="24"/>
          <w:szCs w:val="24"/>
        </w:rPr>
        <w:t xml:space="preserve"> (exenatide 2 mg once weekly</w:t>
      </w:r>
      <w:r w:rsidR="00D6415A" w:rsidRPr="003B355D">
        <w:rPr>
          <w:rFonts w:asciiTheme="minorHAnsi" w:hAnsiTheme="minorHAnsi"/>
          <w:color w:val="auto"/>
          <w:sz w:val="24"/>
          <w:szCs w:val="24"/>
        </w:rPr>
        <w:t xml:space="preserve"> subcutaneous injection versus p</w:t>
      </w:r>
      <w:r w:rsidR="00197B5E" w:rsidRPr="003B355D">
        <w:rPr>
          <w:rFonts w:asciiTheme="minorHAnsi" w:hAnsiTheme="minorHAnsi"/>
          <w:color w:val="auto"/>
          <w:sz w:val="24"/>
          <w:szCs w:val="24"/>
        </w:rPr>
        <w:t>lacebo (standard care))</w:t>
      </w:r>
      <w:r w:rsidRPr="003B355D">
        <w:rPr>
          <w:rFonts w:asciiTheme="minorHAnsi" w:hAnsiTheme="minorHAnsi"/>
          <w:color w:val="auto"/>
          <w:sz w:val="24"/>
          <w:szCs w:val="24"/>
        </w:rPr>
        <w:t>, expected to be completed in April 2018, may be informative to the comparison with liraglutide</w:t>
      </w:r>
      <w:r w:rsidR="000F142E" w:rsidRPr="003B355D">
        <w:rPr>
          <w:rFonts w:asciiTheme="minorHAnsi" w:hAnsiTheme="minorHAnsi"/>
          <w:color w:val="auto"/>
          <w:sz w:val="24"/>
          <w:szCs w:val="24"/>
        </w:rPr>
        <w:t xml:space="preserve">. </w:t>
      </w:r>
      <w:bookmarkStart w:id="16" w:name="_Toc413139276"/>
      <w:bookmarkStart w:id="17" w:name="_Toc476306886"/>
      <w:bookmarkStart w:id="18" w:name="_Toc482048974"/>
    </w:p>
    <w:p w:rsidR="000F142E" w:rsidRPr="003B355D" w:rsidRDefault="000F142E" w:rsidP="00432A61">
      <w:pPr>
        <w:pStyle w:val="ListParagraph"/>
        <w:numPr>
          <w:ilvl w:val="1"/>
          <w:numId w:val="33"/>
        </w:numPr>
        <w:rPr>
          <w:rFonts w:asciiTheme="minorHAnsi" w:eastAsiaTheme="majorEastAsia" w:hAnsiTheme="minorHAnsi" w:cstheme="majorBidi"/>
          <w:sz w:val="32"/>
          <w:szCs w:val="28"/>
        </w:rPr>
      </w:pPr>
      <w:r w:rsidRPr="003B355D">
        <w:rPr>
          <w:rFonts w:asciiTheme="minorHAnsi" w:hAnsiTheme="minorHAnsi"/>
          <w:sz w:val="24"/>
          <w:szCs w:val="24"/>
        </w:rPr>
        <w:t>The PSCR (pp.2-3) highlighted four meta-analyses of Type 2 diabetes RCT safety data showed no statistically significant differences for exenatide versus placebo in cardiovascular outcomes, and therefore the use of placebo as a proxy for exenatide treatment effect was reasonable. The ESC noted three of the same four meta-analyses included liraglutide, and similarly showed no statistically significant differences for liraglutide versus placebo in cardiovascular outcomes</w:t>
      </w:r>
      <w:r w:rsidR="00C705A3" w:rsidRPr="003B355D">
        <w:rPr>
          <w:rFonts w:asciiTheme="minorHAnsi" w:hAnsiTheme="minorHAnsi"/>
          <w:sz w:val="24"/>
          <w:szCs w:val="24"/>
        </w:rPr>
        <w:t xml:space="preserve"> (see table below)</w:t>
      </w:r>
      <w:r w:rsidRPr="003B355D">
        <w:rPr>
          <w:rFonts w:asciiTheme="minorHAnsi" w:hAnsiTheme="minorHAnsi"/>
          <w:sz w:val="24"/>
          <w:szCs w:val="24"/>
        </w:rPr>
        <w:t xml:space="preserve">. The PSCR further referenced the </w:t>
      </w:r>
      <w:r w:rsidR="00AE75F5" w:rsidRPr="003B355D">
        <w:rPr>
          <w:rFonts w:asciiTheme="minorHAnsi" w:hAnsiTheme="minorHAnsi"/>
          <w:sz w:val="24"/>
          <w:szCs w:val="24"/>
        </w:rPr>
        <w:t>top line</w:t>
      </w:r>
      <w:r w:rsidRPr="003B355D">
        <w:rPr>
          <w:rFonts w:asciiTheme="minorHAnsi" w:hAnsiTheme="minorHAnsi"/>
          <w:sz w:val="24"/>
          <w:szCs w:val="24"/>
        </w:rPr>
        <w:t xml:space="preserve"> results from the EXSCEL trial from a 23 May 2017 press release and stated that exenatide did not meet the efficacy objective of a superior reduction in MACE and therefore demonstrated no reduction in CV risk with exenatide. The ESC noted the EXSCEL trial press release stated although statistical significance was not reached, there were fewer CV events observed with exenatide. A formal indirect comparison is unable to be performed without further publication of EXSCEL trial patient characteristics and trial results.</w:t>
      </w:r>
    </w:p>
    <w:p w:rsidR="00C705A3" w:rsidRPr="003B355D" w:rsidRDefault="00C705A3" w:rsidP="00C705A3">
      <w:pPr>
        <w:pStyle w:val="ListParagraph"/>
        <w:widowControl/>
        <w:tabs>
          <w:tab w:val="left" w:pos="1473"/>
          <w:tab w:val="left" w:pos="4443"/>
          <w:tab w:val="left" w:pos="6818"/>
        </w:tabs>
        <w:jc w:val="left"/>
        <w:rPr>
          <w:rFonts w:ascii="Arial Narrow" w:eastAsia="Arial Narrow" w:hAnsi="Arial Narrow" w:cs="Arial Narrow"/>
          <w:b/>
          <w:i/>
          <w:sz w:val="20"/>
        </w:rPr>
      </w:pPr>
    </w:p>
    <w:p w:rsidR="00B540CE" w:rsidRPr="003B355D" w:rsidRDefault="00B540CE">
      <w:pPr>
        <w:widowControl/>
        <w:jc w:val="left"/>
        <w:rPr>
          <w:rFonts w:ascii="Arial Narrow" w:eastAsia="Arial Narrow" w:hAnsi="Arial Narrow" w:cs="Arial Narrow"/>
          <w:b/>
          <w:i/>
          <w:sz w:val="20"/>
        </w:rPr>
      </w:pPr>
      <w:r w:rsidRPr="003B355D">
        <w:rPr>
          <w:rFonts w:ascii="Arial Narrow" w:eastAsia="Arial Narrow" w:hAnsi="Arial Narrow" w:cs="Arial Narrow"/>
          <w:b/>
          <w:i/>
          <w:sz w:val="20"/>
        </w:rPr>
        <w:br w:type="page"/>
      </w:r>
    </w:p>
    <w:p w:rsidR="00D453F1" w:rsidRDefault="00D453F1" w:rsidP="00D453F1">
      <w:pPr>
        <w:pStyle w:val="Caption"/>
      </w:pPr>
      <w:r>
        <w:lastRenderedPageBreak/>
        <w:t xml:space="preserve">Table </w:t>
      </w:r>
      <w:r>
        <w:rPr>
          <w:noProof/>
        </w:rPr>
        <w:t>2</w:t>
      </w:r>
      <w:r w:rsidRPr="002F2B18">
        <w:t>: Meta-analyses of randomised controlled trials of GLP-1 receptor agonists versus placebo in patients with Type 2 diabetes mellitus reporting MACE outcomes</w:t>
      </w:r>
    </w:p>
    <w:tbl>
      <w:tblPr>
        <w:tblW w:w="9228" w:type="dxa"/>
        <w:tblInd w:w="-20" w:type="dxa"/>
        <w:tblBorders>
          <w:top w:val="nil"/>
          <w:left w:val="nil"/>
          <w:bottom w:val="nil"/>
          <w:right w:val="nil"/>
        </w:tblBorders>
        <w:tblLayout w:type="fixed"/>
        <w:tblLook w:val="0000" w:firstRow="0" w:lastRow="0" w:firstColumn="0" w:lastColumn="0" w:noHBand="0" w:noVBand="0"/>
      </w:tblPr>
      <w:tblGrid>
        <w:gridCol w:w="1182"/>
        <w:gridCol w:w="2234"/>
        <w:gridCol w:w="1276"/>
        <w:gridCol w:w="1985"/>
        <w:gridCol w:w="2551"/>
      </w:tblGrid>
      <w:tr w:rsidR="00C705A3" w:rsidRPr="003B355D" w:rsidTr="00453C92">
        <w:trPr>
          <w:trHeight w:val="460"/>
        </w:trPr>
        <w:tc>
          <w:tcPr>
            <w:tcW w:w="1182" w:type="dxa"/>
            <w:tcBorders>
              <w:top w:val="single" w:sz="6" w:space="0" w:color="000000"/>
              <w:left w:val="single" w:sz="6" w:space="0" w:color="000000"/>
              <w:right w:val="single" w:sz="6" w:space="0" w:color="000000"/>
            </w:tcBorders>
            <w:vAlign w:val="center"/>
          </w:tcPr>
          <w:p w:rsidR="00C705A3" w:rsidRPr="003B355D" w:rsidRDefault="00C705A3" w:rsidP="00453C92">
            <w:pPr>
              <w:widowControl/>
              <w:ind w:left="-94"/>
              <w:jc w:val="left"/>
              <w:rPr>
                <w:rFonts w:ascii="Arial Narrow" w:eastAsia="Arial Narrow" w:hAnsi="Arial Narrow" w:cs="Arial Narrow"/>
                <w:b/>
                <w:i/>
                <w:sz w:val="20"/>
              </w:rPr>
            </w:pPr>
            <w:r w:rsidRPr="003B355D">
              <w:rPr>
                <w:rFonts w:ascii="Arial Narrow" w:eastAsia="Arial Narrow" w:hAnsi="Arial Narrow" w:cs="Arial Narrow"/>
                <w:b/>
                <w:i/>
                <w:sz w:val="20"/>
              </w:rPr>
              <w:t>Citations</w:t>
            </w:r>
          </w:p>
        </w:tc>
        <w:tc>
          <w:tcPr>
            <w:tcW w:w="2234" w:type="dxa"/>
            <w:tcBorders>
              <w:top w:val="single" w:sz="6" w:space="0" w:color="000000"/>
              <w:left w:val="single" w:sz="6" w:space="0" w:color="000000"/>
              <w:right w:val="single" w:sz="6" w:space="0" w:color="000000"/>
            </w:tcBorders>
            <w:vAlign w:val="center"/>
          </w:tcPr>
          <w:p w:rsidR="00C705A3" w:rsidRPr="003B355D" w:rsidRDefault="00C705A3" w:rsidP="00453C92">
            <w:pPr>
              <w:widowControl/>
              <w:jc w:val="center"/>
              <w:rPr>
                <w:rFonts w:ascii="Arial Narrow" w:eastAsia="Arial Narrow" w:hAnsi="Arial Narrow" w:cs="Arial Narrow"/>
                <w:b/>
                <w:i/>
                <w:sz w:val="20"/>
              </w:rPr>
            </w:pPr>
            <w:r w:rsidRPr="003B355D">
              <w:rPr>
                <w:rFonts w:ascii="Arial Narrow" w:eastAsia="Arial Narrow" w:hAnsi="Arial Narrow" w:cs="Arial Narrow"/>
                <w:b/>
                <w:i/>
                <w:sz w:val="20"/>
              </w:rPr>
              <w:t>GLP-1s included</w:t>
            </w:r>
          </w:p>
        </w:tc>
        <w:tc>
          <w:tcPr>
            <w:tcW w:w="1276" w:type="dxa"/>
            <w:tcBorders>
              <w:top w:val="single" w:sz="6" w:space="0" w:color="000000"/>
              <w:left w:val="single" w:sz="6" w:space="0" w:color="000000"/>
              <w:right w:val="single" w:sz="6" w:space="0" w:color="000000"/>
            </w:tcBorders>
            <w:vAlign w:val="center"/>
          </w:tcPr>
          <w:p w:rsidR="00C705A3" w:rsidRPr="003B355D" w:rsidRDefault="00C705A3" w:rsidP="00453C92">
            <w:pPr>
              <w:widowControl/>
              <w:jc w:val="center"/>
              <w:rPr>
                <w:rFonts w:ascii="Arial Narrow" w:eastAsia="Arial Narrow" w:hAnsi="Arial Narrow" w:cs="Arial Narrow"/>
                <w:b/>
                <w:i/>
                <w:sz w:val="20"/>
              </w:rPr>
            </w:pPr>
            <w:r w:rsidRPr="003B355D">
              <w:rPr>
                <w:rFonts w:ascii="Arial Narrow" w:eastAsia="Arial Narrow" w:hAnsi="Arial Narrow" w:cs="Arial Narrow"/>
                <w:b/>
                <w:i/>
                <w:sz w:val="20"/>
              </w:rPr>
              <w:t>Primary outcomes</w:t>
            </w:r>
          </w:p>
        </w:tc>
        <w:tc>
          <w:tcPr>
            <w:tcW w:w="1985" w:type="dxa"/>
            <w:tcBorders>
              <w:top w:val="single" w:sz="6" w:space="0" w:color="000000"/>
              <w:left w:val="single" w:sz="6" w:space="0" w:color="000000"/>
              <w:right w:val="single" w:sz="6" w:space="0" w:color="000000"/>
            </w:tcBorders>
            <w:vAlign w:val="center"/>
          </w:tcPr>
          <w:p w:rsidR="00C705A3" w:rsidRPr="003B355D" w:rsidRDefault="00C705A3" w:rsidP="00453C92">
            <w:pPr>
              <w:widowControl/>
              <w:jc w:val="center"/>
              <w:rPr>
                <w:rFonts w:ascii="Arial Narrow" w:eastAsia="Arial Narrow" w:hAnsi="Arial Narrow" w:cs="Arial Narrow"/>
                <w:b/>
                <w:i/>
                <w:sz w:val="20"/>
              </w:rPr>
            </w:pPr>
            <w:r w:rsidRPr="003B355D">
              <w:rPr>
                <w:rFonts w:ascii="Arial Narrow" w:eastAsia="Arial Narrow" w:hAnsi="Arial Narrow" w:cs="Arial Narrow"/>
                <w:b/>
                <w:i/>
                <w:sz w:val="20"/>
              </w:rPr>
              <w:t>Number of trials (patients) pooled</w:t>
            </w:r>
          </w:p>
        </w:tc>
        <w:tc>
          <w:tcPr>
            <w:tcW w:w="2551" w:type="dxa"/>
            <w:tcBorders>
              <w:top w:val="single" w:sz="6" w:space="0" w:color="000000"/>
              <w:left w:val="single" w:sz="6" w:space="0" w:color="000000"/>
              <w:right w:val="single" w:sz="6" w:space="0" w:color="000000"/>
            </w:tcBorders>
            <w:vAlign w:val="center"/>
          </w:tcPr>
          <w:p w:rsidR="00C705A3" w:rsidRPr="003B355D" w:rsidRDefault="00C705A3" w:rsidP="00453C92">
            <w:pPr>
              <w:widowControl/>
              <w:jc w:val="center"/>
              <w:rPr>
                <w:rFonts w:ascii="Arial Narrow" w:eastAsia="Arial Narrow" w:hAnsi="Arial Narrow" w:cs="Arial Narrow"/>
                <w:b/>
                <w:i/>
                <w:sz w:val="20"/>
              </w:rPr>
            </w:pPr>
            <w:r w:rsidRPr="003B355D">
              <w:rPr>
                <w:rFonts w:ascii="Arial Narrow" w:eastAsia="Arial Narrow" w:hAnsi="Arial Narrow" w:cs="Arial Narrow"/>
                <w:b/>
                <w:i/>
                <w:sz w:val="20"/>
              </w:rPr>
              <w:t>GLP-1 vs placebo</w:t>
            </w:r>
          </w:p>
          <w:p w:rsidR="00C705A3" w:rsidRPr="003B355D" w:rsidRDefault="00C705A3" w:rsidP="00453C92">
            <w:pPr>
              <w:widowControl/>
              <w:jc w:val="center"/>
              <w:rPr>
                <w:rFonts w:ascii="Arial Narrow" w:eastAsia="Arial Narrow" w:hAnsi="Arial Narrow" w:cs="Arial Narrow"/>
                <w:b/>
                <w:i/>
                <w:sz w:val="20"/>
              </w:rPr>
            </w:pPr>
            <w:r w:rsidRPr="003B355D">
              <w:rPr>
                <w:rFonts w:ascii="Arial Narrow" w:eastAsia="Arial Narrow" w:hAnsi="Arial Narrow" w:cs="Arial Narrow"/>
                <w:b/>
                <w:i/>
                <w:sz w:val="20"/>
              </w:rPr>
              <w:t>Ratio (95% CI)</w:t>
            </w:r>
          </w:p>
        </w:tc>
      </w:tr>
      <w:tr w:rsidR="00C705A3" w:rsidRPr="003B355D" w:rsidTr="00453C92">
        <w:trPr>
          <w:trHeight w:val="320"/>
        </w:trPr>
        <w:tc>
          <w:tcPr>
            <w:tcW w:w="1182" w:type="dxa"/>
            <w:tcBorders>
              <w:top w:val="single" w:sz="6" w:space="0" w:color="000000"/>
              <w:left w:val="single" w:sz="6" w:space="0" w:color="000000"/>
              <w:bottom w:val="single" w:sz="6" w:space="0" w:color="000000"/>
              <w:right w:val="single" w:sz="6" w:space="0" w:color="000000"/>
            </w:tcBorders>
          </w:tcPr>
          <w:p w:rsidR="00C705A3" w:rsidRPr="003B355D" w:rsidRDefault="00C705A3" w:rsidP="00453C92">
            <w:pPr>
              <w:widowControl/>
              <w:ind w:left="-94"/>
              <w:jc w:val="left"/>
              <w:rPr>
                <w:rFonts w:ascii="Arial Narrow" w:eastAsia="Arial Narrow" w:hAnsi="Arial Narrow" w:cs="Arial Narrow"/>
                <w:i/>
                <w:sz w:val="20"/>
              </w:rPr>
            </w:pPr>
            <w:r w:rsidRPr="003B355D">
              <w:rPr>
                <w:rFonts w:ascii="Arial Narrow" w:eastAsia="Arial Narrow" w:hAnsi="Arial Narrow" w:cs="Arial Narrow"/>
                <w:i/>
                <w:sz w:val="20"/>
              </w:rPr>
              <w:t>Ferdinand 2016</w:t>
            </w:r>
          </w:p>
        </w:tc>
        <w:tc>
          <w:tcPr>
            <w:tcW w:w="2234" w:type="dxa"/>
            <w:tcBorders>
              <w:top w:val="single" w:sz="6" w:space="0" w:color="000000"/>
              <w:left w:val="single" w:sz="6" w:space="0" w:color="000000"/>
              <w:bottom w:val="single" w:sz="6" w:space="0" w:color="000000"/>
              <w:right w:val="single" w:sz="6" w:space="0" w:color="000000"/>
            </w:tcBorders>
          </w:tcPr>
          <w:p w:rsidR="00C705A3" w:rsidRPr="003B355D" w:rsidRDefault="00C705A3" w:rsidP="00453C92">
            <w:pPr>
              <w:widowControl/>
              <w:ind w:left="-55" w:right="-66"/>
              <w:jc w:val="left"/>
              <w:rPr>
                <w:rFonts w:ascii="Arial Narrow" w:eastAsia="Arial Narrow" w:hAnsi="Arial Narrow" w:cs="Arial Narrow"/>
                <w:i/>
                <w:sz w:val="20"/>
              </w:rPr>
            </w:pPr>
            <w:proofErr w:type="spellStart"/>
            <w:r w:rsidRPr="003B355D">
              <w:rPr>
                <w:rFonts w:ascii="Arial Narrow" w:eastAsia="Arial Narrow" w:hAnsi="Arial Narrow" w:cs="Arial Narrow"/>
                <w:i/>
                <w:sz w:val="20"/>
                <w:u w:val="single"/>
              </w:rPr>
              <w:t>Dulaglutide</w:t>
            </w:r>
            <w:proofErr w:type="spellEnd"/>
            <w:r w:rsidRPr="003B355D">
              <w:rPr>
                <w:rFonts w:ascii="Arial Narrow" w:eastAsia="Arial Narrow" w:hAnsi="Arial Narrow" w:cs="Arial Narrow"/>
                <w:i/>
                <w:sz w:val="20"/>
              </w:rPr>
              <w:t xml:space="preserve"> 0.75 mg or 1.5 mg once weekly (Phase III);</w:t>
            </w:r>
          </w:p>
          <w:p w:rsidR="00C705A3" w:rsidRPr="003B355D" w:rsidRDefault="00C705A3" w:rsidP="00453C92">
            <w:pPr>
              <w:widowControl/>
              <w:ind w:left="-55" w:right="-66"/>
              <w:jc w:val="left"/>
              <w:rPr>
                <w:rFonts w:ascii="Arial Narrow" w:eastAsia="Arial Narrow" w:hAnsi="Arial Narrow" w:cs="Arial Narrow"/>
                <w:i/>
                <w:sz w:val="20"/>
              </w:rPr>
            </w:pPr>
            <w:r w:rsidRPr="003B355D">
              <w:rPr>
                <w:rFonts w:ascii="Arial Narrow" w:eastAsia="Arial Narrow" w:hAnsi="Arial Narrow" w:cs="Arial Narrow"/>
                <w:i/>
                <w:sz w:val="20"/>
              </w:rPr>
              <w:t>0.1 mg to 3 mg (Phase II)</w:t>
            </w:r>
          </w:p>
        </w:tc>
        <w:tc>
          <w:tcPr>
            <w:tcW w:w="1276" w:type="dxa"/>
            <w:tcBorders>
              <w:top w:val="single" w:sz="6" w:space="0" w:color="000000"/>
              <w:left w:val="single" w:sz="6" w:space="0" w:color="000000"/>
              <w:bottom w:val="single" w:sz="6" w:space="0" w:color="000000"/>
              <w:right w:val="single" w:sz="6" w:space="0" w:color="000000"/>
            </w:tcBorders>
          </w:tcPr>
          <w:p w:rsidR="00C705A3" w:rsidRPr="003B355D" w:rsidRDefault="00C705A3" w:rsidP="00453C92">
            <w:pPr>
              <w:widowControl/>
              <w:ind w:left="-55" w:right="-66"/>
              <w:jc w:val="left"/>
              <w:rPr>
                <w:rFonts w:ascii="Arial Narrow" w:eastAsia="Arial Narrow" w:hAnsi="Arial Narrow" w:cs="Arial Narrow"/>
                <w:i/>
                <w:sz w:val="20"/>
              </w:rPr>
            </w:pPr>
            <w:r w:rsidRPr="003B355D">
              <w:rPr>
                <w:rFonts w:ascii="Arial Narrow" w:eastAsia="Arial Narrow" w:hAnsi="Arial Narrow" w:cs="Arial Narrow"/>
                <w:i/>
                <w:sz w:val="20"/>
              </w:rPr>
              <w:t xml:space="preserve">MACE+ (unstable angina) </w:t>
            </w:r>
          </w:p>
        </w:tc>
        <w:tc>
          <w:tcPr>
            <w:tcW w:w="1985" w:type="dxa"/>
            <w:tcBorders>
              <w:top w:val="single" w:sz="6" w:space="0" w:color="000000"/>
              <w:left w:val="single" w:sz="6" w:space="0" w:color="000000"/>
              <w:bottom w:val="single" w:sz="6" w:space="0" w:color="000000"/>
              <w:right w:val="single" w:sz="6" w:space="0" w:color="000000"/>
            </w:tcBorders>
          </w:tcPr>
          <w:p w:rsidR="00C705A3" w:rsidRPr="003B355D" w:rsidRDefault="00C705A3" w:rsidP="00453C92">
            <w:pPr>
              <w:widowControl/>
              <w:ind w:left="-55" w:right="-66"/>
              <w:jc w:val="left"/>
              <w:rPr>
                <w:rFonts w:ascii="Arial Narrow" w:eastAsia="Arial Narrow" w:hAnsi="Arial Narrow" w:cs="Arial Narrow"/>
                <w:i/>
                <w:sz w:val="20"/>
              </w:rPr>
            </w:pPr>
            <w:r w:rsidRPr="003B355D">
              <w:rPr>
                <w:rFonts w:ascii="Arial Narrow" w:eastAsia="Arial Narrow" w:hAnsi="Arial Narrow" w:cs="Arial Narrow"/>
                <w:i/>
                <w:sz w:val="20"/>
              </w:rPr>
              <w:t>6 Phase II/III studies (4588 patients)</w:t>
            </w:r>
            <w:r w:rsidRPr="003B355D">
              <w:rPr>
                <w:rFonts w:ascii="Arial Narrow" w:eastAsia="Arial Narrow" w:hAnsi="Arial Narrow" w:cs="Arial Narrow"/>
                <w:i/>
                <w:sz w:val="20"/>
              </w:rPr>
              <w:br/>
              <w:t>Study durations: 12-104 weeks</w:t>
            </w:r>
          </w:p>
        </w:tc>
        <w:tc>
          <w:tcPr>
            <w:tcW w:w="2551" w:type="dxa"/>
            <w:tcBorders>
              <w:top w:val="single" w:sz="6" w:space="0" w:color="000000"/>
              <w:left w:val="single" w:sz="6" w:space="0" w:color="000000"/>
              <w:bottom w:val="single" w:sz="6" w:space="0" w:color="000000"/>
              <w:right w:val="single" w:sz="6" w:space="0" w:color="000000"/>
            </w:tcBorders>
          </w:tcPr>
          <w:p w:rsidR="00C705A3" w:rsidRPr="003B355D" w:rsidRDefault="00C705A3" w:rsidP="00453C92">
            <w:pPr>
              <w:widowControl/>
              <w:ind w:left="-55" w:right="-66"/>
              <w:jc w:val="left"/>
              <w:rPr>
                <w:rFonts w:ascii="Arial Narrow" w:eastAsia="Arial Narrow" w:hAnsi="Arial Narrow" w:cs="Arial Narrow"/>
                <w:i/>
                <w:sz w:val="20"/>
              </w:rPr>
            </w:pPr>
            <w:r w:rsidRPr="003B355D">
              <w:rPr>
                <w:rFonts w:ascii="Arial Narrow" w:eastAsia="Arial Narrow" w:hAnsi="Arial Narrow" w:cs="Arial Narrow"/>
                <w:i/>
                <w:sz w:val="20"/>
              </w:rPr>
              <w:t>MACE+: Hazard ratio</w:t>
            </w:r>
          </w:p>
          <w:p w:rsidR="00C705A3" w:rsidRPr="003B355D" w:rsidRDefault="00C705A3" w:rsidP="00453C92">
            <w:pPr>
              <w:widowControl/>
              <w:ind w:left="-55" w:right="-66"/>
              <w:jc w:val="left"/>
              <w:rPr>
                <w:rFonts w:ascii="Arial Narrow" w:eastAsia="Arial Narrow" w:hAnsi="Arial Narrow" w:cs="Arial Narrow"/>
                <w:i/>
                <w:sz w:val="20"/>
              </w:rPr>
            </w:pPr>
            <w:proofErr w:type="spellStart"/>
            <w:r w:rsidRPr="003B355D">
              <w:rPr>
                <w:rFonts w:ascii="Arial Narrow" w:eastAsia="Arial Narrow" w:hAnsi="Arial Narrow" w:cs="Arial Narrow"/>
                <w:i/>
                <w:sz w:val="20"/>
                <w:u w:val="single"/>
              </w:rPr>
              <w:t>Dulaglutide</w:t>
            </w:r>
            <w:proofErr w:type="spellEnd"/>
            <w:r w:rsidRPr="003B355D">
              <w:rPr>
                <w:rFonts w:ascii="Arial Narrow" w:eastAsia="Arial Narrow" w:hAnsi="Arial Narrow" w:cs="Arial Narrow"/>
                <w:i/>
                <w:sz w:val="20"/>
              </w:rPr>
              <w:t xml:space="preserve">: 0.47 (0.09, 2.57), p=0.30 </w:t>
            </w:r>
          </w:p>
        </w:tc>
      </w:tr>
      <w:tr w:rsidR="00C705A3" w:rsidRPr="003B355D" w:rsidTr="00453C92">
        <w:trPr>
          <w:trHeight w:val="320"/>
        </w:trPr>
        <w:tc>
          <w:tcPr>
            <w:tcW w:w="1182" w:type="dxa"/>
            <w:tcBorders>
              <w:top w:val="single" w:sz="6" w:space="0" w:color="000000"/>
              <w:left w:val="single" w:sz="6" w:space="0" w:color="000000"/>
              <w:bottom w:val="single" w:sz="6" w:space="0" w:color="000000"/>
              <w:right w:val="single" w:sz="6" w:space="0" w:color="000000"/>
            </w:tcBorders>
          </w:tcPr>
          <w:p w:rsidR="00C705A3" w:rsidRPr="003B355D" w:rsidRDefault="00C705A3" w:rsidP="00453C92">
            <w:pPr>
              <w:widowControl/>
              <w:ind w:left="-94"/>
              <w:jc w:val="left"/>
              <w:rPr>
                <w:rFonts w:ascii="Arial Narrow" w:eastAsia="Arial Narrow" w:hAnsi="Arial Narrow" w:cs="Arial Narrow"/>
                <w:i/>
                <w:sz w:val="20"/>
              </w:rPr>
            </w:pPr>
            <w:r w:rsidRPr="003B355D">
              <w:rPr>
                <w:rFonts w:ascii="Arial Narrow" w:eastAsia="Arial Narrow" w:hAnsi="Arial Narrow" w:cs="Arial Narrow"/>
                <w:i/>
                <w:sz w:val="20"/>
              </w:rPr>
              <w:t>Fisher 2015</w:t>
            </w:r>
          </w:p>
        </w:tc>
        <w:tc>
          <w:tcPr>
            <w:tcW w:w="2234" w:type="dxa"/>
            <w:tcBorders>
              <w:top w:val="single" w:sz="6" w:space="0" w:color="000000"/>
              <w:left w:val="single" w:sz="6" w:space="0" w:color="000000"/>
              <w:bottom w:val="single" w:sz="6" w:space="0" w:color="000000"/>
              <w:right w:val="single" w:sz="6" w:space="0" w:color="000000"/>
            </w:tcBorders>
          </w:tcPr>
          <w:p w:rsidR="00C705A3" w:rsidRPr="003B355D" w:rsidRDefault="00C705A3" w:rsidP="00453C92">
            <w:pPr>
              <w:widowControl/>
              <w:ind w:left="-55" w:right="-66"/>
              <w:jc w:val="left"/>
              <w:rPr>
                <w:rFonts w:ascii="Arial Narrow" w:eastAsia="Arial Narrow" w:hAnsi="Arial Narrow" w:cs="Arial Narrow"/>
                <w:i/>
                <w:sz w:val="20"/>
              </w:rPr>
            </w:pPr>
            <w:proofErr w:type="spellStart"/>
            <w:r w:rsidRPr="003B355D">
              <w:rPr>
                <w:rFonts w:ascii="Arial Narrow" w:eastAsia="Arial Narrow" w:hAnsi="Arial Narrow" w:cs="Arial Narrow"/>
                <w:i/>
                <w:sz w:val="20"/>
                <w:u w:val="single"/>
              </w:rPr>
              <w:t>Albiglutide</w:t>
            </w:r>
            <w:proofErr w:type="spellEnd"/>
            <w:r w:rsidRPr="003B355D">
              <w:rPr>
                <w:rFonts w:ascii="Arial Narrow" w:eastAsia="Arial Narrow" w:hAnsi="Arial Narrow" w:cs="Arial Narrow"/>
                <w:i/>
                <w:sz w:val="20"/>
              </w:rPr>
              <w:t xml:space="preserve"> 15 mg, 30 mg or 50 mg once weekly, or 30 mg twice daily</w:t>
            </w:r>
          </w:p>
        </w:tc>
        <w:tc>
          <w:tcPr>
            <w:tcW w:w="1276" w:type="dxa"/>
            <w:tcBorders>
              <w:top w:val="single" w:sz="6" w:space="0" w:color="000000"/>
              <w:left w:val="single" w:sz="6" w:space="0" w:color="000000"/>
              <w:bottom w:val="single" w:sz="6" w:space="0" w:color="000000"/>
              <w:right w:val="single" w:sz="6" w:space="0" w:color="000000"/>
            </w:tcBorders>
          </w:tcPr>
          <w:p w:rsidR="00C705A3" w:rsidRPr="003B355D" w:rsidRDefault="00C705A3" w:rsidP="00453C92">
            <w:pPr>
              <w:widowControl/>
              <w:ind w:left="-55" w:right="-66"/>
              <w:jc w:val="left"/>
              <w:rPr>
                <w:rFonts w:ascii="Arial Narrow" w:eastAsia="Arial Narrow" w:hAnsi="Arial Narrow" w:cs="Arial Narrow"/>
                <w:i/>
                <w:sz w:val="20"/>
              </w:rPr>
            </w:pPr>
            <w:r w:rsidRPr="003B355D">
              <w:rPr>
                <w:rFonts w:ascii="Arial Narrow" w:eastAsia="Arial Narrow" w:hAnsi="Arial Narrow" w:cs="Arial Narrow"/>
                <w:i/>
                <w:sz w:val="20"/>
              </w:rPr>
              <w:t xml:space="preserve">MACE + unstable angina </w:t>
            </w:r>
          </w:p>
        </w:tc>
        <w:tc>
          <w:tcPr>
            <w:tcW w:w="1985" w:type="dxa"/>
            <w:tcBorders>
              <w:top w:val="single" w:sz="6" w:space="0" w:color="000000"/>
              <w:left w:val="single" w:sz="6" w:space="0" w:color="000000"/>
              <w:bottom w:val="single" w:sz="6" w:space="0" w:color="000000"/>
              <w:right w:val="single" w:sz="6" w:space="0" w:color="000000"/>
            </w:tcBorders>
          </w:tcPr>
          <w:p w:rsidR="00C705A3" w:rsidRPr="003B355D" w:rsidRDefault="00C705A3" w:rsidP="00453C92">
            <w:pPr>
              <w:widowControl/>
              <w:ind w:left="-55" w:right="-66"/>
              <w:jc w:val="left"/>
              <w:rPr>
                <w:rFonts w:ascii="Arial Narrow" w:eastAsia="Arial Narrow" w:hAnsi="Arial Narrow" w:cs="Arial Narrow"/>
                <w:i/>
                <w:sz w:val="20"/>
              </w:rPr>
            </w:pPr>
            <w:r w:rsidRPr="003B355D">
              <w:rPr>
                <w:rFonts w:ascii="Arial Narrow" w:eastAsia="Arial Narrow" w:hAnsi="Arial Narrow" w:cs="Arial Narrow"/>
                <w:i/>
                <w:sz w:val="20"/>
              </w:rPr>
              <w:t>5 Phase II/III studies (1604 patients)</w:t>
            </w:r>
            <w:r w:rsidRPr="003B355D">
              <w:rPr>
                <w:rFonts w:ascii="Arial Narrow" w:eastAsia="Arial Narrow" w:hAnsi="Arial Narrow" w:cs="Arial Narrow"/>
                <w:i/>
                <w:sz w:val="20"/>
              </w:rPr>
              <w:br/>
              <w:t>Study durations: 16 weeks (Phase II) or 3 years (Phase III)</w:t>
            </w:r>
          </w:p>
        </w:tc>
        <w:tc>
          <w:tcPr>
            <w:tcW w:w="2551" w:type="dxa"/>
            <w:tcBorders>
              <w:top w:val="single" w:sz="6" w:space="0" w:color="000000"/>
              <w:left w:val="single" w:sz="6" w:space="0" w:color="000000"/>
              <w:bottom w:val="single" w:sz="6" w:space="0" w:color="000000"/>
              <w:right w:val="single" w:sz="6" w:space="0" w:color="000000"/>
            </w:tcBorders>
          </w:tcPr>
          <w:p w:rsidR="00C705A3" w:rsidRPr="003B355D" w:rsidRDefault="00C705A3" w:rsidP="00453C92">
            <w:pPr>
              <w:widowControl/>
              <w:ind w:left="-55" w:right="-66"/>
              <w:jc w:val="left"/>
              <w:rPr>
                <w:rFonts w:ascii="Arial Narrow" w:eastAsia="Arial Narrow" w:hAnsi="Arial Narrow" w:cs="Arial Narrow"/>
                <w:i/>
                <w:sz w:val="20"/>
              </w:rPr>
            </w:pPr>
            <w:r w:rsidRPr="003B355D">
              <w:rPr>
                <w:rFonts w:ascii="Arial Narrow" w:eastAsia="Arial Narrow" w:hAnsi="Arial Narrow" w:cs="Arial Narrow"/>
                <w:i/>
                <w:sz w:val="20"/>
              </w:rPr>
              <w:t>MACE (excluding unstable angina): Hazard ratio</w:t>
            </w:r>
          </w:p>
          <w:p w:rsidR="00C705A3" w:rsidRPr="003B355D" w:rsidRDefault="00C705A3" w:rsidP="00453C92">
            <w:pPr>
              <w:widowControl/>
              <w:ind w:left="-55" w:right="-66"/>
              <w:jc w:val="left"/>
              <w:rPr>
                <w:rFonts w:ascii="Arial Narrow" w:eastAsia="Arial Narrow" w:hAnsi="Arial Narrow" w:cs="Arial Narrow"/>
                <w:i/>
                <w:sz w:val="20"/>
              </w:rPr>
            </w:pPr>
            <w:proofErr w:type="spellStart"/>
            <w:r w:rsidRPr="003B355D">
              <w:rPr>
                <w:rFonts w:ascii="Arial Narrow" w:eastAsia="Arial Narrow" w:hAnsi="Arial Narrow" w:cs="Arial Narrow"/>
                <w:i/>
                <w:sz w:val="20"/>
                <w:u w:val="single"/>
              </w:rPr>
              <w:t>Albiglutide</w:t>
            </w:r>
            <w:proofErr w:type="spellEnd"/>
            <w:r w:rsidRPr="003B355D">
              <w:rPr>
                <w:rFonts w:ascii="Arial Narrow" w:eastAsia="Arial Narrow" w:hAnsi="Arial Narrow" w:cs="Arial Narrow"/>
                <w:i/>
                <w:sz w:val="20"/>
              </w:rPr>
              <w:t xml:space="preserve"> = 0.69 (0.35, 1.35), p=0.28</w:t>
            </w:r>
          </w:p>
        </w:tc>
      </w:tr>
      <w:tr w:rsidR="00C705A3" w:rsidRPr="003B355D" w:rsidTr="00453C92">
        <w:trPr>
          <w:trHeight w:val="320"/>
        </w:trPr>
        <w:tc>
          <w:tcPr>
            <w:tcW w:w="1182" w:type="dxa"/>
            <w:tcBorders>
              <w:top w:val="single" w:sz="6" w:space="0" w:color="000000"/>
              <w:left w:val="single" w:sz="6" w:space="0" w:color="000000"/>
              <w:bottom w:val="single" w:sz="6" w:space="0" w:color="000000"/>
              <w:right w:val="single" w:sz="6" w:space="0" w:color="000000"/>
            </w:tcBorders>
          </w:tcPr>
          <w:p w:rsidR="00C705A3" w:rsidRPr="003B355D" w:rsidRDefault="00C705A3" w:rsidP="00453C92">
            <w:pPr>
              <w:widowControl/>
              <w:ind w:left="-94"/>
              <w:jc w:val="left"/>
              <w:rPr>
                <w:rFonts w:ascii="Arial Narrow" w:eastAsia="Arial Narrow" w:hAnsi="Arial Narrow" w:cs="Arial Narrow"/>
                <w:i/>
                <w:sz w:val="20"/>
              </w:rPr>
            </w:pPr>
            <w:proofErr w:type="spellStart"/>
            <w:r w:rsidRPr="003B355D">
              <w:rPr>
                <w:rFonts w:ascii="Arial Narrow" w:eastAsia="Arial Narrow" w:hAnsi="Arial Narrow" w:cs="Arial Narrow"/>
                <w:i/>
                <w:sz w:val="20"/>
              </w:rPr>
              <w:t>Monami</w:t>
            </w:r>
            <w:proofErr w:type="spellEnd"/>
            <w:r w:rsidRPr="003B355D">
              <w:rPr>
                <w:rFonts w:ascii="Arial Narrow" w:eastAsia="Arial Narrow" w:hAnsi="Arial Narrow" w:cs="Arial Narrow"/>
                <w:i/>
                <w:sz w:val="20"/>
              </w:rPr>
              <w:t xml:space="preserve"> 2014</w:t>
            </w:r>
          </w:p>
        </w:tc>
        <w:tc>
          <w:tcPr>
            <w:tcW w:w="2234" w:type="dxa"/>
            <w:tcBorders>
              <w:top w:val="single" w:sz="6" w:space="0" w:color="000000"/>
              <w:left w:val="single" w:sz="6" w:space="0" w:color="000000"/>
              <w:bottom w:val="single" w:sz="6" w:space="0" w:color="000000"/>
              <w:right w:val="single" w:sz="6" w:space="0" w:color="000000"/>
            </w:tcBorders>
          </w:tcPr>
          <w:p w:rsidR="00C705A3" w:rsidRPr="003B355D" w:rsidRDefault="00C705A3" w:rsidP="00453C92">
            <w:pPr>
              <w:widowControl/>
              <w:ind w:left="-55" w:right="-66"/>
              <w:jc w:val="left"/>
              <w:rPr>
                <w:rFonts w:ascii="Arial Narrow" w:eastAsia="Arial Narrow" w:hAnsi="Arial Narrow" w:cs="Arial Narrow"/>
                <w:i/>
                <w:sz w:val="20"/>
              </w:rPr>
            </w:pPr>
            <w:r w:rsidRPr="003B355D">
              <w:rPr>
                <w:rFonts w:ascii="Arial Narrow" w:eastAsia="Arial Narrow" w:hAnsi="Arial Narrow" w:cs="Arial Narrow"/>
                <w:i/>
                <w:sz w:val="20"/>
                <w:u w:val="single"/>
              </w:rPr>
              <w:t>Exenatide</w:t>
            </w:r>
            <w:r w:rsidRPr="003B355D">
              <w:rPr>
                <w:rFonts w:ascii="Arial Narrow" w:eastAsia="Arial Narrow" w:hAnsi="Arial Narrow" w:cs="Arial Narrow"/>
                <w:i/>
                <w:sz w:val="20"/>
              </w:rPr>
              <w:t xml:space="preserve"> 5 µg or 10 µg twice daily</w:t>
            </w:r>
            <w:r w:rsidRPr="003B355D">
              <w:rPr>
                <w:rFonts w:ascii="Arial Narrow" w:eastAsia="Arial Narrow" w:hAnsi="Arial Narrow" w:cs="Arial Narrow"/>
                <w:i/>
                <w:sz w:val="20"/>
              </w:rPr>
              <w:br/>
            </w:r>
            <w:r w:rsidRPr="003B355D">
              <w:rPr>
                <w:rFonts w:ascii="Arial Narrow" w:eastAsia="Arial Narrow" w:hAnsi="Arial Narrow" w:cs="Arial Narrow"/>
                <w:i/>
                <w:sz w:val="20"/>
                <w:u w:val="single"/>
              </w:rPr>
              <w:t>Liraglutide</w:t>
            </w:r>
            <w:r w:rsidRPr="003B355D">
              <w:rPr>
                <w:rFonts w:ascii="Arial Narrow" w:eastAsia="Arial Narrow" w:hAnsi="Arial Narrow" w:cs="Arial Narrow"/>
                <w:i/>
                <w:sz w:val="20"/>
              </w:rPr>
              <w:t xml:space="preserve"> 0.6 mg, 0.9 mg, 1.2 mg or 1.8 mg once daily</w:t>
            </w:r>
            <w:r w:rsidRPr="003B355D">
              <w:rPr>
                <w:rFonts w:ascii="Arial Narrow" w:eastAsia="Arial Narrow" w:hAnsi="Arial Narrow" w:cs="Arial Narrow"/>
                <w:i/>
                <w:sz w:val="20"/>
              </w:rPr>
              <w:br/>
            </w:r>
            <w:proofErr w:type="spellStart"/>
            <w:r w:rsidRPr="003B355D">
              <w:rPr>
                <w:rFonts w:ascii="Arial Narrow" w:eastAsia="Arial Narrow" w:hAnsi="Arial Narrow" w:cs="Arial Narrow"/>
                <w:i/>
                <w:sz w:val="20"/>
                <w:u w:val="single"/>
              </w:rPr>
              <w:t>Taspoglutide</w:t>
            </w:r>
            <w:proofErr w:type="spellEnd"/>
            <w:r w:rsidRPr="003B355D">
              <w:rPr>
                <w:rFonts w:ascii="Arial Narrow" w:eastAsia="Arial Narrow" w:hAnsi="Arial Narrow" w:cs="Arial Narrow"/>
                <w:i/>
                <w:sz w:val="20"/>
              </w:rPr>
              <w:t xml:space="preserve"> 10 mg or 20 mg once weekly</w:t>
            </w:r>
          </w:p>
        </w:tc>
        <w:tc>
          <w:tcPr>
            <w:tcW w:w="1276" w:type="dxa"/>
            <w:tcBorders>
              <w:top w:val="single" w:sz="6" w:space="0" w:color="000000"/>
              <w:left w:val="single" w:sz="6" w:space="0" w:color="000000"/>
              <w:bottom w:val="single" w:sz="6" w:space="0" w:color="000000"/>
              <w:right w:val="single" w:sz="6" w:space="0" w:color="000000"/>
            </w:tcBorders>
          </w:tcPr>
          <w:p w:rsidR="00C705A3" w:rsidRPr="003B355D" w:rsidRDefault="00C705A3" w:rsidP="00453C92">
            <w:pPr>
              <w:widowControl/>
              <w:ind w:left="-55" w:right="-66"/>
              <w:jc w:val="left"/>
              <w:rPr>
                <w:rFonts w:ascii="Arial Narrow" w:eastAsia="Arial Narrow" w:hAnsi="Arial Narrow" w:cs="Arial Narrow"/>
                <w:i/>
                <w:sz w:val="20"/>
              </w:rPr>
            </w:pPr>
            <w:r w:rsidRPr="003B355D">
              <w:rPr>
                <w:rFonts w:ascii="Arial Narrow" w:eastAsia="Arial Narrow" w:hAnsi="Arial Narrow" w:cs="Arial Narrow"/>
                <w:i/>
                <w:sz w:val="20"/>
              </w:rPr>
              <w:t>MACE</w:t>
            </w:r>
          </w:p>
        </w:tc>
        <w:tc>
          <w:tcPr>
            <w:tcW w:w="1985" w:type="dxa"/>
            <w:tcBorders>
              <w:top w:val="single" w:sz="6" w:space="0" w:color="000000"/>
              <w:left w:val="single" w:sz="6" w:space="0" w:color="000000"/>
              <w:bottom w:val="single" w:sz="6" w:space="0" w:color="000000"/>
              <w:right w:val="single" w:sz="6" w:space="0" w:color="000000"/>
            </w:tcBorders>
          </w:tcPr>
          <w:p w:rsidR="00C705A3" w:rsidRPr="003B355D" w:rsidRDefault="00C705A3" w:rsidP="00453C92">
            <w:pPr>
              <w:widowControl/>
              <w:ind w:left="-55" w:right="-66"/>
              <w:jc w:val="left"/>
              <w:rPr>
                <w:rFonts w:ascii="Arial Narrow" w:eastAsia="Arial Narrow" w:hAnsi="Arial Narrow" w:cs="Arial Narrow"/>
                <w:i/>
                <w:sz w:val="20"/>
              </w:rPr>
            </w:pPr>
            <w:r w:rsidRPr="003B355D">
              <w:rPr>
                <w:rFonts w:ascii="Arial Narrow" w:eastAsia="Arial Narrow" w:hAnsi="Arial Narrow" w:cs="Arial Narrow"/>
                <w:i/>
                <w:sz w:val="20"/>
                <w:u w:val="single"/>
              </w:rPr>
              <w:t>Exenatide</w:t>
            </w:r>
            <w:r w:rsidRPr="003B355D">
              <w:rPr>
                <w:rFonts w:ascii="Arial Narrow" w:eastAsia="Arial Narrow" w:hAnsi="Arial Narrow" w:cs="Arial Narrow"/>
                <w:i/>
                <w:sz w:val="20"/>
              </w:rPr>
              <w:t>: 6 Phase II/III studies (1864 patients)</w:t>
            </w:r>
            <w:r w:rsidRPr="003B355D">
              <w:rPr>
                <w:rFonts w:ascii="Arial Narrow" w:eastAsia="Arial Narrow" w:hAnsi="Arial Narrow" w:cs="Arial Narrow"/>
                <w:i/>
                <w:sz w:val="20"/>
              </w:rPr>
              <w:br/>
            </w:r>
            <w:r w:rsidRPr="003B355D">
              <w:rPr>
                <w:rFonts w:ascii="Arial Narrow" w:eastAsia="Arial Narrow" w:hAnsi="Arial Narrow" w:cs="Arial Narrow"/>
                <w:i/>
                <w:sz w:val="20"/>
                <w:u w:val="single"/>
              </w:rPr>
              <w:t>Liraglutide</w:t>
            </w:r>
            <w:r w:rsidRPr="003B355D">
              <w:rPr>
                <w:rFonts w:ascii="Arial Narrow" w:eastAsia="Arial Narrow" w:hAnsi="Arial Narrow" w:cs="Arial Narrow"/>
                <w:i/>
                <w:sz w:val="20"/>
              </w:rPr>
              <w:t>: 5 Phase III studies (3024 patients)</w:t>
            </w:r>
            <w:r w:rsidRPr="003B355D">
              <w:rPr>
                <w:rFonts w:ascii="Arial Narrow" w:eastAsia="Arial Narrow" w:hAnsi="Arial Narrow" w:cs="Arial Narrow"/>
                <w:i/>
                <w:sz w:val="20"/>
              </w:rPr>
              <w:br/>
            </w:r>
            <w:proofErr w:type="spellStart"/>
            <w:r w:rsidRPr="003B355D">
              <w:rPr>
                <w:rFonts w:ascii="Arial Narrow" w:eastAsia="Arial Narrow" w:hAnsi="Arial Narrow" w:cs="Arial Narrow"/>
                <w:i/>
                <w:sz w:val="20"/>
                <w:u w:val="single"/>
              </w:rPr>
              <w:t>Taspoglutide</w:t>
            </w:r>
            <w:proofErr w:type="spellEnd"/>
            <w:r w:rsidRPr="003B355D">
              <w:rPr>
                <w:rFonts w:ascii="Arial Narrow" w:eastAsia="Arial Narrow" w:hAnsi="Arial Narrow" w:cs="Arial Narrow"/>
                <w:i/>
                <w:sz w:val="20"/>
              </w:rPr>
              <w:t>: 1 Phase III study (368 patients)</w:t>
            </w:r>
            <w:r w:rsidRPr="003B355D">
              <w:rPr>
                <w:rFonts w:ascii="Arial Narrow" w:eastAsia="Arial Narrow" w:hAnsi="Arial Narrow" w:cs="Arial Narrow"/>
                <w:i/>
                <w:sz w:val="20"/>
              </w:rPr>
              <w:br/>
              <w:t xml:space="preserve">Study duration: 24-30 </w:t>
            </w:r>
            <w:proofErr w:type="spellStart"/>
            <w:r w:rsidRPr="003B355D">
              <w:rPr>
                <w:rFonts w:ascii="Arial Narrow" w:eastAsia="Arial Narrow" w:hAnsi="Arial Narrow" w:cs="Arial Narrow"/>
                <w:i/>
                <w:sz w:val="20"/>
              </w:rPr>
              <w:t>wks</w:t>
            </w:r>
            <w:proofErr w:type="spellEnd"/>
          </w:p>
        </w:tc>
        <w:tc>
          <w:tcPr>
            <w:tcW w:w="2551" w:type="dxa"/>
            <w:tcBorders>
              <w:top w:val="single" w:sz="6" w:space="0" w:color="000000"/>
              <w:left w:val="single" w:sz="6" w:space="0" w:color="000000"/>
              <w:bottom w:val="single" w:sz="6" w:space="0" w:color="000000"/>
              <w:right w:val="single" w:sz="6" w:space="0" w:color="000000"/>
            </w:tcBorders>
          </w:tcPr>
          <w:p w:rsidR="00C705A3" w:rsidRPr="003B355D" w:rsidRDefault="00C705A3" w:rsidP="00453C92">
            <w:pPr>
              <w:widowControl/>
              <w:ind w:left="-55" w:right="-66"/>
              <w:jc w:val="left"/>
              <w:rPr>
                <w:rFonts w:ascii="Arial Narrow" w:eastAsia="Arial Narrow" w:hAnsi="Arial Narrow" w:cs="Arial Narrow"/>
                <w:i/>
                <w:sz w:val="20"/>
              </w:rPr>
            </w:pPr>
            <w:r w:rsidRPr="003B355D">
              <w:rPr>
                <w:rFonts w:ascii="Arial Narrow" w:eastAsia="Arial Narrow" w:hAnsi="Arial Narrow" w:cs="Arial Narrow"/>
                <w:i/>
                <w:sz w:val="20"/>
              </w:rPr>
              <w:t>MACE: Odds ratio</w:t>
            </w:r>
            <w:r w:rsidRPr="003B355D">
              <w:rPr>
                <w:rFonts w:ascii="Arial Narrow" w:eastAsia="Arial Narrow" w:hAnsi="Arial Narrow" w:cs="Arial Narrow"/>
                <w:i/>
                <w:sz w:val="20"/>
              </w:rPr>
              <w:br/>
            </w:r>
            <w:r w:rsidRPr="003B355D">
              <w:rPr>
                <w:rFonts w:ascii="Arial Narrow" w:eastAsia="Arial Narrow" w:hAnsi="Arial Narrow" w:cs="Arial Narrow"/>
                <w:i/>
                <w:sz w:val="20"/>
                <w:u w:val="single"/>
              </w:rPr>
              <w:t>Exenatide</w:t>
            </w:r>
            <w:r w:rsidRPr="003B355D">
              <w:rPr>
                <w:rFonts w:ascii="Arial Narrow" w:eastAsia="Arial Narrow" w:hAnsi="Arial Narrow" w:cs="Arial Narrow"/>
                <w:i/>
                <w:sz w:val="20"/>
              </w:rPr>
              <w:t>: 0.45 (0.20, 1.02)</w:t>
            </w:r>
            <w:r w:rsidRPr="003B355D">
              <w:rPr>
                <w:rFonts w:ascii="Arial Narrow" w:eastAsia="Arial Narrow" w:hAnsi="Arial Narrow" w:cs="Arial Narrow"/>
                <w:i/>
                <w:sz w:val="20"/>
              </w:rPr>
              <w:br/>
            </w:r>
            <w:r w:rsidRPr="003B355D">
              <w:rPr>
                <w:rFonts w:ascii="Arial Narrow" w:eastAsia="Arial Narrow" w:hAnsi="Arial Narrow" w:cs="Arial Narrow"/>
                <w:i/>
                <w:sz w:val="20"/>
                <w:u w:val="single"/>
              </w:rPr>
              <w:t>Liraglutide</w:t>
            </w:r>
            <w:r w:rsidRPr="003B355D">
              <w:rPr>
                <w:rFonts w:ascii="Arial Narrow" w:eastAsia="Arial Narrow" w:hAnsi="Arial Narrow" w:cs="Arial Narrow"/>
                <w:i/>
                <w:sz w:val="20"/>
              </w:rPr>
              <w:t>: 0.60 (0.22, 1.62)</w:t>
            </w:r>
            <w:r w:rsidRPr="003B355D">
              <w:rPr>
                <w:rFonts w:ascii="Arial Narrow" w:eastAsia="Arial Narrow" w:hAnsi="Arial Narrow" w:cs="Arial Narrow"/>
                <w:i/>
                <w:sz w:val="20"/>
              </w:rPr>
              <w:br/>
            </w:r>
            <w:proofErr w:type="spellStart"/>
            <w:r w:rsidRPr="003B355D">
              <w:rPr>
                <w:rFonts w:ascii="Arial Narrow" w:eastAsia="Arial Narrow" w:hAnsi="Arial Narrow" w:cs="Arial Narrow"/>
                <w:i/>
                <w:sz w:val="20"/>
                <w:u w:val="single"/>
              </w:rPr>
              <w:t>Taspoglutide</w:t>
            </w:r>
            <w:proofErr w:type="spellEnd"/>
            <w:r w:rsidRPr="003B355D">
              <w:rPr>
                <w:rFonts w:ascii="Arial Narrow" w:eastAsia="Arial Narrow" w:hAnsi="Arial Narrow" w:cs="Arial Narrow"/>
                <w:i/>
                <w:sz w:val="20"/>
              </w:rPr>
              <w:t>: 0.50 (0.03, 8.06)</w:t>
            </w:r>
          </w:p>
        </w:tc>
      </w:tr>
      <w:tr w:rsidR="00C705A3" w:rsidRPr="003B355D" w:rsidTr="00453C92">
        <w:trPr>
          <w:trHeight w:val="320"/>
        </w:trPr>
        <w:tc>
          <w:tcPr>
            <w:tcW w:w="1182" w:type="dxa"/>
            <w:tcBorders>
              <w:top w:val="single" w:sz="6" w:space="0" w:color="000000"/>
              <w:left w:val="single" w:sz="6" w:space="0" w:color="000000"/>
              <w:bottom w:val="single" w:sz="6" w:space="0" w:color="000000"/>
              <w:right w:val="single" w:sz="6" w:space="0" w:color="000000"/>
            </w:tcBorders>
          </w:tcPr>
          <w:p w:rsidR="00C705A3" w:rsidRPr="003B355D" w:rsidRDefault="00C705A3" w:rsidP="00453C92">
            <w:pPr>
              <w:widowControl/>
              <w:ind w:left="-94"/>
              <w:jc w:val="left"/>
              <w:rPr>
                <w:rFonts w:ascii="Arial Narrow" w:eastAsia="Arial Narrow" w:hAnsi="Arial Narrow" w:cs="Arial Narrow"/>
                <w:i/>
                <w:sz w:val="20"/>
              </w:rPr>
            </w:pPr>
            <w:r w:rsidRPr="003B355D">
              <w:rPr>
                <w:rFonts w:ascii="Arial Narrow" w:eastAsia="Arial Narrow" w:hAnsi="Arial Narrow" w:cs="Arial Narrow"/>
                <w:i/>
                <w:sz w:val="20"/>
              </w:rPr>
              <w:t>Ratner 2011</w:t>
            </w:r>
          </w:p>
        </w:tc>
        <w:tc>
          <w:tcPr>
            <w:tcW w:w="2234" w:type="dxa"/>
            <w:tcBorders>
              <w:top w:val="single" w:sz="6" w:space="0" w:color="000000"/>
              <w:left w:val="single" w:sz="6" w:space="0" w:color="000000"/>
              <w:bottom w:val="single" w:sz="6" w:space="0" w:color="000000"/>
              <w:right w:val="single" w:sz="6" w:space="0" w:color="000000"/>
            </w:tcBorders>
          </w:tcPr>
          <w:p w:rsidR="00C705A3" w:rsidRPr="003B355D" w:rsidRDefault="00C705A3" w:rsidP="00453C92">
            <w:pPr>
              <w:widowControl/>
              <w:ind w:left="-55" w:right="-66"/>
              <w:jc w:val="left"/>
              <w:rPr>
                <w:rFonts w:ascii="Arial Narrow" w:eastAsia="Arial Narrow" w:hAnsi="Arial Narrow" w:cs="Arial Narrow"/>
                <w:i/>
                <w:sz w:val="20"/>
              </w:rPr>
            </w:pPr>
            <w:r w:rsidRPr="003B355D">
              <w:rPr>
                <w:rFonts w:ascii="Arial Narrow" w:eastAsia="Arial Narrow" w:hAnsi="Arial Narrow" w:cs="Arial Narrow"/>
                <w:i/>
                <w:sz w:val="20"/>
                <w:u w:val="single"/>
              </w:rPr>
              <w:t>Exenatide</w:t>
            </w:r>
            <w:r w:rsidRPr="003B355D">
              <w:rPr>
                <w:rFonts w:ascii="Arial Narrow" w:eastAsia="Arial Narrow" w:hAnsi="Arial Narrow" w:cs="Arial Narrow"/>
                <w:i/>
                <w:sz w:val="20"/>
              </w:rPr>
              <w:t xml:space="preserve"> 2.5 µg, 5 µg or 10 µg twice daily</w:t>
            </w:r>
          </w:p>
        </w:tc>
        <w:tc>
          <w:tcPr>
            <w:tcW w:w="1276" w:type="dxa"/>
            <w:tcBorders>
              <w:top w:val="single" w:sz="6" w:space="0" w:color="000000"/>
              <w:left w:val="single" w:sz="6" w:space="0" w:color="000000"/>
              <w:bottom w:val="single" w:sz="6" w:space="0" w:color="000000"/>
              <w:right w:val="single" w:sz="6" w:space="0" w:color="000000"/>
            </w:tcBorders>
          </w:tcPr>
          <w:p w:rsidR="00C705A3" w:rsidRPr="003B355D" w:rsidRDefault="00C705A3" w:rsidP="00453C92">
            <w:pPr>
              <w:widowControl/>
              <w:ind w:left="-55" w:right="-66"/>
              <w:jc w:val="left"/>
              <w:rPr>
                <w:rFonts w:ascii="Arial Narrow" w:eastAsia="Arial Narrow" w:hAnsi="Arial Narrow" w:cs="Arial Narrow"/>
                <w:i/>
                <w:sz w:val="20"/>
              </w:rPr>
            </w:pPr>
            <w:r w:rsidRPr="003B355D">
              <w:rPr>
                <w:rFonts w:ascii="Arial Narrow" w:eastAsia="Arial Narrow" w:hAnsi="Arial Narrow" w:cs="Arial Narrow"/>
                <w:i/>
                <w:sz w:val="20"/>
              </w:rPr>
              <w:t>Expanded MACE</w:t>
            </w:r>
          </w:p>
        </w:tc>
        <w:tc>
          <w:tcPr>
            <w:tcW w:w="1985" w:type="dxa"/>
            <w:tcBorders>
              <w:top w:val="single" w:sz="6" w:space="0" w:color="000000"/>
              <w:left w:val="single" w:sz="6" w:space="0" w:color="000000"/>
              <w:bottom w:val="single" w:sz="6" w:space="0" w:color="000000"/>
              <w:right w:val="single" w:sz="6" w:space="0" w:color="000000"/>
            </w:tcBorders>
          </w:tcPr>
          <w:p w:rsidR="00C705A3" w:rsidRPr="003B355D" w:rsidRDefault="00C705A3" w:rsidP="00453C92">
            <w:pPr>
              <w:widowControl/>
              <w:ind w:left="-55" w:right="-66"/>
              <w:jc w:val="left"/>
              <w:rPr>
                <w:rFonts w:ascii="Arial Narrow" w:eastAsia="Arial Narrow" w:hAnsi="Arial Narrow" w:cs="Arial Narrow"/>
                <w:i/>
                <w:sz w:val="20"/>
              </w:rPr>
            </w:pPr>
            <w:r w:rsidRPr="003B355D">
              <w:rPr>
                <w:rFonts w:ascii="Arial Narrow" w:eastAsia="Arial Narrow" w:hAnsi="Arial Narrow" w:cs="Arial Narrow"/>
                <w:i/>
                <w:sz w:val="20"/>
              </w:rPr>
              <w:t xml:space="preserve">8 Phase II/III studies (2583 patients) </w:t>
            </w:r>
            <w:r w:rsidRPr="003B355D">
              <w:rPr>
                <w:rFonts w:ascii="Arial Narrow" w:eastAsia="Arial Narrow" w:hAnsi="Arial Narrow" w:cs="Arial Narrow"/>
                <w:i/>
                <w:sz w:val="20"/>
              </w:rPr>
              <w:br/>
              <w:t>Study durations: 12-52 weeks</w:t>
            </w:r>
          </w:p>
        </w:tc>
        <w:tc>
          <w:tcPr>
            <w:tcW w:w="2551" w:type="dxa"/>
            <w:tcBorders>
              <w:top w:val="single" w:sz="6" w:space="0" w:color="000000"/>
              <w:left w:val="single" w:sz="6" w:space="0" w:color="000000"/>
              <w:bottom w:val="single" w:sz="6" w:space="0" w:color="000000"/>
              <w:right w:val="single" w:sz="6" w:space="0" w:color="000000"/>
            </w:tcBorders>
          </w:tcPr>
          <w:p w:rsidR="00C705A3" w:rsidRPr="003B355D" w:rsidRDefault="00C705A3" w:rsidP="00453C92">
            <w:pPr>
              <w:widowControl/>
              <w:ind w:left="-55" w:right="-66"/>
              <w:jc w:val="left"/>
              <w:rPr>
                <w:rFonts w:ascii="Arial Narrow" w:eastAsia="Arial Narrow" w:hAnsi="Arial Narrow" w:cs="Arial Narrow"/>
                <w:i/>
                <w:sz w:val="20"/>
              </w:rPr>
            </w:pPr>
            <w:r w:rsidRPr="003B355D">
              <w:rPr>
                <w:rFonts w:ascii="Arial Narrow" w:eastAsia="Arial Narrow" w:hAnsi="Arial Narrow" w:cs="Arial Narrow"/>
                <w:i/>
                <w:sz w:val="20"/>
              </w:rPr>
              <w:t>Expanded MACE:</w:t>
            </w:r>
          </w:p>
          <w:p w:rsidR="00C705A3" w:rsidRPr="003B355D" w:rsidRDefault="00C705A3" w:rsidP="00453C92">
            <w:pPr>
              <w:widowControl/>
              <w:ind w:left="-55" w:right="-66"/>
              <w:jc w:val="left"/>
              <w:rPr>
                <w:rFonts w:ascii="Arial Narrow" w:eastAsia="Arial Narrow" w:hAnsi="Arial Narrow" w:cs="Arial Narrow"/>
                <w:i/>
                <w:sz w:val="20"/>
              </w:rPr>
            </w:pPr>
            <w:r w:rsidRPr="003B355D">
              <w:rPr>
                <w:rFonts w:ascii="Arial Narrow" w:eastAsia="Arial Narrow" w:hAnsi="Arial Narrow" w:cs="Arial Narrow"/>
                <w:i/>
                <w:sz w:val="20"/>
              </w:rPr>
              <w:t>Exenatide: 0.53 (95% CI NR)</w:t>
            </w:r>
          </w:p>
        </w:tc>
      </w:tr>
      <w:tr w:rsidR="00C705A3" w:rsidRPr="003B355D" w:rsidTr="00453C92">
        <w:trPr>
          <w:trHeight w:val="320"/>
        </w:trPr>
        <w:tc>
          <w:tcPr>
            <w:tcW w:w="1182" w:type="dxa"/>
            <w:tcBorders>
              <w:top w:val="single" w:sz="6" w:space="0" w:color="000000"/>
              <w:left w:val="single" w:sz="6" w:space="0" w:color="000000"/>
              <w:bottom w:val="single" w:sz="6" w:space="0" w:color="000000"/>
              <w:right w:val="single" w:sz="6" w:space="0" w:color="000000"/>
            </w:tcBorders>
          </w:tcPr>
          <w:p w:rsidR="00C705A3" w:rsidRPr="003B355D" w:rsidRDefault="00C705A3" w:rsidP="00453C92">
            <w:pPr>
              <w:widowControl/>
              <w:ind w:left="-94"/>
              <w:jc w:val="left"/>
              <w:rPr>
                <w:rFonts w:ascii="Arial Narrow" w:eastAsia="Arial Narrow" w:hAnsi="Arial Narrow" w:cs="Arial Narrow"/>
                <w:i/>
                <w:sz w:val="20"/>
              </w:rPr>
            </w:pPr>
            <w:proofErr w:type="spellStart"/>
            <w:r w:rsidRPr="003B355D">
              <w:rPr>
                <w:rFonts w:ascii="Arial Narrow" w:eastAsia="Arial Narrow" w:hAnsi="Arial Narrow" w:cs="Arial Narrow"/>
                <w:i/>
                <w:sz w:val="20"/>
              </w:rPr>
              <w:t>Seshasai</w:t>
            </w:r>
            <w:proofErr w:type="spellEnd"/>
            <w:r w:rsidRPr="003B355D">
              <w:rPr>
                <w:rFonts w:ascii="Arial Narrow" w:eastAsia="Arial Narrow" w:hAnsi="Arial Narrow" w:cs="Arial Narrow"/>
                <w:i/>
                <w:sz w:val="20"/>
              </w:rPr>
              <w:t xml:space="preserve"> 2015</w:t>
            </w:r>
          </w:p>
        </w:tc>
        <w:tc>
          <w:tcPr>
            <w:tcW w:w="2234" w:type="dxa"/>
            <w:tcBorders>
              <w:top w:val="single" w:sz="6" w:space="0" w:color="000000"/>
              <w:left w:val="single" w:sz="6" w:space="0" w:color="000000"/>
              <w:bottom w:val="single" w:sz="6" w:space="0" w:color="000000"/>
              <w:right w:val="single" w:sz="6" w:space="0" w:color="000000"/>
            </w:tcBorders>
          </w:tcPr>
          <w:p w:rsidR="00C705A3" w:rsidRPr="003B355D" w:rsidRDefault="00C705A3" w:rsidP="00453C92">
            <w:pPr>
              <w:widowControl/>
              <w:ind w:left="-55" w:right="-66"/>
              <w:jc w:val="left"/>
              <w:rPr>
                <w:rFonts w:ascii="Arial Narrow" w:eastAsia="Arial Narrow" w:hAnsi="Arial Narrow" w:cs="Arial Narrow"/>
                <w:i/>
                <w:sz w:val="20"/>
              </w:rPr>
            </w:pPr>
            <w:proofErr w:type="spellStart"/>
            <w:r w:rsidRPr="003B355D">
              <w:rPr>
                <w:rFonts w:ascii="Arial Narrow" w:eastAsia="Arial Narrow" w:hAnsi="Arial Narrow" w:cs="Arial Narrow"/>
                <w:i/>
                <w:sz w:val="20"/>
                <w:u w:val="single"/>
              </w:rPr>
              <w:t>Taspoglutide</w:t>
            </w:r>
            <w:proofErr w:type="spellEnd"/>
            <w:r w:rsidRPr="003B355D">
              <w:rPr>
                <w:rFonts w:ascii="Arial Narrow" w:eastAsia="Arial Narrow" w:hAnsi="Arial Narrow" w:cs="Arial Narrow"/>
                <w:i/>
                <w:sz w:val="20"/>
              </w:rPr>
              <w:t xml:space="preserve"> 10 mg or 20 mg once weekly</w:t>
            </w:r>
          </w:p>
        </w:tc>
        <w:tc>
          <w:tcPr>
            <w:tcW w:w="1276" w:type="dxa"/>
            <w:tcBorders>
              <w:top w:val="single" w:sz="6" w:space="0" w:color="000000"/>
              <w:left w:val="single" w:sz="6" w:space="0" w:color="000000"/>
              <w:bottom w:val="single" w:sz="6" w:space="0" w:color="000000"/>
              <w:right w:val="single" w:sz="6" w:space="0" w:color="000000"/>
            </w:tcBorders>
          </w:tcPr>
          <w:p w:rsidR="00C705A3" w:rsidRPr="003B355D" w:rsidRDefault="00C705A3" w:rsidP="00453C92">
            <w:pPr>
              <w:widowControl/>
              <w:ind w:left="-55" w:right="-66"/>
              <w:jc w:val="left"/>
              <w:rPr>
                <w:rFonts w:ascii="Arial Narrow" w:eastAsia="Arial Narrow" w:hAnsi="Arial Narrow" w:cs="Arial Narrow"/>
                <w:i/>
                <w:sz w:val="20"/>
              </w:rPr>
            </w:pPr>
            <w:r w:rsidRPr="003B355D">
              <w:rPr>
                <w:rFonts w:ascii="Arial Narrow" w:eastAsia="Arial Narrow" w:hAnsi="Arial Narrow" w:cs="Arial Narrow"/>
                <w:i/>
                <w:sz w:val="20"/>
              </w:rPr>
              <w:t>Expanded MACE</w:t>
            </w:r>
          </w:p>
        </w:tc>
        <w:tc>
          <w:tcPr>
            <w:tcW w:w="1985" w:type="dxa"/>
            <w:tcBorders>
              <w:top w:val="single" w:sz="6" w:space="0" w:color="000000"/>
              <w:left w:val="single" w:sz="6" w:space="0" w:color="000000"/>
              <w:bottom w:val="single" w:sz="6" w:space="0" w:color="000000"/>
              <w:right w:val="single" w:sz="6" w:space="0" w:color="000000"/>
            </w:tcBorders>
          </w:tcPr>
          <w:p w:rsidR="00C705A3" w:rsidRPr="003B355D" w:rsidRDefault="00C705A3" w:rsidP="00453C92">
            <w:pPr>
              <w:widowControl/>
              <w:ind w:left="-55" w:right="-66"/>
              <w:jc w:val="left"/>
              <w:rPr>
                <w:rFonts w:ascii="Arial Narrow" w:eastAsia="Arial Narrow" w:hAnsi="Arial Narrow" w:cs="Arial Narrow"/>
                <w:i/>
                <w:sz w:val="20"/>
              </w:rPr>
            </w:pPr>
            <w:r w:rsidRPr="003B355D">
              <w:rPr>
                <w:rFonts w:ascii="Arial Narrow" w:eastAsia="Arial Narrow" w:hAnsi="Arial Narrow" w:cs="Arial Narrow"/>
                <w:i/>
                <w:sz w:val="20"/>
              </w:rPr>
              <w:t>4 Phase III studies (3106 patients)</w:t>
            </w:r>
            <w:r w:rsidRPr="003B355D">
              <w:rPr>
                <w:rFonts w:ascii="Arial Narrow" w:eastAsia="Arial Narrow" w:hAnsi="Arial Narrow" w:cs="Arial Narrow"/>
                <w:i/>
                <w:sz w:val="20"/>
              </w:rPr>
              <w:br/>
              <w:t>Study durations: ~1 year</w:t>
            </w:r>
          </w:p>
        </w:tc>
        <w:tc>
          <w:tcPr>
            <w:tcW w:w="2551" w:type="dxa"/>
            <w:tcBorders>
              <w:top w:val="single" w:sz="6" w:space="0" w:color="000000"/>
              <w:left w:val="single" w:sz="6" w:space="0" w:color="000000"/>
              <w:bottom w:val="single" w:sz="6" w:space="0" w:color="000000"/>
              <w:right w:val="single" w:sz="6" w:space="0" w:color="000000"/>
            </w:tcBorders>
          </w:tcPr>
          <w:p w:rsidR="00C705A3" w:rsidRPr="003B355D" w:rsidRDefault="00C705A3" w:rsidP="00453C92">
            <w:pPr>
              <w:widowControl/>
              <w:ind w:left="-55" w:right="-66"/>
              <w:jc w:val="left"/>
              <w:rPr>
                <w:rFonts w:ascii="Arial Narrow" w:eastAsia="Arial Narrow" w:hAnsi="Arial Narrow" w:cs="Arial Narrow"/>
                <w:i/>
                <w:sz w:val="20"/>
              </w:rPr>
            </w:pPr>
            <w:r w:rsidRPr="003B355D">
              <w:rPr>
                <w:rFonts w:ascii="Arial Narrow" w:eastAsia="Arial Narrow" w:hAnsi="Arial Narrow" w:cs="Arial Narrow"/>
                <w:i/>
                <w:sz w:val="20"/>
              </w:rPr>
              <w:t>Expanded MACE: Odds ratio</w:t>
            </w:r>
          </w:p>
          <w:p w:rsidR="00C705A3" w:rsidRPr="003B355D" w:rsidRDefault="00C705A3" w:rsidP="00453C92">
            <w:pPr>
              <w:widowControl/>
              <w:ind w:left="-55" w:right="-66"/>
              <w:jc w:val="left"/>
              <w:rPr>
                <w:rFonts w:ascii="Arial Narrow" w:eastAsia="Arial Narrow" w:hAnsi="Arial Narrow" w:cs="Arial Narrow"/>
                <w:i/>
                <w:sz w:val="20"/>
              </w:rPr>
            </w:pPr>
            <w:proofErr w:type="spellStart"/>
            <w:r w:rsidRPr="003B355D">
              <w:rPr>
                <w:rFonts w:ascii="Arial Narrow" w:eastAsia="Arial Narrow" w:hAnsi="Arial Narrow" w:cs="Arial Narrow"/>
                <w:i/>
                <w:sz w:val="20"/>
                <w:u w:val="single"/>
              </w:rPr>
              <w:t>Taspoglutide</w:t>
            </w:r>
            <w:proofErr w:type="spellEnd"/>
            <w:r w:rsidRPr="003B355D">
              <w:rPr>
                <w:rFonts w:ascii="Arial Narrow" w:eastAsia="Arial Narrow" w:hAnsi="Arial Narrow" w:cs="Arial Narrow"/>
                <w:i/>
                <w:sz w:val="20"/>
              </w:rPr>
              <w:t xml:space="preserve">: 1.13 (0.53, 2.43) </w:t>
            </w:r>
          </w:p>
        </w:tc>
      </w:tr>
      <w:tr w:rsidR="00C705A3" w:rsidRPr="003B355D" w:rsidTr="00453C92">
        <w:trPr>
          <w:trHeight w:val="320"/>
        </w:trPr>
        <w:tc>
          <w:tcPr>
            <w:tcW w:w="1182" w:type="dxa"/>
            <w:tcBorders>
              <w:top w:val="single" w:sz="6" w:space="0" w:color="000000"/>
              <w:left w:val="single" w:sz="6" w:space="0" w:color="000000"/>
              <w:bottom w:val="single" w:sz="6" w:space="0" w:color="000000"/>
              <w:right w:val="single" w:sz="6" w:space="0" w:color="000000"/>
            </w:tcBorders>
          </w:tcPr>
          <w:p w:rsidR="00C705A3" w:rsidRPr="003B355D" w:rsidRDefault="00C705A3" w:rsidP="00453C92">
            <w:pPr>
              <w:widowControl/>
              <w:ind w:left="-94"/>
              <w:jc w:val="left"/>
              <w:rPr>
                <w:rFonts w:ascii="Arial Narrow" w:eastAsia="Arial Narrow" w:hAnsi="Arial Narrow" w:cs="Arial Narrow"/>
                <w:i/>
                <w:sz w:val="20"/>
              </w:rPr>
            </w:pPr>
            <w:r w:rsidRPr="003B355D">
              <w:rPr>
                <w:rFonts w:ascii="Arial Narrow" w:eastAsia="Arial Narrow" w:hAnsi="Arial Narrow" w:cs="Arial Narrow"/>
                <w:i/>
                <w:sz w:val="20"/>
              </w:rPr>
              <w:t>Sun 2012</w:t>
            </w:r>
          </w:p>
        </w:tc>
        <w:tc>
          <w:tcPr>
            <w:tcW w:w="2234" w:type="dxa"/>
            <w:tcBorders>
              <w:top w:val="single" w:sz="6" w:space="0" w:color="000000"/>
              <w:left w:val="single" w:sz="6" w:space="0" w:color="000000"/>
              <w:bottom w:val="single" w:sz="6" w:space="0" w:color="000000"/>
              <w:right w:val="single" w:sz="6" w:space="0" w:color="000000"/>
            </w:tcBorders>
          </w:tcPr>
          <w:p w:rsidR="00C705A3" w:rsidRPr="003B355D" w:rsidRDefault="00C705A3" w:rsidP="00453C92">
            <w:pPr>
              <w:widowControl/>
              <w:ind w:left="-55" w:right="-66"/>
              <w:jc w:val="left"/>
              <w:rPr>
                <w:rFonts w:ascii="Arial Narrow" w:eastAsia="Arial Narrow" w:hAnsi="Arial Narrow" w:cs="Arial Narrow"/>
                <w:i/>
                <w:sz w:val="20"/>
              </w:rPr>
            </w:pPr>
            <w:r w:rsidRPr="003B355D">
              <w:rPr>
                <w:rFonts w:ascii="Arial Narrow" w:eastAsia="Arial Narrow" w:hAnsi="Arial Narrow" w:cs="Arial Narrow"/>
                <w:i/>
                <w:sz w:val="20"/>
                <w:u w:val="single"/>
              </w:rPr>
              <w:t>Exenatide</w:t>
            </w:r>
            <w:r w:rsidRPr="003B355D">
              <w:rPr>
                <w:rFonts w:ascii="Arial Narrow" w:eastAsia="Arial Narrow" w:hAnsi="Arial Narrow" w:cs="Arial Narrow"/>
                <w:i/>
                <w:sz w:val="20"/>
              </w:rPr>
              <w:t xml:space="preserve"> 10 µg or 20 µg twice daily, </w:t>
            </w:r>
          </w:p>
          <w:p w:rsidR="00C705A3" w:rsidRPr="003B355D" w:rsidRDefault="00C705A3" w:rsidP="00453C92">
            <w:pPr>
              <w:widowControl/>
              <w:ind w:left="-55" w:right="-66"/>
              <w:jc w:val="left"/>
              <w:rPr>
                <w:rFonts w:ascii="Arial Narrow" w:eastAsia="Arial Narrow" w:hAnsi="Arial Narrow" w:cs="Arial Narrow"/>
                <w:i/>
                <w:sz w:val="20"/>
              </w:rPr>
            </w:pPr>
            <w:r w:rsidRPr="003B355D">
              <w:rPr>
                <w:rFonts w:ascii="Arial Narrow" w:eastAsia="Arial Narrow" w:hAnsi="Arial Narrow" w:cs="Arial Narrow"/>
                <w:i/>
                <w:sz w:val="20"/>
              </w:rPr>
              <w:t>2 mg once weekly</w:t>
            </w:r>
            <w:r w:rsidRPr="003B355D">
              <w:rPr>
                <w:rFonts w:ascii="Arial Narrow" w:eastAsia="Arial Narrow" w:hAnsi="Arial Narrow" w:cs="Arial Narrow"/>
                <w:i/>
                <w:sz w:val="20"/>
              </w:rPr>
              <w:br/>
            </w:r>
            <w:r w:rsidRPr="003B355D">
              <w:rPr>
                <w:rFonts w:ascii="Arial Narrow" w:eastAsia="Arial Narrow" w:hAnsi="Arial Narrow" w:cs="Arial Narrow"/>
                <w:i/>
                <w:sz w:val="20"/>
                <w:u w:val="single"/>
              </w:rPr>
              <w:t>Liraglutide</w:t>
            </w:r>
            <w:r w:rsidRPr="003B355D">
              <w:rPr>
                <w:rFonts w:ascii="Arial Narrow" w:eastAsia="Arial Narrow" w:hAnsi="Arial Narrow" w:cs="Arial Narrow"/>
                <w:i/>
                <w:sz w:val="20"/>
              </w:rPr>
              <w:t xml:space="preserve"> 0.6 mg, 0.9 mg, 1.2 mg, 1.8 mg once daily</w:t>
            </w:r>
            <w:r w:rsidRPr="003B355D">
              <w:rPr>
                <w:rFonts w:ascii="Arial Narrow" w:eastAsia="Arial Narrow" w:hAnsi="Arial Narrow" w:cs="Arial Narrow"/>
                <w:i/>
                <w:sz w:val="20"/>
              </w:rPr>
              <w:br/>
            </w:r>
            <w:proofErr w:type="spellStart"/>
            <w:r w:rsidRPr="003B355D">
              <w:rPr>
                <w:rFonts w:ascii="Arial Narrow" w:eastAsia="Arial Narrow" w:hAnsi="Arial Narrow" w:cs="Arial Narrow"/>
                <w:i/>
                <w:sz w:val="20"/>
                <w:u w:val="single"/>
              </w:rPr>
              <w:t>Albiglutide</w:t>
            </w:r>
            <w:proofErr w:type="spellEnd"/>
            <w:r w:rsidRPr="003B355D">
              <w:rPr>
                <w:rFonts w:ascii="Arial Narrow" w:eastAsia="Arial Narrow" w:hAnsi="Arial Narrow" w:cs="Arial Narrow"/>
                <w:i/>
                <w:sz w:val="20"/>
              </w:rPr>
              <w:t xml:space="preserve"> 4 mg, 15 mg or 30 mg once weekly,</w:t>
            </w:r>
          </w:p>
          <w:p w:rsidR="00C705A3" w:rsidRPr="003B355D" w:rsidRDefault="00C705A3" w:rsidP="00453C92">
            <w:pPr>
              <w:widowControl/>
              <w:ind w:left="-55" w:right="-66"/>
              <w:jc w:val="left"/>
              <w:rPr>
                <w:rFonts w:ascii="Arial Narrow" w:eastAsia="Arial Narrow" w:hAnsi="Arial Narrow" w:cs="Arial Narrow"/>
                <w:i/>
                <w:sz w:val="20"/>
              </w:rPr>
            </w:pPr>
            <w:r w:rsidRPr="003B355D">
              <w:rPr>
                <w:rFonts w:ascii="Arial Narrow" w:eastAsia="Arial Narrow" w:hAnsi="Arial Narrow" w:cs="Arial Narrow"/>
                <w:i/>
                <w:sz w:val="20"/>
              </w:rPr>
              <w:t xml:space="preserve">15 mg, 30 mg, or 50 mg twice weekly, </w:t>
            </w:r>
          </w:p>
          <w:p w:rsidR="00C705A3" w:rsidRPr="003B355D" w:rsidRDefault="00C705A3" w:rsidP="00453C92">
            <w:pPr>
              <w:widowControl/>
              <w:ind w:left="-55" w:right="-66"/>
              <w:jc w:val="left"/>
              <w:rPr>
                <w:rFonts w:ascii="Arial Narrow" w:eastAsia="Arial Narrow" w:hAnsi="Arial Narrow" w:cs="Arial Narrow"/>
                <w:i/>
                <w:sz w:val="20"/>
              </w:rPr>
            </w:pPr>
            <w:r w:rsidRPr="003B355D">
              <w:rPr>
                <w:rFonts w:ascii="Arial Narrow" w:eastAsia="Arial Narrow" w:hAnsi="Arial Narrow" w:cs="Arial Narrow"/>
                <w:i/>
                <w:sz w:val="20"/>
              </w:rPr>
              <w:t xml:space="preserve">50 mg or 100 mg four times weekly </w:t>
            </w:r>
            <w:r w:rsidRPr="003B355D">
              <w:rPr>
                <w:rFonts w:ascii="Arial Narrow" w:eastAsia="Arial Narrow" w:hAnsi="Arial Narrow" w:cs="Arial Narrow"/>
                <w:i/>
                <w:sz w:val="20"/>
              </w:rPr>
              <w:br/>
            </w:r>
            <w:proofErr w:type="spellStart"/>
            <w:r w:rsidRPr="003B355D">
              <w:rPr>
                <w:rFonts w:ascii="Arial Narrow" w:eastAsia="Arial Narrow" w:hAnsi="Arial Narrow" w:cs="Arial Narrow"/>
                <w:i/>
                <w:sz w:val="20"/>
                <w:u w:val="single"/>
              </w:rPr>
              <w:t>Taspoglutide</w:t>
            </w:r>
            <w:proofErr w:type="spellEnd"/>
            <w:r w:rsidRPr="003B355D">
              <w:rPr>
                <w:rFonts w:ascii="Arial Narrow" w:eastAsia="Arial Narrow" w:hAnsi="Arial Narrow" w:cs="Arial Narrow"/>
                <w:i/>
                <w:sz w:val="20"/>
              </w:rPr>
              <w:t xml:space="preserve"> 5 mg, 10 mg, 20 mg, 30 mg or 40 mg once weekly,</w:t>
            </w:r>
          </w:p>
          <w:p w:rsidR="00C705A3" w:rsidRPr="003B355D" w:rsidRDefault="00C705A3" w:rsidP="00453C92">
            <w:pPr>
              <w:widowControl/>
              <w:ind w:left="-55" w:right="-66"/>
              <w:jc w:val="left"/>
              <w:rPr>
                <w:rFonts w:ascii="Arial Narrow" w:eastAsia="Arial Narrow" w:hAnsi="Arial Narrow" w:cs="Arial Narrow"/>
                <w:i/>
                <w:sz w:val="20"/>
              </w:rPr>
            </w:pPr>
            <w:r w:rsidRPr="003B355D">
              <w:rPr>
                <w:rFonts w:ascii="Arial Narrow" w:eastAsia="Arial Narrow" w:hAnsi="Arial Narrow" w:cs="Arial Narrow"/>
                <w:i/>
                <w:sz w:val="20"/>
              </w:rPr>
              <w:t>10 mg or 20 mg twice daily</w:t>
            </w:r>
            <w:r w:rsidRPr="003B355D">
              <w:rPr>
                <w:rFonts w:ascii="Arial Narrow" w:eastAsia="Arial Narrow" w:hAnsi="Arial Narrow" w:cs="Arial Narrow"/>
                <w:i/>
                <w:sz w:val="20"/>
              </w:rPr>
              <w:br/>
            </w:r>
            <w:proofErr w:type="spellStart"/>
            <w:r w:rsidRPr="003B355D">
              <w:rPr>
                <w:rFonts w:ascii="Arial Narrow" w:eastAsia="Arial Narrow" w:hAnsi="Arial Narrow" w:cs="Arial Narrow"/>
                <w:i/>
                <w:sz w:val="20"/>
                <w:u w:val="single"/>
              </w:rPr>
              <w:t>Lixisenatide</w:t>
            </w:r>
            <w:proofErr w:type="spellEnd"/>
            <w:r w:rsidRPr="003B355D">
              <w:rPr>
                <w:rFonts w:ascii="Arial Narrow" w:eastAsia="Arial Narrow" w:hAnsi="Arial Narrow" w:cs="Arial Narrow"/>
                <w:i/>
                <w:sz w:val="20"/>
              </w:rPr>
              <w:t xml:space="preserve"> 5 µg, 10 µg, 20 µg or 30 µg (once or twice daily)</w:t>
            </w:r>
            <w:r w:rsidRPr="003B355D">
              <w:rPr>
                <w:rFonts w:ascii="Arial Narrow" w:eastAsia="Arial Narrow" w:hAnsi="Arial Narrow" w:cs="Arial Narrow"/>
                <w:i/>
                <w:sz w:val="20"/>
              </w:rPr>
              <w:br/>
            </w:r>
            <w:proofErr w:type="spellStart"/>
            <w:r w:rsidRPr="003B355D">
              <w:rPr>
                <w:rFonts w:ascii="Arial Narrow" w:eastAsia="Arial Narrow" w:hAnsi="Arial Narrow" w:cs="Arial Narrow"/>
                <w:i/>
                <w:sz w:val="20"/>
                <w:u w:val="single"/>
              </w:rPr>
              <w:t>Dulaglutide</w:t>
            </w:r>
            <w:proofErr w:type="spellEnd"/>
            <w:r w:rsidRPr="003B355D">
              <w:rPr>
                <w:rFonts w:ascii="Arial Narrow" w:eastAsia="Arial Narrow" w:hAnsi="Arial Narrow" w:cs="Arial Narrow"/>
                <w:i/>
                <w:sz w:val="20"/>
              </w:rPr>
              <w:t xml:space="preserve"> 0.5 mg, 1 mg or 2 mg once weekly</w:t>
            </w:r>
          </w:p>
        </w:tc>
        <w:tc>
          <w:tcPr>
            <w:tcW w:w="1276" w:type="dxa"/>
            <w:tcBorders>
              <w:top w:val="single" w:sz="6" w:space="0" w:color="000000"/>
              <w:left w:val="single" w:sz="6" w:space="0" w:color="000000"/>
              <w:bottom w:val="single" w:sz="6" w:space="0" w:color="000000"/>
              <w:right w:val="single" w:sz="6" w:space="0" w:color="000000"/>
            </w:tcBorders>
          </w:tcPr>
          <w:p w:rsidR="00C705A3" w:rsidRPr="003B355D" w:rsidRDefault="00C705A3" w:rsidP="00453C92">
            <w:pPr>
              <w:widowControl/>
              <w:ind w:left="-55" w:right="-66"/>
              <w:jc w:val="left"/>
              <w:rPr>
                <w:rFonts w:ascii="Arial Narrow" w:eastAsia="Arial Narrow" w:hAnsi="Arial Narrow" w:cs="Arial Narrow"/>
                <w:i/>
                <w:sz w:val="20"/>
              </w:rPr>
            </w:pPr>
            <w:r w:rsidRPr="003B355D">
              <w:rPr>
                <w:rFonts w:ascii="Arial Narrow" w:eastAsia="Arial Narrow" w:hAnsi="Arial Narrow" w:cs="Arial Narrow"/>
                <w:i/>
                <w:sz w:val="20"/>
              </w:rPr>
              <w:t>Cardiovascular mortality, ischemic heart disease, myocardial infarction, stroke</w:t>
            </w:r>
          </w:p>
        </w:tc>
        <w:tc>
          <w:tcPr>
            <w:tcW w:w="1985" w:type="dxa"/>
            <w:tcBorders>
              <w:top w:val="single" w:sz="6" w:space="0" w:color="000000"/>
              <w:left w:val="single" w:sz="6" w:space="0" w:color="000000"/>
              <w:bottom w:val="single" w:sz="6" w:space="0" w:color="000000"/>
              <w:right w:val="single" w:sz="6" w:space="0" w:color="000000"/>
            </w:tcBorders>
          </w:tcPr>
          <w:p w:rsidR="00C705A3" w:rsidRPr="003B355D" w:rsidRDefault="00C705A3" w:rsidP="00453C92">
            <w:pPr>
              <w:widowControl/>
              <w:ind w:left="-55" w:right="-66"/>
              <w:jc w:val="left"/>
              <w:rPr>
                <w:rFonts w:ascii="Arial Narrow" w:eastAsia="Arial Narrow" w:hAnsi="Arial Narrow" w:cs="Arial Narrow"/>
                <w:i/>
                <w:sz w:val="20"/>
              </w:rPr>
            </w:pPr>
            <w:r w:rsidRPr="003B355D">
              <w:rPr>
                <w:rFonts w:ascii="Arial Narrow" w:eastAsia="Arial Narrow" w:hAnsi="Arial Narrow" w:cs="Arial Narrow"/>
                <w:i/>
                <w:sz w:val="20"/>
                <w:u w:val="single"/>
              </w:rPr>
              <w:t>Exenatide</w:t>
            </w:r>
            <w:r w:rsidRPr="003B355D">
              <w:rPr>
                <w:rFonts w:ascii="Arial Narrow" w:eastAsia="Arial Narrow" w:hAnsi="Arial Narrow" w:cs="Arial Narrow"/>
                <w:i/>
                <w:sz w:val="20"/>
              </w:rPr>
              <w:t>: 15 Phase II/III studies (3500 patients)</w:t>
            </w:r>
            <w:r w:rsidRPr="003B355D">
              <w:rPr>
                <w:rFonts w:ascii="Arial Narrow" w:eastAsia="Arial Narrow" w:hAnsi="Arial Narrow" w:cs="Arial Narrow"/>
                <w:i/>
                <w:sz w:val="20"/>
              </w:rPr>
              <w:br/>
            </w:r>
            <w:r w:rsidRPr="003B355D">
              <w:rPr>
                <w:rFonts w:ascii="Arial Narrow" w:eastAsia="Arial Narrow" w:hAnsi="Arial Narrow" w:cs="Arial Narrow"/>
                <w:i/>
                <w:sz w:val="20"/>
                <w:u w:val="single"/>
              </w:rPr>
              <w:t>Liraglutide</w:t>
            </w:r>
            <w:r w:rsidRPr="003B355D">
              <w:rPr>
                <w:rFonts w:ascii="Arial Narrow" w:eastAsia="Arial Narrow" w:hAnsi="Arial Narrow" w:cs="Arial Narrow"/>
                <w:i/>
                <w:sz w:val="20"/>
              </w:rPr>
              <w:t>: 9 Phase II/III studies (3185 patients)</w:t>
            </w:r>
            <w:r w:rsidRPr="003B355D">
              <w:rPr>
                <w:rFonts w:ascii="Arial Narrow" w:eastAsia="Arial Narrow" w:hAnsi="Arial Narrow" w:cs="Arial Narrow"/>
                <w:i/>
                <w:sz w:val="20"/>
              </w:rPr>
              <w:br/>
            </w:r>
            <w:proofErr w:type="spellStart"/>
            <w:r w:rsidRPr="003B355D">
              <w:rPr>
                <w:rFonts w:ascii="Arial Narrow" w:eastAsia="Arial Narrow" w:hAnsi="Arial Narrow" w:cs="Arial Narrow"/>
                <w:i/>
                <w:sz w:val="20"/>
                <w:u w:val="single"/>
              </w:rPr>
              <w:t>Albiglutide</w:t>
            </w:r>
            <w:proofErr w:type="spellEnd"/>
            <w:r w:rsidRPr="003B355D">
              <w:rPr>
                <w:rFonts w:ascii="Arial Narrow" w:eastAsia="Arial Narrow" w:hAnsi="Arial Narrow" w:cs="Arial Narrow"/>
                <w:i/>
                <w:sz w:val="20"/>
              </w:rPr>
              <w:t>: 1 Phase II study (311 patients)</w:t>
            </w:r>
            <w:r w:rsidRPr="003B355D">
              <w:rPr>
                <w:rFonts w:ascii="Arial Narrow" w:eastAsia="Arial Narrow" w:hAnsi="Arial Narrow" w:cs="Arial Narrow"/>
                <w:i/>
                <w:sz w:val="20"/>
              </w:rPr>
              <w:br/>
            </w:r>
            <w:proofErr w:type="spellStart"/>
            <w:r w:rsidRPr="003B355D">
              <w:rPr>
                <w:rFonts w:ascii="Arial Narrow" w:eastAsia="Arial Narrow" w:hAnsi="Arial Narrow" w:cs="Arial Narrow"/>
                <w:i/>
                <w:sz w:val="20"/>
                <w:u w:val="single"/>
              </w:rPr>
              <w:t>Lixisenatide</w:t>
            </w:r>
            <w:proofErr w:type="spellEnd"/>
            <w:r w:rsidRPr="003B355D">
              <w:rPr>
                <w:rFonts w:ascii="Arial Narrow" w:eastAsia="Arial Narrow" w:hAnsi="Arial Narrow" w:cs="Arial Narrow"/>
                <w:i/>
                <w:sz w:val="20"/>
              </w:rPr>
              <w:t>: 1 Phase II study (542 patients)</w:t>
            </w:r>
            <w:r w:rsidRPr="003B355D">
              <w:rPr>
                <w:rFonts w:ascii="Arial Narrow" w:eastAsia="Arial Narrow" w:hAnsi="Arial Narrow" w:cs="Arial Narrow"/>
                <w:i/>
                <w:sz w:val="20"/>
              </w:rPr>
              <w:br/>
            </w:r>
            <w:proofErr w:type="spellStart"/>
            <w:r w:rsidRPr="003B355D">
              <w:rPr>
                <w:rFonts w:ascii="Arial Narrow" w:eastAsia="Arial Narrow" w:hAnsi="Arial Narrow" w:cs="Arial Narrow"/>
                <w:i/>
                <w:sz w:val="20"/>
                <w:u w:val="single"/>
              </w:rPr>
              <w:t>Taspoglutide</w:t>
            </w:r>
            <w:proofErr w:type="spellEnd"/>
            <w:r w:rsidRPr="003B355D">
              <w:rPr>
                <w:rFonts w:ascii="Arial Narrow" w:eastAsia="Arial Narrow" w:hAnsi="Arial Narrow" w:cs="Arial Narrow"/>
                <w:i/>
                <w:sz w:val="20"/>
              </w:rPr>
              <w:t>: 2 Phase II studies (326 patients)</w:t>
            </w:r>
            <w:r w:rsidRPr="003B355D">
              <w:rPr>
                <w:rFonts w:ascii="Arial Narrow" w:eastAsia="Arial Narrow" w:hAnsi="Arial Narrow" w:cs="Arial Narrow"/>
                <w:i/>
                <w:sz w:val="20"/>
              </w:rPr>
              <w:br/>
            </w:r>
            <w:proofErr w:type="spellStart"/>
            <w:r w:rsidRPr="003B355D">
              <w:rPr>
                <w:rFonts w:ascii="Arial Narrow" w:eastAsia="Arial Narrow" w:hAnsi="Arial Narrow" w:cs="Arial Narrow"/>
                <w:i/>
                <w:sz w:val="20"/>
                <w:u w:val="single"/>
              </w:rPr>
              <w:t>Dulaglutide</w:t>
            </w:r>
            <w:proofErr w:type="spellEnd"/>
            <w:r w:rsidRPr="003B355D">
              <w:rPr>
                <w:rFonts w:ascii="Arial Narrow" w:eastAsia="Arial Narrow" w:hAnsi="Arial Narrow" w:cs="Arial Narrow"/>
                <w:i/>
                <w:sz w:val="20"/>
              </w:rPr>
              <w:t>: 1 Phase II study (262 patients)</w:t>
            </w:r>
            <w:r w:rsidRPr="003B355D">
              <w:rPr>
                <w:rFonts w:ascii="Arial Narrow" w:eastAsia="Arial Narrow" w:hAnsi="Arial Narrow" w:cs="Arial Narrow"/>
                <w:i/>
                <w:sz w:val="20"/>
              </w:rPr>
              <w:br/>
              <w:t>Study durations: 8-104 weeks</w:t>
            </w:r>
          </w:p>
        </w:tc>
        <w:tc>
          <w:tcPr>
            <w:tcW w:w="2551" w:type="dxa"/>
            <w:tcBorders>
              <w:top w:val="single" w:sz="6" w:space="0" w:color="000000"/>
              <w:left w:val="single" w:sz="6" w:space="0" w:color="000000"/>
              <w:bottom w:val="single" w:sz="6" w:space="0" w:color="000000"/>
              <w:right w:val="single" w:sz="6" w:space="0" w:color="000000"/>
            </w:tcBorders>
          </w:tcPr>
          <w:p w:rsidR="00C705A3" w:rsidRPr="003B355D" w:rsidRDefault="00C705A3" w:rsidP="00453C92">
            <w:pPr>
              <w:widowControl/>
              <w:ind w:left="-55" w:right="-66"/>
              <w:jc w:val="left"/>
              <w:rPr>
                <w:rFonts w:ascii="Arial Narrow" w:eastAsia="Arial Narrow" w:hAnsi="Arial Narrow" w:cs="Arial Narrow"/>
                <w:i/>
                <w:sz w:val="20"/>
              </w:rPr>
            </w:pPr>
            <w:r w:rsidRPr="003B355D">
              <w:rPr>
                <w:rFonts w:ascii="Arial Narrow" w:eastAsia="Arial Narrow" w:hAnsi="Arial Narrow" w:cs="Arial Narrow"/>
                <w:i/>
                <w:sz w:val="20"/>
              </w:rPr>
              <w:t>Cardiovascular events: Odds ratio (network meta-analysis):</w:t>
            </w:r>
            <w:r w:rsidRPr="003B355D">
              <w:rPr>
                <w:rFonts w:ascii="Arial Narrow" w:eastAsia="Arial Narrow" w:hAnsi="Arial Narrow" w:cs="Arial Narrow"/>
                <w:i/>
                <w:sz w:val="20"/>
              </w:rPr>
              <w:br/>
            </w:r>
            <w:r w:rsidRPr="003B355D">
              <w:rPr>
                <w:rFonts w:ascii="Arial Narrow" w:eastAsia="Arial Narrow" w:hAnsi="Arial Narrow" w:cs="Arial Narrow"/>
                <w:i/>
                <w:sz w:val="20"/>
                <w:u w:val="single"/>
              </w:rPr>
              <w:t>Exenatide</w:t>
            </w:r>
            <w:r w:rsidRPr="003B355D">
              <w:rPr>
                <w:rFonts w:ascii="Arial Narrow" w:eastAsia="Arial Narrow" w:hAnsi="Arial Narrow" w:cs="Arial Narrow"/>
                <w:i/>
                <w:sz w:val="20"/>
              </w:rPr>
              <w:t xml:space="preserve">: 0.53 (0.23, 1.24); </w:t>
            </w:r>
          </w:p>
          <w:p w:rsidR="00C705A3" w:rsidRPr="003B355D" w:rsidRDefault="00C705A3" w:rsidP="00453C92">
            <w:pPr>
              <w:widowControl/>
              <w:ind w:left="-55" w:right="-66"/>
              <w:jc w:val="left"/>
              <w:rPr>
                <w:rFonts w:ascii="Arial Narrow" w:eastAsia="Arial Narrow" w:hAnsi="Arial Narrow" w:cs="Arial Narrow"/>
                <w:i/>
                <w:sz w:val="20"/>
              </w:rPr>
            </w:pPr>
            <w:r w:rsidRPr="003B355D">
              <w:rPr>
                <w:rFonts w:ascii="Arial Narrow" w:eastAsia="Arial Narrow" w:hAnsi="Arial Narrow" w:cs="Arial Narrow"/>
                <w:i/>
                <w:sz w:val="20"/>
              </w:rPr>
              <w:t>0.84 (0.4, 1.57)</w:t>
            </w:r>
            <w:r w:rsidRPr="003B355D">
              <w:rPr>
                <w:rFonts w:ascii="Arial Narrow" w:eastAsia="Arial Narrow" w:hAnsi="Arial Narrow" w:cs="Arial Narrow"/>
                <w:i/>
                <w:sz w:val="20"/>
              </w:rPr>
              <w:br/>
            </w:r>
            <w:r w:rsidRPr="003B355D">
              <w:rPr>
                <w:rFonts w:ascii="Arial Narrow" w:eastAsia="Arial Narrow" w:hAnsi="Arial Narrow" w:cs="Arial Narrow"/>
                <w:i/>
                <w:sz w:val="20"/>
                <w:u w:val="single"/>
              </w:rPr>
              <w:t>Liraglutide</w:t>
            </w:r>
            <w:r w:rsidRPr="003B355D">
              <w:rPr>
                <w:rFonts w:ascii="Arial Narrow" w:eastAsia="Arial Narrow" w:hAnsi="Arial Narrow" w:cs="Arial Narrow"/>
                <w:i/>
                <w:sz w:val="20"/>
              </w:rPr>
              <w:t>: 0.86 (0.36, 2.31); 0.79 (0.37, 1.53)</w:t>
            </w:r>
            <w:r w:rsidRPr="003B355D">
              <w:rPr>
                <w:rFonts w:ascii="Arial Narrow" w:eastAsia="Arial Narrow" w:hAnsi="Arial Narrow" w:cs="Arial Narrow"/>
                <w:i/>
                <w:sz w:val="20"/>
              </w:rPr>
              <w:br/>
            </w:r>
            <w:proofErr w:type="spellStart"/>
            <w:r w:rsidRPr="003B355D">
              <w:rPr>
                <w:rFonts w:ascii="Arial Narrow" w:eastAsia="Arial Narrow" w:hAnsi="Arial Narrow" w:cs="Arial Narrow"/>
                <w:i/>
                <w:sz w:val="20"/>
                <w:u w:val="single"/>
              </w:rPr>
              <w:t>Albiglutide</w:t>
            </w:r>
            <w:proofErr w:type="spellEnd"/>
            <w:r w:rsidRPr="003B355D">
              <w:rPr>
                <w:rFonts w:ascii="Arial Narrow" w:eastAsia="Arial Narrow" w:hAnsi="Arial Narrow" w:cs="Arial Narrow"/>
                <w:i/>
                <w:sz w:val="20"/>
              </w:rPr>
              <w:t>: 2.57 (0.14, 46.34); 1.05 (0.14, 4.32)</w:t>
            </w:r>
            <w:r w:rsidRPr="003B355D">
              <w:rPr>
                <w:rFonts w:ascii="Arial Narrow" w:eastAsia="Arial Narrow" w:hAnsi="Arial Narrow" w:cs="Arial Narrow"/>
                <w:i/>
                <w:sz w:val="20"/>
              </w:rPr>
              <w:br/>
            </w:r>
            <w:proofErr w:type="spellStart"/>
            <w:r w:rsidRPr="003B355D">
              <w:rPr>
                <w:rFonts w:ascii="Arial Narrow" w:eastAsia="Arial Narrow" w:hAnsi="Arial Narrow" w:cs="Arial Narrow"/>
                <w:i/>
                <w:sz w:val="20"/>
                <w:u w:val="single"/>
              </w:rPr>
              <w:t>Lixisenatide</w:t>
            </w:r>
            <w:proofErr w:type="spellEnd"/>
            <w:r w:rsidRPr="003B355D">
              <w:rPr>
                <w:rFonts w:ascii="Arial Narrow" w:eastAsia="Arial Narrow" w:hAnsi="Arial Narrow" w:cs="Arial Narrow"/>
                <w:i/>
                <w:sz w:val="20"/>
              </w:rPr>
              <w:t xml:space="preserve">: 0.25 (0.01, 12.80); </w:t>
            </w:r>
          </w:p>
          <w:p w:rsidR="00C705A3" w:rsidRPr="003B355D" w:rsidRDefault="00C705A3" w:rsidP="00453C92">
            <w:pPr>
              <w:widowControl/>
              <w:ind w:left="-55" w:right="-66"/>
              <w:jc w:val="left"/>
              <w:rPr>
                <w:rFonts w:ascii="Arial Narrow" w:eastAsia="Arial Narrow" w:hAnsi="Arial Narrow" w:cs="Arial Narrow"/>
                <w:i/>
                <w:sz w:val="20"/>
              </w:rPr>
            </w:pPr>
            <w:r w:rsidRPr="003B355D">
              <w:rPr>
                <w:rFonts w:ascii="Arial Narrow" w:eastAsia="Arial Narrow" w:hAnsi="Arial Narrow" w:cs="Arial Narrow"/>
                <w:i/>
                <w:sz w:val="20"/>
              </w:rPr>
              <w:t>23.21 (0, 70.53)</w:t>
            </w:r>
            <w:r w:rsidRPr="003B355D">
              <w:rPr>
                <w:rFonts w:ascii="Arial Narrow" w:eastAsia="Arial Narrow" w:hAnsi="Arial Narrow" w:cs="Arial Narrow"/>
                <w:i/>
                <w:sz w:val="20"/>
              </w:rPr>
              <w:br/>
            </w:r>
            <w:proofErr w:type="spellStart"/>
            <w:r w:rsidRPr="003B355D">
              <w:rPr>
                <w:rFonts w:ascii="Arial Narrow" w:eastAsia="Arial Narrow" w:hAnsi="Arial Narrow" w:cs="Arial Narrow"/>
                <w:i/>
                <w:sz w:val="20"/>
                <w:u w:val="single"/>
              </w:rPr>
              <w:t>Taspoglutide</w:t>
            </w:r>
            <w:proofErr w:type="spellEnd"/>
            <w:r w:rsidRPr="003B355D">
              <w:rPr>
                <w:rFonts w:ascii="Arial Narrow" w:eastAsia="Arial Narrow" w:hAnsi="Arial Narrow" w:cs="Arial Narrow"/>
                <w:i/>
                <w:sz w:val="20"/>
              </w:rPr>
              <w:t>: 0.92 (0.08, 10.27); 0.44 (0.08, 33.33)</w:t>
            </w:r>
            <w:r w:rsidRPr="003B355D">
              <w:rPr>
                <w:rFonts w:ascii="Arial Narrow" w:eastAsia="Arial Narrow" w:hAnsi="Arial Narrow" w:cs="Arial Narrow"/>
                <w:i/>
                <w:sz w:val="20"/>
              </w:rPr>
              <w:br/>
            </w:r>
            <w:proofErr w:type="spellStart"/>
            <w:r w:rsidRPr="003B355D">
              <w:rPr>
                <w:rFonts w:ascii="Arial Narrow" w:eastAsia="Arial Narrow" w:hAnsi="Arial Narrow" w:cs="Arial Narrow"/>
                <w:i/>
                <w:sz w:val="20"/>
                <w:u w:val="single"/>
              </w:rPr>
              <w:t>Dulaglutide</w:t>
            </w:r>
            <w:proofErr w:type="spellEnd"/>
            <w:r w:rsidRPr="003B355D">
              <w:rPr>
                <w:rFonts w:ascii="Arial Narrow" w:eastAsia="Arial Narrow" w:hAnsi="Arial Narrow" w:cs="Arial Narrow"/>
                <w:i/>
                <w:sz w:val="20"/>
              </w:rPr>
              <w:t>: 0.34 (0.01, 17.22); 136.20 (0, 408.00)</w:t>
            </w:r>
          </w:p>
        </w:tc>
      </w:tr>
      <w:tr w:rsidR="00C705A3" w:rsidRPr="003B355D" w:rsidTr="00453C92">
        <w:trPr>
          <w:trHeight w:val="2380"/>
        </w:trPr>
        <w:tc>
          <w:tcPr>
            <w:tcW w:w="1182" w:type="dxa"/>
            <w:tcBorders>
              <w:top w:val="single" w:sz="6" w:space="0" w:color="000000"/>
              <w:left w:val="single" w:sz="6" w:space="0" w:color="000000"/>
              <w:bottom w:val="single" w:sz="6" w:space="0" w:color="000000"/>
              <w:right w:val="single" w:sz="6" w:space="0" w:color="000000"/>
            </w:tcBorders>
          </w:tcPr>
          <w:p w:rsidR="00C705A3" w:rsidRPr="003B355D" w:rsidRDefault="00C705A3" w:rsidP="00453C92">
            <w:pPr>
              <w:widowControl/>
              <w:ind w:left="-94"/>
              <w:jc w:val="left"/>
              <w:rPr>
                <w:rFonts w:ascii="Arial Narrow" w:eastAsia="Arial Narrow" w:hAnsi="Arial Narrow" w:cs="Arial Narrow"/>
                <w:i/>
                <w:sz w:val="20"/>
              </w:rPr>
            </w:pPr>
            <w:r w:rsidRPr="003B355D">
              <w:rPr>
                <w:rFonts w:ascii="Arial Narrow" w:eastAsia="Arial Narrow" w:hAnsi="Arial Narrow" w:cs="Arial Narrow"/>
                <w:i/>
                <w:sz w:val="20"/>
              </w:rPr>
              <w:lastRenderedPageBreak/>
              <w:t>Wang 2016</w:t>
            </w:r>
            <w:r w:rsidRPr="003B355D">
              <w:rPr>
                <w:rFonts w:ascii="Arial Narrow" w:eastAsia="Arial Narrow" w:hAnsi="Arial Narrow" w:cs="Arial Narrow"/>
                <w:i/>
                <w:sz w:val="20"/>
                <w:vertAlign w:val="superscript"/>
              </w:rPr>
              <w:t>a</w:t>
            </w:r>
          </w:p>
        </w:tc>
        <w:tc>
          <w:tcPr>
            <w:tcW w:w="2234" w:type="dxa"/>
            <w:tcBorders>
              <w:top w:val="single" w:sz="6" w:space="0" w:color="000000"/>
              <w:left w:val="single" w:sz="6" w:space="0" w:color="000000"/>
              <w:bottom w:val="single" w:sz="6" w:space="0" w:color="000000"/>
              <w:right w:val="single" w:sz="6" w:space="0" w:color="000000"/>
            </w:tcBorders>
          </w:tcPr>
          <w:p w:rsidR="00C705A3" w:rsidRPr="003B355D" w:rsidRDefault="00C705A3" w:rsidP="00453C92">
            <w:pPr>
              <w:widowControl/>
              <w:ind w:left="-55" w:right="-66"/>
              <w:jc w:val="left"/>
              <w:rPr>
                <w:rFonts w:ascii="Arial Narrow" w:eastAsia="Arial Narrow" w:hAnsi="Arial Narrow" w:cs="Arial Narrow"/>
                <w:i/>
                <w:sz w:val="20"/>
              </w:rPr>
            </w:pPr>
            <w:r w:rsidRPr="003B355D">
              <w:rPr>
                <w:rFonts w:ascii="Arial Narrow" w:eastAsia="Arial Narrow" w:hAnsi="Arial Narrow" w:cs="Arial Narrow"/>
                <w:i/>
                <w:sz w:val="20"/>
                <w:u w:val="single"/>
              </w:rPr>
              <w:t>Exenatide</w:t>
            </w:r>
            <w:r w:rsidRPr="003B355D">
              <w:rPr>
                <w:rFonts w:ascii="Arial Narrow" w:eastAsia="Arial Narrow" w:hAnsi="Arial Narrow" w:cs="Arial Narrow"/>
                <w:i/>
                <w:sz w:val="20"/>
              </w:rPr>
              <w:t xml:space="preserve"> 10 µg 20 µg twice daily, </w:t>
            </w:r>
          </w:p>
          <w:p w:rsidR="00C705A3" w:rsidRPr="003B355D" w:rsidRDefault="00C705A3" w:rsidP="00453C92">
            <w:pPr>
              <w:widowControl/>
              <w:ind w:left="-55" w:right="-66"/>
              <w:jc w:val="left"/>
              <w:rPr>
                <w:rFonts w:ascii="Arial Narrow" w:eastAsia="Arial Narrow" w:hAnsi="Arial Narrow" w:cs="Arial Narrow"/>
                <w:i/>
                <w:sz w:val="20"/>
              </w:rPr>
            </w:pPr>
            <w:r w:rsidRPr="003B355D">
              <w:rPr>
                <w:rFonts w:ascii="Arial Narrow" w:eastAsia="Arial Narrow" w:hAnsi="Arial Narrow" w:cs="Arial Narrow"/>
                <w:i/>
                <w:sz w:val="20"/>
              </w:rPr>
              <w:t>2 mg once weekly</w:t>
            </w:r>
            <w:r w:rsidRPr="003B355D">
              <w:rPr>
                <w:rFonts w:ascii="Arial Narrow" w:eastAsia="Arial Narrow" w:hAnsi="Arial Narrow" w:cs="Arial Narrow"/>
                <w:i/>
                <w:sz w:val="20"/>
              </w:rPr>
              <w:br/>
            </w:r>
            <w:r w:rsidRPr="003B355D">
              <w:rPr>
                <w:rFonts w:ascii="Arial Narrow" w:eastAsia="Arial Narrow" w:hAnsi="Arial Narrow" w:cs="Arial Narrow"/>
                <w:i/>
                <w:sz w:val="20"/>
                <w:u w:val="single"/>
              </w:rPr>
              <w:t>Liraglutide</w:t>
            </w:r>
            <w:r w:rsidRPr="003B355D">
              <w:rPr>
                <w:rFonts w:ascii="Arial Narrow" w:eastAsia="Arial Narrow" w:hAnsi="Arial Narrow" w:cs="Arial Narrow"/>
                <w:i/>
                <w:sz w:val="20"/>
              </w:rPr>
              <w:t xml:space="preserve"> 0.6 mg, 0.9 mg, 1.2 mg, 1.8 mg once daily</w:t>
            </w:r>
            <w:r w:rsidRPr="003B355D">
              <w:rPr>
                <w:rFonts w:ascii="Arial Narrow" w:eastAsia="Arial Narrow" w:hAnsi="Arial Narrow" w:cs="Arial Narrow"/>
                <w:i/>
                <w:sz w:val="20"/>
              </w:rPr>
              <w:br/>
            </w:r>
            <w:proofErr w:type="spellStart"/>
            <w:r w:rsidRPr="003B355D">
              <w:rPr>
                <w:rFonts w:ascii="Arial Narrow" w:eastAsia="Arial Narrow" w:hAnsi="Arial Narrow" w:cs="Arial Narrow"/>
                <w:i/>
                <w:sz w:val="20"/>
                <w:u w:val="single"/>
              </w:rPr>
              <w:t>Albiglutide</w:t>
            </w:r>
            <w:proofErr w:type="spellEnd"/>
            <w:r w:rsidRPr="003B355D">
              <w:rPr>
                <w:rFonts w:ascii="Arial Narrow" w:eastAsia="Arial Narrow" w:hAnsi="Arial Narrow" w:cs="Arial Narrow"/>
                <w:i/>
                <w:sz w:val="20"/>
              </w:rPr>
              <w:t xml:space="preserve"> 30 mg or 50 mg once weekly</w:t>
            </w:r>
            <w:r w:rsidRPr="003B355D">
              <w:rPr>
                <w:rFonts w:ascii="Arial Narrow" w:eastAsia="Arial Narrow" w:hAnsi="Arial Narrow" w:cs="Arial Narrow"/>
                <w:i/>
                <w:sz w:val="20"/>
              </w:rPr>
              <w:br/>
            </w:r>
            <w:proofErr w:type="spellStart"/>
            <w:r w:rsidRPr="003B355D">
              <w:rPr>
                <w:rFonts w:ascii="Arial Narrow" w:eastAsia="Arial Narrow" w:hAnsi="Arial Narrow" w:cs="Arial Narrow"/>
                <w:i/>
                <w:sz w:val="20"/>
                <w:u w:val="single"/>
              </w:rPr>
              <w:t>Lixisenatide</w:t>
            </w:r>
            <w:proofErr w:type="spellEnd"/>
            <w:r w:rsidRPr="003B355D">
              <w:rPr>
                <w:rFonts w:ascii="Arial Narrow" w:eastAsia="Arial Narrow" w:hAnsi="Arial Narrow" w:cs="Arial Narrow"/>
                <w:i/>
                <w:sz w:val="20"/>
              </w:rPr>
              <w:t xml:space="preserve"> 20 µg once daily</w:t>
            </w:r>
          </w:p>
        </w:tc>
        <w:tc>
          <w:tcPr>
            <w:tcW w:w="1276" w:type="dxa"/>
            <w:tcBorders>
              <w:top w:val="single" w:sz="6" w:space="0" w:color="000000"/>
              <w:left w:val="single" w:sz="6" w:space="0" w:color="000000"/>
              <w:bottom w:val="single" w:sz="6" w:space="0" w:color="000000"/>
              <w:right w:val="single" w:sz="6" w:space="0" w:color="000000"/>
            </w:tcBorders>
          </w:tcPr>
          <w:p w:rsidR="00C705A3" w:rsidRPr="003B355D" w:rsidRDefault="00C705A3" w:rsidP="00453C92">
            <w:pPr>
              <w:widowControl/>
              <w:ind w:left="-55" w:right="-66"/>
              <w:jc w:val="left"/>
              <w:rPr>
                <w:rFonts w:ascii="Arial Narrow" w:eastAsia="Arial Narrow" w:hAnsi="Arial Narrow" w:cs="Arial Narrow"/>
                <w:i/>
                <w:sz w:val="20"/>
              </w:rPr>
            </w:pPr>
            <w:r w:rsidRPr="003B355D">
              <w:rPr>
                <w:rFonts w:ascii="Arial Narrow" w:eastAsia="Arial Narrow" w:hAnsi="Arial Narrow" w:cs="Arial Narrow"/>
                <w:i/>
                <w:sz w:val="20"/>
              </w:rPr>
              <w:t xml:space="preserve">MACE + fatal myocardial infarction, fatal stroke </w:t>
            </w:r>
          </w:p>
        </w:tc>
        <w:tc>
          <w:tcPr>
            <w:tcW w:w="1985" w:type="dxa"/>
            <w:tcBorders>
              <w:top w:val="single" w:sz="6" w:space="0" w:color="000000"/>
              <w:left w:val="single" w:sz="6" w:space="0" w:color="000000"/>
              <w:bottom w:val="single" w:sz="6" w:space="0" w:color="000000"/>
              <w:right w:val="single" w:sz="6" w:space="0" w:color="000000"/>
            </w:tcBorders>
          </w:tcPr>
          <w:p w:rsidR="00C705A3" w:rsidRPr="003B355D" w:rsidRDefault="00C705A3" w:rsidP="00453C92">
            <w:pPr>
              <w:widowControl/>
              <w:ind w:left="-55" w:right="-66"/>
              <w:jc w:val="left"/>
              <w:rPr>
                <w:rFonts w:ascii="Arial Narrow" w:eastAsia="Arial Narrow" w:hAnsi="Arial Narrow" w:cs="Arial Narrow"/>
                <w:i/>
                <w:sz w:val="20"/>
              </w:rPr>
            </w:pPr>
            <w:r w:rsidRPr="003B355D">
              <w:rPr>
                <w:rFonts w:ascii="Arial Narrow" w:eastAsia="Arial Narrow" w:hAnsi="Arial Narrow" w:cs="Arial Narrow"/>
                <w:i/>
                <w:sz w:val="20"/>
              </w:rPr>
              <w:t>Phase III and IV trials</w:t>
            </w:r>
            <w:r w:rsidRPr="003B355D">
              <w:rPr>
                <w:rFonts w:ascii="Arial Narrow" w:eastAsia="Arial Narrow" w:hAnsi="Arial Narrow" w:cs="Arial Narrow"/>
                <w:i/>
                <w:sz w:val="20"/>
              </w:rPr>
              <w:br/>
            </w:r>
            <w:r w:rsidRPr="003B355D">
              <w:rPr>
                <w:rFonts w:ascii="Arial Narrow" w:eastAsia="Arial Narrow" w:hAnsi="Arial Narrow" w:cs="Arial Narrow"/>
                <w:i/>
                <w:sz w:val="20"/>
                <w:u w:val="single"/>
              </w:rPr>
              <w:t>Exenatide</w:t>
            </w:r>
            <w:r w:rsidRPr="003B355D">
              <w:rPr>
                <w:rFonts w:ascii="Arial Narrow" w:eastAsia="Arial Narrow" w:hAnsi="Arial Narrow" w:cs="Arial Narrow"/>
                <w:i/>
                <w:sz w:val="20"/>
              </w:rPr>
              <w:t>: 13 trials (4135 patients)</w:t>
            </w:r>
            <w:r w:rsidRPr="003B355D">
              <w:rPr>
                <w:rFonts w:ascii="Arial Narrow" w:eastAsia="Arial Narrow" w:hAnsi="Arial Narrow" w:cs="Arial Narrow"/>
                <w:i/>
                <w:sz w:val="20"/>
              </w:rPr>
              <w:br/>
            </w:r>
            <w:r w:rsidRPr="003B355D">
              <w:rPr>
                <w:rFonts w:ascii="Arial Narrow" w:eastAsia="Arial Narrow" w:hAnsi="Arial Narrow" w:cs="Arial Narrow"/>
                <w:i/>
                <w:sz w:val="20"/>
                <w:u w:val="single"/>
              </w:rPr>
              <w:t>Liraglutide</w:t>
            </w:r>
            <w:r w:rsidRPr="003B355D">
              <w:rPr>
                <w:rFonts w:ascii="Arial Narrow" w:eastAsia="Arial Narrow" w:hAnsi="Arial Narrow" w:cs="Arial Narrow"/>
                <w:i/>
                <w:sz w:val="20"/>
              </w:rPr>
              <w:t>: 7 trials (4161 patients)</w:t>
            </w:r>
            <w:r w:rsidRPr="003B355D">
              <w:rPr>
                <w:rFonts w:ascii="Arial Narrow" w:eastAsia="Arial Narrow" w:hAnsi="Arial Narrow" w:cs="Arial Narrow"/>
                <w:i/>
                <w:sz w:val="20"/>
              </w:rPr>
              <w:br/>
            </w:r>
            <w:proofErr w:type="spellStart"/>
            <w:r w:rsidRPr="003B355D">
              <w:rPr>
                <w:rFonts w:ascii="Arial Narrow" w:eastAsia="Arial Narrow" w:hAnsi="Arial Narrow" w:cs="Arial Narrow"/>
                <w:i/>
                <w:sz w:val="20"/>
                <w:u w:val="single"/>
              </w:rPr>
              <w:t>Albiglutide</w:t>
            </w:r>
            <w:proofErr w:type="spellEnd"/>
            <w:r w:rsidRPr="003B355D">
              <w:rPr>
                <w:rFonts w:ascii="Arial Narrow" w:eastAsia="Arial Narrow" w:hAnsi="Arial Narrow" w:cs="Arial Narrow"/>
                <w:i/>
                <w:sz w:val="20"/>
              </w:rPr>
              <w:t>: 6 trials (3588 patients)</w:t>
            </w:r>
            <w:r w:rsidRPr="003B355D">
              <w:rPr>
                <w:rFonts w:ascii="Arial Narrow" w:eastAsia="Arial Narrow" w:hAnsi="Arial Narrow" w:cs="Arial Narrow"/>
                <w:i/>
                <w:sz w:val="20"/>
              </w:rPr>
              <w:br/>
            </w:r>
            <w:proofErr w:type="spellStart"/>
            <w:r w:rsidRPr="003B355D">
              <w:rPr>
                <w:rFonts w:ascii="Arial Narrow" w:eastAsia="Arial Narrow" w:hAnsi="Arial Narrow" w:cs="Arial Narrow"/>
                <w:i/>
                <w:sz w:val="20"/>
                <w:u w:val="single"/>
              </w:rPr>
              <w:t>Lixisenatide</w:t>
            </w:r>
            <w:proofErr w:type="spellEnd"/>
            <w:r w:rsidRPr="003B355D">
              <w:rPr>
                <w:rFonts w:ascii="Arial Narrow" w:eastAsia="Arial Narrow" w:hAnsi="Arial Narrow" w:cs="Arial Narrow"/>
                <w:i/>
                <w:sz w:val="20"/>
              </w:rPr>
              <w:t>: 6 trials (8215 patients)</w:t>
            </w:r>
          </w:p>
          <w:p w:rsidR="00C705A3" w:rsidRPr="003B355D" w:rsidRDefault="00C705A3" w:rsidP="00453C92">
            <w:pPr>
              <w:widowControl/>
              <w:ind w:left="-55" w:right="-66"/>
              <w:jc w:val="left"/>
              <w:rPr>
                <w:rFonts w:ascii="Arial Narrow" w:eastAsia="Arial Narrow" w:hAnsi="Arial Narrow" w:cs="Arial Narrow"/>
                <w:i/>
                <w:sz w:val="20"/>
              </w:rPr>
            </w:pPr>
            <w:r w:rsidRPr="003B355D">
              <w:rPr>
                <w:rFonts w:ascii="Arial Narrow" w:eastAsia="Arial Narrow" w:hAnsi="Arial Narrow" w:cs="Arial Narrow"/>
                <w:i/>
                <w:sz w:val="20"/>
              </w:rPr>
              <w:t>Study durations (median): 24-156 weeks</w:t>
            </w:r>
          </w:p>
        </w:tc>
        <w:tc>
          <w:tcPr>
            <w:tcW w:w="2551" w:type="dxa"/>
            <w:tcBorders>
              <w:top w:val="single" w:sz="6" w:space="0" w:color="000000"/>
              <w:left w:val="single" w:sz="6" w:space="0" w:color="000000"/>
              <w:bottom w:val="single" w:sz="6" w:space="0" w:color="000000"/>
              <w:right w:val="single" w:sz="6" w:space="0" w:color="000000"/>
            </w:tcBorders>
          </w:tcPr>
          <w:p w:rsidR="00C705A3" w:rsidRPr="003B355D" w:rsidRDefault="00C705A3" w:rsidP="00453C92">
            <w:pPr>
              <w:widowControl/>
              <w:ind w:left="-55" w:right="-66"/>
              <w:jc w:val="left"/>
              <w:rPr>
                <w:rFonts w:ascii="Arial Narrow" w:eastAsia="Arial Narrow" w:hAnsi="Arial Narrow" w:cs="Arial Narrow"/>
                <w:i/>
                <w:sz w:val="20"/>
              </w:rPr>
            </w:pPr>
            <w:r w:rsidRPr="003B355D">
              <w:rPr>
                <w:rFonts w:ascii="Arial Narrow" w:eastAsia="Arial Narrow" w:hAnsi="Arial Narrow" w:cs="Arial Narrow"/>
                <w:i/>
                <w:sz w:val="20"/>
              </w:rPr>
              <w:t>MACE+: Odds ratio</w:t>
            </w:r>
            <w:r w:rsidRPr="003B355D">
              <w:rPr>
                <w:rFonts w:ascii="Arial Narrow" w:eastAsia="Arial Narrow" w:hAnsi="Arial Narrow" w:cs="Arial Narrow"/>
                <w:i/>
                <w:sz w:val="20"/>
              </w:rPr>
              <w:br/>
            </w:r>
            <w:r w:rsidRPr="003B355D">
              <w:rPr>
                <w:rFonts w:ascii="Arial Narrow" w:eastAsia="Arial Narrow" w:hAnsi="Arial Narrow" w:cs="Arial Narrow"/>
                <w:i/>
                <w:sz w:val="20"/>
                <w:u w:val="single"/>
              </w:rPr>
              <w:t>Exenatide</w:t>
            </w:r>
            <w:r w:rsidRPr="003B355D">
              <w:rPr>
                <w:rFonts w:ascii="Arial Narrow" w:eastAsia="Arial Narrow" w:hAnsi="Arial Narrow" w:cs="Arial Narrow"/>
                <w:i/>
                <w:sz w:val="20"/>
              </w:rPr>
              <w:t xml:space="preserve">: 0.12 (0.00, 6.07); </w:t>
            </w:r>
          </w:p>
          <w:p w:rsidR="00C705A3" w:rsidRPr="003B355D" w:rsidRDefault="00C705A3" w:rsidP="00453C92">
            <w:pPr>
              <w:widowControl/>
              <w:ind w:left="-55" w:right="-66"/>
              <w:jc w:val="left"/>
              <w:rPr>
                <w:rFonts w:ascii="Arial Narrow" w:eastAsia="Arial Narrow" w:hAnsi="Arial Narrow" w:cs="Arial Narrow"/>
                <w:i/>
                <w:sz w:val="20"/>
              </w:rPr>
            </w:pPr>
            <w:r w:rsidRPr="003B355D">
              <w:rPr>
                <w:rFonts w:ascii="Arial Narrow" w:eastAsia="Arial Narrow" w:hAnsi="Arial Narrow" w:cs="Arial Narrow"/>
                <w:i/>
                <w:sz w:val="20"/>
              </w:rPr>
              <w:t>0.45 (0.02, 8.74)</w:t>
            </w:r>
            <w:r w:rsidRPr="003B355D">
              <w:rPr>
                <w:rFonts w:ascii="Arial Narrow" w:eastAsia="Arial Narrow" w:hAnsi="Arial Narrow" w:cs="Arial Narrow"/>
                <w:i/>
                <w:sz w:val="20"/>
              </w:rPr>
              <w:br/>
            </w:r>
            <w:r w:rsidRPr="003B355D">
              <w:rPr>
                <w:rFonts w:ascii="Arial Narrow" w:eastAsia="Arial Narrow" w:hAnsi="Arial Narrow" w:cs="Arial Narrow"/>
                <w:i/>
                <w:sz w:val="20"/>
                <w:u w:val="single"/>
              </w:rPr>
              <w:t>Liraglutide</w:t>
            </w:r>
            <w:r w:rsidRPr="003B355D">
              <w:rPr>
                <w:rFonts w:ascii="Arial Narrow" w:eastAsia="Arial Narrow" w:hAnsi="Arial Narrow" w:cs="Arial Narrow"/>
                <w:i/>
                <w:sz w:val="20"/>
              </w:rPr>
              <w:t>: NA; 1.92 (0.45, 8.08); 2.29 (0.36, 14.66)</w:t>
            </w:r>
            <w:r w:rsidRPr="003B355D">
              <w:rPr>
                <w:rFonts w:ascii="Arial Narrow" w:eastAsia="Arial Narrow" w:hAnsi="Arial Narrow" w:cs="Arial Narrow"/>
                <w:i/>
                <w:sz w:val="20"/>
              </w:rPr>
              <w:br/>
            </w:r>
            <w:proofErr w:type="spellStart"/>
            <w:r w:rsidRPr="003B355D">
              <w:rPr>
                <w:rFonts w:ascii="Arial Narrow" w:eastAsia="Arial Narrow" w:hAnsi="Arial Narrow" w:cs="Arial Narrow"/>
                <w:i/>
                <w:sz w:val="20"/>
                <w:u w:val="single"/>
              </w:rPr>
              <w:t>Albiglutide</w:t>
            </w:r>
            <w:proofErr w:type="spellEnd"/>
            <w:r w:rsidRPr="003B355D">
              <w:rPr>
                <w:rFonts w:ascii="Arial Narrow" w:eastAsia="Arial Narrow" w:hAnsi="Arial Narrow" w:cs="Arial Narrow"/>
                <w:i/>
                <w:sz w:val="20"/>
              </w:rPr>
              <w:t>: NA; 0.60 (0.19, 1.90); 0.25 (0.06, 1.08)</w:t>
            </w:r>
            <w:r w:rsidRPr="003B355D">
              <w:rPr>
                <w:rFonts w:ascii="Arial Narrow" w:eastAsia="Arial Narrow" w:hAnsi="Arial Narrow" w:cs="Arial Narrow"/>
                <w:i/>
                <w:sz w:val="20"/>
              </w:rPr>
              <w:br/>
            </w:r>
            <w:proofErr w:type="spellStart"/>
            <w:r w:rsidRPr="003B355D">
              <w:rPr>
                <w:rFonts w:ascii="Arial Narrow" w:eastAsia="Arial Narrow" w:hAnsi="Arial Narrow" w:cs="Arial Narrow"/>
                <w:i/>
                <w:sz w:val="20"/>
                <w:u w:val="single"/>
              </w:rPr>
              <w:t>Lixisenatide</w:t>
            </w:r>
            <w:proofErr w:type="spellEnd"/>
            <w:r w:rsidRPr="003B355D">
              <w:rPr>
                <w:rFonts w:ascii="Arial Narrow" w:eastAsia="Arial Narrow" w:hAnsi="Arial Narrow" w:cs="Arial Narrow"/>
                <w:i/>
                <w:sz w:val="20"/>
              </w:rPr>
              <w:t xml:space="preserve">: 1.00 (0.09, 11.05); 7.31 (0.15, 368.62); </w:t>
            </w:r>
          </w:p>
          <w:p w:rsidR="00C705A3" w:rsidRPr="003B355D" w:rsidRDefault="00C705A3" w:rsidP="00453C92">
            <w:pPr>
              <w:widowControl/>
              <w:ind w:left="-55" w:right="-66"/>
              <w:jc w:val="left"/>
              <w:rPr>
                <w:rFonts w:ascii="Arial Narrow" w:eastAsia="Arial Narrow" w:hAnsi="Arial Narrow" w:cs="Arial Narrow"/>
                <w:i/>
                <w:sz w:val="20"/>
              </w:rPr>
            </w:pPr>
            <w:r w:rsidRPr="003B355D">
              <w:rPr>
                <w:rFonts w:ascii="Arial Narrow" w:eastAsia="Arial Narrow" w:hAnsi="Arial Narrow" w:cs="Arial Narrow"/>
                <w:i/>
                <w:sz w:val="20"/>
              </w:rPr>
              <w:t>2.74 (0.38, 19.50)</w:t>
            </w:r>
          </w:p>
        </w:tc>
      </w:tr>
    </w:tbl>
    <w:p w:rsidR="00C705A3" w:rsidRPr="003B355D" w:rsidRDefault="00C705A3" w:rsidP="005042AB">
      <w:pPr>
        <w:pStyle w:val="ListParagraph"/>
        <w:ind w:left="-142"/>
        <w:jc w:val="left"/>
        <w:rPr>
          <w:rFonts w:ascii="Arial Narrow" w:eastAsia="Arial Narrow" w:hAnsi="Arial Narrow" w:cs="Arial Narrow"/>
          <w:i/>
          <w:sz w:val="18"/>
          <w:szCs w:val="18"/>
        </w:rPr>
      </w:pPr>
      <w:r w:rsidRPr="003B355D">
        <w:rPr>
          <w:rFonts w:ascii="Arial Narrow" w:eastAsia="Arial Narrow" w:hAnsi="Arial Narrow" w:cs="Arial Narrow"/>
          <w:i/>
          <w:sz w:val="18"/>
          <w:szCs w:val="18"/>
        </w:rPr>
        <w:t>Source: Table C.4.7, pp.132-133 of the submission</w:t>
      </w:r>
    </w:p>
    <w:p w:rsidR="00C705A3" w:rsidRPr="003B355D" w:rsidRDefault="00C705A3" w:rsidP="005042AB">
      <w:pPr>
        <w:pStyle w:val="ListParagraph"/>
        <w:ind w:left="-142"/>
        <w:jc w:val="left"/>
        <w:rPr>
          <w:rFonts w:ascii="Arial Narrow" w:eastAsia="Arial Narrow" w:hAnsi="Arial Narrow" w:cs="Arial Narrow"/>
          <w:i/>
          <w:sz w:val="18"/>
          <w:szCs w:val="18"/>
        </w:rPr>
      </w:pPr>
      <w:r w:rsidRPr="003B355D">
        <w:rPr>
          <w:rFonts w:ascii="Arial Narrow" w:eastAsia="Arial Narrow" w:hAnsi="Arial Narrow" w:cs="Arial Narrow"/>
          <w:i/>
          <w:sz w:val="18"/>
          <w:szCs w:val="18"/>
        </w:rPr>
        <w:t>Abbreviations: GLP-1, glucagon-like peptide 1 receptor agonist; MACE, major adverse cardiovascular events; NR, not reported</w:t>
      </w:r>
    </w:p>
    <w:p w:rsidR="00C705A3" w:rsidRPr="003B355D" w:rsidRDefault="00C705A3" w:rsidP="005042AB">
      <w:pPr>
        <w:pStyle w:val="ListParagraph"/>
        <w:ind w:left="-142"/>
        <w:jc w:val="left"/>
        <w:rPr>
          <w:rFonts w:ascii="Arial Narrow" w:eastAsia="Arial Narrow" w:hAnsi="Arial Narrow" w:cs="Arial Narrow"/>
          <w:i/>
          <w:sz w:val="18"/>
          <w:szCs w:val="18"/>
        </w:rPr>
      </w:pPr>
      <w:proofErr w:type="gramStart"/>
      <w:r w:rsidRPr="003B355D">
        <w:rPr>
          <w:rFonts w:ascii="Arial Narrow" w:eastAsia="Arial Narrow" w:hAnsi="Arial Narrow" w:cs="Arial Narrow"/>
          <w:i/>
          <w:sz w:val="18"/>
          <w:szCs w:val="18"/>
          <w:vertAlign w:val="superscript"/>
        </w:rPr>
        <w:t>a</w:t>
      </w:r>
      <w:proofErr w:type="gramEnd"/>
      <w:r w:rsidRPr="003B355D">
        <w:rPr>
          <w:rFonts w:ascii="Arial Narrow" w:eastAsia="Arial Narrow" w:hAnsi="Arial Narrow" w:cs="Arial Narrow"/>
          <w:i/>
          <w:sz w:val="18"/>
          <w:szCs w:val="18"/>
        </w:rPr>
        <w:t xml:space="preserve"> Meta-analyses included </w:t>
      </w:r>
      <w:proofErr w:type="spellStart"/>
      <w:r w:rsidRPr="003B355D">
        <w:rPr>
          <w:rFonts w:ascii="Arial Narrow" w:eastAsia="Arial Narrow" w:hAnsi="Arial Narrow" w:cs="Arial Narrow"/>
          <w:i/>
          <w:sz w:val="18"/>
          <w:szCs w:val="18"/>
        </w:rPr>
        <w:t>dulaglutide</w:t>
      </w:r>
      <w:proofErr w:type="spellEnd"/>
      <w:r w:rsidRPr="003B355D">
        <w:rPr>
          <w:rFonts w:ascii="Arial Narrow" w:eastAsia="Arial Narrow" w:hAnsi="Arial Narrow" w:cs="Arial Narrow"/>
          <w:i/>
          <w:sz w:val="18"/>
          <w:szCs w:val="18"/>
        </w:rPr>
        <w:t>, but no CV outcomes data were reported</w:t>
      </w:r>
    </w:p>
    <w:p w:rsidR="00A40A52" w:rsidRPr="003B355D" w:rsidRDefault="00A40A52" w:rsidP="005042AB">
      <w:pPr>
        <w:pStyle w:val="ListParagraph"/>
        <w:ind w:left="-142"/>
        <w:jc w:val="left"/>
        <w:rPr>
          <w:rFonts w:ascii="Arial Narrow" w:eastAsia="Arial Narrow" w:hAnsi="Arial Narrow" w:cs="Arial Narrow"/>
          <w:i/>
          <w:sz w:val="18"/>
          <w:szCs w:val="18"/>
        </w:rPr>
      </w:pPr>
    </w:p>
    <w:p w:rsidR="00A40A52" w:rsidRPr="003B355D" w:rsidRDefault="00A40A52" w:rsidP="00683372">
      <w:pPr>
        <w:pStyle w:val="ESnumberedparablue"/>
        <w:rPr>
          <w:rFonts w:ascii="Arial Narrow" w:eastAsia="Arial Narrow" w:hAnsi="Arial Narrow" w:cs="Arial Narrow"/>
          <w:i/>
          <w:sz w:val="18"/>
          <w:szCs w:val="18"/>
        </w:rPr>
      </w:pPr>
      <w:r w:rsidRPr="003B355D">
        <w:rPr>
          <w:rFonts w:asciiTheme="minorHAnsi" w:hAnsiTheme="minorHAnsi"/>
          <w:i/>
          <w:color w:val="auto"/>
          <w:sz w:val="24"/>
          <w:szCs w:val="24"/>
        </w:rPr>
        <w:t>For more detail on PBAC’s view, see section 7 “PBAC outcome”</w:t>
      </w:r>
    </w:p>
    <w:p w:rsidR="00137F8D" w:rsidRPr="003B355D" w:rsidRDefault="00137F8D" w:rsidP="00240279">
      <w:pPr>
        <w:pStyle w:val="Heading1"/>
        <w:keepNext/>
        <w:keepLines/>
        <w:widowControl/>
        <w:numPr>
          <w:ilvl w:val="0"/>
          <w:numId w:val="4"/>
        </w:numPr>
        <w:spacing w:before="400" w:after="120"/>
        <w:ind w:left="709" w:hanging="709"/>
        <w:rPr>
          <w:rFonts w:eastAsiaTheme="majorEastAsia" w:cstheme="majorBidi"/>
          <w:caps w:val="0"/>
          <w:snapToGrid/>
          <w:szCs w:val="28"/>
        </w:rPr>
      </w:pPr>
      <w:r w:rsidRPr="003B355D">
        <w:rPr>
          <w:rFonts w:eastAsiaTheme="majorEastAsia" w:cstheme="majorBidi"/>
          <w:caps w:val="0"/>
          <w:snapToGrid/>
          <w:szCs w:val="28"/>
        </w:rPr>
        <w:t>Consideration of the evidence</w:t>
      </w:r>
      <w:bookmarkEnd w:id="16"/>
      <w:bookmarkEnd w:id="17"/>
      <w:bookmarkEnd w:id="18"/>
    </w:p>
    <w:p w:rsidR="00A40A52" w:rsidRPr="003B355D" w:rsidRDefault="00A40A52" w:rsidP="00A40A52">
      <w:pPr>
        <w:pStyle w:val="Heading2"/>
        <w:rPr>
          <w:rFonts w:asciiTheme="minorHAnsi" w:hAnsiTheme="minorHAnsi"/>
          <w:sz w:val="24"/>
          <w:szCs w:val="24"/>
        </w:rPr>
      </w:pPr>
      <w:bookmarkStart w:id="19" w:name="_Toc413139277"/>
      <w:bookmarkStart w:id="20" w:name="_Toc476306887"/>
      <w:bookmarkStart w:id="21" w:name="_Toc482048975"/>
      <w:r w:rsidRPr="003B355D">
        <w:rPr>
          <w:rFonts w:asciiTheme="minorHAnsi" w:hAnsiTheme="minorHAnsi"/>
          <w:sz w:val="24"/>
          <w:szCs w:val="24"/>
        </w:rPr>
        <w:t>Sponsor hearing</w:t>
      </w:r>
    </w:p>
    <w:p w:rsidR="00BB0785" w:rsidRPr="003B355D" w:rsidRDefault="00BB0785" w:rsidP="00BB0785"/>
    <w:p w:rsidR="00A40A52" w:rsidRPr="003B355D" w:rsidRDefault="00A40A52" w:rsidP="00307138">
      <w:pPr>
        <w:pStyle w:val="ListParagraph"/>
        <w:widowControl/>
        <w:numPr>
          <w:ilvl w:val="1"/>
          <w:numId w:val="4"/>
        </w:numPr>
        <w:spacing w:after="120"/>
        <w:contextualSpacing w:val="0"/>
        <w:rPr>
          <w:rFonts w:asciiTheme="minorHAnsi" w:hAnsiTheme="minorHAnsi"/>
          <w:b/>
          <w:sz w:val="24"/>
          <w:szCs w:val="24"/>
        </w:rPr>
      </w:pPr>
      <w:r w:rsidRPr="003B355D">
        <w:rPr>
          <w:rFonts w:asciiTheme="minorHAnsi" w:hAnsiTheme="minorHAnsi"/>
          <w:sz w:val="24"/>
          <w:szCs w:val="24"/>
        </w:rPr>
        <w:t>The sponsor requested a hearing for this item. The clinician presented clinical case studies and discussed the natural history of the disease, how the drug would be used in practice, and addressed other matters in response to the Committee’s questions.</w:t>
      </w:r>
      <w:r w:rsidR="00307138" w:rsidRPr="003B355D">
        <w:rPr>
          <w:rFonts w:asciiTheme="minorHAnsi" w:hAnsiTheme="minorHAnsi"/>
          <w:sz w:val="24"/>
          <w:szCs w:val="24"/>
        </w:rPr>
        <w:t xml:space="preserve"> </w:t>
      </w:r>
      <w:r w:rsidR="00892FB1" w:rsidRPr="003B355D">
        <w:rPr>
          <w:rFonts w:asciiTheme="minorHAnsi" w:hAnsiTheme="minorHAnsi"/>
          <w:sz w:val="24"/>
          <w:szCs w:val="24"/>
        </w:rPr>
        <w:t xml:space="preserve">The PBAC </w:t>
      </w:r>
      <w:r w:rsidR="00307138" w:rsidRPr="003B355D">
        <w:rPr>
          <w:rFonts w:asciiTheme="minorHAnsi" w:hAnsiTheme="minorHAnsi"/>
          <w:sz w:val="24"/>
          <w:szCs w:val="24"/>
        </w:rPr>
        <w:t>i</w:t>
      </w:r>
      <w:r w:rsidR="00BB0785" w:rsidRPr="003B355D">
        <w:rPr>
          <w:rFonts w:asciiTheme="minorHAnsi" w:hAnsiTheme="minorHAnsi"/>
          <w:sz w:val="24"/>
          <w:szCs w:val="24"/>
        </w:rPr>
        <w:t>nquired to whether</w:t>
      </w:r>
      <w:r w:rsidR="00307138" w:rsidRPr="003B355D">
        <w:rPr>
          <w:rFonts w:asciiTheme="minorHAnsi" w:hAnsiTheme="minorHAnsi"/>
          <w:sz w:val="24"/>
          <w:szCs w:val="24"/>
        </w:rPr>
        <w:t xml:space="preserve"> the cardiovascular</w:t>
      </w:r>
      <w:r w:rsidR="00AE75F5">
        <w:rPr>
          <w:rFonts w:asciiTheme="minorHAnsi" w:hAnsiTheme="minorHAnsi"/>
          <w:sz w:val="24"/>
          <w:szCs w:val="24"/>
        </w:rPr>
        <w:t xml:space="preserve"> outcomes demonstrated with lir</w:t>
      </w:r>
      <w:r w:rsidR="00307138" w:rsidRPr="003B355D">
        <w:rPr>
          <w:rFonts w:asciiTheme="minorHAnsi" w:hAnsiTheme="minorHAnsi"/>
          <w:sz w:val="24"/>
          <w:szCs w:val="24"/>
        </w:rPr>
        <w:t xml:space="preserve">aglutide is </w:t>
      </w:r>
      <w:r w:rsidR="00BB0785" w:rsidRPr="003B355D">
        <w:rPr>
          <w:rFonts w:asciiTheme="minorHAnsi" w:hAnsiTheme="minorHAnsi"/>
          <w:sz w:val="24"/>
          <w:szCs w:val="24"/>
        </w:rPr>
        <w:t xml:space="preserve">likely to be </w:t>
      </w:r>
      <w:r w:rsidR="00307138" w:rsidRPr="003B355D">
        <w:rPr>
          <w:rFonts w:asciiTheme="minorHAnsi" w:hAnsiTheme="minorHAnsi"/>
          <w:sz w:val="24"/>
          <w:szCs w:val="24"/>
        </w:rPr>
        <w:t xml:space="preserve">class effect </w:t>
      </w:r>
      <w:r w:rsidR="00CB51FF" w:rsidRPr="003B355D">
        <w:rPr>
          <w:rFonts w:asciiTheme="minorHAnsi" w:hAnsiTheme="minorHAnsi"/>
          <w:sz w:val="24"/>
          <w:szCs w:val="24"/>
        </w:rPr>
        <w:t>across</w:t>
      </w:r>
      <w:r w:rsidR="00307138" w:rsidRPr="003B355D">
        <w:rPr>
          <w:rFonts w:asciiTheme="minorHAnsi" w:hAnsiTheme="minorHAnsi"/>
          <w:sz w:val="24"/>
          <w:szCs w:val="24"/>
        </w:rPr>
        <w:t xml:space="preserve"> the</w:t>
      </w:r>
      <w:r w:rsidR="00307138" w:rsidRPr="003B355D">
        <w:t xml:space="preserve"> </w:t>
      </w:r>
      <w:r w:rsidR="00307138" w:rsidRPr="003B355D">
        <w:rPr>
          <w:rFonts w:asciiTheme="minorHAnsi" w:hAnsiTheme="minorHAnsi"/>
          <w:sz w:val="24"/>
          <w:szCs w:val="24"/>
        </w:rPr>
        <w:t>Glucagon-Like Peptide-1 (GLP-1) analogues</w:t>
      </w:r>
      <w:r w:rsidR="00BB0785" w:rsidRPr="003B355D">
        <w:rPr>
          <w:rFonts w:asciiTheme="minorHAnsi" w:hAnsiTheme="minorHAnsi"/>
          <w:sz w:val="24"/>
          <w:szCs w:val="24"/>
        </w:rPr>
        <w:t xml:space="preserve">. The clinician stated that </w:t>
      </w:r>
      <w:proofErr w:type="spellStart"/>
      <w:r w:rsidR="00BB0785" w:rsidRPr="003B355D">
        <w:rPr>
          <w:rFonts w:asciiTheme="minorHAnsi" w:hAnsiTheme="minorHAnsi"/>
          <w:sz w:val="24"/>
          <w:szCs w:val="24"/>
        </w:rPr>
        <w:t>liraglutide’s</w:t>
      </w:r>
      <w:proofErr w:type="spellEnd"/>
      <w:r w:rsidR="00BB0785" w:rsidRPr="003B355D">
        <w:rPr>
          <w:rFonts w:asciiTheme="minorHAnsi" w:hAnsiTheme="minorHAnsi"/>
          <w:sz w:val="24"/>
          <w:szCs w:val="24"/>
        </w:rPr>
        <w:t xml:space="preserve"> unique molecular structure may contribute the different effect </w:t>
      </w:r>
      <w:r w:rsidR="00A96C4E" w:rsidRPr="003B355D">
        <w:rPr>
          <w:rFonts w:asciiTheme="minorHAnsi" w:hAnsiTheme="minorHAnsi"/>
          <w:sz w:val="24"/>
          <w:szCs w:val="24"/>
        </w:rPr>
        <w:t>not yet observed with</w:t>
      </w:r>
      <w:r w:rsidR="00BB0785" w:rsidRPr="003B355D">
        <w:rPr>
          <w:rFonts w:asciiTheme="minorHAnsi" w:hAnsiTheme="minorHAnsi"/>
          <w:sz w:val="24"/>
          <w:szCs w:val="24"/>
        </w:rPr>
        <w:t xml:space="preserve"> </w:t>
      </w:r>
      <w:proofErr w:type="gramStart"/>
      <w:r w:rsidR="00BB0785" w:rsidRPr="003B355D">
        <w:rPr>
          <w:rFonts w:asciiTheme="minorHAnsi" w:hAnsiTheme="minorHAnsi"/>
          <w:sz w:val="24"/>
          <w:szCs w:val="24"/>
        </w:rPr>
        <w:t>exenatide,</w:t>
      </w:r>
      <w:proofErr w:type="gramEnd"/>
      <w:r w:rsidR="00BB0785" w:rsidRPr="003B355D">
        <w:rPr>
          <w:rFonts w:asciiTheme="minorHAnsi" w:hAnsiTheme="minorHAnsi"/>
          <w:sz w:val="24"/>
          <w:szCs w:val="24"/>
        </w:rPr>
        <w:t xml:space="preserve"> however the clinician agreed there may be a class effect that is yet to be seen. </w:t>
      </w:r>
      <w:r w:rsidRPr="003B355D">
        <w:rPr>
          <w:rFonts w:asciiTheme="minorHAnsi" w:hAnsiTheme="minorHAnsi"/>
          <w:sz w:val="24"/>
          <w:szCs w:val="24"/>
        </w:rPr>
        <w:t xml:space="preserve"> The PBAC considered that the hearing did not add substantively to the evidence presented in the submissio</w:t>
      </w:r>
      <w:r w:rsidR="00CB51FF" w:rsidRPr="003B355D">
        <w:rPr>
          <w:rFonts w:asciiTheme="minorHAnsi" w:hAnsiTheme="minorHAnsi"/>
          <w:sz w:val="24"/>
          <w:szCs w:val="24"/>
        </w:rPr>
        <w:t>n</w:t>
      </w:r>
      <w:r w:rsidR="00BB0785" w:rsidRPr="003B355D">
        <w:rPr>
          <w:rFonts w:asciiTheme="minorHAnsi" w:hAnsiTheme="minorHAnsi"/>
          <w:sz w:val="24"/>
          <w:szCs w:val="24"/>
        </w:rPr>
        <w:t>.</w:t>
      </w:r>
    </w:p>
    <w:p w:rsidR="00A40A52" w:rsidRPr="003B355D" w:rsidRDefault="00A40A52" w:rsidP="00B52859">
      <w:pPr>
        <w:pStyle w:val="Heading2"/>
        <w:ind w:left="426" w:hanging="426"/>
        <w:rPr>
          <w:rFonts w:asciiTheme="minorHAnsi" w:hAnsiTheme="minorHAnsi"/>
          <w:sz w:val="24"/>
          <w:szCs w:val="24"/>
        </w:rPr>
      </w:pPr>
      <w:r w:rsidRPr="003B355D">
        <w:rPr>
          <w:rFonts w:asciiTheme="minorHAnsi" w:hAnsiTheme="minorHAnsi"/>
          <w:sz w:val="24"/>
          <w:szCs w:val="24"/>
        </w:rPr>
        <w:t>Consumer comments</w:t>
      </w:r>
    </w:p>
    <w:p w:rsidR="00AE4D9B" w:rsidRPr="003B355D" w:rsidRDefault="00AE4D9B" w:rsidP="00B52859">
      <w:pPr>
        <w:ind w:left="426" w:hanging="426"/>
      </w:pPr>
    </w:p>
    <w:p w:rsidR="00D07106" w:rsidRPr="003B355D" w:rsidRDefault="00A40A52" w:rsidP="00B52859">
      <w:pPr>
        <w:pStyle w:val="ListParagraph"/>
        <w:widowControl/>
        <w:numPr>
          <w:ilvl w:val="1"/>
          <w:numId w:val="4"/>
        </w:numPr>
        <w:spacing w:after="120"/>
        <w:ind w:left="426" w:hanging="426"/>
        <w:contextualSpacing w:val="0"/>
        <w:rPr>
          <w:rFonts w:asciiTheme="minorHAnsi" w:hAnsiTheme="minorHAnsi"/>
          <w:sz w:val="24"/>
          <w:szCs w:val="24"/>
        </w:rPr>
      </w:pPr>
      <w:r w:rsidRPr="003B355D">
        <w:rPr>
          <w:rFonts w:asciiTheme="minorHAnsi" w:hAnsiTheme="minorHAnsi"/>
          <w:sz w:val="24"/>
          <w:szCs w:val="24"/>
        </w:rPr>
        <w:t xml:space="preserve">The PBAC noted and welcomed the input from </w:t>
      </w:r>
      <w:r w:rsidR="00AE4D9B" w:rsidRPr="003B355D">
        <w:rPr>
          <w:rFonts w:asciiTheme="minorHAnsi" w:hAnsiTheme="minorHAnsi"/>
          <w:sz w:val="24"/>
          <w:szCs w:val="24"/>
        </w:rPr>
        <w:t>health care professionals (1) and organisations (2</w:t>
      </w:r>
      <w:r w:rsidRPr="003B355D">
        <w:rPr>
          <w:rFonts w:asciiTheme="minorHAnsi" w:hAnsiTheme="minorHAnsi"/>
          <w:sz w:val="24"/>
          <w:szCs w:val="24"/>
        </w:rPr>
        <w:t>) via the Consumer Comments facility on the PBS website.  The comments described a range of benefits of treatment</w:t>
      </w:r>
      <w:r w:rsidR="00AE4D9B" w:rsidRPr="003B355D">
        <w:rPr>
          <w:rFonts w:asciiTheme="minorHAnsi" w:hAnsiTheme="minorHAnsi"/>
          <w:sz w:val="24"/>
          <w:szCs w:val="24"/>
        </w:rPr>
        <w:t xml:space="preserve"> with liraglutide</w:t>
      </w:r>
      <w:r w:rsidRPr="003B355D">
        <w:rPr>
          <w:rFonts w:asciiTheme="minorHAnsi" w:hAnsiTheme="minorHAnsi"/>
          <w:sz w:val="24"/>
          <w:szCs w:val="24"/>
        </w:rPr>
        <w:t xml:space="preserve"> </w:t>
      </w:r>
      <w:r w:rsidR="0000140F" w:rsidRPr="003B355D">
        <w:rPr>
          <w:rFonts w:asciiTheme="minorHAnsi" w:hAnsiTheme="minorHAnsi"/>
          <w:sz w:val="24"/>
          <w:szCs w:val="24"/>
        </w:rPr>
        <w:t>most notably the reduced risk of cardiovascular mortality and</w:t>
      </w:r>
      <w:r w:rsidR="00B52859" w:rsidRPr="003B355D">
        <w:rPr>
          <w:rFonts w:asciiTheme="minorHAnsi" w:hAnsiTheme="minorHAnsi"/>
          <w:sz w:val="24"/>
          <w:szCs w:val="24"/>
        </w:rPr>
        <w:t xml:space="preserve"> lower risk of</w:t>
      </w:r>
      <w:r w:rsidR="0000140F" w:rsidRPr="003B355D">
        <w:rPr>
          <w:rFonts w:asciiTheme="minorHAnsi" w:hAnsiTheme="minorHAnsi"/>
          <w:sz w:val="24"/>
          <w:szCs w:val="24"/>
        </w:rPr>
        <w:t xml:space="preserve"> hypoglycaemia.</w:t>
      </w:r>
      <w:r w:rsidRPr="003B355D">
        <w:rPr>
          <w:rFonts w:asciiTheme="minorHAnsi" w:hAnsiTheme="minorHAnsi"/>
          <w:sz w:val="24"/>
          <w:szCs w:val="24"/>
        </w:rPr>
        <w:t xml:space="preserve"> </w:t>
      </w:r>
    </w:p>
    <w:p w:rsidR="00A40A52" w:rsidRPr="003B355D" w:rsidRDefault="00D07106" w:rsidP="00B52859">
      <w:pPr>
        <w:pStyle w:val="ListParagraph"/>
        <w:widowControl/>
        <w:numPr>
          <w:ilvl w:val="1"/>
          <w:numId w:val="4"/>
        </w:numPr>
        <w:spacing w:after="120"/>
        <w:ind w:left="426" w:hanging="426"/>
        <w:contextualSpacing w:val="0"/>
        <w:rPr>
          <w:rFonts w:asciiTheme="minorHAnsi" w:hAnsiTheme="minorHAnsi"/>
        </w:rPr>
      </w:pPr>
      <w:r w:rsidRPr="003B355D">
        <w:rPr>
          <w:rFonts w:asciiTheme="minorHAnsi" w:hAnsiTheme="minorHAnsi"/>
          <w:sz w:val="24"/>
          <w:szCs w:val="24"/>
        </w:rPr>
        <w:t xml:space="preserve">The PBAC noted the advice received from Diabetes Australia and The Australian Diabetes Society clarifying the likely use of liraglutide in clinical practice.  </w:t>
      </w:r>
      <w:r w:rsidR="00D45A82" w:rsidRPr="003B355D">
        <w:rPr>
          <w:rFonts w:asciiTheme="minorHAnsi" w:hAnsiTheme="minorHAnsi"/>
          <w:sz w:val="24"/>
          <w:szCs w:val="24"/>
        </w:rPr>
        <w:t xml:space="preserve">The consumer comments noted liraglutide has been shown to reduce the risk of cardiovascular mortality. It was also noted that three medications that do not cause weight gain, and that lower circulating insulin and glucose without risk of hypoglycaemia have been shown to reduce cardiovascular events (liraglutide, </w:t>
      </w:r>
      <w:proofErr w:type="spellStart"/>
      <w:r w:rsidR="00D45A82" w:rsidRPr="003B355D">
        <w:rPr>
          <w:rFonts w:asciiTheme="minorHAnsi" w:hAnsiTheme="minorHAnsi"/>
          <w:sz w:val="24"/>
          <w:szCs w:val="24"/>
        </w:rPr>
        <w:t>empagliflozin</w:t>
      </w:r>
      <w:proofErr w:type="spellEnd"/>
      <w:r w:rsidR="00D45A82" w:rsidRPr="003B355D">
        <w:rPr>
          <w:rFonts w:asciiTheme="minorHAnsi" w:hAnsiTheme="minorHAnsi"/>
          <w:sz w:val="24"/>
          <w:szCs w:val="24"/>
        </w:rPr>
        <w:t xml:space="preserve">, and metformin). </w:t>
      </w:r>
      <w:r w:rsidR="00A40A52" w:rsidRPr="003B355D">
        <w:rPr>
          <w:rFonts w:asciiTheme="majorHAnsi" w:hAnsiTheme="majorHAnsi"/>
          <w:sz w:val="24"/>
          <w:szCs w:val="24"/>
        </w:rPr>
        <w:t>T</w:t>
      </w:r>
      <w:r w:rsidR="00A40A52" w:rsidRPr="003B355D">
        <w:rPr>
          <w:rFonts w:asciiTheme="minorHAnsi" w:hAnsiTheme="minorHAnsi"/>
          <w:sz w:val="24"/>
          <w:szCs w:val="24"/>
        </w:rPr>
        <w:t>he PBAC noted that this advice was</w:t>
      </w:r>
      <w:r w:rsidR="00A96C4E" w:rsidRPr="003B355D">
        <w:rPr>
          <w:rFonts w:asciiTheme="minorHAnsi" w:hAnsiTheme="minorHAnsi"/>
          <w:sz w:val="24"/>
          <w:szCs w:val="24"/>
        </w:rPr>
        <w:t xml:space="preserve"> generally</w:t>
      </w:r>
      <w:r w:rsidR="00A40A52" w:rsidRPr="003B355D">
        <w:rPr>
          <w:rFonts w:asciiTheme="minorHAnsi" w:hAnsiTheme="minorHAnsi"/>
          <w:sz w:val="24"/>
          <w:szCs w:val="24"/>
        </w:rPr>
        <w:t xml:space="preserve"> supportive of the evidence provided in the submission.</w:t>
      </w:r>
    </w:p>
    <w:p w:rsidR="00C815C6" w:rsidRDefault="00C815C6" w:rsidP="00577D1B">
      <w:pPr>
        <w:pStyle w:val="BodyText"/>
        <w:rPr>
          <w:rFonts w:eastAsiaTheme="majorEastAsia"/>
          <w:snapToGrid/>
        </w:rPr>
      </w:pPr>
    </w:p>
    <w:p w:rsidR="00C815C6" w:rsidRDefault="00C815C6" w:rsidP="00577D1B">
      <w:pPr>
        <w:pStyle w:val="BodyText"/>
        <w:rPr>
          <w:rFonts w:eastAsiaTheme="majorEastAsia"/>
          <w:snapToGrid/>
        </w:rPr>
      </w:pPr>
    </w:p>
    <w:p w:rsidR="00137F8D" w:rsidRPr="003B355D" w:rsidRDefault="00137F8D" w:rsidP="001F6B1E">
      <w:pPr>
        <w:pStyle w:val="Heading2"/>
        <w:spacing w:before="120" w:after="160"/>
        <w:rPr>
          <w:rFonts w:asciiTheme="minorHAnsi" w:eastAsiaTheme="majorEastAsia" w:hAnsiTheme="minorHAnsi"/>
          <w:i/>
          <w:snapToGrid/>
          <w:sz w:val="24"/>
          <w:szCs w:val="24"/>
        </w:rPr>
      </w:pPr>
      <w:r w:rsidRPr="003B355D">
        <w:rPr>
          <w:rFonts w:asciiTheme="minorHAnsi" w:eastAsiaTheme="majorEastAsia" w:hAnsiTheme="minorHAnsi"/>
          <w:i/>
          <w:snapToGrid/>
          <w:sz w:val="24"/>
          <w:szCs w:val="24"/>
        </w:rPr>
        <w:lastRenderedPageBreak/>
        <w:t>Clinical trials</w:t>
      </w:r>
      <w:bookmarkEnd w:id="19"/>
      <w:bookmarkEnd w:id="20"/>
      <w:bookmarkEnd w:id="21"/>
    </w:p>
    <w:p w:rsidR="002958EA" w:rsidRPr="003B355D" w:rsidRDefault="002958EA" w:rsidP="002958EA">
      <w:pPr>
        <w:pStyle w:val="ListParagraph"/>
        <w:widowControl/>
        <w:numPr>
          <w:ilvl w:val="0"/>
          <w:numId w:val="34"/>
        </w:numPr>
        <w:spacing w:before="120" w:after="160"/>
        <w:contextualSpacing w:val="0"/>
        <w:rPr>
          <w:rFonts w:asciiTheme="minorHAnsi" w:eastAsiaTheme="minorHAnsi" w:hAnsiTheme="minorHAnsi" w:cstheme="minorBidi"/>
          <w:snapToGrid/>
          <w:vanish/>
          <w:sz w:val="24"/>
          <w:szCs w:val="24"/>
        </w:rPr>
      </w:pPr>
    </w:p>
    <w:p w:rsidR="002958EA" w:rsidRPr="003B355D" w:rsidRDefault="002958EA" w:rsidP="002958EA">
      <w:pPr>
        <w:pStyle w:val="ListParagraph"/>
        <w:widowControl/>
        <w:numPr>
          <w:ilvl w:val="0"/>
          <w:numId w:val="34"/>
        </w:numPr>
        <w:spacing w:before="120" w:after="160"/>
        <w:contextualSpacing w:val="0"/>
        <w:rPr>
          <w:rFonts w:asciiTheme="minorHAnsi" w:eastAsiaTheme="minorHAnsi" w:hAnsiTheme="minorHAnsi" w:cstheme="minorBidi"/>
          <w:snapToGrid/>
          <w:vanish/>
          <w:sz w:val="24"/>
          <w:szCs w:val="24"/>
        </w:rPr>
      </w:pPr>
    </w:p>
    <w:p w:rsidR="00137F8D" w:rsidRPr="003B355D" w:rsidRDefault="00137F8D" w:rsidP="002958EA">
      <w:pPr>
        <w:pStyle w:val="ESnumberedparablue"/>
        <w:numPr>
          <w:ilvl w:val="1"/>
          <w:numId w:val="34"/>
        </w:numPr>
        <w:rPr>
          <w:rFonts w:asciiTheme="minorHAnsi" w:hAnsiTheme="minorHAnsi"/>
          <w:color w:val="auto"/>
          <w:sz w:val="24"/>
          <w:szCs w:val="24"/>
        </w:rPr>
      </w:pPr>
      <w:r w:rsidRPr="003B355D">
        <w:rPr>
          <w:rFonts w:asciiTheme="minorHAnsi" w:hAnsiTheme="minorHAnsi"/>
          <w:color w:val="auto"/>
          <w:sz w:val="24"/>
          <w:szCs w:val="24"/>
        </w:rPr>
        <w:t xml:space="preserve">The submission is based on </w:t>
      </w:r>
      <w:r w:rsidR="00DE033C" w:rsidRPr="003B355D">
        <w:rPr>
          <w:rFonts w:asciiTheme="minorHAnsi" w:hAnsiTheme="minorHAnsi"/>
          <w:color w:val="auto"/>
          <w:sz w:val="24"/>
          <w:szCs w:val="24"/>
        </w:rPr>
        <w:t>one head-to-head direct cardiovascular outcomes trial</w:t>
      </w:r>
      <w:r w:rsidRPr="003B355D">
        <w:rPr>
          <w:rFonts w:asciiTheme="minorHAnsi" w:hAnsiTheme="minorHAnsi"/>
          <w:color w:val="auto"/>
          <w:sz w:val="24"/>
          <w:szCs w:val="24"/>
        </w:rPr>
        <w:t xml:space="preserve"> comparing </w:t>
      </w:r>
      <w:r w:rsidR="00DE033C" w:rsidRPr="003B355D">
        <w:rPr>
          <w:rFonts w:asciiTheme="minorHAnsi" w:hAnsiTheme="minorHAnsi"/>
          <w:color w:val="auto"/>
          <w:sz w:val="24"/>
          <w:szCs w:val="24"/>
        </w:rPr>
        <w:t>liraglutide</w:t>
      </w:r>
      <w:r w:rsidRPr="003B355D">
        <w:rPr>
          <w:rFonts w:asciiTheme="minorHAnsi" w:hAnsiTheme="minorHAnsi"/>
          <w:color w:val="auto"/>
          <w:sz w:val="24"/>
          <w:szCs w:val="24"/>
        </w:rPr>
        <w:t xml:space="preserve"> to </w:t>
      </w:r>
      <w:r w:rsidR="00DE033C" w:rsidRPr="003B355D">
        <w:rPr>
          <w:rFonts w:asciiTheme="minorHAnsi" w:hAnsiTheme="minorHAnsi"/>
          <w:color w:val="auto"/>
          <w:sz w:val="24"/>
          <w:szCs w:val="24"/>
        </w:rPr>
        <w:t>placebo</w:t>
      </w:r>
      <w:r w:rsidRPr="003B355D">
        <w:rPr>
          <w:rFonts w:asciiTheme="minorHAnsi" w:hAnsiTheme="minorHAnsi"/>
          <w:color w:val="auto"/>
          <w:sz w:val="24"/>
          <w:szCs w:val="24"/>
        </w:rPr>
        <w:t xml:space="preserve"> (</w:t>
      </w:r>
      <w:r w:rsidR="00432F4D" w:rsidRPr="003B355D">
        <w:rPr>
          <w:rFonts w:asciiTheme="minorHAnsi" w:hAnsiTheme="minorHAnsi"/>
          <w:color w:val="auto"/>
          <w:sz w:val="24"/>
          <w:szCs w:val="24"/>
        </w:rPr>
        <w:t>LEADER</w:t>
      </w:r>
      <w:r w:rsidRPr="003B355D">
        <w:rPr>
          <w:rFonts w:asciiTheme="minorHAnsi" w:hAnsiTheme="minorHAnsi"/>
          <w:color w:val="auto"/>
          <w:sz w:val="24"/>
          <w:szCs w:val="24"/>
        </w:rPr>
        <w:t>)</w:t>
      </w:r>
      <w:r w:rsidR="00DE033C" w:rsidRPr="003B355D">
        <w:rPr>
          <w:rFonts w:asciiTheme="minorHAnsi" w:hAnsiTheme="minorHAnsi"/>
          <w:color w:val="auto"/>
          <w:sz w:val="24"/>
          <w:szCs w:val="24"/>
        </w:rPr>
        <w:t>.</w:t>
      </w:r>
      <w:r w:rsidRPr="003B355D">
        <w:rPr>
          <w:rFonts w:asciiTheme="minorHAnsi" w:hAnsiTheme="minorHAnsi"/>
          <w:color w:val="auto"/>
          <w:sz w:val="24"/>
          <w:szCs w:val="24"/>
        </w:rPr>
        <w:t xml:space="preserve"> </w:t>
      </w:r>
      <w:r w:rsidR="005B7412" w:rsidRPr="003B355D">
        <w:rPr>
          <w:rFonts w:asciiTheme="minorHAnsi" w:hAnsiTheme="minorHAnsi"/>
          <w:color w:val="auto"/>
          <w:sz w:val="24"/>
          <w:szCs w:val="24"/>
        </w:rPr>
        <w:t xml:space="preserve"> </w:t>
      </w:r>
      <w:r w:rsidR="00240279" w:rsidRPr="003B355D">
        <w:rPr>
          <w:rFonts w:asciiTheme="minorHAnsi" w:hAnsiTheme="minorHAnsi"/>
          <w:color w:val="auto"/>
          <w:sz w:val="24"/>
          <w:szCs w:val="24"/>
        </w:rPr>
        <w:t>The ESC noted the LEADER trial was designed to examine cardiovascular safety rather than cardiovascular protective effect.</w:t>
      </w:r>
      <w:r w:rsidR="005B7412" w:rsidRPr="003B355D">
        <w:rPr>
          <w:rFonts w:asciiTheme="minorHAnsi" w:hAnsiTheme="minorHAnsi"/>
          <w:color w:val="auto"/>
          <w:sz w:val="24"/>
          <w:szCs w:val="24"/>
        </w:rPr>
        <w:t xml:space="preserve"> </w:t>
      </w:r>
    </w:p>
    <w:p w:rsidR="00137F8D" w:rsidRPr="003B355D" w:rsidRDefault="00137F8D" w:rsidP="002C3067">
      <w:pPr>
        <w:pStyle w:val="ESnumberedparablue"/>
        <w:numPr>
          <w:ilvl w:val="1"/>
          <w:numId w:val="34"/>
        </w:numPr>
        <w:rPr>
          <w:rFonts w:asciiTheme="minorHAnsi" w:hAnsiTheme="minorHAnsi"/>
          <w:color w:val="auto"/>
          <w:sz w:val="24"/>
          <w:szCs w:val="24"/>
        </w:rPr>
      </w:pPr>
      <w:r w:rsidRPr="003B355D">
        <w:rPr>
          <w:rFonts w:asciiTheme="minorHAnsi" w:hAnsiTheme="minorHAnsi"/>
          <w:color w:val="auto"/>
          <w:sz w:val="24"/>
          <w:szCs w:val="24"/>
        </w:rPr>
        <w:t>Details of the trials presented in the submission are provided in the table below.</w:t>
      </w:r>
    </w:p>
    <w:p w:rsidR="00D453F1" w:rsidRDefault="00D453F1" w:rsidP="00D453F1">
      <w:pPr>
        <w:pStyle w:val="Caption"/>
      </w:pPr>
      <w:r>
        <w:t xml:space="preserve">Table </w:t>
      </w:r>
      <w:r>
        <w:rPr>
          <w:noProof/>
        </w:rPr>
        <w:t>3</w:t>
      </w:r>
      <w:r w:rsidRPr="00740104">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46"/>
        <w:gridCol w:w="5246"/>
        <w:gridCol w:w="2390"/>
      </w:tblGrid>
      <w:tr w:rsidR="00137F8D" w:rsidRPr="003B355D" w:rsidTr="000661C9">
        <w:trPr>
          <w:tblHeader/>
        </w:trPr>
        <w:tc>
          <w:tcPr>
            <w:tcW w:w="796" w:type="pct"/>
          </w:tcPr>
          <w:p w:rsidR="00137F8D" w:rsidRPr="003B355D" w:rsidRDefault="00137F8D" w:rsidP="00F30FCD">
            <w:pPr>
              <w:pStyle w:val="TableText1"/>
              <w:jc w:val="left"/>
              <w:rPr>
                <w:b/>
              </w:rPr>
            </w:pPr>
            <w:r w:rsidRPr="003B355D">
              <w:rPr>
                <w:b/>
              </w:rPr>
              <w:t>Trial ID/First Author</w:t>
            </w:r>
          </w:p>
        </w:tc>
        <w:tc>
          <w:tcPr>
            <w:tcW w:w="2888" w:type="pct"/>
          </w:tcPr>
          <w:p w:rsidR="00137F8D" w:rsidRPr="003B355D" w:rsidRDefault="00137F8D" w:rsidP="00F30FCD">
            <w:pPr>
              <w:pStyle w:val="TableText1"/>
              <w:jc w:val="left"/>
              <w:rPr>
                <w:b/>
              </w:rPr>
            </w:pPr>
            <w:r w:rsidRPr="003B355D">
              <w:rPr>
                <w:b/>
              </w:rPr>
              <w:t>Protocol title/ Publication title</w:t>
            </w:r>
          </w:p>
        </w:tc>
        <w:tc>
          <w:tcPr>
            <w:tcW w:w="1316" w:type="pct"/>
          </w:tcPr>
          <w:p w:rsidR="00137F8D" w:rsidRPr="003B355D" w:rsidRDefault="00137F8D" w:rsidP="00F30FCD">
            <w:pPr>
              <w:pStyle w:val="TableText1"/>
              <w:jc w:val="left"/>
              <w:rPr>
                <w:b/>
              </w:rPr>
            </w:pPr>
            <w:r w:rsidRPr="003B355D">
              <w:rPr>
                <w:b/>
              </w:rPr>
              <w:t>Publication citation</w:t>
            </w:r>
          </w:p>
        </w:tc>
      </w:tr>
      <w:tr w:rsidR="00137F8D" w:rsidRPr="003B355D" w:rsidTr="00E94275">
        <w:tc>
          <w:tcPr>
            <w:tcW w:w="5000" w:type="pct"/>
            <w:gridSpan w:val="3"/>
          </w:tcPr>
          <w:p w:rsidR="00137F8D" w:rsidRPr="003B355D" w:rsidRDefault="00F30FCD" w:rsidP="00E94275">
            <w:pPr>
              <w:pStyle w:val="TableText1"/>
              <w:rPr>
                <w:b/>
              </w:rPr>
            </w:pPr>
            <w:r w:rsidRPr="003B355D">
              <w:rPr>
                <w:b/>
              </w:rPr>
              <w:t>Direct randomised trials</w:t>
            </w:r>
          </w:p>
        </w:tc>
      </w:tr>
      <w:tr w:rsidR="00F30FCD" w:rsidRPr="003B355D" w:rsidTr="000661C9">
        <w:trPr>
          <w:trHeight w:val="1270"/>
        </w:trPr>
        <w:tc>
          <w:tcPr>
            <w:tcW w:w="796" w:type="pct"/>
          </w:tcPr>
          <w:p w:rsidR="00F30FCD" w:rsidRPr="003B355D" w:rsidRDefault="00F30FCD" w:rsidP="00F30FCD">
            <w:pPr>
              <w:pStyle w:val="TableText1"/>
              <w:jc w:val="left"/>
              <w:rPr>
                <w:rFonts w:ascii="Times" w:eastAsia="Times New Roman" w:hAnsi="Times" w:cs="Times New Roman"/>
              </w:rPr>
            </w:pPr>
            <w:r w:rsidRPr="003B355D">
              <w:t>LEADER</w:t>
            </w:r>
          </w:p>
        </w:tc>
        <w:tc>
          <w:tcPr>
            <w:tcW w:w="2888" w:type="pct"/>
          </w:tcPr>
          <w:p w:rsidR="00F30FCD" w:rsidRPr="003B355D" w:rsidRDefault="00F30FCD" w:rsidP="00F30FCD">
            <w:pPr>
              <w:pStyle w:val="TableText1"/>
              <w:jc w:val="left"/>
            </w:pPr>
            <w:r w:rsidRPr="003B355D">
              <w:rPr>
                <w:bCs/>
              </w:rPr>
              <w:t>Liraglutide effect and action in diabetes: evaluation of cardiovascular outcome results</w:t>
            </w:r>
            <w:r w:rsidR="00432F4D" w:rsidRPr="003B355D">
              <w:rPr>
                <w:bCs/>
              </w:rPr>
              <w:t xml:space="preserve"> (LEADER)</w:t>
            </w:r>
            <w:r w:rsidRPr="003B355D">
              <w:rPr>
                <w:bCs/>
              </w:rPr>
              <w:t>. A long-term, multi-centre, international, randomised double-blind, placebo-controlled trial to determine liraglutide effects on cardiovascular events</w:t>
            </w:r>
            <w:r w:rsidRPr="003B355D">
              <w:t>. (NCT01179048)</w:t>
            </w:r>
          </w:p>
          <w:p w:rsidR="00F30FCD" w:rsidRPr="003B355D" w:rsidRDefault="00F30FCD" w:rsidP="00F30FCD">
            <w:pPr>
              <w:pStyle w:val="TableText1"/>
              <w:jc w:val="left"/>
              <w:rPr>
                <w:rFonts w:ascii="Times" w:eastAsia="Times New Roman" w:hAnsi="Times" w:cs="Times New Roman"/>
              </w:rPr>
            </w:pPr>
            <w:proofErr w:type="spellStart"/>
            <w:r w:rsidRPr="003B355D">
              <w:t>Marso</w:t>
            </w:r>
            <w:proofErr w:type="spellEnd"/>
            <w:r w:rsidRPr="003B355D">
              <w:t>, S.P., et al. Liraglutide and Cardiovascular Outcomes in Type 2 Diabetes</w:t>
            </w:r>
          </w:p>
        </w:tc>
        <w:tc>
          <w:tcPr>
            <w:tcW w:w="1316" w:type="pct"/>
          </w:tcPr>
          <w:p w:rsidR="00F30FCD" w:rsidRPr="003B355D" w:rsidRDefault="00F30FCD" w:rsidP="00F30FCD">
            <w:pPr>
              <w:pStyle w:val="TableText1"/>
              <w:spacing w:before="0" w:after="0"/>
              <w:jc w:val="left"/>
              <w:rPr>
                <w:bCs/>
              </w:rPr>
            </w:pPr>
            <w:r w:rsidRPr="003B355D">
              <w:rPr>
                <w:bCs/>
              </w:rPr>
              <w:t>Date 29 August 2016</w:t>
            </w:r>
          </w:p>
          <w:p w:rsidR="00F30FCD" w:rsidRPr="003B355D" w:rsidRDefault="00F30FCD" w:rsidP="00F30FCD">
            <w:pPr>
              <w:pStyle w:val="TableText1"/>
              <w:spacing w:before="0" w:after="0"/>
              <w:jc w:val="left"/>
              <w:rPr>
                <w:bCs/>
              </w:rPr>
            </w:pPr>
          </w:p>
          <w:p w:rsidR="00F30FCD" w:rsidRPr="003B355D" w:rsidRDefault="00F30FCD" w:rsidP="00F30FCD">
            <w:pPr>
              <w:pStyle w:val="TableText1"/>
              <w:spacing w:before="0" w:after="0"/>
              <w:jc w:val="left"/>
              <w:rPr>
                <w:bCs/>
              </w:rPr>
            </w:pPr>
          </w:p>
          <w:p w:rsidR="00F30FCD" w:rsidRPr="003B355D" w:rsidRDefault="00F30FCD" w:rsidP="00F30FCD">
            <w:pPr>
              <w:pStyle w:val="TableText1"/>
              <w:spacing w:before="0" w:after="0"/>
              <w:jc w:val="left"/>
              <w:rPr>
                <w:bCs/>
              </w:rPr>
            </w:pPr>
          </w:p>
          <w:p w:rsidR="00F30FCD" w:rsidRPr="003B355D" w:rsidRDefault="00F30FCD" w:rsidP="00F30FCD">
            <w:pPr>
              <w:pStyle w:val="TableText1"/>
              <w:jc w:val="left"/>
              <w:rPr>
                <w:rFonts w:ascii="Times" w:eastAsia="Times New Roman" w:hAnsi="Times" w:cs="Times New Roman"/>
              </w:rPr>
            </w:pPr>
            <w:r w:rsidRPr="003B355D">
              <w:rPr>
                <w:i/>
              </w:rPr>
              <w:t>New England Journal of Medicine</w:t>
            </w:r>
            <w:r w:rsidRPr="003B355D">
              <w:t xml:space="preserve"> 2016; 375(4): 311-322</w:t>
            </w:r>
          </w:p>
        </w:tc>
      </w:tr>
      <w:tr w:rsidR="00F30FCD" w:rsidRPr="003B355D" w:rsidTr="000661C9">
        <w:tc>
          <w:tcPr>
            <w:tcW w:w="796" w:type="pct"/>
          </w:tcPr>
          <w:p w:rsidR="00F30FCD" w:rsidRPr="003B355D" w:rsidRDefault="00F30FCD" w:rsidP="00F30FCD">
            <w:pPr>
              <w:pStyle w:val="TableText1"/>
              <w:jc w:val="left"/>
              <w:rPr>
                <w:rFonts w:ascii="Times" w:eastAsia="Times New Roman" w:hAnsi="Times" w:cs="Times New Roman"/>
              </w:rPr>
            </w:pPr>
            <w:r w:rsidRPr="003B355D">
              <w:t xml:space="preserve">FREEDOM-CVO </w:t>
            </w:r>
          </w:p>
        </w:tc>
        <w:tc>
          <w:tcPr>
            <w:tcW w:w="2888" w:type="pct"/>
          </w:tcPr>
          <w:p w:rsidR="00F30FCD" w:rsidRPr="003B355D" w:rsidRDefault="00F30FCD" w:rsidP="00F30FCD">
            <w:pPr>
              <w:pStyle w:val="TableText1"/>
              <w:jc w:val="left"/>
              <w:rPr>
                <w:rFonts w:ascii="Times" w:eastAsia="Times New Roman" w:hAnsi="Times" w:cs="Times New Roman"/>
              </w:rPr>
            </w:pPr>
            <w:r w:rsidRPr="003B355D">
              <w:t xml:space="preserve">Press release: </w:t>
            </w:r>
            <w:r w:rsidRPr="002578F9">
              <w:t>http://www.intarcia.com/media/press-releases/2016-may-6-cardiovascular-safety.html</w:t>
            </w:r>
            <w:r w:rsidRPr="003B355D">
              <w:t xml:space="preserve"> (NCT01455896)</w:t>
            </w:r>
          </w:p>
        </w:tc>
        <w:tc>
          <w:tcPr>
            <w:tcW w:w="1316" w:type="pct"/>
          </w:tcPr>
          <w:p w:rsidR="00F30FCD" w:rsidRPr="003B355D" w:rsidRDefault="00F30FCD" w:rsidP="00F30FCD">
            <w:pPr>
              <w:pStyle w:val="TableText1"/>
              <w:jc w:val="left"/>
              <w:rPr>
                <w:rFonts w:ascii="Times" w:eastAsia="Times New Roman" w:hAnsi="Times" w:cs="Times New Roman"/>
              </w:rPr>
            </w:pPr>
            <w:r w:rsidRPr="003B355D">
              <w:t>Unpublished</w:t>
            </w:r>
          </w:p>
        </w:tc>
      </w:tr>
    </w:tbl>
    <w:p w:rsidR="00137F8D" w:rsidRPr="003B355D" w:rsidRDefault="00F30FCD" w:rsidP="00CC0881">
      <w:pPr>
        <w:pStyle w:val="TableFooter"/>
        <w:spacing w:after="240"/>
        <w:contextualSpacing/>
      </w:pPr>
      <w:r w:rsidRPr="003B355D">
        <w:t>Source: Table B.2.4, p.58 of the submission</w:t>
      </w:r>
    </w:p>
    <w:p w:rsidR="00B540CE" w:rsidRPr="003B355D" w:rsidRDefault="005B7412" w:rsidP="00B540CE">
      <w:pPr>
        <w:pStyle w:val="ESnumberedparablue"/>
        <w:numPr>
          <w:ilvl w:val="1"/>
          <w:numId w:val="34"/>
        </w:numPr>
        <w:rPr>
          <w:rFonts w:asciiTheme="minorHAnsi" w:hAnsiTheme="minorHAnsi"/>
          <w:color w:val="auto"/>
          <w:sz w:val="24"/>
          <w:szCs w:val="24"/>
        </w:rPr>
      </w:pPr>
      <w:r w:rsidRPr="003B355D">
        <w:rPr>
          <w:rFonts w:asciiTheme="minorHAnsi" w:hAnsiTheme="minorHAnsi"/>
          <w:color w:val="auto"/>
          <w:sz w:val="24"/>
          <w:szCs w:val="24"/>
        </w:rPr>
        <w:t xml:space="preserve">The submission identified one potentially relevant unpublished exenatide trial (FREEDOM-CVO), but results were </w:t>
      </w:r>
      <w:r w:rsidR="00477670" w:rsidRPr="003B355D">
        <w:rPr>
          <w:rFonts w:asciiTheme="minorHAnsi" w:hAnsiTheme="minorHAnsi"/>
          <w:color w:val="auto"/>
          <w:sz w:val="24"/>
          <w:szCs w:val="24"/>
        </w:rPr>
        <w:t xml:space="preserve">not </w:t>
      </w:r>
      <w:r w:rsidRPr="003B355D">
        <w:rPr>
          <w:rFonts w:asciiTheme="minorHAnsi" w:hAnsiTheme="minorHAnsi"/>
          <w:color w:val="auto"/>
          <w:sz w:val="24"/>
          <w:szCs w:val="24"/>
        </w:rPr>
        <w:t>available</w:t>
      </w:r>
      <w:r w:rsidR="00477670" w:rsidRPr="003B355D">
        <w:rPr>
          <w:rFonts w:asciiTheme="minorHAnsi" w:hAnsiTheme="minorHAnsi"/>
          <w:color w:val="auto"/>
          <w:sz w:val="24"/>
          <w:szCs w:val="24"/>
        </w:rPr>
        <w:t xml:space="preserve"> and the trial used an experimental formulation of exenatide</w:t>
      </w:r>
      <w:r w:rsidR="009F40CF" w:rsidRPr="003B355D">
        <w:rPr>
          <w:rFonts w:asciiTheme="minorHAnsi" w:hAnsiTheme="minorHAnsi"/>
          <w:color w:val="auto"/>
          <w:sz w:val="24"/>
          <w:szCs w:val="24"/>
        </w:rPr>
        <w:t xml:space="preserve"> (ITCA 650)</w:t>
      </w:r>
      <w:r w:rsidR="00477670" w:rsidRPr="003B355D">
        <w:rPr>
          <w:rFonts w:asciiTheme="minorHAnsi" w:hAnsiTheme="minorHAnsi"/>
          <w:color w:val="auto"/>
          <w:sz w:val="24"/>
          <w:szCs w:val="24"/>
        </w:rPr>
        <w:t xml:space="preserve"> not available Australia</w:t>
      </w:r>
      <w:r w:rsidRPr="003B355D">
        <w:rPr>
          <w:rFonts w:asciiTheme="minorHAnsi" w:hAnsiTheme="minorHAnsi"/>
          <w:color w:val="auto"/>
          <w:sz w:val="24"/>
          <w:szCs w:val="24"/>
        </w:rPr>
        <w:t>. The literature review also identified the exenatide EXSCEL cardiovascular outcomes trial, but this trial</w:t>
      </w:r>
      <w:r w:rsidR="00432F4D" w:rsidRPr="003B355D">
        <w:rPr>
          <w:rFonts w:asciiTheme="minorHAnsi" w:hAnsiTheme="minorHAnsi"/>
          <w:color w:val="auto"/>
          <w:sz w:val="24"/>
          <w:szCs w:val="24"/>
        </w:rPr>
        <w:t xml:space="preserve"> is yet to be</w:t>
      </w:r>
      <w:r w:rsidRPr="003B355D">
        <w:rPr>
          <w:rFonts w:asciiTheme="minorHAnsi" w:hAnsiTheme="minorHAnsi"/>
          <w:color w:val="auto"/>
          <w:sz w:val="24"/>
          <w:szCs w:val="24"/>
        </w:rPr>
        <w:t xml:space="preserve"> completed.</w:t>
      </w:r>
      <w:r w:rsidR="0092416F" w:rsidRPr="003B355D">
        <w:rPr>
          <w:rFonts w:asciiTheme="minorHAnsi" w:hAnsiTheme="minorHAnsi"/>
          <w:color w:val="auto"/>
          <w:sz w:val="24"/>
          <w:szCs w:val="24"/>
        </w:rPr>
        <w:t xml:space="preserve"> The ESC noted the FREEDOM-CVO trial appeared to be designed </w:t>
      </w:r>
      <w:r w:rsidR="00B1145C">
        <w:rPr>
          <w:rFonts w:asciiTheme="minorHAnsi" w:hAnsiTheme="minorHAnsi"/>
          <w:color w:val="auto"/>
          <w:sz w:val="24"/>
          <w:szCs w:val="24"/>
        </w:rPr>
        <w:t>to assess</w:t>
      </w:r>
      <w:r w:rsidR="00B1145C" w:rsidRPr="003B355D">
        <w:rPr>
          <w:rFonts w:asciiTheme="minorHAnsi" w:hAnsiTheme="minorHAnsi"/>
          <w:color w:val="auto"/>
          <w:sz w:val="24"/>
          <w:szCs w:val="24"/>
        </w:rPr>
        <w:t xml:space="preserve"> </w:t>
      </w:r>
      <w:r w:rsidR="0092416F" w:rsidRPr="003B355D">
        <w:rPr>
          <w:rFonts w:asciiTheme="minorHAnsi" w:hAnsiTheme="minorHAnsi"/>
          <w:color w:val="auto"/>
          <w:sz w:val="24"/>
          <w:szCs w:val="24"/>
        </w:rPr>
        <w:t xml:space="preserve">cardiovascular safety rather </w:t>
      </w:r>
      <w:r w:rsidR="00B1145C" w:rsidRPr="003B355D">
        <w:rPr>
          <w:rFonts w:asciiTheme="minorHAnsi" w:hAnsiTheme="minorHAnsi"/>
          <w:color w:val="auto"/>
          <w:sz w:val="24"/>
          <w:szCs w:val="24"/>
        </w:rPr>
        <w:t>tha</w:t>
      </w:r>
      <w:r w:rsidR="00B1145C">
        <w:rPr>
          <w:rFonts w:asciiTheme="minorHAnsi" w:hAnsiTheme="minorHAnsi"/>
          <w:color w:val="auto"/>
          <w:sz w:val="24"/>
          <w:szCs w:val="24"/>
        </w:rPr>
        <w:t>n</w:t>
      </w:r>
      <w:r w:rsidR="00B1145C" w:rsidRPr="003B355D">
        <w:rPr>
          <w:rFonts w:asciiTheme="minorHAnsi" w:hAnsiTheme="minorHAnsi"/>
          <w:color w:val="auto"/>
          <w:sz w:val="24"/>
          <w:szCs w:val="24"/>
        </w:rPr>
        <w:t xml:space="preserve"> </w:t>
      </w:r>
      <w:r w:rsidR="0092416F" w:rsidRPr="003B355D">
        <w:rPr>
          <w:rFonts w:asciiTheme="minorHAnsi" w:hAnsiTheme="minorHAnsi"/>
          <w:color w:val="auto"/>
          <w:sz w:val="24"/>
          <w:szCs w:val="24"/>
        </w:rPr>
        <w:t>cardiovascular protective effect.</w:t>
      </w:r>
    </w:p>
    <w:p w:rsidR="00220994" w:rsidRPr="003B355D" w:rsidRDefault="00220994" w:rsidP="002C3067">
      <w:pPr>
        <w:pStyle w:val="ESnumberedparablue"/>
        <w:numPr>
          <w:ilvl w:val="1"/>
          <w:numId w:val="34"/>
        </w:numPr>
        <w:rPr>
          <w:rFonts w:asciiTheme="minorHAnsi" w:hAnsiTheme="minorHAnsi"/>
          <w:color w:val="auto"/>
          <w:sz w:val="24"/>
          <w:szCs w:val="24"/>
        </w:rPr>
      </w:pPr>
      <w:r w:rsidRPr="003B355D">
        <w:rPr>
          <w:rFonts w:asciiTheme="minorHAnsi" w:hAnsiTheme="minorHAnsi"/>
          <w:color w:val="auto"/>
          <w:sz w:val="24"/>
          <w:szCs w:val="24"/>
        </w:rPr>
        <w:t>On the basis of a press release stating that the experimental formulation of exenatide</w:t>
      </w:r>
      <w:r w:rsidRPr="003B355D">
        <w:rPr>
          <w:rFonts w:asciiTheme="minorHAnsi" w:hAnsiTheme="minorHAnsi"/>
          <w:iCs/>
          <w:color w:val="auto"/>
          <w:sz w:val="24"/>
          <w:szCs w:val="24"/>
        </w:rPr>
        <w:t xml:space="preserve"> demonstrated non</w:t>
      </w:r>
      <w:r w:rsidR="003B355D">
        <w:rPr>
          <w:rFonts w:asciiTheme="minorHAnsi" w:hAnsiTheme="minorHAnsi"/>
          <w:iCs/>
          <w:color w:val="auto"/>
          <w:sz w:val="24"/>
          <w:szCs w:val="24"/>
        </w:rPr>
        <w:t>-</w:t>
      </w:r>
      <w:r w:rsidRPr="003B355D">
        <w:rPr>
          <w:rFonts w:asciiTheme="minorHAnsi" w:hAnsiTheme="minorHAnsi"/>
          <w:iCs/>
          <w:color w:val="auto"/>
          <w:sz w:val="24"/>
          <w:szCs w:val="24"/>
        </w:rPr>
        <w:t>inferior cardiovascular safety compared to placebo</w:t>
      </w:r>
      <w:r w:rsidRPr="003B355D">
        <w:rPr>
          <w:rFonts w:asciiTheme="minorHAnsi" w:hAnsiTheme="minorHAnsi"/>
          <w:color w:val="auto"/>
          <w:sz w:val="24"/>
          <w:szCs w:val="24"/>
        </w:rPr>
        <w:t xml:space="preserve"> in the FREEDOM-CVO trial</w:t>
      </w:r>
      <w:r w:rsidRPr="003B355D">
        <w:rPr>
          <w:rFonts w:asciiTheme="minorHAnsi" w:hAnsiTheme="minorHAnsi"/>
          <w:iCs/>
          <w:color w:val="auto"/>
          <w:sz w:val="24"/>
          <w:szCs w:val="24"/>
        </w:rPr>
        <w:t xml:space="preserve">, </w:t>
      </w:r>
      <w:r w:rsidRPr="003B355D">
        <w:rPr>
          <w:rFonts w:asciiTheme="minorHAnsi" w:hAnsiTheme="minorHAnsi"/>
          <w:color w:val="auto"/>
          <w:sz w:val="24"/>
          <w:szCs w:val="24"/>
        </w:rPr>
        <w:t>the placebo arm of the LEADER trial was used as a proxy for exenatide treatment effects in the clinical comparison and the economic analysis of the submission.</w:t>
      </w:r>
    </w:p>
    <w:p w:rsidR="005B7412" w:rsidRPr="003B355D" w:rsidRDefault="00220994" w:rsidP="002C3067">
      <w:pPr>
        <w:pStyle w:val="ESnumberedparablue"/>
        <w:numPr>
          <w:ilvl w:val="1"/>
          <w:numId w:val="34"/>
        </w:numPr>
        <w:rPr>
          <w:rFonts w:asciiTheme="minorHAnsi" w:hAnsiTheme="minorHAnsi"/>
          <w:color w:val="auto"/>
          <w:sz w:val="24"/>
          <w:szCs w:val="24"/>
        </w:rPr>
      </w:pPr>
      <w:r w:rsidRPr="003B355D">
        <w:rPr>
          <w:rFonts w:asciiTheme="minorHAnsi" w:hAnsiTheme="minorHAnsi"/>
          <w:color w:val="auto"/>
          <w:sz w:val="24"/>
          <w:szCs w:val="24"/>
        </w:rPr>
        <w:t>The inclusion of FREEDOM-CVO was not appropriate, given this formulation is not used in current clinical practice and no evidence of the comparative efficacy and safety of ITCA 650 versus placebo or versus exenatide twice daily and once weekly was provided. The assumption that exenatide provides no additional reduction in cardiovascular risk in Type 2 diabetes compared to placebo was inadequately supported, and the use of the LEADER placebo arm as a proxy for an exenatide treatment arm was not appropriate.</w:t>
      </w:r>
      <w:r w:rsidR="00EE40DF" w:rsidRPr="003B355D">
        <w:rPr>
          <w:rFonts w:asciiTheme="minorHAnsi" w:hAnsiTheme="minorHAnsi"/>
          <w:color w:val="auto"/>
          <w:sz w:val="24"/>
          <w:szCs w:val="24"/>
        </w:rPr>
        <w:t xml:space="preserve"> The r</w:t>
      </w:r>
      <w:r w:rsidR="005B7412" w:rsidRPr="003B355D">
        <w:rPr>
          <w:rFonts w:asciiTheme="minorHAnsi" w:hAnsiTheme="minorHAnsi"/>
          <w:color w:val="auto"/>
          <w:sz w:val="24"/>
          <w:szCs w:val="24"/>
        </w:rPr>
        <w:t xml:space="preserve">esults </w:t>
      </w:r>
      <w:r w:rsidR="00432F4D" w:rsidRPr="003B355D">
        <w:rPr>
          <w:rFonts w:asciiTheme="minorHAnsi" w:hAnsiTheme="minorHAnsi"/>
          <w:color w:val="auto"/>
          <w:sz w:val="24"/>
          <w:szCs w:val="24"/>
        </w:rPr>
        <w:t xml:space="preserve">of the placebo comparison were </w:t>
      </w:r>
      <w:r w:rsidR="005B7412" w:rsidRPr="003B355D">
        <w:rPr>
          <w:rFonts w:asciiTheme="minorHAnsi" w:hAnsiTheme="minorHAnsi"/>
          <w:color w:val="auto"/>
          <w:sz w:val="24"/>
          <w:szCs w:val="24"/>
        </w:rPr>
        <w:t>evaluated in the commentary.</w:t>
      </w:r>
    </w:p>
    <w:p w:rsidR="00137F8D" w:rsidRPr="003B355D" w:rsidRDefault="00137F8D" w:rsidP="002C3067">
      <w:pPr>
        <w:pStyle w:val="ESnumberedpara"/>
        <w:numPr>
          <w:ilvl w:val="1"/>
          <w:numId w:val="34"/>
        </w:numPr>
        <w:rPr>
          <w:rFonts w:asciiTheme="minorHAnsi" w:hAnsiTheme="minorHAnsi"/>
          <w:sz w:val="24"/>
          <w:szCs w:val="24"/>
        </w:rPr>
      </w:pPr>
      <w:r w:rsidRPr="003B355D">
        <w:rPr>
          <w:rFonts w:asciiTheme="minorHAnsi" w:hAnsiTheme="minorHAnsi"/>
          <w:sz w:val="24"/>
          <w:szCs w:val="24"/>
        </w:rPr>
        <w:t>The key features</w:t>
      </w:r>
      <w:r w:rsidR="00432F4D" w:rsidRPr="003B355D">
        <w:rPr>
          <w:rFonts w:asciiTheme="minorHAnsi" w:hAnsiTheme="minorHAnsi"/>
          <w:sz w:val="24"/>
          <w:szCs w:val="24"/>
        </w:rPr>
        <w:t xml:space="preserve"> of the direct randomised trial</w:t>
      </w:r>
      <w:r w:rsidRPr="003B355D">
        <w:rPr>
          <w:rFonts w:asciiTheme="minorHAnsi" w:hAnsiTheme="minorHAnsi"/>
          <w:sz w:val="24"/>
          <w:szCs w:val="24"/>
        </w:rPr>
        <w:t xml:space="preserve">s are summarised in the table below. </w:t>
      </w:r>
    </w:p>
    <w:p w:rsidR="00D453F1" w:rsidRDefault="00D453F1" w:rsidP="00D453F1">
      <w:pPr>
        <w:pStyle w:val="Caption"/>
      </w:pPr>
      <w:r>
        <w:lastRenderedPageBreak/>
        <w:t xml:space="preserve">Table </w:t>
      </w:r>
      <w:r>
        <w:rPr>
          <w:noProof/>
        </w:rPr>
        <w:t>4</w:t>
      </w:r>
      <w:r w:rsidRPr="00D72265">
        <w:t>: Key features of the included evidence, liraglutide (once daily) versus exenatide 10 µg (twice weekly)</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05"/>
        <w:gridCol w:w="1011"/>
        <w:gridCol w:w="566"/>
        <w:gridCol w:w="2239"/>
        <w:gridCol w:w="596"/>
        <w:gridCol w:w="1419"/>
        <w:gridCol w:w="1328"/>
        <w:gridCol w:w="943"/>
      </w:tblGrid>
      <w:tr w:rsidR="00477670" w:rsidRPr="003B355D" w:rsidTr="00432F4D">
        <w:tc>
          <w:tcPr>
            <w:tcW w:w="552" w:type="pct"/>
            <w:shd w:val="clear" w:color="auto" w:fill="auto"/>
            <w:vAlign w:val="center"/>
          </w:tcPr>
          <w:p w:rsidR="00477670" w:rsidRPr="003B355D" w:rsidRDefault="00477670" w:rsidP="00432F4D">
            <w:pPr>
              <w:pStyle w:val="TableText1"/>
              <w:rPr>
                <w:b/>
                <w:szCs w:val="20"/>
              </w:rPr>
            </w:pPr>
            <w:r w:rsidRPr="003B355D">
              <w:rPr>
                <w:b/>
                <w:szCs w:val="20"/>
              </w:rPr>
              <w:t>Trial</w:t>
            </w:r>
          </w:p>
        </w:tc>
        <w:tc>
          <w:tcPr>
            <w:tcW w:w="555" w:type="pct"/>
            <w:shd w:val="clear" w:color="auto" w:fill="auto"/>
            <w:vAlign w:val="center"/>
          </w:tcPr>
          <w:p w:rsidR="00477670" w:rsidRPr="003B355D" w:rsidRDefault="00477670" w:rsidP="00432F4D">
            <w:pPr>
              <w:pStyle w:val="TableText1"/>
              <w:jc w:val="center"/>
              <w:rPr>
                <w:b/>
                <w:szCs w:val="20"/>
              </w:rPr>
            </w:pPr>
            <w:r w:rsidRPr="003B355D">
              <w:rPr>
                <w:b/>
                <w:szCs w:val="20"/>
              </w:rPr>
              <w:t>Design/ duration of follow-up</w:t>
            </w:r>
          </w:p>
        </w:tc>
        <w:tc>
          <w:tcPr>
            <w:tcW w:w="311" w:type="pct"/>
            <w:tcBorders>
              <w:bottom w:val="single" w:sz="4" w:space="0" w:color="auto"/>
            </w:tcBorders>
            <w:shd w:val="clear" w:color="auto" w:fill="auto"/>
            <w:vAlign w:val="center"/>
          </w:tcPr>
          <w:p w:rsidR="00477670" w:rsidRPr="003B355D" w:rsidRDefault="00477670" w:rsidP="00432F4D">
            <w:pPr>
              <w:pStyle w:val="TableText1"/>
              <w:jc w:val="center"/>
              <w:rPr>
                <w:b/>
                <w:szCs w:val="20"/>
              </w:rPr>
            </w:pPr>
            <w:r w:rsidRPr="003B355D">
              <w:rPr>
                <w:b/>
                <w:szCs w:val="20"/>
              </w:rPr>
              <w:t>N</w:t>
            </w:r>
          </w:p>
        </w:tc>
        <w:tc>
          <w:tcPr>
            <w:tcW w:w="1229" w:type="pct"/>
            <w:tcBorders>
              <w:bottom w:val="single" w:sz="4" w:space="0" w:color="auto"/>
            </w:tcBorders>
            <w:shd w:val="clear" w:color="auto" w:fill="auto"/>
            <w:vAlign w:val="center"/>
          </w:tcPr>
          <w:p w:rsidR="00477670" w:rsidRPr="003B355D" w:rsidRDefault="00477670" w:rsidP="00432F4D">
            <w:pPr>
              <w:pStyle w:val="TableText1"/>
              <w:jc w:val="center"/>
              <w:rPr>
                <w:b/>
                <w:szCs w:val="20"/>
              </w:rPr>
            </w:pPr>
            <w:r w:rsidRPr="003B355D">
              <w:rPr>
                <w:b/>
                <w:szCs w:val="20"/>
              </w:rPr>
              <w:t>Compared interventions</w:t>
            </w:r>
          </w:p>
        </w:tc>
        <w:tc>
          <w:tcPr>
            <w:tcW w:w="327" w:type="pct"/>
            <w:vAlign w:val="center"/>
          </w:tcPr>
          <w:p w:rsidR="00477670" w:rsidRPr="003B355D" w:rsidRDefault="00477670" w:rsidP="00432F4D">
            <w:pPr>
              <w:pStyle w:val="TableText1"/>
              <w:jc w:val="center"/>
              <w:rPr>
                <w:b/>
                <w:szCs w:val="20"/>
              </w:rPr>
            </w:pPr>
            <w:r w:rsidRPr="003B355D">
              <w:rPr>
                <w:b/>
                <w:szCs w:val="20"/>
              </w:rPr>
              <w:t>Risk of bias</w:t>
            </w:r>
          </w:p>
        </w:tc>
        <w:tc>
          <w:tcPr>
            <w:tcW w:w="779" w:type="pct"/>
            <w:shd w:val="clear" w:color="auto" w:fill="auto"/>
            <w:vAlign w:val="center"/>
          </w:tcPr>
          <w:p w:rsidR="00477670" w:rsidRPr="003B355D" w:rsidRDefault="00477670" w:rsidP="00432F4D">
            <w:pPr>
              <w:pStyle w:val="TableText1"/>
              <w:jc w:val="center"/>
              <w:rPr>
                <w:b/>
                <w:szCs w:val="20"/>
              </w:rPr>
            </w:pPr>
            <w:r w:rsidRPr="003B355D">
              <w:rPr>
                <w:b/>
                <w:szCs w:val="20"/>
              </w:rPr>
              <w:t>Patient population</w:t>
            </w:r>
          </w:p>
        </w:tc>
        <w:tc>
          <w:tcPr>
            <w:tcW w:w="729" w:type="pct"/>
            <w:shd w:val="clear" w:color="auto" w:fill="auto"/>
            <w:vAlign w:val="center"/>
          </w:tcPr>
          <w:p w:rsidR="00477670" w:rsidRPr="003B355D" w:rsidRDefault="00477670" w:rsidP="00432F4D">
            <w:pPr>
              <w:pStyle w:val="TableText1"/>
              <w:jc w:val="center"/>
              <w:rPr>
                <w:b/>
                <w:szCs w:val="20"/>
              </w:rPr>
            </w:pPr>
            <w:r w:rsidRPr="003B355D">
              <w:rPr>
                <w:b/>
                <w:szCs w:val="20"/>
              </w:rPr>
              <w:t>Outcomes</w:t>
            </w:r>
          </w:p>
        </w:tc>
        <w:tc>
          <w:tcPr>
            <w:tcW w:w="518" w:type="pct"/>
            <w:shd w:val="clear" w:color="auto" w:fill="auto"/>
            <w:vAlign w:val="center"/>
          </w:tcPr>
          <w:p w:rsidR="00477670" w:rsidRPr="003B355D" w:rsidRDefault="00477670" w:rsidP="00432F4D">
            <w:pPr>
              <w:pStyle w:val="TableText1"/>
              <w:jc w:val="center"/>
              <w:rPr>
                <w:b/>
                <w:szCs w:val="20"/>
              </w:rPr>
            </w:pPr>
            <w:r w:rsidRPr="003B355D">
              <w:rPr>
                <w:b/>
                <w:szCs w:val="20"/>
              </w:rPr>
              <w:t>Use in modelled evaluation</w:t>
            </w:r>
          </w:p>
        </w:tc>
      </w:tr>
      <w:tr w:rsidR="00432F4D" w:rsidRPr="003B355D" w:rsidTr="00432F4D">
        <w:tc>
          <w:tcPr>
            <w:tcW w:w="552" w:type="pct"/>
            <w:vMerge w:val="restart"/>
            <w:shd w:val="clear" w:color="auto" w:fill="auto"/>
            <w:vAlign w:val="center"/>
          </w:tcPr>
          <w:p w:rsidR="00432F4D" w:rsidRPr="003B355D" w:rsidRDefault="00432F4D" w:rsidP="00432F4D">
            <w:pPr>
              <w:pStyle w:val="TableText1"/>
              <w:rPr>
                <w:szCs w:val="20"/>
              </w:rPr>
            </w:pPr>
            <w:r w:rsidRPr="003B355D">
              <w:rPr>
                <w:szCs w:val="20"/>
              </w:rPr>
              <w:t>LEADER</w:t>
            </w:r>
          </w:p>
        </w:tc>
        <w:tc>
          <w:tcPr>
            <w:tcW w:w="555" w:type="pct"/>
            <w:vMerge w:val="restart"/>
            <w:shd w:val="clear" w:color="auto" w:fill="auto"/>
            <w:vAlign w:val="center"/>
          </w:tcPr>
          <w:p w:rsidR="00432F4D" w:rsidRPr="003B355D" w:rsidRDefault="00432F4D" w:rsidP="00432F4D">
            <w:pPr>
              <w:spacing w:before="40" w:after="40"/>
              <w:jc w:val="center"/>
              <w:rPr>
                <w:rFonts w:ascii="Arial Narrow" w:hAnsi="Arial Narrow"/>
                <w:sz w:val="20"/>
              </w:rPr>
            </w:pPr>
            <w:r w:rsidRPr="003B355D">
              <w:rPr>
                <w:rFonts w:ascii="Arial Narrow" w:hAnsi="Arial Narrow"/>
                <w:sz w:val="20"/>
              </w:rPr>
              <w:t>R, DB, PC, MC</w:t>
            </w:r>
          </w:p>
          <w:p w:rsidR="00432F4D" w:rsidRPr="003B355D" w:rsidRDefault="00432F4D" w:rsidP="00432F4D">
            <w:pPr>
              <w:pStyle w:val="TableText1"/>
              <w:jc w:val="center"/>
              <w:rPr>
                <w:szCs w:val="20"/>
              </w:rPr>
            </w:pPr>
            <w:r w:rsidRPr="003B355D">
              <w:rPr>
                <w:szCs w:val="20"/>
              </w:rPr>
              <w:t>FAS</w:t>
            </w:r>
          </w:p>
          <w:p w:rsidR="00432F4D" w:rsidRPr="003B355D" w:rsidRDefault="00432F4D" w:rsidP="00432F4D">
            <w:pPr>
              <w:pStyle w:val="TableText1"/>
              <w:jc w:val="center"/>
              <w:rPr>
                <w:rFonts w:eastAsia="Times New Roman" w:cs="Times New Roman"/>
                <w:szCs w:val="20"/>
              </w:rPr>
            </w:pPr>
            <w:r w:rsidRPr="003B355D">
              <w:rPr>
                <w:szCs w:val="20"/>
              </w:rPr>
              <w:t>3.5-5 years</w:t>
            </w:r>
          </w:p>
        </w:tc>
        <w:tc>
          <w:tcPr>
            <w:tcW w:w="311" w:type="pct"/>
            <w:tcBorders>
              <w:bottom w:val="nil"/>
            </w:tcBorders>
            <w:shd w:val="clear" w:color="auto" w:fill="auto"/>
          </w:tcPr>
          <w:p w:rsidR="00432F4D" w:rsidRPr="003B355D" w:rsidRDefault="00432F4D" w:rsidP="00432F4D">
            <w:pPr>
              <w:spacing w:before="40" w:after="40"/>
              <w:jc w:val="center"/>
              <w:rPr>
                <w:rFonts w:ascii="Arial Narrow" w:hAnsi="Arial Narrow"/>
                <w:sz w:val="20"/>
              </w:rPr>
            </w:pPr>
            <w:r w:rsidRPr="003B355D">
              <w:rPr>
                <w:rFonts w:ascii="Arial Narrow" w:hAnsi="Arial Narrow"/>
                <w:sz w:val="20"/>
              </w:rPr>
              <w:t>4672</w:t>
            </w:r>
          </w:p>
          <w:p w:rsidR="00432F4D" w:rsidRPr="003B355D" w:rsidRDefault="00432F4D" w:rsidP="00432F4D">
            <w:pPr>
              <w:spacing w:before="40" w:after="40"/>
              <w:jc w:val="center"/>
              <w:rPr>
                <w:rFonts w:ascii="Arial Narrow" w:hAnsi="Arial Narrow"/>
                <w:sz w:val="20"/>
              </w:rPr>
            </w:pPr>
          </w:p>
          <w:p w:rsidR="00432F4D" w:rsidRPr="003B355D" w:rsidRDefault="00432F4D" w:rsidP="00432F4D">
            <w:pPr>
              <w:spacing w:before="40" w:after="40"/>
              <w:rPr>
                <w:rFonts w:ascii="Arial Narrow" w:hAnsi="Arial Narrow"/>
                <w:sz w:val="20"/>
              </w:rPr>
            </w:pPr>
          </w:p>
        </w:tc>
        <w:tc>
          <w:tcPr>
            <w:tcW w:w="1229" w:type="pct"/>
            <w:tcBorders>
              <w:bottom w:val="nil"/>
            </w:tcBorders>
            <w:shd w:val="clear" w:color="auto" w:fill="auto"/>
          </w:tcPr>
          <w:p w:rsidR="00432F4D" w:rsidRPr="003B355D" w:rsidRDefault="00432F4D" w:rsidP="00432F4D">
            <w:pPr>
              <w:spacing w:before="40" w:after="40"/>
              <w:jc w:val="left"/>
              <w:rPr>
                <w:rFonts w:ascii="Arial Narrow" w:hAnsi="Arial Narrow"/>
                <w:sz w:val="20"/>
              </w:rPr>
            </w:pPr>
            <w:r w:rsidRPr="003B355D">
              <w:rPr>
                <w:rFonts w:ascii="Arial Narrow" w:hAnsi="Arial Narrow"/>
                <w:sz w:val="20"/>
              </w:rPr>
              <w:t xml:space="preserve">Liraglutide 0.6 - 1.8 mg once weekly subcutaneous injection + standard </w:t>
            </w:r>
            <w:proofErr w:type="spellStart"/>
            <w:r w:rsidRPr="003B355D">
              <w:rPr>
                <w:rFonts w:ascii="Arial Narrow" w:hAnsi="Arial Narrow"/>
                <w:sz w:val="20"/>
              </w:rPr>
              <w:t>care;</w:t>
            </w:r>
            <w:r w:rsidR="00C54419" w:rsidRPr="003B355D">
              <w:rPr>
                <w:rFonts w:ascii="Arial Narrow" w:hAnsi="Arial Narrow"/>
                <w:sz w:val="20"/>
                <w:vertAlign w:val="superscript"/>
              </w:rPr>
              <w:t>c</w:t>
            </w:r>
            <w:proofErr w:type="spellEnd"/>
            <w:r w:rsidRPr="003B355D">
              <w:rPr>
                <w:rFonts w:ascii="Arial Narrow" w:hAnsi="Arial Narrow"/>
                <w:sz w:val="20"/>
              </w:rPr>
              <w:t xml:space="preserve"> versus</w:t>
            </w:r>
          </w:p>
        </w:tc>
        <w:tc>
          <w:tcPr>
            <w:tcW w:w="327" w:type="pct"/>
            <w:vMerge w:val="restart"/>
            <w:vAlign w:val="center"/>
          </w:tcPr>
          <w:p w:rsidR="00432F4D" w:rsidRPr="003B355D" w:rsidRDefault="00432F4D" w:rsidP="00432F4D">
            <w:pPr>
              <w:spacing w:before="40" w:after="40"/>
              <w:jc w:val="center"/>
              <w:rPr>
                <w:rFonts w:ascii="Arial Narrow" w:hAnsi="Arial Narrow"/>
                <w:sz w:val="20"/>
              </w:rPr>
            </w:pPr>
            <w:r w:rsidRPr="003B355D">
              <w:rPr>
                <w:rFonts w:ascii="Arial Narrow" w:hAnsi="Arial Narrow"/>
                <w:sz w:val="20"/>
              </w:rPr>
              <w:t>Low</w:t>
            </w:r>
          </w:p>
        </w:tc>
        <w:tc>
          <w:tcPr>
            <w:tcW w:w="779" w:type="pct"/>
            <w:vMerge w:val="restart"/>
            <w:shd w:val="clear" w:color="auto" w:fill="auto"/>
            <w:vAlign w:val="center"/>
          </w:tcPr>
          <w:p w:rsidR="00432F4D" w:rsidRPr="003B355D" w:rsidRDefault="00432F4D" w:rsidP="00432F4D">
            <w:pPr>
              <w:spacing w:before="40" w:after="40"/>
              <w:rPr>
                <w:rFonts w:ascii="Arial Narrow" w:hAnsi="Arial Narrow"/>
                <w:sz w:val="20"/>
              </w:rPr>
            </w:pPr>
            <w:r w:rsidRPr="003B355D">
              <w:rPr>
                <w:rFonts w:ascii="Arial Narrow" w:hAnsi="Arial Narrow"/>
                <w:sz w:val="20"/>
              </w:rPr>
              <w:t>≥ 50 years  with ≥1 CV event; or</w:t>
            </w:r>
          </w:p>
          <w:p w:rsidR="00432F4D" w:rsidRPr="003B355D" w:rsidRDefault="00432F4D" w:rsidP="00432F4D">
            <w:pPr>
              <w:spacing w:before="40" w:after="40"/>
              <w:rPr>
                <w:rFonts w:ascii="Arial Narrow" w:hAnsi="Arial Narrow"/>
                <w:sz w:val="20"/>
              </w:rPr>
            </w:pPr>
            <w:r w:rsidRPr="003B355D">
              <w:rPr>
                <w:rFonts w:ascii="Arial Narrow" w:hAnsi="Arial Narrow"/>
                <w:sz w:val="20"/>
              </w:rPr>
              <w:t>≥60 years with high CV risk.</w:t>
            </w:r>
          </w:p>
          <w:p w:rsidR="00432F4D" w:rsidRPr="003B355D" w:rsidRDefault="00432F4D" w:rsidP="00432F4D">
            <w:pPr>
              <w:pStyle w:val="TableText1"/>
              <w:rPr>
                <w:rFonts w:eastAsia="Times New Roman" w:cs="Times New Roman"/>
                <w:szCs w:val="20"/>
              </w:rPr>
            </w:pPr>
            <w:r w:rsidRPr="003B355D">
              <w:rPr>
                <w:szCs w:val="20"/>
              </w:rPr>
              <w:t xml:space="preserve">HbA1c ≥ 7% </w:t>
            </w:r>
          </w:p>
        </w:tc>
        <w:tc>
          <w:tcPr>
            <w:tcW w:w="729" w:type="pct"/>
            <w:vMerge w:val="restart"/>
            <w:shd w:val="clear" w:color="auto" w:fill="auto"/>
            <w:vAlign w:val="center"/>
          </w:tcPr>
          <w:p w:rsidR="00432F4D" w:rsidRPr="003B355D" w:rsidRDefault="00432F4D" w:rsidP="00432F4D">
            <w:pPr>
              <w:spacing w:before="40" w:after="40"/>
              <w:jc w:val="center"/>
              <w:rPr>
                <w:rFonts w:ascii="Arial Narrow" w:hAnsi="Arial Narrow"/>
                <w:sz w:val="20"/>
              </w:rPr>
            </w:pPr>
            <w:proofErr w:type="spellStart"/>
            <w:r w:rsidRPr="003B355D">
              <w:rPr>
                <w:rFonts w:ascii="Arial Narrow" w:hAnsi="Arial Narrow"/>
                <w:sz w:val="20"/>
              </w:rPr>
              <w:t>MACE</w:t>
            </w:r>
            <w:r w:rsidRPr="003B355D">
              <w:rPr>
                <w:rFonts w:ascii="Arial Narrow" w:hAnsi="Arial Narrow"/>
                <w:sz w:val="20"/>
                <w:vertAlign w:val="superscript"/>
              </w:rPr>
              <w:t>a</w:t>
            </w:r>
            <w:proofErr w:type="spellEnd"/>
          </w:p>
          <w:p w:rsidR="00432F4D" w:rsidRPr="003B355D" w:rsidRDefault="00432F4D" w:rsidP="00432F4D">
            <w:pPr>
              <w:spacing w:before="40" w:after="40"/>
              <w:jc w:val="center"/>
              <w:rPr>
                <w:rFonts w:ascii="Arial Narrow" w:hAnsi="Arial Narrow"/>
                <w:sz w:val="20"/>
              </w:rPr>
            </w:pPr>
            <w:r w:rsidRPr="003B355D">
              <w:rPr>
                <w:rFonts w:ascii="Arial Narrow" w:hAnsi="Arial Narrow"/>
                <w:sz w:val="20"/>
              </w:rPr>
              <w:t>and components,</w:t>
            </w:r>
          </w:p>
          <w:p w:rsidR="00432F4D" w:rsidRPr="003B355D" w:rsidRDefault="00432F4D" w:rsidP="00432F4D">
            <w:pPr>
              <w:spacing w:before="40" w:after="40"/>
              <w:jc w:val="center"/>
              <w:rPr>
                <w:rFonts w:ascii="Arial Narrow" w:hAnsi="Arial Narrow"/>
                <w:sz w:val="20"/>
              </w:rPr>
            </w:pPr>
            <w:proofErr w:type="spellStart"/>
            <w:r w:rsidRPr="003B355D">
              <w:rPr>
                <w:rFonts w:ascii="Arial Narrow" w:hAnsi="Arial Narrow"/>
                <w:sz w:val="20"/>
              </w:rPr>
              <w:t>microvasvular</w:t>
            </w:r>
            <w:proofErr w:type="spellEnd"/>
            <w:r w:rsidRPr="003B355D">
              <w:rPr>
                <w:rFonts w:ascii="Arial Narrow" w:hAnsi="Arial Narrow"/>
                <w:sz w:val="20"/>
              </w:rPr>
              <w:t>, all-cause mortality,</w:t>
            </w:r>
          </w:p>
          <w:p w:rsidR="00432F4D" w:rsidRPr="003B355D" w:rsidRDefault="00432F4D" w:rsidP="00432F4D">
            <w:pPr>
              <w:spacing w:before="40" w:after="40"/>
              <w:jc w:val="center"/>
              <w:rPr>
                <w:rFonts w:ascii="Arial Narrow" w:hAnsi="Arial Narrow"/>
                <w:sz w:val="20"/>
              </w:rPr>
            </w:pPr>
            <w:r w:rsidRPr="003B355D">
              <w:rPr>
                <w:rFonts w:ascii="Arial Narrow" w:hAnsi="Arial Narrow"/>
                <w:sz w:val="20"/>
              </w:rPr>
              <w:t>non-CV mortality,</w:t>
            </w:r>
          </w:p>
          <w:p w:rsidR="00432F4D" w:rsidRPr="003B355D" w:rsidRDefault="00432F4D" w:rsidP="00432F4D">
            <w:pPr>
              <w:pStyle w:val="TableText1"/>
              <w:jc w:val="center"/>
              <w:rPr>
                <w:rFonts w:eastAsia="Times New Roman" w:cs="Times New Roman"/>
                <w:szCs w:val="20"/>
              </w:rPr>
            </w:pPr>
            <w:r w:rsidRPr="003B355D">
              <w:rPr>
                <w:szCs w:val="20"/>
              </w:rPr>
              <w:t>HbA1c, EQ-5D</w:t>
            </w:r>
          </w:p>
        </w:tc>
        <w:tc>
          <w:tcPr>
            <w:tcW w:w="518" w:type="pct"/>
            <w:vMerge w:val="restart"/>
            <w:shd w:val="clear" w:color="auto" w:fill="auto"/>
            <w:vAlign w:val="center"/>
          </w:tcPr>
          <w:p w:rsidR="00432F4D" w:rsidRPr="003B355D" w:rsidRDefault="00432F4D" w:rsidP="00432F4D">
            <w:pPr>
              <w:pStyle w:val="TableText1"/>
              <w:jc w:val="center"/>
              <w:rPr>
                <w:rFonts w:eastAsia="Times New Roman" w:cs="Times New Roman"/>
                <w:szCs w:val="20"/>
              </w:rPr>
            </w:pPr>
            <w:r w:rsidRPr="003B355D">
              <w:rPr>
                <w:szCs w:val="20"/>
              </w:rPr>
              <w:t>Yes</w:t>
            </w:r>
          </w:p>
        </w:tc>
      </w:tr>
      <w:tr w:rsidR="00432F4D" w:rsidRPr="003B355D" w:rsidTr="00432F4D">
        <w:tc>
          <w:tcPr>
            <w:tcW w:w="552" w:type="pct"/>
            <w:vMerge/>
            <w:shd w:val="clear" w:color="auto" w:fill="auto"/>
            <w:vAlign w:val="center"/>
          </w:tcPr>
          <w:p w:rsidR="00432F4D" w:rsidRPr="003B355D" w:rsidRDefault="00432F4D" w:rsidP="00432F4D">
            <w:pPr>
              <w:pStyle w:val="TableText1"/>
              <w:rPr>
                <w:szCs w:val="20"/>
              </w:rPr>
            </w:pPr>
          </w:p>
        </w:tc>
        <w:tc>
          <w:tcPr>
            <w:tcW w:w="555" w:type="pct"/>
            <w:vMerge/>
            <w:shd w:val="clear" w:color="auto" w:fill="auto"/>
            <w:vAlign w:val="center"/>
          </w:tcPr>
          <w:p w:rsidR="00432F4D" w:rsidRPr="003B355D" w:rsidRDefault="00432F4D" w:rsidP="00432F4D">
            <w:pPr>
              <w:spacing w:before="40" w:after="40"/>
              <w:jc w:val="center"/>
              <w:rPr>
                <w:rFonts w:ascii="Arial Narrow" w:hAnsi="Arial Narrow"/>
                <w:sz w:val="20"/>
              </w:rPr>
            </w:pPr>
          </w:p>
        </w:tc>
        <w:tc>
          <w:tcPr>
            <w:tcW w:w="311" w:type="pct"/>
            <w:tcBorders>
              <w:top w:val="nil"/>
            </w:tcBorders>
            <w:shd w:val="clear" w:color="auto" w:fill="auto"/>
          </w:tcPr>
          <w:p w:rsidR="00432F4D" w:rsidRPr="003B355D" w:rsidRDefault="00432F4D" w:rsidP="00432F4D">
            <w:pPr>
              <w:spacing w:before="40" w:after="40"/>
              <w:jc w:val="center"/>
              <w:rPr>
                <w:rFonts w:ascii="Arial Narrow" w:hAnsi="Arial Narrow"/>
                <w:sz w:val="20"/>
              </w:rPr>
            </w:pPr>
            <w:r w:rsidRPr="003B355D">
              <w:rPr>
                <w:rFonts w:ascii="Arial Narrow" w:hAnsi="Arial Narrow"/>
                <w:sz w:val="20"/>
              </w:rPr>
              <w:t>4768</w:t>
            </w:r>
          </w:p>
        </w:tc>
        <w:tc>
          <w:tcPr>
            <w:tcW w:w="1229" w:type="pct"/>
            <w:tcBorders>
              <w:top w:val="nil"/>
            </w:tcBorders>
            <w:shd w:val="clear" w:color="auto" w:fill="auto"/>
          </w:tcPr>
          <w:p w:rsidR="00432F4D" w:rsidRPr="003B355D" w:rsidRDefault="00432F4D" w:rsidP="00432F4D">
            <w:pPr>
              <w:spacing w:before="40" w:after="40"/>
              <w:jc w:val="left"/>
              <w:rPr>
                <w:rFonts w:ascii="Arial Narrow" w:hAnsi="Arial Narrow"/>
                <w:sz w:val="20"/>
              </w:rPr>
            </w:pPr>
            <w:r w:rsidRPr="003B355D">
              <w:rPr>
                <w:rFonts w:ascii="Arial Narrow" w:hAnsi="Arial Narrow"/>
                <w:sz w:val="20"/>
              </w:rPr>
              <w:t>Placebo (standard care)</w:t>
            </w:r>
            <w:r w:rsidR="00587BD0" w:rsidRPr="003B355D">
              <w:rPr>
                <w:vertAlign w:val="superscript"/>
              </w:rPr>
              <w:t xml:space="preserve"> c</w:t>
            </w:r>
          </w:p>
        </w:tc>
        <w:tc>
          <w:tcPr>
            <w:tcW w:w="327" w:type="pct"/>
            <w:vMerge/>
            <w:vAlign w:val="center"/>
          </w:tcPr>
          <w:p w:rsidR="00432F4D" w:rsidRPr="003B355D" w:rsidRDefault="00432F4D" w:rsidP="00432F4D">
            <w:pPr>
              <w:spacing w:before="40" w:after="40"/>
              <w:jc w:val="center"/>
              <w:rPr>
                <w:rFonts w:ascii="Arial Narrow" w:hAnsi="Arial Narrow"/>
                <w:sz w:val="20"/>
              </w:rPr>
            </w:pPr>
          </w:p>
        </w:tc>
        <w:tc>
          <w:tcPr>
            <w:tcW w:w="779" w:type="pct"/>
            <w:vMerge/>
            <w:shd w:val="clear" w:color="auto" w:fill="auto"/>
            <w:vAlign w:val="center"/>
          </w:tcPr>
          <w:p w:rsidR="00432F4D" w:rsidRPr="003B355D" w:rsidRDefault="00432F4D" w:rsidP="00432F4D">
            <w:pPr>
              <w:spacing w:before="40" w:after="40"/>
              <w:rPr>
                <w:rFonts w:ascii="Arial Narrow" w:hAnsi="Arial Narrow"/>
                <w:sz w:val="20"/>
              </w:rPr>
            </w:pPr>
          </w:p>
        </w:tc>
        <w:tc>
          <w:tcPr>
            <w:tcW w:w="729" w:type="pct"/>
            <w:vMerge/>
            <w:shd w:val="clear" w:color="auto" w:fill="auto"/>
            <w:vAlign w:val="center"/>
          </w:tcPr>
          <w:p w:rsidR="00432F4D" w:rsidRPr="003B355D" w:rsidRDefault="00432F4D" w:rsidP="00432F4D">
            <w:pPr>
              <w:spacing w:before="40" w:after="40"/>
              <w:jc w:val="center"/>
              <w:rPr>
                <w:rFonts w:ascii="Arial Narrow" w:hAnsi="Arial Narrow"/>
                <w:sz w:val="20"/>
              </w:rPr>
            </w:pPr>
          </w:p>
        </w:tc>
        <w:tc>
          <w:tcPr>
            <w:tcW w:w="518" w:type="pct"/>
            <w:vMerge/>
            <w:shd w:val="clear" w:color="auto" w:fill="auto"/>
            <w:vAlign w:val="center"/>
          </w:tcPr>
          <w:p w:rsidR="00432F4D" w:rsidRPr="003B355D" w:rsidRDefault="00432F4D" w:rsidP="00432F4D">
            <w:pPr>
              <w:pStyle w:val="TableText1"/>
              <w:jc w:val="center"/>
              <w:rPr>
                <w:szCs w:val="20"/>
              </w:rPr>
            </w:pPr>
          </w:p>
        </w:tc>
      </w:tr>
      <w:tr w:rsidR="00477670" w:rsidRPr="003B355D" w:rsidTr="00432F4D">
        <w:tc>
          <w:tcPr>
            <w:tcW w:w="552" w:type="pct"/>
            <w:shd w:val="clear" w:color="auto" w:fill="auto"/>
            <w:vAlign w:val="center"/>
          </w:tcPr>
          <w:p w:rsidR="00477670" w:rsidRPr="003B355D" w:rsidRDefault="00477670" w:rsidP="00432F4D">
            <w:pPr>
              <w:pStyle w:val="TableText1"/>
              <w:rPr>
                <w:rFonts w:eastAsia="Times New Roman" w:cs="Times New Roman"/>
                <w:szCs w:val="20"/>
              </w:rPr>
            </w:pPr>
            <w:r w:rsidRPr="003B355D">
              <w:rPr>
                <w:szCs w:val="20"/>
              </w:rPr>
              <w:t>FREEDOM-CVO</w:t>
            </w:r>
          </w:p>
        </w:tc>
        <w:tc>
          <w:tcPr>
            <w:tcW w:w="555" w:type="pct"/>
            <w:shd w:val="clear" w:color="auto" w:fill="auto"/>
            <w:vAlign w:val="center"/>
          </w:tcPr>
          <w:p w:rsidR="00477670" w:rsidRPr="003B355D" w:rsidRDefault="00477670" w:rsidP="00432F4D">
            <w:pPr>
              <w:pStyle w:val="TableText1"/>
              <w:jc w:val="center"/>
              <w:rPr>
                <w:rFonts w:eastAsia="Times New Roman" w:cs="Times New Roman"/>
                <w:szCs w:val="20"/>
              </w:rPr>
            </w:pPr>
            <w:r w:rsidRPr="003B355D">
              <w:rPr>
                <w:szCs w:val="20"/>
              </w:rPr>
              <w:t>R, DB, PC, MC</w:t>
            </w:r>
          </w:p>
        </w:tc>
        <w:tc>
          <w:tcPr>
            <w:tcW w:w="311" w:type="pct"/>
            <w:shd w:val="clear" w:color="auto" w:fill="auto"/>
            <w:vAlign w:val="center"/>
          </w:tcPr>
          <w:p w:rsidR="00477670" w:rsidRPr="003B355D" w:rsidRDefault="00477670" w:rsidP="00432F4D">
            <w:pPr>
              <w:pStyle w:val="TableText1"/>
              <w:jc w:val="center"/>
              <w:rPr>
                <w:rFonts w:eastAsia="Times New Roman" w:cs="Times New Roman"/>
                <w:szCs w:val="20"/>
              </w:rPr>
            </w:pPr>
            <w:r w:rsidRPr="003B355D">
              <w:rPr>
                <w:szCs w:val="20"/>
              </w:rPr>
              <w:t>4156</w:t>
            </w:r>
          </w:p>
        </w:tc>
        <w:tc>
          <w:tcPr>
            <w:tcW w:w="1229" w:type="pct"/>
            <w:shd w:val="clear" w:color="auto" w:fill="auto"/>
          </w:tcPr>
          <w:p w:rsidR="00477670" w:rsidRPr="003B355D" w:rsidRDefault="00477670" w:rsidP="00432F4D">
            <w:pPr>
              <w:spacing w:before="40" w:after="40"/>
              <w:jc w:val="left"/>
              <w:rPr>
                <w:rFonts w:ascii="Arial Narrow" w:hAnsi="Arial Narrow"/>
                <w:sz w:val="20"/>
              </w:rPr>
            </w:pPr>
            <w:r w:rsidRPr="003B355D">
              <w:rPr>
                <w:rFonts w:ascii="Arial Narrow" w:hAnsi="Arial Narrow"/>
                <w:sz w:val="20"/>
              </w:rPr>
              <w:t xml:space="preserve">ITCA 650 60 µg daily continuous subcutaneous infusion; </w:t>
            </w:r>
          </w:p>
          <w:p w:rsidR="00477670" w:rsidRPr="003B355D" w:rsidRDefault="00477670" w:rsidP="00432F4D">
            <w:pPr>
              <w:spacing w:before="40" w:after="40"/>
              <w:jc w:val="left"/>
              <w:rPr>
                <w:rFonts w:ascii="Arial Narrow" w:hAnsi="Arial Narrow"/>
                <w:sz w:val="20"/>
              </w:rPr>
            </w:pPr>
            <w:r w:rsidRPr="003B355D">
              <w:rPr>
                <w:rFonts w:ascii="Arial Narrow" w:hAnsi="Arial Narrow"/>
                <w:sz w:val="20"/>
              </w:rPr>
              <w:t>versus</w:t>
            </w:r>
          </w:p>
          <w:p w:rsidR="00477670" w:rsidRPr="003B355D" w:rsidRDefault="00477670" w:rsidP="002A2F74">
            <w:pPr>
              <w:pStyle w:val="TableText1"/>
              <w:jc w:val="left"/>
              <w:rPr>
                <w:rFonts w:eastAsia="Times New Roman" w:cs="Times New Roman"/>
                <w:szCs w:val="20"/>
              </w:rPr>
            </w:pPr>
            <w:r w:rsidRPr="003B355D">
              <w:rPr>
                <w:szCs w:val="20"/>
              </w:rPr>
              <w:t>Placebo (standard care)</w:t>
            </w:r>
            <w:r w:rsidR="002A2F74" w:rsidRPr="003B355D">
              <w:rPr>
                <w:szCs w:val="20"/>
                <w:vertAlign w:val="superscript"/>
              </w:rPr>
              <w:t>d</w:t>
            </w:r>
          </w:p>
        </w:tc>
        <w:tc>
          <w:tcPr>
            <w:tcW w:w="327" w:type="pct"/>
            <w:vAlign w:val="center"/>
          </w:tcPr>
          <w:p w:rsidR="00477670" w:rsidRPr="003B355D" w:rsidRDefault="00477670" w:rsidP="00432F4D">
            <w:pPr>
              <w:spacing w:before="40" w:after="40"/>
              <w:jc w:val="center"/>
              <w:rPr>
                <w:rFonts w:ascii="Arial Narrow" w:hAnsi="Arial Narrow"/>
                <w:sz w:val="20"/>
              </w:rPr>
            </w:pPr>
            <w:r w:rsidRPr="003B355D">
              <w:rPr>
                <w:rFonts w:ascii="Arial Narrow" w:hAnsi="Arial Narrow"/>
                <w:sz w:val="20"/>
              </w:rPr>
              <w:t>NR</w:t>
            </w:r>
          </w:p>
        </w:tc>
        <w:tc>
          <w:tcPr>
            <w:tcW w:w="779" w:type="pct"/>
            <w:shd w:val="clear" w:color="auto" w:fill="auto"/>
            <w:vAlign w:val="center"/>
          </w:tcPr>
          <w:p w:rsidR="00477670" w:rsidRPr="003B355D" w:rsidRDefault="00477670" w:rsidP="00432F4D">
            <w:pPr>
              <w:spacing w:before="40" w:after="40"/>
              <w:rPr>
                <w:rFonts w:ascii="Arial Narrow" w:hAnsi="Arial Narrow"/>
                <w:sz w:val="20"/>
              </w:rPr>
            </w:pPr>
            <w:r w:rsidRPr="003B355D">
              <w:rPr>
                <w:rFonts w:ascii="Arial Narrow" w:hAnsi="Arial Narrow"/>
                <w:sz w:val="20"/>
              </w:rPr>
              <w:t>≥ 40 ears with</w:t>
            </w:r>
            <w:r w:rsidR="00432F4D" w:rsidRPr="003B355D">
              <w:rPr>
                <w:rFonts w:ascii="Arial Narrow" w:hAnsi="Arial Narrow"/>
                <w:sz w:val="20"/>
              </w:rPr>
              <w:t xml:space="preserve"> </w:t>
            </w:r>
            <w:r w:rsidRPr="003B355D">
              <w:rPr>
                <w:rFonts w:ascii="Arial Narrow" w:hAnsi="Arial Narrow"/>
                <w:sz w:val="20"/>
              </w:rPr>
              <w:t>≥ 1 CV event; or</w:t>
            </w:r>
          </w:p>
          <w:p w:rsidR="00477670" w:rsidRPr="003B355D" w:rsidRDefault="00477670" w:rsidP="00432F4D">
            <w:pPr>
              <w:spacing w:before="40" w:after="40"/>
              <w:rPr>
                <w:rFonts w:ascii="Arial Narrow" w:hAnsi="Arial Narrow"/>
                <w:sz w:val="20"/>
              </w:rPr>
            </w:pPr>
            <w:r w:rsidRPr="003B355D">
              <w:rPr>
                <w:rFonts w:ascii="Arial Narrow" w:hAnsi="Arial Narrow"/>
                <w:sz w:val="20"/>
              </w:rPr>
              <w:t>≥ 60 years with</w:t>
            </w:r>
            <w:r w:rsidR="00432F4D" w:rsidRPr="003B355D">
              <w:rPr>
                <w:rFonts w:ascii="Arial Narrow" w:hAnsi="Arial Narrow"/>
                <w:sz w:val="20"/>
              </w:rPr>
              <w:t xml:space="preserve"> </w:t>
            </w:r>
            <w:r w:rsidRPr="003B355D">
              <w:rPr>
                <w:rFonts w:ascii="Arial Narrow" w:hAnsi="Arial Narrow"/>
                <w:sz w:val="20"/>
              </w:rPr>
              <w:t>high CV risk;</w:t>
            </w:r>
          </w:p>
          <w:p w:rsidR="00477670" w:rsidRPr="003B355D" w:rsidRDefault="00477670" w:rsidP="00432F4D">
            <w:pPr>
              <w:pStyle w:val="TableText1"/>
              <w:rPr>
                <w:rFonts w:eastAsia="Times New Roman" w:cs="Times New Roman"/>
                <w:szCs w:val="20"/>
              </w:rPr>
            </w:pPr>
            <w:r w:rsidRPr="003B355D">
              <w:rPr>
                <w:szCs w:val="20"/>
              </w:rPr>
              <w:t xml:space="preserve">HbA1c ≥ 6.5% </w:t>
            </w:r>
          </w:p>
        </w:tc>
        <w:tc>
          <w:tcPr>
            <w:tcW w:w="729" w:type="pct"/>
            <w:shd w:val="clear" w:color="auto" w:fill="auto"/>
            <w:vAlign w:val="center"/>
          </w:tcPr>
          <w:p w:rsidR="00477670" w:rsidRPr="003B355D" w:rsidRDefault="00477670" w:rsidP="00432F4D">
            <w:pPr>
              <w:spacing w:before="40" w:after="40"/>
              <w:jc w:val="center"/>
              <w:rPr>
                <w:rFonts w:ascii="Arial Narrow" w:hAnsi="Arial Narrow"/>
                <w:sz w:val="20"/>
              </w:rPr>
            </w:pPr>
            <w:proofErr w:type="spellStart"/>
            <w:r w:rsidRPr="003B355D">
              <w:rPr>
                <w:rFonts w:ascii="Arial Narrow" w:hAnsi="Arial Narrow"/>
                <w:sz w:val="20"/>
              </w:rPr>
              <w:t>MACE</w:t>
            </w:r>
            <w:r w:rsidRPr="003B355D">
              <w:rPr>
                <w:rFonts w:ascii="Arial Narrow" w:hAnsi="Arial Narrow"/>
                <w:sz w:val="20"/>
                <w:vertAlign w:val="superscript"/>
              </w:rPr>
              <w:t>b</w:t>
            </w:r>
            <w:proofErr w:type="spellEnd"/>
          </w:p>
          <w:p w:rsidR="00477670" w:rsidRPr="003B355D" w:rsidRDefault="00477670" w:rsidP="00432F4D">
            <w:pPr>
              <w:pStyle w:val="TableText1"/>
              <w:jc w:val="center"/>
              <w:rPr>
                <w:rFonts w:eastAsia="Times New Roman" w:cs="Times New Roman"/>
                <w:szCs w:val="20"/>
              </w:rPr>
            </w:pPr>
            <w:r w:rsidRPr="003B355D">
              <w:rPr>
                <w:szCs w:val="20"/>
              </w:rPr>
              <w:t>(not reported)</w:t>
            </w:r>
          </w:p>
        </w:tc>
        <w:tc>
          <w:tcPr>
            <w:tcW w:w="518" w:type="pct"/>
            <w:shd w:val="clear" w:color="auto" w:fill="auto"/>
            <w:vAlign w:val="center"/>
          </w:tcPr>
          <w:p w:rsidR="00477670" w:rsidRPr="003B355D" w:rsidRDefault="00477670" w:rsidP="00432F4D">
            <w:pPr>
              <w:pStyle w:val="TableText1"/>
              <w:jc w:val="center"/>
              <w:rPr>
                <w:rFonts w:eastAsia="Times New Roman" w:cs="Times New Roman"/>
                <w:szCs w:val="20"/>
              </w:rPr>
            </w:pPr>
            <w:r w:rsidRPr="003B355D">
              <w:rPr>
                <w:szCs w:val="20"/>
              </w:rPr>
              <w:t>No</w:t>
            </w:r>
          </w:p>
        </w:tc>
      </w:tr>
      <w:tr w:rsidR="00477670" w:rsidRPr="003B355D" w:rsidTr="00432F4D">
        <w:tc>
          <w:tcPr>
            <w:tcW w:w="552" w:type="pct"/>
            <w:shd w:val="clear" w:color="auto" w:fill="auto"/>
            <w:vAlign w:val="center"/>
          </w:tcPr>
          <w:p w:rsidR="00477670" w:rsidRPr="003B355D" w:rsidRDefault="00477670" w:rsidP="00432F4D">
            <w:pPr>
              <w:pStyle w:val="TableText1"/>
              <w:rPr>
                <w:rFonts w:eastAsia="Times New Roman" w:cs="Times New Roman"/>
                <w:szCs w:val="20"/>
              </w:rPr>
            </w:pPr>
            <w:r w:rsidRPr="003B355D">
              <w:rPr>
                <w:szCs w:val="20"/>
              </w:rPr>
              <w:t>EXSCEL</w:t>
            </w:r>
          </w:p>
        </w:tc>
        <w:tc>
          <w:tcPr>
            <w:tcW w:w="555" w:type="pct"/>
            <w:shd w:val="clear" w:color="auto" w:fill="auto"/>
            <w:vAlign w:val="center"/>
          </w:tcPr>
          <w:p w:rsidR="00477670" w:rsidRPr="003B355D" w:rsidRDefault="00477670" w:rsidP="00432F4D">
            <w:pPr>
              <w:pStyle w:val="TableText1"/>
              <w:jc w:val="center"/>
              <w:rPr>
                <w:rFonts w:eastAsia="Times New Roman" w:cs="Times New Roman"/>
                <w:szCs w:val="20"/>
              </w:rPr>
            </w:pPr>
            <w:r w:rsidRPr="003B355D">
              <w:rPr>
                <w:szCs w:val="20"/>
              </w:rPr>
              <w:t>R, DB, PC, MC</w:t>
            </w:r>
          </w:p>
        </w:tc>
        <w:tc>
          <w:tcPr>
            <w:tcW w:w="311" w:type="pct"/>
            <w:shd w:val="clear" w:color="auto" w:fill="auto"/>
            <w:vAlign w:val="center"/>
          </w:tcPr>
          <w:p w:rsidR="00477670" w:rsidRPr="003B355D" w:rsidRDefault="00477670" w:rsidP="00432F4D">
            <w:pPr>
              <w:pStyle w:val="TableText1"/>
              <w:jc w:val="center"/>
              <w:rPr>
                <w:rFonts w:eastAsia="Times New Roman" w:cs="Times New Roman"/>
                <w:szCs w:val="20"/>
              </w:rPr>
            </w:pPr>
            <w:r w:rsidRPr="003B355D">
              <w:rPr>
                <w:szCs w:val="20"/>
              </w:rPr>
              <w:t>14000</w:t>
            </w:r>
          </w:p>
        </w:tc>
        <w:tc>
          <w:tcPr>
            <w:tcW w:w="1229" w:type="pct"/>
            <w:shd w:val="clear" w:color="auto" w:fill="auto"/>
          </w:tcPr>
          <w:p w:rsidR="00477670" w:rsidRPr="003B355D" w:rsidRDefault="00477670" w:rsidP="00432F4D">
            <w:pPr>
              <w:spacing w:before="40" w:after="40"/>
              <w:jc w:val="left"/>
              <w:rPr>
                <w:rFonts w:ascii="Arial Narrow" w:hAnsi="Arial Narrow"/>
                <w:sz w:val="20"/>
              </w:rPr>
            </w:pPr>
            <w:r w:rsidRPr="003B355D">
              <w:rPr>
                <w:rFonts w:ascii="Arial Narrow" w:hAnsi="Arial Narrow"/>
                <w:sz w:val="20"/>
              </w:rPr>
              <w:t>Exenatide 2 mg once weekly subcutaneous injection; versus</w:t>
            </w:r>
          </w:p>
          <w:p w:rsidR="00477670" w:rsidRPr="003B355D" w:rsidRDefault="00477670" w:rsidP="002A2F74">
            <w:pPr>
              <w:pStyle w:val="TableText1"/>
              <w:jc w:val="left"/>
              <w:rPr>
                <w:rFonts w:eastAsia="Times New Roman" w:cs="Times New Roman"/>
                <w:szCs w:val="20"/>
              </w:rPr>
            </w:pPr>
            <w:r w:rsidRPr="003B355D">
              <w:rPr>
                <w:szCs w:val="20"/>
              </w:rPr>
              <w:t>Placebo (standard care)</w:t>
            </w:r>
            <w:r w:rsidR="002A2F74" w:rsidRPr="003B355D">
              <w:rPr>
                <w:szCs w:val="20"/>
                <w:vertAlign w:val="superscript"/>
              </w:rPr>
              <w:t>d</w:t>
            </w:r>
          </w:p>
        </w:tc>
        <w:tc>
          <w:tcPr>
            <w:tcW w:w="327" w:type="pct"/>
            <w:vAlign w:val="center"/>
          </w:tcPr>
          <w:p w:rsidR="00477670" w:rsidRPr="003B355D" w:rsidRDefault="00477670" w:rsidP="00432F4D">
            <w:pPr>
              <w:spacing w:before="40" w:after="40"/>
              <w:jc w:val="center"/>
              <w:rPr>
                <w:rFonts w:ascii="Arial Narrow" w:hAnsi="Arial Narrow"/>
                <w:sz w:val="20"/>
              </w:rPr>
            </w:pPr>
            <w:r w:rsidRPr="003B355D">
              <w:rPr>
                <w:rFonts w:ascii="Arial Narrow" w:hAnsi="Arial Narrow"/>
                <w:sz w:val="20"/>
              </w:rPr>
              <w:t>NR</w:t>
            </w:r>
          </w:p>
        </w:tc>
        <w:tc>
          <w:tcPr>
            <w:tcW w:w="779" w:type="pct"/>
            <w:shd w:val="clear" w:color="auto" w:fill="auto"/>
            <w:vAlign w:val="center"/>
          </w:tcPr>
          <w:p w:rsidR="00477670" w:rsidRPr="003B355D" w:rsidRDefault="00477670" w:rsidP="00432F4D">
            <w:pPr>
              <w:spacing w:before="40" w:after="40"/>
              <w:rPr>
                <w:rFonts w:ascii="Arial Narrow" w:hAnsi="Arial Narrow"/>
                <w:sz w:val="20"/>
              </w:rPr>
            </w:pPr>
            <w:r w:rsidRPr="003B355D">
              <w:rPr>
                <w:rFonts w:ascii="Arial Narrow" w:hAnsi="Arial Narrow"/>
                <w:sz w:val="20"/>
              </w:rPr>
              <w:t>≥ 18 years.</w:t>
            </w:r>
          </w:p>
          <w:p w:rsidR="00477670" w:rsidRPr="003B355D" w:rsidRDefault="00477670" w:rsidP="00432F4D">
            <w:pPr>
              <w:spacing w:before="40" w:after="40"/>
              <w:rPr>
                <w:rFonts w:ascii="Arial Narrow" w:hAnsi="Arial Narrow"/>
                <w:sz w:val="20"/>
              </w:rPr>
            </w:pPr>
            <w:r w:rsidRPr="003B355D">
              <w:rPr>
                <w:rFonts w:ascii="Arial Narrow" w:hAnsi="Arial Narrow"/>
                <w:sz w:val="20"/>
              </w:rPr>
              <w:t xml:space="preserve">HbA1c </w:t>
            </w:r>
          </w:p>
          <w:p w:rsidR="00477670" w:rsidRPr="003B355D" w:rsidRDefault="00477670" w:rsidP="00432F4D">
            <w:pPr>
              <w:pStyle w:val="TableText1"/>
              <w:jc w:val="center"/>
              <w:rPr>
                <w:rFonts w:eastAsia="Times New Roman" w:cs="Times New Roman"/>
                <w:szCs w:val="20"/>
              </w:rPr>
            </w:pPr>
            <w:r w:rsidRPr="003B355D">
              <w:rPr>
                <w:szCs w:val="20"/>
              </w:rPr>
              <w:t xml:space="preserve">≥ 6.5% &lt; 10% </w:t>
            </w:r>
          </w:p>
        </w:tc>
        <w:tc>
          <w:tcPr>
            <w:tcW w:w="729" w:type="pct"/>
            <w:shd w:val="clear" w:color="auto" w:fill="auto"/>
            <w:vAlign w:val="center"/>
          </w:tcPr>
          <w:p w:rsidR="00477670" w:rsidRPr="003B355D" w:rsidRDefault="00477670" w:rsidP="00432F4D">
            <w:pPr>
              <w:spacing w:before="40" w:after="40"/>
              <w:jc w:val="center"/>
              <w:rPr>
                <w:rFonts w:ascii="Arial Narrow" w:hAnsi="Arial Narrow"/>
                <w:sz w:val="20"/>
              </w:rPr>
            </w:pPr>
            <w:proofErr w:type="spellStart"/>
            <w:r w:rsidRPr="003B355D">
              <w:rPr>
                <w:rFonts w:ascii="Arial Narrow" w:hAnsi="Arial Narrow"/>
                <w:sz w:val="20"/>
              </w:rPr>
              <w:t>MACE</w:t>
            </w:r>
            <w:r w:rsidRPr="003B355D">
              <w:rPr>
                <w:rFonts w:ascii="Arial Narrow" w:hAnsi="Arial Narrow"/>
                <w:sz w:val="20"/>
                <w:vertAlign w:val="superscript"/>
              </w:rPr>
              <w:t>a</w:t>
            </w:r>
            <w:proofErr w:type="spellEnd"/>
          </w:p>
          <w:p w:rsidR="00477670" w:rsidRPr="003B355D" w:rsidRDefault="00477670" w:rsidP="00432F4D">
            <w:pPr>
              <w:pStyle w:val="TableText1"/>
              <w:jc w:val="center"/>
              <w:rPr>
                <w:rFonts w:eastAsia="Times New Roman" w:cs="Times New Roman"/>
                <w:szCs w:val="20"/>
              </w:rPr>
            </w:pPr>
            <w:r w:rsidRPr="003B355D">
              <w:rPr>
                <w:szCs w:val="20"/>
              </w:rPr>
              <w:t>(not completed)</w:t>
            </w:r>
          </w:p>
        </w:tc>
        <w:tc>
          <w:tcPr>
            <w:tcW w:w="518" w:type="pct"/>
            <w:shd w:val="clear" w:color="auto" w:fill="auto"/>
            <w:vAlign w:val="center"/>
          </w:tcPr>
          <w:p w:rsidR="00477670" w:rsidRPr="003B355D" w:rsidRDefault="00477670" w:rsidP="00432F4D">
            <w:pPr>
              <w:pStyle w:val="TableText1"/>
              <w:jc w:val="center"/>
              <w:rPr>
                <w:rFonts w:eastAsia="Times New Roman" w:cs="Times New Roman"/>
                <w:szCs w:val="20"/>
              </w:rPr>
            </w:pPr>
            <w:r w:rsidRPr="003B355D">
              <w:rPr>
                <w:szCs w:val="20"/>
              </w:rPr>
              <w:t>No</w:t>
            </w:r>
          </w:p>
        </w:tc>
      </w:tr>
    </w:tbl>
    <w:p w:rsidR="00F30FCD" w:rsidRPr="003B355D" w:rsidRDefault="00F30FCD" w:rsidP="0089138C">
      <w:pPr>
        <w:pStyle w:val="TableFooter"/>
      </w:pPr>
      <w:r w:rsidRPr="003B355D">
        <w:t xml:space="preserve">Source: Table B.2.3, p.57 of the submission; Study record details for EXSCEL (NCT01144338) accessed 27 March 2017 from </w:t>
      </w:r>
      <w:r w:rsidRPr="002578F9">
        <w:rPr>
          <w:szCs w:val="18"/>
        </w:rPr>
        <w:t>https://clinicaltrials.gov/ct2/show/record/NCT01144338?term=exscel&amp;rank=1</w:t>
      </w:r>
    </w:p>
    <w:p w:rsidR="00F30FCD" w:rsidRPr="003B355D" w:rsidRDefault="00F30FCD" w:rsidP="0089138C">
      <w:pPr>
        <w:pStyle w:val="TableFooter"/>
      </w:pPr>
      <w:r w:rsidRPr="003B355D">
        <w:t>Abbreviations: DB, double blind; EQ-5D, EuroQol-5D; FAS, full analysis set; HbA1c, glycosylated haemoglobin; MACE, major adverse cardiovascular events; MC, multi-centre; PC, placebo controlled; R, randomised.</w:t>
      </w:r>
    </w:p>
    <w:p w:rsidR="00F30FCD" w:rsidRPr="003B355D" w:rsidRDefault="00F30FCD" w:rsidP="0089138C">
      <w:pPr>
        <w:pStyle w:val="TableFooter"/>
      </w:pPr>
      <w:proofErr w:type="gramStart"/>
      <w:r w:rsidRPr="003B355D">
        <w:rPr>
          <w:vertAlign w:val="superscript"/>
        </w:rPr>
        <w:t>a</w:t>
      </w:r>
      <w:proofErr w:type="gramEnd"/>
      <w:r w:rsidRPr="003B355D">
        <w:t xml:space="preserve"> Composite MACE outcome composed of cardiovascular death, non-fatal MI, non-fatal stroke </w:t>
      </w:r>
    </w:p>
    <w:p w:rsidR="00F30FCD" w:rsidRPr="003B355D" w:rsidRDefault="00F30FCD" w:rsidP="0089138C">
      <w:pPr>
        <w:pStyle w:val="TableFooter"/>
      </w:pPr>
      <w:proofErr w:type="gramStart"/>
      <w:r w:rsidRPr="003B355D">
        <w:rPr>
          <w:vertAlign w:val="superscript"/>
        </w:rPr>
        <w:t>b</w:t>
      </w:r>
      <w:proofErr w:type="gramEnd"/>
      <w:r w:rsidRPr="003B355D">
        <w:t xml:space="preserve"> Composite MACE outcome composed of cardiovascular death, non-fatal MI, non-fatal stroke, hospitalisation for unstable angina</w:t>
      </w:r>
    </w:p>
    <w:p w:rsidR="002A2F74" w:rsidRPr="003B355D" w:rsidRDefault="00F30FCD" w:rsidP="0089138C">
      <w:pPr>
        <w:pStyle w:val="TableFooter"/>
      </w:pPr>
      <w:proofErr w:type="gramStart"/>
      <w:r w:rsidRPr="003B355D">
        <w:rPr>
          <w:vertAlign w:val="superscript"/>
        </w:rPr>
        <w:t>c</w:t>
      </w:r>
      <w:proofErr w:type="gramEnd"/>
      <w:r w:rsidRPr="003B355D">
        <w:t xml:space="preserve"> </w:t>
      </w:r>
      <w:r w:rsidR="002A2F74" w:rsidRPr="003B355D">
        <w:t>Standard care included concomitant diabetes medicines (</w:t>
      </w:r>
      <w:r w:rsidR="001F6A69" w:rsidRPr="003B355D">
        <w:t>primarily metf</w:t>
      </w:r>
      <w:r w:rsidR="005042AB" w:rsidRPr="003B355D">
        <w:t>ormin, sulfonylurea and insulin</w:t>
      </w:r>
      <w:r w:rsidR="002A2F74" w:rsidRPr="003B355D">
        <w:t>) required to maintain glycaemic control and cardiovascular medicines.</w:t>
      </w:r>
    </w:p>
    <w:p w:rsidR="00137F8D" w:rsidRPr="003B355D" w:rsidRDefault="002A2F74" w:rsidP="0089138C">
      <w:pPr>
        <w:pStyle w:val="TableFooter"/>
      </w:pPr>
      <w:proofErr w:type="gramStart"/>
      <w:r w:rsidRPr="003B355D">
        <w:rPr>
          <w:vertAlign w:val="superscript"/>
        </w:rPr>
        <w:t>d</w:t>
      </w:r>
      <w:proofErr w:type="gramEnd"/>
      <w:r w:rsidRPr="003B355D">
        <w:t xml:space="preserve"> </w:t>
      </w:r>
      <w:r w:rsidR="00F30FCD" w:rsidRPr="003B355D">
        <w:t>Standard care included concomitant diabetes medicines</w:t>
      </w:r>
      <w:r w:rsidR="00856C56" w:rsidRPr="003B355D">
        <w:t xml:space="preserve"> (</w:t>
      </w:r>
      <w:r w:rsidR="001F6A69" w:rsidRPr="003B355D">
        <w:t>not specified</w:t>
      </w:r>
      <w:r w:rsidR="00856C56" w:rsidRPr="003B355D">
        <w:t>)</w:t>
      </w:r>
      <w:r w:rsidR="00F30FCD" w:rsidRPr="003B355D">
        <w:t xml:space="preserve"> required to maintain glycaemic control and cardiovascular medicines.</w:t>
      </w:r>
    </w:p>
    <w:p w:rsidR="00B540CE" w:rsidRPr="003B355D" w:rsidRDefault="00B540CE" w:rsidP="0089138C">
      <w:pPr>
        <w:pStyle w:val="TableFooter"/>
      </w:pPr>
    </w:p>
    <w:p w:rsidR="00137F8D" w:rsidRPr="003B355D" w:rsidRDefault="005B7412" w:rsidP="002C3067">
      <w:pPr>
        <w:pStyle w:val="ESnumberedparablue"/>
        <w:numPr>
          <w:ilvl w:val="1"/>
          <w:numId w:val="34"/>
        </w:numPr>
        <w:rPr>
          <w:rFonts w:asciiTheme="minorHAnsi" w:hAnsiTheme="minorHAnsi"/>
          <w:color w:val="auto"/>
          <w:sz w:val="24"/>
          <w:szCs w:val="24"/>
        </w:rPr>
      </w:pPr>
      <w:r w:rsidRPr="003B355D">
        <w:rPr>
          <w:rFonts w:asciiTheme="minorHAnsi" w:hAnsiTheme="minorHAnsi"/>
          <w:color w:val="auto"/>
          <w:sz w:val="24"/>
          <w:szCs w:val="24"/>
        </w:rPr>
        <w:t>The inclusion criteria in the LEADER trial were similar to the high cardiovascular risk criteria used in the requested restriction</w:t>
      </w:r>
      <w:r w:rsidR="00432F4D" w:rsidRPr="003B355D">
        <w:rPr>
          <w:rFonts w:asciiTheme="minorHAnsi" w:hAnsiTheme="minorHAnsi"/>
          <w:color w:val="auto"/>
          <w:sz w:val="24"/>
          <w:szCs w:val="24"/>
        </w:rPr>
        <w:t>.</w:t>
      </w:r>
      <w:r w:rsidR="00213B86" w:rsidRPr="003B355D">
        <w:rPr>
          <w:rFonts w:asciiTheme="minorHAnsi" w:hAnsiTheme="minorHAnsi"/>
          <w:color w:val="auto"/>
          <w:sz w:val="24"/>
          <w:szCs w:val="24"/>
        </w:rPr>
        <w:t xml:space="preserve"> </w:t>
      </w:r>
      <w:r w:rsidR="0080299F" w:rsidRPr="003B355D">
        <w:rPr>
          <w:rFonts w:asciiTheme="minorHAnsi" w:hAnsiTheme="minorHAnsi"/>
          <w:color w:val="auto"/>
          <w:sz w:val="24"/>
          <w:szCs w:val="24"/>
        </w:rPr>
        <w:t>However, there were differences with Australian clinical practice (</w:t>
      </w:r>
      <w:r w:rsidR="00213B86" w:rsidRPr="003B355D">
        <w:rPr>
          <w:rFonts w:asciiTheme="minorHAnsi" w:hAnsiTheme="minorHAnsi"/>
          <w:color w:val="auto"/>
          <w:sz w:val="24"/>
          <w:szCs w:val="24"/>
        </w:rPr>
        <w:t>exclusion of patients with recent GLP-1 receptor agonist or DPP4 inhibitor use</w:t>
      </w:r>
      <w:r w:rsidR="0080299F" w:rsidRPr="003B355D">
        <w:rPr>
          <w:rFonts w:asciiTheme="minorHAnsi" w:hAnsiTheme="minorHAnsi"/>
          <w:color w:val="auto"/>
          <w:sz w:val="24"/>
          <w:szCs w:val="24"/>
        </w:rPr>
        <w:t>; small proportions of patients aged over 60 years despite best practice guidelines recommending all patients with Type 2 diabetes aged over 60 years be considered at high risk).</w:t>
      </w:r>
      <w:r w:rsidR="0092416F" w:rsidRPr="003B355D">
        <w:rPr>
          <w:rFonts w:asciiTheme="minorHAnsi" w:hAnsiTheme="minorHAnsi"/>
          <w:color w:val="auto"/>
          <w:sz w:val="24"/>
          <w:szCs w:val="24"/>
        </w:rPr>
        <w:t xml:space="preserve"> The ESC considered that some patients </w:t>
      </w:r>
      <w:r w:rsidR="001A2A42" w:rsidRPr="003B355D">
        <w:rPr>
          <w:rFonts w:asciiTheme="minorHAnsi" w:hAnsiTheme="minorHAnsi"/>
          <w:color w:val="auto"/>
          <w:sz w:val="24"/>
          <w:szCs w:val="24"/>
        </w:rPr>
        <w:t xml:space="preserve">who </w:t>
      </w:r>
      <w:r w:rsidR="0092416F" w:rsidRPr="003B355D">
        <w:rPr>
          <w:rFonts w:asciiTheme="minorHAnsi" w:hAnsiTheme="minorHAnsi"/>
          <w:color w:val="auto"/>
          <w:sz w:val="24"/>
          <w:szCs w:val="24"/>
        </w:rPr>
        <w:t>may benefit from</w:t>
      </w:r>
      <w:r w:rsidR="001A2A42" w:rsidRPr="003B355D">
        <w:rPr>
          <w:rFonts w:asciiTheme="minorHAnsi" w:hAnsiTheme="minorHAnsi"/>
          <w:color w:val="auto"/>
          <w:sz w:val="24"/>
          <w:szCs w:val="24"/>
        </w:rPr>
        <w:t xml:space="preserve"> treatment with liraglutide will be excluded by </w:t>
      </w:r>
      <w:r w:rsidR="005042AB" w:rsidRPr="003B355D">
        <w:rPr>
          <w:rFonts w:asciiTheme="minorHAnsi" w:hAnsiTheme="minorHAnsi"/>
          <w:color w:val="auto"/>
          <w:sz w:val="24"/>
          <w:szCs w:val="24"/>
        </w:rPr>
        <w:t>criteria that restrict</w:t>
      </w:r>
      <w:r w:rsidR="001A2A42" w:rsidRPr="003B355D">
        <w:rPr>
          <w:rFonts w:asciiTheme="minorHAnsi" w:hAnsiTheme="minorHAnsi"/>
          <w:color w:val="auto"/>
          <w:sz w:val="24"/>
          <w:szCs w:val="24"/>
        </w:rPr>
        <w:t xml:space="preserve"> treatment to those over 50 with diabetes and established cardiovascular disease whilst Aboriginal and Torres Strait Islander people are included at any age.</w:t>
      </w:r>
      <w:r w:rsidR="00240279" w:rsidRPr="003B355D">
        <w:rPr>
          <w:rFonts w:asciiTheme="minorHAnsi" w:hAnsiTheme="minorHAnsi"/>
          <w:color w:val="auto"/>
          <w:sz w:val="24"/>
          <w:szCs w:val="24"/>
        </w:rPr>
        <w:t xml:space="preserve"> The ESC also noted the inclusion of radiological rather than symptomatic cardiovascular disease may provide incentive for otherwise unnecessary radiological investigation in the over 60 group.</w:t>
      </w:r>
    </w:p>
    <w:p w:rsidR="00477670" w:rsidRPr="003B355D" w:rsidRDefault="00477670" w:rsidP="002C3067">
      <w:pPr>
        <w:pStyle w:val="ESnumberedparablue"/>
        <w:numPr>
          <w:ilvl w:val="1"/>
          <w:numId w:val="34"/>
        </w:numPr>
        <w:rPr>
          <w:rFonts w:asciiTheme="minorHAnsi" w:hAnsiTheme="minorHAnsi"/>
          <w:color w:val="auto"/>
          <w:sz w:val="24"/>
          <w:szCs w:val="24"/>
        </w:rPr>
      </w:pPr>
      <w:r w:rsidRPr="003B355D">
        <w:rPr>
          <w:rFonts w:asciiTheme="minorHAnsi" w:hAnsiTheme="minorHAnsi"/>
          <w:color w:val="auto"/>
          <w:sz w:val="24"/>
          <w:szCs w:val="24"/>
        </w:rPr>
        <w:t xml:space="preserve">The LEADER trial used the MACE composite outcome (cardiovascular death, non-fatal myocardial infarction, </w:t>
      </w:r>
      <w:proofErr w:type="gramStart"/>
      <w:r w:rsidRPr="003B355D">
        <w:rPr>
          <w:rFonts w:asciiTheme="minorHAnsi" w:hAnsiTheme="minorHAnsi"/>
          <w:color w:val="auto"/>
          <w:sz w:val="24"/>
          <w:szCs w:val="24"/>
        </w:rPr>
        <w:t>non</w:t>
      </w:r>
      <w:proofErr w:type="gramEnd"/>
      <w:r w:rsidRPr="003B355D">
        <w:rPr>
          <w:rFonts w:asciiTheme="minorHAnsi" w:hAnsiTheme="minorHAnsi"/>
          <w:color w:val="auto"/>
          <w:sz w:val="24"/>
          <w:szCs w:val="24"/>
        </w:rPr>
        <w:t xml:space="preserve">-fatal stroke), expanded MACE composite outcome </w:t>
      </w:r>
      <w:r w:rsidR="00BB7C04" w:rsidRPr="003B355D">
        <w:rPr>
          <w:rFonts w:asciiTheme="minorHAnsi" w:hAnsiTheme="minorHAnsi"/>
          <w:color w:val="auto"/>
          <w:sz w:val="24"/>
          <w:szCs w:val="24"/>
        </w:rPr>
        <w:t>and a microvascular composite outcome (first nephropathy event</w:t>
      </w:r>
      <w:r w:rsidRPr="003B355D">
        <w:rPr>
          <w:rFonts w:asciiTheme="minorHAnsi" w:hAnsiTheme="minorHAnsi"/>
          <w:color w:val="auto"/>
          <w:sz w:val="24"/>
          <w:szCs w:val="24"/>
        </w:rPr>
        <w:t>,</w:t>
      </w:r>
      <w:r w:rsidR="00BB7C04" w:rsidRPr="003B355D">
        <w:rPr>
          <w:rFonts w:asciiTheme="minorHAnsi" w:hAnsiTheme="minorHAnsi"/>
          <w:color w:val="auto"/>
          <w:sz w:val="24"/>
          <w:szCs w:val="24"/>
        </w:rPr>
        <w:t xml:space="preserve"> need for continuing renal dialysis, first retinopathy event) comparing liraglutide with placebo. MACE included appropriate patient relevant cardiovascular outcomes, but the </w:t>
      </w:r>
      <w:r w:rsidR="00BB7C04" w:rsidRPr="003B355D">
        <w:rPr>
          <w:rFonts w:asciiTheme="minorHAnsi" w:hAnsiTheme="minorHAnsi"/>
          <w:color w:val="auto"/>
          <w:sz w:val="24"/>
          <w:szCs w:val="24"/>
        </w:rPr>
        <w:lastRenderedPageBreak/>
        <w:t xml:space="preserve">microvascular composite outcome included </w:t>
      </w:r>
      <w:r w:rsidR="0032145C">
        <w:rPr>
          <w:rFonts w:asciiTheme="minorHAnsi" w:hAnsiTheme="minorHAnsi"/>
          <w:color w:val="auto"/>
          <w:sz w:val="24"/>
          <w:szCs w:val="24"/>
        </w:rPr>
        <w:t xml:space="preserve">both </w:t>
      </w:r>
      <w:r w:rsidR="00BB7C04" w:rsidRPr="003B355D">
        <w:rPr>
          <w:rFonts w:asciiTheme="minorHAnsi" w:hAnsiTheme="minorHAnsi"/>
          <w:color w:val="auto"/>
          <w:sz w:val="24"/>
          <w:szCs w:val="24"/>
        </w:rPr>
        <w:t>procedural and patient relevant outcomes</w:t>
      </w:r>
      <w:r w:rsidR="00086B05" w:rsidRPr="003B355D">
        <w:rPr>
          <w:rFonts w:asciiTheme="minorHAnsi" w:hAnsiTheme="minorHAnsi"/>
          <w:i/>
          <w:color w:val="auto"/>
          <w:sz w:val="24"/>
          <w:szCs w:val="24"/>
        </w:rPr>
        <w:t>.</w:t>
      </w:r>
    </w:p>
    <w:p w:rsidR="00137F8D" w:rsidRPr="003B355D" w:rsidRDefault="00137F8D" w:rsidP="001F6B1E">
      <w:pPr>
        <w:pStyle w:val="Heading2"/>
        <w:spacing w:before="120" w:after="160"/>
        <w:rPr>
          <w:rFonts w:asciiTheme="minorHAnsi" w:eastAsiaTheme="majorEastAsia" w:hAnsiTheme="minorHAnsi"/>
          <w:i/>
          <w:snapToGrid/>
          <w:sz w:val="24"/>
          <w:szCs w:val="24"/>
        </w:rPr>
      </w:pPr>
      <w:bookmarkStart w:id="22" w:name="_Toc413139278"/>
      <w:bookmarkStart w:id="23" w:name="_Toc476306888"/>
      <w:bookmarkStart w:id="24" w:name="_Toc482048976"/>
      <w:r w:rsidRPr="003B355D">
        <w:rPr>
          <w:rFonts w:asciiTheme="minorHAnsi" w:eastAsiaTheme="majorEastAsia" w:hAnsiTheme="minorHAnsi"/>
          <w:i/>
          <w:snapToGrid/>
          <w:sz w:val="24"/>
          <w:szCs w:val="24"/>
        </w:rPr>
        <w:t>Comparative effectiveness</w:t>
      </w:r>
      <w:bookmarkEnd w:id="22"/>
      <w:bookmarkEnd w:id="23"/>
      <w:bookmarkEnd w:id="24"/>
      <w:r w:rsidRPr="003B355D">
        <w:rPr>
          <w:rFonts w:asciiTheme="minorHAnsi" w:eastAsiaTheme="majorEastAsia" w:hAnsiTheme="minorHAnsi"/>
          <w:i/>
          <w:snapToGrid/>
          <w:sz w:val="24"/>
          <w:szCs w:val="24"/>
        </w:rPr>
        <w:t xml:space="preserve"> </w:t>
      </w:r>
    </w:p>
    <w:p w:rsidR="00137F8D" w:rsidRPr="003B355D" w:rsidRDefault="00477670" w:rsidP="002C3067">
      <w:pPr>
        <w:pStyle w:val="ESnumberedparablue"/>
        <w:numPr>
          <w:ilvl w:val="1"/>
          <w:numId w:val="34"/>
        </w:numPr>
        <w:rPr>
          <w:rFonts w:asciiTheme="minorHAnsi" w:hAnsiTheme="minorHAnsi"/>
          <w:color w:val="auto"/>
          <w:sz w:val="24"/>
          <w:szCs w:val="24"/>
        </w:rPr>
      </w:pPr>
      <w:r w:rsidRPr="003B355D">
        <w:rPr>
          <w:rFonts w:asciiTheme="minorHAnsi" w:hAnsiTheme="minorHAnsi"/>
          <w:color w:val="auto"/>
          <w:sz w:val="24"/>
          <w:szCs w:val="24"/>
        </w:rPr>
        <w:t xml:space="preserve">The primary composite MACE outcome and component outcomes of the LEADER trial are presented in Table </w:t>
      </w:r>
      <w:r w:rsidR="00677E84" w:rsidRPr="003B355D">
        <w:rPr>
          <w:rFonts w:asciiTheme="minorHAnsi" w:hAnsiTheme="minorHAnsi"/>
          <w:color w:val="auto"/>
          <w:sz w:val="24"/>
          <w:szCs w:val="24"/>
        </w:rPr>
        <w:t>5</w:t>
      </w:r>
      <w:r w:rsidR="002A2F74" w:rsidRPr="003B355D">
        <w:rPr>
          <w:rFonts w:asciiTheme="minorHAnsi" w:hAnsiTheme="minorHAnsi"/>
          <w:color w:val="auto"/>
          <w:sz w:val="24"/>
          <w:szCs w:val="24"/>
        </w:rPr>
        <w:t xml:space="preserve"> </w:t>
      </w:r>
      <w:r w:rsidRPr="003B355D">
        <w:rPr>
          <w:rFonts w:asciiTheme="minorHAnsi" w:hAnsiTheme="minorHAnsi"/>
          <w:color w:val="auto"/>
          <w:sz w:val="24"/>
          <w:szCs w:val="24"/>
        </w:rPr>
        <w:t>and Figure 1 below.</w:t>
      </w:r>
    </w:p>
    <w:p w:rsidR="00D453F1" w:rsidRDefault="00D453F1" w:rsidP="00D453F1">
      <w:pPr>
        <w:pStyle w:val="Caption"/>
      </w:pPr>
      <w:r>
        <w:t xml:space="preserve">Table </w:t>
      </w:r>
      <w:r>
        <w:rPr>
          <w:noProof/>
        </w:rPr>
        <w:t>5</w:t>
      </w:r>
      <w:r w:rsidRPr="00696B46">
        <w:t>: Time to first EAC-confirmed MACE and component events over 60 months (FAS)</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96"/>
        <w:gridCol w:w="1136"/>
        <w:gridCol w:w="1458"/>
        <w:gridCol w:w="1147"/>
        <w:gridCol w:w="1458"/>
        <w:gridCol w:w="7"/>
        <w:gridCol w:w="1598"/>
      </w:tblGrid>
      <w:tr w:rsidR="00156CCD" w:rsidRPr="003B355D" w:rsidTr="00312B5B">
        <w:tc>
          <w:tcPr>
            <w:tcW w:w="1262" w:type="pct"/>
            <w:vMerge w:val="restart"/>
            <w:vAlign w:val="center"/>
          </w:tcPr>
          <w:p w:rsidR="00156CCD" w:rsidRPr="003B355D" w:rsidRDefault="00156CCD" w:rsidP="0080299F">
            <w:pPr>
              <w:keepNext/>
              <w:keepLines/>
              <w:spacing w:before="40" w:after="40"/>
              <w:rPr>
                <w:rFonts w:ascii="Arial Narrow" w:hAnsi="Arial Narrow"/>
                <w:sz w:val="20"/>
              </w:rPr>
            </w:pPr>
            <w:r w:rsidRPr="003B355D">
              <w:rPr>
                <w:rFonts w:ascii="Arial Narrow" w:hAnsi="Arial Narrow"/>
                <w:b/>
                <w:sz w:val="20"/>
              </w:rPr>
              <w:t>Trial ID</w:t>
            </w:r>
          </w:p>
        </w:tc>
        <w:tc>
          <w:tcPr>
            <w:tcW w:w="1425" w:type="pct"/>
            <w:gridSpan w:val="2"/>
            <w:vAlign w:val="center"/>
          </w:tcPr>
          <w:p w:rsidR="00156CCD" w:rsidRPr="003B355D" w:rsidRDefault="00156CCD" w:rsidP="0080299F">
            <w:pPr>
              <w:keepNext/>
              <w:keepLines/>
              <w:spacing w:before="40" w:after="40"/>
              <w:jc w:val="center"/>
              <w:rPr>
                <w:rFonts w:ascii="Arial Narrow" w:hAnsi="Arial Narrow"/>
                <w:b/>
                <w:sz w:val="20"/>
              </w:rPr>
            </w:pPr>
            <w:r w:rsidRPr="003B355D">
              <w:rPr>
                <w:rFonts w:ascii="Arial Narrow" w:hAnsi="Arial Narrow"/>
                <w:b/>
                <w:sz w:val="20"/>
              </w:rPr>
              <w:t>Liraglutide</w:t>
            </w:r>
          </w:p>
          <w:p w:rsidR="00156CCD" w:rsidRPr="003B355D" w:rsidRDefault="00156CCD" w:rsidP="0080299F">
            <w:pPr>
              <w:keepNext/>
              <w:keepLines/>
              <w:spacing w:before="40" w:after="40"/>
              <w:jc w:val="center"/>
              <w:rPr>
                <w:rFonts w:ascii="Arial Narrow" w:hAnsi="Arial Narrow"/>
                <w:b/>
                <w:sz w:val="20"/>
              </w:rPr>
            </w:pPr>
            <w:r w:rsidRPr="003B355D">
              <w:rPr>
                <w:rFonts w:ascii="Arial Narrow" w:hAnsi="Arial Narrow"/>
                <w:b/>
                <w:sz w:val="20"/>
              </w:rPr>
              <w:t>N=4668</w:t>
            </w:r>
          </w:p>
        </w:tc>
        <w:tc>
          <w:tcPr>
            <w:tcW w:w="1431" w:type="pct"/>
            <w:gridSpan w:val="2"/>
            <w:vAlign w:val="center"/>
          </w:tcPr>
          <w:p w:rsidR="00156CCD" w:rsidRPr="003B355D" w:rsidRDefault="00156CCD" w:rsidP="0080299F">
            <w:pPr>
              <w:keepNext/>
              <w:keepLines/>
              <w:spacing w:before="40" w:after="40"/>
              <w:jc w:val="center"/>
              <w:rPr>
                <w:rFonts w:ascii="Arial Narrow" w:hAnsi="Arial Narrow"/>
                <w:b/>
                <w:sz w:val="20"/>
              </w:rPr>
            </w:pPr>
            <w:r w:rsidRPr="003B355D">
              <w:rPr>
                <w:rFonts w:ascii="Arial Narrow" w:hAnsi="Arial Narrow"/>
                <w:b/>
                <w:sz w:val="20"/>
              </w:rPr>
              <w:t>Placebo</w:t>
            </w:r>
          </w:p>
          <w:p w:rsidR="00156CCD" w:rsidRPr="003B355D" w:rsidRDefault="00156CCD" w:rsidP="0080299F">
            <w:pPr>
              <w:keepNext/>
              <w:keepLines/>
              <w:spacing w:before="40" w:after="40"/>
              <w:jc w:val="center"/>
              <w:rPr>
                <w:rFonts w:ascii="Arial Narrow" w:hAnsi="Arial Narrow"/>
                <w:b/>
                <w:sz w:val="20"/>
              </w:rPr>
            </w:pPr>
            <w:r w:rsidRPr="003B355D">
              <w:rPr>
                <w:rFonts w:ascii="Arial Narrow" w:hAnsi="Arial Narrow"/>
                <w:b/>
                <w:sz w:val="20"/>
              </w:rPr>
              <w:t>N=4672</w:t>
            </w:r>
          </w:p>
        </w:tc>
        <w:tc>
          <w:tcPr>
            <w:tcW w:w="882" w:type="pct"/>
            <w:gridSpan w:val="2"/>
            <w:vMerge w:val="restart"/>
            <w:vAlign w:val="center"/>
          </w:tcPr>
          <w:p w:rsidR="00156CCD" w:rsidRPr="003B355D" w:rsidRDefault="00156CCD" w:rsidP="0080299F">
            <w:pPr>
              <w:keepNext/>
              <w:keepLines/>
              <w:spacing w:before="40" w:after="40"/>
              <w:jc w:val="center"/>
              <w:rPr>
                <w:rFonts w:ascii="Arial Narrow" w:hAnsi="Arial Narrow"/>
                <w:b/>
                <w:sz w:val="20"/>
                <w:vertAlign w:val="superscript"/>
              </w:rPr>
            </w:pPr>
            <w:r w:rsidRPr="003B355D">
              <w:rPr>
                <w:rFonts w:ascii="Arial Narrow" w:hAnsi="Arial Narrow"/>
                <w:b/>
                <w:sz w:val="20"/>
              </w:rPr>
              <w:t xml:space="preserve">Hazard </w:t>
            </w:r>
            <w:proofErr w:type="spellStart"/>
            <w:r w:rsidRPr="003B355D">
              <w:rPr>
                <w:rFonts w:ascii="Arial Narrow" w:hAnsi="Arial Narrow"/>
                <w:b/>
                <w:sz w:val="20"/>
              </w:rPr>
              <w:t>ratio</w:t>
            </w:r>
            <w:r w:rsidR="00304644" w:rsidRPr="003B355D">
              <w:rPr>
                <w:rFonts w:ascii="Arial Narrow" w:hAnsi="Arial Narrow"/>
                <w:b/>
                <w:sz w:val="20"/>
                <w:vertAlign w:val="superscript"/>
              </w:rPr>
              <w:t>c</w:t>
            </w:r>
            <w:proofErr w:type="spellEnd"/>
          </w:p>
          <w:p w:rsidR="00156CCD" w:rsidRPr="003B355D" w:rsidRDefault="00156CCD" w:rsidP="0080299F">
            <w:pPr>
              <w:keepNext/>
              <w:keepLines/>
              <w:spacing w:before="40" w:after="40"/>
              <w:jc w:val="center"/>
              <w:rPr>
                <w:rFonts w:ascii="Arial Narrow" w:hAnsi="Arial Narrow"/>
                <w:b/>
                <w:sz w:val="20"/>
              </w:rPr>
            </w:pPr>
            <w:r w:rsidRPr="003B355D">
              <w:rPr>
                <w:rFonts w:ascii="Arial Narrow" w:hAnsi="Arial Narrow"/>
                <w:b/>
                <w:sz w:val="20"/>
              </w:rPr>
              <w:t>(95% CI)</w:t>
            </w:r>
          </w:p>
        </w:tc>
      </w:tr>
      <w:tr w:rsidR="00754889" w:rsidRPr="003B355D" w:rsidTr="00312B5B">
        <w:tc>
          <w:tcPr>
            <w:tcW w:w="1262" w:type="pct"/>
            <w:vMerge/>
            <w:vAlign w:val="center"/>
          </w:tcPr>
          <w:p w:rsidR="00754889" w:rsidRPr="003B355D" w:rsidRDefault="00754889" w:rsidP="0080299F">
            <w:pPr>
              <w:keepNext/>
              <w:keepLines/>
              <w:spacing w:before="40" w:after="40"/>
              <w:rPr>
                <w:rFonts w:ascii="Arial Narrow" w:hAnsi="Arial Narrow"/>
                <w:sz w:val="20"/>
              </w:rPr>
            </w:pPr>
          </w:p>
        </w:tc>
        <w:tc>
          <w:tcPr>
            <w:tcW w:w="624" w:type="pct"/>
            <w:vAlign w:val="center"/>
          </w:tcPr>
          <w:p w:rsidR="00754889" w:rsidRPr="003B355D" w:rsidRDefault="00754889" w:rsidP="0080299F">
            <w:pPr>
              <w:keepNext/>
              <w:keepLines/>
              <w:spacing w:before="40" w:after="40"/>
              <w:jc w:val="center"/>
              <w:rPr>
                <w:rFonts w:ascii="Arial Narrow" w:hAnsi="Arial Narrow"/>
                <w:b/>
                <w:sz w:val="20"/>
              </w:rPr>
            </w:pPr>
            <w:proofErr w:type="gramStart"/>
            <w:r w:rsidRPr="003B355D">
              <w:rPr>
                <w:rFonts w:ascii="Arial Narrow" w:hAnsi="Arial Narrow"/>
                <w:b/>
                <w:sz w:val="20"/>
              </w:rPr>
              <w:t>n</w:t>
            </w:r>
            <w:proofErr w:type="gramEnd"/>
            <w:r w:rsidRPr="003B355D">
              <w:rPr>
                <w:rFonts w:ascii="Arial Narrow" w:hAnsi="Arial Narrow"/>
                <w:b/>
                <w:sz w:val="20"/>
              </w:rPr>
              <w:t xml:space="preserve"> with events (%)</w:t>
            </w:r>
          </w:p>
        </w:tc>
        <w:tc>
          <w:tcPr>
            <w:tcW w:w="801" w:type="pct"/>
            <w:vAlign w:val="center"/>
          </w:tcPr>
          <w:p w:rsidR="00754889" w:rsidRPr="003B355D" w:rsidRDefault="00754889" w:rsidP="0080299F">
            <w:pPr>
              <w:keepNext/>
              <w:keepLines/>
              <w:spacing w:before="40" w:after="40"/>
              <w:jc w:val="center"/>
              <w:rPr>
                <w:rFonts w:ascii="Arial Narrow" w:hAnsi="Arial Narrow"/>
                <w:b/>
                <w:sz w:val="20"/>
              </w:rPr>
            </w:pPr>
            <w:r w:rsidRPr="003B355D">
              <w:rPr>
                <w:rFonts w:ascii="Arial Narrow" w:hAnsi="Arial Narrow"/>
                <w:b/>
                <w:sz w:val="20"/>
              </w:rPr>
              <w:t xml:space="preserve">Events per </w:t>
            </w:r>
          </w:p>
          <w:p w:rsidR="00754889" w:rsidRPr="003B355D" w:rsidRDefault="00754889" w:rsidP="0080299F">
            <w:pPr>
              <w:keepNext/>
              <w:keepLines/>
              <w:spacing w:before="40" w:after="40"/>
              <w:jc w:val="center"/>
              <w:rPr>
                <w:rFonts w:ascii="Arial Narrow" w:hAnsi="Arial Narrow"/>
                <w:b/>
                <w:sz w:val="20"/>
              </w:rPr>
            </w:pPr>
            <w:r w:rsidRPr="003B355D">
              <w:rPr>
                <w:rFonts w:ascii="Arial Narrow" w:hAnsi="Arial Narrow"/>
                <w:b/>
                <w:sz w:val="20"/>
              </w:rPr>
              <w:t xml:space="preserve">100 patient </w:t>
            </w:r>
            <w:proofErr w:type="spellStart"/>
            <w:r w:rsidRPr="003B355D">
              <w:rPr>
                <w:rFonts w:ascii="Arial Narrow" w:hAnsi="Arial Narrow"/>
                <w:b/>
                <w:sz w:val="20"/>
              </w:rPr>
              <w:t>years</w:t>
            </w:r>
            <w:r w:rsidRPr="003B355D">
              <w:rPr>
                <w:rFonts w:ascii="Arial Narrow" w:hAnsi="Arial Narrow"/>
                <w:b/>
                <w:sz w:val="20"/>
                <w:vertAlign w:val="superscript"/>
              </w:rPr>
              <w:t>a</w:t>
            </w:r>
            <w:proofErr w:type="spellEnd"/>
          </w:p>
        </w:tc>
        <w:tc>
          <w:tcPr>
            <w:tcW w:w="630" w:type="pct"/>
            <w:vAlign w:val="center"/>
          </w:tcPr>
          <w:p w:rsidR="00754889" w:rsidRPr="003B355D" w:rsidRDefault="00754889" w:rsidP="0080299F">
            <w:pPr>
              <w:keepNext/>
              <w:keepLines/>
              <w:spacing w:before="40" w:after="40"/>
              <w:jc w:val="center"/>
              <w:rPr>
                <w:rFonts w:ascii="Arial Narrow" w:hAnsi="Arial Narrow"/>
                <w:b/>
                <w:sz w:val="20"/>
              </w:rPr>
            </w:pPr>
            <w:proofErr w:type="gramStart"/>
            <w:r w:rsidRPr="003B355D">
              <w:rPr>
                <w:rFonts w:ascii="Arial Narrow" w:hAnsi="Arial Narrow"/>
                <w:b/>
                <w:sz w:val="20"/>
              </w:rPr>
              <w:t>n</w:t>
            </w:r>
            <w:proofErr w:type="gramEnd"/>
            <w:r w:rsidRPr="003B355D">
              <w:rPr>
                <w:rFonts w:ascii="Arial Narrow" w:hAnsi="Arial Narrow"/>
                <w:b/>
                <w:sz w:val="20"/>
              </w:rPr>
              <w:t xml:space="preserve"> with events (%)</w:t>
            </w:r>
          </w:p>
        </w:tc>
        <w:tc>
          <w:tcPr>
            <w:tcW w:w="801" w:type="pct"/>
            <w:vAlign w:val="center"/>
          </w:tcPr>
          <w:p w:rsidR="00754889" w:rsidRPr="003B355D" w:rsidRDefault="00754889" w:rsidP="0080299F">
            <w:pPr>
              <w:keepNext/>
              <w:keepLines/>
              <w:spacing w:before="40" w:after="40"/>
              <w:jc w:val="center"/>
              <w:rPr>
                <w:rFonts w:ascii="Arial Narrow" w:hAnsi="Arial Narrow"/>
                <w:b/>
                <w:sz w:val="20"/>
              </w:rPr>
            </w:pPr>
            <w:r w:rsidRPr="003B355D">
              <w:rPr>
                <w:rFonts w:ascii="Arial Narrow" w:hAnsi="Arial Narrow"/>
                <w:b/>
                <w:sz w:val="20"/>
              </w:rPr>
              <w:t xml:space="preserve">Events per </w:t>
            </w:r>
          </w:p>
          <w:p w:rsidR="00754889" w:rsidRPr="003B355D" w:rsidRDefault="00754889" w:rsidP="0080299F">
            <w:pPr>
              <w:keepNext/>
              <w:keepLines/>
              <w:spacing w:before="40" w:after="40"/>
              <w:jc w:val="center"/>
              <w:rPr>
                <w:rFonts w:ascii="Arial Narrow" w:hAnsi="Arial Narrow"/>
                <w:b/>
                <w:sz w:val="20"/>
              </w:rPr>
            </w:pPr>
            <w:r w:rsidRPr="003B355D">
              <w:rPr>
                <w:rFonts w:ascii="Arial Narrow" w:hAnsi="Arial Narrow"/>
                <w:b/>
                <w:sz w:val="20"/>
              </w:rPr>
              <w:t xml:space="preserve">100 patient </w:t>
            </w:r>
            <w:proofErr w:type="spellStart"/>
            <w:r w:rsidRPr="003B355D">
              <w:rPr>
                <w:rFonts w:ascii="Arial Narrow" w:hAnsi="Arial Narrow"/>
                <w:b/>
                <w:sz w:val="20"/>
              </w:rPr>
              <w:t>years</w:t>
            </w:r>
            <w:r w:rsidRPr="003B355D">
              <w:rPr>
                <w:rFonts w:ascii="Arial Narrow" w:hAnsi="Arial Narrow"/>
                <w:b/>
                <w:sz w:val="20"/>
                <w:vertAlign w:val="superscript"/>
              </w:rPr>
              <w:t>b</w:t>
            </w:r>
            <w:proofErr w:type="spellEnd"/>
          </w:p>
        </w:tc>
        <w:tc>
          <w:tcPr>
            <w:tcW w:w="882" w:type="pct"/>
            <w:gridSpan w:val="2"/>
            <w:vMerge/>
            <w:vAlign w:val="center"/>
          </w:tcPr>
          <w:p w:rsidR="00754889" w:rsidRPr="003B355D" w:rsidRDefault="00754889" w:rsidP="0080299F">
            <w:pPr>
              <w:keepNext/>
              <w:keepLines/>
              <w:spacing w:before="40" w:after="40"/>
              <w:jc w:val="center"/>
              <w:rPr>
                <w:rFonts w:ascii="Arial Narrow" w:hAnsi="Arial Narrow"/>
                <w:sz w:val="20"/>
              </w:rPr>
            </w:pPr>
          </w:p>
        </w:tc>
      </w:tr>
      <w:tr w:rsidR="00754889" w:rsidRPr="003B355D" w:rsidTr="00312B5B">
        <w:tc>
          <w:tcPr>
            <w:tcW w:w="1262" w:type="pct"/>
            <w:vAlign w:val="center"/>
          </w:tcPr>
          <w:p w:rsidR="00754889" w:rsidRPr="003B355D" w:rsidRDefault="00754889" w:rsidP="0080299F">
            <w:pPr>
              <w:keepNext/>
              <w:keepLines/>
              <w:spacing w:before="40" w:after="40"/>
              <w:rPr>
                <w:rFonts w:ascii="Arial Narrow" w:hAnsi="Arial Narrow"/>
                <w:b/>
                <w:sz w:val="20"/>
              </w:rPr>
            </w:pPr>
            <w:r w:rsidRPr="003B355D">
              <w:rPr>
                <w:rFonts w:ascii="Arial Narrow" w:hAnsi="Arial Narrow"/>
                <w:b/>
                <w:sz w:val="20"/>
              </w:rPr>
              <w:t>MACE</w:t>
            </w:r>
          </w:p>
        </w:tc>
        <w:tc>
          <w:tcPr>
            <w:tcW w:w="624" w:type="pct"/>
            <w:vAlign w:val="center"/>
          </w:tcPr>
          <w:p w:rsidR="00754889" w:rsidRPr="003B355D" w:rsidRDefault="00754889" w:rsidP="0080299F">
            <w:pPr>
              <w:keepNext/>
              <w:keepLines/>
              <w:spacing w:before="40" w:after="40"/>
              <w:jc w:val="center"/>
              <w:rPr>
                <w:rFonts w:ascii="Arial Narrow" w:hAnsi="Arial Narrow"/>
                <w:sz w:val="20"/>
              </w:rPr>
            </w:pPr>
            <w:r w:rsidRPr="003B355D">
              <w:rPr>
                <w:rFonts w:ascii="Arial Narrow" w:hAnsi="Arial Narrow"/>
                <w:sz w:val="20"/>
              </w:rPr>
              <w:t>608 (13.02%)</w:t>
            </w:r>
          </w:p>
        </w:tc>
        <w:tc>
          <w:tcPr>
            <w:tcW w:w="801" w:type="pct"/>
            <w:vAlign w:val="center"/>
          </w:tcPr>
          <w:p w:rsidR="00754889" w:rsidRPr="003B355D" w:rsidRDefault="00754889" w:rsidP="0080299F">
            <w:pPr>
              <w:keepNext/>
              <w:keepLines/>
              <w:spacing w:before="40" w:after="40"/>
              <w:jc w:val="center"/>
              <w:rPr>
                <w:rFonts w:ascii="Arial Narrow" w:hAnsi="Arial Narrow"/>
                <w:sz w:val="20"/>
              </w:rPr>
            </w:pPr>
            <w:r w:rsidRPr="003B355D">
              <w:rPr>
                <w:rFonts w:ascii="Arial Narrow" w:hAnsi="Arial Narrow"/>
                <w:sz w:val="20"/>
              </w:rPr>
              <w:t>3.41</w:t>
            </w:r>
          </w:p>
        </w:tc>
        <w:tc>
          <w:tcPr>
            <w:tcW w:w="630" w:type="pct"/>
            <w:vAlign w:val="center"/>
          </w:tcPr>
          <w:p w:rsidR="00754889" w:rsidRPr="003B355D" w:rsidRDefault="00754889" w:rsidP="0080299F">
            <w:pPr>
              <w:keepNext/>
              <w:keepLines/>
              <w:spacing w:before="40" w:after="40"/>
              <w:jc w:val="center"/>
              <w:rPr>
                <w:rFonts w:ascii="Arial Narrow" w:hAnsi="Arial Narrow"/>
                <w:sz w:val="20"/>
              </w:rPr>
            </w:pPr>
            <w:r w:rsidRPr="003B355D">
              <w:rPr>
                <w:rFonts w:ascii="Arial Narrow" w:hAnsi="Arial Narrow"/>
                <w:sz w:val="20"/>
              </w:rPr>
              <w:t>694 (14.85%)</w:t>
            </w:r>
          </w:p>
        </w:tc>
        <w:tc>
          <w:tcPr>
            <w:tcW w:w="801" w:type="pct"/>
            <w:vAlign w:val="center"/>
          </w:tcPr>
          <w:p w:rsidR="00754889" w:rsidRPr="003B355D" w:rsidRDefault="00754889" w:rsidP="0080299F">
            <w:pPr>
              <w:keepNext/>
              <w:keepLines/>
              <w:spacing w:before="40" w:after="40"/>
              <w:jc w:val="center"/>
              <w:rPr>
                <w:rFonts w:ascii="Arial Narrow" w:hAnsi="Arial Narrow"/>
                <w:sz w:val="20"/>
              </w:rPr>
            </w:pPr>
            <w:r w:rsidRPr="003B355D">
              <w:rPr>
                <w:rFonts w:ascii="Arial Narrow" w:hAnsi="Arial Narrow"/>
                <w:sz w:val="20"/>
              </w:rPr>
              <w:t>3.91</w:t>
            </w:r>
          </w:p>
        </w:tc>
        <w:tc>
          <w:tcPr>
            <w:tcW w:w="882" w:type="pct"/>
            <w:gridSpan w:val="2"/>
            <w:vAlign w:val="center"/>
          </w:tcPr>
          <w:p w:rsidR="00754889" w:rsidRPr="003B355D" w:rsidRDefault="00754889" w:rsidP="0080299F">
            <w:pPr>
              <w:keepNext/>
              <w:keepLines/>
              <w:spacing w:before="40" w:after="40"/>
              <w:jc w:val="center"/>
              <w:rPr>
                <w:rFonts w:ascii="Arial Narrow" w:hAnsi="Arial Narrow"/>
                <w:b/>
                <w:sz w:val="20"/>
              </w:rPr>
            </w:pPr>
            <w:r w:rsidRPr="003B355D">
              <w:rPr>
                <w:rFonts w:ascii="Arial Narrow" w:hAnsi="Arial Narrow"/>
                <w:b/>
                <w:sz w:val="20"/>
              </w:rPr>
              <w:t>0.868 (0.778, 0.968)</w:t>
            </w:r>
          </w:p>
        </w:tc>
      </w:tr>
      <w:tr w:rsidR="00754889" w:rsidRPr="003B355D" w:rsidTr="00EA68AA">
        <w:tc>
          <w:tcPr>
            <w:tcW w:w="5000" w:type="pct"/>
            <w:gridSpan w:val="7"/>
            <w:vAlign w:val="center"/>
          </w:tcPr>
          <w:p w:rsidR="00754889" w:rsidRPr="003B355D" w:rsidRDefault="00D90B21" w:rsidP="0080299F">
            <w:pPr>
              <w:keepNext/>
              <w:keepLines/>
              <w:spacing w:before="40" w:after="40"/>
              <w:rPr>
                <w:rFonts w:ascii="Arial Narrow" w:hAnsi="Arial Narrow"/>
                <w:b/>
                <w:snapToGrid/>
                <w:sz w:val="20"/>
                <w:vertAlign w:val="superscript"/>
              </w:rPr>
            </w:pPr>
            <w:r w:rsidRPr="003B355D">
              <w:rPr>
                <w:rFonts w:ascii="Arial Narrow" w:hAnsi="Arial Narrow"/>
                <w:b/>
                <w:sz w:val="20"/>
              </w:rPr>
              <w:t>C</w:t>
            </w:r>
            <w:r w:rsidR="00754889" w:rsidRPr="003B355D">
              <w:rPr>
                <w:rFonts w:ascii="Arial Narrow" w:hAnsi="Arial Narrow"/>
                <w:b/>
                <w:sz w:val="20"/>
              </w:rPr>
              <w:t>omponent outcomes (MACE )</w:t>
            </w:r>
            <w:r w:rsidR="00304644" w:rsidRPr="003B355D">
              <w:rPr>
                <w:rFonts w:ascii="Arial Narrow" w:hAnsi="Arial Narrow"/>
                <w:b/>
                <w:sz w:val="20"/>
                <w:vertAlign w:val="superscript"/>
              </w:rPr>
              <w:t>d</w:t>
            </w:r>
          </w:p>
        </w:tc>
      </w:tr>
      <w:tr w:rsidR="00754889" w:rsidRPr="003B355D" w:rsidTr="00EB5830">
        <w:tc>
          <w:tcPr>
            <w:tcW w:w="1262" w:type="pct"/>
            <w:tcBorders>
              <w:top w:val="single" w:sz="4" w:space="0" w:color="auto"/>
            </w:tcBorders>
            <w:vAlign w:val="center"/>
          </w:tcPr>
          <w:p w:rsidR="00754889" w:rsidRPr="003B355D" w:rsidRDefault="00754889" w:rsidP="0080299F">
            <w:pPr>
              <w:keepNext/>
              <w:keepLines/>
              <w:spacing w:before="40" w:after="40"/>
              <w:rPr>
                <w:rFonts w:ascii="Arial Narrow" w:hAnsi="Arial Narrow"/>
                <w:sz w:val="20"/>
                <w:vertAlign w:val="superscript"/>
              </w:rPr>
            </w:pPr>
            <w:r w:rsidRPr="003B355D">
              <w:rPr>
                <w:rFonts w:ascii="Arial Narrow" w:hAnsi="Arial Narrow"/>
                <w:sz w:val="20"/>
              </w:rPr>
              <w:t>Cardiovascular death</w:t>
            </w:r>
          </w:p>
        </w:tc>
        <w:tc>
          <w:tcPr>
            <w:tcW w:w="624" w:type="pct"/>
            <w:tcBorders>
              <w:top w:val="single" w:sz="4" w:space="0" w:color="auto"/>
            </w:tcBorders>
            <w:vAlign w:val="center"/>
          </w:tcPr>
          <w:p w:rsidR="00754889" w:rsidRPr="003B355D" w:rsidRDefault="00754889" w:rsidP="0080299F">
            <w:pPr>
              <w:pStyle w:val="Tabletext"/>
              <w:keepNext/>
              <w:keepLines/>
              <w:spacing w:before="40" w:after="40"/>
              <w:contextualSpacing/>
              <w:jc w:val="center"/>
              <w:rPr>
                <w:rFonts w:ascii="Arial Narrow" w:hAnsi="Arial Narrow"/>
              </w:rPr>
            </w:pPr>
            <w:r w:rsidRPr="003B355D">
              <w:rPr>
                <w:rFonts w:ascii="Arial Narrow" w:hAnsi="Arial Narrow"/>
              </w:rPr>
              <w:t>219 (4.7%)</w:t>
            </w:r>
          </w:p>
        </w:tc>
        <w:tc>
          <w:tcPr>
            <w:tcW w:w="801" w:type="pct"/>
            <w:tcBorders>
              <w:top w:val="single" w:sz="4" w:space="0" w:color="auto"/>
            </w:tcBorders>
            <w:vAlign w:val="center"/>
          </w:tcPr>
          <w:p w:rsidR="00754889" w:rsidRPr="003B355D" w:rsidRDefault="00754889" w:rsidP="0080299F">
            <w:pPr>
              <w:pStyle w:val="Tabletext"/>
              <w:keepNext/>
              <w:keepLines/>
              <w:spacing w:before="40" w:after="40"/>
              <w:contextualSpacing/>
              <w:jc w:val="center"/>
              <w:rPr>
                <w:rFonts w:ascii="Arial Narrow" w:hAnsi="Arial Narrow"/>
              </w:rPr>
            </w:pPr>
            <w:r w:rsidRPr="003B355D">
              <w:rPr>
                <w:rFonts w:ascii="Arial Narrow" w:hAnsi="Arial Narrow"/>
              </w:rPr>
              <w:t>1.23</w:t>
            </w:r>
          </w:p>
        </w:tc>
        <w:tc>
          <w:tcPr>
            <w:tcW w:w="630" w:type="pct"/>
            <w:tcBorders>
              <w:top w:val="single" w:sz="4" w:space="0" w:color="auto"/>
            </w:tcBorders>
            <w:vAlign w:val="center"/>
          </w:tcPr>
          <w:p w:rsidR="00754889" w:rsidRPr="003B355D" w:rsidRDefault="00754889" w:rsidP="0080299F">
            <w:pPr>
              <w:pStyle w:val="Tabletext"/>
              <w:keepNext/>
              <w:keepLines/>
              <w:spacing w:before="40" w:after="40"/>
              <w:contextualSpacing/>
              <w:jc w:val="center"/>
              <w:rPr>
                <w:rFonts w:ascii="Arial Narrow" w:hAnsi="Arial Narrow"/>
              </w:rPr>
            </w:pPr>
            <w:r w:rsidRPr="003B355D">
              <w:rPr>
                <w:rFonts w:ascii="Arial Narrow" w:hAnsi="Arial Narrow"/>
              </w:rPr>
              <w:t>278 (6.0%)</w:t>
            </w:r>
          </w:p>
        </w:tc>
        <w:tc>
          <w:tcPr>
            <w:tcW w:w="801" w:type="pct"/>
            <w:tcBorders>
              <w:top w:val="single" w:sz="4" w:space="0" w:color="auto"/>
            </w:tcBorders>
            <w:vAlign w:val="center"/>
          </w:tcPr>
          <w:p w:rsidR="00754889" w:rsidRPr="003B355D" w:rsidRDefault="00754889" w:rsidP="0080299F">
            <w:pPr>
              <w:pStyle w:val="Tabletext"/>
              <w:keepNext/>
              <w:keepLines/>
              <w:spacing w:before="40" w:after="40"/>
              <w:contextualSpacing/>
              <w:jc w:val="center"/>
              <w:rPr>
                <w:rFonts w:ascii="Arial Narrow" w:hAnsi="Arial Narrow"/>
              </w:rPr>
            </w:pPr>
            <w:r w:rsidRPr="003B355D">
              <w:rPr>
                <w:rFonts w:ascii="Arial Narrow" w:hAnsi="Arial Narrow"/>
              </w:rPr>
              <w:t>1.57</w:t>
            </w:r>
          </w:p>
        </w:tc>
        <w:tc>
          <w:tcPr>
            <w:tcW w:w="882" w:type="pct"/>
            <w:gridSpan w:val="2"/>
            <w:tcBorders>
              <w:top w:val="single" w:sz="4" w:space="0" w:color="auto"/>
            </w:tcBorders>
            <w:vAlign w:val="center"/>
          </w:tcPr>
          <w:p w:rsidR="00754889" w:rsidRPr="003B355D" w:rsidRDefault="00754889" w:rsidP="0080299F">
            <w:pPr>
              <w:pStyle w:val="Tabletext"/>
              <w:keepNext/>
              <w:keepLines/>
              <w:spacing w:before="40" w:after="40"/>
              <w:contextualSpacing/>
              <w:jc w:val="center"/>
              <w:rPr>
                <w:rFonts w:ascii="Arial Narrow" w:hAnsi="Arial Narrow"/>
                <w:b/>
              </w:rPr>
            </w:pPr>
            <w:r w:rsidRPr="003B355D">
              <w:rPr>
                <w:rFonts w:ascii="Arial Narrow" w:hAnsi="Arial Narrow"/>
                <w:b/>
              </w:rPr>
              <w:t>0.78 (0.66, 0.93)</w:t>
            </w:r>
          </w:p>
        </w:tc>
      </w:tr>
      <w:tr w:rsidR="00754889" w:rsidRPr="003B355D" w:rsidTr="00EB5830">
        <w:tc>
          <w:tcPr>
            <w:tcW w:w="1262" w:type="pct"/>
            <w:vAlign w:val="center"/>
          </w:tcPr>
          <w:p w:rsidR="00754889" w:rsidRPr="003B355D" w:rsidRDefault="00754889" w:rsidP="0080299F">
            <w:pPr>
              <w:keepNext/>
              <w:keepLines/>
              <w:spacing w:before="40" w:after="40"/>
              <w:rPr>
                <w:rFonts w:ascii="Arial Narrow" w:hAnsi="Arial Narrow"/>
                <w:sz w:val="20"/>
              </w:rPr>
            </w:pPr>
            <w:r w:rsidRPr="003B355D">
              <w:rPr>
                <w:rFonts w:ascii="Arial Narrow" w:hAnsi="Arial Narrow"/>
                <w:sz w:val="20"/>
              </w:rPr>
              <w:t>Non-fatal myocardial infarction</w:t>
            </w:r>
          </w:p>
        </w:tc>
        <w:tc>
          <w:tcPr>
            <w:tcW w:w="624" w:type="pct"/>
            <w:vAlign w:val="center"/>
          </w:tcPr>
          <w:p w:rsidR="00754889" w:rsidRPr="003B355D" w:rsidRDefault="00754889" w:rsidP="0080299F">
            <w:pPr>
              <w:pStyle w:val="Tabletext"/>
              <w:keepNext/>
              <w:keepLines/>
              <w:spacing w:before="40" w:after="40"/>
              <w:contextualSpacing/>
              <w:jc w:val="center"/>
              <w:rPr>
                <w:rFonts w:ascii="Arial Narrow" w:hAnsi="Arial Narrow"/>
              </w:rPr>
            </w:pPr>
            <w:r w:rsidRPr="003B355D">
              <w:rPr>
                <w:rFonts w:ascii="Arial Narrow" w:hAnsi="Arial Narrow"/>
              </w:rPr>
              <w:t>281 (6.0%)</w:t>
            </w:r>
          </w:p>
        </w:tc>
        <w:tc>
          <w:tcPr>
            <w:tcW w:w="801" w:type="pct"/>
            <w:vAlign w:val="center"/>
          </w:tcPr>
          <w:p w:rsidR="00754889" w:rsidRPr="003B355D" w:rsidRDefault="00754889" w:rsidP="0080299F">
            <w:pPr>
              <w:pStyle w:val="Tabletext"/>
              <w:keepNext/>
              <w:keepLines/>
              <w:spacing w:before="40" w:after="40"/>
              <w:contextualSpacing/>
              <w:jc w:val="center"/>
              <w:rPr>
                <w:rFonts w:ascii="Arial Narrow" w:hAnsi="Arial Narrow"/>
              </w:rPr>
            </w:pPr>
            <w:r w:rsidRPr="003B355D">
              <w:rPr>
                <w:rFonts w:ascii="Arial Narrow" w:hAnsi="Arial Narrow"/>
              </w:rPr>
              <w:t>1.58</w:t>
            </w:r>
          </w:p>
        </w:tc>
        <w:tc>
          <w:tcPr>
            <w:tcW w:w="630" w:type="pct"/>
            <w:vAlign w:val="center"/>
          </w:tcPr>
          <w:p w:rsidR="00754889" w:rsidRPr="003B355D" w:rsidRDefault="00754889" w:rsidP="0080299F">
            <w:pPr>
              <w:pStyle w:val="Tabletext"/>
              <w:keepNext/>
              <w:keepLines/>
              <w:spacing w:before="40" w:after="40"/>
              <w:contextualSpacing/>
              <w:jc w:val="center"/>
              <w:rPr>
                <w:rFonts w:ascii="Arial Narrow" w:hAnsi="Arial Narrow"/>
              </w:rPr>
            </w:pPr>
            <w:r w:rsidRPr="003B355D">
              <w:rPr>
                <w:rFonts w:ascii="Arial Narrow" w:hAnsi="Arial Narrow"/>
              </w:rPr>
              <w:t>317 (6.8%)</w:t>
            </w:r>
          </w:p>
        </w:tc>
        <w:tc>
          <w:tcPr>
            <w:tcW w:w="801" w:type="pct"/>
            <w:vAlign w:val="center"/>
          </w:tcPr>
          <w:p w:rsidR="00754889" w:rsidRPr="003B355D" w:rsidRDefault="00754889" w:rsidP="0080299F">
            <w:pPr>
              <w:pStyle w:val="Tabletext"/>
              <w:keepNext/>
              <w:keepLines/>
              <w:spacing w:before="40" w:after="40"/>
              <w:contextualSpacing/>
              <w:jc w:val="center"/>
              <w:rPr>
                <w:rFonts w:ascii="Arial Narrow" w:hAnsi="Arial Narrow"/>
              </w:rPr>
            </w:pPr>
            <w:r w:rsidRPr="003B355D">
              <w:rPr>
                <w:rFonts w:ascii="Arial Narrow" w:hAnsi="Arial Narrow"/>
              </w:rPr>
              <w:t>1.79</w:t>
            </w:r>
          </w:p>
        </w:tc>
        <w:tc>
          <w:tcPr>
            <w:tcW w:w="882" w:type="pct"/>
            <w:gridSpan w:val="2"/>
            <w:vAlign w:val="center"/>
          </w:tcPr>
          <w:p w:rsidR="00754889" w:rsidRPr="003B355D" w:rsidRDefault="00754889" w:rsidP="0080299F">
            <w:pPr>
              <w:pStyle w:val="Tabletext"/>
              <w:keepNext/>
              <w:keepLines/>
              <w:spacing w:before="40" w:after="40"/>
              <w:contextualSpacing/>
              <w:jc w:val="center"/>
              <w:rPr>
                <w:rFonts w:ascii="Arial Narrow" w:hAnsi="Arial Narrow"/>
              </w:rPr>
            </w:pPr>
            <w:r w:rsidRPr="003B355D">
              <w:rPr>
                <w:rFonts w:ascii="Arial Narrow" w:hAnsi="Arial Narrow"/>
              </w:rPr>
              <w:t>0.89 (0.72, 1.11)</w:t>
            </w:r>
          </w:p>
        </w:tc>
      </w:tr>
      <w:tr w:rsidR="00754889" w:rsidRPr="003B355D" w:rsidTr="00EB5830">
        <w:tc>
          <w:tcPr>
            <w:tcW w:w="1262" w:type="pct"/>
            <w:vAlign w:val="center"/>
          </w:tcPr>
          <w:p w:rsidR="00754889" w:rsidRPr="003B355D" w:rsidRDefault="00754889" w:rsidP="0080299F">
            <w:pPr>
              <w:spacing w:before="40" w:after="40"/>
              <w:rPr>
                <w:rFonts w:ascii="Arial Narrow" w:hAnsi="Arial Narrow"/>
                <w:sz w:val="20"/>
              </w:rPr>
            </w:pPr>
            <w:r w:rsidRPr="003B355D">
              <w:rPr>
                <w:rFonts w:ascii="Arial Narrow" w:hAnsi="Arial Narrow"/>
                <w:sz w:val="20"/>
              </w:rPr>
              <w:t>Non-fatal stroke</w:t>
            </w:r>
          </w:p>
        </w:tc>
        <w:tc>
          <w:tcPr>
            <w:tcW w:w="624" w:type="pct"/>
            <w:vAlign w:val="center"/>
          </w:tcPr>
          <w:p w:rsidR="00754889" w:rsidRPr="003B355D" w:rsidRDefault="00754889" w:rsidP="0080299F">
            <w:pPr>
              <w:pStyle w:val="Tabletext"/>
              <w:spacing w:before="40" w:after="40"/>
              <w:contextualSpacing/>
              <w:jc w:val="center"/>
              <w:rPr>
                <w:rFonts w:ascii="Arial Narrow" w:hAnsi="Arial Narrow"/>
              </w:rPr>
            </w:pPr>
            <w:r w:rsidRPr="003B355D">
              <w:rPr>
                <w:rFonts w:ascii="Arial Narrow" w:hAnsi="Arial Narrow"/>
              </w:rPr>
              <w:t>159 (3.4%)</w:t>
            </w:r>
          </w:p>
        </w:tc>
        <w:tc>
          <w:tcPr>
            <w:tcW w:w="801" w:type="pct"/>
            <w:vAlign w:val="center"/>
          </w:tcPr>
          <w:p w:rsidR="00754889" w:rsidRPr="003B355D" w:rsidRDefault="00754889" w:rsidP="0080299F">
            <w:pPr>
              <w:pStyle w:val="Tabletext"/>
              <w:spacing w:before="40" w:after="40"/>
              <w:contextualSpacing/>
              <w:jc w:val="center"/>
              <w:rPr>
                <w:rFonts w:ascii="Arial Narrow" w:hAnsi="Arial Narrow"/>
              </w:rPr>
            </w:pPr>
            <w:r w:rsidRPr="003B355D">
              <w:rPr>
                <w:rFonts w:ascii="Arial Narrow" w:hAnsi="Arial Narrow"/>
              </w:rPr>
              <w:t>0.89</w:t>
            </w:r>
          </w:p>
        </w:tc>
        <w:tc>
          <w:tcPr>
            <w:tcW w:w="630" w:type="pct"/>
            <w:vAlign w:val="center"/>
          </w:tcPr>
          <w:p w:rsidR="00754889" w:rsidRPr="003B355D" w:rsidRDefault="00754889" w:rsidP="0080299F">
            <w:pPr>
              <w:pStyle w:val="Tabletext"/>
              <w:spacing w:before="40" w:after="40"/>
              <w:contextualSpacing/>
              <w:jc w:val="center"/>
              <w:rPr>
                <w:rFonts w:ascii="Arial Narrow" w:hAnsi="Arial Narrow"/>
              </w:rPr>
            </w:pPr>
            <w:r w:rsidRPr="003B355D">
              <w:rPr>
                <w:rFonts w:ascii="Arial Narrow" w:hAnsi="Arial Narrow"/>
              </w:rPr>
              <w:t>177 (3.8%)</w:t>
            </w:r>
          </w:p>
        </w:tc>
        <w:tc>
          <w:tcPr>
            <w:tcW w:w="801" w:type="pct"/>
            <w:vAlign w:val="center"/>
          </w:tcPr>
          <w:p w:rsidR="00754889" w:rsidRPr="003B355D" w:rsidRDefault="00754889" w:rsidP="0080299F">
            <w:pPr>
              <w:pStyle w:val="Tabletext"/>
              <w:spacing w:before="40" w:after="40"/>
              <w:contextualSpacing/>
              <w:jc w:val="center"/>
              <w:rPr>
                <w:rFonts w:ascii="Arial Narrow" w:hAnsi="Arial Narrow"/>
              </w:rPr>
            </w:pPr>
            <w:r w:rsidRPr="003B355D">
              <w:rPr>
                <w:rFonts w:ascii="Arial Narrow" w:hAnsi="Arial Narrow"/>
              </w:rPr>
              <w:t>1.00</w:t>
            </w:r>
          </w:p>
        </w:tc>
        <w:tc>
          <w:tcPr>
            <w:tcW w:w="882" w:type="pct"/>
            <w:gridSpan w:val="2"/>
            <w:vAlign w:val="center"/>
          </w:tcPr>
          <w:p w:rsidR="00754889" w:rsidRPr="003B355D" w:rsidRDefault="00754889" w:rsidP="0080299F">
            <w:pPr>
              <w:pStyle w:val="Tabletext"/>
              <w:spacing w:before="40" w:after="40"/>
              <w:contextualSpacing/>
              <w:jc w:val="center"/>
              <w:rPr>
                <w:rFonts w:ascii="Arial Narrow" w:hAnsi="Arial Narrow"/>
              </w:rPr>
            </w:pPr>
            <w:r w:rsidRPr="003B355D">
              <w:rPr>
                <w:rFonts w:ascii="Arial Narrow" w:hAnsi="Arial Narrow"/>
              </w:rPr>
              <w:t>0.88 (0.75, 1.03)</w:t>
            </w:r>
          </w:p>
        </w:tc>
      </w:tr>
      <w:tr w:rsidR="00754889" w:rsidRPr="003B355D" w:rsidTr="00EA68AA">
        <w:tc>
          <w:tcPr>
            <w:tcW w:w="5000" w:type="pct"/>
            <w:gridSpan w:val="7"/>
            <w:vAlign w:val="center"/>
          </w:tcPr>
          <w:p w:rsidR="00754889" w:rsidRPr="003B355D" w:rsidRDefault="00754889" w:rsidP="0080299F">
            <w:pPr>
              <w:spacing w:before="40" w:after="40"/>
              <w:rPr>
                <w:rFonts w:ascii="Arial Narrow" w:hAnsi="Arial Narrow"/>
                <w:b/>
                <w:snapToGrid/>
                <w:sz w:val="20"/>
              </w:rPr>
            </w:pPr>
            <w:r w:rsidRPr="003B355D">
              <w:rPr>
                <w:rFonts w:ascii="Arial Narrow" w:hAnsi="Arial Narrow"/>
                <w:b/>
                <w:sz w:val="20"/>
              </w:rPr>
              <w:t>Mortality outcomes</w:t>
            </w:r>
          </w:p>
        </w:tc>
      </w:tr>
      <w:tr w:rsidR="00754889" w:rsidRPr="003B355D" w:rsidTr="00EB5830">
        <w:tc>
          <w:tcPr>
            <w:tcW w:w="1262" w:type="pct"/>
          </w:tcPr>
          <w:p w:rsidR="00754889" w:rsidRPr="003B355D" w:rsidRDefault="00754889" w:rsidP="0080299F">
            <w:pPr>
              <w:spacing w:before="40" w:after="40"/>
              <w:rPr>
                <w:rFonts w:ascii="Arial Narrow" w:hAnsi="Arial Narrow"/>
                <w:snapToGrid/>
                <w:sz w:val="20"/>
              </w:rPr>
            </w:pPr>
            <w:r w:rsidRPr="003B355D">
              <w:rPr>
                <w:rFonts w:ascii="Arial Narrow" w:hAnsi="Arial Narrow"/>
                <w:snapToGrid/>
                <w:sz w:val="20"/>
              </w:rPr>
              <w:t>All-cause death</w:t>
            </w:r>
          </w:p>
        </w:tc>
        <w:tc>
          <w:tcPr>
            <w:tcW w:w="624" w:type="pct"/>
            <w:vAlign w:val="center"/>
          </w:tcPr>
          <w:p w:rsidR="00754889" w:rsidRPr="003B355D" w:rsidRDefault="00754889" w:rsidP="0080299F">
            <w:pPr>
              <w:pStyle w:val="Tabletext"/>
              <w:spacing w:before="40" w:after="40"/>
              <w:contextualSpacing/>
              <w:jc w:val="center"/>
              <w:rPr>
                <w:rFonts w:ascii="Arial Narrow" w:hAnsi="Arial Narrow"/>
              </w:rPr>
            </w:pPr>
            <w:r w:rsidRPr="003B355D">
              <w:rPr>
                <w:rFonts w:ascii="Arial Narrow" w:hAnsi="Arial Narrow"/>
              </w:rPr>
              <w:t>381 (8.2%)</w:t>
            </w:r>
          </w:p>
        </w:tc>
        <w:tc>
          <w:tcPr>
            <w:tcW w:w="801" w:type="pct"/>
            <w:vAlign w:val="center"/>
          </w:tcPr>
          <w:p w:rsidR="00754889" w:rsidRPr="003B355D" w:rsidRDefault="00754889" w:rsidP="0080299F">
            <w:pPr>
              <w:pStyle w:val="Tabletext"/>
              <w:spacing w:before="40" w:after="40"/>
              <w:contextualSpacing/>
              <w:jc w:val="center"/>
              <w:rPr>
                <w:rFonts w:ascii="Arial Narrow" w:hAnsi="Arial Narrow"/>
              </w:rPr>
            </w:pPr>
            <w:r w:rsidRPr="003B355D">
              <w:rPr>
                <w:rFonts w:ascii="Arial Narrow" w:hAnsi="Arial Narrow"/>
              </w:rPr>
              <w:t>2.14</w:t>
            </w:r>
          </w:p>
        </w:tc>
        <w:tc>
          <w:tcPr>
            <w:tcW w:w="630" w:type="pct"/>
            <w:vAlign w:val="center"/>
          </w:tcPr>
          <w:p w:rsidR="00754889" w:rsidRPr="003B355D" w:rsidRDefault="00754889" w:rsidP="0080299F">
            <w:pPr>
              <w:pStyle w:val="Tabletext"/>
              <w:spacing w:before="40" w:after="40"/>
              <w:contextualSpacing/>
              <w:jc w:val="center"/>
              <w:rPr>
                <w:rFonts w:ascii="Arial Narrow" w:hAnsi="Arial Narrow"/>
              </w:rPr>
            </w:pPr>
            <w:r w:rsidRPr="003B355D">
              <w:rPr>
                <w:rFonts w:ascii="Arial Narrow" w:hAnsi="Arial Narrow"/>
              </w:rPr>
              <w:t>447 (9.6%)</w:t>
            </w:r>
          </w:p>
        </w:tc>
        <w:tc>
          <w:tcPr>
            <w:tcW w:w="801" w:type="pct"/>
            <w:vAlign w:val="center"/>
          </w:tcPr>
          <w:p w:rsidR="00754889" w:rsidRPr="003B355D" w:rsidRDefault="00754889" w:rsidP="0080299F">
            <w:pPr>
              <w:pStyle w:val="Tabletext"/>
              <w:spacing w:before="40" w:after="40"/>
              <w:contextualSpacing/>
              <w:jc w:val="center"/>
              <w:rPr>
                <w:rFonts w:ascii="Arial Narrow" w:hAnsi="Arial Narrow"/>
              </w:rPr>
            </w:pPr>
            <w:r w:rsidRPr="003B355D">
              <w:rPr>
                <w:rFonts w:ascii="Arial Narrow" w:hAnsi="Arial Narrow"/>
              </w:rPr>
              <w:t>2.52</w:t>
            </w:r>
          </w:p>
        </w:tc>
        <w:tc>
          <w:tcPr>
            <w:tcW w:w="882" w:type="pct"/>
            <w:gridSpan w:val="2"/>
            <w:vAlign w:val="center"/>
          </w:tcPr>
          <w:p w:rsidR="00754889" w:rsidRPr="003B355D" w:rsidRDefault="00754889" w:rsidP="0080299F">
            <w:pPr>
              <w:pStyle w:val="Tabletext"/>
              <w:spacing w:before="40" w:after="40"/>
              <w:contextualSpacing/>
              <w:jc w:val="center"/>
              <w:rPr>
                <w:rFonts w:ascii="Arial Narrow" w:hAnsi="Arial Narrow"/>
                <w:b/>
              </w:rPr>
            </w:pPr>
            <w:r w:rsidRPr="003B355D">
              <w:rPr>
                <w:rFonts w:ascii="Arial Narrow" w:hAnsi="Arial Narrow"/>
                <w:b/>
              </w:rPr>
              <w:t>0.847 (0.739, 0.971)</w:t>
            </w:r>
          </w:p>
        </w:tc>
      </w:tr>
      <w:tr w:rsidR="00754889" w:rsidRPr="003B355D" w:rsidTr="00EB5830">
        <w:tc>
          <w:tcPr>
            <w:tcW w:w="1262" w:type="pct"/>
          </w:tcPr>
          <w:p w:rsidR="00754889" w:rsidRPr="003B355D" w:rsidRDefault="00754889" w:rsidP="0080299F">
            <w:pPr>
              <w:spacing w:before="40" w:after="40"/>
              <w:rPr>
                <w:rFonts w:ascii="Arial Narrow" w:hAnsi="Arial Narrow"/>
                <w:snapToGrid/>
                <w:sz w:val="20"/>
              </w:rPr>
            </w:pPr>
            <w:r w:rsidRPr="003B355D">
              <w:rPr>
                <w:rFonts w:ascii="Arial Narrow" w:hAnsi="Arial Narrow"/>
                <w:snapToGrid/>
                <w:sz w:val="20"/>
              </w:rPr>
              <w:t>Non-</w:t>
            </w:r>
            <w:r w:rsidRPr="003B355D">
              <w:rPr>
                <w:rFonts w:ascii="Arial Narrow" w:hAnsi="Arial Narrow"/>
                <w:sz w:val="20"/>
              </w:rPr>
              <w:t xml:space="preserve">cardiovascular </w:t>
            </w:r>
            <w:r w:rsidRPr="003B355D">
              <w:rPr>
                <w:rFonts w:ascii="Arial Narrow" w:hAnsi="Arial Narrow"/>
                <w:snapToGrid/>
                <w:sz w:val="20"/>
              </w:rPr>
              <w:t>death</w:t>
            </w:r>
          </w:p>
        </w:tc>
        <w:tc>
          <w:tcPr>
            <w:tcW w:w="624" w:type="pct"/>
            <w:vAlign w:val="center"/>
          </w:tcPr>
          <w:p w:rsidR="00754889" w:rsidRPr="003B355D" w:rsidRDefault="00754889" w:rsidP="0080299F">
            <w:pPr>
              <w:pStyle w:val="Tabletext"/>
              <w:spacing w:before="40" w:after="40"/>
              <w:contextualSpacing/>
              <w:jc w:val="center"/>
              <w:rPr>
                <w:rFonts w:ascii="Arial Narrow" w:hAnsi="Arial Narrow"/>
              </w:rPr>
            </w:pPr>
            <w:r w:rsidRPr="003B355D">
              <w:rPr>
                <w:rFonts w:ascii="Arial Narrow" w:hAnsi="Arial Narrow"/>
              </w:rPr>
              <w:t>162 (3.5%)</w:t>
            </w:r>
          </w:p>
        </w:tc>
        <w:tc>
          <w:tcPr>
            <w:tcW w:w="801" w:type="pct"/>
            <w:vAlign w:val="center"/>
          </w:tcPr>
          <w:p w:rsidR="00754889" w:rsidRPr="003B355D" w:rsidRDefault="00754889" w:rsidP="0080299F">
            <w:pPr>
              <w:pStyle w:val="Tabletext"/>
              <w:spacing w:before="40" w:after="40"/>
              <w:contextualSpacing/>
              <w:jc w:val="center"/>
              <w:rPr>
                <w:rFonts w:ascii="Arial Narrow" w:hAnsi="Arial Narrow"/>
              </w:rPr>
            </w:pPr>
            <w:r w:rsidRPr="003B355D">
              <w:rPr>
                <w:rFonts w:ascii="Arial Narrow" w:hAnsi="Arial Narrow"/>
              </w:rPr>
              <w:t>0.91</w:t>
            </w:r>
          </w:p>
        </w:tc>
        <w:tc>
          <w:tcPr>
            <w:tcW w:w="630" w:type="pct"/>
            <w:vAlign w:val="center"/>
          </w:tcPr>
          <w:p w:rsidR="00754889" w:rsidRPr="003B355D" w:rsidRDefault="00754889" w:rsidP="0080299F">
            <w:pPr>
              <w:pStyle w:val="Tabletext"/>
              <w:spacing w:before="40" w:after="40"/>
              <w:contextualSpacing/>
              <w:jc w:val="center"/>
              <w:rPr>
                <w:rFonts w:ascii="Arial Narrow" w:hAnsi="Arial Narrow"/>
              </w:rPr>
            </w:pPr>
            <w:r w:rsidRPr="003B355D">
              <w:rPr>
                <w:rFonts w:ascii="Arial Narrow" w:hAnsi="Arial Narrow"/>
              </w:rPr>
              <w:t>169 (3.6%)</w:t>
            </w:r>
          </w:p>
        </w:tc>
        <w:tc>
          <w:tcPr>
            <w:tcW w:w="801" w:type="pct"/>
            <w:vAlign w:val="center"/>
          </w:tcPr>
          <w:p w:rsidR="00754889" w:rsidRPr="003B355D" w:rsidRDefault="00754889" w:rsidP="0080299F">
            <w:pPr>
              <w:pStyle w:val="Tabletext"/>
              <w:spacing w:before="40" w:after="40"/>
              <w:contextualSpacing/>
              <w:jc w:val="center"/>
              <w:rPr>
                <w:rFonts w:ascii="Arial Narrow" w:hAnsi="Arial Narrow"/>
              </w:rPr>
            </w:pPr>
            <w:r w:rsidRPr="003B355D">
              <w:rPr>
                <w:rFonts w:ascii="Arial Narrow" w:hAnsi="Arial Narrow"/>
              </w:rPr>
              <w:t>0.95</w:t>
            </w:r>
          </w:p>
        </w:tc>
        <w:tc>
          <w:tcPr>
            <w:tcW w:w="882" w:type="pct"/>
            <w:gridSpan w:val="2"/>
            <w:vAlign w:val="center"/>
          </w:tcPr>
          <w:p w:rsidR="00754889" w:rsidRPr="003B355D" w:rsidRDefault="00754889" w:rsidP="0080299F">
            <w:pPr>
              <w:pStyle w:val="Tabletext"/>
              <w:spacing w:before="40" w:after="40"/>
              <w:contextualSpacing/>
              <w:jc w:val="center"/>
              <w:rPr>
                <w:rFonts w:ascii="Arial Narrow" w:hAnsi="Arial Narrow"/>
              </w:rPr>
            </w:pPr>
            <w:r w:rsidRPr="003B355D">
              <w:rPr>
                <w:rFonts w:ascii="Arial Narrow" w:hAnsi="Arial Narrow"/>
              </w:rPr>
              <w:t>0.952 (0.768, 1.181)</w:t>
            </w:r>
          </w:p>
        </w:tc>
      </w:tr>
      <w:tr w:rsidR="00312B5B" w:rsidRPr="003B355D" w:rsidTr="00EB5830">
        <w:tc>
          <w:tcPr>
            <w:tcW w:w="1262" w:type="pct"/>
            <w:tcBorders>
              <w:top w:val="single" w:sz="4" w:space="0" w:color="auto"/>
            </w:tcBorders>
            <w:vAlign w:val="center"/>
          </w:tcPr>
          <w:p w:rsidR="00312B5B" w:rsidRPr="003B355D" w:rsidRDefault="00312B5B" w:rsidP="0080299F">
            <w:pPr>
              <w:spacing w:before="40" w:after="40"/>
              <w:rPr>
                <w:rFonts w:ascii="Arial Narrow" w:hAnsi="Arial Narrow"/>
                <w:b/>
                <w:sz w:val="20"/>
              </w:rPr>
            </w:pPr>
            <w:r w:rsidRPr="003B355D">
              <w:rPr>
                <w:rFonts w:ascii="Arial Narrow" w:hAnsi="Arial Narrow"/>
                <w:b/>
                <w:sz w:val="20"/>
              </w:rPr>
              <w:t>Time to first microvascular event</w:t>
            </w:r>
          </w:p>
        </w:tc>
        <w:tc>
          <w:tcPr>
            <w:tcW w:w="624" w:type="pct"/>
            <w:tcBorders>
              <w:top w:val="single" w:sz="4" w:space="0" w:color="auto"/>
            </w:tcBorders>
            <w:vAlign w:val="center"/>
          </w:tcPr>
          <w:p w:rsidR="00312B5B" w:rsidRPr="003B355D" w:rsidRDefault="00312B5B" w:rsidP="0080299F">
            <w:pPr>
              <w:pStyle w:val="Tabletext"/>
              <w:spacing w:before="40" w:after="40"/>
              <w:contextualSpacing/>
              <w:jc w:val="center"/>
              <w:rPr>
                <w:rFonts w:ascii="Arial Narrow" w:hAnsi="Arial Narrow"/>
              </w:rPr>
            </w:pPr>
            <w:r w:rsidRPr="003B355D">
              <w:rPr>
                <w:rFonts w:ascii="Arial Narrow" w:hAnsi="Arial Narrow"/>
              </w:rPr>
              <w:t>355 (7.6%)</w:t>
            </w:r>
          </w:p>
        </w:tc>
        <w:tc>
          <w:tcPr>
            <w:tcW w:w="801" w:type="pct"/>
            <w:tcBorders>
              <w:top w:val="single" w:sz="4" w:space="0" w:color="auto"/>
            </w:tcBorders>
            <w:vAlign w:val="center"/>
          </w:tcPr>
          <w:p w:rsidR="00312B5B" w:rsidRPr="003B355D" w:rsidRDefault="00312B5B" w:rsidP="0080299F">
            <w:pPr>
              <w:pStyle w:val="Tabletext"/>
              <w:spacing w:before="40" w:after="40"/>
              <w:contextualSpacing/>
              <w:jc w:val="center"/>
              <w:rPr>
                <w:rFonts w:ascii="Arial Narrow" w:hAnsi="Arial Narrow"/>
              </w:rPr>
            </w:pPr>
            <w:r w:rsidRPr="003B355D">
              <w:rPr>
                <w:rFonts w:ascii="Arial Narrow" w:hAnsi="Arial Narrow"/>
              </w:rPr>
              <w:t>1.99</w:t>
            </w:r>
          </w:p>
        </w:tc>
        <w:tc>
          <w:tcPr>
            <w:tcW w:w="630" w:type="pct"/>
            <w:tcBorders>
              <w:top w:val="single" w:sz="4" w:space="0" w:color="auto"/>
            </w:tcBorders>
            <w:vAlign w:val="center"/>
          </w:tcPr>
          <w:p w:rsidR="00312B5B" w:rsidRPr="003B355D" w:rsidRDefault="00312B5B" w:rsidP="0080299F">
            <w:pPr>
              <w:pStyle w:val="Tabletext"/>
              <w:spacing w:before="40" w:after="40"/>
              <w:contextualSpacing/>
              <w:jc w:val="center"/>
              <w:rPr>
                <w:rFonts w:ascii="Arial Narrow" w:hAnsi="Arial Narrow"/>
              </w:rPr>
            </w:pPr>
            <w:r w:rsidRPr="003B355D">
              <w:rPr>
                <w:rFonts w:ascii="Arial Narrow" w:hAnsi="Arial Narrow"/>
              </w:rPr>
              <w:t>416 (8.9%)</w:t>
            </w:r>
          </w:p>
        </w:tc>
        <w:tc>
          <w:tcPr>
            <w:tcW w:w="805" w:type="pct"/>
            <w:gridSpan w:val="2"/>
            <w:tcBorders>
              <w:top w:val="single" w:sz="4" w:space="0" w:color="auto"/>
            </w:tcBorders>
            <w:vAlign w:val="center"/>
          </w:tcPr>
          <w:p w:rsidR="00312B5B" w:rsidRPr="003B355D" w:rsidRDefault="00312B5B" w:rsidP="0080299F">
            <w:pPr>
              <w:pStyle w:val="Tabletext"/>
              <w:spacing w:before="40" w:after="40"/>
              <w:contextualSpacing/>
              <w:jc w:val="center"/>
              <w:rPr>
                <w:rFonts w:ascii="Arial Narrow" w:hAnsi="Arial Narrow"/>
              </w:rPr>
            </w:pPr>
            <w:r w:rsidRPr="003B355D">
              <w:rPr>
                <w:rFonts w:ascii="Arial Narrow" w:hAnsi="Arial Narrow"/>
              </w:rPr>
              <w:t>2.34</w:t>
            </w:r>
          </w:p>
        </w:tc>
        <w:tc>
          <w:tcPr>
            <w:tcW w:w="878" w:type="pct"/>
            <w:tcBorders>
              <w:top w:val="single" w:sz="4" w:space="0" w:color="auto"/>
            </w:tcBorders>
            <w:vAlign w:val="center"/>
          </w:tcPr>
          <w:p w:rsidR="00312B5B" w:rsidRPr="003B355D" w:rsidRDefault="00312B5B" w:rsidP="0080299F">
            <w:pPr>
              <w:pStyle w:val="Tabletext"/>
              <w:spacing w:before="40" w:after="40"/>
              <w:contextualSpacing/>
              <w:jc w:val="center"/>
              <w:rPr>
                <w:rFonts w:ascii="Arial Narrow" w:hAnsi="Arial Narrow"/>
                <w:b/>
              </w:rPr>
            </w:pPr>
            <w:r w:rsidRPr="003B355D">
              <w:rPr>
                <w:rFonts w:ascii="Arial Narrow" w:hAnsi="Arial Narrow"/>
                <w:b/>
              </w:rPr>
              <w:t>0.84 (0.73, 0.97)</w:t>
            </w:r>
          </w:p>
        </w:tc>
      </w:tr>
      <w:tr w:rsidR="00312B5B" w:rsidRPr="003B355D" w:rsidTr="00EB5830">
        <w:tc>
          <w:tcPr>
            <w:tcW w:w="1262" w:type="pct"/>
            <w:vAlign w:val="center"/>
          </w:tcPr>
          <w:p w:rsidR="00312B5B" w:rsidRPr="003B355D" w:rsidRDefault="00312B5B" w:rsidP="0080299F">
            <w:pPr>
              <w:spacing w:before="40" w:after="40"/>
              <w:ind w:right="-108"/>
              <w:rPr>
                <w:rFonts w:ascii="Arial Narrow" w:hAnsi="Arial Narrow"/>
                <w:sz w:val="20"/>
                <w:vertAlign w:val="superscript"/>
              </w:rPr>
            </w:pPr>
            <w:r w:rsidRPr="003B355D">
              <w:rPr>
                <w:rFonts w:ascii="Arial Narrow" w:hAnsi="Arial Narrow"/>
                <w:sz w:val="20"/>
              </w:rPr>
              <w:t xml:space="preserve">First nephropathy </w:t>
            </w:r>
            <w:proofErr w:type="spellStart"/>
            <w:r w:rsidRPr="003B355D">
              <w:rPr>
                <w:rFonts w:ascii="Arial Narrow" w:hAnsi="Arial Narrow"/>
                <w:sz w:val="20"/>
              </w:rPr>
              <w:t>event</w:t>
            </w:r>
            <w:r w:rsidR="00304644" w:rsidRPr="003B355D">
              <w:rPr>
                <w:rFonts w:ascii="Arial Narrow" w:hAnsi="Arial Narrow"/>
                <w:sz w:val="20"/>
                <w:vertAlign w:val="superscript"/>
              </w:rPr>
              <w:t>d</w:t>
            </w:r>
            <w:proofErr w:type="spellEnd"/>
          </w:p>
        </w:tc>
        <w:tc>
          <w:tcPr>
            <w:tcW w:w="624" w:type="pct"/>
            <w:vAlign w:val="center"/>
          </w:tcPr>
          <w:p w:rsidR="00312B5B" w:rsidRPr="003B355D" w:rsidRDefault="00312B5B" w:rsidP="0080299F">
            <w:pPr>
              <w:pStyle w:val="Tabletext"/>
              <w:spacing w:before="40" w:after="40"/>
              <w:contextualSpacing/>
              <w:jc w:val="center"/>
              <w:rPr>
                <w:rFonts w:ascii="Arial Narrow" w:hAnsi="Arial Narrow"/>
              </w:rPr>
            </w:pPr>
            <w:r w:rsidRPr="003B355D">
              <w:rPr>
                <w:rFonts w:ascii="Arial Narrow" w:hAnsi="Arial Narrow"/>
              </w:rPr>
              <w:t>268 (5.7%)</w:t>
            </w:r>
          </w:p>
        </w:tc>
        <w:tc>
          <w:tcPr>
            <w:tcW w:w="801" w:type="pct"/>
            <w:vAlign w:val="center"/>
          </w:tcPr>
          <w:p w:rsidR="00312B5B" w:rsidRPr="003B355D" w:rsidRDefault="00312B5B" w:rsidP="0080299F">
            <w:pPr>
              <w:pStyle w:val="Tabletext"/>
              <w:spacing w:before="40" w:after="40"/>
              <w:contextualSpacing/>
              <w:jc w:val="center"/>
              <w:rPr>
                <w:rFonts w:ascii="Arial Narrow" w:hAnsi="Arial Narrow"/>
              </w:rPr>
            </w:pPr>
            <w:r w:rsidRPr="003B355D">
              <w:rPr>
                <w:rFonts w:ascii="Arial Narrow" w:hAnsi="Arial Narrow"/>
              </w:rPr>
              <w:t>1.50</w:t>
            </w:r>
          </w:p>
        </w:tc>
        <w:tc>
          <w:tcPr>
            <w:tcW w:w="630" w:type="pct"/>
            <w:vAlign w:val="center"/>
          </w:tcPr>
          <w:p w:rsidR="00312B5B" w:rsidRPr="003B355D" w:rsidRDefault="00312B5B" w:rsidP="0080299F">
            <w:pPr>
              <w:pStyle w:val="Tabletext"/>
              <w:spacing w:before="40" w:after="40"/>
              <w:contextualSpacing/>
              <w:jc w:val="center"/>
              <w:rPr>
                <w:rFonts w:ascii="Arial Narrow" w:hAnsi="Arial Narrow"/>
              </w:rPr>
            </w:pPr>
            <w:r w:rsidRPr="003B355D">
              <w:rPr>
                <w:rFonts w:ascii="Arial Narrow" w:hAnsi="Arial Narrow"/>
              </w:rPr>
              <w:t>337 (7.2%)</w:t>
            </w:r>
          </w:p>
        </w:tc>
        <w:tc>
          <w:tcPr>
            <w:tcW w:w="805" w:type="pct"/>
            <w:gridSpan w:val="2"/>
            <w:vAlign w:val="center"/>
          </w:tcPr>
          <w:p w:rsidR="00312B5B" w:rsidRPr="003B355D" w:rsidRDefault="00312B5B" w:rsidP="0080299F">
            <w:pPr>
              <w:pStyle w:val="Tabletext"/>
              <w:spacing w:before="40" w:after="40"/>
              <w:contextualSpacing/>
              <w:jc w:val="center"/>
              <w:rPr>
                <w:rFonts w:ascii="Arial Narrow" w:hAnsi="Arial Narrow"/>
              </w:rPr>
            </w:pPr>
            <w:r w:rsidRPr="003B355D">
              <w:rPr>
                <w:rFonts w:ascii="Arial Narrow" w:hAnsi="Arial Narrow"/>
              </w:rPr>
              <w:t>1.90</w:t>
            </w:r>
          </w:p>
        </w:tc>
        <w:tc>
          <w:tcPr>
            <w:tcW w:w="878" w:type="pct"/>
            <w:vAlign w:val="center"/>
          </w:tcPr>
          <w:p w:rsidR="00312B5B" w:rsidRPr="003B355D" w:rsidRDefault="00312B5B" w:rsidP="0080299F">
            <w:pPr>
              <w:pStyle w:val="Tabletext"/>
              <w:spacing w:before="40" w:after="40"/>
              <w:contextualSpacing/>
              <w:jc w:val="center"/>
              <w:rPr>
                <w:rFonts w:ascii="Arial Narrow" w:hAnsi="Arial Narrow"/>
                <w:b/>
              </w:rPr>
            </w:pPr>
            <w:r w:rsidRPr="003B355D">
              <w:rPr>
                <w:rFonts w:ascii="Arial Narrow" w:hAnsi="Arial Narrow"/>
                <w:b/>
              </w:rPr>
              <w:t>0.78 (0.67, 0.92)</w:t>
            </w:r>
          </w:p>
        </w:tc>
      </w:tr>
      <w:tr w:rsidR="00CA3034" w:rsidRPr="003B355D" w:rsidTr="00EB5830">
        <w:tc>
          <w:tcPr>
            <w:tcW w:w="1262" w:type="pct"/>
            <w:vAlign w:val="center"/>
          </w:tcPr>
          <w:p w:rsidR="00CA3034" w:rsidRPr="003B355D" w:rsidRDefault="00CA3034" w:rsidP="0080299F">
            <w:pPr>
              <w:spacing w:before="40" w:after="40"/>
              <w:ind w:right="-108"/>
              <w:rPr>
                <w:rFonts w:ascii="Arial Narrow" w:hAnsi="Arial Narrow"/>
                <w:sz w:val="20"/>
              </w:rPr>
            </w:pPr>
            <w:r w:rsidRPr="003B355D">
              <w:rPr>
                <w:rFonts w:ascii="Arial Narrow" w:hAnsi="Arial Narrow"/>
                <w:sz w:val="20"/>
              </w:rPr>
              <w:t>Need continuing dialysis</w:t>
            </w:r>
          </w:p>
        </w:tc>
        <w:tc>
          <w:tcPr>
            <w:tcW w:w="624" w:type="pct"/>
            <w:vAlign w:val="center"/>
          </w:tcPr>
          <w:p w:rsidR="00CA3034" w:rsidRPr="003B355D" w:rsidRDefault="00CA3034" w:rsidP="0080299F">
            <w:pPr>
              <w:pStyle w:val="Tabletext"/>
              <w:spacing w:before="40" w:after="40"/>
              <w:contextualSpacing/>
              <w:jc w:val="center"/>
              <w:rPr>
                <w:rFonts w:ascii="Arial Narrow" w:hAnsi="Arial Narrow"/>
              </w:rPr>
            </w:pPr>
            <w:r w:rsidRPr="003B355D">
              <w:rPr>
                <w:rFonts w:ascii="Arial Narrow" w:hAnsi="Arial Narrow"/>
              </w:rPr>
              <w:t>56 (1.2%)</w:t>
            </w:r>
          </w:p>
        </w:tc>
        <w:tc>
          <w:tcPr>
            <w:tcW w:w="801" w:type="pct"/>
            <w:vAlign w:val="center"/>
          </w:tcPr>
          <w:p w:rsidR="00CA3034" w:rsidRPr="003B355D" w:rsidRDefault="00CA3034" w:rsidP="0080299F">
            <w:pPr>
              <w:pStyle w:val="Tabletext"/>
              <w:spacing w:before="40" w:after="40"/>
              <w:contextualSpacing/>
              <w:jc w:val="center"/>
              <w:rPr>
                <w:rFonts w:ascii="Arial Narrow" w:hAnsi="Arial Narrow"/>
              </w:rPr>
            </w:pPr>
            <w:r w:rsidRPr="003B355D">
              <w:rPr>
                <w:rFonts w:ascii="Arial Narrow" w:hAnsi="Arial Narrow"/>
              </w:rPr>
              <w:t>0.34</w:t>
            </w:r>
          </w:p>
        </w:tc>
        <w:tc>
          <w:tcPr>
            <w:tcW w:w="630" w:type="pct"/>
            <w:vAlign w:val="center"/>
          </w:tcPr>
          <w:p w:rsidR="00CA3034" w:rsidRPr="003B355D" w:rsidRDefault="00CA3034" w:rsidP="0080299F">
            <w:pPr>
              <w:pStyle w:val="Tabletext"/>
              <w:spacing w:before="40" w:after="40"/>
              <w:contextualSpacing/>
              <w:jc w:val="center"/>
              <w:rPr>
                <w:rFonts w:ascii="Arial Narrow" w:hAnsi="Arial Narrow"/>
              </w:rPr>
            </w:pPr>
            <w:r w:rsidRPr="003B355D">
              <w:rPr>
                <w:rFonts w:ascii="Arial Narrow" w:hAnsi="Arial Narrow"/>
              </w:rPr>
              <w:t>64 (1.4%)</w:t>
            </w:r>
          </w:p>
        </w:tc>
        <w:tc>
          <w:tcPr>
            <w:tcW w:w="805" w:type="pct"/>
            <w:gridSpan w:val="2"/>
            <w:vAlign w:val="center"/>
          </w:tcPr>
          <w:p w:rsidR="00CA3034" w:rsidRPr="003B355D" w:rsidRDefault="00CA3034" w:rsidP="0080299F">
            <w:pPr>
              <w:pStyle w:val="Tabletext"/>
              <w:spacing w:before="40" w:after="40"/>
              <w:contextualSpacing/>
              <w:jc w:val="center"/>
              <w:rPr>
                <w:rFonts w:ascii="Arial Narrow" w:hAnsi="Arial Narrow"/>
              </w:rPr>
            </w:pPr>
            <w:r w:rsidRPr="003B355D">
              <w:rPr>
                <w:rFonts w:ascii="Arial Narrow" w:hAnsi="Arial Narrow"/>
              </w:rPr>
              <w:t>0.4</w:t>
            </w:r>
          </w:p>
        </w:tc>
        <w:tc>
          <w:tcPr>
            <w:tcW w:w="878" w:type="pct"/>
            <w:vAlign w:val="center"/>
          </w:tcPr>
          <w:p w:rsidR="00CA3034" w:rsidRPr="003B355D" w:rsidRDefault="00CA3034" w:rsidP="0080299F">
            <w:pPr>
              <w:pStyle w:val="Tabletext"/>
              <w:spacing w:before="40" w:after="40"/>
              <w:contextualSpacing/>
              <w:jc w:val="center"/>
              <w:rPr>
                <w:rFonts w:ascii="Arial Narrow" w:hAnsi="Arial Narrow"/>
                <w:b/>
              </w:rPr>
            </w:pPr>
            <w:r w:rsidRPr="003B355D">
              <w:rPr>
                <w:rFonts w:ascii="Arial Narrow" w:hAnsi="Arial Narrow"/>
                <w:i/>
              </w:rPr>
              <w:t>0.87 (0.61, 1.24)</w:t>
            </w:r>
          </w:p>
        </w:tc>
      </w:tr>
      <w:tr w:rsidR="00CA3034" w:rsidRPr="003B355D" w:rsidTr="00EB5830">
        <w:tc>
          <w:tcPr>
            <w:tcW w:w="1262" w:type="pct"/>
            <w:vAlign w:val="center"/>
          </w:tcPr>
          <w:p w:rsidR="00CA3034" w:rsidRPr="003B355D" w:rsidRDefault="00CA3034" w:rsidP="0080299F">
            <w:pPr>
              <w:spacing w:before="40" w:after="40"/>
              <w:ind w:right="-108"/>
              <w:rPr>
                <w:rFonts w:ascii="Arial Narrow" w:hAnsi="Arial Narrow"/>
                <w:sz w:val="20"/>
              </w:rPr>
            </w:pPr>
            <w:r w:rsidRPr="003B355D">
              <w:rPr>
                <w:rFonts w:ascii="Arial Narrow" w:hAnsi="Arial Narrow"/>
                <w:sz w:val="20"/>
              </w:rPr>
              <w:t>Death due to renal disease</w:t>
            </w:r>
          </w:p>
        </w:tc>
        <w:tc>
          <w:tcPr>
            <w:tcW w:w="624" w:type="pct"/>
            <w:vAlign w:val="center"/>
          </w:tcPr>
          <w:p w:rsidR="00CA3034" w:rsidRPr="003B355D" w:rsidRDefault="00CA3034" w:rsidP="0080299F">
            <w:pPr>
              <w:pStyle w:val="Tabletext"/>
              <w:spacing w:before="40" w:after="40"/>
              <w:contextualSpacing/>
              <w:jc w:val="center"/>
              <w:rPr>
                <w:rFonts w:ascii="Arial Narrow" w:hAnsi="Arial Narrow"/>
              </w:rPr>
            </w:pPr>
            <w:r w:rsidRPr="003B355D">
              <w:rPr>
                <w:rFonts w:ascii="Arial Narrow" w:hAnsi="Arial Narrow"/>
                <w:i/>
              </w:rPr>
              <w:t>8 (0.2)</w:t>
            </w:r>
          </w:p>
        </w:tc>
        <w:tc>
          <w:tcPr>
            <w:tcW w:w="801" w:type="pct"/>
            <w:vAlign w:val="center"/>
          </w:tcPr>
          <w:p w:rsidR="00CA3034" w:rsidRPr="003B355D" w:rsidRDefault="00CA3034" w:rsidP="0080299F">
            <w:pPr>
              <w:pStyle w:val="Tabletext"/>
              <w:spacing w:before="40" w:after="40"/>
              <w:contextualSpacing/>
              <w:jc w:val="center"/>
              <w:rPr>
                <w:rFonts w:ascii="Arial Narrow" w:hAnsi="Arial Narrow"/>
              </w:rPr>
            </w:pPr>
            <w:r w:rsidRPr="003B355D">
              <w:rPr>
                <w:rFonts w:ascii="Arial Narrow" w:hAnsi="Arial Narrow"/>
                <w:i/>
              </w:rPr>
              <w:t>0.04</w:t>
            </w:r>
          </w:p>
        </w:tc>
        <w:tc>
          <w:tcPr>
            <w:tcW w:w="630" w:type="pct"/>
            <w:vAlign w:val="center"/>
          </w:tcPr>
          <w:p w:rsidR="00CA3034" w:rsidRPr="003B355D" w:rsidRDefault="00CA3034" w:rsidP="0080299F">
            <w:pPr>
              <w:pStyle w:val="Tabletext"/>
              <w:spacing w:before="40" w:after="40"/>
              <w:contextualSpacing/>
              <w:jc w:val="center"/>
              <w:rPr>
                <w:rFonts w:ascii="Arial Narrow" w:hAnsi="Arial Narrow"/>
              </w:rPr>
            </w:pPr>
            <w:r w:rsidRPr="003B355D">
              <w:rPr>
                <w:rFonts w:ascii="Arial Narrow" w:hAnsi="Arial Narrow"/>
                <w:i/>
              </w:rPr>
              <w:t>5 (0.1)</w:t>
            </w:r>
          </w:p>
        </w:tc>
        <w:tc>
          <w:tcPr>
            <w:tcW w:w="805" w:type="pct"/>
            <w:gridSpan w:val="2"/>
            <w:vAlign w:val="center"/>
          </w:tcPr>
          <w:p w:rsidR="00CA3034" w:rsidRPr="003B355D" w:rsidRDefault="00CA3034" w:rsidP="0080299F">
            <w:pPr>
              <w:pStyle w:val="Tabletext"/>
              <w:spacing w:before="40" w:after="40"/>
              <w:contextualSpacing/>
              <w:jc w:val="center"/>
              <w:rPr>
                <w:rFonts w:ascii="Arial Narrow" w:hAnsi="Arial Narrow"/>
              </w:rPr>
            </w:pPr>
            <w:r w:rsidRPr="003B355D">
              <w:rPr>
                <w:rFonts w:ascii="Arial Narrow" w:hAnsi="Arial Narrow"/>
                <w:i/>
              </w:rPr>
              <w:t>0.03</w:t>
            </w:r>
          </w:p>
        </w:tc>
        <w:tc>
          <w:tcPr>
            <w:tcW w:w="878" w:type="pct"/>
            <w:vAlign w:val="center"/>
          </w:tcPr>
          <w:p w:rsidR="00CA3034" w:rsidRPr="003B355D" w:rsidRDefault="00CA3034" w:rsidP="0080299F">
            <w:pPr>
              <w:pStyle w:val="Tabletext"/>
              <w:spacing w:before="40" w:after="40"/>
              <w:contextualSpacing/>
              <w:jc w:val="center"/>
              <w:rPr>
                <w:rFonts w:ascii="Arial Narrow" w:hAnsi="Arial Narrow"/>
                <w:b/>
              </w:rPr>
            </w:pPr>
            <w:r w:rsidRPr="003B355D">
              <w:rPr>
                <w:rFonts w:ascii="Arial Narrow" w:hAnsi="Arial Narrow"/>
                <w:i/>
              </w:rPr>
              <w:t>1.59 (0.52, 4.87)</w:t>
            </w:r>
          </w:p>
        </w:tc>
      </w:tr>
      <w:tr w:rsidR="00CA3034" w:rsidRPr="003B355D" w:rsidTr="00EB5830">
        <w:tc>
          <w:tcPr>
            <w:tcW w:w="1262" w:type="pct"/>
            <w:vAlign w:val="center"/>
          </w:tcPr>
          <w:p w:rsidR="00CA3034" w:rsidRPr="003B355D" w:rsidRDefault="00CA3034" w:rsidP="0080299F">
            <w:pPr>
              <w:spacing w:before="40" w:after="40"/>
              <w:ind w:right="-108"/>
              <w:rPr>
                <w:rFonts w:ascii="Arial Narrow" w:hAnsi="Arial Narrow"/>
                <w:sz w:val="20"/>
              </w:rPr>
            </w:pPr>
            <w:r w:rsidRPr="003B355D">
              <w:rPr>
                <w:rFonts w:ascii="Arial Narrow" w:hAnsi="Arial Narrow"/>
                <w:sz w:val="20"/>
              </w:rPr>
              <w:t>First retinopathy event</w:t>
            </w:r>
          </w:p>
        </w:tc>
        <w:tc>
          <w:tcPr>
            <w:tcW w:w="624" w:type="pct"/>
            <w:vAlign w:val="center"/>
          </w:tcPr>
          <w:p w:rsidR="00CA3034" w:rsidRPr="003B355D" w:rsidRDefault="00CA3034" w:rsidP="0080299F">
            <w:pPr>
              <w:pStyle w:val="Tabletext"/>
              <w:spacing w:before="40" w:after="40"/>
              <w:contextualSpacing/>
              <w:jc w:val="center"/>
              <w:rPr>
                <w:rFonts w:ascii="Arial Narrow" w:hAnsi="Arial Narrow"/>
              </w:rPr>
            </w:pPr>
            <w:r w:rsidRPr="003B355D">
              <w:rPr>
                <w:rFonts w:ascii="Arial Narrow" w:hAnsi="Arial Narrow"/>
              </w:rPr>
              <w:t>106 (2.3%)</w:t>
            </w:r>
          </w:p>
        </w:tc>
        <w:tc>
          <w:tcPr>
            <w:tcW w:w="801" w:type="pct"/>
            <w:vAlign w:val="center"/>
          </w:tcPr>
          <w:p w:rsidR="00CA3034" w:rsidRPr="003B355D" w:rsidRDefault="00CA3034" w:rsidP="0080299F">
            <w:pPr>
              <w:pStyle w:val="Tabletext"/>
              <w:spacing w:before="40" w:after="40"/>
              <w:contextualSpacing/>
              <w:jc w:val="center"/>
              <w:rPr>
                <w:rFonts w:ascii="Arial Narrow" w:hAnsi="Arial Narrow"/>
              </w:rPr>
            </w:pPr>
            <w:r w:rsidRPr="003B355D">
              <w:rPr>
                <w:rFonts w:ascii="Arial Narrow" w:hAnsi="Arial Narrow"/>
              </w:rPr>
              <w:t>0.59</w:t>
            </w:r>
          </w:p>
        </w:tc>
        <w:tc>
          <w:tcPr>
            <w:tcW w:w="630" w:type="pct"/>
            <w:vAlign w:val="center"/>
          </w:tcPr>
          <w:p w:rsidR="00CA3034" w:rsidRPr="003B355D" w:rsidRDefault="00CA3034" w:rsidP="0080299F">
            <w:pPr>
              <w:pStyle w:val="Tabletext"/>
              <w:spacing w:before="40" w:after="40"/>
              <w:contextualSpacing/>
              <w:jc w:val="center"/>
              <w:rPr>
                <w:rFonts w:ascii="Arial Narrow" w:hAnsi="Arial Narrow"/>
              </w:rPr>
            </w:pPr>
            <w:r w:rsidRPr="003B355D">
              <w:rPr>
                <w:rFonts w:ascii="Arial Narrow" w:hAnsi="Arial Narrow"/>
              </w:rPr>
              <w:t>92 (2.0%)</w:t>
            </w:r>
          </w:p>
        </w:tc>
        <w:tc>
          <w:tcPr>
            <w:tcW w:w="805" w:type="pct"/>
            <w:gridSpan w:val="2"/>
            <w:vAlign w:val="center"/>
          </w:tcPr>
          <w:p w:rsidR="00CA3034" w:rsidRPr="003B355D" w:rsidRDefault="00CA3034" w:rsidP="0080299F">
            <w:pPr>
              <w:pStyle w:val="Tabletext"/>
              <w:spacing w:before="40" w:after="40"/>
              <w:contextualSpacing/>
              <w:jc w:val="center"/>
              <w:rPr>
                <w:rFonts w:ascii="Arial Narrow" w:hAnsi="Arial Narrow"/>
              </w:rPr>
            </w:pPr>
            <w:r w:rsidRPr="003B355D">
              <w:rPr>
                <w:rFonts w:ascii="Arial Narrow" w:hAnsi="Arial Narrow"/>
              </w:rPr>
              <w:t>0.52</w:t>
            </w:r>
          </w:p>
        </w:tc>
        <w:tc>
          <w:tcPr>
            <w:tcW w:w="878" w:type="pct"/>
            <w:vAlign w:val="center"/>
          </w:tcPr>
          <w:p w:rsidR="00CA3034" w:rsidRPr="003B355D" w:rsidRDefault="00CA3034" w:rsidP="0080299F">
            <w:pPr>
              <w:pStyle w:val="Tabletext"/>
              <w:spacing w:before="40" w:after="40"/>
              <w:contextualSpacing/>
              <w:jc w:val="center"/>
              <w:rPr>
                <w:rFonts w:ascii="Arial Narrow" w:hAnsi="Arial Narrow"/>
                <w:b/>
              </w:rPr>
            </w:pPr>
            <w:r w:rsidRPr="003B355D">
              <w:rPr>
                <w:rFonts w:ascii="Arial Narrow" w:hAnsi="Arial Narrow"/>
              </w:rPr>
              <w:t>1.15 (0.87, 1.52)</w:t>
            </w:r>
          </w:p>
        </w:tc>
      </w:tr>
    </w:tbl>
    <w:p w:rsidR="00156CCD" w:rsidRPr="003B355D" w:rsidRDefault="00156CCD" w:rsidP="00156CCD">
      <w:pPr>
        <w:pStyle w:val="TableFooter"/>
      </w:pPr>
      <w:r w:rsidRPr="003B355D">
        <w:t>Source: Tables B.6.2, p.81</w:t>
      </w:r>
      <w:r w:rsidR="00754889" w:rsidRPr="003B355D">
        <w:t>,</w:t>
      </w:r>
      <w:r w:rsidRPr="003B355D">
        <w:t xml:space="preserve"> B.6.3, p.83</w:t>
      </w:r>
      <w:r w:rsidR="00304644" w:rsidRPr="003B355D">
        <w:t>,</w:t>
      </w:r>
      <w:r w:rsidRPr="003B355D">
        <w:t xml:space="preserve"> </w:t>
      </w:r>
      <w:r w:rsidR="00754889" w:rsidRPr="003B355D">
        <w:rPr>
          <w:szCs w:val="18"/>
        </w:rPr>
        <w:t>B.6.4, p.84</w:t>
      </w:r>
      <w:r w:rsidR="00304644" w:rsidRPr="003B355D">
        <w:rPr>
          <w:szCs w:val="18"/>
        </w:rPr>
        <w:t>,</w:t>
      </w:r>
      <w:r w:rsidR="00754889" w:rsidRPr="003B355D">
        <w:rPr>
          <w:szCs w:val="18"/>
        </w:rPr>
        <w:t xml:space="preserve"> </w:t>
      </w:r>
      <w:r w:rsidR="00304644" w:rsidRPr="003B355D">
        <w:rPr>
          <w:szCs w:val="18"/>
        </w:rPr>
        <w:t xml:space="preserve">B.6.6, p.88 and B.6.13, p.100 </w:t>
      </w:r>
      <w:r w:rsidRPr="003B355D">
        <w:t>of the submission</w:t>
      </w:r>
      <w:r w:rsidR="00754889" w:rsidRPr="003B355D">
        <w:t xml:space="preserve">. </w:t>
      </w:r>
      <w:r w:rsidR="00754889" w:rsidRPr="003B355D">
        <w:rPr>
          <w:szCs w:val="18"/>
        </w:rPr>
        <w:t>Statistically significant results in bold</w:t>
      </w:r>
    </w:p>
    <w:p w:rsidR="00156CCD" w:rsidRPr="003B355D" w:rsidRDefault="00156CCD" w:rsidP="00156CCD">
      <w:pPr>
        <w:pStyle w:val="TableFooter"/>
        <w:rPr>
          <w:szCs w:val="18"/>
        </w:rPr>
      </w:pPr>
      <w:r w:rsidRPr="003B355D">
        <w:t>Abbreviations: EAC, evaluation adjudication committee; FAS, full analysis set; MAC</w:t>
      </w:r>
      <w:r w:rsidR="00754889" w:rsidRPr="003B355D">
        <w:t>E, major adverse cardiac event</w:t>
      </w:r>
    </w:p>
    <w:p w:rsidR="00156CCD" w:rsidRPr="003B355D" w:rsidRDefault="00754889" w:rsidP="00754889">
      <w:pPr>
        <w:pStyle w:val="TableFooter"/>
        <w:spacing w:after="240"/>
        <w:contextualSpacing/>
      </w:pPr>
      <w:proofErr w:type="gramStart"/>
      <w:r w:rsidRPr="003B355D">
        <w:rPr>
          <w:vertAlign w:val="superscript"/>
        </w:rPr>
        <w:t>a</w:t>
      </w:r>
      <w:proofErr w:type="gramEnd"/>
      <w:r w:rsidRPr="003B355D">
        <w:t xml:space="preserve"> 17822 patient years of observations; </w:t>
      </w:r>
      <w:r w:rsidRPr="003B355D">
        <w:rPr>
          <w:vertAlign w:val="superscript"/>
        </w:rPr>
        <w:t xml:space="preserve">b </w:t>
      </w:r>
      <w:r w:rsidRPr="003B355D">
        <w:t>17741 patient years of observations</w:t>
      </w:r>
      <w:r w:rsidR="00304644" w:rsidRPr="003B355D">
        <w:t xml:space="preserve">; </w:t>
      </w:r>
      <w:r w:rsidR="00304644" w:rsidRPr="003B355D">
        <w:rPr>
          <w:vertAlign w:val="superscript"/>
        </w:rPr>
        <w:t>c</w:t>
      </w:r>
      <w:r w:rsidR="00304644" w:rsidRPr="003B355D">
        <w:t xml:space="preserve"> Results &gt;1 favour placebo. Results &lt;1 favour liraglutide;</w:t>
      </w:r>
    </w:p>
    <w:p w:rsidR="00304644" w:rsidRPr="003B355D" w:rsidRDefault="00304644" w:rsidP="00754889">
      <w:pPr>
        <w:pStyle w:val="TableFooter"/>
        <w:spacing w:after="240"/>
        <w:contextualSpacing/>
      </w:pPr>
      <w:proofErr w:type="gramStart"/>
      <w:r w:rsidRPr="003B355D">
        <w:rPr>
          <w:vertAlign w:val="superscript"/>
        </w:rPr>
        <w:t>d</w:t>
      </w:r>
      <w:proofErr w:type="gramEnd"/>
      <w:r w:rsidRPr="003B355D">
        <w:t xml:space="preserve"> Analysis independent of the composite outcome</w:t>
      </w:r>
    </w:p>
    <w:p w:rsidR="00D453F1" w:rsidRDefault="00D453F1" w:rsidP="00D453F1">
      <w:pPr>
        <w:pStyle w:val="Caption"/>
      </w:pPr>
      <w:bookmarkStart w:id="25" w:name="_Toc413139279"/>
      <w:bookmarkStart w:id="26" w:name="_Toc476306889"/>
      <w:r>
        <w:lastRenderedPageBreak/>
        <w:t xml:space="preserve">Figure </w:t>
      </w:r>
      <w:r>
        <w:rPr>
          <w:noProof/>
        </w:rPr>
        <w:t>1</w:t>
      </w:r>
      <w:r w:rsidRPr="000A24AF">
        <w:t>: Kaplan Meier plot of time to first EAC confirmed MACE (FAS)</w:t>
      </w:r>
    </w:p>
    <w:p w:rsidR="00304644" w:rsidRPr="003B355D" w:rsidRDefault="00304644" w:rsidP="00304644">
      <w:pPr>
        <w:rPr>
          <w:snapToGrid/>
          <w:lang w:eastAsia="en-AU"/>
        </w:rPr>
      </w:pPr>
      <w:r w:rsidRPr="003B355D">
        <w:rPr>
          <w:noProof/>
          <w:snapToGrid/>
          <w:lang w:eastAsia="en-AU"/>
        </w:rPr>
        <w:drawing>
          <wp:inline distT="0" distB="0" distL="0" distR="0" wp14:anchorId="19FD2662" wp14:editId="1FB635F3">
            <wp:extent cx="5725236" cy="3270776"/>
            <wp:effectExtent l="0" t="0" r="0" b="6350"/>
            <wp:docPr id="9" name="Picture 9" title="Kaplan Meier plot of time to first EAC confirmed MACE (F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5347" cy="3270840"/>
                    </a:xfrm>
                    <a:prstGeom prst="rect">
                      <a:avLst/>
                    </a:prstGeom>
                    <a:noFill/>
                    <a:ln>
                      <a:noFill/>
                    </a:ln>
                  </pic:spPr>
                </pic:pic>
              </a:graphicData>
            </a:graphic>
          </wp:inline>
        </w:drawing>
      </w:r>
    </w:p>
    <w:p w:rsidR="00304644" w:rsidRPr="003B355D" w:rsidRDefault="00304644" w:rsidP="0089138C">
      <w:pPr>
        <w:pStyle w:val="TableFooter"/>
        <w:rPr>
          <w:snapToGrid/>
          <w:lang w:eastAsia="en-AU"/>
        </w:rPr>
      </w:pPr>
      <w:r w:rsidRPr="003B355D">
        <w:rPr>
          <w:snapToGrid/>
          <w:lang w:eastAsia="en-AU"/>
        </w:rPr>
        <w:t>Source: Figure B.6.1, p.82 of the submission</w:t>
      </w:r>
    </w:p>
    <w:p w:rsidR="00304644" w:rsidRPr="003B355D" w:rsidRDefault="00304644" w:rsidP="0089138C">
      <w:pPr>
        <w:pStyle w:val="TableFooter"/>
        <w:rPr>
          <w:snapToGrid/>
          <w:lang w:eastAsia="en-AU"/>
        </w:rPr>
      </w:pPr>
      <w:r w:rsidRPr="003B355D">
        <w:rPr>
          <w:snapToGrid/>
          <w:lang w:eastAsia="en-AU"/>
        </w:rPr>
        <w:t>Abbreviations: EAC, event adjudication committee; FAS, full analysis set; Lira, liraglutide; MACE, major adverse cardiac event</w:t>
      </w:r>
    </w:p>
    <w:p w:rsidR="00BB7C04" w:rsidRPr="003B355D" w:rsidRDefault="00BB7C04" w:rsidP="002C3067">
      <w:pPr>
        <w:pStyle w:val="ESnumberedparablue"/>
        <w:numPr>
          <w:ilvl w:val="1"/>
          <w:numId w:val="34"/>
        </w:numPr>
        <w:rPr>
          <w:rFonts w:asciiTheme="minorHAnsi" w:hAnsiTheme="minorHAnsi"/>
          <w:color w:val="auto"/>
          <w:sz w:val="24"/>
          <w:szCs w:val="24"/>
        </w:rPr>
      </w:pPr>
      <w:r w:rsidRPr="003B355D">
        <w:rPr>
          <w:rFonts w:asciiTheme="minorHAnsi" w:hAnsiTheme="minorHAnsi"/>
          <w:color w:val="auto"/>
          <w:sz w:val="24"/>
          <w:szCs w:val="24"/>
        </w:rPr>
        <w:t>Liraglutide was associated with a 13.2% reduction in risk of a major adverse cardiovascular event compared to placebo (HR 0.868, 95% CI [0.778, 0.968]). A similar reduction in risk was observed for the time to expanded MACE composite outcome (HR 0.881, 95% CI [0.807,</w:t>
      </w:r>
      <w:r w:rsidR="002A2F74" w:rsidRPr="003B355D">
        <w:rPr>
          <w:rFonts w:asciiTheme="minorHAnsi" w:hAnsiTheme="minorHAnsi"/>
          <w:color w:val="auto"/>
          <w:sz w:val="24"/>
          <w:szCs w:val="24"/>
        </w:rPr>
        <w:t xml:space="preserve"> </w:t>
      </w:r>
      <w:r w:rsidRPr="003B355D">
        <w:rPr>
          <w:rFonts w:asciiTheme="minorHAnsi" w:hAnsiTheme="minorHAnsi"/>
          <w:color w:val="auto"/>
          <w:sz w:val="24"/>
          <w:szCs w:val="24"/>
        </w:rPr>
        <w:t>0.962].</w:t>
      </w:r>
    </w:p>
    <w:p w:rsidR="00BB7C04" w:rsidRPr="003B355D" w:rsidRDefault="00BB7C04" w:rsidP="002C3067">
      <w:pPr>
        <w:pStyle w:val="ESnumberedparablue"/>
        <w:numPr>
          <w:ilvl w:val="1"/>
          <w:numId w:val="34"/>
        </w:numPr>
        <w:rPr>
          <w:rFonts w:asciiTheme="minorHAnsi" w:hAnsiTheme="minorHAnsi"/>
          <w:color w:val="auto"/>
          <w:sz w:val="24"/>
          <w:szCs w:val="24"/>
        </w:rPr>
      </w:pPr>
      <w:r w:rsidRPr="003B355D">
        <w:rPr>
          <w:rFonts w:asciiTheme="minorHAnsi" w:hAnsiTheme="minorHAnsi"/>
          <w:color w:val="auto"/>
          <w:sz w:val="24"/>
          <w:szCs w:val="24"/>
        </w:rPr>
        <w:t>Component outcomes occurred in smaller proportions of patients treated with liraglutide compared to placebo (standard care), with statistically significant differences in reduction in risk of cardiovascular death and all-cause death favouring liraglutide</w:t>
      </w:r>
      <w:r w:rsidR="00D01029" w:rsidRPr="003B355D">
        <w:rPr>
          <w:rFonts w:asciiTheme="minorHAnsi" w:hAnsiTheme="minorHAnsi"/>
          <w:color w:val="auto"/>
          <w:sz w:val="24"/>
          <w:szCs w:val="24"/>
        </w:rPr>
        <w:t xml:space="preserve">. </w:t>
      </w:r>
      <w:r w:rsidRPr="003B355D">
        <w:rPr>
          <w:rFonts w:asciiTheme="minorHAnsi" w:hAnsiTheme="minorHAnsi"/>
          <w:color w:val="auto"/>
          <w:sz w:val="24"/>
          <w:szCs w:val="24"/>
        </w:rPr>
        <w:t xml:space="preserve">The statistically significant reductions in </w:t>
      </w:r>
      <w:r w:rsidR="007B469C" w:rsidRPr="003B355D">
        <w:rPr>
          <w:rFonts w:asciiTheme="minorHAnsi" w:hAnsiTheme="minorHAnsi"/>
          <w:color w:val="auto"/>
          <w:sz w:val="24"/>
          <w:szCs w:val="24"/>
        </w:rPr>
        <w:t xml:space="preserve">overall </w:t>
      </w:r>
      <w:r w:rsidRPr="003B355D">
        <w:rPr>
          <w:rFonts w:asciiTheme="minorHAnsi" w:hAnsiTheme="minorHAnsi"/>
          <w:color w:val="auto"/>
          <w:sz w:val="24"/>
          <w:szCs w:val="24"/>
        </w:rPr>
        <w:t>cardiovascular risk observed in the MACE and expanded MACE composite outcomes for patients treated with liraglutide appeared to be primarily driven by the reduction in risk of cardiovascular death.</w:t>
      </w:r>
    </w:p>
    <w:p w:rsidR="00B540CE" w:rsidRPr="003B355D" w:rsidRDefault="007B469C" w:rsidP="00B540CE">
      <w:pPr>
        <w:pStyle w:val="ESnumberedparablue"/>
        <w:numPr>
          <w:ilvl w:val="1"/>
          <w:numId w:val="34"/>
        </w:numPr>
        <w:rPr>
          <w:rFonts w:asciiTheme="minorHAnsi" w:hAnsiTheme="minorHAnsi"/>
          <w:color w:val="auto"/>
          <w:sz w:val="24"/>
          <w:szCs w:val="24"/>
        </w:rPr>
      </w:pPr>
      <w:r w:rsidRPr="003B355D">
        <w:rPr>
          <w:rFonts w:asciiTheme="minorHAnsi" w:hAnsiTheme="minorHAnsi"/>
          <w:color w:val="auto"/>
          <w:sz w:val="24"/>
          <w:szCs w:val="24"/>
        </w:rPr>
        <w:t xml:space="preserve">In post-hoc analyses undertaken for </w:t>
      </w:r>
      <w:proofErr w:type="spellStart"/>
      <w:r w:rsidRPr="003B355D">
        <w:rPr>
          <w:rFonts w:asciiTheme="minorHAnsi" w:hAnsiTheme="minorHAnsi"/>
          <w:color w:val="auto"/>
          <w:sz w:val="24"/>
          <w:szCs w:val="24"/>
        </w:rPr>
        <w:t>Marso</w:t>
      </w:r>
      <w:proofErr w:type="spellEnd"/>
      <w:r w:rsidRPr="003B355D">
        <w:rPr>
          <w:rFonts w:asciiTheme="minorHAnsi" w:hAnsiTheme="minorHAnsi"/>
          <w:color w:val="auto"/>
          <w:sz w:val="24"/>
          <w:szCs w:val="24"/>
        </w:rPr>
        <w:t xml:space="preserve"> et al. (2016), smaller proportions of patients treated with liraglutide experienced cardiovascular events compared to placebo, </w:t>
      </w:r>
      <w:r w:rsidR="00EA68AA" w:rsidRPr="003B355D">
        <w:rPr>
          <w:rFonts w:asciiTheme="minorHAnsi" w:hAnsiTheme="minorHAnsi"/>
          <w:color w:val="auto"/>
          <w:sz w:val="24"/>
          <w:szCs w:val="24"/>
        </w:rPr>
        <w:t>but</w:t>
      </w:r>
      <w:r w:rsidRPr="003B355D">
        <w:rPr>
          <w:rFonts w:asciiTheme="minorHAnsi" w:hAnsiTheme="minorHAnsi"/>
          <w:color w:val="auto"/>
          <w:sz w:val="24"/>
          <w:szCs w:val="24"/>
        </w:rPr>
        <w:t xml:space="preserve"> only risk of “all</w:t>
      </w:r>
      <w:r w:rsidR="00EA68AA" w:rsidRPr="003B355D">
        <w:rPr>
          <w:rFonts w:asciiTheme="minorHAnsi" w:hAnsiTheme="minorHAnsi"/>
          <w:color w:val="auto"/>
          <w:sz w:val="24"/>
          <w:szCs w:val="24"/>
        </w:rPr>
        <w:t xml:space="preserve"> myocardial infarction” (one or more fatal, nonfatal or silent infarct events) reached</w:t>
      </w:r>
      <w:r w:rsidRPr="003B355D">
        <w:rPr>
          <w:rFonts w:asciiTheme="minorHAnsi" w:hAnsiTheme="minorHAnsi"/>
          <w:color w:val="auto"/>
          <w:sz w:val="24"/>
          <w:szCs w:val="24"/>
        </w:rPr>
        <w:t xml:space="preserve"> borderline statistical significance (HR 0.86; 95% CI [0.73, 1.00])</w:t>
      </w:r>
      <w:r w:rsidR="00752A48" w:rsidRPr="003B355D">
        <w:rPr>
          <w:rFonts w:asciiTheme="minorHAnsi" w:hAnsiTheme="minorHAnsi"/>
          <w:color w:val="auto"/>
          <w:sz w:val="24"/>
          <w:szCs w:val="24"/>
        </w:rPr>
        <w:t>.</w:t>
      </w:r>
      <w:r w:rsidR="00EA68AA" w:rsidRPr="003B355D">
        <w:rPr>
          <w:rFonts w:asciiTheme="minorHAnsi" w:hAnsiTheme="minorHAnsi"/>
          <w:color w:val="auto"/>
          <w:sz w:val="24"/>
          <w:szCs w:val="24"/>
        </w:rPr>
        <w:t xml:space="preserve"> This analysis should be interpreted with caution given differences in </w:t>
      </w:r>
      <w:r w:rsidR="00CA3034" w:rsidRPr="003B355D">
        <w:rPr>
          <w:rFonts w:asciiTheme="minorHAnsi" w:hAnsiTheme="minorHAnsi"/>
          <w:color w:val="auto"/>
          <w:sz w:val="24"/>
          <w:szCs w:val="24"/>
        </w:rPr>
        <w:t xml:space="preserve">the severity and disability between events, and between single </w:t>
      </w:r>
      <w:proofErr w:type="gramStart"/>
      <w:r w:rsidR="00CA3034" w:rsidRPr="003B355D">
        <w:rPr>
          <w:rFonts w:asciiTheme="minorHAnsi" w:hAnsiTheme="minorHAnsi"/>
          <w:color w:val="auto"/>
          <w:sz w:val="24"/>
          <w:szCs w:val="24"/>
        </w:rPr>
        <w:t>or</w:t>
      </w:r>
      <w:proofErr w:type="gramEnd"/>
      <w:r w:rsidR="00CA3034" w:rsidRPr="003B355D">
        <w:rPr>
          <w:rFonts w:asciiTheme="minorHAnsi" w:hAnsiTheme="minorHAnsi"/>
          <w:color w:val="auto"/>
          <w:sz w:val="24"/>
          <w:szCs w:val="24"/>
        </w:rPr>
        <w:t xml:space="preserve"> multiple events in individual patients.</w:t>
      </w:r>
    </w:p>
    <w:p w:rsidR="002A2F74" w:rsidRPr="003B355D" w:rsidRDefault="00752A48" w:rsidP="002C3067">
      <w:pPr>
        <w:pStyle w:val="ESnumberedparablue"/>
        <w:numPr>
          <w:ilvl w:val="1"/>
          <w:numId w:val="34"/>
        </w:numPr>
        <w:rPr>
          <w:rFonts w:asciiTheme="minorHAnsi" w:hAnsiTheme="minorHAnsi"/>
          <w:color w:val="auto"/>
          <w:sz w:val="24"/>
          <w:szCs w:val="24"/>
        </w:rPr>
      </w:pPr>
      <w:r w:rsidRPr="003B355D">
        <w:rPr>
          <w:rFonts w:asciiTheme="minorHAnsi" w:hAnsiTheme="minorHAnsi"/>
          <w:color w:val="auto"/>
          <w:sz w:val="24"/>
          <w:szCs w:val="24"/>
        </w:rPr>
        <w:t>Time to first m</w:t>
      </w:r>
      <w:r w:rsidR="007B469C" w:rsidRPr="003B355D">
        <w:rPr>
          <w:rFonts w:asciiTheme="minorHAnsi" w:hAnsiTheme="minorHAnsi"/>
          <w:color w:val="auto"/>
          <w:sz w:val="24"/>
          <w:szCs w:val="24"/>
        </w:rPr>
        <w:t>icrovascular event was statistically significantly in</w:t>
      </w:r>
      <w:r w:rsidRPr="003B355D">
        <w:rPr>
          <w:rFonts w:asciiTheme="minorHAnsi" w:hAnsiTheme="minorHAnsi"/>
          <w:color w:val="auto"/>
          <w:sz w:val="24"/>
          <w:szCs w:val="24"/>
        </w:rPr>
        <w:t xml:space="preserve"> favour of liraglutide</w:t>
      </w:r>
      <w:r w:rsidR="007B469C" w:rsidRPr="003B355D">
        <w:rPr>
          <w:rFonts w:asciiTheme="minorHAnsi" w:hAnsiTheme="minorHAnsi"/>
          <w:color w:val="auto"/>
          <w:sz w:val="24"/>
          <w:szCs w:val="24"/>
        </w:rPr>
        <w:t xml:space="preserve"> </w:t>
      </w:r>
      <w:r w:rsidRPr="003B355D">
        <w:rPr>
          <w:rFonts w:asciiTheme="minorHAnsi" w:hAnsiTheme="minorHAnsi"/>
          <w:color w:val="auto"/>
          <w:sz w:val="24"/>
          <w:szCs w:val="24"/>
        </w:rPr>
        <w:t>and</w:t>
      </w:r>
      <w:r w:rsidR="007B469C" w:rsidRPr="003B355D">
        <w:rPr>
          <w:rFonts w:asciiTheme="minorHAnsi" w:hAnsiTheme="minorHAnsi"/>
          <w:color w:val="auto"/>
          <w:sz w:val="24"/>
          <w:szCs w:val="24"/>
        </w:rPr>
        <w:t xml:space="preserve"> was solely driven by microvascular nephropathy events which occurred in smaller proportions of patients treated with liraglutide, with a statistically significant reduction in r</w:t>
      </w:r>
      <w:r w:rsidRPr="003B355D">
        <w:rPr>
          <w:rFonts w:asciiTheme="minorHAnsi" w:hAnsiTheme="minorHAnsi"/>
          <w:color w:val="auto"/>
          <w:sz w:val="24"/>
          <w:szCs w:val="24"/>
        </w:rPr>
        <w:t>isk of 16% compared to placebo</w:t>
      </w:r>
      <w:r w:rsidR="007B469C" w:rsidRPr="003B355D">
        <w:rPr>
          <w:rFonts w:asciiTheme="minorHAnsi" w:hAnsiTheme="minorHAnsi"/>
          <w:color w:val="auto"/>
          <w:sz w:val="24"/>
          <w:szCs w:val="24"/>
        </w:rPr>
        <w:t xml:space="preserve">.  </w:t>
      </w:r>
      <w:r w:rsidRPr="003B355D">
        <w:rPr>
          <w:rFonts w:asciiTheme="minorHAnsi" w:hAnsiTheme="minorHAnsi"/>
          <w:color w:val="auto"/>
          <w:sz w:val="24"/>
          <w:szCs w:val="24"/>
        </w:rPr>
        <w:t>T</w:t>
      </w:r>
      <w:r w:rsidR="007B469C" w:rsidRPr="003B355D">
        <w:rPr>
          <w:rFonts w:asciiTheme="minorHAnsi" w:hAnsiTheme="minorHAnsi"/>
          <w:color w:val="auto"/>
          <w:sz w:val="24"/>
          <w:szCs w:val="24"/>
        </w:rPr>
        <w:t xml:space="preserve">here was no statistically significant </w:t>
      </w:r>
      <w:r w:rsidR="007B469C" w:rsidRPr="003B355D">
        <w:rPr>
          <w:rFonts w:asciiTheme="minorHAnsi" w:hAnsiTheme="minorHAnsi"/>
          <w:color w:val="auto"/>
          <w:sz w:val="24"/>
          <w:szCs w:val="24"/>
        </w:rPr>
        <w:lastRenderedPageBreak/>
        <w:t xml:space="preserve">difference in </w:t>
      </w:r>
      <w:r w:rsidR="00CA3034" w:rsidRPr="003B355D">
        <w:rPr>
          <w:rFonts w:asciiTheme="minorHAnsi" w:hAnsiTheme="minorHAnsi"/>
          <w:color w:val="auto"/>
          <w:sz w:val="24"/>
          <w:szCs w:val="24"/>
        </w:rPr>
        <w:t>nephropathy requiring</w:t>
      </w:r>
      <w:r w:rsidR="007B469C" w:rsidRPr="003B355D">
        <w:rPr>
          <w:rFonts w:asciiTheme="minorHAnsi" w:hAnsiTheme="minorHAnsi"/>
          <w:color w:val="auto"/>
          <w:sz w:val="24"/>
          <w:szCs w:val="24"/>
        </w:rPr>
        <w:t xml:space="preserve"> continuing renal dialysis between treatment arms. </w:t>
      </w:r>
    </w:p>
    <w:p w:rsidR="00C25D35" w:rsidRPr="003B355D" w:rsidRDefault="002A2F74" w:rsidP="002C3067">
      <w:pPr>
        <w:pStyle w:val="ESnumberedparablue"/>
        <w:numPr>
          <w:ilvl w:val="1"/>
          <w:numId w:val="34"/>
        </w:numPr>
        <w:rPr>
          <w:rFonts w:asciiTheme="minorHAnsi" w:hAnsiTheme="minorHAnsi"/>
          <w:i/>
          <w:color w:val="auto"/>
          <w:sz w:val="24"/>
          <w:szCs w:val="24"/>
        </w:rPr>
      </w:pPr>
      <w:r w:rsidRPr="003B355D">
        <w:rPr>
          <w:rFonts w:asciiTheme="minorHAnsi" w:hAnsiTheme="minorHAnsi"/>
          <w:color w:val="auto"/>
          <w:sz w:val="24"/>
          <w:szCs w:val="24"/>
        </w:rPr>
        <w:t xml:space="preserve">It is unclear whether reductions in cardiovascular events observed in LEADER were related to treatment with liraglutide alone or in some part to higher rates of glycaemic control compared with placebo. </w:t>
      </w:r>
      <w:r w:rsidR="00BA6B05" w:rsidRPr="003B355D">
        <w:rPr>
          <w:rFonts w:asciiTheme="minorHAnsi" w:hAnsiTheme="minorHAnsi"/>
          <w:color w:val="auto"/>
          <w:sz w:val="24"/>
          <w:szCs w:val="24"/>
        </w:rPr>
        <w:t>The PSCR (p.1) highlight</w:t>
      </w:r>
      <w:r w:rsidR="003524A0" w:rsidRPr="003B355D">
        <w:rPr>
          <w:rFonts w:asciiTheme="minorHAnsi" w:hAnsiTheme="minorHAnsi"/>
          <w:color w:val="auto"/>
          <w:sz w:val="24"/>
          <w:szCs w:val="24"/>
        </w:rPr>
        <w:t>ed</w:t>
      </w:r>
      <w:r w:rsidR="00BA6B05" w:rsidRPr="003B355D">
        <w:rPr>
          <w:rFonts w:asciiTheme="minorHAnsi" w:hAnsiTheme="minorHAnsi"/>
          <w:color w:val="auto"/>
          <w:sz w:val="24"/>
          <w:szCs w:val="24"/>
        </w:rPr>
        <w:t xml:space="preserve"> that landmark RCT (UKPDS, ADVANCE, ACCORD, VADT) comparing intense glucose lowering vs standard care up to 10 years showed HbA1c reductions of &gt;1% without significant reductions in cardiovascular outcomes. The ESC noted the mechanism of action of liraglutide on CV outcomes is unclear. </w:t>
      </w:r>
      <w:r w:rsidR="00C25D35" w:rsidRPr="003B355D">
        <w:rPr>
          <w:rFonts w:asciiTheme="minorHAnsi" w:hAnsiTheme="minorHAnsi"/>
          <w:color w:val="auto"/>
          <w:sz w:val="24"/>
          <w:szCs w:val="24"/>
        </w:rPr>
        <w:t>In the NEJM article</w:t>
      </w:r>
      <w:r w:rsidR="001C2CC3" w:rsidRPr="003B355D">
        <w:rPr>
          <w:rStyle w:val="EndnoteReference"/>
          <w:rFonts w:asciiTheme="minorHAnsi" w:hAnsiTheme="minorHAnsi"/>
          <w:color w:val="auto"/>
          <w:sz w:val="24"/>
          <w:szCs w:val="24"/>
        </w:rPr>
        <w:endnoteReference w:id="1"/>
      </w:r>
      <w:r w:rsidR="00C25D35" w:rsidRPr="003B355D">
        <w:rPr>
          <w:rFonts w:asciiTheme="minorHAnsi" w:hAnsiTheme="minorHAnsi"/>
          <w:color w:val="auto"/>
          <w:sz w:val="24"/>
          <w:szCs w:val="24"/>
        </w:rPr>
        <w:t xml:space="preserve"> it is hypothesised that the time taken for a significant reduction in CV outcomes to be seen, which is longer in the LEADER trial than in the </w:t>
      </w:r>
      <w:proofErr w:type="spellStart"/>
      <w:r w:rsidR="00C25D35" w:rsidRPr="003B355D">
        <w:rPr>
          <w:rFonts w:asciiTheme="minorHAnsi" w:hAnsiTheme="minorHAnsi"/>
          <w:color w:val="auto"/>
          <w:sz w:val="24"/>
          <w:szCs w:val="24"/>
        </w:rPr>
        <w:t>empagliflozin</w:t>
      </w:r>
      <w:proofErr w:type="spellEnd"/>
      <w:r w:rsidR="00C25D35" w:rsidRPr="003B355D">
        <w:rPr>
          <w:rFonts w:asciiTheme="minorHAnsi" w:hAnsiTheme="minorHAnsi"/>
          <w:color w:val="auto"/>
          <w:sz w:val="24"/>
          <w:szCs w:val="24"/>
        </w:rPr>
        <w:t xml:space="preserve"> EMPA-REG OUTCOME trial</w:t>
      </w:r>
      <w:r w:rsidR="001F5364" w:rsidRPr="003B355D">
        <w:rPr>
          <w:rStyle w:val="FootnoteReference"/>
          <w:rFonts w:asciiTheme="minorHAnsi" w:hAnsiTheme="minorHAnsi"/>
          <w:color w:val="auto"/>
          <w:sz w:val="24"/>
          <w:szCs w:val="24"/>
        </w:rPr>
        <w:footnoteReference w:id="1"/>
      </w:r>
      <w:r w:rsidR="00C25D35" w:rsidRPr="003B355D">
        <w:rPr>
          <w:rFonts w:asciiTheme="minorHAnsi" w:hAnsiTheme="minorHAnsi"/>
          <w:color w:val="auto"/>
          <w:sz w:val="24"/>
          <w:szCs w:val="24"/>
        </w:rPr>
        <w:t xml:space="preserve">, may be due to an effect </w:t>
      </w:r>
      <w:r w:rsidR="0032145C">
        <w:rPr>
          <w:rFonts w:asciiTheme="minorHAnsi" w:hAnsiTheme="minorHAnsi"/>
          <w:color w:val="auto"/>
          <w:sz w:val="24"/>
          <w:szCs w:val="24"/>
        </w:rPr>
        <w:t>on</w:t>
      </w:r>
      <w:r w:rsidR="0032145C" w:rsidRPr="003B355D">
        <w:rPr>
          <w:rFonts w:asciiTheme="minorHAnsi" w:hAnsiTheme="minorHAnsi"/>
          <w:color w:val="auto"/>
          <w:sz w:val="24"/>
          <w:szCs w:val="24"/>
        </w:rPr>
        <w:t xml:space="preserve"> </w:t>
      </w:r>
      <w:r w:rsidR="00C25D35" w:rsidRPr="003B355D">
        <w:rPr>
          <w:rFonts w:asciiTheme="minorHAnsi" w:hAnsiTheme="minorHAnsi"/>
          <w:color w:val="auto"/>
          <w:sz w:val="24"/>
          <w:szCs w:val="24"/>
        </w:rPr>
        <w:t>the development of atherosclerosis rather than a haemodynamic effect</w:t>
      </w:r>
      <w:r w:rsidR="00C25D35" w:rsidRPr="003B355D">
        <w:rPr>
          <w:rFonts w:asciiTheme="minorHAnsi" w:hAnsiTheme="minorHAnsi"/>
          <w:i/>
          <w:color w:val="auto"/>
          <w:sz w:val="24"/>
          <w:szCs w:val="24"/>
        </w:rPr>
        <w:t xml:space="preserve">. </w:t>
      </w:r>
    </w:p>
    <w:p w:rsidR="002A2F74" w:rsidRPr="003B355D" w:rsidRDefault="002A2F74" w:rsidP="002C3067">
      <w:pPr>
        <w:pStyle w:val="ESnumberedparablue"/>
        <w:numPr>
          <w:ilvl w:val="1"/>
          <w:numId w:val="34"/>
        </w:numPr>
        <w:rPr>
          <w:rFonts w:asciiTheme="minorHAnsi" w:hAnsiTheme="minorHAnsi"/>
          <w:color w:val="auto"/>
          <w:sz w:val="24"/>
          <w:szCs w:val="24"/>
        </w:rPr>
      </w:pPr>
      <w:r w:rsidRPr="003B355D">
        <w:rPr>
          <w:rFonts w:asciiTheme="minorHAnsi" w:hAnsiTheme="minorHAnsi"/>
          <w:color w:val="auto"/>
          <w:sz w:val="24"/>
          <w:szCs w:val="24"/>
        </w:rPr>
        <w:t>The differences between treatment arms in glycaemic c</w:t>
      </w:r>
      <w:r w:rsidR="00677E84" w:rsidRPr="003B355D">
        <w:rPr>
          <w:rFonts w:asciiTheme="minorHAnsi" w:hAnsiTheme="minorHAnsi"/>
          <w:color w:val="auto"/>
          <w:sz w:val="24"/>
          <w:szCs w:val="24"/>
        </w:rPr>
        <w:t>ontrol are summarised in Table 6</w:t>
      </w:r>
      <w:r w:rsidRPr="003B355D">
        <w:rPr>
          <w:rFonts w:asciiTheme="minorHAnsi" w:hAnsiTheme="minorHAnsi"/>
          <w:color w:val="auto"/>
          <w:sz w:val="24"/>
          <w:szCs w:val="24"/>
        </w:rPr>
        <w:t>.</w:t>
      </w:r>
    </w:p>
    <w:p w:rsidR="00D453F1" w:rsidRDefault="00D453F1" w:rsidP="00D453F1">
      <w:pPr>
        <w:pStyle w:val="Caption"/>
      </w:pPr>
      <w:r>
        <w:t xml:space="preserve">Table </w:t>
      </w:r>
      <w:r>
        <w:rPr>
          <w:noProof/>
        </w:rPr>
        <w:t>6</w:t>
      </w:r>
      <w:r w:rsidRPr="002317DF">
        <w:t>: Supportive analyses – glycaemic control outcomes</w:t>
      </w:r>
    </w:p>
    <w:tbl>
      <w:tblPr>
        <w:tblStyle w:val="TableGrid1"/>
        <w:tblW w:w="4923" w:type="pct"/>
        <w:tblInd w:w="80" w:type="dxa"/>
        <w:tblLayout w:type="fixed"/>
        <w:tblLook w:val="04A0" w:firstRow="1" w:lastRow="0" w:firstColumn="1" w:lastColumn="0" w:noHBand="0" w:noVBand="1"/>
        <w:tblCaption w:val="Supportive analyses – glycaemic control outcomes"/>
      </w:tblPr>
      <w:tblGrid>
        <w:gridCol w:w="2547"/>
        <w:gridCol w:w="1159"/>
        <w:gridCol w:w="1161"/>
        <w:gridCol w:w="1159"/>
        <w:gridCol w:w="1161"/>
        <w:gridCol w:w="1913"/>
      </w:tblGrid>
      <w:tr w:rsidR="002A2F74" w:rsidRPr="003B355D" w:rsidTr="006B5926">
        <w:trPr>
          <w:trHeight w:val="70"/>
          <w:tblHeader/>
        </w:trPr>
        <w:tc>
          <w:tcPr>
            <w:tcW w:w="1399" w:type="pct"/>
            <w:vAlign w:val="center"/>
          </w:tcPr>
          <w:p w:rsidR="002A2F74" w:rsidRPr="003B355D" w:rsidRDefault="002A2F74" w:rsidP="00BE7BCC">
            <w:pPr>
              <w:ind w:left="-80"/>
              <w:jc w:val="left"/>
              <w:rPr>
                <w:rFonts w:ascii="Arial Narrow" w:hAnsi="Arial Narrow"/>
                <w:b/>
                <w:sz w:val="20"/>
              </w:rPr>
            </w:pPr>
          </w:p>
        </w:tc>
        <w:tc>
          <w:tcPr>
            <w:tcW w:w="1275" w:type="pct"/>
            <w:gridSpan w:val="2"/>
            <w:vAlign w:val="center"/>
          </w:tcPr>
          <w:p w:rsidR="002A2F74" w:rsidRPr="003B355D" w:rsidRDefault="002A2F74" w:rsidP="00BE7BCC">
            <w:pPr>
              <w:jc w:val="center"/>
              <w:rPr>
                <w:rFonts w:ascii="Arial Narrow" w:hAnsi="Arial Narrow"/>
                <w:b/>
                <w:sz w:val="20"/>
              </w:rPr>
            </w:pPr>
            <w:r w:rsidRPr="003B355D">
              <w:rPr>
                <w:rFonts w:ascii="Arial Narrow" w:hAnsi="Arial Narrow"/>
                <w:b/>
                <w:sz w:val="20"/>
              </w:rPr>
              <w:t>Liraglutide</w:t>
            </w:r>
          </w:p>
          <w:p w:rsidR="002A2F74" w:rsidRPr="003B355D" w:rsidRDefault="002A2F74" w:rsidP="00BE7BCC">
            <w:pPr>
              <w:jc w:val="center"/>
              <w:rPr>
                <w:rFonts w:ascii="Arial Narrow" w:hAnsi="Arial Narrow"/>
                <w:b/>
                <w:sz w:val="20"/>
              </w:rPr>
            </w:pPr>
            <w:r w:rsidRPr="003B355D">
              <w:rPr>
                <w:rFonts w:ascii="Arial Narrow" w:hAnsi="Arial Narrow"/>
                <w:b/>
                <w:sz w:val="20"/>
              </w:rPr>
              <w:t>N=4668</w:t>
            </w:r>
          </w:p>
        </w:tc>
        <w:tc>
          <w:tcPr>
            <w:tcW w:w="1275" w:type="pct"/>
            <w:gridSpan w:val="2"/>
            <w:vAlign w:val="center"/>
          </w:tcPr>
          <w:p w:rsidR="002A2F74" w:rsidRPr="003B355D" w:rsidRDefault="002A2F74" w:rsidP="00BE7BCC">
            <w:pPr>
              <w:jc w:val="center"/>
              <w:rPr>
                <w:rFonts w:ascii="Arial Narrow" w:hAnsi="Arial Narrow"/>
                <w:b/>
                <w:sz w:val="20"/>
              </w:rPr>
            </w:pPr>
            <w:r w:rsidRPr="003B355D">
              <w:rPr>
                <w:rFonts w:ascii="Arial Narrow" w:hAnsi="Arial Narrow"/>
                <w:b/>
                <w:sz w:val="20"/>
              </w:rPr>
              <w:t>Placebo</w:t>
            </w:r>
          </w:p>
          <w:p w:rsidR="002A2F74" w:rsidRPr="003B355D" w:rsidRDefault="002A2F74" w:rsidP="00BE7BCC">
            <w:pPr>
              <w:jc w:val="center"/>
              <w:rPr>
                <w:rFonts w:ascii="Arial Narrow" w:hAnsi="Arial Narrow"/>
                <w:b/>
                <w:sz w:val="20"/>
              </w:rPr>
            </w:pPr>
            <w:r w:rsidRPr="003B355D">
              <w:rPr>
                <w:rFonts w:ascii="Arial Narrow" w:hAnsi="Arial Narrow"/>
                <w:b/>
                <w:sz w:val="20"/>
              </w:rPr>
              <w:t>N=4672</w:t>
            </w:r>
          </w:p>
        </w:tc>
        <w:tc>
          <w:tcPr>
            <w:tcW w:w="1051" w:type="pct"/>
            <w:vAlign w:val="center"/>
          </w:tcPr>
          <w:p w:rsidR="002A2F74" w:rsidRPr="003B355D" w:rsidRDefault="002A2F74" w:rsidP="00BE7BCC">
            <w:pPr>
              <w:jc w:val="center"/>
              <w:rPr>
                <w:rFonts w:ascii="Arial Narrow" w:hAnsi="Arial Narrow"/>
                <w:b/>
                <w:sz w:val="20"/>
              </w:rPr>
            </w:pPr>
            <w:r w:rsidRPr="003B355D">
              <w:rPr>
                <w:rFonts w:ascii="Arial Narrow" w:hAnsi="Arial Narrow"/>
                <w:b/>
                <w:sz w:val="20"/>
              </w:rPr>
              <w:t>Difference</w:t>
            </w:r>
          </w:p>
        </w:tc>
      </w:tr>
      <w:tr w:rsidR="002A2F74" w:rsidRPr="003B355D" w:rsidTr="00D453F1">
        <w:trPr>
          <w:trHeight w:val="290"/>
        </w:trPr>
        <w:tc>
          <w:tcPr>
            <w:tcW w:w="1399" w:type="pct"/>
            <w:tcBorders>
              <w:bottom w:val="single" w:sz="4" w:space="0" w:color="auto"/>
            </w:tcBorders>
            <w:vAlign w:val="center"/>
          </w:tcPr>
          <w:p w:rsidR="002A2F74" w:rsidRPr="003B355D" w:rsidRDefault="002A2F74" w:rsidP="00BE7BCC">
            <w:pPr>
              <w:ind w:left="-80"/>
              <w:jc w:val="left"/>
              <w:rPr>
                <w:rFonts w:ascii="Arial Narrow" w:hAnsi="Arial Narrow"/>
                <w:b/>
                <w:sz w:val="20"/>
              </w:rPr>
            </w:pPr>
            <w:r w:rsidRPr="003B355D">
              <w:rPr>
                <w:rFonts w:ascii="Arial Narrow" w:hAnsi="Arial Narrow"/>
                <w:b/>
                <w:sz w:val="20"/>
              </w:rPr>
              <w:t>HbA1c (%)</w:t>
            </w:r>
          </w:p>
        </w:tc>
        <w:tc>
          <w:tcPr>
            <w:tcW w:w="637" w:type="pct"/>
            <w:tcBorders>
              <w:bottom w:val="single" w:sz="4" w:space="0" w:color="auto"/>
            </w:tcBorders>
            <w:vAlign w:val="center"/>
          </w:tcPr>
          <w:p w:rsidR="002A2F74" w:rsidRPr="003B355D" w:rsidRDefault="002A2F74" w:rsidP="00BE7BCC">
            <w:pPr>
              <w:jc w:val="center"/>
              <w:rPr>
                <w:rFonts w:ascii="Arial Narrow" w:hAnsi="Arial Narrow"/>
                <w:b/>
                <w:sz w:val="20"/>
              </w:rPr>
            </w:pPr>
            <w:r w:rsidRPr="003B355D">
              <w:rPr>
                <w:rFonts w:ascii="Arial Narrow" w:hAnsi="Arial Narrow"/>
                <w:b/>
                <w:sz w:val="20"/>
              </w:rPr>
              <w:t>Mean baseline</w:t>
            </w:r>
          </w:p>
        </w:tc>
        <w:tc>
          <w:tcPr>
            <w:tcW w:w="638" w:type="pct"/>
            <w:tcBorders>
              <w:bottom w:val="single" w:sz="4" w:space="0" w:color="auto"/>
            </w:tcBorders>
            <w:vAlign w:val="center"/>
          </w:tcPr>
          <w:p w:rsidR="002A2F74" w:rsidRPr="003B355D" w:rsidRDefault="002A2F74" w:rsidP="00BE7BCC">
            <w:pPr>
              <w:jc w:val="center"/>
              <w:rPr>
                <w:rFonts w:ascii="Arial Narrow" w:hAnsi="Arial Narrow"/>
                <w:b/>
                <w:sz w:val="20"/>
              </w:rPr>
            </w:pPr>
            <w:r w:rsidRPr="003B355D">
              <w:rPr>
                <w:rFonts w:ascii="Arial Narrow" w:hAnsi="Arial Narrow"/>
                <w:b/>
                <w:sz w:val="20"/>
              </w:rPr>
              <w:t>Mean change</w:t>
            </w:r>
          </w:p>
        </w:tc>
        <w:tc>
          <w:tcPr>
            <w:tcW w:w="637" w:type="pct"/>
            <w:tcBorders>
              <w:bottom w:val="single" w:sz="4" w:space="0" w:color="auto"/>
            </w:tcBorders>
            <w:vAlign w:val="center"/>
          </w:tcPr>
          <w:p w:rsidR="002A2F74" w:rsidRPr="003B355D" w:rsidRDefault="002A2F74" w:rsidP="00BE7BCC">
            <w:pPr>
              <w:jc w:val="center"/>
              <w:rPr>
                <w:rFonts w:ascii="Arial Narrow" w:hAnsi="Arial Narrow"/>
                <w:b/>
                <w:sz w:val="20"/>
              </w:rPr>
            </w:pPr>
            <w:r w:rsidRPr="003B355D">
              <w:rPr>
                <w:rFonts w:ascii="Arial Narrow" w:hAnsi="Arial Narrow"/>
                <w:b/>
                <w:sz w:val="20"/>
              </w:rPr>
              <w:t>Mean baseline</w:t>
            </w:r>
          </w:p>
        </w:tc>
        <w:tc>
          <w:tcPr>
            <w:tcW w:w="638" w:type="pct"/>
            <w:tcBorders>
              <w:bottom w:val="single" w:sz="4" w:space="0" w:color="auto"/>
            </w:tcBorders>
            <w:vAlign w:val="center"/>
          </w:tcPr>
          <w:p w:rsidR="002A2F74" w:rsidRPr="003B355D" w:rsidRDefault="002A2F74" w:rsidP="00BE7BCC">
            <w:pPr>
              <w:jc w:val="center"/>
              <w:rPr>
                <w:rFonts w:ascii="Arial Narrow" w:hAnsi="Arial Narrow"/>
                <w:b/>
                <w:sz w:val="20"/>
              </w:rPr>
            </w:pPr>
            <w:r w:rsidRPr="003B355D">
              <w:rPr>
                <w:rFonts w:ascii="Arial Narrow" w:hAnsi="Arial Narrow"/>
                <w:b/>
                <w:sz w:val="20"/>
              </w:rPr>
              <w:t>Mean change</w:t>
            </w:r>
          </w:p>
        </w:tc>
        <w:tc>
          <w:tcPr>
            <w:tcW w:w="1051" w:type="pct"/>
            <w:tcBorders>
              <w:bottom w:val="single" w:sz="4" w:space="0" w:color="auto"/>
            </w:tcBorders>
            <w:vAlign w:val="center"/>
          </w:tcPr>
          <w:p w:rsidR="002A2F74" w:rsidRPr="003B355D" w:rsidRDefault="002A2F74" w:rsidP="00BE7BCC">
            <w:pPr>
              <w:jc w:val="center"/>
              <w:rPr>
                <w:rFonts w:ascii="Arial Narrow" w:hAnsi="Arial Narrow"/>
                <w:b/>
                <w:sz w:val="20"/>
              </w:rPr>
            </w:pPr>
            <w:r w:rsidRPr="003B355D">
              <w:rPr>
                <w:rFonts w:ascii="Arial Narrow" w:hAnsi="Arial Narrow"/>
                <w:b/>
                <w:sz w:val="20"/>
              </w:rPr>
              <w:t xml:space="preserve">Mean difference </w:t>
            </w:r>
          </w:p>
          <w:p w:rsidR="002A2F74" w:rsidRPr="003B355D" w:rsidRDefault="002A2F74" w:rsidP="00BE7BCC">
            <w:pPr>
              <w:jc w:val="center"/>
              <w:rPr>
                <w:rFonts w:ascii="Arial Narrow" w:hAnsi="Arial Narrow"/>
                <w:b/>
                <w:sz w:val="20"/>
              </w:rPr>
            </w:pPr>
            <w:r w:rsidRPr="003B355D">
              <w:rPr>
                <w:rFonts w:ascii="Arial Narrow" w:hAnsi="Arial Narrow"/>
                <w:b/>
                <w:sz w:val="20"/>
              </w:rPr>
              <w:t>(95% CI)</w:t>
            </w:r>
          </w:p>
        </w:tc>
      </w:tr>
      <w:tr w:rsidR="002A2F74" w:rsidRPr="003B355D" w:rsidTr="00D453F1">
        <w:tc>
          <w:tcPr>
            <w:tcW w:w="1399" w:type="pct"/>
            <w:vAlign w:val="center"/>
          </w:tcPr>
          <w:p w:rsidR="002A2F74" w:rsidRPr="003B355D" w:rsidRDefault="002A2F74" w:rsidP="00BE7BCC">
            <w:pPr>
              <w:ind w:left="-80"/>
              <w:jc w:val="left"/>
              <w:rPr>
                <w:rFonts w:ascii="Arial Narrow" w:hAnsi="Arial Narrow"/>
                <w:sz w:val="20"/>
              </w:rPr>
            </w:pPr>
            <w:r w:rsidRPr="003B355D">
              <w:rPr>
                <w:rFonts w:ascii="Arial Narrow" w:hAnsi="Arial Narrow"/>
                <w:sz w:val="20"/>
              </w:rPr>
              <w:t>HbA1c (%); mean change to 36 months</w:t>
            </w:r>
          </w:p>
        </w:tc>
        <w:tc>
          <w:tcPr>
            <w:tcW w:w="637" w:type="pct"/>
            <w:vAlign w:val="center"/>
          </w:tcPr>
          <w:p w:rsidR="002A2F74" w:rsidRPr="003B355D" w:rsidRDefault="002A2F74" w:rsidP="00BE7BCC">
            <w:pPr>
              <w:jc w:val="center"/>
              <w:rPr>
                <w:rFonts w:ascii="Arial Narrow" w:hAnsi="Arial Narrow"/>
                <w:sz w:val="20"/>
              </w:rPr>
            </w:pPr>
            <w:r w:rsidRPr="003B355D">
              <w:rPr>
                <w:rFonts w:ascii="Arial Narrow" w:hAnsi="Arial Narrow"/>
                <w:sz w:val="20"/>
              </w:rPr>
              <w:t>8.7</w:t>
            </w:r>
          </w:p>
        </w:tc>
        <w:tc>
          <w:tcPr>
            <w:tcW w:w="638" w:type="pct"/>
            <w:vAlign w:val="center"/>
          </w:tcPr>
          <w:p w:rsidR="002A2F74" w:rsidRPr="003B355D" w:rsidRDefault="002A2F74" w:rsidP="00BE7BCC">
            <w:pPr>
              <w:jc w:val="center"/>
              <w:rPr>
                <w:rFonts w:ascii="Arial Narrow" w:hAnsi="Arial Narrow"/>
                <w:sz w:val="20"/>
              </w:rPr>
            </w:pPr>
            <w:r w:rsidRPr="003B355D">
              <w:rPr>
                <w:rFonts w:ascii="Arial Narrow" w:hAnsi="Arial Narrow"/>
                <w:sz w:val="20"/>
              </w:rPr>
              <w:t>-1.161</w:t>
            </w:r>
          </w:p>
        </w:tc>
        <w:tc>
          <w:tcPr>
            <w:tcW w:w="637" w:type="pct"/>
            <w:vAlign w:val="center"/>
          </w:tcPr>
          <w:p w:rsidR="002A2F74" w:rsidRPr="003B355D" w:rsidRDefault="002A2F74" w:rsidP="00BE7BCC">
            <w:pPr>
              <w:jc w:val="center"/>
              <w:rPr>
                <w:rFonts w:ascii="Arial Narrow" w:hAnsi="Arial Narrow"/>
                <w:sz w:val="20"/>
              </w:rPr>
            </w:pPr>
            <w:r w:rsidRPr="003B355D">
              <w:rPr>
                <w:rFonts w:ascii="Arial Narrow" w:hAnsi="Arial Narrow"/>
                <w:sz w:val="20"/>
              </w:rPr>
              <w:t>8.7</w:t>
            </w:r>
          </w:p>
        </w:tc>
        <w:tc>
          <w:tcPr>
            <w:tcW w:w="638" w:type="pct"/>
            <w:vAlign w:val="center"/>
          </w:tcPr>
          <w:p w:rsidR="002A2F74" w:rsidRPr="003B355D" w:rsidRDefault="002A2F74" w:rsidP="00BE7BCC">
            <w:pPr>
              <w:jc w:val="center"/>
              <w:rPr>
                <w:rFonts w:ascii="Arial Narrow" w:hAnsi="Arial Narrow"/>
                <w:sz w:val="20"/>
              </w:rPr>
            </w:pPr>
            <w:r w:rsidRPr="003B355D">
              <w:rPr>
                <w:rFonts w:ascii="Arial Narrow" w:hAnsi="Arial Narrow"/>
                <w:sz w:val="20"/>
              </w:rPr>
              <w:t>-0.765</w:t>
            </w:r>
          </w:p>
        </w:tc>
        <w:tc>
          <w:tcPr>
            <w:tcW w:w="1051" w:type="pct"/>
            <w:vAlign w:val="center"/>
          </w:tcPr>
          <w:p w:rsidR="002A2F74" w:rsidRPr="003B355D" w:rsidRDefault="002A2F74" w:rsidP="00BE7BCC">
            <w:pPr>
              <w:jc w:val="center"/>
              <w:rPr>
                <w:rFonts w:ascii="Arial Narrow" w:hAnsi="Arial Narrow"/>
                <w:b/>
                <w:sz w:val="20"/>
              </w:rPr>
            </w:pPr>
            <w:r w:rsidRPr="003B355D">
              <w:rPr>
                <w:rFonts w:ascii="Arial Narrow" w:hAnsi="Arial Narrow"/>
                <w:b/>
                <w:sz w:val="20"/>
              </w:rPr>
              <w:t>-0.396 (-0.453, -0.338)</w:t>
            </w:r>
          </w:p>
        </w:tc>
      </w:tr>
      <w:tr w:rsidR="002A2F74" w:rsidRPr="003B355D" w:rsidTr="00D453F1">
        <w:tc>
          <w:tcPr>
            <w:tcW w:w="1399" w:type="pct"/>
            <w:tcBorders>
              <w:bottom w:val="single" w:sz="4" w:space="0" w:color="auto"/>
            </w:tcBorders>
            <w:vAlign w:val="center"/>
          </w:tcPr>
          <w:p w:rsidR="002A2F74" w:rsidRPr="003B355D" w:rsidRDefault="002A2F74" w:rsidP="00BE7BCC">
            <w:pPr>
              <w:ind w:left="-80"/>
              <w:jc w:val="left"/>
              <w:rPr>
                <w:rFonts w:ascii="Arial Narrow" w:hAnsi="Arial Narrow"/>
                <w:sz w:val="20"/>
              </w:rPr>
            </w:pPr>
            <w:r w:rsidRPr="003B355D">
              <w:rPr>
                <w:rFonts w:ascii="Arial Narrow" w:hAnsi="Arial Narrow"/>
                <w:sz w:val="20"/>
              </w:rPr>
              <w:t>HbA1c (%); mean change to end of treatment</w:t>
            </w:r>
          </w:p>
        </w:tc>
        <w:tc>
          <w:tcPr>
            <w:tcW w:w="637" w:type="pct"/>
            <w:vAlign w:val="center"/>
          </w:tcPr>
          <w:p w:rsidR="002A2F74" w:rsidRPr="003B355D" w:rsidRDefault="002A2F74" w:rsidP="00BE7BCC">
            <w:pPr>
              <w:jc w:val="center"/>
              <w:rPr>
                <w:rFonts w:ascii="Arial Narrow" w:hAnsi="Arial Narrow"/>
                <w:sz w:val="20"/>
              </w:rPr>
            </w:pPr>
            <w:r w:rsidRPr="003B355D">
              <w:rPr>
                <w:rFonts w:ascii="Arial Narrow" w:hAnsi="Arial Narrow"/>
                <w:sz w:val="20"/>
              </w:rPr>
              <w:t>8.7</w:t>
            </w:r>
          </w:p>
        </w:tc>
        <w:tc>
          <w:tcPr>
            <w:tcW w:w="638" w:type="pct"/>
            <w:vAlign w:val="center"/>
          </w:tcPr>
          <w:p w:rsidR="002A2F74" w:rsidRPr="003B355D" w:rsidRDefault="002A2F74" w:rsidP="00BE7BCC">
            <w:pPr>
              <w:jc w:val="center"/>
              <w:rPr>
                <w:rFonts w:ascii="Arial Narrow" w:hAnsi="Arial Narrow"/>
                <w:sz w:val="20"/>
              </w:rPr>
            </w:pPr>
            <w:r w:rsidRPr="003B355D">
              <w:rPr>
                <w:rFonts w:ascii="Arial Narrow" w:hAnsi="Arial Narrow"/>
                <w:sz w:val="20"/>
              </w:rPr>
              <w:t>-0.967</w:t>
            </w:r>
          </w:p>
        </w:tc>
        <w:tc>
          <w:tcPr>
            <w:tcW w:w="637" w:type="pct"/>
            <w:vAlign w:val="center"/>
          </w:tcPr>
          <w:p w:rsidR="002A2F74" w:rsidRPr="003B355D" w:rsidRDefault="002A2F74" w:rsidP="00BE7BCC">
            <w:pPr>
              <w:jc w:val="center"/>
              <w:rPr>
                <w:rFonts w:ascii="Arial Narrow" w:hAnsi="Arial Narrow"/>
                <w:sz w:val="20"/>
              </w:rPr>
            </w:pPr>
            <w:r w:rsidRPr="003B355D">
              <w:rPr>
                <w:rFonts w:ascii="Arial Narrow" w:hAnsi="Arial Narrow"/>
                <w:sz w:val="20"/>
              </w:rPr>
              <w:t>8.7</w:t>
            </w:r>
          </w:p>
        </w:tc>
        <w:tc>
          <w:tcPr>
            <w:tcW w:w="638" w:type="pct"/>
            <w:vAlign w:val="center"/>
          </w:tcPr>
          <w:p w:rsidR="002A2F74" w:rsidRPr="003B355D" w:rsidRDefault="002A2F74" w:rsidP="00BE7BCC">
            <w:pPr>
              <w:jc w:val="center"/>
              <w:rPr>
                <w:rFonts w:ascii="Arial Narrow" w:hAnsi="Arial Narrow"/>
                <w:sz w:val="20"/>
              </w:rPr>
            </w:pPr>
            <w:r w:rsidRPr="003B355D">
              <w:rPr>
                <w:rFonts w:ascii="Arial Narrow" w:hAnsi="Arial Narrow"/>
                <w:sz w:val="20"/>
              </w:rPr>
              <w:t>-0.685</w:t>
            </w:r>
          </w:p>
        </w:tc>
        <w:tc>
          <w:tcPr>
            <w:tcW w:w="1051" w:type="pct"/>
            <w:vAlign w:val="center"/>
          </w:tcPr>
          <w:p w:rsidR="002A2F74" w:rsidRPr="003B355D" w:rsidRDefault="002A2F74" w:rsidP="00BE7BCC">
            <w:pPr>
              <w:jc w:val="center"/>
              <w:rPr>
                <w:rFonts w:ascii="Arial Narrow" w:hAnsi="Arial Narrow"/>
                <w:b/>
                <w:sz w:val="20"/>
              </w:rPr>
            </w:pPr>
            <w:r w:rsidRPr="003B355D">
              <w:rPr>
                <w:rFonts w:ascii="Arial Narrow" w:hAnsi="Arial Narrow"/>
                <w:b/>
                <w:sz w:val="20"/>
              </w:rPr>
              <w:t>-0.290 (-0.351, -0.230)</w:t>
            </w:r>
          </w:p>
        </w:tc>
      </w:tr>
      <w:tr w:rsidR="002A2F74" w:rsidRPr="003B355D" w:rsidTr="00D453F1">
        <w:tc>
          <w:tcPr>
            <w:tcW w:w="1399" w:type="pct"/>
            <w:tcBorders>
              <w:bottom w:val="single" w:sz="4" w:space="0" w:color="auto"/>
            </w:tcBorders>
            <w:vAlign w:val="center"/>
          </w:tcPr>
          <w:p w:rsidR="002A2F74" w:rsidRPr="003B355D" w:rsidRDefault="002A2F74" w:rsidP="00BE7BCC">
            <w:pPr>
              <w:ind w:left="-80"/>
              <w:jc w:val="left"/>
              <w:rPr>
                <w:rFonts w:ascii="Arial Narrow" w:hAnsi="Arial Narrow"/>
                <w:b/>
                <w:sz w:val="20"/>
              </w:rPr>
            </w:pPr>
            <w:r w:rsidRPr="003B355D">
              <w:rPr>
                <w:rFonts w:ascii="Arial Narrow" w:hAnsi="Arial Narrow"/>
                <w:b/>
                <w:sz w:val="20"/>
              </w:rPr>
              <w:t>Proportion of HbA1c responders (HbA1c &lt;7%)</w:t>
            </w:r>
          </w:p>
        </w:tc>
        <w:tc>
          <w:tcPr>
            <w:tcW w:w="1275" w:type="pct"/>
            <w:gridSpan w:val="2"/>
            <w:vAlign w:val="center"/>
          </w:tcPr>
          <w:p w:rsidR="002A2F74" w:rsidRPr="003B355D" w:rsidRDefault="002A2F74" w:rsidP="00BE7BCC">
            <w:pPr>
              <w:jc w:val="center"/>
              <w:rPr>
                <w:rFonts w:ascii="Arial Narrow" w:hAnsi="Arial Narrow"/>
                <w:b/>
                <w:sz w:val="20"/>
              </w:rPr>
            </w:pPr>
            <w:proofErr w:type="gramStart"/>
            <w:r w:rsidRPr="003B355D">
              <w:rPr>
                <w:rFonts w:ascii="Arial Narrow" w:hAnsi="Arial Narrow"/>
                <w:b/>
                <w:sz w:val="20"/>
              </w:rPr>
              <w:t>n</w:t>
            </w:r>
            <w:proofErr w:type="gramEnd"/>
            <w:r w:rsidRPr="003B355D">
              <w:rPr>
                <w:rFonts w:ascii="Arial Narrow" w:hAnsi="Arial Narrow"/>
                <w:b/>
                <w:sz w:val="20"/>
              </w:rPr>
              <w:t xml:space="preserve"> (%)</w:t>
            </w:r>
          </w:p>
        </w:tc>
        <w:tc>
          <w:tcPr>
            <w:tcW w:w="1275" w:type="pct"/>
            <w:gridSpan w:val="2"/>
            <w:vAlign w:val="center"/>
          </w:tcPr>
          <w:p w:rsidR="002A2F74" w:rsidRPr="003B355D" w:rsidRDefault="002A2F74" w:rsidP="00BE7BCC">
            <w:pPr>
              <w:jc w:val="center"/>
              <w:rPr>
                <w:rFonts w:ascii="Arial Narrow" w:hAnsi="Arial Narrow"/>
                <w:b/>
                <w:sz w:val="20"/>
              </w:rPr>
            </w:pPr>
            <w:proofErr w:type="gramStart"/>
            <w:r w:rsidRPr="003B355D">
              <w:rPr>
                <w:rFonts w:ascii="Arial Narrow" w:hAnsi="Arial Narrow"/>
                <w:b/>
                <w:sz w:val="20"/>
              </w:rPr>
              <w:t>n</w:t>
            </w:r>
            <w:proofErr w:type="gramEnd"/>
            <w:r w:rsidRPr="003B355D">
              <w:rPr>
                <w:rFonts w:ascii="Arial Narrow" w:hAnsi="Arial Narrow"/>
                <w:b/>
                <w:sz w:val="20"/>
              </w:rPr>
              <w:t xml:space="preserve"> (%)</w:t>
            </w:r>
          </w:p>
        </w:tc>
        <w:tc>
          <w:tcPr>
            <w:tcW w:w="1051" w:type="pct"/>
            <w:vAlign w:val="center"/>
          </w:tcPr>
          <w:p w:rsidR="002A2F74" w:rsidRPr="003B355D" w:rsidRDefault="002A2F74" w:rsidP="00BE7BCC">
            <w:pPr>
              <w:jc w:val="center"/>
              <w:rPr>
                <w:rFonts w:ascii="Arial Narrow" w:hAnsi="Arial Narrow"/>
                <w:b/>
                <w:sz w:val="20"/>
              </w:rPr>
            </w:pPr>
            <w:r w:rsidRPr="003B355D">
              <w:rPr>
                <w:rFonts w:ascii="Arial Narrow" w:hAnsi="Arial Narrow"/>
                <w:b/>
                <w:sz w:val="20"/>
              </w:rPr>
              <w:t>Mean difference</w:t>
            </w:r>
          </w:p>
          <w:p w:rsidR="002A2F74" w:rsidRPr="003B355D" w:rsidRDefault="002A2F74" w:rsidP="00BE7BCC">
            <w:pPr>
              <w:jc w:val="center"/>
              <w:rPr>
                <w:rFonts w:ascii="Arial Narrow" w:hAnsi="Arial Narrow"/>
                <w:b/>
                <w:sz w:val="20"/>
              </w:rPr>
            </w:pPr>
            <w:r w:rsidRPr="003B355D">
              <w:rPr>
                <w:rFonts w:ascii="Arial Narrow" w:hAnsi="Arial Narrow"/>
                <w:b/>
                <w:sz w:val="20"/>
              </w:rPr>
              <w:t>(95% CI)</w:t>
            </w:r>
          </w:p>
        </w:tc>
      </w:tr>
      <w:tr w:rsidR="002A2F74" w:rsidRPr="003B355D" w:rsidTr="00D453F1">
        <w:tc>
          <w:tcPr>
            <w:tcW w:w="1399" w:type="pct"/>
            <w:tcBorders>
              <w:bottom w:val="single" w:sz="4" w:space="0" w:color="auto"/>
            </w:tcBorders>
            <w:vAlign w:val="center"/>
          </w:tcPr>
          <w:p w:rsidR="002A2F74" w:rsidRPr="003B355D" w:rsidRDefault="002A2F74" w:rsidP="00BE7BCC">
            <w:pPr>
              <w:ind w:left="-80"/>
              <w:jc w:val="left"/>
              <w:rPr>
                <w:rFonts w:ascii="Arial Narrow" w:hAnsi="Arial Narrow"/>
                <w:sz w:val="20"/>
              </w:rPr>
            </w:pPr>
            <w:r w:rsidRPr="003B355D">
              <w:rPr>
                <w:rFonts w:ascii="Arial Narrow" w:hAnsi="Arial Narrow"/>
                <w:sz w:val="20"/>
              </w:rPr>
              <w:t>HbA1c responders at 36 months</w:t>
            </w:r>
          </w:p>
        </w:tc>
        <w:tc>
          <w:tcPr>
            <w:tcW w:w="1275" w:type="pct"/>
            <w:gridSpan w:val="2"/>
            <w:vAlign w:val="center"/>
          </w:tcPr>
          <w:p w:rsidR="002A2F74" w:rsidRPr="003B355D" w:rsidRDefault="002A2F74" w:rsidP="00BE7BCC">
            <w:pPr>
              <w:jc w:val="center"/>
              <w:rPr>
                <w:rFonts w:ascii="Arial Narrow" w:hAnsi="Arial Narrow"/>
                <w:sz w:val="20"/>
              </w:rPr>
            </w:pPr>
            <w:r w:rsidRPr="003B355D">
              <w:rPr>
                <w:rFonts w:ascii="Arial Narrow" w:hAnsi="Arial Narrow"/>
                <w:sz w:val="20"/>
              </w:rPr>
              <w:t>1865 (40.0%)</w:t>
            </w:r>
          </w:p>
        </w:tc>
        <w:tc>
          <w:tcPr>
            <w:tcW w:w="1275" w:type="pct"/>
            <w:gridSpan w:val="2"/>
            <w:vAlign w:val="center"/>
          </w:tcPr>
          <w:p w:rsidR="002A2F74" w:rsidRPr="003B355D" w:rsidRDefault="002A2F74" w:rsidP="00BE7BCC">
            <w:pPr>
              <w:jc w:val="center"/>
              <w:rPr>
                <w:rFonts w:ascii="Arial Narrow" w:hAnsi="Arial Narrow"/>
                <w:sz w:val="20"/>
              </w:rPr>
            </w:pPr>
            <w:r w:rsidRPr="003B355D">
              <w:rPr>
                <w:rFonts w:ascii="Arial Narrow" w:hAnsi="Arial Narrow"/>
                <w:sz w:val="20"/>
              </w:rPr>
              <w:t>1139 (24.4%)</w:t>
            </w:r>
          </w:p>
        </w:tc>
        <w:tc>
          <w:tcPr>
            <w:tcW w:w="1051" w:type="pct"/>
            <w:vAlign w:val="center"/>
          </w:tcPr>
          <w:p w:rsidR="002A2F74" w:rsidRPr="003B355D" w:rsidRDefault="002A2F74" w:rsidP="00BE7BCC">
            <w:pPr>
              <w:jc w:val="center"/>
              <w:rPr>
                <w:rFonts w:ascii="Arial Narrow" w:hAnsi="Arial Narrow"/>
                <w:sz w:val="20"/>
              </w:rPr>
            </w:pPr>
            <w:r w:rsidRPr="003B355D">
              <w:rPr>
                <w:rFonts w:ascii="Arial Narrow" w:hAnsi="Arial Narrow"/>
                <w:sz w:val="20"/>
              </w:rPr>
              <w:t>NR</w:t>
            </w:r>
          </w:p>
        </w:tc>
      </w:tr>
      <w:tr w:rsidR="002A2F74" w:rsidRPr="003B355D" w:rsidTr="00D453F1">
        <w:tc>
          <w:tcPr>
            <w:tcW w:w="1399" w:type="pct"/>
            <w:tcBorders>
              <w:bottom w:val="single" w:sz="4" w:space="0" w:color="auto"/>
            </w:tcBorders>
            <w:vAlign w:val="center"/>
          </w:tcPr>
          <w:p w:rsidR="002A2F74" w:rsidRPr="003B355D" w:rsidRDefault="002A2F74" w:rsidP="00BE7BCC">
            <w:pPr>
              <w:ind w:left="-80"/>
              <w:jc w:val="left"/>
              <w:rPr>
                <w:rFonts w:ascii="Arial Narrow" w:hAnsi="Arial Narrow"/>
                <w:sz w:val="20"/>
              </w:rPr>
            </w:pPr>
            <w:r w:rsidRPr="003B355D">
              <w:rPr>
                <w:rFonts w:ascii="Arial Narrow" w:hAnsi="Arial Narrow"/>
                <w:sz w:val="20"/>
              </w:rPr>
              <w:t>HbA1c responders at end of treatment</w:t>
            </w:r>
          </w:p>
        </w:tc>
        <w:tc>
          <w:tcPr>
            <w:tcW w:w="1275" w:type="pct"/>
            <w:gridSpan w:val="2"/>
            <w:vAlign w:val="center"/>
          </w:tcPr>
          <w:p w:rsidR="002A2F74" w:rsidRPr="003B355D" w:rsidRDefault="002A2F74" w:rsidP="00BE7BCC">
            <w:pPr>
              <w:jc w:val="center"/>
              <w:rPr>
                <w:rFonts w:ascii="Arial Narrow" w:hAnsi="Arial Narrow"/>
                <w:sz w:val="20"/>
              </w:rPr>
            </w:pPr>
            <w:r w:rsidRPr="003B355D">
              <w:rPr>
                <w:rFonts w:ascii="Arial Narrow" w:hAnsi="Arial Narrow"/>
                <w:sz w:val="20"/>
              </w:rPr>
              <w:t>1605 (34.4%)</w:t>
            </w:r>
          </w:p>
        </w:tc>
        <w:tc>
          <w:tcPr>
            <w:tcW w:w="1275" w:type="pct"/>
            <w:gridSpan w:val="2"/>
            <w:vAlign w:val="center"/>
          </w:tcPr>
          <w:p w:rsidR="002A2F74" w:rsidRPr="003B355D" w:rsidRDefault="002A2F74" w:rsidP="00BE7BCC">
            <w:pPr>
              <w:jc w:val="center"/>
              <w:rPr>
                <w:rFonts w:ascii="Arial Narrow" w:hAnsi="Arial Narrow"/>
                <w:sz w:val="20"/>
              </w:rPr>
            </w:pPr>
            <w:r w:rsidRPr="003B355D">
              <w:rPr>
                <w:rFonts w:ascii="Arial Narrow" w:hAnsi="Arial Narrow"/>
                <w:sz w:val="20"/>
              </w:rPr>
              <w:t>1074 (23.0%)</w:t>
            </w:r>
          </w:p>
        </w:tc>
        <w:tc>
          <w:tcPr>
            <w:tcW w:w="1051" w:type="pct"/>
            <w:vAlign w:val="center"/>
          </w:tcPr>
          <w:p w:rsidR="002A2F74" w:rsidRPr="003B355D" w:rsidRDefault="002A2F74" w:rsidP="00BE7BCC">
            <w:pPr>
              <w:jc w:val="center"/>
              <w:rPr>
                <w:rFonts w:ascii="Arial Narrow" w:hAnsi="Arial Narrow"/>
                <w:sz w:val="20"/>
              </w:rPr>
            </w:pPr>
            <w:r w:rsidRPr="003B355D">
              <w:rPr>
                <w:rFonts w:ascii="Arial Narrow" w:hAnsi="Arial Narrow"/>
                <w:sz w:val="20"/>
              </w:rPr>
              <w:t>NR</w:t>
            </w:r>
          </w:p>
        </w:tc>
      </w:tr>
    </w:tbl>
    <w:p w:rsidR="002A2F74" w:rsidRPr="003B355D" w:rsidRDefault="002A2F74" w:rsidP="0089138C">
      <w:pPr>
        <w:pStyle w:val="TableFooter"/>
      </w:pPr>
      <w:r w:rsidRPr="003B355D">
        <w:t>Source: Table B.6.8, p.94 of the submission and Tables 11-14 and 11-15, pp.258-259 of the LEADER Clinical Trial Report</w:t>
      </w:r>
    </w:p>
    <w:p w:rsidR="002A2F74" w:rsidRPr="003B355D" w:rsidRDefault="002A2F74" w:rsidP="0089138C">
      <w:pPr>
        <w:pStyle w:val="TableFooter"/>
      </w:pPr>
      <w:r w:rsidRPr="003B355D">
        <w:t>Statistically significant results in bold</w:t>
      </w:r>
    </w:p>
    <w:p w:rsidR="001F6A69" w:rsidRPr="003B355D" w:rsidRDefault="002A2F74" w:rsidP="0089138C">
      <w:pPr>
        <w:pStyle w:val="TableFooter"/>
      </w:pPr>
      <w:r w:rsidRPr="003B355D">
        <w:t>Abbreviations: HbA1c, glycosylated haemoglobin; NR, not reported</w:t>
      </w:r>
    </w:p>
    <w:p w:rsidR="002A2F74" w:rsidRPr="003B355D" w:rsidRDefault="002A2F74" w:rsidP="002C3067">
      <w:pPr>
        <w:pStyle w:val="ESnumberedparablue"/>
        <w:numPr>
          <w:ilvl w:val="1"/>
          <w:numId w:val="34"/>
        </w:numPr>
        <w:rPr>
          <w:rFonts w:asciiTheme="minorHAnsi" w:hAnsiTheme="minorHAnsi"/>
          <w:color w:val="auto"/>
          <w:sz w:val="24"/>
          <w:szCs w:val="24"/>
        </w:rPr>
      </w:pPr>
      <w:r w:rsidRPr="003B355D">
        <w:rPr>
          <w:rFonts w:asciiTheme="minorHAnsi" w:hAnsiTheme="minorHAnsi"/>
          <w:color w:val="auto"/>
          <w:sz w:val="24"/>
          <w:szCs w:val="24"/>
        </w:rPr>
        <w:t>Patients treated with liraglutide achieved statistically significantly larger reductions in HbA1c compared to placebo, and larger proportions of patients treated with liraglutide achieved glycaemic control (HbA1c &lt;7.0%). However, only one in four</w:t>
      </w:r>
      <w:r w:rsidRPr="003B355D">
        <w:rPr>
          <w:rFonts w:asciiTheme="minorHAnsi" w:hAnsiTheme="minorHAnsi"/>
          <w:i/>
          <w:color w:val="auto"/>
          <w:sz w:val="24"/>
          <w:szCs w:val="24"/>
        </w:rPr>
        <w:t xml:space="preserve"> </w:t>
      </w:r>
      <w:r w:rsidRPr="003B355D">
        <w:rPr>
          <w:rFonts w:asciiTheme="minorHAnsi" w:hAnsiTheme="minorHAnsi"/>
          <w:color w:val="auto"/>
          <w:sz w:val="24"/>
          <w:szCs w:val="24"/>
        </w:rPr>
        <w:t>patients treated with placebo (standard care) achieved glycaemic control, and at 36 months the mean HbA1c for placebo patients was more than 7.9%</w:t>
      </w:r>
      <w:r w:rsidR="008372E8" w:rsidRPr="003B355D">
        <w:rPr>
          <w:rFonts w:asciiTheme="minorHAnsi" w:hAnsiTheme="minorHAnsi"/>
          <w:color w:val="auto"/>
          <w:sz w:val="24"/>
          <w:szCs w:val="24"/>
        </w:rPr>
        <w:t>.</w:t>
      </w:r>
      <w:r w:rsidR="00F56C6A" w:rsidRPr="003B355D">
        <w:rPr>
          <w:rFonts w:asciiTheme="minorHAnsi" w:hAnsiTheme="minorHAnsi"/>
          <w:color w:val="auto"/>
          <w:sz w:val="24"/>
          <w:szCs w:val="24"/>
        </w:rPr>
        <w:t xml:space="preserve"> Differences in glycaemic control between patients treated with liraglutide and standard care may have been related to differences in diabetes treatment intensification protocols in the LEADER trial</w:t>
      </w:r>
      <w:r w:rsidR="00265473" w:rsidRPr="003B355D">
        <w:rPr>
          <w:rFonts w:asciiTheme="minorHAnsi" w:hAnsiTheme="minorHAnsi"/>
          <w:color w:val="auto"/>
          <w:sz w:val="24"/>
          <w:szCs w:val="24"/>
        </w:rPr>
        <w:t>.</w:t>
      </w:r>
      <w:r w:rsidR="008372E8" w:rsidRPr="003B355D">
        <w:rPr>
          <w:rFonts w:asciiTheme="minorHAnsi" w:hAnsiTheme="minorHAnsi"/>
          <w:color w:val="auto"/>
          <w:sz w:val="24"/>
          <w:szCs w:val="24"/>
        </w:rPr>
        <w:t xml:space="preserve"> The ESC noted that patients in the placebo arm received higher dose of insulin.</w:t>
      </w:r>
    </w:p>
    <w:p w:rsidR="00B540CE" w:rsidRPr="003B355D" w:rsidRDefault="00D01029" w:rsidP="003524A0">
      <w:pPr>
        <w:pStyle w:val="ESnumberedparablue"/>
        <w:numPr>
          <w:ilvl w:val="1"/>
          <w:numId w:val="34"/>
        </w:numPr>
        <w:rPr>
          <w:rFonts w:ascii="Arial Narrow" w:hAnsi="Arial Narrow"/>
          <w:b/>
          <w:sz w:val="20"/>
          <w:szCs w:val="16"/>
        </w:rPr>
      </w:pPr>
      <w:r w:rsidRPr="003B355D">
        <w:rPr>
          <w:rFonts w:asciiTheme="minorHAnsi" w:hAnsiTheme="minorHAnsi"/>
          <w:color w:val="auto"/>
          <w:sz w:val="24"/>
          <w:szCs w:val="24"/>
        </w:rPr>
        <w:t xml:space="preserve">The </w:t>
      </w:r>
      <w:r w:rsidR="00EA68AA" w:rsidRPr="003B355D">
        <w:rPr>
          <w:rFonts w:asciiTheme="minorHAnsi" w:hAnsiTheme="minorHAnsi"/>
          <w:color w:val="auto"/>
          <w:sz w:val="24"/>
          <w:szCs w:val="24"/>
        </w:rPr>
        <w:t>secondary outcome of patient reported hypoglycaemia events</w:t>
      </w:r>
      <w:r w:rsidRPr="003B355D">
        <w:rPr>
          <w:rFonts w:asciiTheme="minorHAnsi" w:hAnsiTheme="minorHAnsi"/>
          <w:color w:val="auto"/>
          <w:sz w:val="24"/>
          <w:szCs w:val="24"/>
        </w:rPr>
        <w:t xml:space="preserve"> </w:t>
      </w:r>
      <w:r w:rsidR="00EA68AA" w:rsidRPr="003B355D">
        <w:rPr>
          <w:rFonts w:asciiTheme="minorHAnsi" w:hAnsiTheme="minorHAnsi"/>
          <w:color w:val="auto"/>
          <w:sz w:val="24"/>
          <w:szCs w:val="24"/>
        </w:rPr>
        <w:t>in</w:t>
      </w:r>
      <w:r w:rsidRPr="003B355D">
        <w:rPr>
          <w:rFonts w:asciiTheme="minorHAnsi" w:hAnsiTheme="minorHAnsi"/>
          <w:color w:val="auto"/>
          <w:sz w:val="24"/>
          <w:szCs w:val="24"/>
        </w:rPr>
        <w:t xml:space="preserve"> the LEADE</w:t>
      </w:r>
      <w:r w:rsidR="00EA68AA" w:rsidRPr="003B355D">
        <w:rPr>
          <w:rFonts w:asciiTheme="minorHAnsi" w:hAnsiTheme="minorHAnsi"/>
          <w:color w:val="auto"/>
          <w:sz w:val="24"/>
          <w:szCs w:val="24"/>
        </w:rPr>
        <w:t xml:space="preserve">R trial are presented in Table </w:t>
      </w:r>
      <w:r w:rsidR="00677E84" w:rsidRPr="003B355D">
        <w:rPr>
          <w:rFonts w:asciiTheme="minorHAnsi" w:hAnsiTheme="minorHAnsi"/>
          <w:color w:val="auto"/>
          <w:sz w:val="24"/>
          <w:szCs w:val="24"/>
        </w:rPr>
        <w:t>7</w:t>
      </w:r>
      <w:r w:rsidR="002A2F74" w:rsidRPr="003B355D">
        <w:rPr>
          <w:rFonts w:asciiTheme="minorHAnsi" w:hAnsiTheme="minorHAnsi"/>
          <w:color w:val="auto"/>
          <w:sz w:val="24"/>
          <w:szCs w:val="24"/>
        </w:rPr>
        <w:t xml:space="preserve"> </w:t>
      </w:r>
      <w:r w:rsidR="00EA68AA" w:rsidRPr="003B355D">
        <w:rPr>
          <w:rFonts w:asciiTheme="minorHAnsi" w:hAnsiTheme="minorHAnsi"/>
          <w:color w:val="auto"/>
          <w:sz w:val="24"/>
          <w:szCs w:val="24"/>
        </w:rPr>
        <w:t>below</w:t>
      </w:r>
      <w:r w:rsidRPr="003B355D">
        <w:rPr>
          <w:rFonts w:asciiTheme="minorHAnsi" w:hAnsiTheme="minorHAnsi"/>
          <w:color w:val="auto"/>
          <w:sz w:val="24"/>
          <w:szCs w:val="24"/>
        </w:rPr>
        <w:t>.</w:t>
      </w:r>
      <w:r w:rsidR="00B540CE" w:rsidRPr="003B355D">
        <w:rPr>
          <w:rFonts w:ascii="Arial Narrow" w:hAnsi="Arial Narrow"/>
          <w:b/>
          <w:sz w:val="20"/>
          <w:szCs w:val="16"/>
        </w:rPr>
        <w:br w:type="page"/>
      </w:r>
    </w:p>
    <w:p w:rsidR="00D453F1" w:rsidRDefault="00D453F1" w:rsidP="00D453F1">
      <w:pPr>
        <w:pStyle w:val="Caption"/>
      </w:pPr>
      <w:r>
        <w:lastRenderedPageBreak/>
        <w:t xml:space="preserve">Table </w:t>
      </w:r>
      <w:r>
        <w:rPr>
          <w:noProof/>
        </w:rPr>
        <w:t>7</w:t>
      </w:r>
      <w:r w:rsidRPr="00293032">
        <w:t>: Patients reporting hypoglycaemic events (FAS; MMRM)</w:t>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39"/>
        <w:gridCol w:w="1111"/>
        <w:gridCol w:w="872"/>
        <w:gridCol w:w="1351"/>
        <w:gridCol w:w="1111"/>
        <w:gridCol w:w="942"/>
        <w:gridCol w:w="1280"/>
      </w:tblGrid>
      <w:tr w:rsidR="00223B4D" w:rsidRPr="003B355D" w:rsidTr="001D4DDA">
        <w:tc>
          <w:tcPr>
            <w:tcW w:w="1339" w:type="pct"/>
            <w:vMerge w:val="restart"/>
            <w:vAlign w:val="center"/>
          </w:tcPr>
          <w:p w:rsidR="00223B4D" w:rsidRPr="003B355D" w:rsidRDefault="00223B4D" w:rsidP="0080299F">
            <w:pPr>
              <w:spacing w:before="40" w:after="40"/>
              <w:rPr>
                <w:rFonts w:ascii="Arial Narrow" w:hAnsi="Arial Narrow"/>
                <w:sz w:val="20"/>
              </w:rPr>
            </w:pPr>
            <w:r w:rsidRPr="003B355D">
              <w:rPr>
                <w:rFonts w:ascii="Arial Narrow" w:hAnsi="Arial Narrow"/>
                <w:b/>
                <w:sz w:val="20"/>
              </w:rPr>
              <w:t>Trial ID</w:t>
            </w:r>
          </w:p>
        </w:tc>
        <w:tc>
          <w:tcPr>
            <w:tcW w:w="1831" w:type="pct"/>
            <w:gridSpan w:val="3"/>
            <w:vAlign w:val="center"/>
          </w:tcPr>
          <w:p w:rsidR="00223B4D" w:rsidRPr="003B355D" w:rsidRDefault="00223B4D" w:rsidP="0080299F">
            <w:pPr>
              <w:spacing w:before="40" w:after="40"/>
              <w:jc w:val="center"/>
              <w:rPr>
                <w:rFonts w:ascii="Arial Narrow" w:hAnsi="Arial Narrow"/>
                <w:b/>
                <w:sz w:val="20"/>
              </w:rPr>
            </w:pPr>
            <w:r w:rsidRPr="003B355D">
              <w:rPr>
                <w:rFonts w:ascii="Arial Narrow" w:hAnsi="Arial Narrow"/>
                <w:b/>
                <w:sz w:val="20"/>
              </w:rPr>
              <w:t>Liraglutide</w:t>
            </w:r>
          </w:p>
          <w:p w:rsidR="00223B4D" w:rsidRPr="003B355D" w:rsidRDefault="00223B4D" w:rsidP="0080299F">
            <w:pPr>
              <w:spacing w:before="40" w:after="40"/>
              <w:jc w:val="center"/>
              <w:rPr>
                <w:rFonts w:ascii="Arial Narrow" w:hAnsi="Arial Narrow"/>
                <w:b/>
                <w:sz w:val="20"/>
              </w:rPr>
            </w:pPr>
            <w:r w:rsidRPr="003B355D">
              <w:rPr>
                <w:rFonts w:ascii="Arial Narrow" w:hAnsi="Arial Narrow"/>
                <w:b/>
                <w:sz w:val="20"/>
              </w:rPr>
              <w:t>N=4668</w:t>
            </w:r>
          </w:p>
        </w:tc>
        <w:tc>
          <w:tcPr>
            <w:tcW w:w="1830" w:type="pct"/>
            <w:gridSpan w:val="3"/>
            <w:vAlign w:val="center"/>
          </w:tcPr>
          <w:p w:rsidR="00223B4D" w:rsidRPr="003B355D" w:rsidRDefault="00223B4D" w:rsidP="0080299F">
            <w:pPr>
              <w:spacing w:before="40" w:after="40"/>
              <w:jc w:val="center"/>
              <w:rPr>
                <w:rFonts w:ascii="Arial Narrow" w:hAnsi="Arial Narrow"/>
                <w:b/>
                <w:sz w:val="20"/>
              </w:rPr>
            </w:pPr>
            <w:r w:rsidRPr="003B355D">
              <w:rPr>
                <w:rFonts w:ascii="Arial Narrow" w:hAnsi="Arial Narrow"/>
                <w:b/>
                <w:sz w:val="20"/>
              </w:rPr>
              <w:t>Placebo</w:t>
            </w:r>
          </w:p>
          <w:p w:rsidR="00223B4D" w:rsidRPr="003B355D" w:rsidRDefault="00223B4D" w:rsidP="0080299F">
            <w:pPr>
              <w:spacing w:before="40" w:after="40"/>
              <w:jc w:val="center"/>
              <w:rPr>
                <w:rFonts w:ascii="Arial Narrow" w:hAnsi="Arial Narrow"/>
                <w:b/>
                <w:sz w:val="20"/>
              </w:rPr>
            </w:pPr>
            <w:r w:rsidRPr="003B355D">
              <w:rPr>
                <w:rFonts w:ascii="Arial Narrow" w:hAnsi="Arial Narrow"/>
                <w:b/>
                <w:sz w:val="20"/>
              </w:rPr>
              <w:t>N=4672</w:t>
            </w:r>
          </w:p>
        </w:tc>
      </w:tr>
      <w:tr w:rsidR="00223B4D" w:rsidRPr="003B355D" w:rsidTr="001D4DDA">
        <w:tc>
          <w:tcPr>
            <w:tcW w:w="1339" w:type="pct"/>
            <w:vMerge/>
            <w:tcBorders>
              <w:bottom w:val="single" w:sz="4" w:space="0" w:color="auto"/>
            </w:tcBorders>
            <w:vAlign w:val="center"/>
          </w:tcPr>
          <w:p w:rsidR="00223B4D" w:rsidRPr="003B355D" w:rsidRDefault="00223B4D" w:rsidP="0080299F">
            <w:pPr>
              <w:spacing w:before="40" w:after="40"/>
              <w:rPr>
                <w:rFonts w:ascii="Arial Narrow" w:hAnsi="Arial Narrow"/>
                <w:sz w:val="20"/>
              </w:rPr>
            </w:pPr>
          </w:p>
        </w:tc>
        <w:tc>
          <w:tcPr>
            <w:tcW w:w="610" w:type="pct"/>
            <w:tcBorders>
              <w:bottom w:val="single" w:sz="4" w:space="0" w:color="auto"/>
            </w:tcBorders>
            <w:vAlign w:val="center"/>
          </w:tcPr>
          <w:p w:rsidR="00223B4D" w:rsidRPr="003B355D" w:rsidRDefault="00223B4D" w:rsidP="0080299F">
            <w:pPr>
              <w:spacing w:before="40" w:after="40"/>
              <w:jc w:val="center"/>
              <w:rPr>
                <w:rFonts w:ascii="Arial Narrow" w:hAnsi="Arial Narrow"/>
                <w:b/>
                <w:sz w:val="20"/>
              </w:rPr>
            </w:pPr>
            <w:proofErr w:type="gramStart"/>
            <w:r w:rsidRPr="003B355D">
              <w:rPr>
                <w:rFonts w:ascii="Arial Narrow" w:hAnsi="Arial Narrow"/>
                <w:b/>
                <w:sz w:val="20"/>
              </w:rPr>
              <w:t>n</w:t>
            </w:r>
            <w:proofErr w:type="gramEnd"/>
            <w:r w:rsidRPr="003B355D">
              <w:rPr>
                <w:rFonts w:ascii="Arial Narrow" w:hAnsi="Arial Narrow"/>
                <w:b/>
                <w:sz w:val="20"/>
              </w:rPr>
              <w:t xml:space="preserve"> (%)</w:t>
            </w:r>
          </w:p>
        </w:tc>
        <w:tc>
          <w:tcPr>
            <w:tcW w:w="479" w:type="pct"/>
            <w:tcBorders>
              <w:bottom w:val="single" w:sz="4" w:space="0" w:color="auto"/>
            </w:tcBorders>
            <w:vAlign w:val="center"/>
          </w:tcPr>
          <w:p w:rsidR="00223B4D" w:rsidRPr="003B355D" w:rsidRDefault="00223B4D" w:rsidP="0080299F">
            <w:pPr>
              <w:spacing w:before="40" w:after="40"/>
              <w:jc w:val="center"/>
              <w:rPr>
                <w:rFonts w:ascii="Arial Narrow" w:hAnsi="Arial Narrow"/>
                <w:b/>
                <w:sz w:val="20"/>
              </w:rPr>
            </w:pPr>
            <w:r w:rsidRPr="003B355D">
              <w:rPr>
                <w:rFonts w:ascii="Arial Narrow" w:hAnsi="Arial Narrow"/>
                <w:b/>
                <w:sz w:val="20"/>
              </w:rPr>
              <w:t xml:space="preserve">Events </w:t>
            </w:r>
          </w:p>
        </w:tc>
        <w:tc>
          <w:tcPr>
            <w:tcW w:w="742" w:type="pct"/>
            <w:tcBorders>
              <w:bottom w:val="single" w:sz="4" w:space="0" w:color="auto"/>
            </w:tcBorders>
            <w:vAlign w:val="center"/>
          </w:tcPr>
          <w:p w:rsidR="00223B4D" w:rsidRPr="003B355D" w:rsidRDefault="00223B4D" w:rsidP="0080299F">
            <w:pPr>
              <w:spacing w:before="40" w:after="40"/>
              <w:jc w:val="center"/>
              <w:rPr>
                <w:rFonts w:ascii="Arial Narrow" w:hAnsi="Arial Narrow"/>
                <w:b/>
                <w:sz w:val="20"/>
              </w:rPr>
            </w:pPr>
            <w:r w:rsidRPr="003B355D">
              <w:rPr>
                <w:rFonts w:ascii="Arial Narrow" w:hAnsi="Arial Narrow"/>
                <w:b/>
                <w:sz w:val="20"/>
              </w:rPr>
              <w:t xml:space="preserve">Events per 100 patient </w:t>
            </w:r>
            <w:proofErr w:type="spellStart"/>
            <w:r w:rsidRPr="003B355D">
              <w:rPr>
                <w:rFonts w:ascii="Arial Narrow" w:hAnsi="Arial Narrow"/>
                <w:b/>
                <w:sz w:val="20"/>
              </w:rPr>
              <w:t>years</w:t>
            </w:r>
            <w:r w:rsidRPr="003B355D">
              <w:rPr>
                <w:rFonts w:ascii="Arial Narrow" w:hAnsi="Arial Narrow"/>
                <w:b/>
                <w:sz w:val="20"/>
                <w:vertAlign w:val="superscript"/>
              </w:rPr>
              <w:t>a</w:t>
            </w:r>
            <w:proofErr w:type="spellEnd"/>
          </w:p>
        </w:tc>
        <w:tc>
          <w:tcPr>
            <w:tcW w:w="610" w:type="pct"/>
            <w:tcBorders>
              <w:bottom w:val="single" w:sz="4" w:space="0" w:color="auto"/>
            </w:tcBorders>
            <w:vAlign w:val="center"/>
          </w:tcPr>
          <w:p w:rsidR="00223B4D" w:rsidRPr="003B355D" w:rsidRDefault="00223B4D" w:rsidP="0080299F">
            <w:pPr>
              <w:spacing w:before="40" w:after="40"/>
              <w:jc w:val="center"/>
              <w:rPr>
                <w:rFonts w:ascii="Arial Narrow" w:hAnsi="Arial Narrow"/>
                <w:b/>
                <w:sz w:val="20"/>
              </w:rPr>
            </w:pPr>
            <w:proofErr w:type="gramStart"/>
            <w:r w:rsidRPr="003B355D">
              <w:rPr>
                <w:rFonts w:ascii="Arial Narrow" w:hAnsi="Arial Narrow"/>
                <w:b/>
                <w:sz w:val="20"/>
              </w:rPr>
              <w:t>n</w:t>
            </w:r>
            <w:proofErr w:type="gramEnd"/>
            <w:r w:rsidRPr="003B355D">
              <w:rPr>
                <w:rFonts w:ascii="Arial Narrow" w:hAnsi="Arial Narrow"/>
                <w:b/>
                <w:sz w:val="20"/>
              </w:rPr>
              <w:t xml:space="preserve"> (%)</w:t>
            </w:r>
          </w:p>
        </w:tc>
        <w:tc>
          <w:tcPr>
            <w:tcW w:w="517" w:type="pct"/>
            <w:tcBorders>
              <w:bottom w:val="single" w:sz="4" w:space="0" w:color="auto"/>
            </w:tcBorders>
            <w:vAlign w:val="center"/>
          </w:tcPr>
          <w:p w:rsidR="00223B4D" w:rsidRPr="003B355D" w:rsidRDefault="00223B4D" w:rsidP="0080299F">
            <w:pPr>
              <w:spacing w:before="40" w:after="40"/>
              <w:jc w:val="center"/>
              <w:rPr>
                <w:rFonts w:ascii="Arial Narrow" w:hAnsi="Arial Narrow"/>
                <w:b/>
                <w:sz w:val="20"/>
              </w:rPr>
            </w:pPr>
            <w:r w:rsidRPr="003B355D">
              <w:rPr>
                <w:rFonts w:ascii="Arial Narrow" w:hAnsi="Arial Narrow"/>
                <w:b/>
                <w:sz w:val="20"/>
              </w:rPr>
              <w:t xml:space="preserve">Events </w:t>
            </w:r>
          </w:p>
        </w:tc>
        <w:tc>
          <w:tcPr>
            <w:tcW w:w="703" w:type="pct"/>
            <w:tcBorders>
              <w:bottom w:val="single" w:sz="4" w:space="0" w:color="auto"/>
            </w:tcBorders>
            <w:vAlign w:val="center"/>
          </w:tcPr>
          <w:p w:rsidR="00223B4D" w:rsidRPr="003B355D" w:rsidRDefault="00223B4D" w:rsidP="0080299F">
            <w:pPr>
              <w:spacing w:before="40" w:after="40"/>
              <w:jc w:val="center"/>
              <w:rPr>
                <w:rFonts w:ascii="Arial Narrow" w:hAnsi="Arial Narrow"/>
                <w:b/>
                <w:sz w:val="20"/>
              </w:rPr>
            </w:pPr>
            <w:r w:rsidRPr="003B355D">
              <w:rPr>
                <w:rFonts w:ascii="Arial Narrow" w:hAnsi="Arial Narrow"/>
                <w:b/>
                <w:sz w:val="20"/>
              </w:rPr>
              <w:t xml:space="preserve">Events per 100 patient </w:t>
            </w:r>
            <w:proofErr w:type="spellStart"/>
            <w:r w:rsidRPr="003B355D">
              <w:rPr>
                <w:rFonts w:ascii="Arial Narrow" w:hAnsi="Arial Narrow"/>
                <w:b/>
                <w:sz w:val="20"/>
              </w:rPr>
              <w:t>years</w:t>
            </w:r>
            <w:r w:rsidRPr="003B355D">
              <w:rPr>
                <w:rFonts w:ascii="Arial Narrow" w:hAnsi="Arial Narrow"/>
                <w:b/>
                <w:sz w:val="20"/>
                <w:vertAlign w:val="superscript"/>
              </w:rPr>
              <w:t>b</w:t>
            </w:r>
            <w:proofErr w:type="spellEnd"/>
          </w:p>
        </w:tc>
      </w:tr>
      <w:tr w:rsidR="00223B4D" w:rsidRPr="003B355D" w:rsidTr="001D4DDA">
        <w:tc>
          <w:tcPr>
            <w:tcW w:w="1339" w:type="pct"/>
            <w:tcBorders>
              <w:top w:val="single" w:sz="4" w:space="0" w:color="auto"/>
            </w:tcBorders>
            <w:vAlign w:val="center"/>
          </w:tcPr>
          <w:p w:rsidR="00223B4D" w:rsidRPr="003B355D" w:rsidRDefault="00223B4D" w:rsidP="0080299F">
            <w:pPr>
              <w:spacing w:before="40" w:after="40"/>
              <w:jc w:val="left"/>
              <w:rPr>
                <w:rFonts w:ascii="Arial Narrow" w:hAnsi="Arial Narrow"/>
                <w:sz w:val="20"/>
              </w:rPr>
            </w:pPr>
            <w:r w:rsidRPr="003B355D">
              <w:rPr>
                <w:rFonts w:ascii="Arial Narrow" w:hAnsi="Arial Narrow"/>
                <w:sz w:val="20"/>
              </w:rPr>
              <w:t>Confirmed hypoglycaemia event</w:t>
            </w:r>
          </w:p>
        </w:tc>
        <w:tc>
          <w:tcPr>
            <w:tcW w:w="610" w:type="pct"/>
            <w:tcBorders>
              <w:top w:val="single" w:sz="4" w:space="0" w:color="auto"/>
            </w:tcBorders>
            <w:vAlign w:val="center"/>
          </w:tcPr>
          <w:p w:rsidR="00223B4D" w:rsidRPr="003B355D" w:rsidRDefault="00223B4D" w:rsidP="0080299F">
            <w:pPr>
              <w:pStyle w:val="Tabletext"/>
              <w:spacing w:before="40" w:after="40"/>
              <w:jc w:val="center"/>
              <w:rPr>
                <w:rFonts w:ascii="Arial Narrow" w:hAnsi="Arial Narrow" w:cs="Arial"/>
              </w:rPr>
            </w:pPr>
            <w:r w:rsidRPr="003B355D">
              <w:rPr>
                <w:rFonts w:ascii="Arial Narrow" w:hAnsi="Arial Narrow" w:cs="Arial"/>
              </w:rPr>
              <w:t>2039 (43.7%)</w:t>
            </w:r>
          </w:p>
        </w:tc>
        <w:tc>
          <w:tcPr>
            <w:tcW w:w="479" w:type="pct"/>
            <w:tcBorders>
              <w:top w:val="single" w:sz="4" w:space="0" w:color="auto"/>
            </w:tcBorders>
            <w:vAlign w:val="center"/>
          </w:tcPr>
          <w:p w:rsidR="00223B4D" w:rsidRPr="003B355D" w:rsidRDefault="00223B4D" w:rsidP="0080299F">
            <w:pPr>
              <w:pStyle w:val="Tabletext"/>
              <w:spacing w:before="40" w:after="40"/>
              <w:jc w:val="center"/>
              <w:rPr>
                <w:rFonts w:ascii="Arial Narrow" w:hAnsi="Arial Narrow" w:cs="Arial"/>
              </w:rPr>
            </w:pPr>
            <w:r w:rsidRPr="003B355D">
              <w:rPr>
                <w:rFonts w:ascii="Arial Narrow" w:hAnsi="Arial Narrow" w:cs="Arial"/>
              </w:rPr>
              <w:t>12,177</w:t>
            </w:r>
          </w:p>
        </w:tc>
        <w:tc>
          <w:tcPr>
            <w:tcW w:w="742" w:type="pct"/>
            <w:tcBorders>
              <w:top w:val="single" w:sz="4" w:space="0" w:color="auto"/>
            </w:tcBorders>
            <w:vAlign w:val="center"/>
          </w:tcPr>
          <w:p w:rsidR="00223B4D" w:rsidRPr="003B355D" w:rsidRDefault="00223B4D" w:rsidP="0080299F">
            <w:pPr>
              <w:pStyle w:val="Tabletext"/>
              <w:spacing w:before="40" w:after="40"/>
              <w:jc w:val="center"/>
              <w:rPr>
                <w:rFonts w:ascii="Arial Narrow" w:hAnsi="Arial Narrow" w:cs="Arial"/>
              </w:rPr>
            </w:pPr>
            <w:r w:rsidRPr="003B355D">
              <w:rPr>
                <w:rFonts w:ascii="Arial Narrow" w:hAnsi="Arial Narrow" w:cs="Arial"/>
              </w:rPr>
              <w:t>70.2</w:t>
            </w:r>
          </w:p>
        </w:tc>
        <w:tc>
          <w:tcPr>
            <w:tcW w:w="610" w:type="pct"/>
            <w:tcBorders>
              <w:top w:val="single" w:sz="4" w:space="0" w:color="auto"/>
            </w:tcBorders>
            <w:vAlign w:val="center"/>
          </w:tcPr>
          <w:p w:rsidR="00223B4D" w:rsidRPr="003B355D" w:rsidRDefault="00223B4D" w:rsidP="0080299F">
            <w:pPr>
              <w:pStyle w:val="Tabletext"/>
              <w:spacing w:before="40" w:after="40"/>
              <w:jc w:val="center"/>
              <w:rPr>
                <w:rFonts w:ascii="Arial Narrow" w:hAnsi="Arial Narrow" w:cs="Arial"/>
              </w:rPr>
            </w:pPr>
            <w:r w:rsidRPr="003B355D">
              <w:rPr>
                <w:rFonts w:ascii="Arial Narrow" w:hAnsi="Arial Narrow" w:cs="Arial"/>
              </w:rPr>
              <w:t>2130 (45.6%)</w:t>
            </w:r>
          </w:p>
        </w:tc>
        <w:tc>
          <w:tcPr>
            <w:tcW w:w="517" w:type="pct"/>
            <w:tcBorders>
              <w:top w:val="single" w:sz="4" w:space="0" w:color="auto"/>
            </w:tcBorders>
            <w:vAlign w:val="center"/>
          </w:tcPr>
          <w:p w:rsidR="00223B4D" w:rsidRPr="003B355D" w:rsidRDefault="00223B4D" w:rsidP="0080299F">
            <w:pPr>
              <w:pStyle w:val="Tabletext"/>
              <w:spacing w:before="40" w:after="40"/>
              <w:jc w:val="center"/>
              <w:rPr>
                <w:rFonts w:ascii="Arial Narrow" w:hAnsi="Arial Narrow" w:cs="Arial"/>
              </w:rPr>
            </w:pPr>
            <w:r w:rsidRPr="003B355D">
              <w:rPr>
                <w:rFonts w:ascii="Arial Narrow" w:hAnsi="Arial Narrow" w:cs="Arial"/>
              </w:rPr>
              <w:t>15,756</w:t>
            </w:r>
          </w:p>
        </w:tc>
        <w:tc>
          <w:tcPr>
            <w:tcW w:w="703" w:type="pct"/>
            <w:tcBorders>
              <w:top w:val="single" w:sz="4" w:space="0" w:color="auto"/>
            </w:tcBorders>
            <w:vAlign w:val="center"/>
          </w:tcPr>
          <w:p w:rsidR="00223B4D" w:rsidRPr="003B355D" w:rsidRDefault="00223B4D" w:rsidP="0080299F">
            <w:pPr>
              <w:pStyle w:val="Tabletext"/>
              <w:spacing w:before="40" w:after="40"/>
              <w:jc w:val="center"/>
              <w:rPr>
                <w:rFonts w:ascii="Arial Narrow" w:hAnsi="Arial Narrow" w:cs="Arial"/>
              </w:rPr>
            </w:pPr>
            <w:r w:rsidRPr="003B355D">
              <w:rPr>
                <w:rFonts w:ascii="Arial Narrow" w:hAnsi="Arial Narrow" w:cs="Arial"/>
              </w:rPr>
              <w:t>91.2</w:t>
            </w:r>
          </w:p>
        </w:tc>
      </w:tr>
      <w:tr w:rsidR="00223B4D" w:rsidRPr="003B355D" w:rsidTr="001D4DDA">
        <w:tc>
          <w:tcPr>
            <w:tcW w:w="1339" w:type="pct"/>
            <w:vAlign w:val="center"/>
          </w:tcPr>
          <w:p w:rsidR="00223B4D" w:rsidRPr="003B355D" w:rsidRDefault="00223B4D" w:rsidP="0080299F">
            <w:pPr>
              <w:spacing w:before="40" w:after="40"/>
              <w:ind w:right="-108"/>
              <w:rPr>
                <w:rFonts w:ascii="Arial Narrow" w:hAnsi="Arial Narrow"/>
                <w:sz w:val="20"/>
                <w:vertAlign w:val="superscript"/>
              </w:rPr>
            </w:pPr>
            <w:r w:rsidRPr="003B355D">
              <w:rPr>
                <w:rFonts w:ascii="Arial Narrow" w:hAnsi="Arial Narrow"/>
                <w:sz w:val="20"/>
              </w:rPr>
              <w:t>Severe hypoglycaemia</w:t>
            </w:r>
          </w:p>
        </w:tc>
        <w:tc>
          <w:tcPr>
            <w:tcW w:w="610" w:type="pct"/>
            <w:vAlign w:val="center"/>
          </w:tcPr>
          <w:p w:rsidR="00223B4D" w:rsidRPr="003B355D" w:rsidRDefault="00223B4D" w:rsidP="0080299F">
            <w:pPr>
              <w:pStyle w:val="Tabletext"/>
              <w:spacing w:before="40" w:after="40"/>
              <w:jc w:val="center"/>
              <w:rPr>
                <w:rFonts w:ascii="Arial Narrow" w:hAnsi="Arial Narrow" w:cs="Arial"/>
              </w:rPr>
            </w:pPr>
            <w:r w:rsidRPr="003B355D">
              <w:rPr>
                <w:rFonts w:ascii="Arial Narrow" w:hAnsi="Arial Narrow" w:cs="Arial"/>
              </w:rPr>
              <w:t>114 (2.4%)</w:t>
            </w:r>
          </w:p>
        </w:tc>
        <w:tc>
          <w:tcPr>
            <w:tcW w:w="479" w:type="pct"/>
            <w:vAlign w:val="center"/>
          </w:tcPr>
          <w:p w:rsidR="00223B4D" w:rsidRPr="003B355D" w:rsidRDefault="00223B4D" w:rsidP="0080299F">
            <w:pPr>
              <w:pStyle w:val="Tabletext"/>
              <w:spacing w:before="40" w:after="40"/>
              <w:jc w:val="center"/>
              <w:rPr>
                <w:rFonts w:ascii="Arial Narrow" w:hAnsi="Arial Narrow" w:cs="Arial"/>
              </w:rPr>
            </w:pPr>
            <w:r w:rsidRPr="003B355D">
              <w:rPr>
                <w:rFonts w:ascii="Arial Narrow" w:hAnsi="Arial Narrow" w:cs="Arial"/>
              </w:rPr>
              <w:t>178</w:t>
            </w:r>
          </w:p>
        </w:tc>
        <w:tc>
          <w:tcPr>
            <w:tcW w:w="742" w:type="pct"/>
            <w:vAlign w:val="center"/>
          </w:tcPr>
          <w:p w:rsidR="00223B4D" w:rsidRPr="003B355D" w:rsidRDefault="00223B4D" w:rsidP="0080299F">
            <w:pPr>
              <w:pStyle w:val="Tabletext"/>
              <w:spacing w:before="40" w:after="40"/>
              <w:jc w:val="center"/>
              <w:rPr>
                <w:rFonts w:ascii="Arial Narrow" w:hAnsi="Arial Narrow" w:cs="Arial"/>
              </w:rPr>
            </w:pPr>
            <w:r w:rsidRPr="003B355D">
              <w:rPr>
                <w:rFonts w:ascii="Arial Narrow" w:hAnsi="Arial Narrow" w:cs="Arial"/>
              </w:rPr>
              <w:t>1.0</w:t>
            </w:r>
          </w:p>
        </w:tc>
        <w:tc>
          <w:tcPr>
            <w:tcW w:w="610" w:type="pct"/>
            <w:vAlign w:val="center"/>
          </w:tcPr>
          <w:p w:rsidR="00223B4D" w:rsidRPr="003B355D" w:rsidRDefault="00223B4D" w:rsidP="0080299F">
            <w:pPr>
              <w:pStyle w:val="Tabletext"/>
              <w:spacing w:before="40" w:after="40"/>
              <w:jc w:val="center"/>
              <w:rPr>
                <w:rFonts w:ascii="Arial Narrow" w:hAnsi="Arial Narrow" w:cs="Arial"/>
              </w:rPr>
            </w:pPr>
            <w:r w:rsidRPr="003B355D">
              <w:rPr>
                <w:rFonts w:ascii="Arial Narrow" w:hAnsi="Arial Narrow" w:cs="Arial"/>
              </w:rPr>
              <w:t>153 (3.3%)</w:t>
            </w:r>
          </w:p>
        </w:tc>
        <w:tc>
          <w:tcPr>
            <w:tcW w:w="517" w:type="pct"/>
            <w:vAlign w:val="center"/>
          </w:tcPr>
          <w:p w:rsidR="00223B4D" w:rsidRPr="003B355D" w:rsidRDefault="00223B4D" w:rsidP="0080299F">
            <w:pPr>
              <w:pStyle w:val="Tabletext"/>
              <w:spacing w:before="40" w:after="40"/>
              <w:jc w:val="center"/>
              <w:rPr>
                <w:rFonts w:ascii="Arial Narrow" w:hAnsi="Arial Narrow" w:cs="Arial"/>
              </w:rPr>
            </w:pPr>
            <w:r w:rsidRPr="003B355D">
              <w:rPr>
                <w:rFonts w:ascii="Arial Narrow" w:hAnsi="Arial Narrow" w:cs="Arial"/>
              </w:rPr>
              <w:t>255</w:t>
            </w:r>
          </w:p>
        </w:tc>
        <w:tc>
          <w:tcPr>
            <w:tcW w:w="703" w:type="pct"/>
            <w:vAlign w:val="center"/>
          </w:tcPr>
          <w:p w:rsidR="00223B4D" w:rsidRPr="003B355D" w:rsidRDefault="00223B4D" w:rsidP="0080299F">
            <w:pPr>
              <w:pStyle w:val="Tabletext"/>
              <w:spacing w:before="40" w:after="40"/>
              <w:jc w:val="center"/>
              <w:rPr>
                <w:rFonts w:ascii="Arial Narrow" w:hAnsi="Arial Narrow" w:cs="Arial"/>
              </w:rPr>
            </w:pPr>
            <w:r w:rsidRPr="003B355D">
              <w:rPr>
                <w:rFonts w:ascii="Arial Narrow" w:hAnsi="Arial Narrow" w:cs="Arial"/>
              </w:rPr>
              <w:t>1.5</w:t>
            </w:r>
          </w:p>
        </w:tc>
      </w:tr>
      <w:tr w:rsidR="00223B4D" w:rsidRPr="003B355D" w:rsidTr="001D4DDA">
        <w:tc>
          <w:tcPr>
            <w:tcW w:w="1339" w:type="pct"/>
            <w:vAlign w:val="center"/>
          </w:tcPr>
          <w:p w:rsidR="00223B4D" w:rsidRPr="003B355D" w:rsidRDefault="00223B4D" w:rsidP="0080299F">
            <w:pPr>
              <w:spacing w:before="40" w:after="40"/>
              <w:ind w:right="-108"/>
              <w:rPr>
                <w:rFonts w:ascii="Arial Narrow" w:hAnsi="Arial Narrow"/>
                <w:sz w:val="20"/>
              </w:rPr>
            </w:pPr>
            <w:r w:rsidRPr="003B355D">
              <w:rPr>
                <w:rFonts w:ascii="Arial Narrow" w:hAnsi="Arial Narrow"/>
                <w:sz w:val="20"/>
              </w:rPr>
              <w:t xml:space="preserve">Symptomatic hypoglycaemia </w:t>
            </w:r>
          </w:p>
        </w:tc>
        <w:tc>
          <w:tcPr>
            <w:tcW w:w="610" w:type="pct"/>
            <w:vAlign w:val="center"/>
          </w:tcPr>
          <w:p w:rsidR="00223B4D" w:rsidRPr="003B355D" w:rsidRDefault="00223B4D" w:rsidP="0080299F">
            <w:pPr>
              <w:pStyle w:val="Tabletext"/>
              <w:spacing w:before="40" w:after="40"/>
              <w:jc w:val="center"/>
              <w:rPr>
                <w:rFonts w:ascii="Arial Narrow" w:hAnsi="Arial Narrow" w:cs="Arial"/>
              </w:rPr>
            </w:pPr>
            <w:r w:rsidRPr="003B355D">
              <w:rPr>
                <w:rFonts w:ascii="Arial Narrow" w:hAnsi="Arial Narrow" w:cs="Arial"/>
              </w:rPr>
              <w:t>2409 (51.6%)</w:t>
            </w:r>
          </w:p>
        </w:tc>
        <w:tc>
          <w:tcPr>
            <w:tcW w:w="479" w:type="pct"/>
            <w:vAlign w:val="center"/>
          </w:tcPr>
          <w:p w:rsidR="00223B4D" w:rsidRPr="003B355D" w:rsidRDefault="00223B4D" w:rsidP="0080299F">
            <w:pPr>
              <w:pStyle w:val="Tabletext"/>
              <w:spacing w:before="40" w:after="40"/>
              <w:jc w:val="center"/>
              <w:rPr>
                <w:rFonts w:ascii="Arial Narrow" w:hAnsi="Arial Narrow" w:cs="Arial"/>
              </w:rPr>
            </w:pPr>
            <w:r w:rsidRPr="003B355D">
              <w:rPr>
                <w:rFonts w:ascii="Arial Narrow" w:hAnsi="Arial Narrow" w:cs="Arial"/>
              </w:rPr>
              <w:t>26,514</w:t>
            </w:r>
          </w:p>
        </w:tc>
        <w:tc>
          <w:tcPr>
            <w:tcW w:w="742" w:type="pct"/>
            <w:vAlign w:val="center"/>
          </w:tcPr>
          <w:p w:rsidR="00223B4D" w:rsidRPr="003B355D" w:rsidRDefault="00223B4D" w:rsidP="0080299F">
            <w:pPr>
              <w:pStyle w:val="Tabletext"/>
              <w:spacing w:before="40" w:after="40"/>
              <w:jc w:val="center"/>
              <w:rPr>
                <w:rFonts w:ascii="Arial Narrow" w:hAnsi="Arial Narrow" w:cs="Arial"/>
              </w:rPr>
            </w:pPr>
            <w:r w:rsidRPr="003B355D">
              <w:rPr>
                <w:rFonts w:ascii="Arial Narrow" w:hAnsi="Arial Narrow" w:cs="Arial"/>
              </w:rPr>
              <w:t>152.9</w:t>
            </w:r>
          </w:p>
        </w:tc>
        <w:tc>
          <w:tcPr>
            <w:tcW w:w="610" w:type="pct"/>
            <w:vAlign w:val="center"/>
          </w:tcPr>
          <w:p w:rsidR="00223B4D" w:rsidRPr="003B355D" w:rsidRDefault="00223B4D" w:rsidP="0080299F">
            <w:pPr>
              <w:pStyle w:val="Tabletext"/>
              <w:spacing w:before="40" w:after="40"/>
              <w:jc w:val="center"/>
              <w:rPr>
                <w:rFonts w:ascii="Arial Narrow" w:hAnsi="Arial Narrow" w:cs="Arial"/>
              </w:rPr>
            </w:pPr>
            <w:r w:rsidRPr="003B355D">
              <w:rPr>
                <w:rFonts w:ascii="Arial Narrow" w:hAnsi="Arial Narrow" w:cs="Arial"/>
              </w:rPr>
              <w:t>2431 (52.0%)</w:t>
            </w:r>
          </w:p>
        </w:tc>
        <w:tc>
          <w:tcPr>
            <w:tcW w:w="517" w:type="pct"/>
            <w:vAlign w:val="center"/>
          </w:tcPr>
          <w:p w:rsidR="00223B4D" w:rsidRPr="003B355D" w:rsidRDefault="00223B4D" w:rsidP="0080299F">
            <w:pPr>
              <w:pStyle w:val="Tabletext"/>
              <w:spacing w:before="40" w:after="40"/>
              <w:jc w:val="center"/>
              <w:rPr>
                <w:rFonts w:ascii="Arial Narrow" w:hAnsi="Arial Narrow" w:cs="Arial"/>
              </w:rPr>
            </w:pPr>
            <w:r w:rsidRPr="003B355D">
              <w:rPr>
                <w:rFonts w:ascii="Arial Narrow" w:hAnsi="Arial Narrow" w:cs="Arial"/>
              </w:rPr>
              <w:t>34,322</w:t>
            </w:r>
          </w:p>
        </w:tc>
        <w:tc>
          <w:tcPr>
            <w:tcW w:w="703" w:type="pct"/>
            <w:vAlign w:val="center"/>
          </w:tcPr>
          <w:p w:rsidR="00223B4D" w:rsidRPr="003B355D" w:rsidRDefault="00223B4D" w:rsidP="0080299F">
            <w:pPr>
              <w:pStyle w:val="Tabletext"/>
              <w:spacing w:before="40" w:after="40"/>
              <w:jc w:val="center"/>
              <w:rPr>
                <w:rFonts w:ascii="Arial Narrow" w:hAnsi="Arial Narrow" w:cs="Arial"/>
              </w:rPr>
            </w:pPr>
            <w:r w:rsidRPr="003B355D">
              <w:rPr>
                <w:rFonts w:ascii="Arial Narrow" w:hAnsi="Arial Narrow" w:cs="Arial"/>
              </w:rPr>
              <w:t>198.6</w:t>
            </w:r>
          </w:p>
        </w:tc>
      </w:tr>
      <w:tr w:rsidR="00223B4D" w:rsidRPr="003B355D" w:rsidTr="001D4DDA">
        <w:tc>
          <w:tcPr>
            <w:tcW w:w="1339" w:type="pct"/>
            <w:vAlign w:val="center"/>
          </w:tcPr>
          <w:p w:rsidR="00223B4D" w:rsidRPr="003B355D" w:rsidRDefault="00223B4D" w:rsidP="0080299F">
            <w:pPr>
              <w:spacing w:before="40" w:after="40"/>
              <w:ind w:right="-108"/>
              <w:rPr>
                <w:rFonts w:ascii="Arial Narrow" w:hAnsi="Arial Narrow"/>
                <w:sz w:val="20"/>
              </w:rPr>
            </w:pPr>
            <w:r w:rsidRPr="003B355D">
              <w:rPr>
                <w:rFonts w:ascii="Arial Narrow" w:hAnsi="Arial Narrow"/>
                <w:sz w:val="20"/>
              </w:rPr>
              <w:t xml:space="preserve">Asymptomatic hypoglycaemia </w:t>
            </w:r>
          </w:p>
        </w:tc>
        <w:tc>
          <w:tcPr>
            <w:tcW w:w="610" w:type="pct"/>
            <w:vAlign w:val="center"/>
          </w:tcPr>
          <w:p w:rsidR="00223B4D" w:rsidRPr="003B355D" w:rsidRDefault="00223B4D" w:rsidP="0080299F">
            <w:pPr>
              <w:pStyle w:val="Tabletext"/>
              <w:spacing w:before="40" w:after="40"/>
              <w:jc w:val="center"/>
              <w:rPr>
                <w:rFonts w:ascii="Arial Narrow" w:hAnsi="Arial Narrow" w:cs="Arial"/>
              </w:rPr>
            </w:pPr>
            <w:r w:rsidRPr="003B355D">
              <w:rPr>
                <w:rFonts w:ascii="Arial Narrow" w:hAnsi="Arial Narrow" w:cs="Arial"/>
              </w:rPr>
              <w:t>2479 (53.1%)</w:t>
            </w:r>
          </w:p>
        </w:tc>
        <w:tc>
          <w:tcPr>
            <w:tcW w:w="479" w:type="pct"/>
            <w:vAlign w:val="center"/>
          </w:tcPr>
          <w:p w:rsidR="00223B4D" w:rsidRPr="003B355D" w:rsidRDefault="00223B4D" w:rsidP="0080299F">
            <w:pPr>
              <w:pStyle w:val="Tabletext"/>
              <w:spacing w:before="40" w:after="40"/>
              <w:jc w:val="center"/>
              <w:rPr>
                <w:rFonts w:ascii="Arial Narrow" w:hAnsi="Arial Narrow" w:cs="Arial"/>
              </w:rPr>
            </w:pPr>
            <w:r w:rsidRPr="003B355D">
              <w:rPr>
                <w:rFonts w:ascii="Arial Narrow" w:hAnsi="Arial Narrow" w:cs="Arial"/>
              </w:rPr>
              <w:t>25,131</w:t>
            </w:r>
          </w:p>
        </w:tc>
        <w:tc>
          <w:tcPr>
            <w:tcW w:w="742" w:type="pct"/>
            <w:vAlign w:val="center"/>
          </w:tcPr>
          <w:p w:rsidR="00223B4D" w:rsidRPr="003B355D" w:rsidRDefault="00223B4D" w:rsidP="0080299F">
            <w:pPr>
              <w:pStyle w:val="Tabletext"/>
              <w:spacing w:before="40" w:after="40"/>
              <w:jc w:val="center"/>
              <w:rPr>
                <w:rFonts w:ascii="Arial Narrow" w:hAnsi="Arial Narrow" w:cs="Arial"/>
              </w:rPr>
            </w:pPr>
            <w:r w:rsidRPr="003B355D">
              <w:rPr>
                <w:rFonts w:ascii="Arial Narrow" w:hAnsi="Arial Narrow" w:cs="Arial"/>
              </w:rPr>
              <w:t>144.9</w:t>
            </w:r>
          </w:p>
        </w:tc>
        <w:tc>
          <w:tcPr>
            <w:tcW w:w="610" w:type="pct"/>
            <w:vAlign w:val="center"/>
          </w:tcPr>
          <w:p w:rsidR="00223B4D" w:rsidRPr="003B355D" w:rsidRDefault="00223B4D" w:rsidP="0080299F">
            <w:pPr>
              <w:pStyle w:val="Tabletext"/>
              <w:spacing w:before="40" w:after="40"/>
              <w:jc w:val="center"/>
              <w:rPr>
                <w:rFonts w:ascii="Arial Narrow" w:hAnsi="Arial Narrow" w:cs="Arial"/>
              </w:rPr>
            </w:pPr>
            <w:r w:rsidRPr="003B355D">
              <w:rPr>
                <w:rFonts w:ascii="Arial Narrow" w:hAnsi="Arial Narrow" w:cs="Arial"/>
              </w:rPr>
              <w:t>2360 (50.5%)</w:t>
            </w:r>
          </w:p>
        </w:tc>
        <w:tc>
          <w:tcPr>
            <w:tcW w:w="517" w:type="pct"/>
            <w:vAlign w:val="center"/>
          </w:tcPr>
          <w:p w:rsidR="00223B4D" w:rsidRPr="003B355D" w:rsidRDefault="00223B4D" w:rsidP="0080299F">
            <w:pPr>
              <w:pStyle w:val="Tabletext"/>
              <w:spacing w:before="40" w:after="40"/>
              <w:jc w:val="center"/>
              <w:rPr>
                <w:rFonts w:ascii="Arial Narrow" w:hAnsi="Arial Narrow" w:cs="Arial"/>
              </w:rPr>
            </w:pPr>
            <w:r w:rsidRPr="003B355D">
              <w:rPr>
                <w:rFonts w:ascii="Arial Narrow" w:hAnsi="Arial Narrow" w:cs="Arial"/>
              </w:rPr>
              <w:t>25,823</w:t>
            </w:r>
          </w:p>
        </w:tc>
        <w:tc>
          <w:tcPr>
            <w:tcW w:w="703" w:type="pct"/>
            <w:vAlign w:val="center"/>
          </w:tcPr>
          <w:p w:rsidR="00223B4D" w:rsidRPr="003B355D" w:rsidRDefault="00223B4D" w:rsidP="0080299F">
            <w:pPr>
              <w:pStyle w:val="Tabletext"/>
              <w:spacing w:before="40" w:after="40"/>
              <w:jc w:val="center"/>
              <w:rPr>
                <w:rFonts w:ascii="Arial Narrow" w:hAnsi="Arial Narrow" w:cs="Arial"/>
              </w:rPr>
            </w:pPr>
            <w:r w:rsidRPr="003B355D">
              <w:rPr>
                <w:rFonts w:ascii="Arial Narrow" w:hAnsi="Arial Narrow" w:cs="Arial"/>
              </w:rPr>
              <w:t>149.4</w:t>
            </w:r>
          </w:p>
        </w:tc>
      </w:tr>
      <w:tr w:rsidR="00223B4D" w:rsidRPr="003B355D" w:rsidTr="001D4DDA">
        <w:tc>
          <w:tcPr>
            <w:tcW w:w="1339" w:type="pct"/>
            <w:vAlign w:val="center"/>
          </w:tcPr>
          <w:p w:rsidR="00223B4D" w:rsidRPr="003B355D" w:rsidRDefault="00223B4D" w:rsidP="0080299F">
            <w:pPr>
              <w:spacing w:before="40" w:after="40"/>
              <w:ind w:right="-108"/>
              <w:rPr>
                <w:rFonts w:ascii="Arial Narrow" w:hAnsi="Arial Narrow"/>
                <w:sz w:val="20"/>
              </w:rPr>
            </w:pPr>
            <w:r w:rsidRPr="003B355D">
              <w:rPr>
                <w:rFonts w:ascii="Arial Narrow" w:hAnsi="Arial Narrow"/>
                <w:sz w:val="20"/>
              </w:rPr>
              <w:t xml:space="preserve">Probable hypoglycaemia </w:t>
            </w:r>
          </w:p>
        </w:tc>
        <w:tc>
          <w:tcPr>
            <w:tcW w:w="610" w:type="pct"/>
            <w:vAlign w:val="center"/>
          </w:tcPr>
          <w:p w:rsidR="00223B4D" w:rsidRPr="003B355D" w:rsidRDefault="00223B4D" w:rsidP="0080299F">
            <w:pPr>
              <w:pStyle w:val="Tabletext"/>
              <w:spacing w:before="40" w:after="40"/>
              <w:jc w:val="center"/>
              <w:rPr>
                <w:rFonts w:ascii="Arial Narrow" w:hAnsi="Arial Narrow" w:cs="Arial"/>
              </w:rPr>
            </w:pPr>
            <w:r w:rsidRPr="003B355D">
              <w:rPr>
                <w:rFonts w:ascii="Arial Narrow" w:hAnsi="Arial Narrow" w:cs="Arial"/>
              </w:rPr>
              <w:t>148 (3.2%)</w:t>
            </w:r>
          </w:p>
        </w:tc>
        <w:tc>
          <w:tcPr>
            <w:tcW w:w="479" w:type="pct"/>
            <w:vAlign w:val="center"/>
          </w:tcPr>
          <w:p w:rsidR="00223B4D" w:rsidRPr="003B355D" w:rsidRDefault="00223B4D" w:rsidP="0080299F">
            <w:pPr>
              <w:pStyle w:val="Tabletext"/>
              <w:spacing w:before="40" w:after="40"/>
              <w:jc w:val="center"/>
              <w:rPr>
                <w:rFonts w:ascii="Arial Narrow" w:hAnsi="Arial Narrow" w:cs="Arial"/>
              </w:rPr>
            </w:pPr>
            <w:r w:rsidRPr="003B355D">
              <w:rPr>
                <w:rFonts w:ascii="Arial Narrow" w:hAnsi="Arial Narrow" w:cs="Arial"/>
              </w:rPr>
              <w:t>300</w:t>
            </w:r>
          </w:p>
        </w:tc>
        <w:tc>
          <w:tcPr>
            <w:tcW w:w="742" w:type="pct"/>
            <w:vAlign w:val="center"/>
          </w:tcPr>
          <w:p w:rsidR="00223B4D" w:rsidRPr="003B355D" w:rsidRDefault="00223B4D" w:rsidP="0080299F">
            <w:pPr>
              <w:pStyle w:val="Tabletext"/>
              <w:spacing w:before="40" w:after="40"/>
              <w:jc w:val="center"/>
              <w:rPr>
                <w:rFonts w:ascii="Arial Narrow" w:hAnsi="Arial Narrow" w:cs="Arial"/>
              </w:rPr>
            </w:pPr>
            <w:r w:rsidRPr="003B355D">
              <w:rPr>
                <w:rFonts w:ascii="Arial Narrow" w:hAnsi="Arial Narrow" w:cs="Arial"/>
              </w:rPr>
              <w:t>1.7</w:t>
            </w:r>
          </w:p>
        </w:tc>
        <w:tc>
          <w:tcPr>
            <w:tcW w:w="610" w:type="pct"/>
            <w:vAlign w:val="center"/>
          </w:tcPr>
          <w:p w:rsidR="00223B4D" w:rsidRPr="003B355D" w:rsidRDefault="00223B4D" w:rsidP="0080299F">
            <w:pPr>
              <w:pStyle w:val="Tabletext"/>
              <w:spacing w:before="40" w:after="40"/>
              <w:jc w:val="center"/>
              <w:rPr>
                <w:rFonts w:ascii="Arial Narrow" w:hAnsi="Arial Narrow" w:cs="Arial"/>
              </w:rPr>
            </w:pPr>
            <w:r w:rsidRPr="003B355D">
              <w:rPr>
                <w:rFonts w:ascii="Arial Narrow" w:hAnsi="Arial Narrow" w:cs="Arial"/>
              </w:rPr>
              <w:t>148 (3.2%)</w:t>
            </w:r>
          </w:p>
        </w:tc>
        <w:tc>
          <w:tcPr>
            <w:tcW w:w="517" w:type="pct"/>
            <w:vAlign w:val="center"/>
          </w:tcPr>
          <w:p w:rsidR="00223B4D" w:rsidRPr="003B355D" w:rsidRDefault="00223B4D" w:rsidP="0080299F">
            <w:pPr>
              <w:pStyle w:val="Tabletext"/>
              <w:spacing w:before="40" w:after="40"/>
              <w:jc w:val="center"/>
              <w:rPr>
                <w:rFonts w:ascii="Arial Narrow" w:hAnsi="Arial Narrow" w:cs="Arial"/>
              </w:rPr>
            </w:pPr>
            <w:r w:rsidRPr="003B355D">
              <w:rPr>
                <w:rFonts w:ascii="Arial Narrow" w:hAnsi="Arial Narrow" w:cs="Arial"/>
              </w:rPr>
              <w:t>259</w:t>
            </w:r>
          </w:p>
        </w:tc>
        <w:tc>
          <w:tcPr>
            <w:tcW w:w="703" w:type="pct"/>
            <w:vAlign w:val="center"/>
          </w:tcPr>
          <w:p w:rsidR="00223B4D" w:rsidRPr="003B355D" w:rsidRDefault="00223B4D" w:rsidP="0080299F">
            <w:pPr>
              <w:pStyle w:val="Tabletext"/>
              <w:spacing w:before="40" w:after="40"/>
              <w:jc w:val="center"/>
              <w:rPr>
                <w:rFonts w:ascii="Arial Narrow" w:hAnsi="Arial Narrow" w:cs="Arial"/>
              </w:rPr>
            </w:pPr>
            <w:r w:rsidRPr="003B355D">
              <w:rPr>
                <w:rFonts w:ascii="Arial Narrow" w:hAnsi="Arial Narrow" w:cs="Arial"/>
              </w:rPr>
              <w:t>1.5</w:t>
            </w:r>
          </w:p>
        </w:tc>
      </w:tr>
    </w:tbl>
    <w:p w:rsidR="00223B4D" w:rsidRPr="003B355D" w:rsidRDefault="00223B4D" w:rsidP="00223B4D">
      <w:pPr>
        <w:rPr>
          <w:rFonts w:ascii="Arial Narrow" w:hAnsi="Arial Narrow"/>
          <w:sz w:val="18"/>
          <w:szCs w:val="18"/>
        </w:rPr>
      </w:pPr>
      <w:r w:rsidRPr="003B355D">
        <w:rPr>
          <w:rFonts w:ascii="Arial Narrow" w:hAnsi="Arial Narrow"/>
          <w:sz w:val="18"/>
          <w:szCs w:val="18"/>
        </w:rPr>
        <w:t>Source: Table B.6.17, p.103 of the submission</w:t>
      </w:r>
    </w:p>
    <w:p w:rsidR="00223B4D" w:rsidRPr="003B355D" w:rsidRDefault="00223B4D" w:rsidP="00223B4D">
      <w:pPr>
        <w:rPr>
          <w:rFonts w:ascii="Arial Narrow" w:hAnsi="Arial Narrow"/>
          <w:sz w:val="18"/>
          <w:szCs w:val="18"/>
        </w:rPr>
      </w:pPr>
      <w:r w:rsidRPr="003B355D">
        <w:rPr>
          <w:rFonts w:ascii="Arial Narrow" w:hAnsi="Arial Narrow"/>
          <w:sz w:val="18"/>
          <w:szCs w:val="18"/>
        </w:rPr>
        <w:t>Abbreviations: FAS, full analysis set; MMRM, mixed model for repeated measurement</w:t>
      </w:r>
    </w:p>
    <w:p w:rsidR="00223B4D" w:rsidRPr="003B355D" w:rsidRDefault="00223B4D" w:rsidP="00223B4D">
      <w:pPr>
        <w:spacing w:after="240"/>
        <w:rPr>
          <w:rFonts w:ascii="Arial Narrow" w:hAnsi="Arial Narrow"/>
          <w:sz w:val="18"/>
          <w:szCs w:val="18"/>
          <w:vertAlign w:val="superscript"/>
        </w:rPr>
      </w:pPr>
      <w:proofErr w:type="gramStart"/>
      <w:r w:rsidRPr="003B355D">
        <w:rPr>
          <w:rFonts w:ascii="Arial Narrow" w:hAnsi="Arial Narrow"/>
          <w:sz w:val="18"/>
          <w:szCs w:val="18"/>
          <w:vertAlign w:val="superscript"/>
        </w:rPr>
        <w:t>a</w:t>
      </w:r>
      <w:proofErr w:type="gramEnd"/>
      <w:r w:rsidRPr="003B355D">
        <w:rPr>
          <w:rFonts w:ascii="Arial Narrow" w:hAnsi="Arial Narrow"/>
          <w:sz w:val="18"/>
          <w:szCs w:val="18"/>
        </w:rPr>
        <w:t xml:space="preserve"> 17822 patient years of observations; </w:t>
      </w:r>
      <w:r w:rsidRPr="003B355D">
        <w:rPr>
          <w:rFonts w:ascii="Arial Narrow" w:hAnsi="Arial Narrow"/>
          <w:sz w:val="18"/>
          <w:szCs w:val="18"/>
          <w:vertAlign w:val="superscript"/>
        </w:rPr>
        <w:t>b</w:t>
      </w:r>
      <w:r w:rsidRPr="003B355D">
        <w:rPr>
          <w:rFonts w:ascii="Arial Narrow" w:hAnsi="Arial Narrow"/>
          <w:sz w:val="18"/>
          <w:szCs w:val="18"/>
        </w:rPr>
        <w:t xml:space="preserve"> 17741 patient years of observations</w:t>
      </w:r>
    </w:p>
    <w:p w:rsidR="00223B4D" w:rsidRPr="003B355D" w:rsidRDefault="00CA3034" w:rsidP="002C3067">
      <w:pPr>
        <w:pStyle w:val="ESnumberedparablue"/>
        <w:numPr>
          <w:ilvl w:val="1"/>
          <w:numId w:val="34"/>
        </w:numPr>
        <w:rPr>
          <w:rFonts w:asciiTheme="minorHAnsi" w:hAnsiTheme="minorHAnsi"/>
          <w:color w:val="auto"/>
          <w:sz w:val="24"/>
          <w:szCs w:val="24"/>
        </w:rPr>
      </w:pPr>
      <w:r w:rsidRPr="003B355D">
        <w:rPr>
          <w:rFonts w:asciiTheme="minorHAnsi" w:hAnsiTheme="minorHAnsi"/>
          <w:color w:val="auto"/>
          <w:sz w:val="24"/>
          <w:szCs w:val="24"/>
        </w:rPr>
        <w:t>Similar</w:t>
      </w:r>
      <w:r w:rsidR="00EA68AA" w:rsidRPr="003B355D">
        <w:rPr>
          <w:rFonts w:asciiTheme="minorHAnsi" w:hAnsiTheme="minorHAnsi"/>
          <w:color w:val="auto"/>
          <w:sz w:val="24"/>
          <w:szCs w:val="24"/>
        </w:rPr>
        <w:t xml:space="preserve"> proportions of patients treated with liraglutide reported severe hypoglycaemia events compared to placebo. </w:t>
      </w:r>
      <w:r w:rsidRPr="003B355D">
        <w:rPr>
          <w:rFonts w:asciiTheme="minorHAnsi" w:hAnsiTheme="minorHAnsi"/>
          <w:color w:val="auto"/>
          <w:sz w:val="24"/>
          <w:szCs w:val="24"/>
        </w:rPr>
        <w:t>However</w:t>
      </w:r>
      <w:r w:rsidR="00EA68AA" w:rsidRPr="003B355D">
        <w:rPr>
          <w:rFonts w:asciiTheme="minorHAnsi" w:hAnsiTheme="minorHAnsi"/>
          <w:color w:val="auto"/>
          <w:sz w:val="24"/>
          <w:szCs w:val="24"/>
        </w:rPr>
        <w:t xml:space="preserve">, </w:t>
      </w:r>
      <w:r w:rsidR="00695A73" w:rsidRPr="003B355D">
        <w:rPr>
          <w:rFonts w:asciiTheme="minorHAnsi" w:hAnsiTheme="minorHAnsi"/>
          <w:color w:val="auto"/>
          <w:sz w:val="24"/>
          <w:szCs w:val="24"/>
        </w:rPr>
        <w:t>there were fewer severe hypoglycaemia events overall in the</w:t>
      </w:r>
      <w:r w:rsidR="00EA68AA" w:rsidRPr="003B355D">
        <w:rPr>
          <w:rFonts w:asciiTheme="minorHAnsi" w:hAnsiTheme="minorHAnsi"/>
          <w:color w:val="auto"/>
          <w:sz w:val="24"/>
          <w:szCs w:val="24"/>
        </w:rPr>
        <w:t xml:space="preserve"> liraglutide </w:t>
      </w:r>
      <w:r w:rsidR="00695A73" w:rsidRPr="003B355D">
        <w:rPr>
          <w:rFonts w:asciiTheme="minorHAnsi" w:hAnsiTheme="minorHAnsi"/>
          <w:color w:val="auto"/>
          <w:sz w:val="24"/>
          <w:szCs w:val="24"/>
        </w:rPr>
        <w:t xml:space="preserve">arm </w:t>
      </w:r>
      <w:r w:rsidR="00EA68AA" w:rsidRPr="003B355D">
        <w:rPr>
          <w:rFonts w:asciiTheme="minorHAnsi" w:hAnsiTheme="minorHAnsi"/>
          <w:color w:val="auto"/>
          <w:sz w:val="24"/>
          <w:szCs w:val="24"/>
        </w:rPr>
        <w:t>compared to placebo (estimated rate ratio 0.689, 95% CI [0.514, 0.925]).</w:t>
      </w:r>
      <w:r w:rsidR="008372E8" w:rsidRPr="003B355D">
        <w:rPr>
          <w:rFonts w:asciiTheme="minorHAnsi" w:hAnsiTheme="minorHAnsi"/>
          <w:color w:val="auto"/>
          <w:sz w:val="24"/>
          <w:szCs w:val="24"/>
        </w:rPr>
        <w:t xml:space="preserve"> The ESC </w:t>
      </w:r>
      <w:r w:rsidR="00086E9B" w:rsidRPr="003B355D">
        <w:rPr>
          <w:rFonts w:asciiTheme="minorHAnsi" w:hAnsiTheme="minorHAnsi"/>
          <w:color w:val="auto"/>
          <w:sz w:val="24"/>
          <w:szCs w:val="24"/>
        </w:rPr>
        <w:t>agreed that this was important given that patients taking liraglutide had lower H</w:t>
      </w:r>
      <w:r w:rsidR="004063E2" w:rsidRPr="003B355D">
        <w:rPr>
          <w:rFonts w:asciiTheme="minorHAnsi" w:hAnsiTheme="minorHAnsi"/>
          <w:color w:val="auto"/>
          <w:sz w:val="24"/>
          <w:szCs w:val="24"/>
        </w:rPr>
        <w:t>bA1c and would therefore expect higher incidence of hypoglycaemia events</w:t>
      </w:r>
      <w:r w:rsidR="00086E9B" w:rsidRPr="003B355D">
        <w:rPr>
          <w:rFonts w:asciiTheme="minorHAnsi" w:hAnsiTheme="minorHAnsi"/>
          <w:color w:val="auto"/>
          <w:sz w:val="24"/>
          <w:szCs w:val="24"/>
        </w:rPr>
        <w:t>.</w:t>
      </w:r>
    </w:p>
    <w:p w:rsidR="00CA3034" w:rsidRPr="003B355D" w:rsidRDefault="00CA3034" w:rsidP="002C3067">
      <w:pPr>
        <w:pStyle w:val="ESnumberedparablue"/>
        <w:numPr>
          <w:ilvl w:val="1"/>
          <w:numId w:val="34"/>
        </w:numPr>
        <w:rPr>
          <w:rFonts w:asciiTheme="minorHAnsi" w:hAnsiTheme="minorHAnsi"/>
          <w:color w:val="auto"/>
          <w:sz w:val="24"/>
          <w:szCs w:val="24"/>
        </w:rPr>
      </w:pPr>
      <w:r w:rsidRPr="003B355D">
        <w:rPr>
          <w:rFonts w:asciiTheme="minorHAnsi" w:hAnsiTheme="minorHAnsi"/>
          <w:color w:val="auto"/>
          <w:sz w:val="24"/>
          <w:szCs w:val="24"/>
        </w:rPr>
        <w:t xml:space="preserve">The analysis of severe hypoglycaemia events presented in the submission may have been skewed by outliers with poor glycaemic control contributing large numbers of events. In addition, given the exclusion of concomitant DPP4 and SGLT2 inhibitors in the LEADER trial </w:t>
      </w:r>
      <w:r w:rsidR="00493678" w:rsidRPr="003B355D">
        <w:rPr>
          <w:rFonts w:asciiTheme="minorHAnsi" w:hAnsiTheme="minorHAnsi"/>
          <w:color w:val="auto"/>
          <w:sz w:val="24"/>
          <w:szCs w:val="24"/>
        </w:rPr>
        <w:t xml:space="preserve">at trial entry </w:t>
      </w:r>
      <w:r w:rsidRPr="003B355D">
        <w:rPr>
          <w:rFonts w:asciiTheme="minorHAnsi" w:hAnsiTheme="minorHAnsi"/>
          <w:color w:val="auto"/>
          <w:sz w:val="24"/>
          <w:szCs w:val="24"/>
        </w:rPr>
        <w:t>and differences in insulin and sulfonylurea utilisation between the liraglutide and placebo treatment arms these results may not be applicable to the eligible Australian population.</w:t>
      </w:r>
    </w:p>
    <w:p w:rsidR="00EB5830" w:rsidRPr="003B355D" w:rsidRDefault="00EB5830" w:rsidP="002C3067">
      <w:pPr>
        <w:pStyle w:val="ESnumberedparablue"/>
        <w:numPr>
          <w:ilvl w:val="1"/>
          <w:numId w:val="34"/>
        </w:numPr>
        <w:rPr>
          <w:rFonts w:asciiTheme="minorHAnsi" w:hAnsiTheme="minorHAnsi"/>
          <w:color w:val="auto"/>
          <w:sz w:val="24"/>
          <w:szCs w:val="24"/>
        </w:rPr>
      </w:pPr>
      <w:r w:rsidRPr="003B355D">
        <w:rPr>
          <w:rFonts w:asciiTheme="minorHAnsi" w:hAnsiTheme="minorHAnsi"/>
          <w:color w:val="auto"/>
          <w:sz w:val="24"/>
          <w:szCs w:val="24"/>
        </w:rPr>
        <w:t xml:space="preserve">Table </w:t>
      </w:r>
      <w:r w:rsidR="000571F7" w:rsidRPr="003B355D">
        <w:rPr>
          <w:rFonts w:asciiTheme="minorHAnsi" w:hAnsiTheme="minorHAnsi"/>
          <w:color w:val="auto"/>
          <w:sz w:val="24"/>
          <w:szCs w:val="24"/>
        </w:rPr>
        <w:t>8</w:t>
      </w:r>
      <w:r w:rsidR="002A2F74" w:rsidRPr="003B355D">
        <w:rPr>
          <w:rFonts w:asciiTheme="minorHAnsi" w:hAnsiTheme="minorHAnsi"/>
          <w:color w:val="auto"/>
          <w:sz w:val="24"/>
          <w:szCs w:val="24"/>
        </w:rPr>
        <w:t xml:space="preserve"> </w:t>
      </w:r>
      <w:r w:rsidRPr="003B355D">
        <w:rPr>
          <w:rFonts w:asciiTheme="minorHAnsi" w:hAnsiTheme="minorHAnsi"/>
          <w:color w:val="auto"/>
          <w:sz w:val="24"/>
          <w:szCs w:val="24"/>
        </w:rPr>
        <w:t>summarises the results of the EQ-5D questionnaire, conducted at selected sites in the LEADER trial.</w:t>
      </w:r>
    </w:p>
    <w:p w:rsidR="00D453F1" w:rsidRDefault="00D453F1" w:rsidP="00D453F1">
      <w:pPr>
        <w:pStyle w:val="Caption"/>
      </w:pPr>
      <w:r>
        <w:t xml:space="preserve">Table </w:t>
      </w:r>
      <w:r>
        <w:rPr>
          <w:noProof/>
        </w:rPr>
        <w:t>8</w:t>
      </w:r>
      <w:r w:rsidRPr="00B2490D">
        <w:t>: Mean change in EQ-5D from baseline to 36 months/end of treatment (selected sites)</w:t>
      </w:r>
    </w:p>
    <w:tbl>
      <w:tblPr>
        <w:tblStyle w:val="TableGrid1"/>
        <w:tblW w:w="4923" w:type="pct"/>
        <w:tblInd w:w="80" w:type="dxa"/>
        <w:tblLook w:val="04A0" w:firstRow="1" w:lastRow="0" w:firstColumn="1" w:lastColumn="0" w:noHBand="0" w:noVBand="1"/>
        <w:tblCaption w:val="Mean change in EQ-5D from baseline to 36 months/end of treatment (selected sites)"/>
      </w:tblPr>
      <w:tblGrid>
        <w:gridCol w:w="794"/>
        <w:gridCol w:w="1110"/>
        <w:gridCol w:w="1110"/>
        <w:gridCol w:w="1112"/>
        <w:gridCol w:w="1110"/>
        <w:gridCol w:w="1110"/>
        <w:gridCol w:w="1114"/>
        <w:gridCol w:w="1640"/>
      </w:tblGrid>
      <w:tr w:rsidR="00EB5830" w:rsidRPr="003B355D" w:rsidTr="006B5926">
        <w:trPr>
          <w:tblHeader/>
        </w:trPr>
        <w:tc>
          <w:tcPr>
            <w:tcW w:w="436" w:type="pct"/>
            <w:vMerge w:val="restart"/>
            <w:vAlign w:val="center"/>
          </w:tcPr>
          <w:p w:rsidR="00EB5830" w:rsidRPr="003B355D" w:rsidRDefault="00EB5830" w:rsidP="0080299F">
            <w:pPr>
              <w:spacing w:before="40" w:after="40"/>
              <w:ind w:left="-80"/>
              <w:jc w:val="left"/>
              <w:rPr>
                <w:rFonts w:ascii="Arial Narrow" w:hAnsi="Arial Narrow"/>
                <w:b/>
                <w:sz w:val="20"/>
              </w:rPr>
            </w:pPr>
            <w:r w:rsidRPr="003B355D">
              <w:rPr>
                <w:rFonts w:ascii="Arial Narrow" w:hAnsi="Arial Narrow"/>
                <w:b/>
                <w:sz w:val="20"/>
              </w:rPr>
              <w:t>Trial</w:t>
            </w:r>
          </w:p>
        </w:tc>
        <w:tc>
          <w:tcPr>
            <w:tcW w:w="1831" w:type="pct"/>
            <w:gridSpan w:val="3"/>
            <w:tcBorders>
              <w:bottom w:val="single" w:sz="4" w:space="0" w:color="auto"/>
            </w:tcBorders>
            <w:vAlign w:val="center"/>
          </w:tcPr>
          <w:p w:rsidR="00EB5830" w:rsidRPr="003B355D" w:rsidRDefault="00EB5830" w:rsidP="0080299F">
            <w:pPr>
              <w:spacing w:before="40" w:after="40"/>
              <w:jc w:val="center"/>
              <w:rPr>
                <w:rFonts w:ascii="Arial Narrow" w:hAnsi="Arial Narrow"/>
                <w:b/>
                <w:sz w:val="20"/>
              </w:rPr>
            </w:pPr>
            <w:r w:rsidRPr="003B355D">
              <w:rPr>
                <w:rFonts w:ascii="Arial Narrow" w:hAnsi="Arial Narrow"/>
                <w:b/>
                <w:sz w:val="20"/>
              </w:rPr>
              <w:t>Liraglutide</w:t>
            </w:r>
            <w:r w:rsidR="0080299F" w:rsidRPr="003B355D">
              <w:rPr>
                <w:rFonts w:ascii="Arial Narrow" w:hAnsi="Arial Narrow"/>
                <w:b/>
                <w:sz w:val="20"/>
              </w:rPr>
              <w:t xml:space="preserve"> (</w:t>
            </w:r>
            <w:r w:rsidRPr="003B355D">
              <w:rPr>
                <w:rFonts w:ascii="Arial Narrow" w:hAnsi="Arial Narrow"/>
                <w:b/>
                <w:sz w:val="20"/>
              </w:rPr>
              <w:t>N=1523</w:t>
            </w:r>
            <w:r w:rsidR="0080299F" w:rsidRPr="003B355D">
              <w:rPr>
                <w:rFonts w:ascii="Arial Narrow" w:hAnsi="Arial Narrow"/>
                <w:b/>
                <w:sz w:val="20"/>
              </w:rPr>
              <w:t>)</w:t>
            </w:r>
          </w:p>
        </w:tc>
        <w:tc>
          <w:tcPr>
            <w:tcW w:w="1832" w:type="pct"/>
            <w:gridSpan w:val="3"/>
            <w:tcBorders>
              <w:bottom w:val="single" w:sz="4" w:space="0" w:color="auto"/>
            </w:tcBorders>
            <w:vAlign w:val="center"/>
          </w:tcPr>
          <w:p w:rsidR="00EB5830" w:rsidRPr="003B355D" w:rsidRDefault="00EB5830" w:rsidP="0080299F">
            <w:pPr>
              <w:spacing w:before="40" w:after="40"/>
              <w:jc w:val="center"/>
              <w:rPr>
                <w:rFonts w:ascii="Arial Narrow" w:hAnsi="Arial Narrow"/>
                <w:b/>
                <w:sz w:val="20"/>
              </w:rPr>
            </w:pPr>
            <w:r w:rsidRPr="003B355D">
              <w:rPr>
                <w:rFonts w:ascii="Arial Narrow" w:hAnsi="Arial Narrow"/>
                <w:b/>
                <w:sz w:val="20"/>
              </w:rPr>
              <w:t>Placebo</w:t>
            </w:r>
            <w:r w:rsidR="0080299F" w:rsidRPr="003B355D">
              <w:rPr>
                <w:rFonts w:ascii="Arial Narrow" w:hAnsi="Arial Narrow"/>
                <w:b/>
                <w:sz w:val="20"/>
              </w:rPr>
              <w:t xml:space="preserve"> (</w:t>
            </w:r>
            <w:r w:rsidRPr="003B355D">
              <w:rPr>
                <w:rFonts w:ascii="Arial Narrow" w:hAnsi="Arial Narrow"/>
                <w:b/>
                <w:sz w:val="20"/>
              </w:rPr>
              <w:t>N=1534</w:t>
            </w:r>
            <w:r w:rsidR="0080299F" w:rsidRPr="003B355D">
              <w:rPr>
                <w:rFonts w:ascii="Arial Narrow" w:hAnsi="Arial Narrow"/>
                <w:b/>
                <w:sz w:val="20"/>
              </w:rPr>
              <w:t>)</w:t>
            </w:r>
          </w:p>
        </w:tc>
        <w:tc>
          <w:tcPr>
            <w:tcW w:w="901" w:type="pct"/>
            <w:vMerge w:val="restart"/>
            <w:vAlign w:val="center"/>
          </w:tcPr>
          <w:p w:rsidR="00EB5830" w:rsidRPr="003B355D" w:rsidRDefault="00EB5830" w:rsidP="0080299F">
            <w:pPr>
              <w:spacing w:before="40" w:after="40"/>
              <w:ind w:left="-80"/>
              <w:jc w:val="center"/>
              <w:rPr>
                <w:rFonts w:ascii="Arial Narrow" w:hAnsi="Arial Narrow"/>
                <w:b/>
                <w:sz w:val="20"/>
              </w:rPr>
            </w:pPr>
            <w:r w:rsidRPr="003B355D">
              <w:rPr>
                <w:rFonts w:ascii="Arial Narrow" w:hAnsi="Arial Narrow"/>
                <w:b/>
                <w:sz w:val="20"/>
              </w:rPr>
              <w:t>Mean difference</w:t>
            </w:r>
          </w:p>
          <w:p w:rsidR="00EB5830" w:rsidRPr="003B355D" w:rsidRDefault="00EB5830" w:rsidP="0080299F">
            <w:pPr>
              <w:spacing w:before="40" w:after="40"/>
              <w:ind w:left="-80"/>
              <w:jc w:val="center"/>
              <w:rPr>
                <w:rFonts w:ascii="Arial Narrow" w:hAnsi="Arial Narrow"/>
                <w:b/>
                <w:sz w:val="20"/>
              </w:rPr>
            </w:pPr>
            <w:r w:rsidRPr="003B355D">
              <w:rPr>
                <w:rFonts w:ascii="Arial Narrow" w:hAnsi="Arial Narrow"/>
                <w:b/>
                <w:sz w:val="20"/>
              </w:rPr>
              <w:t>(95% CI)</w:t>
            </w:r>
          </w:p>
        </w:tc>
      </w:tr>
      <w:tr w:rsidR="00EB5830" w:rsidRPr="003B355D" w:rsidTr="006B5926">
        <w:trPr>
          <w:tblHeader/>
        </w:trPr>
        <w:tc>
          <w:tcPr>
            <w:tcW w:w="436" w:type="pct"/>
            <w:vMerge/>
            <w:tcBorders>
              <w:bottom w:val="single" w:sz="4" w:space="0" w:color="auto"/>
            </w:tcBorders>
            <w:vAlign w:val="center"/>
          </w:tcPr>
          <w:p w:rsidR="00EB5830" w:rsidRPr="003B355D" w:rsidRDefault="00EB5830" w:rsidP="0080299F">
            <w:pPr>
              <w:spacing w:before="40" w:after="40"/>
              <w:ind w:left="-80"/>
              <w:jc w:val="left"/>
              <w:rPr>
                <w:rFonts w:ascii="Arial Narrow" w:hAnsi="Arial Narrow"/>
                <w:b/>
                <w:sz w:val="20"/>
              </w:rPr>
            </w:pPr>
          </w:p>
        </w:tc>
        <w:tc>
          <w:tcPr>
            <w:tcW w:w="610" w:type="pct"/>
            <w:tcBorders>
              <w:bottom w:val="single" w:sz="4" w:space="0" w:color="auto"/>
            </w:tcBorders>
            <w:vAlign w:val="center"/>
          </w:tcPr>
          <w:p w:rsidR="00EB5830" w:rsidRPr="003B355D" w:rsidRDefault="00EB5830" w:rsidP="0080299F">
            <w:pPr>
              <w:spacing w:before="40" w:after="40"/>
              <w:ind w:left="-90" w:right="-105"/>
              <w:jc w:val="center"/>
              <w:rPr>
                <w:rFonts w:ascii="Arial Narrow" w:hAnsi="Arial Narrow"/>
                <w:b/>
                <w:sz w:val="20"/>
              </w:rPr>
            </w:pPr>
            <w:r w:rsidRPr="003B355D">
              <w:rPr>
                <w:rFonts w:ascii="Arial Narrow" w:hAnsi="Arial Narrow"/>
                <w:b/>
                <w:sz w:val="20"/>
              </w:rPr>
              <w:t xml:space="preserve">Reporting </w:t>
            </w:r>
          </w:p>
          <w:p w:rsidR="00EB5830" w:rsidRPr="003B355D" w:rsidRDefault="00EB5830" w:rsidP="0080299F">
            <w:pPr>
              <w:spacing w:before="40" w:after="40"/>
              <w:ind w:left="-90" w:right="-105"/>
              <w:jc w:val="center"/>
              <w:rPr>
                <w:rFonts w:ascii="Arial Narrow" w:hAnsi="Arial Narrow"/>
                <w:b/>
                <w:sz w:val="20"/>
              </w:rPr>
            </w:pPr>
            <w:proofErr w:type="gramStart"/>
            <w:r w:rsidRPr="003B355D">
              <w:rPr>
                <w:rFonts w:ascii="Arial Narrow" w:hAnsi="Arial Narrow"/>
                <w:b/>
                <w:sz w:val="20"/>
              </w:rPr>
              <w:t>n</w:t>
            </w:r>
            <w:proofErr w:type="gramEnd"/>
            <w:r w:rsidRPr="003B355D">
              <w:rPr>
                <w:rFonts w:ascii="Arial Narrow" w:hAnsi="Arial Narrow"/>
                <w:b/>
                <w:sz w:val="20"/>
              </w:rPr>
              <w:t xml:space="preserve"> (%)</w:t>
            </w:r>
          </w:p>
        </w:tc>
        <w:tc>
          <w:tcPr>
            <w:tcW w:w="610" w:type="pct"/>
            <w:tcBorders>
              <w:bottom w:val="single" w:sz="4" w:space="0" w:color="auto"/>
            </w:tcBorders>
            <w:vAlign w:val="center"/>
          </w:tcPr>
          <w:p w:rsidR="00EB5830" w:rsidRPr="003B355D" w:rsidRDefault="00EB5830" w:rsidP="0080299F">
            <w:pPr>
              <w:spacing w:before="40" w:after="40"/>
              <w:ind w:left="-90" w:right="-105"/>
              <w:jc w:val="center"/>
              <w:rPr>
                <w:rFonts w:ascii="Arial Narrow" w:hAnsi="Arial Narrow"/>
                <w:b/>
                <w:sz w:val="20"/>
              </w:rPr>
            </w:pPr>
            <w:r w:rsidRPr="003B355D">
              <w:rPr>
                <w:rFonts w:ascii="Arial Narrow" w:hAnsi="Arial Narrow"/>
                <w:b/>
                <w:sz w:val="20"/>
              </w:rPr>
              <w:t xml:space="preserve">Baseline </w:t>
            </w:r>
          </w:p>
          <w:p w:rsidR="00EB5830" w:rsidRPr="003B355D" w:rsidRDefault="00EB5830" w:rsidP="0080299F">
            <w:pPr>
              <w:spacing w:before="40" w:after="40"/>
              <w:ind w:left="-90" w:right="-105"/>
              <w:jc w:val="center"/>
              <w:rPr>
                <w:rFonts w:ascii="Arial Narrow" w:hAnsi="Arial Narrow"/>
                <w:b/>
                <w:sz w:val="20"/>
              </w:rPr>
            </w:pPr>
            <w:r w:rsidRPr="003B355D">
              <w:rPr>
                <w:rFonts w:ascii="Arial Narrow" w:hAnsi="Arial Narrow"/>
                <w:b/>
                <w:sz w:val="20"/>
              </w:rPr>
              <w:t>EQ-5D (SD)</w:t>
            </w:r>
          </w:p>
        </w:tc>
        <w:tc>
          <w:tcPr>
            <w:tcW w:w="611" w:type="pct"/>
            <w:tcBorders>
              <w:bottom w:val="single" w:sz="4" w:space="0" w:color="auto"/>
            </w:tcBorders>
            <w:vAlign w:val="center"/>
          </w:tcPr>
          <w:p w:rsidR="00EB5830" w:rsidRPr="003B355D" w:rsidRDefault="00EB5830" w:rsidP="0080299F">
            <w:pPr>
              <w:spacing w:before="40" w:after="40"/>
              <w:ind w:left="-90" w:right="-105"/>
              <w:jc w:val="center"/>
              <w:rPr>
                <w:rFonts w:ascii="Arial Narrow" w:hAnsi="Arial Narrow"/>
                <w:b/>
                <w:sz w:val="20"/>
              </w:rPr>
            </w:pPr>
            <w:r w:rsidRPr="003B355D">
              <w:rPr>
                <w:rFonts w:ascii="Arial Narrow" w:hAnsi="Arial Narrow"/>
                <w:b/>
                <w:sz w:val="20"/>
              </w:rPr>
              <w:t>Mean change EQ-5D</w:t>
            </w:r>
          </w:p>
        </w:tc>
        <w:tc>
          <w:tcPr>
            <w:tcW w:w="610" w:type="pct"/>
            <w:tcBorders>
              <w:bottom w:val="single" w:sz="4" w:space="0" w:color="auto"/>
            </w:tcBorders>
            <w:vAlign w:val="center"/>
          </w:tcPr>
          <w:p w:rsidR="00EB5830" w:rsidRPr="003B355D" w:rsidRDefault="00EB5830" w:rsidP="0080299F">
            <w:pPr>
              <w:spacing w:before="40" w:after="40"/>
              <w:ind w:left="-90" w:right="-105"/>
              <w:jc w:val="center"/>
              <w:rPr>
                <w:rFonts w:ascii="Arial Narrow" w:hAnsi="Arial Narrow"/>
                <w:b/>
                <w:sz w:val="20"/>
              </w:rPr>
            </w:pPr>
            <w:r w:rsidRPr="003B355D">
              <w:rPr>
                <w:rFonts w:ascii="Arial Narrow" w:hAnsi="Arial Narrow"/>
                <w:b/>
                <w:sz w:val="20"/>
              </w:rPr>
              <w:t>Reporting</w:t>
            </w:r>
          </w:p>
          <w:p w:rsidR="00EB5830" w:rsidRPr="003B355D" w:rsidRDefault="00EB5830" w:rsidP="0080299F">
            <w:pPr>
              <w:spacing w:before="40" w:after="40"/>
              <w:ind w:left="-90" w:right="-105"/>
              <w:jc w:val="center"/>
              <w:rPr>
                <w:rFonts w:ascii="Arial Narrow" w:hAnsi="Arial Narrow"/>
                <w:b/>
                <w:sz w:val="20"/>
              </w:rPr>
            </w:pPr>
            <w:r w:rsidRPr="003B355D">
              <w:rPr>
                <w:rFonts w:ascii="Arial Narrow" w:hAnsi="Arial Narrow"/>
                <w:b/>
                <w:sz w:val="20"/>
              </w:rPr>
              <w:t xml:space="preserve"> </w:t>
            </w:r>
            <w:proofErr w:type="gramStart"/>
            <w:r w:rsidRPr="003B355D">
              <w:rPr>
                <w:rFonts w:ascii="Arial Narrow" w:hAnsi="Arial Narrow"/>
                <w:b/>
                <w:sz w:val="20"/>
              </w:rPr>
              <w:t>n</w:t>
            </w:r>
            <w:proofErr w:type="gramEnd"/>
            <w:r w:rsidRPr="003B355D">
              <w:rPr>
                <w:rFonts w:ascii="Arial Narrow" w:hAnsi="Arial Narrow"/>
                <w:b/>
                <w:sz w:val="20"/>
              </w:rPr>
              <w:t xml:space="preserve"> (%)</w:t>
            </w:r>
          </w:p>
        </w:tc>
        <w:tc>
          <w:tcPr>
            <w:tcW w:w="610" w:type="pct"/>
            <w:tcBorders>
              <w:bottom w:val="single" w:sz="4" w:space="0" w:color="auto"/>
            </w:tcBorders>
            <w:vAlign w:val="center"/>
          </w:tcPr>
          <w:p w:rsidR="00EB5830" w:rsidRPr="003B355D" w:rsidRDefault="00EB5830" w:rsidP="0080299F">
            <w:pPr>
              <w:spacing w:before="40" w:after="40"/>
              <w:ind w:left="-90" w:right="-105"/>
              <w:jc w:val="center"/>
              <w:rPr>
                <w:rFonts w:ascii="Arial Narrow" w:hAnsi="Arial Narrow"/>
                <w:b/>
                <w:sz w:val="20"/>
              </w:rPr>
            </w:pPr>
            <w:r w:rsidRPr="003B355D">
              <w:rPr>
                <w:rFonts w:ascii="Arial Narrow" w:hAnsi="Arial Narrow"/>
                <w:b/>
                <w:sz w:val="20"/>
              </w:rPr>
              <w:t xml:space="preserve">Baseline </w:t>
            </w:r>
          </w:p>
          <w:p w:rsidR="00EB5830" w:rsidRPr="003B355D" w:rsidRDefault="00EB5830" w:rsidP="0080299F">
            <w:pPr>
              <w:spacing w:before="40" w:after="40"/>
              <w:ind w:left="-90" w:right="-105"/>
              <w:jc w:val="center"/>
              <w:rPr>
                <w:rFonts w:ascii="Arial Narrow" w:hAnsi="Arial Narrow"/>
                <w:b/>
                <w:sz w:val="20"/>
              </w:rPr>
            </w:pPr>
            <w:r w:rsidRPr="003B355D">
              <w:rPr>
                <w:rFonts w:ascii="Arial Narrow" w:hAnsi="Arial Narrow"/>
                <w:b/>
                <w:sz w:val="20"/>
              </w:rPr>
              <w:t>EQ-5D (SD)</w:t>
            </w:r>
          </w:p>
        </w:tc>
        <w:tc>
          <w:tcPr>
            <w:tcW w:w="612" w:type="pct"/>
            <w:tcBorders>
              <w:bottom w:val="single" w:sz="4" w:space="0" w:color="auto"/>
            </w:tcBorders>
            <w:vAlign w:val="center"/>
          </w:tcPr>
          <w:p w:rsidR="00EB5830" w:rsidRPr="003B355D" w:rsidRDefault="00EB5830" w:rsidP="0080299F">
            <w:pPr>
              <w:spacing w:before="40" w:after="40"/>
              <w:ind w:left="-90" w:right="-105"/>
              <w:jc w:val="center"/>
              <w:rPr>
                <w:rFonts w:ascii="Arial Narrow" w:hAnsi="Arial Narrow"/>
                <w:b/>
                <w:sz w:val="20"/>
              </w:rPr>
            </w:pPr>
            <w:r w:rsidRPr="003B355D">
              <w:rPr>
                <w:rFonts w:ascii="Arial Narrow" w:hAnsi="Arial Narrow"/>
                <w:b/>
                <w:sz w:val="20"/>
              </w:rPr>
              <w:t>Mean change EQ-5D</w:t>
            </w:r>
          </w:p>
        </w:tc>
        <w:tc>
          <w:tcPr>
            <w:tcW w:w="901" w:type="pct"/>
            <w:vMerge/>
            <w:tcBorders>
              <w:bottom w:val="single" w:sz="4" w:space="0" w:color="auto"/>
            </w:tcBorders>
            <w:vAlign w:val="center"/>
          </w:tcPr>
          <w:p w:rsidR="00EB5830" w:rsidRPr="003B355D" w:rsidRDefault="00EB5830" w:rsidP="0080299F">
            <w:pPr>
              <w:spacing w:before="40" w:after="40"/>
              <w:ind w:left="-90" w:right="-105"/>
              <w:jc w:val="center"/>
              <w:rPr>
                <w:rFonts w:ascii="Arial Narrow" w:hAnsi="Arial Narrow"/>
                <w:b/>
                <w:sz w:val="20"/>
              </w:rPr>
            </w:pPr>
          </w:p>
        </w:tc>
      </w:tr>
      <w:tr w:rsidR="00EB5830" w:rsidRPr="003B355D" w:rsidTr="00260327">
        <w:trPr>
          <w:trHeight w:val="70"/>
        </w:trPr>
        <w:tc>
          <w:tcPr>
            <w:tcW w:w="436" w:type="pct"/>
            <w:vAlign w:val="center"/>
          </w:tcPr>
          <w:p w:rsidR="00EB5830" w:rsidRPr="003B355D" w:rsidRDefault="00EB5830" w:rsidP="0080299F">
            <w:pPr>
              <w:spacing w:before="40" w:after="40"/>
              <w:ind w:left="-80"/>
              <w:rPr>
                <w:rFonts w:ascii="Arial Narrow" w:hAnsi="Arial Narrow"/>
                <w:sz w:val="20"/>
              </w:rPr>
            </w:pPr>
            <w:r w:rsidRPr="003B355D">
              <w:rPr>
                <w:rFonts w:ascii="Arial Narrow" w:hAnsi="Arial Narrow"/>
                <w:sz w:val="20"/>
              </w:rPr>
              <w:t>LEADER</w:t>
            </w:r>
          </w:p>
        </w:tc>
        <w:tc>
          <w:tcPr>
            <w:tcW w:w="610" w:type="pct"/>
            <w:vAlign w:val="center"/>
          </w:tcPr>
          <w:p w:rsidR="00EB5830" w:rsidRPr="003B355D" w:rsidRDefault="00EB5830" w:rsidP="0080299F">
            <w:pPr>
              <w:spacing w:before="40" w:after="40"/>
              <w:ind w:left="-90" w:right="-80"/>
              <w:jc w:val="center"/>
              <w:rPr>
                <w:rFonts w:ascii="Arial Narrow" w:hAnsi="Arial Narrow"/>
                <w:sz w:val="20"/>
              </w:rPr>
            </w:pPr>
            <w:r w:rsidRPr="003B355D">
              <w:rPr>
                <w:rFonts w:ascii="Arial Narrow" w:hAnsi="Arial Narrow"/>
                <w:sz w:val="20"/>
              </w:rPr>
              <w:t>1496 (98.2%)</w:t>
            </w:r>
          </w:p>
        </w:tc>
        <w:tc>
          <w:tcPr>
            <w:tcW w:w="610" w:type="pct"/>
            <w:vAlign w:val="center"/>
          </w:tcPr>
          <w:p w:rsidR="00EB5830" w:rsidRPr="003B355D" w:rsidRDefault="00EB5830" w:rsidP="0080299F">
            <w:pPr>
              <w:spacing w:before="40" w:after="40"/>
              <w:ind w:left="-90" w:right="-80"/>
              <w:jc w:val="center"/>
              <w:rPr>
                <w:rFonts w:ascii="Arial Narrow" w:hAnsi="Arial Narrow"/>
                <w:sz w:val="20"/>
              </w:rPr>
            </w:pPr>
            <w:r w:rsidRPr="003B355D">
              <w:rPr>
                <w:rFonts w:ascii="Arial Narrow" w:hAnsi="Arial Narrow"/>
                <w:sz w:val="20"/>
              </w:rPr>
              <w:t>0.8 (0.2)</w:t>
            </w:r>
          </w:p>
        </w:tc>
        <w:tc>
          <w:tcPr>
            <w:tcW w:w="611" w:type="pct"/>
            <w:vAlign w:val="center"/>
          </w:tcPr>
          <w:p w:rsidR="00EB5830" w:rsidRPr="003B355D" w:rsidRDefault="00EB5830" w:rsidP="0080299F">
            <w:pPr>
              <w:spacing w:before="40" w:after="40"/>
              <w:ind w:left="-90" w:right="-80"/>
              <w:jc w:val="center"/>
              <w:rPr>
                <w:rFonts w:ascii="Arial Narrow" w:hAnsi="Arial Narrow"/>
                <w:sz w:val="20"/>
              </w:rPr>
            </w:pPr>
            <w:r w:rsidRPr="003B355D">
              <w:rPr>
                <w:rFonts w:ascii="Arial Narrow" w:hAnsi="Arial Narrow"/>
                <w:sz w:val="20"/>
              </w:rPr>
              <w:t>-0.027</w:t>
            </w:r>
          </w:p>
        </w:tc>
        <w:tc>
          <w:tcPr>
            <w:tcW w:w="610" w:type="pct"/>
            <w:vAlign w:val="center"/>
          </w:tcPr>
          <w:p w:rsidR="00EB5830" w:rsidRPr="003B355D" w:rsidRDefault="00EB5830" w:rsidP="0080299F">
            <w:pPr>
              <w:spacing w:before="40" w:after="40"/>
              <w:ind w:left="-90" w:right="-80"/>
              <w:jc w:val="center"/>
              <w:rPr>
                <w:rFonts w:ascii="Arial Narrow" w:hAnsi="Arial Narrow"/>
                <w:sz w:val="20"/>
              </w:rPr>
            </w:pPr>
            <w:r w:rsidRPr="003B355D">
              <w:rPr>
                <w:rFonts w:ascii="Arial Narrow" w:hAnsi="Arial Narrow"/>
                <w:sz w:val="20"/>
              </w:rPr>
              <w:t>1500 (97.8%)</w:t>
            </w:r>
          </w:p>
        </w:tc>
        <w:tc>
          <w:tcPr>
            <w:tcW w:w="610" w:type="pct"/>
            <w:vAlign w:val="center"/>
          </w:tcPr>
          <w:p w:rsidR="00EB5830" w:rsidRPr="003B355D" w:rsidRDefault="00EB5830" w:rsidP="0080299F">
            <w:pPr>
              <w:spacing w:before="40" w:after="40"/>
              <w:ind w:left="-90" w:right="-80"/>
              <w:jc w:val="center"/>
              <w:rPr>
                <w:rFonts w:ascii="Arial Narrow" w:hAnsi="Arial Narrow"/>
                <w:sz w:val="20"/>
              </w:rPr>
            </w:pPr>
            <w:r w:rsidRPr="003B355D">
              <w:rPr>
                <w:rFonts w:ascii="Arial Narrow" w:hAnsi="Arial Narrow"/>
                <w:sz w:val="20"/>
              </w:rPr>
              <w:t>0.8 (0.2)</w:t>
            </w:r>
          </w:p>
        </w:tc>
        <w:tc>
          <w:tcPr>
            <w:tcW w:w="612" w:type="pct"/>
            <w:vAlign w:val="center"/>
          </w:tcPr>
          <w:p w:rsidR="00EB5830" w:rsidRPr="003B355D" w:rsidRDefault="00EB5830" w:rsidP="0080299F">
            <w:pPr>
              <w:spacing w:before="40" w:after="40"/>
              <w:ind w:left="-90" w:right="-80"/>
              <w:jc w:val="center"/>
              <w:rPr>
                <w:rFonts w:ascii="Arial Narrow" w:hAnsi="Arial Narrow"/>
                <w:sz w:val="20"/>
              </w:rPr>
            </w:pPr>
            <w:r w:rsidRPr="003B355D">
              <w:rPr>
                <w:rFonts w:ascii="Arial Narrow" w:hAnsi="Arial Narrow"/>
                <w:sz w:val="20"/>
              </w:rPr>
              <w:t>-0.046</w:t>
            </w:r>
          </w:p>
        </w:tc>
        <w:tc>
          <w:tcPr>
            <w:tcW w:w="901" w:type="pct"/>
            <w:vAlign w:val="center"/>
          </w:tcPr>
          <w:p w:rsidR="00EB5830" w:rsidRPr="003B355D" w:rsidRDefault="00EB5830" w:rsidP="0080299F">
            <w:pPr>
              <w:spacing w:before="40" w:after="40"/>
              <w:ind w:left="-90" w:right="-80"/>
              <w:jc w:val="center"/>
              <w:rPr>
                <w:rFonts w:ascii="Arial Narrow" w:hAnsi="Arial Narrow"/>
                <w:b/>
                <w:sz w:val="20"/>
              </w:rPr>
            </w:pPr>
            <w:r w:rsidRPr="003B355D">
              <w:rPr>
                <w:rFonts w:ascii="Arial Narrow" w:hAnsi="Arial Narrow"/>
                <w:b/>
                <w:sz w:val="20"/>
              </w:rPr>
              <w:t>0.018 (0.001, 0.035)</w:t>
            </w:r>
          </w:p>
        </w:tc>
      </w:tr>
    </w:tbl>
    <w:p w:rsidR="00EB5830" w:rsidRPr="003B355D" w:rsidRDefault="00EB5830" w:rsidP="00EB5830">
      <w:pPr>
        <w:rPr>
          <w:rFonts w:ascii="Arial Narrow" w:hAnsi="Arial Narrow"/>
          <w:sz w:val="18"/>
          <w:szCs w:val="18"/>
        </w:rPr>
      </w:pPr>
      <w:r w:rsidRPr="003B355D">
        <w:rPr>
          <w:rFonts w:ascii="Arial Narrow" w:hAnsi="Arial Narrow"/>
          <w:sz w:val="18"/>
          <w:szCs w:val="18"/>
        </w:rPr>
        <w:t>Source: Table B.6.7, p.91 of the submission. Statistically significant results in bold</w:t>
      </w:r>
    </w:p>
    <w:p w:rsidR="00EB5830" w:rsidRPr="003B355D" w:rsidRDefault="00EB5830" w:rsidP="00EB5830">
      <w:pPr>
        <w:spacing w:after="240"/>
        <w:rPr>
          <w:rFonts w:ascii="Arial Narrow" w:hAnsi="Arial Narrow"/>
          <w:sz w:val="18"/>
          <w:szCs w:val="18"/>
        </w:rPr>
      </w:pPr>
      <w:r w:rsidRPr="003B355D">
        <w:rPr>
          <w:rFonts w:ascii="Arial Narrow" w:hAnsi="Arial Narrow"/>
          <w:sz w:val="18"/>
          <w:szCs w:val="18"/>
        </w:rPr>
        <w:t>Note: EQ-5D data from 10/32 selected sites only - Canada, Denmark, Germany, Ireland, Italy, Netherlands, Spain, Sweden, UK and USA</w:t>
      </w:r>
    </w:p>
    <w:p w:rsidR="00EB5830" w:rsidRPr="003B355D" w:rsidRDefault="00EB5830" w:rsidP="002C3067">
      <w:pPr>
        <w:pStyle w:val="ESnumberedparablue"/>
        <w:numPr>
          <w:ilvl w:val="1"/>
          <w:numId w:val="34"/>
        </w:numPr>
        <w:rPr>
          <w:rFonts w:asciiTheme="minorHAnsi" w:hAnsiTheme="minorHAnsi"/>
          <w:color w:val="auto"/>
          <w:sz w:val="24"/>
          <w:szCs w:val="24"/>
          <w:lang w:eastAsia="zh-CN"/>
        </w:rPr>
      </w:pPr>
      <w:r w:rsidRPr="003B355D">
        <w:rPr>
          <w:rFonts w:asciiTheme="minorHAnsi" w:hAnsiTheme="minorHAnsi"/>
          <w:color w:val="auto"/>
          <w:sz w:val="24"/>
          <w:szCs w:val="24"/>
          <w:lang w:eastAsia="zh-CN"/>
        </w:rPr>
        <w:t>The difference in mean change in EQ-5D from baseline was statistically significant in favour of liraglutide, but the difference was small and may not be clinically important.</w:t>
      </w:r>
    </w:p>
    <w:p w:rsidR="00137F8D" w:rsidRPr="003B355D" w:rsidRDefault="00137F8D" w:rsidP="001F6B1E">
      <w:pPr>
        <w:pStyle w:val="Heading2"/>
        <w:spacing w:before="120" w:after="160"/>
        <w:rPr>
          <w:rFonts w:asciiTheme="minorHAnsi" w:eastAsiaTheme="majorEastAsia" w:hAnsiTheme="minorHAnsi"/>
          <w:i/>
          <w:snapToGrid/>
          <w:sz w:val="24"/>
          <w:szCs w:val="24"/>
        </w:rPr>
      </w:pPr>
      <w:bookmarkStart w:id="27" w:name="_Toc482048977"/>
      <w:r w:rsidRPr="003B355D">
        <w:rPr>
          <w:rFonts w:asciiTheme="minorHAnsi" w:eastAsiaTheme="majorEastAsia" w:hAnsiTheme="minorHAnsi"/>
          <w:i/>
          <w:snapToGrid/>
          <w:sz w:val="24"/>
          <w:szCs w:val="24"/>
        </w:rPr>
        <w:t>Comparative harms</w:t>
      </w:r>
      <w:bookmarkEnd w:id="25"/>
      <w:bookmarkEnd w:id="26"/>
      <w:bookmarkEnd w:id="27"/>
    </w:p>
    <w:p w:rsidR="00137F8D" w:rsidRPr="003B355D" w:rsidRDefault="00EB5830" w:rsidP="002C3067">
      <w:pPr>
        <w:pStyle w:val="ESnumberedparablue"/>
        <w:numPr>
          <w:ilvl w:val="1"/>
          <w:numId w:val="34"/>
        </w:numPr>
        <w:rPr>
          <w:rFonts w:asciiTheme="minorHAnsi" w:hAnsiTheme="minorHAnsi"/>
          <w:color w:val="auto"/>
          <w:sz w:val="24"/>
          <w:szCs w:val="24"/>
        </w:rPr>
      </w:pPr>
      <w:r w:rsidRPr="003B355D">
        <w:rPr>
          <w:rFonts w:asciiTheme="minorHAnsi" w:hAnsiTheme="minorHAnsi"/>
          <w:color w:val="auto"/>
          <w:sz w:val="24"/>
          <w:szCs w:val="24"/>
          <w:lang w:eastAsia="zh-CN"/>
        </w:rPr>
        <w:t xml:space="preserve">The proportions of patients reporting any adverse event, serious adverse events or medical events of special interest (MESI) were similar between liraglutide and placebo (standard care). More deaths were reported in patients treated with </w:t>
      </w:r>
      <w:r w:rsidRPr="003B355D">
        <w:rPr>
          <w:rFonts w:asciiTheme="minorHAnsi" w:hAnsiTheme="minorHAnsi"/>
          <w:color w:val="auto"/>
          <w:sz w:val="24"/>
          <w:szCs w:val="24"/>
          <w:lang w:eastAsia="zh-CN"/>
        </w:rPr>
        <w:lastRenderedPageBreak/>
        <w:t>placebo compared to liraglutide, consistent with the proportions of cardiovascular deaths observed in the primary composite outcome (MACE). Statistically significantly larger proportions of patients treated with liraglutide reported adverse events leading to discontinuations.</w:t>
      </w:r>
    </w:p>
    <w:p w:rsidR="00EB5830" w:rsidRPr="003B355D" w:rsidRDefault="00EB5830" w:rsidP="002C3067">
      <w:pPr>
        <w:pStyle w:val="ESnumberedparablue"/>
        <w:numPr>
          <w:ilvl w:val="1"/>
          <w:numId w:val="34"/>
        </w:numPr>
        <w:rPr>
          <w:rFonts w:asciiTheme="minorHAnsi" w:hAnsiTheme="minorHAnsi"/>
          <w:color w:val="auto"/>
          <w:sz w:val="24"/>
          <w:szCs w:val="24"/>
        </w:rPr>
      </w:pPr>
      <w:r w:rsidRPr="003B355D">
        <w:rPr>
          <w:rFonts w:asciiTheme="minorHAnsi" w:hAnsiTheme="minorHAnsi"/>
          <w:color w:val="auto"/>
          <w:sz w:val="24"/>
          <w:szCs w:val="24"/>
        </w:rPr>
        <w:t xml:space="preserve">The adverse events most commonly reported by patients treated with liraglutide were gastrointestinal events (nausea, vomiting, gastric motility disturbances, gallbladder disease, thyroid disease) and cardiovascular events (unstable angina, acute myocardial infarction, cardiac failure - not defined) consistent with the LEADER inclusion criteria and the requested restriction. The proportions of patients reporting EAC-confirmed pancreatitis were small for both liraglutide and placebo. </w:t>
      </w:r>
    </w:p>
    <w:p w:rsidR="00EB5830" w:rsidRPr="003B355D" w:rsidRDefault="00EB5830" w:rsidP="002C3067">
      <w:pPr>
        <w:pStyle w:val="ESnumberedparablue"/>
        <w:numPr>
          <w:ilvl w:val="1"/>
          <w:numId w:val="34"/>
        </w:numPr>
        <w:rPr>
          <w:rFonts w:asciiTheme="minorHAnsi" w:hAnsiTheme="minorHAnsi"/>
          <w:color w:val="auto"/>
          <w:sz w:val="24"/>
          <w:szCs w:val="24"/>
        </w:rPr>
      </w:pPr>
      <w:r w:rsidRPr="003B355D">
        <w:rPr>
          <w:rFonts w:asciiTheme="minorHAnsi" w:hAnsiTheme="minorHAnsi"/>
          <w:color w:val="auto"/>
          <w:sz w:val="24"/>
          <w:szCs w:val="24"/>
        </w:rPr>
        <w:t>The reported adverse events in the LEADER trial were consistent with those reported in the broader populations previously considered by the PBAC (liraglutide PSD November 2010, November 2011 and March 2013). However, the proportions of patients reporting all events were substantially smaller in the LEADER trial</w:t>
      </w:r>
      <w:r w:rsidR="00493678" w:rsidRPr="003B355D">
        <w:rPr>
          <w:rFonts w:asciiTheme="minorHAnsi" w:hAnsiTheme="minorHAnsi"/>
          <w:color w:val="auto"/>
          <w:sz w:val="24"/>
          <w:szCs w:val="24"/>
        </w:rPr>
        <w:t>.</w:t>
      </w:r>
      <w:r w:rsidRPr="003B355D">
        <w:rPr>
          <w:rFonts w:asciiTheme="minorHAnsi" w:hAnsiTheme="minorHAnsi"/>
          <w:color w:val="auto"/>
          <w:sz w:val="24"/>
          <w:szCs w:val="24"/>
        </w:rPr>
        <w:t xml:space="preserve"> </w:t>
      </w:r>
    </w:p>
    <w:p w:rsidR="00EB5830" w:rsidRPr="003B355D" w:rsidRDefault="00EB5830" w:rsidP="002C3067">
      <w:pPr>
        <w:pStyle w:val="ESnumberedparablue"/>
        <w:numPr>
          <w:ilvl w:val="1"/>
          <w:numId w:val="34"/>
        </w:numPr>
        <w:rPr>
          <w:rFonts w:asciiTheme="minorHAnsi" w:hAnsiTheme="minorHAnsi"/>
          <w:color w:val="auto"/>
          <w:sz w:val="24"/>
          <w:szCs w:val="24"/>
        </w:rPr>
      </w:pPr>
      <w:r w:rsidRPr="003B355D">
        <w:rPr>
          <w:rFonts w:asciiTheme="minorHAnsi" w:hAnsiTheme="minorHAnsi"/>
          <w:color w:val="auto"/>
          <w:sz w:val="24"/>
          <w:szCs w:val="24"/>
        </w:rPr>
        <w:t>The Product Information document advises that liraglutide is contraindicated in patients with a history of GLP-1 analogue associated pancreatitis, and recommends caution with use in renal impairment, thyroid disease, pancreatitis and hypoglycaemia in combination with other diabetes medicines.</w:t>
      </w:r>
    </w:p>
    <w:p w:rsidR="00102A6C" w:rsidRPr="003B355D" w:rsidRDefault="00102A6C" w:rsidP="002C3067">
      <w:pPr>
        <w:pStyle w:val="ESnumberedparablue"/>
        <w:numPr>
          <w:ilvl w:val="1"/>
          <w:numId w:val="34"/>
        </w:numPr>
        <w:rPr>
          <w:rFonts w:asciiTheme="minorHAnsi" w:hAnsiTheme="minorHAnsi"/>
          <w:color w:val="auto"/>
          <w:sz w:val="24"/>
          <w:szCs w:val="24"/>
        </w:rPr>
      </w:pPr>
      <w:r w:rsidRPr="003B355D">
        <w:rPr>
          <w:rFonts w:asciiTheme="minorHAnsi" w:hAnsiTheme="minorHAnsi"/>
          <w:color w:val="auto"/>
          <w:sz w:val="24"/>
          <w:szCs w:val="24"/>
        </w:rPr>
        <w:t xml:space="preserve">The PBAC previously considered liraglutide 1.2 mg once daily to be non-inferior to exenatide 10 </w:t>
      </w:r>
      <w:r w:rsidRPr="003B355D">
        <w:rPr>
          <w:rFonts w:asciiTheme="minorHAnsi" w:hAnsiTheme="minorHAnsi" w:cs="Arial"/>
          <w:color w:val="auto"/>
          <w:sz w:val="24"/>
          <w:szCs w:val="24"/>
        </w:rPr>
        <w:t>µ</w:t>
      </w:r>
      <w:r w:rsidRPr="003B355D">
        <w:rPr>
          <w:rFonts w:asciiTheme="minorHAnsi" w:hAnsiTheme="minorHAnsi"/>
          <w:color w:val="auto"/>
          <w:sz w:val="24"/>
          <w:szCs w:val="24"/>
        </w:rPr>
        <w:t>g twice daily in terms of safety when used as dual combination therapy with metformin or a sulfonylurea, and as triple combination therapy with metformin and a sulfonylurea (March 2013 liraglutide PSD, paragraph 12).</w:t>
      </w:r>
    </w:p>
    <w:p w:rsidR="00137F8D" w:rsidRPr="003B355D" w:rsidRDefault="00137F8D" w:rsidP="001F6B1E">
      <w:pPr>
        <w:pStyle w:val="Heading2"/>
        <w:spacing w:before="120" w:after="160"/>
        <w:rPr>
          <w:rFonts w:asciiTheme="minorHAnsi" w:eastAsiaTheme="majorEastAsia" w:hAnsiTheme="minorHAnsi"/>
          <w:i/>
          <w:snapToGrid/>
          <w:sz w:val="24"/>
          <w:szCs w:val="24"/>
        </w:rPr>
      </w:pPr>
      <w:bookmarkStart w:id="28" w:name="_Toc476306890"/>
      <w:bookmarkStart w:id="29" w:name="_Toc482048978"/>
      <w:bookmarkStart w:id="30" w:name="_Toc413139281"/>
      <w:r w:rsidRPr="003B355D">
        <w:rPr>
          <w:rFonts w:asciiTheme="minorHAnsi" w:eastAsiaTheme="majorEastAsia" w:hAnsiTheme="minorHAnsi"/>
          <w:i/>
          <w:snapToGrid/>
          <w:sz w:val="24"/>
          <w:szCs w:val="24"/>
        </w:rPr>
        <w:t>Benefits and harms</w:t>
      </w:r>
      <w:bookmarkEnd w:id="28"/>
      <w:bookmarkEnd w:id="29"/>
    </w:p>
    <w:p w:rsidR="00137F8D" w:rsidRPr="003B355D" w:rsidRDefault="00137F8D" w:rsidP="002C3067">
      <w:pPr>
        <w:pStyle w:val="ESnumberedpara"/>
        <w:numPr>
          <w:ilvl w:val="1"/>
          <w:numId w:val="34"/>
        </w:numPr>
        <w:rPr>
          <w:rFonts w:asciiTheme="minorHAnsi" w:hAnsiTheme="minorHAnsi"/>
          <w:sz w:val="24"/>
          <w:szCs w:val="24"/>
        </w:rPr>
      </w:pPr>
      <w:r w:rsidRPr="003B355D">
        <w:rPr>
          <w:rFonts w:asciiTheme="minorHAnsi" w:hAnsiTheme="minorHAnsi"/>
          <w:sz w:val="24"/>
          <w:szCs w:val="24"/>
        </w:rPr>
        <w:t xml:space="preserve">A summary of the comparative benefits and harms for </w:t>
      </w:r>
      <w:r w:rsidR="0068532B" w:rsidRPr="003B355D">
        <w:rPr>
          <w:rFonts w:asciiTheme="minorHAnsi" w:hAnsiTheme="minorHAnsi"/>
          <w:sz w:val="24"/>
          <w:szCs w:val="24"/>
        </w:rPr>
        <w:t>liraglutide</w:t>
      </w:r>
      <w:r w:rsidRPr="003B355D">
        <w:rPr>
          <w:rFonts w:asciiTheme="minorHAnsi" w:hAnsiTheme="minorHAnsi"/>
          <w:sz w:val="24"/>
          <w:szCs w:val="24"/>
        </w:rPr>
        <w:t xml:space="preserve"> versus </w:t>
      </w:r>
      <w:r w:rsidR="0068532B" w:rsidRPr="003B355D">
        <w:rPr>
          <w:rFonts w:asciiTheme="minorHAnsi" w:hAnsiTheme="minorHAnsi"/>
          <w:sz w:val="24"/>
          <w:szCs w:val="24"/>
        </w:rPr>
        <w:t>placebo</w:t>
      </w:r>
      <w:r w:rsidRPr="003B355D">
        <w:rPr>
          <w:rFonts w:asciiTheme="minorHAnsi" w:hAnsiTheme="minorHAnsi"/>
          <w:sz w:val="24"/>
          <w:szCs w:val="24"/>
        </w:rPr>
        <w:t xml:space="preserve"> is presented in the table below. </w:t>
      </w:r>
    </w:p>
    <w:p w:rsidR="00D453F1" w:rsidRDefault="00D453F1" w:rsidP="00D453F1">
      <w:pPr>
        <w:pStyle w:val="Caption"/>
      </w:pPr>
      <w:bookmarkStart w:id="31" w:name="_Toc476306891"/>
      <w:r>
        <w:lastRenderedPageBreak/>
        <w:t xml:space="preserve">Table </w:t>
      </w:r>
      <w:r>
        <w:rPr>
          <w:noProof/>
        </w:rPr>
        <w:t>9</w:t>
      </w:r>
      <w:r w:rsidRPr="00264D5F">
        <w:t>: Summary of comparative benefits and harms for liraglutide versus placebo</w:t>
      </w:r>
    </w:p>
    <w:tbl>
      <w:tblPr>
        <w:tblStyle w:val="TableGrid"/>
        <w:tblW w:w="5000" w:type="pct"/>
        <w:tblInd w:w="28" w:type="dxa"/>
        <w:tblLayout w:type="fixed"/>
        <w:tblCellMar>
          <w:left w:w="28" w:type="dxa"/>
          <w:right w:w="28" w:type="dxa"/>
        </w:tblCellMar>
        <w:tblLook w:val="04A0" w:firstRow="1" w:lastRow="0" w:firstColumn="1" w:lastColumn="0" w:noHBand="0" w:noVBand="1"/>
        <w:tblCaption w:val="Summary of comparative benefits and harms for liraglutide versus placebo"/>
      </w:tblPr>
      <w:tblGrid>
        <w:gridCol w:w="2707"/>
        <w:gridCol w:w="1600"/>
        <w:gridCol w:w="1600"/>
        <w:gridCol w:w="1597"/>
        <w:gridCol w:w="1578"/>
      </w:tblGrid>
      <w:tr w:rsidR="00CB7AD2" w:rsidRPr="003B355D" w:rsidTr="006B5926">
        <w:trPr>
          <w:trHeight w:val="150"/>
          <w:tblHeader/>
        </w:trPr>
        <w:tc>
          <w:tcPr>
            <w:tcW w:w="5000" w:type="pct"/>
            <w:gridSpan w:val="5"/>
            <w:shd w:val="clear" w:color="auto" w:fill="auto"/>
            <w:vAlign w:val="center"/>
          </w:tcPr>
          <w:p w:rsidR="00CB7AD2" w:rsidRPr="003B355D" w:rsidRDefault="00CB7AD2" w:rsidP="00CB7AD2">
            <w:pPr>
              <w:pStyle w:val="TableText1"/>
              <w:jc w:val="left"/>
              <w:rPr>
                <w:u w:val="single"/>
              </w:rPr>
            </w:pPr>
            <w:proofErr w:type="gramStart"/>
            <w:r w:rsidRPr="003B355D">
              <w:rPr>
                <w:b/>
                <w:u w:val="single"/>
              </w:rPr>
              <w:t>Benefits</w:t>
            </w:r>
            <w:r w:rsidRPr="003B355D">
              <w:rPr>
                <w:b/>
              </w:rPr>
              <w:t xml:space="preserve">  </w:t>
            </w:r>
            <w:r w:rsidRPr="003B355D">
              <w:t>n</w:t>
            </w:r>
            <w:proofErr w:type="gramEnd"/>
            <w:r w:rsidRPr="003B355D">
              <w:t xml:space="preserve"> with events (%) </w:t>
            </w:r>
          </w:p>
        </w:tc>
      </w:tr>
      <w:tr w:rsidR="00CB7AD2" w:rsidRPr="003B355D" w:rsidTr="00CB7AD2">
        <w:tc>
          <w:tcPr>
            <w:tcW w:w="1490" w:type="pct"/>
            <w:tcBorders>
              <w:bottom w:val="single" w:sz="4" w:space="0" w:color="auto"/>
            </w:tcBorders>
            <w:shd w:val="clear" w:color="auto" w:fill="auto"/>
            <w:vAlign w:val="center"/>
          </w:tcPr>
          <w:p w:rsidR="00CB7AD2" w:rsidRPr="003B355D" w:rsidRDefault="00CB7AD2" w:rsidP="00CB7AD2">
            <w:pPr>
              <w:pStyle w:val="TableText1"/>
              <w:jc w:val="left"/>
              <w:rPr>
                <w:b/>
              </w:rPr>
            </w:pPr>
            <w:r w:rsidRPr="003B355D">
              <w:rPr>
                <w:b/>
              </w:rPr>
              <w:t xml:space="preserve">Event       </w:t>
            </w:r>
          </w:p>
        </w:tc>
        <w:tc>
          <w:tcPr>
            <w:tcW w:w="881" w:type="pct"/>
            <w:tcBorders>
              <w:bottom w:val="single" w:sz="4" w:space="0" w:color="auto"/>
            </w:tcBorders>
            <w:shd w:val="clear" w:color="auto" w:fill="auto"/>
            <w:vAlign w:val="center"/>
          </w:tcPr>
          <w:p w:rsidR="00CB7AD2" w:rsidRPr="003B355D" w:rsidRDefault="00CB7AD2" w:rsidP="00CB7AD2">
            <w:pPr>
              <w:pStyle w:val="TableText1"/>
              <w:jc w:val="center"/>
              <w:rPr>
                <w:b/>
              </w:rPr>
            </w:pPr>
            <w:r w:rsidRPr="003B355D">
              <w:rPr>
                <w:b/>
              </w:rPr>
              <w:t>Liraglutide</w:t>
            </w:r>
          </w:p>
          <w:p w:rsidR="00CB7AD2" w:rsidRPr="003B355D" w:rsidRDefault="00CB7AD2" w:rsidP="00CB7AD2">
            <w:pPr>
              <w:pStyle w:val="TableText1"/>
              <w:jc w:val="center"/>
              <w:rPr>
                <w:b/>
              </w:rPr>
            </w:pPr>
            <w:proofErr w:type="gramStart"/>
            <w:r w:rsidRPr="003B355D">
              <w:rPr>
                <w:b/>
              </w:rPr>
              <w:t>n</w:t>
            </w:r>
            <w:proofErr w:type="gramEnd"/>
            <w:r w:rsidRPr="003B355D">
              <w:rPr>
                <w:b/>
              </w:rPr>
              <w:t xml:space="preserve"> with events (%)</w:t>
            </w:r>
          </w:p>
        </w:tc>
        <w:tc>
          <w:tcPr>
            <w:tcW w:w="881" w:type="pct"/>
            <w:tcBorders>
              <w:bottom w:val="single" w:sz="4" w:space="0" w:color="auto"/>
            </w:tcBorders>
            <w:shd w:val="clear" w:color="auto" w:fill="auto"/>
            <w:vAlign w:val="center"/>
          </w:tcPr>
          <w:p w:rsidR="00CB7AD2" w:rsidRPr="003B355D" w:rsidRDefault="00CB7AD2" w:rsidP="00CB7AD2">
            <w:pPr>
              <w:pStyle w:val="TableText1"/>
              <w:jc w:val="center"/>
              <w:rPr>
                <w:b/>
              </w:rPr>
            </w:pPr>
            <w:r w:rsidRPr="003B355D">
              <w:rPr>
                <w:b/>
              </w:rPr>
              <w:t>Placebo</w:t>
            </w:r>
          </w:p>
          <w:p w:rsidR="00CB7AD2" w:rsidRPr="003B355D" w:rsidRDefault="00CB7AD2" w:rsidP="00CB7AD2">
            <w:pPr>
              <w:pStyle w:val="TableText1"/>
              <w:jc w:val="center"/>
              <w:rPr>
                <w:b/>
              </w:rPr>
            </w:pPr>
            <w:proofErr w:type="gramStart"/>
            <w:r w:rsidRPr="003B355D">
              <w:rPr>
                <w:b/>
              </w:rPr>
              <w:t>n</w:t>
            </w:r>
            <w:proofErr w:type="gramEnd"/>
            <w:r w:rsidRPr="003B355D">
              <w:rPr>
                <w:b/>
              </w:rPr>
              <w:t xml:space="preserve"> with events (%)</w:t>
            </w:r>
          </w:p>
        </w:tc>
        <w:tc>
          <w:tcPr>
            <w:tcW w:w="879" w:type="pct"/>
            <w:tcBorders>
              <w:bottom w:val="single" w:sz="4" w:space="0" w:color="auto"/>
            </w:tcBorders>
            <w:shd w:val="clear" w:color="auto" w:fill="auto"/>
            <w:vAlign w:val="center"/>
          </w:tcPr>
          <w:p w:rsidR="00CB7AD2" w:rsidRPr="003B355D" w:rsidRDefault="00CB7AD2" w:rsidP="00CB7AD2">
            <w:pPr>
              <w:pStyle w:val="TableText1"/>
              <w:jc w:val="center"/>
              <w:rPr>
                <w:rFonts w:asciiTheme="minorHAnsi" w:hAnsiTheme="minorHAnsi"/>
                <w:b/>
              </w:rPr>
            </w:pPr>
            <w:r w:rsidRPr="003B355D">
              <w:rPr>
                <w:b/>
              </w:rPr>
              <w:t>Absolute difference</w:t>
            </w:r>
          </w:p>
        </w:tc>
        <w:tc>
          <w:tcPr>
            <w:tcW w:w="869" w:type="pct"/>
            <w:tcBorders>
              <w:bottom w:val="single" w:sz="4" w:space="0" w:color="auto"/>
            </w:tcBorders>
            <w:shd w:val="clear" w:color="auto" w:fill="auto"/>
            <w:vAlign w:val="center"/>
          </w:tcPr>
          <w:p w:rsidR="00CB7AD2" w:rsidRPr="003B355D" w:rsidRDefault="00CB7AD2" w:rsidP="00CB7AD2">
            <w:pPr>
              <w:pStyle w:val="TableText1"/>
              <w:jc w:val="center"/>
              <w:rPr>
                <w:b/>
              </w:rPr>
            </w:pPr>
            <w:r w:rsidRPr="003B355D">
              <w:rPr>
                <w:b/>
              </w:rPr>
              <w:t>HR (95% CI)</w:t>
            </w:r>
          </w:p>
        </w:tc>
      </w:tr>
      <w:tr w:rsidR="00CB7AD2" w:rsidRPr="003B355D" w:rsidTr="00CB7AD2">
        <w:tc>
          <w:tcPr>
            <w:tcW w:w="1490" w:type="pct"/>
            <w:tcBorders>
              <w:bottom w:val="single" w:sz="4" w:space="0" w:color="auto"/>
            </w:tcBorders>
            <w:shd w:val="clear" w:color="auto" w:fill="auto"/>
            <w:vAlign w:val="center"/>
          </w:tcPr>
          <w:p w:rsidR="00CB7AD2" w:rsidRPr="003B355D" w:rsidRDefault="00CB7AD2" w:rsidP="00CB7AD2">
            <w:pPr>
              <w:pStyle w:val="TableText1"/>
              <w:jc w:val="left"/>
            </w:pPr>
            <w:r w:rsidRPr="003B355D">
              <w:t xml:space="preserve">Major adverse cardiovascular event </w:t>
            </w:r>
          </w:p>
        </w:tc>
        <w:tc>
          <w:tcPr>
            <w:tcW w:w="881" w:type="pct"/>
            <w:tcBorders>
              <w:bottom w:val="single" w:sz="4" w:space="0" w:color="auto"/>
            </w:tcBorders>
            <w:shd w:val="clear" w:color="auto" w:fill="auto"/>
            <w:vAlign w:val="center"/>
          </w:tcPr>
          <w:p w:rsidR="00CB7AD2" w:rsidRPr="003B355D" w:rsidRDefault="00CB7AD2" w:rsidP="00CB7AD2">
            <w:pPr>
              <w:pStyle w:val="TableText1"/>
              <w:jc w:val="center"/>
            </w:pPr>
            <w:r w:rsidRPr="003B355D">
              <w:t>608/4668 (13.0%)</w:t>
            </w:r>
          </w:p>
        </w:tc>
        <w:tc>
          <w:tcPr>
            <w:tcW w:w="881" w:type="pct"/>
            <w:tcBorders>
              <w:bottom w:val="single" w:sz="4" w:space="0" w:color="auto"/>
            </w:tcBorders>
            <w:shd w:val="clear" w:color="auto" w:fill="auto"/>
            <w:vAlign w:val="center"/>
          </w:tcPr>
          <w:p w:rsidR="00CB7AD2" w:rsidRPr="003B355D" w:rsidRDefault="00CB7AD2" w:rsidP="00CB7AD2">
            <w:pPr>
              <w:pStyle w:val="TableText1"/>
              <w:jc w:val="center"/>
            </w:pPr>
            <w:r w:rsidRPr="003B355D">
              <w:t>694/4672 (14.9%)</w:t>
            </w:r>
          </w:p>
        </w:tc>
        <w:tc>
          <w:tcPr>
            <w:tcW w:w="879" w:type="pct"/>
            <w:tcBorders>
              <w:bottom w:val="single" w:sz="4" w:space="0" w:color="auto"/>
            </w:tcBorders>
            <w:shd w:val="clear" w:color="auto" w:fill="auto"/>
            <w:vAlign w:val="center"/>
          </w:tcPr>
          <w:p w:rsidR="00CB7AD2" w:rsidRPr="003B355D" w:rsidRDefault="00CB7AD2" w:rsidP="00CB7AD2">
            <w:pPr>
              <w:pStyle w:val="TableText1"/>
              <w:jc w:val="center"/>
            </w:pPr>
            <w:r w:rsidRPr="003B355D">
              <w:t>1.9%</w:t>
            </w:r>
          </w:p>
        </w:tc>
        <w:tc>
          <w:tcPr>
            <w:tcW w:w="869" w:type="pct"/>
            <w:tcBorders>
              <w:bottom w:val="single" w:sz="4" w:space="0" w:color="auto"/>
            </w:tcBorders>
            <w:shd w:val="clear" w:color="auto" w:fill="auto"/>
            <w:vAlign w:val="center"/>
          </w:tcPr>
          <w:p w:rsidR="00CB7AD2" w:rsidRPr="003B355D" w:rsidRDefault="00CB7AD2" w:rsidP="00CB7AD2">
            <w:pPr>
              <w:pStyle w:val="TableText1"/>
              <w:jc w:val="center"/>
            </w:pPr>
            <w:r w:rsidRPr="003B355D">
              <w:rPr>
                <w:b/>
              </w:rPr>
              <w:t>0.87 (0.78, 0.97)</w:t>
            </w:r>
          </w:p>
        </w:tc>
      </w:tr>
      <w:tr w:rsidR="00CB7AD2" w:rsidRPr="003B355D" w:rsidTr="00CB7AD2">
        <w:tc>
          <w:tcPr>
            <w:tcW w:w="1490" w:type="pct"/>
            <w:tcBorders>
              <w:bottom w:val="single" w:sz="4" w:space="0" w:color="auto"/>
            </w:tcBorders>
            <w:shd w:val="clear" w:color="auto" w:fill="auto"/>
            <w:vAlign w:val="center"/>
          </w:tcPr>
          <w:p w:rsidR="00CB7AD2" w:rsidRPr="003B355D" w:rsidRDefault="00CB7AD2" w:rsidP="00CB7AD2">
            <w:pPr>
              <w:pStyle w:val="TableText1"/>
              <w:jc w:val="left"/>
            </w:pPr>
            <w:r w:rsidRPr="003B355D">
              <w:t>Cardiovascular death</w:t>
            </w:r>
          </w:p>
        </w:tc>
        <w:tc>
          <w:tcPr>
            <w:tcW w:w="881" w:type="pct"/>
            <w:tcBorders>
              <w:bottom w:val="single" w:sz="4" w:space="0" w:color="auto"/>
            </w:tcBorders>
            <w:shd w:val="clear" w:color="auto" w:fill="auto"/>
            <w:vAlign w:val="center"/>
          </w:tcPr>
          <w:p w:rsidR="00CB7AD2" w:rsidRPr="003B355D" w:rsidRDefault="00CB7AD2" w:rsidP="00CB7AD2">
            <w:pPr>
              <w:pStyle w:val="TableText1"/>
              <w:jc w:val="center"/>
            </w:pPr>
            <w:r w:rsidRPr="003B355D">
              <w:t>219/4668 (4.7%)</w:t>
            </w:r>
          </w:p>
        </w:tc>
        <w:tc>
          <w:tcPr>
            <w:tcW w:w="881" w:type="pct"/>
            <w:tcBorders>
              <w:bottom w:val="single" w:sz="4" w:space="0" w:color="auto"/>
            </w:tcBorders>
            <w:shd w:val="clear" w:color="auto" w:fill="auto"/>
            <w:vAlign w:val="center"/>
          </w:tcPr>
          <w:p w:rsidR="00CB7AD2" w:rsidRPr="003B355D" w:rsidRDefault="00CB7AD2" w:rsidP="00CB7AD2">
            <w:pPr>
              <w:pStyle w:val="TableText1"/>
              <w:jc w:val="center"/>
            </w:pPr>
            <w:r w:rsidRPr="003B355D">
              <w:t>278/4672 (6.0%)</w:t>
            </w:r>
          </w:p>
        </w:tc>
        <w:tc>
          <w:tcPr>
            <w:tcW w:w="879" w:type="pct"/>
            <w:tcBorders>
              <w:bottom w:val="single" w:sz="4" w:space="0" w:color="auto"/>
            </w:tcBorders>
            <w:shd w:val="clear" w:color="auto" w:fill="auto"/>
            <w:vAlign w:val="center"/>
          </w:tcPr>
          <w:p w:rsidR="00CB7AD2" w:rsidRPr="003B355D" w:rsidRDefault="00CB7AD2" w:rsidP="00CB7AD2">
            <w:pPr>
              <w:pStyle w:val="TableText1"/>
              <w:jc w:val="center"/>
            </w:pPr>
            <w:r w:rsidRPr="003B355D">
              <w:t>1.3%</w:t>
            </w:r>
          </w:p>
        </w:tc>
        <w:tc>
          <w:tcPr>
            <w:tcW w:w="869" w:type="pct"/>
            <w:tcBorders>
              <w:bottom w:val="single" w:sz="4" w:space="0" w:color="auto"/>
            </w:tcBorders>
            <w:shd w:val="clear" w:color="auto" w:fill="auto"/>
            <w:vAlign w:val="center"/>
          </w:tcPr>
          <w:p w:rsidR="00CB7AD2" w:rsidRPr="003B355D" w:rsidRDefault="00CB7AD2" w:rsidP="00CB7AD2">
            <w:pPr>
              <w:pStyle w:val="TableText1"/>
              <w:jc w:val="center"/>
              <w:rPr>
                <w:b/>
              </w:rPr>
            </w:pPr>
            <w:r w:rsidRPr="003B355D">
              <w:rPr>
                <w:b/>
              </w:rPr>
              <w:t>0.78 (0.66, 0.93)</w:t>
            </w:r>
          </w:p>
        </w:tc>
      </w:tr>
      <w:tr w:rsidR="00CB7AD2" w:rsidRPr="003B355D" w:rsidTr="00CB7AD2">
        <w:tc>
          <w:tcPr>
            <w:tcW w:w="1490" w:type="pct"/>
            <w:tcBorders>
              <w:bottom w:val="single" w:sz="4" w:space="0" w:color="auto"/>
            </w:tcBorders>
            <w:shd w:val="clear" w:color="auto" w:fill="auto"/>
          </w:tcPr>
          <w:p w:rsidR="00CB7AD2" w:rsidRPr="003B355D" w:rsidRDefault="00CB7AD2" w:rsidP="00CB7AD2">
            <w:pPr>
              <w:pStyle w:val="TableText1"/>
              <w:jc w:val="left"/>
            </w:pPr>
            <w:r w:rsidRPr="003B355D">
              <w:t>All-cause death</w:t>
            </w:r>
          </w:p>
        </w:tc>
        <w:tc>
          <w:tcPr>
            <w:tcW w:w="881" w:type="pct"/>
            <w:tcBorders>
              <w:bottom w:val="single" w:sz="4" w:space="0" w:color="auto"/>
            </w:tcBorders>
            <w:shd w:val="clear" w:color="auto" w:fill="auto"/>
          </w:tcPr>
          <w:p w:rsidR="00CB7AD2" w:rsidRPr="003B355D" w:rsidRDefault="00CB7AD2" w:rsidP="00CB7AD2">
            <w:pPr>
              <w:pStyle w:val="TableText1"/>
              <w:jc w:val="center"/>
            </w:pPr>
            <w:r w:rsidRPr="003B355D">
              <w:t>381/4668 (8.2%)</w:t>
            </w:r>
          </w:p>
        </w:tc>
        <w:tc>
          <w:tcPr>
            <w:tcW w:w="881" w:type="pct"/>
            <w:tcBorders>
              <w:bottom w:val="single" w:sz="4" w:space="0" w:color="auto"/>
            </w:tcBorders>
            <w:shd w:val="clear" w:color="auto" w:fill="auto"/>
          </w:tcPr>
          <w:p w:rsidR="00CB7AD2" w:rsidRPr="003B355D" w:rsidRDefault="00CB7AD2" w:rsidP="00CB7AD2">
            <w:pPr>
              <w:pStyle w:val="TableText1"/>
              <w:jc w:val="center"/>
            </w:pPr>
            <w:r w:rsidRPr="003B355D">
              <w:t>447/4672 (9.6%)</w:t>
            </w:r>
          </w:p>
        </w:tc>
        <w:tc>
          <w:tcPr>
            <w:tcW w:w="879" w:type="pct"/>
            <w:tcBorders>
              <w:bottom w:val="single" w:sz="4" w:space="0" w:color="auto"/>
            </w:tcBorders>
            <w:shd w:val="clear" w:color="auto" w:fill="auto"/>
            <w:vAlign w:val="center"/>
          </w:tcPr>
          <w:p w:rsidR="00CB7AD2" w:rsidRPr="003B355D" w:rsidRDefault="00CB7AD2" w:rsidP="00CB7AD2">
            <w:pPr>
              <w:pStyle w:val="TableText1"/>
              <w:jc w:val="center"/>
            </w:pPr>
            <w:r w:rsidRPr="003B355D">
              <w:t>1.4%</w:t>
            </w:r>
          </w:p>
        </w:tc>
        <w:tc>
          <w:tcPr>
            <w:tcW w:w="869" w:type="pct"/>
            <w:tcBorders>
              <w:bottom w:val="single" w:sz="4" w:space="0" w:color="auto"/>
            </w:tcBorders>
            <w:shd w:val="clear" w:color="auto" w:fill="auto"/>
          </w:tcPr>
          <w:p w:rsidR="00CB7AD2" w:rsidRPr="003B355D" w:rsidRDefault="00CB7AD2" w:rsidP="00CB7AD2">
            <w:pPr>
              <w:pStyle w:val="TableText1"/>
              <w:jc w:val="center"/>
              <w:rPr>
                <w:b/>
              </w:rPr>
            </w:pPr>
            <w:r w:rsidRPr="003B355D">
              <w:rPr>
                <w:b/>
              </w:rPr>
              <w:t>0.85 (0.74, 0.97)</w:t>
            </w:r>
          </w:p>
        </w:tc>
      </w:tr>
      <w:tr w:rsidR="00CB7AD2" w:rsidRPr="003B355D" w:rsidTr="00CB7AD2">
        <w:tc>
          <w:tcPr>
            <w:tcW w:w="1490" w:type="pct"/>
            <w:tcBorders>
              <w:bottom w:val="single" w:sz="4" w:space="0" w:color="auto"/>
            </w:tcBorders>
            <w:shd w:val="clear" w:color="auto" w:fill="auto"/>
            <w:vAlign w:val="center"/>
          </w:tcPr>
          <w:p w:rsidR="00CB7AD2" w:rsidRPr="003B355D" w:rsidRDefault="00CB7AD2" w:rsidP="00CB7AD2">
            <w:pPr>
              <w:pStyle w:val="TableText1"/>
              <w:jc w:val="left"/>
            </w:pPr>
            <w:r w:rsidRPr="003B355D">
              <w:t>Time to first microvascular event</w:t>
            </w:r>
          </w:p>
        </w:tc>
        <w:tc>
          <w:tcPr>
            <w:tcW w:w="881" w:type="pct"/>
            <w:tcBorders>
              <w:bottom w:val="single" w:sz="4" w:space="0" w:color="auto"/>
            </w:tcBorders>
            <w:shd w:val="clear" w:color="auto" w:fill="auto"/>
            <w:vAlign w:val="center"/>
          </w:tcPr>
          <w:p w:rsidR="00CB7AD2" w:rsidRPr="003B355D" w:rsidRDefault="00CB7AD2" w:rsidP="00CB7AD2">
            <w:pPr>
              <w:pStyle w:val="TableText1"/>
              <w:jc w:val="center"/>
            </w:pPr>
            <w:r w:rsidRPr="003B355D">
              <w:t>355/4668 (7.6%)</w:t>
            </w:r>
          </w:p>
        </w:tc>
        <w:tc>
          <w:tcPr>
            <w:tcW w:w="881" w:type="pct"/>
            <w:tcBorders>
              <w:bottom w:val="single" w:sz="4" w:space="0" w:color="auto"/>
            </w:tcBorders>
            <w:shd w:val="clear" w:color="auto" w:fill="auto"/>
          </w:tcPr>
          <w:p w:rsidR="00CB7AD2" w:rsidRPr="003B355D" w:rsidRDefault="00CB7AD2" w:rsidP="00CB7AD2">
            <w:pPr>
              <w:pStyle w:val="TableText1"/>
              <w:jc w:val="center"/>
            </w:pPr>
            <w:r w:rsidRPr="003B355D">
              <w:t>416/4672 (8.9%)</w:t>
            </w:r>
          </w:p>
        </w:tc>
        <w:tc>
          <w:tcPr>
            <w:tcW w:w="879" w:type="pct"/>
            <w:tcBorders>
              <w:bottom w:val="single" w:sz="4" w:space="0" w:color="auto"/>
            </w:tcBorders>
            <w:shd w:val="clear" w:color="auto" w:fill="auto"/>
            <w:vAlign w:val="center"/>
          </w:tcPr>
          <w:p w:rsidR="00CB7AD2" w:rsidRPr="003B355D" w:rsidRDefault="00CB7AD2" w:rsidP="00CB7AD2">
            <w:pPr>
              <w:pStyle w:val="TableText1"/>
              <w:jc w:val="center"/>
            </w:pPr>
            <w:r w:rsidRPr="003B355D">
              <w:t>1.3%</w:t>
            </w:r>
          </w:p>
        </w:tc>
        <w:tc>
          <w:tcPr>
            <w:tcW w:w="869" w:type="pct"/>
            <w:tcBorders>
              <w:bottom w:val="single" w:sz="4" w:space="0" w:color="auto"/>
            </w:tcBorders>
            <w:shd w:val="clear" w:color="auto" w:fill="auto"/>
          </w:tcPr>
          <w:p w:rsidR="00CB7AD2" w:rsidRPr="003B355D" w:rsidRDefault="00CB7AD2" w:rsidP="00CB7AD2">
            <w:pPr>
              <w:pStyle w:val="TableText1"/>
              <w:jc w:val="center"/>
              <w:rPr>
                <w:b/>
              </w:rPr>
            </w:pPr>
            <w:r w:rsidRPr="003B355D">
              <w:rPr>
                <w:b/>
              </w:rPr>
              <w:t>0.84 (0.73, 0.97)</w:t>
            </w:r>
          </w:p>
        </w:tc>
      </w:tr>
      <w:tr w:rsidR="001D2CF9" w:rsidRPr="003B355D" w:rsidTr="001C2CC3">
        <w:tc>
          <w:tcPr>
            <w:tcW w:w="1490" w:type="pct"/>
            <w:tcBorders>
              <w:bottom w:val="single" w:sz="4" w:space="0" w:color="auto"/>
            </w:tcBorders>
            <w:shd w:val="clear" w:color="auto" w:fill="auto"/>
            <w:vAlign w:val="center"/>
          </w:tcPr>
          <w:p w:rsidR="001D2CF9" w:rsidRPr="003B355D" w:rsidRDefault="001D2CF9" w:rsidP="00CB7AD2">
            <w:pPr>
              <w:pStyle w:val="TableText1"/>
              <w:jc w:val="left"/>
            </w:pPr>
            <w:r w:rsidRPr="003B355D">
              <w:t>Severe hypoglycaemia events</w:t>
            </w:r>
          </w:p>
        </w:tc>
        <w:tc>
          <w:tcPr>
            <w:tcW w:w="881" w:type="pct"/>
            <w:tcBorders>
              <w:bottom w:val="single" w:sz="4" w:space="0" w:color="auto"/>
            </w:tcBorders>
            <w:shd w:val="clear" w:color="auto" w:fill="auto"/>
            <w:vAlign w:val="center"/>
          </w:tcPr>
          <w:p w:rsidR="001D2CF9" w:rsidRPr="003B355D" w:rsidRDefault="001D2CF9" w:rsidP="00CB7AD2">
            <w:pPr>
              <w:pStyle w:val="TableText1"/>
              <w:jc w:val="center"/>
            </w:pPr>
            <w:r w:rsidRPr="003B355D">
              <w:t>114/4668 (2.4%)</w:t>
            </w:r>
          </w:p>
        </w:tc>
        <w:tc>
          <w:tcPr>
            <w:tcW w:w="881" w:type="pct"/>
            <w:tcBorders>
              <w:bottom w:val="single" w:sz="4" w:space="0" w:color="auto"/>
            </w:tcBorders>
            <w:shd w:val="clear" w:color="auto" w:fill="auto"/>
            <w:vAlign w:val="center"/>
          </w:tcPr>
          <w:p w:rsidR="001D2CF9" w:rsidRPr="003B355D" w:rsidRDefault="001D2CF9" w:rsidP="00CB7AD2">
            <w:pPr>
              <w:pStyle w:val="TableText1"/>
              <w:jc w:val="center"/>
            </w:pPr>
            <w:r w:rsidRPr="003B355D">
              <w:t>153/4672 (3.3%)</w:t>
            </w:r>
          </w:p>
        </w:tc>
        <w:tc>
          <w:tcPr>
            <w:tcW w:w="879" w:type="pct"/>
            <w:tcBorders>
              <w:bottom w:val="single" w:sz="4" w:space="0" w:color="auto"/>
            </w:tcBorders>
            <w:shd w:val="clear" w:color="auto" w:fill="auto"/>
            <w:vAlign w:val="center"/>
          </w:tcPr>
          <w:p w:rsidR="001D2CF9" w:rsidRPr="003B355D" w:rsidRDefault="001D2CF9" w:rsidP="00CB7AD2">
            <w:pPr>
              <w:pStyle w:val="TableText1"/>
              <w:jc w:val="center"/>
            </w:pPr>
            <w:r w:rsidRPr="003B355D">
              <w:t>0.9%</w:t>
            </w:r>
          </w:p>
        </w:tc>
        <w:tc>
          <w:tcPr>
            <w:tcW w:w="869" w:type="pct"/>
            <w:tcBorders>
              <w:bottom w:val="single" w:sz="4" w:space="0" w:color="auto"/>
            </w:tcBorders>
            <w:shd w:val="clear" w:color="auto" w:fill="auto"/>
            <w:vAlign w:val="center"/>
          </w:tcPr>
          <w:p w:rsidR="001D2CF9" w:rsidRPr="003B355D" w:rsidRDefault="001D2CF9" w:rsidP="00CB7AD2">
            <w:pPr>
              <w:pStyle w:val="TableText1"/>
              <w:jc w:val="center"/>
              <w:rPr>
                <w:b/>
              </w:rPr>
            </w:pPr>
            <w:r w:rsidRPr="003B355D">
              <w:t>NR</w:t>
            </w:r>
          </w:p>
        </w:tc>
      </w:tr>
      <w:tr w:rsidR="001D2CF9" w:rsidRPr="003B355D" w:rsidTr="00CB7AD2">
        <w:trPr>
          <w:trHeight w:val="183"/>
        </w:trPr>
        <w:tc>
          <w:tcPr>
            <w:tcW w:w="5000" w:type="pct"/>
            <w:gridSpan w:val="5"/>
            <w:tcBorders>
              <w:top w:val="double" w:sz="4" w:space="0" w:color="auto"/>
            </w:tcBorders>
            <w:shd w:val="clear" w:color="auto" w:fill="auto"/>
            <w:vAlign w:val="center"/>
          </w:tcPr>
          <w:p w:rsidR="001D2CF9" w:rsidRPr="003B355D" w:rsidRDefault="001D2CF9" w:rsidP="00CB7AD2">
            <w:pPr>
              <w:pStyle w:val="TableText1"/>
              <w:rPr>
                <w:b/>
                <w:u w:val="single"/>
              </w:rPr>
            </w:pPr>
            <w:r w:rsidRPr="003B355D">
              <w:rPr>
                <w:b/>
                <w:u w:val="single"/>
              </w:rPr>
              <w:t>Harms</w:t>
            </w:r>
            <w:r w:rsidRPr="003B355D">
              <w:rPr>
                <w:b/>
              </w:rPr>
              <w:t xml:space="preserve"> </w:t>
            </w:r>
          </w:p>
        </w:tc>
      </w:tr>
      <w:tr w:rsidR="001D2CF9" w:rsidRPr="003B355D" w:rsidTr="00CB7AD2">
        <w:trPr>
          <w:trHeight w:val="72"/>
        </w:trPr>
        <w:tc>
          <w:tcPr>
            <w:tcW w:w="1490" w:type="pct"/>
            <w:shd w:val="clear" w:color="auto" w:fill="auto"/>
            <w:vAlign w:val="center"/>
          </w:tcPr>
          <w:p w:rsidR="001D2CF9" w:rsidRPr="003B355D" w:rsidRDefault="001D2CF9" w:rsidP="00CB7AD2">
            <w:pPr>
              <w:pStyle w:val="TableText1"/>
              <w:rPr>
                <w:b/>
              </w:rPr>
            </w:pPr>
            <w:r w:rsidRPr="003B355D">
              <w:rPr>
                <w:b/>
              </w:rPr>
              <w:t>Adverse event</w:t>
            </w:r>
          </w:p>
        </w:tc>
        <w:tc>
          <w:tcPr>
            <w:tcW w:w="881" w:type="pct"/>
            <w:shd w:val="clear" w:color="auto" w:fill="auto"/>
            <w:vAlign w:val="center"/>
          </w:tcPr>
          <w:p w:rsidR="001D2CF9" w:rsidRPr="003B355D" w:rsidRDefault="001D2CF9" w:rsidP="00CB7AD2">
            <w:pPr>
              <w:pStyle w:val="TableText1"/>
              <w:jc w:val="center"/>
              <w:rPr>
                <w:b/>
              </w:rPr>
            </w:pPr>
            <w:r w:rsidRPr="003B355D">
              <w:rPr>
                <w:b/>
              </w:rPr>
              <w:t>Liraglutide</w:t>
            </w:r>
          </w:p>
          <w:p w:rsidR="001D2CF9" w:rsidRPr="003B355D" w:rsidRDefault="001D2CF9" w:rsidP="00CB7AD2">
            <w:pPr>
              <w:pStyle w:val="TableText1"/>
              <w:jc w:val="center"/>
              <w:rPr>
                <w:b/>
              </w:rPr>
            </w:pPr>
            <w:proofErr w:type="gramStart"/>
            <w:r w:rsidRPr="003B355D">
              <w:rPr>
                <w:b/>
              </w:rPr>
              <w:t>n</w:t>
            </w:r>
            <w:proofErr w:type="gramEnd"/>
            <w:r w:rsidRPr="003B355D">
              <w:rPr>
                <w:b/>
              </w:rPr>
              <w:t xml:space="preserve"> with events (%)</w:t>
            </w:r>
          </w:p>
        </w:tc>
        <w:tc>
          <w:tcPr>
            <w:tcW w:w="881" w:type="pct"/>
            <w:shd w:val="clear" w:color="auto" w:fill="auto"/>
            <w:vAlign w:val="center"/>
          </w:tcPr>
          <w:p w:rsidR="001D2CF9" w:rsidRPr="003B355D" w:rsidRDefault="001D2CF9" w:rsidP="00CB7AD2">
            <w:pPr>
              <w:pStyle w:val="TableText1"/>
              <w:jc w:val="center"/>
              <w:rPr>
                <w:b/>
              </w:rPr>
            </w:pPr>
            <w:r w:rsidRPr="003B355D">
              <w:rPr>
                <w:b/>
              </w:rPr>
              <w:t>Placebo</w:t>
            </w:r>
          </w:p>
          <w:p w:rsidR="001D2CF9" w:rsidRPr="003B355D" w:rsidRDefault="001D2CF9" w:rsidP="00CB7AD2">
            <w:pPr>
              <w:pStyle w:val="TableText1"/>
              <w:jc w:val="center"/>
              <w:rPr>
                <w:b/>
              </w:rPr>
            </w:pPr>
            <w:proofErr w:type="gramStart"/>
            <w:r w:rsidRPr="003B355D">
              <w:rPr>
                <w:b/>
              </w:rPr>
              <w:t>n</w:t>
            </w:r>
            <w:proofErr w:type="gramEnd"/>
            <w:r w:rsidRPr="003B355D">
              <w:rPr>
                <w:b/>
              </w:rPr>
              <w:t xml:space="preserve"> with events (%)</w:t>
            </w:r>
          </w:p>
        </w:tc>
        <w:tc>
          <w:tcPr>
            <w:tcW w:w="879" w:type="pct"/>
            <w:shd w:val="clear" w:color="auto" w:fill="auto"/>
            <w:vAlign w:val="center"/>
          </w:tcPr>
          <w:p w:rsidR="001D2CF9" w:rsidRPr="003B355D" w:rsidRDefault="001D2CF9" w:rsidP="00CB7AD2">
            <w:pPr>
              <w:pStyle w:val="TableText1"/>
              <w:jc w:val="center"/>
              <w:rPr>
                <w:b/>
              </w:rPr>
            </w:pPr>
            <w:r w:rsidRPr="003B355D">
              <w:rPr>
                <w:b/>
              </w:rPr>
              <w:t>Absolute difference</w:t>
            </w:r>
          </w:p>
        </w:tc>
        <w:tc>
          <w:tcPr>
            <w:tcW w:w="869" w:type="pct"/>
            <w:shd w:val="clear" w:color="auto" w:fill="auto"/>
            <w:vAlign w:val="center"/>
          </w:tcPr>
          <w:p w:rsidR="001D2CF9" w:rsidRPr="003B355D" w:rsidRDefault="001D2CF9" w:rsidP="00CB7AD2">
            <w:pPr>
              <w:pStyle w:val="TableText1"/>
              <w:jc w:val="center"/>
              <w:rPr>
                <w:b/>
                <w:vertAlign w:val="superscript"/>
              </w:rPr>
            </w:pPr>
            <w:r w:rsidRPr="003B355D">
              <w:rPr>
                <w:b/>
              </w:rPr>
              <w:t>RR (95% CI)</w:t>
            </w:r>
          </w:p>
        </w:tc>
      </w:tr>
      <w:tr w:rsidR="001D2CF9" w:rsidRPr="003B355D" w:rsidTr="00CB7AD2">
        <w:trPr>
          <w:trHeight w:val="56"/>
        </w:trPr>
        <w:tc>
          <w:tcPr>
            <w:tcW w:w="1490" w:type="pct"/>
            <w:shd w:val="clear" w:color="auto" w:fill="auto"/>
            <w:vAlign w:val="center"/>
          </w:tcPr>
          <w:p w:rsidR="001D2CF9" w:rsidRPr="003B355D" w:rsidRDefault="001D2CF9" w:rsidP="00CB7AD2">
            <w:pPr>
              <w:pStyle w:val="TableText1"/>
            </w:pPr>
            <w:r w:rsidRPr="003B355D">
              <w:t>Nausea</w:t>
            </w:r>
          </w:p>
        </w:tc>
        <w:tc>
          <w:tcPr>
            <w:tcW w:w="881" w:type="pct"/>
            <w:shd w:val="clear" w:color="auto" w:fill="auto"/>
            <w:vAlign w:val="center"/>
          </w:tcPr>
          <w:p w:rsidR="001D2CF9" w:rsidRPr="003B355D" w:rsidRDefault="001D2CF9" w:rsidP="00CB7AD2">
            <w:pPr>
              <w:pStyle w:val="TableText1"/>
              <w:jc w:val="center"/>
            </w:pPr>
            <w:r w:rsidRPr="003B355D">
              <w:t>175/4668 (3.7%)</w:t>
            </w:r>
          </w:p>
        </w:tc>
        <w:tc>
          <w:tcPr>
            <w:tcW w:w="881" w:type="pct"/>
            <w:shd w:val="clear" w:color="auto" w:fill="auto"/>
            <w:vAlign w:val="center"/>
          </w:tcPr>
          <w:p w:rsidR="001D2CF9" w:rsidRPr="003B355D" w:rsidRDefault="001D2CF9" w:rsidP="00CB7AD2">
            <w:pPr>
              <w:pStyle w:val="TableText1"/>
              <w:jc w:val="center"/>
            </w:pPr>
            <w:r w:rsidRPr="003B355D">
              <w:t>44/4672 (0.9%)</w:t>
            </w:r>
          </w:p>
        </w:tc>
        <w:tc>
          <w:tcPr>
            <w:tcW w:w="879" w:type="pct"/>
            <w:shd w:val="clear" w:color="auto" w:fill="auto"/>
            <w:vAlign w:val="center"/>
          </w:tcPr>
          <w:p w:rsidR="001D2CF9" w:rsidRPr="003B355D" w:rsidRDefault="001D2CF9" w:rsidP="00CB7AD2">
            <w:pPr>
              <w:pStyle w:val="TableText1"/>
              <w:jc w:val="center"/>
            </w:pPr>
            <w:r w:rsidRPr="003B355D">
              <w:t>2.8%</w:t>
            </w:r>
          </w:p>
        </w:tc>
        <w:tc>
          <w:tcPr>
            <w:tcW w:w="869" w:type="pct"/>
            <w:shd w:val="clear" w:color="auto" w:fill="auto"/>
            <w:vAlign w:val="center"/>
          </w:tcPr>
          <w:p w:rsidR="001D2CF9" w:rsidRPr="003B355D" w:rsidRDefault="001D2CF9" w:rsidP="00CB7AD2">
            <w:pPr>
              <w:pStyle w:val="TableText1"/>
              <w:jc w:val="center"/>
            </w:pPr>
            <w:r w:rsidRPr="003B355D">
              <w:t>NR</w:t>
            </w:r>
          </w:p>
        </w:tc>
      </w:tr>
      <w:tr w:rsidR="001D2CF9" w:rsidRPr="003B355D" w:rsidTr="00CB7AD2">
        <w:trPr>
          <w:trHeight w:val="56"/>
        </w:trPr>
        <w:tc>
          <w:tcPr>
            <w:tcW w:w="1490" w:type="pct"/>
            <w:shd w:val="clear" w:color="auto" w:fill="auto"/>
            <w:vAlign w:val="center"/>
          </w:tcPr>
          <w:p w:rsidR="001D2CF9" w:rsidRPr="003B355D" w:rsidRDefault="001D2CF9" w:rsidP="00CB7AD2">
            <w:pPr>
              <w:pStyle w:val="TableText1"/>
            </w:pPr>
            <w:r w:rsidRPr="003B355D">
              <w:t>Vomiting</w:t>
            </w:r>
          </w:p>
        </w:tc>
        <w:tc>
          <w:tcPr>
            <w:tcW w:w="881" w:type="pct"/>
            <w:shd w:val="clear" w:color="auto" w:fill="auto"/>
            <w:vAlign w:val="center"/>
          </w:tcPr>
          <w:p w:rsidR="001D2CF9" w:rsidRPr="003B355D" w:rsidRDefault="001D2CF9" w:rsidP="00CB7AD2">
            <w:pPr>
              <w:pStyle w:val="TableText1"/>
              <w:jc w:val="center"/>
            </w:pPr>
            <w:r w:rsidRPr="003B355D">
              <w:t>97/4668 (2.1%)</w:t>
            </w:r>
          </w:p>
        </w:tc>
        <w:tc>
          <w:tcPr>
            <w:tcW w:w="881" w:type="pct"/>
            <w:shd w:val="clear" w:color="auto" w:fill="auto"/>
            <w:vAlign w:val="center"/>
          </w:tcPr>
          <w:p w:rsidR="001D2CF9" w:rsidRPr="003B355D" w:rsidRDefault="001D2CF9" w:rsidP="00CB7AD2">
            <w:pPr>
              <w:pStyle w:val="TableText1"/>
              <w:jc w:val="center"/>
            </w:pPr>
            <w:r w:rsidRPr="003B355D">
              <w:t>24/4672 (0.5%)</w:t>
            </w:r>
          </w:p>
        </w:tc>
        <w:tc>
          <w:tcPr>
            <w:tcW w:w="879" w:type="pct"/>
            <w:shd w:val="clear" w:color="auto" w:fill="auto"/>
            <w:vAlign w:val="center"/>
          </w:tcPr>
          <w:p w:rsidR="001D2CF9" w:rsidRPr="003B355D" w:rsidRDefault="001D2CF9" w:rsidP="00CB7AD2">
            <w:pPr>
              <w:pStyle w:val="TableText1"/>
              <w:jc w:val="center"/>
            </w:pPr>
            <w:r w:rsidRPr="003B355D">
              <w:t>1.6%</w:t>
            </w:r>
          </w:p>
        </w:tc>
        <w:tc>
          <w:tcPr>
            <w:tcW w:w="869" w:type="pct"/>
            <w:shd w:val="clear" w:color="auto" w:fill="auto"/>
            <w:vAlign w:val="center"/>
          </w:tcPr>
          <w:p w:rsidR="001D2CF9" w:rsidRPr="003B355D" w:rsidRDefault="001D2CF9" w:rsidP="00CB7AD2">
            <w:pPr>
              <w:pStyle w:val="TableText1"/>
              <w:jc w:val="center"/>
            </w:pPr>
            <w:r w:rsidRPr="003B355D">
              <w:t>NR</w:t>
            </w:r>
          </w:p>
        </w:tc>
      </w:tr>
      <w:tr w:rsidR="001D2CF9" w:rsidRPr="003B355D" w:rsidTr="00CB7AD2">
        <w:trPr>
          <w:trHeight w:val="56"/>
        </w:trPr>
        <w:tc>
          <w:tcPr>
            <w:tcW w:w="1490" w:type="pct"/>
            <w:shd w:val="clear" w:color="auto" w:fill="auto"/>
            <w:vAlign w:val="center"/>
          </w:tcPr>
          <w:p w:rsidR="001D2CF9" w:rsidRPr="003B355D" w:rsidRDefault="001D2CF9" w:rsidP="00CB7AD2">
            <w:pPr>
              <w:pStyle w:val="TableText1"/>
            </w:pPr>
            <w:r w:rsidRPr="003B355D">
              <w:t>Gastrointestinal motility disorders</w:t>
            </w:r>
          </w:p>
        </w:tc>
        <w:tc>
          <w:tcPr>
            <w:tcW w:w="881" w:type="pct"/>
            <w:shd w:val="clear" w:color="auto" w:fill="auto"/>
            <w:vAlign w:val="center"/>
          </w:tcPr>
          <w:p w:rsidR="001D2CF9" w:rsidRPr="003B355D" w:rsidRDefault="001D2CF9" w:rsidP="00CB7AD2">
            <w:pPr>
              <w:pStyle w:val="TableText1"/>
              <w:jc w:val="center"/>
            </w:pPr>
            <w:r w:rsidRPr="003B355D">
              <w:t>140/4668 (3.0%)</w:t>
            </w:r>
          </w:p>
        </w:tc>
        <w:tc>
          <w:tcPr>
            <w:tcW w:w="881" w:type="pct"/>
            <w:shd w:val="clear" w:color="auto" w:fill="auto"/>
            <w:vAlign w:val="center"/>
          </w:tcPr>
          <w:p w:rsidR="001D2CF9" w:rsidRPr="003B355D" w:rsidRDefault="001D2CF9" w:rsidP="00CB7AD2">
            <w:pPr>
              <w:pStyle w:val="TableText1"/>
              <w:jc w:val="center"/>
            </w:pPr>
            <w:r w:rsidRPr="003B355D">
              <w:t xml:space="preserve">63/4672 (1.3%) </w:t>
            </w:r>
          </w:p>
        </w:tc>
        <w:tc>
          <w:tcPr>
            <w:tcW w:w="879" w:type="pct"/>
            <w:shd w:val="clear" w:color="auto" w:fill="auto"/>
            <w:vAlign w:val="center"/>
          </w:tcPr>
          <w:p w:rsidR="001D2CF9" w:rsidRPr="003B355D" w:rsidRDefault="001D2CF9" w:rsidP="00CB7AD2">
            <w:pPr>
              <w:pStyle w:val="TableText1"/>
              <w:jc w:val="center"/>
            </w:pPr>
            <w:r w:rsidRPr="003B355D">
              <w:t>1.7%</w:t>
            </w:r>
          </w:p>
        </w:tc>
        <w:tc>
          <w:tcPr>
            <w:tcW w:w="869" w:type="pct"/>
            <w:shd w:val="clear" w:color="auto" w:fill="auto"/>
            <w:vAlign w:val="center"/>
          </w:tcPr>
          <w:p w:rsidR="001D2CF9" w:rsidRPr="003B355D" w:rsidRDefault="001D2CF9" w:rsidP="00CB7AD2">
            <w:pPr>
              <w:pStyle w:val="TableText1"/>
              <w:jc w:val="center"/>
            </w:pPr>
            <w:r w:rsidRPr="003B355D">
              <w:t>NR</w:t>
            </w:r>
          </w:p>
        </w:tc>
      </w:tr>
    </w:tbl>
    <w:p w:rsidR="00CB7AD2" w:rsidRPr="003B355D" w:rsidRDefault="00CB7AD2" w:rsidP="00CB7AD2">
      <w:pPr>
        <w:pStyle w:val="TableFooter"/>
        <w:rPr>
          <w:szCs w:val="18"/>
        </w:rPr>
      </w:pPr>
      <w:r w:rsidRPr="003B355D">
        <w:t xml:space="preserve">Source: </w:t>
      </w:r>
      <w:r w:rsidRPr="003B355D">
        <w:rPr>
          <w:szCs w:val="18"/>
        </w:rPr>
        <w:t>Tables B.6.9, p.96, B.6.16, p.102 and Figure B.6.11, p.98, of the submission</w:t>
      </w:r>
    </w:p>
    <w:p w:rsidR="00CB7AD2" w:rsidRPr="003B355D" w:rsidRDefault="00CB7AD2" w:rsidP="00CB7AD2">
      <w:pPr>
        <w:pStyle w:val="TableFooter"/>
        <w:rPr>
          <w:szCs w:val="18"/>
        </w:rPr>
      </w:pPr>
      <w:r w:rsidRPr="003B355D">
        <w:rPr>
          <w:szCs w:val="18"/>
        </w:rPr>
        <w:t xml:space="preserve">NOTE: It may not be reasonable to extrapolate ratios of patients experiencing events during the trial period beyond 42 months </w:t>
      </w:r>
    </w:p>
    <w:p w:rsidR="00CB7AD2" w:rsidRPr="003B355D" w:rsidRDefault="00CB7AD2" w:rsidP="002C3067">
      <w:pPr>
        <w:pStyle w:val="ESnumberedpara"/>
        <w:numPr>
          <w:ilvl w:val="1"/>
          <w:numId w:val="34"/>
        </w:numPr>
        <w:rPr>
          <w:rFonts w:asciiTheme="minorHAnsi" w:hAnsiTheme="minorHAnsi"/>
          <w:sz w:val="24"/>
          <w:szCs w:val="24"/>
        </w:rPr>
      </w:pPr>
      <w:r w:rsidRPr="003B355D">
        <w:rPr>
          <w:rFonts w:asciiTheme="minorHAnsi" w:hAnsiTheme="minorHAnsi"/>
          <w:sz w:val="24"/>
          <w:szCs w:val="24"/>
        </w:rPr>
        <w:t xml:space="preserve">For every 100 patients treated </w:t>
      </w:r>
      <w:r w:rsidR="0032145C">
        <w:rPr>
          <w:rFonts w:asciiTheme="minorHAnsi" w:hAnsiTheme="minorHAnsi"/>
          <w:sz w:val="24"/>
          <w:szCs w:val="24"/>
        </w:rPr>
        <w:t xml:space="preserve">with </w:t>
      </w:r>
      <w:r w:rsidRPr="003B355D">
        <w:rPr>
          <w:rFonts w:asciiTheme="minorHAnsi" w:hAnsiTheme="minorHAnsi"/>
          <w:sz w:val="24"/>
          <w:szCs w:val="24"/>
        </w:rPr>
        <w:t>liraglutide compared with placebo (over 42 months) there would be:</w:t>
      </w:r>
    </w:p>
    <w:p w:rsidR="00CB7AD2" w:rsidRPr="003B355D" w:rsidRDefault="00CB7AD2" w:rsidP="00CB7AD2">
      <w:pPr>
        <w:pStyle w:val="ListParagraph"/>
        <w:widowControl/>
        <w:numPr>
          <w:ilvl w:val="0"/>
          <w:numId w:val="23"/>
        </w:numPr>
        <w:spacing w:before="120" w:after="160"/>
        <w:ind w:left="1134" w:hanging="425"/>
        <w:rPr>
          <w:rFonts w:asciiTheme="minorHAnsi" w:hAnsiTheme="minorHAnsi"/>
          <w:sz w:val="24"/>
          <w:szCs w:val="24"/>
        </w:rPr>
      </w:pPr>
      <w:r w:rsidRPr="003B355D">
        <w:rPr>
          <w:rFonts w:asciiTheme="minorHAnsi" w:hAnsiTheme="minorHAnsi"/>
          <w:sz w:val="24"/>
          <w:szCs w:val="24"/>
        </w:rPr>
        <w:t>Approximately 2 fewer patients experiencing a major cardiovascular event;</w:t>
      </w:r>
    </w:p>
    <w:p w:rsidR="00CB7AD2" w:rsidRPr="003B355D" w:rsidRDefault="00CB7AD2" w:rsidP="00CB7AD2">
      <w:pPr>
        <w:pStyle w:val="ListParagraph"/>
        <w:widowControl/>
        <w:numPr>
          <w:ilvl w:val="0"/>
          <w:numId w:val="23"/>
        </w:numPr>
        <w:spacing w:before="120" w:after="160"/>
        <w:ind w:left="1134" w:hanging="425"/>
        <w:rPr>
          <w:rFonts w:asciiTheme="minorHAnsi" w:hAnsiTheme="minorHAnsi"/>
          <w:sz w:val="24"/>
          <w:szCs w:val="24"/>
        </w:rPr>
      </w:pPr>
      <w:r w:rsidRPr="003B355D">
        <w:rPr>
          <w:rFonts w:asciiTheme="minorHAnsi" w:hAnsiTheme="minorHAnsi"/>
          <w:sz w:val="24"/>
          <w:szCs w:val="24"/>
        </w:rPr>
        <w:t>Approximately 1 fewer patient experiencing cardiovascular death;</w:t>
      </w:r>
    </w:p>
    <w:p w:rsidR="00CB7AD2" w:rsidRPr="003B355D" w:rsidRDefault="00CB7AD2" w:rsidP="00CB7AD2">
      <w:pPr>
        <w:pStyle w:val="ListParagraph"/>
        <w:widowControl/>
        <w:numPr>
          <w:ilvl w:val="0"/>
          <w:numId w:val="23"/>
        </w:numPr>
        <w:spacing w:before="120" w:after="160"/>
        <w:ind w:left="1134" w:hanging="425"/>
        <w:rPr>
          <w:rFonts w:asciiTheme="minorHAnsi" w:hAnsiTheme="minorHAnsi"/>
          <w:sz w:val="24"/>
          <w:szCs w:val="24"/>
        </w:rPr>
      </w:pPr>
      <w:r w:rsidRPr="003B355D">
        <w:rPr>
          <w:rFonts w:asciiTheme="minorHAnsi" w:hAnsiTheme="minorHAnsi"/>
          <w:sz w:val="24"/>
          <w:szCs w:val="24"/>
        </w:rPr>
        <w:t xml:space="preserve">Approximately 1 fewer patient experiencing death from any cause; </w:t>
      </w:r>
    </w:p>
    <w:p w:rsidR="001D2CF9" w:rsidRPr="003B355D" w:rsidRDefault="00CB7AD2" w:rsidP="001D2CF9">
      <w:pPr>
        <w:pStyle w:val="ListParagraph"/>
        <w:widowControl/>
        <w:numPr>
          <w:ilvl w:val="0"/>
          <w:numId w:val="23"/>
        </w:numPr>
        <w:spacing w:before="120" w:after="160"/>
        <w:ind w:left="1134" w:hanging="425"/>
        <w:rPr>
          <w:rFonts w:asciiTheme="minorHAnsi" w:hAnsiTheme="minorHAnsi"/>
          <w:sz w:val="24"/>
          <w:szCs w:val="24"/>
        </w:rPr>
      </w:pPr>
      <w:r w:rsidRPr="003B355D">
        <w:rPr>
          <w:rFonts w:asciiTheme="minorHAnsi" w:hAnsiTheme="minorHAnsi"/>
          <w:sz w:val="24"/>
          <w:szCs w:val="24"/>
        </w:rPr>
        <w:t>Approximately 1 fewer patient experiencing a microvascular nephropathy event</w:t>
      </w:r>
      <w:r w:rsidR="003524A0" w:rsidRPr="003B355D">
        <w:rPr>
          <w:rFonts w:asciiTheme="minorHAnsi" w:hAnsiTheme="minorHAnsi"/>
          <w:sz w:val="24"/>
          <w:szCs w:val="24"/>
        </w:rPr>
        <w:t>; and</w:t>
      </w:r>
    </w:p>
    <w:p w:rsidR="001D2CF9" w:rsidRPr="003B355D" w:rsidRDefault="001D2CF9" w:rsidP="001D2CF9">
      <w:pPr>
        <w:pStyle w:val="ListParagraph"/>
        <w:widowControl/>
        <w:numPr>
          <w:ilvl w:val="0"/>
          <w:numId w:val="23"/>
        </w:numPr>
        <w:spacing w:before="120" w:after="160"/>
        <w:ind w:left="1134" w:hanging="425"/>
        <w:rPr>
          <w:rFonts w:asciiTheme="minorHAnsi" w:hAnsiTheme="minorHAnsi"/>
          <w:sz w:val="24"/>
          <w:szCs w:val="24"/>
        </w:rPr>
      </w:pPr>
      <w:r w:rsidRPr="003B355D">
        <w:rPr>
          <w:rFonts w:asciiTheme="minorHAnsi" w:hAnsiTheme="minorHAnsi"/>
          <w:sz w:val="24"/>
          <w:szCs w:val="24"/>
        </w:rPr>
        <w:t>Approximately 1 fewer patient experiencing a severe hypoglycaemia event.</w:t>
      </w:r>
    </w:p>
    <w:p w:rsidR="00255F67" w:rsidRPr="003B355D" w:rsidRDefault="00255F67" w:rsidP="00255F67">
      <w:pPr>
        <w:pStyle w:val="ListParagraph"/>
        <w:widowControl/>
        <w:spacing w:before="120" w:after="160"/>
        <w:ind w:left="1134"/>
        <w:rPr>
          <w:rFonts w:asciiTheme="minorHAnsi" w:hAnsiTheme="minorHAnsi"/>
          <w:sz w:val="24"/>
          <w:szCs w:val="24"/>
        </w:rPr>
      </w:pPr>
    </w:p>
    <w:p w:rsidR="00C55D24" w:rsidRPr="003B355D" w:rsidRDefault="00C55D24" w:rsidP="002C3067">
      <w:pPr>
        <w:pStyle w:val="ListParagraph"/>
        <w:widowControl/>
        <w:numPr>
          <w:ilvl w:val="1"/>
          <w:numId w:val="34"/>
        </w:numPr>
        <w:spacing w:before="120" w:after="160"/>
        <w:contextualSpacing w:val="0"/>
        <w:rPr>
          <w:rFonts w:asciiTheme="minorHAnsi" w:hAnsiTheme="minorHAnsi"/>
          <w:sz w:val="24"/>
          <w:szCs w:val="24"/>
        </w:rPr>
      </w:pPr>
      <w:r w:rsidRPr="003B355D">
        <w:rPr>
          <w:rFonts w:asciiTheme="minorHAnsi" w:hAnsiTheme="minorHAnsi"/>
          <w:sz w:val="24"/>
          <w:szCs w:val="24"/>
        </w:rPr>
        <w:t xml:space="preserve">For every 100 patients treated </w:t>
      </w:r>
      <w:r w:rsidR="0032145C">
        <w:rPr>
          <w:rFonts w:asciiTheme="minorHAnsi" w:hAnsiTheme="minorHAnsi"/>
          <w:sz w:val="24"/>
          <w:szCs w:val="24"/>
        </w:rPr>
        <w:t xml:space="preserve">with </w:t>
      </w:r>
      <w:r w:rsidRPr="003B355D">
        <w:rPr>
          <w:rFonts w:asciiTheme="minorHAnsi" w:hAnsiTheme="minorHAnsi"/>
          <w:sz w:val="24"/>
          <w:szCs w:val="24"/>
        </w:rPr>
        <w:t>liraglutide compared with placebo (over 42 months) there would be:</w:t>
      </w:r>
    </w:p>
    <w:p w:rsidR="00C55D24" w:rsidRPr="003B355D" w:rsidRDefault="00C55D24" w:rsidP="00D54241">
      <w:pPr>
        <w:pStyle w:val="ListParagraph"/>
        <w:widowControl/>
        <w:numPr>
          <w:ilvl w:val="0"/>
          <w:numId w:val="23"/>
        </w:numPr>
        <w:spacing w:before="120" w:after="160"/>
        <w:ind w:left="1134" w:hanging="425"/>
        <w:rPr>
          <w:rFonts w:asciiTheme="minorHAnsi" w:hAnsiTheme="minorHAnsi"/>
          <w:sz w:val="24"/>
          <w:szCs w:val="24"/>
        </w:rPr>
      </w:pPr>
      <w:r w:rsidRPr="003B355D">
        <w:rPr>
          <w:rFonts w:asciiTheme="minorHAnsi" w:hAnsiTheme="minorHAnsi"/>
          <w:sz w:val="24"/>
          <w:szCs w:val="24"/>
        </w:rPr>
        <w:t>Approximately 3 additional patients experiencing nausea;</w:t>
      </w:r>
    </w:p>
    <w:p w:rsidR="00C55D24" w:rsidRPr="003B355D" w:rsidRDefault="00C55D24" w:rsidP="00D54241">
      <w:pPr>
        <w:pStyle w:val="ListParagraph"/>
        <w:widowControl/>
        <w:numPr>
          <w:ilvl w:val="0"/>
          <w:numId w:val="23"/>
        </w:numPr>
        <w:spacing w:before="120" w:after="160"/>
        <w:ind w:left="1134" w:hanging="425"/>
        <w:rPr>
          <w:rFonts w:asciiTheme="minorHAnsi" w:hAnsiTheme="minorHAnsi"/>
          <w:sz w:val="24"/>
          <w:szCs w:val="24"/>
        </w:rPr>
      </w:pPr>
      <w:r w:rsidRPr="003B355D">
        <w:rPr>
          <w:rFonts w:asciiTheme="minorHAnsi" w:hAnsiTheme="minorHAnsi"/>
          <w:sz w:val="24"/>
          <w:szCs w:val="24"/>
        </w:rPr>
        <w:t>Approximately 2 additional patients experiencing vomiting; and</w:t>
      </w:r>
    </w:p>
    <w:p w:rsidR="00C55D24" w:rsidRPr="003B355D" w:rsidRDefault="00C55D24" w:rsidP="00D54241">
      <w:pPr>
        <w:pStyle w:val="ListParagraph"/>
        <w:widowControl/>
        <w:numPr>
          <w:ilvl w:val="0"/>
          <w:numId w:val="23"/>
        </w:numPr>
        <w:spacing w:before="120" w:after="160"/>
        <w:ind w:left="1134" w:hanging="425"/>
        <w:rPr>
          <w:rFonts w:asciiTheme="minorHAnsi" w:hAnsiTheme="minorHAnsi"/>
          <w:sz w:val="24"/>
          <w:szCs w:val="24"/>
        </w:rPr>
      </w:pPr>
      <w:r w:rsidRPr="003B355D">
        <w:rPr>
          <w:rFonts w:asciiTheme="minorHAnsi" w:hAnsiTheme="minorHAnsi"/>
          <w:sz w:val="24"/>
          <w:szCs w:val="24"/>
        </w:rPr>
        <w:t>Approximately 2 additional patients experiencing gastrointestinal motility disorder.</w:t>
      </w:r>
    </w:p>
    <w:p w:rsidR="00137F8D" w:rsidRPr="003B355D" w:rsidRDefault="00137F8D" w:rsidP="001F6B1E">
      <w:pPr>
        <w:pStyle w:val="Heading2"/>
        <w:spacing w:before="120" w:after="160"/>
        <w:rPr>
          <w:rFonts w:eastAsiaTheme="majorEastAsia"/>
          <w:i/>
          <w:snapToGrid/>
        </w:rPr>
      </w:pPr>
      <w:bookmarkStart w:id="32" w:name="_Toc482048979"/>
      <w:r w:rsidRPr="003B355D">
        <w:rPr>
          <w:rFonts w:eastAsiaTheme="majorEastAsia"/>
          <w:i/>
          <w:snapToGrid/>
        </w:rPr>
        <w:t>Clinical claim</w:t>
      </w:r>
      <w:bookmarkEnd w:id="30"/>
      <w:bookmarkEnd w:id="31"/>
      <w:bookmarkEnd w:id="32"/>
    </w:p>
    <w:p w:rsidR="00165832" w:rsidRPr="003B355D" w:rsidRDefault="00165832" w:rsidP="002C3067">
      <w:pPr>
        <w:pStyle w:val="ListParagraph"/>
        <w:widowControl/>
        <w:numPr>
          <w:ilvl w:val="1"/>
          <w:numId w:val="34"/>
        </w:numPr>
        <w:spacing w:before="120" w:after="160"/>
        <w:contextualSpacing w:val="0"/>
        <w:rPr>
          <w:rFonts w:asciiTheme="minorHAnsi" w:hAnsiTheme="minorHAnsi"/>
          <w:sz w:val="24"/>
          <w:szCs w:val="24"/>
        </w:rPr>
      </w:pPr>
      <w:bookmarkStart w:id="33" w:name="_Toc413139282"/>
      <w:bookmarkStart w:id="34" w:name="_Toc476306892"/>
      <w:r w:rsidRPr="003B355D">
        <w:rPr>
          <w:rFonts w:asciiTheme="minorHAnsi" w:hAnsiTheme="minorHAnsi"/>
          <w:sz w:val="24"/>
          <w:szCs w:val="24"/>
        </w:rPr>
        <w:t>The submission noted that liraglutide was considered to be non</w:t>
      </w:r>
      <w:r w:rsidR="003B355D">
        <w:rPr>
          <w:rFonts w:asciiTheme="minorHAnsi" w:hAnsiTheme="minorHAnsi"/>
          <w:sz w:val="24"/>
          <w:szCs w:val="24"/>
        </w:rPr>
        <w:t>-</w:t>
      </w:r>
      <w:r w:rsidRPr="003B355D">
        <w:rPr>
          <w:rFonts w:asciiTheme="minorHAnsi" w:hAnsiTheme="minorHAnsi"/>
          <w:sz w:val="24"/>
          <w:szCs w:val="24"/>
        </w:rPr>
        <w:t>inferior to exenatide 10 µg twice daily in terms of glycaemic control and safety by the PBAC at the March 2013 meeting.</w:t>
      </w:r>
    </w:p>
    <w:p w:rsidR="00165832" w:rsidRPr="003B355D" w:rsidRDefault="00165832" w:rsidP="002C3067">
      <w:pPr>
        <w:pStyle w:val="ListParagraph"/>
        <w:widowControl/>
        <w:numPr>
          <w:ilvl w:val="1"/>
          <w:numId w:val="34"/>
        </w:numPr>
        <w:spacing w:before="120" w:after="160"/>
        <w:contextualSpacing w:val="0"/>
        <w:rPr>
          <w:rFonts w:asciiTheme="minorHAnsi" w:hAnsiTheme="minorHAnsi"/>
          <w:sz w:val="24"/>
          <w:szCs w:val="24"/>
        </w:rPr>
      </w:pPr>
      <w:r w:rsidRPr="003B355D">
        <w:rPr>
          <w:rFonts w:asciiTheme="minorHAnsi" w:hAnsiTheme="minorHAnsi"/>
          <w:sz w:val="24"/>
          <w:szCs w:val="24"/>
        </w:rPr>
        <w:t xml:space="preserve">The submission described liraglutide as superior in terms of comparative effectiveness over exenatide, providing a statistically significant reduction in cardiovascular risk in patients with Type 2 diabetes and high cardiovascular risk. </w:t>
      </w:r>
      <w:r w:rsidR="009D4FB4" w:rsidRPr="003B355D">
        <w:rPr>
          <w:rFonts w:asciiTheme="minorHAnsi" w:hAnsiTheme="minorHAnsi"/>
          <w:sz w:val="24"/>
          <w:szCs w:val="24"/>
        </w:rPr>
        <w:t>This claim wa</w:t>
      </w:r>
      <w:r w:rsidRPr="003B355D">
        <w:rPr>
          <w:rFonts w:asciiTheme="minorHAnsi" w:hAnsiTheme="minorHAnsi"/>
          <w:sz w:val="24"/>
          <w:szCs w:val="24"/>
        </w:rPr>
        <w:t>s not adequately supported given the following:</w:t>
      </w:r>
    </w:p>
    <w:p w:rsidR="00102A6C" w:rsidRPr="003B355D" w:rsidRDefault="00165832" w:rsidP="00D54241">
      <w:pPr>
        <w:numPr>
          <w:ilvl w:val="0"/>
          <w:numId w:val="1"/>
        </w:numPr>
        <w:ind w:leftChars="386" w:left="1274" w:hanging="425"/>
        <w:rPr>
          <w:rFonts w:asciiTheme="minorHAnsi" w:hAnsiTheme="minorHAnsi"/>
          <w:sz w:val="24"/>
          <w:szCs w:val="24"/>
        </w:rPr>
      </w:pPr>
      <w:r w:rsidRPr="003B355D">
        <w:rPr>
          <w:rFonts w:asciiTheme="minorHAnsi" w:hAnsiTheme="minorHAnsi"/>
          <w:sz w:val="24"/>
          <w:szCs w:val="24"/>
        </w:rPr>
        <w:lastRenderedPageBreak/>
        <w:t>The single randomised controlled trial included in the submission compared liraglutide to placebo (with standard care) in the requested population and it was assumed that placebo was a reasonable proxy for exenatide in terms of cardiovascular outcomes. No clinical trial data for the cardiovascular outcomes of exenatide in the requested population were presented in the submission</w:t>
      </w:r>
      <w:r w:rsidR="00A25C25" w:rsidRPr="003B355D">
        <w:rPr>
          <w:rFonts w:asciiTheme="minorHAnsi" w:hAnsiTheme="minorHAnsi"/>
          <w:sz w:val="24"/>
          <w:szCs w:val="24"/>
        </w:rPr>
        <w:t>. The meta analyses referred to in the PSCR</w:t>
      </w:r>
      <w:r w:rsidR="007A740C" w:rsidRPr="003B355D">
        <w:rPr>
          <w:rFonts w:asciiTheme="minorHAnsi" w:hAnsiTheme="minorHAnsi"/>
          <w:sz w:val="24"/>
          <w:szCs w:val="24"/>
        </w:rPr>
        <w:t xml:space="preserve"> (pp.2-3)</w:t>
      </w:r>
      <w:r w:rsidR="00A25C25" w:rsidRPr="003B355D">
        <w:rPr>
          <w:rFonts w:asciiTheme="minorHAnsi" w:hAnsiTheme="minorHAnsi"/>
          <w:sz w:val="24"/>
          <w:szCs w:val="24"/>
        </w:rPr>
        <w:t xml:space="preserve"> </w:t>
      </w:r>
      <w:r w:rsidR="0032145C">
        <w:rPr>
          <w:rFonts w:asciiTheme="minorHAnsi" w:hAnsiTheme="minorHAnsi"/>
          <w:sz w:val="24"/>
          <w:szCs w:val="24"/>
        </w:rPr>
        <w:t xml:space="preserve">as </w:t>
      </w:r>
      <w:r w:rsidR="00A25C25" w:rsidRPr="003B355D">
        <w:rPr>
          <w:rFonts w:asciiTheme="minorHAnsi" w:hAnsiTheme="minorHAnsi"/>
          <w:sz w:val="24"/>
          <w:szCs w:val="24"/>
        </w:rPr>
        <w:t>showing no benefit for exenatide similarly showed no benefit for liraglutide</w:t>
      </w:r>
      <w:r w:rsidRPr="003B355D">
        <w:rPr>
          <w:rFonts w:asciiTheme="minorHAnsi" w:hAnsiTheme="minorHAnsi"/>
          <w:sz w:val="24"/>
          <w:szCs w:val="24"/>
        </w:rPr>
        <w:t>;</w:t>
      </w:r>
      <w:r w:rsidR="00102A6C" w:rsidRPr="003B355D" w:rsidDel="00102A6C">
        <w:rPr>
          <w:rFonts w:asciiTheme="minorHAnsi" w:hAnsiTheme="minorHAnsi"/>
          <w:sz w:val="24"/>
          <w:szCs w:val="24"/>
        </w:rPr>
        <w:t xml:space="preserve"> </w:t>
      </w:r>
      <w:r w:rsidR="009D4FB4" w:rsidRPr="003B355D">
        <w:rPr>
          <w:rFonts w:asciiTheme="minorHAnsi" w:hAnsiTheme="minorHAnsi"/>
          <w:sz w:val="24"/>
          <w:szCs w:val="24"/>
        </w:rPr>
        <w:t>and</w:t>
      </w:r>
    </w:p>
    <w:p w:rsidR="00165832" w:rsidRPr="003B355D" w:rsidRDefault="00165832" w:rsidP="00D54241">
      <w:pPr>
        <w:numPr>
          <w:ilvl w:val="0"/>
          <w:numId w:val="1"/>
        </w:numPr>
        <w:spacing w:before="120" w:after="160"/>
        <w:ind w:leftChars="386" w:left="1274" w:hanging="425"/>
        <w:rPr>
          <w:rFonts w:asciiTheme="minorHAnsi" w:hAnsiTheme="minorHAnsi"/>
          <w:sz w:val="24"/>
          <w:szCs w:val="24"/>
        </w:rPr>
      </w:pPr>
      <w:r w:rsidRPr="003B355D">
        <w:rPr>
          <w:rFonts w:asciiTheme="minorHAnsi" w:hAnsiTheme="minorHAnsi"/>
          <w:sz w:val="24"/>
          <w:szCs w:val="24"/>
        </w:rPr>
        <w:t xml:space="preserve">The comparative efficacy of liraglutide versus exenatide in combination therapy with insulin has not previously been considered by the PBAC and no clinical trial data relevant to this comparison was presented in the submission. </w:t>
      </w:r>
    </w:p>
    <w:p w:rsidR="00810BFC" w:rsidRPr="003B355D" w:rsidRDefault="00810BFC" w:rsidP="00D54241">
      <w:pPr>
        <w:numPr>
          <w:ilvl w:val="0"/>
          <w:numId w:val="1"/>
        </w:numPr>
        <w:spacing w:before="120" w:after="160"/>
        <w:ind w:leftChars="386" w:left="1274" w:hanging="425"/>
        <w:rPr>
          <w:rFonts w:asciiTheme="minorHAnsi" w:hAnsiTheme="minorHAnsi"/>
          <w:sz w:val="24"/>
          <w:szCs w:val="24"/>
        </w:rPr>
      </w:pPr>
      <w:r w:rsidRPr="003B355D">
        <w:rPr>
          <w:rFonts w:asciiTheme="minorHAnsi" w:hAnsiTheme="minorHAnsi"/>
          <w:i/>
          <w:sz w:val="24"/>
          <w:szCs w:val="24"/>
        </w:rPr>
        <w:t xml:space="preserve"> </w:t>
      </w:r>
      <w:r w:rsidRPr="003B355D">
        <w:rPr>
          <w:rFonts w:asciiTheme="minorHAnsi" w:hAnsiTheme="minorHAnsi"/>
          <w:sz w:val="24"/>
          <w:szCs w:val="24"/>
        </w:rPr>
        <w:t>The ESC advised that liraglutide did demonstrate cardiovascular benefit and reduced death over placebo.</w:t>
      </w:r>
    </w:p>
    <w:p w:rsidR="00165832" w:rsidRPr="003B355D" w:rsidRDefault="00165832" w:rsidP="002C3067">
      <w:pPr>
        <w:pStyle w:val="ESnumberedparablue"/>
        <w:numPr>
          <w:ilvl w:val="1"/>
          <w:numId w:val="34"/>
        </w:numPr>
        <w:rPr>
          <w:rFonts w:asciiTheme="minorHAnsi" w:hAnsiTheme="minorHAnsi"/>
          <w:color w:val="auto"/>
          <w:sz w:val="24"/>
          <w:szCs w:val="24"/>
        </w:rPr>
      </w:pPr>
      <w:r w:rsidRPr="003B355D">
        <w:rPr>
          <w:rFonts w:asciiTheme="minorHAnsi" w:hAnsiTheme="minorHAnsi"/>
          <w:color w:val="auto"/>
          <w:sz w:val="24"/>
          <w:szCs w:val="24"/>
        </w:rPr>
        <w:t xml:space="preserve">The submission described liraglutide as similar to exenatide in terms of comparative safety. This claim is not supported </w:t>
      </w:r>
      <w:r w:rsidR="00573CBF" w:rsidRPr="003B355D">
        <w:rPr>
          <w:rFonts w:asciiTheme="minorHAnsi" w:hAnsiTheme="minorHAnsi"/>
          <w:color w:val="auto"/>
          <w:sz w:val="24"/>
          <w:szCs w:val="24"/>
        </w:rPr>
        <w:t xml:space="preserve">by </w:t>
      </w:r>
      <w:r w:rsidRPr="003B355D">
        <w:rPr>
          <w:rFonts w:asciiTheme="minorHAnsi" w:hAnsiTheme="minorHAnsi"/>
          <w:color w:val="auto"/>
          <w:sz w:val="24"/>
          <w:szCs w:val="24"/>
        </w:rPr>
        <w:t xml:space="preserve">comparative trial data for exenatide in the requested population. The claim of similar safety compared to exenatide was based on post marketing data in the broader Type 2 diabetes population. </w:t>
      </w:r>
      <w:r w:rsidR="00102A6C" w:rsidRPr="003B355D">
        <w:rPr>
          <w:rFonts w:asciiTheme="minorHAnsi" w:hAnsiTheme="minorHAnsi"/>
          <w:color w:val="auto"/>
          <w:sz w:val="24"/>
          <w:szCs w:val="24"/>
        </w:rPr>
        <w:t xml:space="preserve">However, the PBAC has previously considered liraglutide 1.2 mg once daily to be non-inferior to exenatide 10 </w:t>
      </w:r>
      <w:r w:rsidR="00102A6C" w:rsidRPr="003B355D">
        <w:rPr>
          <w:rFonts w:asciiTheme="minorHAnsi" w:hAnsiTheme="minorHAnsi" w:cs="Arial"/>
          <w:color w:val="auto"/>
          <w:sz w:val="24"/>
          <w:szCs w:val="24"/>
        </w:rPr>
        <w:t>µ</w:t>
      </w:r>
      <w:r w:rsidR="00102A6C" w:rsidRPr="003B355D">
        <w:rPr>
          <w:rFonts w:asciiTheme="minorHAnsi" w:hAnsiTheme="minorHAnsi"/>
          <w:color w:val="auto"/>
          <w:sz w:val="24"/>
          <w:szCs w:val="24"/>
        </w:rPr>
        <w:t>g twice daily in terms of safety in dual and triple combination therapy (March 2013 liraglutide PSD, paragraph 12).</w:t>
      </w:r>
    </w:p>
    <w:p w:rsidR="00A40A52" w:rsidRPr="00A23214" w:rsidRDefault="00A40A52" w:rsidP="00120261">
      <w:pPr>
        <w:pStyle w:val="ListParagraph"/>
        <w:widowControl/>
        <w:numPr>
          <w:ilvl w:val="1"/>
          <w:numId w:val="34"/>
        </w:numPr>
        <w:spacing w:after="120"/>
        <w:contextualSpacing w:val="0"/>
        <w:rPr>
          <w:rFonts w:asciiTheme="minorHAnsi" w:hAnsiTheme="minorHAnsi"/>
          <w:sz w:val="24"/>
          <w:szCs w:val="24"/>
        </w:rPr>
      </w:pPr>
      <w:bookmarkStart w:id="35" w:name="_Toc482048980"/>
      <w:r w:rsidRPr="003B355D">
        <w:rPr>
          <w:rFonts w:asciiTheme="minorHAnsi" w:hAnsiTheme="minorHAnsi"/>
          <w:sz w:val="24"/>
          <w:szCs w:val="24"/>
        </w:rPr>
        <w:t xml:space="preserve">The PBAC considered that the claim superior comparative effectiveness </w:t>
      </w:r>
      <w:r w:rsidR="00F67EE5" w:rsidRPr="003B355D">
        <w:rPr>
          <w:rFonts w:asciiTheme="minorHAnsi" w:hAnsiTheme="minorHAnsi"/>
          <w:sz w:val="24"/>
          <w:szCs w:val="24"/>
        </w:rPr>
        <w:t>of liraglutide 1.8mg daily</w:t>
      </w:r>
      <w:r w:rsidR="00F67EE5" w:rsidRPr="003B355D">
        <w:t xml:space="preserve"> </w:t>
      </w:r>
      <w:r w:rsidR="00F67EE5" w:rsidRPr="003B355D">
        <w:rPr>
          <w:rFonts w:asciiTheme="minorHAnsi" w:hAnsiTheme="minorHAnsi"/>
          <w:sz w:val="24"/>
          <w:szCs w:val="24"/>
        </w:rPr>
        <w:t xml:space="preserve">for patients with T2DM at high cardiovascular risk compared with exenatide 10 µg twice daily </w:t>
      </w:r>
      <w:r w:rsidRPr="003B355D">
        <w:rPr>
          <w:rFonts w:asciiTheme="minorHAnsi" w:hAnsiTheme="minorHAnsi"/>
          <w:sz w:val="24"/>
          <w:szCs w:val="24"/>
        </w:rPr>
        <w:t xml:space="preserve">was </w:t>
      </w:r>
      <w:r w:rsidR="00120261" w:rsidRPr="003B355D">
        <w:rPr>
          <w:rFonts w:asciiTheme="minorHAnsi" w:hAnsiTheme="minorHAnsi"/>
          <w:sz w:val="24"/>
          <w:szCs w:val="24"/>
        </w:rPr>
        <w:t xml:space="preserve">not </w:t>
      </w:r>
      <w:r w:rsidRPr="003B355D">
        <w:rPr>
          <w:rFonts w:asciiTheme="minorHAnsi" w:hAnsiTheme="minorHAnsi"/>
          <w:sz w:val="24"/>
          <w:szCs w:val="24"/>
        </w:rPr>
        <w:t>reasonable</w:t>
      </w:r>
      <w:r w:rsidR="00120261" w:rsidRPr="003B355D">
        <w:rPr>
          <w:rFonts w:asciiTheme="minorHAnsi" w:hAnsiTheme="minorHAnsi"/>
          <w:sz w:val="24"/>
          <w:szCs w:val="24"/>
        </w:rPr>
        <w:t xml:space="preserve"> due to </w:t>
      </w:r>
      <w:r w:rsidR="009377C6" w:rsidRPr="003B355D">
        <w:rPr>
          <w:rFonts w:asciiTheme="minorHAnsi" w:hAnsiTheme="minorHAnsi"/>
          <w:sz w:val="24"/>
          <w:szCs w:val="24"/>
        </w:rPr>
        <w:t xml:space="preserve">a lack of supporting clinical </w:t>
      </w:r>
      <w:r w:rsidR="009377C6" w:rsidRPr="00A23214">
        <w:rPr>
          <w:rFonts w:asciiTheme="minorHAnsi" w:hAnsiTheme="minorHAnsi"/>
          <w:sz w:val="24"/>
          <w:szCs w:val="24"/>
        </w:rPr>
        <w:t xml:space="preserve">evidence that excludes the cardiovascular effects of exenatide. </w:t>
      </w:r>
    </w:p>
    <w:p w:rsidR="00A40A52" w:rsidRPr="003B355D" w:rsidRDefault="00A40A52" w:rsidP="005B33F2">
      <w:pPr>
        <w:pStyle w:val="ListParagraph"/>
        <w:widowControl/>
        <w:numPr>
          <w:ilvl w:val="1"/>
          <w:numId w:val="34"/>
        </w:numPr>
        <w:spacing w:before="120" w:after="160"/>
        <w:contextualSpacing w:val="0"/>
        <w:rPr>
          <w:rFonts w:asciiTheme="minorHAnsi" w:eastAsiaTheme="majorEastAsia" w:hAnsiTheme="minorHAnsi"/>
          <w:i/>
          <w:snapToGrid/>
          <w:sz w:val="24"/>
          <w:szCs w:val="24"/>
        </w:rPr>
      </w:pPr>
      <w:r w:rsidRPr="003B355D">
        <w:rPr>
          <w:rFonts w:asciiTheme="minorHAnsi" w:hAnsiTheme="minorHAnsi"/>
          <w:sz w:val="24"/>
          <w:szCs w:val="24"/>
        </w:rPr>
        <w:t xml:space="preserve">The PBAC </w:t>
      </w:r>
      <w:r w:rsidR="005B33F2" w:rsidRPr="003B355D">
        <w:rPr>
          <w:rFonts w:asciiTheme="minorHAnsi" w:hAnsiTheme="minorHAnsi"/>
          <w:sz w:val="24"/>
          <w:szCs w:val="24"/>
        </w:rPr>
        <w:t xml:space="preserve">recalled their previous recommendation from March 2013 and </w:t>
      </w:r>
      <w:r w:rsidRPr="003B355D">
        <w:rPr>
          <w:rFonts w:asciiTheme="minorHAnsi" w:hAnsiTheme="minorHAnsi"/>
          <w:sz w:val="24"/>
          <w:szCs w:val="24"/>
        </w:rPr>
        <w:t>considered that the claim of non-inferior comparative safety was reasonable</w:t>
      </w:r>
      <w:r w:rsidR="00A7634C" w:rsidRPr="003B355D">
        <w:rPr>
          <w:rFonts w:asciiTheme="minorHAnsi" w:hAnsiTheme="minorHAnsi"/>
          <w:sz w:val="24"/>
          <w:szCs w:val="24"/>
        </w:rPr>
        <w:t xml:space="preserve"> </w:t>
      </w:r>
      <w:r w:rsidR="005B33F2" w:rsidRPr="003B355D">
        <w:rPr>
          <w:rFonts w:asciiTheme="minorHAnsi" w:hAnsiTheme="minorHAnsi"/>
          <w:sz w:val="24"/>
          <w:szCs w:val="24"/>
        </w:rPr>
        <w:t>for liraglutide 1.2</w:t>
      </w:r>
      <w:r w:rsidR="005E356C" w:rsidRPr="003B355D">
        <w:rPr>
          <w:rFonts w:asciiTheme="minorHAnsi" w:hAnsiTheme="minorHAnsi"/>
          <w:sz w:val="24"/>
          <w:szCs w:val="24"/>
        </w:rPr>
        <w:t> </w:t>
      </w:r>
      <w:r w:rsidR="005B33F2" w:rsidRPr="003B355D">
        <w:rPr>
          <w:rFonts w:asciiTheme="minorHAnsi" w:hAnsiTheme="minorHAnsi"/>
          <w:sz w:val="24"/>
          <w:szCs w:val="24"/>
        </w:rPr>
        <w:t xml:space="preserve">mg once daily compared to exenatide 10 µg twice daily in terms of safety in dual and triple combination therapy. </w:t>
      </w:r>
    </w:p>
    <w:p w:rsidR="009377C6" w:rsidRPr="003B355D" w:rsidRDefault="009377C6" w:rsidP="009377C6">
      <w:pPr>
        <w:pStyle w:val="ESnumberedparablue"/>
        <w:rPr>
          <w:rFonts w:ascii="Arial Narrow" w:eastAsia="Arial Narrow" w:hAnsi="Arial Narrow" w:cs="Arial Narrow"/>
          <w:i/>
          <w:sz w:val="18"/>
          <w:szCs w:val="18"/>
        </w:rPr>
      </w:pPr>
      <w:r w:rsidRPr="003B355D">
        <w:rPr>
          <w:rFonts w:asciiTheme="minorHAnsi" w:hAnsiTheme="minorHAnsi"/>
          <w:i/>
          <w:color w:val="auto"/>
          <w:sz w:val="24"/>
          <w:szCs w:val="24"/>
        </w:rPr>
        <w:t>For more detail on PBAC’s view, see section 7 “PBAC outcome”</w:t>
      </w:r>
    </w:p>
    <w:p w:rsidR="00137F8D" w:rsidRPr="003B355D" w:rsidRDefault="00137F8D" w:rsidP="001F6B1E">
      <w:pPr>
        <w:pStyle w:val="Heading2"/>
        <w:spacing w:before="120" w:after="160"/>
        <w:rPr>
          <w:rFonts w:asciiTheme="minorHAnsi" w:eastAsiaTheme="majorEastAsia" w:hAnsiTheme="minorHAnsi"/>
          <w:i/>
          <w:snapToGrid/>
          <w:sz w:val="24"/>
          <w:szCs w:val="24"/>
        </w:rPr>
      </w:pPr>
      <w:r w:rsidRPr="003B355D">
        <w:rPr>
          <w:rFonts w:asciiTheme="minorHAnsi" w:eastAsiaTheme="majorEastAsia" w:hAnsiTheme="minorHAnsi"/>
          <w:i/>
          <w:snapToGrid/>
          <w:sz w:val="24"/>
          <w:szCs w:val="24"/>
        </w:rPr>
        <w:t>Economic analysis</w:t>
      </w:r>
      <w:bookmarkEnd w:id="33"/>
      <w:bookmarkEnd w:id="34"/>
      <w:bookmarkEnd w:id="35"/>
    </w:p>
    <w:p w:rsidR="000661C9" w:rsidRPr="003B355D" w:rsidRDefault="000661C9" w:rsidP="002C3067">
      <w:pPr>
        <w:pStyle w:val="ESnumberedparablue"/>
        <w:numPr>
          <w:ilvl w:val="1"/>
          <w:numId w:val="34"/>
        </w:numPr>
        <w:rPr>
          <w:rFonts w:asciiTheme="minorHAnsi" w:hAnsiTheme="minorHAnsi"/>
          <w:color w:val="auto"/>
          <w:sz w:val="24"/>
          <w:szCs w:val="24"/>
        </w:rPr>
      </w:pPr>
      <w:r w:rsidRPr="003B355D">
        <w:rPr>
          <w:rFonts w:asciiTheme="minorHAnsi" w:hAnsiTheme="minorHAnsi"/>
          <w:color w:val="auto"/>
          <w:sz w:val="24"/>
          <w:szCs w:val="24"/>
        </w:rPr>
        <w:t>The submission presented a modelled cost utility analysis comparing the cardiovascular benefits of liraglutide wi</w:t>
      </w:r>
      <w:r w:rsidR="00994CF2" w:rsidRPr="003B355D">
        <w:rPr>
          <w:rFonts w:asciiTheme="minorHAnsi" w:hAnsiTheme="minorHAnsi"/>
          <w:color w:val="auto"/>
          <w:sz w:val="24"/>
          <w:szCs w:val="24"/>
        </w:rPr>
        <w:t>th exen</w:t>
      </w:r>
      <w:r w:rsidR="00CD7448" w:rsidRPr="003B355D">
        <w:rPr>
          <w:rFonts w:asciiTheme="minorHAnsi" w:hAnsiTheme="minorHAnsi"/>
          <w:color w:val="auto"/>
          <w:sz w:val="24"/>
          <w:szCs w:val="24"/>
        </w:rPr>
        <w:t>atid</w:t>
      </w:r>
      <w:r w:rsidR="00994CF2" w:rsidRPr="003B355D">
        <w:rPr>
          <w:rFonts w:asciiTheme="minorHAnsi" w:hAnsiTheme="minorHAnsi"/>
          <w:color w:val="auto"/>
          <w:sz w:val="24"/>
          <w:szCs w:val="24"/>
        </w:rPr>
        <w:t>e 10 µg twice daily</w:t>
      </w:r>
      <w:r w:rsidRPr="003B355D">
        <w:rPr>
          <w:rFonts w:asciiTheme="minorHAnsi" w:hAnsiTheme="minorHAnsi"/>
          <w:color w:val="auto"/>
          <w:sz w:val="24"/>
          <w:szCs w:val="24"/>
        </w:rPr>
        <w:t xml:space="preserve">.   </w:t>
      </w:r>
    </w:p>
    <w:p w:rsidR="00B540CE" w:rsidRPr="003B355D" w:rsidRDefault="000661C9" w:rsidP="00191FB0">
      <w:pPr>
        <w:pStyle w:val="ESnumberedparablue"/>
        <w:numPr>
          <w:ilvl w:val="1"/>
          <w:numId w:val="34"/>
        </w:numPr>
        <w:rPr>
          <w:rFonts w:ascii="Arial Narrow" w:hAnsi="Arial Narrow"/>
          <w:b/>
          <w:sz w:val="20"/>
        </w:rPr>
      </w:pPr>
      <w:r w:rsidRPr="00A23214">
        <w:rPr>
          <w:rFonts w:asciiTheme="minorHAnsi" w:hAnsiTheme="minorHAnsi"/>
          <w:color w:val="auto"/>
          <w:sz w:val="24"/>
          <w:szCs w:val="24"/>
        </w:rPr>
        <w:t xml:space="preserve">Given the </w:t>
      </w:r>
      <w:r w:rsidR="009D4FB4" w:rsidRPr="00A23214">
        <w:rPr>
          <w:rFonts w:asciiTheme="minorHAnsi" w:hAnsiTheme="minorHAnsi"/>
          <w:color w:val="auto"/>
          <w:sz w:val="24"/>
          <w:szCs w:val="24"/>
        </w:rPr>
        <w:t xml:space="preserve">base </w:t>
      </w:r>
      <w:r w:rsidR="003B355D" w:rsidRPr="00A23214">
        <w:rPr>
          <w:rFonts w:asciiTheme="minorHAnsi" w:hAnsiTheme="minorHAnsi"/>
          <w:color w:val="auto"/>
          <w:sz w:val="24"/>
          <w:szCs w:val="24"/>
        </w:rPr>
        <w:t>case,</w:t>
      </w:r>
      <w:r w:rsidRPr="00A23214">
        <w:rPr>
          <w:rFonts w:asciiTheme="minorHAnsi" w:hAnsiTheme="minorHAnsi"/>
          <w:color w:val="auto"/>
          <w:sz w:val="24"/>
          <w:szCs w:val="24"/>
        </w:rPr>
        <w:t xml:space="preserve"> </w:t>
      </w:r>
      <w:r w:rsidR="00A23214" w:rsidRPr="00A23214">
        <w:rPr>
          <w:rFonts w:asciiTheme="minorHAnsi" w:hAnsiTheme="minorHAnsi"/>
          <w:color w:val="auto"/>
          <w:sz w:val="24"/>
          <w:szCs w:val="24"/>
        </w:rPr>
        <w:t xml:space="preserve">which included </w:t>
      </w:r>
      <w:r w:rsidRPr="00A23214">
        <w:rPr>
          <w:rFonts w:asciiTheme="minorHAnsi" w:hAnsiTheme="minorHAnsi"/>
          <w:color w:val="auto"/>
          <w:sz w:val="24"/>
          <w:szCs w:val="24"/>
        </w:rPr>
        <w:t>the costs but not benefits of exenatide</w:t>
      </w:r>
      <w:r w:rsidR="00A23214" w:rsidRPr="00A23214">
        <w:rPr>
          <w:rFonts w:asciiTheme="minorHAnsi" w:hAnsiTheme="minorHAnsi"/>
          <w:color w:val="auto"/>
          <w:sz w:val="24"/>
          <w:szCs w:val="24"/>
        </w:rPr>
        <w:t>,</w:t>
      </w:r>
      <w:r w:rsidRPr="00A23214">
        <w:rPr>
          <w:rFonts w:asciiTheme="minorHAnsi" w:hAnsiTheme="minorHAnsi"/>
          <w:color w:val="auto"/>
          <w:sz w:val="24"/>
          <w:szCs w:val="24"/>
        </w:rPr>
        <w:t xml:space="preserve"> is not informative and </w:t>
      </w:r>
      <w:r w:rsidR="00A23214" w:rsidRPr="00A23214">
        <w:rPr>
          <w:rFonts w:asciiTheme="minorHAnsi" w:hAnsiTheme="minorHAnsi"/>
          <w:color w:val="auto"/>
          <w:sz w:val="24"/>
          <w:szCs w:val="24"/>
        </w:rPr>
        <w:t xml:space="preserve">is </w:t>
      </w:r>
      <w:r w:rsidRPr="00A23214">
        <w:rPr>
          <w:rFonts w:asciiTheme="minorHAnsi" w:hAnsiTheme="minorHAnsi"/>
          <w:color w:val="auto"/>
          <w:sz w:val="24"/>
          <w:szCs w:val="24"/>
        </w:rPr>
        <w:t>bias</w:t>
      </w:r>
      <w:r w:rsidR="00A23214" w:rsidRPr="00A23214">
        <w:rPr>
          <w:rFonts w:asciiTheme="minorHAnsi" w:hAnsiTheme="minorHAnsi"/>
          <w:color w:val="auto"/>
          <w:sz w:val="24"/>
          <w:szCs w:val="24"/>
        </w:rPr>
        <w:t>ed</w:t>
      </w:r>
      <w:r w:rsidRPr="00A23214">
        <w:rPr>
          <w:rFonts w:asciiTheme="minorHAnsi" w:hAnsiTheme="minorHAnsi"/>
          <w:color w:val="auto"/>
          <w:sz w:val="24"/>
          <w:szCs w:val="24"/>
        </w:rPr>
        <w:t xml:space="preserve"> in favour of liraglutide, the </w:t>
      </w:r>
      <w:r w:rsidR="00F21284">
        <w:rPr>
          <w:rFonts w:asciiTheme="minorHAnsi" w:hAnsiTheme="minorHAnsi"/>
          <w:color w:val="auto"/>
          <w:sz w:val="24"/>
          <w:szCs w:val="24"/>
        </w:rPr>
        <w:t xml:space="preserve">evaluation </w:t>
      </w:r>
      <w:r w:rsidRPr="00A23214">
        <w:rPr>
          <w:rFonts w:asciiTheme="minorHAnsi" w:hAnsiTheme="minorHAnsi"/>
          <w:color w:val="auto"/>
          <w:sz w:val="24"/>
          <w:szCs w:val="24"/>
        </w:rPr>
        <w:t>present</w:t>
      </w:r>
      <w:r w:rsidR="007A740C" w:rsidRPr="00A23214">
        <w:rPr>
          <w:rFonts w:asciiTheme="minorHAnsi" w:hAnsiTheme="minorHAnsi"/>
          <w:color w:val="auto"/>
          <w:sz w:val="24"/>
          <w:szCs w:val="24"/>
        </w:rPr>
        <w:t>ed</w:t>
      </w:r>
      <w:r w:rsidRPr="00A23214">
        <w:rPr>
          <w:rFonts w:asciiTheme="minorHAnsi" w:hAnsiTheme="minorHAnsi"/>
          <w:color w:val="auto"/>
          <w:sz w:val="24"/>
          <w:szCs w:val="24"/>
        </w:rPr>
        <w:t xml:space="preserve"> the results of the placebo comparison as the base case of the modelled</w:t>
      </w:r>
      <w:r w:rsidRPr="003B355D">
        <w:rPr>
          <w:rFonts w:asciiTheme="minorHAnsi" w:hAnsiTheme="minorHAnsi"/>
          <w:color w:val="auto"/>
          <w:sz w:val="24"/>
          <w:szCs w:val="24"/>
        </w:rPr>
        <w:t xml:space="preserve"> economic evaluation.</w:t>
      </w:r>
      <w:r w:rsidR="003D1747" w:rsidRPr="003B355D">
        <w:rPr>
          <w:rFonts w:asciiTheme="minorHAnsi" w:hAnsiTheme="minorHAnsi"/>
          <w:color w:val="auto"/>
          <w:sz w:val="24"/>
          <w:szCs w:val="24"/>
        </w:rPr>
        <w:t xml:space="preserve"> </w:t>
      </w:r>
      <w:r w:rsidR="00C25D35" w:rsidRPr="003B355D">
        <w:rPr>
          <w:rFonts w:asciiTheme="minorHAnsi" w:hAnsiTheme="minorHAnsi"/>
          <w:color w:val="auto"/>
          <w:sz w:val="24"/>
          <w:szCs w:val="24"/>
        </w:rPr>
        <w:t xml:space="preserve">The ESC considered the base case modelled economic evaluation versus exenatide is only relevant if it is accepted that exenatide has no impact on CV events. The ESC noted that diabetes medications, including exenatide, have been recommended on the assumption of a reduction in final patient relevant outcomes including CV events. </w:t>
      </w:r>
      <w:r w:rsidR="003B355D" w:rsidRPr="003B355D">
        <w:rPr>
          <w:rFonts w:asciiTheme="minorHAnsi" w:hAnsiTheme="minorHAnsi"/>
          <w:color w:val="auto"/>
          <w:sz w:val="24"/>
          <w:szCs w:val="24"/>
        </w:rPr>
        <w:t>Therefore,</w:t>
      </w:r>
      <w:r w:rsidR="00C25D35" w:rsidRPr="003B355D">
        <w:rPr>
          <w:rFonts w:asciiTheme="minorHAnsi" w:hAnsiTheme="minorHAnsi"/>
          <w:color w:val="auto"/>
          <w:sz w:val="24"/>
          <w:szCs w:val="24"/>
        </w:rPr>
        <w:t xml:space="preserve"> the current price for exenatide incorporates the assumed benefit of a reduction in CV events. If it is claimed that exenatide has no </w:t>
      </w:r>
      <w:r w:rsidR="00C25D35" w:rsidRPr="003B355D">
        <w:rPr>
          <w:rFonts w:asciiTheme="minorHAnsi" w:hAnsiTheme="minorHAnsi"/>
          <w:color w:val="auto"/>
          <w:sz w:val="24"/>
          <w:szCs w:val="24"/>
        </w:rPr>
        <w:lastRenderedPageBreak/>
        <w:t>impact on CV events it is inappropriate to use the current price of exenatide in the economic model. The ESC noted the ICER with the costs of exenatide removed was</w:t>
      </w:r>
      <w:r w:rsidR="00191FB0">
        <w:rPr>
          <w:rFonts w:asciiTheme="minorHAnsi" w:hAnsiTheme="minorHAnsi"/>
          <w:color w:val="auto"/>
          <w:sz w:val="24"/>
          <w:szCs w:val="24"/>
        </w:rPr>
        <w:t xml:space="preserve"> </w:t>
      </w:r>
      <w:r w:rsidR="00191FB0" w:rsidRPr="00191FB0">
        <w:rPr>
          <w:rFonts w:asciiTheme="minorHAnsi" w:hAnsiTheme="minorHAnsi"/>
          <w:color w:val="auto"/>
          <w:sz w:val="24"/>
          <w:szCs w:val="24"/>
        </w:rPr>
        <w:t>$45,000/QALY – $75,000/QALY</w:t>
      </w:r>
      <w:r w:rsidR="00C25D35" w:rsidRPr="003B355D">
        <w:rPr>
          <w:rFonts w:asciiTheme="minorHAnsi" w:hAnsiTheme="minorHAnsi"/>
          <w:color w:val="auto"/>
          <w:sz w:val="24"/>
          <w:szCs w:val="24"/>
        </w:rPr>
        <w:t xml:space="preserve">. With the revised prices offered in the </w:t>
      </w:r>
      <w:r w:rsidR="003B355D" w:rsidRPr="003B355D">
        <w:rPr>
          <w:rFonts w:asciiTheme="minorHAnsi" w:hAnsiTheme="minorHAnsi"/>
          <w:color w:val="auto"/>
          <w:sz w:val="24"/>
          <w:szCs w:val="24"/>
        </w:rPr>
        <w:t>PSCR,</w:t>
      </w:r>
      <w:r w:rsidR="00C25D35" w:rsidRPr="003B355D">
        <w:rPr>
          <w:rFonts w:asciiTheme="minorHAnsi" w:hAnsiTheme="minorHAnsi"/>
          <w:color w:val="auto"/>
          <w:sz w:val="24"/>
          <w:szCs w:val="24"/>
        </w:rPr>
        <w:t xml:space="preserve"> the ICER is</w:t>
      </w:r>
      <w:r w:rsidR="00191FB0">
        <w:rPr>
          <w:rFonts w:asciiTheme="minorHAnsi" w:hAnsiTheme="minorHAnsi"/>
          <w:color w:val="auto"/>
          <w:sz w:val="24"/>
          <w:szCs w:val="24"/>
        </w:rPr>
        <w:t xml:space="preserve"> </w:t>
      </w:r>
      <w:r w:rsidR="00191FB0" w:rsidRPr="00191FB0">
        <w:rPr>
          <w:rFonts w:asciiTheme="minorHAnsi" w:hAnsiTheme="minorHAnsi"/>
          <w:color w:val="auto"/>
          <w:sz w:val="24"/>
          <w:szCs w:val="24"/>
        </w:rPr>
        <w:t>$45,000/QALY – $75,000/QALY</w:t>
      </w:r>
      <w:r w:rsidR="00C25D35" w:rsidRPr="003B355D">
        <w:rPr>
          <w:rFonts w:asciiTheme="minorHAnsi" w:hAnsiTheme="minorHAnsi"/>
          <w:color w:val="auto"/>
          <w:sz w:val="24"/>
          <w:szCs w:val="24"/>
        </w:rPr>
        <w:t>. This ICER is relatively high and may suggest that the magnitude of the reduction in CV events observed with liraglutide in the LEADER trial does not support the requested price.</w:t>
      </w:r>
    </w:p>
    <w:p w:rsidR="00D453F1" w:rsidRDefault="00D453F1" w:rsidP="00D453F1">
      <w:pPr>
        <w:pStyle w:val="Caption"/>
      </w:pPr>
      <w:r>
        <w:t xml:space="preserve">Table </w:t>
      </w:r>
      <w:r>
        <w:rPr>
          <w:noProof/>
        </w:rPr>
        <w:t>10</w:t>
      </w:r>
      <w:r w:rsidRPr="0003543C">
        <w:t>: Summary of model structure and rationale</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81"/>
        <w:gridCol w:w="6519"/>
      </w:tblGrid>
      <w:tr w:rsidR="00137F8D" w:rsidRPr="003B355D" w:rsidTr="000661C9">
        <w:trPr>
          <w:tblHeader/>
        </w:trPr>
        <w:tc>
          <w:tcPr>
            <w:tcW w:w="1418" w:type="pct"/>
            <w:shd w:val="clear" w:color="auto" w:fill="auto"/>
            <w:vAlign w:val="center"/>
          </w:tcPr>
          <w:p w:rsidR="00137F8D" w:rsidRPr="003B355D" w:rsidRDefault="00137F8D" w:rsidP="000A618C">
            <w:pPr>
              <w:pStyle w:val="TableText1"/>
              <w:keepNext w:val="0"/>
              <w:widowControl w:val="0"/>
              <w:rPr>
                <w:b/>
              </w:rPr>
            </w:pPr>
            <w:r w:rsidRPr="003B355D">
              <w:rPr>
                <w:b/>
              </w:rPr>
              <w:t>Component</w:t>
            </w:r>
          </w:p>
        </w:tc>
        <w:tc>
          <w:tcPr>
            <w:tcW w:w="3582" w:type="pct"/>
            <w:shd w:val="clear" w:color="auto" w:fill="auto"/>
            <w:vAlign w:val="center"/>
          </w:tcPr>
          <w:p w:rsidR="00137F8D" w:rsidRPr="003B355D" w:rsidRDefault="00137F8D" w:rsidP="000A618C">
            <w:pPr>
              <w:pStyle w:val="TableText1"/>
              <w:keepNext w:val="0"/>
              <w:widowControl w:val="0"/>
              <w:rPr>
                <w:b/>
              </w:rPr>
            </w:pPr>
            <w:r w:rsidRPr="003B355D">
              <w:rPr>
                <w:b/>
              </w:rPr>
              <w:t>Summary</w:t>
            </w:r>
          </w:p>
        </w:tc>
      </w:tr>
      <w:tr w:rsidR="00994CF2" w:rsidRPr="003B355D" w:rsidTr="00262955">
        <w:tc>
          <w:tcPr>
            <w:tcW w:w="1418" w:type="pct"/>
            <w:shd w:val="clear" w:color="auto" w:fill="auto"/>
            <w:vAlign w:val="center"/>
          </w:tcPr>
          <w:p w:rsidR="00994CF2" w:rsidRPr="003B355D" w:rsidRDefault="00994CF2" w:rsidP="000A618C">
            <w:pPr>
              <w:pStyle w:val="TableText1"/>
              <w:keepNext w:val="0"/>
              <w:widowControl w:val="0"/>
              <w:rPr>
                <w:rFonts w:ascii="Times" w:eastAsia="Times New Roman" w:hAnsi="Times" w:cs="Times New Roman"/>
              </w:rPr>
            </w:pPr>
            <w:r w:rsidRPr="003B355D">
              <w:t>Methods used to generate results</w:t>
            </w:r>
          </w:p>
        </w:tc>
        <w:tc>
          <w:tcPr>
            <w:tcW w:w="3582" w:type="pct"/>
            <w:shd w:val="clear" w:color="auto" w:fill="auto"/>
            <w:vAlign w:val="center"/>
          </w:tcPr>
          <w:p w:rsidR="00994CF2" w:rsidRPr="003B355D" w:rsidRDefault="00994CF2" w:rsidP="000A618C">
            <w:pPr>
              <w:pStyle w:val="TableText1"/>
              <w:keepNext w:val="0"/>
              <w:widowControl w:val="0"/>
              <w:rPr>
                <w:rFonts w:ascii="Times" w:eastAsia="Times New Roman" w:hAnsi="Times" w:cs="Times New Roman"/>
              </w:rPr>
            </w:pPr>
            <w:r w:rsidRPr="003B355D">
              <w:t>Markov cohort model using cohort expected value analysis</w:t>
            </w:r>
          </w:p>
        </w:tc>
      </w:tr>
      <w:tr w:rsidR="00137F8D" w:rsidRPr="003B355D" w:rsidTr="000661C9">
        <w:tc>
          <w:tcPr>
            <w:tcW w:w="1418" w:type="pct"/>
            <w:shd w:val="clear" w:color="auto" w:fill="auto"/>
            <w:vAlign w:val="center"/>
          </w:tcPr>
          <w:p w:rsidR="00137F8D" w:rsidRPr="003B355D" w:rsidRDefault="00137F8D" w:rsidP="000A618C">
            <w:pPr>
              <w:pStyle w:val="TableText1"/>
              <w:keepNext w:val="0"/>
              <w:widowControl w:val="0"/>
            </w:pPr>
            <w:r w:rsidRPr="003B355D">
              <w:t>Time horizon</w:t>
            </w:r>
          </w:p>
        </w:tc>
        <w:tc>
          <w:tcPr>
            <w:tcW w:w="3582" w:type="pct"/>
            <w:shd w:val="clear" w:color="auto" w:fill="auto"/>
            <w:vAlign w:val="center"/>
          </w:tcPr>
          <w:p w:rsidR="00137F8D" w:rsidRPr="003B355D" w:rsidRDefault="00C43869" w:rsidP="000A618C">
            <w:pPr>
              <w:pStyle w:val="TableText1"/>
              <w:keepNext w:val="0"/>
              <w:widowControl w:val="0"/>
              <w:rPr>
                <w:rFonts w:ascii="Times" w:eastAsia="Times New Roman" w:hAnsi="Times" w:cs="Times New Roman"/>
              </w:rPr>
            </w:pPr>
            <w:r w:rsidRPr="003B355D">
              <w:t>10 years, with sensitivity analysis at 15 and 20 years</w:t>
            </w:r>
          </w:p>
        </w:tc>
      </w:tr>
      <w:tr w:rsidR="00994CF2" w:rsidRPr="003B355D" w:rsidTr="00262955">
        <w:tc>
          <w:tcPr>
            <w:tcW w:w="1418" w:type="pct"/>
            <w:shd w:val="clear" w:color="auto" w:fill="auto"/>
            <w:vAlign w:val="center"/>
          </w:tcPr>
          <w:p w:rsidR="00994CF2" w:rsidRPr="003B355D" w:rsidRDefault="00994CF2" w:rsidP="000A618C">
            <w:pPr>
              <w:pStyle w:val="TableText1"/>
              <w:keepNext w:val="0"/>
              <w:widowControl w:val="0"/>
              <w:rPr>
                <w:rFonts w:ascii="Times" w:eastAsia="Times New Roman" w:hAnsi="Times" w:cs="Times New Roman"/>
              </w:rPr>
            </w:pPr>
            <w:r w:rsidRPr="003B355D">
              <w:t>Cycle length</w:t>
            </w:r>
          </w:p>
        </w:tc>
        <w:tc>
          <w:tcPr>
            <w:tcW w:w="3582" w:type="pct"/>
            <w:shd w:val="clear" w:color="auto" w:fill="auto"/>
          </w:tcPr>
          <w:p w:rsidR="00994CF2" w:rsidRPr="003B355D" w:rsidRDefault="00994CF2" w:rsidP="000A618C">
            <w:pPr>
              <w:pStyle w:val="TableText1"/>
              <w:keepNext w:val="0"/>
              <w:widowControl w:val="0"/>
              <w:rPr>
                <w:rFonts w:ascii="Times" w:eastAsia="Times New Roman" w:hAnsi="Times" w:cs="Times New Roman"/>
              </w:rPr>
            </w:pPr>
            <w:r w:rsidRPr="003B355D">
              <w:t>Monthly, no half cycle correction</w:t>
            </w:r>
          </w:p>
        </w:tc>
      </w:tr>
      <w:tr w:rsidR="00137F8D" w:rsidRPr="003B355D" w:rsidTr="000661C9">
        <w:tc>
          <w:tcPr>
            <w:tcW w:w="1418" w:type="pct"/>
            <w:shd w:val="clear" w:color="auto" w:fill="auto"/>
            <w:vAlign w:val="center"/>
          </w:tcPr>
          <w:p w:rsidR="00137F8D" w:rsidRPr="003B355D" w:rsidRDefault="00137F8D" w:rsidP="000A618C">
            <w:pPr>
              <w:pStyle w:val="TableText1"/>
              <w:keepNext w:val="0"/>
              <w:widowControl w:val="0"/>
              <w:rPr>
                <w:rFonts w:ascii="Times" w:eastAsia="Times New Roman" w:hAnsi="Times" w:cs="Times New Roman"/>
              </w:rPr>
            </w:pPr>
            <w:r w:rsidRPr="003B355D">
              <w:t>Outcomes</w:t>
            </w:r>
          </w:p>
        </w:tc>
        <w:tc>
          <w:tcPr>
            <w:tcW w:w="3582" w:type="pct"/>
            <w:shd w:val="clear" w:color="auto" w:fill="auto"/>
            <w:vAlign w:val="center"/>
          </w:tcPr>
          <w:p w:rsidR="00137F8D" w:rsidRPr="003B355D" w:rsidRDefault="00C43869" w:rsidP="000A618C">
            <w:pPr>
              <w:pStyle w:val="TableText1"/>
              <w:keepNext w:val="0"/>
              <w:widowControl w:val="0"/>
              <w:rPr>
                <w:rFonts w:ascii="Times" w:eastAsia="Times New Roman" w:hAnsi="Times" w:cs="Times New Roman"/>
              </w:rPr>
            </w:pPr>
            <w:r w:rsidRPr="003B355D">
              <w:rPr>
                <w:lang w:eastAsia="zh-CN"/>
              </w:rPr>
              <w:t>Incremental cost per quality-adjusted life year (QALY) gained based on the primary and key secondary cardiovascular outcomes of the LEADER trial (cardiovascular death, nonfatal myocardial infarction, nephropathy)</w:t>
            </w:r>
          </w:p>
        </w:tc>
      </w:tr>
      <w:tr w:rsidR="00C43869" w:rsidRPr="003B355D" w:rsidTr="000661C9">
        <w:tc>
          <w:tcPr>
            <w:tcW w:w="1418" w:type="pct"/>
            <w:shd w:val="clear" w:color="auto" w:fill="auto"/>
            <w:vAlign w:val="center"/>
          </w:tcPr>
          <w:p w:rsidR="00C43869" w:rsidRPr="003B355D" w:rsidRDefault="00C43869" w:rsidP="000A618C">
            <w:pPr>
              <w:pStyle w:val="TableText1"/>
              <w:keepNext w:val="0"/>
              <w:widowControl w:val="0"/>
              <w:rPr>
                <w:rFonts w:ascii="Times" w:eastAsia="Times New Roman" w:hAnsi="Times" w:cs="Times New Roman"/>
              </w:rPr>
            </w:pPr>
            <w:r w:rsidRPr="003B355D">
              <w:t>Health states</w:t>
            </w:r>
          </w:p>
        </w:tc>
        <w:tc>
          <w:tcPr>
            <w:tcW w:w="3582" w:type="pct"/>
            <w:shd w:val="clear" w:color="auto" w:fill="auto"/>
          </w:tcPr>
          <w:p w:rsidR="00C43869" w:rsidRPr="003B355D" w:rsidRDefault="00C43869" w:rsidP="000A618C">
            <w:pPr>
              <w:pStyle w:val="TableText1"/>
              <w:keepNext w:val="0"/>
              <w:widowControl w:val="0"/>
              <w:jc w:val="left"/>
            </w:pPr>
            <w:r w:rsidRPr="003B355D">
              <w:t>Six health states:</w:t>
            </w:r>
          </w:p>
          <w:p w:rsidR="00C43869" w:rsidRPr="003B355D" w:rsidRDefault="00C43869" w:rsidP="00D54241">
            <w:pPr>
              <w:pStyle w:val="TableText1"/>
              <w:keepNext w:val="0"/>
              <w:widowControl w:val="0"/>
              <w:numPr>
                <w:ilvl w:val="0"/>
                <w:numId w:val="17"/>
              </w:numPr>
              <w:ind w:left="396" w:hanging="283"/>
              <w:jc w:val="left"/>
            </w:pPr>
            <w:r w:rsidRPr="003B355D">
              <w:t xml:space="preserve">Alive with no cardiovascular events; </w:t>
            </w:r>
          </w:p>
          <w:p w:rsidR="00C43869" w:rsidRPr="003B355D" w:rsidRDefault="00C43869" w:rsidP="00D54241">
            <w:pPr>
              <w:pStyle w:val="TableText1"/>
              <w:keepNext w:val="0"/>
              <w:widowControl w:val="0"/>
              <w:numPr>
                <w:ilvl w:val="0"/>
                <w:numId w:val="17"/>
              </w:numPr>
              <w:ind w:left="396" w:hanging="283"/>
              <w:jc w:val="left"/>
            </w:pPr>
            <w:r w:rsidRPr="003B355D">
              <w:t>Alive with myocardial infarction event;</w:t>
            </w:r>
          </w:p>
          <w:p w:rsidR="00C43869" w:rsidRPr="003B355D" w:rsidRDefault="00C43869" w:rsidP="00D54241">
            <w:pPr>
              <w:pStyle w:val="TableText1"/>
              <w:keepNext w:val="0"/>
              <w:widowControl w:val="0"/>
              <w:numPr>
                <w:ilvl w:val="0"/>
                <w:numId w:val="17"/>
              </w:numPr>
              <w:ind w:left="396" w:hanging="283"/>
              <w:jc w:val="left"/>
            </w:pPr>
            <w:r w:rsidRPr="003B355D">
              <w:t>Alive with nephropathy event;</w:t>
            </w:r>
          </w:p>
          <w:p w:rsidR="00C43869" w:rsidRPr="003B355D" w:rsidRDefault="00C43869" w:rsidP="00D54241">
            <w:pPr>
              <w:pStyle w:val="TableText1"/>
              <w:keepNext w:val="0"/>
              <w:widowControl w:val="0"/>
              <w:numPr>
                <w:ilvl w:val="0"/>
                <w:numId w:val="17"/>
              </w:numPr>
              <w:ind w:left="396" w:hanging="283"/>
              <w:jc w:val="left"/>
            </w:pPr>
            <w:r w:rsidRPr="003B355D">
              <w:t>Alive with both myocardial infarction and nephropathy events;</w:t>
            </w:r>
          </w:p>
          <w:p w:rsidR="000661C9" w:rsidRPr="003B355D" w:rsidRDefault="00C43869" w:rsidP="00D54241">
            <w:pPr>
              <w:pStyle w:val="TableText1"/>
              <w:keepNext w:val="0"/>
              <w:widowControl w:val="0"/>
              <w:numPr>
                <w:ilvl w:val="0"/>
                <w:numId w:val="17"/>
              </w:numPr>
              <w:ind w:left="396" w:hanging="283"/>
              <w:jc w:val="left"/>
            </w:pPr>
            <w:r w:rsidRPr="003B355D">
              <w:t>Dead from cardiovascular causes; and</w:t>
            </w:r>
          </w:p>
          <w:p w:rsidR="00C43869" w:rsidRPr="003B355D" w:rsidRDefault="00C43869" w:rsidP="00D54241">
            <w:pPr>
              <w:pStyle w:val="TableText1"/>
              <w:keepNext w:val="0"/>
              <w:widowControl w:val="0"/>
              <w:numPr>
                <w:ilvl w:val="0"/>
                <w:numId w:val="17"/>
              </w:numPr>
              <w:ind w:left="396" w:hanging="283"/>
              <w:jc w:val="left"/>
            </w:pPr>
            <w:r w:rsidRPr="003B355D">
              <w:t>Dead from non-cardiovascular causes</w:t>
            </w:r>
          </w:p>
        </w:tc>
      </w:tr>
      <w:tr w:rsidR="00C43869" w:rsidRPr="003B355D" w:rsidTr="000661C9">
        <w:tc>
          <w:tcPr>
            <w:tcW w:w="1418" w:type="pct"/>
            <w:shd w:val="clear" w:color="auto" w:fill="auto"/>
            <w:vAlign w:val="center"/>
          </w:tcPr>
          <w:p w:rsidR="00C43869" w:rsidRPr="003B355D" w:rsidRDefault="00C43869" w:rsidP="000A618C">
            <w:pPr>
              <w:pStyle w:val="TableText1"/>
              <w:keepNext w:val="0"/>
              <w:widowControl w:val="0"/>
              <w:rPr>
                <w:rFonts w:ascii="Times" w:eastAsia="Times New Roman" w:hAnsi="Times" w:cs="Times New Roman"/>
              </w:rPr>
            </w:pPr>
            <w:r w:rsidRPr="003B355D">
              <w:t>Transition</w:t>
            </w:r>
            <w:r w:rsidR="008D34AE" w:rsidRPr="003B355D">
              <w:t>/event</w:t>
            </w:r>
            <w:r w:rsidRPr="003B355D">
              <w:t xml:space="preserve"> probabilities</w:t>
            </w:r>
          </w:p>
        </w:tc>
        <w:tc>
          <w:tcPr>
            <w:tcW w:w="3582" w:type="pct"/>
            <w:shd w:val="clear" w:color="auto" w:fill="auto"/>
          </w:tcPr>
          <w:p w:rsidR="00C43869" w:rsidRPr="003B355D" w:rsidRDefault="00C43869" w:rsidP="000A618C">
            <w:pPr>
              <w:pStyle w:val="TableText1"/>
              <w:keepNext w:val="0"/>
              <w:widowControl w:val="0"/>
            </w:pPr>
            <w:r w:rsidRPr="003B355D">
              <w:t xml:space="preserve">Transition probabilities were derived from the LEADER trial cardiovascular time-to-event outcomes </w:t>
            </w:r>
            <w:r w:rsidR="00994CF2" w:rsidRPr="003B355D">
              <w:t xml:space="preserve">(cardiovascular death, non-fatal myocardial infarction) and time to first nephropathy event </w:t>
            </w:r>
            <w:r w:rsidRPr="003B355D">
              <w:t xml:space="preserve">as events per 100 patient years, converted to monthly probabilities </w:t>
            </w:r>
          </w:p>
          <w:p w:rsidR="008D34AE" w:rsidRPr="003B355D" w:rsidRDefault="008D34AE" w:rsidP="000A618C">
            <w:pPr>
              <w:pStyle w:val="TableText1"/>
              <w:keepNext w:val="0"/>
              <w:widowControl w:val="0"/>
              <w:rPr>
                <w:rFonts w:eastAsia="Times New Roman" w:cs="Times New Roman"/>
              </w:rPr>
            </w:pPr>
            <w:r w:rsidRPr="003B355D">
              <w:rPr>
                <w:rFonts w:eastAsia="Times New Roman" w:cs="Times New Roman"/>
              </w:rPr>
              <w:t>Cardiovascular deaths</w:t>
            </w:r>
            <w:r w:rsidR="0008058B" w:rsidRPr="003B355D">
              <w:rPr>
                <w:rFonts w:eastAsia="Times New Roman" w:cs="Times New Roman"/>
              </w:rPr>
              <w:t>:</w:t>
            </w:r>
            <w:r w:rsidRPr="003B355D">
              <w:rPr>
                <w:rFonts w:eastAsia="Times New Roman" w:cs="Times New Roman"/>
              </w:rPr>
              <w:t xml:space="preserve"> Liraglutide - 0.</w:t>
            </w:r>
            <w:r w:rsidR="0008058B" w:rsidRPr="003B355D">
              <w:rPr>
                <w:rFonts w:eastAsia="Times New Roman" w:cs="Times New Roman"/>
              </w:rPr>
              <w:t>0010</w:t>
            </w:r>
            <w:r w:rsidR="00915FCC" w:rsidRPr="003B355D">
              <w:rPr>
                <w:rFonts w:eastAsia="Times New Roman" w:cs="Times New Roman"/>
              </w:rPr>
              <w:t xml:space="preserve">; </w:t>
            </w:r>
            <w:r w:rsidRPr="003B355D">
              <w:rPr>
                <w:rFonts w:eastAsia="Times New Roman" w:cs="Times New Roman"/>
              </w:rPr>
              <w:t>placebo</w:t>
            </w:r>
            <w:r w:rsidR="00915FCC" w:rsidRPr="003B355D">
              <w:rPr>
                <w:rFonts w:eastAsia="Times New Roman" w:cs="Times New Roman"/>
              </w:rPr>
              <w:t>/exenatide</w:t>
            </w:r>
            <w:r w:rsidRPr="003B355D">
              <w:rPr>
                <w:rFonts w:eastAsia="Times New Roman" w:cs="Times New Roman"/>
              </w:rPr>
              <w:t xml:space="preserve"> - 0.0013</w:t>
            </w:r>
          </w:p>
          <w:p w:rsidR="008D34AE" w:rsidRPr="003B355D" w:rsidRDefault="0008058B" w:rsidP="000A618C">
            <w:pPr>
              <w:pStyle w:val="TableText1"/>
              <w:keepNext w:val="0"/>
              <w:widowControl w:val="0"/>
              <w:rPr>
                <w:rFonts w:eastAsia="Times New Roman" w:cs="Times New Roman"/>
              </w:rPr>
            </w:pPr>
            <w:r w:rsidRPr="003B355D">
              <w:rPr>
                <w:rFonts w:eastAsia="Times New Roman" w:cs="Times New Roman"/>
              </w:rPr>
              <w:t>Non-fatal myocardial infarction:</w:t>
            </w:r>
            <w:r w:rsidR="008D34AE" w:rsidRPr="003B355D">
              <w:rPr>
                <w:rFonts w:eastAsia="Times New Roman" w:cs="Times New Roman"/>
              </w:rPr>
              <w:t xml:space="preserve"> Liraglutide - 0.</w:t>
            </w:r>
            <w:r w:rsidRPr="003B355D">
              <w:rPr>
                <w:rFonts w:eastAsia="Times New Roman" w:cs="Times New Roman"/>
              </w:rPr>
              <w:t>0016</w:t>
            </w:r>
            <w:r w:rsidR="00915FCC" w:rsidRPr="003B355D">
              <w:rPr>
                <w:rFonts w:eastAsia="Times New Roman" w:cs="Times New Roman"/>
              </w:rPr>
              <w:t>;</w:t>
            </w:r>
            <w:r w:rsidR="008D34AE" w:rsidRPr="003B355D">
              <w:rPr>
                <w:rFonts w:eastAsia="Times New Roman" w:cs="Times New Roman"/>
              </w:rPr>
              <w:t xml:space="preserve"> placebo</w:t>
            </w:r>
            <w:r w:rsidR="00915FCC" w:rsidRPr="003B355D">
              <w:rPr>
                <w:rFonts w:eastAsia="Times New Roman" w:cs="Times New Roman"/>
              </w:rPr>
              <w:t>/exenatide</w:t>
            </w:r>
            <w:r w:rsidR="008D34AE" w:rsidRPr="003B355D">
              <w:rPr>
                <w:rFonts w:eastAsia="Times New Roman" w:cs="Times New Roman"/>
              </w:rPr>
              <w:t xml:space="preserve"> - 0.</w:t>
            </w:r>
            <w:r w:rsidRPr="003B355D">
              <w:rPr>
                <w:rFonts w:eastAsia="Times New Roman" w:cs="Times New Roman"/>
              </w:rPr>
              <w:t>0019</w:t>
            </w:r>
          </w:p>
          <w:p w:rsidR="008D34AE" w:rsidRPr="003B355D" w:rsidRDefault="0008058B" w:rsidP="000A618C">
            <w:pPr>
              <w:pStyle w:val="TableText1"/>
              <w:keepNext w:val="0"/>
              <w:widowControl w:val="0"/>
              <w:rPr>
                <w:rFonts w:eastAsia="Times New Roman" w:cs="Times New Roman"/>
              </w:rPr>
            </w:pPr>
            <w:r w:rsidRPr="003B355D">
              <w:rPr>
                <w:rFonts w:eastAsia="Times New Roman" w:cs="Times New Roman"/>
              </w:rPr>
              <w:t>Nephropathy (renal failure):</w:t>
            </w:r>
            <w:r w:rsidR="008D34AE" w:rsidRPr="003B355D">
              <w:rPr>
                <w:rFonts w:eastAsia="Times New Roman" w:cs="Times New Roman"/>
              </w:rPr>
              <w:t xml:space="preserve"> </w:t>
            </w:r>
            <w:r w:rsidRPr="003B355D">
              <w:rPr>
                <w:rFonts w:eastAsia="Times New Roman" w:cs="Times New Roman"/>
              </w:rPr>
              <w:t xml:space="preserve">Liraglutide </w:t>
            </w:r>
            <w:r w:rsidR="008D34AE" w:rsidRPr="003B355D">
              <w:rPr>
                <w:rFonts w:eastAsia="Times New Roman" w:cs="Times New Roman"/>
              </w:rPr>
              <w:t>- 0.0013</w:t>
            </w:r>
            <w:r w:rsidR="00915FCC" w:rsidRPr="003B355D">
              <w:rPr>
                <w:rFonts w:eastAsia="Times New Roman" w:cs="Times New Roman"/>
              </w:rPr>
              <w:t xml:space="preserve">; </w:t>
            </w:r>
            <w:r w:rsidR="008D34AE" w:rsidRPr="003B355D">
              <w:rPr>
                <w:rFonts w:eastAsia="Times New Roman" w:cs="Times New Roman"/>
              </w:rPr>
              <w:t>placebo</w:t>
            </w:r>
            <w:r w:rsidR="00915FCC" w:rsidRPr="003B355D">
              <w:rPr>
                <w:rFonts w:eastAsia="Times New Roman" w:cs="Times New Roman"/>
              </w:rPr>
              <w:t>/exenatide</w:t>
            </w:r>
            <w:r w:rsidR="008D34AE" w:rsidRPr="003B355D">
              <w:rPr>
                <w:rFonts w:eastAsia="Times New Roman" w:cs="Times New Roman"/>
              </w:rPr>
              <w:t xml:space="preserve"> - 0.</w:t>
            </w:r>
            <w:r w:rsidRPr="003B355D">
              <w:rPr>
                <w:rFonts w:eastAsia="Times New Roman" w:cs="Times New Roman"/>
              </w:rPr>
              <w:t>0016</w:t>
            </w:r>
          </w:p>
          <w:p w:rsidR="008D34AE" w:rsidRPr="003B355D" w:rsidRDefault="0008058B" w:rsidP="00915FCC">
            <w:pPr>
              <w:pStyle w:val="TableText1"/>
              <w:keepNext w:val="0"/>
              <w:widowControl w:val="0"/>
              <w:rPr>
                <w:rFonts w:ascii="Times" w:eastAsia="Times New Roman" w:hAnsi="Times" w:cs="Times New Roman"/>
              </w:rPr>
            </w:pPr>
            <w:r w:rsidRPr="003B355D">
              <w:rPr>
                <w:rFonts w:eastAsia="Times New Roman" w:cs="Times New Roman"/>
              </w:rPr>
              <w:t xml:space="preserve">Severe hypoglycaemia event: </w:t>
            </w:r>
            <w:r w:rsidR="008D34AE" w:rsidRPr="003B355D">
              <w:rPr>
                <w:rFonts w:eastAsia="Times New Roman" w:cs="Times New Roman"/>
              </w:rPr>
              <w:t xml:space="preserve"> </w:t>
            </w:r>
            <w:r w:rsidRPr="003B355D">
              <w:rPr>
                <w:rFonts w:eastAsia="Times New Roman" w:cs="Times New Roman"/>
              </w:rPr>
              <w:t>Liraglutide</w:t>
            </w:r>
            <w:r w:rsidR="00915FCC" w:rsidRPr="003B355D">
              <w:rPr>
                <w:rFonts w:eastAsia="Times New Roman" w:cs="Times New Roman"/>
              </w:rPr>
              <w:t>/exenatide</w:t>
            </w:r>
            <w:r w:rsidRPr="003B355D">
              <w:rPr>
                <w:rFonts w:eastAsia="Times New Roman" w:cs="Times New Roman"/>
              </w:rPr>
              <w:t xml:space="preserve"> </w:t>
            </w:r>
            <w:r w:rsidR="008D34AE" w:rsidRPr="003B355D">
              <w:rPr>
                <w:rFonts w:eastAsia="Times New Roman" w:cs="Times New Roman"/>
              </w:rPr>
              <w:t>- 0.</w:t>
            </w:r>
            <w:r w:rsidRPr="003B355D">
              <w:rPr>
                <w:rFonts w:eastAsia="Times New Roman" w:cs="Times New Roman"/>
              </w:rPr>
              <w:t>0008</w:t>
            </w:r>
            <w:r w:rsidR="00915FCC" w:rsidRPr="003B355D">
              <w:rPr>
                <w:rFonts w:eastAsia="Times New Roman" w:cs="Times New Roman"/>
              </w:rPr>
              <w:t>;</w:t>
            </w:r>
            <w:r w:rsidR="008D34AE" w:rsidRPr="003B355D">
              <w:rPr>
                <w:rFonts w:eastAsia="Times New Roman" w:cs="Times New Roman"/>
              </w:rPr>
              <w:t xml:space="preserve"> placebo - 0.0013</w:t>
            </w:r>
          </w:p>
        </w:tc>
      </w:tr>
      <w:tr w:rsidR="00994CF2" w:rsidRPr="003B355D" w:rsidTr="000661C9">
        <w:tblPrEx>
          <w:tblCellMar>
            <w:left w:w="108" w:type="dxa"/>
            <w:right w:w="108" w:type="dxa"/>
          </w:tblCellMar>
        </w:tblPrEx>
        <w:trPr>
          <w:cantSplit/>
          <w:trHeight w:val="64"/>
        </w:trPr>
        <w:tc>
          <w:tcPr>
            <w:tcW w:w="1418" w:type="pct"/>
            <w:shd w:val="clear" w:color="auto" w:fill="auto"/>
          </w:tcPr>
          <w:p w:rsidR="00994CF2" w:rsidRPr="003B355D" w:rsidRDefault="00994CF2" w:rsidP="000A618C">
            <w:pPr>
              <w:pStyle w:val="TableText1"/>
              <w:keepNext w:val="0"/>
              <w:widowControl w:val="0"/>
              <w:ind w:left="-80"/>
              <w:jc w:val="left"/>
            </w:pPr>
            <w:r w:rsidRPr="003B355D">
              <w:t>Utilities</w:t>
            </w:r>
          </w:p>
        </w:tc>
        <w:tc>
          <w:tcPr>
            <w:tcW w:w="3582" w:type="pct"/>
            <w:shd w:val="clear" w:color="auto" w:fill="auto"/>
          </w:tcPr>
          <w:p w:rsidR="00994CF2" w:rsidRPr="003B355D" w:rsidRDefault="00994CF2" w:rsidP="000A618C">
            <w:pPr>
              <w:pStyle w:val="TableText1"/>
              <w:keepNext w:val="0"/>
              <w:widowControl w:val="0"/>
              <w:jc w:val="left"/>
            </w:pPr>
            <w:r w:rsidRPr="003B355D">
              <w:t>Baseline 0.800 (LEADER baseline EQ-5D)</w:t>
            </w:r>
          </w:p>
          <w:p w:rsidR="00994CF2" w:rsidRPr="003B355D" w:rsidRDefault="00994CF2" w:rsidP="000A618C">
            <w:pPr>
              <w:pStyle w:val="TableText1"/>
              <w:keepNext w:val="0"/>
              <w:widowControl w:val="0"/>
              <w:jc w:val="left"/>
            </w:pPr>
            <w:r w:rsidRPr="003B355D">
              <w:t>Myocardial infarction 0.745 (</w:t>
            </w:r>
            <w:proofErr w:type="spellStart"/>
            <w:r w:rsidRPr="003B355D">
              <w:t>Afzali</w:t>
            </w:r>
            <w:proofErr w:type="spellEnd"/>
            <w:r w:rsidRPr="003B355D">
              <w:t xml:space="preserve"> et al. 2013 and Clarke et al. 2002)</w:t>
            </w:r>
          </w:p>
          <w:p w:rsidR="00994CF2" w:rsidRPr="003B355D" w:rsidRDefault="00994CF2" w:rsidP="000A618C">
            <w:pPr>
              <w:pStyle w:val="TableText1"/>
              <w:keepNext w:val="0"/>
              <w:widowControl w:val="0"/>
              <w:jc w:val="left"/>
            </w:pPr>
            <w:r w:rsidRPr="003B355D">
              <w:t>Nephropathy 0.748 (</w:t>
            </w:r>
            <w:proofErr w:type="spellStart"/>
            <w:r w:rsidRPr="003B355D">
              <w:t>Afzali</w:t>
            </w:r>
            <w:proofErr w:type="spellEnd"/>
            <w:r w:rsidRPr="003B355D">
              <w:t xml:space="preserve"> et al. 2013 and </w:t>
            </w:r>
            <w:proofErr w:type="spellStart"/>
            <w:r w:rsidRPr="003B355D">
              <w:t>Kiberd</w:t>
            </w:r>
            <w:proofErr w:type="spellEnd"/>
            <w:r w:rsidRPr="003B355D">
              <w:t xml:space="preserve"> et al. 1995) </w:t>
            </w:r>
          </w:p>
          <w:p w:rsidR="00994CF2" w:rsidRPr="003B355D" w:rsidRDefault="00994CF2" w:rsidP="000A618C">
            <w:pPr>
              <w:pStyle w:val="TableText1"/>
              <w:keepNext w:val="0"/>
              <w:widowControl w:val="0"/>
              <w:jc w:val="left"/>
            </w:pPr>
            <w:r w:rsidRPr="003B355D">
              <w:t>Death 0</w:t>
            </w:r>
          </w:p>
        </w:tc>
      </w:tr>
      <w:tr w:rsidR="000661C9" w:rsidRPr="003B355D" w:rsidTr="000661C9">
        <w:tblPrEx>
          <w:tblCellMar>
            <w:left w:w="108" w:type="dxa"/>
            <w:right w:w="108" w:type="dxa"/>
          </w:tblCellMar>
        </w:tblPrEx>
        <w:trPr>
          <w:cantSplit/>
          <w:trHeight w:val="64"/>
        </w:trPr>
        <w:tc>
          <w:tcPr>
            <w:tcW w:w="1418" w:type="pct"/>
            <w:shd w:val="clear" w:color="auto" w:fill="auto"/>
          </w:tcPr>
          <w:p w:rsidR="000661C9" w:rsidRPr="003B355D" w:rsidRDefault="000661C9" w:rsidP="000A618C">
            <w:pPr>
              <w:pStyle w:val="TableText1"/>
              <w:keepNext w:val="0"/>
              <w:widowControl w:val="0"/>
              <w:ind w:left="-80"/>
              <w:jc w:val="left"/>
            </w:pPr>
            <w:r w:rsidRPr="003B355D">
              <w:t>Discount rate</w:t>
            </w:r>
          </w:p>
        </w:tc>
        <w:tc>
          <w:tcPr>
            <w:tcW w:w="3582" w:type="pct"/>
            <w:shd w:val="clear" w:color="auto" w:fill="auto"/>
          </w:tcPr>
          <w:p w:rsidR="000661C9" w:rsidRPr="003B355D" w:rsidRDefault="000661C9" w:rsidP="000A618C">
            <w:pPr>
              <w:pStyle w:val="TableText1"/>
              <w:keepNext w:val="0"/>
              <w:widowControl w:val="0"/>
              <w:jc w:val="left"/>
            </w:pPr>
            <w:r w:rsidRPr="003B355D">
              <w:t>5% for costs and outcomes</w:t>
            </w:r>
          </w:p>
        </w:tc>
      </w:tr>
    </w:tbl>
    <w:p w:rsidR="00137F8D" w:rsidRPr="003B355D" w:rsidRDefault="00137F8D" w:rsidP="000A618C">
      <w:pPr>
        <w:pStyle w:val="TableFooter"/>
        <w:spacing w:after="240"/>
        <w:contextualSpacing/>
      </w:pPr>
      <w:r w:rsidRPr="003B355D">
        <w:t xml:space="preserve">Source: </w:t>
      </w:r>
      <w:r w:rsidR="000661C9" w:rsidRPr="003B355D">
        <w:t>Constructed during the evaluation</w:t>
      </w:r>
    </w:p>
    <w:p w:rsidR="00B540CE" w:rsidRPr="003B355D" w:rsidRDefault="00B540CE">
      <w:pPr>
        <w:widowControl/>
        <w:jc w:val="left"/>
        <w:rPr>
          <w:rFonts w:asciiTheme="minorHAnsi" w:eastAsiaTheme="minorHAnsi" w:hAnsiTheme="minorHAnsi" w:cstheme="minorBidi"/>
          <w:snapToGrid/>
          <w:sz w:val="24"/>
          <w:szCs w:val="24"/>
        </w:rPr>
      </w:pPr>
      <w:r w:rsidRPr="003B355D">
        <w:rPr>
          <w:rFonts w:asciiTheme="minorHAnsi" w:hAnsiTheme="minorHAnsi"/>
          <w:sz w:val="24"/>
          <w:szCs w:val="24"/>
        </w:rPr>
        <w:br w:type="page"/>
      </w:r>
    </w:p>
    <w:p w:rsidR="00CC41AF" w:rsidRPr="003B355D" w:rsidRDefault="000A618C" w:rsidP="002C3067">
      <w:pPr>
        <w:pStyle w:val="ESnumberedparablue"/>
        <w:numPr>
          <w:ilvl w:val="1"/>
          <w:numId w:val="34"/>
        </w:numPr>
        <w:spacing w:before="0" w:after="120"/>
        <w:jc w:val="left"/>
        <w:rPr>
          <w:rFonts w:ascii="Arial Narrow" w:hAnsi="Arial Narrow"/>
          <w:b/>
          <w:sz w:val="20"/>
        </w:rPr>
      </w:pPr>
      <w:r w:rsidRPr="003B355D">
        <w:rPr>
          <w:rFonts w:asciiTheme="minorHAnsi" w:hAnsiTheme="minorHAnsi"/>
          <w:color w:val="auto"/>
          <w:sz w:val="24"/>
          <w:szCs w:val="24"/>
        </w:rPr>
        <w:lastRenderedPageBreak/>
        <w:t>Key issues with the economic model are summarised in the table below</w:t>
      </w:r>
      <w:r w:rsidRPr="003B355D">
        <w:rPr>
          <w:color w:val="auto"/>
        </w:rPr>
        <w:t xml:space="preserve">. </w:t>
      </w:r>
    </w:p>
    <w:p w:rsidR="00D453F1" w:rsidRDefault="00D453F1" w:rsidP="00D453F1">
      <w:pPr>
        <w:pStyle w:val="Caption"/>
      </w:pPr>
      <w:r>
        <w:t xml:space="preserve">Table </w:t>
      </w:r>
      <w:r>
        <w:rPr>
          <w:noProof/>
        </w:rPr>
        <w:t>11</w:t>
      </w:r>
      <w:r w:rsidRPr="001943CB">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9"/>
        <w:gridCol w:w="5246"/>
        <w:gridCol w:w="2107"/>
      </w:tblGrid>
      <w:tr w:rsidR="000A618C" w:rsidRPr="003B355D" w:rsidTr="008D4BFB">
        <w:trPr>
          <w:tblHeader/>
        </w:trPr>
        <w:tc>
          <w:tcPr>
            <w:tcW w:w="952" w:type="pct"/>
            <w:shd w:val="clear" w:color="auto" w:fill="auto"/>
            <w:vAlign w:val="center"/>
          </w:tcPr>
          <w:p w:rsidR="000A618C" w:rsidRPr="003B355D" w:rsidRDefault="000A618C" w:rsidP="00700E97">
            <w:pPr>
              <w:pStyle w:val="TableText1"/>
              <w:keepNext w:val="0"/>
              <w:widowControl w:val="0"/>
              <w:rPr>
                <w:b/>
              </w:rPr>
            </w:pPr>
            <w:r w:rsidRPr="003B355D">
              <w:rPr>
                <w:b/>
              </w:rPr>
              <w:t>Description</w:t>
            </w:r>
          </w:p>
        </w:tc>
        <w:tc>
          <w:tcPr>
            <w:tcW w:w="2888" w:type="pct"/>
            <w:tcBorders>
              <w:bottom w:val="single" w:sz="4" w:space="0" w:color="auto"/>
            </w:tcBorders>
            <w:shd w:val="clear" w:color="auto" w:fill="auto"/>
            <w:vAlign w:val="center"/>
          </w:tcPr>
          <w:p w:rsidR="000A618C" w:rsidRPr="003B355D" w:rsidRDefault="000A618C" w:rsidP="00700E97">
            <w:pPr>
              <w:pStyle w:val="TableText1"/>
              <w:keepNext w:val="0"/>
              <w:widowControl w:val="0"/>
              <w:rPr>
                <w:b/>
              </w:rPr>
            </w:pPr>
            <w:r w:rsidRPr="003B355D">
              <w:rPr>
                <w:b/>
              </w:rPr>
              <w:t>Method/Value</w:t>
            </w:r>
          </w:p>
        </w:tc>
        <w:tc>
          <w:tcPr>
            <w:tcW w:w="1160" w:type="pct"/>
            <w:tcBorders>
              <w:bottom w:val="single" w:sz="4" w:space="0" w:color="auto"/>
            </w:tcBorders>
            <w:shd w:val="clear" w:color="auto" w:fill="auto"/>
            <w:vAlign w:val="center"/>
          </w:tcPr>
          <w:p w:rsidR="000A618C" w:rsidRPr="003B355D" w:rsidRDefault="000A618C" w:rsidP="00700E97">
            <w:pPr>
              <w:pStyle w:val="TableText1"/>
              <w:keepNext w:val="0"/>
              <w:widowControl w:val="0"/>
              <w:rPr>
                <w:b/>
              </w:rPr>
            </w:pPr>
            <w:r w:rsidRPr="003B355D">
              <w:rPr>
                <w:b/>
              </w:rPr>
              <w:t>Impact</w:t>
            </w:r>
          </w:p>
        </w:tc>
      </w:tr>
      <w:tr w:rsidR="00C51755" w:rsidRPr="003B355D" w:rsidTr="008D4BFB">
        <w:tc>
          <w:tcPr>
            <w:tcW w:w="952" w:type="pct"/>
            <w:vMerge w:val="restart"/>
            <w:shd w:val="clear" w:color="auto" w:fill="auto"/>
            <w:vAlign w:val="center"/>
          </w:tcPr>
          <w:p w:rsidR="00C51755" w:rsidRPr="003B355D" w:rsidRDefault="00C51755" w:rsidP="00700E97">
            <w:pPr>
              <w:pStyle w:val="TableText1"/>
              <w:keepNext w:val="0"/>
              <w:widowControl w:val="0"/>
            </w:pPr>
            <w:r w:rsidRPr="003B355D">
              <w:t>Model structure</w:t>
            </w:r>
          </w:p>
        </w:tc>
        <w:tc>
          <w:tcPr>
            <w:tcW w:w="2888" w:type="pct"/>
            <w:tcBorders>
              <w:bottom w:val="nil"/>
            </w:tcBorders>
            <w:shd w:val="clear" w:color="auto" w:fill="auto"/>
            <w:vAlign w:val="center"/>
          </w:tcPr>
          <w:p w:rsidR="00C51755" w:rsidRPr="003B355D" w:rsidRDefault="00C51755" w:rsidP="00700E97">
            <w:pPr>
              <w:pStyle w:val="TableText1"/>
              <w:keepNext w:val="0"/>
              <w:widowControl w:val="0"/>
              <w:ind w:right="56"/>
            </w:pPr>
            <w:r w:rsidRPr="003B355D">
              <w:t>The 10-year time horizon based on the mean age of participants in the LEADER trial assuming a shortened life expectancy in patients with Type 2 diabetes and high cardiovascular risk was not adequately justified.</w:t>
            </w:r>
          </w:p>
        </w:tc>
        <w:tc>
          <w:tcPr>
            <w:tcW w:w="1160" w:type="pct"/>
            <w:tcBorders>
              <w:bottom w:val="nil"/>
            </w:tcBorders>
            <w:shd w:val="clear" w:color="auto" w:fill="auto"/>
          </w:tcPr>
          <w:p w:rsidR="00C51755" w:rsidRPr="003B355D" w:rsidRDefault="00C51755" w:rsidP="00C51755">
            <w:pPr>
              <w:pStyle w:val="TableText1"/>
              <w:keepNext w:val="0"/>
              <w:widowControl w:val="0"/>
              <w:jc w:val="left"/>
            </w:pPr>
            <w:r w:rsidRPr="003B355D">
              <w:t>Unclear</w:t>
            </w:r>
          </w:p>
        </w:tc>
      </w:tr>
      <w:tr w:rsidR="00C51755" w:rsidRPr="003B355D" w:rsidTr="008D4BFB">
        <w:tc>
          <w:tcPr>
            <w:tcW w:w="952" w:type="pct"/>
            <w:vMerge/>
            <w:shd w:val="clear" w:color="auto" w:fill="auto"/>
            <w:vAlign w:val="center"/>
          </w:tcPr>
          <w:p w:rsidR="00C51755" w:rsidRPr="003B355D" w:rsidRDefault="00C51755" w:rsidP="00700E97">
            <w:pPr>
              <w:pStyle w:val="TableText1"/>
              <w:keepNext w:val="0"/>
              <w:widowControl w:val="0"/>
            </w:pPr>
          </w:p>
        </w:tc>
        <w:tc>
          <w:tcPr>
            <w:tcW w:w="2888" w:type="pct"/>
            <w:tcBorders>
              <w:top w:val="nil"/>
              <w:bottom w:val="nil"/>
            </w:tcBorders>
            <w:shd w:val="clear" w:color="auto" w:fill="auto"/>
            <w:vAlign w:val="center"/>
          </w:tcPr>
          <w:p w:rsidR="00C51755" w:rsidRPr="003B355D" w:rsidRDefault="00C51755" w:rsidP="00700E97">
            <w:pPr>
              <w:pStyle w:val="TableText1"/>
              <w:keepNext w:val="0"/>
              <w:widowControl w:val="0"/>
              <w:ind w:right="56"/>
            </w:pPr>
            <w:r w:rsidRPr="003B355D">
              <w:t>Inclusion of the “Alive with MI” health state may not have been appropriate, given the non-fatal myocardial infarction component of the primary composite outcome (MACE) in the LEADER trial demonstrated no statistically significant difference between liraglutide and placebo.</w:t>
            </w:r>
          </w:p>
        </w:tc>
        <w:tc>
          <w:tcPr>
            <w:tcW w:w="1160" w:type="pct"/>
            <w:tcBorders>
              <w:top w:val="nil"/>
              <w:bottom w:val="nil"/>
            </w:tcBorders>
            <w:shd w:val="clear" w:color="auto" w:fill="auto"/>
          </w:tcPr>
          <w:p w:rsidR="00C51755" w:rsidRPr="003B355D" w:rsidRDefault="00C51755" w:rsidP="00C51755">
            <w:pPr>
              <w:pStyle w:val="TableText1"/>
              <w:keepNext w:val="0"/>
              <w:widowControl w:val="0"/>
              <w:spacing w:after="0"/>
              <w:jc w:val="left"/>
            </w:pPr>
            <w:r w:rsidRPr="003B355D">
              <w:t>High, favours liraglutide</w:t>
            </w:r>
          </w:p>
          <w:p w:rsidR="00C51755" w:rsidRPr="003B355D" w:rsidRDefault="00C51755" w:rsidP="00700E97">
            <w:pPr>
              <w:pStyle w:val="TableText1"/>
              <w:keepNext w:val="0"/>
              <w:widowControl w:val="0"/>
              <w:jc w:val="left"/>
            </w:pPr>
          </w:p>
        </w:tc>
      </w:tr>
      <w:tr w:rsidR="000A618C" w:rsidRPr="003B355D" w:rsidTr="008D4BFB">
        <w:tc>
          <w:tcPr>
            <w:tcW w:w="952" w:type="pct"/>
            <w:tcBorders>
              <w:bottom w:val="single" w:sz="4" w:space="0" w:color="auto"/>
            </w:tcBorders>
            <w:shd w:val="clear" w:color="auto" w:fill="auto"/>
            <w:vAlign w:val="center"/>
          </w:tcPr>
          <w:p w:rsidR="000A618C" w:rsidRPr="003B355D" w:rsidRDefault="000A618C" w:rsidP="00700E97">
            <w:pPr>
              <w:pStyle w:val="TableText1"/>
              <w:keepNext w:val="0"/>
              <w:widowControl w:val="0"/>
            </w:pPr>
            <w:r w:rsidRPr="003B355D">
              <w:t>Utilities</w:t>
            </w:r>
          </w:p>
        </w:tc>
        <w:tc>
          <w:tcPr>
            <w:tcW w:w="2888" w:type="pct"/>
            <w:tcBorders>
              <w:bottom w:val="single" w:sz="4" w:space="0" w:color="auto"/>
            </w:tcBorders>
            <w:shd w:val="clear" w:color="auto" w:fill="auto"/>
            <w:vAlign w:val="center"/>
          </w:tcPr>
          <w:p w:rsidR="000A618C" w:rsidRPr="003B355D" w:rsidRDefault="000A618C" w:rsidP="00700E97">
            <w:pPr>
              <w:pStyle w:val="TableText1"/>
              <w:keepNext w:val="0"/>
              <w:widowControl w:val="0"/>
              <w:ind w:right="56"/>
            </w:pPr>
            <w:r w:rsidRPr="003B355D">
              <w:t>The utility for nephropathy events was derived from a small time-trade-off study for insulin dependent diabetics in 17 health care workers in Canada in 1995, and may be unreliable.</w:t>
            </w:r>
          </w:p>
        </w:tc>
        <w:tc>
          <w:tcPr>
            <w:tcW w:w="1160" w:type="pct"/>
            <w:tcBorders>
              <w:bottom w:val="single" w:sz="4" w:space="0" w:color="auto"/>
            </w:tcBorders>
            <w:shd w:val="clear" w:color="auto" w:fill="auto"/>
          </w:tcPr>
          <w:p w:rsidR="000A618C" w:rsidRPr="003B355D" w:rsidRDefault="000A618C" w:rsidP="00700E97">
            <w:pPr>
              <w:pStyle w:val="TableText1"/>
              <w:keepNext w:val="0"/>
              <w:widowControl w:val="0"/>
              <w:spacing w:after="0"/>
              <w:jc w:val="left"/>
            </w:pPr>
            <w:r w:rsidRPr="003B355D">
              <w:t>High, favours liraglutide</w:t>
            </w:r>
          </w:p>
          <w:p w:rsidR="000A618C" w:rsidRPr="003B355D" w:rsidRDefault="000A618C" w:rsidP="00700E97">
            <w:pPr>
              <w:pStyle w:val="TableText1"/>
              <w:keepNext w:val="0"/>
              <w:widowControl w:val="0"/>
              <w:spacing w:before="0" w:after="0"/>
              <w:jc w:val="left"/>
            </w:pPr>
          </w:p>
          <w:p w:rsidR="000A618C" w:rsidRPr="003B355D" w:rsidRDefault="000A618C" w:rsidP="00700E97">
            <w:pPr>
              <w:pStyle w:val="TableText1"/>
              <w:keepNext w:val="0"/>
              <w:widowControl w:val="0"/>
              <w:jc w:val="left"/>
            </w:pPr>
          </w:p>
        </w:tc>
      </w:tr>
      <w:tr w:rsidR="00C51755" w:rsidRPr="003B355D" w:rsidTr="008D4BFB">
        <w:tc>
          <w:tcPr>
            <w:tcW w:w="952" w:type="pct"/>
            <w:vMerge w:val="restart"/>
            <w:tcBorders>
              <w:bottom w:val="nil"/>
            </w:tcBorders>
            <w:shd w:val="clear" w:color="auto" w:fill="auto"/>
            <w:vAlign w:val="center"/>
          </w:tcPr>
          <w:p w:rsidR="00C51755" w:rsidRPr="003B355D" w:rsidRDefault="00C51755" w:rsidP="00700E97">
            <w:pPr>
              <w:pStyle w:val="TableText1"/>
              <w:keepNext w:val="0"/>
              <w:widowControl w:val="0"/>
            </w:pPr>
            <w:r w:rsidRPr="003B355D">
              <w:t>Healthcare costs</w:t>
            </w:r>
          </w:p>
        </w:tc>
        <w:tc>
          <w:tcPr>
            <w:tcW w:w="2888" w:type="pct"/>
            <w:tcBorders>
              <w:bottom w:val="nil"/>
            </w:tcBorders>
            <w:shd w:val="clear" w:color="auto" w:fill="auto"/>
            <w:vAlign w:val="center"/>
          </w:tcPr>
          <w:p w:rsidR="00C51755" w:rsidRPr="003B355D" w:rsidRDefault="00C51755" w:rsidP="00F27572">
            <w:pPr>
              <w:pStyle w:val="TableText1"/>
              <w:keepNext w:val="0"/>
              <w:widowControl w:val="0"/>
              <w:ind w:right="56"/>
            </w:pPr>
            <w:r w:rsidRPr="003B355D">
              <w:t>The monthly cost of liraglutide ($</w:t>
            </w:r>
            <w:r w:rsidR="002578F9">
              <w:rPr>
                <w:noProof/>
                <w:color w:val="000000"/>
                <w:highlight w:val="black"/>
              </w:rPr>
              <w:t>'''''''''''''''''</w:t>
            </w:r>
            <w:r w:rsidRPr="003B355D">
              <w:t>) was weighted across the requested prices of the two and three pen packs, using the ratio of exposure to liraglutide 1.8 mg</w:t>
            </w:r>
            <w:r w:rsidR="00D8104A" w:rsidRPr="003B355D">
              <w:t>:1.2 mg</w:t>
            </w:r>
            <w:r w:rsidRPr="003B355D">
              <w:t xml:space="preserve"> in the LEADER trial, and </w:t>
            </w:r>
            <w:r w:rsidR="00D8104A" w:rsidRPr="003B355D">
              <w:t xml:space="preserve">similarly </w:t>
            </w:r>
            <w:r w:rsidRPr="003B355D">
              <w:t xml:space="preserve">adjusted by the mean dose of liraglutide used in LEADER. Using only the weighting method </w:t>
            </w:r>
            <w:r w:rsidR="00B65F66" w:rsidRPr="003B355D">
              <w:t>(</w:t>
            </w:r>
            <w:r w:rsidR="00F27572" w:rsidRPr="003B355D">
              <w:t>applied to</w:t>
            </w:r>
            <w:r w:rsidR="00B65F66" w:rsidRPr="003B355D">
              <w:t xml:space="preserve"> exenatide in the submission)</w:t>
            </w:r>
            <w:r w:rsidR="00F27572" w:rsidRPr="003B355D">
              <w:t xml:space="preserve"> </w:t>
            </w:r>
            <w:r w:rsidRPr="003B355D">
              <w:t>the mean monthly cost of liraglutide increased to $</w:t>
            </w:r>
            <w:r w:rsidR="002578F9">
              <w:rPr>
                <w:noProof/>
                <w:color w:val="000000"/>
                <w:highlight w:val="black"/>
              </w:rPr>
              <w:t>'''''''''''''''''</w:t>
            </w:r>
            <w:r w:rsidRPr="003B355D">
              <w:t>.</w:t>
            </w:r>
          </w:p>
        </w:tc>
        <w:tc>
          <w:tcPr>
            <w:tcW w:w="1160" w:type="pct"/>
            <w:tcBorders>
              <w:bottom w:val="nil"/>
            </w:tcBorders>
            <w:shd w:val="clear" w:color="auto" w:fill="auto"/>
          </w:tcPr>
          <w:p w:rsidR="00C51755" w:rsidRPr="003B355D" w:rsidRDefault="00C51755" w:rsidP="00C51755">
            <w:pPr>
              <w:pStyle w:val="TableText1"/>
              <w:keepNext w:val="0"/>
              <w:widowControl w:val="0"/>
              <w:jc w:val="left"/>
            </w:pPr>
            <w:r w:rsidRPr="003B355D">
              <w:t>High, favours liraglutide</w:t>
            </w:r>
          </w:p>
        </w:tc>
      </w:tr>
      <w:tr w:rsidR="00C51755" w:rsidRPr="003B355D" w:rsidTr="008D4BFB">
        <w:tc>
          <w:tcPr>
            <w:tcW w:w="952" w:type="pct"/>
            <w:vMerge/>
            <w:tcBorders>
              <w:top w:val="nil"/>
              <w:bottom w:val="nil"/>
            </w:tcBorders>
            <w:shd w:val="clear" w:color="auto" w:fill="auto"/>
            <w:vAlign w:val="center"/>
          </w:tcPr>
          <w:p w:rsidR="00C51755" w:rsidRPr="003B355D" w:rsidRDefault="00C51755" w:rsidP="00700E97">
            <w:pPr>
              <w:pStyle w:val="TableText1"/>
              <w:keepNext w:val="0"/>
              <w:widowControl w:val="0"/>
            </w:pPr>
          </w:p>
        </w:tc>
        <w:tc>
          <w:tcPr>
            <w:tcW w:w="2888" w:type="pct"/>
            <w:tcBorders>
              <w:top w:val="nil"/>
              <w:bottom w:val="nil"/>
            </w:tcBorders>
            <w:shd w:val="clear" w:color="auto" w:fill="auto"/>
            <w:vAlign w:val="center"/>
          </w:tcPr>
          <w:p w:rsidR="00C51755" w:rsidRPr="003B355D" w:rsidRDefault="00C51755" w:rsidP="00700E97">
            <w:pPr>
              <w:pStyle w:val="TableText1"/>
              <w:keepNext w:val="0"/>
              <w:widowControl w:val="0"/>
              <w:ind w:right="56"/>
            </w:pPr>
          </w:p>
        </w:tc>
        <w:tc>
          <w:tcPr>
            <w:tcW w:w="1160" w:type="pct"/>
            <w:tcBorders>
              <w:top w:val="nil"/>
              <w:bottom w:val="nil"/>
            </w:tcBorders>
            <w:shd w:val="clear" w:color="auto" w:fill="auto"/>
          </w:tcPr>
          <w:p w:rsidR="00C51755" w:rsidRPr="003B355D" w:rsidRDefault="00C51755" w:rsidP="008D4BFB">
            <w:pPr>
              <w:pStyle w:val="TableText1"/>
              <w:keepNext w:val="0"/>
              <w:widowControl w:val="0"/>
              <w:jc w:val="left"/>
            </w:pPr>
          </w:p>
        </w:tc>
      </w:tr>
      <w:tr w:rsidR="00C51755" w:rsidRPr="003B355D" w:rsidTr="008D4BFB">
        <w:tc>
          <w:tcPr>
            <w:tcW w:w="952" w:type="pct"/>
            <w:vMerge/>
            <w:tcBorders>
              <w:top w:val="nil"/>
            </w:tcBorders>
            <w:shd w:val="clear" w:color="auto" w:fill="auto"/>
            <w:vAlign w:val="center"/>
          </w:tcPr>
          <w:p w:rsidR="00C51755" w:rsidRPr="003B355D" w:rsidRDefault="00C51755" w:rsidP="00700E97">
            <w:pPr>
              <w:pStyle w:val="TableText1"/>
              <w:keepNext w:val="0"/>
              <w:widowControl w:val="0"/>
            </w:pPr>
          </w:p>
        </w:tc>
        <w:tc>
          <w:tcPr>
            <w:tcW w:w="2888" w:type="pct"/>
            <w:tcBorders>
              <w:top w:val="nil"/>
            </w:tcBorders>
            <w:shd w:val="clear" w:color="auto" w:fill="auto"/>
            <w:vAlign w:val="center"/>
          </w:tcPr>
          <w:p w:rsidR="00C51755" w:rsidRPr="003B355D" w:rsidRDefault="00C51755" w:rsidP="00700E97">
            <w:pPr>
              <w:pStyle w:val="TableText1"/>
              <w:keepNext w:val="0"/>
              <w:widowControl w:val="0"/>
              <w:ind w:right="56"/>
            </w:pPr>
            <w:r w:rsidRPr="003B355D">
              <w:t>The use of LEADER trial event rates for severe hypoglycaemia events may not be appropriate, given results for this outcome may have been skewed by an individual outlier in the placebo arm providing 61% of the difference between liraglutide and placebo</w:t>
            </w:r>
            <w:r w:rsidR="00466119" w:rsidRPr="003B355D">
              <w:t>.</w:t>
            </w:r>
          </w:p>
        </w:tc>
        <w:tc>
          <w:tcPr>
            <w:tcW w:w="1160" w:type="pct"/>
            <w:tcBorders>
              <w:top w:val="nil"/>
            </w:tcBorders>
            <w:shd w:val="clear" w:color="auto" w:fill="auto"/>
          </w:tcPr>
          <w:p w:rsidR="00C51755" w:rsidRPr="003B355D" w:rsidRDefault="00C51755" w:rsidP="00700E97">
            <w:pPr>
              <w:pStyle w:val="TableText1"/>
              <w:keepNext w:val="0"/>
              <w:widowControl w:val="0"/>
              <w:jc w:val="left"/>
            </w:pPr>
            <w:r w:rsidRPr="003B355D">
              <w:t>Moderate, favours liraglutide</w:t>
            </w:r>
          </w:p>
        </w:tc>
      </w:tr>
    </w:tbl>
    <w:p w:rsidR="000A618C" w:rsidRPr="003B355D" w:rsidRDefault="000A618C" w:rsidP="00700E97">
      <w:pPr>
        <w:pStyle w:val="TableFooter"/>
        <w:spacing w:after="240"/>
        <w:contextualSpacing/>
      </w:pPr>
      <w:r w:rsidRPr="003B355D">
        <w:t>Source: Compiled during the evaluation</w:t>
      </w:r>
    </w:p>
    <w:p w:rsidR="000A618C" w:rsidRPr="003B355D" w:rsidRDefault="000A618C" w:rsidP="002C3067">
      <w:pPr>
        <w:pStyle w:val="ESnumberedparablue"/>
        <w:numPr>
          <w:ilvl w:val="1"/>
          <w:numId w:val="34"/>
        </w:numPr>
        <w:spacing w:before="0" w:after="120"/>
        <w:rPr>
          <w:rFonts w:asciiTheme="minorHAnsi" w:hAnsiTheme="minorHAnsi"/>
          <w:color w:val="auto"/>
          <w:sz w:val="24"/>
          <w:szCs w:val="24"/>
        </w:rPr>
      </w:pPr>
      <w:r w:rsidRPr="003B355D">
        <w:rPr>
          <w:rFonts w:asciiTheme="minorHAnsi" w:hAnsiTheme="minorHAnsi"/>
          <w:color w:val="auto"/>
          <w:sz w:val="24"/>
          <w:szCs w:val="24"/>
        </w:rPr>
        <w:t xml:space="preserve">The results of the </w:t>
      </w:r>
      <w:r w:rsidR="00BE7BCC" w:rsidRPr="003B355D">
        <w:rPr>
          <w:rFonts w:asciiTheme="minorHAnsi" w:hAnsiTheme="minorHAnsi"/>
          <w:color w:val="auto"/>
          <w:sz w:val="24"/>
          <w:szCs w:val="24"/>
        </w:rPr>
        <w:t>stepped economic evaluation for the comparison of liraglutide versus exenatide</w:t>
      </w:r>
      <w:r w:rsidRPr="003B355D">
        <w:rPr>
          <w:rFonts w:asciiTheme="minorHAnsi" w:hAnsiTheme="minorHAnsi"/>
          <w:color w:val="auto"/>
          <w:sz w:val="24"/>
          <w:szCs w:val="24"/>
        </w:rPr>
        <w:t xml:space="preserve"> are summarised in </w:t>
      </w:r>
      <w:r w:rsidR="005E356C" w:rsidRPr="003B355D">
        <w:rPr>
          <w:rFonts w:asciiTheme="minorHAnsi" w:hAnsiTheme="minorHAnsi"/>
          <w:color w:val="auto"/>
          <w:sz w:val="24"/>
          <w:szCs w:val="24"/>
        </w:rPr>
        <w:t>T</w:t>
      </w:r>
      <w:r w:rsidRPr="003B355D">
        <w:rPr>
          <w:rFonts w:asciiTheme="minorHAnsi" w:hAnsiTheme="minorHAnsi"/>
          <w:color w:val="auto"/>
          <w:sz w:val="24"/>
          <w:szCs w:val="24"/>
        </w:rPr>
        <w:t xml:space="preserve">able </w:t>
      </w:r>
      <w:r w:rsidR="00B540CE" w:rsidRPr="003B355D">
        <w:rPr>
          <w:rFonts w:asciiTheme="minorHAnsi" w:hAnsiTheme="minorHAnsi"/>
          <w:color w:val="auto"/>
          <w:sz w:val="24"/>
          <w:szCs w:val="24"/>
        </w:rPr>
        <w:t>12</w:t>
      </w:r>
      <w:r w:rsidRPr="003B355D">
        <w:rPr>
          <w:rFonts w:asciiTheme="minorHAnsi" w:hAnsiTheme="minorHAnsi"/>
          <w:color w:val="auto"/>
          <w:sz w:val="24"/>
          <w:szCs w:val="24"/>
        </w:rPr>
        <w:t>.</w:t>
      </w:r>
    </w:p>
    <w:p w:rsidR="00B540CE" w:rsidRPr="003B355D" w:rsidRDefault="00B540CE">
      <w:pPr>
        <w:widowControl/>
        <w:jc w:val="left"/>
        <w:rPr>
          <w:rStyle w:val="CommentReference"/>
        </w:rPr>
      </w:pPr>
      <w:r w:rsidRPr="003B355D">
        <w:rPr>
          <w:rStyle w:val="CommentReference"/>
        </w:rPr>
        <w:br w:type="page"/>
      </w:r>
    </w:p>
    <w:p w:rsidR="00D453F1" w:rsidRDefault="00D453F1" w:rsidP="00D453F1">
      <w:pPr>
        <w:pStyle w:val="Caption"/>
      </w:pPr>
      <w:r>
        <w:lastRenderedPageBreak/>
        <w:t xml:space="preserve">Table </w:t>
      </w:r>
      <w:r>
        <w:rPr>
          <w:noProof/>
        </w:rPr>
        <w:t>12</w:t>
      </w:r>
      <w:r w:rsidRPr="000607E2">
        <w:t>: Results of the stepped economic evaluation: Liraglutide versus exenatide</w:t>
      </w:r>
    </w:p>
    <w:tbl>
      <w:tblPr>
        <w:tblStyle w:val="TableGrid"/>
        <w:tblW w:w="0" w:type="auto"/>
        <w:tblLook w:val="04A0" w:firstRow="1" w:lastRow="0" w:firstColumn="1" w:lastColumn="0" w:noHBand="0" w:noVBand="1"/>
        <w:tblCaption w:val="Results of the stepped economic evaluation: Liraglutide versus exenatide"/>
      </w:tblPr>
      <w:tblGrid>
        <w:gridCol w:w="4390"/>
        <w:gridCol w:w="1542"/>
        <w:gridCol w:w="1542"/>
        <w:gridCol w:w="1542"/>
      </w:tblGrid>
      <w:tr w:rsidR="00BE7BCC" w:rsidRPr="003B355D" w:rsidTr="006B5926">
        <w:trPr>
          <w:tblHeader/>
        </w:trPr>
        <w:tc>
          <w:tcPr>
            <w:tcW w:w="4390" w:type="dxa"/>
            <w:vAlign w:val="center"/>
          </w:tcPr>
          <w:p w:rsidR="00BE7BCC" w:rsidRPr="003B355D" w:rsidRDefault="00BE7BCC" w:rsidP="00BE7BCC">
            <w:pPr>
              <w:spacing w:before="40" w:after="40"/>
              <w:jc w:val="left"/>
              <w:rPr>
                <w:rStyle w:val="CommentReference"/>
                <w:szCs w:val="20"/>
              </w:rPr>
            </w:pPr>
            <w:r w:rsidRPr="003B355D">
              <w:rPr>
                <w:rStyle w:val="CommentReference"/>
                <w:szCs w:val="20"/>
              </w:rPr>
              <w:t>Step</w:t>
            </w:r>
          </w:p>
          <w:p w:rsidR="00BE7BCC" w:rsidRPr="003B355D" w:rsidRDefault="00BE7BCC" w:rsidP="00BE7BCC">
            <w:pPr>
              <w:spacing w:before="40" w:after="40"/>
              <w:jc w:val="left"/>
              <w:rPr>
                <w:rStyle w:val="CommentReference"/>
                <w:szCs w:val="20"/>
              </w:rPr>
            </w:pPr>
            <w:r w:rsidRPr="003B355D">
              <w:rPr>
                <w:rStyle w:val="CommentReference"/>
                <w:szCs w:val="20"/>
              </w:rPr>
              <w:t>- outcome</w:t>
            </w:r>
          </w:p>
        </w:tc>
        <w:tc>
          <w:tcPr>
            <w:tcW w:w="1542" w:type="dxa"/>
            <w:vAlign w:val="center"/>
          </w:tcPr>
          <w:p w:rsidR="00BE7BCC" w:rsidRPr="003B355D" w:rsidRDefault="00BE7BCC" w:rsidP="00BE7BCC">
            <w:pPr>
              <w:spacing w:before="40" w:after="40"/>
              <w:jc w:val="center"/>
              <w:rPr>
                <w:rStyle w:val="CommentReference"/>
                <w:szCs w:val="20"/>
              </w:rPr>
            </w:pPr>
            <w:r w:rsidRPr="003B355D">
              <w:rPr>
                <w:rStyle w:val="CommentReference"/>
                <w:szCs w:val="20"/>
              </w:rPr>
              <w:t>Incremental cost</w:t>
            </w:r>
          </w:p>
        </w:tc>
        <w:tc>
          <w:tcPr>
            <w:tcW w:w="1542" w:type="dxa"/>
            <w:vAlign w:val="center"/>
          </w:tcPr>
          <w:p w:rsidR="00BE7BCC" w:rsidRPr="003B355D" w:rsidRDefault="00BE7BCC" w:rsidP="00BE7BCC">
            <w:pPr>
              <w:spacing w:before="40" w:after="40"/>
              <w:jc w:val="center"/>
              <w:rPr>
                <w:rStyle w:val="CommentReference"/>
                <w:szCs w:val="20"/>
              </w:rPr>
            </w:pPr>
            <w:r w:rsidRPr="003B355D">
              <w:rPr>
                <w:rStyle w:val="CommentReference"/>
                <w:szCs w:val="20"/>
              </w:rPr>
              <w:t>Incremental outcome</w:t>
            </w:r>
          </w:p>
        </w:tc>
        <w:tc>
          <w:tcPr>
            <w:tcW w:w="1542" w:type="dxa"/>
            <w:vAlign w:val="center"/>
          </w:tcPr>
          <w:p w:rsidR="00BE7BCC" w:rsidRPr="003B355D" w:rsidRDefault="00BE7BCC" w:rsidP="00BE7BCC">
            <w:pPr>
              <w:spacing w:before="40" w:after="40"/>
              <w:jc w:val="center"/>
              <w:rPr>
                <w:rStyle w:val="CommentReference"/>
                <w:szCs w:val="20"/>
              </w:rPr>
            </w:pPr>
            <w:r w:rsidRPr="003B355D">
              <w:rPr>
                <w:rStyle w:val="CommentReference"/>
                <w:szCs w:val="20"/>
              </w:rPr>
              <w:t>ICER</w:t>
            </w:r>
          </w:p>
        </w:tc>
      </w:tr>
      <w:tr w:rsidR="00BE7BCC" w:rsidRPr="003B355D" w:rsidTr="00BE7BCC">
        <w:tc>
          <w:tcPr>
            <w:tcW w:w="9016" w:type="dxa"/>
            <w:gridSpan w:val="4"/>
            <w:vAlign w:val="center"/>
          </w:tcPr>
          <w:p w:rsidR="00BE7BCC" w:rsidRPr="003B355D" w:rsidRDefault="00BE7BCC" w:rsidP="00BE7BCC">
            <w:pPr>
              <w:spacing w:before="40" w:after="40"/>
              <w:rPr>
                <w:rStyle w:val="CommentReference"/>
                <w:b w:val="0"/>
                <w:szCs w:val="20"/>
              </w:rPr>
            </w:pPr>
            <w:r w:rsidRPr="003B355D">
              <w:rPr>
                <w:rFonts w:ascii="Arial Narrow" w:hAnsi="Arial Narrow"/>
                <w:b/>
                <w:sz w:val="20"/>
              </w:rPr>
              <w:t>Step 1: Trial based (54-month LEADER study data; drug costs only)</w:t>
            </w:r>
          </w:p>
        </w:tc>
      </w:tr>
      <w:tr w:rsidR="00BE7BCC" w:rsidRPr="003B355D" w:rsidTr="00BE7BCC">
        <w:tc>
          <w:tcPr>
            <w:tcW w:w="4390" w:type="dxa"/>
          </w:tcPr>
          <w:p w:rsidR="00BE7BCC" w:rsidRPr="003B355D" w:rsidRDefault="00BE7BCC" w:rsidP="00BE7BCC">
            <w:pPr>
              <w:spacing w:before="40" w:after="40"/>
              <w:rPr>
                <w:rStyle w:val="CommentReference"/>
                <w:b w:val="0"/>
                <w:szCs w:val="20"/>
              </w:rPr>
            </w:pPr>
            <w:r w:rsidRPr="003B355D">
              <w:rPr>
                <w:rStyle w:val="CommentReference"/>
                <w:b w:val="0"/>
                <w:szCs w:val="20"/>
              </w:rPr>
              <w:t xml:space="preserve">- </w:t>
            </w:r>
            <w:r w:rsidRPr="003B355D">
              <w:rPr>
                <w:rStyle w:val="CommentReference"/>
                <w:b w:val="0"/>
              </w:rPr>
              <w:t xml:space="preserve">per </w:t>
            </w:r>
            <w:r w:rsidRPr="003B355D">
              <w:rPr>
                <w:rStyle w:val="CommentReference"/>
                <w:b w:val="0"/>
                <w:szCs w:val="20"/>
              </w:rPr>
              <w:t>cardiovascular event avoided</w:t>
            </w:r>
          </w:p>
        </w:tc>
        <w:tc>
          <w:tcPr>
            <w:tcW w:w="1542" w:type="dxa"/>
          </w:tcPr>
          <w:p w:rsidR="00BE7BCC" w:rsidRPr="003B355D" w:rsidRDefault="00BE7BCC" w:rsidP="00BE7BCC">
            <w:pPr>
              <w:spacing w:before="40" w:after="40"/>
              <w:jc w:val="center"/>
              <w:rPr>
                <w:rStyle w:val="CommentReference"/>
                <w:b w:val="0"/>
                <w:szCs w:val="20"/>
              </w:rPr>
            </w:pPr>
            <w:r w:rsidRPr="003B355D">
              <w:rPr>
                <w:rFonts w:ascii="Arial Narrow" w:hAnsi="Arial Narrow"/>
                <w:color w:val="000000"/>
                <w:sz w:val="20"/>
              </w:rPr>
              <w:t>$</w:t>
            </w:r>
            <w:r w:rsidR="002578F9">
              <w:rPr>
                <w:rFonts w:ascii="Arial Narrow" w:hAnsi="Arial Narrow"/>
                <w:noProof/>
                <w:color w:val="000000"/>
                <w:sz w:val="20"/>
                <w:highlight w:val="black"/>
              </w:rPr>
              <w:t>'''''''''''''</w:t>
            </w:r>
          </w:p>
        </w:tc>
        <w:tc>
          <w:tcPr>
            <w:tcW w:w="1542" w:type="dxa"/>
          </w:tcPr>
          <w:p w:rsidR="00BE7BCC" w:rsidRPr="003B355D" w:rsidRDefault="00BE7BCC" w:rsidP="00BE7BCC">
            <w:pPr>
              <w:spacing w:before="40" w:after="40"/>
              <w:jc w:val="center"/>
              <w:rPr>
                <w:rStyle w:val="CommentReference"/>
                <w:b w:val="0"/>
                <w:szCs w:val="20"/>
              </w:rPr>
            </w:pPr>
            <w:r w:rsidRPr="003B355D">
              <w:rPr>
                <w:rStyle w:val="CommentReference"/>
                <w:b w:val="0"/>
                <w:szCs w:val="20"/>
              </w:rPr>
              <w:t>-1.9%</w:t>
            </w:r>
          </w:p>
        </w:tc>
        <w:tc>
          <w:tcPr>
            <w:tcW w:w="1542" w:type="dxa"/>
            <w:vAlign w:val="center"/>
          </w:tcPr>
          <w:p w:rsidR="00BE7BCC" w:rsidRPr="003B355D" w:rsidRDefault="00BE7BCC" w:rsidP="00BE7BCC">
            <w:pPr>
              <w:jc w:val="center"/>
              <w:rPr>
                <w:rFonts w:ascii="Arial Narrow" w:hAnsi="Arial Narrow"/>
                <w:color w:val="000000"/>
                <w:sz w:val="20"/>
              </w:rPr>
            </w:pPr>
            <w:r w:rsidRPr="003B355D">
              <w:rPr>
                <w:rFonts w:ascii="Arial Narrow" w:hAnsi="Arial Narrow"/>
                <w:color w:val="000000"/>
                <w:sz w:val="20"/>
              </w:rPr>
              <w:t>$</w:t>
            </w:r>
            <w:r w:rsidR="002578F9">
              <w:rPr>
                <w:rFonts w:ascii="Arial Narrow" w:hAnsi="Arial Narrow"/>
                <w:noProof/>
                <w:color w:val="000000"/>
                <w:sz w:val="20"/>
                <w:highlight w:val="black"/>
              </w:rPr>
              <w:t>'''''''''''''''</w:t>
            </w:r>
          </w:p>
        </w:tc>
      </w:tr>
      <w:tr w:rsidR="00BE7BCC" w:rsidRPr="003B355D" w:rsidTr="00BE7BCC">
        <w:tc>
          <w:tcPr>
            <w:tcW w:w="4390" w:type="dxa"/>
          </w:tcPr>
          <w:p w:rsidR="00BE7BCC" w:rsidRPr="003B355D" w:rsidRDefault="00BE7BCC" w:rsidP="00BE7BCC">
            <w:pPr>
              <w:spacing w:before="40" w:after="40"/>
              <w:rPr>
                <w:rStyle w:val="CommentReference"/>
                <w:b w:val="0"/>
                <w:szCs w:val="20"/>
              </w:rPr>
            </w:pPr>
            <w:r w:rsidRPr="003B355D">
              <w:rPr>
                <w:rStyle w:val="CommentReference"/>
                <w:b w:val="0"/>
                <w:szCs w:val="20"/>
              </w:rPr>
              <w:t xml:space="preserve">- </w:t>
            </w:r>
            <w:r w:rsidRPr="003B355D">
              <w:rPr>
                <w:rStyle w:val="CommentReference"/>
                <w:b w:val="0"/>
              </w:rPr>
              <w:t xml:space="preserve">per </w:t>
            </w:r>
            <w:r w:rsidRPr="003B355D">
              <w:rPr>
                <w:rStyle w:val="CommentReference"/>
                <w:b w:val="0"/>
                <w:szCs w:val="20"/>
              </w:rPr>
              <w:t>cardiovascular death avoided</w:t>
            </w:r>
          </w:p>
        </w:tc>
        <w:tc>
          <w:tcPr>
            <w:tcW w:w="1542" w:type="dxa"/>
          </w:tcPr>
          <w:p w:rsidR="00BE7BCC" w:rsidRPr="003B355D" w:rsidRDefault="00BE7BCC" w:rsidP="00BE7BCC">
            <w:pPr>
              <w:jc w:val="center"/>
              <w:rPr>
                <w:rFonts w:ascii="Arial Narrow" w:hAnsi="Arial Narrow"/>
                <w:sz w:val="20"/>
              </w:rPr>
            </w:pPr>
            <w:r w:rsidRPr="003B355D">
              <w:rPr>
                <w:rFonts w:ascii="Arial Narrow" w:hAnsi="Arial Narrow"/>
                <w:color w:val="000000"/>
                <w:sz w:val="20"/>
              </w:rPr>
              <w:t>$</w:t>
            </w:r>
            <w:r w:rsidR="002578F9">
              <w:rPr>
                <w:rFonts w:ascii="Arial Narrow" w:hAnsi="Arial Narrow"/>
                <w:noProof/>
                <w:color w:val="000000"/>
                <w:sz w:val="20"/>
                <w:highlight w:val="black"/>
              </w:rPr>
              <w:t>'''''''''''''''</w:t>
            </w:r>
          </w:p>
        </w:tc>
        <w:tc>
          <w:tcPr>
            <w:tcW w:w="1542" w:type="dxa"/>
          </w:tcPr>
          <w:p w:rsidR="00BE7BCC" w:rsidRPr="003B355D" w:rsidRDefault="00BE7BCC" w:rsidP="00BE7BCC">
            <w:pPr>
              <w:spacing w:before="40" w:after="40"/>
              <w:jc w:val="center"/>
              <w:rPr>
                <w:rStyle w:val="CommentReference"/>
                <w:b w:val="0"/>
                <w:szCs w:val="20"/>
              </w:rPr>
            </w:pPr>
            <w:r w:rsidRPr="003B355D">
              <w:rPr>
                <w:rStyle w:val="CommentReference"/>
                <w:b w:val="0"/>
                <w:szCs w:val="20"/>
              </w:rPr>
              <w:t>-1.3%</w:t>
            </w:r>
          </w:p>
        </w:tc>
        <w:tc>
          <w:tcPr>
            <w:tcW w:w="1542" w:type="dxa"/>
            <w:vAlign w:val="center"/>
          </w:tcPr>
          <w:p w:rsidR="00BE7BCC" w:rsidRPr="003B355D" w:rsidRDefault="00BE7BCC" w:rsidP="00BE7BCC">
            <w:pPr>
              <w:jc w:val="center"/>
              <w:rPr>
                <w:rFonts w:ascii="Arial Narrow" w:hAnsi="Arial Narrow"/>
                <w:color w:val="000000"/>
                <w:sz w:val="20"/>
              </w:rPr>
            </w:pPr>
            <w:r w:rsidRPr="003B355D">
              <w:rPr>
                <w:rFonts w:ascii="Arial Narrow" w:hAnsi="Arial Narrow"/>
                <w:color w:val="000000"/>
                <w:sz w:val="20"/>
              </w:rPr>
              <w:t>$</w:t>
            </w:r>
            <w:r w:rsidR="002578F9">
              <w:rPr>
                <w:rFonts w:ascii="Arial Narrow" w:hAnsi="Arial Narrow"/>
                <w:noProof/>
                <w:color w:val="000000"/>
                <w:sz w:val="20"/>
                <w:highlight w:val="black"/>
              </w:rPr>
              <w:t>''''''''''''''''''''</w:t>
            </w:r>
          </w:p>
        </w:tc>
      </w:tr>
      <w:tr w:rsidR="00BE7BCC" w:rsidRPr="003B355D" w:rsidTr="00BE7BCC">
        <w:tc>
          <w:tcPr>
            <w:tcW w:w="4390" w:type="dxa"/>
          </w:tcPr>
          <w:p w:rsidR="00BE7BCC" w:rsidRPr="003B355D" w:rsidRDefault="00BE7BCC" w:rsidP="00BE7BCC">
            <w:pPr>
              <w:spacing w:before="40" w:after="40"/>
              <w:rPr>
                <w:rStyle w:val="CommentReference"/>
                <w:b w:val="0"/>
                <w:szCs w:val="20"/>
              </w:rPr>
            </w:pPr>
            <w:r w:rsidRPr="003B355D">
              <w:rPr>
                <w:rStyle w:val="CommentReference"/>
                <w:b w:val="0"/>
                <w:szCs w:val="20"/>
              </w:rPr>
              <w:t>-</w:t>
            </w:r>
            <w:r w:rsidRPr="003B355D">
              <w:rPr>
                <w:rStyle w:val="CommentReference"/>
                <w:b w:val="0"/>
              </w:rPr>
              <w:t xml:space="preserve"> per</w:t>
            </w:r>
            <w:r w:rsidRPr="003B355D">
              <w:rPr>
                <w:rStyle w:val="CommentReference"/>
                <w:b w:val="0"/>
                <w:szCs w:val="20"/>
              </w:rPr>
              <w:t xml:space="preserve"> myocardial event avoided</w:t>
            </w:r>
          </w:p>
        </w:tc>
        <w:tc>
          <w:tcPr>
            <w:tcW w:w="1542" w:type="dxa"/>
          </w:tcPr>
          <w:p w:rsidR="00BE7BCC" w:rsidRPr="003B355D" w:rsidRDefault="00BE7BCC" w:rsidP="00BE7BCC">
            <w:pPr>
              <w:jc w:val="center"/>
              <w:rPr>
                <w:rFonts w:ascii="Arial Narrow" w:hAnsi="Arial Narrow"/>
                <w:sz w:val="20"/>
              </w:rPr>
            </w:pPr>
            <w:r w:rsidRPr="003B355D">
              <w:rPr>
                <w:rFonts w:ascii="Arial Narrow" w:hAnsi="Arial Narrow"/>
                <w:color w:val="000000"/>
                <w:sz w:val="20"/>
              </w:rPr>
              <w:t>$</w:t>
            </w:r>
            <w:r w:rsidR="002578F9">
              <w:rPr>
                <w:rFonts w:ascii="Arial Narrow" w:hAnsi="Arial Narrow"/>
                <w:noProof/>
                <w:color w:val="000000"/>
                <w:sz w:val="20"/>
                <w:highlight w:val="black"/>
              </w:rPr>
              <w:t>''''''''''''''</w:t>
            </w:r>
          </w:p>
        </w:tc>
        <w:tc>
          <w:tcPr>
            <w:tcW w:w="1542" w:type="dxa"/>
          </w:tcPr>
          <w:p w:rsidR="00BE7BCC" w:rsidRPr="003B355D" w:rsidRDefault="00BE7BCC" w:rsidP="00BE7BCC">
            <w:pPr>
              <w:spacing w:before="40" w:after="40"/>
              <w:jc w:val="center"/>
              <w:rPr>
                <w:rStyle w:val="CommentReference"/>
                <w:b w:val="0"/>
                <w:szCs w:val="20"/>
              </w:rPr>
            </w:pPr>
            <w:r w:rsidRPr="003B355D">
              <w:rPr>
                <w:rStyle w:val="CommentReference"/>
                <w:b w:val="0"/>
                <w:szCs w:val="20"/>
              </w:rPr>
              <w:t>-1.0%</w:t>
            </w:r>
          </w:p>
        </w:tc>
        <w:tc>
          <w:tcPr>
            <w:tcW w:w="1542" w:type="dxa"/>
            <w:vAlign w:val="center"/>
          </w:tcPr>
          <w:p w:rsidR="00BE7BCC" w:rsidRPr="003B355D" w:rsidRDefault="00BE7BCC" w:rsidP="00BE7BCC">
            <w:pPr>
              <w:jc w:val="center"/>
              <w:rPr>
                <w:rFonts w:ascii="Arial Narrow" w:hAnsi="Arial Narrow"/>
                <w:color w:val="000000"/>
                <w:sz w:val="20"/>
              </w:rPr>
            </w:pPr>
            <w:r w:rsidRPr="003B355D">
              <w:rPr>
                <w:rFonts w:ascii="Arial Narrow" w:hAnsi="Arial Narrow"/>
                <w:color w:val="000000"/>
                <w:sz w:val="20"/>
              </w:rPr>
              <w:t>$</w:t>
            </w:r>
            <w:r w:rsidR="002578F9">
              <w:rPr>
                <w:rFonts w:ascii="Arial Narrow" w:hAnsi="Arial Narrow"/>
                <w:noProof/>
                <w:color w:val="000000"/>
                <w:sz w:val="20"/>
                <w:highlight w:val="black"/>
              </w:rPr>
              <w:t>''''''''''''''''''</w:t>
            </w:r>
          </w:p>
        </w:tc>
      </w:tr>
      <w:tr w:rsidR="00BE7BCC" w:rsidRPr="003B355D" w:rsidTr="00BE7BCC">
        <w:tc>
          <w:tcPr>
            <w:tcW w:w="4390" w:type="dxa"/>
          </w:tcPr>
          <w:p w:rsidR="00BE7BCC" w:rsidRPr="003B355D" w:rsidRDefault="00BE7BCC" w:rsidP="00BE7BCC">
            <w:pPr>
              <w:spacing w:before="40" w:after="40"/>
              <w:rPr>
                <w:rStyle w:val="CommentReference"/>
                <w:b w:val="0"/>
                <w:szCs w:val="20"/>
              </w:rPr>
            </w:pPr>
            <w:r w:rsidRPr="003B355D">
              <w:rPr>
                <w:rStyle w:val="CommentReference"/>
                <w:b w:val="0"/>
                <w:szCs w:val="20"/>
              </w:rPr>
              <w:t xml:space="preserve">- </w:t>
            </w:r>
            <w:r w:rsidRPr="003B355D">
              <w:rPr>
                <w:rStyle w:val="CommentReference"/>
                <w:b w:val="0"/>
              </w:rPr>
              <w:t xml:space="preserve">per </w:t>
            </w:r>
            <w:r w:rsidRPr="003B355D">
              <w:rPr>
                <w:rStyle w:val="CommentReference"/>
                <w:b w:val="0"/>
                <w:szCs w:val="20"/>
              </w:rPr>
              <w:t>nephropathy event avoided</w:t>
            </w:r>
          </w:p>
        </w:tc>
        <w:tc>
          <w:tcPr>
            <w:tcW w:w="1542" w:type="dxa"/>
          </w:tcPr>
          <w:p w:rsidR="00BE7BCC" w:rsidRPr="003B355D" w:rsidRDefault="00BE7BCC" w:rsidP="00BE7BCC">
            <w:pPr>
              <w:jc w:val="center"/>
              <w:rPr>
                <w:rFonts w:ascii="Arial Narrow" w:hAnsi="Arial Narrow"/>
                <w:sz w:val="20"/>
              </w:rPr>
            </w:pPr>
            <w:r w:rsidRPr="003B355D">
              <w:rPr>
                <w:rFonts w:ascii="Arial Narrow" w:hAnsi="Arial Narrow"/>
                <w:color w:val="000000"/>
                <w:sz w:val="20"/>
              </w:rPr>
              <w:t>$</w:t>
            </w:r>
            <w:r w:rsidR="002578F9">
              <w:rPr>
                <w:rFonts w:ascii="Arial Narrow" w:hAnsi="Arial Narrow"/>
                <w:noProof/>
                <w:color w:val="000000"/>
                <w:sz w:val="20"/>
                <w:highlight w:val="black"/>
              </w:rPr>
              <w:t>'''''''''''''''</w:t>
            </w:r>
          </w:p>
        </w:tc>
        <w:tc>
          <w:tcPr>
            <w:tcW w:w="1542" w:type="dxa"/>
          </w:tcPr>
          <w:p w:rsidR="00BE7BCC" w:rsidRPr="003B355D" w:rsidRDefault="00BE7BCC" w:rsidP="00BE7BCC">
            <w:pPr>
              <w:spacing w:before="40" w:after="40"/>
              <w:jc w:val="center"/>
              <w:rPr>
                <w:rStyle w:val="CommentReference"/>
                <w:b w:val="0"/>
                <w:szCs w:val="20"/>
              </w:rPr>
            </w:pPr>
            <w:r w:rsidRPr="003B355D">
              <w:rPr>
                <w:rStyle w:val="CommentReference"/>
                <w:b w:val="0"/>
                <w:szCs w:val="20"/>
              </w:rPr>
              <w:t>-1.5%</w:t>
            </w:r>
          </w:p>
        </w:tc>
        <w:tc>
          <w:tcPr>
            <w:tcW w:w="1542" w:type="dxa"/>
            <w:vAlign w:val="center"/>
          </w:tcPr>
          <w:p w:rsidR="00BE7BCC" w:rsidRPr="003B355D" w:rsidRDefault="00BE7BCC" w:rsidP="00BE7BCC">
            <w:pPr>
              <w:jc w:val="center"/>
              <w:rPr>
                <w:rFonts w:ascii="Arial Narrow" w:hAnsi="Arial Narrow"/>
                <w:color w:val="000000"/>
                <w:sz w:val="20"/>
              </w:rPr>
            </w:pPr>
            <w:r w:rsidRPr="003B355D">
              <w:rPr>
                <w:rFonts w:ascii="Arial Narrow" w:hAnsi="Arial Narrow"/>
                <w:color w:val="000000"/>
                <w:sz w:val="20"/>
              </w:rPr>
              <w:t>$</w:t>
            </w:r>
            <w:r w:rsidR="002578F9">
              <w:rPr>
                <w:rFonts w:ascii="Arial Narrow" w:hAnsi="Arial Narrow"/>
                <w:noProof/>
                <w:color w:val="000000"/>
                <w:sz w:val="20"/>
                <w:highlight w:val="black"/>
              </w:rPr>
              <w:t>''''''''''''''''''</w:t>
            </w:r>
          </w:p>
        </w:tc>
      </w:tr>
      <w:tr w:rsidR="00BE7BCC" w:rsidRPr="003B355D" w:rsidTr="00BE7BCC">
        <w:tc>
          <w:tcPr>
            <w:tcW w:w="9016" w:type="dxa"/>
            <w:gridSpan w:val="4"/>
          </w:tcPr>
          <w:p w:rsidR="00BE7BCC" w:rsidRPr="003B355D" w:rsidRDefault="00BE7BCC" w:rsidP="00BE7BCC">
            <w:pPr>
              <w:spacing w:before="40" w:after="40"/>
              <w:jc w:val="left"/>
              <w:rPr>
                <w:rStyle w:val="CommentReference"/>
                <w:b w:val="0"/>
                <w:szCs w:val="20"/>
              </w:rPr>
            </w:pPr>
            <w:r w:rsidRPr="003B355D">
              <w:rPr>
                <w:rFonts w:ascii="Arial Narrow" w:hAnsi="Arial Narrow"/>
                <w:b/>
                <w:sz w:val="20"/>
              </w:rPr>
              <w:t>Step 2: Deaths (drug costs only, 10 years)</w:t>
            </w:r>
          </w:p>
        </w:tc>
      </w:tr>
      <w:tr w:rsidR="00BE7BCC" w:rsidRPr="003B355D" w:rsidTr="00BE7BCC">
        <w:tc>
          <w:tcPr>
            <w:tcW w:w="4390" w:type="dxa"/>
          </w:tcPr>
          <w:p w:rsidR="00BE7BCC" w:rsidRPr="003B355D" w:rsidRDefault="00BE7BCC" w:rsidP="00BE7BCC">
            <w:pPr>
              <w:spacing w:before="40" w:after="40"/>
              <w:rPr>
                <w:rStyle w:val="CommentReference"/>
                <w:b w:val="0"/>
                <w:szCs w:val="20"/>
              </w:rPr>
            </w:pPr>
            <w:r w:rsidRPr="003B355D">
              <w:rPr>
                <w:rStyle w:val="CommentReference"/>
                <w:b w:val="0"/>
                <w:szCs w:val="20"/>
              </w:rPr>
              <w:t>- per death avoided</w:t>
            </w:r>
          </w:p>
        </w:tc>
        <w:tc>
          <w:tcPr>
            <w:tcW w:w="1542" w:type="dxa"/>
          </w:tcPr>
          <w:p w:rsidR="00BE7BCC" w:rsidRPr="003B355D" w:rsidRDefault="00BE7BCC" w:rsidP="00BE1FF9">
            <w:pPr>
              <w:spacing w:before="40" w:after="40"/>
              <w:jc w:val="center"/>
              <w:rPr>
                <w:rStyle w:val="CommentReference"/>
                <w:b w:val="0"/>
                <w:szCs w:val="20"/>
              </w:rPr>
            </w:pPr>
            <w:r w:rsidRPr="003B355D">
              <w:rPr>
                <w:rFonts w:ascii="Arial Narrow" w:hAnsi="Arial Narrow"/>
                <w:color w:val="000000"/>
                <w:sz w:val="20"/>
              </w:rPr>
              <w:t>$</w:t>
            </w:r>
            <w:r w:rsidR="002578F9">
              <w:rPr>
                <w:rFonts w:ascii="Arial Narrow" w:hAnsi="Arial Narrow"/>
                <w:noProof/>
                <w:color w:val="000000"/>
                <w:sz w:val="20"/>
                <w:highlight w:val="black"/>
              </w:rPr>
              <w:t>'''''''''''''</w:t>
            </w:r>
          </w:p>
        </w:tc>
        <w:tc>
          <w:tcPr>
            <w:tcW w:w="1542" w:type="dxa"/>
          </w:tcPr>
          <w:p w:rsidR="00BE7BCC" w:rsidRPr="003B355D" w:rsidRDefault="00BE7BCC" w:rsidP="00BE7BCC">
            <w:pPr>
              <w:spacing w:before="40" w:after="40"/>
              <w:jc w:val="center"/>
              <w:rPr>
                <w:rStyle w:val="CommentReference"/>
                <w:b w:val="0"/>
                <w:szCs w:val="20"/>
              </w:rPr>
            </w:pPr>
            <w:r w:rsidRPr="003B355D">
              <w:rPr>
                <w:rFonts w:ascii="Arial Narrow" w:hAnsi="Arial Narrow"/>
                <w:color w:val="000000"/>
                <w:sz w:val="20"/>
              </w:rPr>
              <w:t>-0.012</w:t>
            </w:r>
          </w:p>
        </w:tc>
        <w:tc>
          <w:tcPr>
            <w:tcW w:w="1542" w:type="dxa"/>
          </w:tcPr>
          <w:p w:rsidR="00BE7BCC" w:rsidRPr="003B355D" w:rsidRDefault="00BE1FF9" w:rsidP="00BE7BCC">
            <w:pPr>
              <w:spacing w:before="40" w:after="40"/>
              <w:jc w:val="center"/>
              <w:rPr>
                <w:rStyle w:val="CommentReference"/>
                <w:b w:val="0"/>
                <w:szCs w:val="20"/>
              </w:rPr>
            </w:pPr>
            <w:r w:rsidRPr="003B355D">
              <w:rPr>
                <w:rFonts w:ascii="Arial Narrow" w:hAnsi="Arial Narrow"/>
                <w:color w:val="000000"/>
                <w:sz w:val="20"/>
              </w:rPr>
              <w:t>$</w:t>
            </w:r>
            <w:r w:rsidR="002578F9">
              <w:rPr>
                <w:rFonts w:ascii="Arial Narrow" w:hAnsi="Arial Narrow"/>
                <w:noProof/>
                <w:color w:val="000000"/>
                <w:sz w:val="20"/>
                <w:highlight w:val="black"/>
              </w:rPr>
              <w:t>''''''''''''''''''''</w:t>
            </w:r>
          </w:p>
        </w:tc>
      </w:tr>
      <w:tr w:rsidR="00BE7BCC" w:rsidRPr="003B355D" w:rsidTr="00BE7BCC">
        <w:tc>
          <w:tcPr>
            <w:tcW w:w="9016" w:type="dxa"/>
            <w:gridSpan w:val="4"/>
          </w:tcPr>
          <w:p w:rsidR="00BE7BCC" w:rsidRPr="003B355D" w:rsidRDefault="00BE7BCC" w:rsidP="00BE7BCC">
            <w:pPr>
              <w:spacing w:before="40" w:after="40"/>
              <w:jc w:val="left"/>
              <w:rPr>
                <w:rStyle w:val="CommentReference"/>
                <w:b w:val="0"/>
                <w:szCs w:val="20"/>
              </w:rPr>
            </w:pPr>
            <w:r w:rsidRPr="003B355D">
              <w:rPr>
                <w:rFonts w:ascii="Arial Narrow" w:hAnsi="Arial Narrow"/>
                <w:b/>
                <w:sz w:val="20"/>
              </w:rPr>
              <w:t>Step 3: Discounted life years (drug costs only, 10 years)</w:t>
            </w:r>
          </w:p>
        </w:tc>
      </w:tr>
      <w:tr w:rsidR="00BE7BCC" w:rsidRPr="003B355D" w:rsidTr="00BE7BCC">
        <w:tc>
          <w:tcPr>
            <w:tcW w:w="4390" w:type="dxa"/>
          </w:tcPr>
          <w:p w:rsidR="00BE7BCC" w:rsidRPr="003B355D" w:rsidRDefault="00BE7BCC" w:rsidP="00BE7BCC">
            <w:pPr>
              <w:spacing w:before="40" w:after="40"/>
              <w:rPr>
                <w:rStyle w:val="CommentReference"/>
                <w:b w:val="0"/>
                <w:szCs w:val="20"/>
              </w:rPr>
            </w:pPr>
            <w:r w:rsidRPr="003B355D">
              <w:rPr>
                <w:rStyle w:val="CommentReference"/>
                <w:b w:val="0"/>
                <w:szCs w:val="20"/>
              </w:rPr>
              <w:t>- per life year gained</w:t>
            </w:r>
          </w:p>
        </w:tc>
        <w:tc>
          <w:tcPr>
            <w:tcW w:w="1542" w:type="dxa"/>
          </w:tcPr>
          <w:p w:rsidR="00BE7BCC" w:rsidRPr="003B355D" w:rsidRDefault="00BE1FF9" w:rsidP="00BE7BCC">
            <w:pPr>
              <w:spacing w:before="40" w:after="40"/>
              <w:jc w:val="center"/>
              <w:rPr>
                <w:rStyle w:val="CommentReference"/>
                <w:b w:val="0"/>
                <w:szCs w:val="20"/>
              </w:rPr>
            </w:pPr>
            <w:r w:rsidRPr="003B355D">
              <w:rPr>
                <w:rFonts w:ascii="Arial Narrow" w:hAnsi="Arial Narrow"/>
                <w:color w:val="000000"/>
                <w:sz w:val="20"/>
              </w:rPr>
              <w:t>$</w:t>
            </w:r>
            <w:r w:rsidR="002578F9">
              <w:rPr>
                <w:rFonts w:ascii="Arial Narrow" w:hAnsi="Arial Narrow"/>
                <w:noProof/>
                <w:color w:val="000000"/>
                <w:sz w:val="20"/>
                <w:highlight w:val="black"/>
              </w:rPr>
              <w:t>'''''''''''''</w:t>
            </w:r>
          </w:p>
        </w:tc>
        <w:tc>
          <w:tcPr>
            <w:tcW w:w="1542" w:type="dxa"/>
          </w:tcPr>
          <w:p w:rsidR="00BE7BCC" w:rsidRPr="003B355D" w:rsidRDefault="00BE7BCC" w:rsidP="00BE7BCC">
            <w:pPr>
              <w:spacing w:before="40" w:after="40"/>
              <w:jc w:val="center"/>
              <w:rPr>
                <w:rStyle w:val="CommentReference"/>
                <w:b w:val="0"/>
                <w:szCs w:val="20"/>
              </w:rPr>
            </w:pPr>
            <w:r w:rsidRPr="003B355D">
              <w:rPr>
                <w:rFonts w:ascii="Arial Narrow" w:hAnsi="Arial Narrow"/>
                <w:color w:val="000000"/>
                <w:sz w:val="20"/>
              </w:rPr>
              <w:t>0.065</w:t>
            </w:r>
          </w:p>
        </w:tc>
        <w:tc>
          <w:tcPr>
            <w:tcW w:w="1542" w:type="dxa"/>
          </w:tcPr>
          <w:p w:rsidR="00BE7BCC" w:rsidRPr="003B355D" w:rsidRDefault="00BE7BCC" w:rsidP="00BE1FF9">
            <w:pPr>
              <w:spacing w:before="40" w:after="40"/>
              <w:jc w:val="center"/>
              <w:rPr>
                <w:rStyle w:val="CommentReference"/>
                <w:b w:val="0"/>
                <w:szCs w:val="20"/>
              </w:rPr>
            </w:pPr>
            <w:r w:rsidRPr="003B355D">
              <w:rPr>
                <w:rFonts w:ascii="Arial Narrow" w:hAnsi="Arial Narrow"/>
                <w:color w:val="000000"/>
                <w:sz w:val="20"/>
              </w:rPr>
              <w:t>$</w:t>
            </w:r>
            <w:r w:rsidR="002578F9">
              <w:rPr>
                <w:rFonts w:ascii="Arial Narrow" w:hAnsi="Arial Narrow"/>
                <w:noProof/>
                <w:color w:val="000000"/>
                <w:sz w:val="20"/>
                <w:highlight w:val="black"/>
              </w:rPr>
              <w:t>'''''''''''''''</w:t>
            </w:r>
          </w:p>
        </w:tc>
      </w:tr>
      <w:tr w:rsidR="00BE7BCC" w:rsidRPr="003B355D" w:rsidTr="00BE7BCC">
        <w:tc>
          <w:tcPr>
            <w:tcW w:w="9016" w:type="dxa"/>
            <w:gridSpan w:val="4"/>
          </w:tcPr>
          <w:p w:rsidR="00BE7BCC" w:rsidRPr="003B355D" w:rsidRDefault="00BE7BCC" w:rsidP="00BE7BCC">
            <w:pPr>
              <w:spacing w:before="40" w:after="40"/>
              <w:jc w:val="left"/>
              <w:rPr>
                <w:rStyle w:val="CommentReference"/>
                <w:b w:val="0"/>
                <w:szCs w:val="20"/>
              </w:rPr>
            </w:pPr>
            <w:r w:rsidRPr="003B355D">
              <w:rPr>
                <w:rFonts w:ascii="Arial Narrow" w:hAnsi="Arial Narrow"/>
                <w:b/>
                <w:sz w:val="20"/>
              </w:rPr>
              <w:t>Step 4: Discounted QALYs (drug costs only, 10 years)</w:t>
            </w:r>
          </w:p>
        </w:tc>
      </w:tr>
      <w:tr w:rsidR="00BE7BCC" w:rsidRPr="003B355D" w:rsidTr="00BE7BCC">
        <w:tc>
          <w:tcPr>
            <w:tcW w:w="4390" w:type="dxa"/>
          </w:tcPr>
          <w:p w:rsidR="00BE7BCC" w:rsidRPr="003B355D" w:rsidRDefault="00BE7BCC" w:rsidP="00BE7BCC">
            <w:pPr>
              <w:spacing w:before="40" w:after="40"/>
              <w:rPr>
                <w:rStyle w:val="CommentReference"/>
                <w:b w:val="0"/>
                <w:szCs w:val="20"/>
              </w:rPr>
            </w:pPr>
            <w:r w:rsidRPr="003B355D">
              <w:rPr>
                <w:rStyle w:val="CommentReference"/>
                <w:b w:val="0"/>
                <w:szCs w:val="20"/>
              </w:rPr>
              <w:t>- per QALY gained</w:t>
            </w:r>
          </w:p>
        </w:tc>
        <w:tc>
          <w:tcPr>
            <w:tcW w:w="1542" w:type="dxa"/>
          </w:tcPr>
          <w:p w:rsidR="00BE7BCC" w:rsidRPr="003B355D" w:rsidRDefault="00BE1FF9" w:rsidP="00BE7BCC">
            <w:pPr>
              <w:spacing w:before="40" w:after="40"/>
              <w:jc w:val="center"/>
              <w:rPr>
                <w:rStyle w:val="CommentReference"/>
                <w:b w:val="0"/>
                <w:szCs w:val="20"/>
              </w:rPr>
            </w:pPr>
            <w:r w:rsidRPr="003B355D">
              <w:rPr>
                <w:rFonts w:ascii="Arial Narrow" w:hAnsi="Arial Narrow"/>
                <w:color w:val="000000"/>
                <w:sz w:val="20"/>
              </w:rPr>
              <w:t>$</w:t>
            </w:r>
            <w:r w:rsidR="002578F9">
              <w:rPr>
                <w:rFonts w:ascii="Arial Narrow" w:hAnsi="Arial Narrow"/>
                <w:noProof/>
                <w:color w:val="000000"/>
                <w:sz w:val="20"/>
                <w:highlight w:val="black"/>
              </w:rPr>
              <w:t>''''''''''''''</w:t>
            </w:r>
          </w:p>
        </w:tc>
        <w:tc>
          <w:tcPr>
            <w:tcW w:w="1542" w:type="dxa"/>
          </w:tcPr>
          <w:p w:rsidR="00BE7BCC" w:rsidRPr="003B355D" w:rsidRDefault="00BE7BCC" w:rsidP="00BE7BCC">
            <w:pPr>
              <w:spacing w:before="40" w:after="40"/>
              <w:jc w:val="center"/>
              <w:rPr>
                <w:rStyle w:val="CommentReference"/>
                <w:b w:val="0"/>
                <w:szCs w:val="20"/>
              </w:rPr>
            </w:pPr>
            <w:r w:rsidRPr="003B355D">
              <w:rPr>
                <w:rFonts w:ascii="Arial Narrow" w:hAnsi="Arial Narrow"/>
                <w:color w:val="000000"/>
                <w:sz w:val="20"/>
              </w:rPr>
              <w:t>0.058</w:t>
            </w:r>
          </w:p>
        </w:tc>
        <w:tc>
          <w:tcPr>
            <w:tcW w:w="1542" w:type="dxa"/>
          </w:tcPr>
          <w:p w:rsidR="00BE7BCC" w:rsidRPr="003B355D" w:rsidRDefault="00BE7BCC" w:rsidP="00BE1FF9">
            <w:pPr>
              <w:spacing w:before="40" w:after="40"/>
              <w:jc w:val="center"/>
              <w:rPr>
                <w:rStyle w:val="CommentReference"/>
                <w:b w:val="0"/>
                <w:szCs w:val="20"/>
              </w:rPr>
            </w:pPr>
            <w:r w:rsidRPr="003B355D">
              <w:rPr>
                <w:rFonts w:ascii="Arial Narrow" w:hAnsi="Arial Narrow"/>
                <w:color w:val="000000"/>
                <w:sz w:val="20"/>
              </w:rPr>
              <w:t>$</w:t>
            </w:r>
            <w:r w:rsidR="002578F9">
              <w:rPr>
                <w:rFonts w:ascii="Arial Narrow" w:hAnsi="Arial Narrow"/>
                <w:noProof/>
                <w:color w:val="000000"/>
                <w:sz w:val="20"/>
                <w:highlight w:val="black"/>
              </w:rPr>
              <w:t>'''''''''''''''''</w:t>
            </w:r>
          </w:p>
        </w:tc>
      </w:tr>
      <w:tr w:rsidR="00BE7BCC" w:rsidRPr="003B355D" w:rsidTr="00BE7BCC">
        <w:tc>
          <w:tcPr>
            <w:tcW w:w="9016" w:type="dxa"/>
            <w:gridSpan w:val="4"/>
          </w:tcPr>
          <w:p w:rsidR="00BE7BCC" w:rsidRPr="003B355D" w:rsidRDefault="00BE7BCC" w:rsidP="00BE7BCC">
            <w:pPr>
              <w:spacing w:before="40" w:after="40"/>
              <w:jc w:val="left"/>
              <w:rPr>
                <w:rStyle w:val="CommentReference"/>
                <w:b w:val="0"/>
                <w:szCs w:val="20"/>
              </w:rPr>
            </w:pPr>
            <w:r w:rsidRPr="003B355D">
              <w:rPr>
                <w:rFonts w:ascii="Arial Narrow" w:hAnsi="Arial Narrow"/>
                <w:b/>
                <w:sz w:val="20"/>
              </w:rPr>
              <w:t>Step 5: Discounted QALYs (all costs, 10 years)</w:t>
            </w:r>
          </w:p>
        </w:tc>
      </w:tr>
      <w:tr w:rsidR="00BE7BCC" w:rsidRPr="003B355D" w:rsidTr="00BE7BCC">
        <w:tc>
          <w:tcPr>
            <w:tcW w:w="4390" w:type="dxa"/>
          </w:tcPr>
          <w:p w:rsidR="00BE7BCC" w:rsidRPr="003B355D" w:rsidRDefault="00BE7BCC" w:rsidP="00BE7BCC">
            <w:pPr>
              <w:spacing w:before="40" w:after="40"/>
              <w:rPr>
                <w:rStyle w:val="CommentReference"/>
                <w:b w:val="0"/>
                <w:szCs w:val="20"/>
              </w:rPr>
            </w:pPr>
            <w:r w:rsidRPr="003B355D">
              <w:rPr>
                <w:rStyle w:val="CommentReference"/>
                <w:b w:val="0"/>
                <w:szCs w:val="20"/>
              </w:rPr>
              <w:t>- per QALY gained</w:t>
            </w:r>
          </w:p>
        </w:tc>
        <w:tc>
          <w:tcPr>
            <w:tcW w:w="1542" w:type="dxa"/>
          </w:tcPr>
          <w:p w:rsidR="00BE7BCC" w:rsidRPr="003B355D" w:rsidRDefault="00BE7BCC" w:rsidP="00BE7BCC">
            <w:pPr>
              <w:spacing w:before="40" w:after="40"/>
              <w:jc w:val="center"/>
              <w:rPr>
                <w:rStyle w:val="CommentReference"/>
                <w:b w:val="0"/>
                <w:szCs w:val="20"/>
              </w:rPr>
            </w:pPr>
            <w:r w:rsidRPr="003B355D">
              <w:rPr>
                <w:rFonts w:ascii="Arial Narrow" w:hAnsi="Arial Narrow"/>
                <w:color w:val="000000"/>
                <w:sz w:val="20"/>
              </w:rPr>
              <w:t>$</w:t>
            </w:r>
            <w:r w:rsidR="002578F9">
              <w:rPr>
                <w:rFonts w:ascii="Arial Narrow" w:hAnsi="Arial Narrow"/>
                <w:noProof/>
                <w:color w:val="000000"/>
                <w:sz w:val="20"/>
                <w:highlight w:val="black"/>
              </w:rPr>
              <w:t>''''''''''</w:t>
            </w:r>
          </w:p>
        </w:tc>
        <w:tc>
          <w:tcPr>
            <w:tcW w:w="1542" w:type="dxa"/>
          </w:tcPr>
          <w:p w:rsidR="00BE7BCC" w:rsidRPr="003B355D" w:rsidRDefault="00BE7BCC" w:rsidP="00BE7BCC">
            <w:pPr>
              <w:spacing w:before="40" w:after="40"/>
              <w:jc w:val="center"/>
              <w:rPr>
                <w:rStyle w:val="CommentReference"/>
                <w:b w:val="0"/>
                <w:szCs w:val="20"/>
              </w:rPr>
            </w:pPr>
            <w:r w:rsidRPr="003B355D">
              <w:rPr>
                <w:rFonts w:ascii="Arial Narrow" w:hAnsi="Arial Narrow"/>
                <w:color w:val="000000"/>
                <w:sz w:val="20"/>
              </w:rPr>
              <w:t>0.058</w:t>
            </w:r>
          </w:p>
        </w:tc>
        <w:tc>
          <w:tcPr>
            <w:tcW w:w="1542" w:type="dxa"/>
          </w:tcPr>
          <w:p w:rsidR="00BE7BCC" w:rsidRPr="003B355D" w:rsidRDefault="00BE7BCC" w:rsidP="00BE7BCC">
            <w:pPr>
              <w:spacing w:before="40" w:after="40"/>
              <w:jc w:val="center"/>
              <w:rPr>
                <w:rStyle w:val="CommentReference"/>
                <w:b w:val="0"/>
                <w:szCs w:val="20"/>
              </w:rPr>
            </w:pPr>
            <w:r w:rsidRPr="003B355D">
              <w:rPr>
                <w:rFonts w:ascii="Arial Narrow" w:hAnsi="Arial Narrow"/>
                <w:color w:val="000000"/>
                <w:sz w:val="20"/>
              </w:rPr>
              <w:t>$</w:t>
            </w:r>
            <w:r w:rsidR="002578F9">
              <w:rPr>
                <w:rFonts w:ascii="Arial Narrow" w:hAnsi="Arial Narrow"/>
                <w:noProof/>
                <w:color w:val="000000"/>
                <w:sz w:val="20"/>
                <w:highlight w:val="black"/>
              </w:rPr>
              <w:t>'''''''''''''''</w:t>
            </w:r>
          </w:p>
        </w:tc>
      </w:tr>
      <w:tr w:rsidR="00CB7AD2" w:rsidRPr="003B355D" w:rsidTr="00CB7AD2">
        <w:tc>
          <w:tcPr>
            <w:tcW w:w="9016" w:type="dxa"/>
            <w:gridSpan w:val="4"/>
          </w:tcPr>
          <w:p w:rsidR="00CB7AD2" w:rsidRPr="003B355D" w:rsidRDefault="00CB7AD2" w:rsidP="00CB7AD2">
            <w:pPr>
              <w:spacing w:before="40" w:after="40"/>
              <w:jc w:val="left"/>
              <w:rPr>
                <w:rFonts w:ascii="Arial Narrow" w:hAnsi="Arial Narrow"/>
                <w:color w:val="000000"/>
                <w:sz w:val="20"/>
              </w:rPr>
            </w:pPr>
            <w:r w:rsidRPr="003B355D">
              <w:rPr>
                <w:rFonts w:ascii="Arial Narrow" w:hAnsi="Arial Narrow"/>
                <w:b/>
                <w:sz w:val="20"/>
              </w:rPr>
              <w:t>Step 5 with revised prices from PSCR</w:t>
            </w:r>
          </w:p>
        </w:tc>
      </w:tr>
      <w:tr w:rsidR="00CB7AD2" w:rsidRPr="003B355D" w:rsidTr="00BE7BCC">
        <w:tc>
          <w:tcPr>
            <w:tcW w:w="4390" w:type="dxa"/>
          </w:tcPr>
          <w:p w:rsidR="00CB7AD2" w:rsidRPr="003B355D" w:rsidRDefault="00CB7AD2" w:rsidP="00BE7BCC">
            <w:pPr>
              <w:spacing w:before="40" w:after="40"/>
              <w:rPr>
                <w:rStyle w:val="CommentReference"/>
                <w:b w:val="0"/>
                <w:szCs w:val="20"/>
              </w:rPr>
            </w:pPr>
            <w:r w:rsidRPr="003B355D">
              <w:rPr>
                <w:rStyle w:val="CommentReference"/>
                <w:b w:val="0"/>
                <w:szCs w:val="20"/>
              </w:rPr>
              <w:t>- per QALY gained</w:t>
            </w:r>
          </w:p>
        </w:tc>
        <w:tc>
          <w:tcPr>
            <w:tcW w:w="1542" w:type="dxa"/>
          </w:tcPr>
          <w:p w:rsidR="00CB7AD2" w:rsidRPr="003B355D" w:rsidRDefault="00CB7AD2" w:rsidP="00BE7BCC">
            <w:pPr>
              <w:spacing w:before="40" w:after="40"/>
              <w:jc w:val="center"/>
              <w:rPr>
                <w:rFonts w:ascii="Arial Narrow" w:hAnsi="Arial Narrow"/>
                <w:color w:val="000000"/>
                <w:sz w:val="20"/>
              </w:rPr>
            </w:pPr>
            <w:r w:rsidRPr="003B355D">
              <w:rPr>
                <w:rFonts w:ascii="Arial Narrow" w:hAnsi="Arial Narrow"/>
                <w:color w:val="000000"/>
                <w:sz w:val="20"/>
              </w:rPr>
              <w:t>-$</w:t>
            </w:r>
            <w:r w:rsidR="002578F9">
              <w:rPr>
                <w:rFonts w:ascii="Arial Narrow" w:hAnsi="Arial Narrow"/>
                <w:noProof/>
                <w:color w:val="000000"/>
                <w:sz w:val="20"/>
                <w:highlight w:val="black"/>
              </w:rPr>
              <w:t>''''''''''</w:t>
            </w:r>
          </w:p>
        </w:tc>
        <w:tc>
          <w:tcPr>
            <w:tcW w:w="1542" w:type="dxa"/>
          </w:tcPr>
          <w:p w:rsidR="00CB7AD2" w:rsidRPr="003B355D" w:rsidRDefault="00CB7AD2" w:rsidP="00BE7BCC">
            <w:pPr>
              <w:spacing w:before="40" w:after="40"/>
              <w:jc w:val="center"/>
              <w:rPr>
                <w:rFonts w:ascii="Arial Narrow" w:hAnsi="Arial Narrow"/>
                <w:color w:val="000000"/>
                <w:sz w:val="20"/>
              </w:rPr>
            </w:pPr>
            <w:r w:rsidRPr="003B355D">
              <w:rPr>
                <w:rFonts w:ascii="Arial Narrow" w:hAnsi="Arial Narrow"/>
                <w:color w:val="000000"/>
                <w:sz w:val="20"/>
              </w:rPr>
              <w:t>0.058</w:t>
            </w:r>
          </w:p>
        </w:tc>
        <w:tc>
          <w:tcPr>
            <w:tcW w:w="1542" w:type="dxa"/>
          </w:tcPr>
          <w:p w:rsidR="00CB7AD2" w:rsidRPr="003B355D" w:rsidRDefault="00CB7AD2" w:rsidP="00BE7BCC">
            <w:pPr>
              <w:spacing w:before="40" w:after="40"/>
              <w:jc w:val="center"/>
              <w:rPr>
                <w:rFonts w:ascii="Arial Narrow" w:hAnsi="Arial Narrow"/>
                <w:color w:val="000000"/>
                <w:sz w:val="20"/>
              </w:rPr>
            </w:pPr>
            <w:r w:rsidRPr="003B355D">
              <w:rPr>
                <w:rFonts w:ascii="Arial Narrow" w:hAnsi="Arial Narrow"/>
                <w:color w:val="000000"/>
                <w:sz w:val="20"/>
              </w:rPr>
              <w:t>Liraglutide dominant</w:t>
            </w:r>
          </w:p>
        </w:tc>
      </w:tr>
      <w:tr w:rsidR="00BD1A5E" w:rsidRPr="003B355D" w:rsidTr="001C2CC3">
        <w:tc>
          <w:tcPr>
            <w:tcW w:w="9016" w:type="dxa"/>
            <w:gridSpan w:val="4"/>
          </w:tcPr>
          <w:p w:rsidR="00BD1A5E" w:rsidRPr="003B355D" w:rsidRDefault="00BD1A5E" w:rsidP="00BD1A5E">
            <w:pPr>
              <w:spacing w:before="40" w:after="40"/>
              <w:jc w:val="left"/>
              <w:rPr>
                <w:rFonts w:ascii="Arial Narrow" w:hAnsi="Arial Narrow"/>
                <w:color w:val="000000"/>
                <w:sz w:val="20"/>
              </w:rPr>
            </w:pPr>
            <w:r w:rsidRPr="003B355D">
              <w:rPr>
                <w:rFonts w:ascii="Arial Narrow" w:hAnsi="Arial Narrow"/>
                <w:b/>
                <w:sz w:val="20"/>
              </w:rPr>
              <w:t xml:space="preserve">Step 5 with revised prices from PSCR (excluding non-fatal myocardial </w:t>
            </w:r>
            <w:proofErr w:type="spellStart"/>
            <w:r w:rsidRPr="003B355D">
              <w:rPr>
                <w:rFonts w:ascii="Arial Narrow" w:hAnsi="Arial Narrow"/>
                <w:b/>
                <w:sz w:val="20"/>
              </w:rPr>
              <w:t>infarctions</w:t>
            </w:r>
            <w:r w:rsidRPr="003B355D">
              <w:rPr>
                <w:rFonts w:ascii="Arial Narrow" w:hAnsi="Arial Narrow"/>
                <w:b/>
                <w:sz w:val="20"/>
                <w:vertAlign w:val="superscript"/>
              </w:rPr>
              <w:t>a</w:t>
            </w:r>
            <w:proofErr w:type="spellEnd"/>
            <w:r w:rsidRPr="003B355D">
              <w:rPr>
                <w:rFonts w:ascii="Arial Narrow" w:hAnsi="Arial Narrow"/>
                <w:b/>
                <w:sz w:val="18"/>
              </w:rPr>
              <w:t>)</w:t>
            </w:r>
          </w:p>
        </w:tc>
      </w:tr>
      <w:tr w:rsidR="00BD1A5E" w:rsidRPr="003B355D" w:rsidTr="00BE7BCC">
        <w:tc>
          <w:tcPr>
            <w:tcW w:w="4390" w:type="dxa"/>
          </w:tcPr>
          <w:p w:rsidR="00BD1A5E" w:rsidRPr="003B355D" w:rsidRDefault="00BD1A5E" w:rsidP="00BE7BCC">
            <w:pPr>
              <w:spacing w:before="40" w:after="40"/>
              <w:rPr>
                <w:rStyle w:val="CommentReference"/>
                <w:b w:val="0"/>
                <w:szCs w:val="20"/>
              </w:rPr>
            </w:pPr>
            <w:r w:rsidRPr="003B355D">
              <w:rPr>
                <w:rStyle w:val="CommentReference"/>
                <w:b w:val="0"/>
              </w:rPr>
              <w:t>- per QALY gained</w:t>
            </w:r>
          </w:p>
        </w:tc>
        <w:tc>
          <w:tcPr>
            <w:tcW w:w="1542" w:type="dxa"/>
          </w:tcPr>
          <w:p w:rsidR="00BD1A5E" w:rsidRPr="003B355D" w:rsidRDefault="00BD1A5E" w:rsidP="00BE7BCC">
            <w:pPr>
              <w:spacing w:before="40" w:after="40"/>
              <w:jc w:val="center"/>
              <w:rPr>
                <w:rFonts w:ascii="Arial Narrow" w:hAnsi="Arial Narrow"/>
                <w:color w:val="000000"/>
                <w:sz w:val="20"/>
              </w:rPr>
            </w:pPr>
            <w:r w:rsidRPr="003B355D">
              <w:rPr>
                <w:rFonts w:ascii="Arial Narrow" w:hAnsi="Arial Narrow"/>
                <w:color w:val="000000"/>
                <w:sz w:val="20"/>
              </w:rPr>
              <w:t>-$</w:t>
            </w:r>
            <w:r w:rsidR="002578F9">
              <w:rPr>
                <w:rFonts w:ascii="Arial Narrow" w:hAnsi="Arial Narrow"/>
                <w:noProof/>
                <w:color w:val="000000"/>
                <w:sz w:val="20"/>
                <w:highlight w:val="black"/>
              </w:rPr>
              <w:t>'''''''''</w:t>
            </w:r>
          </w:p>
        </w:tc>
        <w:tc>
          <w:tcPr>
            <w:tcW w:w="1542" w:type="dxa"/>
          </w:tcPr>
          <w:p w:rsidR="00BD1A5E" w:rsidRPr="003B355D" w:rsidRDefault="00BD1A5E" w:rsidP="00BE7BCC">
            <w:pPr>
              <w:spacing w:before="40" w:after="40"/>
              <w:jc w:val="center"/>
              <w:rPr>
                <w:rFonts w:ascii="Arial Narrow" w:hAnsi="Arial Narrow"/>
                <w:color w:val="000000"/>
                <w:sz w:val="20"/>
              </w:rPr>
            </w:pPr>
            <w:r w:rsidRPr="003B355D">
              <w:rPr>
                <w:rFonts w:ascii="Arial Narrow" w:hAnsi="Arial Narrow"/>
                <w:color w:val="000000"/>
                <w:sz w:val="20"/>
              </w:rPr>
              <w:t>0.055</w:t>
            </w:r>
          </w:p>
        </w:tc>
        <w:tc>
          <w:tcPr>
            <w:tcW w:w="1542" w:type="dxa"/>
          </w:tcPr>
          <w:p w:rsidR="00BD1A5E" w:rsidRPr="003B355D" w:rsidRDefault="00BD1A5E" w:rsidP="00BE7BCC">
            <w:pPr>
              <w:spacing w:before="40" w:after="40"/>
              <w:jc w:val="center"/>
              <w:rPr>
                <w:rFonts w:ascii="Arial Narrow" w:hAnsi="Arial Narrow"/>
                <w:color w:val="000000"/>
                <w:sz w:val="20"/>
              </w:rPr>
            </w:pPr>
            <w:r w:rsidRPr="003B355D">
              <w:rPr>
                <w:rFonts w:ascii="Arial Narrow" w:hAnsi="Arial Narrow"/>
                <w:color w:val="000000"/>
                <w:sz w:val="20"/>
              </w:rPr>
              <w:t>Liraglutide dominant</w:t>
            </w:r>
          </w:p>
        </w:tc>
      </w:tr>
    </w:tbl>
    <w:p w:rsidR="00BE7BCC" w:rsidRPr="003B355D" w:rsidRDefault="00BE7BCC" w:rsidP="00256A41">
      <w:pPr>
        <w:pStyle w:val="TableFooter"/>
        <w:spacing w:after="240"/>
        <w:contextualSpacing/>
      </w:pPr>
      <w:r w:rsidRPr="003B355D">
        <w:t>Source: Table D.6.1, pp.163-164 of the submission</w:t>
      </w:r>
      <w:r w:rsidR="00BE1FF9" w:rsidRPr="003B355D">
        <w:rPr>
          <w:szCs w:val="18"/>
        </w:rPr>
        <w:t>; corrected for error in submission’s table; values used as per spreadsheet.</w:t>
      </w:r>
    </w:p>
    <w:p w:rsidR="00BE7BCC" w:rsidRPr="003B355D" w:rsidRDefault="00BE7BCC" w:rsidP="00256A41">
      <w:pPr>
        <w:pStyle w:val="TableFooter"/>
        <w:spacing w:after="240"/>
        <w:contextualSpacing/>
      </w:pPr>
      <w:r w:rsidRPr="003B355D">
        <w:t>Abbreviations: QALY, quality-adjusted life year</w:t>
      </w:r>
    </w:p>
    <w:p w:rsidR="00714EBA" w:rsidRPr="003B355D" w:rsidRDefault="00714EBA" w:rsidP="00714EBA">
      <w:pPr>
        <w:pStyle w:val="TableFooter"/>
        <w:spacing w:after="240"/>
        <w:contextualSpacing/>
      </w:pPr>
      <w:proofErr w:type="gramStart"/>
      <w:r w:rsidRPr="003B355D">
        <w:rPr>
          <w:vertAlign w:val="superscript"/>
        </w:rPr>
        <w:t>a</w:t>
      </w:r>
      <w:proofErr w:type="gramEnd"/>
      <w:r w:rsidRPr="003B355D">
        <w:t xml:space="preserve"> Non-fatal myocardial monthly probabilities for both treatment arms set to placebo probability of 0.0019 (i.e. no difference, placebo monthly probability)</w:t>
      </w:r>
    </w:p>
    <w:p w:rsidR="00256A41" w:rsidRPr="003B355D" w:rsidRDefault="00256A41" w:rsidP="009F3CBF">
      <w:pPr>
        <w:pStyle w:val="ESnumberedparablue"/>
        <w:numPr>
          <w:ilvl w:val="1"/>
          <w:numId w:val="34"/>
        </w:numPr>
        <w:spacing w:before="0" w:after="120"/>
        <w:rPr>
          <w:rFonts w:asciiTheme="minorHAnsi" w:hAnsiTheme="minorHAnsi"/>
          <w:color w:val="auto"/>
          <w:sz w:val="24"/>
          <w:szCs w:val="24"/>
        </w:rPr>
      </w:pPr>
      <w:r w:rsidRPr="003B355D">
        <w:rPr>
          <w:rFonts w:asciiTheme="minorHAnsi" w:hAnsiTheme="minorHAnsi"/>
          <w:color w:val="auto"/>
          <w:sz w:val="24"/>
          <w:szCs w:val="24"/>
        </w:rPr>
        <w:t>The submission presented the comparison of liraglutide versus exenatide as the base case, which resulted in an incremental cost per QALY gained of</w:t>
      </w:r>
      <w:r w:rsidR="009F3CBF">
        <w:rPr>
          <w:rFonts w:asciiTheme="minorHAnsi" w:hAnsiTheme="minorHAnsi"/>
          <w:color w:val="auto"/>
          <w:sz w:val="24"/>
          <w:szCs w:val="24"/>
        </w:rPr>
        <w:t xml:space="preserve"> less than $15,000</w:t>
      </w:r>
      <w:r w:rsidRPr="003B355D">
        <w:rPr>
          <w:rFonts w:asciiTheme="minorHAnsi" w:hAnsiTheme="minorHAnsi"/>
          <w:color w:val="auto"/>
          <w:sz w:val="24"/>
          <w:szCs w:val="24"/>
        </w:rPr>
        <w:t>. This analysis was not informative, given the submission included the cost of exenatide, but assumed that exenatide would have no treatment effect in the modelled population.</w:t>
      </w:r>
    </w:p>
    <w:p w:rsidR="00C25D35" w:rsidRPr="003B355D" w:rsidRDefault="00C25D35" w:rsidP="009F3CBF">
      <w:pPr>
        <w:pStyle w:val="ESnumberedparablue"/>
        <w:numPr>
          <w:ilvl w:val="1"/>
          <w:numId w:val="34"/>
        </w:numPr>
        <w:spacing w:before="0" w:after="120"/>
        <w:rPr>
          <w:rFonts w:asciiTheme="minorHAnsi" w:hAnsiTheme="minorHAnsi"/>
          <w:color w:val="auto"/>
          <w:sz w:val="24"/>
          <w:szCs w:val="24"/>
        </w:rPr>
      </w:pPr>
      <w:r w:rsidRPr="003B355D">
        <w:rPr>
          <w:rFonts w:asciiTheme="minorHAnsi" w:hAnsiTheme="minorHAnsi"/>
          <w:color w:val="auto"/>
          <w:sz w:val="24"/>
          <w:szCs w:val="24"/>
        </w:rPr>
        <w:t xml:space="preserve">The ESC noted the revised incremental cost effectiveness ratios in the PSCR (ICERs; Table 1) based on the new requested prices for liraglutide (liraglutide dominates placebo), and excluding the cost/utility impacts of non-fatal myocardial infarctions (not statistically significantly different from placebo in the LEADER trial; revised ICER </w:t>
      </w:r>
      <w:r w:rsidR="009F3CBF" w:rsidRPr="009F3CBF">
        <w:rPr>
          <w:rFonts w:asciiTheme="minorHAnsi" w:hAnsiTheme="minorHAnsi"/>
          <w:color w:val="auto"/>
          <w:sz w:val="24"/>
          <w:szCs w:val="24"/>
        </w:rPr>
        <w:t>less than $15,000 per QALY</w:t>
      </w:r>
      <w:r w:rsidRPr="003B355D">
        <w:rPr>
          <w:rFonts w:asciiTheme="minorHAnsi" w:hAnsiTheme="minorHAnsi"/>
          <w:color w:val="auto"/>
          <w:sz w:val="24"/>
          <w:szCs w:val="24"/>
        </w:rPr>
        <w:t xml:space="preserve">). These revised ICERs could not be replicated. Use of a weighted cost of liraglutide across the 1.2 mg and 1.8 mg doses (2 and 3 pen packs) was inappropriate given the revised restriction applies only to the 1.8 mg once daily regimen (3 pen pack). However, using the revised prices in the PSCR, </w:t>
      </w:r>
      <w:r w:rsidR="00BD1A5E" w:rsidRPr="003B355D">
        <w:rPr>
          <w:rFonts w:asciiTheme="minorHAnsi" w:hAnsiTheme="minorHAnsi"/>
          <w:color w:val="auto"/>
          <w:sz w:val="24"/>
          <w:szCs w:val="24"/>
        </w:rPr>
        <w:t xml:space="preserve">liraglutide is dominant in </w:t>
      </w:r>
      <w:r w:rsidRPr="003B355D">
        <w:rPr>
          <w:rFonts w:asciiTheme="minorHAnsi" w:hAnsiTheme="minorHAnsi"/>
          <w:color w:val="auto"/>
          <w:sz w:val="24"/>
          <w:szCs w:val="24"/>
        </w:rPr>
        <w:t xml:space="preserve">the base case </w:t>
      </w:r>
      <w:r w:rsidR="00BD1A5E" w:rsidRPr="003B355D">
        <w:rPr>
          <w:rFonts w:asciiTheme="minorHAnsi" w:hAnsiTheme="minorHAnsi"/>
          <w:color w:val="auto"/>
          <w:sz w:val="24"/>
          <w:szCs w:val="24"/>
        </w:rPr>
        <w:t>cost effectiveness</w:t>
      </w:r>
      <w:r w:rsidRPr="003B355D">
        <w:rPr>
          <w:rFonts w:asciiTheme="minorHAnsi" w:hAnsiTheme="minorHAnsi"/>
          <w:color w:val="auto"/>
          <w:sz w:val="24"/>
          <w:szCs w:val="24"/>
        </w:rPr>
        <w:t xml:space="preserve"> for liraglutide versus exenatide</w:t>
      </w:r>
      <w:r w:rsidR="00BD1A5E" w:rsidRPr="003B355D">
        <w:rPr>
          <w:rFonts w:asciiTheme="minorHAnsi" w:hAnsiTheme="minorHAnsi"/>
          <w:color w:val="auto"/>
          <w:sz w:val="24"/>
          <w:szCs w:val="24"/>
        </w:rPr>
        <w:t>,</w:t>
      </w:r>
      <w:r w:rsidRPr="003B355D">
        <w:rPr>
          <w:rFonts w:asciiTheme="minorHAnsi" w:hAnsiTheme="minorHAnsi"/>
          <w:color w:val="auto"/>
          <w:sz w:val="24"/>
          <w:szCs w:val="24"/>
        </w:rPr>
        <w:t xml:space="preserve"> </w:t>
      </w:r>
      <w:r w:rsidR="00BD1A5E" w:rsidRPr="003B355D">
        <w:rPr>
          <w:rFonts w:asciiTheme="minorHAnsi" w:hAnsiTheme="minorHAnsi"/>
          <w:color w:val="auto"/>
          <w:sz w:val="24"/>
          <w:szCs w:val="24"/>
        </w:rPr>
        <w:t>both with and without the inclusion of non-fatal MIs</w:t>
      </w:r>
      <w:r w:rsidRPr="003B355D">
        <w:rPr>
          <w:rFonts w:asciiTheme="minorHAnsi" w:hAnsiTheme="minorHAnsi"/>
          <w:color w:val="auto"/>
          <w:sz w:val="24"/>
          <w:szCs w:val="24"/>
        </w:rPr>
        <w:t>.</w:t>
      </w:r>
    </w:p>
    <w:p w:rsidR="00B540CE" w:rsidRPr="00F21284" w:rsidRDefault="00256A41" w:rsidP="00F21284">
      <w:pPr>
        <w:pStyle w:val="ESnumberedparablue"/>
        <w:numPr>
          <w:ilvl w:val="1"/>
          <w:numId w:val="34"/>
        </w:numPr>
        <w:spacing w:before="0" w:after="120"/>
        <w:rPr>
          <w:rStyle w:val="CommentReference"/>
          <w:rFonts w:asciiTheme="minorHAnsi" w:hAnsiTheme="minorHAnsi"/>
          <w:b w:val="0"/>
          <w:color w:val="auto"/>
          <w:sz w:val="24"/>
          <w:szCs w:val="24"/>
        </w:rPr>
      </w:pPr>
      <w:r w:rsidRPr="003B355D">
        <w:rPr>
          <w:rFonts w:asciiTheme="minorHAnsi" w:hAnsiTheme="minorHAnsi"/>
          <w:color w:val="auto"/>
          <w:sz w:val="24"/>
          <w:szCs w:val="24"/>
        </w:rPr>
        <w:t>The results of the stepped economic evaluation comparing liraglutide with placebo ar</w:t>
      </w:r>
      <w:r w:rsidR="00677E84" w:rsidRPr="003B355D">
        <w:rPr>
          <w:rFonts w:asciiTheme="minorHAnsi" w:hAnsiTheme="minorHAnsi"/>
          <w:color w:val="auto"/>
          <w:sz w:val="24"/>
          <w:szCs w:val="24"/>
        </w:rPr>
        <w:t>e summarised in Table 13</w:t>
      </w:r>
      <w:r w:rsidRPr="003B355D">
        <w:rPr>
          <w:rFonts w:asciiTheme="minorHAnsi" w:hAnsiTheme="minorHAnsi"/>
          <w:color w:val="auto"/>
          <w:sz w:val="24"/>
          <w:szCs w:val="24"/>
        </w:rPr>
        <w:t>.</w:t>
      </w:r>
    </w:p>
    <w:p w:rsidR="00D453F1" w:rsidRDefault="00D453F1" w:rsidP="00D453F1">
      <w:pPr>
        <w:pStyle w:val="Caption"/>
      </w:pPr>
      <w:r>
        <w:lastRenderedPageBreak/>
        <w:t xml:space="preserve">Table </w:t>
      </w:r>
      <w:r>
        <w:rPr>
          <w:noProof/>
        </w:rPr>
        <w:t>13</w:t>
      </w:r>
      <w:r w:rsidRPr="002C0CDC">
        <w:t>: Results of the stepped economic evaluation: Liraglutide versus placebo</w:t>
      </w:r>
    </w:p>
    <w:tbl>
      <w:tblPr>
        <w:tblStyle w:val="TableGrid"/>
        <w:tblW w:w="0" w:type="auto"/>
        <w:tblLayout w:type="fixed"/>
        <w:tblLook w:val="04A0" w:firstRow="1" w:lastRow="0" w:firstColumn="1" w:lastColumn="0" w:noHBand="0" w:noVBand="1"/>
        <w:tblCaption w:val="Results of the stepped economic evaluation: Liraglutide versus placebo"/>
      </w:tblPr>
      <w:tblGrid>
        <w:gridCol w:w="4390"/>
        <w:gridCol w:w="1542"/>
        <w:gridCol w:w="1542"/>
        <w:gridCol w:w="1542"/>
      </w:tblGrid>
      <w:tr w:rsidR="00BE7BCC" w:rsidRPr="003B355D" w:rsidTr="006B5926">
        <w:trPr>
          <w:tblHeader/>
        </w:trPr>
        <w:tc>
          <w:tcPr>
            <w:tcW w:w="4390" w:type="dxa"/>
            <w:vAlign w:val="center"/>
          </w:tcPr>
          <w:p w:rsidR="00BE7BCC" w:rsidRPr="003B355D" w:rsidRDefault="00BE7BCC" w:rsidP="00BE7BCC">
            <w:pPr>
              <w:spacing w:before="40" w:after="40"/>
              <w:jc w:val="left"/>
              <w:rPr>
                <w:rStyle w:val="CommentReference"/>
                <w:szCs w:val="20"/>
              </w:rPr>
            </w:pPr>
            <w:r w:rsidRPr="003B355D">
              <w:rPr>
                <w:rStyle w:val="CommentReference"/>
                <w:szCs w:val="20"/>
              </w:rPr>
              <w:t>Step</w:t>
            </w:r>
          </w:p>
          <w:p w:rsidR="00BE7BCC" w:rsidRPr="003B355D" w:rsidRDefault="00BE7BCC" w:rsidP="00BE7BCC">
            <w:pPr>
              <w:spacing w:before="40" w:after="40"/>
              <w:jc w:val="left"/>
              <w:rPr>
                <w:rStyle w:val="CommentReference"/>
                <w:szCs w:val="20"/>
              </w:rPr>
            </w:pPr>
            <w:r w:rsidRPr="003B355D">
              <w:rPr>
                <w:rStyle w:val="CommentReference"/>
                <w:szCs w:val="20"/>
              </w:rPr>
              <w:t>- outcome</w:t>
            </w:r>
          </w:p>
        </w:tc>
        <w:tc>
          <w:tcPr>
            <w:tcW w:w="1542" w:type="dxa"/>
            <w:vAlign w:val="center"/>
          </w:tcPr>
          <w:p w:rsidR="00BE7BCC" w:rsidRPr="003B355D" w:rsidRDefault="00BE7BCC" w:rsidP="00BE7BCC">
            <w:pPr>
              <w:spacing w:before="40" w:after="40"/>
              <w:jc w:val="center"/>
              <w:rPr>
                <w:rStyle w:val="CommentReference"/>
                <w:szCs w:val="20"/>
              </w:rPr>
            </w:pPr>
            <w:r w:rsidRPr="003B355D">
              <w:rPr>
                <w:rStyle w:val="CommentReference"/>
                <w:szCs w:val="20"/>
              </w:rPr>
              <w:t>Incremental cost</w:t>
            </w:r>
          </w:p>
        </w:tc>
        <w:tc>
          <w:tcPr>
            <w:tcW w:w="1542" w:type="dxa"/>
            <w:vAlign w:val="center"/>
          </w:tcPr>
          <w:p w:rsidR="00BE7BCC" w:rsidRPr="003B355D" w:rsidRDefault="00BE7BCC" w:rsidP="00BE7BCC">
            <w:pPr>
              <w:spacing w:before="40" w:after="40"/>
              <w:jc w:val="center"/>
              <w:rPr>
                <w:rStyle w:val="CommentReference"/>
                <w:szCs w:val="20"/>
              </w:rPr>
            </w:pPr>
            <w:r w:rsidRPr="003B355D">
              <w:rPr>
                <w:rStyle w:val="CommentReference"/>
                <w:szCs w:val="20"/>
              </w:rPr>
              <w:t>Incremental outcome</w:t>
            </w:r>
          </w:p>
        </w:tc>
        <w:tc>
          <w:tcPr>
            <w:tcW w:w="1542" w:type="dxa"/>
            <w:vAlign w:val="center"/>
          </w:tcPr>
          <w:p w:rsidR="00BE7BCC" w:rsidRPr="003B355D" w:rsidRDefault="00BE7BCC" w:rsidP="00BE7BCC">
            <w:pPr>
              <w:spacing w:before="40" w:after="40"/>
              <w:jc w:val="center"/>
              <w:rPr>
                <w:rStyle w:val="CommentReference"/>
                <w:szCs w:val="20"/>
              </w:rPr>
            </w:pPr>
            <w:r w:rsidRPr="003B355D">
              <w:rPr>
                <w:rStyle w:val="CommentReference"/>
                <w:szCs w:val="20"/>
              </w:rPr>
              <w:t>ICER</w:t>
            </w:r>
          </w:p>
        </w:tc>
      </w:tr>
      <w:tr w:rsidR="00BE7BCC" w:rsidRPr="003B355D" w:rsidTr="00BE7BCC">
        <w:tc>
          <w:tcPr>
            <w:tcW w:w="9016" w:type="dxa"/>
            <w:gridSpan w:val="4"/>
            <w:vAlign w:val="center"/>
          </w:tcPr>
          <w:p w:rsidR="00BE7BCC" w:rsidRPr="003B355D" w:rsidRDefault="00BE7BCC" w:rsidP="00BE7BCC">
            <w:pPr>
              <w:spacing w:before="40" w:after="40"/>
              <w:rPr>
                <w:rStyle w:val="CommentReference"/>
                <w:b w:val="0"/>
                <w:szCs w:val="20"/>
              </w:rPr>
            </w:pPr>
            <w:r w:rsidRPr="003B355D">
              <w:rPr>
                <w:rFonts w:ascii="Arial Narrow" w:hAnsi="Arial Narrow"/>
                <w:b/>
                <w:sz w:val="20"/>
              </w:rPr>
              <w:t>Step 1: Trial based (54-month LEADER study data; drug costs only)</w:t>
            </w:r>
          </w:p>
        </w:tc>
      </w:tr>
      <w:tr w:rsidR="00BE7BCC" w:rsidRPr="003B355D" w:rsidTr="00BE7BCC">
        <w:tc>
          <w:tcPr>
            <w:tcW w:w="4390" w:type="dxa"/>
          </w:tcPr>
          <w:p w:rsidR="00BE7BCC" w:rsidRPr="003B355D" w:rsidRDefault="00BE7BCC" w:rsidP="00BE7BCC">
            <w:pPr>
              <w:spacing w:before="40" w:after="40"/>
              <w:rPr>
                <w:rStyle w:val="CommentReference"/>
                <w:b w:val="0"/>
                <w:szCs w:val="20"/>
              </w:rPr>
            </w:pPr>
            <w:r w:rsidRPr="003B355D">
              <w:rPr>
                <w:rStyle w:val="CommentReference"/>
                <w:b w:val="0"/>
                <w:szCs w:val="20"/>
              </w:rPr>
              <w:t xml:space="preserve">- </w:t>
            </w:r>
            <w:r w:rsidRPr="003B355D">
              <w:rPr>
                <w:rStyle w:val="CommentReference"/>
                <w:b w:val="0"/>
              </w:rPr>
              <w:t xml:space="preserve">per </w:t>
            </w:r>
            <w:r w:rsidRPr="003B355D">
              <w:rPr>
                <w:rStyle w:val="CommentReference"/>
                <w:b w:val="0"/>
                <w:szCs w:val="20"/>
              </w:rPr>
              <w:t>cardiovascular event avoided</w:t>
            </w:r>
          </w:p>
        </w:tc>
        <w:tc>
          <w:tcPr>
            <w:tcW w:w="1542" w:type="dxa"/>
          </w:tcPr>
          <w:p w:rsidR="00BE7BCC" w:rsidRPr="003B355D" w:rsidRDefault="00BE7BCC" w:rsidP="00BE7BCC">
            <w:pPr>
              <w:spacing w:before="40" w:after="40"/>
              <w:jc w:val="center"/>
              <w:rPr>
                <w:rStyle w:val="CommentReference"/>
                <w:b w:val="0"/>
                <w:szCs w:val="20"/>
              </w:rPr>
            </w:pPr>
            <w:r w:rsidRPr="003B355D">
              <w:rPr>
                <w:rFonts w:ascii="Arial Narrow" w:hAnsi="Arial Narrow"/>
                <w:color w:val="000000"/>
                <w:sz w:val="20"/>
              </w:rPr>
              <w:t>$</w:t>
            </w:r>
            <w:r w:rsidR="002578F9">
              <w:rPr>
                <w:rFonts w:ascii="Arial Narrow" w:hAnsi="Arial Narrow"/>
                <w:noProof/>
                <w:color w:val="000000"/>
                <w:sz w:val="20"/>
                <w:highlight w:val="black"/>
              </w:rPr>
              <w:t>''''''''''''''</w:t>
            </w:r>
          </w:p>
        </w:tc>
        <w:tc>
          <w:tcPr>
            <w:tcW w:w="1542" w:type="dxa"/>
          </w:tcPr>
          <w:p w:rsidR="00BE7BCC" w:rsidRPr="003B355D" w:rsidRDefault="00BE7BCC" w:rsidP="00BE7BCC">
            <w:pPr>
              <w:spacing w:before="40" w:after="40"/>
              <w:jc w:val="center"/>
              <w:rPr>
                <w:rStyle w:val="CommentReference"/>
                <w:b w:val="0"/>
                <w:szCs w:val="20"/>
              </w:rPr>
            </w:pPr>
            <w:r w:rsidRPr="003B355D">
              <w:rPr>
                <w:rStyle w:val="CommentReference"/>
                <w:b w:val="0"/>
                <w:szCs w:val="20"/>
              </w:rPr>
              <w:t>-1.9%</w:t>
            </w:r>
          </w:p>
        </w:tc>
        <w:tc>
          <w:tcPr>
            <w:tcW w:w="1542" w:type="dxa"/>
            <w:vAlign w:val="center"/>
          </w:tcPr>
          <w:p w:rsidR="00BE7BCC" w:rsidRPr="003B355D" w:rsidRDefault="00BE7BCC" w:rsidP="00BE7BCC">
            <w:pPr>
              <w:jc w:val="center"/>
              <w:rPr>
                <w:rFonts w:ascii="Arial Narrow" w:hAnsi="Arial Narrow"/>
                <w:color w:val="000000"/>
                <w:sz w:val="20"/>
              </w:rPr>
            </w:pPr>
            <w:r w:rsidRPr="003B355D">
              <w:rPr>
                <w:rFonts w:ascii="Arial Narrow" w:hAnsi="Arial Narrow"/>
                <w:color w:val="000000"/>
                <w:sz w:val="20"/>
              </w:rPr>
              <w:t>$</w:t>
            </w:r>
            <w:r w:rsidR="002578F9">
              <w:rPr>
                <w:rFonts w:ascii="Arial Narrow" w:hAnsi="Arial Narrow"/>
                <w:noProof/>
                <w:color w:val="000000"/>
                <w:sz w:val="20"/>
                <w:highlight w:val="black"/>
              </w:rPr>
              <w:t>'''''''''''''''''''</w:t>
            </w:r>
          </w:p>
        </w:tc>
      </w:tr>
      <w:tr w:rsidR="00BE7BCC" w:rsidRPr="003B355D" w:rsidTr="00BE7BCC">
        <w:tc>
          <w:tcPr>
            <w:tcW w:w="4390" w:type="dxa"/>
          </w:tcPr>
          <w:p w:rsidR="00BE7BCC" w:rsidRPr="003B355D" w:rsidRDefault="00BE7BCC" w:rsidP="00BE7BCC">
            <w:pPr>
              <w:spacing w:before="40" w:after="40"/>
              <w:rPr>
                <w:rStyle w:val="CommentReference"/>
                <w:b w:val="0"/>
                <w:szCs w:val="20"/>
              </w:rPr>
            </w:pPr>
            <w:r w:rsidRPr="003B355D">
              <w:rPr>
                <w:rStyle w:val="CommentReference"/>
                <w:b w:val="0"/>
                <w:szCs w:val="20"/>
              </w:rPr>
              <w:t xml:space="preserve">- </w:t>
            </w:r>
            <w:r w:rsidRPr="003B355D">
              <w:rPr>
                <w:rStyle w:val="CommentReference"/>
                <w:b w:val="0"/>
              </w:rPr>
              <w:t xml:space="preserve">per </w:t>
            </w:r>
            <w:r w:rsidRPr="003B355D">
              <w:rPr>
                <w:rStyle w:val="CommentReference"/>
                <w:b w:val="0"/>
                <w:szCs w:val="20"/>
              </w:rPr>
              <w:t>cardiovascular death avoided</w:t>
            </w:r>
          </w:p>
        </w:tc>
        <w:tc>
          <w:tcPr>
            <w:tcW w:w="1542" w:type="dxa"/>
          </w:tcPr>
          <w:p w:rsidR="00BE7BCC" w:rsidRPr="003B355D" w:rsidRDefault="00BE7BCC" w:rsidP="00BE7BCC">
            <w:pPr>
              <w:spacing w:before="40" w:after="40"/>
              <w:jc w:val="center"/>
              <w:rPr>
                <w:rStyle w:val="CommentReference"/>
                <w:b w:val="0"/>
                <w:szCs w:val="20"/>
              </w:rPr>
            </w:pPr>
            <w:r w:rsidRPr="003B355D">
              <w:rPr>
                <w:rFonts w:ascii="Arial Narrow" w:hAnsi="Arial Narrow"/>
                <w:color w:val="000000"/>
                <w:sz w:val="20"/>
              </w:rPr>
              <w:t>$</w:t>
            </w:r>
            <w:r w:rsidR="002578F9">
              <w:rPr>
                <w:rFonts w:ascii="Arial Narrow" w:hAnsi="Arial Narrow"/>
                <w:noProof/>
                <w:color w:val="000000"/>
                <w:sz w:val="20"/>
                <w:highlight w:val="black"/>
              </w:rPr>
              <w:t>''''''''''''''</w:t>
            </w:r>
          </w:p>
        </w:tc>
        <w:tc>
          <w:tcPr>
            <w:tcW w:w="1542" w:type="dxa"/>
          </w:tcPr>
          <w:p w:rsidR="00BE7BCC" w:rsidRPr="003B355D" w:rsidRDefault="00BE7BCC" w:rsidP="00BE7BCC">
            <w:pPr>
              <w:spacing w:before="40" w:after="40"/>
              <w:jc w:val="center"/>
              <w:rPr>
                <w:rStyle w:val="CommentReference"/>
                <w:b w:val="0"/>
                <w:szCs w:val="20"/>
              </w:rPr>
            </w:pPr>
            <w:r w:rsidRPr="003B355D">
              <w:rPr>
                <w:rStyle w:val="CommentReference"/>
                <w:b w:val="0"/>
                <w:szCs w:val="20"/>
              </w:rPr>
              <w:t>-1.3%</w:t>
            </w:r>
          </w:p>
        </w:tc>
        <w:tc>
          <w:tcPr>
            <w:tcW w:w="1542" w:type="dxa"/>
            <w:vAlign w:val="center"/>
          </w:tcPr>
          <w:p w:rsidR="00BE7BCC" w:rsidRPr="003B355D" w:rsidRDefault="00BE7BCC" w:rsidP="00BE7BCC">
            <w:pPr>
              <w:jc w:val="center"/>
              <w:rPr>
                <w:rFonts w:ascii="Arial Narrow" w:hAnsi="Arial Narrow"/>
                <w:color w:val="000000"/>
                <w:sz w:val="20"/>
              </w:rPr>
            </w:pPr>
            <w:r w:rsidRPr="003B355D">
              <w:rPr>
                <w:rFonts w:ascii="Arial Narrow" w:hAnsi="Arial Narrow"/>
                <w:color w:val="000000"/>
                <w:sz w:val="20"/>
              </w:rPr>
              <w:t>$</w:t>
            </w:r>
            <w:r w:rsidR="002578F9">
              <w:rPr>
                <w:rFonts w:ascii="Arial Narrow" w:hAnsi="Arial Narrow"/>
                <w:noProof/>
                <w:color w:val="000000"/>
                <w:sz w:val="20"/>
                <w:highlight w:val="black"/>
              </w:rPr>
              <w:t>''''''''''''''''''</w:t>
            </w:r>
          </w:p>
        </w:tc>
      </w:tr>
      <w:tr w:rsidR="00BE7BCC" w:rsidRPr="003B355D" w:rsidTr="00BE7BCC">
        <w:tc>
          <w:tcPr>
            <w:tcW w:w="4390" w:type="dxa"/>
          </w:tcPr>
          <w:p w:rsidR="00BE7BCC" w:rsidRPr="003B355D" w:rsidRDefault="00BE7BCC" w:rsidP="00BE7BCC">
            <w:pPr>
              <w:spacing w:before="40" w:after="40"/>
              <w:rPr>
                <w:rStyle w:val="CommentReference"/>
                <w:b w:val="0"/>
                <w:szCs w:val="20"/>
              </w:rPr>
            </w:pPr>
            <w:r w:rsidRPr="003B355D">
              <w:rPr>
                <w:rStyle w:val="CommentReference"/>
                <w:b w:val="0"/>
                <w:szCs w:val="20"/>
              </w:rPr>
              <w:t>-</w:t>
            </w:r>
            <w:r w:rsidRPr="003B355D">
              <w:rPr>
                <w:rStyle w:val="CommentReference"/>
                <w:b w:val="0"/>
              </w:rPr>
              <w:t xml:space="preserve"> per</w:t>
            </w:r>
            <w:r w:rsidRPr="003B355D">
              <w:rPr>
                <w:rStyle w:val="CommentReference"/>
                <w:b w:val="0"/>
                <w:szCs w:val="20"/>
              </w:rPr>
              <w:t xml:space="preserve"> myocardial event avoided</w:t>
            </w:r>
          </w:p>
        </w:tc>
        <w:tc>
          <w:tcPr>
            <w:tcW w:w="1542" w:type="dxa"/>
          </w:tcPr>
          <w:p w:rsidR="00BE7BCC" w:rsidRPr="003B355D" w:rsidRDefault="00BE7BCC" w:rsidP="00BE7BCC">
            <w:pPr>
              <w:spacing w:before="40" w:after="40"/>
              <w:jc w:val="center"/>
              <w:rPr>
                <w:rStyle w:val="CommentReference"/>
                <w:b w:val="0"/>
                <w:szCs w:val="20"/>
              </w:rPr>
            </w:pPr>
            <w:r w:rsidRPr="003B355D">
              <w:rPr>
                <w:rFonts w:ascii="Arial Narrow" w:hAnsi="Arial Narrow"/>
                <w:color w:val="000000"/>
                <w:sz w:val="20"/>
              </w:rPr>
              <w:t>$</w:t>
            </w:r>
            <w:r w:rsidR="002578F9">
              <w:rPr>
                <w:rFonts w:ascii="Arial Narrow" w:hAnsi="Arial Narrow"/>
                <w:noProof/>
                <w:color w:val="000000"/>
                <w:sz w:val="20"/>
                <w:highlight w:val="black"/>
              </w:rPr>
              <w:t>'''''''''''''</w:t>
            </w:r>
          </w:p>
        </w:tc>
        <w:tc>
          <w:tcPr>
            <w:tcW w:w="1542" w:type="dxa"/>
          </w:tcPr>
          <w:p w:rsidR="00BE7BCC" w:rsidRPr="003B355D" w:rsidRDefault="00BE7BCC" w:rsidP="00BE7BCC">
            <w:pPr>
              <w:spacing w:before="40" w:after="40"/>
              <w:jc w:val="center"/>
              <w:rPr>
                <w:rStyle w:val="CommentReference"/>
                <w:b w:val="0"/>
                <w:szCs w:val="20"/>
              </w:rPr>
            </w:pPr>
            <w:r w:rsidRPr="003B355D">
              <w:rPr>
                <w:rStyle w:val="CommentReference"/>
                <w:b w:val="0"/>
                <w:szCs w:val="20"/>
              </w:rPr>
              <w:t>-1.0%</w:t>
            </w:r>
          </w:p>
        </w:tc>
        <w:tc>
          <w:tcPr>
            <w:tcW w:w="1542" w:type="dxa"/>
            <w:vAlign w:val="center"/>
          </w:tcPr>
          <w:p w:rsidR="00BE7BCC" w:rsidRPr="003B355D" w:rsidRDefault="00BE7BCC" w:rsidP="00BE7BCC">
            <w:pPr>
              <w:jc w:val="center"/>
              <w:rPr>
                <w:rFonts w:ascii="Arial Narrow" w:hAnsi="Arial Narrow"/>
                <w:color w:val="000000"/>
                <w:sz w:val="20"/>
              </w:rPr>
            </w:pPr>
            <w:r w:rsidRPr="003B355D">
              <w:rPr>
                <w:rFonts w:ascii="Arial Narrow" w:hAnsi="Arial Narrow"/>
                <w:color w:val="000000"/>
                <w:sz w:val="20"/>
              </w:rPr>
              <w:t>$</w:t>
            </w:r>
            <w:r w:rsidR="002578F9">
              <w:rPr>
                <w:rFonts w:ascii="Arial Narrow" w:hAnsi="Arial Narrow"/>
                <w:noProof/>
                <w:color w:val="000000"/>
                <w:sz w:val="20"/>
                <w:highlight w:val="black"/>
              </w:rPr>
              <w:t>'''''''''''''''''</w:t>
            </w:r>
          </w:p>
        </w:tc>
      </w:tr>
      <w:tr w:rsidR="00BE7BCC" w:rsidRPr="003B355D" w:rsidTr="00BE7BCC">
        <w:tc>
          <w:tcPr>
            <w:tcW w:w="4390" w:type="dxa"/>
          </w:tcPr>
          <w:p w:rsidR="00BE7BCC" w:rsidRPr="003B355D" w:rsidRDefault="00BE7BCC" w:rsidP="00BE7BCC">
            <w:pPr>
              <w:spacing w:before="40" w:after="40"/>
              <w:rPr>
                <w:rStyle w:val="CommentReference"/>
                <w:b w:val="0"/>
                <w:szCs w:val="20"/>
              </w:rPr>
            </w:pPr>
            <w:r w:rsidRPr="003B355D">
              <w:rPr>
                <w:rStyle w:val="CommentReference"/>
                <w:b w:val="0"/>
                <w:szCs w:val="20"/>
              </w:rPr>
              <w:t xml:space="preserve">- </w:t>
            </w:r>
            <w:r w:rsidRPr="003B355D">
              <w:rPr>
                <w:rStyle w:val="CommentReference"/>
                <w:b w:val="0"/>
              </w:rPr>
              <w:t xml:space="preserve">per </w:t>
            </w:r>
            <w:r w:rsidRPr="003B355D">
              <w:rPr>
                <w:rStyle w:val="CommentReference"/>
                <w:b w:val="0"/>
                <w:szCs w:val="20"/>
              </w:rPr>
              <w:t>nephropathy event avoided</w:t>
            </w:r>
          </w:p>
        </w:tc>
        <w:tc>
          <w:tcPr>
            <w:tcW w:w="1542" w:type="dxa"/>
          </w:tcPr>
          <w:p w:rsidR="00BE7BCC" w:rsidRPr="003B355D" w:rsidRDefault="00BE7BCC" w:rsidP="00BE7BCC">
            <w:pPr>
              <w:spacing w:before="40" w:after="40"/>
              <w:jc w:val="center"/>
              <w:rPr>
                <w:rStyle w:val="CommentReference"/>
                <w:b w:val="0"/>
                <w:szCs w:val="20"/>
              </w:rPr>
            </w:pPr>
            <w:r w:rsidRPr="003B355D">
              <w:rPr>
                <w:rFonts w:ascii="Arial Narrow" w:hAnsi="Arial Narrow"/>
                <w:color w:val="000000"/>
                <w:sz w:val="20"/>
              </w:rPr>
              <w:t>$</w:t>
            </w:r>
            <w:r w:rsidR="002578F9">
              <w:rPr>
                <w:rFonts w:ascii="Arial Narrow" w:hAnsi="Arial Narrow"/>
                <w:noProof/>
                <w:color w:val="000000"/>
                <w:sz w:val="20"/>
                <w:highlight w:val="black"/>
              </w:rPr>
              <w:t>''''''''''''''</w:t>
            </w:r>
          </w:p>
        </w:tc>
        <w:tc>
          <w:tcPr>
            <w:tcW w:w="1542" w:type="dxa"/>
          </w:tcPr>
          <w:p w:rsidR="00BE7BCC" w:rsidRPr="003B355D" w:rsidRDefault="00BE7BCC" w:rsidP="00BE7BCC">
            <w:pPr>
              <w:spacing w:before="40" w:after="40"/>
              <w:jc w:val="center"/>
              <w:rPr>
                <w:rStyle w:val="CommentReference"/>
                <w:b w:val="0"/>
                <w:szCs w:val="20"/>
              </w:rPr>
            </w:pPr>
            <w:r w:rsidRPr="003B355D">
              <w:rPr>
                <w:rStyle w:val="CommentReference"/>
                <w:b w:val="0"/>
                <w:szCs w:val="20"/>
              </w:rPr>
              <w:t>-1.5%</w:t>
            </w:r>
          </w:p>
        </w:tc>
        <w:tc>
          <w:tcPr>
            <w:tcW w:w="1542" w:type="dxa"/>
            <w:vAlign w:val="center"/>
          </w:tcPr>
          <w:p w:rsidR="00BE7BCC" w:rsidRPr="003B355D" w:rsidRDefault="00BE7BCC" w:rsidP="00BE7BCC">
            <w:pPr>
              <w:jc w:val="center"/>
              <w:rPr>
                <w:rFonts w:ascii="Arial Narrow" w:hAnsi="Arial Narrow"/>
                <w:color w:val="000000"/>
                <w:sz w:val="20"/>
              </w:rPr>
            </w:pPr>
            <w:r w:rsidRPr="003B355D">
              <w:rPr>
                <w:rFonts w:ascii="Arial Narrow" w:hAnsi="Arial Narrow"/>
                <w:color w:val="000000"/>
                <w:sz w:val="20"/>
              </w:rPr>
              <w:t>$</w:t>
            </w:r>
            <w:r w:rsidR="002578F9">
              <w:rPr>
                <w:rFonts w:ascii="Arial Narrow" w:hAnsi="Arial Narrow"/>
                <w:noProof/>
                <w:color w:val="000000"/>
                <w:sz w:val="20"/>
                <w:highlight w:val="black"/>
              </w:rPr>
              <w:t>'''''''''''''''''''''</w:t>
            </w:r>
          </w:p>
        </w:tc>
      </w:tr>
      <w:tr w:rsidR="00BE7BCC" w:rsidRPr="003B355D" w:rsidTr="00BE7BCC">
        <w:tc>
          <w:tcPr>
            <w:tcW w:w="9016" w:type="dxa"/>
            <w:gridSpan w:val="4"/>
          </w:tcPr>
          <w:p w:rsidR="00BE7BCC" w:rsidRPr="003B355D" w:rsidRDefault="00BE7BCC" w:rsidP="00BE7BCC">
            <w:pPr>
              <w:spacing w:before="40" w:after="40"/>
              <w:jc w:val="left"/>
              <w:rPr>
                <w:rStyle w:val="CommentReference"/>
                <w:b w:val="0"/>
                <w:szCs w:val="20"/>
              </w:rPr>
            </w:pPr>
            <w:r w:rsidRPr="003B355D">
              <w:rPr>
                <w:rFonts w:ascii="Arial Narrow" w:hAnsi="Arial Narrow"/>
                <w:b/>
                <w:sz w:val="20"/>
              </w:rPr>
              <w:t>Step 2: Deaths (drug costs only, 10 years)</w:t>
            </w:r>
          </w:p>
        </w:tc>
      </w:tr>
      <w:tr w:rsidR="00BE7BCC" w:rsidRPr="003B355D" w:rsidTr="00BE7BCC">
        <w:tc>
          <w:tcPr>
            <w:tcW w:w="4390" w:type="dxa"/>
          </w:tcPr>
          <w:p w:rsidR="00BE7BCC" w:rsidRPr="003B355D" w:rsidRDefault="00BE7BCC" w:rsidP="00BE7BCC">
            <w:pPr>
              <w:spacing w:before="40" w:after="40"/>
              <w:rPr>
                <w:rStyle w:val="CommentReference"/>
                <w:b w:val="0"/>
                <w:szCs w:val="20"/>
              </w:rPr>
            </w:pPr>
            <w:r w:rsidRPr="003B355D">
              <w:rPr>
                <w:rStyle w:val="CommentReference"/>
                <w:b w:val="0"/>
                <w:szCs w:val="20"/>
              </w:rPr>
              <w:t>- per death avoided</w:t>
            </w:r>
          </w:p>
        </w:tc>
        <w:tc>
          <w:tcPr>
            <w:tcW w:w="1542" w:type="dxa"/>
          </w:tcPr>
          <w:p w:rsidR="00BE7BCC" w:rsidRPr="003B355D" w:rsidRDefault="00BE7BCC" w:rsidP="00BE7BCC">
            <w:pPr>
              <w:spacing w:before="40" w:after="40"/>
              <w:jc w:val="center"/>
              <w:rPr>
                <w:rStyle w:val="CommentReference"/>
                <w:b w:val="0"/>
                <w:szCs w:val="20"/>
              </w:rPr>
            </w:pPr>
            <w:r w:rsidRPr="003B355D">
              <w:rPr>
                <w:rFonts w:ascii="Arial Narrow" w:hAnsi="Arial Narrow"/>
                <w:color w:val="000000"/>
                <w:sz w:val="20"/>
              </w:rPr>
              <w:t>$</w:t>
            </w:r>
            <w:r w:rsidR="002578F9">
              <w:rPr>
                <w:rFonts w:ascii="Arial Narrow" w:hAnsi="Arial Narrow"/>
                <w:noProof/>
                <w:color w:val="000000"/>
                <w:sz w:val="20"/>
                <w:highlight w:val="black"/>
              </w:rPr>
              <w:t>'''''''''''''</w:t>
            </w:r>
          </w:p>
        </w:tc>
        <w:tc>
          <w:tcPr>
            <w:tcW w:w="1542" w:type="dxa"/>
          </w:tcPr>
          <w:p w:rsidR="00BE7BCC" w:rsidRPr="003B355D" w:rsidRDefault="00BE7BCC" w:rsidP="00BE7BCC">
            <w:pPr>
              <w:spacing w:before="40" w:after="40"/>
              <w:jc w:val="center"/>
              <w:rPr>
                <w:rStyle w:val="CommentReference"/>
                <w:b w:val="0"/>
                <w:szCs w:val="20"/>
              </w:rPr>
            </w:pPr>
            <w:r w:rsidRPr="003B355D">
              <w:rPr>
                <w:rFonts w:ascii="Arial Narrow" w:hAnsi="Arial Narrow"/>
                <w:color w:val="000000"/>
                <w:sz w:val="20"/>
              </w:rPr>
              <w:t>-0.012</w:t>
            </w:r>
          </w:p>
        </w:tc>
        <w:tc>
          <w:tcPr>
            <w:tcW w:w="1542" w:type="dxa"/>
          </w:tcPr>
          <w:p w:rsidR="00BE7BCC" w:rsidRPr="003B355D" w:rsidRDefault="00BE7BCC" w:rsidP="00BE7BCC">
            <w:pPr>
              <w:spacing w:before="40" w:after="40"/>
              <w:jc w:val="center"/>
              <w:rPr>
                <w:rStyle w:val="CommentReference"/>
                <w:b w:val="0"/>
                <w:szCs w:val="20"/>
              </w:rPr>
            </w:pPr>
            <w:r w:rsidRPr="003B355D">
              <w:rPr>
                <w:rFonts w:ascii="Arial Narrow" w:hAnsi="Arial Narrow"/>
                <w:color w:val="000000"/>
                <w:sz w:val="20"/>
              </w:rPr>
              <w:t>$</w:t>
            </w:r>
            <w:r w:rsidR="002578F9">
              <w:rPr>
                <w:rFonts w:ascii="Arial Narrow" w:hAnsi="Arial Narrow"/>
                <w:noProof/>
                <w:color w:val="000000"/>
                <w:sz w:val="20"/>
                <w:highlight w:val="black"/>
              </w:rPr>
              <w:t>''''''''''''''''''''</w:t>
            </w:r>
          </w:p>
        </w:tc>
      </w:tr>
      <w:tr w:rsidR="00BE7BCC" w:rsidRPr="003B355D" w:rsidTr="00BE7BCC">
        <w:tc>
          <w:tcPr>
            <w:tcW w:w="9016" w:type="dxa"/>
            <w:gridSpan w:val="4"/>
          </w:tcPr>
          <w:p w:rsidR="00BE7BCC" w:rsidRPr="003B355D" w:rsidRDefault="00BE7BCC" w:rsidP="00BE7BCC">
            <w:pPr>
              <w:spacing w:before="40" w:after="40"/>
              <w:jc w:val="left"/>
              <w:rPr>
                <w:rStyle w:val="CommentReference"/>
                <w:b w:val="0"/>
                <w:szCs w:val="20"/>
              </w:rPr>
            </w:pPr>
            <w:r w:rsidRPr="003B355D">
              <w:rPr>
                <w:rFonts w:ascii="Arial Narrow" w:hAnsi="Arial Narrow"/>
                <w:b/>
                <w:sz w:val="20"/>
              </w:rPr>
              <w:t>Step 3: Discounted life years (drug costs only, 10 years)</w:t>
            </w:r>
          </w:p>
        </w:tc>
      </w:tr>
      <w:tr w:rsidR="00BE7BCC" w:rsidRPr="003B355D" w:rsidTr="00BE7BCC">
        <w:tc>
          <w:tcPr>
            <w:tcW w:w="4390" w:type="dxa"/>
          </w:tcPr>
          <w:p w:rsidR="00BE7BCC" w:rsidRPr="003B355D" w:rsidRDefault="00BE7BCC" w:rsidP="00BE7BCC">
            <w:pPr>
              <w:spacing w:before="40" w:after="40"/>
              <w:rPr>
                <w:rStyle w:val="CommentReference"/>
                <w:b w:val="0"/>
                <w:szCs w:val="20"/>
              </w:rPr>
            </w:pPr>
            <w:r w:rsidRPr="003B355D">
              <w:rPr>
                <w:rStyle w:val="CommentReference"/>
                <w:b w:val="0"/>
                <w:szCs w:val="20"/>
              </w:rPr>
              <w:t>- per life year gained</w:t>
            </w:r>
          </w:p>
        </w:tc>
        <w:tc>
          <w:tcPr>
            <w:tcW w:w="1542" w:type="dxa"/>
          </w:tcPr>
          <w:p w:rsidR="00BE7BCC" w:rsidRPr="003B355D" w:rsidRDefault="00BE7BCC" w:rsidP="00BE7BCC">
            <w:pPr>
              <w:spacing w:before="40" w:after="40"/>
              <w:jc w:val="center"/>
              <w:rPr>
                <w:rStyle w:val="CommentReference"/>
                <w:b w:val="0"/>
                <w:szCs w:val="20"/>
              </w:rPr>
            </w:pPr>
            <w:r w:rsidRPr="003B355D">
              <w:rPr>
                <w:rFonts w:ascii="Arial Narrow" w:hAnsi="Arial Narrow"/>
                <w:color w:val="000000"/>
                <w:sz w:val="20"/>
              </w:rPr>
              <w:t>$</w:t>
            </w:r>
            <w:r w:rsidR="002578F9">
              <w:rPr>
                <w:rFonts w:ascii="Arial Narrow" w:hAnsi="Arial Narrow"/>
                <w:noProof/>
                <w:color w:val="000000"/>
                <w:sz w:val="20"/>
                <w:highlight w:val="black"/>
              </w:rPr>
              <w:t>'''''''''''''''</w:t>
            </w:r>
          </w:p>
        </w:tc>
        <w:tc>
          <w:tcPr>
            <w:tcW w:w="1542" w:type="dxa"/>
          </w:tcPr>
          <w:p w:rsidR="00BE7BCC" w:rsidRPr="003B355D" w:rsidRDefault="00BE7BCC" w:rsidP="00BE7BCC">
            <w:pPr>
              <w:spacing w:before="40" w:after="40"/>
              <w:jc w:val="center"/>
              <w:rPr>
                <w:rStyle w:val="CommentReference"/>
                <w:b w:val="0"/>
                <w:szCs w:val="20"/>
              </w:rPr>
            </w:pPr>
            <w:r w:rsidRPr="003B355D">
              <w:rPr>
                <w:rFonts w:ascii="Arial Narrow" w:hAnsi="Arial Narrow"/>
                <w:color w:val="000000"/>
                <w:sz w:val="20"/>
              </w:rPr>
              <w:t>0.065</w:t>
            </w:r>
          </w:p>
        </w:tc>
        <w:tc>
          <w:tcPr>
            <w:tcW w:w="1542" w:type="dxa"/>
          </w:tcPr>
          <w:p w:rsidR="00BE7BCC" w:rsidRPr="003B355D" w:rsidRDefault="00BE7BCC" w:rsidP="00291F17">
            <w:pPr>
              <w:spacing w:before="40" w:after="40"/>
              <w:jc w:val="center"/>
              <w:rPr>
                <w:rStyle w:val="CommentReference"/>
                <w:b w:val="0"/>
                <w:szCs w:val="20"/>
              </w:rPr>
            </w:pPr>
            <w:r w:rsidRPr="003B355D">
              <w:rPr>
                <w:rFonts w:ascii="Arial Narrow" w:hAnsi="Arial Narrow"/>
                <w:color w:val="000000"/>
                <w:sz w:val="20"/>
              </w:rPr>
              <w:t>$</w:t>
            </w:r>
            <w:r w:rsidR="002578F9">
              <w:rPr>
                <w:rFonts w:ascii="Arial Narrow" w:hAnsi="Arial Narrow"/>
                <w:noProof/>
                <w:color w:val="000000"/>
                <w:sz w:val="20"/>
                <w:highlight w:val="black"/>
              </w:rPr>
              <w:t>''''''''''''''''''</w:t>
            </w:r>
          </w:p>
        </w:tc>
      </w:tr>
      <w:tr w:rsidR="00BE7BCC" w:rsidRPr="003B355D" w:rsidTr="00BE7BCC">
        <w:tc>
          <w:tcPr>
            <w:tcW w:w="9016" w:type="dxa"/>
            <w:gridSpan w:val="4"/>
          </w:tcPr>
          <w:p w:rsidR="00BE7BCC" w:rsidRPr="003B355D" w:rsidRDefault="00BE7BCC" w:rsidP="00BE7BCC">
            <w:pPr>
              <w:spacing w:before="40" w:after="40"/>
              <w:jc w:val="left"/>
              <w:rPr>
                <w:rStyle w:val="CommentReference"/>
                <w:b w:val="0"/>
                <w:szCs w:val="20"/>
              </w:rPr>
            </w:pPr>
            <w:r w:rsidRPr="003B355D">
              <w:rPr>
                <w:rFonts w:ascii="Arial Narrow" w:hAnsi="Arial Narrow"/>
                <w:b/>
                <w:sz w:val="20"/>
              </w:rPr>
              <w:t>Step 4: Discounted QALYs (drug costs only, 10 years)</w:t>
            </w:r>
          </w:p>
        </w:tc>
      </w:tr>
      <w:tr w:rsidR="00BE7BCC" w:rsidRPr="003B355D" w:rsidTr="00BE7BCC">
        <w:tc>
          <w:tcPr>
            <w:tcW w:w="4390" w:type="dxa"/>
          </w:tcPr>
          <w:p w:rsidR="00BE7BCC" w:rsidRPr="003B355D" w:rsidRDefault="00BE7BCC" w:rsidP="00BE7BCC">
            <w:pPr>
              <w:spacing w:before="40" w:after="40"/>
              <w:rPr>
                <w:rStyle w:val="CommentReference"/>
                <w:b w:val="0"/>
                <w:szCs w:val="20"/>
              </w:rPr>
            </w:pPr>
            <w:r w:rsidRPr="003B355D">
              <w:rPr>
                <w:rStyle w:val="CommentReference"/>
                <w:b w:val="0"/>
                <w:szCs w:val="20"/>
              </w:rPr>
              <w:t>- per QALY gained</w:t>
            </w:r>
          </w:p>
        </w:tc>
        <w:tc>
          <w:tcPr>
            <w:tcW w:w="1542" w:type="dxa"/>
          </w:tcPr>
          <w:p w:rsidR="00BE7BCC" w:rsidRPr="003B355D" w:rsidRDefault="00BE7BCC" w:rsidP="00BE7BCC">
            <w:pPr>
              <w:spacing w:before="40" w:after="40"/>
              <w:jc w:val="center"/>
              <w:rPr>
                <w:rStyle w:val="CommentReference"/>
                <w:b w:val="0"/>
                <w:szCs w:val="20"/>
              </w:rPr>
            </w:pPr>
            <w:r w:rsidRPr="003B355D">
              <w:rPr>
                <w:rFonts w:ascii="Arial Narrow" w:hAnsi="Arial Narrow"/>
                <w:color w:val="000000"/>
                <w:sz w:val="20"/>
              </w:rPr>
              <w:t>$</w:t>
            </w:r>
            <w:r w:rsidR="002578F9">
              <w:rPr>
                <w:rFonts w:ascii="Arial Narrow" w:hAnsi="Arial Narrow"/>
                <w:noProof/>
                <w:color w:val="000000"/>
                <w:sz w:val="20"/>
                <w:highlight w:val="black"/>
              </w:rPr>
              <w:t>''''''''''''''</w:t>
            </w:r>
          </w:p>
        </w:tc>
        <w:tc>
          <w:tcPr>
            <w:tcW w:w="1542" w:type="dxa"/>
          </w:tcPr>
          <w:p w:rsidR="00BE7BCC" w:rsidRPr="003B355D" w:rsidRDefault="00BE7BCC" w:rsidP="00BE7BCC">
            <w:pPr>
              <w:spacing w:before="40" w:after="40"/>
              <w:jc w:val="center"/>
              <w:rPr>
                <w:rStyle w:val="CommentReference"/>
                <w:b w:val="0"/>
                <w:szCs w:val="20"/>
              </w:rPr>
            </w:pPr>
            <w:r w:rsidRPr="003B355D">
              <w:rPr>
                <w:rFonts w:ascii="Arial Narrow" w:hAnsi="Arial Narrow"/>
                <w:color w:val="000000"/>
                <w:sz w:val="20"/>
              </w:rPr>
              <w:t>0.058</w:t>
            </w:r>
          </w:p>
        </w:tc>
        <w:tc>
          <w:tcPr>
            <w:tcW w:w="1542" w:type="dxa"/>
          </w:tcPr>
          <w:p w:rsidR="00BE7BCC" w:rsidRPr="003B355D" w:rsidRDefault="00BE7BCC" w:rsidP="00291F17">
            <w:pPr>
              <w:spacing w:before="40" w:after="40"/>
              <w:jc w:val="center"/>
              <w:rPr>
                <w:rStyle w:val="CommentReference"/>
                <w:b w:val="0"/>
                <w:szCs w:val="20"/>
              </w:rPr>
            </w:pPr>
            <w:r w:rsidRPr="003B355D">
              <w:rPr>
                <w:rFonts w:ascii="Arial Narrow" w:hAnsi="Arial Narrow"/>
                <w:color w:val="000000"/>
                <w:sz w:val="20"/>
              </w:rPr>
              <w:t>$</w:t>
            </w:r>
            <w:r w:rsidR="002578F9">
              <w:rPr>
                <w:rFonts w:ascii="Arial Narrow" w:hAnsi="Arial Narrow"/>
                <w:noProof/>
                <w:color w:val="000000"/>
                <w:sz w:val="20"/>
                <w:highlight w:val="black"/>
              </w:rPr>
              <w:t>''''''''''''''''''</w:t>
            </w:r>
          </w:p>
        </w:tc>
      </w:tr>
      <w:tr w:rsidR="00BE7BCC" w:rsidRPr="003B355D" w:rsidTr="00BE7BCC">
        <w:tc>
          <w:tcPr>
            <w:tcW w:w="9016" w:type="dxa"/>
            <w:gridSpan w:val="4"/>
          </w:tcPr>
          <w:p w:rsidR="00BE7BCC" w:rsidRPr="003B355D" w:rsidRDefault="00BE7BCC" w:rsidP="00BE7BCC">
            <w:pPr>
              <w:spacing w:before="40" w:after="40"/>
              <w:jc w:val="left"/>
              <w:rPr>
                <w:rStyle w:val="CommentReference"/>
                <w:b w:val="0"/>
                <w:szCs w:val="20"/>
              </w:rPr>
            </w:pPr>
            <w:r w:rsidRPr="003B355D">
              <w:rPr>
                <w:rFonts w:ascii="Arial Narrow" w:hAnsi="Arial Narrow"/>
                <w:b/>
                <w:sz w:val="20"/>
              </w:rPr>
              <w:t>Step 5: Discounted QALYs (all costs, 10 years)</w:t>
            </w:r>
          </w:p>
        </w:tc>
      </w:tr>
      <w:tr w:rsidR="00BE7BCC" w:rsidRPr="003B355D" w:rsidTr="00BE7BCC">
        <w:tc>
          <w:tcPr>
            <w:tcW w:w="4390" w:type="dxa"/>
          </w:tcPr>
          <w:p w:rsidR="00BE7BCC" w:rsidRPr="003B355D" w:rsidRDefault="00BE7BCC" w:rsidP="00BE7BCC">
            <w:pPr>
              <w:spacing w:before="40" w:after="40"/>
              <w:rPr>
                <w:rStyle w:val="CommentReference"/>
                <w:b w:val="0"/>
                <w:szCs w:val="20"/>
              </w:rPr>
            </w:pPr>
            <w:r w:rsidRPr="003B355D">
              <w:rPr>
                <w:rStyle w:val="CommentReference"/>
                <w:b w:val="0"/>
                <w:szCs w:val="20"/>
              </w:rPr>
              <w:t>- per QALY gained</w:t>
            </w:r>
          </w:p>
        </w:tc>
        <w:tc>
          <w:tcPr>
            <w:tcW w:w="1542" w:type="dxa"/>
          </w:tcPr>
          <w:p w:rsidR="00BE7BCC" w:rsidRPr="003B355D" w:rsidRDefault="00BE7BCC" w:rsidP="00BE7BCC">
            <w:pPr>
              <w:spacing w:before="40" w:after="40"/>
              <w:jc w:val="center"/>
              <w:rPr>
                <w:rStyle w:val="CommentReference"/>
                <w:b w:val="0"/>
                <w:szCs w:val="20"/>
              </w:rPr>
            </w:pPr>
            <w:r w:rsidRPr="003B355D">
              <w:rPr>
                <w:rFonts w:ascii="Arial Narrow" w:hAnsi="Arial Narrow"/>
                <w:color w:val="000000"/>
                <w:sz w:val="20"/>
              </w:rPr>
              <w:t>$</w:t>
            </w:r>
            <w:r w:rsidR="002578F9">
              <w:rPr>
                <w:rFonts w:ascii="Arial Narrow" w:hAnsi="Arial Narrow"/>
                <w:noProof/>
                <w:color w:val="000000"/>
                <w:sz w:val="20"/>
                <w:highlight w:val="black"/>
              </w:rPr>
              <w:t>'''''''''''''</w:t>
            </w:r>
          </w:p>
        </w:tc>
        <w:tc>
          <w:tcPr>
            <w:tcW w:w="1542" w:type="dxa"/>
          </w:tcPr>
          <w:p w:rsidR="00BE7BCC" w:rsidRPr="003B355D" w:rsidRDefault="00BE7BCC" w:rsidP="00BE7BCC">
            <w:pPr>
              <w:spacing w:before="40" w:after="40"/>
              <w:jc w:val="center"/>
              <w:rPr>
                <w:rStyle w:val="CommentReference"/>
                <w:b w:val="0"/>
                <w:szCs w:val="20"/>
              </w:rPr>
            </w:pPr>
            <w:r w:rsidRPr="003B355D">
              <w:rPr>
                <w:rFonts w:ascii="Arial Narrow" w:hAnsi="Arial Narrow"/>
                <w:color w:val="000000"/>
                <w:sz w:val="20"/>
              </w:rPr>
              <w:t>0.058</w:t>
            </w:r>
          </w:p>
        </w:tc>
        <w:tc>
          <w:tcPr>
            <w:tcW w:w="1542" w:type="dxa"/>
          </w:tcPr>
          <w:p w:rsidR="00BE7BCC" w:rsidRPr="003B355D" w:rsidRDefault="00BE7BCC" w:rsidP="00BE7BCC">
            <w:pPr>
              <w:spacing w:before="40" w:after="40"/>
              <w:jc w:val="center"/>
              <w:rPr>
                <w:rStyle w:val="CommentReference"/>
                <w:b w:val="0"/>
                <w:szCs w:val="20"/>
              </w:rPr>
            </w:pPr>
            <w:r w:rsidRPr="003B355D">
              <w:rPr>
                <w:rFonts w:ascii="Arial Narrow" w:hAnsi="Arial Narrow"/>
                <w:color w:val="000000"/>
                <w:sz w:val="20"/>
              </w:rPr>
              <w:t>$</w:t>
            </w:r>
            <w:r w:rsidR="002578F9">
              <w:rPr>
                <w:rFonts w:ascii="Arial Narrow" w:hAnsi="Arial Narrow"/>
                <w:noProof/>
                <w:color w:val="000000"/>
                <w:sz w:val="20"/>
                <w:highlight w:val="black"/>
              </w:rPr>
              <w:t>'''''''''''''''</w:t>
            </w:r>
          </w:p>
        </w:tc>
      </w:tr>
      <w:tr w:rsidR="00BD1A5E" w:rsidRPr="003B355D" w:rsidTr="001C2CC3">
        <w:tc>
          <w:tcPr>
            <w:tcW w:w="9016" w:type="dxa"/>
            <w:gridSpan w:val="4"/>
          </w:tcPr>
          <w:p w:rsidR="00BD1A5E" w:rsidRPr="003B355D" w:rsidRDefault="00BD1A5E" w:rsidP="00BD1A5E">
            <w:pPr>
              <w:spacing w:before="40" w:after="40"/>
              <w:jc w:val="left"/>
              <w:rPr>
                <w:rFonts w:ascii="Arial Narrow" w:hAnsi="Arial Narrow"/>
                <w:color w:val="000000"/>
                <w:sz w:val="20"/>
              </w:rPr>
            </w:pPr>
            <w:r w:rsidRPr="003B355D">
              <w:rPr>
                <w:rFonts w:ascii="Arial Narrow" w:hAnsi="Arial Narrow"/>
                <w:b/>
                <w:sz w:val="20"/>
              </w:rPr>
              <w:t>Step 5 with revised prices from PSCR</w:t>
            </w:r>
          </w:p>
        </w:tc>
      </w:tr>
      <w:tr w:rsidR="00BD1A5E" w:rsidRPr="003B355D" w:rsidTr="00BE7BCC">
        <w:tc>
          <w:tcPr>
            <w:tcW w:w="4390" w:type="dxa"/>
          </w:tcPr>
          <w:p w:rsidR="00BD1A5E" w:rsidRPr="003B355D" w:rsidRDefault="00BD1A5E" w:rsidP="00BE7BCC">
            <w:pPr>
              <w:spacing w:before="40" w:after="40"/>
              <w:rPr>
                <w:rStyle w:val="CommentReference"/>
                <w:b w:val="0"/>
                <w:szCs w:val="20"/>
              </w:rPr>
            </w:pPr>
            <w:r w:rsidRPr="003B355D">
              <w:rPr>
                <w:rStyle w:val="CommentReference"/>
                <w:b w:val="0"/>
                <w:szCs w:val="20"/>
              </w:rPr>
              <w:t>- per QALY gained</w:t>
            </w:r>
          </w:p>
        </w:tc>
        <w:tc>
          <w:tcPr>
            <w:tcW w:w="1542" w:type="dxa"/>
          </w:tcPr>
          <w:p w:rsidR="00BD1A5E" w:rsidRPr="003B355D" w:rsidRDefault="00BD1A5E" w:rsidP="00BE7BCC">
            <w:pPr>
              <w:spacing w:before="40" w:after="40"/>
              <w:jc w:val="center"/>
              <w:rPr>
                <w:rFonts w:ascii="Arial Narrow" w:hAnsi="Arial Narrow"/>
                <w:color w:val="000000"/>
                <w:sz w:val="20"/>
              </w:rPr>
            </w:pPr>
            <w:r w:rsidRPr="003B355D">
              <w:rPr>
                <w:rFonts w:ascii="Arial Narrow" w:hAnsi="Arial Narrow"/>
                <w:color w:val="000000"/>
                <w:sz w:val="20"/>
              </w:rPr>
              <w:t>$</w:t>
            </w:r>
            <w:r w:rsidR="002578F9">
              <w:rPr>
                <w:rFonts w:ascii="Arial Narrow" w:hAnsi="Arial Narrow"/>
                <w:noProof/>
                <w:color w:val="000000"/>
                <w:sz w:val="20"/>
                <w:highlight w:val="black"/>
              </w:rPr>
              <w:t>'''''''''''''</w:t>
            </w:r>
          </w:p>
        </w:tc>
        <w:tc>
          <w:tcPr>
            <w:tcW w:w="1542" w:type="dxa"/>
          </w:tcPr>
          <w:p w:rsidR="00BD1A5E" w:rsidRPr="003B355D" w:rsidRDefault="00BD1A5E" w:rsidP="00BE7BCC">
            <w:pPr>
              <w:spacing w:before="40" w:after="40"/>
              <w:jc w:val="center"/>
              <w:rPr>
                <w:rFonts w:ascii="Arial Narrow" w:hAnsi="Arial Narrow"/>
                <w:color w:val="000000"/>
                <w:sz w:val="20"/>
              </w:rPr>
            </w:pPr>
            <w:r w:rsidRPr="003B355D">
              <w:rPr>
                <w:rFonts w:ascii="Arial Narrow" w:hAnsi="Arial Narrow"/>
                <w:color w:val="000000"/>
                <w:sz w:val="20"/>
              </w:rPr>
              <w:t>0.058</w:t>
            </w:r>
          </w:p>
        </w:tc>
        <w:tc>
          <w:tcPr>
            <w:tcW w:w="1542" w:type="dxa"/>
          </w:tcPr>
          <w:p w:rsidR="00BD1A5E" w:rsidRPr="003B355D" w:rsidRDefault="00BD1A5E" w:rsidP="00BE7BCC">
            <w:pPr>
              <w:spacing w:before="40" w:after="40"/>
              <w:jc w:val="center"/>
              <w:rPr>
                <w:rFonts w:ascii="Arial Narrow" w:hAnsi="Arial Narrow"/>
                <w:color w:val="000000"/>
                <w:sz w:val="20"/>
              </w:rPr>
            </w:pPr>
            <w:r w:rsidRPr="003B355D">
              <w:rPr>
                <w:rFonts w:ascii="Arial Narrow" w:hAnsi="Arial Narrow"/>
                <w:color w:val="000000"/>
                <w:sz w:val="20"/>
              </w:rPr>
              <w:t>$</w:t>
            </w:r>
            <w:r w:rsidR="002578F9">
              <w:rPr>
                <w:rFonts w:ascii="Arial Narrow" w:hAnsi="Arial Narrow"/>
                <w:noProof/>
                <w:color w:val="000000"/>
                <w:sz w:val="20"/>
                <w:highlight w:val="black"/>
              </w:rPr>
              <w:t>''''''''''''''''''</w:t>
            </w:r>
          </w:p>
        </w:tc>
      </w:tr>
      <w:tr w:rsidR="00BD1A5E" w:rsidRPr="003B355D" w:rsidTr="001C2CC3">
        <w:tc>
          <w:tcPr>
            <w:tcW w:w="9016" w:type="dxa"/>
            <w:gridSpan w:val="4"/>
          </w:tcPr>
          <w:p w:rsidR="00BD1A5E" w:rsidRPr="003B355D" w:rsidRDefault="00BD1A5E" w:rsidP="00BD1A5E">
            <w:pPr>
              <w:spacing w:before="40" w:after="40"/>
              <w:jc w:val="left"/>
              <w:rPr>
                <w:rFonts w:ascii="Arial Narrow" w:hAnsi="Arial Narrow"/>
                <w:color w:val="000000"/>
                <w:sz w:val="18"/>
              </w:rPr>
            </w:pPr>
            <w:r w:rsidRPr="003B355D">
              <w:rPr>
                <w:rFonts w:ascii="Arial Narrow" w:hAnsi="Arial Narrow"/>
                <w:b/>
                <w:sz w:val="20"/>
              </w:rPr>
              <w:t xml:space="preserve">Step 5 with revised prices from PSCR (excluding non-fatal myocardial </w:t>
            </w:r>
            <w:proofErr w:type="spellStart"/>
            <w:r w:rsidRPr="003B355D">
              <w:rPr>
                <w:rFonts w:ascii="Arial Narrow" w:hAnsi="Arial Narrow"/>
                <w:b/>
                <w:sz w:val="20"/>
              </w:rPr>
              <w:t>infarctions</w:t>
            </w:r>
            <w:r w:rsidRPr="003B355D">
              <w:rPr>
                <w:rFonts w:ascii="Arial Narrow" w:hAnsi="Arial Narrow"/>
                <w:b/>
                <w:sz w:val="20"/>
                <w:vertAlign w:val="superscript"/>
              </w:rPr>
              <w:t>a</w:t>
            </w:r>
            <w:proofErr w:type="spellEnd"/>
            <w:r w:rsidRPr="003B355D">
              <w:rPr>
                <w:rFonts w:ascii="Arial Narrow" w:hAnsi="Arial Narrow"/>
                <w:b/>
                <w:sz w:val="18"/>
              </w:rPr>
              <w:t>)</w:t>
            </w:r>
          </w:p>
        </w:tc>
      </w:tr>
      <w:tr w:rsidR="00BD1A5E" w:rsidRPr="003B355D" w:rsidTr="00BE7BCC">
        <w:tc>
          <w:tcPr>
            <w:tcW w:w="4390" w:type="dxa"/>
          </w:tcPr>
          <w:p w:rsidR="00BD1A5E" w:rsidRPr="003B355D" w:rsidRDefault="00BD1A5E" w:rsidP="00BE7BCC">
            <w:pPr>
              <w:spacing w:before="40" w:after="40"/>
              <w:rPr>
                <w:rStyle w:val="CommentReference"/>
                <w:b w:val="0"/>
                <w:szCs w:val="20"/>
              </w:rPr>
            </w:pPr>
            <w:r w:rsidRPr="003B355D">
              <w:rPr>
                <w:rStyle w:val="CommentReference"/>
                <w:b w:val="0"/>
                <w:szCs w:val="20"/>
              </w:rPr>
              <w:t>- per QALY gained</w:t>
            </w:r>
          </w:p>
        </w:tc>
        <w:tc>
          <w:tcPr>
            <w:tcW w:w="1542" w:type="dxa"/>
          </w:tcPr>
          <w:p w:rsidR="00BD1A5E" w:rsidRPr="003B355D" w:rsidRDefault="00BD1A5E" w:rsidP="00BE7BCC">
            <w:pPr>
              <w:spacing w:before="40" w:after="40"/>
              <w:jc w:val="center"/>
              <w:rPr>
                <w:rFonts w:ascii="Arial Narrow" w:hAnsi="Arial Narrow"/>
                <w:color w:val="000000"/>
                <w:sz w:val="20"/>
              </w:rPr>
            </w:pPr>
            <w:r w:rsidRPr="003B355D">
              <w:rPr>
                <w:rFonts w:ascii="Arial Narrow" w:hAnsi="Arial Narrow"/>
                <w:color w:val="000000"/>
                <w:sz w:val="20"/>
              </w:rPr>
              <w:t>$</w:t>
            </w:r>
            <w:r w:rsidR="002578F9">
              <w:rPr>
                <w:rFonts w:ascii="Arial Narrow" w:hAnsi="Arial Narrow"/>
                <w:noProof/>
                <w:color w:val="000000"/>
                <w:sz w:val="20"/>
                <w:highlight w:val="black"/>
              </w:rPr>
              <w:t>''''''''''''</w:t>
            </w:r>
          </w:p>
        </w:tc>
        <w:tc>
          <w:tcPr>
            <w:tcW w:w="1542" w:type="dxa"/>
          </w:tcPr>
          <w:p w:rsidR="00BD1A5E" w:rsidRPr="003B355D" w:rsidRDefault="00BD1A5E" w:rsidP="00BE7BCC">
            <w:pPr>
              <w:spacing w:before="40" w:after="40"/>
              <w:jc w:val="center"/>
              <w:rPr>
                <w:rFonts w:ascii="Arial Narrow" w:hAnsi="Arial Narrow"/>
                <w:color w:val="000000"/>
                <w:sz w:val="20"/>
              </w:rPr>
            </w:pPr>
            <w:r w:rsidRPr="003B355D">
              <w:rPr>
                <w:rFonts w:ascii="Arial Narrow" w:hAnsi="Arial Narrow"/>
                <w:color w:val="000000"/>
                <w:sz w:val="20"/>
              </w:rPr>
              <w:t>0.055</w:t>
            </w:r>
          </w:p>
        </w:tc>
        <w:tc>
          <w:tcPr>
            <w:tcW w:w="1542" w:type="dxa"/>
          </w:tcPr>
          <w:p w:rsidR="00BD1A5E" w:rsidRPr="003B355D" w:rsidRDefault="00BD1A5E" w:rsidP="00BE7BCC">
            <w:pPr>
              <w:spacing w:before="40" w:after="40"/>
              <w:jc w:val="center"/>
              <w:rPr>
                <w:rFonts w:ascii="Arial Narrow" w:hAnsi="Arial Narrow"/>
                <w:color w:val="000000"/>
                <w:sz w:val="20"/>
              </w:rPr>
            </w:pPr>
            <w:r w:rsidRPr="003B355D">
              <w:rPr>
                <w:rFonts w:ascii="Arial Narrow" w:hAnsi="Arial Narrow"/>
                <w:color w:val="000000"/>
                <w:sz w:val="20"/>
              </w:rPr>
              <w:t>$</w:t>
            </w:r>
            <w:r w:rsidR="002578F9">
              <w:rPr>
                <w:rFonts w:ascii="Arial Narrow" w:hAnsi="Arial Narrow"/>
                <w:noProof/>
                <w:color w:val="000000"/>
                <w:sz w:val="20"/>
                <w:highlight w:val="black"/>
              </w:rPr>
              <w:t>'''''''''''''''''</w:t>
            </w:r>
          </w:p>
        </w:tc>
      </w:tr>
    </w:tbl>
    <w:p w:rsidR="000A618C" w:rsidRPr="003B355D" w:rsidRDefault="00700E97" w:rsidP="000A618C">
      <w:pPr>
        <w:pStyle w:val="TableFooter"/>
        <w:spacing w:after="240"/>
        <w:contextualSpacing/>
      </w:pPr>
      <w:r w:rsidRPr="003B355D">
        <w:t>Source: Table D.6.1, pp.163-164 of the submission and additional calculations performed during the evaluation using ‘</w:t>
      </w:r>
      <w:proofErr w:type="spellStart"/>
      <w:r w:rsidR="00B02ECA" w:rsidRPr="003B355D">
        <w:t>Liraglutide_Section</w:t>
      </w:r>
      <w:proofErr w:type="spellEnd"/>
      <w:r w:rsidR="00B02ECA" w:rsidRPr="003B355D">
        <w:t xml:space="preserve"> D </w:t>
      </w:r>
      <w:proofErr w:type="spellStart"/>
      <w:r w:rsidR="00B02ECA" w:rsidRPr="003B355D">
        <w:t>model_final</w:t>
      </w:r>
      <w:proofErr w:type="spellEnd"/>
      <w:r w:rsidR="00B02ECA" w:rsidRPr="003B355D">
        <w:t>’ spreadsheet provided with the submission.</w:t>
      </w:r>
    </w:p>
    <w:p w:rsidR="00BD1A5E" w:rsidRPr="003B355D" w:rsidRDefault="00BD1A5E" w:rsidP="00BD1A5E">
      <w:pPr>
        <w:pStyle w:val="TableFooter"/>
        <w:spacing w:after="240"/>
        <w:contextualSpacing/>
      </w:pPr>
      <w:proofErr w:type="gramStart"/>
      <w:r w:rsidRPr="003B355D">
        <w:rPr>
          <w:vertAlign w:val="superscript"/>
        </w:rPr>
        <w:t>a</w:t>
      </w:r>
      <w:proofErr w:type="gramEnd"/>
      <w:r w:rsidRPr="003B355D">
        <w:t xml:space="preserve"> Non-fatal myocardial monthly probabilities for both treatment arms set to placebo probability of 0.0019 (i.e. no difference, placebo monthly probability)</w:t>
      </w:r>
    </w:p>
    <w:p w:rsidR="00E05D01" w:rsidRPr="003B355D" w:rsidRDefault="000A618C" w:rsidP="00CD7F2F">
      <w:pPr>
        <w:pStyle w:val="ESnumberedparablue"/>
        <w:numPr>
          <w:ilvl w:val="1"/>
          <w:numId w:val="34"/>
        </w:numPr>
        <w:spacing w:before="0" w:after="120"/>
        <w:rPr>
          <w:rFonts w:asciiTheme="minorHAnsi" w:hAnsiTheme="minorHAnsi"/>
          <w:color w:val="auto"/>
          <w:sz w:val="24"/>
          <w:szCs w:val="24"/>
        </w:rPr>
      </w:pPr>
      <w:r w:rsidRPr="003B355D">
        <w:rPr>
          <w:rFonts w:asciiTheme="minorHAnsi" w:hAnsiTheme="minorHAnsi"/>
          <w:color w:val="auto"/>
          <w:sz w:val="24"/>
          <w:szCs w:val="24"/>
        </w:rPr>
        <w:t xml:space="preserve">The incremental </w:t>
      </w:r>
      <w:r w:rsidR="001F6B1E" w:rsidRPr="003B355D">
        <w:rPr>
          <w:rFonts w:asciiTheme="minorHAnsi" w:hAnsiTheme="minorHAnsi"/>
          <w:color w:val="auto"/>
          <w:sz w:val="24"/>
          <w:szCs w:val="24"/>
        </w:rPr>
        <w:t xml:space="preserve">cost per QALY gained for liraglutide compared with placebo is </w:t>
      </w:r>
      <w:r w:rsidR="00CD7F2F" w:rsidRPr="00CD7F2F">
        <w:rPr>
          <w:rFonts w:asciiTheme="minorHAnsi" w:hAnsiTheme="minorHAnsi"/>
          <w:color w:val="auto"/>
          <w:sz w:val="24"/>
          <w:szCs w:val="24"/>
        </w:rPr>
        <w:t>$45,000/QALY – $75,000/QALY</w:t>
      </w:r>
      <w:r w:rsidR="001F6B1E" w:rsidRPr="003B355D">
        <w:rPr>
          <w:rFonts w:asciiTheme="minorHAnsi" w:hAnsiTheme="minorHAnsi"/>
          <w:color w:val="auto"/>
          <w:sz w:val="24"/>
          <w:szCs w:val="24"/>
        </w:rPr>
        <w:t xml:space="preserve">. </w:t>
      </w:r>
      <w:r w:rsidR="00C25D35" w:rsidRPr="003B355D">
        <w:rPr>
          <w:rFonts w:asciiTheme="minorHAnsi" w:hAnsiTheme="minorHAnsi"/>
          <w:color w:val="auto"/>
          <w:sz w:val="24"/>
          <w:szCs w:val="24"/>
        </w:rPr>
        <w:t xml:space="preserve">Using the revised prices in the PSCR, the ICER comparing liraglutide with placebo is </w:t>
      </w:r>
      <w:r w:rsidR="00CD7F2F" w:rsidRPr="00CD7F2F">
        <w:rPr>
          <w:rFonts w:asciiTheme="minorHAnsi" w:hAnsiTheme="minorHAnsi"/>
          <w:color w:val="auto"/>
          <w:sz w:val="24"/>
          <w:szCs w:val="24"/>
        </w:rPr>
        <w:t>$45,000/QALY – $75,000/QALY</w:t>
      </w:r>
      <w:r w:rsidR="00C25D35" w:rsidRPr="003B355D">
        <w:rPr>
          <w:rFonts w:asciiTheme="minorHAnsi" w:hAnsiTheme="minorHAnsi"/>
          <w:color w:val="auto"/>
          <w:sz w:val="24"/>
          <w:szCs w:val="24"/>
        </w:rPr>
        <w:t>.</w:t>
      </w:r>
    </w:p>
    <w:p w:rsidR="000A618C" w:rsidRPr="003B355D" w:rsidRDefault="000A618C" w:rsidP="00235B64">
      <w:pPr>
        <w:pStyle w:val="ESnumberedparablue"/>
        <w:numPr>
          <w:ilvl w:val="1"/>
          <w:numId w:val="34"/>
        </w:numPr>
        <w:spacing w:before="0" w:after="120"/>
        <w:rPr>
          <w:rFonts w:asciiTheme="minorHAnsi" w:hAnsiTheme="minorHAnsi"/>
          <w:color w:val="auto"/>
          <w:sz w:val="24"/>
          <w:szCs w:val="24"/>
        </w:rPr>
      </w:pPr>
      <w:r w:rsidRPr="003B355D">
        <w:rPr>
          <w:rFonts w:asciiTheme="minorHAnsi" w:hAnsiTheme="minorHAnsi"/>
          <w:color w:val="auto"/>
          <w:sz w:val="24"/>
          <w:szCs w:val="24"/>
        </w:rPr>
        <w:t xml:space="preserve">Univariate sensitivity analysis </w:t>
      </w:r>
      <w:r w:rsidR="001F6B1E" w:rsidRPr="003B355D">
        <w:rPr>
          <w:rFonts w:asciiTheme="minorHAnsi" w:hAnsiTheme="minorHAnsi"/>
          <w:color w:val="auto"/>
          <w:sz w:val="24"/>
          <w:szCs w:val="24"/>
        </w:rPr>
        <w:t>presented in</w:t>
      </w:r>
      <w:r w:rsidRPr="003B355D">
        <w:rPr>
          <w:rFonts w:asciiTheme="minorHAnsi" w:hAnsiTheme="minorHAnsi"/>
          <w:color w:val="auto"/>
          <w:sz w:val="24"/>
          <w:szCs w:val="24"/>
        </w:rPr>
        <w:t xml:space="preserve"> the submission around liraglutide dose and duration of therapy, time horizon, discount rate, patient baseline age, baseline utility, transition probabilities and cardiovascular medicines avoided, show little variation in the incremental cost effectiveness ratio. Univariate and multivariate sensitivity analysis conducted during the evaluation around the cost of liraglutide, the inclusion of non-fatal myocardial infarction as a health state and removal of avoided cardiovascular medicines showed high variability in the incremental cost effectiveness ratio, up to </w:t>
      </w:r>
      <w:r w:rsidR="00235B64" w:rsidRPr="00235B64">
        <w:rPr>
          <w:rFonts w:asciiTheme="minorHAnsi" w:hAnsiTheme="minorHAnsi"/>
          <w:color w:val="auto"/>
          <w:sz w:val="24"/>
          <w:szCs w:val="24"/>
        </w:rPr>
        <w:t>$105,000/QALY – $200,000/QALY</w:t>
      </w:r>
      <w:r w:rsidR="00F21284">
        <w:rPr>
          <w:rFonts w:asciiTheme="minorHAnsi" w:hAnsiTheme="minorHAnsi"/>
          <w:color w:val="auto"/>
          <w:sz w:val="24"/>
          <w:szCs w:val="24"/>
        </w:rPr>
        <w:t xml:space="preserve"> </w:t>
      </w:r>
      <w:r w:rsidRPr="003B355D">
        <w:rPr>
          <w:rFonts w:asciiTheme="minorHAnsi" w:hAnsiTheme="minorHAnsi"/>
          <w:color w:val="auto"/>
          <w:sz w:val="24"/>
          <w:szCs w:val="24"/>
        </w:rPr>
        <w:t xml:space="preserve">gained. </w:t>
      </w:r>
    </w:p>
    <w:p w:rsidR="00137F8D" w:rsidRPr="002578F9" w:rsidRDefault="00980EA0" w:rsidP="001F6B1E">
      <w:pPr>
        <w:pStyle w:val="Heading2"/>
        <w:spacing w:before="120" w:after="160"/>
        <w:rPr>
          <w:rFonts w:asciiTheme="minorHAnsi" w:eastAsiaTheme="majorEastAsia" w:hAnsiTheme="minorHAnsi"/>
          <w:i/>
          <w:snapToGrid/>
          <w:sz w:val="24"/>
          <w:szCs w:val="24"/>
        </w:rPr>
      </w:pPr>
      <w:bookmarkStart w:id="36" w:name="_Toc413139283"/>
      <w:bookmarkStart w:id="37" w:name="_Toc476306893"/>
      <w:bookmarkStart w:id="38" w:name="_Toc482048981"/>
      <w:r w:rsidRPr="003B355D">
        <w:rPr>
          <w:rFonts w:asciiTheme="minorHAnsi" w:eastAsiaTheme="majorEastAsia" w:hAnsiTheme="minorHAnsi"/>
          <w:i/>
          <w:snapToGrid/>
          <w:sz w:val="24"/>
          <w:szCs w:val="24"/>
        </w:rPr>
        <w:t xml:space="preserve">Drug cost/patient/year: </w:t>
      </w:r>
      <w:r w:rsidR="00714EBA" w:rsidRPr="003B355D">
        <w:rPr>
          <w:rFonts w:eastAsiaTheme="majorEastAsia"/>
          <w:i/>
          <w:snapToGrid/>
        </w:rPr>
        <w:t>$</w:t>
      </w:r>
      <w:bookmarkEnd w:id="36"/>
      <w:bookmarkEnd w:id="37"/>
      <w:bookmarkEnd w:id="38"/>
      <w:r w:rsidR="002578F9">
        <w:rPr>
          <w:rFonts w:eastAsiaTheme="majorEastAsia"/>
          <w:i/>
          <w:noProof/>
          <w:snapToGrid/>
          <w:color w:val="000000"/>
          <w:highlight w:val="black"/>
        </w:rPr>
        <w:t>''''''''''''''''</w:t>
      </w:r>
      <w:r w:rsidR="002578F9">
        <w:rPr>
          <w:rFonts w:asciiTheme="minorHAnsi" w:eastAsiaTheme="majorEastAsia" w:hAnsiTheme="minorHAnsi"/>
          <w:i/>
          <w:noProof/>
          <w:snapToGrid/>
          <w:color w:val="000000"/>
          <w:sz w:val="24"/>
          <w:szCs w:val="24"/>
          <w:highlight w:val="black"/>
        </w:rPr>
        <w:t>''</w:t>
      </w:r>
    </w:p>
    <w:p w:rsidR="00714EBA" w:rsidRPr="003B355D" w:rsidRDefault="00714EBA" w:rsidP="002C3067">
      <w:pPr>
        <w:pStyle w:val="ListParagraph"/>
        <w:numPr>
          <w:ilvl w:val="1"/>
          <w:numId w:val="34"/>
        </w:numPr>
        <w:rPr>
          <w:rFonts w:asciiTheme="minorHAnsi" w:eastAsiaTheme="minorHAnsi" w:hAnsiTheme="minorHAnsi" w:cstheme="minorBidi"/>
          <w:snapToGrid/>
          <w:sz w:val="24"/>
          <w:szCs w:val="24"/>
        </w:rPr>
      </w:pPr>
      <w:r w:rsidRPr="003B355D">
        <w:rPr>
          <w:rFonts w:asciiTheme="minorHAnsi" w:eastAsiaTheme="minorHAnsi" w:hAnsiTheme="minorHAnsi" w:cstheme="minorBidi"/>
          <w:snapToGrid/>
          <w:sz w:val="24"/>
          <w:szCs w:val="24"/>
        </w:rPr>
        <w:t xml:space="preserve">Calculated during the evaluation (adjusted for reduced requested prices in PSCR) assuming 84.8% use of liraglutide 1.8 mg daily and 15.2% use of liraglutide 1.2 mg daily (LEADER Clinical Trial Report utilisation data) and </w:t>
      </w:r>
      <w:r w:rsidR="002578F9">
        <w:rPr>
          <w:rFonts w:asciiTheme="minorHAnsi" w:eastAsiaTheme="minorHAnsi" w:hAnsiTheme="minorHAnsi" w:cstheme="minorBidi"/>
          <w:noProof/>
          <w:snapToGrid/>
          <w:color w:val="000000"/>
          <w:sz w:val="24"/>
          <w:szCs w:val="24"/>
          <w:highlight w:val="black"/>
        </w:rPr>
        <w:t>''''''''''</w:t>
      </w:r>
      <w:r w:rsidRPr="003B355D">
        <w:rPr>
          <w:rFonts w:asciiTheme="minorHAnsi" w:eastAsiaTheme="minorHAnsi" w:hAnsiTheme="minorHAnsi" w:cstheme="minorBidi"/>
          <w:snapToGrid/>
          <w:sz w:val="24"/>
          <w:szCs w:val="24"/>
        </w:rPr>
        <w:t xml:space="preserve"> scripts per year excluding administration costs (i.e. [[$</w:t>
      </w:r>
      <w:r w:rsidR="002578F9">
        <w:rPr>
          <w:rFonts w:asciiTheme="minorHAnsi" w:eastAsiaTheme="minorHAnsi" w:hAnsiTheme="minorHAnsi" w:cstheme="minorBidi"/>
          <w:noProof/>
          <w:snapToGrid/>
          <w:color w:val="000000"/>
          <w:sz w:val="24"/>
          <w:szCs w:val="24"/>
          <w:highlight w:val="black"/>
        </w:rPr>
        <w:t>'''''''''''''</w:t>
      </w:r>
      <w:r w:rsidRPr="003B355D">
        <w:rPr>
          <w:rFonts w:asciiTheme="minorHAnsi" w:eastAsiaTheme="minorHAnsi" w:hAnsiTheme="minorHAnsi" w:cstheme="minorBidi"/>
          <w:snapToGrid/>
          <w:sz w:val="24"/>
          <w:szCs w:val="24"/>
        </w:rPr>
        <w:t xml:space="preserve"> × 0.848] + [$</w:t>
      </w:r>
      <w:r w:rsidR="002578F9">
        <w:rPr>
          <w:rFonts w:asciiTheme="minorHAnsi" w:eastAsiaTheme="minorHAnsi" w:hAnsiTheme="minorHAnsi" w:cstheme="minorBidi"/>
          <w:noProof/>
          <w:snapToGrid/>
          <w:color w:val="000000"/>
          <w:sz w:val="24"/>
          <w:szCs w:val="24"/>
          <w:highlight w:val="black"/>
        </w:rPr>
        <w:t>''''''''''</w:t>
      </w:r>
      <w:r w:rsidRPr="003B355D">
        <w:rPr>
          <w:rFonts w:asciiTheme="minorHAnsi" w:eastAsiaTheme="minorHAnsi" w:hAnsiTheme="minorHAnsi" w:cstheme="minorBidi"/>
          <w:snapToGrid/>
          <w:sz w:val="24"/>
          <w:szCs w:val="24"/>
        </w:rPr>
        <w:t xml:space="preserve"> × [1-0.848]]] × [365/30]).</w:t>
      </w:r>
    </w:p>
    <w:p w:rsidR="00CC41AF" w:rsidRPr="003B355D" w:rsidRDefault="00B57B3A" w:rsidP="002C3067">
      <w:pPr>
        <w:pStyle w:val="ESnumberedparablue"/>
        <w:numPr>
          <w:ilvl w:val="1"/>
          <w:numId w:val="34"/>
        </w:numPr>
        <w:rPr>
          <w:rFonts w:eastAsiaTheme="majorEastAsia"/>
        </w:rPr>
      </w:pPr>
      <w:r w:rsidRPr="003B355D">
        <w:rPr>
          <w:rFonts w:asciiTheme="minorHAnsi" w:hAnsiTheme="minorHAnsi"/>
          <w:color w:val="auto"/>
          <w:sz w:val="24"/>
          <w:szCs w:val="24"/>
        </w:rPr>
        <w:lastRenderedPageBreak/>
        <w:t xml:space="preserve">Using a similar approach </w:t>
      </w:r>
      <w:r w:rsidR="00B65F66" w:rsidRPr="003B355D">
        <w:rPr>
          <w:rFonts w:asciiTheme="minorHAnsi" w:hAnsiTheme="minorHAnsi"/>
          <w:color w:val="auto"/>
          <w:sz w:val="24"/>
          <w:szCs w:val="24"/>
        </w:rPr>
        <w:t xml:space="preserve">for exenatide </w:t>
      </w:r>
      <w:r w:rsidR="000B6E75" w:rsidRPr="003B355D">
        <w:rPr>
          <w:rFonts w:asciiTheme="minorHAnsi" w:hAnsiTheme="minorHAnsi"/>
          <w:color w:val="auto"/>
          <w:sz w:val="24"/>
          <w:szCs w:val="24"/>
        </w:rPr>
        <w:t>assuming 75.7% exenatide 10</w:t>
      </w:r>
      <w:r w:rsidRPr="003B355D">
        <w:rPr>
          <w:rFonts w:asciiTheme="minorHAnsi" w:hAnsiTheme="minorHAnsi"/>
          <w:color w:val="auto"/>
          <w:sz w:val="24"/>
          <w:szCs w:val="24"/>
        </w:rPr>
        <w:t xml:space="preserve"> µg and </w:t>
      </w:r>
      <w:r w:rsidR="00B65F66" w:rsidRPr="003B355D">
        <w:rPr>
          <w:rFonts w:asciiTheme="minorHAnsi" w:hAnsiTheme="minorHAnsi"/>
          <w:color w:val="auto"/>
          <w:sz w:val="24"/>
          <w:szCs w:val="24"/>
        </w:rPr>
        <w:t>24.3% 5</w:t>
      </w:r>
      <w:r w:rsidRPr="003B355D">
        <w:rPr>
          <w:rFonts w:asciiTheme="minorHAnsi" w:hAnsiTheme="minorHAnsi"/>
          <w:color w:val="auto"/>
          <w:sz w:val="24"/>
          <w:szCs w:val="24"/>
        </w:rPr>
        <w:t xml:space="preserve"> µg twice daily</w:t>
      </w:r>
      <w:r w:rsidR="000B6E75" w:rsidRPr="003B355D">
        <w:rPr>
          <w:rFonts w:asciiTheme="minorHAnsi" w:hAnsiTheme="minorHAnsi"/>
          <w:color w:val="auto"/>
          <w:sz w:val="24"/>
          <w:szCs w:val="24"/>
        </w:rPr>
        <w:t xml:space="preserve"> </w:t>
      </w:r>
      <w:r w:rsidR="00B65F66" w:rsidRPr="003B355D">
        <w:rPr>
          <w:rFonts w:asciiTheme="minorHAnsi" w:hAnsiTheme="minorHAnsi"/>
          <w:color w:val="auto"/>
          <w:sz w:val="24"/>
          <w:szCs w:val="24"/>
        </w:rPr>
        <w:t>(</w:t>
      </w:r>
      <w:r w:rsidR="000B6E75" w:rsidRPr="003B355D">
        <w:rPr>
          <w:rFonts w:asciiTheme="minorHAnsi" w:hAnsiTheme="minorHAnsi"/>
          <w:color w:val="auto"/>
          <w:sz w:val="24"/>
          <w:szCs w:val="24"/>
        </w:rPr>
        <w:t>PBS script volumes September 2015</w:t>
      </w:r>
      <w:r w:rsidR="00B65F66" w:rsidRPr="003B355D">
        <w:rPr>
          <w:rFonts w:asciiTheme="minorHAnsi" w:hAnsiTheme="minorHAnsi"/>
          <w:color w:val="auto"/>
          <w:sz w:val="24"/>
          <w:szCs w:val="24"/>
        </w:rPr>
        <w:t xml:space="preserve"> to </w:t>
      </w:r>
      <w:r w:rsidR="000B6E75" w:rsidRPr="003B355D">
        <w:rPr>
          <w:rFonts w:asciiTheme="minorHAnsi" w:hAnsiTheme="minorHAnsi"/>
          <w:color w:val="auto"/>
          <w:sz w:val="24"/>
          <w:szCs w:val="24"/>
        </w:rPr>
        <w:t>August 2016)</w:t>
      </w:r>
      <w:r w:rsidRPr="003B355D">
        <w:rPr>
          <w:rFonts w:asciiTheme="minorHAnsi" w:hAnsiTheme="minorHAnsi"/>
          <w:color w:val="auto"/>
          <w:sz w:val="24"/>
          <w:szCs w:val="24"/>
        </w:rPr>
        <w:t xml:space="preserve">, the drug cost of exenatide was </w:t>
      </w:r>
      <w:r w:rsidR="00D9684D" w:rsidRPr="003B355D">
        <w:rPr>
          <w:rFonts w:asciiTheme="minorHAnsi" w:hAnsiTheme="minorHAnsi"/>
          <w:color w:val="auto"/>
          <w:sz w:val="24"/>
          <w:szCs w:val="24"/>
        </w:rPr>
        <w:t>$</w:t>
      </w:r>
      <w:r w:rsidR="002578F9">
        <w:rPr>
          <w:rFonts w:asciiTheme="minorHAnsi" w:hAnsiTheme="minorHAnsi"/>
          <w:noProof/>
          <w:color w:val="000000"/>
          <w:sz w:val="24"/>
          <w:szCs w:val="24"/>
          <w:highlight w:val="black"/>
        </w:rPr>
        <w:t>'''''''''''''''''</w:t>
      </w:r>
      <w:r w:rsidR="00D9684D" w:rsidRPr="003B355D">
        <w:rPr>
          <w:rFonts w:asciiTheme="minorHAnsi" w:hAnsiTheme="minorHAnsi"/>
          <w:color w:val="auto"/>
          <w:sz w:val="24"/>
          <w:szCs w:val="24"/>
        </w:rPr>
        <w:t xml:space="preserve"> per patient per year. </w:t>
      </w:r>
      <w:r w:rsidR="00F27572" w:rsidRPr="003B355D">
        <w:rPr>
          <w:rFonts w:asciiTheme="minorHAnsi" w:hAnsiTheme="minorHAnsi"/>
          <w:color w:val="auto"/>
          <w:sz w:val="24"/>
          <w:szCs w:val="24"/>
        </w:rPr>
        <w:t>Using the weighted price of liraglutide applied in the submission ($</w:t>
      </w:r>
      <w:r w:rsidR="002578F9">
        <w:rPr>
          <w:rFonts w:asciiTheme="minorHAnsi" w:hAnsiTheme="minorHAnsi"/>
          <w:noProof/>
          <w:color w:val="000000"/>
          <w:sz w:val="24"/>
          <w:szCs w:val="24"/>
          <w:highlight w:val="black"/>
        </w:rPr>
        <w:t>'''''''''''''</w:t>
      </w:r>
      <w:r w:rsidR="001910BE" w:rsidRPr="003B355D">
        <w:rPr>
          <w:rFonts w:asciiTheme="minorHAnsi" w:hAnsiTheme="minorHAnsi"/>
          <w:color w:val="auto"/>
          <w:sz w:val="24"/>
          <w:szCs w:val="24"/>
        </w:rPr>
        <w:t>; see Table 11</w:t>
      </w:r>
      <w:r w:rsidR="00AC3051" w:rsidRPr="003B355D">
        <w:rPr>
          <w:rFonts w:asciiTheme="minorHAnsi" w:hAnsiTheme="minorHAnsi"/>
          <w:color w:val="auto"/>
          <w:sz w:val="24"/>
          <w:szCs w:val="24"/>
        </w:rPr>
        <w:t xml:space="preserve"> above</w:t>
      </w:r>
      <w:r w:rsidR="00F27572" w:rsidRPr="003B355D">
        <w:rPr>
          <w:rFonts w:asciiTheme="minorHAnsi" w:hAnsiTheme="minorHAnsi"/>
          <w:color w:val="auto"/>
          <w:sz w:val="24"/>
          <w:szCs w:val="24"/>
        </w:rPr>
        <w:t xml:space="preserve">) </w:t>
      </w:r>
      <w:r w:rsidR="00EF4510" w:rsidRPr="003B355D">
        <w:rPr>
          <w:rFonts w:asciiTheme="minorHAnsi" w:hAnsiTheme="minorHAnsi"/>
          <w:color w:val="auto"/>
          <w:sz w:val="24"/>
          <w:szCs w:val="24"/>
        </w:rPr>
        <w:t>the cost per patient per year for liraglutide was $</w:t>
      </w:r>
      <w:r w:rsidR="002578F9">
        <w:rPr>
          <w:rFonts w:asciiTheme="minorHAnsi" w:hAnsiTheme="minorHAnsi"/>
          <w:noProof/>
          <w:color w:val="000000"/>
          <w:sz w:val="24"/>
          <w:szCs w:val="24"/>
          <w:highlight w:val="black"/>
        </w:rPr>
        <w:t>'''''''''''''''''</w:t>
      </w:r>
      <w:r w:rsidR="00EF4510" w:rsidRPr="003B355D">
        <w:rPr>
          <w:rFonts w:asciiTheme="minorHAnsi" w:hAnsiTheme="minorHAnsi"/>
          <w:color w:val="auto"/>
          <w:sz w:val="24"/>
          <w:szCs w:val="24"/>
        </w:rPr>
        <w:t>.</w:t>
      </w:r>
      <w:bookmarkStart w:id="39" w:name="_Toc413139284"/>
      <w:bookmarkStart w:id="40" w:name="_Toc476306894"/>
      <w:bookmarkStart w:id="41" w:name="_Toc482048982"/>
    </w:p>
    <w:p w:rsidR="00137F8D" w:rsidRPr="003B355D" w:rsidRDefault="00137F8D" w:rsidP="00103FF8">
      <w:pPr>
        <w:pStyle w:val="Heading2"/>
        <w:rPr>
          <w:rFonts w:asciiTheme="minorHAnsi" w:eastAsiaTheme="majorEastAsia" w:hAnsiTheme="minorHAnsi"/>
          <w:i/>
          <w:snapToGrid/>
          <w:sz w:val="24"/>
          <w:szCs w:val="24"/>
        </w:rPr>
      </w:pPr>
      <w:r w:rsidRPr="003B355D">
        <w:rPr>
          <w:rFonts w:asciiTheme="minorHAnsi" w:eastAsiaTheme="majorEastAsia" w:hAnsiTheme="minorHAnsi"/>
          <w:i/>
          <w:snapToGrid/>
          <w:sz w:val="24"/>
          <w:szCs w:val="24"/>
        </w:rPr>
        <w:t>Estimated PBS usage &amp; financial implications</w:t>
      </w:r>
      <w:bookmarkEnd w:id="39"/>
      <w:bookmarkEnd w:id="40"/>
      <w:bookmarkEnd w:id="41"/>
    </w:p>
    <w:p w:rsidR="00A77BD4" w:rsidRPr="003B355D" w:rsidRDefault="00A77BD4" w:rsidP="00A77BD4">
      <w:pPr>
        <w:pStyle w:val="ListParagraph"/>
        <w:widowControl/>
        <w:numPr>
          <w:ilvl w:val="0"/>
          <w:numId w:val="3"/>
        </w:numPr>
        <w:spacing w:before="120" w:after="160"/>
        <w:contextualSpacing w:val="0"/>
        <w:rPr>
          <w:rFonts w:asciiTheme="minorHAnsi" w:eastAsiaTheme="minorHAnsi" w:hAnsiTheme="minorHAnsi" w:cstheme="minorBidi"/>
          <w:snapToGrid/>
          <w:vanish/>
          <w:sz w:val="24"/>
          <w:szCs w:val="24"/>
        </w:rPr>
      </w:pPr>
    </w:p>
    <w:p w:rsidR="00A77BD4" w:rsidRPr="003B355D" w:rsidRDefault="00A77BD4" w:rsidP="00A77BD4">
      <w:pPr>
        <w:pStyle w:val="ListParagraph"/>
        <w:widowControl/>
        <w:numPr>
          <w:ilvl w:val="0"/>
          <w:numId w:val="3"/>
        </w:numPr>
        <w:spacing w:before="120" w:after="160"/>
        <w:contextualSpacing w:val="0"/>
        <w:rPr>
          <w:rFonts w:asciiTheme="minorHAnsi" w:eastAsiaTheme="minorHAnsi" w:hAnsiTheme="minorHAnsi" w:cstheme="minorBidi"/>
          <w:snapToGrid/>
          <w:vanish/>
          <w:sz w:val="24"/>
          <w:szCs w:val="24"/>
        </w:rPr>
      </w:pPr>
    </w:p>
    <w:p w:rsidR="00A77BD4" w:rsidRPr="003B355D" w:rsidRDefault="00A77BD4" w:rsidP="00A77BD4">
      <w:pPr>
        <w:pStyle w:val="ListParagraph"/>
        <w:widowControl/>
        <w:numPr>
          <w:ilvl w:val="0"/>
          <w:numId w:val="3"/>
        </w:numPr>
        <w:spacing w:before="120" w:after="160"/>
        <w:contextualSpacing w:val="0"/>
        <w:rPr>
          <w:rFonts w:asciiTheme="minorHAnsi" w:eastAsiaTheme="minorHAnsi" w:hAnsiTheme="minorHAnsi" w:cstheme="minorBidi"/>
          <w:snapToGrid/>
          <w:vanish/>
          <w:sz w:val="24"/>
          <w:szCs w:val="24"/>
        </w:rPr>
      </w:pPr>
    </w:p>
    <w:p w:rsidR="00A77BD4" w:rsidRPr="003B355D" w:rsidRDefault="00A77BD4" w:rsidP="00A77BD4">
      <w:pPr>
        <w:pStyle w:val="ListParagraph"/>
        <w:widowControl/>
        <w:numPr>
          <w:ilvl w:val="0"/>
          <w:numId w:val="3"/>
        </w:numPr>
        <w:spacing w:before="120" w:after="160"/>
        <w:contextualSpacing w:val="0"/>
        <w:rPr>
          <w:rFonts w:asciiTheme="minorHAnsi" w:eastAsiaTheme="minorHAnsi" w:hAnsiTheme="minorHAnsi" w:cstheme="minorBidi"/>
          <w:snapToGrid/>
          <w:vanish/>
          <w:sz w:val="24"/>
          <w:szCs w:val="24"/>
        </w:rPr>
      </w:pPr>
    </w:p>
    <w:p w:rsidR="00A77BD4" w:rsidRPr="003B355D" w:rsidRDefault="00A77BD4" w:rsidP="00A77BD4">
      <w:pPr>
        <w:pStyle w:val="ListParagraph"/>
        <w:widowControl/>
        <w:numPr>
          <w:ilvl w:val="0"/>
          <w:numId w:val="3"/>
        </w:numPr>
        <w:spacing w:before="120" w:after="160"/>
        <w:contextualSpacing w:val="0"/>
        <w:rPr>
          <w:rFonts w:asciiTheme="minorHAnsi" w:eastAsiaTheme="minorHAnsi" w:hAnsiTheme="minorHAnsi" w:cstheme="minorBidi"/>
          <w:snapToGrid/>
          <w:vanish/>
          <w:sz w:val="24"/>
          <w:szCs w:val="24"/>
        </w:rPr>
      </w:pPr>
    </w:p>
    <w:p w:rsidR="00A77BD4" w:rsidRPr="003B355D" w:rsidRDefault="00A77BD4" w:rsidP="00A77BD4">
      <w:pPr>
        <w:pStyle w:val="ListParagraph"/>
        <w:widowControl/>
        <w:numPr>
          <w:ilvl w:val="1"/>
          <w:numId w:val="3"/>
        </w:numPr>
        <w:spacing w:before="120" w:after="160"/>
        <w:contextualSpacing w:val="0"/>
        <w:rPr>
          <w:rFonts w:asciiTheme="minorHAnsi" w:eastAsiaTheme="minorHAnsi" w:hAnsiTheme="minorHAnsi" w:cstheme="minorBidi"/>
          <w:snapToGrid/>
          <w:vanish/>
          <w:sz w:val="24"/>
          <w:szCs w:val="24"/>
        </w:rPr>
      </w:pPr>
    </w:p>
    <w:p w:rsidR="00A77BD4" w:rsidRPr="003B355D" w:rsidRDefault="00A77BD4" w:rsidP="00A77BD4">
      <w:pPr>
        <w:pStyle w:val="ListParagraph"/>
        <w:widowControl/>
        <w:numPr>
          <w:ilvl w:val="1"/>
          <w:numId w:val="3"/>
        </w:numPr>
        <w:spacing w:before="120" w:after="160"/>
        <w:contextualSpacing w:val="0"/>
        <w:rPr>
          <w:rFonts w:asciiTheme="minorHAnsi" w:eastAsiaTheme="minorHAnsi" w:hAnsiTheme="minorHAnsi" w:cstheme="minorBidi"/>
          <w:snapToGrid/>
          <w:vanish/>
          <w:sz w:val="24"/>
          <w:szCs w:val="24"/>
        </w:rPr>
      </w:pPr>
    </w:p>
    <w:p w:rsidR="00A77BD4" w:rsidRPr="003B355D" w:rsidRDefault="00A77BD4" w:rsidP="00A77BD4">
      <w:pPr>
        <w:pStyle w:val="ListParagraph"/>
        <w:widowControl/>
        <w:numPr>
          <w:ilvl w:val="1"/>
          <w:numId w:val="3"/>
        </w:numPr>
        <w:spacing w:before="120" w:after="160"/>
        <w:contextualSpacing w:val="0"/>
        <w:rPr>
          <w:rFonts w:asciiTheme="minorHAnsi" w:eastAsiaTheme="minorHAnsi" w:hAnsiTheme="minorHAnsi" w:cstheme="minorBidi"/>
          <w:snapToGrid/>
          <w:vanish/>
          <w:sz w:val="24"/>
          <w:szCs w:val="24"/>
        </w:rPr>
      </w:pPr>
    </w:p>
    <w:p w:rsidR="00A77BD4" w:rsidRPr="003B355D" w:rsidRDefault="00A77BD4" w:rsidP="00A77BD4">
      <w:pPr>
        <w:pStyle w:val="ListParagraph"/>
        <w:widowControl/>
        <w:numPr>
          <w:ilvl w:val="1"/>
          <w:numId w:val="3"/>
        </w:numPr>
        <w:spacing w:before="120" w:after="160"/>
        <w:contextualSpacing w:val="0"/>
        <w:rPr>
          <w:rFonts w:asciiTheme="minorHAnsi" w:eastAsiaTheme="minorHAnsi" w:hAnsiTheme="minorHAnsi" w:cstheme="minorBidi"/>
          <w:snapToGrid/>
          <w:vanish/>
          <w:sz w:val="24"/>
          <w:szCs w:val="24"/>
        </w:rPr>
      </w:pPr>
    </w:p>
    <w:p w:rsidR="00A77BD4" w:rsidRPr="003B355D" w:rsidRDefault="00A77BD4" w:rsidP="00A77BD4">
      <w:pPr>
        <w:pStyle w:val="ListParagraph"/>
        <w:widowControl/>
        <w:numPr>
          <w:ilvl w:val="1"/>
          <w:numId w:val="3"/>
        </w:numPr>
        <w:spacing w:before="120" w:after="160"/>
        <w:contextualSpacing w:val="0"/>
        <w:rPr>
          <w:rFonts w:asciiTheme="minorHAnsi" w:eastAsiaTheme="minorHAnsi" w:hAnsiTheme="minorHAnsi" w:cstheme="minorBidi"/>
          <w:snapToGrid/>
          <w:vanish/>
          <w:sz w:val="24"/>
          <w:szCs w:val="24"/>
        </w:rPr>
      </w:pPr>
    </w:p>
    <w:p w:rsidR="00A77BD4" w:rsidRPr="003B355D" w:rsidRDefault="00A77BD4" w:rsidP="00A77BD4">
      <w:pPr>
        <w:pStyle w:val="ListParagraph"/>
        <w:widowControl/>
        <w:numPr>
          <w:ilvl w:val="1"/>
          <w:numId w:val="3"/>
        </w:numPr>
        <w:spacing w:before="120" w:after="160"/>
        <w:contextualSpacing w:val="0"/>
        <w:rPr>
          <w:rFonts w:asciiTheme="minorHAnsi" w:eastAsiaTheme="minorHAnsi" w:hAnsiTheme="minorHAnsi" w:cstheme="minorBidi"/>
          <w:snapToGrid/>
          <w:vanish/>
          <w:sz w:val="24"/>
          <w:szCs w:val="24"/>
        </w:rPr>
      </w:pPr>
    </w:p>
    <w:p w:rsidR="00A77BD4" w:rsidRPr="003B355D" w:rsidRDefault="00A77BD4" w:rsidP="00A77BD4">
      <w:pPr>
        <w:pStyle w:val="ListParagraph"/>
        <w:widowControl/>
        <w:numPr>
          <w:ilvl w:val="1"/>
          <w:numId w:val="3"/>
        </w:numPr>
        <w:spacing w:before="120" w:after="160"/>
        <w:contextualSpacing w:val="0"/>
        <w:rPr>
          <w:rFonts w:asciiTheme="minorHAnsi" w:eastAsiaTheme="minorHAnsi" w:hAnsiTheme="minorHAnsi" w:cstheme="minorBidi"/>
          <w:snapToGrid/>
          <w:vanish/>
          <w:sz w:val="24"/>
          <w:szCs w:val="24"/>
        </w:rPr>
      </w:pPr>
    </w:p>
    <w:p w:rsidR="00A77BD4" w:rsidRPr="003B355D" w:rsidRDefault="00A77BD4" w:rsidP="00A77BD4">
      <w:pPr>
        <w:pStyle w:val="ListParagraph"/>
        <w:widowControl/>
        <w:numPr>
          <w:ilvl w:val="1"/>
          <w:numId w:val="3"/>
        </w:numPr>
        <w:spacing w:before="120" w:after="160"/>
        <w:contextualSpacing w:val="0"/>
        <w:rPr>
          <w:rFonts w:asciiTheme="minorHAnsi" w:eastAsiaTheme="minorHAnsi" w:hAnsiTheme="minorHAnsi" w:cstheme="minorBidi"/>
          <w:snapToGrid/>
          <w:vanish/>
          <w:sz w:val="24"/>
          <w:szCs w:val="24"/>
        </w:rPr>
      </w:pPr>
    </w:p>
    <w:p w:rsidR="00A77BD4" w:rsidRPr="003B355D" w:rsidRDefault="00A77BD4" w:rsidP="00A77BD4">
      <w:pPr>
        <w:pStyle w:val="ListParagraph"/>
        <w:widowControl/>
        <w:numPr>
          <w:ilvl w:val="1"/>
          <w:numId w:val="3"/>
        </w:numPr>
        <w:spacing w:before="120" w:after="160"/>
        <w:contextualSpacing w:val="0"/>
        <w:rPr>
          <w:rFonts w:asciiTheme="minorHAnsi" w:eastAsiaTheme="minorHAnsi" w:hAnsiTheme="minorHAnsi" w:cstheme="minorBidi"/>
          <w:snapToGrid/>
          <w:vanish/>
          <w:sz w:val="24"/>
          <w:szCs w:val="24"/>
        </w:rPr>
      </w:pPr>
    </w:p>
    <w:p w:rsidR="00A77BD4" w:rsidRPr="003B355D" w:rsidRDefault="00A77BD4" w:rsidP="00A77BD4">
      <w:pPr>
        <w:pStyle w:val="ListParagraph"/>
        <w:widowControl/>
        <w:numPr>
          <w:ilvl w:val="1"/>
          <w:numId w:val="3"/>
        </w:numPr>
        <w:spacing w:before="120" w:after="160"/>
        <w:contextualSpacing w:val="0"/>
        <w:rPr>
          <w:rFonts w:asciiTheme="minorHAnsi" w:eastAsiaTheme="minorHAnsi" w:hAnsiTheme="minorHAnsi" w:cstheme="minorBidi"/>
          <w:snapToGrid/>
          <w:vanish/>
          <w:sz w:val="24"/>
          <w:szCs w:val="24"/>
        </w:rPr>
      </w:pPr>
    </w:p>
    <w:p w:rsidR="00A77BD4" w:rsidRPr="003B355D" w:rsidRDefault="00A77BD4" w:rsidP="00A77BD4">
      <w:pPr>
        <w:pStyle w:val="ListParagraph"/>
        <w:widowControl/>
        <w:numPr>
          <w:ilvl w:val="1"/>
          <w:numId w:val="3"/>
        </w:numPr>
        <w:spacing w:before="120" w:after="160"/>
        <w:contextualSpacing w:val="0"/>
        <w:rPr>
          <w:rFonts w:asciiTheme="minorHAnsi" w:eastAsiaTheme="minorHAnsi" w:hAnsiTheme="minorHAnsi" w:cstheme="minorBidi"/>
          <w:snapToGrid/>
          <w:vanish/>
          <w:sz w:val="24"/>
          <w:szCs w:val="24"/>
        </w:rPr>
      </w:pPr>
    </w:p>
    <w:p w:rsidR="00A77BD4" w:rsidRPr="003B355D" w:rsidRDefault="00A77BD4" w:rsidP="00A77BD4">
      <w:pPr>
        <w:pStyle w:val="ListParagraph"/>
        <w:widowControl/>
        <w:numPr>
          <w:ilvl w:val="1"/>
          <w:numId w:val="3"/>
        </w:numPr>
        <w:spacing w:before="120" w:after="160"/>
        <w:contextualSpacing w:val="0"/>
        <w:rPr>
          <w:rFonts w:asciiTheme="minorHAnsi" w:eastAsiaTheme="minorHAnsi" w:hAnsiTheme="minorHAnsi" w:cstheme="minorBidi"/>
          <w:snapToGrid/>
          <w:vanish/>
          <w:sz w:val="24"/>
          <w:szCs w:val="24"/>
        </w:rPr>
      </w:pPr>
    </w:p>
    <w:p w:rsidR="00A77BD4" w:rsidRPr="003B355D" w:rsidRDefault="00A77BD4" w:rsidP="00A77BD4">
      <w:pPr>
        <w:pStyle w:val="ListParagraph"/>
        <w:widowControl/>
        <w:numPr>
          <w:ilvl w:val="1"/>
          <w:numId w:val="3"/>
        </w:numPr>
        <w:spacing w:before="120" w:after="160"/>
        <w:contextualSpacing w:val="0"/>
        <w:rPr>
          <w:rFonts w:asciiTheme="minorHAnsi" w:eastAsiaTheme="minorHAnsi" w:hAnsiTheme="minorHAnsi" w:cstheme="minorBidi"/>
          <w:snapToGrid/>
          <w:vanish/>
          <w:sz w:val="24"/>
          <w:szCs w:val="24"/>
        </w:rPr>
      </w:pPr>
    </w:p>
    <w:p w:rsidR="00A77BD4" w:rsidRPr="003B355D" w:rsidRDefault="00A77BD4" w:rsidP="00A77BD4">
      <w:pPr>
        <w:pStyle w:val="ListParagraph"/>
        <w:widowControl/>
        <w:numPr>
          <w:ilvl w:val="1"/>
          <w:numId w:val="3"/>
        </w:numPr>
        <w:spacing w:before="120" w:after="160"/>
        <w:contextualSpacing w:val="0"/>
        <w:rPr>
          <w:rFonts w:asciiTheme="minorHAnsi" w:eastAsiaTheme="minorHAnsi" w:hAnsiTheme="minorHAnsi" w:cstheme="minorBidi"/>
          <w:snapToGrid/>
          <w:vanish/>
          <w:sz w:val="24"/>
          <w:szCs w:val="24"/>
        </w:rPr>
      </w:pPr>
    </w:p>
    <w:p w:rsidR="00A77BD4" w:rsidRPr="003B355D" w:rsidRDefault="00A77BD4" w:rsidP="00A77BD4">
      <w:pPr>
        <w:pStyle w:val="ListParagraph"/>
        <w:widowControl/>
        <w:numPr>
          <w:ilvl w:val="1"/>
          <w:numId w:val="3"/>
        </w:numPr>
        <w:spacing w:before="120" w:after="160"/>
        <w:contextualSpacing w:val="0"/>
        <w:rPr>
          <w:rFonts w:asciiTheme="minorHAnsi" w:eastAsiaTheme="minorHAnsi" w:hAnsiTheme="minorHAnsi" w:cstheme="minorBidi"/>
          <w:snapToGrid/>
          <w:vanish/>
          <w:sz w:val="24"/>
          <w:szCs w:val="24"/>
        </w:rPr>
      </w:pPr>
    </w:p>
    <w:p w:rsidR="00A77BD4" w:rsidRPr="003B355D" w:rsidRDefault="00A77BD4" w:rsidP="00A77BD4">
      <w:pPr>
        <w:pStyle w:val="ListParagraph"/>
        <w:widowControl/>
        <w:numPr>
          <w:ilvl w:val="1"/>
          <w:numId w:val="3"/>
        </w:numPr>
        <w:spacing w:before="120" w:after="160"/>
        <w:contextualSpacing w:val="0"/>
        <w:rPr>
          <w:rFonts w:asciiTheme="minorHAnsi" w:eastAsiaTheme="minorHAnsi" w:hAnsiTheme="minorHAnsi" w:cstheme="minorBidi"/>
          <w:snapToGrid/>
          <w:vanish/>
          <w:sz w:val="24"/>
          <w:szCs w:val="24"/>
        </w:rPr>
      </w:pPr>
    </w:p>
    <w:p w:rsidR="00A77BD4" w:rsidRPr="003B355D" w:rsidRDefault="00A77BD4" w:rsidP="00A77BD4">
      <w:pPr>
        <w:pStyle w:val="ListParagraph"/>
        <w:widowControl/>
        <w:numPr>
          <w:ilvl w:val="1"/>
          <w:numId w:val="3"/>
        </w:numPr>
        <w:spacing w:before="120" w:after="160"/>
        <w:contextualSpacing w:val="0"/>
        <w:rPr>
          <w:rFonts w:asciiTheme="minorHAnsi" w:eastAsiaTheme="minorHAnsi" w:hAnsiTheme="minorHAnsi" w:cstheme="minorBidi"/>
          <w:snapToGrid/>
          <w:vanish/>
          <w:sz w:val="24"/>
          <w:szCs w:val="24"/>
        </w:rPr>
      </w:pPr>
    </w:p>
    <w:p w:rsidR="00A77BD4" w:rsidRPr="003B355D" w:rsidRDefault="00A77BD4" w:rsidP="00A77BD4">
      <w:pPr>
        <w:pStyle w:val="ListParagraph"/>
        <w:widowControl/>
        <w:numPr>
          <w:ilvl w:val="1"/>
          <w:numId w:val="3"/>
        </w:numPr>
        <w:spacing w:before="120" w:after="160"/>
        <w:contextualSpacing w:val="0"/>
        <w:rPr>
          <w:rFonts w:asciiTheme="minorHAnsi" w:eastAsiaTheme="minorHAnsi" w:hAnsiTheme="minorHAnsi" w:cstheme="minorBidi"/>
          <w:snapToGrid/>
          <w:vanish/>
          <w:sz w:val="24"/>
          <w:szCs w:val="24"/>
        </w:rPr>
      </w:pPr>
    </w:p>
    <w:p w:rsidR="00A77BD4" w:rsidRPr="003B355D" w:rsidRDefault="00A77BD4" w:rsidP="00A77BD4">
      <w:pPr>
        <w:pStyle w:val="ListParagraph"/>
        <w:widowControl/>
        <w:numPr>
          <w:ilvl w:val="1"/>
          <w:numId w:val="3"/>
        </w:numPr>
        <w:spacing w:before="120" w:after="160"/>
        <w:contextualSpacing w:val="0"/>
        <w:rPr>
          <w:rFonts w:asciiTheme="minorHAnsi" w:eastAsiaTheme="minorHAnsi" w:hAnsiTheme="minorHAnsi" w:cstheme="minorBidi"/>
          <w:snapToGrid/>
          <w:vanish/>
          <w:sz w:val="24"/>
          <w:szCs w:val="24"/>
        </w:rPr>
      </w:pPr>
    </w:p>
    <w:p w:rsidR="00A77BD4" w:rsidRPr="003B355D" w:rsidRDefault="00A77BD4" w:rsidP="00A77BD4">
      <w:pPr>
        <w:pStyle w:val="ListParagraph"/>
        <w:widowControl/>
        <w:numPr>
          <w:ilvl w:val="1"/>
          <w:numId w:val="3"/>
        </w:numPr>
        <w:spacing w:before="120" w:after="160"/>
        <w:contextualSpacing w:val="0"/>
        <w:rPr>
          <w:rFonts w:asciiTheme="minorHAnsi" w:eastAsiaTheme="minorHAnsi" w:hAnsiTheme="minorHAnsi" w:cstheme="minorBidi"/>
          <w:snapToGrid/>
          <w:vanish/>
          <w:sz w:val="24"/>
          <w:szCs w:val="24"/>
        </w:rPr>
      </w:pPr>
    </w:p>
    <w:p w:rsidR="00A77BD4" w:rsidRPr="003B355D" w:rsidRDefault="00A77BD4" w:rsidP="00A77BD4">
      <w:pPr>
        <w:pStyle w:val="ListParagraph"/>
        <w:widowControl/>
        <w:numPr>
          <w:ilvl w:val="1"/>
          <w:numId w:val="3"/>
        </w:numPr>
        <w:spacing w:before="120" w:after="160"/>
        <w:contextualSpacing w:val="0"/>
        <w:rPr>
          <w:rFonts w:asciiTheme="minorHAnsi" w:eastAsiaTheme="minorHAnsi" w:hAnsiTheme="minorHAnsi" w:cstheme="minorBidi"/>
          <w:snapToGrid/>
          <w:vanish/>
          <w:sz w:val="24"/>
          <w:szCs w:val="24"/>
        </w:rPr>
      </w:pPr>
    </w:p>
    <w:p w:rsidR="00A77BD4" w:rsidRPr="003B355D" w:rsidRDefault="00A77BD4" w:rsidP="00A77BD4">
      <w:pPr>
        <w:pStyle w:val="ListParagraph"/>
        <w:widowControl/>
        <w:numPr>
          <w:ilvl w:val="1"/>
          <w:numId w:val="3"/>
        </w:numPr>
        <w:spacing w:before="120" w:after="160"/>
        <w:contextualSpacing w:val="0"/>
        <w:rPr>
          <w:rFonts w:asciiTheme="minorHAnsi" w:eastAsiaTheme="minorHAnsi" w:hAnsiTheme="minorHAnsi" w:cstheme="minorBidi"/>
          <w:snapToGrid/>
          <w:vanish/>
          <w:sz w:val="24"/>
          <w:szCs w:val="24"/>
        </w:rPr>
      </w:pPr>
    </w:p>
    <w:p w:rsidR="00A77BD4" w:rsidRPr="003B355D" w:rsidRDefault="00A77BD4" w:rsidP="00A77BD4">
      <w:pPr>
        <w:pStyle w:val="ListParagraph"/>
        <w:widowControl/>
        <w:numPr>
          <w:ilvl w:val="1"/>
          <w:numId w:val="3"/>
        </w:numPr>
        <w:spacing w:before="120" w:after="160"/>
        <w:contextualSpacing w:val="0"/>
        <w:rPr>
          <w:rFonts w:asciiTheme="minorHAnsi" w:eastAsiaTheme="minorHAnsi" w:hAnsiTheme="minorHAnsi" w:cstheme="minorBidi"/>
          <w:snapToGrid/>
          <w:vanish/>
          <w:sz w:val="24"/>
          <w:szCs w:val="24"/>
        </w:rPr>
      </w:pPr>
    </w:p>
    <w:p w:rsidR="00A77BD4" w:rsidRPr="003B355D" w:rsidRDefault="00A77BD4" w:rsidP="00A77BD4">
      <w:pPr>
        <w:pStyle w:val="ListParagraph"/>
        <w:widowControl/>
        <w:numPr>
          <w:ilvl w:val="1"/>
          <w:numId w:val="3"/>
        </w:numPr>
        <w:spacing w:before="120" w:after="160"/>
        <w:contextualSpacing w:val="0"/>
        <w:rPr>
          <w:rFonts w:asciiTheme="minorHAnsi" w:eastAsiaTheme="minorHAnsi" w:hAnsiTheme="minorHAnsi" w:cstheme="minorBidi"/>
          <w:snapToGrid/>
          <w:vanish/>
          <w:sz w:val="24"/>
          <w:szCs w:val="24"/>
        </w:rPr>
      </w:pPr>
    </w:p>
    <w:p w:rsidR="00A77BD4" w:rsidRPr="003B355D" w:rsidRDefault="00A77BD4" w:rsidP="00A77BD4">
      <w:pPr>
        <w:pStyle w:val="ListParagraph"/>
        <w:widowControl/>
        <w:numPr>
          <w:ilvl w:val="1"/>
          <w:numId w:val="3"/>
        </w:numPr>
        <w:spacing w:before="120" w:after="160"/>
        <w:contextualSpacing w:val="0"/>
        <w:rPr>
          <w:rFonts w:asciiTheme="minorHAnsi" w:eastAsiaTheme="minorHAnsi" w:hAnsiTheme="minorHAnsi" w:cstheme="minorBidi"/>
          <w:snapToGrid/>
          <w:vanish/>
          <w:sz w:val="24"/>
          <w:szCs w:val="24"/>
        </w:rPr>
      </w:pPr>
    </w:p>
    <w:p w:rsidR="00A77BD4" w:rsidRPr="003B355D" w:rsidRDefault="00A77BD4" w:rsidP="00A77BD4">
      <w:pPr>
        <w:pStyle w:val="ListParagraph"/>
        <w:widowControl/>
        <w:numPr>
          <w:ilvl w:val="1"/>
          <w:numId w:val="3"/>
        </w:numPr>
        <w:spacing w:before="120" w:after="160"/>
        <w:contextualSpacing w:val="0"/>
        <w:rPr>
          <w:rFonts w:asciiTheme="minorHAnsi" w:eastAsiaTheme="minorHAnsi" w:hAnsiTheme="minorHAnsi" w:cstheme="minorBidi"/>
          <w:snapToGrid/>
          <w:vanish/>
          <w:sz w:val="24"/>
          <w:szCs w:val="24"/>
        </w:rPr>
      </w:pPr>
    </w:p>
    <w:p w:rsidR="00A77BD4" w:rsidRPr="003B355D" w:rsidRDefault="00A77BD4" w:rsidP="00A77BD4">
      <w:pPr>
        <w:pStyle w:val="ListParagraph"/>
        <w:widowControl/>
        <w:numPr>
          <w:ilvl w:val="1"/>
          <w:numId w:val="3"/>
        </w:numPr>
        <w:spacing w:before="120" w:after="160"/>
        <w:contextualSpacing w:val="0"/>
        <w:rPr>
          <w:rFonts w:asciiTheme="minorHAnsi" w:eastAsiaTheme="minorHAnsi" w:hAnsiTheme="minorHAnsi" w:cstheme="minorBidi"/>
          <w:snapToGrid/>
          <w:vanish/>
          <w:sz w:val="24"/>
          <w:szCs w:val="24"/>
        </w:rPr>
      </w:pPr>
    </w:p>
    <w:p w:rsidR="00A77BD4" w:rsidRPr="003B355D" w:rsidRDefault="00A77BD4" w:rsidP="00A77BD4">
      <w:pPr>
        <w:pStyle w:val="ListParagraph"/>
        <w:widowControl/>
        <w:numPr>
          <w:ilvl w:val="1"/>
          <w:numId w:val="3"/>
        </w:numPr>
        <w:spacing w:before="120" w:after="160"/>
        <w:contextualSpacing w:val="0"/>
        <w:rPr>
          <w:rFonts w:asciiTheme="minorHAnsi" w:eastAsiaTheme="minorHAnsi" w:hAnsiTheme="minorHAnsi" w:cstheme="minorBidi"/>
          <w:snapToGrid/>
          <w:vanish/>
          <w:sz w:val="24"/>
          <w:szCs w:val="24"/>
        </w:rPr>
      </w:pPr>
    </w:p>
    <w:p w:rsidR="00A77BD4" w:rsidRPr="003B355D" w:rsidRDefault="00A77BD4" w:rsidP="00A77BD4">
      <w:pPr>
        <w:pStyle w:val="ListParagraph"/>
        <w:widowControl/>
        <w:numPr>
          <w:ilvl w:val="1"/>
          <w:numId w:val="3"/>
        </w:numPr>
        <w:spacing w:before="120" w:after="160"/>
        <w:contextualSpacing w:val="0"/>
        <w:rPr>
          <w:rFonts w:asciiTheme="minorHAnsi" w:eastAsiaTheme="minorHAnsi" w:hAnsiTheme="minorHAnsi" w:cstheme="minorBidi"/>
          <w:snapToGrid/>
          <w:vanish/>
          <w:sz w:val="24"/>
          <w:szCs w:val="24"/>
        </w:rPr>
      </w:pPr>
    </w:p>
    <w:p w:rsidR="00A77BD4" w:rsidRPr="003B355D" w:rsidRDefault="00A77BD4" w:rsidP="00A77BD4">
      <w:pPr>
        <w:pStyle w:val="ListParagraph"/>
        <w:widowControl/>
        <w:numPr>
          <w:ilvl w:val="1"/>
          <w:numId w:val="3"/>
        </w:numPr>
        <w:spacing w:before="120" w:after="160"/>
        <w:contextualSpacing w:val="0"/>
        <w:rPr>
          <w:rFonts w:asciiTheme="minorHAnsi" w:eastAsiaTheme="minorHAnsi" w:hAnsiTheme="minorHAnsi" w:cstheme="minorBidi"/>
          <w:snapToGrid/>
          <w:vanish/>
          <w:sz w:val="24"/>
          <w:szCs w:val="24"/>
        </w:rPr>
      </w:pPr>
    </w:p>
    <w:p w:rsidR="00A77BD4" w:rsidRPr="003B355D" w:rsidRDefault="00A77BD4" w:rsidP="00A77BD4">
      <w:pPr>
        <w:pStyle w:val="ListParagraph"/>
        <w:widowControl/>
        <w:numPr>
          <w:ilvl w:val="1"/>
          <w:numId w:val="3"/>
        </w:numPr>
        <w:spacing w:before="120" w:after="160"/>
        <w:contextualSpacing w:val="0"/>
        <w:rPr>
          <w:rFonts w:asciiTheme="minorHAnsi" w:eastAsiaTheme="minorHAnsi" w:hAnsiTheme="minorHAnsi" w:cstheme="minorBidi"/>
          <w:snapToGrid/>
          <w:vanish/>
          <w:sz w:val="24"/>
          <w:szCs w:val="24"/>
        </w:rPr>
      </w:pPr>
    </w:p>
    <w:p w:rsidR="00A77BD4" w:rsidRPr="003B355D" w:rsidRDefault="00A77BD4" w:rsidP="00A77BD4">
      <w:pPr>
        <w:pStyle w:val="ListParagraph"/>
        <w:widowControl/>
        <w:numPr>
          <w:ilvl w:val="1"/>
          <w:numId w:val="3"/>
        </w:numPr>
        <w:spacing w:before="120" w:after="160"/>
        <w:contextualSpacing w:val="0"/>
        <w:rPr>
          <w:rFonts w:asciiTheme="minorHAnsi" w:eastAsiaTheme="minorHAnsi" w:hAnsiTheme="minorHAnsi" w:cstheme="minorBidi"/>
          <w:snapToGrid/>
          <w:vanish/>
          <w:sz w:val="24"/>
          <w:szCs w:val="24"/>
        </w:rPr>
      </w:pPr>
    </w:p>
    <w:p w:rsidR="00A77BD4" w:rsidRPr="003B355D" w:rsidRDefault="00A77BD4" w:rsidP="00A77BD4">
      <w:pPr>
        <w:pStyle w:val="ListParagraph"/>
        <w:widowControl/>
        <w:numPr>
          <w:ilvl w:val="1"/>
          <w:numId w:val="3"/>
        </w:numPr>
        <w:spacing w:before="120" w:after="160"/>
        <w:contextualSpacing w:val="0"/>
        <w:rPr>
          <w:rFonts w:asciiTheme="minorHAnsi" w:eastAsiaTheme="minorHAnsi" w:hAnsiTheme="minorHAnsi" w:cstheme="minorBidi"/>
          <w:snapToGrid/>
          <w:vanish/>
          <w:sz w:val="24"/>
          <w:szCs w:val="24"/>
        </w:rPr>
      </w:pPr>
    </w:p>
    <w:p w:rsidR="00A77BD4" w:rsidRPr="003B355D" w:rsidRDefault="00A77BD4" w:rsidP="00A77BD4">
      <w:pPr>
        <w:pStyle w:val="ListParagraph"/>
        <w:widowControl/>
        <w:numPr>
          <w:ilvl w:val="1"/>
          <w:numId w:val="3"/>
        </w:numPr>
        <w:spacing w:before="120" w:after="160"/>
        <w:contextualSpacing w:val="0"/>
        <w:rPr>
          <w:rFonts w:asciiTheme="minorHAnsi" w:eastAsiaTheme="minorHAnsi" w:hAnsiTheme="minorHAnsi" w:cstheme="minorBidi"/>
          <w:snapToGrid/>
          <w:vanish/>
          <w:sz w:val="24"/>
          <w:szCs w:val="24"/>
        </w:rPr>
      </w:pPr>
    </w:p>
    <w:p w:rsidR="00A77BD4" w:rsidRPr="003B355D" w:rsidRDefault="00A77BD4" w:rsidP="00A77BD4">
      <w:pPr>
        <w:pStyle w:val="ListParagraph"/>
        <w:widowControl/>
        <w:numPr>
          <w:ilvl w:val="1"/>
          <w:numId w:val="3"/>
        </w:numPr>
        <w:spacing w:before="120" w:after="160"/>
        <w:contextualSpacing w:val="0"/>
        <w:rPr>
          <w:rFonts w:asciiTheme="minorHAnsi" w:eastAsiaTheme="minorHAnsi" w:hAnsiTheme="minorHAnsi" w:cstheme="minorBidi"/>
          <w:snapToGrid/>
          <w:vanish/>
          <w:sz w:val="24"/>
          <w:szCs w:val="24"/>
        </w:rPr>
      </w:pPr>
    </w:p>
    <w:p w:rsidR="00A77BD4" w:rsidRPr="003B355D" w:rsidRDefault="00A77BD4" w:rsidP="00A77BD4">
      <w:pPr>
        <w:pStyle w:val="ListParagraph"/>
        <w:widowControl/>
        <w:numPr>
          <w:ilvl w:val="1"/>
          <w:numId w:val="3"/>
        </w:numPr>
        <w:spacing w:before="120" w:after="160"/>
        <w:contextualSpacing w:val="0"/>
        <w:rPr>
          <w:rFonts w:asciiTheme="minorHAnsi" w:eastAsiaTheme="minorHAnsi" w:hAnsiTheme="minorHAnsi" w:cstheme="minorBidi"/>
          <w:snapToGrid/>
          <w:vanish/>
          <w:sz w:val="24"/>
          <w:szCs w:val="24"/>
        </w:rPr>
      </w:pPr>
    </w:p>
    <w:p w:rsidR="00A77BD4" w:rsidRPr="003B355D" w:rsidRDefault="00A77BD4" w:rsidP="00A77BD4">
      <w:pPr>
        <w:pStyle w:val="ListParagraph"/>
        <w:widowControl/>
        <w:numPr>
          <w:ilvl w:val="1"/>
          <w:numId w:val="3"/>
        </w:numPr>
        <w:spacing w:before="120" w:after="160"/>
        <w:contextualSpacing w:val="0"/>
        <w:rPr>
          <w:rFonts w:asciiTheme="minorHAnsi" w:eastAsiaTheme="minorHAnsi" w:hAnsiTheme="minorHAnsi" w:cstheme="minorBidi"/>
          <w:snapToGrid/>
          <w:vanish/>
          <w:sz w:val="24"/>
          <w:szCs w:val="24"/>
        </w:rPr>
      </w:pPr>
    </w:p>
    <w:p w:rsidR="00A77BD4" w:rsidRPr="003B355D" w:rsidRDefault="00A77BD4" w:rsidP="00A77BD4">
      <w:pPr>
        <w:pStyle w:val="ListParagraph"/>
        <w:widowControl/>
        <w:numPr>
          <w:ilvl w:val="1"/>
          <w:numId w:val="3"/>
        </w:numPr>
        <w:spacing w:before="120" w:after="160"/>
        <w:contextualSpacing w:val="0"/>
        <w:rPr>
          <w:rFonts w:asciiTheme="minorHAnsi" w:eastAsiaTheme="minorHAnsi" w:hAnsiTheme="minorHAnsi" w:cstheme="minorBidi"/>
          <w:snapToGrid/>
          <w:vanish/>
          <w:sz w:val="24"/>
          <w:szCs w:val="24"/>
        </w:rPr>
      </w:pPr>
    </w:p>
    <w:p w:rsidR="00A77BD4" w:rsidRPr="003B355D" w:rsidRDefault="00A77BD4" w:rsidP="00A77BD4">
      <w:pPr>
        <w:pStyle w:val="ListParagraph"/>
        <w:widowControl/>
        <w:numPr>
          <w:ilvl w:val="1"/>
          <w:numId w:val="3"/>
        </w:numPr>
        <w:spacing w:before="120" w:after="160"/>
        <w:contextualSpacing w:val="0"/>
        <w:rPr>
          <w:rFonts w:asciiTheme="minorHAnsi" w:eastAsiaTheme="minorHAnsi" w:hAnsiTheme="minorHAnsi" w:cstheme="minorBidi"/>
          <w:snapToGrid/>
          <w:vanish/>
          <w:sz w:val="24"/>
          <w:szCs w:val="24"/>
        </w:rPr>
      </w:pPr>
    </w:p>
    <w:p w:rsidR="00A77BD4" w:rsidRPr="003B355D" w:rsidRDefault="00A77BD4" w:rsidP="00A77BD4">
      <w:pPr>
        <w:pStyle w:val="ListParagraph"/>
        <w:widowControl/>
        <w:numPr>
          <w:ilvl w:val="1"/>
          <w:numId w:val="3"/>
        </w:numPr>
        <w:spacing w:before="120" w:after="160"/>
        <w:contextualSpacing w:val="0"/>
        <w:rPr>
          <w:rFonts w:asciiTheme="minorHAnsi" w:eastAsiaTheme="minorHAnsi" w:hAnsiTheme="minorHAnsi" w:cstheme="minorBidi"/>
          <w:snapToGrid/>
          <w:vanish/>
          <w:sz w:val="24"/>
          <w:szCs w:val="24"/>
        </w:rPr>
      </w:pPr>
    </w:p>
    <w:p w:rsidR="00A77BD4" w:rsidRPr="003B355D" w:rsidRDefault="00A77BD4" w:rsidP="00A77BD4">
      <w:pPr>
        <w:pStyle w:val="ListParagraph"/>
        <w:widowControl/>
        <w:numPr>
          <w:ilvl w:val="1"/>
          <w:numId w:val="3"/>
        </w:numPr>
        <w:spacing w:before="120" w:after="160"/>
        <w:contextualSpacing w:val="0"/>
        <w:rPr>
          <w:rFonts w:asciiTheme="minorHAnsi" w:eastAsiaTheme="minorHAnsi" w:hAnsiTheme="minorHAnsi" w:cstheme="minorBidi"/>
          <w:snapToGrid/>
          <w:vanish/>
          <w:sz w:val="24"/>
          <w:szCs w:val="24"/>
        </w:rPr>
      </w:pPr>
    </w:p>
    <w:p w:rsidR="00A77BD4" w:rsidRPr="003B355D" w:rsidRDefault="00A77BD4" w:rsidP="00A77BD4">
      <w:pPr>
        <w:pStyle w:val="ListParagraph"/>
        <w:widowControl/>
        <w:numPr>
          <w:ilvl w:val="1"/>
          <w:numId w:val="3"/>
        </w:numPr>
        <w:spacing w:before="120" w:after="160"/>
        <w:contextualSpacing w:val="0"/>
        <w:rPr>
          <w:rFonts w:asciiTheme="minorHAnsi" w:eastAsiaTheme="minorHAnsi" w:hAnsiTheme="minorHAnsi" w:cstheme="minorBidi"/>
          <w:snapToGrid/>
          <w:vanish/>
          <w:sz w:val="24"/>
          <w:szCs w:val="24"/>
        </w:rPr>
      </w:pPr>
    </w:p>
    <w:p w:rsidR="00A77BD4" w:rsidRPr="003B355D" w:rsidRDefault="00A77BD4" w:rsidP="00A77BD4">
      <w:pPr>
        <w:pStyle w:val="ListParagraph"/>
        <w:widowControl/>
        <w:numPr>
          <w:ilvl w:val="1"/>
          <w:numId w:val="3"/>
        </w:numPr>
        <w:spacing w:before="120" w:after="160"/>
        <w:contextualSpacing w:val="0"/>
        <w:rPr>
          <w:rFonts w:asciiTheme="minorHAnsi" w:eastAsiaTheme="minorHAnsi" w:hAnsiTheme="minorHAnsi" w:cstheme="minorBidi"/>
          <w:snapToGrid/>
          <w:vanish/>
          <w:sz w:val="24"/>
          <w:szCs w:val="24"/>
        </w:rPr>
      </w:pPr>
    </w:p>
    <w:p w:rsidR="00A77BD4" w:rsidRPr="003B355D" w:rsidRDefault="00A77BD4" w:rsidP="00A77BD4">
      <w:pPr>
        <w:pStyle w:val="ListParagraph"/>
        <w:widowControl/>
        <w:numPr>
          <w:ilvl w:val="1"/>
          <w:numId w:val="3"/>
        </w:numPr>
        <w:spacing w:before="120" w:after="160"/>
        <w:contextualSpacing w:val="0"/>
        <w:rPr>
          <w:rFonts w:asciiTheme="minorHAnsi" w:eastAsiaTheme="minorHAnsi" w:hAnsiTheme="minorHAnsi" w:cstheme="minorBidi"/>
          <w:snapToGrid/>
          <w:vanish/>
          <w:sz w:val="24"/>
          <w:szCs w:val="24"/>
        </w:rPr>
      </w:pPr>
    </w:p>
    <w:p w:rsidR="00A77BD4" w:rsidRPr="003B355D" w:rsidRDefault="00A77BD4" w:rsidP="00A77BD4">
      <w:pPr>
        <w:pStyle w:val="ListParagraph"/>
        <w:widowControl/>
        <w:numPr>
          <w:ilvl w:val="1"/>
          <w:numId w:val="3"/>
        </w:numPr>
        <w:spacing w:before="120" w:after="160"/>
        <w:contextualSpacing w:val="0"/>
        <w:rPr>
          <w:rFonts w:asciiTheme="minorHAnsi" w:eastAsiaTheme="minorHAnsi" w:hAnsiTheme="minorHAnsi" w:cstheme="minorBidi"/>
          <w:snapToGrid/>
          <w:vanish/>
          <w:sz w:val="24"/>
          <w:szCs w:val="24"/>
        </w:rPr>
      </w:pPr>
    </w:p>
    <w:p w:rsidR="00D85BF8" w:rsidRPr="003B355D" w:rsidRDefault="00D85BF8" w:rsidP="00A77BD4">
      <w:pPr>
        <w:pStyle w:val="ESnumberedparablue"/>
        <w:numPr>
          <w:ilvl w:val="1"/>
          <w:numId w:val="3"/>
        </w:numPr>
        <w:rPr>
          <w:rFonts w:asciiTheme="minorHAnsi" w:hAnsiTheme="minorHAnsi"/>
          <w:color w:val="auto"/>
          <w:sz w:val="24"/>
          <w:szCs w:val="24"/>
        </w:rPr>
      </w:pPr>
      <w:r w:rsidRPr="003B355D">
        <w:rPr>
          <w:rFonts w:asciiTheme="minorHAnsi" w:hAnsiTheme="minorHAnsi"/>
          <w:color w:val="auto"/>
          <w:sz w:val="24"/>
          <w:szCs w:val="24"/>
        </w:rPr>
        <w:t xml:space="preserve">This submission </w:t>
      </w:r>
      <w:r w:rsidR="00683372" w:rsidRPr="003B355D">
        <w:rPr>
          <w:rFonts w:asciiTheme="minorHAnsi" w:hAnsiTheme="minorHAnsi"/>
          <w:color w:val="auto"/>
          <w:sz w:val="24"/>
          <w:szCs w:val="24"/>
        </w:rPr>
        <w:t>was</w:t>
      </w:r>
      <w:r w:rsidRPr="003B355D">
        <w:rPr>
          <w:rFonts w:asciiTheme="minorHAnsi" w:hAnsiTheme="minorHAnsi"/>
          <w:color w:val="auto"/>
          <w:sz w:val="24"/>
          <w:szCs w:val="24"/>
        </w:rPr>
        <w:t xml:space="preserve"> considered by DUSC. The submission presented a mixed market share/epidemiological approach to estimate the extent of use and financial implication of listing liraglutide for the requested restriction. Exenatide once weekly </w:t>
      </w:r>
      <w:r w:rsidR="008F4525">
        <w:rPr>
          <w:rFonts w:asciiTheme="minorHAnsi" w:hAnsiTheme="minorHAnsi"/>
          <w:color w:val="auto"/>
          <w:sz w:val="24"/>
          <w:szCs w:val="24"/>
        </w:rPr>
        <w:t xml:space="preserve">has </w:t>
      </w:r>
      <w:r w:rsidRPr="003B355D">
        <w:rPr>
          <w:rFonts w:asciiTheme="minorHAnsi" w:hAnsiTheme="minorHAnsi"/>
          <w:color w:val="auto"/>
          <w:sz w:val="24"/>
          <w:szCs w:val="24"/>
        </w:rPr>
        <w:t xml:space="preserve">a </w:t>
      </w:r>
      <w:r w:rsidR="008F4525">
        <w:rPr>
          <w:rFonts w:asciiTheme="minorHAnsi" w:hAnsiTheme="minorHAnsi"/>
          <w:color w:val="auto"/>
          <w:sz w:val="24"/>
          <w:szCs w:val="24"/>
        </w:rPr>
        <w:t>S</w:t>
      </w:r>
      <w:r w:rsidR="008F4525" w:rsidRPr="003B355D">
        <w:rPr>
          <w:rFonts w:asciiTheme="minorHAnsi" w:hAnsiTheme="minorHAnsi"/>
          <w:color w:val="auto"/>
          <w:sz w:val="24"/>
          <w:szCs w:val="24"/>
        </w:rPr>
        <w:t xml:space="preserve">pecial </w:t>
      </w:r>
      <w:r w:rsidR="008F4525">
        <w:rPr>
          <w:rFonts w:asciiTheme="minorHAnsi" w:hAnsiTheme="minorHAnsi"/>
          <w:color w:val="auto"/>
          <w:sz w:val="24"/>
          <w:szCs w:val="24"/>
        </w:rPr>
        <w:t>P</w:t>
      </w:r>
      <w:r w:rsidR="008F4525" w:rsidRPr="003B355D">
        <w:rPr>
          <w:rFonts w:asciiTheme="minorHAnsi" w:hAnsiTheme="minorHAnsi"/>
          <w:color w:val="auto"/>
          <w:sz w:val="24"/>
          <w:szCs w:val="24"/>
        </w:rPr>
        <w:t xml:space="preserve">ricing </w:t>
      </w:r>
      <w:r w:rsidR="008F4525">
        <w:rPr>
          <w:rFonts w:asciiTheme="minorHAnsi" w:hAnsiTheme="minorHAnsi"/>
          <w:color w:val="auto"/>
          <w:sz w:val="24"/>
          <w:szCs w:val="24"/>
        </w:rPr>
        <w:t>A</w:t>
      </w:r>
      <w:r w:rsidR="008F4525" w:rsidRPr="003B355D">
        <w:rPr>
          <w:rFonts w:asciiTheme="minorHAnsi" w:hAnsiTheme="minorHAnsi"/>
          <w:color w:val="auto"/>
          <w:sz w:val="24"/>
          <w:szCs w:val="24"/>
        </w:rPr>
        <w:t>rrangement</w:t>
      </w:r>
      <w:r w:rsidRPr="003B355D">
        <w:rPr>
          <w:rFonts w:asciiTheme="minorHAnsi" w:hAnsiTheme="minorHAnsi"/>
          <w:color w:val="auto"/>
          <w:sz w:val="24"/>
          <w:szCs w:val="24"/>
        </w:rPr>
        <w:t>.</w:t>
      </w:r>
    </w:p>
    <w:p w:rsidR="00D85BF8" w:rsidRPr="003B355D" w:rsidRDefault="00D85BF8" w:rsidP="00D85BF8">
      <w:pPr>
        <w:pStyle w:val="ESnumberedparablue"/>
        <w:numPr>
          <w:ilvl w:val="1"/>
          <w:numId w:val="3"/>
        </w:numPr>
        <w:rPr>
          <w:rFonts w:asciiTheme="minorHAnsi" w:hAnsiTheme="minorHAnsi"/>
          <w:color w:val="auto"/>
          <w:sz w:val="24"/>
          <w:szCs w:val="24"/>
        </w:rPr>
      </w:pPr>
      <w:r w:rsidRPr="003B355D">
        <w:rPr>
          <w:rFonts w:asciiTheme="minorHAnsi" w:hAnsiTheme="minorHAnsi"/>
          <w:color w:val="auto"/>
          <w:sz w:val="24"/>
          <w:szCs w:val="24"/>
        </w:rPr>
        <w:t>The submission used a complex multi-step approach to estimate the total number of patients in each market using a statistical software package (</w:t>
      </w:r>
      <w:proofErr w:type="spellStart"/>
      <w:r w:rsidRPr="003B355D">
        <w:rPr>
          <w:rFonts w:asciiTheme="minorHAnsi" w:hAnsiTheme="minorHAnsi"/>
          <w:color w:val="auto"/>
          <w:sz w:val="24"/>
          <w:szCs w:val="24"/>
        </w:rPr>
        <w:t>ForecastPro</w:t>
      </w:r>
      <w:proofErr w:type="spellEnd"/>
      <w:r w:rsidRPr="003B355D">
        <w:rPr>
          <w:rFonts w:asciiTheme="minorHAnsi" w:hAnsiTheme="minorHAnsi"/>
          <w:color w:val="auto"/>
          <w:sz w:val="24"/>
          <w:szCs w:val="24"/>
        </w:rPr>
        <w:t xml:space="preserve">) and multiple sources of pack sales for liraglutide on the private market, and patient numbers from the PBS data. </w:t>
      </w:r>
    </w:p>
    <w:p w:rsidR="00D85BF8" w:rsidRPr="003B355D" w:rsidRDefault="00D85BF8" w:rsidP="00D85BF8">
      <w:pPr>
        <w:pStyle w:val="ESnumberedparablue"/>
        <w:numPr>
          <w:ilvl w:val="1"/>
          <w:numId w:val="3"/>
        </w:numPr>
        <w:rPr>
          <w:rFonts w:asciiTheme="minorHAnsi" w:hAnsiTheme="minorHAnsi"/>
          <w:color w:val="auto"/>
          <w:sz w:val="24"/>
          <w:szCs w:val="24"/>
        </w:rPr>
      </w:pPr>
      <w:r w:rsidRPr="003B355D">
        <w:rPr>
          <w:rFonts w:asciiTheme="minorHAnsi" w:hAnsiTheme="minorHAnsi"/>
          <w:color w:val="auto"/>
          <w:sz w:val="24"/>
          <w:szCs w:val="24"/>
        </w:rPr>
        <w:t>The submission did not adequately justify the use of the complex, multi-step methods with multiple assumptions that required different datasets to estimate patient numbers in each market, given the sponsor had access to patient numbers from available datasets (e.g. Model Solutions PBS data).</w:t>
      </w:r>
      <w:r w:rsidR="00AF7818" w:rsidRPr="003B355D">
        <w:rPr>
          <w:rFonts w:asciiTheme="minorHAnsi" w:hAnsiTheme="minorHAnsi"/>
          <w:color w:val="auto"/>
          <w:sz w:val="24"/>
          <w:szCs w:val="24"/>
        </w:rPr>
        <w:t xml:space="preserve"> DUSC agreed with the commentary that the data sources and approach to financial estimates were unconventional. DUSC considered that the approach was not adequately justified and could have been strengthened by triangulating the estimates with the February 2017 DUSC diabetes analysis, which was provided to the sponsor prior to this submission.</w:t>
      </w:r>
    </w:p>
    <w:p w:rsidR="00D453F1" w:rsidRDefault="00D453F1" w:rsidP="00D453F1">
      <w:pPr>
        <w:pStyle w:val="Caption"/>
      </w:pPr>
      <w:r>
        <w:lastRenderedPageBreak/>
        <w:t xml:space="preserve">Table </w:t>
      </w:r>
      <w:r>
        <w:rPr>
          <w:noProof/>
        </w:rPr>
        <w:t>14</w:t>
      </w:r>
      <w:r w:rsidRPr="00400CA1">
        <w:t>: Estimated use and financial implications of listing liraglutide for the requested restriction</w:t>
      </w:r>
    </w:p>
    <w:tbl>
      <w:tblPr>
        <w:tblW w:w="901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86"/>
        <w:gridCol w:w="1184"/>
        <w:gridCol w:w="1185"/>
        <w:gridCol w:w="1185"/>
        <w:gridCol w:w="1185"/>
        <w:gridCol w:w="1185"/>
      </w:tblGrid>
      <w:tr w:rsidR="00D85BF8" w:rsidRPr="003B355D" w:rsidTr="00AE4D9B">
        <w:trPr>
          <w:trHeight w:val="58"/>
          <w:tblHeader/>
        </w:trPr>
        <w:tc>
          <w:tcPr>
            <w:tcW w:w="3086" w:type="dxa"/>
            <w:shd w:val="clear" w:color="auto" w:fill="FFFFFF" w:themeFill="background1"/>
            <w:noWrap/>
            <w:vAlign w:val="center"/>
            <w:hideMark/>
          </w:tcPr>
          <w:p w:rsidR="00D85BF8" w:rsidRPr="003B355D" w:rsidRDefault="00D85BF8" w:rsidP="00AE4D9B">
            <w:pPr>
              <w:pStyle w:val="TableText1"/>
              <w:jc w:val="left"/>
              <w:rPr>
                <w:b/>
              </w:rPr>
            </w:pPr>
          </w:p>
        </w:tc>
        <w:tc>
          <w:tcPr>
            <w:tcW w:w="1184" w:type="dxa"/>
            <w:shd w:val="clear" w:color="auto" w:fill="FFFFFF" w:themeFill="background1"/>
            <w:noWrap/>
            <w:vAlign w:val="center"/>
            <w:hideMark/>
          </w:tcPr>
          <w:p w:rsidR="00D85BF8" w:rsidRPr="003B355D" w:rsidRDefault="00D85BF8" w:rsidP="00AE4D9B">
            <w:pPr>
              <w:pStyle w:val="TableText1"/>
              <w:jc w:val="center"/>
              <w:rPr>
                <w:b/>
              </w:rPr>
            </w:pPr>
            <w:r w:rsidRPr="003B355D">
              <w:rPr>
                <w:b/>
              </w:rPr>
              <w:t>Year 1</w:t>
            </w:r>
          </w:p>
        </w:tc>
        <w:tc>
          <w:tcPr>
            <w:tcW w:w="1185" w:type="dxa"/>
            <w:shd w:val="clear" w:color="auto" w:fill="FFFFFF" w:themeFill="background1"/>
            <w:noWrap/>
            <w:vAlign w:val="center"/>
            <w:hideMark/>
          </w:tcPr>
          <w:p w:rsidR="00D85BF8" w:rsidRPr="003B355D" w:rsidRDefault="00D85BF8" w:rsidP="00AE4D9B">
            <w:pPr>
              <w:pStyle w:val="TableText1"/>
              <w:jc w:val="center"/>
              <w:rPr>
                <w:b/>
              </w:rPr>
            </w:pPr>
            <w:r w:rsidRPr="003B355D">
              <w:rPr>
                <w:b/>
              </w:rPr>
              <w:t>Year 2</w:t>
            </w:r>
          </w:p>
        </w:tc>
        <w:tc>
          <w:tcPr>
            <w:tcW w:w="1185" w:type="dxa"/>
            <w:shd w:val="clear" w:color="auto" w:fill="FFFFFF" w:themeFill="background1"/>
            <w:noWrap/>
            <w:vAlign w:val="center"/>
            <w:hideMark/>
          </w:tcPr>
          <w:p w:rsidR="00D85BF8" w:rsidRPr="003B355D" w:rsidRDefault="00D85BF8" w:rsidP="00AE4D9B">
            <w:pPr>
              <w:pStyle w:val="TableText1"/>
              <w:jc w:val="center"/>
              <w:rPr>
                <w:b/>
              </w:rPr>
            </w:pPr>
            <w:r w:rsidRPr="003B355D">
              <w:rPr>
                <w:b/>
              </w:rPr>
              <w:t>Year 3</w:t>
            </w:r>
          </w:p>
        </w:tc>
        <w:tc>
          <w:tcPr>
            <w:tcW w:w="1185" w:type="dxa"/>
            <w:shd w:val="clear" w:color="auto" w:fill="FFFFFF" w:themeFill="background1"/>
            <w:noWrap/>
            <w:vAlign w:val="center"/>
            <w:hideMark/>
          </w:tcPr>
          <w:p w:rsidR="00D85BF8" w:rsidRPr="003B355D" w:rsidRDefault="00D85BF8" w:rsidP="00AE4D9B">
            <w:pPr>
              <w:pStyle w:val="TableText1"/>
              <w:jc w:val="center"/>
              <w:rPr>
                <w:b/>
              </w:rPr>
            </w:pPr>
            <w:r w:rsidRPr="003B355D">
              <w:rPr>
                <w:b/>
              </w:rPr>
              <w:t>Year 4</w:t>
            </w:r>
          </w:p>
        </w:tc>
        <w:tc>
          <w:tcPr>
            <w:tcW w:w="1185" w:type="dxa"/>
            <w:shd w:val="clear" w:color="auto" w:fill="FFFFFF" w:themeFill="background1"/>
            <w:noWrap/>
            <w:vAlign w:val="center"/>
            <w:hideMark/>
          </w:tcPr>
          <w:p w:rsidR="00D85BF8" w:rsidRPr="003B355D" w:rsidRDefault="00D85BF8" w:rsidP="00AE4D9B">
            <w:pPr>
              <w:pStyle w:val="TableText1"/>
              <w:jc w:val="center"/>
              <w:rPr>
                <w:b/>
              </w:rPr>
            </w:pPr>
            <w:r w:rsidRPr="003B355D">
              <w:rPr>
                <w:b/>
              </w:rPr>
              <w:t>Year 5</w:t>
            </w:r>
          </w:p>
        </w:tc>
      </w:tr>
      <w:tr w:rsidR="00D85BF8" w:rsidRPr="003B355D" w:rsidTr="00AE4D9B">
        <w:trPr>
          <w:trHeight w:val="58"/>
        </w:trPr>
        <w:tc>
          <w:tcPr>
            <w:tcW w:w="9010" w:type="dxa"/>
            <w:gridSpan w:val="6"/>
            <w:shd w:val="clear" w:color="auto" w:fill="auto"/>
            <w:noWrap/>
            <w:vAlign w:val="center"/>
          </w:tcPr>
          <w:p w:rsidR="00D85BF8" w:rsidRPr="003B355D" w:rsidRDefault="00D85BF8" w:rsidP="00AE4D9B">
            <w:pPr>
              <w:pStyle w:val="TableText1"/>
              <w:jc w:val="left"/>
              <w:rPr>
                <w:b/>
              </w:rPr>
            </w:pPr>
            <w:r w:rsidRPr="003B355D">
              <w:rPr>
                <w:b/>
              </w:rPr>
              <w:t>Estimated liraglutide patients</w:t>
            </w:r>
          </w:p>
        </w:tc>
      </w:tr>
      <w:tr w:rsidR="00D85BF8" w:rsidRPr="003B355D" w:rsidTr="00AE4D9B">
        <w:trPr>
          <w:trHeight w:val="58"/>
        </w:trPr>
        <w:tc>
          <w:tcPr>
            <w:tcW w:w="3086" w:type="dxa"/>
            <w:shd w:val="clear" w:color="auto" w:fill="auto"/>
            <w:noWrap/>
            <w:vAlign w:val="center"/>
          </w:tcPr>
          <w:p w:rsidR="00D85BF8" w:rsidRPr="003B355D" w:rsidRDefault="00D85BF8" w:rsidP="00AE4D9B">
            <w:pPr>
              <w:pStyle w:val="TableText1"/>
              <w:jc w:val="left"/>
            </w:pPr>
            <w:r w:rsidRPr="003B355D">
              <w:t>Total patients</w:t>
            </w:r>
          </w:p>
        </w:tc>
        <w:tc>
          <w:tcPr>
            <w:tcW w:w="1184" w:type="dxa"/>
            <w:shd w:val="clear" w:color="auto" w:fill="auto"/>
            <w:noWrap/>
            <w:vAlign w:val="center"/>
          </w:tcPr>
          <w:p w:rsidR="00D85BF8" w:rsidRPr="002578F9" w:rsidRDefault="002578F9" w:rsidP="00AE4D9B">
            <w:pPr>
              <w:pStyle w:val="TableText1"/>
              <w:jc w:val="center"/>
              <w:rPr>
                <w:highlight w:val="black"/>
              </w:rPr>
            </w:pPr>
            <w:r>
              <w:rPr>
                <w:noProof/>
                <w:color w:val="000000"/>
                <w:highlight w:val="black"/>
              </w:rPr>
              <w:t>'''''''''''''''''</w:t>
            </w:r>
          </w:p>
        </w:tc>
        <w:tc>
          <w:tcPr>
            <w:tcW w:w="1185" w:type="dxa"/>
            <w:shd w:val="clear" w:color="auto" w:fill="auto"/>
            <w:noWrap/>
            <w:vAlign w:val="center"/>
          </w:tcPr>
          <w:p w:rsidR="00D85BF8" w:rsidRPr="002578F9" w:rsidRDefault="002578F9" w:rsidP="00AE4D9B">
            <w:pPr>
              <w:pStyle w:val="TableText1"/>
              <w:jc w:val="center"/>
              <w:rPr>
                <w:highlight w:val="black"/>
              </w:rPr>
            </w:pPr>
            <w:r>
              <w:rPr>
                <w:noProof/>
                <w:color w:val="000000"/>
                <w:highlight w:val="black"/>
              </w:rPr>
              <w:t>''''''''''''''''''</w:t>
            </w:r>
          </w:p>
        </w:tc>
        <w:tc>
          <w:tcPr>
            <w:tcW w:w="1185" w:type="dxa"/>
            <w:shd w:val="clear" w:color="auto" w:fill="auto"/>
            <w:noWrap/>
            <w:vAlign w:val="center"/>
          </w:tcPr>
          <w:p w:rsidR="00D85BF8" w:rsidRPr="002578F9" w:rsidRDefault="002578F9" w:rsidP="00AE4D9B">
            <w:pPr>
              <w:pStyle w:val="TableText1"/>
              <w:jc w:val="center"/>
              <w:rPr>
                <w:highlight w:val="black"/>
              </w:rPr>
            </w:pPr>
            <w:r>
              <w:rPr>
                <w:noProof/>
                <w:color w:val="000000"/>
                <w:highlight w:val="black"/>
              </w:rPr>
              <w:t>''''''''''''''''</w:t>
            </w:r>
          </w:p>
        </w:tc>
        <w:tc>
          <w:tcPr>
            <w:tcW w:w="1185" w:type="dxa"/>
            <w:shd w:val="clear" w:color="auto" w:fill="auto"/>
            <w:noWrap/>
            <w:vAlign w:val="center"/>
          </w:tcPr>
          <w:p w:rsidR="00D85BF8" w:rsidRPr="002578F9" w:rsidRDefault="002578F9" w:rsidP="00AE4D9B">
            <w:pPr>
              <w:pStyle w:val="TableText1"/>
              <w:jc w:val="center"/>
              <w:rPr>
                <w:highlight w:val="black"/>
              </w:rPr>
            </w:pPr>
            <w:r>
              <w:rPr>
                <w:noProof/>
                <w:color w:val="000000"/>
                <w:highlight w:val="black"/>
              </w:rPr>
              <w:t>'''''''''''''''</w:t>
            </w:r>
          </w:p>
        </w:tc>
        <w:tc>
          <w:tcPr>
            <w:tcW w:w="1185" w:type="dxa"/>
            <w:shd w:val="clear" w:color="auto" w:fill="auto"/>
            <w:noWrap/>
            <w:vAlign w:val="center"/>
          </w:tcPr>
          <w:p w:rsidR="00D85BF8" w:rsidRPr="002578F9" w:rsidRDefault="002578F9" w:rsidP="00AE4D9B">
            <w:pPr>
              <w:pStyle w:val="TableText1"/>
              <w:jc w:val="center"/>
              <w:rPr>
                <w:highlight w:val="black"/>
              </w:rPr>
            </w:pPr>
            <w:r>
              <w:rPr>
                <w:noProof/>
                <w:color w:val="000000"/>
                <w:highlight w:val="black"/>
              </w:rPr>
              <w:t>''''''''''''''''</w:t>
            </w:r>
          </w:p>
        </w:tc>
      </w:tr>
      <w:tr w:rsidR="00D85BF8" w:rsidRPr="003B355D" w:rsidTr="00AE4D9B">
        <w:trPr>
          <w:trHeight w:val="58"/>
        </w:trPr>
        <w:tc>
          <w:tcPr>
            <w:tcW w:w="9010" w:type="dxa"/>
            <w:gridSpan w:val="6"/>
            <w:shd w:val="clear" w:color="auto" w:fill="auto"/>
            <w:noWrap/>
            <w:vAlign w:val="center"/>
          </w:tcPr>
          <w:p w:rsidR="00D85BF8" w:rsidRPr="003B355D" w:rsidRDefault="00D85BF8" w:rsidP="00AE4D9B">
            <w:pPr>
              <w:pStyle w:val="TableText1"/>
              <w:jc w:val="left"/>
              <w:rPr>
                <w:b/>
              </w:rPr>
            </w:pPr>
            <w:r w:rsidRPr="003B355D">
              <w:rPr>
                <w:b/>
              </w:rPr>
              <w:t>Estimated PBS-listed liraglutide scripts</w:t>
            </w:r>
          </w:p>
        </w:tc>
      </w:tr>
      <w:tr w:rsidR="00D85BF8" w:rsidRPr="003B355D" w:rsidTr="00AE4D9B">
        <w:trPr>
          <w:trHeight w:val="58"/>
        </w:trPr>
        <w:tc>
          <w:tcPr>
            <w:tcW w:w="3086" w:type="dxa"/>
            <w:shd w:val="clear" w:color="auto" w:fill="auto"/>
            <w:noWrap/>
            <w:vAlign w:val="center"/>
          </w:tcPr>
          <w:p w:rsidR="00D85BF8" w:rsidRPr="003B355D" w:rsidRDefault="00D85BF8" w:rsidP="00AE4D9B">
            <w:pPr>
              <w:pStyle w:val="TableText1"/>
              <w:jc w:val="left"/>
            </w:pPr>
            <w:r w:rsidRPr="003B355D">
              <w:t>Total scripts (82% adherence; 12.17 per year)</w:t>
            </w:r>
            <w:r w:rsidRPr="003B355D">
              <w:rPr>
                <w:vertAlign w:val="superscript"/>
              </w:rPr>
              <w:t>a</w:t>
            </w:r>
          </w:p>
        </w:tc>
        <w:tc>
          <w:tcPr>
            <w:tcW w:w="1184" w:type="dxa"/>
            <w:shd w:val="clear" w:color="auto" w:fill="auto"/>
            <w:noWrap/>
            <w:vAlign w:val="center"/>
          </w:tcPr>
          <w:p w:rsidR="00D85BF8" w:rsidRPr="002578F9" w:rsidRDefault="002578F9" w:rsidP="00AE4D9B">
            <w:pPr>
              <w:pStyle w:val="TableText1"/>
              <w:jc w:val="center"/>
              <w:rPr>
                <w:highlight w:val="black"/>
              </w:rPr>
            </w:pPr>
            <w:r>
              <w:rPr>
                <w:noProof/>
                <w:color w:val="000000"/>
                <w:highlight w:val="black"/>
              </w:rPr>
              <w:t>'''''''''''''''</w:t>
            </w:r>
          </w:p>
        </w:tc>
        <w:tc>
          <w:tcPr>
            <w:tcW w:w="1185" w:type="dxa"/>
            <w:shd w:val="clear" w:color="auto" w:fill="auto"/>
            <w:noWrap/>
            <w:vAlign w:val="center"/>
          </w:tcPr>
          <w:p w:rsidR="00D85BF8" w:rsidRPr="002578F9" w:rsidRDefault="002578F9" w:rsidP="00AE4D9B">
            <w:pPr>
              <w:pStyle w:val="TableText1"/>
              <w:jc w:val="center"/>
              <w:rPr>
                <w:highlight w:val="black"/>
              </w:rPr>
            </w:pPr>
            <w:r>
              <w:rPr>
                <w:noProof/>
                <w:color w:val="000000"/>
                <w:highlight w:val="black"/>
              </w:rPr>
              <w:t>''''''''''''''''''''</w:t>
            </w:r>
          </w:p>
        </w:tc>
        <w:tc>
          <w:tcPr>
            <w:tcW w:w="1185" w:type="dxa"/>
            <w:shd w:val="clear" w:color="auto" w:fill="auto"/>
            <w:noWrap/>
            <w:vAlign w:val="center"/>
          </w:tcPr>
          <w:p w:rsidR="00D85BF8" w:rsidRPr="002578F9" w:rsidRDefault="002578F9" w:rsidP="00AE4D9B">
            <w:pPr>
              <w:pStyle w:val="TableText1"/>
              <w:jc w:val="center"/>
              <w:rPr>
                <w:highlight w:val="black"/>
              </w:rPr>
            </w:pPr>
            <w:r>
              <w:rPr>
                <w:noProof/>
                <w:color w:val="000000"/>
                <w:highlight w:val="black"/>
              </w:rPr>
              <w:t>'''''''''''''''''''</w:t>
            </w:r>
          </w:p>
        </w:tc>
        <w:tc>
          <w:tcPr>
            <w:tcW w:w="1185" w:type="dxa"/>
            <w:shd w:val="clear" w:color="auto" w:fill="auto"/>
            <w:noWrap/>
            <w:vAlign w:val="center"/>
          </w:tcPr>
          <w:p w:rsidR="00D85BF8" w:rsidRPr="002578F9" w:rsidRDefault="002578F9" w:rsidP="00AE4D9B">
            <w:pPr>
              <w:pStyle w:val="TableText1"/>
              <w:jc w:val="center"/>
              <w:rPr>
                <w:highlight w:val="black"/>
              </w:rPr>
            </w:pPr>
            <w:r>
              <w:rPr>
                <w:noProof/>
                <w:color w:val="000000"/>
                <w:highlight w:val="black"/>
              </w:rPr>
              <w:t>''''''''''''''''''''</w:t>
            </w:r>
          </w:p>
        </w:tc>
        <w:tc>
          <w:tcPr>
            <w:tcW w:w="1185" w:type="dxa"/>
            <w:shd w:val="clear" w:color="auto" w:fill="auto"/>
            <w:noWrap/>
            <w:vAlign w:val="center"/>
          </w:tcPr>
          <w:p w:rsidR="00D85BF8" w:rsidRPr="002578F9" w:rsidRDefault="002578F9" w:rsidP="00AE4D9B">
            <w:pPr>
              <w:pStyle w:val="TableText1"/>
              <w:jc w:val="center"/>
              <w:rPr>
                <w:highlight w:val="black"/>
              </w:rPr>
            </w:pPr>
            <w:r>
              <w:rPr>
                <w:noProof/>
                <w:color w:val="000000"/>
                <w:highlight w:val="black"/>
              </w:rPr>
              <w:t>''''''''''''''''''</w:t>
            </w:r>
          </w:p>
        </w:tc>
      </w:tr>
      <w:tr w:rsidR="00D85BF8" w:rsidRPr="003B355D" w:rsidTr="00AE4D9B">
        <w:trPr>
          <w:trHeight w:val="58"/>
        </w:trPr>
        <w:tc>
          <w:tcPr>
            <w:tcW w:w="3086" w:type="dxa"/>
            <w:shd w:val="clear" w:color="auto" w:fill="auto"/>
            <w:noWrap/>
            <w:vAlign w:val="center"/>
          </w:tcPr>
          <w:p w:rsidR="00D85BF8" w:rsidRPr="003B355D" w:rsidRDefault="00D85BF8" w:rsidP="00AE4D9B">
            <w:pPr>
              <w:pStyle w:val="TableText1"/>
              <w:jc w:val="left"/>
            </w:pPr>
            <w:r w:rsidRPr="003B355D">
              <w:t>- 3 pen pack (42%)</w:t>
            </w:r>
          </w:p>
        </w:tc>
        <w:tc>
          <w:tcPr>
            <w:tcW w:w="1184" w:type="dxa"/>
            <w:shd w:val="clear" w:color="auto" w:fill="auto"/>
            <w:noWrap/>
            <w:vAlign w:val="center"/>
          </w:tcPr>
          <w:p w:rsidR="00D85BF8" w:rsidRPr="002578F9" w:rsidRDefault="002578F9" w:rsidP="00AE4D9B">
            <w:pPr>
              <w:pStyle w:val="TableText1"/>
              <w:jc w:val="center"/>
              <w:rPr>
                <w:highlight w:val="black"/>
              </w:rPr>
            </w:pPr>
            <w:r>
              <w:rPr>
                <w:noProof/>
                <w:color w:val="000000"/>
                <w:highlight w:val="black"/>
              </w:rPr>
              <w:t>'''''''''''''''</w:t>
            </w:r>
          </w:p>
        </w:tc>
        <w:tc>
          <w:tcPr>
            <w:tcW w:w="1185" w:type="dxa"/>
            <w:shd w:val="clear" w:color="auto" w:fill="auto"/>
            <w:noWrap/>
            <w:vAlign w:val="center"/>
          </w:tcPr>
          <w:p w:rsidR="00D85BF8" w:rsidRPr="002578F9" w:rsidRDefault="002578F9" w:rsidP="00AE4D9B">
            <w:pPr>
              <w:pStyle w:val="TableText1"/>
              <w:jc w:val="center"/>
              <w:rPr>
                <w:highlight w:val="black"/>
              </w:rPr>
            </w:pPr>
            <w:r>
              <w:rPr>
                <w:noProof/>
                <w:color w:val="000000"/>
                <w:highlight w:val="black"/>
              </w:rPr>
              <w:t>''''''''''''''''''''</w:t>
            </w:r>
          </w:p>
        </w:tc>
        <w:tc>
          <w:tcPr>
            <w:tcW w:w="1185" w:type="dxa"/>
            <w:shd w:val="clear" w:color="auto" w:fill="auto"/>
            <w:noWrap/>
            <w:vAlign w:val="center"/>
          </w:tcPr>
          <w:p w:rsidR="00D85BF8" w:rsidRPr="002578F9" w:rsidRDefault="002578F9" w:rsidP="00AE4D9B">
            <w:pPr>
              <w:pStyle w:val="TableText1"/>
              <w:jc w:val="center"/>
              <w:rPr>
                <w:highlight w:val="black"/>
              </w:rPr>
            </w:pPr>
            <w:r>
              <w:rPr>
                <w:noProof/>
                <w:color w:val="000000"/>
                <w:highlight w:val="black"/>
              </w:rPr>
              <w:t>'''''''''''''''''''''</w:t>
            </w:r>
          </w:p>
        </w:tc>
        <w:tc>
          <w:tcPr>
            <w:tcW w:w="1185" w:type="dxa"/>
            <w:shd w:val="clear" w:color="auto" w:fill="auto"/>
            <w:noWrap/>
            <w:vAlign w:val="center"/>
          </w:tcPr>
          <w:p w:rsidR="00D85BF8" w:rsidRPr="002578F9" w:rsidRDefault="002578F9" w:rsidP="00AE4D9B">
            <w:pPr>
              <w:pStyle w:val="TableText1"/>
              <w:jc w:val="center"/>
              <w:rPr>
                <w:highlight w:val="black"/>
              </w:rPr>
            </w:pPr>
            <w:r>
              <w:rPr>
                <w:noProof/>
                <w:color w:val="000000"/>
                <w:highlight w:val="black"/>
              </w:rPr>
              <w:t>'''''''''''''''''''</w:t>
            </w:r>
          </w:p>
        </w:tc>
        <w:tc>
          <w:tcPr>
            <w:tcW w:w="1185" w:type="dxa"/>
            <w:shd w:val="clear" w:color="auto" w:fill="auto"/>
            <w:noWrap/>
            <w:vAlign w:val="center"/>
          </w:tcPr>
          <w:p w:rsidR="00D85BF8" w:rsidRPr="002578F9" w:rsidRDefault="002578F9" w:rsidP="00AE4D9B">
            <w:pPr>
              <w:pStyle w:val="TableText1"/>
              <w:jc w:val="center"/>
              <w:rPr>
                <w:highlight w:val="black"/>
              </w:rPr>
            </w:pPr>
            <w:r>
              <w:rPr>
                <w:noProof/>
                <w:color w:val="000000"/>
                <w:highlight w:val="black"/>
              </w:rPr>
              <w:t>''''''''''''''''''''</w:t>
            </w:r>
          </w:p>
        </w:tc>
      </w:tr>
      <w:tr w:rsidR="00D85BF8" w:rsidRPr="003B355D" w:rsidTr="00AE4D9B">
        <w:trPr>
          <w:trHeight w:val="58"/>
        </w:trPr>
        <w:tc>
          <w:tcPr>
            <w:tcW w:w="3086" w:type="dxa"/>
            <w:shd w:val="clear" w:color="auto" w:fill="auto"/>
            <w:noWrap/>
            <w:vAlign w:val="center"/>
          </w:tcPr>
          <w:p w:rsidR="00D85BF8" w:rsidRPr="003B355D" w:rsidRDefault="00D85BF8" w:rsidP="00AE4D9B">
            <w:pPr>
              <w:pStyle w:val="TableText1"/>
              <w:jc w:val="left"/>
            </w:pPr>
            <w:r w:rsidRPr="003B355D">
              <w:t>- 2 pen pack (58%)</w:t>
            </w:r>
          </w:p>
        </w:tc>
        <w:tc>
          <w:tcPr>
            <w:tcW w:w="1184" w:type="dxa"/>
            <w:shd w:val="clear" w:color="auto" w:fill="auto"/>
            <w:noWrap/>
            <w:vAlign w:val="center"/>
          </w:tcPr>
          <w:p w:rsidR="00D85BF8" w:rsidRPr="002578F9" w:rsidRDefault="002578F9" w:rsidP="00AE4D9B">
            <w:pPr>
              <w:pStyle w:val="TableText1"/>
              <w:jc w:val="center"/>
              <w:rPr>
                <w:highlight w:val="black"/>
              </w:rPr>
            </w:pPr>
            <w:r>
              <w:rPr>
                <w:noProof/>
                <w:color w:val="000000"/>
                <w:highlight w:val="black"/>
              </w:rPr>
              <w:t>''''''''''''''''''</w:t>
            </w:r>
          </w:p>
        </w:tc>
        <w:tc>
          <w:tcPr>
            <w:tcW w:w="1185" w:type="dxa"/>
            <w:shd w:val="clear" w:color="auto" w:fill="auto"/>
            <w:noWrap/>
            <w:vAlign w:val="center"/>
          </w:tcPr>
          <w:p w:rsidR="00D85BF8" w:rsidRPr="002578F9" w:rsidRDefault="002578F9" w:rsidP="00AE4D9B">
            <w:pPr>
              <w:pStyle w:val="TableText1"/>
              <w:jc w:val="center"/>
              <w:rPr>
                <w:highlight w:val="black"/>
              </w:rPr>
            </w:pPr>
            <w:r>
              <w:rPr>
                <w:noProof/>
                <w:color w:val="000000"/>
                <w:highlight w:val="black"/>
              </w:rPr>
              <w:t>'''''''''''''''''</w:t>
            </w:r>
          </w:p>
        </w:tc>
        <w:tc>
          <w:tcPr>
            <w:tcW w:w="1185" w:type="dxa"/>
            <w:shd w:val="clear" w:color="auto" w:fill="auto"/>
            <w:noWrap/>
            <w:vAlign w:val="center"/>
          </w:tcPr>
          <w:p w:rsidR="00D85BF8" w:rsidRPr="002578F9" w:rsidRDefault="002578F9" w:rsidP="00AE4D9B">
            <w:pPr>
              <w:pStyle w:val="TableText1"/>
              <w:jc w:val="center"/>
              <w:rPr>
                <w:highlight w:val="black"/>
              </w:rPr>
            </w:pPr>
            <w:r>
              <w:rPr>
                <w:noProof/>
                <w:color w:val="000000"/>
                <w:highlight w:val="black"/>
              </w:rPr>
              <w:t>''''''''''''''''''''</w:t>
            </w:r>
          </w:p>
        </w:tc>
        <w:tc>
          <w:tcPr>
            <w:tcW w:w="1185" w:type="dxa"/>
            <w:shd w:val="clear" w:color="auto" w:fill="auto"/>
            <w:noWrap/>
            <w:vAlign w:val="center"/>
          </w:tcPr>
          <w:p w:rsidR="00D85BF8" w:rsidRPr="002578F9" w:rsidRDefault="002578F9" w:rsidP="00AE4D9B">
            <w:pPr>
              <w:pStyle w:val="TableText1"/>
              <w:jc w:val="center"/>
              <w:rPr>
                <w:highlight w:val="black"/>
              </w:rPr>
            </w:pPr>
            <w:r>
              <w:rPr>
                <w:noProof/>
                <w:color w:val="000000"/>
                <w:highlight w:val="black"/>
              </w:rPr>
              <w:t>'''''''''''''''''''''</w:t>
            </w:r>
          </w:p>
        </w:tc>
        <w:tc>
          <w:tcPr>
            <w:tcW w:w="1185" w:type="dxa"/>
            <w:shd w:val="clear" w:color="auto" w:fill="auto"/>
            <w:noWrap/>
            <w:vAlign w:val="center"/>
          </w:tcPr>
          <w:p w:rsidR="00D85BF8" w:rsidRPr="002578F9" w:rsidRDefault="002578F9" w:rsidP="00AE4D9B">
            <w:pPr>
              <w:pStyle w:val="TableText1"/>
              <w:jc w:val="center"/>
              <w:rPr>
                <w:highlight w:val="black"/>
              </w:rPr>
            </w:pPr>
            <w:r>
              <w:rPr>
                <w:noProof/>
                <w:color w:val="000000"/>
                <w:highlight w:val="black"/>
              </w:rPr>
              <w:t>'''''''''''''''''''</w:t>
            </w:r>
          </w:p>
        </w:tc>
      </w:tr>
      <w:tr w:rsidR="00D85BF8" w:rsidRPr="003B355D" w:rsidTr="00AE4D9B">
        <w:trPr>
          <w:trHeight w:val="58"/>
        </w:trPr>
        <w:tc>
          <w:tcPr>
            <w:tcW w:w="3086" w:type="dxa"/>
            <w:shd w:val="clear" w:color="auto" w:fill="auto"/>
            <w:noWrap/>
            <w:vAlign w:val="center"/>
          </w:tcPr>
          <w:p w:rsidR="00D85BF8" w:rsidRPr="003B355D" w:rsidRDefault="00D85BF8" w:rsidP="00AE4D9B">
            <w:pPr>
              <w:pStyle w:val="TableText1"/>
              <w:jc w:val="left"/>
            </w:pPr>
            <w:r w:rsidRPr="003B355D">
              <w:t>Total cost to PBS (DPMQ)</w:t>
            </w:r>
          </w:p>
        </w:tc>
        <w:tc>
          <w:tcPr>
            <w:tcW w:w="1184" w:type="dxa"/>
            <w:tcBorders>
              <w:bottom w:val="single" w:sz="4" w:space="0" w:color="auto"/>
            </w:tcBorders>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tcBorders>
              <w:bottom w:val="single" w:sz="4" w:space="0" w:color="auto"/>
            </w:tcBorders>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tcBorders>
              <w:bottom w:val="single" w:sz="4" w:space="0" w:color="auto"/>
            </w:tcBorders>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tcBorders>
              <w:bottom w:val="single" w:sz="4" w:space="0" w:color="auto"/>
            </w:tcBorders>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tcBorders>
              <w:bottom w:val="single" w:sz="4" w:space="0" w:color="auto"/>
            </w:tcBorders>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r>
      <w:tr w:rsidR="00D85BF8" w:rsidRPr="003B355D" w:rsidTr="00AE4D9B">
        <w:trPr>
          <w:trHeight w:val="58"/>
        </w:trPr>
        <w:tc>
          <w:tcPr>
            <w:tcW w:w="3086" w:type="dxa"/>
            <w:shd w:val="clear" w:color="auto" w:fill="auto"/>
            <w:noWrap/>
            <w:vAlign w:val="center"/>
          </w:tcPr>
          <w:p w:rsidR="00D85BF8" w:rsidRPr="003B355D" w:rsidRDefault="00D85BF8" w:rsidP="00AE4D9B">
            <w:pPr>
              <w:pStyle w:val="TableText1"/>
              <w:jc w:val="left"/>
            </w:pPr>
            <w:r w:rsidRPr="003B355D">
              <w:t>- 3 pen pack ($</w:t>
            </w:r>
            <w:r w:rsidR="002578F9">
              <w:rPr>
                <w:noProof/>
                <w:color w:val="000000"/>
                <w:highlight w:val="black"/>
              </w:rPr>
              <w:t>'''''''''''''''''</w:t>
            </w:r>
            <w:r w:rsidRPr="003B355D">
              <w:t>)</w:t>
            </w:r>
          </w:p>
        </w:tc>
        <w:tc>
          <w:tcPr>
            <w:tcW w:w="1184"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r>
      <w:tr w:rsidR="00D85BF8" w:rsidRPr="003B355D" w:rsidTr="00AE4D9B">
        <w:trPr>
          <w:trHeight w:val="58"/>
        </w:trPr>
        <w:tc>
          <w:tcPr>
            <w:tcW w:w="3086" w:type="dxa"/>
            <w:shd w:val="clear" w:color="auto" w:fill="auto"/>
            <w:noWrap/>
            <w:vAlign w:val="center"/>
          </w:tcPr>
          <w:p w:rsidR="00D85BF8" w:rsidRPr="003B355D" w:rsidRDefault="00D85BF8" w:rsidP="00AE4D9B">
            <w:pPr>
              <w:pStyle w:val="TableText1"/>
              <w:jc w:val="left"/>
            </w:pPr>
            <w:r w:rsidRPr="003B355D">
              <w:t>- 2 pen pack ($</w:t>
            </w:r>
            <w:r w:rsidR="002578F9">
              <w:rPr>
                <w:noProof/>
                <w:color w:val="000000"/>
                <w:highlight w:val="black"/>
              </w:rPr>
              <w:t>''''''''''''''''</w:t>
            </w:r>
            <w:r w:rsidRPr="003B355D">
              <w:t>)</w:t>
            </w:r>
          </w:p>
        </w:tc>
        <w:tc>
          <w:tcPr>
            <w:tcW w:w="1184"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r>
      <w:tr w:rsidR="00D85BF8" w:rsidRPr="003B355D" w:rsidTr="00AE4D9B">
        <w:trPr>
          <w:trHeight w:val="58"/>
        </w:trPr>
        <w:tc>
          <w:tcPr>
            <w:tcW w:w="3086" w:type="dxa"/>
            <w:shd w:val="clear" w:color="auto" w:fill="auto"/>
            <w:noWrap/>
            <w:vAlign w:val="center"/>
          </w:tcPr>
          <w:p w:rsidR="00D85BF8" w:rsidRPr="003B355D" w:rsidRDefault="00D85BF8" w:rsidP="00AE4D9B">
            <w:pPr>
              <w:pStyle w:val="TableText1"/>
              <w:jc w:val="left"/>
            </w:pPr>
            <w:r w:rsidRPr="003B355D">
              <w:t>Total co-payments</w:t>
            </w:r>
          </w:p>
        </w:tc>
        <w:tc>
          <w:tcPr>
            <w:tcW w:w="1184"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r>
      <w:tr w:rsidR="00D85BF8" w:rsidRPr="003B355D" w:rsidTr="00AE4D9B">
        <w:trPr>
          <w:trHeight w:val="281"/>
        </w:trPr>
        <w:tc>
          <w:tcPr>
            <w:tcW w:w="3086" w:type="dxa"/>
            <w:shd w:val="clear" w:color="auto" w:fill="auto"/>
            <w:noWrap/>
            <w:vAlign w:val="center"/>
          </w:tcPr>
          <w:p w:rsidR="00D85BF8" w:rsidRPr="003B355D" w:rsidRDefault="00D85BF8" w:rsidP="00AE4D9B">
            <w:pPr>
              <w:pStyle w:val="TableText1"/>
              <w:jc w:val="left"/>
            </w:pPr>
            <w:r w:rsidRPr="003B355D">
              <w:t>Total PBS/RPBS cost less co-payments</w:t>
            </w:r>
          </w:p>
        </w:tc>
        <w:tc>
          <w:tcPr>
            <w:tcW w:w="1184"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r>
      <w:tr w:rsidR="00D85BF8" w:rsidRPr="003B355D" w:rsidTr="00AE4D9B">
        <w:trPr>
          <w:trHeight w:val="58"/>
        </w:trPr>
        <w:tc>
          <w:tcPr>
            <w:tcW w:w="9010" w:type="dxa"/>
            <w:gridSpan w:val="6"/>
            <w:shd w:val="clear" w:color="auto" w:fill="auto"/>
            <w:noWrap/>
            <w:vAlign w:val="center"/>
          </w:tcPr>
          <w:p w:rsidR="00D85BF8" w:rsidRPr="003B355D" w:rsidRDefault="00D85BF8" w:rsidP="00AE4D9B">
            <w:pPr>
              <w:pStyle w:val="TableText1"/>
              <w:jc w:val="left"/>
              <w:rPr>
                <w:b/>
              </w:rPr>
            </w:pPr>
            <w:r w:rsidRPr="003B355D">
              <w:rPr>
                <w:b/>
              </w:rPr>
              <w:t>Cost offsets (drug costs based on published DPMQ less patient co-payment)</w:t>
            </w:r>
          </w:p>
        </w:tc>
      </w:tr>
      <w:tr w:rsidR="00D85BF8" w:rsidRPr="003B355D" w:rsidTr="00AE4D9B">
        <w:trPr>
          <w:trHeight w:val="58"/>
        </w:trPr>
        <w:tc>
          <w:tcPr>
            <w:tcW w:w="3086" w:type="dxa"/>
            <w:shd w:val="clear" w:color="auto" w:fill="auto"/>
            <w:noWrap/>
            <w:vAlign w:val="center"/>
          </w:tcPr>
          <w:p w:rsidR="00D85BF8" w:rsidRPr="003B355D" w:rsidRDefault="00D85BF8" w:rsidP="00AE4D9B">
            <w:pPr>
              <w:pStyle w:val="TableText1"/>
              <w:jc w:val="left"/>
            </w:pPr>
            <w:r w:rsidRPr="003B355D">
              <w:t xml:space="preserve">Exenatide </w:t>
            </w:r>
            <w:proofErr w:type="spellStart"/>
            <w:r w:rsidRPr="003B355D">
              <w:t>substitution</w:t>
            </w:r>
            <w:r w:rsidRPr="003B355D">
              <w:rPr>
                <w:vertAlign w:val="superscript"/>
              </w:rPr>
              <w:t>b</w:t>
            </w:r>
            <w:proofErr w:type="spellEnd"/>
          </w:p>
        </w:tc>
        <w:tc>
          <w:tcPr>
            <w:tcW w:w="1184"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r>
      <w:tr w:rsidR="00D85BF8" w:rsidRPr="003B355D" w:rsidTr="00AE4D9B">
        <w:trPr>
          <w:trHeight w:val="58"/>
        </w:trPr>
        <w:tc>
          <w:tcPr>
            <w:tcW w:w="3086" w:type="dxa"/>
            <w:shd w:val="clear" w:color="auto" w:fill="auto"/>
            <w:noWrap/>
            <w:vAlign w:val="center"/>
          </w:tcPr>
          <w:p w:rsidR="00D85BF8" w:rsidRPr="003B355D" w:rsidRDefault="00D85BF8" w:rsidP="00AE4D9B">
            <w:pPr>
              <w:pStyle w:val="TableText1"/>
              <w:jc w:val="left"/>
            </w:pPr>
            <w:r w:rsidRPr="003B355D">
              <w:t xml:space="preserve">DPP4 and DPP4/MET </w:t>
            </w:r>
            <w:proofErr w:type="spellStart"/>
            <w:r w:rsidRPr="003B355D">
              <w:t>substitution</w:t>
            </w:r>
            <w:r w:rsidRPr="003B355D">
              <w:rPr>
                <w:vertAlign w:val="superscript"/>
              </w:rPr>
              <w:t>c</w:t>
            </w:r>
            <w:proofErr w:type="spellEnd"/>
          </w:p>
        </w:tc>
        <w:tc>
          <w:tcPr>
            <w:tcW w:w="1184"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r>
      <w:tr w:rsidR="00D85BF8" w:rsidRPr="003B355D" w:rsidTr="00AE4D9B">
        <w:trPr>
          <w:trHeight w:val="58"/>
        </w:trPr>
        <w:tc>
          <w:tcPr>
            <w:tcW w:w="3086" w:type="dxa"/>
            <w:shd w:val="clear" w:color="auto" w:fill="auto"/>
            <w:noWrap/>
            <w:vAlign w:val="center"/>
          </w:tcPr>
          <w:p w:rsidR="00D85BF8" w:rsidRPr="003B355D" w:rsidRDefault="00D85BF8" w:rsidP="00AE4D9B">
            <w:pPr>
              <w:pStyle w:val="TableText1"/>
              <w:jc w:val="left"/>
            </w:pPr>
            <w:r w:rsidRPr="003B355D">
              <w:t>SGLT2 and SGLT2/MET substitution</w:t>
            </w:r>
          </w:p>
        </w:tc>
        <w:tc>
          <w:tcPr>
            <w:tcW w:w="1184"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r>
      <w:tr w:rsidR="00D85BF8" w:rsidRPr="003B355D" w:rsidTr="00AE4D9B">
        <w:trPr>
          <w:trHeight w:val="58"/>
        </w:trPr>
        <w:tc>
          <w:tcPr>
            <w:tcW w:w="3086" w:type="dxa"/>
            <w:shd w:val="clear" w:color="auto" w:fill="auto"/>
            <w:noWrap/>
            <w:vAlign w:val="center"/>
          </w:tcPr>
          <w:p w:rsidR="00D85BF8" w:rsidRPr="003B355D" w:rsidRDefault="00D85BF8" w:rsidP="00AE4D9B">
            <w:pPr>
              <w:pStyle w:val="TableText1"/>
              <w:jc w:val="left"/>
            </w:pPr>
            <w:r w:rsidRPr="003B355D">
              <w:t>Exenatide twice daily needles ($</w:t>
            </w:r>
            <w:r w:rsidR="002578F9">
              <w:rPr>
                <w:noProof/>
                <w:color w:val="000000"/>
                <w:highlight w:val="black"/>
              </w:rPr>
              <w:t>'''''''''''</w:t>
            </w:r>
            <w:r w:rsidRPr="003B355D">
              <w:t>)</w:t>
            </w:r>
            <w:r w:rsidRPr="003B355D">
              <w:rPr>
                <w:vertAlign w:val="superscript"/>
              </w:rPr>
              <w:t>d</w:t>
            </w:r>
          </w:p>
        </w:tc>
        <w:tc>
          <w:tcPr>
            <w:tcW w:w="1184"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r>
      <w:tr w:rsidR="00D85BF8" w:rsidRPr="003B355D" w:rsidTr="00AE4D9B">
        <w:trPr>
          <w:trHeight w:val="58"/>
        </w:trPr>
        <w:tc>
          <w:tcPr>
            <w:tcW w:w="3086" w:type="dxa"/>
            <w:shd w:val="clear" w:color="auto" w:fill="auto"/>
            <w:noWrap/>
            <w:vAlign w:val="center"/>
          </w:tcPr>
          <w:p w:rsidR="00D85BF8" w:rsidRPr="003B355D" w:rsidRDefault="00D85BF8" w:rsidP="00AE4D9B">
            <w:pPr>
              <w:pStyle w:val="TableText1"/>
              <w:jc w:val="left"/>
            </w:pPr>
            <w:r w:rsidRPr="003B355D">
              <w:t>Exenatide once weekly needles ($</w:t>
            </w:r>
            <w:r w:rsidR="002578F9">
              <w:rPr>
                <w:noProof/>
                <w:color w:val="000000"/>
                <w:highlight w:val="black"/>
              </w:rPr>
              <w:t>'''''''''''</w:t>
            </w:r>
            <w:r w:rsidRPr="003B355D">
              <w:t>)</w:t>
            </w:r>
            <w:r w:rsidRPr="003B355D">
              <w:rPr>
                <w:vertAlign w:val="superscript"/>
              </w:rPr>
              <w:t>d</w:t>
            </w:r>
          </w:p>
        </w:tc>
        <w:tc>
          <w:tcPr>
            <w:tcW w:w="1184"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r>
      <w:tr w:rsidR="00D85BF8" w:rsidRPr="003B355D" w:rsidTr="00AE4D9B">
        <w:trPr>
          <w:trHeight w:val="58"/>
        </w:trPr>
        <w:tc>
          <w:tcPr>
            <w:tcW w:w="9010" w:type="dxa"/>
            <w:gridSpan w:val="6"/>
            <w:shd w:val="clear" w:color="auto" w:fill="auto"/>
            <w:noWrap/>
            <w:vAlign w:val="center"/>
          </w:tcPr>
          <w:p w:rsidR="00D85BF8" w:rsidRPr="003B355D" w:rsidRDefault="00D85BF8" w:rsidP="00AE4D9B">
            <w:pPr>
              <w:pStyle w:val="TableText1"/>
              <w:jc w:val="left"/>
              <w:rPr>
                <w:b/>
              </w:rPr>
            </w:pPr>
            <w:r w:rsidRPr="003B355D">
              <w:rPr>
                <w:b/>
              </w:rPr>
              <w:t>Increased costs (drug costs based on DPMQ less patient co-payment)</w:t>
            </w:r>
          </w:p>
        </w:tc>
      </w:tr>
      <w:tr w:rsidR="00D85BF8" w:rsidRPr="003B355D" w:rsidTr="00AE4D9B">
        <w:trPr>
          <w:trHeight w:val="58"/>
        </w:trPr>
        <w:tc>
          <w:tcPr>
            <w:tcW w:w="3086" w:type="dxa"/>
            <w:shd w:val="clear" w:color="auto" w:fill="auto"/>
            <w:noWrap/>
            <w:vAlign w:val="center"/>
          </w:tcPr>
          <w:p w:rsidR="00D85BF8" w:rsidRPr="003B355D" w:rsidRDefault="00D85BF8" w:rsidP="00AE4D9B">
            <w:pPr>
              <w:pStyle w:val="TableText1"/>
              <w:jc w:val="left"/>
            </w:pPr>
            <w:r w:rsidRPr="003B355D">
              <w:t>Metformin (single ingredient products)</w:t>
            </w:r>
            <w:r w:rsidRPr="003B355D">
              <w:rPr>
                <w:vertAlign w:val="superscript"/>
              </w:rPr>
              <w:t>e</w:t>
            </w:r>
          </w:p>
        </w:tc>
        <w:tc>
          <w:tcPr>
            <w:tcW w:w="1184"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r>
      <w:tr w:rsidR="00D85BF8" w:rsidRPr="003B355D" w:rsidTr="00AE4D9B">
        <w:trPr>
          <w:trHeight w:val="58"/>
        </w:trPr>
        <w:tc>
          <w:tcPr>
            <w:tcW w:w="3086" w:type="dxa"/>
            <w:shd w:val="clear" w:color="auto" w:fill="auto"/>
            <w:noWrap/>
            <w:vAlign w:val="center"/>
          </w:tcPr>
          <w:p w:rsidR="00D85BF8" w:rsidRPr="003B355D" w:rsidRDefault="00D85BF8" w:rsidP="00AE4D9B">
            <w:pPr>
              <w:pStyle w:val="TableText1"/>
              <w:jc w:val="left"/>
            </w:pPr>
            <w:r w:rsidRPr="003B355D">
              <w:t>Liraglutide needles ($</w:t>
            </w:r>
            <w:r w:rsidR="002578F9">
              <w:rPr>
                <w:noProof/>
                <w:color w:val="000000"/>
                <w:highlight w:val="black"/>
              </w:rPr>
              <w:t>''''''''''</w:t>
            </w:r>
            <w:r w:rsidRPr="003B355D">
              <w:t>)</w:t>
            </w:r>
            <w:r w:rsidRPr="003B355D">
              <w:rPr>
                <w:vertAlign w:val="superscript"/>
              </w:rPr>
              <w:t>d</w:t>
            </w:r>
          </w:p>
        </w:tc>
        <w:tc>
          <w:tcPr>
            <w:tcW w:w="1184"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r>
      <w:tr w:rsidR="00D85BF8" w:rsidRPr="003B355D" w:rsidTr="00AE4D9B">
        <w:trPr>
          <w:trHeight w:val="58"/>
        </w:trPr>
        <w:tc>
          <w:tcPr>
            <w:tcW w:w="9010" w:type="dxa"/>
            <w:gridSpan w:val="6"/>
            <w:shd w:val="clear" w:color="auto" w:fill="auto"/>
            <w:noWrap/>
            <w:vAlign w:val="center"/>
          </w:tcPr>
          <w:p w:rsidR="00D85BF8" w:rsidRPr="003B355D" w:rsidRDefault="00D85BF8" w:rsidP="00AE4D9B">
            <w:pPr>
              <w:pStyle w:val="TableText1"/>
              <w:jc w:val="left"/>
              <w:rPr>
                <w:b/>
              </w:rPr>
            </w:pPr>
            <w:r w:rsidRPr="003B355D">
              <w:rPr>
                <w:b/>
              </w:rPr>
              <w:t>Total costs</w:t>
            </w:r>
          </w:p>
        </w:tc>
      </w:tr>
      <w:tr w:rsidR="00D85BF8" w:rsidRPr="003B355D" w:rsidTr="00AE4D9B">
        <w:trPr>
          <w:trHeight w:val="58"/>
        </w:trPr>
        <w:tc>
          <w:tcPr>
            <w:tcW w:w="3086" w:type="dxa"/>
            <w:shd w:val="clear" w:color="auto" w:fill="auto"/>
            <w:noWrap/>
            <w:vAlign w:val="center"/>
          </w:tcPr>
          <w:p w:rsidR="00D85BF8" w:rsidRPr="003B355D" w:rsidRDefault="00D85BF8" w:rsidP="00AE4D9B">
            <w:pPr>
              <w:pStyle w:val="TableText1"/>
              <w:jc w:val="left"/>
              <w:rPr>
                <w:b/>
              </w:rPr>
            </w:pPr>
            <w:r w:rsidRPr="003B355D">
              <w:rPr>
                <w:b/>
              </w:rPr>
              <w:t xml:space="preserve">Net cost to PBS/RPBS </w:t>
            </w:r>
          </w:p>
          <w:p w:rsidR="00D85BF8" w:rsidRPr="003B355D" w:rsidRDefault="00D85BF8" w:rsidP="00AE4D9B">
            <w:pPr>
              <w:pStyle w:val="TableText1"/>
              <w:jc w:val="left"/>
              <w:rPr>
                <w:b/>
              </w:rPr>
            </w:pPr>
            <w:r w:rsidRPr="003B355D">
              <w:rPr>
                <w:b/>
              </w:rPr>
              <w:t>less co-payments</w:t>
            </w:r>
          </w:p>
        </w:tc>
        <w:tc>
          <w:tcPr>
            <w:tcW w:w="1184" w:type="dxa"/>
            <w:shd w:val="clear" w:color="auto" w:fill="auto"/>
            <w:noWrap/>
            <w:vAlign w:val="center"/>
          </w:tcPr>
          <w:p w:rsidR="00D85BF8" w:rsidRPr="003B355D" w:rsidRDefault="00D85BF8" w:rsidP="00AE4D9B">
            <w:pPr>
              <w:pStyle w:val="TableText1"/>
              <w:jc w:val="center"/>
              <w:rPr>
                <w:b/>
              </w:rPr>
            </w:pPr>
            <w:r w:rsidRPr="003B355D">
              <w:rPr>
                <w:b/>
              </w:rPr>
              <w:t>$</w:t>
            </w:r>
            <w:r w:rsidR="002578F9">
              <w:rPr>
                <w:b/>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rPr>
                <w:b/>
              </w:rPr>
            </w:pPr>
            <w:r w:rsidRPr="003B355D">
              <w:rPr>
                <w:b/>
              </w:rPr>
              <w:t>$</w:t>
            </w:r>
            <w:r w:rsidR="002578F9">
              <w:rPr>
                <w:b/>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rPr>
                <w:b/>
              </w:rPr>
            </w:pPr>
            <w:r w:rsidRPr="003B355D">
              <w:rPr>
                <w:b/>
              </w:rPr>
              <w:t>$</w:t>
            </w:r>
            <w:r w:rsidR="002578F9">
              <w:rPr>
                <w:b/>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rPr>
                <w:b/>
              </w:rPr>
            </w:pPr>
            <w:r w:rsidRPr="003B355D">
              <w:rPr>
                <w:b/>
              </w:rPr>
              <w:t>$</w:t>
            </w:r>
            <w:r w:rsidR="002578F9">
              <w:rPr>
                <w:b/>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rPr>
                <w:b/>
              </w:rPr>
            </w:pPr>
            <w:r w:rsidRPr="003B355D">
              <w:rPr>
                <w:b/>
              </w:rPr>
              <w:t>$</w:t>
            </w:r>
            <w:r w:rsidR="002578F9">
              <w:rPr>
                <w:b/>
                <w:noProof/>
                <w:color w:val="000000"/>
                <w:highlight w:val="black"/>
              </w:rPr>
              <w:t>''''''''''''''''''''''</w:t>
            </w:r>
          </w:p>
        </w:tc>
      </w:tr>
      <w:tr w:rsidR="00D85BF8" w:rsidRPr="003B355D" w:rsidTr="00AE4D9B">
        <w:trPr>
          <w:trHeight w:val="58"/>
        </w:trPr>
        <w:tc>
          <w:tcPr>
            <w:tcW w:w="3086" w:type="dxa"/>
            <w:shd w:val="clear" w:color="auto" w:fill="auto"/>
            <w:noWrap/>
            <w:vAlign w:val="center"/>
          </w:tcPr>
          <w:p w:rsidR="00D85BF8" w:rsidRPr="003B355D" w:rsidRDefault="00D85BF8" w:rsidP="00AE4D9B">
            <w:pPr>
              <w:pStyle w:val="TableText1"/>
              <w:jc w:val="left"/>
            </w:pPr>
            <w:r w:rsidRPr="003B355D">
              <w:t xml:space="preserve">Net cost to government </w:t>
            </w:r>
          </w:p>
        </w:tc>
        <w:tc>
          <w:tcPr>
            <w:tcW w:w="1184"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c>
          <w:tcPr>
            <w:tcW w:w="1185" w:type="dxa"/>
            <w:shd w:val="clear" w:color="auto" w:fill="auto"/>
            <w:noWrap/>
            <w:vAlign w:val="center"/>
          </w:tcPr>
          <w:p w:rsidR="00D85BF8" w:rsidRPr="003B355D" w:rsidRDefault="00D85BF8" w:rsidP="00AE4D9B">
            <w:pPr>
              <w:pStyle w:val="TableText1"/>
              <w:jc w:val="center"/>
            </w:pPr>
            <w:r w:rsidRPr="003B355D">
              <w:t>$</w:t>
            </w:r>
            <w:r w:rsidR="002578F9">
              <w:rPr>
                <w:noProof/>
                <w:color w:val="000000"/>
                <w:highlight w:val="black"/>
              </w:rPr>
              <w:t>'''''''''''''''''''''''''</w:t>
            </w:r>
          </w:p>
        </w:tc>
      </w:tr>
    </w:tbl>
    <w:p w:rsidR="00D85BF8" w:rsidRPr="003B355D" w:rsidRDefault="00D85BF8" w:rsidP="00D85BF8">
      <w:pPr>
        <w:pStyle w:val="TableFooter"/>
      </w:pPr>
      <w:r w:rsidRPr="003B355D">
        <w:t>Source: ‘</w:t>
      </w:r>
      <w:proofErr w:type="spellStart"/>
      <w:r w:rsidRPr="003B355D">
        <w:t>Liraglutide_Section</w:t>
      </w:r>
      <w:proofErr w:type="spellEnd"/>
      <w:r w:rsidRPr="003B355D">
        <w:t xml:space="preserve"> E </w:t>
      </w:r>
      <w:proofErr w:type="spellStart"/>
      <w:r w:rsidRPr="003B355D">
        <w:t>model_final</w:t>
      </w:r>
      <w:proofErr w:type="spellEnd"/>
      <w:r w:rsidRPr="003B355D">
        <w:t>’ Excel workbook in the submission</w:t>
      </w:r>
    </w:p>
    <w:p w:rsidR="00D85BF8" w:rsidRPr="003B355D" w:rsidRDefault="00D85BF8" w:rsidP="00D85BF8">
      <w:pPr>
        <w:pStyle w:val="TableFooter"/>
      </w:pPr>
      <w:r w:rsidRPr="003B355D">
        <w:t xml:space="preserve">Abbreviations: DPMQ, dispensed price maximum quantity; DPP4, dipeptidyl peptidase-4; MET, metformin; PBS, Pharmaceutical Benefits Scheme; RPBS, Repatriation Pharmaceutical Benefits Scheme; SGLT2, sodium glucose co-transporter 2 </w:t>
      </w:r>
    </w:p>
    <w:p w:rsidR="00D85BF8" w:rsidRPr="003B355D" w:rsidRDefault="00D85BF8" w:rsidP="00D85BF8">
      <w:pPr>
        <w:pStyle w:val="TableFooter"/>
      </w:pPr>
      <w:proofErr w:type="spellStart"/>
      <w:r w:rsidRPr="003B355D">
        <w:rPr>
          <w:vertAlign w:val="superscript"/>
        </w:rPr>
        <w:t>a</w:t>
      </w:r>
      <w:proofErr w:type="spellEnd"/>
      <w:r w:rsidRPr="003B355D">
        <w:t xml:space="preserve"> The submission made a calculation error when making an adjustment to account for patients initiating treatment throughout the year (half-cycle correction) resulting in half the expected utilisation in Year 1 and a further 4 full years of listing (Year 2-5).</w:t>
      </w:r>
    </w:p>
    <w:p w:rsidR="00D85BF8" w:rsidRPr="003B355D" w:rsidRDefault="00D85BF8" w:rsidP="00D85BF8">
      <w:pPr>
        <w:pStyle w:val="TableFooter"/>
      </w:pPr>
      <w:proofErr w:type="gramStart"/>
      <w:r w:rsidRPr="003B355D">
        <w:rPr>
          <w:vertAlign w:val="superscript"/>
        </w:rPr>
        <w:t>b</w:t>
      </w:r>
      <w:proofErr w:type="gramEnd"/>
      <w:r w:rsidRPr="003B355D">
        <w:t xml:space="preserve"> Based on published DPMQ $</w:t>
      </w:r>
      <w:r w:rsidRPr="00F21284">
        <w:t>130.38</w:t>
      </w:r>
      <w:r w:rsidRPr="003B355D">
        <w:t>. Exenatide once weekly is subject to Special Pricing Arrangement.</w:t>
      </w:r>
    </w:p>
    <w:p w:rsidR="00D85BF8" w:rsidRPr="003B355D" w:rsidRDefault="00D85BF8" w:rsidP="00D85BF8">
      <w:pPr>
        <w:pStyle w:val="TableFooter"/>
      </w:pPr>
      <w:proofErr w:type="gramStart"/>
      <w:r w:rsidRPr="003B355D">
        <w:rPr>
          <w:vertAlign w:val="superscript"/>
        </w:rPr>
        <w:t>c</w:t>
      </w:r>
      <w:proofErr w:type="gramEnd"/>
      <w:r w:rsidRPr="003B355D">
        <w:t xml:space="preserve"> Estimates in the submission were calculated using published DPMQ as of 1 February 2017. The published DPMQ as of 1 May 2017 for </w:t>
      </w:r>
      <w:proofErr w:type="spellStart"/>
      <w:r w:rsidRPr="003B355D">
        <w:t>linagliptin</w:t>
      </w:r>
      <w:proofErr w:type="spellEnd"/>
      <w:r w:rsidRPr="003B355D">
        <w:t xml:space="preserve"> and </w:t>
      </w:r>
      <w:proofErr w:type="spellStart"/>
      <w:r w:rsidRPr="003B355D">
        <w:t>saxagliptin</w:t>
      </w:r>
      <w:proofErr w:type="spellEnd"/>
      <w:r w:rsidRPr="003B355D">
        <w:t xml:space="preserve"> products were slightly lower due to price reductions. Estimates were not corrected during evaluation.</w:t>
      </w:r>
    </w:p>
    <w:p w:rsidR="00D85BF8" w:rsidRPr="003B355D" w:rsidRDefault="00D85BF8" w:rsidP="00D85BF8">
      <w:pPr>
        <w:pStyle w:val="TableFooter"/>
      </w:pPr>
      <w:proofErr w:type="gramStart"/>
      <w:r w:rsidRPr="003B355D">
        <w:rPr>
          <w:vertAlign w:val="superscript"/>
        </w:rPr>
        <w:t>d</w:t>
      </w:r>
      <w:proofErr w:type="gramEnd"/>
      <w:r w:rsidRPr="003B355D">
        <w:t xml:space="preserve"> Needle cost per script calculated based on number of doses administered per script assuming 12.2 scripts per year and 82% adherence.</w:t>
      </w:r>
    </w:p>
    <w:p w:rsidR="00D85BF8" w:rsidRPr="003B355D" w:rsidRDefault="00D85BF8" w:rsidP="00D85BF8">
      <w:pPr>
        <w:pStyle w:val="TableFooter"/>
        <w:spacing w:after="240"/>
      </w:pPr>
      <w:proofErr w:type="gramStart"/>
      <w:r w:rsidRPr="003B355D">
        <w:rPr>
          <w:vertAlign w:val="superscript"/>
        </w:rPr>
        <w:t>e</w:t>
      </w:r>
      <w:proofErr w:type="gramEnd"/>
      <w:r w:rsidRPr="003B355D">
        <w:t xml:space="preserve"> The submission made an error and omitted increased costs associated with SGLT2/MET FDC substitution. The error was not corrected during evaluation as the budget impact was minor. </w:t>
      </w:r>
    </w:p>
    <w:p w:rsidR="00D85BF8" w:rsidRPr="003B355D" w:rsidRDefault="00D85BF8" w:rsidP="001A630C">
      <w:pPr>
        <w:pStyle w:val="ESnumberedparablue"/>
        <w:numPr>
          <w:ilvl w:val="1"/>
          <w:numId w:val="3"/>
        </w:numPr>
        <w:rPr>
          <w:rFonts w:asciiTheme="minorHAnsi" w:hAnsiTheme="minorHAnsi"/>
          <w:color w:val="auto"/>
          <w:sz w:val="24"/>
          <w:szCs w:val="24"/>
        </w:rPr>
      </w:pPr>
      <w:r w:rsidRPr="003B355D">
        <w:rPr>
          <w:rFonts w:asciiTheme="minorHAnsi" w:hAnsiTheme="minorHAnsi"/>
          <w:color w:val="auto"/>
          <w:sz w:val="24"/>
          <w:szCs w:val="24"/>
        </w:rPr>
        <w:t xml:space="preserve">The proposed listing of liraglutide on the PBS/RPBS for patients with type 2 diabetes at high risk of cardiovascular disease was estimated to </w:t>
      </w:r>
      <w:r w:rsidRPr="00A53D51">
        <w:rPr>
          <w:rFonts w:asciiTheme="minorHAnsi" w:hAnsiTheme="minorHAnsi"/>
          <w:color w:val="auto"/>
          <w:sz w:val="24"/>
          <w:szCs w:val="24"/>
        </w:rPr>
        <w:t xml:space="preserve">cost </w:t>
      </w:r>
      <w:r w:rsidR="00235B64" w:rsidRPr="00A53D51">
        <w:rPr>
          <w:rFonts w:asciiTheme="minorHAnsi" w:hAnsiTheme="minorHAnsi"/>
          <w:color w:val="auto"/>
          <w:sz w:val="24"/>
          <w:szCs w:val="24"/>
        </w:rPr>
        <w:t xml:space="preserve">$30 – $60 million </w:t>
      </w:r>
      <w:r w:rsidRPr="00A53D51">
        <w:rPr>
          <w:rFonts w:asciiTheme="minorHAnsi" w:hAnsiTheme="minorHAnsi"/>
          <w:color w:val="auto"/>
          <w:sz w:val="24"/>
          <w:szCs w:val="24"/>
        </w:rPr>
        <w:t xml:space="preserve">in the fifth year of listing. The estimated cumulative cost to the PBS/RPBS over five years was </w:t>
      </w:r>
      <w:r w:rsidR="001A630C" w:rsidRPr="00A53D51">
        <w:rPr>
          <w:rFonts w:asciiTheme="minorHAnsi" w:hAnsiTheme="minorHAnsi"/>
          <w:color w:val="auto"/>
          <w:sz w:val="24"/>
          <w:szCs w:val="24"/>
        </w:rPr>
        <w:t>more than $100 million</w:t>
      </w:r>
      <w:r w:rsidRPr="00A53D51">
        <w:rPr>
          <w:rFonts w:asciiTheme="minorHAnsi" w:hAnsiTheme="minorHAnsi"/>
          <w:color w:val="auto"/>
          <w:sz w:val="24"/>
          <w:szCs w:val="24"/>
        </w:rPr>
        <w:t>.</w:t>
      </w:r>
      <w:r w:rsidR="00AF7818" w:rsidRPr="003B355D">
        <w:rPr>
          <w:rFonts w:asciiTheme="minorHAnsi" w:hAnsiTheme="minorHAnsi"/>
          <w:color w:val="auto"/>
          <w:sz w:val="24"/>
          <w:szCs w:val="24"/>
        </w:rPr>
        <w:t xml:space="preserve"> Note, the estimates reflect the original submission financial implications as the revised estimates from the PSCR including the lower price offer could not replicated.</w:t>
      </w:r>
    </w:p>
    <w:p w:rsidR="00D85BF8" w:rsidRPr="003B355D" w:rsidRDefault="00D85BF8" w:rsidP="00D85BF8">
      <w:pPr>
        <w:pStyle w:val="ESnumberedparablue"/>
        <w:numPr>
          <w:ilvl w:val="1"/>
          <w:numId w:val="3"/>
        </w:numPr>
        <w:rPr>
          <w:rFonts w:asciiTheme="minorHAnsi" w:hAnsiTheme="minorHAnsi"/>
          <w:color w:val="auto"/>
          <w:sz w:val="24"/>
          <w:szCs w:val="24"/>
        </w:rPr>
      </w:pPr>
      <w:r w:rsidRPr="003B355D">
        <w:rPr>
          <w:rFonts w:asciiTheme="minorHAnsi" w:hAnsiTheme="minorHAnsi"/>
          <w:color w:val="auto"/>
          <w:sz w:val="24"/>
          <w:szCs w:val="24"/>
        </w:rPr>
        <w:lastRenderedPageBreak/>
        <w:t xml:space="preserve">The proposed listing was associated with substantial cost-offsets primarily due to substitution of other glucose-lowering drugs (exenatide, DPP4 inhibitor and DPP4/metformin FDC, SGLT2 inhibitor and SGLT2/metformin FDC). There were also increased costs associated with increased metformin (single ingredient products) utilisation due to liraglutide substitution of FDCs as well as increased needle use for liraglutide administration due to substitution of oral drugs with an injectable. </w:t>
      </w:r>
    </w:p>
    <w:p w:rsidR="00B51FD9" w:rsidRPr="003B355D" w:rsidRDefault="00D85BF8" w:rsidP="00B51FD9">
      <w:pPr>
        <w:pStyle w:val="ESnumberedparablue"/>
        <w:numPr>
          <w:ilvl w:val="1"/>
          <w:numId w:val="3"/>
        </w:numPr>
        <w:rPr>
          <w:rFonts w:asciiTheme="minorHAnsi" w:hAnsiTheme="minorHAnsi"/>
          <w:color w:val="auto"/>
          <w:sz w:val="24"/>
          <w:szCs w:val="24"/>
        </w:rPr>
      </w:pPr>
      <w:r w:rsidRPr="003B355D">
        <w:rPr>
          <w:rFonts w:asciiTheme="minorHAnsi" w:hAnsiTheme="minorHAnsi"/>
          <w:color w:val="auto"/>
          <w:sz w:val="24"/>
          <w:szCs w:val="24"/>
        </w:rPr>
        <w:t xml:space="preserve">The submission assumed that liraglutide will not grow the overall market and did not consider other treatments identified in the treatment algorithm with the potential for substitution such as insulin, </w:t>
      </w:r>
      <w:proofErr w:type="spellStart"/>
      <w:r w:rsidRPr="003B355D">
        <w:rPr>
          <w:rFonts w:asciiTheme="minorHAnsi" w:hAnsiTheme="minorHAnsi"/>
          <w:color w:val="auto"/>
          <w:sz w:val="24"/>
          <w:szCs w:val="24"/>
        </w:rPr>
        <w:t>thiazolidinediones</w:t>
      </w:r>
      <w:proofErr w:type="spellEnd"/>
      <w:r w:rsidRPr="003B355D">
        <w:rPr>
          <w:rFonts w:asciiTheme="minorHAnsi" w:hAnsiTheme="minorHAnsi"/>
          <w:color w:val="auto"/>
          <w:sz w:val="24"/>
          <w:szCs w:val="24"/>
        </w:rPr>
        <w:t xml:space="preserve"> or sulfonylureas.</w:t>
      </w:r>
      <w:r w:rsidR="00B51FD9">
        <w:rPr>
          <w:rFonts w:asciiTheme="minorHAnsi" w:hAnsiTheme="minorHAnsi"/>
          <w:color w:val="auto"/>
          <w:sz w:val="24"/>
          <w:szCs w:val="24"/>
        </w:rPr>
        <w:t xml:space="preserve"> </w:t>
      </w:r>
      <w:r w:rsidR="00B51FD9" w:rsidRPr="003B355D">
        <w:rPr>
          <w:rFonts w:asciiTheme="minorHAnsi" w:hAnsiTheme="minorHAnsi"/>
          <w:color w:val="auto"/>
          <w:sz w:val="24"/>
          <w:szCs w:val="24"/>
        </w:rPr>
        <w:t xml:space="preserve">DUSC considered that the submission should have </w:t>
      </w:r>
      <w:r w:rsidR="00FB0669">
        <w:rPr>
          <w:rFonts w:asciiTheme="minorHAnsi" w:hAnsiTheme="minorHAnsi"/>
          <w:color w:val="auto"/>
          <w:sz w:val="24"/>
          <w:szCs w:val="24"/>
        </w:rPr>
        <w:t>included</w:t>
      </w:r>
      <w:r w:rsidR="00B51FD9" w:rsidRPr="003B355D">
        <w:rPr>
          <w:rFonts w:asciiTheme="minorHAnsi" w:hAnsiTheme="minorHAnsi"/>
          <w:color w:val="auto"/>
          <w:sz w:val="24"/>
          <w:szCs w:val="24"/>
        </w:rPr>
        <w:t xml:space="preserve"> potential substitution from other diabetes therapies; particularly insulin and possibly sulfonylureas.</w:t>
      </w:r>
    </w:p>
    <w:p w:rsidR="00D85BF8" w:rsidRPr="003B355D" w:rsidRDefault="00D85BF8" w:rsidP="00D85BF8">
      <w:pPr>
        <w:pStyle w:val="ESnumberedparablue"/>
        <w:numPr>
          <w:ilvl w:val="1"/>
          <w:numId w:val="3"/>
        </w:numPr>
        <w:rPr>
          <w:rFonts w:asciiTheme="minorHAnsi" w:hAnsiTheme="minorHAnsi"/>
          <w:color w:val="auto"/>
          <w:sz w:val="24"/>
          <w:szCs w:val="24"/>
        </w:rPr>
      </w:pPr>
      <w:r w:rsidRPr="003B355D">
        <w:rPr>
          <w:rFonts w:asciiTheme="minorHAnsi" w:hAnsiTheme="minorHAnsi"/>
          <w:color w:val="auto"/>
          <w:sz w:val="24"/>
          <w:szCs w:val="24"/>
        </w:rPr>
        <w:t>The submission inappropriately applied half-cycle correction to utilisation estimates for liraglutide.</w:t>
      </w:r>
    </w:p>
    <w:p w:rsidR="00D85BF8" w:rsidRPr="003B355D" w:rsidRDefault="00D85BF8" w:rsidP="00D85BF8">
      <w:pPr>
        <w:pStyle w:val="ESnumberedparablue"/>
        <w:numPr>
          <w:ilvl w:val="1"/>
          <w:numId w:val="3"/>
        </w:numPr>
        <w:rPr>
          <w:rFonts w:eastAsiaTheme="majorEastAsia"/>
        </w:rPr>
      </w:pPr>
      <w:r w:rsidRPr="003B355D">
        <w:rPr>
          <w:rFonts w:asciiTheme="minorHAnsi" w:hAnsiTheme="minorHAnsi"/>
          <w:color w:val="auto"/>
          <w:sz w:val="24"/>
          <w:szCs w:val="24"/>
        </w:rPr>
        <w:t>The estimated proportion of patients with type 2 diabetes at high risk of cardiovascular events (68.5%) was based on Australian adults above 18 years of age with cardiovascular disease or nephropathy (AIHW Cardiovascular Disease, Diabetes and Chronic Kidney Disease Report 2015). The proportion is inconsistent with the requested restriction (aged over 50 years) and is likely to be an underestimate as it does not consider increasing cardiovascular risk with age or smoking status (National Stroke Foundation 2012).</w:t>
      </w:r>
    </w:p>
    <w:p w:rsidR="00AF7818" w:rsidRPr="003B355D" w:rsidRDefault="000A3C0D" w:rsidP="00EF2CD4">
      <w:pPr>
        <w:pStyle w:val="ESnumberedparablue"/>
        <w:numPr>
          <w:ilvl w:val="1"/>
          <w:numId w:val="3"/>
        </w:numPr>
        <w:rPr>
          <w:rFonts w:asciiTheme="minorHAnsi" w:hAnsiTheme="minorHAnsi"/>
          <w:color w:val="auto"/>
          <w:sz w:val="24"/>
          <w:szCs w:val="24"/>
        </w:rPr>
      </w:pPr>
      <w:r w:rsidRPr="00A53D51">
        <w:rPr>
          <w:rFonts w:asciiTheme="minorHAnsi" w:hAnsiTheme="minorHAnsi"/>
          <w:color w:val="auto"/>
          <w:sz w:val="24"/>
          <w:szCs w:val="24"/>
        </w:rPr>
        <w:t>At year 5, the estimated number of patient</w:t>
      </w:r>
      <w:r w:rsidR="00A23214" w:rsidRPr="00A53D51">
        <w:rPr>
          <w:rFonts w:asciiTheme="minorHAnsi" w:hAnsiTheme="minorHAnsi"/>
          <w:color w:val="auto"/>
          <w:sz w:val="24"/>
          <w:szCs w:val="24"/>
        </w:rPr>
        <w:t>s</w:t>
      </w:r>
      <w:r w:rsidRPr="00A53D51">
        <w:rPr>
          <w:rFonts w:asciiTheme="minorHAnsi" w:hAnsiTheme="minorHAnsi"/>
          <w:color w:val="auto"/>
          <w:sz w:val="24"/>
          <w:szCs w:val="24"/>
        </w:rPr>
        <w:t xml:space="preserve"> was </w:t>
      </w:r>
      <w:r w:rsidR="00EF2CD4" w:rsidRPr="00A53D51">
        <w:rPr>
          <w:rFonts w:asciiTheme="minorHAnsi" w:hAnsiTheme="minorHAnsi"/>
          <w:color w:val="auto"/>
          <w:sz w:val="24"/>
          <w:szCs w:val="24"/>
        </w:rPr>
        <w:t xml:space="preserve">50,000 – 100,000 </w:t>
      </w:r>
      <w:r w:rsidRPr="00A53D51">
        <w:rPr>
          <w:rFonts w:asciiTheme="minorHAnsi" w:hAnsiTheme="minorHAnsi"/>
          <w:color w:val="auto"/>
          <w:sz w:val="24"/>
          <w:szCs w:val="24"/>
        </w:rPr>
        <w:t xml:space="preserve">and the net cost to the PBS would be </w:t>
      </w:r>
      <w:r w:rsidR="00EF2CD4" w:rsidRPr="00A53D51">
        <w:rPr>
          <w:rFonts w:asciiTheme="minorHAnsi" w:hAnsiTheme="minorHAnsi"/>
          <w:color w:val="auto"/>
          <w:sz w:val="24"/>
          <w:szCs w:val="24"/>
        </w:rPr>
        <w:t>$30 – $60 million</w:t>
      </w:r>
      <w:r w:rsidRPr="00A53D51">
        <w:rPr>
          <w:rFonts w:asciiTheme="minorHAnsi" w:hAnsiTheme="minorHAnsi"/>
          <w:color w:val="auto"/>
          <w:sz w:val="24"/>
          <w:szCs w:val="24"/>
        </w:rPr>
        <w:t>.</w:t>
      </w:r>
      <w:r w:rsidRPr="003B355D">
        <w:rPr>
          <w:rFonts w:asciiTheme="minorHAnsi" w:hAnsiTheme="minorHAnsi"/>
          <w:color w:val="auto"/>
          <w:sz w:val="24"/>
          <w:szCs w:val="24"/>
        </w:rPr>
        <w:t xml:space="preserve"> </w:t>
      </w:r>
      <w:r w:rsidR="00AF7818" w:rsidRPr="003B355D">
        <w:rPr>
          <w:rFonts w:asciiTheme="minorHAnsi" w:hAnsiTheme="minorHAnsi"/>
          <w:color w:val="auto"/>
          <w:sz w:val="24"/>
          <w:szCs w:val="24"/>
        </w:rPr>
        <w:t>DUSC considered it is unlikely the market for liraglutide would be as large as predicted in Year 5</w:t>
      </w:r>
      <w:r w:rsidR="008F4525">
        <w:rPr>
          <w:rFonts w:asciiTheme="minorHAnsi" w:hAnsiTheme="minorHAnsi"/>
          <w:color w:val="auto"/>
          <w:sz w:val="24"/>
          <w:szCs w:val="24"/>
        </w:rPr>
        <w:t>. T</w:t>
      </w:r>
      <w:r w:rsidR="00AF7818" w:rsidRPr="003B355D">
        <w:rPr>
          <w:rFonts w:asciiTheme="minorHAnsi" w:hAnsiTheme="minorHAnsi"/>
          <w:color w:val="auto"/>
          <w:sz w:val="24"/>
          <w:szCs w:val="24"/>
        </w:rPr>
        <w:t>he forecasting method overestimates all markets that liraglutide may substitute in the outer years, the estimate is much higher than the extent of use of exenatide</w:t>
      </w:r>
      <w:r w:rsidR="002A6B05" w:rsidRPr="003B355D">
        <w:rPr>
          <w:rFonts w:asciiTheme="minorHAnsi" w:hAnsiTheme="minorHAnsi"/>
          <w:color w:val="auto"/>
          <w:sz w:val="24"/>
          <w:szCs w:val="24"/>
        </w:rPr>
        <w:t>,</w:t>
      </w:r>
      <w:r w:rsidR="00AF7818" w:rsidRPr="003B355D">
        <w:rPr>
          <w:rFonts w:asciiTheme="minorHAnsi" w:hAnsiTheme="minorHAnsi"/>
          <w:color w:val="auto"/>
          <w:sz w:val="24"/>
          <w:szCs w:val="24"/>
        </w:rPr>
        <w:t xml:space="preserve"> and a recent study of </w:t>
      </w:r>
      <w:proofErr w:type="spellStart"/>
      <w:r w:rsidR="00AF7818" w:rsidRPr="003B355D">
        <w:rPr>
          <w:rFonts w:asciiTheme="minorHAnsi" w:hAnsiTheme="minorHAnsi"/>
          <w:color w:val="auto"/>
          <w:sz w:val="24"/>
          <w:szCs w:val="24"/>
        </w:rPr>
        <w:t>empagliflozin</w:t>
      </w:r>
      <w:proofErr w:type="spellEnd"/>
      <w:r w:rsidR="00AF7818" w:rsidRPr="003B355D">
        <w:rPr>
          <w:rFonts w:asciiTheme="minorHAnsi" w:hAnsiTheme="minorHAnsi"/>
          <w:color w:val="auto"/>
          <w:sz w:val="24"/>
          <w:szCs w:val="24"/>
        </w:rPr>
        <w:t xml:space="preserve"> that reported a reduction in deaths from CV causes may impact on uptake of liraglutide. </w:t>
      </w:r>
    </w:p>
    <w:p w:rsidR="00AF7818" w:rsidRPr="003B355D" w:rsidRDefault="00AF7818" w:rsidP="00AF7818">
      <w:pPr>
        <w:pStyle w:val="ESnumberedparablue"/>
        <w:numPr>
          <w:ilvl w:val="1"/>
          <w:numId w:val="3"/>
        </w:numPr>
        <w:rPr>
          <w:rFonts w:asciiTheme="minorHAnsi" w:hAnsiTheme="minorHAnsi"/>
          <w:color w:val="auto"/>
          <w:sz w:val="24"/>
          <w:szCs w:val="24"/>
        </w:rPr>
      </w:pPr>
      <w:bookmarkStart w:id="42" w:name="_Toc413139285"/>
      <w:bookmarkStart w:id="43" w:name="_Toc476306895"/>
      <w:bookmarkStart w:id="44" w:name="_Toc482048983"/>
      <w:r w:rsidRPr="003B355D">
        <w:rPr>
          <w:rFonts w:asciiTheme="minorHAnsi" w:hAnsiTheme="minorHAnsi"/>
          <w:color w:val="auto"/>
          <w:sz w:val="24"/>
          <w:szCs w:val="24"/>
        </w:rPr>
        <w:t>DUSC considered the number of patients taking exenatide, DPP-4 inhibitors or SGLT2 inhibitors was overestimated by the submission due to the data source (IMS) containing non-PBS use.</w:t>
      </w:r>
    </w:p>
    <w:p w:rsidR="00AF7818" w:rsidRPr="003B355D" w:rsidRDefault="00AF7818" w:rsidP="00AF7818">
      <w:pPr>
        <w:pStyle w:val="ESnumberedparablue"/>
        <w:numPr>
          <w:ilvl w:val="1"/>
          <w:numId w:val="3"/>
        </w:numPr>
        <w:rPr>
          <w:rFonts w:asciiTheme="minorHAnsi" w:hAnsiTheme="minorHAnsi"/>
          <w:color w:val="auto"/>
          <w:sz w:val="24"/>
          <w:szCs w:val="24"/>
        </w:rPr>
      </w:pPr>
      <w:r w:rsidRPr="003B355D">
        <w:rPr>
          <w:rFonts w:asciiTheme="minorHAnsi" w:hAnsiTheme="minorHAnsi"/>
          <w:color w:val="auto"/>
          <w:sz w:val="24"/>
          <w:szCs w:val="24"/>
        </w:rPr>
        <w:t xml:space="preserve">DUSC considered it was unreasonable to assume that all patients on non-PBS liraglutide would switch to PBS-subsidised liraglutide if it were listed. DUSC considered it likely that many users of non-PBS-subsidised liraglutide would not meet the requested restriction and some may be prescribed liraglutide for an indication other than T2DM (e.g. weight loss). Additionally, as the disease characteristics of the patients on non-PBS liraglutide are unclear, it is uncertain that 68.5% of them would meet the requested restriction criteria. </w:t>
      </w:r>
    </w:p>
    <w:p w:rsidR="00AF7818" w:rsidRPr="003B355D" w:rsidRDefault="00AF7818" w:rsidP="00AF7818">
      <w:pPr>
        <w:pStyle w:val="ESnumberedparablue"/>
        <w:numPr>
          <w:ilvl w:val="1"/>
          <w:numId w:val="3"/>
        </w:numPr>
        <w:rPr>
          <w:rFonts w:asciiTheme="minorHAnsi" w:hAnsiTheme="minorHAnsi"/>
          <w:color w:val="auto"/>
          <w:sz w:val="24"/>
          <w:szCs w:val="24"/>
        </w:rPr>
      </w:pPr>
      <w:r w:rsidRPr="003B355D">
        <w:rPr>
          <w:rFonts w:asciiTheme="minorHAnsi" w:hAnsiTheme="minorHAnsi"/>
          <w:color w:val="auto"/>
          <w:sz w:val="24"/>
          <w:szCs w:val="24"/>
        </w:rPr>
        <w:t xml:space="preserve">The submission assumed different uptake rates (from incident and prevalent populations) for each treatment except for the SGLT2 inhibitor market where uptake and switch rates were assumed to be the same. The submission did not justify the </w:t>
      </w:r>
      <w:r w:rsidRPr="003B355D">
        <w:rPr>
          <w:rFonts w:asciiTheme="minorHAnsi" w:hAnsiTheme="minorHAnsi"/>
          <w:color w:val="auto"/>
          <w:sz w:val="24"/>
          <w:szCs w:val="24"/>
        </w:rPr>
        <w:lastRenderedPageBreak/>
        <w:t xml:space="preserve">differences in the magnitude of the uptake rates that ranged between 2% and 80%. Using the assumed rates, DPP-4 inhibitors followed by SGLT2 inhibitors have the largest number of patients with treatments substituted with liraglutide. DUSC reiterated that no basis was provided for the liraglutide uptake rates and thus </w:t>
      </w:r>
      <w:r w:rsidR="008F4525">
        <w:rPr>
          <w:rFonts w:asciiTheme="minorHAnsi" w:hAnsiTheme="minorHAnsi"/>
          <w:color w:val="auto"/>
          <w:sz w:val="24"/>
          <w:szCs w:val="24"/>
        </w:rPr>
        <w:t xml:space="preserve">it </w:t>
      </w:r>
      <w:r w:rsidRPr="003B355D">
        <w:rPr>
          <w:rFonts w:asciiTheme="minorHAnsi" w:hAnsiTheme="minorHAnsi"/>
          <w:color w:val="auto"/>
          <w:sz w:val="24"/>
          <w:szCs w:val="24"/>
        </w:rPr>
        <w:t xml:space="preserve">considered the uptake rates to be uncertain. </w:t>
      </w:r>
    </w:p>
    <w:p w:rsidR="00137F8D" w:rsidRPr="003B355D" w:rsidRDefault="00137F8D" w:rsidP="00344E56">
      <w:pPr>
        <w:pStyle w:val="ESnumberedparablue"/>
        <w:rPr>
          <w:rFonts w:asciiTheme="minorHAnsi" w:eastAsiaTheme="majorEastAsia" w:hAnsiTheme="minorHAnsi"/>
          <w:b/>
          <w:i/>
          <w:color w:val="auto"/>
          <w:sz w:val="24"/>
          <w:szCs w:val="24"/>
        </w:rPr>
      </w:pPr>
      <w:r w:rsidRPr="003B355D">
        <w:rPr>
          <w:rFonts w:asciiTheme="minorHAnsi" w:eastAsiaTheme="majorEastAsia" w:hAnsiTheme="minorHAnsi"/>
          <w:b/>
          <w:i/>
          <w:color w:val="auto"/>
          <w:sz w:val="24"/>
          <w:szCs w:val="24"/>
        </w:rPr>
        <w:t>Quality Use of Medicines</w:t>
      </w:r>
      <w:bookmarkEnd w:id="42"/>
      <w:bookmarkEnd w:id="43"/>
      <w:bookmarkEnd w:id="44"/>
    </w:p>
    <w:p w:rsidR="00242397" w:rsidRPr="003B355D" w:rsidRDefault="00242397" w:rsidP="002C3067">
      <w:pPr>
        <w:pStyle w:val="ESnumberedparablue"/>
        <w:numPr>
          <w:ilvl w:val="1"/>
          <w:numId w:val="34"/>
        </w:numPr>
        <w:rPr>
          <w:rFonts w:asciiTheme="minorHAnsi" w:hAnsiTheme="minorHAnsi"/>
          <w:snapToGrid w:val="0"/>
          <w:sz w:val="24"/>
          <w:szCs w:val="24"/>
        </w:rPr>
      </w:pPr>
      <w:bookmarkStart w:id="45" w:name="_Toc413139286"/>
      <w:bookmarkStart w:id="46" w:name="_Toc476306896"/>
      <w:r w:rsidRPr="003B355D">
        <w:rPr>
          <w:rFonts w:asciiTheme="minorHAnsi" w:hAnsiTheme="minorHAnsi"/>
          <w:color w:val="auto"/>
          <w:sz w:val="24"/>
          <w:szCs w:val="24"/>
        </w:rPr>
        <w:t>The sponsor proposed providing educational and promotional activities aimed at minimising use of liraglutide outside the requested restriction</w:t>
      </w:r>
    </w:p>
    <w:p w:rsidR="00137F8D" w:rsidRPr="003B355D" w:rsidRDefault="00137F8D" w:rsidP="001F6B1E">
      <w:pPr>
        <w:pStyle w:val="Heading2"/>
        <w:spacing w:before="120" w:after="160"/>
        <w:rPr>
          <w:rFonts w:asciiTheme="minorHAnsi" w:eastAsiaTheme="majorEastAsia" w:hAnsiTheme="minorHAnsi"/>
          <w:i/>
          <w:snapToGrid/>
          <w:sz w:val="24"/>
          <w:szCs w:val="24"/>
        </w:rPr>
      </w:pPr>
      <w:bookmarkStart w:id="47" w:name="_Toc482048984"/>
      <w:r w:rsidRPr="003B355D">
        <w:rPr>
          <w:rFonts w:asciiTheme="minorHAnsi" w:eastAsiaTheme="majorEastAsia" w:hAnsiTheme="minorHAnsi"/>
          <w:i/>
          <w:snapToGrid/>
          <w:sz w:val="24"/>
          <w:szCs w:val="24"/>
        </w:rPr>
        <w:t>Financial Management – Risk Sharing Arrangements</w:t>
      </w:r>
      <w:bookmarkEnd w:id="45"/>
      <w:bookmarkEnd w:id="46"/>
      <w:bookmarkEnd w:id="47"/>
    </w:p>
    <w:p w:rsidR="00137F8D" w:rsidRPr="003B355D" w:rsidRDefault="00980EA0" w:rsidP="002C3067">
      <w:pPr>
        <w:pStyle w:val="ESnumberedparablue"/>
        <w:numPr>
          <w:ilvl w:val="1"/>
          <w:numId w:val="34"/>
        </w:numPr>
        <w:rPr>
          <w:rFonts w:asciiTheme="minorHAnsi" w:hAnsiTheme="minorHAnsi"/>
          <w:color w:val="auto"/>
          <w:sz w:val="24"/>
          <w:szCs w:val="24"/>
        </w:rPr>
      </w:pPr>
      <w:r w:rsidRPr="003B355D">
        <w:rPr>
          <w:rFonts w:asciiTheme="minorHAnsi" w:hAnsiTheme="minorHAnsi"/>
          <w:color w:val="auto"/>
          <w:sz w:val="24"/>
          <w:szCs w:val="24"/>
        </w:rPr>
        <w:t>The sponsor proposed a risk share arrangement to offset uncertainty in the economic model, based on a revenue/utilisation cap.</w:t>
      </w:r>
    </w:p>
    <w:p w:rsidR="00683372" w:rsidRPr="003B355D" w:rsidRDefault="00683372" w:rsidP="00683372">
      <w:pPr>
        <w:pStyle w:val="ESnumberedparablue"/>
        <w:ind w:left="720"/>
        <w:rPr>
          <w:rFonts w:asciiTheme="minorHAnsi" w:hAnsiTheme="minorHAnsi"/>
          <w:color w:val="auto"/>
          <w:sz w:val="24"/>
          <w:szCs w:val="24"/>
        </w:rPr>
      </w:pPr>
      <w:r w:rsidRPr="003B355D">
        <w:rPr>
          <w:rFonts w:asciiTheme="minorHAnsi" w:hAnsiTheme="minorHAnsi"/>
          <w:i/>
          <w:color w:val="auto"/>
          <w:sz w:val="24"/>
          <w:szCs w:val="24"/>
        </w:rPr>
        <w:t>For more detail on PBAC’s view, see section 7 “PBAC outcome.”</w:t>
      </w:r>
    </w:p>
    <w:p w:rsidR="00683372" w:rsidRPr="00D453F1" w:rsidRDefault="00683372" w:rsidP="00D453F1">
      <w:pPr>
        <w:pStyle w:val="Heading1"/>
        <w:keepNext/>
        <w:keepLines/>
        <w:widowControl/>
        <w:numPr>
          <w:ilvl w:val="0"/>
          <w:numId w:val="3"/>
        </w:numPr>
        <w:spacing w:before="400" w:after="120"/>
        <w:ind w:left="709" w:hanging="709"/>
        <w:jc w:val="left"/>
        <w:rPr>
          <w:bCs/>
          <w:szCs w:val="32"/>
        </w:rPr>
      </w:pPr>
      <w:r w:rsidRPr="00D453F1">
        <w:rPr>
          <w:bCs/>
          <w:szCs w:val="32"/>
        </w:rPr>
        <w:t xml:space="preserve">PBAC </w:t>
      </w:r>
      <w:r w:rsidRPr="00D453F1">
        <w:rPr>
          <w:bCs/>
          <w:caps w:val="0"/>
          <w:szCs w:val="32"/>
        </w:rPr>
        <w:t>Outcome</w:t>
      </w:r>
    </w:p>
    <w:p w:rsidR="000E741D" w:rsidRPr="003B355D" w:rsidRDefault="000E741D" w:rsidP="00DD081A">
      <w:pPr>
        <w:widowControl/>
        <w:numPr>
          <w:ilvl w:val="1"/>
          <w:numId w:val="3"/>
        </w:numPr>
        <w:spacing w:after="120"/>
        <w:rPr>
          <w:rFonts w:asciiTheme="minorHAnsi" w:hAnsiTheme="minorHAnsi"/>
          <w:bCs/>
          <w:sz w:val="24"/>
          <w:szCs w:val="24"/>
        </w:rPr>
      </w:pPr>
      <w:r w:rsidRPr="003B355D">
        <w:rPr>
          <w:rFonts w:asciiTheme="minorHAnsi" w:hAnsiTheme="minorHAnsi"/>
          <w:bCs/>
          <w:sz w:val="24"/>
          <w:szCs w:val="24"/>
        </w:rPr>
        <w:t xml:space="preserve">The PBAC did not recommend the listing of liraglutide </w:t>
      </w:r>
      <w:r w:rsidR="009E059A" w:rsidRPr="003B355D">
        <w:rPr>
          <w:rFonts w:asciiTheme="minorHAnsi" w:hAnsiTheme="minorHAnsi"/>
          <w:bCs/>
          <w:sz w:val="24"/>
          <w:szCs w:val="24"/>
        </w:rPr>
        <w:t>1.8</w:t>
      </w:r>
      <w:r w:rsidR="00DD081A" w:rsidRPr="003B355D">
        <w:rPr>
          <w:rFonts w:asciiTheme="minorHAnsi" w:hAnsiTheme="minorHAnsi"/>
          <w:bCs/>
          <w:sz w:val="24"/>
          <w:szCs w:val="24"/>
        </w:rPr>
        <w:t> </w:t>
      </w:r>
      <w:r w:rsidR="009E059A" w:rsidRPr="003B355D">
        <w:rPr>
          <w:rFonts w:asciiTheme="minorHAnsi" w:hAnsiTheme="minorHAnsi"/>
          <w:bCs/>
          <w:sz w:val="24"/>
          <w:szCs w:val="24"/>
        </w:rPr>
        <w:t xml:space="preserve">mg daily </w:t>
      </w:r>
      <w:r w:rsidRPr="003B355D">
        <w:rPr>
          <w:rFonts w:asciiTheme="minorHAnsi" w:hAnsiTheme="minorHAnsi"/>
          <w:bCs/>
          <w:sz w:val="24"/>
          <w:szCs w:val="24"/>
        </w:rPr>
        <w:t xml:space="preserve">for treatment of patients with Type 2 diabetes mellitus and high cardiovascular risk </w:t>
      </w:r>
      <w:r w:rsidR="004D4739" w:rsidRPr="003B355D">
        <w:rPr>
          <w:rFonts w:asciiTheme="minorHAnsi" w:hAnsiTheme="minorHAnsi"/>
          <w:bCs/>
          <w:sz w:val="24"/>
          <w:szCs w:val="24"/>
        </w:rPr>
        <w:t>on the basis of</w:t>
      </w:r>
      <w:r w:rsidR="002675DA" w:rsidRPr="003B355D">
        <w:rPr>
          <w:rFonts w:asciiTheme="minorHAnsi" w:hAnsiTheme="minorHAnsi"/>
          <w:bCs/>
          <w:sz w:val="24"/>
          <w:szCs w:val="24"/>
        </w:rPr>
        <w:t xml:space="preserve"> </w:t>
      </w:r>
      <w:r w:rsidR="00B22818" w:rsidRPr="003B355D">
        <w:rPr>
          <w:rFonts w:asciiTheme="minorHAnsi" w:hAnsiTheme="minorHAnsi"/>
          <w:bCs/>
          <w:sz w:val="24"/>
          <w:szCs w:val="24"/>
        </w:rPr>
        <w:t xml:space="preserve">inadequate </w:t>
      </w:r>
      <w:r w:rsidR="004D4739" w:rsidRPr="003B355D">
        <w:rPr>
          <w:rFonts w:asciiTheme="minorHAnsi" w:hAnsiTheme="minorHAnsi"/>
          <w:sz w:val="24"/>
          <w:szCs w:val="24"/>
        </w:rPr>
        <w:t>comparative</w:t>
      </w:r>
      <w:r w:rsidR="004D4739" w:rsidRPr="003B355D">
        <w:rPr>
          <w:rFonts w:asciiTheme="minorHAnsi" w:hAnsiTheme="minorHAnsi"/>
          <w:bCs/>
          <w:sz w:val="24"/>
          <w:szCs w:val="24"/>
        </w:rPr>
        <w:t xml:space="preserve"> </w:t>
      </w:r>
      <w:r w:rsidR="00B22818" w:rsidRPr="003B355D">
        <w:rPr>
          <w:rFonts w:asciiTheme="minorHAnsi" w:hAnsiTheme="minorHAnsi"/>
          <w:bCs/>
          <w:sz w:val="24"/>
          <w:szCs w:val="24"/>
        </w:rPr>
        <w:t xml:space="preserve">clinical data and </w:t>
      </w:r>
      <w:r w:rsidR="002675DA" w:rsidRPr="003B355D">
        <w:rPr>
          <w:rFonts w:asciiTheme="minorHAnsi" w:hAnsiTheme="minorHAnsi"/>
          <w:bCs/>
          <w:sz w:val="24"/>
          <w:szCs w:val="24"/>
        </w:rPr>
        <w:t xml:space="preserve">uncertain </w:t>
      </w:r>
      <w:r w:rsidR="00B22818" w:rsidRPr="003B355D">
        <w:rPr>
          <w:rFonts w:asciiTheme="minorHAnsi" w:hAnsiTheme="minorHAnsi"/>
          <w:bCs/>
          <w:sz w:val="24"/>
          <w:szCs w:val="24"/>
        </w:rPr>
        <w:t xml:space="preserve">cost effectiveness. </w:t>
      </w:r>
    </w:p>
    <w:p w:rsidR="00AD43F3" w:rsidRPr="00E62D34" w:rsidRDefault="00AD43F3" w:rsidP="00DD081A">
      <w:pPr>
        <w:widowControl/>
        <w:numPr>
          <w:ilvl w:val="1"/>
          <w:numId w:val="3"/>
        </w:numPr>
        <w:spacing w:after="120"/>
        <w:rPr>
          <w:rFonts w:asciiTheme="minorHAnsi" w:hAnsiTheme="minorHAnsi"/>
          <w:bCs/>
          <w:sz w:val="24"/>
          <w:szCs w:val="24"/>
        </w:rPr>
      </w:pPr>
      <w:r w:rsidRPr="003B355D">
        <w:rPr>
          <w:rFonts w:asciiTheme="minorHAnsi" w:hAnsiTheme="minorHAnsi"/>
          <w:bCs/>
          <w:sz w:val="24"/>
          <w:szCs w:val="24"/>
        </w:rPr>
        <w:t>The PBAC reaffirmed its March 2013 recommendation to list liraglutide 1.2 mg once daily on a cost minimisation basis with exenatide</w:t>
      </w:r>
      <w:r w:rsidR="00DD081A" w:rsidRPr="003B355D">
        <w:rPr>
          <w:rFonts w:asciiTheme="minorHAnsi" w:hAnsiTheme="minorHAnsi"/>
          <w:bCs/>
          <w:sz w:val="24"/>
          <w:szCs w:val="24"/>
        </w:rPr>
        <w:t xml:space="preserve"> </w:t>
      </w:r>
      <w:r w:rsidRPr="003B355D">
        <w:rPr>
          <w:rFonts w:asciiTheme="minorHAnsi" w:hAnsiTheme="minorHAnsi"/>
          <w:bCs/>
          <w:sz w:val="24"/>
          <w:szCs w:val="24"/>
        </w:rPr>
        <w:t>10 µg twice daily for</w:t>
      </w:r>
      <w:r w:rsidR="009E059A" w:rsidRPr="003B355D">
        <w:rPr>
          <w:rFonts w:asciiTheme="minorHAnsi" w:hAnsiTheme="minorHAnsi"/>
          <w:bCs/>
          <w:sz w:val="24"/>
          <w:szCs w:val="24"/>
        </w:rPr>
        <w:t xml:space="preserve"> dual combination therapy with metformin or a sulfonylurea, and as triple combination therapy with metformin and a sulfonylurea</w:t>
      </w:r>
      <w:r w:rsidRPr="003B355D">
        <w:rPr>
          <w:rFonts w:asciiTheme="minorHAnsi" w:hAnsiTheme="minorHAnsi"/>
          <w:bCs/>
          <w:sz w:val="24"/>
          <w:szCs w:val="24"/>
        </w:rPr>
        <w:t>. The PBAC note</w:t>
      </w:r>
      <w:r w:rsidR="00DD081A" w:rsidRPr="003B355D">
        <w:rPr>
          <w:rFonts w:asciiTheme="minorHAnsi" w:hAnsiTheme="minorHAnsi"/>
          <w:bCs/>
          <w:sz w:val="24"/>
          <w:szCs w:val="24"/>
        </w:rPr>
        <w:t>d</w:t>
      </w:r>
      <w:r w:rsidRPr="003B355D">
        <w:rPr>
          <w:rFonts w:asciiTheme="minorHAnsi" w:hAnsiTheme="minorHAnsi"/>
          <w:bCs/>
          <w:sz w:val="24"/>
          <w:szCs w:val="24"/>
        </w:rPr>
        <w:t xml:space="preserve"> this recommendation did not include combination use with insulin. </w:t>
      </w:r>
      <w:r w:rsidR="00E62D34" w:rsidRPr="00E62D34">
        <w:rPr>
          <w:rFonts w:asciiTheme="minorHAnsi" w:hAnsiTheme="minorHAnsi"/>
          <w:sz w:val="24"/>
          <w:szCs w:val="24"/>
        </w:rPr>
        <w:t>The PBAC also noted the recommendation for the 1.2 mg liraglutide dose from March 2013 is due to be revoked in March 2018 and in reaffirming its recommendation extended it until July 2022.</w:t>
      </w:r>
    </w:p>
    <w:p w:rsidR="004959B2" w:rsidRPr="003B355D" w:rsidRDefault="004959B2" w:rsidP="00DD081A">
      <w:pPr>
        <w:widowControl/>
        <w:numPr>
          <w:ilvl w:val="1"/>
          <w:numId w:val="3"/>
        </w:numPr>
        <w:spacing w:after="120"/>
        <w:rPr>
          <w:rFonts w:asciiTheme="minorHAnsi" w:hAnsiTheme="minorHAnsi"/>
          <w:bCs/>
          <w:sz w:val="24"/>
          <w:szCs w:val="24"/>
        </w:rPr>
      </w:pPr>
      <w:r w:rsidRPr="003B355D">
        <w:rPr>
          <w:rFonts w:asciiTheme="minorHAnsi" w:hAnsiTheme="minorHAnsi"/>
          <w:bCs/>
          <w:sz w:val="24"/>
          <w:szCs w:val="24"/>
        </w:rPr>
        <w:t>The PBAC considered the proposed restriction for the 1.8</w:t>
      </w:r>
      <w:r w:rsidR="00DD081A" w:rsidRPr="003B355D">
        <w:rPr>
          <w:rFonts w:asciiTheme="minorHAnsi" w:hAnsiTheme="minorHAnsi"/>
          <w:bCs/>
          <w:sz w:val="24"/>
          <w:szCs w:val="24"/>
        </w:rPr>
        <w:t xml:space="preserve"> </w:t>
      </w:r>
      <w:r w:rsidRPr="003B355D">
        <w:rPr>
          <w:rFonts w:asciiTheme="minorHAnsi" w:hAnsiTheme="minorHAnsi"/>
          <w:bCs/>
          <w:sz w:val="24"/>
          <w:szCs w:val="24"/>
        </w:rPr>
        <w:t xml:space="preserve">mg dose is complex and may exclude patients who would benefit from liraglutide. Whilst the criteria for high cardiovascular risk in the restriction are consistent with the inclusion criteria of the LEADER trial they are not consistent with Australian best practice guidelines, and are unlikely to be used in clinical practice. Furthermore, the criteria for patients ≥60 years with microalbuminuria or proteinuria </w:t>
      </w:r>
      <w:r w:rsidR="009A221A">
        <w:rPr>
          <w:rFonts w:asciiTheme="minorHAnsi" w:hAnsiTheme="minorHAnsi"/>
          <w:bCs/>
          <w:sz w:val="24"/>
          <w:szCs w:val="24"/>
        </w:rPr>
        <w:t xml:space="preserve">appeared to be contrary to </w:t>
      </w:r>
      <w:r w:rsidR="00AE75F5">
        <w:rPr>
          <w:rFonts w:asciiTheme="minorHAnsi" w:hAnsiTheme="minorHAnsi"/>
          <w:bCs/>
          <w:sz w:val="24"/>
          <w:szCs w:val="24"/>
        </w:rPr>
        <w:t xml:space="preserve">the </w:t>
      </w:r>
      <w:r w:rsidR="00AE75F5" w:rsidRPr="003B355D">
        <w:rPr>
          <w:rFonts w:asciiTheme="minorHAnsi" w:hAnsiTheme="minorHAnsi"/>
          <w:bCs/>
          <w:sz w:val="24"/>
          <w:szCs w:val="24"/>
        </w:rPr>
        <w:t>pre</w:t>
      </w:r>
      <w:r w:rsidRPr="003B355D">
        <w:rPr>
          <w:rFonts w:asciiTheme="minorHAnsi" w:hAnsiTheme="minorHAnsi"/>
          <w:bCs/>
          <w:sz w:val="24"/>
          <w:szCs w:val="24"/>
        </w:rPr>
        <w:t xml:space="preserve">-specified subgroup analysis in the LEADER trial </w:t>
      </w:r>
      <w:r w:rsidR="0053667E" w:rsidRPr="003B355D">
        <w:rPr>
          <w:rFonts w:asciiTheme="minorHAnsi" w:hAnsiTheme="minorHAnsi"/>
          <w:bCs/>
          <w:sz w:val="24"/>
          <w:szCs w:val="24"/>
        </w:rPr>
        <w:t>for patients &gt;60 years of age and at high CV risk</w:t>
      </w:r>
      <w:r w:rsidR="00453606" w:rsidRPr="003B355D">
        <w:rPr>
          <w:rFonts w:asciiTheme="minorHAnsi" w:hAnsiTheme="minorHAnsi"/>
          <w:bCs/>
          <w:sz w:val="24"/>
          <w:szCs w:val="24"/>
        </w:rPr>
        <w:t>, with</w:t>
      </w:r>
      <w:r w:rsidR="00DD081A" w:rsidRPr="003B355D">
        <w:rPr>
          <w:rFonts w:asciiTheme="minorHAnsi" w:hAnsiTheme="minorHAnsi"/>
          <w:bCs/>
          <w:sz w:val="24"/>
          <w:szCs w:val="24"/>
        </w:rPr>
        <w:t xml:space="preserve"> the</w:t>
      </w:r>
      <w:r w:rsidR="00453606" w:rsidRPr="003B355D">
        <w:rPr>
          <w:rFonts w:asciiTheme="minorHAnsi" w:hAnsiTheme="minorHAnsi"/>
          <w:bCs/>
          <w:sz w:val="24"/>
          <w:szCs w:val="24"/>
        </w:rPr>
        <w:t xml:space="preserve"> </w:t>
      </w:r>
      <w:r w:rsidR="00A43E48" w:rsidRPr="003B355D">
        <w:rPr>
          <w:rFonts w:asciiTheme="minorHAnsi" w:hAnsiTheme="minorHAnsi"/>
          <w:bCs/>
          <w:sz w:val="24"/>
          <w:szCs w:val="24"/>
        </w:rPr>
        <w:t>major adverse cardiovascular event (</w:t>
      </w:r>
      <w:r w:rsidR="00453606" w:rsidRPr="003B355D">
        <w:rPr>
          <w:rFonts w:asciiTheme="minorHAnsi" w:hAnsiTheme="minorHAnsi"/>
          <w:bCs/>
          <w:sz w:val="24"/>
          <w:szCs w:val="24"/>
        </w:rPr>
        <w:t>MACE</w:t>
      </w:r>
      <w:r w:rsidR="00A43E48" w:rsidRPr="003B355D">
        <w:rPr>
          <w:rFonts w:asciiTheme="minorHAnsi" w:hAnsiTheme="minorHAnsi"/>
          <w:bCs/>
          <w:sz w:val="24"/>
          <w:szCs w:val="24"/>
        </w:rPr>
        <w:t>)</w:t>
      </w:r>
      <w:r w:rsidR="00453606" w:rsidRPr="003B355D">
        <w:rPr>
          <w:rFonts w:asciiTheme="minorHAnsi" w:hAnsiTheme="minorHAnsi"/>
          <w:bCs/>
          <w:sz w:val="24"/>
          <w:szCs w:val="24"/>
        </w:rPr>
        <w:t xml:space="preserve"> outcome favouring placebo</w:t>
      </w:r>
      <w:r w:rsidR="009A221A">
        <w:rPr>
          <w:rFonts w:asciiTheme="minorHAnsi" w:hAnsiTheme="minorHAnsi"/>
          <w:bCs/>
          <w:sz w:val="24"/>
          <w:szCs w:val="24"/>
        </w:rPr>
        <w:t xml:space="preserve"> (</w:t>
      </w:r>
      <w:r w:rsidR="00DD081A" w:rsidRPr="003B355D">
        <w:rPr>
          <w:rFonts w:asciiTheme="minorHAnsi" w:hAnsiTheme="minorHAnsi"/>
          <w:bCs/>
          <w:sz w:val="24"/>
          <w:szCs w:val="24"/>
        </w:rPr>
        <w:t>although the difference was not statistically significant</w:t>
      </w:r>
      <w:r w:rsidR="00453606" w:rsidRPr="003B355D">
        <w:rPr>
          <w:rFonts w:asciiTheme="minorHAnsi" w:hAnsiTheme="minorHAnsi"/>
          <w:bCs/>
          <w:sz w:val="24"/>
          <w:szCs w:val="24"/>
        </w:rPr>
        <w:t xml:space="preserve"> (HR 1.20, </w:t>
      </w:r>
      <w:r w:rsidR="00453606" w:rsidRPr="003B355D">
        <w:rPr>
          <w:rFonts w:asciiTheme="minorHAnsi" w:hAnsiTheme="minorHAnsi"/>
          <w:sz w:val="24"/>
          <w:szCs w:val="24"/>
        </w:rPr>
        <w:t>95% CI [0.86-1.67]</w:t>
      </w:r>
      <w:r w:rsidR="009A221A">
        <w:rPr>
          <w:rFonts w:asciiTheme="minorHAnsi" w:hAnsiTheme="minorHAnsi"/>
          <w:sz w:val="24"/>
          <w:szCs w:val="24"/>
        </w:rPr>
        <w:t>, but with a positive test for interaction)</w:t>
      </w:r>
      <w:r w:rsidRPr="003B355D">
        <w:rPr>
          <w:rFonts w:asciiTheme="minorHAnsi" w:hAnsiTheme="minorHAnsi"/>
          <w:bCs/>
          <w:sz w:val="24"/>
          <w:szCs w:val="24"/>
        </w:rPr>
        <w:t>. The PBAC also agreed with ESC that implementing the different restrictions associated with the 1.2</w:t>
      </w:r>
      <w:r w:rsidR="00DD081A" w:rsidRPr="003B355D">
        <w:rPr>
          <w:rFonts w:asciiTheme="minorHAnsi" w:hAnsiTheme="minorHAnsi"/>
          <w:bCs/>
          <w:sz w:val="24"/>
          <w:szCs w:val="24"/>
        </w:rPr>
        <w:t xml:space="preserve"> </w:t>
      </w:r>
      <w:r w:rsidRPr="003B355D">
        <w:rPr>
          <w:rFonts w:asciiTheme="minorHAnsi" w:hAnsiTheme="minorHAnsi"/>
          <w:bCs/>
          <w:sz w:val="24"/>
          <w:szCs w:val="24"/>
        </w:rPr>
        <w:t>mg and 1.8</w:t>
      </w:r>
      <w:r w:rsidR="00DD081A" w:rsidRPr="003B355D">
        <w:rPr>
          <w:rFonts w:asciiTheme="minorHAnsi" w:hAnsiTheme="minorHAnsi"/>
          <w:bCs/>
          <w:sz w:val="24"/>
          <w:szCs w:val="24"/>
        </w:rPr>
        <w:t xml:space="preserve"> </w:t>
      </w:r>
      <w:r w:rsidRPr="003B355D">
        <w:rPr>
          <w:rFonts w:asciiTheme="minorHAnsi" w:hAnsiTheme="minorHAnsi"/>
          <w:bCs/>
          <w:sz w:val="24"/>
          <w:szCs w:val="24"/>
        </w:rPr>
        <w:t xml:space="preserve">mg doses would not be workable in clinical practice given the overlapping eligibility of the patient groups. </w:t>
      </w:r>
    </w:p>
    <w:p w:rsidR="00052BDF" w:rsidRPr="003B355D" w:rsidRDefault="00052BDF" w:rsidP="00DD081A">
      <w:pPr>
        <w:widowControl/>
        <w:numPr>
          <w:ilvl w:val="1"/>
          <w:numId w:val="3"/>
        </w:numPr>
        <w:spacing w:after="120"/>
        <w:rPr>
          <w:rFonts w:asciiTheme="minorHAnsi" w:hAnsiTheme="minorHAnsi"/>
          <w:bCs/>
          <w:sz w:val="24"/>
          <w:szCs w:val="24"/>
        </w:rPr>
      </w:pPr>
      <w:r w:rsidRPr="003B355D">
        <w:rPr>
          <w:rFonts w:asciiTheme="minorHAnsi" w:hAnsiTheme="minorHAnsi"/>
          <w:bCs/>
          <w:sz w:val="24"/>
          <w:szCs w:val="24"/>
        </w:rPr>
        <w:lastRenderedPageBreak/>
        <w:t xml:space="preserve">The PBAC </w:t>
      </w:r>
      <w:r w:rsidR="004959B2" w:rsidRPr="003B355D">
        <w:rPr>
          <w:rFonts w:asciiTheme="minorHAnsi" w:hAnsiTheme="minorHAnsi"/>
          <w:bCs/>
          <w:sz w:val="24"/>
          <w:szCs w:val="24"/>
        </w:rPr>
        <w:t>accepted</w:t>
      </w:r>
      <w:r w:rsidRPr="003B355D">
        <w:rPr>
          <w:rFonts w:asciiTheme="minorHAnsi" w:hAnsiTheme="minorHAnsi"/>
          <w:bCs/>
          <w:sz w:val="24"/>
          <w:szCs w:val="24"/>
        </w:rPr>
        <w:t xml:space="preserve"> exenatide (PBS listed GLP-1 agonist) </w:t>
      </w:r>
      <w:r w:rsidR="004959B2" w:rsidRPr="003B355D">
        <w:rPr>
          <w:rFonts w:asciiTheme="minorHAnsi" w:hAnsiTheme="minorHAnsi"/>
          <w:bCs/>
          <w:sz w:val="24"/>
          <w:szCs w:val="24"/>
        </w:rPr>
        <w:t>was</w:t>
      </w:r>
      <w:r w:rsidRPr="003B355D">
        <w:rPr>
          <w:rFonts w:asciiTheme="minorHAnsi" w:hAnsiTheme="minorHAnsi"/>
          <w:bCs/>
          <w:sz w:val="24"/>
          <w:szCs w:val="24"/>
        </w:rPr>
        <w:t xml:space="preserve"> an appropriate comparator. The PBAC agreed with ESC that </w:t>
      </w:r>
      <w:proofErr w:type="spellStart"/>
      <w:r w:rsidRPr="003B355D">
        <w:rPr>
          <w:rFonts w:asciiTheme="minorHAnsi" w:hAnsiTheme="minorHAnsi"/>
          <w:bCs/>
          <w:sz w:val="24"/>
          <w:szCs w:val="24"/>
        </w:rPr>
        <w:t>empagliflozin</w:t>
      </w:r>
      <w:proofErr w:type="spellEnd"/>
      <w:r w:rsidRPr="003B355D">
        <w:rPr>
          <w:rFonts w:asciiTheme="minorHAnsi" w:hAnsiTheme="minorHAnsi"/>
          <w:bCs/>
          <w:sz w:val="24"/>
          <w:szCs w:val="24"/>
        </w:rPr>
        <w:t xml:space="preserve"> may also be replaced in clinical practice and is </w:t>
      </w:r>
      <w:r w:rsidR="004959B2" w:rsidRPr="003B355D">
        <w:rPr>
          <w:rFonts w:asciiTheme="minorHAnsi" w:hAnsiTheme="minorHAnsi"/>
          <w:bCs/>
          <w:sz w:val="24"/>
          <w:szCs w:val="24"/>
        </w:rPr>
        <w:t xml:space="preserve">also </w:t>
      </w:r>
      <w:r w:rsidRPr="003B355D">
        <w:rPr>
          <w:rFonts w:asciiTheme="minorHAnsi" w:hAnsiTheme="minorHAnsi"/>
          <w:bCs/>
          <w:sz w:val="24"/>
          <w:szCs w:val="24"/>
        </w:rPr>
        <w:t xml:space="preserve">a relevant comparator. Although a different mode of administration (oral as opposed to injectable) and different mechanism of action, SGLT-2 inhibitors have established a class effect in </w:t>
      </w:r>
      <w:r w:rsidR="00DD081A" w:rsidRPr="003B355D">
        <w:rPr>
          <w:rFonts w:asciiTheme="minorHAnsi" w:hAnsiTheme="minorHAnsi"/>
          <w:bCs/>
          <w:sz w:val="24"/>
          <w:szCs w:val="24"/>
        </w:rPr>
        <w:t xml:space="preserve">reducing </w:t>
      </w:r>
      <w:r w:rsidRPr="003B355D">
        <w:rPr>
          <w:rFonts w:asciiTheme="minorHAnsi" w:hAnsiTheme="minorHAnsi"/>
          <w:bCs/>
          <w:sz w:val="24"/>
          <w:szCs w:val="24"/>
        </w:rPr>
        <w:t xml:space="preserve">CV outcomes and </w:t>
      </w:r>
      <w:r w:rsidRPr="003B355D">
        <w:rPr>
          <w:rFonts w:asciiTheme="minorHAnsi" w:eastAsiaTheme="minorHAnsi" w:hAnsiTheme="minorHAnsi" w:cstheme="minorBidi"/>
          <w:snapToGrid/>
          <w:sz w:val="24"/>
          <w:szCs w:val="24"/>
        </w:rPr>
        <w:t xml:space="preserve">prescribing may target the same patient group proposed for 1.8 mg liraglutide. The PBAC noted that despite not having a specific PBS listing for high CV risk patients, </w:t>
      </w:r>
      <w:proofErr w:type="spellStart"/>
      <w:r w:rsidRPr="003B355D">
        <w:rPr>
          <w:rFonts w:asciiTheme="minorHAnsi" w:eastAsiaTheme="minorHAnsi" w:hAnsiTheme="minorHAnsi" w:cstheme="minorBidi"/>
          <w:snapToGrid/>
          <w:sz w:val="24"/>
          <w:szCs w:val="24"/>
        </w:rPr>
        <w:t>empagliflozin</w:t>
      </w:r>
      <w:proofErr w:type="spellEnd"/>
      <w:r w:rsidRPr="003B355D">
        <w:rPr>
          <w:rFonts w:asciiTheme="minorHAnsi" w:eastAsiaTheme="minorHAnsi" w:hAnsiTheme="minorHAnsi" w:cstheme="minorBidi"/>
          <w:snapToGrid/>
          <w:sz w:val="24"/>
          <w:szCs w:val="24"/>
        </w:rPr>
        <w:t xml:space="preserve"> offers similar reductions in direct CV outcomes</w:t>
      </w:r>
      <w:r w:rsidR="00341F18" w:rsidRPr="003B355D">
        <w:rPr>
          <w:rFonts w:asciiTheme="minorHAnsi" w:eastAsiaTheme="minorHAnsi" w:hAnsiTheme="minorHAnsi" w:cstheme="minorBidi"/>
          <w:snapToGrid/>
          <w:sz w:val="24"/>
          <w:szCs w:val="24"/>
        </w:rPr>
        <w:t xml:space="preserve"> </w:t>
      </w:r>
      <w:r w:rsidRPr="003B355D">
        <w:rPr>
          <w:rFonts w:asciiTheme="minorHAnsi" w:eastAsiaTheme="minorHAnsi" w:hAnsiTheme="minorHAnsi" w:cstheme="minorBidi"/>
          <w:snapToGrid/>
          <w:sz w:val="24"/>
          <w:szCs w:val="24"/>
        </w:rPr>
        <w:t>across the broader Type 2 diabetes population at a substantially lower price</w:t>
      </w:r>
      <w:r w:rsidRPr="003B355D">
        <w:rPr>
          <w:rFonts w:asciiTheme="minorHAnsi" w:hAnsiTheme="minorHAnsi"/>
          <w:bCs/>
          <w:sz w:val="24"/>
          <w:szCs w:val="24"/>
        </w:rPr>
        <w:t xml:space="preserve">. </w:t>
      </w:r>
      <w:r w:rsidR="001F5364" w:rsidRPr="003B355D">
        <w:rPr>
          <w:rFonts w:asciiTheme="minorHAnsi" w:eastAsiaTheme="minorHAnsi" w:hAnsiTheme="minorHAnsi" w:cstheme="minorBidi"/>
          <w:snapToGrid/>
          <w:sz w:val="24"/>
          <w:szCs w:val="24"/>
        </w:rPr>
        <w:t xml:space="preserve">Based on results of the EMPA-REG OUTCOME trial, </w:t>
      </w:r>
      <w:proofErr w:type="spellStart"/>
      <w:r w:rsidR="001F5364" w:rsidRPr="003B355D">
        <w:rPr>
          <w:rFonts w:asciiTheme="minorHAnsi" w:eastAsiaTheme="minorHAnsi" w:hAnsiTheme="minorHAnsi" w:cstheme="minorBidi"/>
          <w:snapToGrid/>
          <w:sz w:val="24"/>
          <w:szCs w:val="24"/>
        </w:rPr>
        <w:t>empagliflozin</w:t>
      </w:r>
      <w:proofErr w:type="spellEnd"/>
      <w:r w:rsidR="001F5364" w:rsidRPr="003B355D">
        <w:rPr>
          <w:rFonts w:asciiTheme="minorHAnsi" w:eastAsiaTheme="minorHAnsi" w:hAnsiTheme="minorHAnsi" w:cstheme="minorBidi"/>
          <w:snapToGrid/>
          <w:sz w:val="24"/>
          <w:szCs w:val="24"/>
        </w:rPr>
        <w:t xml:space="preserve"> offers a statistically significant improvement compared to placebo for the primary composite outcome of death from cardiovascular causes, nonfatal myocardial infarction, or nonfatal stroke (HR 0.86, 95% CI [0.74, 0.99]))</w:t>
      </w:r>
    </w:p>
    <w:p w:rsidR="00E20FB0" w:rsidRPr="003B355D" w:rsidRDefault="00E20FB0" w:rsidP="004B1B0A">
      <w:pPr>
        <w:widowControl/>
        <w:numPr>
          <w:ilvl w:val="1"/>
          <w:numId w:val="3"/>
        </w:numPr>
        <w:spacing w:after="120"/>
        <w:rPr>
          <w:rFonts w:asciiTheme="minorHAnsi" w:hAnsiTheme="minorHAnsi"/>
          <w:bCs/>
          <w:sz w:val="24"/>
          <w:szCs w:val="24"/>
        </w:rPr>
      </w:pPr>
      <w:r w:rsidRPr="003B355D">
        <w:rPr>
          <w:rFonts w:asciiTheme="minorHAnsi" w:hAnsiTheme="minorHAnsi"/>
          <w:bCs/>
          <w:sz w:val="24"/>
          <w:szCs w:val="24"/>
        </w:rPr>
        <w:t>The PBAC accepted the evidence presented from the LEADER trial showed liraglutide had a reduction in MACE outcomes compared with placebo</w:t>
      </w:r>
      <w:r w:rsidR="00341F18" w:rsidRPr="003B355D">
        <w:rPr>
          <w:rFonts w:asciiTheme="minorHAnsi" w:hAnsiTheme="minorHAnsi"/>
          <w:bCs/>
          <w:sz w:val="24"/>
          <w:szCs w:val="24"/>
        </w:rPr>
        <w:t xml:space="preserve">; a </w:t>
      </w:r>
      <w:r w:rsidR="00341F18" w:rsidRPr="003B355D">
        <w:rPr>
          <w:rFonts w:asciiTheme="minorHAnsi" w:hAnsiTheme="minorHAnsi"/>
          <w:sz w:val="24"/>
          <w:szCs w:val="24"/>
        </w:rPr>
        <w:t>13.2% reduction in risk of a MACE compared to placebo (HR 0.8</w:t>
      </w:r>
      <w:r w:rsidR="00A43E48" w:rsidRPr="003B355D">
        <w:rPr>
          <w:rFonts w:asciiTheme="minorHAnsi" w:hAnsiTheme="minorHAnsi"/>
          <w:sz w:val="24"/>
          <w:szCs w:val="24"/>
        </w:rPr>
        <w:t>7, 95% CI [0.7</w:t>
      </w:r>
      <w:r w:rsidR="00341F18" w:rsidRPr="003B355D">
        <w:rPr>
          <w:rFonts w:asciiTheme="minorHAnsi" w:hAnsiTheme="minorHAnsi"/>
          <w:sz w:val="24"/>
          <w:szCs w:val="24"/>
        </w:rPr>
        <w:t>8, 0.9</w:t>
      </w:r>
      <w:r w:rsidR="00A43E48" w:rsidRPr="003B355D">
        <w:rPr>
          <w:rFonts w:asciiTheme="minorHAnsi" w:hAnsiTheme="minorHAnsi"/>
          <w:sz w:val="24"/>
          <w:szCs w:val="24"/>
        </w:rPr>
        <w:t>7</w:t>
      </w:r>
      <w:r w:rsidR="00341F18" w:rsidRPr="003B355D">
        <w:rPr>
          <w:rFonts w:asciiTheme="minorHAnsi" w:hAnsiTheme="minorHAnsi"/>
          <w:sz w:val="24"/>
          <w:szCs w:val="24"/>
        </w:rPr>
        <w:t>])</w:t>
      </w:r>
      <w:r w:rsidRPr="003B355D">
        <w:rPr>
          <w:rFonts w:asciiTheme="minorHAnsi" w:hAnsiTheme="minorHAnsi"/>
          <w:bCs/>
          <w:sz w:val="24"/>
          <w:szCs w:val="24"/>
        </w:rPr>
        <w:t xml:space="preserve">. However, the PBAC was not satisfied that liraglutide showed superior comparative effectiveness over exenatide based on the </w:t>
      </w:r>
      <w:r w:rsidR="009E059A" w:rsidRPr="003B355D">
        <w:rPr>
          <w:rFonts w:asciiTheme="minorHAnsi" w:hAnsiTheme="minorHAnsi"/>
          <w:bCs/>
          <w:sz w:val="24"/>
          <w:szCs w:val="24"/>
        </w:rPr>
        <w:t>submission</w:t>
      </w:r>
      <w:r w:rsidR="004B1B0A" w:rsidRPr="003B355D">
        <w:rPr>
          <w:rFonts w:asciiTheme="minorHAnsi" w:hAnsiTheme="minorHAnsi"/>
          <w:bCs/>
          <w:sz w:val="24"/>
          <w:szCs w:val="24"/>
        </w:rPr>
        <w:t>’s</w:t>
      </w:r>
      <w:r w:rsidR="009E059A" w:rsidRPr="003B355D">
        <w:rPr>
          <w:rFonts w:asciiTheme="minorHAnsi" w:hAnsiTheme="minorHAnsi"/>
          <w:bCs/>
          <w:sz w:val="24"/>
          <w:szCs w:val="24"/>
        </w:rPr>
        <w:t xml:space="preserve"> </w:t>
      </w:r>
      <w:r w:rsidRPr="003B355D">
        <w:rPr>
          <w:rFonts w:asciiTheme="minorHAnsi" w:hAnsiTheme="minorHAnsi"/>
          <w:bCs/>
          <w:sz w:val="24"/>
          <w:szCs w:val="24"/>
        </w:rPr>
        <w:t xml:space="preserve">assumption that the placebo arm of the LEADER trial was reasonable proxy for exenatide. </w:t>
      </w:r>
    </w:p>
    <w:p w:rsidR="00E20FB0" w:rsidRPr="003B355D" w:rsidRDefault="00E20FB0" w:rsidP="004B1B0A">
      <w:pPr>
        <w:widowControl/>
        <w:numPr>
          <w:ilvl w:val="1"/>
          <w:numId w:val="3"/>
        </w:numPr>
        <w:spacing w:after="120"/>
        <w:rPr>
          <w:rFonts w:asciiTheme="minorHAnsi" w:hAnsiTheme="minorHAnsi"/>
          <w:bCs/>
          <w:sz w:val="24"/>
          <w:szCs w:val="24"/>
        </w:rPr>
      </w:pPr>
      <w:r w:rsidRPr="003B355D">
        <w:rPr>
          <w:rFonts w:asciiTheme="minorHAnsi" w:hAnsiTheme="minorHAnsi"/>
          <w:bCs/>
          <w:sz w:val="24"/>
          <w:szCs w:val="24"/>
        </w:rPr>
        <w:t xml:space="preserve">The PBAC was not satisfied that liraglutide has a unique effect on cardiovascular outcomes. </w:t>
      </w:r>
      <w:r w:rsidR="009E059A" w:rsidRPr="003B355D">
        <w:rPr>
          <w:rFonts w:asciiTheme="minorHAnsi" w:hAnsiTheme="minorHAnsi"/>
          <w:bCs/>
          <w:sz w:val="24"/>
          <w:szCs w:val="24"/>
        </w:rPr>
        <w:t>The PBAC discussed how increased regulatory scrutiny on the cardiovascular safety of new diabetes medications has led to increased assessment of these therapies. The PBAC referenced the SUSTAIN</w:t>
      </w:r>
      <w:r w:rsidR="00F37E6B" w:rsidRPr="003B355D">
        <w:rPr>
          <w:rFonts w:asciiTheme="minorHAnsi" w:hAnsiTheme="minorHAnsi"/>
          <w:bCs/>
          <w:sz w:val="24"/>
          <w:szCs w:val="24"/>
        </w:rPr>
        <w:t>-6</w:t>
      </w:r>
      <w:r w:rsidR="009E059A" w:rsidRPr="003B355D">
        <w:rPr>
          <w:rFonts w:asciiTheme="minorHAnsi" w:hAnsiTheme="minorHAnsi"/>
          <w:bCs/>
          <w:sz w:val="24"/>
          <w:szCs w:val="24"/>
        </w:rPr>
        <w:t xml:space="preserve"> trial</w:t>
      </w:r>
      <w:r w:rsidR="00F37E6B" w:rsidRPr="003B355D">
        <w:rPr>
          <w:rStyle w:val="FootnoteReference"/>
          <w:rFonts w:asciiTheme="minorHAnsi" w:hAnsiTheme="minorHAnsi"/>
          <w:bCs/>
          <w:sz w:val="24"/>
          <w:szCs w:val="24"/>
        </w:rPr>
        <w:footnoteReference w:id="2"/>
      </w:r>
      <w:r w:rsidR="009E059A" w:rsidRPr="003B355D">
        <w:rPr>
          <w:rFonts w:asciiTheme="minorHAnsi" w:hAnsiTheme="minorHAnsi"/>
          <w:bCs/>
          <w:sz w:val="24"/>
          <w:szCs w:val="24"/>
        </w:rPr>
        <w:t xml:space="preserve">, a randomised trial that compared </w:t>
      </w:r>
      <w:proofErr w:type="spellStart"/>
      <w:r w:rsidR="009E059A" w:rsidRPr="003B355D">
        <w:rPr>
          <w:rFonts w:asciiTheme="minorHAnsi" w:hAnsiTheme="minorHAnsi"/>
          <w:bCs/>
          <w:sz w:val="24"/>
          <w:szCs w:val="24"/>
        </w:rPr>
        <w:t>semaglutide</w:t>
      </w:r>
      <w:proofErr w:type="spellEnd"/>
      <w:r w:rsidR="009E059A" w:rsidRPr="003B355D">
        <w:rPr>
          <w:rFonts w:asciiTheme="minorHAnsi" w:hAnsiTheme="minorHAnsi"/>
          <w:bCs/>
          <w:sz w:val="24"/>
          <w:szCs w:val="24"/>
        </w:rPr>
        <w:t xml:space="preserve"> with placebo in patients with T2DM who were at high cardiovascular risk. The study demonstrated a lower risk of cardiovascular outcomes in patients receiving </w:t>
      </w:r>
      <w:proofErr w:type="spellStart"/>
      <w:r w:rsidR="009E059A" w:rsidRPr="003B355D">
        <w:rPr>
          <w:rFonts w:asciiTheme="minorHAnsi" w:hAnsiTheme="minorHAnsi"/>
          <w:bCs/>
          <w:sz w:val="24"/>
          <w:szCs w:val="24"/>
        </w:rPr>
        <w:t>semaglutide</w:t>
      </w:r>
      <w:proofErr w:type="spellEnd"/>
      <w:r w:rsidR="009E059A" w:rsidRPr="003B355D">
        <w:rPr>
          <w:rFonts w:asciiTheme="minorHAnsi" w:hAnsiTheme="minorHAnsi"/>
          <w:bCs/>
          <w:sz w:val="24"/>
          <w:szCs w:val="24"/>
        </w:rPr>
        <w:t xml:space="preserve"> compared with placebo</w:t>
      </w:r>
      <w:r w:rsidR="00A43E48" w:rsidRPr="003B355D">
        <w:rPr>
          <w:rFonts w:asciiTheme="minorHAnsi" w:hAnsiTheme="minorHAnsi"/>
          <w:bCs/>
          <w:sz w:val="24"/>
          <w:szCs w:val="24"/>
        </w:rPr>
        <w:t xml:space="preserve"> (</w:t>
      </w:r>
      <w:r w:rsidR="00A43E48" w:rsidRPr="003B355D">
        <w:rPr>
          <w:rFonts w:asciiTheme="minorHAnsi" w:eastAsiaTheme="minorHAnsi" w:hAnsiTheme="minorHAnsi" w:cstheme="minorBidi"/>
          <w:snapToGrid/>
          <w:sz w:val="24"/>
          <w:szCs w:val="24"/>
        </w:rPr>
        <w:t>statistically significant improvement for the primary composite outcome of death from cardiovascular causes, nonfatal myocardial infarction, or nonfatal stroke; HR 0.74, 95% CI [0.58, 0.95])</w:t>
      </w:r>
      <w:r w:rsidR="009E059A" w:rsidRPr="003B355D">
        <w:rPr>
          <w:rFonts w:asciiTheme="minorHAnsi" w:hAnsiTheme="minorHAnsi"/>
          <w:bCs/>
          <w:sz w:val="24"/>
          <w:szCs w:val="24"/>
        </w:rPr>
        <w:t>. The PBAC</w:t>
      </w:r>
      <w:r w:rsidRPr="003B355D">
        <w:rPr>
          <w:rFonts w:asciiTheme="minorHAnsi" w:hAnsiTheme="minorHAnsi"/>
          <w:bCs/>
          <w:sz w:val="24"/>
          <w:szCs w:val="24"/>
        </w:rPr>
        <w:t xml:space="preserve"> </w:t>
      </w:r>
      <w:r w:rsidR="009E059A" w:rsidRPr="003B355D">
        <w:rPr>
          <w:rFonts w:asciiTheme="minorHAnsi" w:hAnsiTheme="minorHAnsi"/>
          <w:bCs/>
          <w:sz w:val="24"/>
          <w:szCs w:val="24"/>
        </w:rPr>
        <w:t>considere</w:t>
      </w:r>
      <w:r w:rsidRPr="003B355D">
        <w:rPr>
          <w:rFonts w:asciiTheme="minorHAnsi" w:hAnsiTheme="minorHAnsi"/>
          <w:bCs/>
          <w:sz w:val="24"/>
          <w:szCs w:val="24"/>
        </w:rPr>
        <w:t xml:space="preserve">d in the absence of clinical trial data that demonstrates exenatide has no cardiovascular effect, it is likely a there is a class effect across the GLP-1 analogues. </w:t>
      </w:r>
    </w:p>
    <w:p w:rsidR="00052BDF" w:rsidRPr="003B355D" w:rsidRDefault="00AC031E" w:rsidP="004B1B0A">
      <w:pPr>
        <w:widowControl/>
        <w:numPr>
          <w:ilvl w:val="1"/>
          <w:numId w:val="3"/>
        </w:numPr>
        <w:spacing w:after="120"/>
        <w:rPr>
          <w:rFonts w:asciiTheme="minorHAnsi" w:hAnsiTheme="minorHAnsi"/>
          <w:bCs/>
          <w:sz w:val="24"/>
          <w:szCs w:val="24"/>
        </w:rPr>
      </w:pPr>
      <w:r w:rsidRPr="003B355D">
        <w:rPr>
          <w:rFonts w:asciiTheme="minorHAnsi" w:hAnsiTheme="minorHAnsi"/>
          <w:bCs/>
          <w:sz w:val="24"/>
          <w:szCs w:val="24"/>
        </w:rPr>
        <w:t>The PBAC note</w:t>
      </w:r>
      <w:r w:rsidR="00052BDF" w:rsidRPr="003B355D">
        <w:rPr>
          <w:rFonts w:asciiTheme="minorHAnsi" w:hAnsiTheme="minorHAnsi"/>
          <w:bCs/>
          <w:sz w:val="24"/>
          <w:szCs w:val="24"/>
        </w:rPr>
        <w:t>d</w:t>
      </w:r>
      <w:r w:rsidRPr="003B355D">
        <w:rPr>
          <w:rFonts w:asciiTheme="minorHAnsi" w:hAnsiTheme="minorHAnsi"/>
          <w:bCs/>
          <w:sz w:val="24"/>
          <w:szCs w:val="24"/>
        </w:rPr>
        <w:t xml:space="preserve"> results of the exenatide EXSCEL cardiovascular outcomes trial</w:t>
      </w:r>
      <w:r w:rsidR="00D37C94" w:rsidRPr="003B355D">
        <w:rPr>
          <w:rFonts w:asciiTheme="minorHAnsi" w:hAnsiTheme="minorHAnsi"/>
          <w:bCs/>
          <w:sz w:val="24"/>
          <w:szCs w:val="24"/>
        </w:rPr>
        <w:t xml:space="preserve"> are expected to be </w:t>
      </w:r>
      <w:r w:rsidR="00D6415A" w:rsidRPr="003B355D">
        <w:rPr>
          <w:rFonts w:asciiTheme="minorHAnsi" w:hAnsiTheme="minorHAnsi"/>
          <w:bCs/>
          <w:sz w:val="24"/>
          <w:szCs w:val="24"/>
        </w:rPr>
        <w:t>present</w:t>
      </w:r>
      <w:r w:rsidR="00D37C94" w:rsidRPr="003B355D">
        <w:rPr>
          <w:rFonts w:asciiTheme="minorHAnsi" w:hAnsiTheme="minorHAnsi"/>
          <w:bCs/>
          <w:sz w:val="24"/>
          <w:szCs w:val="24"/>
        </w:rPr>
        <w:t xml:space="preserve">ed </w:t>
      </w:r>
      <w:r w:rsidR="00D6415A" w:rsidRPr="003B355D">
        <w:rPr>
          <w:rFonts w:asciiTheme="minorHAnsi" w:hAnsiTheme="minorHAnsi"/>
          <w:bCs/>
          <w:sz w:val="24"/>
          <w:szCs w:val="24"/>
        </w:rPr>
        <w:t xml:space="preserve">at the European Association for the Study of Diabetes (EASD) annual meeting </w:t>
      </w:r>
      <w:r w:rsidR="00D37C94" w:rsidRPr="003B355D">
        <w:rPr>
          <w:rFonts w:asciiTheme="minorHAnsi" w:hAnsiTheme="minorHAnsi"/>
          <w:bCs/>
          <w:sz w:val="24"/>
          <w:szCs w:val="24"/>
        </w:rPr>
        <w:t xml:space="preserve">in September 2017. </w:t>
      </w:r>
      <w:r w:rsidR="00052BDF" w:rsidRPr="003B355D">
        <w:rPr>
          <w:rFonts w:asciiTheme="minorHAnsi" w:hAnsiTheme="minorHAnsi"/>
          <w:bCs/>
          <w:sz w:val="24"/>
          <w:szCs w:val="24"/>
        </w:rPr>
        <w:t xml:space="preserve">The PBAC noted the </w:t>
      </w:r>
      <w:r w:rsidR="00052BDF" w:rsidRPr="003B355D">
        <w:rPr>
          <w:rFonts w:asciiTheme="minorHAnsi" w:hAnsiTheme="minorHAnsi"/>
          <w:sz w:val="24"/>
          <w:szCs w:val="24"/>
        </w:rPr>
        <w:t>exenatide EXSCEL cardiovascular outcomes trial press release stated that although statistical significance was not reached, there were fewer CV events observed with exenatide. The PBAC considered</w:t>
      </w:r>
      <w:r w:rsidR="00A37F5C" w:rsidRPr="003B355D">
        <w:rPr>
          <w:rFonts w:asciiTheme="minorHAnsi" w:hAnsiTheme="minorHAnsi"/>
          <w:sz w:val="24"/>
          <w:szCs w:val="24"/>
        </w:rPr>
        <w:t xml:space="preserve"> an</w:t>
      </w:r>
      <w:r w:rsidR="00052BDF" w:rsidRPr="003B355D">
        <w:rPr>
          <w:rFonts w:asciiTheme="minorHAnsi" w:hAnsiTheme="minorHAnsi"/>
          <w:sz w:val="24"/>
          <w:szCs w:val="24"/>
        </w:rPr>
        <w:t xml:space="preserve"> </w:t>
      </w:r>
      <w:r w:rsidR="00A37F5C" w:rsidRPr="003B355D">
        <w:rPr>
          <w:rFonts w:asciiTheme="minorHAnsi" w:hAnsiTheme="minorHAnsi"/>
          <w:bCs/>
          <w:sz w:val="24"/>
          <w:szCs w:val="24"/>
        </w:rPr>
        <w:t xml:space="preserve">indirect comparison of liraglutide and exenatide including </w:t>
      </w:r>
      <w:r w:rsidR="00A37F5C" w:rsidRPr="003B355D">
        <w:rPr>
          <w:rFonts w:asciiTheme="minorHAnsi" w:hAnsiTheme="minorHAnsi"/>
          <w:sz w:val="24"/>
          <w:szCs w:val="24"/>
        </w:rPr>
        <w:t xml:space="preserve">full evaluation of the EXSCEL trial </w:t>
      </w:r>
      <w:r w:rsidR="00A37F5C" w:rsidRPr="003B355D">
        <w:rPr>
          <w:rFonts w:asciiTheme="minorHAnsi" w:hAnsiTheme="minorHAnsi"/>
          <w:bCs/>
          <w:sz w:val="24"/>
          <w:szCs w:val="24"/>
        </w:rPr>
        <w:t>patient characteristics and trial results</w:t>
      </w:r>
      <w:r w:rsidR="00A37F5C" w:rsidRPr="003B355D">
        <w:rPr>
          <w:rFonts w:asciiTheme="minorHAnsi" w:hAnsiTheme="minorHAnsi"/>
          <w:sz w:val="24"/>
          <w:szCs w:val="24"/>
        </w:rPr>
        <w:t xml:space="preserve"> was required to quantify how the CV benefits of liraglutide compare to exenatide</w:t>
      </w:r>
      <w:r w:rsidR="00052BDF" w:rsidRPr="003B355D">
        <w:rPr>
          <w:rFonts w:asciiTheme="minorHAnsi" w:hAnsiTheme="minorHAnsi"/>
          <w:sz w:val="24"/>
          <w:szCs w:val="24"/>
        </w:rPr>
        <w:t xml:space="preserve">. </w:t>
      </w:r>
    </w:p>
    <w:p w:rsidR="00683372" w:rsidRPr="003B355D" w:rsidRDefault="00344CC4" w:rsidP="004B1B0A">
      <w:pPr>
        <w:pStyle w:val="ListParagraph"/>
        <w:widowControl/>
        <w:numPr>
          <w:ilvl w:val="1"/>
          <w:numId w:val="3"/>
        </w:numPr>
        <w:spacing w:after="120"/>
        <w:rPr>
          <w:rFonts w:asciiTheme="minorHAnsi" w:hAnsiTheme="minorHAnsi"/>
          <w:bCs/>
          <w:sz w:val="24"/>
          <w:szCs w:val="24"/>
        </w:rPr>
      </w:pPr>
      <w:r w:rsidRPr="003B355D">
        <w:rPr>
          <w:rFonts w:asciiTheme="minorHAnsi" w:hAnsiTheme="minorHAnsi"/>
          <w:bCs/>
          <w:sz w:val="24"/>
          <w:szCs w:val="24"/>
        </w:rPr>
        <w:lastRenderedPageBreak/>
        <w:t>The PBAC recalled it has previously considered liraglutide 1.2 mg once daily to be non-inferior to exenatide 10 µg twice daily in terms of safety when used as dual combination therapy with metformin or a sulfonylurea, and as triple combination therapy with metformin and a sulfonylurea (March 2013 liraglutide PSD, paragraph 12).</w:t>
      </w:r>
      <w:r w:rsidR="004B1B0A" w:rsidRPr="003B355D">
        <w:rPr>
          <w:rFonts w:asciiTheme="minorHAnsi" w:hAnsiTheme="minorHAnsi"/>
          <w:bCs/>
          <w:sz w:val="24"/>
          <w:szCs w:val="24"/>
        </w:rPr>
        <w:t xml:space="preserve"> </w:t>
      </w:r>
      <w:r w:rsidRPr="003B355D">
        <w:rPr>
          <w:rFonts w:asciiTheme="minorHAnsi" w:hAnsiTheme="minorHAnsi"/>
          <w:bCs/>
          <w:sz w:val="24"/>
          <w:szCs w:val="24"/>
        </w:rPr>
        <w:t>It also noted t</w:t>
      </w:r>
      <w:r w:rsidR="0039113E" w:rsidRPr="003B355D">
        <w:rPr>
          <w:rFonts w:asciiTheme="minorHAnsi" w:hAnsiTheme="minorHAnsi"/>
          <w:bCs/>
          <w:sz w:val="24"/>
          <w:szCs w:val="24"/>
        </w:rPr>
        <w:t xml:space="preserve">he reported adverse events in the LEADER trial were consistent with those reported in the broader populations previously considered by the PBAC (liraglutide PSD November 2010, November 2011 and March 2013). However, the proportions of patients reporting all events were substantially smaller in the LEADER trial. </w:t>
      </w:r>
      <w:r w:rsidRPr="003B355D">
        <w:rPr>
          <w:rFonts w:asciiTheme="minorHAnsi" w:hAnsiTheme="minorHAnsi"/>
          <w:bCs/>
          <w:sz w:val="24"/>
          <w:szCs w:val="24"/>
        </w:rPr>
        <w:t xml:space="preserve">Therefore, overall the PBAC did not have specific safety concerns. </w:t>
      </w:r>
    </w:p>
    <w:p w:rsidR="00AA140C" w:rsidRPr="003B355D" w:rsidRDefault="00344CC4" w:rsidP="00EF2CD4">
      <w:pPr>
        <w:widowControl/>
        <w:numPr>
          <w:ilvl w:val="1"/>
          <w:numId w:val="3"/>
        </w:numPr>
        <w:spacing w:after="120"/>
        <w:rPr>
          <w:rFonts w:asciiTheme="minorHAnsi" w:hAnsiTheme="minorHAnsi"/>
          <w:bCs/>
          <w:sz w:val="24"/>
          <w:szCs w:val="24"/>
        </w:rPr>
      </w:pPr>
      <w:r w:rsidRPr="003B355D">
        <w:rPr>
          <w:rFonts w:asciiTheme="minorHAnsi" w:hAnsiTheme="minorHAnsi"/>
          <w:bCs/>
          <w:sz w:val="24"/>
          <w:szCs w:val="24"/>
        </w:rPr>
        <w:t xml:space="preserve">The PBAC considered that the base case economic model did not provide a reliable indication of the cost effectiveness of </w:t>
      </w:r>
      <w:r w:rsidR="002960E9" w:rsidRPr="003B355D">
        <w:rPr>
          <w:rFonts w:asciiTheme="minorHAnsi" w:hAnsiTheme="minorHAnsi"/>
          <w:bCs/>
          <w:sz w:val="24"/>
          <w:szCs w:val="24"/>
        </w:rPr>
        <w:t xml:space="preserve">liraglutide </w:t>
      </w:r>
      <w:r w:rsidR="009606D7" w:rsidRPr="003B355D">
        <w:rPr>
          <w:rFonts w:asciiTheme="minorHAnsi" w:hAnsiTheme="minorHAnsi"/>
          <w:bCs/>
          <w:sz w:val="24"/>
          <w:szCs w:val="24"/>
        </w:rPr>
        <w:t>versus</w:t>
      </w:r>
      <w:r w:rsidR="002960E9" w:rsidRPr="003B355D">
        <w:rPr>
          <w:rFonts w:asciiTheme="minorHAnsi" w:hAnsiTheme="minorHAnsi"/>
          <w:bCs/>
          <w:sz w:val="24"/>
          <w:szCs w:val="24"/>
        </w:rPr>
        <w:t xml:space="preserve"> exenatide</w:t>
      </w:r>
      <w:r w:rsidR="00996FDD" w:rsidRPr="003B355D">
        <w:rPr>
          <w:rFonts w:asciiTheme="minorHAnsi" w:hAnsiTheme="minorHAnsi"/>
          <w:bCs/>
          <w:sz w:val="24"/>
          <w:szCs w:val="24"/>
        </w:rPr>
        <w:t xml:space="preserve"> in terms of cardiovascular risk</w:t>
      </w:r>
      <w:r w:rsidR="002960E9" w:rsidRPr="003B355D">
        <w:rPr>
          <w:rFonts w:asciiTheme="minorHAnsi" w:hAnsiTheme="minorHAnsi"/>
          <w:bCs/>
          <w:sz w:val="24"/>
          <w:szCs w:val="24"/>
        </w:rPr>
        <w:t xml:space="preserve">.  </w:t>
      </w:r>
      <w:r w:rsidR="00513B7F" w:rsidRPr="003B355D">
        <w:rPr>
          <w:rFonts w:asciiTheme="minorHAnsi" w:hAnsiTheme="minorHAnsi"/>
          <w:bCs/>
          <w:sz w:val="24"/>
          <w:szCs w:val="24"/>
        </w:rPr>
        <w:t xml:space="preserve">It noted the economic evaluation assumed that exenatide has no impact of cardiovascular </w:t>
      </w:r>
      <w:r w:rsidR="00AE75F5" w:rsidRPr="003B355D">
        <w:rPr>
          <w:rFonts w:asciiTheme="minorHAnsi" w:hAnsiTheme="minorHAnsi"/>
          <w:bCs/>
          <w:sz w:val="24"/>
          <w:szCs w:val="24"/>
        </w:rPr>
        <w:t>outcomes;</w:t>
      </w:r>
      <w:r w:rsidR="00513B7F" w:rsidRPr="003B355D">
        <w:rPr>
          <w:rFonts w:asciiTheme="minorHAnsi" w:hAnsiTheme="minorHAnsi"/>
          <w:bCs/>
          <w:sz w:val="24"/>
          <w:szCs w:val="24"/>
        </w:rPr>
        <w:t xml:space="preserve"> however</w:t>
      </w:r>
      <w:r w:rsidR="00996FDD" w:rsidRPr="003B355D">
        <w:rPr>
          <w:rFonts w:asciiTheme="minorHAnsi" w:hAnsiTheme="minorHAnsi"/>
          <w:bCs/>
          <w:sz w:val="24"/>
          <w:szCs w:val="24"/>
        </w:rPr>
        <w:t>, this claim</w:t>
      </w:r>
      <w:r w:rsidR="00513B7F" w:rsidRPr="003B355D">
        <w:rPr>
          <w:rFonts w:asciiTheme="minorHAnsi" w:hAnsiTheme="minorHAnsi"/>
          <w:bCs/>
          <w:sz w:val="24"/>
          <w:szCs w:val="24"/>
        </w:rPr>
        <w:t xml:space="preserve"> </w:t>
      </w:r>
      <w:r w:rsidR="00467644">
        <w:rPr>
          <w:rFonts w:asciiTheme="minorHAnsi" w:hAnsiTheme="minorHAnsi"/>
          <w:bCs/>
          <w:sz w:val="24"/>
          <w:szCs w:val="24"/>
        </w:rPr>
        <w:t>was</w:t>
      </w:r>
      <w:r w:rsidR="00467644" w:rsidRPr="003B355D">
        <w:rPr>
          <w:rFonts w:asciiTheme="minorHAnsi" w:hAnsiTheme="minorHAnsi"/>
          <w:bCs/>
          <w:sz w:val="24"/>
          <w:szCs w:val="24"/>
        </w:rPr>
        <w:t xml:space="preserve"> </w:t>
      </w:r>
      <w:r w:rsidR="00513B7F" w:rsidRPr="003B355D">
        <w:rPr>
          <w:rFonts w:asciiTheme="minorHAnsi" w:hAnsiTheme="minorHAnsi"/>
          <w:bCs/>
          <w:sz w:val="24"/>
          <w:szCs w:val="24"/>
        </w:rPr>
        <w:t xml:space="preserve">not </w:t>
      </w:r>
      <w:r w:rsidR="00467644">
        <w:rPr>
          <w:rFonts w:asciiTheme="minorHAnsi" w:hAnsiTheme="minorHAnsi"/>
          <w:bCs/>
          <w:sz w:val="24"/>
          <w:szCs w:val="24"/>
        </w:rPr>
        <w:t>supported</w:t>
      </w:r>
      <w:r w:rsidR="00467644" w:rsidRPr="003B355D">
        <w:rPr>
          <w:rFonts w:asciiTheme="minorHAnsi" w:hAnsiTheme="minorHAnsi"/>
          <w:bCs/>
          <w:sz w:val="24"/>
          <w:szCs w:val="24"/>
        </w:rPr>
        <w:t xml:space="preserve"> </w:t>
      </w:r>
      <w:r w:rsidR="00513B7F" w:rsidRPr="003B355D">
        <w:rPr>
          <w:rFonts w:asciiTheme="minorHAnsi" w:hAnsiTheme="minorHAnsi"/>
          <w:bCs/>
          <w:sz w:val="24"/>
          <w:szCs w:val="24"/>
        </w:rPr>
        <w:t>by the evidence in the submission. Further, t</w:t>
      </w:r>
      <w:r w:rsidR="002960E9" w:rsidRPr="003B355D">
        <w:rPr>
          <w:rFonts w:asciiTheme="minorHAnsi" w:hAnsiTheme="minorHAnsi"/>
          <w:bCs/>
          <w:sz w:val="24"/>
          <w:szCs w:val="24"/>
        </w:rPr>
        <w:t xml:space="preserve">he PBAC agreed with the ESC that PBS subsidised </w:t>
      </w:r>
      <w:r w:rsidR="00996FDD" w:rsidRPr="003B355D">
        <w:rPr>
          <w:rFonts w:asciiTheme="minorHAnsi" w:hAnsiTheme="minorHAnsi"/>
          <w:bCs/>
          <w:sz w:val="24"/>
          <w:szCs w:val="24"/>
        </w:rPr>
        <w:t xml:space="preserve">diabetes medications </w:t>
      </w:r>
      <w:r w:rsidR="002960E9" w:rsidRPr="003B355D">
        <w:rPr>
          <w:rFonts w:asciiTheme="minorHAnsi" w:hAnsiTheme="minorHAnsi"/>
          <w:bCs/>
          <w:sz w:val="24"/>
          <w:szCs w:val="24"/>
        </w:rPr>
        <w:t xml:space="preserve">have been recommended on the basis of an assumed reduction in CV events and the </w:t>
      </w:r>
      <w:r w:rsidR="00513B7F" w:rsidRPr="003B355D">
        <w:rPr>
          <w:rFonts w:asciiTheme="minorHAnsi" w:hAnsiTheme="minorHAnsi"/>
          <w:bCs/>
          <w:sz w:val="24"/>
          <w:szCs w:val="24"/>
        </w:rPr>
        <w:t xml:space="preserve">current </w:t>
      </w:r>
      <w:r w:rsidR="002960E9" w:rsidRPr="003B355D">
        <w:rPr>
          <w:rFonts w:asciiTheme="minorHAnsi" w:hAnsiTheme="minorHAnsi"/>
          <w:bCs/>
          <w:sz w:val="24"/>
          <w:szCs w:val="24"/>
        </w:rPr>
        <w:t>price of diabetes medications</w:t>
      </w:r>
      <w:r w:rsidR="00996FDD" w:rsidRPr="003B355D">
        <w:rPr>
          <w:rFonts w:asciiTheme="minorHAnsi" w:hAnsiTheme="minorHAnsi"/>
          <w:bCs/>
          <w:sz w:val="24"/>
          <w:szCs w:val="24"/>
        </w:rPr>
        <w:t>, including exenatide,</w:t>
      </w:r>
      <w:r w:rsidR="00A37F5C" w:rsidRPr="003B355D">
        <w:rPr>
          <w:rFonts w:asciiTheme="minorHAnsi" w:hAnsiTheme="minorHAnsi"/>
          <w:bCs/>
          <w:sz w:val="24"/>
          <w:szCs w:val="24"/>
        </w:rPr>
        <w:t xml:space="preserve"> </w:t>
      </w:r>
      <w:r w:rsidR="002960E9" w:rsidRPr="003B355D">
        <w:rPr>
          <w:rFonts w:asciiTheme="minorHAnsi" w:hAnsiTheme="minorHAnsi"/>
          <w:bCs/>
          <w:sz w:val="24"/>
          <w:szCs w:val="24"/>
        </w:rPr>
        <w:t xml:space="preserve">incorporates this assumed benefit.  </w:t>
      </w:r>
      <w:r w:rsidR="00917336" w:rsidRPr="003B355D">
        <w:rPr>
          <w:rFonts w:asciiTheme="minorHAnsi" w:hAnsiTheme="minorHAnsi"/>
          <w:sz w:val="24"/>
          <w:szCs w:val="24"/>
        </w:rPr>
        <w:t xml:space="preserve">If it is claimed that exenatide has no impact on CV events it is inappropriate to use the current price of exenatide in the economic model. </w:t>
      </w:r>
      <w:r w:rsidR="00917336" w:rsidRPr="00A53D51">
        <w:rPr>
          <w:rFonts w:asciiTheme="minorHAnsi" w:hAnsiTheme="minorHAnsi"/>
          <w:sz w:val="24"/>
          <w:szCs w:val="24"/>
        </w:rPr>
        <w:t xml:space="preserve">The ESC noted the ICER with the costs of exenatide removed was </w:t>
      </w:r>
      <w:r w:rsidR="00EF2CD4" w:rsidRPr="00A53D51">
        <w:rPr>
          <w:rFonts w:asciiTheme="minorHAnsi" w:hAnsiTheme="minorHAnsi"/>
          <w:sz w:val="24"/>
          <w:szCs w:val="24"/>
        </w:rPr>
        <w:t>$45,000/QALY – $75,000/QALY</w:t>
      </w:r>
      <w:r w:rsidR="00917336" w:rsidRPr="00A53D51">
        <w:rPr>
          <w:rFonts w:asciiTheme="minorHAnsi" w:hAnsiTheme="minorHAnsi"/>
          <w:sz w:val="24"/>
          <w:szCs w:val="24"/>
        </w:rPr>
        <w:t xml:space="preserve">. With the revised prices offered in the PSCR the ICER is </w:t>
      </w:r>
      <w:r w:rsidR="00EF2CD4" w:rsidRPr="00A53D51">
        <w:rPr>
          <w:rFonts w:asciiTheme="minorHAnsi" w:hAnsiTheme="minorHAnsi"/>
          <w:color w:val="000000"/>
          <w:sz w:val="24"/>
          <w:szCs w:val="24"/>
        </w:rPr>
        <w:t>$45,000/QALY – $75,000/QALY</w:t>
      </w:r>
      <w:r w:rsidR="00917336" w:rsidRPr="003B355D">
        <w:rPr>
          <w:rFonts w:asciiTheme="minorHAnsi" w:hAnsiTheme="minorHAnsi"/>
          <w:sz w:val="24"/>
          <w:szCs w:val="24"/>
        </w:rPr>
        <w:t xml:space="preserve">. </w:t>
      </w:r>
      <w:r w:rsidR="004B1B0A" w:rsidRPr="003B355D">
        <w:rPr>
          <w:rFonts w:asciiTheme="minorHAnsi" w:hAnsiTheme="minorHAnsi"/>
          <w:sz w:val="24"/>
          <w:szCs w:val="24"/>
        </w:rPr>
        <w:t>The PBAC noted t</w:t>
      </w:r>
      <w:r w:rsidR="00917336" w:rsidRPr="003B355D">
        <w:rPr>
          <w:rFonts w:asciiTheme="minorHAnsi" w:hAnsiTheme="minorHAnsi"/>
          <w:sz w:val="24"/>
          <w:szCs w:val="24"/>
        </w:rPr>
        <w:t>his ICER is relatively high and suggest</w:t>
      </w:r>
      <w:r w:rsidR="00467644">
        <w:rPr>
          <w:rFonts w:asciiTheme="minorHAnsi" w:hAnsiTheme="minorHAnsi"/>
          <w:sz w:val="24"/>
          <w:szCs w:val="24"/>
        </w:rPr>
        <w:t>s</w:t>
      </w:r>
      <w:r w:rsidR="00917336" w:rsidRPr="003B355D">
        <w:rPr>
          <w:rFonts w:asciiTheme="minorHAnsi" w:hAnsiTheme="minorHAnsi"/>
          <w:sz w:val="24"/>
          <w:szCs w:val="24"/>
        </w:rPr>
        <w:t xml:space="preserve"> that the magnitude of the reduction in CV events observed with liraglutide in the LEADER trial </w:t>
      </w:r>
      <w:r w:rsidR="004B1B0A" w:rsidRPr="003B355D">
        <w:rPr>
          <w:rFonts w:asciiTheme="minorHAnsi" w:hAnsiTheme="minorHAnsi"/>
          <w:sz w:val="24"/>
          <w:szCs w:val="24"/>
        </w:rPr>
        <w:t xml:space="preserve">may </w:t>
      </w:r>
      <w:r w:rsidR="00917336" w:rsidRPr="003B355D">
        <w:rPr>
          <w:rFonts w:asciiTheme="minorHAnsi" w:hAnsiTheme="minorHAnsi"/>
          <w:sz w:val="24"/>
          <w:szCs w:val="24"/>
        </w:rPr>
        <w:t>not support the requested price.</w:t>
      </w:r>
      <w:r w:rsidR="00917336" w:rsidRPr="003B355D">
        <w:rPr>
          <w:rFonts w:asciiTheme="minorHAnsi" w:hAnsiTheme="minorHAnsi"/>
          <w:i/>
          <w:sz w:val="24"/>
          <w:szCs w:val="24"/>
        </w:rPr>
        <w:t xml:space="preserve"> </w:t>
      </w:r>
    </w:p>
    <w:p w:rsidR="00AA5E47" w:rsidRPr="003B355D" w:rsidRDefault="00344CC4" w:rsidP="004B1B0A">
      <w:pPr>
        <w:widowControl/>
        <w:numPr>
          <w:ilvl w:val="1"/>
          <w:numId w:val="3"/>
        </w:numPr>
        <w:spacing w:after="120"/>
        <w:rPr>
          <w:rFonts w:asciiTheme="minorHAnsi" w:hAnsiTheme="minorHAnsi"/>
          <w:bCs/>
          <w:sz w:val="24"/>
          <w:szCs w:val="24"/>
        </w:rPr>
      </w:pPr>
      <w:r w:rsidRPr="003B355D">
        <w:rPr>
          <w:rFonts w:asciiTheme="minorHAnsi" w:hAnsiTheme="minorHAnsi"/>
          <w:bCs/>
          <w:sz w:val="24"/>
          <w:szCs w:val="24"/>
        </w:rPr>
        <w:t xml:space="preserve">The PBAC </w:t>
      </w:r>
      <w:r w:rsidR="00706398" w:rsidRPr="003B355D">
        <w:rPr>
          <w:rFonts w:asciiTheme="minorHAnsi" w:hAnsiTheme="minorHAnsi"/>
          <w:bCs/>
          <w:sz w:val="24"/>
          <w:szCs w:val="24"/>
        </w:rPr>
        <w:t xml:space="preserve">noted the advice from DUSC and agreed </w:t>
      </w:r>
      <w:r w:rsidRPr="003B355D">
        <w:rPr>
          <w:rFonts w:asciiTheme="minorHAnsi" w:hAnsiTheme="minorHAnsi"/>
          <w:bCs/>
          <w:sz w:val="24"/>
          <w:szCs w:val="24"/>
        </w:rPr>
        <w:t>that the estimates of patients likely to use</w:t>
      </w:r>
      <w:r w:rsidR="008C0230" w:rsidRPr="003B355D">
        <w:rPr>
          <w:rFonts w:asciiTheme="minorHAnsi" w:hAnsiTheme="minorHAnsi"/>
          <w:bCs/>
          <w:sz w:val="24"/>
          <w:szCs w:val="24"/>
        </w:rPr>
        <w:t xml:space="preserve"> liraglutide were highly uncertain. </w:t>
      </w:r>
      <w:r w:rsidRPr="003B355D">
        <w:rPr>
          <w:rFonts w:asciiTheme="minorHAnsi" w:hAnsiTheme="minorHAnsi"/>
          <w:bCs/>
          <w:sz w:val="24"/>
          <w:szCs w:val="24"/>
        </w:rPr>
        <w:t xml:space="preserve"> The PBAC </w:t>
      </w:r>
      <w:r w:rsidR="00D105D9" w:rsidRPr="003B355D">
        <w:rPr>
          <w:rFonts w:asciiTheme="minorHAnsi" w:hAnsiTheme="minorHAnsi"/>
          <w:bCs/>
          <w:sz w:val="24"/>
          <w:szCs w:val="24"/>
        </w:rPr>
        <w:t xml:space="preserve">agreed that along with other utilisation issues, the requested </w:t>
      </w:r>
      <w:r w:rsidR="00706398" w:rsidRPr="003B355D">
        <w:rPr>
          <w:rFonts w:asciiTheme="minorHAnsi" w:hAnsiTheme="minorHAnsi"/>
          <w:bCs/>
          <w:sz w:val="24"/>
          <w:szCs w:val="24"/>
        </w:rPr>
        <w:t>restriction</w:t>
      </w:r>
      <w:r w:rsidR="00D105D9" w:rsidRPr="003B355D">
        <w:rPr>
          <w:rFonts w:asciiTheme="minorHAnsi" w:hAnsiTheme="minorHAnsi"/>
          <w:bCs/>
          <w:sz w:val="24"/>
          <w:szCs w:val="24"/>
        </w:rPr>
        <w:t xml:space="preserve"> criteria would likely exclude patients currently receiving non-PBS liraglutide. In addition it was not reasonable to assume liraglutide will </w:t>
      </w:r>
      <w:r w:rsidR="00AA5E47" w:rsidRPr="003B355D">
        <w:rPr>
          <w:rFonts w:asciiTheme="minorHAnsi" w:hAnsiTheme="minorHAnsi"/>
          <w:bCs/>
          <w:sz w:val="24"/>
          <w:szCs w:val="24"/>
        </w:rPr>
        <w:t xml:space="preserve">not </w:t>
      </w:r>
      <w:r w:rsidR="00D105D9" w:rsidRPr="003B355D">
        <w:rPr>
          <w:rFonts w:asciiTheme="minorHAnsi" w:hAnsiTheme="minorHAnsi"/>
          <w:bCs/>
          <w:sz w:val="24"/>
          <w:szCs w:val="24"/>
        </w:rPr>
        <w:t>replace other PBS medications already in use in the high cardiovascular risk population</w:t>
      </w:r>
      <w:r w:rsidR="00FF5B84" w:rsidRPr="003B355D">
        <w:rPr>
          <w:rFonts w:asciiTheme="minorHAnsi" w:hAnsiTheme="minorHAnsi"/>
          <w:bCs/>
          <w:sz w:val="24"/>
          <w:szCs w:val="24"/>
        </w:rPr>
        <w:t xml:space="preserve"> and there is a high risk of potential use outside the proposed restriction</w:t>
      </w:r>
      <w:r w:rsidR="00D105D9" w:rsidRPr="003B355D">
        <w:rPr>
          <w:rFonts w:asciiTheme="minorHAnsi" w:hAnsiTheme="minorHAnsi"/>
          <w:bCs/>
          <w:sz w:val="24"/>
          <w:szCs w:val="24"/>
        </w:rPr>
        <w:t xml:space="preserve">.  </w:t>
      </w:r>
    </w:p>
    <w:p w:rsidR="00683372" w:rsidRPr="003B355D" w:rsidRDefault="00AA5E47" w:rsidP="004B1B0A">
      <w:pPr>
        <w:widowControl/>
        <w:numPr>
          <w:ilvl w:val="1"/>
          <w:numId w:val="3"/>
        </w:numPr>
        <w:spacing w:after="120"/>
        <w:rPr>
          <w:rFonts w:asciiTheme="minorHAnsi" w:hAnsiTheme="minorHAnsi"/>
          <w:bCs/>
          <w:sz w:val="24"/>
          <w:szCs w:val="24"/>
        </w:rPr>
      </w:pPr>
      <w:r w:rsidRPr="003B355D">
        <w:rPr>
          <w:rFonts w:asciiTheme="minorHAnsi" w:hAnsiTheme="minorHAnsi"/>
          <w:bCs/>
          <w:sz w:val="24"/>
          <w:szCs w:val="24"/>
        </w:rPr>
        <w:t xml:space="preserve">The PBAC considered a </w:t>
      </w:r>
      <w:r w:rsidR="00FF5B84" w:rsidRPr="003B355D">
        <w:rPr>
          <w:rFonts w:asciiTheme="minorHAnsi" w:hAnsiTheme="minorHAnsi"/>
          <w:bCs/>
          <w:sz w:val="24"/>
          <w:szCs w:val="24"/>
        </w:rPr>
        <w:t xml:space="preserve">major </w:t>
      </w:r>
      <w:r w:rsidRPr="003B355D">
        <w:rPr>
          <w:rFonts w:asciiTheme="minorHAnsi" w:hAnsiTheme="minorHAnsi"/>
          <w:bCs/>
          <w:sz w:val="24"/>
          <w:szCs w:val="24"/>
        </w:rPr>
        <w:t>resubmission would be most informative if it included:</w:t>
      </w:r>
    </w:p>
    <w:p w:rsidR="00327880" w:rsidRPr="003B355D" w:rsidRDefault="00AF7818" w:rsidP="004B1B0A">
      <w:pPr>
        <w:widowControl/>
        <w:numPr>
          <w:ilvl w:val="1"/>
          <w:numId w:val="42"/>
        </w:numPr>
        <w:spacing w:after="120"/>
        <w:ind w:left="1418"/>
        <w:rPr>
          <w:rFonts w:asciiTheme="minorHAnsi" w:hAnsiTheme="minorHAnsi"/>
          <w:bCs/>
          <w:sz w:val="24"/>
          <w:szCs w:val="24"/>
        </w:rPr>
      </w:pPr>
      <w:r w:rsidRPr="003B355D">
        <w:rPr>
          <w:rFonts w:asciiTheme="minorHAnsi" w:hAnsiTheme="minorHAnsi"/>
          <w:bCs/>
          <w:sz w:val="24"/>
          <w:szCs w:val="24"/>
        </w:rPr>
        <w:t xml:space="preserve">December ACM meeting </w:t>
      </w:r>
      <w:r w:rsidR="00AA5E47" w:rsidRPr="003B355D">
        <w:rPr>
          <w:rFonts w:asciiTheme="minorHAnsi" w:hAnsiTheme="minorHAnsi"/>
          <w:bCs/>
          <w:sz w:val="24"/>
          <w:szCs w:val="24"/>
        </w:rPr>
        <w:t xml:space="preserve">advice </w:t>
      </w:r>
      <w:r w:rsidRPr="003B355D">
        <w:rPr>
          <w:rFonts w:asciiTheme="minorHAnsi" w:hAnsiTheme="minorHAnsi"/>
          <w:bCs/>
          <w:sz w:val="24"/>
          <w:szCs w:val="24"/>
        </w:rPr>
        <w:t xml:space="preserve">for review of </w:t>
      </w:r>
      <w:r w:rsidR="00AA5E47" w:rsidRPr="003B355D">
        <w:rPr>
          <w:rFonts w:asciiTheme="minorHAnsi" w:hAnsiTheme="minorHAnsi"/>
          <w:bCs/>
          <w:sz w:val="24"/>
          <w:szCs w:val="24"/>
        </w:rPr>
        <w:t xml:space="preserve">the </w:t>
      </w:r>
      <w:r w:rsidRPr="003B355D">
        <w:rPr>
          <w:rFonts w:asciiTheme="minorHAnsi" w:hAnsiTheme="minorHAnsi"/>
          <w:bCs/>
          <w:sz w:val="24"/>
          <w:szCs w:val="24"/>
        </w:rPr>
        <w:t>proposed indication</w:t>
      </w:r>
    </w:p>
    <w:p w:rsidR="00AA5E47" w:rsidRPr="003B355D" w:rsidRDefault="00AA5E47" w:rsidP="004B1B0A">
      <w:pPr>
        <w:widowControl/>
        <w:numPr>
          <w:ilvl w:val="1"/>
          <w:numId w:val="42"/>
        </w:numPr>
        <w:spacing w:after="120"/>
        <w:ind w:left="1418"/>
        <w:rPr>
          <w:rFonts w:asciiTheme="minorHAnsi" w:hAnsiTheme="minorHAnsi"/>
          <w:bCs/>
          <w:sz w:val="24"/>
          <w:szCs w:val="24"/>
        </w:rPr>
      </w:pPr>
      <w:r w:rsidRPr="003B355D">
        <w:rPr>
          <w:rFonts w:asciiTheme="minorHAnsi" w:hAnsiTheme="minorHAnsi"/>
          <w:bCs/>
          <w:sz w:val="24"/>
          <w:szCs w:val="24"/>
        </w:rPr>
        <w:t>results from the EXSCEL trial (</w:t>
      </w:r>
      <w:r w:rsidR="00FF5B84" w:rsidRPr="003B355D">
        <w:rPr>
          <w:rFonts w:asciiTheme="minorHAnsi" w:hAnsiTheme="minorHAnsi"/>
          <w:bCs/>
          <w:sz w:val="24"/>
          <w:szCs w:val="24"/>
        </w:rPr>
        <w:t xml:space="preserve">for consideration of </w:t>
      </w:r>
      <w:r w:rsidRPr="003B355D">
        <w:rPr>
          <w:rFonts w:asciiTheme="minorHAnsi" w:hAnsiTheme="minorHAnsi"/>
          <w:bCs/>
          <w:sz w:val="24"/>
          <w:szCs w:val="24"/>
        </w:rPr>
        <w:t xml:space="preserve">exenatide as </w:t>
      </w:r>
      <w:r w:rsidR="00FF5B84" w:rsidRPr="003B355D">
        <w:rPr>
          <w:rFonts w:asciiTheme="minorHAnsi" w:hAnsiTheme="minorHAnsi"/>
          <w:bCs/>
          <w:sz w:val="24"/>
          <w:szCs w:val="24"/>
        </w:rPr>
        <w:t xml:space="preserve">the main </w:t>
      </w:r>
      <w:r w:rsidRPr="003B355D">
        <w:rPr>
          <w:rFonts w:asciiTheme="minorHAnsi" w:hAnsiTheme="minorHAnsi"/>
          <w:bCs/>
          <w:sz w:val="24"/>
          <w:szCs w:val="24"/>
        </w:rPr>
        <w:t>comparator)</w:t>
      </w:r>
    </w:p>
    <w:p w:rsidR="00AA5E47" w:rsidRPr="003B355D" w:rsidRDefault="00FF5B84" w:rsidP="004B1B0A">
      <w:pPr>
        <w:widowControl/>
        <w:numPr>
          <w:ilvl w:val="1"/>
          <w:numId w:val="42"/>
        </w:numPr>
        <w:spacing w:after="120"/>
        <w:ind w:left="1418"/>
        <w:rPr>
          <w:rFonts w:asciiTheme="minorHAnsi" w:hAnsiTheme="minorHAnsi"/>
          <w:bCs/>
          <w:sz w:val="24"/>
          <w:szCs w:val="24"/>
        </w:rPr>
      </w:pPr>
      <w:r w:rsidRPr="003B355D">
        <w:rPr>
          <w:rFonts w:asciiTheme="minorHAnsi" w:hAnsiTheme="minorHAnsi"/>
          <w:bCs/>
          <w:sz w:val="24"/>
          <w:szCs w:val="24"/>
        </w:rPr>
        <w:t>c</w:t>
      </w:r>
      <w:r w:rsidR="00AA5E47" w:rsidRPr="003B355D">
        <w:rPr>
          <w:rFonts w:asciiTheme="minorHAnsi" w:hAnsiTheme="minorHAnsi"/>
          <w:bCs/>
          <w:sz w:val="24"/>
          <w:szCs w:val="24"/>
        </w:rPr>
        <w:t>onsideration of liraglutide in the broader context of other glucose lowering comparators likely to be replaced</w:t>
      </w:r>
      <w:r w:rsidRPr="003B355D">
        <w:rPr>
          <w:rFonts w:asciiTheme="minorHAnsi" w:hAnsiTheme="minorHAnsi"/>
          <w:bCs/>
          <w:sz w:val="24"/>
          <w:szCs w:val="24"/>
        </w:rPr>
        <w:t>,</w:t>
      </w:r>
      <w:r w:rsidR="00AA5E47" w:rsidRPr="003B355D">
        <w:rPr>
          <w:rFonts w:asciiTheme="minorHAnsi" w:hAnsiTheme="minorHAnsi"/>
          <w:bCs/>
          <w:sz w:val="24"/>
          <w:szCs w:val="24"/>
        </w:rPr>
        <w:t xml:space="preserve"> such as </w:t>
      </w:r>
      <w:proofErr w:type="spellStart"/>
      <w:r w:rsidR="00AA5E47" w:rsidRPr="003B355D">
        <w:rPr>
          <w:rFonts w:asciiTheme="minorHAnsi" w:hAnsiTheme="minorHAnsi"/>
          <w:bCs/>
          <w:sz w:val="24"/>
          <w:szCs w:val="24"/>
        </w:rPr>
        <w:t>empagliflozin</w:t>
      </w:r>
      <w:proofErr w:type="spellEnd"/>
    </w:p>
    <w:p w:rsidR="00AA5E47" w:rsidRPr="003B355D" w:rsidRDefault="00FF5B84" w:rsidP="004B1B0A">
      <w:pPr>
        <w:widowControl/>
        <w:numPr>
          <w:ilvl w:val="1"/>
          <w:numId w:val="42"/>
        </w:numPr>
        <w:spacing w:after="120"/>
        <w:ind w:left="1418"/>
        <w:rPr>
          <w:rFonts w:asciiTheme="minorHAnsi" w:hAnsiTheme="minorHAnsi"/>
          <w:bCs/>
          <w:sz w:val="24"/>
          <w:szCs w:val="24"/>
        </w:rPr>
      </w:pPr>
      <w:r w:rsidRPr="003B355D">
        <w:rPr>
          <w:rFonts w:asciiTheme="minorHAnsi" w:hAnsiTheme="minorHAnsi"/>
          <w:bCs/>
          <w:sz w:val="24"/>
          <w:szCs w:val="24"/>
        </w:rPr>
        <w:t>c</w:t>
      </w:r>
      <w:r w:rsidR="00AA5E47" w:rsidRPr="003B355D">
        <w:rPr>
          <w:rFonts w:asciiTheme="minorHAnsi" w:hAnsiTheme="minorHAnsi"/>
          <w:bCs/>
          <w:sz w:val="24"/>
          <w:szCs w:val="24"/>
        </w:rPr>
        <w:t xml:space="preserve">onsideration of the additive benefit of liraglutide compared with other CV lowering therapies (lifestyle, blood pressure lowering, statins, </w:t>
      </w:r>
      <w:proofErr w:type="spellStart"/>
      <w:r w:rsidR="00AA5E47" w:rsidRPr="003B355D">
        <w:rPr>
          <w:rFonts w:asciiTheme="minorHAnsi" w:hAnsiTheme="minorHAnsi"/>
          <w:bCs/>
          <w:sz w:val="24"/>
          <w:szCs w:val="24"/>
        </w:rPr>
        <w:t>antithrombotics</w:t>
      </w:r>
      <w:proofErr w:type="spellEnd"/>
      <w:r w:rsidR="00AA5E47" w:rsidRPr="003B355D">
        <w:rPr>
          <w:rFonts w:asciiTheme="minorHAnsi" w:hAnsiTheme="minorHAnsi"/>
          <w:bCs/>
          <w:sz w:val="24"/>
          <w:szCs w:val="24"/>
        </w:rPr>
        <w:t xml:space="preserve">, </w:t>
      </w:r>
      <w:proofErr w:type="spellStart"/>
      <w:r w:rsidR="00AA5E47" w:rsidRPr="003B355D">
        <w:rPr>
          <w:rFonts w:asciiTheme="minorHAnsi" w:hAnsiTheme="minorHAnsi"/>
          <w:bCs/>
          <w:sz w:val="24"/>
          <w:szCs w:val="24"/>
        </w:rPr>
        <w:t>ACEi</w:t>
      </w:r>
      <w:proofErr w:type="spellEnd"/>
      <w:r w:rsidR="00AA5E47" w:rsidRPr="003B355D">
        <w:rPr>
          <w:rFonts w:asciiTheme="minorHAnsi" w:hAnsiTheme="minorHAnsi"/>
          <w:bCs/>
          <w:sz w:val="24"/>
          <w:szCs w:val="24"/>
        </w:rPr>
        <w:t>/ARBs)</w:t>
      </w:r>
    </w:p>
    <w:p w:rsidR="00AA5E47" w:rsidRPr="003B355D" w:rsidRDefault="00FF5B84" w:rsidP="004B1B0A">
      <w:pPr>
        <w:widowControl/>
        <w:numPr>
          <w:ilvl w:val="1"/>
          <w:numId w:val="42"/>
        </w:numPr>
        <w:spacing w:after="120"/>
        <w:ind w:left="1418"/>
        <w:rPr>
          <w:rFonts w:asciiTheme="minorHAnsi" w:hAnsiTheme="minorHAnsi"/>
          <w:bCs/>
          <w:sz w:val="24"/>
          <w:szCs w:val="24"/>
        </w:rPr>
      </w:pPr>
      <w:r w:rsidRPr="003B355D">
        <w:rPr>
          <w:rFonts w:asciiTheme="minorHAnsi" w:hAnsiTheme="minorHAnsi"/>
          <w:bCs/>
          <w:sz w:val="24"/>
          <w:szCs w:val="24"/>
        </w:rPr>
        <w:lastRenderedPageBreak/>
        <w:t>c</w:t>
      </w:r>
      <w:r w:rsidR="00AA5E47" w:rsidRPr="003B355D">
        <w:rPr>
          <w:rFonts w:asciiTheme="minorHAnsi" w:hAnsiTheme="minorHAnsi"/>
          <w:bCs/>
          <w:sz w:val="24"/>
          <w:szCs w:val="24"/>
        </w:rPr>
        <w:t xml:space="preserve">larification </w:t>
      </w:r>
      <w:r w:rsidRPr="003B355D">
        <w:rPr>
          <w:rFonts w:asciiTheme="minorHAnsi" w:hAnsiTheme="minorHAnsi"/>
          <w:bCs/>
          <w:sz w:val="24"/>
          <w:szCs w:val="24"/>
        </w:rPr>
        <w:t>of</w:t>
      </w:r>
      <w:r w:rsidR="00AA5E47" w:rsidRPr="003B355D">
        <w:rPr>
          <w:rFonts w:asciiTheme="minorHAnsi" w:hAnsiTheme="minorHAnsi"/>
          <w:bCs/>
          <w:sz w:val="24"/>
          <w:szCs w:val="24"/>
        </w:rPr>
        <w:t xml:space="preserve"> the restriction criteria to identify those in the Australian population most likely to benefit, in the context of the subgroup analysis from the relevant trial</w:t>
      </w:r>
    </w:p>
    <w:p w:rsidR="00AA5E47" w:rsidRPr="003B355D" w:rsidRDefault="00FF5B84" w:rsidP="004B1B0A">
      <w:pPr>
        <w:widowControl/>
        <w:numPr>
          <w:ilvl w:val="1"/>
          <w:numId w:val="42"/>
        </w:numPr>
        <w:spacing w:after="120"/>
        <w:ind w:left="1418"/>
        <w:rPr>
          <w:rFonts w:asciiTheme="minorHAnsi" w:hAnsiTheme="minorHAnsi"/>
          <w:bCs/>
          <w:sz w:val="24"/>
          <w:szCs w:val="24"/>
        </w:rPr>
      </w:pPr>
      <w:r w:rsidRPr="003B355D">
        <w:rPr>
          <w:rFonts w:asciiTheme="minorHAnsi" w:hAnsiTheme="minorHAnsi"/>
          <w:bCs/>
          <w:sz w:val="24"/>
          <w:szCs w:val="24"/>
        </w:rPr>
        <w:t>an</w:t>
      </w:r>
      <w:r w:rsidR="00AA5E47" w:rsidRPr="003B355D">
        <w:rPr>
          <w:rFonts w:asciiTheme="minorHAnsi" w:hAnsiTheme="minorHAnsi"/>
          <w:bCs/>
          <w:sz w:val="24"/>
          <w:szCs w:val="24"/>
        </w:rPr>
        <w:t xml:space="preserve"> economic evaluation </w:t>
      </w:r>
      <w:r w:rsidRPr="003B355D">
        <w:rPr>
          <w:rFonts w:asciiTheme="minorHAnsi" w:hAnsiTheme="minorHAnsi"/>
          <w:bCs/>
          <w:sz w:val="24"/>
          <w:szCs w:val="24"/>
        </w:rPr>
        <w:t>that includes:</w:t>
      </w:r>
    </w:p>
    <w:p w:rsidR="00AA5E47" w:rsidRPr="003B355D" w:rsidRDefault="00AA5E47" w:rsidP="004B1B0A">
      <w:pPr>
        <w:widowControl/>
        <w:numPr>
          <w:ilvl w:val="1"/>
          <w:numId w:val="44"/>
        </w:numPr>
        <w:spacing w:after="120"/>
        <w:ind w:left="1701" w:hanging="283"/>
        <w:rPr>
          <w:rFonts w:asciiTheme="minorHAnsi" w:hAnsiTheme="minorHAnsi"/>
          <w:bCs/>
          <w:sz w:val="24"/>
          <w:szCs w:val="24"/>
        </w:rPr>
      </w:pPr>
      <w:r w:rsidRPr="003B355D">
        <w:rPr>
          <w:rFonts w:asciiTheme="minorHAnsi" w:hAnsiTheme="minorHAnsi"/>
          <w:bCs/>
          <w:sz w:val="24"/>
          <w:szCs w:val="24"/>
        </w:rPr>
        <w:t>reduction in cardiovascular risk likely from comparators or more complete justif</w:t>
      </w:r>
      <w:r w:rsidR="00FF5B84" w:rsidRPr="003B355D">
        <w:rPr>
          <w:rFonts w:asciiTheme="minorHAnsi" w:hAnsiTheme="minorHAnsi"/>
          <w:bCs/>
          <w:sz w:val="24"/>
          <w:szCs w:val="24"/>
        </w:rPr>
        <w:t>ication</w:t>
      </w:r>
      <w:r w:rsidRPr="003B355D">
        <w:rPr>
          <w:rFonts w:asciiTheme="minorHAnsi" w:hAnsiTheme="minorHAnsi"/>
          <w:bCs/>
          <w:sz w:val="24"/>
          <w:szCs w:val="24"/>
        </w:rPr>
        <w:t xml:space="preserve"> why no CV benefit is assumed</w:t>
      </w:r>
    </w:p>
    <w:p w:rsidR="00AA5E47" w:rsidRPr="003B355D" w:rsidRDefault="00FF5B84" w:rsidP="004B1B0A">
      <w:pPr>
        <w:widowControl/>
        <w:numPr>
          <w:ilvl w:val="1"/>
          <w:numId w:val="44"/>
        </w:numPr>
        <w:spacing w:after="120"/>
        <w:ind w:left="1701" w:hanging="283"/>
        <w:rPr>
          <w:rFonts w:asciiTheme="minorHAnsi" w:hAnsiTheme="minorHAnsi"/>
          <w:bCs/>
          <w:sz w:val="24"/>
          <w:szCs w:val="24"/>
        </w:rPr>
      </w:pPr>
      <w:proofErr w:type="gramStart"/>
      <w:r w:rsidRPr="003B355D">
        <w:rPr>
          <w:rFonts w:asciiTheme="minorHAnsi" w:hAnsiTheme="minorHAnsi"/>
          <w:bCs/>
          <w:sz w:val="24"/>
          <w:szCs w:val="24"/>
        </w:rPr>
        <w:t>o</w:t>
      </w:r>
      <w:r w:rsidR="00AA5E47" w:rsidRPr="003B355D">
        <w:rPr>
          <w:rFonts w:asciiTheme="minorHAnsi" w:hAnsiTheme="minorHAnsi"/>
          <w:bCs/>
          <w:sz w:val="24"/>
          <w:szCs w:val="24"/>
        </w:rPr>
        <w:t>nly</w:t>
      </w:r>
      <w:proofErr w:type="gramEnd"/>
      <w:r w:rsidR="00AA5E47" w:rsidRPr="003B355D">
        <w:rPr>
          <w:rFonts w:asciiTheme="minorHAnsi" w:hAnsiTheme="minorHAnsi"/>
          <w:bCs/>
          <w:sz w:val="24"/>
          <w:szCs w:val="24"/>
        </w:rPr>
        <w:t xml:space="preserve"> health states for which liraglutide has demonstrable incremental benefit</w:t>
      </w:r>
      <w:r w:rsidRPr="003B355D">
        <w:rPr>
          <w:rFonts w:asciiTheme="minorHAnsi" w:hAnsiTheme="minorHAnsi"/>
          <w:bCs/>
          <w:sz w:val="24"/>
          <w:szCs w:val="24"/>
        </w:rPr>
        <w:t>.</w:t>
      </w:r>
    </w:p>
    <w:p w:rsidR="009A6C1E" w:rsidRPr="003B355D" w:rsidRDefault="00683372" w:rsidP="004B1B0A">
      <w:pPr>
        <w:widowControl/>
        <w:numPr>
          <w:ilvl w:val="1"/>
          <w:numId w:val="3"/>
        </w:numPr>
        <w:spacing w:after="120"/>
        <w:rPr>
          <w:rFonts w:asciiTheme="minorHAnsi" w:hAnsiTheme="minorHAnsi"/>
          <w:bCs/>
          <w:sz w:val="24"/>
          <w:szCs w:val="24"/>
        </w:rPr>
      </w:pPr>
      <w:r w:rsidRPr="003B355D">
        <w:rPr>
          <w:rFonts w:asciiTheme="minorHAnsi" w:hAnsiTheme="minorHAnsi"/>
          <w:bCs/>
          <w:sz w:val="24"/>
          <w:szCs w:val="24"/>
        </w:rPr>
        <w:t xml:space="preserve">The PBAC </w:t>
      </w:r>
      <w:r w:rsidR="009A6C1E" w:rsidRPr="003B355D">
        <w:rPr>
          <w:rFonts w:asciiTheme="minorHAnsi" w:hAnsiTheme="minorHAnsi"/>
          <w:bCs/>
          <w:sz w:val="24"/>
          <w:szCs w:val="24"/>
        </w:rPr>
        <w:t xml:space="preserve">noted that this submission is </w:t>
      </w:r>
      <w:r w:rsidRPr="003B355D">
        <w:rPr>
          <w:rFonts w:asciiTheme="minorHAnsi" w:hAnsiTheme="minorHAnsi"/>
          <w:bCs/>
          <w:sz w:val="24"/>
          <w:szCs w:val="24"/>
        </w:rPr>
        <w:t xml:space="preserve">eligible for an Independent Review. </w:t>
      </w:r>
    </w:p>
    <w:p w:rsidR="009A6C1E" w:rsidRDefault="009A6C1E" w:rsidP="009A6C1E">
      <w:pPr>
        <w:widowControl/>
        <w:spacing w:after="120"/>
        <w:ind w:left="720"/>
        <w:jc w:val="left"/>
        <w:rPr>
          <w:rFonts w:asciiTheme="minorHAnsi" w:hAnsiTheme="minorHAnsi"/>
          <w:b/>
          <w:bCs/>
          <w:sz w:val="24"/>
          <w:szCs w:val="24"/>
        </w:rPr>
      </w:pPr>
    </w:p>
    <w:p w:rsidR="00CA0D36" w:rsidRPr="003B355D" w:rsidRDefault="00CA0D36" w:rsidP="009A6C1E">
      <w:pPr>
        <w:widowControl/>
        <w:spacing w:after="120"/>
        <w:ind w:left="720"/>
        <w:jc w:val="left"/>
        <w:rPr>
          <w:rFonts w:asciiTheme="minorHAnsi" w:hAnsiTheme="minorHAnsi"/>
          <w:b/>
          <w:bCs/>
          <w:sz w:val="24"/>
          <w:szCs w:val="24"/>
        </w:rPr>
      </w:pPr>
    </w:p>
    <w:p w:rsidR="00683372" w:rsidRPr="00B813EA" w:rsidRDefault="00683372" w:rsidP="009A6C1E">
      <w:pPr>
        <w:widowControl/>
        <w:spacing w:after="120"/>
        <w:jc w:val="left"/>
        <w:rPr>
          <w:rFonts w:asciiTheme="minorHAnsi" w:hAnsiTheme="minorHAnsi"/>
          <w:b/>
          <w:bCs/>
          <w:sz w:val="28"/>
          <w:szCs w:val="28"/>
        </w:rPr>
      </w:pPr>
      <w:r w:rsidRPr="00B813EA">
        <w:rPr>
          <w:rFonts w:asciiTheme="minorHAnsi" w:hAnsiTheme="minorHAnsi"/>
          <w:b/>
          <w:bCs/>
          <w:sz w:val="28"/>
          <w:szCs w:val="28"/>
        </w:rPr>
        <w:t>Outcome:</w:t>
      </w:r>
    </w:p>
    <w:p w:rsidR="00683372" w:rsidRDefault="00683372" w:rsidP="00683372">
      <w:pPr>
        <w:widowControl/>
        <w:spacing w:after="120"/>
        <w:rPr>
          <w:rFonts w:asciiTheme="minorHAnsi" w:hAnsiTheme="minorHAnsi"/>
          <w:bCs/>
          <w:sz w:val="24"/>
          <w:szCs w:val="24"/>
        </w:rPr>
      </w:pPr>
      <w:r w:rsidRPr="003B355D">
        <w:rPr>
          <w:rFonts w:asciiTheme="minorHAnsi" w:hAnsiTheme="minorHAnsi"/>
          <w:bCs/>
          <w:sz w:val="24"/>
          <w:szCs w:val="24"/>
        </w:rPr>
        <w:t xml:space="preserve">Rejected </w:t>
      </w:r>
    </w:p>
    <w:p w:rsidR="00B64813" w:rsidRPr="009C21DB" w:rsidRDefault="00B64813" w:rsidP="00683372">
      <w:pPr>
        <w:widowControl/>
        <w:spacing w:after="120"/>
        <w:rPr>
          <w:rFonts w:asciiTheme="minorHAnsi" w:hAnsiTheme="minorHAnsi"/>
          <w:bCs/>
          <w:sz w:val="24"/>
          <w:szCs w:val="24"/>
        </w:rPr>
      </w:pPr>
    </w:p>
    <w:p w:rsidR="00B64813" w:rsidRPr="00D453F1" w:rsidRDefault="00D453F1" w:rsidP="00D453F1">
      <w:pPr>
        <w:pStyle w:val="Heading1"/>
        <w:keepNext/>
        <w:keepLines/>
        <w:widowControl/>
        <w:numPr>
          <w:ilvl w:val="0"/>
          <w:numId w:val="3"/>
        </w:numPr>
        <w:spacing w:before="400" w:after="120"/>
        <w:ind w:left="432" w:hanging="432"/>
        <w:jc w:val="left"/>
        <w:rPr>
          <w:bCs/>
          <w:szCs w:val="32"/>
        </w:rPr>
      </w:pPr>
      <w:r w:rsidRPr="00D453F1">
        <w:rPr>
          <w:bCs/>
          <w:szCs w:val="32"/>
        </w:rPr>
        <w:t>C</w:t>
      </w:r>
      <w:r w:rsidRPr="00D453F1">
        <w:rPr>
          <w:bCs/>
          <w:caps w:val="0"/>
          <w:szCs w:val="32"/>
        </w:rPr>
        <w:t>ontext for decision</w:t>
      </w:r>
    </w:p>
    <w:p w:rsidR="00B64813" w:rsidRPr="009C21DB" w:rsidRDefault="00B64813" w:rsidP="00B64813">
      <w:pPr>
        <w:widowControl/>
        <w:spacing w:line="276" w:lineRule="auto"/>
        <w:ind w:left="426"/>
        <w:rPr>
          <w:rFonts w:asciiTheme="minorHAnsi" w:eastAsiaTheme="minorHAnsi" w:hAnsiTheme="minorHAnsi"/>
          <w:snapToGrid/>
          <w:sz w:val="24"/>
          <w:szCs w:val="24"/>
        </w:rPr>
      </w:pPr>
    </w:p>
    <w:p w:rsidR="00B64813" w:rsidRPr="009C21DB" w:rsidRDefault="00B64813" w:rsidP="00B64813">
      <w:pPr>
        <w:widowControl/>
        <w:spacing w:line="276" w:lineRule="auto"/>
        <w:ind w:left="426"/>
        <w:rPr>
          <w:rFonts w:asciiTheme="minorHAnsi" w:eastAsiaTheme="minorHAnsi" w:hAnsiTheme="minorHAnsi"/>
          <w:snapToGrid/>
          <w:sz w:val="24"/>
          <w:szCs w:val="24"/>
        </w:rPr>
      </w:pPr>
      <w:r w:rsidRPr="009C21DB">
        <w:rPr>
          <w:rFonts w:asciiTheme="minorHAnsi" w:eastAsiaTheme="minorHAnsi" w:hAnsiTheme="minorHAnsi"/>
          <w:snapToGrid/>
          <w:sz w:val="24"/>
          <w:szCs w:val="24"/>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B64813" w:rsidRPr="009C21DB" w:rsidRDefault="00B64813" w:rsidP="00B64813">
      <w:pPr>
        <w:widowControl/>
        <w:spacing w:after="200" w:line="276" w:lineRule="auto"/>
        <w:ind w:left="426"/>
        <w:rPr>
          <w:rFonts w:asciiTheme="minorHAnsi" w:eastAsiaTheme="minorHAnsi" w:hAnsiTheme="minorHAnsi"/>
          <w:snapToGrid/>
          <w:sz w:val="24"/>
          <w:szCs w:val="24"/>
        </w:rPr>
      </w:pPr>
    </w:p>
    <w:p w:rsidR="00B64813" w:rsidRPr="006E00A9" w:rsidRDefault="00B64813" w:rsidP="00B64813">
      <w:pPr>
        <w:pStyle w:val="Heading1"/>
        <w:keepNext/>
        <w:keepLines/>
        <w:widowControl/>
        <w:numPr>
          <w:ilvl w:val="0"/>
          <w:numId w:val="3"/>
        </w:numPr>
        <w:spacing w:before="400" w:after="120" w:line="276" w:lineRule="auto"/>
        <w:ind w:left="426" w:hanging="432"/>
        <w:jc w:val="left"/>
        <w:rPr>
          <w:rFonts w:eastAsiaTheme="minorHAnsi"/>
          <w:bCs/>
          <w:snapToGrid/>
          <w:szCs w:val="32"/>
          <w:lang w:val="en-GB"/>
        </w:rPr>
      </w:pPr>
      <w:r w:rsidRPr="006E00A9">
        <w:rPr>
          <w:bCs/>
          <w:szCs w:val="32"/>
        </w:rPr>
        <w:t>S</w:t>
      </w:r>
      <w:r w:rsidR="00D453F1" w:rsidRPr="006E00A9">
        <w:rPr>
          <w:bCs/>
          <w:caps w:val="0"/>
          <w:szCs w:val="32"/>
        </w:rPr>
        <w:t>ponsor’s Comment</w:t>
      </w:r>
    </w:p>
    <w:p w:rsidR="00B64813" w:rsidRPr="009C21DB" w:rsidRDefault="00B64813" w:rsidP="00B64813">
      <w:pPr>
        <w:widowControl/>
        <w:spacing w:after="120" w:line="276" w:lineRule="auto"/>
        <w:ind w:left="426"/>
        <w:rPr>
          <w:rFonts w:asciiTheme="minorHAnsi" w:eastAsiaTheme="minorHAnsi" w:hAnsiTheme="minorHAnsi"/>
          <w:bCs/>
          <w:snapToGrid/>
          <w:sz w:val="24"/>
          <w:szCs w:val="24"/>
        </w:rPr>
      </w:pPr>
      <w:r w:rsidRPr="009C21DB">
        <w:rPr>
          <w:rFonts w:asciiTheme="minorHAnsi" w:eastAsiaTheme="minorHAnsi" w:hAnsiTheme="minorHAnsi"/>
          <w:bCs/>
          <w:snapToGrid/>
          <w:sz w:val="24"/>
          <w:szCs w:val="24"/>
        </w:rPr>
        <w:t>The sponsor had no comment.</w:t>
      </w:r>
    </w:p>
    <w:p w:rsidR="00561A19" w:rsidRDefault="00561A19" w:rsidP="00414DD0">
      <w:pPr>
        <w:contextualSpacing/>
        <w:rPr>
          <w:rFonts w:asciiTheme="minorHAnsi" w:hAnsiTheme="minorHAnsi"/>
          <w:bCs/>
          <w:i/>
          <w:sz w:val="24"/>
          <w:szCs w:val="24"/>
        </w:rPr>
      </w:pPr>
    </w:p>
    <w:p w:rsidR="00B64813" w:rsidRPr="003B355D" w:rsidRDefault="00B64813" w:rsidP="00414DD0">
      <w:pPr>
        <w:contextualSpacing/>
        <w:rPr>
          <w:rFonts w:asciiTheme="minorHAnsi" w:hAnsiTheme="minorHAnsi"/>
          <w:bCs/>
          <w:i/>
          <w:sz w:val="24"/>
          <w:szCs w:val="24"/>
        </w:rPr>
      </w:pPr>
    </w:p>
    <w:sectPr w:rsidR="00B64813" w:rsidRPr="003B355D" w:rsidSect="00EB5872">
      <w:headerReference w:type="even" r:id="rId10"/>
      <w:headerReference w:type="default" r:id="rId11"/>
      <w:footerReference w:type="even" r:id="rId12"/>
      <w:footerReference w:type="default" r:id="rId13"/>
      <w:headerReference w:type="first" r:id="rId14"/>
      <w:footerReference w:type="first" r:id="rId15"/>
      <w:pgSz w:w="11906" w:h="16838"/>
      <w:pgMar w:top="1159" w:right="1440" w:bottom="1440" w:left="1440" w:header="1440" w:footer="709"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365FFC" w15:done="0"/>
  <w15:commentEx w15:paraId="4D63743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8F9" w:rsidRDefault="002578F9" w:rsidP="00124A51">
      <w:r>
        <w:separator/>
      </w:r>
    </w:p>
    <w:p w:rsidR="002578F9" w:rsidRDefault="002578F9"/>
  </w:endnote>
  <w:endnote w:type="continuationSeparator" w:id="0">
    <w:p w:rsidR="002578F9" w:rsidRDefault="002578F9" w:rsidP="00124A51">
      <w:r>
        <w:continuationSeparator/>
      </w:r>
    </w:p>
    <w:p w:rsidR="002578F9" w:rsidRDefault="002578F9"/>
  </w:endnote>
  <w:endnote w:id="1">
    <w:p w:rsidR="007B7B2D" w:rsidRDefault="007B7B2D">
      <w:pPr>
        <w:pStyle w:val="EndnoteText"/>
      </w:pPr>
      <w:r>
        <w:rPr>
          <w:rStyle w:val="EndnoteReference"/>
        </w:rPr>
        <w:endnoteRef/>
      </w:r>
      <w:r>
        <w:t xml:space="preserve"> </w:t>
      </w:r>
      <w:r w:rsidRPr="001C2CC3">
        <w:rPr>
          <w:rFonts w:asciiTheme="minorHAnsi" w:hAnsiTheme="minorHAnsi"/>
          <w:color w:val="666666"/>
          <w:sz w:val="18"/>
          <w:szCs w:val="18"/>
          <w:bdr w:val="none" w:sz="0" w:space="0" w:color="auto" w:frame="1"/>
        </w:rPr>
        <w:t xml:space="preserve">N </w:t>
      </w:r>
      <w:proofErr w:type="spellStart"/>
      <w:r w:rsidRPr="001C2CC3">
        <w:rPr>
          <w:rFonts w:asciiTheme="minorHAnsi" w:hAnsiTheme="minorHAnsi"/>
          <w:color w:val="666666"/>
          <w:sz w:val="18"/>
          <w:szCs w:val="18"/>
          <w:bdr w:val="none" w:sz="0" w:space="0" w:color="auto" w:frame="1"/>
        </w:rPr>
        <w:t>Engl</w:t>
      </w:r>
      <w:proofErr w:type="spellEnd"/>
      <w:r w:rsidRPr="001C2CC3">
        <w:rPr>
          <w:rFonts w:asciiTheme="minorHAnsi" w:hAnsiTheme="minorHAnsi"/>
          <w:color w:val="666666"/>
          <w:sz w:val="18"/>
          <w:szCs w:val="18"/>
          <w:bdr w:val="none" w:sz="0" w:space="0" w:color="auto" w:frame="1"/>
        </w:rPr>
        <w:t xml:space="preserve"> J Med 2016; 375:311-322 </w:t>
      </w:r>
      <w:hyperlink r:id="rId1" w:history="1">
        <w:r w:rsidRPr="001C2CC3">
          <w:rPr>
            <w:rFonts w:asciiTheme="minorHAnsi" w:hAnsiTheme="minorHAnsi"/>
            <w:color w:val="006892"/>
            <w:sz w:val="18"/>
            <w:szCs w:val="18"/>
            <w:u w:val="single"/>
            <w:bdr w:val="none" w:sz="0" w:space="0" w:color="auto" w:frame="1"/>
          </w:rPr>
          <w:t>July 28, 2016</w:t>
        </w:r>
      </w:hyperlink>
      <w:r w:rsidRPr="001C2CC3">
        <w:rPr>
          <w:rFonts w:asciiTheme="minorHAnsi" w:hAnsiTheme="minorHAnsi"/>
          <w:sz w:val="18"/>
          <w:szCs w:val="18"/>
        </w:rPr>
        <w:t xml:space="preserve"> </w:t>
      </w:r>
      <w:r w:rsidRPr="001C2CC3">
        <w:rPr>
          <w:rFonts w:asciiTheme="minorHAnsi" w:hAnsiTheme="minorHAnsi"/>
          <w:color w:val="666666"/>
          <w:sz w:val="18"/>
          <w:szCs w:val="18"/>
          <w:bdr w:val="none" w:sz="0" w:space="0" w:color="auto" w:frame="1"/>
        </w:rPr>
        <w:t>DOI: 10.1056/NEJMoa1603827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GGMao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News Gothic M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B2D" w:rsidRDefault="007B7B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756568"/>
      <w:docPartObj>
        <w:docPartGallery w:val="Page Numbers (Bottom of Page)"/>
        <w:docPartUnique/>
      </w:docPartObj>
    </w:sdtPr>
    <w:sdtEndPr>
      <w:rPr>
        <w:rFonts w:asciiTheme="minorHAnsi" w:hAnsiTheme="minorHAnsi"/>
        <w:noProof/>
        <w:sz w:val="24"/>
        <w:szCs w:val="24"/>
      </w:rPr>
    </w:sdtEndPr>
    <w:sdtContent>
      <w:p w:rsidR="007B7B2D" w:rsidRPr="0081676B" w:rsidRDefault="007B7B2D">
        <w:pPr>
          <w:pStyle w:val="Footer"/>
          <w:jc w:val="center"/>
          <w:rPr>
            <w:rFonts w:asciiTheme="minorHAnsi" w:hAnsiTheme="minorHAnsi"/>
            <w:sz w:val="24"/>
            <w:szCs w:val="24"/>
          </w:rPr>
        </w:pPr>
        <w:r w:rsidRPr="0081676B">
          <w:rPr>
            <w:rFonts w:asciiTheme="minorHAnsi" w:hAnsiTheme="minorHAnsi"/>
            <w:sz w:val="24"/>
            <w:szCs w:val="24"/>
          </w:rPr>
          <w:fldChar w:fldCharType="begin"/>
        </w:r>
        <w:r w:rsidRPr="0081676B">
          <w:rPr>
            <w:rFonts w:asciiTheme="minorHAnsi" w:hAnsiTheme="minorHAnsi"/>
            <w:sz w:val="24"/>
            <w:szCs w:val="24"/>
          </w:rPr>
          <w:instrText xml:space="preserve"> PAGE   \* MERGEFORMAT </w:instrText>
        </w:r>
        <w:r w:rsidRPr="0081676B">
          <w:rPr>
            <w:rFonts w:asciiTheme="minorHAnsi" w:hAnsiTheme="minorHAnsi"/>
            <w:sz w:val="24"/>
            <w:szCs w:val="24"/>
          </w:rPr>
          <w:fldChar w:fldCharType="separate"/>
        </w:r>
        <w:r w:rsidR="00680D27">
          <w:rPr>
            <w:rFonts w:asciiTheme="minorHAnsi" w:hAnsiTheme="minorHAnsi"/>
            <w:noProof/>
            <w:sz w:val="24"/>
            <w:szCs w:val="24"/>
          </w:rPr>
          <w:t>32</w:t>
        </w:r>
        <w:r w:rsidRPr="0081676B">
          <w:rPr>
            <w:rFonts w:asciiTheme="minorHAnsi" w:hAnsiTheme="minorHAnsi"/>
            <w:noProof/>
            <w:sz w:val="24"/>
            <w:szCs w:val="24"/>
          </w:rPr>
          <w:fldChar w:fldCharType="end"/>
        </w:r>
      </w:p>
    </w:sdtContent>
  </w:sdt>
  <w:p w:rsidR="007B7B2D" w:rsidRPr="00DE25FE" w:rsidRDefault="007B7B2D" w:rsidP="00DE25FE">
    <w:pPr>
      <w:pStyle w:val="Footer"/>
      <w:jc w:val="center"/>
      <w:rPr>
        <w:rFonts w:asciiTheme="minorHAnsi" w:hAnsiTheme="min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B2D" w:rsidRDefault="007B7B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8F9" w:rsidRDefault="002578F9" w:rsidP="00124A51">
      <w:r>
        <w:separator/>
      </w:r>
    </w:p>
    <w:p w:rsidR="002578F9" w:rsidRDefault="002578F9"/>
  </w:footnote>
  <w:footnote w:type="continuationSeparator" w:id="0">
    <w:p w:rsidR="002578F9" w:rsidRDefault="002578F9" w:rsidP="00124A51">
      <w:r>
        <w:continuationSeparator/>
      </w:r>
    </w:p>
    <w:p w:rsidR="002578F9" w:rsidRDefault="002578F9"/>
  </w:footnote>
  <w:footnote w:id="1">
    <w:p w:rsidR="007B7B2D" w:rsidRDefault="007B7B2D">
      <w:pPr>
        <w:pStyle w:val="FootnoteText"/>
      </w:pPr>
      <w:r>
        <w:rPr>
          <w:rStyle w:val="FootnoteReference"/>
        </w:rPr>
        <w:footnoteRef/>
      </w:r>
      <w:r>
        <w:t xml:space="preserve"> </w:t>
      </w:r>
      <w:r w:rsidRPr="001C2CC3">
        <w:rPr>
          <w:rFonts w:asciiTheme="minorHAnsi" w:hAnsiTheme="minorHAnsi"/>
          <w:color w:val="666666"/>
          <w:sz w:val="18"/>
          <w:szCs w:val="18"/>
          <w:bdr w:val="none" w:sz="0" w:space="0" w:color="auto" w:frame="1"/>
        </w:rPr>
        <w:t xml:space="preserve">N </w:t>
      </w:r>
      <w:proofErr w:type="spellStart"/>
      <w:r w:rsidRPr="001C2CC3">
        <w:rPr>
          <w:rFonts w:asciiTheme="minorHAnsi" w:hAnsiTheme="minorHAnsi"/>
          <w:color w:val="666666"/>
          <w:sz w:val="18"/>
          <w:szCs w:val="18"/>
          <w:bdr w:val="none" w:sz="0" w:space="0" w:color="auto" w:frame="1"/>
        </w:rPr>
        <w:t>Engl</w:t>
      </w:r>
      <w:proofErr w:type="spellEnd"/>
      <w:r w:rsidRPr="001C2CC3">
        <w:rPr>
          <w:rFonts w:asciiTheme="minorHAnsi" w:hAnsiTheme="minorHAnsi"/>
          <w:color w:val="666666"/>
          <w:sz w:val="18"/>
          <w:szCs w:val="18"/>
          <w:bdr w:val="none" w:sz="0" w:space="0" w:color="auto" w:frame="1"/>
        </w:rPr>
        <w:t xml:space="preserve"> J Med 2016; 375:311-322 </w:t>
      </w:r>
      <w:hyperlink r:id="rId1" w:history="1">
        <w:r w:rsidRPr="001C2CC3">
          <w:rPr>
            <w:rFonts w:asciiTheme="minorHAnsi" w:hAnsiTheme="minorHAnsi"/>
            <w:color w:val="006892"/>
            <w:sz w:val="18"/>
            <w:szCs w:val="18"/>
            <w:u w:val="single"/>
            <w:bdr w:val="none" w:sz="0" w:space="0" w:color="auto" w:frame="1"/>
          </w:rPr>
          <w:t>July 28, 2016</w:t>
        </w:r>
      </w:hyperlink>
      <w:r w:rsidRPr="001C2CC3">
        <w:rPr>
          <w:rFonts w:asciiTheme="minorHAnsi" w:hAnsiTheme="minorHAnsi"/>
          <w:sz w:val="18"/>
          <w:szCs w:val="18"/>
        </w:rPr>
        <w:t xml:space="preserve"> </w:t>
      </w:r>
      <w:r w:rsidRPr="001C2CC3">
        <w:rPr>
          <w:rFonts w:asciiTheme="minorHAnsi" w:hAnsiTheme="minorHAnsi"/>
          <w:color w:val="666666"/>
          <w:sz w:val="18"/>
          <w:szCs w:val="18"/>
          <w:bdr w:val="none" w:sz="0" w:space="0" w:color="auto" w:frame="1"/>
        </w:rPr>
        <w:t>DOI: 10.1056/NEJMoa1603827</w:t>
      </w:r>
    </w:p>
  </w:footnote>
  <w:footnote w:id="2">
    <w:p w:rsidR="007B7B2D" w:rsidRPr="00F37E6B" w:rsidRDefault="007B7B2D">
      <w:pPr>
        <w:pStyle w:val="FootnoteText"/>
        <w:rPr>
          <w:rFonts w:asciiTheme="minorHAnsi" w:hAnsiTheme="minorHAnsi"/>
          <w:sz w:val="18"/>
          <w:szCs w:val="18"/>
        </w:rPr>
      </w:pPr>
      <w:r>
        <w:rPr>
          <w:rStyle w:val="FootnoteReference"/>
        </w:rPr>
        <w:footnoteRef/>
      </w:r>
      <w:r>
        <w:t xml:space="preserve"> </w:t>
      </w:r>
      <w:proofErr w:type="spellStart"/>
      <w:r w:rsidRPr="00F37E6B">
        <w:rPr>
          <w:rFonts w:asciiTheme="minorHAnsi" w:hAnsiTheme="minorHAnsi"/>
          <w:sz w:val="18"/>
          <w:szCs w:val="18"/>
        </w:rPr>
        <w:t>Marso</w:t>
      </w:r>
      <w:proofErr w:type="spellEnd"/>
      <w:r w:rsidRPr="00F37E6B">
        <w:rPr>
          <w:rFonts w:asciiTheme="minorHAnsi" w:hAnsiTheme="minorHAnsi"/>
          <w:sz w:val="18"/>
          <w:szCs w:val="18"/>
        </w:rPr>
        <w:t xml:space="preserve"> SP, Bain SC, </w:t>
      </w:r>
      <w:proofErr w:type="spellStart"/>
      <w:r w:rsidRPr="00F37E6B">
        <w:rPr>
          <w:rFonts w:asciiTheme="minorHAnsi" w:hAnsiTheme="minorHAnsi"/>
          <w:sz w:val="18"/>
          <w:szCs w:val="18"/>
        </w:rPr>
        <w:t>Consoli</w:t>
      </w:r>
      <w:proofErr w:type="spellEnd"/>
      <w:r w:rsidRPr="00F37E6B">
        <w:rPr>
          <w:rFonts w:asciiTheme="minorHAnsi" w:hAnsiTheme="minorHAnsi"/>
          <w:sz w:val="18"/>
          <w:szCs w:val="18"/>
        </w:rPr>
        <w:t xml:space="preserve"> A, 2016, ‘</w:t>
      </w:r>
      <w:proofErr w:type="spellStart"/>
      <w:r w:rsidRPr="00F37E6B">
        <w:rPr>
          <w:rFonts w:asciiTheme="minorHAnsi" w:hAnsiTheme="minorHAnsi"/>
          <w:sz w:val="18"/>
          <w:szCs w:val="18"/>
        </w:rPr>
        <w:t>Semaglutide</w:t>
      </w:r>
      <w:proofErr w:type="spellEnd"/>
      <w:r w:rsidRPr="00F37E6B">
        <w:rPr>
          <w:rFonts w:asciiTheme="minorHAnsi" w:hAnsiTheme="minorHAnsi"/>
          <w:sz w:val="18"/>
          <w:szCs w:val="18"/>
        </w:rPr>
        <w:t xml:space="preserve"> and cardiovascular outcomes in patients with type 2 diabetes’, New England Journal of Medicine; 375(19): 1834-1844.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B2D" w:rsidRDefault="007B7B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B2D" w:rsidRPr="00F760E2" w:rsidRDefault="007B7B2D" w:rsidP="00F760E2">
    <w:pPr>
      <w:pStyle w:val="Footer"/>
      <w:jc w:val="center"/>
      <w:rPr>
        <w:rFonts w:asciiTheme="minorHAnsi" w:hAnsiTheme="minorHAnsi"/>
        <w:i/>
        <w:sz w:val="24"/>
        <w:szCs w:val="24"/>
      </w:rPr>
    </w:pPr>
    <w:r>
      <w:rPr>
        <w:rFonts w:asciiTheme="minorHAnsi" w:hAnsiTheme="minorHAnsi"/>
        <w:i/>
        <w:sz w:val="24"/>
        <w:szCs w:val="24"/>
      </w:rPr>
      <w:t>Public Summary Document</w:t>
    </w:r>
    <w:r w:rsidRPr="00F760E2">
      <w:rPr>
        <w:rFonts w:asciiTheme="minorHAnsi" w:hAnsiTheme="minorHAnsi"/>
        <w:i/>
        <w:sz w:val="24"/>
        <w:szCs w:val="24"/>
      </w:rPr>
      <w:t xml:space="preserve"> - July 2017 PBAC meeting </w:t>
    </w:r>
  </w:p>
  <w:p w:rsidR="007B7B2D" w:rsidRPr="00F760E2" w:rsidRDefault="007B7B2D" w:rsidP="00F760E2">
    <w:pPr>
      <w:pStyle w:val="Footer"/>
      <w:jc w:val="center"/>
      <w:rPr>
        <w:rFonts w:asciiTheme="minorHAnsi" w:hAnsiTheme="minorHAnsi"/>
        <w:i/>
        <w:sz w:val="24"/>
        <w:szCs w:val="24"/>
      </w:rPr>
    </w:pPr>
    <w:r w:rsidRPr="00F760E2">
      <w:rPr>
        <w:rFonts w:asciiTheme="minorHAnsi" w:hAnsiTheme="minorHAnsi"/>
        <w:i/>
        <w:sz w:val="24"/>
        <w:szCs w:val="24"/>
      </w:rPr>
      <w:t xml:space="preserve"> </w:t>
    </w:r>
  </w:p>
  <w:p w:rsidR="007B7B2D" w:rsidRPr="00F760E2" w:rsidRDefault="007B7B2D" w:rsidP="00F760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B2D" w:rsidRDefault="007B7B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1C7BAF"/>
    <w:multiLevelType w:val="hybridMultilevel"/>
    <w:tmpl w:val="60EA5B0E"/>
    <w:lvl w:ilvl="0" w:tplc="1A663C0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3D93874"/>
    <w:multiLevelType w:val="hybridMultilevel"/>
    <w:tmpl w:val="08DC5A1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85843E3"/>
    <w:multiLevelType w:val="multilevel"/>
    <w:tmpl w:val="C0449A20"/>
    <w:lvl w:ilvl="0">
      <w:start w:val="3"/>
      <w:numFmt w:val="bullet"/>
      <w:lvlText w:val="•"/>
      <w:lvlJc w:val="left"/>
      <w:pPr>
        <w:ind w:left="1440" w:hanging="720"/>
      </w:pPr>
      <w:rPr>
        <w:rFonts w:ascii="Candara" w:eastAsiaTheme="majorEastAsia" w:hAnsi="Candara" w:cs="Times New Roman" w:hint="default"/>
        <w:b/>
      </w:rPr>
    </w:lvl>
    <w:lvl w:ilvl="1">
      <w:start w:val="1"/>
      <w:numFmt w:val="decimal"/>
      <w:lvlText w:val="%1.%2"/>
      <w:lvlJc w:val="left"/>
      <w:pPr>
        <w:ind w:left="1440" w:hanging="720"/>
      </w:pPr>
      <w:rPr>
        <w:rFonts w:hint="default"/>
        <w:color w:val="000000" w:themeColor="text1"/>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4">
    <w:nsid w:val="098C6176"/>
    <w:multiLevelType w:val="hybridMultilevel"/>
    <w:tmpl w:val="8278A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CAA7F2F"/>
    <w:multiLevelType w:val="multilevel"/>
    <w:tmpl w:val="2148188E"/>
    <w:lvl w:ilvl="0">
      <w:start w:val="5"/>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hint="default"/>
        <w:b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CB53898"/>
    <w:multiLevelType w:val="hybridMultilevel"/>
    <w:tmpl w:val="4866C3D0"/>
    <w:lvl w:ilvl="0" w:tplc="3A26268C">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8">
    <w:nsid w:val="0D470C54"/>
    <w:multiLevelType w:val="hybridMultilevel"/>
    <w:tmpl w:val="9EBAB242"/>
    <w:lvl w:ilvl="0" w:tplc="6B0C1FC8">
      <w:start w:val="1"/>
      <w:numFmt w:val="decimal"/>
      <w:lvlText w:val="2.%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nsid w:val="0F671CC4"/>
    <w:multiLevelType w:val="hybridMultilevel"/>
    <w:tmpl w:val="948EA6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1CA17DF"/>
    <w:multiLevelType w:val="hybridMultilevel"/>
    <w:tmpl w:val="CCFA18C6"/>
    <w:lvl w:ilvl="0" w:tplc="32F8E28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63E75B0"/>
    <w:multiLevelType w:val="hybridMultilevel"/>
    <w:tmpl w:val="C1CADF5A"/>
    <w:lvl w:ilvl="0" w:tplc="7C74FCA8">
      <w:start w:val="1"/>
      <w:numFmt w:val="bullet"/>
      <w:pStyle w:val="ESnon-numberedbullet"/>
      <w:lvlText w:val=""/>
      <w:lvlJc w:val="left"/>
      <w:pPr>
        <w:ind w:left="1429" w:hanging="360"/>
      </w:pPr>
      <w:rPr>
        <w:rFonts w:ascii="Symbol" w:hAnsi="Symbol" w:hint="default"/>
      </w:rPr>
    </w:lvl>
    <w:lvl w:ilvl="1" w:tplc="437AF096">
      <w:numFmt w:val="bullet"/>
      <w:lvlText w:val="•"/>
      <w:lvlJc w:val="left"/>
      <w:pPr>
        <w:ind w:left="2149" w:hanging="360"/>
      </w:pPr>
      <w:rPr>
        <w:rFonts w:ascii="FuturaGGMaori" w:eastAsia="Times New Roman" w:hAnsi="FuturaGGMaori" w:cs="FuturaGGMaori" w:hint="default"/>
      </w:rPr>
    </w:lvl>
    <w:lvl w:ilvl="2" w:tplc="C59A3FFE">
      <w:numFmt w:val="bullet"/>
      <w:lvlText w:val="-"/>
      <w:lvlJc w:val="left"/>
      <w:pPr>
        <w:ind w:left="2869" w:hanging="360"/>
      </w:pPr>
      <w:rPr>
        <w:rFonts w:ascii="Arial" w:eastAsia="Times New Roman" w:hAnsi="Arial" w:cs="Arial"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2">
    <w:nsid w:val="189301CC"/>
    <w:multiLevelType w:val="multilevel"/>
    <w:tmpl w:val="80E20026"/>
    <w:lvl w:ilvl="0">
      <w:start w:val="1"/>
      <w:numFmt w:val="decimal"/>
      <w:lvlText w:val="%1"/>
      <w:lvlJc w:val="left"/>
      <w:pPr>
        <w:ind w:left="720" w:hanging="720"/>
      </w:pPr>
      <w:rPr>
        <w:rFonts w:hint="default"/>
        <w:b/>
      </w:rPr>
    </w:lvl>
    <w:lvl w:ilvl="1">
      <w:start w:val="1"/>
      <w:numFmt w:val="decimal"/>
      <w:lvlText w:val="2.%2"/>
      <w:lvlJc w:val="left"/>
      <w:pPr>
        <w:ind w:left="720" w:hanging="720"/>
      </w:pPr>
      <w:rPr>
        <w:rFonts w:hint="default"/>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B6F235A"/>
    <w:multiLevelType w:val="multilevel"/>
    <w:tmpl w:val="6A28F394"/>
    <w:lvl w:ilvl="0">
      <w:start w:val="4"/>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hint="default"/>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E9438C3"/>
    <w:multiLevelType w:val="multilevel"/>
    <w:tmpl w:val="C0449A20"/>
    <w:lvl w:ilvl="0">
      <w:start w:val="3"/>
      <w:numFmt w:val="bullet"/>
      <w:lvlText w:val="•"/>
      <w:lvlJc w:val="left"/>
      <w:pPr>
        <w:ind w:left="1440" w:hanging="720"/>
      </w:pPr>
      <w:rPr>
        <w:rFonts w:ascii="Candara" w:eastAsiaTheme="majorEastAsia" w:hAnsi="Candara" w:cs="Times New Roman" w:hint="default"/>
        <w:b/>
      </w:rPr>
    </w:lvl>
    <w:lvl w:ilvl="1">
      <w:start w:val="1"/>
      <w:numFmt w:val="decimal"/>
      <w:lvlText w:val="%1.%2"/>
      <w:lvlJc w:val="left"/>
      <w:pPr>
        <w:ind w:left="1440" w:hanging="720"/>
      </w:pPr>
      <w:rPr>
        <w:rFonts w:hint="default"/>
        <w:color w:val="000000" w:themeColor="text1"/>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15">
    <w:nsid w:val="1ED349DB"/>
    <w:multiLevelType w:val="multilevel"/>
    <w:tmpl w:val="23A6FA98"/>
    <w:lvl w:ilvl="0">
      <w:start w:val="3"/>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hint="default"/>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472741E"/>
    <w:multiLevelType w:val="hybridMultilevel"/>
    <w:tmpl w:val="EBD03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6D72FC5"/>
    <w:multiLevelType w:val="hybridMultilevel"/>
    <w:tmpl w:val="D090992A"/>
    <w:lvl w:ilvl="0" w:tplc="6B5C1EE8">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6EB3B64"/>
    <w:multiLevelType w:val="hybridMultilevel"/>
    <w:tmpl w:val="3CFC12D8"/>
    <w:lvl w:ilvl="0" w:tplc="0C090001">
      <w:start w:val="1"/>
      <w:numFmt w:val="bullet"/>
      <w:lvlText w:val=""/>
      <w:lvlJc w:val="left"/>
      <w:pPr>
        <w:ind w:left="405"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6FA7047"/>
    <w:multiLevelType w:val="hybridMultilevel"/>
    <w:tmpl w:val="33FED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84E6825"/>
    <w:multiLevelType w:val="multilevel"/>
    <w:tmpl w:val="0F78E47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285041AE"/>
    <w:multiLevelType w:val="hybridMultilevel"/>
    <w:tmpl w:val="C6183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69"/>
        </w:tabs>
        <w:ind w:left="1569" w:hanging="360"/>
      </w:pPr>
      <w:rPr>
        <w:rFonts w:ascii="Courier New" w:hAnsi="Courier New" w:cs="Courier New"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23">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344C0684"/>
    <w:multiLevelType w:val="hybridMultilevel"/>
    <w:tmpl w:val="58203212"/>
    <w:lvl w:ilvl="0" w:tplc="25E29C58">
      <w:start w:val="1"/>
      <w:numFmt w:val="bullet"/>
      <w:lvlText w:val="•"/>
      <w:lvlJc w:val="left"/>
      <w:pPr>
        <w:tabs>
          <w:tab w:val="num" w:pos="720"/>
        </w:tabs>
        <w:ind w:left="720" w:hanging="360"/>
      </w:pPr>
      <w:rPr>
        <w:rFonts w:ascii="Arial" w:hAnsi="Arial" w:hint="default"/>
      </w:rPr>
    </w:lvl>
    <w:lvl w:ilvl="1" w:tplc="8C1A551A" w:tentative="1">
      <w:start w:val="1"/>
      <w:numFmt w:val="bullet"/>
      <w:lvlText w:val="•"/>
      <w:lvlJc w:val="left"/>
      <w:pPr>
        <w:tabs>
          <w:tab w:val="num" w:pos="1440"/>
        </w:tabs>
        <w:ind w:left="1440" w:hanging="360"/>
      </w:pPr>
      <w:rPr>
        <w:rFonts w:ascii="Arial" w:hAnsi="Arial" w:hint="default"/>
      </w:rPr>
    </w:lvl>
    <w:lvl w:ilvl="2" w:tplc="3CB68B62" w:tentative="1">
      <w:start w:val="1"/>
      <w:numFmt w:val="bullet"/>
      <w:lvlText w:val="•"/>
      <w:lvlJc w:val="left"/>
      <w:pPr>
        <w:tabs>
          <w:tab w:val="num" w:pos="2160"/>
        </w:tabs>
        <w:ind w:left="2160" w:hanging="360"/>
      </w:pPr>
      <w:rPr>
        <w:rFonts w:ascii="Arial" w:hAnsi="Arial" w:hint="default"/>
      </w:rPr>
    </w:lvl>
    <w:lvl w:ilvl="3" w:tplc="94D42A66" w:tentative="1">
      <w:start w:val="1"/>
      <w:numFmt w:val="bullet"/>
      <w:lvlText w:val="•"/>
      <w:lvlJc w:val="left"/>
      <w:pPr>
        <w:tabs>
          <w:tab w:val="num" w:pos="2880"/>
        </w:tabs>
        <w:ind w:left="2880" w:hanging="360"/>
      </w:pPr>
      <w:rPr>
        <w:rFonts w:ascii="Arial" w:hAnsi="Arial" w:hint="default"/>
      </w:rPr>
    </w:lvl>
    <w:lvl w:ilvl="4" w:tplc="0986BF20" w:tentative="1">
      <w:start w:val="1"/>
      <w:numFmt w:val="bullet"/>
      <w:lvlText w:val="•"/>
      <w:lvlJc w:val="left"/>
      <w:pPr>
        <w:tabs>
          <w:tab w:val="num" w:pos="3600"/>
        </w:tabs>
        <w:ind w:left="3600" w:hanging="360"/>
      </w:pPr>
      <w:rPr>
        <w:rFonts w:ascii="Arial" w:hAnsi="Arial" w:hint="default"/>
      </w:rPr>
    </w:lvl>
    <w:lvl w:ilvl="5" w:tplc="C6C64CBC" w:tentative="1">
      <w:start w:val="1"/>
      <w:numFmt w:val="bullet"/>
      <w:lvlText w:val="•"/>
      <w:lvlJc w:val="left"/>
      <w:pPr>
        <w:tabs>
          <w:tab w:val="num" w:pos="4320"/>
        </w:tabs>
        <w:ind w:left="4320" w:hanging="360"/>
      </w:pPr>
      <w:rPr>
        <w:rFonts w:ascii="Arial" w:hAnsi="Arial" w:hint="default"/>
      </w:rPr>
    </w:lvl>
    <w:lvl w:ilvl="6" w:tplc="469C5D16" w:tentative="1">
      <w:start w:val="1"/>
      <w:numFmt w:val="bullet"/>
      <w:lvlText w:val="•"/>
      <w:lvlJc w:val="left"/>
      <w:pPr>
        <w:tabs>
          <w:tab w:val="num" w:pos="5040"/>
        </w:tabs>
        <w:ind w:left="5040" w:hanging="360"/>
      </w:pPr>
      <w:rPr>
        <w:rFonts w:ascii="Arial" w:hAnsi="Arial" w:hint="default"/>
      </w:rPr>
    </w:lvl>
    <w:lvl w:ilvl="7" w:tplc="67FA430A" w:tentative="1">
      <w:start w:val="1"/>
      <w:numFmt w:val="bullet"/>
      <w:lvlText w:val="•"/>
      <w:lvlJc w:val="left"/>
      <w:pPr>
        <w:tabs>
          <w:tab w:val="num" w:pos="5760"/>
        </w:tabs>
        <w:ind w:left="5760" w:hanging="360"/>
      </w:pPr>
      <w:rPr>
        <w:rFonts w:ascii="Arial" w:hAnsi="Arial" w:hint="default"/>
      </w:rPr>
    </w:lvl>
    <w:lvl w:ilvl="8" w:tplc="341A4920" w:tentative="1">
      <w:start w:val="1"/>
      <w:numFmt w:val="bullet"/>
      <w:lvlText w:val="•"/>
      <w:lvlJc w:val="left"/>
      <w:pPr>
        <w:tabs>
          <w:tab w:val="num" w:pos="6480"/>
        </w:tabs>
        <w:ind w:left="6480" w:hanging="360"/>
      </w:pPr>
      <w:rPr>
        <w:rFonts w:ascii="Arial" w:hAnsi="Arial" w:hint="default"/>
      </w:rPr>
    </w:lvl>
  </w:abstractNum>
  <w:abstractNum w:abstractNumId="25">
    <w:nsid w:val="3C70519A"/>
    <w:multiLevelType w:val="hybridMultilevel"/>
    <w:tmpl w:val="4866C3D0"/>
    <w:lvl w:ilvl="0" w:tplc="3A26268C">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26">
    <w:nsid w:val="411926E5"/>
    <w:multiLevelType w:val="multilevel"/>
    <w:tmpl w:val="4F40BEA0"/>
    <w:lvl w:ilvl="0">
      <w:start w:val="2"/>
      <w:numFmt w:val="decimal"/>
      <w:lvlText w:val="%1"/>
      <w:lvlJc w:val="left"/>
      <w:pPr>
        <w:ind w:left="720" w:hanging="720"/>
      </w:pPr>
      <w:rPr>
        <w:rFonts w:hint="default"/>
        <w:b/>
      </w:rPr>
    </w:lvl>
    <w:lvl w:ilvl="1">
      <w:start w:val="3"/>
      <w:numFmt w:val="decimal"/>
      <w:lvlText w:val="%1.%2"/>
      <w:lvlJc w:val="left"/>
      <w:pPr>
        <w:ind w:left="720" w:hanging="720"/>
      </w:pPr>
      <w:rPr>
        <w:rFonts w:asciiTheme="minorHAnsi" w:hAnsiTheme="minorHAnsi" w:hint="default"/>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73202A8"/>
    <w:multiLevelType w:val="hybridMultilevel"/>
    <w:tmpl w:val="43604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9">
    <w:nsid w:val="4B2875A5"/>
    <w:multiLevelType w:val="hybridMultilevel"/>
    <w:tmpl w:val="4D8C6658"/>
    <w:lvl w:ilvl="0" w:tplc="CF184C6A">
      <w:start w:val="1"/>
      <w:numFmt w:val="bullet"/>
      <w:pStyle w:val="V50InstructionsBullets"/>
      <w:lvlText w:val=""/>
      <w:lvlJc w:val="left"/>
      <w:pPr>
        <w:ind w:left="78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C7E41E9"/>
    <w:multiLevelType w:val="hybridMultilevel"/>
    <w:tmpl w:val="4C5609FE"/>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31">
    <w:nsid w:val="53787885"/>
    <w:multiLevelType w:val="multilevel"/>
    <w:tmpl w:val="34A88E18"/>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hint="default"/>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4964ED0"/>
    <w:multiLevelType w:val="hybridMultilevel"/>
    <w:tmpl w:val="F75C1C94"/>
    <w:lvl w:ilvl="0" w:tplc="BFD62BA0">
      <w:start w:val="1"/>
      <w:numFmt w:val="decimal"/>
      <w:lvlText w:val="%1."/>
      <w:lvlJc w:val="left"/>
      <w:pPr>
        <w:ind w:left="720" w:hanging="360"/>
      </w:pPr>
      <w:rPr>
        <w:rFonts w:ascii="Arial" w:hAnsi="Arial" w:cs="Arial" w:hint="default"/>
        <w:color w:val="222222"/>
        <w:sz w:val="19"/>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34">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D3A3204"/>
    <w:multiLevelType w:val="hybridMultilevel"/>
    <w:tmpl w:val="F276421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6">
    <w:nsid w:val="5F574F5A"/>
    <w:multiLevelType w:val="hybridMultilevel"/>
    <w:tmpl w:val="B394CA10"/>
    <w:lvl w:ilvl="0" w:tplc="2B163EC0">
      <w:start w:val="5"/>
      <w:numFmt w:val="decimal"/>
      <w:lvlText w:val="%1."/>
      <w:lvlJc w:val="left"/>
      <w:pPr>
        <w:ind w:left="851" w:hanging="360"/>
      </w:pPr>
      <w:rPr>
        <w:rFonts w:hint="default"/>
      </w:rPr>
    </w:lvl>
    <w:lvl w:ilvl="1" w:tplc="0C090019" w:tentative="1">
      <w:start w:val="1"/>
      <w:numFmt w:val="lowerLetter"/>
      <w:lvlText w:val="%2."/>
      <w:lvlJc w:val="left"/>
      <w:pPr>
        <w:ind w:left="1571" w:hanging="360"/>
      </w:pPr>
    </w:lvl>
    <w:lvl w:ilvl="2" w:tplc="0C09001B" w:tentative="1">
      <w:start w:val="1"/>
      <w:numFmt w:val="lowerRoman"/>
      <w:lvlText w:val="%3."/>
      <w:lvlJc w:val="right"/>
      <w:pPr>
        <w:ind w:left="2291" w:hanging="180"/>
      </w:pPr>
    </w:lvl>
    <w:lvl w:ilvl="3" w:tplc="0C09000F" w:tentative="1">
      <w:start w:val="1"/>
      <w:numFmt w:val="decimal"/>
      <w:lvlText w:val="%4."/>
      <w:lvlJc w:val="left"/>
      <w:pPr>
        <w:ind w:left="3011" w:hanging="360"/>
      </w:pPr>
    </w:lvl>
    <w:lvl w:ilvl="4" w:tplc="0C090019" w:tentative="1">
      <w:start w:val="1"/>
      <w:numFmt w:val="lowerLetter"/>
      <w:lvlText w:val="%5."/>
      <w:lvlJc w:val="left"/>
      <w:pPr>
        <w:ind w:left="3731" w:hanging="360"/>
      </w:pPr>
    </w:lvl>
    <w:lvl w:ilvl="5" w:tplc="0C09001B" w:tentative="1">
      <w:start w:val="1"/>
      <w:numFmt w:val="lowerRoman"/>
      <w:lvlText w:val="%6."/>
      <w:lvlJc w:val="right"/>
      <w:pPr>
        <w:ind w:left="4451" w:hanging="180"/>
      </w:pPr>
    </w:lvl>
    <w:lvl w:ilvl="6" w:tplc="0C09000F" w:tentative="1">
      <w:start w:val="1"/>
      <w:numFmt w:val="decimal"/>
      <w:lvlText w:val="%7."/>
      <w:lvlJc w:val="left"/>
      <w:pPr>
        <w:ind w:left="5171" w:hanging="360"/>
      </w:pPr>
    </w:lvl>
    <w:lvl w:ilvl="7" w:tplc="0C090019" w:tentative="1">
      <w:start w:val="1"/>
      <w:numFmt w:val="lowerLetter"/>
      <w:lvlText w:val="%8."/>
      <w:lvlJc w:val="left"/>
      <w:pPr>
        <w:ind w:left="5891" w:hanging="360"/>
      </w:pPr>
    </w:lvl>
    <w:lvl w:ilvl="8" w:tplc="0C09001B" w:tentative="1">
      <w:start w:val="1"/>
      <w:numFmt w:val="lowerRoman"/>
      <w:lvlText w:val="%9."/>
      <w:lvlJc w:val="right"/>
      <w:pPr>
        <w:ind w:left="6611" w:hanging="180"/>
      </w:pPr>
    </w:lvl>
  </w:abstractNum>
  <w:abstractNum w:abstractNumId="37">
    <w:nsid w:val="641F5076"/>
    <w:multiLevelType w:val="hybridMultilevel"/>
    <w:tmpl w:val="DC66B354"/>
    <w:lvl w:ilvl="0" w:tplc="0C090001">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67AF0058"/>
    <w:multiLevelType w:val="hybridMultilevel"/>
    <w:tmpl w:val="9D44B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9BD5652"/>
    <w:multiLevelType w:val="hybridMultilevel"/>
    <w:tmpl w:val="F88CB5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6F777BA4"/>
    <w:multiLevelType w:val="multilevel"/>
    <w:tmpl w:val="0A1E94AC"/>
    <w:lvl w:ilvl="0">
      <w:start w:val="1"/>
      <w:numFmt w:val="decimal"/>
      <w:lvlText w:val="%1"/>
      <w:lvlJc w:val="left"/>
      <w:pPr>
        <w:ind w:left="720" w:hanging="720"/>
      </w:pPr>
      <w:rPr>
        <w:rFonts w:hint="default"/>
        <w:b/>
      </w:rPr>
    </w:lvl>
    <w:lvl w:ilvl="1">
      <w:numFmt w:val="bullet"/>
      <w:lvlText w:val="-"/>
      <w:lvlJc w:val="left"/>
      <w:pPr>
        <w:ind w:left="720" w:hanging="720"/>
      </w:pPr>
      <w:rPr>
        <w:rFonts w:ascii="Times New Roman" w:eastAsia="Times New Roman" w:hAnsi="Times New Roman" w:cs="Times New Roman" w:hint="default"/>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0F93D8B"/>
    <w:multiLevelType w:val="hybridMultilevel"/>
    <w:tmpl w:val="5BBA7F5C"/>
    <w:lvl w:ilvl="0" w:tplc="61264960">
      <w:start w:val="1"/>
      <w:numFmt w:val="bullet"/>
      <w:lvlText w:val="•"/>
      <w:lvlJc w:val="left"/>
      <w:pPr>
        <w:tabs>
          <w:tab w:val="num" w:pos="720"/>
        </w:tabs>
        <w:ind w:left="720" w:hanging="360"/>
      </w:pPr>
      <w:rPr>
        <w:rFonts w:ascii="Arial" w:hAnsi="Arial" w:hint="default"/>
      </w:rPr>
    </w:lvl>
    <w:lvl w:ilvl="1" w:tplc="67EC6890" w:tentative="1">
      <w:start w:val="1"/>
      <w:numFmt w:val="bullet"/>
      <w:lvlText w:val="•"/>
      <w:lvlJc w:val="left"/>
      <w:pPr>
        <w:tabs>
          <w:tab w:val="num" w:pos="1440"/>
        </w:tabs>
        <w:ind w:left="1440" w:hanging="360"/>
      </w:pPr>
      <w:rPr>
        <w:rFonts w:ascii="Arial" w:hAnsi="Arial" w:hint="default"/>
      </w:rPr>
    </w:lvl>
    <w:lvl w:ilvl="2" w:tplc="ED9AEC82">
      <w:start w:val="1"/>
      <w:numFmt w:val="bullet"/>
      <w:lvlText w:val="•"/>
      <w:lvlJc w:val="left"/>
      <w:pPr>
        <w:tabs>
          <w:tab w:val="num" w:pos="2160"/>
        </w:tabs>
        <w:ind w:left="2160" w:hanging="360"/>
      </w:pPr>
      <w:rPr>
        <w:rFonts w:ascii="Arial" w:hAnsi="Arial" w:hint="default"/>
      </w:rPr>
    </w:lvl>
    <w:lvl w:ilvl="3" w:tplc="B674FF84" w:tentative="1">
      <w:start w:val="1"/>
      <w:numFmt w:val="bullet"/>
      <w:lvlText w:val="•"/>
      <w:lvlJc w:val="left"/>
      <w:pPr>
        <w:tabs>
          <w:tab w:val="num" w:pos="2880"/>
        </w:tabs>
        <w:ind w:left="2880" w:hanging="360"/>
      </w:pPr>
      <w:rPr>
        <w:rFonts w:ascii="Arial" w:hAnsi="Arial" w:hint="default"/>
      </w:rPr>
    </w:lvl>
    <w:lvl w:ilvl="4" w:tplc="1F88E698" w:tentative="1">
      <w:start w:val="1"/>
      <w:numFmt w:val="bullet"/>
      <w:lvlText w:val="•"/>
      <w:lvlJc w:val="left"/>
      <w:pPr>
        <w:tabs>
          <w:tab w:val="num" w:pos="3600"/>
        </w:tabs>
        <w:ind w:left="3600" w:hanging="360"/>
      </w:pPr>
      <w:rPr>
        <w:rFonts w:ascii="Arial" w:hAnsi="Arial" w:hint="default"/>
      </w:rPr>
    </w:lvl>
    <w:lvl w:ilvl="5" w:tplc="F13883F2" w:tentative="1">
      <w:start w:val="1"/>
      <w:numFmt w:val="bullet"/>
      <w:lvlText w:val="•"/>
      <w:lvlJc w:val="left"/>
      <w:pPr>
        <w:tabs>
          <w:tab w:val="num" w:pos="4320"/>
        </w:tabs>
        <w:ind w:left="4320" w:hanging="360"/>
      </w:pPr>
      <w:rPr>
        <w:rFonts w:ascii="Arial" w:hAnsi="Arial" w:hint="default"/>
      </w:rPr>
    </w:lvl>
    <w:lvl w:ilvl="6" w:tplc="5DC825EA" w:tentative="1">
      <w:start w:val="1"/>
      <w:numFmt w:val="bullet"/>
      <w:lvlText w:val="•"/>
      <w:lvlJc w:val="left"/>
      <w:pPr>
        <w:tabs>
          <w:tab w:val="num" w:pos="5040"/>
        </w:tabs>
        <w:ind w:left="5040" w:hanging="360"/>
      </w:pPr>
      <w:rPr>
        <w:rFonts w:ascii="Arial" w:hAnsi="Arial" w:hint="default"/>
      </w:rPr>
    </w:lvl>
    <w:lvl w:ilvl="7" w:tplc="009237EE" w:tentative="1">
      <w:start w:val="1"/>
      <w:numFmt w:val="bullet"/>
      <w:lvlText w:val="•"/>
      <w:lvlJc w:val="left"/>
      <w:pPr>
        <w:tabs>
          <w:tab w:val="num" w:pos="5760"/>
        </w:tabs>
        <w:ind w:left="5760" w:hanging="360"/>
      </w:pPr>
      <w:rPr>
        <w:rFonts w:ascii="Arial" w:hAnsi="Arial" w:hint="default"/>
      </w:rPr>
    </w:lvl>
    <w:lvl w:ilvl="8" w:tplc="29B672AC" w:tentative="1">
      <w:start w:val="1"/>
      <w:numFmt w:val="bullet"/>
      <w:lvlText w:val="•"/>
      <w:lvlJc w:val="left"/>
      <w:pPr>
        <w:tabs>
          <w:tab w:val="num" w:pos="6480"/>
        </w:tabs>
        <w:ind w:left="6480" w:hanging="360"/>
      </w:pPr>
      <w:rPr>
        <w:rFonts w:ascii="Arial" w:hAnsi="Arial" w:hint="default"/>
      </w:rPr>
    </w:lvl>
  </w:abstractNum>
  <w:abstractNum w:abstractNumId="42">
    <w:nsid w:val="784D033C"/>
    <w:multiLevelType w:val="multilevel"/>
    <w:tmpl w:val="E79C105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hint="default"/>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7C31291A"/>
    <w:multiLevelType w:val="multilevel"/>
    <w:tmpl w:val="F5D0D86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28"/>
  </w:num>
  <w:num w:numId="3">
    <w:abstractNumId w:val="42"/>
  </w:num>
  <w:num w:numId="4">
    <w:abstractNumId w:val="21"/>
  </w:num>
  <w:num w:numId="5">
    <w:abstractNumId w:val="29"/>
  </w:num>
  <w:num w:numId="6">
    <w:abstractNumId w:val="23"/>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9"/>
  </w:num>
  <w:num w:numId="10">
    <w:abstractNumId w:val="7"/>
  </w:num>
  <w:num w:numId="11">
    <w:abstractNumId w:val="25"/>
  </w:num>
  <w:num w:numId="12">
    <w:abstractNumId w:val="19"/>
  </w:num>
  <w:num w:numId="13">
    <w:abstractNumId w:val="4"/>
  </w:num>
  <w:num w:numId="14">
    <w:abstractNumId w:val="27"/>
  </w:num>
  <w:num w:numId="15">
    <w:abstractNumId w:val="30"/>
  </w:num>
  <w:num w:numId="16">
    <w:abstractNumId w:val="35"/>
  </w:num>
  <w:num w:numId="17">
    <w:abstractNumId w:val="3"/>
  </w:num>
  <w:num w:numId="18">
    <w:abstractNumId w:val="1"/>
  </w:num>
  <w:num w:numId="19">
    <w:abstractNumId w:val="17"/>
  </w:num>
  <w:num w:numId="20">
    <w:abstractNumId w:val="20"/>
  </w:num>
  <w:num w:numId="21">
    <w:abstractNumId w:val="9"/>
  </w:num>
  <w:num w:numId="22">
    <w:abstractNumId w:val="2"/>
  </w:num>
  <w:num w:numId="23">
    <w:abstractNumId w:val="14"/>
  </w:num>
  <w:num w:numId="24">
    <w:abstractNumId w:val="10"/>
  </w:num>
  <w:num w:numId="25">
    <w:abstractNumId w:val="36"/>
  </w:num>
  <w:num w:numId="26">
    <w:abstractNumId w:val="18"/>
  </w:num>
  <w:num w:numId="27">
    <w:abstractNumId w:val="32"/>
  </w:num>
  <w:num w:numId="28">
    <w:abstractNumId w:val="38"/>
  </w:num>
  <w:num w:numId="29">
    <w:abstractNumId w:val="12"/>
  </w:num>
  <w:num w:numId="30">
    <w:abstractNumId w:val="31"/>
  </w:num>
  <w:num w:numId="31">
    <w:abstractNumId w:val="26"/>
  </w:num>
  <w:num w:numId="32">
    <w:abstractNumId w:val="15"/>
  </w:num>
  <w:num w:numId="33">
    <w:abstractNumId w:val="13"/>
  </w:num>
  <w:num w:numId="34">
    <w:abstractNumId w:val="6"/>
  </w:num>
  <w:num w:numId="35">
    <w:abstractNumId w:val="8"/>
  </w:num>
  <w:num w:numId="36">
    <w:abstractNumId w:val="33"/>
  </w:num>
  <w:num w:numId="37">
    <w:abstractNumId w:val="34"/>
  </w:num>
  <w:num w:numId="38">
    <w:abstractNumId w:val="5"/>
  </w:num>
  <w:num w:numId="39">
    <w:abstractNumId w:val="0"/>
  </w:num>
  <w:num w:numId="40">
    <w:abstractNumId w:val="16"/>
  </w:num>
  <w:num w:numId="41">
    <w:abstractNumId w:val="41"/>
  </w:num>
  <w:num w:numId="42">
    <w:abstractNumId w:val="43"/>
  </w:num>
  <w:num w:numId="43">
    <w:abstractNumId w:val="24"/>
  </w:num>
  <w:num w:numId="44">
    <w:abstractNumId w:val="40"/>
  </w:num>
  <w:num w:numId="45">
    <w:abstractNumId w:val="37"/>
  </w:num>
  <w:numIdMacAtCleanup w:val="2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rsten Howard">
    <w15:presenceInfo w15:providerId="AD" w15:userId="S-1-5-21-653478955-3067283134-999092648-386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45D"/>
    <w:rsid w:val="00000790"/>
    <w:rsid w:val="0000110B"/>
    <w:rsid w:val="0000140F"/>
    <w:rsid w:val="00002D44"/>
    <w:rsid w:val="00003499"/>
    <w:rsid w:val="000038F2"/>
    <w:rsid w:val="000044E9"/>
    <w:rsid w:val="0000509E"/>
    <w:rsid w:val="00006395"/>
    <w:rsid w:val="000066DD"/>
    <w:rsid w:val="000100AF"/>
    <w:rsid w:val="00010BF5"/>
    <w:rsid w:val="0001145B"/>
    <w:rsid w:val="00013247"/>
    <w:rsid w:val="000135D8"/>
    <w:rsid w:val="00014AFF"/>
    <w:rsid w:val="00015886"/>
    <w:rsid w:val="000162EF"/>
    <w:rsid w:val="000215EA"/>
    <w:rsid w:val="0002225F"/>
    <w:rsid w:val="00023763"/>
    <w:rsid w:val="000267B0"/>
    <w:rsid w:val="00026CAF"/>
    <w:rsid w:val="00026CC0"/>
    <w:rsid w:val="0002772A"/>
    <w:rsid w:val="00031458"/>
    <w:rsid w:val="00032FAC"/>
    <w:rsid w:val="000332A5"/>
    <w:rsid w:val="00033907"/>
    <w:rsid w:val="00035322"/>
    <w:rsid w:val="00037C12"/>
    <w:rsid w:val="00040895"/>
    <w:rsid w:val="00042F38"/>
    <w:rsid w:val="0004385E"/>
    <w:rsid w:val="00043C37"/>
    <w:rsid w:val="00044402"/>
    <w:rsid w:val="0004638E"/>
    <w:rsid w:val="00052204"/>
    <w:rsid w:val="00052BDF"/>
    <w:rsid w:val="000546D7"/>
    <w:rsid w:val="00055883"/>
    <w:rsid w:val="00056357"/>
    <w:rsid w:val="000571F7"/>
    <w:rsid w:val="000575A0"/>
    <w:rsid w:val="000608AB"/>
    <w:rsid w:val="000617B4"/>
    <w:rsid w:val="00063088"/>
    <w:rsid w:val="000661C9"/>
    <w:rsid w:val="00071248"/>
    <w:rsid w:val="000720B9"/>
    <w:rsid w:val="000748FA"/>
    <w:rsid w:val="00077981"/>
    <w:rsid w:val="000779D9"/>
    <w:rsid w:val="0008058B"/>
    <w:rsid w:val="000812CA"/>
    <w:rsid w:val="00082F77"/>
    <w:rsid w:val="00085E34"/>
    <w:rsid w:val="00086B05"/>
    <w:rsid w:val="00086D72"/>
    <w:rsid w:val="00086E8C"/>
    <w:rsid w:val="00086E9B"/>
    <w:rsid w:val="00090B6A"/>
    <w:rsid w:val="00090C7E"/>
    <w:rsid w:val="00094D06"/>
    <w:rsid w:val="00095862"/>
    <w:rsid w:val="0009624A"/>
    <w:rsid w:val="000974A2"/>
    <w:rsid w:val="000974EB"/>
    <w:rsid w:val="000A3C0D"/>
    <w:rsid w:val="000A540B"/>
    <w:rsid w:val="000A54B5"/>
    <w:rsid w:val="000A57F1"/>
    <w:rsid w:val="000A5D28"/>
    <w:rsid w:val="000A618C"/>
    <w:rsid w:val="000B000F"/>
    <w:rsid w:val="000B0A13"/>
    <w:rsid w:val="000B0EDE"/>
    <w:rsid w:val="000B3EB5"/>
    <w:rsid w:val="000B5004"/>
    <w:rsid w:val="000B5295"/>
    <w:rsid w:val="000B6148"/>
    <w:rsid w:val="000B6838"/>
    <w:rsid w:val="000B6E75"/>
    <w:rsid w:val="000C0CB1"/>
    <w:rsid w:val="000C3666"/>
    <w:rsid w:val="000D0AE5"/>
    <w:rsid w:val="000D0C4F"/>
    <w:rsid w:val="000D1A90"/>
    <w:rsid w:val="000D1BFC"/>
    <w:rsid w:val="000D54C6"/>
    <w:rsid w:val="000D5A1B"/>
    <w:rsid w:val="000E332E"/>
    <w:rsid w:val="000E3720"/>
    <w:rsid w:val="000E5D03"/>
    <w:rsid w:val="000E737D"/>
    <w:rsid w:val="000E741D"/>
    <w:rsid w:val="000F0AA3"/>
    <w:rsid w:val="000F142E"/>
    <w:rsid w:val="000F4BB8"/>
    <w:rsid w:val="000F7127"/>
    <w:rsid w:val="00100F8A"/>
    <w:rsid w:val="00102269"/>
    <w:rsid w:val="00102A6C"/>
    <w:rsid w:val="00103FF8"/>
    <w:rsid w:val="001044BA"/>
    <w:rsid w:val="00106C6A"/>
    <w:rsid w:val="00107252"/>
    <w:rsid w:val="00107A47"/>
    <w:rsid w:val="0011032E"/>
    <w:rsid w:val="0011348B"/>
    <w:rsid w:val="00114E63"/>
    <w:rsid w:val="00116972"/>
    <w:rsid w:val="0011764E"/>
    <w:rsid w:val="001179C8"/>
    <w:rsid w:val="00120261"/>
    <w:rsid w:val="001208CD"/>
    <w:rsid w:val="0012127D"/>
    <w:rsid w:val="00121799"/>
    <w:rsid w:val="001222FC"/>
    <w:rsid w:val="00124A51"/>
    <w:rsid w:val="00126621"/>
    <w:rsid w:val="001301E9"/>
    <w:rsid w:val="00132AD2"/>
    <w:rsid w:val="00137645"/>
    <w:rsid w:val="00137F8D"/>
    <w:rsid w:val="0014015A"/>
    <w:rsid w:val="00140E99"/>
    <w:rsid w:val="001423E5"/>
    <w:rsid w:val="0014289A"/>
    <w:rsid w:val="00142A89"/>
    <w:rsid w:val="00143DCA"/>
    <w:rsid w:val="00145540"/>
    <w:rsid w:val="001456B0"/>
    <w:rsid w:val="001472E1"/>
    <w:rsid w:val="00151E1F"/>
    <w:rsid w:val="00155BBA"/>
    <w:rsid w:val="00155BE1"/>
    <w:rsid w:val="00156CCD"/>
    <w:rsid w:val="00157130"/>
    <w:rsid w:val="00157B07"/>
    <w:rsid w:val="001615BC"/>
    <w:rsid w:val="00162913"/>
    <w:rsid w:val="00162EAA"/>
    <w:rsid w:val="00163AF6"/>
    <w:rsid w:val="00163EB6"/>
    <w:rsid w:val="00163EFF"/>
    <w:rsid w:val="00165832"/>
    <w:rsid w:val="001661FB"/>
    <w:rsid w:val="00170E8A"/>
    <w:rsid w:val="0017242C"/>
    <w:rsid w:val="00177A63"/>
    <w:rsid w:val="0018698E"/>
    <w:rsid w:val="00186CE4"/>
    <w:rsid w:val="0018752F"/>
    <w:rsid w:val="001910BE"/>
    <w:rsid w:val="00191FB0"/>
    <w:rsid w:val="00193D9D"/>
    <w:rsid w:val="00195222"/>
    <w:rsid w:val="00196473"/>
    <w:rsid w:val="001975D8"/>
    <w:rsid w:val="00197B5E"/>
    <w:rsid w:val="001A0350"/>
    <w:rsid w:val="001A1AEC"/>
    <w:rsid w:val="001A2A42"/>
    <w:rsid w:val="001A5795"/>
    <w:rsid w:val="001A630C"/>
    <w:rsid w:val="001B1210"/>
    <w:rsid w:val="001B3443"/>
    <w:rsid w:val="001B4098"/>
    <w:rsid w:val="001C060E"/>
    <w:rsid w:val="001C2CC3"/>
    <w:rsid w:val="001C4143"/>
    <w:rsid w:val="001C4265"/>
    <w:rsid w:val="001C446F"/>
    <w:rsid w:val="001C4617"/>
    <w:rsid w:val="001C6E66"/>
    <w:rsid w:val="001C72A5"/>
    <w:rsid w:val="001D2217"/>
    <w:rsid w:val="001D26DC"/>
    <w:rsid w:val="001D2CF9"/>
    <w:rsid w:val="001D4DDA"/>
    <w:rsid w:val="001E0AC8"/>
    <w:rsid w:val="001E238E"/>
    <w:rsid w:val="001E2B1E"/>
    <w:rsid w:val="001E3EFB"/>
    <w:rsid w:val="001E52EB"/>
    <w:rsid w:val="001E6F07"/>
    <w:rsid w:val="001E740C"/>
    <w:rsid w:val="001F1235"/>
    <w:rsid w:val="001F1CB3"/>
    <w:rsid w:val="001F2D48"/>
    <w:rsid w:val="001F32B4"/>
    <w:rsid w:val="001F3535"/>
    <w:rsid w:val="001F4B2F"/>
    <w:rsid w:val="001F5364"/>
    <w:rsid w:val="001F6581"/>
    <w:rsid w:val="001F6A69"/>
    <w:rsid w:val="001F6B1E"/>
    <w:rsid w:val="001F7361"/>
    <w:rsid w:val="0020092C"/>
    <w:rsid w:val="0020385F"/>
    <w:rsid w:val="002047A9"/>
    <w:rsid w:val="00204A68"/>
    <w:rsid w:val="002055B5"/>
    <w:rsid w:val="00207021"/>
    <w:rsid w:val="00207698"/>
    <w:rsid w:val="00207D00"/>
    <w:rsid w:val="002105C1"/>
    <w:rsid w:val="00210E87"/>
    <w:rsid w:val="00213B86"/>
    <w:rsid w:val="00213E54"/>
    <w:rsid w:val="00214F83"/>
    <w:rsid w:val="0021558A"/>
    <w:rsid w:val="00215F60"/>
    <w:rsid w:val="002163C2"/>
    <w:rsid w:val="00220994"/>
    <w:rsid w:val="00223B49"/>
    <w:rsid w:val="00223B4D"/>
    <w:rsid w:val="0022429E"/>
    <w:rsid w:val="00224DD4"/>
    <w:rsid w:val="00224F85"/>
    <w:rsid w:val="00225290"/>
    <w:rsid w:val="002309CC"/>
    <w:rsid w:val="00230F33"/>
    <w:rsid w:val="002326F8"/>
    <w:rsid w:val="00233E2E"/>
    <w:rsid w:val="00234971"/>
    <w:rsid w:val="00235B64"/>
    <w:rsid w:val="00235BDB"/>
    <w:rsid w:val="00235BDD"/>
    <w:rsid w:val="00236FC3"/>
    <w:rsid w:val="00237E20"/>
    <w:rsid w:val="00240279"/>
    <w:rsid w:val="00242397"/>
    <w:rsid w:val="00251089"/>
    <w:rsid w:val="0025153C"/>
    <w:rsid w:val="00252DD7"/>
    <w:rsid w:val="00253AF3"/>
    <w:rsid w:val="00254DCF"/>
    <w:rsid w:val="0025534B"/>
    <w:rsid w:val="00255BB7"/>
    <w:rsid w:val="00255F67"/>
    <w:rsid w:val="00256A41"/>
    <w:rsid w:val="002578F9"/>
    <w:rsid w:val="00260147"/>
    <w:rsid w:val="00260327"/>
    <w:rsid w:val="00262955"/>
    <w:rsid w:val="00262A87"/>
    <w:rsid w:val="002651E7"/>
    <w:rsid w:val="00265473"/>
    <w:rsid w:val="002675DA"/>
    <w:rsid w:val="00271DD6"/>
    <w:rsid w:val="00271E41"/>
    <w:rsid w:val="002746B4"/>
    <w:rsid w:val="00275C5A"/>
    <w:rsid w:val="00276D65"/>
    <w:rsid w:val="00280506"/>
    <w:rsid w:val="00281014"/>
    <w:rsid w:val="00283FF1"/>
    <w:rsid w:val="0028416F"/>
    <w:rsid w:val="00290756"/>
    <w:rsid w:val="00291F17"/>
    <w:rsid w:val="00292367"/>
    <w:rsid w:val="00292BA6"/>
    <w:rsid w:val="002958EA"/>
    <w:rsid w:val="002960E9"/>
    <w:rsid w:val="002976AA"/>
    <w:rsid w:val="002A14AB"/>
    <w:rsid w:val="002A2F74"/>
    <w:rsid w:val="002A61BE"/>
    <w:rsid w:val="002A6B05"/>
    <w:rsid w:val="002A7C29"/>
    <w:rsid w:val="002B1C1F"/>
    <w:rsid w:val="002B3D71"/>
    <w:rsid w:val="002B432F"/>
    <w:rsid w:val="002B56C2"/>
    <w:rsid w:val="002B6596"/>
    <w:rsid w:val="002B6C53"/>
    <w:rsid w:val="002B6CCE"/>
    <w:rsid w:val="002C2775"/>
    <w:rsid w:val="002C27C1"/>
    <w:rsid w:val="002C3067"/>
    <w:rsid w:val="002C5AFF"/>
    <w:rsid w:val="002D416A"/>
    <w:rsid w:val="002E1917"/>
    <w:rsid w:val="002E67EF"/>
    <w:rsid w:val="002F3417"/>
    <w:rsid w:val="002F3F7A"/>
    <w:rsid w:val="002F67F2"/>
    <w:rsid w:val="002F72FF"/>
    <w:rsid w:val="00300F34"/>
    <w:rsid w:val="00301017"/>
    <w:rsid w:val="0030135E"/>
    <w:rsid w:val="00304644"/>
    <w:rsid w:val="00307138"/>
    <w:rsid w:val="0030786C"/>
    <w:rsid w:val="0031031A"/>
    <w:rsid w:val="00310981"/>
    <w:rsid w:val="00311581"/>
    <w:rsid w:val="00312B5B"/>
    <w:rsid w:val="00313AC0"/>
    <w:rsid w:val="00315498"/>
    <w:rsid w:val="0032145C"/>
    <w:rsid w:val="00321C64"/>
    <w:rsid w:val="00326D21"/>
    <w:rsid w:val="00327880"/>
    <w:rsid w:val="00327B35"/>
    <w:rsid w:val="0033119A"/>
    <w:rsid w:val="00333BCB"/>
    <w:rsid w:val="00333F6B"/>
    <w:rsid w:val="003366C9"/>
    <w:rsid w:val="0033701A"/>
    <w:rsid w:val="003371B0"/>
    <w:rsid w:val="00341192"/>
    <w:rsid w:val="00341F18"/>
    <w:rsid w:val="00342179"/>
    <w:rsid w:val="00343A20"/>
    <w:rsid w:val="00344CC4"/>
    <w:rsid w:val="00344DD7"/>
    <w:rsid w:val="00344E56"/>
    <w:rsid w:val="00350A3B"/>
    <w:rsid w:val="00352366"/>
    <w:rsid w:val="003524A0"/>
    <w:rsid w:val="0035286F"/>
    <w:rsid w:val="0035620E"/>
    <w:rsid w:val="00357E7F"/>
    <w:rsid w:val="00361BDC"/>
    <w:rsid w:val="00363A39"/>
    <w:rsid w:val="00366A3B"/>
    <w:rsid w:val="00367266"/>
    <w:rsid w:val="0038365C"/>
    <w:rsid w:val="003900C4"/>
    <w:rsid w:val="0039113E"/>
    <w:rsid w:val="00392A7E"/>
    <w:rsid w:val="003958C5"/>
    <w:rsid w:val="00395AB0"/>
    <w:rsid w:val="00396BD7"/>
    <w:rsid w:val="00396FD0"/>
    <w:rsid w:val="0039799F"/>
    <w:rsid w:val="003A1A7A"/>
    <w:rsid w:val="003A3B12"/>
    <w:rsid w:val="003A4303"/>
    <w:rsid w:val="003B355D"/>
    <w:rsid w:val="003B614F"/>
    <w:rsid w:val="003B7F94"/>
    <w:rsid w:val="003C011E"/>
    <w:rsid w:val="003C0642"/>
    <w:rsid w:val="003C1AF3"/>
    <w:rsid w:val="003C2795"/>
    <w:rsid w:val="003C313E"/>
    <w:rsid w:val="003C3C4C"/>
    <w:rsid w:val="003C57DB"/>
    <w:rsid w:val="003C67EA"/>
    <w:rsid w:val="003D1747"/>
    <w:rsid w:val="003D1828"/>
    <w:rsid w:val="003D2422"/>
    <w:rsid w:val="003D2B75"/>
    <w:rsid w:val="003D3501"/>
    <w:rsid w:val="003D3EDA"/>
    <w:rsid w:val="003D40A0"/>
    <w:rsid w:val="003E1513"/>
    <w:rsid w:val="003E1C06"/>
    <w:rsid w:val="003E3139"/>
    <w:rsid w:val="003E4E3C"/>
    <w:rsid w:val="003E6A55"/>
    <w:rsid w:val="003F4156"/>
    <w:rsid w:val="003F56B3"/>
    <w:rsid w:val="003F6AD8"/>
    <w:rsid w:val="003F7B0D"/>
    <w:rsid w:val="00400347"/>
    <w:rsid w:val="0040158E"/>
    <w:rsid w:val="00403552"/>
    <w:rsid w:val="004063E2"/>
    <w:rsid w:val="00410708"/>
    <w:rsid w:val="00410EC7"/>
    <w:rsid w:val="00414476"/>
    <w:rsid w:val="00414DD0"/>
    <w:rsid w:val="004167A3"/>
    <w:rsid w:val="00416A99"/>
    <w:rsid w:val="004200A9"/>
    <w:rsid w:val="00420B9F"/>
    <w:rsid w:val="0042151C"/>
    <w:rsid w:val="00421668"/>
    <w:rsid w:val="004222CD"/>
    <w:rsid w:val="00422A26"/>
    <w:rsid w:val="00423796"/>
    <w:rsid w:val="00426088"/>
    <w:rsid w:val="00426C46"/>
    <w:rsid w:val="00427462"/>
    <w:rsid w:val="004276DB"/>
    <w:rsid w:val="004319F8"/>
    <w:rsid w:val="004320A9"/>
    <w:rsid w:val="00432A61"/>
    <w:rsid w:val="00432F4D"/>
    <w:rsid w:val="00433044"/>
    <w:rsid w:val="004332B7"/>
    <w:rsid w:val="004355B7"/>
    <w:rsid w:val="00435914"/>
    <w:rsid w:val="0043707C"/>
    <w:rsid w:val="00437D08"/>
    <w:rsid w:val="00440DBC"/>
    <w:rsid w:val="00441C97"/>
    <w:rsid w:val="0044205D"/>
    <w:rsid w:val="00443DB0"/>
    <w:rsid w:val="004443A7"/>
    <w:rsid w:val="00445639"/>
    <w:rsid w:val="004460CF"/>
    <w:rsid w:val="004464EB"/>
    <w:rsid w:val="004529D8"/>
    <w:rsid w:val="00453606"/>
    <w:rsid w:val="00453C92"/>
    <w:rsid w:val="00453CBD"/>
    <w:rsid w:val="00455D45"/>
    <w:rsid w:val="00461E4F"/>
    <w:rsid w:val="00462EE1"/>
    <w:rsid w:val="00464595"/>
    <w:rsid w:val="00466119"/>
    <w:rsid w:val="004671A6"/>
    <w:rsid w:val="00467644"/>
    <w:rsid w:val="00470283"/>
    <w:rsid w:val="004711B2"/>
    <w:rsid w:val="004719D7"/>
    <w:rsid w:val="00472612"/>
    <w:rsid w:val="00477670"/>
    <w:rsid w:val="00481F46"/>
    <w:rsid w:val="0048218E"/>
    <w:rsid w:val="004867E2"/>
    <w:rsid w:val="0048767B"/>
    <w:rsid w:val="00487A99"/>
    <w:rsid w:val="00491A6E"/>
    <w:rsid w:val="00491B3A"/>
    <w:rsid w:val="0049288C"/>
    <w:rsid w:val="00492CFD"/>
    <w:rsid w:val="004933A6"/>
    <w:rsid w:val="00493678"/>
    <w:rsid w:val="00493A3E"/>
    <w:rsid w:val="004959B2"/>
    <w:rsid w:val="004962D2"/>
    <w:rsid w:val="00497102"/>
    <w:rsid w:val="00497929"/>
    <w:rsid w:val="004A0DA1"/>
    <w:rsid w:val="004A3240"/>
    <w:rsid w:val="004A59EF"/>
    <w:rsid w:val="004A6597"/>
    <w:rsid w:val="004A7E49"/>
    <w:rsid w:val="004B1005"/>
    <w:rsid w:val="004B1B0A"/>
    <w:rsid w:val="004B1CB4"/>
    <w:rsid w:val="004B2F18"/>
    <w:rsid w:val="004B3DDB"/>
    <w:rsid w:val="004B44FD"/>
    <w:rsid w:val="004B5CFC"/>
    <w:rsid w:val="004B6131"/>
    <w:rsid w:val="004B6C1B"/>
    <w:rsid w:val="004B7AD6"/>
    <w:rsid w:val="004C130E"/>
    <w:rsid w:val="004C2C81"/>
    <w:rsid w:val="004C4AED"/>
    <w:rsid w:val="004C7EF9"/>
    <w:rsid w:val="004D00CE"/>
    <w:rsid w:val="004D34FC"/>
    <w:rsid w:val="004D3D34"/>
    <w:rsid w:val="004D40D5"/>
    <w:rsid w:val="004D4739"/>
    <w:rsid w:val="004E0EB8"/>
    <w:rsid w:val="004E2ADC"/>
    <w:rsid w:val="004E3248"/>
    <w:rsid w:val="004E43B2"/>
    <w:rsid w:val="004F178C"/>
    <w:rsid w:val="004F1CBB"/>
    <w:rsid w:val="004F1D02"/>
    <w:rsid w:val="004F2679"/>
    <w:rsid w:val="004F41CA"/>
    <w:rsid w:val="004F442B"/>
    <w:rsid w:val="004F4659"/>
    <w:rsid w:val="004F742E"/>
    <w:rsid w:val="004F7865"/>
    <w:rsid w:val="00501E0E"/>
    <w:rsid w:val="005042AB"/>
    <w:rsid w:val="00504E4F"/>
    <w:rsid w:val="00505AC7"/>
    <w:rsid w:val="00506928"/>
    <w:rsid w:val="00510EEE"/>
    <w:rsid w:val="00513B7F"/>
    <w:rsid w:val="005152B5"/>
    <w:rsid w:val="00517946"/>
    <w:rsid w:val="00517DB2"/>
    <w:rsid w:val="00521319"/>
    <w:rsid w:val="005215AB"/>
    <w:rsid w:val="00523C28"/>
    <w:rsid w:val="005241F3"/>
    <w:rsid w:val="00524A76"/>
    <w:rsid w:val="00526CAC"/>
    <w:rsid w:val="00531E41"/>
    <w:rsid w:val="00533CC3"/>
    <w:rsid w:val="00534171"/>
    <w:rsid w:val="00534232"/>
    <w:rsid w:val="00535149"/>
    <w:rsid w:val="005356D3"/>
    <w:rsid w:val="0053667E"/>
    <w:rsid w:val="0054000C"/>
    <w:rsid w:val="00546117"/>
    <w:rsid w:val="00552BD3"/>
    <w:rsid w:val="00555109"/>
    <w:rsid w:val="0055529E"/>
    <w:rsid w:val="00561A19"/>
    <w:rsid w:val="005625A0"/>
    <w:rsid w:val="00563EAB"/>
    <w:rsid w:val="005647A7"/>
    <w:rsid w:val="0056696F"/>
    <w:rsid w:val="00567D7D"/>
    <w:rsid w:val="00573222"/>
    <w:rsid w:val="00573976"/>
    <w:rsid w:val="00573CBF"/>
    <w:rsid w:val="00575D8D"/>
    <w:rsid w:val="00576972"/>
    <w:rsid w:val="00577D1B"/>
    <w:rsid w:val="005805DB"/>
    <w:rsid w:val="00580BBB"/>
    <w:rsid w:val="00581B3E"/>
    <w:rsid w:val="00583699"/>
    <w:rsid w:val="00586FCF"/>
    <w:rsid w:val="00587BD0"/>
    <w:rsid w:val="00592F38"/>
    <w:rsid w:val="00594102"/>
    <w:rsid w:val="00594D54"/>
    <w:rsid w:val="00595B9F"/>
    <w:rsid w:val="005965C5"/>
    <w:rsid w:val="00597FD6"/>
    <w:rsid w:val="005A092E"/>
    <w:rsid w:val="005A2D79"/>
    <w:rsid w:val="005A2E2A"/>
    <w:rsid w:val="005A6BCB"/>
    <w:rsid w:val="005A7099"/>
    <w:rsid w:val="005B0D17"/>
    <w:rsid w:val="005B295D"/>
    <w:rsid w:val="005B33F2"/>
    <w:rsid w:val="005B4EEA"/>
    <w:rsid w:val="005B50A0"/>
    <w:rsid w:val="005B522C"/>
    <w:rsid w:val="005B5857"/>
    <w:rsid w:val="005B64CB"/>
    <w:rsid w:val="005B7311"/>
    <w:rsid w:val="005B7412"/>
    <w:rsid w:val="005C1B83"/>
    <w:rsid w:val="005C346B"/>
    <w:rsid w:val="005C44C8"/>
    <w:rsid w:val="005D0216"/>
    <w:rsid w:val="005D044D"/>
    <w:rsid w:val="005D04FC"/>
    <w:rsid w:val="005D18AD"/>
    <w:rsid w:val="005D3B6A"/>
    <w:rsid w:val="005D3CAD"/>
    <w:rsid w:val="005D4F41"/>
    <w:rsid w:val="005D69B3"/>
    <w:rsid w:val="005D742F"/>
    <w:rsid w:val="005E0016"/>
    <w:rsid w:val="005E06ED"/>
    <w:rsid w:val="005E21D8"/>
    <w:rsid w:val="005E356C"/>
    <w:rsid w:val="005E3A6D"/>
    <w:rsid w:val="005E484F"/>
    <w:rsid w:val="005E4B61"/>
    <w:rsid w:val="005E5AEB"/>
    <w:rsid w:val="005E73C0"/>
    <w:rsid w:val="005F04FB"/>
    <w:rsid w:val="005F2706"/>
    <w:rsid w:val="005F6A8F"/>
    <w:rsid w:val="005F6BC1"/>
    <w:rsid w:val="00602066"/>
    <w:rsid w:val="006034DF"/>
    <w:rsid w:val="00603575"/>
    <w:rsid w:val="0060578C"/>
    <w:rsid w:val="00607669"/>
    <w:rsid w:val="00607BE0"/>
    <w:rsid w:val="006104EE"/>
    <w:rsid w:val="00610B45"/>
    <w:rsid w:val="00611E6A"/>
    <w:rsid w:val="00612424"/>
    <w:rsid w:val="00612824"/>
    <w:rsid w:val="00612CE8"/>
    <w:rsid w:val="00612F97"/>
    <w:rsid w:val="00616802"/>
    <w:rsid w:val="00617E12"/>
    <w:rsid w:val="00621477"/>
    <w:rsid w:val="0062376B"/>
    <w:rsid w:val="00630C60"/>
    <w:rsid w:val="0063196F"/>
    <w:rsid w:val="006319ED"/>
    <w:rsid w:val="00631D6B"/>
    <w:rsid w:val="006322CB"/>
    <w:rsid w:val="0063251F"/>
    <w:rsid w:val="0063276D"/>
    <w:rsid w:val="00634581"/>
    <w:rsid w:val="0063479F"/>
    <w:rsid w:val="0063605F"/>
    <w:rsid w:val="006364A1"/>
    <w:rsid w:val="00637BFD"/>
    <w:rsid w:val="00642BC6"/>
    <w:rsid w:val="00643FA3"/>
    <w:rsid w:val="006448F3"/>
    <w:rsid w:val="006471CC"/>
    <w:rsid w:val="0065079F"/>
    <w:rsid w:val="00650C27"/>
    <w:rsid w:val="00653307"/>
    <w:rsid w:val="00654FA5"/>
    <w:rsid w:val="006603D3"/>
    <w:rsid w:val="00660400"/>
    <w:rsid w:val="00663AC1"/>
    <w:rsid w:val="00665BFA"/>
    <w:rsid w:val="00665E4E"/>
    <w:rsid w:val="006675BC"/>
    <w:rsid w:val="006679C5"/>
    <w:rsid w:val="00667A12"/>
    <w:rsid w:val="00672AE4"/>
    <w:rsid w:val="00674E42"/>
    <w:rsid w:val="00675EA8"/>
    <w:rsid w:val="00676017"/>
    <w:rsid w:val="00677A88"/>
    <w:rsid w:val="00677E84"/>
    <w:rsid w:val="0068019E"/>
    <w:rsid w:val="00680D27"/>
    <w:rsid w:val="00682112"/>
    <w:rsid w:val="00683372"/>
    <w:rsid w:val="006837DA"/>
    <w:rsid w:val="0068532B"/>
    <w:rsid w:val="00685C04"/>
    <w:rsid w:val="006872BA"/>
    <w:rsid w:val="006917D7"/>
    <w:rsid w:val="00691C04"/>
    <w:rsid w:val="00691C30"/>
    <w:rsid w:val="00694C85"/>
    <w:rsid w:val="00694F44"/>
    <w:rsid w:val="00695A73"/>
    <w:rsid w:val="006961F1"/>
    <w:rsid w:val="006A1AF5"/>
    <w:rsid w:val="006A78EC"/>
    <w:rsid w:val="006A7C3E"/>
    <w:rsid w:val="006B115D"/>
    <w:rsid w:val="006B42AC"/>
    <w:rsid w:val="006B4688"/>
    <w:rsid w:val="006B5926"/>
    <w:rsid w:val="006B6FC9"/>
    <w:rsid w:val="006B7351"/>
    <w:rsid w:val="006B799D"/>
    <w:rsid w:val="006C005E"/>
    <w:rsid w:val="006C154A"/>
    <w:rsid w:val="006C1A33"/>
    <w:rsid w:val="006C1F1B"/>
    <w:rsid w:val="006C29BB"/>
    <w:rsid w:val="006C2A8E"/>
    <w:rsid w:val="006C3052"/>
    <w:rsid w:val="006C77EB"/>
    <w:rsid w:val="006D0A8A"/>
    <w:rsid w:val="006D0FA0"/>
    <w:rsid w:val="006D2192"/>
    <w:rsid w:val="006D3C7D"/>
    <w:rsid w:val="006D5D5F"/>
    <w:rsid w:val="006D7520"/>
    <w:rsid w:val="006E00A9"/>
    <w:rsid w:val="006E01E6"/>
    <w:rsid w:val="006E35E9"/>
    <w:rsid w:val="006E3E8A"/>
    <w:rsid w:val="006E4924"/>
    <w:rsid w:val="006E5D93"/>
    <w:rsid w:val="006E6ECE"/>
    <w:rsid w:val="006E738B"/>
    <w:rsid w:val="006F63A5"/>
    <w:rsid w:val="007005AB"/>
    <w:rsid w:val="007007FE"/>
    <w:rsid w:val="00700E97"/>
    <w:rsid w:val="00701FC5"/>
    <w:rsid w:val="0070276E"/>
    <w:rsid w:val="00702F8F"/>
    <w:rsid w:val="00705391"/>
    <w:rsid w:val="00706398"/>
    <w:rsid w:val="00711435"/>
    <w:rsid w:val="00711A36"/>
    <w:rsid w:val="00713535"/>
    <w:rsid w:val="00714EBA"/>
    <w:rsid w:val="007172AD"/>
    <w:rsid w:val="007173CF"/>
    <w:rsid w:val="00717853"/>
    <w:rsid w:val="007209FE"/>
    <w:rsid w:val="00721494"/>
    <w:rsid w:val="0072416F"/>
    <w:rsid w:val="007248B7"/>
    <w:rsid w:val="0072666C"/>
    <w:rsid w:val="00731C0A"/>
    <w:rsid w:val="00731C0F"/>
    <w:rsid w:val="007329BE"/>
    <w:rsid w:val="00733CC6"/>
    <w:rsid w:val="00734696"/>
    <w:rsid w:val="00735328"/>
    <w:rsid w:val="00735552"/>
    <w:rsid w:val="0073683E"/>
    <w:rsid w:val="0073685B"/>
    <w:rsid w:val="007378F4"/>
    <w:rsid w:val="0074441E"/>
    <w:rsid w:val="00744B09"/>
    <w:rsid w:val="007472F1"/>
    <w:rsid w:val="00750290"/>
    <w:rsid w:val="007502A4"/>
    <w:rsid w:val="00752A48"/>
    <w:rsid w:val="00754889"/>
    <w:rsid w:val="007570FB"/>
    <w:rsid w:val="00762B97"/>
    <w:rsid w:val="00764A2E"/>
    <w:rsid w:val="0076592F"/>
    <w:rsid w:val="00767F37"/>
    <w:rsid w:val="00772395"/>
    <w:rsid w:val="007729D0"/>
    <w:rsid w:val="007737B3"/>
    <w:rsid w:val="00773888"/>
    <w:rsid w:val="007810B1"/>
    <w:rsid w:val="00781646"/>
    <w:rsid w:val="007863AB"/>
    <w:rsid w:val="00786877"/>
    <w:rsid w:val="00796B88"/>
    <w:rsid w:val="00797FA6"/>
    <w:rsid w:val="007A0A12"/>
    <w:rsid w:val="007A281E"/>
    <w:rsid w:val="007A6609"/>
    <w:rsid w:val="007A6AA1"/>
    <w:rsid w:val="007A740C"/>
    <w:rsid w:val="007A7CC6"/>
    <w:rsid w:val="007B0660"/>
    <w:rsid w:val="007B251D"/>
    <w:rsid w:val="007B3A35"/>
    <w:rsid w:val="007B3C37"/>
    <w:rsid w:val="007B469C"/>
    <w:rsid w:val="007B5D91"/>
    <w:rsid w:val="007B6B18"/>
    <w:rsid w:val="007B77D1"/>
    <w:rsid w:val="007B7B2D"/>
    <w:rsid w:val="007C0EC4"/>
    <w:rsid w:val="007C361D"/>
    <w:rsid w:val="007C43CF"/>
    <w:rsid w:val="007C47F4"/>
    <w:rsid w:val="007C67EC"/>
    <w:rsid w:val="007C6F95"/>
    <w:rsid w:val="007D0B38"/>
    <w:rsid w:val="007D1B3D"/>
    <w:rsid w:val="007D5E2D"/>
    <w:rsid w:val="007D66B0"/>
    <w:rsid w:val="007E0044"/>
    <w:rsid w:val="007E0659"/>
    <w:rsid w:val="007E2512"/>
    <w:rsid w:val="007E3B69"/>
    <w:rsid w:val="007E7E87"/>
    <w:rsid w:val="007F1017"/>
    <w:rsid w:val="007F14F0"/>
    <w:rsid w:val="007F4A3F"/>
    <w:rsid w:val="007F556C"/>
    <w:rsid w:val="0080299F"/>
    <w:rsid w:val="00804C09"/>
    <w:rsid w:val="00805142"/>
    <w:rsid w:val="00806F4F"/>
    <w:rsid w:val="00807A8B"/>
    <w:rsid w:val="00810BFC"/>
    <w:rsid w:val="00812149"/>
    <w:rsid w:val="0081289F"/>
    <w:rsid w:val="00812FC9"/>
    <w:rsid w:val="008132BD"/>
    <w:rsid w:val="00815E2E"/>
    <w:rsid w:val="008166EF"/>
    <w:rsid w:val="0081676B"/>
    <w:rsid w:val="008173D6"/>
    <w:rsid w:val="00817ED5"/>
    <w:rsid w:val="008203D8"/>
    <w:rsid w:val="00821A27"/>
    <w:rsid w:val="00822E8E"/>
    <w:rsid w:val="008264EB"/>
    <w:rsid w:val="00830A95"/>
    <w:rsid w:val="00833B05"/>
    <w:rsid w:val="00833F76"/>
    <w:rsid w:val="00837269"/>
    <w:rsid w:val="008372E8"/>
    <w:rsid w:val="00840CA2"/>
    <w:rsid w:val="00840D92"/>
    <w:rsid w:val="00844160"/>
    <w:rsid w:val="00845C44"/>
    <w:rsid w:val="00851B51"/>
    <w:rsid w:val="00854853"/>
    <w:rsid w:val="00854873"/>
    <w:rsid w:val="00856C56"/>
    <w:rsid w:val="00856E9A"/>
    <w:rsid w:val="0085769D"/>
    <w:rsid w:val="00860FA1"/>
    <w:rsid w:val="00861D6A"/>
    <w:rsid w:val="00862502"/>
    <w:rsid w:val="00862881"/>
    <w:rsid w:val="00863FBD"/>
    <w:rsid w:val="0086477D"/>
    <w:rsid w:val="00865941"/>
    <w:rsid w:val="00866CBA"/>
    <w:rsid w:val="00867481"/>
    <w:rsid w:val="00867FE7"/>
    <w:rsid w:val="00873AAA"/>
    <w:rsid w:val="008743A5"/>
    <w:rsid w:val="00874755"/>
    <w:rsid w:val="008800BF"/>
    <w:rsid w:val="00880800"/>
    <w:rsid w:val="00880AAE"/>
    <w:rsid w:val="0088212C"/>
    <w:rsid w:val="00882874"/>
    <w:rsid w:val="008829F6"/>
    <w:rsid w:val="0088340C"/>
    <w:rsid w:val="00883787"/>
    <w:rsid w:val="0088795A"/>
    <w:rsid w:val="0089138C"/>
    <w:rsid w:val="00892FB1"/>
    <w:rsid w:val="00894489"/>
    <w:rsid w:val="0089626E"/>
    <w:rsid w:val="008963A5"/>
    <w:rsid w:val="008A0588"/>
    <w:rsid w:val="008A3C3E"/>
    <w:rsid w:val="008A61A4"/>
    <w:rsid w:val="008A79DE"/>
    <w:rsid w:val="008B28DB"/>
    <w:rsid w:val="008B29BA"/>
    <w:rsid w:val="008B3D79"/>
    <w:rsid w:val="008B7D7E"/>
    <w:rsid w:val="008B7EC2"/>
    <w:rsid w:val="008C0230"/>
    <w:rsid w:val="008C44E3"/>
    <w:rsid w:val="008C4C21"/>
    <w:rsid w:val="008C60B5"/>
    <w:rsid w:val="008C7ECB"/>
    <w:rsid w:val="008D31BF"/>
    <w:rsid w:val="008D34AE"/>
    <w:rsid w:val="008D445F"/>
    <w:rsid w:val="008D4BFB"/>
    <w:rsid w:val="008D5693"/>
    <w:rsid w:val="008E0D6A"/>
    <w:rsid w:val="008E1B9E"/>
    <w:rsid w:val="008E2E29"/>
    <w:rsid w:val="008E41B2"/>
    <w:rsid w:val="008E5F2A"/>
    <w:rsid w:val="008F0BF4"/>
    <w:rsid w:val="008F120A"/>
    <w:rsid w:val="008F156D"/>
    <w:rsid w:val="008F22F6"/>
    <w:rsid w:val="008F29A0"/>
    <w:rsid w:val="008F2C0C"/>
    <w:rsid w:val="008F4525"/>
    <w:rsid w:val="008F48EB"/>
    <w:rsid w:val="008F4F0B"/>
    <w:rsid w:val="008F724F"/>
    <w:rsid w:val="009036E6"/>
    <w:rsid w:val="009062A5"/>
    <w:rsid w:val="00911272"/>
    <w:rsid w:val="009124A9"/>
    <w:rsid w:val="009126EA"/>
    <w:rsid w:val="00913DA2"/>
    <w:rsid w:val="00913F36"/>
    <w:rsid w:val="0091475B"/>
    <w:rsid w:val="00914BA5"/>
    <w:rsid w:val="00915CE4"/>
    <w:rsid w:val="00915FCC"/>
    <w:rsid w:val="00917336"/>
    <w:rsid w:val="009176E6"/>
    <w:rsid w:val="00917823"/>
    <w:rsid w:val="0092416F"/>
    <w:rsid w:val="00927491"/>
    <w:rsid w:val="0093174C"/>
    <w:rsid w:val="009333E3"/>
    <w:rsid w:val="00933DCF"/>
    <w:rsid w:val="00933E26"/>
    <w:rsid w:val="009345A0"/>
    <w:rsid w:val="00935E19"/>
    <w:rsid w:val="009377C6"/>
    <w:rsid w:val="00937BF3"/>
    <w:rsid w:val="00940F12"/>
    <w:rsid w:val="0094291F"/>
    <w:rsid w:val="00943FE4"/>
    <w:rsid w:val="00944919"/>
    <w:rsid w:val="00944E31"/>
    <w:rsid w:val="0094623C"/>
    <w:rsid w:val="00950DBC"/>
    <w:rsid w:val="0095151A"/>
    <w:rsid w:val="009520B0"/>
    <w:rsid w:val="00952431"/>
    <w:rsid w:val="009606D7"/>
    <w:rsid w:val="00962CB9"/>
    <w:rsid w:val="009639C7"/>
    <w:rsid w:val="00964312"/>
    <w:rsid w:val="00966DD3"/>
    <w:rsid w:val="009710A6"/>
    <w:rsid w:val="009725C1"/>
    <w:rsid w:val="00977722"/>
    <w:rsid w:val="0097793C"/>
    <w:rsid w:val="00980EA0"/>
    <w:rsid w:val="00982234"/>
    <w:rsid w:val="00983E57"/>
    <w:rsid w:val="00987B3D"/>
    <w:rsid w:val="00987F5A"/>
    <w:rsid w:val="00990A09"/>
    <w:rsid w:val="009912F0"/>
    <w:rsid w:val="0099161B"/>
    <w:rsid w:val="009930BA"/>
    <w:rsid w:val="00994CEF"/>
    <w:rsid w:val="00994CF2"/>
    <w:rsid w:val="00996658"/>
    <w:rsid w:val="00996B1A"/>
    <w:rsid w:val="00996FDD"/>
    <w:rsid w:val="00997F63"/>
    <w:rsid w:val="00997FA2"/>
    <w:rsid w:val="009A17F1"/>
    <w:rsid w:val="009A221A"/>
    <w:rsid w:val="009A4BD7"/>
    <w:rsid w:val="009A5253"/>
    <w:rsid w:val="009A6C1E"/>
    <w:rsid w:val="009A6EE1"/>
    <w:rsid w:val="009A75BC"/>
    <w:rsid w:val="009B2DF1"/>
    <w:rsid w:val="009B3E26"/>
    <w:rsid w:val="009B4E58"/>
    <w:rsid w:val="009B73BE"/>
    <w:rsid w:val="009B75C3"/>
    <w:rsid w:val="009C00E2"/>
    <w:rsid w:val="009C1E9A"/>
    <w:rsid w:val="009C21DB"/>
    <w:rsid w:val="009C43EA"/>
    <w:rsid w:val="009C5C01"/>
    <w:rsid w:val="009D3267"/>
    <w:rsid w:val="009D3F7B"/>
    <w:rsid w:val="009D46C7"/>
    <w:rsid w:val="009D4FB4"/>
    <w:rsid w:val="009D50E3"/>
    <w:rsid w:val="009D5B91"/>
    <w:rsid w:val="009D72A9"/>
    <w:rsid w:val="009D7DF3"/>
    <w:rsid w:val="009E059A"/>
    <w:rsid w:val="009E05D8"/>
    <w:rsid w:val="009E4C07"/>
    <w:rsid w:val="009F1B31"/>
    <w:rsid w:val="009F1E4D"/>
    <w:rsid w:val="009F2B65"/>
    <w:rsid w:val="009F3CBF"/>
    <w:rsid w:val="009F40CF"/>
    <w:rsid w:val="009F6FFE"/>
    <w:rsid w:val="009F7EA5"/>
    <w:rsid w:val="00A016C9"/>
    <w:rsid w:val="00A03D43"/>
    <w:rsid w:val="00A04380"/>
    <w:rsid w:val="00A045A4"/>
    <w:rsid w:val="00A04984"/>
    <w:rsid w:val="00A13948"/>
    <w:rsid w:val="00A17948"/>
    <w:rsid w:val="00A23214"/>
    <w:rsid w:val="00A23BB9"/>
    <w:rsid w:val="00A242E7"/>
    <w:rsid w:val="00A2527E"/>
    <w:rsid w:val="00A25C25"/>
    <w:rsid w:val="00A25D80"/>
    <w:rsid w:val="00A2602B"/>
    <w:rsid w:val="00A26E23"/>
    <w:rsid w:val="00A276F9"/>
    <w:rsid w:val="00A27AEC"/>
    <w:rsid w:val="00A326BF"/>
    <w:rsid w:val="00A33B10"/>
    <w:rsid w:val="00A340D5"/>
    <w:rsid w:val="00A35D16"/>
    <w:rsid w:val="00A37253"/>
    <w:rsid w:val="00A37F5C"/>
    <w:rsid w:val="00A407B7"/>
    <w:rsid w:val="00A40A52"/>
    <w:rsid w:val="00A40BD2"/>
    <w:rsid w:val="00A417FC"/>
    <w:rsid w:val="00A4200E"/>
    <w:rsid w:val="00A43C59"/>
    <w:rsid w:val="00A43E48"/>
    <w:rsid w:val="00A50ECD"/>
    <w:rsid w:val="00A52729"/>
    <w:rsid w:val="00A53675"/>
    <w:rsid w:val="00A53C42"/>
    <w:rsid w:val="00A53D51"/>
    <w:rsid w:val="00A5418B"/>
    <w:rsid w:val="00A555E4"/>
    <w:rsid w:val="00A569C2"/>
    <w:rsid w:val="00A56B6A"/>
    <w:rsid w:val="00A578DC"/>
    <w:rsid w:val="00A57CC7"/>
    <w:rsid w:val="00A61E12"/>
    <w:rsid w:val="00A6431D"/>
    <w:rsid w:val="00A66CE4"/>
    <w:rsid w:val="00A6725B"/>
    <w:rsid w:val="00A73AFC"/>
    <w:rsid w:val="00A75FD9"/>
    <w:rsid w:val="00A7634C"/>
    <w:rsid w:val="00A77BD4"/>
    <w:rsid w:val="00A80545"/>
    <w:rsid w:val="00A80D7A"/>
    <w:rsid w:val="00A838E5"/>
    <w:rsid w:val="00A83C94"/>
    <w:rsid w:val="00A840AF"/>
    <w:rsid w:val="00A86E00"/>
    <w:rsid w:val="00A86E8B"/>
    <w:rsid w:val="00A90237"/>
    <w:rsid w:val="00A926A5"/>
    <w:rsid w:val="00A93072"/>
    <w:rsid w:val="00A959D8"/>
    <w:rsid w:val="00A96C4E"/>
    <w:rsid w:val="00A96FC7"/>
    <w:rsid w:val="00A97ED3"/>
    <w:rsid w:val="00AA140C"/>
    <w:rsid w:val="00AA2B06"/>
    <w:rsid w:val="00AA462D"/>
    <w:rsid w:val="00AA5E47"/>
    <w:rsid w:val="00AB0189"/>
    <w:rsid w:val="00AB02E4"/>
    <w:rsid w:val="00AB042A"/>
    <w:rsid w:val="00AB0FA8"/>
    <w:rsid w:val="00AB279D"/>
    <w:rsid w:val="00AB2D34"/>
    <w:rsid w:val="00AB3430"/>
    <w:rsid w:val="00AB41A7"/>
    <w:rsid w:val="00AB476E"/>
    <w:rsid w:val="00AB7CFA"/>
    <w:rsid w:val="00AB7FEC"/>
    <w:rsid w:val="00AC031E"/>
    <w:rsid w:val="00AC24C6"/>
    <w:rsid w:val="00AC2722"/>
    <w:rsid w:val="00AC3051"/>
    <w:rsid w:val="00AC5054"/>
    <w:rsid w:val="00AD0094"/>
    <w:rsid w:val="00AD1C5E"/>
    <w:rsid w:val="00AD23E3"/>
    <w:rsid w:val="00AD43F3"/>
    <w:rsid w:val="00AD474E"/>
    <w:rsid w:val="00AD597C"/>
    <w:rsid w:val="00AE084B"/>
    <w:rsid w:val="00AE1DAE"/>
    <w:rsid w:val="00AE1F89"/>
    <w:rsid w:val="00AE39B2"/>
    <w:rsid w:val="00AE4C85"/>
    <w:rsid w:val="00AE4D9B"/>
    <w:rsid w:val="00AE6156"/>
    <w:rsid w:val="00AE75F5"/>
    <w:rsid w:val="00AF1B3D"/>
    <w:rsid w:val="00AF4649"/>
    <w:rsid w:val="00AF599E"/>
    <w:rsid w:val="00AF676E"/>
    <w:rsid w:val="00AF7818"/>
    <w:rsid w:val="00AF7EF7"/>
    <w:rsid w:val="00B02C06"/>
    <w:rsid w:val="00B02ECA"/>
    <w:rsid w:val="00B04894"/>
    <w:rsid w:val="00B05081"/>
    <w:rsid w:val="00B06BAB"/>
    <w:rsid w:val="00B10322"/>
    <w:rsid w:val="00B1145C"/>
    <w:rsid w:val="00B15A76"/>
    <w:rsid w:val="00B17C31"/>
    <w:rsid w:val="00B2208B"/>
    <w:rsid w:val="00B22818"/>
    <w:rsid w:val="00B2350D"/>
    <w:rsid w:val="00B23580"/>
    <w:rsid w:val="00B25F65"/>
    <w:rsid w:val="00B26CC2"/>
    <w:rsid w:val="00B27ECA"/>
    <w:rsid w:val="00B31125"/>
    <w:rsid w:val="00B346F0"/>
    <w:rsid w:val="00B374A6"/>
    <w:rsid w:val="00B40825"/>
    <w:rsid w:val="00B41427"/>
    <w:rsid w:val="00B42851"/>
    <w:rsid w:val="00B431E6"/>
    <w:rsid w:val="00B44100"/>
    <w:rsid w:val="00B50BFC"/>
    <w:rsid w:val="00B50DB8"/>
    <w:rsid w:val="00B51133"/>
    <w:rsid w:val="00B51FD9"/>
    <w:rsid w:val="00B52859"/>
    <w:rsid w:val="00B5316A"/>
    <w:rsid w:val="00B53905"/>
    <w:rsid w:val="00B540CE"/>
    <w:rsid w:val="00B54B5B"/>
    <w:rsid w:val="00B5562E"/>
    <w:rsid w:val="00B55E1A"/>
    <w:rsid w:val="00B565E7"/>
    <w:rsid w:val="00B57000"/>
    <w:rsid w:val="00B57B3A"/>
    <w:rsid w:val="00B60939"/>
    <w:rsid w:val="00B60AFD"/>
    <w:rsid w:val="00B62715"/>
    <w:rsid w:val="00B63BFB"/>
    <w:rsid w:val="00B64813"/>
    <w:rsid w:val="00B65F66"/>
    <w:rsid w:val="00B665A3"/>
    <w:rsid w:val="00B7361A"/>
    <w:rsid w:val="00B758B7"/>
    <w:rsid w:val="00B75DA7"/>
    <w:rsid w:val="00B760BB"/>
    <w:rsid w:val="00B76BE1"/>
    <w:rsid w:val="00B813EA"/>
    <w:rsid w:val="00B818A4"/>
    <w:rsid w:val="00B831EF"/>
    <w:rsid w:val="00B83AC1"/>
    <w:rsid w:val="00B85B20"/>
    <w:rsid w:val="00B86100"/>
    <w:rsid w:val="00B8649C"/>
    <w:rsid w:val="00B87E07"/>
    <w:rsid w:val="00B903D9"/>
    <w:rsid w:val="00B92D0B"/>
    <w:rsid w:val="00B94945"/>
    <w:rsid w:val="00B94C79"/>
    <w:rsid w:val="00B97A63"/>
    <w:rsid w:val="00B97CBF"/>
    <w:rsid w:val="00BA3396"/>
    <w:rsid w:val="00BA645F"/>
    <w:rsid w:val="00BA6898"/>
    <w:rsid w:val="00BA6B05"/>
    <w:rsid w:val="00BA6D15"/>
    <w:rsid w:val="00BA722A"/>
    <w:rsid w:val="00BB054E"/>
    <w:rsid w:val="00BB0785"/>
    <w:rsid w:val="00BB0846"/>
    <w:rsid w:val="00BB1DA9"/>
    <w:rsid w:val="00BB7405"/>
    <w:rsid w:val="00BB7A88"/>
    <w:rsid w:val="00BB7C04"/>
    <w:rsid w:val="00BC564D"/>
    <w:rsid w:val="00BC5BC9"/>
    <w:rsid w:val="00BC732A"/>
    <w:rsid w:val="00BC7E27"/>
    <w:rsid w:val="00BD1A5E"/>
    <w:rsid w:val="00BD2270"/>
    <w:rsid w:val="00BD44B6"/>
    <w:rsid w:val="00BD4C02"/>
    <w:rsid w:val="00BD4E8F"/>
    <w:rsid w:val="00BD6CF3"/>
    <w:rsid w:val="00BE0BDC"/>
    <w:rsid w:val="00BE1FF9"/>
    <w:rsid w:val="00BE2180"/>
    <w:rsid w:val="00BE415C"/>
    <w:rsid w:val="00BE4275"/>
    <w:rsid w:val="00BE4903"/>
    <w:rsid w:val="00BE5EF7"/>
    <w:rsid w:val="00BE7BCC"/>
    <w:rsid w:val="00BF029B"/>
    <w:rsid w:val="00BF164F"/>
    <w:rsid w:val="00BF2433"/>
    <w:rsid w:val="00BF33F6"/>
    <w:rsid w:val="00BF5E25"/>
    <w:rsid w:val="00BF61C9"/>
    <w:rsid w:val="00BF7150"/>
    <w:rsid w:val="00C018EF"/>
    <w:rsid w:val="00C01A7A"/>
    <w:rsid w:val="00C02D19"/>
    <w:rsid w:val="00C03537"/>
    <w:rsid w:val="00C042F9"/>
    <w:rsid w:val="00C07E78"/>
    <w:rsid w:val="00C162B8"/>
    <w:rsid w:val="00C17FEB"/>
    <w:rsid w:val="00C24A77"/>
    <w:rsid w:val="00C24AFC"/>
    <w:rsid w:val="00C25418"/>
    <w:rsid w:val="00C254EB"/>
    <w:rsid w:val="00C25D35"/>
    <w:rsid w:val="00C25D9C"/>
    <w:rsid w:val="00C31649"/>
    <w:rsid w:val="00C32309"/>
    <w:rsid w:val="00C33436"/>
    <w:rsid w:val="00C36DF2"/>
    <w:rsid w:val="00C40385"/>
    <w:rsid w:val="00C414E3"/>
    <w:rsid w:val="00C41FEC"/>
    <w:rsid w:val="00C43869"/>
    <w:rsid w:val="00C51755"/>
    <w:rsid w:val="00C54419"/>
    <w:rsid w:val="00C55D24"/>
    <w:rsid w:val="00C56AE0"/>
    <w:rsid w:val="00C610C7"/>
    <w:rsid w:val="00C624E0"/>
    <w:rsid w:val="00C65576"/>
    <w:rsid w:val="00C66165"/>
    <w:rsid w:val="00C67386"/>
    <w:rsid w:val="00C705A3"/>
    <w:rsid w:val="00C7090C"/>
    <w:rsid w:val="00C7208C"/>
    <w:rsid w:val="00C722F5"/>
    <w:rsid w:val="00C750C8"/>
    <w:rsid w:val="00C775D3"/>
    <w:rsid w:val="00C815C6"/>
    <w:rsid w:val="00C8213F"/>
    <w:rsid w:val="00C848D5"/>
    <w:rsid w:val="00C856A9"/>
    <w:rsid w:val="00C8797A"/>
    <w:rsid w:val="00C938CF"/>
    <w:rsid w:val="00C94015"/>
    <w:rsid w:val="00C9551E"/>
    <w:rsid w:val="00C97ACB"/>
    <w:rsid w:val="00CA0D36"/>
    <w:rsid w:val="00CA1DC3"/>
    <w:rsid w:val="00CA3034"/>
    <w:rsid w:val="00CA5245"/>
    <w:rsid w:val="00CA53D5"/>
    <w:rsid w:val="00CA5EB9"/>
    <w:rsid w:val="00CA6A9C"/>
    <w:rsid w:val="00CA7B09"/>
    <w:rsid w:val="00CB51FF"/>
    <w:rsid w:val="00CB5B1A"/>
    <w:rsid w:val="00CB72E7"/>
    <w:rsid w:val="00CB7AD2"/>
    <w:rsid w:val="00CC0881"/>
    <w:rsid w:val="00CC41AF"/>
    <w:rsid w:val="00CC4591"/>
    <w:rsid w:val="00CC4D3E"/>
    <w:rsid w:val="00CC5DC1"/>
    <w:rsid w:val="00CC6584"/>
    <w:rsid w:val="00CC6EDB"/>
    <w:rsid w:val="00CC6FDB"/>
    <w:rsid w:val="00CD12F1"/>
    <w:rsid w:val="00CD2E61"/>
    <w:rsid w:val="00CD324A"/>
    <w:rsid w:val="00CD4632"/>
    <w:rsid w:val="00CD5893"/>
    <w:rsid w:val="00CD6ADC"/>
    <w:rsid w:val="00CD70BA"/>
    <w:rsid w:val="00CD7448"/>
    <w:rsid w:val="00CD7F2F"/>
    <w:rsid w:val="00CE006C"/>
    <w:rsid w:val="00CE3976"/>
    <w:rsid w:val="00CE3FFD"/>
    <w:rsid w:val="00CE6274"/>
    <w:rsid w:val="00CE784A"/>
    <w:rsid w:val="00CF456B"/>
    <w:rsid w:val="00CF5A22"/>
    <w:rsid w:val="00CF7353"/>
    <w:rsid w:val="00D01029"/>
    <w:rsid w:val="00D024B8"/>
    <w:rsid w:val="00D0262E"/>
    <w:rsid w:val="00D0272C"/>
    <w:rsid w:val="00D02988"/>
    <w:rsid w:val="00D02C4F"/>
    <w:rsid w:val="00D07106"/>
    <w:rsid w:val="00D105D9"/>
    <w:rsid w:val="00D11079"/>
    <w:rsid w:val="00D110BD"/>
    <w:rsid w:val="00D142B5"/>
    <w:rsid w:val="00D17D6C"/>
    <w:rsid w:val="00D22BFE"/>
    <w:rsid w:val="00D23478"/>
    <w:rsid w:val="00D23F11"/>
    <w:rsid w:val="00D25F98"/>
    <w:rsid w:val="00D26614"/>
    <w:rsid w:val="00D276C9"/>
    <w:rsid w:val="00D354B8"/>
    <w:rsid w:val="00D357FF"/>
    <w:rsid w:val="00D36AFB"/>
    <w:rsid w:val="00D3713A"/>
    <w:rsid w:val="00D37C94"/>
    <w:rsid w:val="00D405C8"/>
    <w:rsid w:val="00D41D21"/>
    <w:rsid w:val="00D42900"/>
    <w:rsid w:val="00D435CA"/>
    <w:rsid w:val="00D43E92"/>
    <w:rsid w:val="00D4502C"/>
    <w:rsid w:val="00D453F1"/>
    <w:rsid w:val="00D45A82"/>
    <w:rsid w:val="00D45F76"/>
    <w:rsid w:val="00D47866"/>
    <w:rsid w:val="00D50F66"/>
    <w:rsid w:val="00D51607"/>
    <w:rsid w:val="00D54241"/>
    <w:rsid w:val="00D54592"/>
    <w:rsid w:val="00D6415A"/>
    <w:rsid w:val="00D64C9F"/>
    <w:rsid w:val="00D7046E"/>
    <w:rsid w:val="00D71FA9"/>
    <w:rsid w:val="00D72FFB"/>
    <w:rsid w:val="00D7555D"/>
    <w:rsid w:val="00D75D92"/>
    <w:rsid w:val="00D76A44"/>
    <w:rsid w:val="00D76BE6"/>
    <w:rsid w:val="00D77716"/>
    <w:rsid w:val="00D8104A"/>
    <w:rsid w:val="00D81E8E"/>
    <w:rsid w:val="00D855E0"/>
    <w:rsid w:val="00D85BF8"/>
    <w:rsid w:val="00D90B21"/>
    <w:rsid w:val="00D93753"/>
    <w:rsid w:val="00D9495B"/>
    <w:rsid w:val="00D95A92"/>
    <w:rsid w:val="00D9684D"/>
    <w:rsid w:val="00D96A76"/>
    <w:rsid w:val="00D96AC1"/>
    <w:rsid w:val="00DA1A50"/>
    <w:rsid w:val="00DA1B8F"/>
    <w:rsid w:val="00DA2516"/>
    <w:rsid w:val="00DA4AD0"/>
    <w:rsid w:val="00DA62D8"/>
    <w:rsid w:val="00DA6309"/>
    <w:rsid w:val="00DA77A5"/>
    <w:rsid w:val="00DB3978"/>
    <w:rsid w:val="00DB5EC1"/>
    <w:rsid w:val="00DB6939"/>
    <w:rsid w:val="00DB6B15"/>
    <w:rsid w:val="00DB7B47"/>
    <w:rsid w:val="00DB7DDA"/>
    <w:rsid w:val="00DC435B"/>
    <w:rsid w:val="00DC5501"/>
    <w:rsid w:val="00DD0082"/>
    <w:rsid w:val="00DD081A"/>
    <w:rsid w:val="00DD32C5"/>
    <w:rsid w:val="00DD3F28"/>
    <w:rsid w:val="00DD4537"/>
    <w:rsid w:val="00DD4E15"/>
    <w:rsid w:val="00DD539E"/>
    <w:rsid w:val="00DD7A6F"/>
    <w:rsid w:val="00DE033C"/>
    <w:rsid w:val="00DE10BF"/>
    <w:rsid w:val="00DE25FE"/>
    <w:rsid w:val="00DE4FCB"/>
    <w:rsid w:val="00DE63E7"/>
    <w:rsid w:val="00DE6A3B"/>
    <w:rsid w:val="00DE7C87"/>
    <w:rsid w:val="00DF4A76"/>
    <w:rsid w:val="00DF5D2B"/>
    <w:rsid w:val="00DF6D91"/>
    <w:rsid w:val="00DF78BE"/>
    <w:rsid w:val="00E00DC4"/>
    <w:rsid w:val="00E015D8"/>
    <w:rsid w:val="00E05D01"/>
    <w:rsid w:val="00E10149"/>
    <w:rsid w:val="00E10969"/>
    <w:rsid w:val="00E10D22"/>
    <w:rsid w:val="00E12657"/>
    <w:rsid w:val="00E12981"/>
    <w:rsid w:val="00E153A5"/>
    <w:rsid w:val="00E16372"/>
    <w:rsid w:val="00E165A3"/>
    <w:rsid w:val="00E20E00"/>
    <w:rsid w:val="00E20ED6"/>
    <w:rsid w:val="00E20FB0"/>
    <w:rsid w:val="00E21358"/>
    <w:rsid w:val="00E2249B"/>
    <w:rsid w:val="00E22A0D"/>
    <w:rsid w:val="00E2748C"/>
    <w:rsid w:val="00E2771E"/>
    <w:rsid w:val="00E27AFF"/>
    <w:rsid w:val="00E345C9"/>
    <w:rsid w:val="00E37569"/>
    <w:rsid w:val="00E37F37"/>
    <w:rsid w:val="00E4074F"/>
    <w:rsid w:val="00E41E30"/>
    <w:rsid w:val="00E43D70"/>
    <w:rsid w:val="00E46220"/>
    <w:rsid w:val="00E4705C"/>
    <w:rsid w:val="00E477BB"/>
    <w:rsid w:val="00E47B2C"/>
    <w:rsid w:val="00E51560"/>
    <w:rsid w:val="00E534A4"/>
    <w:rsid w:val="00E55424"/>
    <w:rsid w:val="00E55515"/>
    <w:rsid w:val="00E55BB5"/>
    <w:rsid w:val="00E60488"/>
    <w:rsid w:val="00E61384"/>
    <w:rsid w:val="00E62D34"/>
    <w:rsid w:val="00E63B07"/>
    <w:rsid w:val="00E65E79"/>
    <w:rsid w:val="00E6726E"/>
    <w:rsid w:val="00E67416"/>
    <w:rsid w:val="00E7145C"/>
    <w:rsid w:val="00E715CD"/>
    <w:rsid w:val="00E718B6"/>
    <w:rsid w:val="00E73581"/>
    <w:rsid w:val="00E83BDF"/>
    <w:rsid w:val="00E85321"/>
    <w:rsid w:val="00E85D27"/>
    <w:rsid w:val="00E87146"/>
    <w:rsid w:val="00E87FBA"/>
    <w:rsid w:val="00E903DC"/>
    <w:rsid w:val="00E94275"/>
    <w:rsid w:val="00E96297"/>
    <w:rsid w:val="00E96CC2"/>
    <w:rsid w:val="00E97E9F"/>
    <w:rsid w:val="00EA0557"/>
    <w:rsid w:val="00EA170D"/>
    <w:rsid w:val="00EA3864"/>
    <w:rsid w:val="00EA68AA"/>
    <w:rsid w:val="00EA6E14"/>
    <w:rsid w:val="00EB15B6"/>
    <w:rsid w:val="00EB2125"/>
    <w:rsid w:val="00EB42AF"/>
    <w:rsid w:val="00EB4916"/>
    <w:rsid w:val="00EB5758"/>
    <w:rsid w:val="00EB5830"/>
    <w:rsid w:val="00EB5872"/>
    <w:rsid w:val="00EB6F67"/>
    <w:rsid w:val="00EB7530"/>
    <w:rsid w:val="00EC00C9"/>
    <w:rsid w:val="00EC1B95"/>
    <w:rsid w:val="00ED14F2"/>
    <w:rsid w:val="00ED173B"/>
    <w:rsid w:val="00ED3850"/>
    <w:rsid w:val="00ED49EA"/>
    <w:rsid w:val="00EE07D3"/>
    <w:rsid w:val="00EE1477"/>
    <w:rsid w:val="00EE24D7"/>
    <w:rsid w:val="00EE25E4"/>
    <w:rsid w:val="00EE40DF"/>
    <w:rsid w:val="00EE6A1E"/>
    <w:rsid w:val="00EF25FA"/>
    <w:rsid w:val="00EF2CD4"/>
    <w:rsid w:val="00EF4510"/>
    <w:rsid w:val="00F01137"/>
    <w:rsid w:val="00F06205"/>
    <w:rsid w:val="00F063C7"/>
    <w:rsid w:val="00F067A2"/>
    <w:rsid w:val="00F0725E"/>
    <w:rsid w:val="00F10449"/>
    <w:rsid w:val="00F11496"/>
    <w:rsid w:val="00F1154F"/>
    <w:rsid w:val="00F12EF9"/>
    <w:rsid w:val="00F13E83"/>
    <w:rsid w:val="00F15EA7"/>
    <w:rsid w:val="00F16FA3"/>
    <w:rsid w:val="00F177B8"/>
    <w:rsid w:val="00F21284"/>
    <w:rsid w:val="00F24837"/>
    <w:rsid w:val="00F2575F"/>
    <w:rsid w:val="00F269E6"/>
    <w:rsid w:val="00F27572"/>
    <w:rsid w:val="00F3040C"/>
    <w:rsid w:val="00F30FCD"/>
    <w:rsid w:val="00F316E5"/>
    <w:rsid w:val="00F31E6D"/>
    <w:rsid w:val="00F33DE9"/>
    <w:rsid w:val="00F34EF5"/>
    <w:rsid w:val="00F3586D"/>
    <w:rsid w:val="00F36098"/>
    <w:rsid w:val="00F3619A"/>
    <w:rsid w:val="00F37E6B"/>
    <w:rsid w:val="00F41938"/>
    <w:rsid w:val="00F43309"/>
    <w:rsid w:val="00F43A35"/>
    <w:rsid w:val="00F46139"/>
    <w:rsid w:val="00F4656C"/>
    <w:rsid w:val="00F46CB6"/>
    <w:rsid w:val="00F50B43"/>
    <w:rsid w:val="00F54DE6"/>
    <w:rsid w:val="00F55B1E"/>
    <w:rsid w:val="00F55E73"/>
    <w:rsid w:val="00F565D1"/>
    <w:rsid w:val="00F5677A"/>
    <w:rsid w:val="00F56B31"/>
    <w:rsid w:val="00F56C6A"/>
    <w:rsid w:val="00F56F5E"/>
    <w:rsid w:val="00F60092"/>
    <w:rsid w:val="00F60554"/>
    <w:rsid w:val="00F63572"/>
    <w:rsid w:val="00F66062"/>
    <w:rsid w:val="00F66331"/>
    <w:rsid w:val="00F67EE5"/>
    <w:rsid w:val="00F70045"/>
    <w:rsid w:val="00F70379"/>
    <w:rsid w:val="00F71F22"/>
    <w:rsid w:val="00F72E8F"/>
    <w:rsid w:val="00F73F53"/>
    <w:rsid w:val="00F746F9"/>
    <w:rsid w:val="00F76019"/>
    <w:rsid w:val="00F760E2"/>
    <w:rsid w:val="00F776BD"/>
    <w:rsid w:val="00F80E5D"/>
    <w:rsid w:val="00F82D11"/>
    <w:rsid w:val="00F851CE"/>
    <w:rsid w:val="00F91C90"/>
    <w:rsid w:val="00F97A78"/>
    <w:rsid w:val="00F97D40"/>
    <w:rsid w:val="00FA1E59"/>
    <w:rsid w:val="00FA24E7"/>
    <w:rsid w:val="00FA3272"/>
    <w:rsid w:val="00FA33E0"/>
    <w:rsid w:val="00FA3788"/>
    <w:rsid w:val="00FA535F"/>
    <w:rsid w:val="00FA6B43"/>
    <w:rsid w:val="00FA7546"/>
    <w:rsid w:val="00FA7743"/>
    <w:rsid w:val="00FA7A53"/>
    <w:rsid w:val="00FB0669"/>
    <w:rsid w:val="00FB11B6"/>
    <w:rsid w:val="00FB2FCB"/>
    <w:rsid w:val="00FB6F84"/>
    <w:rsid w:val="00FB70B4"/>
    <w:rsid w:val="00FC0A96"/>
    <w:rsid w:val="00FC1074"/>
    <w:rsid w:val="00FC1884"/>
    <w:rsid w:val="00FC2477"/>
    <w:rsid w:val="00FC4073"/>
    <w:rsid w:val="00FC6B8A"/>
    <w:rsid w:val="00FD0EF6"/>
    <w:rsid w:val="00FD2100"/>
    <w:rsid w:val="00FD306E"/>
    <w:rsid w:val="00FD446D"/>
    <w:rsid w:val="00FD5CB2"/>
    <w:rsid w:val="00FD7B2A"/>
    <w:rsid w:val="00FE12F2"/>
    <w:rsid w:val="00FE2B10"/>
    <w:rsid w:val="00FE2B70"/>
    <w:rsid w:val="00FE3D78"/>
    <w:rsid w:val="00FE46EF"/>
    <w:rsid w:val="00FE6ADC"/>
    <w:rsid w:val="00FE73E6"/>
    <w:rsid w:val="00FE7581"/>
    <w:rsid w:val="00FF02B7"/>
    <w:rsid w:val="00FF3DCF"/>
    <w:rsid w:val="00FF5AA3"/>
    <w:rsid w:val="00FF5B84"/>
    <w:rsid w:val="00FF6D9B"/>
    <w:rsid w:val="00FF72E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5" w:unhideWhenUsed="0" w:qFormat="1"/>
    <w:lsdException w:name="heading 5" w:semiHidden="0" w:uiPriority="7" w:unhideWhenUsed="0" w:qFormat="1"/>
    <w:lsdException w:name="heading 6" w:semiHidden="0" w:uiPriority="7" w:unhideWhenUsed="0"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F6A69"/>
    <w:pPr>
      <w:widowControl w:val="0"/>
      <w:jc w:val="both"/>
    </w:pPr>
    <w:rPr>
      <w:rFonts w:ascii="Arial" w:hAnsi="Arial" w:cs="Arial"/>
      <w:snapToGrid w:val="0"/>
      <w:sz w:val="22"/>
      <w:lang w:eastAsia="en-US"/>
    </w:rPr>
  </w:style>
  <w:style w:type="paragraph" w:styleId="Heading1">
    <w:name w:val="heading 1"/>
    <w:aliases w:val="ESHeading 1"/>
    <w:basedOn w:val="Normal"/>
    <w:next w:val="Normal"/>
    <w:link w:val="Heading1Char"/>
    <w:uiPriority w:val="1"/>
    <w:qFormat/>
    <w:rsid w:val="00D453F1"/>
    <w:pPr>
      <w:outlineLvl w:val="0"/>
    </w:pPr>
    <w:rPr>
      <w:rFonts w:asciiTheme="minorHAnsi" w:hAnsiTheme="minorHAnsi"/>
      <w:b/>
      <w:caps/>
      <w:sz w:val="32"/>
    </w:rPr>
  </w:style>
  <w:style w:type="paragraph" w:styleId="Heading2">
    <w:name w:val="heading 2"/>
    <w:aliases w:val="ESHeading 2"/>
    <w:basedOn w:val="Normal"/>
    <w:next w:val="Normal"/>
    <w:link w:val="Heading2Char"/>
    <w:uiPriority w:val="1"/>
    <w:qFormat/>
    <w:rsid w:val="00103FF8"/>
    <w:pPr>
      <w:ind w:left="709" w:hanging="709"/>
      <w:outlineLvl w:val="1"/>
    </w:pPr>
    <w:rPr>
      <w:b/>
    </w:rPr>
  </w:style>
  <w:style w:type="paragraph" w:styleId="Heading3">
    <w:name w:val="heading 3"/>
    <w:aliases w:val="ESHeading 3"/>
    <w:basedOn w:val="Normal"/>
    <w:next w:val="Normal"/>
    <w:link w:val="Heading3Char"/>
    <w:uiPriority w:val="1"/>
    <w:qFormat/>
    <w:rsid w:val="001F7361"/>
    <w:pPr>
      <w:outlineLvl w:val="2"/>
    </w:pPr>
    <w:rPr>
      <w:u w:val="single"/>
    </w:rPr>
  </w:style>
  <w:style w:type="paragraph" w:styleId="Heading4">
    <w:name w:val="heading 4"/>
    <w:aliases w:val="ESHeading 4"/>
    <w:basedOn w:val="Normal"/>
    <w:next w:val="Normal"/>
    <w:link w:val="Heading4Char"/>
    <w:uiPriority w:val="5"/>
    <w:qFormat/>
    <w:rsid w:val="00124A51"/>
    <w:pPr>
      <w:keepNext/>
      <w:spacing w:before="240" w:after="60"/>
      <w:outlineLvl w:val="3"/>
    </w:pPr>
    <w:rPr>
      <w:b/>
      <w:bCs/>
      <w:i/>
      <w:sz w:val="26"/>
      <w:szCs w:val="28"/>
    </w:rPr>
  </w:style>
  <w:style w:type="paragraph" w:styleId="Heading5">
    <w:name w:val="heading 5"/>
    <w:basedOn w:val="Normal"/>
    <w:next w:val="Normal"/>
    <w:link w:val="Heading5Char"/>
    <w:uiPriority w:val="7"/>
    <w:qFormat/>
    <w:rsid w:val="00124A51"/>
    <w:pPr>
      <w:spacing w:before="240" w:after="60"/>
      <w:outlineLvl w:val="4"/>
    </w:pPr>
    <w:rPr>
      <w:b/>
      <w:bCs/>
      <w:iCs/>
      <w:sz w:val="26"/>
      <w:szCs w:val="26"/>
    </w:rPr>
  </w:style>
  <w:style w:type="paragraph" w:styleId="Heading6">
    <w:name w:val="heading 6"/>
    <w:basedOn w:val="Normal"/>
    <w:next w:val="Normal"/>
    <w:link w:val="Heading6Char"/>
    <w:uiPriority w:val="7"/>
    <w:qFormat/>
    <w:rsid w:val="00124A51"/>
    <w:pPr>
      <w:spacing w:before="240" w:after="60"/>
      <w:outlineLvl w:val="5"/>
    </w:pPr>
    <w:rPr>
      <w:b/>
      <w:bCs/>
      <w:i/>
      <w:szCs w:val="22"/>
    </w:rPr>
  </w:style>
  <w:style w:type="paragraph" w:styleId="Heading7">
    <w:name w:val="heading 7"/>
    <w:basedOn w:val="Normal"/>
    <w:next w:val="Normal"/>
    <w:link w:val="Heading7Char"/>
    <w:uiPriority w:val="7"/>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uiPriority w:val="7"/>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aliases w:val="ESHeading 2 Char"/>
    <w:link w:val="Heading2"/>
    <w:uiPriority w:val="1"/>
    <w:rsid w:val="00103FF8"/>
    <w:rPr>
      <w:rFonts w:ascii="Arial" w:hAnsi="Arial" w:cs="Arial"/>
      <w:b/>
      <w:snapToGrid w:val="0"/>
      <w:sz w:val="22"/>
      <w:lang w:eastAsia="en-US"/>
    </w:rPr>
  </w:style>
  <w:style w:type="character" w:customStyle="1" w:styleId="Heading7Char">
    <w:name w:val="Heading 7 Char"/>
    <w:basedOn w:val="DefaultParagraphFont"/>
    <w:link w:val="Heading7"/>
    <w:uiPriority w:val="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uiPriority w:val="7"/>
    <w:rsid w:val="00124A51"/>
    <w:rPr>
      <w:rFonts w:ascii="Arial" w:hAnsi="Arial"/>
      <w:b/>
      <w:snapToGrid w:val="0"/>
      <w:color w:val="000000"/>
      <w:lang w:eastAsia="en-US"/>
    </w:rPr>
  </w:style>
  <w:style w:type="paragraph" w:styleId="Caption">
    <w:name w:val="caption"/>
    <w:aliases w:val="IB Caption,Medical Caption,Caption Char1 Char Char,Caption Char Char Char Char,Caption Char1 Char,Caption Char Char Char Char Char,Caption Char Char,Caption Char Char Char Char1,Caption Char1 Char1,PBAC Caption Tables + Figures,Caption Char2"/>
    <w:basedOn w:val="TableHeading"/>
    <w:next w:val="Normal"/>
    <w:link w:val="CaptionChar"/>
    <w:uiPriority w:val="35"/>
    <w:unhideWhenUsed/>
    <w:qFormat/>
    <w:rsid w:val="00D453F1"/>
  </w:style>
  <w:style w:type="character" w:customStyle="1" w:styleId="CaptionChar">
    <w:name w:val="Caption Char"/>
    <w:aliases w:val="IB Caption Char,Medical Caption Char,Caption Char1 Char Char Char,Caption Char Char Char Char Char1,Caption Char1 Char Char1,Caption Char Char Char Char Char Char,Caption Char Char Char,Caption Char Char Char Char1 Char,Caption Char2 Char"/>
    <w:link w:val="Caption"/>
    <w:uiPriority w:val="35"/>
    <w:rsid w:val="00D453F1"/>
    <w:rPr>
      <w:rFonts w:ascii="Arial Narrow" w:eastAsiaTheme="minorHAnsi" w:hAnsi="Arial Narrow" w:cstheme="minorBidi"/>
      <w:b/>
      <w:szCs w:val="22"/>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0">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103FF8"/>
    <w:pPr>
      <w:tabs>
        <w:tab w:val="left" w:pos="880"/>
        <w:tab w:val="right" w:leader="dot" w:pos="9016"/>
      </w:tabs>
      <w:spacing w:before="120"/>
      <w:ind w:left="851" w:hanging="631"/>
      <w:jc w:val="left"/>
    </w:pPr>
    <w:rPr>
      <w:iCs/>
      <w:sz w:val="20"/>
    </w:rPr>
  </w:style>
  <w:style w:type="paragraph" w:styleId="TOC1">
    <w:name w:val="toc 1"/>
    <w:basedOn w:val="Normal"/>
    <w:next w:val="Normal"/>
    <w:autoRedefine/>
    <w:uiPriority w:val="39"/>
    <w:rsid w:val="00D02988"/>
    <w:pPr>
      <w:tabs>
        <w:tab w:val="left" w:pos="851"/>
        <w:tab w:val="right" w:leader="dot" w:pos="9016"/>
      </w:tabs>
      <w:spacing w:before="240" w:after="120"/>
      <w:ind w:left="851" w:hanging="851"/>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9"/>
    <w:rsid w:val="00D0262E"/>
    <w:pPr>
      <w:ind w:left="660"/>
      <w:jc w:val="left"/>
    </w:pPr>
    <w:rPr>
      <w:rFonts w:asciiTheme="minorHAnsi" w:hAnsiTheme="minorHAnsi"/>
      <w:sz w:val="20"/>
    </w:rPr>
  </w:style>
  <w:style w:type="paragraph" w:styleId="TOC5">
    <w:name w:val="toc 5"/>
    <w:basedOn w:val="Normal"/>
    <w:next w:val="Normal"/>
    <w:autoRedefine/>
    <w:uiPriority w:val="9"/>
    <w:rsid w:val="00D0262E"/>
    <w:pPr>
      <w:ind w:left="880"/>
      <w:jc w:val="left"/>
    </w:pPr>
    <w:rPr>
      <w:rFonts w:asciiTheme="minorHAnsi" w:hAnsiTheme="minorHAnsi"/>
      <w:sz w:val="20"/>
    </w:rPr>
  </w:style>
  <w:style w:type="paragraph" w:styleId="TOC6">
    <w:name w:val="toc 6"/>
    <w:basedOn w:val="Normal"/>
    <w:next w:val="Normal"/>
    <w:autoRedefine/>
    <w:uiPriority w:val="9"/>
    <w:rsid w:val="00D0262E"/>
    <w:pPr>
      <w:ind w:left="1100"/>
      <w:jc w:val="left"/>
    </w:pPr>
    <w:rPr>
      <w:rFonts w:asciiTheme="minorHAnsi" w:hAnsiTheme="minorHAnsi"/>
      <w:sz w:val="20"/>
    </w:rPr>
  </w:style>
  <w:style w:type="paragraph" w:styleId="TOC7">
    <w:name w:val="toc 7"/>
    <w:basedOn w:val="Normal"/>
    <w:next w:val="Normal"/>
    <w:autoRedefine/>
    <w:uiPriority w:val="9"/>
    <w:rsid w:val="00D0262E"/>
    <w:pPr>
      <w:ind w:left="1320"/>
      <w:jc w:val="left"/>
    </w:pPr>
    <w:rPr>
      <w:rFonts w:asciiTheme="minorHAnsi" w:hAnsiTheme="minorHAnsi"/>
      <w:sz w:val="20"/>
    </w:rPr>
  </w:style>
  <w:style w:type="paragraph" w:styleId="TOC8">
    <w:name w:val="toc 8"/>
    <w:basedOn w:val="Normal"/>
    <w:next w:val="Normal"/>
    <w:autoRedefine/>
    <w:uiPriority w:val="9"/>
    <w:rsid w:val="00D0262E"/>
    <w:pPr>
      <w:ind w:left="1540"/>
      <w:jc w:val="left"/>
    </w:pPr>
    <w:rPr>
      <w:rFonts w:asciiTheme="minorHAnsi" w:hAnsiTheme="minorHAnsi"/>
      <w:sz w:val="20"/>
    </w:rPr>
  </w:style>
  <w:style w:type="paragraph" w:styleId="TOC9">
    <w:name w:val="toc 9"/>
    <w:basedOn w:val="Normal"/>
    <w:next w:val="Normal"/>
    <w:autoRedefine/>
    <w:uiPriority w:val="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rPr>
      <w:rFonts w:ascii="Arial" w:hAnsi="Arial" w:cs="Arial"/>
      <w:b/>
      <w:snapToGrid w:val="0"/>
      <w:sz w:val="22"/>
      <w:szCs w:val="22"/>
      <w:lang w:eastAsia="en-US"/>
    </w:rPr>
  </w:style>
  <w:style w:type="character" w:customStyle="1" w:styleId="Heading1Char">
    <w:name w:val="Heading 1 Char"/>
    <w:aliases w:val="ESHeading 1 Char"/>
    <w:basedOn w:val="DefaultParagraphFont"/>
    <w:link w:val="Heading1"/>
    <w:uiPriority w:val="1"/>
    <w:rsid w:val="00D453F1"/>
    <w:rPr>
      <w:rFonts w:asciiTheme="minorHAnsi" w:hAnsiTheme="minorHAnsi" w:cs="Arial"/>
      <w:b/>
      <w:caps/>
      <w:snapToGrid w:val="0"/>
      <w:sz w:val="32"/>
      <w:lang w:eastAsia="en-US"/>
    </w:rPr>
  </w:style>
  <w:style w:type="character" w:customStyle="1" w:styleId="Heading3Char">
    <w:name w:val="Heading 3 Char"/>
    <w:aliases w:val="ESHeading 3 Char"/>
    <w:basedOn w:val="DefaultParagraphFont"/>
    <w:link w:val="Heading3"/>
    <w:uiPriority w:val="1"/>
    <w:rsid w:val="00137F8D"/>
    <w:rPr>
      <w:rFonts w:ascii="Arial" w:hAnsi="Arial" w:cs="Arial"/>
      <w:snapToGrid w:val="0"/>
      <w:sz w:val="22"/>
      <w:u w:val="single"/>
      <w:lang w:eastAsia="en-US"/>
    </w:rPr>
  </w:style>
  <w:style w:type="paragraph" w:customStyle="1" w:styleId="V50Heading2nonumbers">
    <w:name w:val="V5.0 Heading 2 no numbers"/>
    <w:basedOn w:val="Heading2"/>
    <w:qFormat/>
    <w:rsid w:val="00137F8D"/>
    <w:pPr>
      <w:keepNext/>
      <w:keepLines/>
      <w:widowControl/>
      <w:spacing w:before="240" w:after="120"/>
      <w:ind w:left="578" w:hanging="578"/>
    </w:pPr>
    <w:rPr>
      <w:rFonts w:eastAsiaTheme="majorEastAsia" w:cstheme="majorBidi"/>
      <w:i/>
      <w:snapToGrid/>
      <w:sz w:val="28"/>
      <w:szCs w:val="28"/>
    </w:rPr>
  </w:style>
  <w:style w:type="paragraph" w:customStyle="1" w:styleId="V50Instructions">
    <w:name w:val="V5.0 Instructions"/>
    <w:basedOn w:val="Normal"/>
    <w:link w:val="V50InstructionsChar"/>
    <w:qFormat/>
    <w:rsid w:val="00137F8D"/>
    <w:pPr>
      <w:widowControl/>
      <w:spacing w:before="120" w:after="160"/>
    </w:pPr>
    <w:rPr>
      <w:rFonts w:eastAsiaTheme="minorHAnsi" w:cstheme="minorBidi"/>
      <w:snapToGrid/>
      <w:color w:val="4BACC6" w:themeColor="accent5"/>
      <w:szCs w:val="22"/>
    </w:rPr>
  </w:style>
  <w:style w:type="character" w:customStyle="1" w:styleId="Heading4Char">
    <w:name w:val="Heading 4 Char"/>
    <w:aliases w:val="ESHeading 4 Char"/>
    <w:basedOn w:val="DefaultParagraphFont"/>
    <w:link w:val="Heading4"/>
    <w:uiPriority w:val="5"/>
    <w:rsid w:val="00137F8D"/>
    <w:rPr>
      <w:rFonts w:ascii="Arial" w:hAnsi="Arial" w:cs="Arial"/>
      <w:b/>
      <w:bCs/>
      <w:i/>
      <w:snapToGrid w:val="0"/>
      <w:sz w:val="26"/>
      <w:szCs w:val="28"/>
      <w:lang w:eastAsia="en-US"/>
    </w:rPr>
  </w:style>
  <w:style w:type="character" w:customStyle="1" w:styleId="Heading5Char">
    <w:name w:val="Heading 5 Char"/>
    <w:basedOn w:val="DefaultParagraphFont"/>
    <w:link w:val="Heading5"/>
    <w:uiPriority w:val="7"/>
    <w:rsid w:val="00137F8D"/>
    <w:rPr>
      <w:rFonts w:ascii="Arial" w:hAnsi="Arial" w:cs="Arial"/>
      <w:b/>
      <w:bCs/>
      <w:iCs/>
      <w:snapToGrid w:val="0"/>
      <w:sz w:val="26"/>
      <w:szCs w:val="26"/>
      <w:lang w:eastAsia="en-US"/>
    </w:rPr>
  </w:style>
  <w:style w:type="character" w:customStyle="1" w:styleId="Heading6Char">
    <w:name w:val="Heading 6 Char"/>
    <w:basedOn w:val="DefaultParagraphFont"/>
    <w:link w:val="Heading6"/>
    <w:uiPriority w:val="7"/>
    <w:rsid w:val="00137F8D"/>
    <w:rPr>
      <w:rFonts w:ascii="Arial" w:hAnsi="Arial" w:cs="Arial"/>
      <w:b/>
      <w:bCs/>
      <w:i/>
      <w:snapToGrid w:val="0"/>
      <w:sz w:val="22"/>
      <w:szCs w:val="22"/>
      <w:lang w:eastAsia="en-US"/>
    </w:rPr>
  </w:style>
  <w:style w:type="paragraph" w:customStyle="1" w:styleId="V50Heading1nonumbers">
    <w:name w:val="V5.0 Heading 1 no numbers"/>
    <w:basedOn w:val="Heading1"/>
    <w:qFormat/>
    <w:rsid w:val="00137F8D"/>
    <w:pPr>
      <w:keepNext/>
      <w:keepLines/>
      <w:widowControl/>
      <w:spacing w:before="400" w:after="120"/>
    </w:pPr>
    <w:rPr>
      <w:rFonts w:ascii="Arial" w:eastAsiaTheme="majorEastAsia" w:hAnsi="Arial" w:cstheme="majorBidi"/>
      <w:caps w:val="0"/>
      <w:snapToGrid/>
      <w:szCs w:val="28"/>
    </w:rPr>
  </w:style>
  <w:style w:type="paragraph" w:customStyle="1" w:styleId="V50InstructionsBullets">
    <w:name w:val="V5.0 Instructions Bullets"/>
    <w:basedOn w:val="V50Instructions"/>
    <w:qFormat/>
    <w:rsid w:val="00137F8D"/>
    <w:pPr>
      <w:numPr>
        <w:numId w:val="5"/>
      </w:numPr>
      <w:spacing w:before="0" w:after="0"/>
      <w:ind w:left="714" w:hanging="357"/>
    </w:pPr>
  </w:style>
  <w:style w:type="table" w:customStyle="1" w:styleId="TableGridLight1">
    <w:name w:val="Table Grid Light1"/>
    <w:basedOn w:val="TableNormal"/>
    <w:uiPriority w:val="40"/>
    <w:rsid w:val="00137F8D"/>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137F8D"/>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1">
    <w:name w:val="Table Text"/>
    <w:basedOn w:val="Normal"/>
    <w:qFormat/>
    <w:rsid w:val="00137F8D"/>
    <w:pPr>
      <w:keepNext/>
      <w:widowControl/>
      <w:spacing w:before="40" w:after="40"/>
    </w:pPr>
    <w:rPr>
      <w:rFonts w:ascii="Arial Narrow" w:eastAsiaTheme="minorHAnsi" w:hAnsi="Arial Narrow" w:cstheme="minorBidi"/>
      <w:snapToGrid/>
      <w:sz w:val="20"/>
      <w:szCs w:val="22"/>
    </w:rPr>
  </w:style>
  <w:style w:type="character" w:styleId="FootnoteReference">
    <w:name w:val="footnote reference"/>
    <w:basedOn w:val="DefaultParagraphFont"/>
    <w:uiPriority w:val="99"/>
    <w:unhideWhenUsed/>
    <w:rsid w:val="00137F8D"/>
    <w:rPr>
      <w:vertAlign w:val="superscript"/>
    </w:rPr>
  </w:style>
  <w:style w:type="paragraph" w:customStyle="1" w:styleId="TableHeading">
    <w:name w:val="Table Heading"/>
    <w:basedOn w:val="Normal"/>
    <w:qFormat/>
    <w:rsid w:val="00137F8D"/>
    <w:pPr>
      <w:keepNext/>
      <w:widowControl/>
      <w:spacing w:before="240" w:after="60"/>
    </w:pPr>
    <w:rPr>
      <w:rFonts w:ascii="Arial Narrow" w:eastAsiaTheme="minorHAnsi" w:hAnsi="Arial Narrow" w:cstheme="minorBidi"/>
      <w:b/>
      <w:snapToGrid/>
      <w:sz w:val="20"/>
      <w:szCs w:val="22"/>
    </w:rPr>
  </w:style>
  <w:style w:type="character" w:customStyle="1" w:styleId="V50InstructionsChar">
    <w:name w:val="V5.0 Instructions Char"/>
    <w:basedOn w:val="DefaultParagraphFont"/>
    <w:link w:val="V50Instructions"/>
    <w:rsid w:val="00137F8D"/>
    <w:rPr>
      <w:rFonts w:ascii="Arial" w:eastAsiaTheme="minorHAnsi" w:hAnsi="Arial" w:cstheme="minorBidi"/>
      <w:color w:val="4BACC6" w:themeColor="accent5"/>
      <w:sz w:val="22"/>
      <w:szCs w:val="22"/>
      <w:lang w:eastAsia="en-US"/>
    </w:rPr>
  </w:style>
  <w:style w:type="character" w:customStyle="1" w:styleId="TableFooterChar">
    <w:name w:val="Table Footer Char"/>
    <w:link w:val="TableFooter"/>
    <w:rsid w:val="00137F8D"/>
    <w:rPr>
      <w:rFonts w:ascii="Arial Narrow" w:hAnsi="Arial Narrow" w:cs="Arial"/>
      <w:snapToGrid w:val="0"/>
      <w:sz w:val="18"/>
      <w:lang w:eastAsia="en-US"/>
    </w:rPr>
  </w:style>
  <w:style w:type="numbering" w:customStyle="1" w:styleId="Headings">
    <w:name w:val="Headings"/>
    <w:uiPriority w:val="99"/>
    <w:rsid w:val="00137F8D"/>
    <w:pPr>
      <w:numPr>
        <w:numId w:val="6"/>
      </w:numPr>
    </w:pPr>
  </w:style>
  <w:style w:type="character" w:styleId="FollowedHyperlink">
    <w:name w:val="FollowedHyperlink"/>
    <w:basedOn w:val="DefaultParagraphFont"/>
    <w:uiPriority w:val="99"/>
    <w:semiHidden/>
    <w:unhideWhenUsed/>
    <w:rsid w:val="00137F8D"/>
    <w:rPr>
      <w:color w:val="800080" w:themeColor="followedHyperlink"/>
      <w:u w:val="single"/>
    </w:rPr>
  </w:style>
  <w:style w:type="paragraph" w:customStyle="1" w:styleId="ESnumberedpara">
    <w:name w:val="ES numbered para"/>
    <w:basedOn w:val="Normal"/>
    <w:link w:val="ESnumberedparaChar"/>
    <w:qFormat/>
    <w:rsid w:val="00432F4D"/>
    <w:pPr>
      <w:widowControl/>
      <w:spacing w:before="120" w:after="160"/>
      <w:ind w:left="720" w:hanging="720"/>
    </w:pPr>
    <w:rPr>
      <w:rFonts w:eastAsiaTheme="minorHAnsi" w:cstheme="minorBidi"/>
      <w:snapToGrid/>
      <w:szCs w:val="22"/>
    </w:rPr>
  </w:style>
  <w:style w:type="character" w:customStyle="1" w:styleId="ESnumberedparaChar">
    <w:name w:val="ES numbered para Char"/>
    <w:basedOn w:val="DefaultParagraphFont"/>
    <w:link w:val="ESnumberedpara"/>
    <w:rsid w:val="00432F4D"/>
    <w:rPr>
      <w:rFonts w:ascii="Arial" w:eastAsiaTheme="minorHAnsi" w:hAnsi="Arial" w:cstheme="minorBidi"/>
      <w:sz w:val="22"/>
      <w:szCs w:val="22"/>
      <w:lang w:eastAsia="en-US"/>
    </w:rPr>
  </w:style>
  <w:style w:type="paragraph" w:customStyle="1" w:styleId="ESnumberedparablue">
    <w:name w:val="ES numbered para blue"/>
    <w:basedOn w:val="ESnumberedpara"/>
    <w:qFormat/>
    <w:rsid w:val="00137F8D"/>
    <w:pPr>
      <w:ind w:left="0" w:firstLine="0"/>
    </w:pPr>
    <w:rPr>
      <w:color w:val="4BACC6" w:themeColor="accent5"/>
    </w:rPr>
  </w:style>
  <w:style w:type="paragraph" w:customStyle="1" w:styleId="ESnon-numberedpara">
    <w:name w:val="ES non-numbered para"/>
    <w:basedOn w:val="Normal"/>
    <w:qFormat/>
    <w:rsid w:val="00137F8D"/>
    <w:pPr>
      <w:widowControl/>
      <w:spacing w:after="120"/>
      <w:ind w:left="709"/>
    </w:pPr>
    <w:rPr>
      <w:rFonts w:eastAsiaTheme="minorHAnsi" w:cstheme="minorBidi"/>
      <w:snapToGrid/>
      <w:szCs w:val="22"/>
    </w:rPr>
  </w:style>
  <w:style w:type="paragraph" w:customStyle="1" w:styleId="ESnon-numberedparablue">
    <w:name w:val="ES non-numbered para blue"/>
    <w:basedOn w:val="ESnon-numberedpara"/>
    <w:qFormat/>
    <w:rsid w:val="00137F8D"/>
    <w:rPr>
      <w:color w:val="4BACC6" w:themeColor="accent5"/>
    </w:rPr>
  </w:style>
  <w:style w:type="paragraph" w:customStyle="1" w:styleId="ESnon-numberedbullet">
    <w:name w:val="ES non-numbered bullet"/>
    <w:basedOn w:val="ESnon-numberedpara"/>
    <w:qFormat/>
    <w:rsid w:val="00137F8D"/>
    <w:pPr>
      <w:numPr>
        <w:numId w:val="8"/>
      </w:numPr>
      <w:spacing w:after="240"/>
      <w:contextualSpacing/>
    </w:pPr>
  </w:style>
  <w:style w:type="paragraph" w:customStyle="1" w:styleId="ESNormalblue">
    <w:name w:val="ESNormalblue"/>
    <w:basedOn w:val="Normal"/>
    <w:link w:val="ESNormalblueChar"/>
    <w:qFormat/>
    <w:rsid w:val="00E94275"/>
    <w:pPr>
      <w:widowControl/>
      <w:spacing w:before="120" w:after="160"/>
    </w:pPr>
    <w:rPr>
      <w:rFonts w:eastAsiaTheme="minorHAnsi" w:cstheme="minorBidi"/>
      <w:snapToGrid/>
      <w:color w:val="0070C0"/>
      <w:szCs w:val="22"/>
    </w:rPr>
  </w:style>
  <w:style w:type="character" w:customStyle="1" w:styleId="ESNormalblueChar">
    <w:name w:val="ESNormalblue Char"/>
    <w:basedOn w:val="DefaultParagraphFont"/>
    <w:link w:val="ESNormalblue"/>
    <w:rsid w:val="00E94275"/>
    <w:rPr>
      <w:rFonts w:ascii="Arial" w:eastAsiaTheme="minorHAnsi" w:hAnsi="Arial" w:cstheme="minorBidi"/>
      <w:color w:val="0070C0"/>
      <w:sz w:val="22"/>
      <w:szCs w:val="22"/>
      <w:lang w:eastAsia="en-US"/>
    </w:rPr>
  </w:style>
  <w:style w:type="paragraph" w:customStyle="1" w:styleId="Default">
    <w:name w:val="Default"/>
    <w:link w:val="DefaultChar"/>
    <w:rsid w:val="00AD474E"/>
    <w:pPr>
      <w:widowControl w:val="0"/>
      <w:autoSpaceDE w:val="0"/>
      <w:autoSpaceDN w:val="0"/>
      <w:adjustRightInd w:val="0"/>
    </w:pPr>
    <w:rPr>
      <w:rFonts w:ascii="Arial" w:eastAsia="SimSun" w:hAnsi="Arial" w:cs="Arial"/>
      <w:color w:val="000000"/>
      <w:sz w:val="24"/>
      <w:szCs w:val="24"/>
      <w:lang w:eastAsia="zh-CN"/>
    </w:rPr>
  </w:style>
  <w:style w:type="character" w:customStyle="1" w:styleId="DefaultChar">
    <w:name w:val="Default Char"/>
    <w:basedOn w:val="DefaultParagraphFont"/>
    <w:link w:val="Default"/>
    <w:rsid w:val="00AD474E"/>
    <w:rPr>
      <w:rFonts w:ascii="Arial" w:eastAsia="SimSun" w:hAnsi="Arial" w:cs="Arial"/>
      <w:color w:val="000000"/>
      <w:sz w:val="24"/>
      <w:szCs w:val="24"/>
      <w:lang w:eastAsia="zh-CN"/>
    </w:rPr>
  </w:style>
  <w:style w:type="paragraph" w:customStyle="1" w:styleId="COMtbl-HEADLeftAligned">
    <w:name w:val="COMtbl-HEAD Left Aligned"/>
    <w:basedOn w:val="Normal"/>
    <w:qFormat/>
    <w:rsid w:val="00AE1F89"/>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AE1F89"/>
    <w:pPr>
      <w:jc w:val="center"/>
    </w:pPr>
  </w:style>
  <w:style w:type="paragraph" w:customStyle="1" w:styleId="COMTbl-cap">
    <w:name w:val="COMTbl-cap"/>
    <w:basedOn w:val="Normal"/>
    <w:link w:val="COMTbl-capChar"/>
    <w:qFormat/>
    <w:rsid w:val="00AE1F89"/>
    <w:pPr>
      <w:keepNext/>
    </w:pPr>
    <w:rPr>
      <w:rFonts w:ascii="Arial Narrow" w:hAnsi="Arial Narrow"/>
      <w:b/>
      <w:sz w:val="20"/>
    </w:rPr>
  </w:style>
  <w:style w:type="character" w:customStyle="1" w:styleId="COMTbl-capChar">
    <w:name w:val="COMTbl-cap Char"/>
    <w:basedOn w:val="DefaultParagraphFont"/>
    <w:link w:val="COMTbl-cap"/>
    <w:rsid w:val="00AE1F89"/>
    <w:rPr>
      <w:rFonts w:ascii="Arial Narrow" w:hAnsi="Arial Narrow" w:cs="Arial"/>
      <w:b/>
      <w:snapToGrid w:val="0"/>
      <w:lang w:eastAsia="en-US"/>
    </w:rPr>
  </w:style>
  <w:style w:type="character" w:styleId="Emphasis">
    <w:name w:val="Emphasis"/>
    <w:basedOn w:val="DefaultParagraphFont"/>
    <w:uiPriority w:val="20"/>
    <w:qFormat/>
    <w:rsid w:val="00193D9D"/>
    <w:rPr>
      <w:i/>
      <w:iCs/>
    </w:rPr>
  </w:style>
  <w:style w:type="table" w:customStyle="1" w:styleId="TableGrid1">
    <w:name w:val="Table Grid1"/>
    <w:basedOn w:val="TableNormal"/>
    <w:next w:val="TableGrid"/>
    <w:uiPriority w:val="59"/>
    <w:rsid w:val="00F465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rfigureAbbreviationsandSource">
    <w:name w:val="Table or figure Abbreviations and Source"/>
    <w:next w:val="Normal"/>
    <w:qFormat/>
    <w:rsid w:val="00B903D9"/>
    <w:pPr>
      <w:spacing w:after="240"/>
      <w:contextualSpacing/>
    </w:pPr>
    <w:rPr>
      <w:rFonts w:ascii="Calibri" w:eastAsia="Calibri" w:hAnsi="Calibri"/>
      <w:sz w:val="16"/>
      <w:szCs w:val="22"/>
      <w:lang w:eastAsia="zh-CN"/>
    </w:rPr>
  </w:style>
  <w:style w:type="paragraph" w:customStyle="1" w:styleId="TableSub">
    <w:name w:val="Table Sub"/>
    <w:basedOn w:val="Normal"/>
    <w:link w:val="TableSubChar"/>
    <w:rsid w:val="000D0C4F"/>
    <w:pPr>
      <w:widowControl/>
      <w:spacing w:before="40" w:after="40"/>
      <w:jc w:val="left"/>
    </w:pPr>
    <w:rPr>
      <w:rFonts w:ascii="News Gothic MT" w:hAnsi="News Gothic MT" w:cs="Times New Roman"/>
      <w:snapToGrid/>
      <w:sz w:val="20"/>
      <w:lang w:val="en-US"/>
    </w:rPr>
  </w:style>
  <w:style w:type="character" w:customStyle="1" w:styleId="TableSubChar">
    <w:name w:val="Table Sub Char"/>
    <w:link w:val="TableSub"/>
    <w:rsid w:val="000D0C4F"/>
    <w:rPr>
      <w:rFonts w:ascii="News Gothic MT" w:hAnsi="News Gothic MT"/>
      <w:lang w:val="en-US" w:eastAsia="en-US"/>
    </w:rPr>
  </w:style>
  <w:style w:type="character" w:styleId="Strong">
    <w:name w:val="Strong"/>
    <w:uiPriority w:val="22"/>
    <w:qFormat/>
    <w:rsid w:val="002746B4"/>
    <w:rPr>
      <w:rFonts w:cs="Times New Roman"/>
      <w:b/>
      <w:bCs/>
    </w:rPr>
  </w:style>
  <w:style w:type="character" w:customStyle="1" w:styleId="ListParagraphChar">
    <w:name w:val="List Paragraph Char"/>
    <w:aliases w:val="BulletPoints Char"/>
    <w:basedOn w:val="DefaultParagraphFont"/>
    <w:link w:val="ListParagraph"/>
    <w:uiPriority w:val="34"/>
    <w:rsid w:val="00C55D24"/>
    <w:rPr>
      <w:rFonts w:ascii="Arial" w:hAnsi="Arial" w:cs="Arial"/>
      <w:snapToGrid w:val="0"/>
      <w:sz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D54241"/>
    <w:pPr>
      <w:widowControl/>
      <w:spacing w:after="160" w:line="240" w:lineRule="exact"/>
      <w:jc w:val="left"/>
    </w:pPr>
    <w:rPr>
      <w:rFonts w:ascii="Verdana" w:eastAsia="MS Mincho" w:hAnsi="Verdana" w:cs="Verdana"/>
      <w:snapToGrid/>
      <w:sz w:val="20"/>
      <w:lang w:val="en-US"/>
    </w:rPr>
  </w:style>
  <w:style w:type="paragraph" w:customStyle="1" w:styleId="PBACheading10">
    <w:name w:val="PBAC heading 1"/>
    <w:qFormat/>
    <w:rsid w:val="00CB7AD2"/>
    <w:pPr>
      <w:ind w:left="720" w:hanging="720"/>
    </w:pPr>
    <w:rPr>
      <w:rFonts w:ascii="Arial" w:hAnsi="Arial" w:cs="Arial"/>
      <w:snapToGrid w:val="0"/>
      <w:sz w:val="22"/>
      <w:szCs w:val="22"/>
      <w:lang w:eastAsia="en-US"/>
    </w:rPr>
  </w:style>
  <w:style w:type="table" w:customStyle="1" w:styleId="TableGridbeth1">
    <w:name w:val="Table Gridbeth1"/>
    <w:basedOn w:val="TableNormal"/>
    <w:next w:val="TableGrid"/>
    <w:uiPriority w:val="39"/>
    <w:rsid w:val="00CB7A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1C2CC3"/>
    <w:rPr>
      <w:sz w:val="20"/>
    </w:rPr>
  </w:style>
  <w:style w:type="character" w:customStyle="1" w:styleId="FootnoteTextChar">
    <w:name w:val="Footnote Text Char"/>
    <w:basedOn w:val="DefaultParagraphFont"/>
    <w:link w:val="FootnoteText"/>
    <w:semiHidden/>
    <w:rsid w:val="001C2CC3"/>
    <w:rPr>
      <w:rFonts w:ascii="Arial" w:hAnsi="Arial" w:cs="Arial"/>
      <w:snapToGrid w:val="0"/>
      <w:lang w:eastAsia="en-US"/>
    </w:rPr>
  </w:style>
  <w:style w:type="paragraph" w:styleId="EndnoteText">
    <w:name w:val="endnote text"/>
    <w:basedOn w:val="Normal"/>
    <w:link w:val="EndnoteTextChar"/>
    <w:semiHidden/>
    <w:unhideWhenUsed/>
    <w:rsid w:val="001C2CC3"/>
    <w:rPr>
      <w:sz w:val="20"/>
    </w:rPr>
  </w:style>
  <w:style w:type="character" w:customStyle="1" w:styleId="EndnoteTextChar">
    <w:name w:val="Endnote Text Char"/>
    <w:basedOn w:val="DefaultParagraphFont"/>
    <w:link w:val="EndnoteText"/>
    <w:semiHidden/>
    <w:rsid w:val="001C2CC3"/>
    <w:rPr>
      <w:rFonts w:ascii="Arial" w:hAnsi="Arial" w:cs="Arial"/>
      <w:snapToGrid w:val="0"/>
      <w:lang w:eastAsia="en-US"/>
    </w:rPr>
  </w:style>
  <w:style w:type="character" w:styleId="EndnoteReference">
    <w:name w:val="endnote reference"/>
    <w:basedOn w:val="DefaultParagraphFont"/>
    <w:semiHidden/>
    <w:unhideWhenUsed/>
    <w:rsid w:val="001C2CC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5" w:unhideWhenUsed="0" w:qFormat="1"/>
    <w:lsdException w:name="heading 5" w:semiHidden="0" w:uiPriority="7" w:unhideWhenUsed="0" w:qFormat="1"/>
    <w:lsdException w:name="heading 6" w:semiHidden="0" w:uiPriority="7" w:unhideWhenUsed="0"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F6A69"/>
    <w:pPr>
      <w:widowControl w:val="0"/>
      <w:jc w:val="both"/>
    </w:pPr>
    <w:rPr>
      <w:rFonts w:ascii="Arial" w:hAnsi="Arial" w:cs="Arial"/>
      <w:snapToGrid w:val="0"/>
      <w:sz w:val="22"/>
      <w:lang w:eastAsia="en-US"/>
    </w:rPr>
  </w:style>
  <w:style w:type="paragraph" w:styleId="Heading1">
    <w:name w:val="heading 1"/>
    <w:aliases w:val="ESHeading 1"/>
    <w:basedOn w:val="Normal"/>
    <w:next w:val="Normal"/>
    <w:link w:val="Heading1Char"/>
    <w:uiPriority w:val="1"/>
    <w:qFormat/>
    <w:rsid w:val="00D453F1"/>
    <w:pPr>
      <w:outlineLvl w:val="0"/>
    </w:pPr>
    <w:rPr>
      <w:rFonts w:asciiTheme="minorHAnsi" w:hAnsiTheme="minorHAnsi"/>
      <w:b/>
      <w:caps/>
      <w:sz w:val="32"/>
    </w:rPr>
  </w:style>
  <w:style w:type="paragraph" w:styleId="Heading2">
    <w:name w:val="heading 2"/>
    <w:aliases w:val="ESHeading 2"/>
    <w:basedOn w:val="Normal"/>
    <w:next w:val="Normal"/>
    <w:link w:val="Heading2Char"/>
    <w:uiPriority w:val="1"/>
    <w:qFormat/>
    <w:rsid w:val="00103FF8"/>
    <w:pPr>
      <w:ind w:left="709" w:hanging="709"/>
      <w:outlineLvl w:val="1"/>
    </w:pPr>
    <w:rPr>
      <w:b/>
    </w:rPr>
  </w:style>
  <w:style w:type="paragraph" w:styleId="Heading3">
    <w:name w:val="heading 3"/>
    <w:aliases w:val="ESHeading 3"/>
    <w:basedOn w:val="Normal"/>
    <w:next w:val="Normal"/>
    <w:link w:val="Heading3Char"/>
    <w:uiPriority w:val="1"/>
    <w:qFormat/>
    <w:rsid w:val="001F7361"/>
    <w:pPr>
      <w:outlineLvl w:val="2"/>
    </w:pPr>
    <w:rPr>
      <w:u w:val="single"/>
    </w:rPr>
  </w:style>
  <w:style w:type="paragraph" w:styleId="Heading4">
    <w:name w:val="heading 4"/>
    <w:aliases w:val="ESHeading 4"/>
    <w:basedOn w:val="Normal"/>
    <w:next w:val="Normal"/>
    <w:link w:val="Heading4Char"/>
    <w:uiPriority w:val="5"/>
    <w:qFormat/>
    <w:rsid w:val="00124A51"/>
    <w:pPr>
      <w:keepNext/>
      <w:spacing w:before="240" w:after="60"/>
      <w:outlineLvl w:val="3"/>
    </w:pPr>
    <w:rPr>
      <w:b/>
      <w:bCs/>
      <w:i/>
      <w:sz w:val="26"/>
      <w:szCs w:val="28"/>
    </w:rPr>
  </w:style>
  <w:style w:type="paragraph" w:styleId="Heading5">
    <w:name w:val="heading 5"/>
    <w:basedOn w:val="Normal"/>
    <w:next w:val="Normal"/>
    <w:link w:val="Heading5Char"/>
    <w:uiPriority w:val="7"/>
    <w:qFormat/>
    <w:rsid w:val="00124A51"/>
    <w:pPr>
      <w:spacing w:before="240" w:after="60"/>
      <w:outlineLvl w:val="4"/>
    </w:pPr>
    <w:rPr>
      <w:b/>
      <w:bCs/>
      <w:iCs/>
      <w:sz w:val="26"/>
      <w:szCs w:val="26"/>
    </w:rPr>
  </w:style>
  <w:style w:type="paragraph" w:styleId="Heading6">
    <w:name w:val="heading 6"/>
    <w:basedOn w:val="Normal"/>
    <w:next w:val="Normal"/>
    <w:link w:val="Heading6Char"/>
    <w:uiPriority w:val="7"/>
    <w:qFormat/>
    <w:rsid w:val="00124A51"/>
    <w:pPr>
      <w:spacing w:before="240" w:after="60"/>
      <w:outlineLvl w:val="5"/>
    </w:pPr>
    <w:rPr>
      <w:b/>
      <w:bCs/>
      <w:i/>
      <w:szCs w:val="22"/>
    </w:rPr>
  </w:style>
  <w:style w:type="paragraph" w:styleId="Heading7">
    <w:name w:val="heading 7"/>
    <w:basedOn w:val="Normal"/>
    <w:next w:val="Normal"/>
    <w:link w:val="Heading7Char"/>
    <w:uiPriority w:val="7"/>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uiPriority w:val="7"/>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aliases w:val="ESHeading 2 Char"/>
    <w:link w:val="Heading2"/>
    <w:uiPriority w:val="1"/>
    <w:rsid w:val="00103FF8"/>
    <w:rPr>
      <w:rFonts w:ascii="Arial" w:hAnsi="Arial" w:cs="Arial"/>
      <w:b/>
      <w:snapToGrid w:val="0"/>
      <w:sz w:val="22"/>
      <w:lang w:eastAsia="en-US"/>
    </w:rPr>
  </w:style>
  <w:style w:type="character" w:customStyle="1" w:styleId="Heading7Char">
    <w:name w:val="Heading 7 Char"/>
    <w:basedOn w:val="DefaultParagraphFont"/>
    <w:link w:val="Heading7"/>
    <w:uiPriority w:val="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uiPriority w:val="7"/>
    <w:rsid w:val="00124A51"/>
    <w:rPr>
      <w:rFonts w:ascii="Arial" w:hAnsi="Arial"/>
      <w:b/>
      <w:snapToGrid w:val="0"/>
      <w:color w:val="000000"/>
      <w:lang w:eastAsia="en-US"/>
    </w:rPr>
  </w:style>
  <w:style w:type="paragraph" w:styleId="Caption">
    <w:name w:val="caption"/>
    <w:aliases w:val="IB Caption,Medical Caption,Caption Char1 Char Char,Caption Char Char Char Char,Caption Char1 Char,Caption Char Char Char Char Char,Caption Char Char,Caption Char Char Char Char1,Caption Char1 Char1,PBAC Caption Tables + Figures,Caption Char2"/>
    <w:basedOn w:val="TableHeading"/>
    <w:next w:val="Normal"/>
    <w:link w:val="CaptionChar"/>
    <w:uiPriority w:val="35"/>
    <w:unhideWhenUsed/>
    <w:qFormat/>
    <w:rsid w:val="00D453F1"/>
  </w:style>
  <w:style w:type="character" w:customStyle="1" w:styleId="CaptionChar">
    <w:name w:val="Caption Char"/>
    <w:aliases w:val="IB Caption Char,Medical Caption Char,Caption Char1 Char Char Char,Caption Char Char Char Char Char1,Caption Char1 Char Char1,Caption Char Char Char Char Char Char,Caption Char Char Char,Caption Char Char Char Char1 Char,Caption Char2 Char"/>
    <w:link w:val="Caption"/>
    <w:uiPriority w:val="35"/>
    <w:rsid w:val="00D453F1"/>
    <w:rPr>
      <w:rFonts w:ascii="Arial Narrow" w:eastAsiaTheme="minorHAnsi" w:hAnsi="Arial Narrow" w:cstheme="minorBidi"/>
      <w:b/>
      <w:szCs w:val="22"/>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0">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103FF8"/>
    <w:pPr>
      <w:tabs>
        <w:tab w:val="left" w:pos="880"/>
        <w:tab w:val="right" w:leader="dot" w:pos="9016"/>
      </w:tabs>
      <w:spacing w:before="120"/>
      <w:ind w:left="851" w:hanging="631"/>
      <w:jc w:val="left"/>
    </w:pPr>
    <w:rPr>
      <w:iCs/>
      <w:sz w:val="20"/>
    </w:rPr>
  </w:style>
  <w:style w:type="paragraph" w:styleId="TOC1">
    <w:name w:val="toc 1"/>
    <w:basedOn w:val="Normal"/>
    <w:next w:val="Normal"/>
    <w:autoRedefine/>
    <w:uiPriority w:val="39"/>
    <w:rsid w:val="00D02988"/>
    <w:pPr>
      <w:tabs>
        <w:tab w:val="left" w:pos="851"/>
        <w:tab w:val="right" w:leader="dot" w:pos="9016"/>
      </w:tabs>
      <w:spacing w:before="240" w:after="120"/>
      <w:ind w:left="851" w:hanging="851"/>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9"/>
    <w:rsid w:val="00D0262E"/>
    <w:pPr>
      <w:ind w:left="660"/>
      <w:jc w:val="left"/>
    </w:pPr>
    <w:rPr>
      <w:rFonts w:asciiTheme="minorHAnsi" w:hAnsiTheme="minorHAnsi"/>
      <w:sz w:val="20"/>
    </w:rPr>
  </w:style>
  <w:style w:type="paragraph" w:styleId="TOC5">
    <w:name w:val="toc 5"/>
    <w:basedOn w:val="Normal"/>
    <w:next w:val="Normal"/>
    <w:autoRedefine/>
    <w:uiPriority w:val="9"/>
    <w:rsid w:val="00D0262E"/>
    <w:pPr>
      <w:ind w:left="880"/>
      <w:jc w:val="left"/>
    </w:pPr>
    <w:rPr>
      <w:rFonts w:asciiTheme="minorHAnsi" w:hAnsiTheme="minorHAnsi"/>
      <w:sz w:val="20"/>
    </w:rPr>
  </w:style>
  <w:style w:type="paragraph" w:styleId="TOC6">
    <w:name w:val="toc 6"/>
    <w:basedOn w:val="Normal"/>
    <w:next w:val="Normal"/>
    <w:autoRedefine/>
    <w:uiPriority w:val="9"/>
    <w:rsid w:val="00D0262E"/>
    <w:pPr>
      <w:ind w:left="1100"/>
      <w:jc w:val="left"/>
    </w:pPr>
    <w:rPr>
      <w:rFonts w:asciiTheme="minorHAnsi" w:hAnsiTheme="minorHAnsi"/>
      <w:sz w:val="20"/>
    </w:rPr>
  </w:style>
  <w:style w:type="paragraph" w:styleId="TOC7">
    <w:name w:val="toc 7"/>
    <w:basedOn w:val="Normal"/>
    <w:next w:val="Normal"/>
    <w:autoRedefine/>
    <w:uiPriority w:val="9"/>
    <w:rsid w:val="00D0262E"/>
    <w:pPr>
      <w:ind w:left="1320"/>
      <w:jc w:val="left"/>
    </w:pPr>
    <w:rPr>
      <w:rFonts w:asciiTheme="minorHAnsi" w:hAnsiTheme="minorHAnsi"/>
      <w:sz w:val="20"/>
    </w:rPr>
  </w:style>
  <w:style w:type="paragraph" w:styleId="TOC8">
    <w:name w:val="toc 8"/>
    <w:basedOn w:val="Normal"/>
    <w:next w:val="Normal"/>
    <w:autoRedefine/>
    <w:uiPriority w:val="9"/>
    <w:rsid w:val="00D0262E"/>
    <w:pPr>
      <w:ind w:left="1540"/>
      <w:jc w:val="left"/>
    </w:pPr>
    <w:rPr>
      <w:rFonts w:asciiTheme="minorHAnsi" w:hAnsiTheme="minorHAnsi"/>
      <w:sz w:val="20"/>
    </w:rPr>
  </w:style>
  <w:style w:type="paragraph" w:styleId="TOC9">
    <w:name w:val="toc 9"/>
    <w:basedOn w:val="Normal"/>
    <w:next w:val="Normal"/>
    <w:autoRedefine/>
    <w:uiPriority w:val="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rPr>
      <w:rFonts w:ascii="Arial" w:hAnsi="Arial" w:cs="Arial"/>
      <w:b/>
      <w:snapToGrid w:val="0"/>
      <w:sz w:val="22"/>
      <w:szCs w:val="22"/>
      <w:lang w:eastAsia="en-US"/>
    </w:rPr>
  </w:style>
  <w:style w:type="character" w:customStyle="1" w:styleId="Heading1Char">
    <w:name w:val="Heading 1 Char"/>
    <w:aliases w:val="ESHeading 1 Char"/>
    <w:basedOn w:val="DefaultParagraphFont"/>
    <w:link w:val="Heading1"/>
    <w:uiPriority w:val="1"/>
    <w:rsid w:val="00D453F1"/>
    <w:rPr>
      <w:rFonts w:asciiTheme="minorHAnsi" w:hAnsiTheme="minorHAnsi" w:cs="Arial"/>
      <w:b/>
      <w:caps/>
      <w:snapToGrid w:val="0"/>
      <w:sz w:val="32"/>
      <w:lang w:eastAsia="en-US"/>
    </w:rPr>
  </w:style>
  <w:style w:type="character" w:customStyle="1" w:styleId="Heading3Char">
    <w:name w:val="Heading 3 Char"/>
    <w:aliases w:val="ESHeading 3 Char"/>
    <w:basedOn w:val="DefaultParagraphFont"/>
    <w:link w:val="Heading3"/>
    <w:uiPriority w:val="1"/>
    <w:rsid w:val="00137F8D"/>
    <w:rPr>
      <w:rFonts w:ascii="Arial" w:hAnsi="Arial" w:cs="Arial"/>
      <w:snapToGrid w:val="0"/>
      <w:sz w:val="22"/>
      <w:u w:val="single"/>
      <w:lang w:eastAsia="en-US"/>
    </w:rPr>
  </w:style>
  <w:style w:type="paragraph" w:customStyle="1" w:styleId="V50Heading2nonumbers">
    <w:name w:val="V5.0 Heading 2 no numbers"/>
    <w:basedOn w:val="Heading2"/>
    <w:qFormat/>
    <w:rsid w:val="00137F8D"/>
    <w:pPr>
      <w:keepNext/>
      <w:keepLines/>
      <w:widowControl/>
      <w:spacing w:before="240" w:after="120"/>
      <w:ind w:left="578" w:hanging="578"/>
    </w:pPr>
    <w:rPr>
      <w:rFonts w:eastAsiaTheme="majorEastAsia" w:cstheme="majorBidi"/>
      <w:i/>
      <w:snapToGrid/>
      <w:sz w:val="28"/>
      <w:szCs w:val="28"/>
    </w:rPr>
  </w:style>
  <w:style w:type="paragraph" w:customStyle="1" w:styleId="V50Instructions">
    <w:name w:val="V5.0 Instructions"/>
    <w:basedOn w:val="Normal"/>
    <w:link w:val="V50InstructionsChar"/>
    <w:qFormat/>
    <w:rsid w:val="00137F8D"/>
    <w:pPr>
      <w:widowControl/>
      <w:spacing w:before="120" w:after="160"/>
    </w:pPr>
    <w:rPr>
      <w:rFonts w:eastAsiaTheme="minorHAnsi" w:cstheme="minorBidi"/>
      <w:snapToGrid/>
      <w:color w:val="4BACC6" w:themeColor="accent5"/>
      <w:szCs w:val="22"/>
    </w:rPr>
  </w:style>
  <w:style w:type="character" w:customStyle="1" w:styleId="Heading4Char">
    <w:name w:val="Heading 4 Char"/>
    <w:aliases w:val="ESHeading 4 Char"/>
    <w:basedOn w:val="DefaultParagraphFont"/>
    <w:link w:val="Heading4"/>
    <w:uiPriority w:val="5"/>
    <w:rsid w:val="00137F8D"/>
    <w:rPr>
      <w:rFonts w:ascii="Arial" w:hAnsi="Arial" w:cs="Arial"/>
      <w:b/>
      <w:bCs/>
      <w:i/>
      <w:snapToGrid w:val="0"/>
      <w:sz w:val="26"/>
      <w:szCs w:val="28"/>
      <w:lang w:eastAsia="en-US"/>
    </w:rPr>
  </w:style>
  <w:style w:type="character" w:customStyle="1" w:styleId="Heading5Char">
    <w:name w:val="Heading 5 Char"/>
    <w:basedOn w:val="DefaultParagraphFont"/>
    <w:link w:val="Heading5"/>
    <w:uiPriority w:val="7"/>
    <w:rsid w:val="00137F8D"/>
    <w:rPr>
      <w:rFonts w:ascii="Arial" w:hAnsi="Arial" w:cs="Arial"/>
      <w:b/>
      <w:bCs/>
      <w:iCs/>
      <w:snapToGrid w:val="0"/>
      <w:sz w:val="26"/>
      <w:szCs w:val="26"/>
      <w:lang w:eastAsia="en-US"/>
    </w:rPr>
  </w:style>
  <w:style w:type="character" w:customStyle="1" w:styleId="Heading6Char">
    <w:name w:val="Heading 6 Char"/>
    <w:basedOn w:val="DefaultParagraphFont"/>
    <w:link w:val="Heading6"/>
    <w:uiPriority w:val="7"/>
    <w:rsid w:val="00137F8D"/>
    <w:rPr>
      <w:rFonts w:ascii="Arial" w:hAnsi="Arial" w:cs="Arial"/>
      <w:b/>
      <w:bCs/>
      <w:i/>
      <w:snapToGrid w:val="0"/>
      <w:sz w:val="22"/>
      <w:szCs w:val="22"/>
      <w:lang w:eastAsia="en-US"/>
    </w:rPr>
  </w:style>
  <w:style w:type="paragraph" w:customStyle="1" w:styleId="V50Heading1nonumbers">
    <w:name w:val="V5.0 Heading 1 no numbers"/>
    <w:basedOn w:val="Heading1"/>
    <w:qFormat/>
    <w:rsid w:val="00137F8D"/>
    <w:pPr>
      <w:keepNext/>
      <w:keepLines/>
      <w:widowControl/>
      <w:spacing w:before="400" w:after="120"/>
    </w:pPr>
    <w:rPr>
      <w:rFonts w:ascii="Arial" w:eastAsiaTheme="majorEastAsia" w:hAnsi="Arial" w:cstheme="majorBidi"/>
      <w:caps w:val="0"/>
      <w:snapToGrid/>
      <w:szCs w:val="28"/>
    </w:rPr>
  </w:style>
  <w:style w:type="paragraph" w:customStyle="1" w:styleId="V50InstructionsBullets">
    <w:name w:val="V5.0 Instructions Bullets"/>
    <w:basedOn w:val="V50Instructions"/>
    <w:qFormat/>
    <w:rsid w:val="00137F8D"/>
    <w:pPr>
      <w:numPr>
        <w:numId w:val="5"/>
      </w:numPr>
      <w:spacing w:before="0" w:after="0"/>
      <w:ind w:left="714" w:hanging="357"/>
    </w:pPr>
  </w:style>
  <w:style w:type="table" w:customStyle="1" w:styleId="TableGridLight1">
    <w:name w:val="Table Grid Light1"/>
    <w:basedOn w:val="TableNormal"/>
    <w:uiPriority w:val="40"/>
    <w:rsid w:val="00137F8D"/>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137F8D"/>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1">
    <w:name w:val="Table Text"/>
    <w:basedOn w:val="Normal"/>
    <w:qFormat/>
    <w:rsid w:val="00137F8D"/>
    <w:pPr>
      <w:keepNext/>
      <w:widowControl/>
      <w:spacing w:before="40" w:after="40"/>
    </w:pPr>
    <w:rPr>
      <w:rFonts w:ascii="Arial Narrow" w:eastAsiaTheme="minorHAnsi" w:hAnsi="Arial Narrow" w:cstheme="minorBidi"/>
      <w:snapToGrid/>
      <w:sz w:val="20"/>
      <w:szCs w:val="22"/>
    </w:rPr>
  </w:style>
  <w:style w:type="character" w:styleId="FootnoteReference">
    <w:name w:val="footnote reference"/>
    <w:basedOn w:val="DefaultParagraphFont"/>
    <w:uiPriority w:val="99"/>
    <w:unhideWhenUsed/>
    <w:rsid w:val="00137F8D"/>
    <w:rPr>
      <w:vertAlign w:val="superscript"/>
    </w:rPr>
  </w:style>
  <w:style w:type="paragraph" w:customStyle="1" w:styleId="TableHeading">
    <w:name w:val="Table Heading"/>
    <w:basedOn w:val="Normal"/>
    <w:qFormat/>
    <w:rsid w:val="00137F8D"/>
    <w:pPr>
      <w:keepNext/>
      <w:widowControl/>
      <w:spacing w:before="240" w:after="60"/>
    </w:pPr>
    <w:rPr>
      <w:rFonts w:ascii="Arial Narrow" w:eastAsiaTheme="minorHAnsi" w:hAnsi="Arial Narrow" w:cstheme="minorBidi"/>
      <w:b/>
      <w:snapToGrid/>
      <w:sz w:val="20"/>
      <w:szCs w:val="22"/>
    </w:rPr>
  </w:style>
  <w:style w:type="character" w:customStyle="1" w:styleId="V50InstructionsChar">
    <w:name w:val="V5.0 Instructions Char"/>
    <w:basedOn w:val="DefaultParagraphFont"/>
    <w:link w:val="V50Instructions"/>
    <w:rsid w:val="00137F8D"/>
    <w:rPr>
      <w:rFonts w:ascii="Arial" w:eastAsiaTheme="minorHAnsi" w:hAnsi="Arial" w:cstheme="minorBidi"/>
      <w:color w:val="4BACC6" w:themeColor="accent5"/>
      <w:sz w:val="22"/>
      <w:szCs w:val="22"/>
      <w:lang w:eastAsia="en-US"/>
    </w:rPr>
  </w:style>
  <w:style w:type="character" w:customStyle="1" w:styleId="TableFooterChar">
    <w:name w:val="Table Footer Char"/>
    <w:link w:val="TableFooter"/>
    <w:rsid w:val="00137F8D"/>
    <w:rPr>
      <w:rFonts w:ascii="Arial Narrow" w:hAnsi="Arial Narrow" w:cs="Arial"/>
      <w:snapToGrid w:val="0"/>
      <w:sz w:val="18"/>
      <w:lang w:eastAsia="en-US"/>
    </w:rPr>
  </w:style>
  <w:style w:type="numbering" w:customStyle="1" w:styleId="Headings">
    <w:name w:val="Headings"/>
    <w:uiPriority w:val="99"/>
    <w:rsid w:val="00137F8D"/>
    <w:pPr>
      <w:numPr>
        <w:numId w:val="6"/>
      </w:numPr>
    </w:pPr>
  </w:style>
  <w:style w:type="character" w:styleId="FollowedHyperlink">
    <w:name w:val="FollowedHyperlink"/>
    <w:basedOn w:val="DefaultParagraphFont"/>
    <w:uiPriority w:val="99"/>
    <w:semiHidden/>
    <w:unhideWhenUsed/>
    <w:rsid w:val="00137F8D"/>
    <w:rPr>
      <w:color w:val="800080" w:themeColor="followedHyperlink"/>
      <w:u w:val="single"/>
    </w:rPr>
  </w:style>
  <w:style w:type="paragraph" w:customStyle="1" w:styleId="ESnumberedpara">
    <w:name w:val="ES numbered para"/>
    <w:basedOn w:val="Normal"/>
    <w:link w:val="ESnumberedparaChar"/>
    <w:qFormat/>
    <w:rsid w:val="00432F4D"/>
    <w:pPr>
      <w:widowControl/>
      <w:spacing w:before="120" w:after="160"/>
      <w:ind w:left="720" w:hanging="720"/>
    </w:pPr>
    <w:rPr>
      <w:rFonts w:eastAsiaTheme="minorHAnsi" w:cstheme="minorBidi"/>
      <w:snapToGrid/>
      <w:szCs w:val="22"/>
    </w:rPr>
  </w:style>
  <w:style w:type="character" w:customStyle="1" w:styleId="ESnumberedparaChar">
    <w:name w:val="ES numbered para Char"/>
    <w:basedOn w:val="DefaultParagraphFont"/>
    <w:link w:val="ESnumberedpara"/>
    <w:rsid w:val="00432F4D"/>
    <w:rPr>
      <w:rFonts w:ascii="Arial" w:eastAsiaTheme="minorHAnsi" w:hAnsi="Arial" w:cstheme="minorBidi"/>
      <w:sz w:val="22"/>
      <w:szCs w:val="22"/>
      <w:lang w:eastAsia="en-US"/>
    </w:rPr>
  </w:style>
  <w:style w:type="paragraph" w:customStyle="1" w:styleId="ESnumberedparablue">
    <w:name w:val="ES numbered para blue"/>
    <w:basedOn w:val="ESnumberedpara"/>
    <w:qFormat/>
    <w:rsid w:val="00137F8D"/>
    <w:pPr>
      <w:ind w:left="0" w:firstLine="0"/>
    </w:pPr>
    <w:rPr>
      <w:color w:val="4BACC6" w:themeColor="accent5"/>
    </w:rPr>
  </w:style>
  <w:style w:type="paragraph" w:customStyle="1" w:styleId="ESnon-numberedpara">
    <w:name w:val="ES non-numbered para"/>
    <w:basedOn w:val="Normal"/>
    <w:qFormat/>
    <w:rsid w:val="00137F8D"/>
    <w:pPr>
      <w:widowControl/>
      <w:spacing w:after="120"/>
      <w:ind w:left="709"/>
    </w:pPr>
    <w:rPr>
      <w:rFonts w:eastAsiaTheme="minorHAnsi" w:cstheme="minorBidi"/>
      <w:snapToGrid/>
      <w:szCs w:val="22"/>
    </w:rPr>
  </w:style>
  <w:style w:type="paragraph" w:customStyle="1" w:styleId="ESnon-numberedparablue">
    <w:name w:val="ES non-numbered para blue"/>
    <w:basedOn w:val="ESnon-numberedpara"/>
    <w:qFormat/>
    <w:rsid w:val="00137F8D"/>
    <w:rPr>
      <w:color w:val="4BACC6" w:themeColor="accent5"/>
    </w:rPr>
  </w:style>
  <w:style w:type="paragraph" w:customStyle="1" w:styleId="ESnon-numberedbullet">
    <w:name w:val="ES non-numbered bullet"/>
    <w:basedOn w:val="ESnon-numberedpara"/>
    <w:qFormat/>
    <w:rsid w:val="00137F8D"/>
    <w:pPr>
      <w:numPr>
        <w:numId w:val="8"/>
      </w:numPr>
      <w:spacing w:after="240"/>
      <w:contextualSpacing/>
    </w:pPr>
  </w:style>
  <w:style w:type="paragraph" w:customStyle="1" w:styleId="ESNormalblue">
    <w:name w:val="ESNormalblue"/>
    <w:basedOn w:val="Normal"/>
    <w:link w:val="ESNormalblueChar"/>
    <w:qFormat/>
    <w:rsid w:val="00E94275"/>
    <w:pPr>
      <w:widowControl/>
      <w:spacing w:before="120" w:after="160"/>
    </w:pPr>
    <w:rPr>
      <w:rFonts w:eastAsiaTheme="minorHAnsi" w:cstheme="minorBidi"/>
      <w:snapToGrid/>
      <w:color w:val="0070C0"/>
      <w:szCs w:val="22"/>
    </w:rPr>
  </w:style>
  <w:style w:type="character" w:customStyle="1" w:styleId="ESNormalblueChar">
    <w:name w:val="ESNormalblue Char"/>
    <w:basedOn w:val="DefaultParagraphFont"/>
    <w:link w:val="ESNormalblue"/>
    <w:rsid w:val="00E94275"/>
    <w:rPr>
      <w:rFonts w:ascii="Arial" w:eastAsiaTheme="minorHAnsi" w:hAnsi="Arial" w:cstheme="minorBidi"/>
      <w:color w:val="0070C0"/>
      <w:sz w:val="22"/>
      <w:szCs w:val="22"/>
      <w:lang w:eastAsia="en-US"/>
    </w:rPr>
  </w:style>
  <w:style w:type="paragraph" w:customStyle="1" w:styleId="Default">
    <w:name w:val="Default"/>
    <w:link w:val="DefaultChar"/>
    <w:rsid w:val="00AD474E"/>
    <w:pPr>
      <w:widowControl w:val="0"/>
      <w:autoSpaceDE w:val="0"/>
      <w:autoSpaceDN w:val="0"/>
      <w:adjustRightInd w:val="0"/>
    </w:pPr>
    <w:rPr>
      <w:rFonts w:ascii="Arial" w:eastAsia="SimSun" w:hAnsi="Arial" w:cs="Arial"/>
      <w:color w:val="000000"/>
      <w:sz w:val="24"/>
      <w:szCs w:val="24"/>
      <w:lang w:eastAsia="zh-CN"/>
    </w:rPr>
  </w:style>
  <w:style w:type="character" w:customStyle="1" w:styleId="DefaultChar">
    <w:name w:val="Default Char"/>
    <w:basedOn w:val="DefaultParagraphFont"/>
    <w:link w:val="Default"/>
    <w:rsid w:val="00AD474E"/>
    <w:rPr>
      <w:rFonts w:ascii="Arial" w:eastAsia="SimSun" w:hAnsi="Arial" w:cs="Arial"/>
      <w:color w:val="000000"/>
      <w:sz w:val="24"/>
      <w:szCs w:val="24"/>
      <w:lang w:eastAsia="zh-CN"/>
    </w:rPr>
  </w:style>
  <w:style w:type="paragraph" w:customStyle="1" w:styleId="COMtbl-HEADLeftAligned">
    <w:name w:val="COMtbl-HEAD Left Aligned"/>
    <w:basedOn w:val="Normal"/>
    <w:qFormat/>
    <w:rsid w:val="00AE1F89"/>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AE1F89"/>
    <w:pPr>
      <w:jc w:val="center"/>
    </w:pPr>
  </w:style>
  <w:style w:type="paragraph" w:customStyle="1" w:styleId="COMTbl-cap">
    <w:name w:val="COMTbl-cap"/>
    <w:basedOn w:val="Normal"/>
    <w:link w:val="COMTbl-capChar"/>
    <w:qFormat/>
    <w:rsid w:val="00AE1F89"/>
    <w:pPr>
      <w:keepNext/>
    </w:pPr>
    <w:rPr>
      <w:rFonts w:ascii="Arial Narrow" w:hAnsi="Arial Narrow"/>
      <w:b/>
      <w:sz w:val="20"/>
    </w:rPr>
  </w:style>
  <w:style w:type="character" w:customStyle="1" w:styleId="COMTbl-capChar">
    <w:name w:val="COMTbl-cap Char"/>
    <w:basedOn w:val="DefaultParagraphFont"/>
    <w:link w:val="COMTbl-cap"/>
    <w:rsid w:val="00AE1F89"/>
    <w:rPr>
      <w:rFonts w:ascii="Arial Narrow" w:hAnsi="Arial Narrow" w:cs="Arial"/>
      <w:b/>
      <w:snapToGrid w:val="0"/>
      <w:lang w:eastAsia="en-US"/>
    </w:rPr>
  </w:style>
  <w:style w:type="character" w:styleId="Emphasis">
    <w:name w:val="Emphasis"/>
    <w:basedOn w:val="DefaultParagraphFont"/>
    <w:uiPriority w:val="20"/>
    <w:qFormat/>
    <w:rsid w:val="00193D9D"/>
    <w:rPr>
      <w:i/>
      <w:iCs/>
    </w:rPr>
  </w:style>
  <w:style w:type="table" w:customStyle="1" w:styleId="TableGrid1">
    <w:name w:val="Table Grid1"/>
    <w:basedOn w:val="TableNormal"/>
    <w:next w:val="TableGrid"/>
    <w:uiPriority w:val="59"/>
    <w:rsid w:val="00F465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rfigureAbbreviationsandSource">
    <w:name w:val="Table or figure Abbreviations and Source"/>
    <w:next w:val="Normal"/>
    <w:qFormat/>
    <w:rsid w:val="00B903D9"/>
    <w:pPr>
      <w:spacing w:after="240"/>
      <w:contextualSpacing/>
    </w:pPr>
    <w:rPr>
      <w:rFonts w:ascii="Calibri" w:eastAsia="Calibri" w:hAnsi="Calibri"/>
      <w:sz w:val="16"/>
      <w:szCs w:val="22"/>
      <w:lang w:eastAsia="zh-CN"/>
    </w:rPr>
  </w:style>
  <w:style w:type="paragraph" w:customStyle="1" w:styleId="TableSub">
    <w:name w:val="Table Sub"/>
    <w:basedOn w:val="Normal"/>
    <w:link w:val="TableSubChar"/>
    <w:rsid w:val="000D0C4F"/>
    <w:pPr>
      <w:widowControl/>
      <w:spacing w:before="40" w:after="40"/>
      <w:jc w:val="left"/>
    </w:pPr>
    <w:rPr>
      <w:rFonts w:ascii="News Gothic MT" w:hAnsi="News Gothic MT" w:cs="Times New Roman"/>
      <w:snapToGrid/>
      <w:sz w:val="20"/>
      <w:lang w:val="en-US"/>
    </w:rPr>
  </w:style>
  <w:style w:type="character" w:customStyle="1" w:styleId="TableSubChar">
    <w:name w:val="Table Sub Char"/>
    <w:link w:val="TableSub"/>
    <w:rsid w:val="000D0C4F"/>
    <w:rPr>
      <w:rFonts w:ascii="News Gothic MT" w:hAnsi="News Gothic MT"/>
      <w:lang w:val="en-US" w:eastAsia="en-US"/>
    </w:rPr>
  </w:style>
  <w:style w:type="character" w:styleId="Strong">
    <w:name w:val="Strong"/>
    <w:uiPriority w:val="22"/>
    <w:qFormat/>
    <w:rsid w:val="002746B4"/>
    <w:rPr>
      <w:rFonts w:cs="Times New Roman"/>
      <w:b/>
      <w:bCs/>
    </w:rPr>
  </w:style>
  <w:style w:type="character" w:customStyle="1" w:styleId="ListParagraphChar">
    <w:name w:val="List Paragraph Char"/>
    <w:aliases w:val="BulletPoints Char"/>
    <w:basedOn w:val="DefaultParagraphFont"/>
    <w:link w:val="ListParagraph"/>
    <w:uiPriority w:val="34"/>
    <w:rsid w:val="00C55D24"/>
    <w:rPr>
      <w:rFonts w:ascii="Arial" w:hAnsi="Arial" w:cs="Arial"/>
      <w:snapToGrid w:val="0"/>
      <w:sz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D54241"/>
    <w:pPr>
      <w:widowControl/>
      <w:spacing w:after="160" w:line="240" w:lineRule="exact"/>
      <w:jc w:val="left"/>
    </w:pPr>
    <w:rPr>
      <w:rFonts w:ascii="Verdana" w:eastAsia="MS Mincho" w:hAnsi="Verdana" w:cs="Verdana"/>
      <w:snapToGrid/>
      <w:sz w:val="20"/>
      <w:lang w:val="en-US"/>
    </w:rPr>
  </w:style>
  <w:style w:type="paragraph" w:customStyle="1" w:styleId="PBACheading10">
    <w:name w:val="PBAC heading 1"/>
    <w:qFormat/>
    <w:rsid w:val="00CB7AD2"/>
    <w:pPr>
      <w:ind w:left="720" w:hanging="720"/>
    </w:pPr>
    <w:rPr>
      <w:rFonts w:ascii="Arial" w:hAnsi="Arial" w:cs="Arial"/>
      <w:snapToGrid w:val="0"/>
      <w:sz w:val="22"/>
      <w:szCs w:val="22"/>
      <w:lang w:eastAsia="en-US"/>
    </w:rPr>
  </w:style>
  <w:style w:type="table" w:customStyle="1" w:styleId="TableGridbeth1">
    <w:name w:val="Table Gridbeth1"/>
    <w:basedOn w:val="TableNormal"/>
    <w:next w:val="TableGrid"/>
    <w:uiPriority w:val="39"/>
    <w:rsid w:val="00CB7A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1C2CC3"/>
    <w:rPr>
      <w:sz w:val="20"/>
    </w:rPr>
  </w:style>
  <w:style w:type="character" w:customStyle="1" w:styleId="FootnoteTextChar">
    <w:name w:val="Footnote Text Char"/>
    <w:basedOn w:val="DefaultParagraphFont"/>
    <w:link w:val="FootnoteText"/>
    <w:semiHidden/>
    <w:rsid w:val="001C2CC3"/>
    <w:rPr>
      <w:rFonts w:ascii="Arial" w:hAnsi="Arial" w:cs="Arial"/>
      <w:snapToGrid w:val="0"/>
      <w:lang w:eastAsia="en-US"/>
    </w:rPr>
  </w:style>
  <w:style w:type="paragraph" w:styleId="EndnoteText">
    <w:name w:val="endnote text"/>
    <w:basedOn w:val="Normal"/>
    <w:link w:val="EndnoteTextChar"/>
    <w:semiHidden/>
    <w:unhideWhenUsed/>
    <w:rsid w:val="001C2CC3"/>
    <w:rPr>
      <w:sz w:val="20"/>
    </w:rPr>
  </w:style>
  <w:style w:type="character" w:customStyle="1" w:styleId="EndnoteTextChar">
    <w:name w:val="Endnote Text Char"/>
    <w:basedOn w:val="DefaultParagraphFont"/>
    <w:link w:val="EndnoteText"/>
    <w:semiHidden/>
    <w:rsid w:val="001C2CC3"/>
    <w:rPr>
      <w:rFonts w:ascii="Arial" w:hAnsi="Arial" w:cs="Arial"/>
      <w:snapToGrid w:val="0"/>
      <w:lang w:eastAsia="en-US"/>
    </w:rPr>
  </w:style>
  <w:style w:type="character" w:styleId="EndnoteReference">
    <w:name w:val="endnote reference"/>
    <w:basedOn w:val="DefaultParagraphFont"/>
    <w:semiHidden/>
    <w:unhideWhenUsed/>
    <w:rsid w:val="001C2C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91970">
      <w:bodyDiv w:val="1"/>
      <w:marLeft w:val="0"/>
      <w:marRight w:val="0"/>
      <w:marTop w:val="0"/>
      <w:marBottom w:val="0"/>
      <w:divBdr>
        <w:top w:val="none" w:sz="0" w:space="0" w:color="auto"/>
        <w:left w:val="none" w:sz="0" w:space="0" w:color="auto"/>
        <w:bottom w:val="none" w:sz="0" w:space="0" w:color="auto"/>
        <w:right w:val="none" w:sz="0" w:space="0" w:color="auto"/>
      </w:divBdr>
    </w:div>
    <w:div w:id="715549161">
      <w:bodyDiv w:val="1"/>
      <w:marLeft w:val="0"/>
      <w:marRight w:val="0"/>
      <w:marTop w:val="0"/>
      <w:marBottom w:val="0"/>
      <w:divBdr>
        <w:top w:val="none" w:sz="0" w:space="0" w:color="auto"/>
        <w:left w:val="none" w:sz="0" w:space="0" w:color="auto"/>
        <w:bottom w:val="none" w:sz="0" w:space="0" w:color="auto"/>
        <w:right w:val="none" w:sz="0" w:space="0" w:color="auto"/>
      </w:divBdr>
      <w:divsChild>
        <w:div w:id="449980550">
          <w:marLeft w:val="360"/>
          <w:marRight w:val="0"/>
          <w:marTop w:val="200"/>
          <w:marBottom w:val="0"/>
          <w:divBdr>
            <w:top w:val="none" w:sz="0" w:space="0" w:color="auto"/>
            <w:left w:val="none" w:sz="0" w:space="0" w:color="auto"/>
            <w:bottom w:val="none" w:sz="0" w:space="0" w:color="auto"/>
            <w:right w:val="none" w:sz="0" w:space="0" w:color="auto"/>
          </w:divBdr>
        </w:div>
      </w:divsChild>
    </w:div>
    <w:div w:id="786655013">
      <w:bodyDiv w:val="1"/>
      <w:marLeft w:val="0"/>
      <w:marRight w:val="0"/>
      <w:marTop w:val="0"/>
      <w:marBottom w:val="0"/>
      <w:divBdr>
        <w:top w:val="none" w:sz="0" w:space="0" w:color="auto"/>
        <w:left w:val="none" w:sz="0" w:space="0" w:color="auto"/>
        <w:bottom w:val="none" w:sz="0" w:space="0" w:color="auto"/>
        <w:right w:val="none" w:sz="0" w:space="0" w:color="auto"/>
      </w:divBdr>
      <w:divsChild>
        <w:div w:id="485628190">
          <w:marLeft w:val="1800"/>
          <w:marRight w:val="0"/>
          <w:marTop w:val="100"/>
          <w:marBottom w:val="0"/>
          <w:divBdr>
            <w:top w:val="none" w:sz="0" w:space="0" w:color="auto"/>
            <w:left w:val="none" w:sz="0" w:space="0" w:color="auto"/>
            <w:bottom w:val="none" w:sz="0" w:space="0" w:color="auto"/>
            <w:right w:val="none" w:sz="0" w:space="0" w:color="auto"/>
          </w:divBdr>
        </w:div>
      </w:divsChild>
    </w:div>
    <w:div w:id="878517175">
      <w:bodyDiv w:val="1"/>
      <w:marLeft w:val="0"/>
      <w:marRight w:val="0"/>
      <w:marTop w:val="0"/>
      <w:marBottom w:val="0"/>
      <w:divBdr>
        <w:top w:val="none" w:sz="0" w:space="0" w:color="auto"/>
        <w:left w:val="none" w:sz="0" w:space="0" w:color="auto"/>
        <w:bottom w:val="none" w:sz="0" w:space="0" w:color="auto"/>
        <w:right w:val="none" w:sz="0" w:space="0" w:color="auto"/>
      </w:divBdr>
    </w:div>
    <w:div w:id="1042023663">
      <w:bodyDiv w:val="1"/>
      <w:marLeft w:val="0"/>
      <w:marRight w:val="0"/>
      <w:marTop w:val="0"/>
      <w:marBottom w:val="0"/>
      <w:divBdr>
        <w:top w:val="none" w:sz="0" w:space="0" w:color="auto"/>
        <w:left w:val="none" w:sz="0" w:space="0" w:color="auto"/>
        <w:bottom w:val="none" w:sz="0" w:space="0" w:color="auto"/>
        <w:right w:val="none" w:sz="0" w:space="0" w:color="auto"/>
      </w:divBdr>
    </w:div>
    <w:div w:id="1169323218">
      <w:bodyDiv w:val="1"/>
      <w:marLeft w:val="0"/>
      <w:marRight w:val="0"/>
      <w:marTop w:val="0"/>
      <w:marBottom w:val="0"/>
      <w:divBdr>
        <w:top w:val="none" w:sz="0" w:space="0" w:color="auto"/>
        <w:left w:val="none" w:sz="0" w:space="0" w:color="auto"/>
        <w:bottom w:val="none" w:sz="0" w:space="0" w:color="auto"/>
        <w:right w:val="none" w:sz="0" w:space="0" w:color="auto"/>
      </w:divBdr>
      <w:divsChild>
        <w:div w:id="1572277728">
          <w:marLeft w:val="1800"/>
          <w:marRight w:val="0"/>
          <w:marTop w:val="100"/>
          <w:marBottom w:val="0"/>
          <w:divBdr>
            <w:top w:val="none" w:sz="0" w:space="0" w:color="auto"/>
            <w:left w:val="none" w:sz="0" w:space="0" w:color="auto"/>
            <w:bottom w:val="none" w:sz="0" w:space="0" w:color="auto"/>
            <w:right w:val="none" w:sz="0" w:space="0" w:color="auto"/>
          </w:divBdr>
        </w:div>
        <w:div w:id="1814788759">
          <w:marLeft w:val="1800"/>
          <w:marRight w:val="0"/>
          <w:marTop w:val="100"/>
          <w:marBottom w:val="0"/>
          <w:divBdr>
            <w:top w:val="none" w:sz="0" w:space="0" w:color="auto"/>
            <w:left w:val="none" w:sz="0" w:space="0" w:color="auto"/>
            <w:bottom w:val="none" w:sz="0" w:space="0" w:color="auto"/>
            <w:right w:val="none" w:sz="0" w:space="0" w:color="auto"/>
          </w:divBdr>
        </w:div>
        <w:div w:id="1950964957">
          <w:marLeft w:val="1800"/>
          <w:marRight w:val="0"/>
          <w:marTop w:val="100"/>
          <w:marBottom w:val="0"/>
          <w:divBdr>
            <w:top w:val="none" w:sz="0" w:space="0" w:color="auto"/>
            <w:left w:val="none" w:sz="0" w:space="0" w:color="auto"/>
            <w:bottom w:val="none" w:sz="0" w:space="0" w:color="auto"/>
            <w:right w:val="none" w:sz="0" w:space="0" w:color="auto"/>
          </w:divBdr>
        </w:div>
        <w:div w:id="1538002427">
          <w:marLeft w:val="1800"/>
          <w:marRight w:val="0"/>
          <w:marTop w:val="100"/>
          <w:marBottom w:val="0"/>
          <w:divBdr>
            <w:top w:val="none" w:sz="0" w:space="0" w:color="auto"/>
            <w:left w:val="none" w:sz="0" w:space="0" w:color="auto"/>
            <w:bottom w:val="none" w:sz="0" w:space="0" w:color="auto"/>
            <w:right w:val="none" w:sz="0" w:space="0" w:color="auto"/>
          </w:divBdr>
        </w:div>
        <w:div w:id="1142427848">
          <w:marLeft w:val="1800"/>
          <w:marRight w:val="0"/>
          <w:marTop w:val="100"/>
          <w:marBottom w:val="0"/>
          <w:divBdr>
            <w:top w:val="none" w:sz="0" w:space="0" w:color="auto"/>
            <w:left w:val="none" w:sz="0" w:space="0" w:color="auto"/>
            <w:bottom w:val="none" w:sz="0" w:space="0" w:color="auto"/>
            <w:right w:val="none" w:sz="0" w:space="0" w:color="auto"/>
          </w:divBdr>
        </w:div>
        <w:div w:id="1737050563">
          <w:marLeft w:val="2520"/>
          <w:marRight w:val="0"/>
          <w:marTop w:val="100"/>
          <w:marBottom w:val="0"/>
          <w:divBdr>
            <w:top w:val="none" w:sz="0" w:space="0" w:color="auto"/>
            <w:left w:val="none" w:sz="0" w:space="0" w:color="auto"/>
            <w:bottom w:val="none" w:sz="0" w:space="0" w:color="auto"/>
            <w:right w:val="none" w:sz="0" w:space="0" w:color="auto"/>
          </w:divBdr>
        </w:div>
        <w:div w:id="1768037883">
          <w:marLeft w:val="2520"/>
          <w:marRight w:val="0"/>
          <w:marTop w:val="100"/>
          <w:marBottom w:val="0"/>
          <w:divBdr>
            <w:top w:val="none" w:sz="0" w:space="0" w:color="auto"/>
            <w:left w:val="none" w:sz="0" w:space="0" w:color="auto"/>
            <w:bottom w:val="none" w:sz="0" w:space="0" w:color="auto"/>
            <w:right w:val="none" w:sz="0" w:space="0" w:color="auto"/>
          </w:divBdr>
        </w:div>
      </w:divsChild>
    </w:div>
    <w:div w:id="201028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microsoft.com/office/2011/relationships/people" Target="people.xml"/></Relationships>
</file>

<file path=word/_rels/endnotes.xml.rels><?xml version="1.0" encoding="UTF-8" standalone="yes"?>
<Relationships xmlns="http://schemas.openxmlformats.org/package/2006/relationships"><Relationship Id="rId1" Type="http://schemas.openxmlformats.org/officeDocument/2006/relationships/hyperlink" Target="http://www.nejm.org/toc/nejm/375/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ejm.org/toc/nejm/37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B9DC0-864E-45B3-AC49-B7022CD41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11569</Words>
  <Characters>68649</Characters>
  <Application>Microsoft Office Word</Application>
  <DocSecurity>0</DocSecurity>
  <Lines>572</Lines>
  <Paragraphs>160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2017-10-18T22:39:00Z</dcterms:created>
  <dcterms:modified xsi:type="dcterms:W3CDTF">2017-10-23T01:19:00Z</dcterms:modified>
</cp:coreProperties>
</file>