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08F" w:rsidRPr="00DA2530" w:rsidRDefault="00981280" w:rsidP="006152DA">
      <w:pPr>
        <w:widowControl/>
        <w:ind w:left="992" w:hanging="992"/>
        <w:jc w:val="left"/>
        <w:outlineLvl w:val="0"/>
        <w:rPr>
          <w:rFonts w:asciiTheme="minorHAnsi" w:hAnsiTheme="minorHAnsi"/>
          <w:b/>
          <w:sz w:val="36"/>
          <w:szCs w:val="36"/>
        </w:rPr>
      </w:pPr>
      <w:bookmarkStart w:id="0" w:name="_Toc380679761"/>
      <w:bookmarkStart w:id="1" w:name="_Toc380742618"/>
      <w:bookmarkStart w:id="2" w:name="_Toc380746185"/>
      <w:bookmarkStart w:id="3" w:name="_Toc380746311"/>
      <w:bookmarkStart w:id="4" w:name="_Toc380746592"/>
      <w:bookmarkStart w:id="5" w:name="_Toc381019901"/>
      <w:bookmarkStart w:id="6" w:name="_Toc382553532"/>
      <w:bookmarkStart w:id="7" w:name="_Toc392857619"/>
      <w:r w:rsidRPr="00DA2530">
        <w:rPr>
          <w:rFonts w:asciiTheme="minorHAnsi" w:hAnsiTheme="minorHAnsi"/>
          <w:b/>
          <w:sz w:val="36"/>
          <w:szCs w:val="36"/>
        </w:rPr>
        <w:t>7.04</w:t>
      </w:r>
      <w:r w:rsidR="00DA2530" w:rsidRPr="00DA2530">
        <w:rPr>
          <w:rFonts w:asciiTheme="minorHAnsi" w:hAnsiTheme="minorHAnsi"/>
          <w:b/>
          <w:sz w:val="36"/>
          <w:szCs w:val="36"/>
        </w:rPr>
        <w:tab/>
        <w:t>LUMACAFTOR AND IVACAFTOR</w:t>
      </w:r>
      <w:r w:rsidR="000E273F">
        <w:rPr>
          <w:rFonts w:asciiTheme="minorHAnsi" w:hAnsiTheme="minorHAnsi"/>
          <w:b/>
          <w:sz w:val="36"/>
          <w:szCs w:val="36"/>
        </w:rPr>
        <w:br/>
      </w:r>
      <w:r w:rsidR="00C5137D" w:rsidRPr="00DA2530">
        <w:rPr>
          <w:rFonts w:asciiTheme="minorHAnsi" w:hAnsiTheme="minorHAnsi"/>
          <w:b/>
          <w:sz w:val="36"/>
          <w:szCs w:val="36"/>
        </w:rPr>
        <w:t>Tablet containing lumacaftor 200 mg with ivacaftor 125 mg,</w:t>
      </w:r>
      <w:r w:rsidR="00B9632B">
        <w:rPr>
          <w:rFonts w:asciiTheme="minorHAnsi" w:hAnsiTheme="minorHAnsi"/>
          <w:b/>
          <w:sz w:val="36"/>
          <w:szCs w:val="36"/>
        </w:rPr>
        <w:t xml:space="preserve"> </w:t>
      </w:r>
      <w:r w:rsidR="00B2608F" w:rsidRPr="00DA2530">
        <w:rPr>
          <w:rFonts w:asciiTheme="minorHAnsi" w:hAnsiTheme="minorHAnsi"/>
          <w:b/>
          <w:sz w:val="36"/>
          <w:szCs w:val="36"/>
        </w:rPr>
        <w:t xml:space="preserve">Orkambi®, </w:t>
      </w:r>
      <w:r w:rsidR="00B42461">
        <w:rPr>
          <w:rFonts w:asciiTheme="minorHAnsi" w:hAnsiTheme="minorHAnsi"/>
          <w:b/>
          <w:sz w:val="36"/>
          <w:szCs w:val="36"/>
        </w:rPr>
        <w:br/>
      </w:r>
      <w:r w:rsidR="00B2608F" w:rsidRPr="00DA2530">
        <w:rPr>
          <w:rFonts w:asciiTheme="minorHAnsi" w:hAnsiTheme="minorHAnsi"/>
          <w:b/>
          <w:sz w:val="36"/>
          <w:szCs w:val="36"/>
        </w:rPr>
        <w:t>Vertex Pharmaceuticals</w:t>
      </w:r>
      <w:r w:rsidR="00B42461">
        <w:rPr>
          <w:rFonts w:asciiTheme="minorHAnsi" w:hAnsiTheme="minorHAnsi"/>
          <w:b/>
          <w:sz w:val="36"/>
          <w:szCs w:val="36"/>
        </w:rPr>
        <w:t xml:space="preserve"> (Australia) Pty Ltd</w:t>
      </w:r>
    </w:p>
    <w:p w:rsidR="00B2608F" w:rsidRPr="00815F85" w:rsidRDefault="00B2608F" w:rsidP="00A54394">
      <w:pPr>
        <w:pStyle w:val="Heading2"/>
        <w:ind w:hanging="720"/>
      </w:pPr>
      <w:bookmarkStart w:id="8" w:name="_Toc413139271"/>
      <w:bookmarkStart w:id="9" w:name="_Toc476306881"/>
      <w:bookmarkStart w:id="10" w:name="_Toc482713668"/>
      <w:r w:rsidRPr="00815F85">
        <w:t>Purpose of Application</w:t>
      </w:r>
      <w:bookmarkEnd w:id="8"/>
      <w:bookmarkEnd w:id="9"/>
      <w:bookmarkEnd w:id="10"/>
    </w:p>
    <w:p w:rsidR="00A257B0" w:rsidRPr="00A257B0" w:rsidRDefault="00A257B0" w:rsidP="001E08C1">
      <w:pPr>
        <w:pStyle w:val="ListParagraph"/>
        <w:widowControl/>
        <w:numPr>
          <w:ilvl w:val="1"/>
          <w:numId w:val="1"/>
        </w:numPr>
        <w:spacing w:after="120"/>
        <w:contextualSpacing w:val="0"/>
        <w:rPr>
          <w:rFonts w:asciiTheme="minorHAnsi" w:hAnsiTheme="minorHAnsi"/>
          <w:sz w:val="24"/>
          <w:szCs w:val="22"/>
        </w:rPr>
      </w:pPr>
      <w:r>
        <w:rPr>
          <w:rFonts w:asciiTheme="minorHAnsi" w:hAnsiTheme="minorHAnsi"/>
          <w:sz w:val="24"/>
          <w:szCs w:val="22"/>
        </w:rPr>
        <w:t>R</w:t>
      </w:r>
      <w:r w:rsidR="00B2608F" w:rsidRPr="00DA2530">
        <w:rPr>
          <w:rFonts w:asciiTheme="minorHAnsi" w:hAnsiTheme="minorHAnsi"/>
          <w:sz w:val="24"/>
          <w:szCs w:val="22"/>
        </w:rPr>
        <w:t>esubmission to request a Section 100</w:t>
      </w:r>
      <w:r w:rsidR="00BD4C99">
        <w:rPr>
          <w:rFonts w:asciiTheme="minorHAnsi" w:hAnsiTheme="minorHAnsi"/>
          <w:sz w:val="24"/>
          <w:szCs w:val="22"/>
        </w:rPr>
        <w:t xml:space="preserve"> (</w:t>
      </w:r>
      <w:r w:rsidR="00B2608F" w:rsidRPr="00DA2530">
        <w:rPr>
          <w:rFonts w:asciiTheme="minorHAnsi" w:hAnsiTheme="minorHAnsi"/>
          <w:sz w:val="24"/>
          <w:szCs w:val="22"/>
        </w:rPr>
        <w:t>Highly Specialised Drug</w:t>
      </w:r>
      <w:r w:rsidR="00BD4C99">
        <w:rPr>
          <w:rFonts w:asciiTheme="minorHAnsi" w:hAnsiTheme="minorHAnsi"/>
          <w:sz w:val="24"/>
          <w:szCs w:val="22"/>
        </w:rPr>
        <w:t>s</w:t>
      </w:r>
      <w:r w:rsidR="00B2608F" w:rsidRPr="00DA2530">
        <w:rPr>
          <w:rFonts w:asciiTheme="minorHAnsi" w:hAnsiTheme="minorHAnsi"/>
          <w:sz w:val="24"/>
          <w:szCs w:val="22"/>
        </w:rPr>
        <w:t xml:space="preserve"> Program</w:t>
      </w:r>
      <w:r w:rsidR="00BD4C99">
        <w:rPr>
          <w:rFonts w:asciiTheme="minorHAnsi" w:hAnsiTheme="minorHAnsi"/>
          <w:sz w:val="24"/>
          <w:szCs w:val="22"/>
        </w:rPr>
        <w:t>)</w:t>
      </w:r>
      <w:r w:rsidR="00B2608F" w:rsidRPr="00DA2530">
        <w:rPr>
          <w:rFonts w:asciiTheme="minorHAnsi" w:hAnsiTheme="minorHAnsi"/>
          <w:sz w:val="24"/>
          <w:szCs w:val="22"/>
        </w:rPr>
        <w:t xml:space="preserve"> Authority Require</w:t>
      </w:r>
      <w:r>
        <w:rPr>
          <w:rFonts w:asciiTheme="minorHAnsi" w:hAnsiTheme="minorHAnsi"/>
          <w:sz w:val="24"/>
          <w:szCs w:val="22"/>
        </w:rPr>
        <w:t xml:space="preserve">d listing for lumacaftor 200 mg with </w:t>
      </w:r>
      <w:r w:rsidR="00B2608F" w:rsidRPr="00DA2530">
        <w:rPr>
          <w:rFonts w:asciiTheme="minorHAnsi" w:hAnsiTheme="minorHAnsi"/>
          <w:sz w:val="24"/>
          <w:szCs w:val="22"/>
        </w:rPr>
        <w:t>ivacaftor 125 mg fixed dose combination</w:t>
      </w:r>
      <w:r>
        <w:rPr>
          <w:rFonts w:asciiTheme="minorHAnsi" w:hAnsiTheme="minorHAnsi"/>
          <w:sz w:val="24"/>
          <w:szCs w:val="22"/>
        </w:rPr>
        <w:t xml:space="preserve"> (lumacaftor/ivacaftor)</w:t>
      </w:r>
      <w:r w:rsidR="00B2608F" w:rsidRPr="00DA2530">
        <w:rPr>
          <w:rFonts w:asciiTheme="minorHAnsi" w:hAnsiTheme="minorHAnsi"/>
          <w:sz w:val="24"/>
          <w:szCs w:val="22"/>
        </w:rPr>
        <w:t xml:space="preserve"> for</w:t>
      </w:r>
      <w:r w:rsidR="00BD4C99">
        <w:rPr>
          <w:rFonts w:asciiTheme="minorHAnsi" w:hAnsiTheme="minorHAnsi"/>
          <w:sz w:val="24"/>
          <w:szCs w:val="22"/>
        </w:rPr>
        <w:t xml:space="preserve"> the</w:t>
      </w:r>
      <w:r w:rsidR="00B2608F" w:rsidRPr="00DA2530">
        <w:rPr>
          <w:rFonts w:asciiTheme="minorHAnsi" w:hAnsiTheme="minorHAnsi"/>
          <w:sz w:val="24"/>
          <w:szCs w:val="22"/>
        </w:rPr>
        <w:t xml:space="preserve"> treatment of patients</w:t>
      </w:r>
      <w:r w:rsidR="00ED7DE4" w:rsidRPr="00DA2530">
        <w:rPr>
          <w:rFonts w:asciiTheme="minorHAnsi" w:hAnsiTheme="minorHAnsi"/>
          <w:sz w:val="24"/>
          <w:szCs w:val="22"/>
        </w:rPr>
        <w:t xml:space="preserve"> with </w:t>
      </w:r>
      <w:r w:rsidR="000A78AE" w:rsidRPr="00DA2530">
        <w:rPr>
          <w:rFonts w:asciiTheme="minorHAnsi" w:hAnsiTheme="minorHAnsi"/>
          <w:sz w:val="24"/>
          <w:szCs w:val="22"/>
        </w:rPr>
        <w:t>cystic fibrosis</w:t>
      </w:r>
      <w:r w:rsidR="003A3765" w:rsidRPr="00DA2530">
        <w:rPr>
          <w:rFonts w:asciiTheme="minorHAnsi" w:hAnsiTheme="minorHAnsi"/>
          <w:sz w:val="24"/>
          <w:szCs w:val="22"/>
        </w:rPr>
        <w:t xml:space="preserve"> (CF)</w:t>
      </w:r>
      <w:r w:rsidR="00B2608F" w:rsidRPr="00DA2530">
        <w:rPr>
          <w:rFonts w:asciiTheme="minorHAnsi" w:hAnsiTheme="minorHAnsi"/>
          <w:sz w:val="24"/>
          <w:szCs w:val="22"/>
        </w:rPr>
        <w:t xml:space="preserve"> aged ≥12 years who are homozygous for the </w:t>
      </w:r>
      <w:r w:rsidR="00B2608F" w:rsidRPr="00DA2530">
        <w:rPr>
          <w:rFonts w:asciiTheme="minorHAnsi" w:hAnsiTheme="minorHAnsi"/>
          <w:iCs/>
          <w:sz w:val="24"/>
          <w:szCs w:val="22"/>
        </w:rPr>
        <w:t xml:space="preserve">F508del </w:t>
      </w:r>
      <w:r w:rsidR="00B2608F" w:rsidRPr="00DA2530">
        <w:rPr>
          <w:rFonts w:asciiTheme="minorHAnsi" w:hAnsiTheme="minorHAnsi"/>
          <w:sz w:val="24"/>
          <w:szCs w:val="22"/>
        </w:rPr>
        <w:t>mutation</w:t>
      </w:r>
      <w:r w:rsidR="00B2608F" w:rsidRPr="00DA2530">
        <w:rPr>
          <w:rFonts w:asciiTheme="minorHAnsi" w:hAnsiTheme="minorHAnsi"/>
          <w:iCs/>
          <w:sz w:val="24"/>
          <w:szCs w:val="22"/>
        </w:rPr>
        <w:t xml:space="preserve"> in the </w:t>
      </w:r>
      <w:bookmarkStart w:id="11" w:name="_Hlk479157164"/>
      <w:r w:rsidR="00B2608F" w:rsidRPr="00DA2530">
        <w:rPr>
          <w:rFonts w:asciiTheme="minorHAnsi" w:hAnsiTheme="minorHAnsi"/>
          <w:iCs/>
          <w:sz w:val="24"/>
          <w:szCs w:val="22"/>
        </w:rPr>
        <w:t xml:space="preserve">cystic fibrosis transmembrane conductance regulator </w:t>
      </w:r>
      <w:bookmarkEnd w:id="11"/>
      <w:r w:rsidR="00B2608F" w:rsidRPr="00DA2530">
        <w:rPr>
          <w:rFonts w:asciiTheme="minorHAnsi" w:hAnsiTheme="minorHAnsi"/>
          <w:iCs/>
          <w:sz w:val="24"/>
          <w:szCs w:val="22"/>
        </w:rPr>
        <w:t xml:space="preserve">(CFTR) gene. </w:t>
      </w:r>
    </w:p>
    <w:p w:rsidR="00B2608F" w:rsidRPr="000D33EE" w:rsidRDefault="00B2608F" w:rsidP="001E08C1">
      <w:pPr>
        <w:pStyle w:val="ListParagraph"/>
        <w:widowControl/>
        <w:numPr>
          <w:ilvl w:val="1"/>
          <w:numId w:val="1"/>
        </w:numPr>
        <w:spacing w:after="120"/>
        <w:contextualSpacing w:val="0"/>
        <w:rPr>
          <w:rFonts w:asciiTheme="minorHAnsi" w:hAnsiTheme="minorHAnsi"/>
          <w:sz w:val="24"/>
          <w:szCs w:val="22"/>
        </w:rPr>
      </w:pPr>
      <w:r w:rsidRPr="00DA2530">
        <w:rPr>
          <w:rFonts w:asciiTheme="minorHAnsi" w:hAnsiTheme="minorHAnsi"/>
          <w:iCs/>
          <w:sz w:val="24"/>
          <w:szCs w:val="22"/>
        </w:rPr>
        <w:t>The first submission</w:t>
      </w:r>
      <w:r w:rsidR="00A257B0">
        <w:rPr>
          <w:rFonts w:asciiTheme="minorHAnsi" w:hAnsiTheme="minorHAnsi"/>
          <w:iCs/>
          <w:sz w:val="24"/>
          <w:szCs w:val="22"/>
        </w:rPr>
        <w:t xml:space="preserve"> for lumacaftor/ivacaftor</w:t>
      </w:r>
      <w:r w:rsidRPr="00DA2530">
        <w:rPr>
          <w:rFonts w:asciiTheme="minorHAnsi" w:hAnsiTheme="minorHAnsi"/>
          <w:iCs/>
          <w:sz w:val="24"/>
          <w:szCs w:val="22"/>
        </w:rPr>
        <w:t xml:space="preserve"> was considered by the PBAC in March 2016, and a minor resubmission was considered in November 2016. </w:t>
      </w:r>
    </w:p>
    <w:p w:rsidR="000D33EE" w:rsidRPr="00DA2530" w:rsidRDefault="000D33EE" w:rsidP="000D33EE">
      <w:pPr>
        <w:pStyle w:val="ListParagraph"/>
        <w:widowControl/>
        <w:spacing w:after="120"/>
        <w:contextualSpacing w:val="0"/>
        <w:rPr>
          <w:rFonts w:asciiTheme="minorHAnsi" w:hAnsiTheme="minorHAnsi"/>
          <w:sz w:val="24"/>
          <w:szCs w:val="22"/>
        </w:rPr>
      </w:pPr>
    </w:p>
    <w:p w:rsidR="008A1DA3" w:rsidRDefault="008A1DA3" w:rsidP="008A1DA3">
      <w:pPr>
        <w:pStyle w:val="Caption"/>
      </w:pPr>
      <w:r>
        <w:t xml:space="preserve">Table </w:t>
      </w:r>
      <w:r w:rsidR="000056CF">
        <w:rPr>
          <w:noProof/>
        </w:rPr>
        <w:t>1</w:t>
      </w:r>
      <w:r w:rsidRPr="004560CC">
        <w:t>: Key components of the clinical issue addressed by the resubmission</w:t>
      </w:r>
    </w:p>
    <w:tbl>
      <w:tblPr>
        <w:tblStyle w:val="TableGrid"/>
        <w:tblW w:w="0" w:type="auto"/>
        <w:tblLook w:val="04A0" w:firstRow="1" w:lastRow="0" w:firstColumn="1" w:lastColumn="0" w:noHBand="0" w:noVBand="1"/>
        <w:tblCaption w:val="Key components of the clinical issue addressed by the resubmission"/>
      </w:tblPr>
      <w:tblGrid>
        <w:gridCol w:w="1127"/>
        <w:gridCol w:w="7889"/>
      </w:tblGrid>
      <w:tr w:rsidR="00B2608F" w:rsidRPr="00DA2530" w:rsidTr="00AE2614">
        <w:trPr>
          <w:cantSplit/>
          <w:tblHeader/>
        </w:trPr>
        <w:tc>
          <w:tcPr>
            <w:tcW w:w="1127" w:type="dxa"/>
            <w:shd w:val="clear" w:color="auto" w:fill="auto"/>
          </w:tcPr>
          <w:p w:rsidR="00B2608F" w:rsidRPr="00DA2530" w:rsidRDefault="00B2608F" w:rsidP="001E08C1">
            <w:pPr>
              <w:pStyle w:val="TableText1"/>
              <w:keepNext w:val="0"/>
              <w:rPr>
                <w:b/>
              </w:rPr>
            </w:pPr>
            <w:r w:rsidRPr="00DA2530">
              <w:rPr>
                <w:b/>
              </w:rPr>
              <w:t>Component</w:t>
            </w:r>
          </w:p>
        </w:tc>
        <w:tc>
          <w:tcPr>
            <w:tcW w:w="7889" w:type="dxa"/>
            <w:shd w:val="clear" w:color="auto" w:fill="auto"/>
          </w:tcPr>
          <w:p w:rsidR="00B2608F" w:rsidRPr="00DA2530" w:rsidRDefault="00B2608F" w:rsidP="001E08C1">
            <w:pPr>
              <w:pStyle w:val="TableText1"/>
              <w:keepNext w:val="0"/>
              <w:rPr>
                <w:b/>
              </w:rPr>
            </w:pPr>
            <w:r w:rsidRPr="00DA2530">
              <w:rPr>
                <w:b/>
              </w:rPr>
              <w:t>Description</w:t>
            </w:r>
          </w:p>
        </w:tc>
      </w:tr>
      <w:tr w:rsidR="00B2608F" w:rsidRPr="00DA2530" w:rsidTr="00AE2614">
        <w:trPr>
          <w:cantSplit/>
        </w:trPr>
        <w:tc>
          <w:tcPr>
            <w:tcW w:w="1127" w:type="dxa"/>
            <w:shd w:val="clear" w:color="auto" w:fill="auto"/>
          </w:tcPr>
          <w:p w:rsidR="00B2608F" w:rsidRPr="00DA2530" w:rsidRDefault="00B2608F" w:rsidP="001E08C1">
            <w:pPr>
              <w:pStyle w:val="TableText1"/>
              <w:keepNext w:val="0"/>
            </w:pPr>
            <w:r w:rsidRPr="00DA2530">
              <w:t>Population</w:t>
            </w:r>
          </w:p>
        </w:tc>
        <w:tc>
          <w:tcPr>
            <w:tcW w:w="7889" w:type="dxa"/>
            <w:shd w:val="clear" w:color="auto" w:fill="auto"/>
          </w:tcPr>
          <w:p w:rsidR="00B2608F" w:rsidRPr="00DA2530" w:rsidRDefault="00B2608F" w:rsidP="001E08C1">
            <w:pPr>
              <w:pStyle w:val="TableText1"/>
              <w:keepNext w:val="0"/>
            </w:pPr>
            <w:r w:rsidRPr="00DA2530">
              <w:t xml:space="preserve">CF patients aged ≥12 years who are homozygous for the </w:t>
            </w:r>
            <w:r w:rsidRPr="00DA2530">
              <w:rPr>
                <w:iCs/>
              </w:rPr>
              <w:t xml:space="preserve">F508del </w:t>
            </w:r>
            <w:r w:rsidRPr="00DA2530">
              <w:t>mutation</w:t>
            </w:r>
            <w:r w:rsidRPr="00DA2530">
              <w:rPr>
                <w:iCs/>
              </w:rPr>
              <w:t xml:space="preserve"> in the CFTR gene</w:t>
            </w:r>
          </w:p>
        </w:tc>
      </w:tr>
      <w:tr w:rsidR="00B2608F" w:rsidRPr="00DA2530" w:rsidTr="00AE2614">
        <w:trPr>
          <w:cantSplit/>
        </w:trPr>
        <w:tc>
          <w:tcPr>
            <w:tcW w:w="1127" w:type="dxa"/>
            <w:shd w:val="clear" w:color="auto" w:fill="auto"/>
          </w:tcPr>
          <w:p w:rsidR="00B2608F" w:rsidRPr="00DA2530" w:rsidRDefault="00B2608F" w:rsidP="001E08C1">
            <w:pPr>
              <w:pStyle w:val="TableText1"/>
              <w:keepNext w:val="0"/>
            </w:pPr>
            <w:r w:rsidRPr="00DA2530">
              <w:t>Intervention</w:t>
            </w:r>
          </w:p>
        </w:tc>
        <w:tc>
          <w:tcPr>
            <w:tcW w:w="7889" w:type="dxa"/>
            <w:shd w:val="clear" w:color="auto" w:fill="auto"/>
          </w:tcPr>
          <w:p w:rsidR="00B2608F" w:rsidRPr="00DA2530" w:rsidRDefault="00B2608F" w:rsidP="001E08C1">
            <w:pPr>
              <w:pStyle w:val="TableText1"/>
              <w:keepNext w:val="0"/>
            </w:pPr>
            <w:r w:rsidRPr="00DA2530">
              <w:t>Lumacaftor 400 mg/ivacaftor 250 mg twice daily</w:t>
            </w:r>
          </w:p>
        </w:tc>
      </w:tr>
      <w:tr w:rsidR="00B2608F" w:rsidRPr="00DA2530" w:rsidTr="00AE2614">
        <w:trPr>
          <w:cantSplit/>
        </w:trPr>
        <w:tc>
          <w:tcPr>
            <w:tcW w:w="1127" w:type="dxa"/>
            <w:shd w:val="clear" w:color="auto" w:fill="auto"/>
          </w:tcPr>
          <w:p w:rsidR="00B2608F" w:rsidRPr="00DA2530" w:rsidRDefault="00B2608F" w:rsidP="001E08C1">
            <w:pPr>
              <w:pStyle w:val="TableText1"/>
              <w:keepNext w:val="0"/>
            </w:pPr>
            <w:r w:rsidRPr="00DA2530">
              <w:t>Comparator</w:t>
            </w:r>
          </w:p>
        </w:tc>
        <w:tc>
          <w:tcPr>
            <w:tcW w:w="7889" w:type="dxa"/>
            <w:shd w:val="clear" w:color="auto" w:fill="auto"/>
          </w:tcPr>
          <w:p w:rsidR="00B2608F" w:rsidRPr="00DA2530" w:rsidRDefault="00B2608F" w:rsidP="001E08C1">
            <w:pPr>
              <w:pStyle w:val="TableText1"/>
              <w:keepNext w:val="0"/>
            </w:pPr>
            <w:r w:rsidRPr="00DA2530">
              <w:t>Best supportive care</w:t>
            </w:r>
          </w:p>
        </w:tc>
      </w:tr>
      <w:tr w:rsidR="00B2608F" w:rsidRPr="00DA2530" w:rsidTr="00AE2614">
        <w:trPr>
          <w:cantSplit/>
        </w:trPr>
        <w:tc>
          <w:tcPr>
            <w:tcW w:w="1127" w:type="dxa"/>
            <w:shd w:val="clear" w:color="auto" w:fill="auto"/>
          </w:tcPr>
          <w:p w:rsidR="00B2608F" w:rsidRPr="00DA2530" w:rsidRDefault="00B2608F" w:rsidP="001E08C1">
            <w:pPr>
              <w:pStyle w:val="TableText1"/>
              <w:keepNext w:val="0"/>
            </w:pPr>
            <w:r w:rsidRPr="00DA2530">
              <w:t>Outcomes</w:t>
            </w:r>
          </w:p>
        </w:tc>
        <w:tc>
          <w:tcPr>
            <w:tcW w:w="7889" w:type="dxa"/>
            <w:shd w:val="clear" w:color="auto" w:fill="auto"/>
          </w:tcPr>
          <w:p w:rsidR="00B2608F" w:rsidRPr="00DA2530" w:rsidRDefault="00B2608F" w:rsidP="001E08C1">
            <w:pPr>
              <w:pStyle w:val="TableText1"/>
              <w:keepNext w:val="0"/>
            </w:pPr>
            <w:r w:rsidRPr="00DA2530">
              <w:t>pp</w:t>
            </w:r>
            <w:r w:rsidR="00023A66" w:rsidRPr="00DA2530">
              <w:rPr>
                <w:szCs w:val="24"/>
              </w:rPr>
              <w:t>FEV</w:t>
            </w:r>
            <w:r w:rsidR="00023A66" w:rsidRPr="00DA2530">
              <w:rPr>
                <w:szCs w:val="24"/>
                <w:vertAlign w:val="subscript"/>
              </w:rPr>
              <w:t>1</w:t>
            </w:r>
            <w:r w:rsidRPr="00DA2530">
              <w:t xml:space="preserve">; pulmonary exacerbations (including those requiring hospitalisation and/or </w:t>
            </w:r>
            <w:r w:rsidR="00ED7DE4" w:rsidRPr="00DA2530">
              <w:t xml:space="preserve">IV </w:t>
            </w:r>
            <w:r w:rsidRPr="00DA2530">
              <w:t xml:space="preserve">antibiotics); changes in BMI and </w:t>
            </w:r>
            <w:r w:rsidR="001D3EE1" w:rsidRPr="00DA2530">
              <w:t xml:space="preserve">quality of life (using the </w:t>
            </w:r>
            <w:r w:rsidRPr="00DA2530">
              <w:t>CFQ-R</w:t>
            </w:r>
            <w:r w:rsidR="001D3EE1" w:rsidRPr="00DA2530">
              <w:t>)</w:t>
            </w:r>
            <w:r w:rsidRPr="00DA2530">
              <w:t>.</w:t>
            </w:r>
          </w:p>
        </w:tc>
      </w:tr>
      <w:tr w:rsidR="00B2608F" w:rsidRPr="00DA2530" w:rsidTr="00AE2614">
        <w:trPr>
          <w:cantSplit/>
        </w:trPr>
        <w:tc>
          <w:tcPr>
            <w:tcW w:w="1127" w:type="dxa"/>
            <w:shd w:val="clear" w:color="auto" w:fill="auto"/>
          </w:tcPr>
          <w:p w:rsidR="00B2608F" w:rsidRPr="00DA2530" w:rsidRDefault="00B2608F" w:rsidP="001E08C1">
            <w:pPr>
              <w:pStyle w:val="TableText1"/>
              <w:keepNext w:val="0"/>
            </w:pPr>
            <w:r w:rsidRPr="00DA2530">
              <w:t>Clinical claim</w:t>
            </w:r>
          </w:p>
        </w:tc>
        <w:tc>
          <w:tcPr>
            <w:tcW w:w="7889" w:type="dxa"/>
            <w:shd w:val="clear" w:color="auto" w:fill="auto"/>
          </w:tcPr>
          <w:p w:rsidR="00B2608F" w:rsidRPr="00DA2530" w:rsidRDefault="00B2608F" w:rsidP="001E08C1">
            <w:pPr>
              <w:pStyle w:val="TableText1"/>
              <w:keepNext w:val="0"/>
            </w:pPr>
            <w:r w:rsidRPr="00DA2530">
              <w:t xml:space="preserve">In CF patients aged ≥12 years who are homozygous for the </w:t>
            </w:r>
            <w:r w:rsidRPr="00DA2530">
              <w:rPr>
                <w:iCs/>
              </w:rPr>
              <w:t xml:space="preserve">F508del </w:t>
            </w:r>
            <w:r w:rsidRPr="00DA2530">
              <w:t xml:space="preserve">mutation, lumacaftor/ivacaftor is more effective than best supportive care in improving the outcomes above and is of similar safety. </w:t>
            </w:r>
          </w:p>
        </w:tc>
      </w:tr>
    </w:tbl>
    <w:p w:rsidR="00B2608F" w:rsidRPr="00DA2530" w:rsidRDefault="00B2608F" w:rsidP="001E08C1">
      <w:pPr>
        <w:pStyle w:val="Tablefooter8pt"/>
      </w:pPr>
      <w:r w:rsidRPr="00DA2530">
        <w:t>Source: Compiled during the evaluation.</w:t>
      </w:r>
    </w:p>
    <w:p w:rsidR="00B2608F" w:rsidRDefault="00443179" w:rsidP="001E08C1">
      <w:pPr>
        <w:pStyle w:val="Tablefooter8pt"/>
        <w:rPr>
          <w:iCs/>
        </w:rPr>
      </w:pPr>
      <w:r>
        <w:t>Abbreviations: CF = cystic fibrosis; CFTR =</w:t>
      </w:r>
      <w:r w:rsidR="00B2608F" w:rsidRPr="00DA2530">
        <w:t xml:space="preserve"> </w:t>
      </w:r>
      <w:r w:rsidR="00B2608F" w:rsidRPr="00DA2530">
        <w:rPr>
          <w:iCs/>
        </w:rPr>
        <w:t>cystic fibrosis transmembrane conductance regulator; pp</w:t>
      </w:r>
      <w:r w:rsidR="00023A66" w:rsidRPr="00DA2530">
        <w:rPr>
          <w:szCs w:val="24"/>
        </w:rPr>
        <w:t>FEV</w:t>
      </w:r>
      <w:r w:rsidR="00023A66" w:rsidRPr="00DA2530">
        <w:rPr>
          <w:szCs w:val="24"/>
          <w:vertAlign w:val="subscript"/>
        </w:rPr>
        <w:t>1</w:t>
      </w:r>
      <w:r>
        <w:rPr>
          <w:iCs/>
        </w:rPr>
        <w:t xml:space="preserve"> =</w:t>
      </w:r>
      <w:r w:rsidR="00B2608F" w:rsidRPr="00DA2530">
        <w:rPr>
          <w:iCs/>
        </w:rPr>
        <w:t xml:space="preserve"> percent predicted forced exp</w:t>
      </w:r>
      <w:r>
        <w:rPr>
          <w:iCs/>
        </w:rPr>
        <w:t xml:space="preserve">iratory volume in 1 second; BMI = body mass index; CFQ-R = </w:t>
      </w:r>
      <w:r w:rsidR="00B2608F" w:rsidRPr="00DA2530">
        <w:rPr>
          <w:iCs/>
        </w:rPr>
        <w:t>cystic fibrosis questionnaire – revised.</w:t>
      </w:r>
    </w:p>
    <w:p w:rsidR="000D33EE" w:rsidRPr="00DA2530" w:rsidRDefault="000D33EE" w:rsidP="001E08C1">
      <w:pPr>
        <w:pStyle w:val="Tablefooter8pt"/>
        <w:rPr>
          <w:iCs/>
        </w:rPr>
      </w:pPr>
    </w:p>
    <w:p w:rsidR="00B2608F" w:rsidRDefault="00B2608F" w:rsidP="00A54394">
      <w:pPr>
        <w:pStyle w:val="Heading2"/>
        <w:ind w:hanging="720"/>
      </w:pPr>
      <w:bookmarkStart w:id="12" w:name="_Toc482713669"/>
      <w:r w:rsidRPr="00DA2530">
        <w:t>Requested listing</w:t>
      </w:r>
      <w:bookmarkEnd w:id="12"/>
    </w:p>
    <w:p w:rsidR="00F20434" w:rsidRDefault="00F20434" w:rsidP="001E08C1">
      <w:pPr>
        <w:pStyle w:val="ListParagraph"/>
        <w:widowControl/>
        <w:numPr>
          <w:ilvl w:val="1"/>
          <w:numId w:val="18"/>
        </w:numPr>
        <w:spacing w:after="120"/>
        <w:contextualSpacing w:val="0"/>
        <w:rPr>
          <w:rFonts w:asciiTheme="minorHAnsi" w:hAnsiTheme="minorHAnsi"/>
          <w:sz w:val="24"/>
        </w:rPr>
      </w:pPr>
      <w:r w:rsidRPr="00226B30">
        <w:rPr>
          <w:rFonts w:asciiTheme="minorHAnsi" w:hAnsiTheme="minorHAnsi"/>
          <w:sz w:val="24"/>
        </w:rPr>
        <w:t>Suggestions and additions proposed by the Secretariat to the requested listing are added in italics and suggested deletions are crossed out with strikethrough.</w:t>
      </w:r>
    </w:p>
    <w:p w:rsidR="000D33EE" w:rsidRPr="000D33EE" w:rsidRDefault="000D33EE" w:rsidP="000D33EE">
      <w:pPr>
        <w:widowControl/>
        <w:spacing w:after="120"/>
        <w:rPr>
          <w:rFonts w:asciiTheme="minorHAnsi" w:hAnsiTheme="minorHAnsi"/>
          <w:sz w:val="24"/>
        </w:rPr>
      </w:pPr>
    </w:p>
    <w:tbl>
      <w:tblPr>
        <w:tblW w:w="0" w:type="auto"/>
        <w:tblInd w:w="108" w:type="dxa"/>
        <w:tblLayout w:type="fixed"/>
        <w:tblLook w:val="0000" w:firstRow="0" w:lastRow="0" w:firstColumn="0" w:lastColumn="0" w:noHBand="0" w:noVBand="0"/>
      </w:tblPr>
      <w:tblGrid>
        <w:gridCol w:w="3828"/>
        <w:gridCol w:w="567"/>
        <w:gridCol w:w="708"/>
        <w:gridCol w:w="1701"/>
        <w:gridCol w:w="1560"/>
        <w:gridCol w:w="770"/>
      </w:tblGrid>
      <w:tr w:rsidR="00F20434" w:rsidRPr="00260CE3" w:rsidTr="00101B9F">
        <w:trPr>
          <w:trHeight w:val="471"/>
        </w:trPr>
        <w:tc>
          <w:tcPr>
            <w:tcW w:w="3828" w:type="dxa"/>
            <w:tcBorders>
              <w:bottom w:val="single" w:sz="4" w:space="0" w:color="auto"/>
            </w:tcBorders>
          </w:tcPr>
          <w:p w:rsidR="00F20434" w:rsidRPr="00260CE3" w:rsidRDefault="00F20434" w:rsidP="001E08C1">
            <w:pPr>
              <w:keepNext/>
              <w:widowControl/>
              <w:ind w:left="-108"/>
              <w:rPr>
                <w:rFonts w:ascii="Arial Narrow" w:hAnsi="Arial Narrow"/>
                <w:sz w:val="20"/>
              </w:rPr>
            </w:pPr>
            <w:r w:rsidRPr="00260CE3">
              <w:rPr>
                <w:rFonts w:ascii="Arial Narrow" w:hAnsi="Arial Narrow"/>
                <w:sz w:val="20"/>
              </w:rPr>
              <w:t>Name, Restriction,</w:t>
            </w:r>
          </w:p>
          <w:p w:rsidR="00F20434" w:rsidRPr="00260CE3" w:rsidRDefault="00F20434" w:rsidP="001E08C1">
            <w:pPr>
              <w:keepNext/>
              <w:widowControl/>
              <w:ind w:left="-108"/>
              <w:rPr>
                <w:rFonts w:ascii="Arial Narrow" w:hAnsi="Arial Narrow"/>
                <w:sz w:val="20"/>
              </w:rPr>
            </w:pPr>
            <w:r w:rsidRPr="00260CE3">
              <w:rPr>
                <w:rFonts w:ascii="Arial Narrow" w:hAnsi="Arial Narrow"/>
                <w:sz w:val="20"/>
              </w:rPr>
              <w:t>Manner of administration and form</w:t>
            </w:r>
          </w:p>
        </w:tc>
        <w:tc>
          <w:tcPr>
            <w:tcW w:w="567" w:type="dxa"/>
            <w:tcBorders>
              <w:bottom w:val="single" w:sz="4" w:space="0" w:color="auto"/>
            </w:tcBorders>
          </w:tcPr>
          <w:p w:rsidR="00F20434" w:rsidRPr="00260CE3" w:rsidRDefault="00F20434" w:rsidP="001E08C1">
            <w:pPr>
              <w:keepNext/>
              <w:widowControl/>
              <w:ind w:left="-108"/>
              <w:rPr>
                <w:rFonts w:ascii="Arial Narrow" w:hAnsi="Arial Narrow"/>
                <w:sz w:val="20"/>
              </w:rPr>
            </w:pPr>
            <w:r w:rsidRPr="00260CE3">
              <w:rPr>
                <w:rFonts w:ascii="Arial Narrow" w:hAnsi="Arial Narrow"/>
                <w:sz w:val="20"/>
              </w:rPr>
              <w:t>Max.</w:t>
            </w:r>
          </w:p>
          <w:p w:rsidR="00F20434" w:rsidRPr="00260CE3" w:rsidRDefault="00F20434" w:rsidP="001E08C1">
            <w:pPr>
              <w:keepNext/>
              <w:widowControl/>
              <w:ind w:left="-108"/>
              <w:rPr>
                <w:rFonts w:ascii="Arial Narrow" w:hAnsi="Arial Narrow"/>
                <w:sz w:val="20"/>
              </w:rPr>
            </w:pPr>
            <w:r w:rsidRPr="00260CE3">
              <w:rPr>
                <w:rFonts w:ascii="Arial Narrow" w:hAnsi="Arial Narrow"/>
                <w:sz w:val="20"/>
              </w:rPr>
              <w:t>Qty</w:t>
            </w:r>
          </w:p>
        </w:tc>
        <w:tc>
          <w:tcPr>
            <w:tcW w:w="708" w:type="dxa"/>
            <w:tcBorders>
              <w:bottom w:val="single" w:sz="4" w:space="0" w:color="auto"/>
            </w:tcBorders>
          </w:tcPr>
          <w:p w:rsidR="00F20434" w:rsidRPr="00260CE3" w:rsidRDefault="00F20434" w:rsidP="001E08C1">
            <w:pPr>
              <w:keepNext/>
              <w:widowControl/>
              <w:ind w:left="-108"/>
              <w:rPr>
                <w:rFonts w:ascii="Arial Narrow" w:hAnsi="Arial Narrow"/>
                <w:sz w:val="20"/>
              </w:rPr>
            </w:pPr>
            <w:r w:rsidRPr="00260CE3">
              <w:rPr>
                <w:rFonts w:ascii="Arial Narrow" w:hAnsi="Arial Narrow"/>
                <w:sz w:val="20"/>
              </w:rPr>
              <w:t>№.of</w:t>
            </w:r>
          </w:p>
          <w:p w:rsidR="00F20434" w:rsidRPr="00260CE3" w:rsidRDefault="00F20434" w:rsidP="001E08C1">
            <w:pPr>
              <w:keepNext/>
              <w:widowControl/>
              <w:ind w:left="-108"/>
              <w:rPr>
                <w:rFonts w:ascii="Arial Narrow" w:hAnsi="Arial Narrow"/>
                <w:sz w:val="20"/>
              </w:rPr>
            </w:pPr>
            <w:r w:rsidRPr="00260CE3">
              <w:rPr>
                <w:rFonts w:ascii="Arial Narrow" w:hAnsi="Arial Narrow"/>
                <w:sz w:val="20"/>
              </w:rPr>
              <w:t>Rpts</w:t>
            </w:r>
          </w:p>
        </w:tc>
        <w:tc>
          <w:tcPr>
            <w:tcW w:w="1701" w:type="dxa"/>
            <w:tcBorders>
              <w:bottom w:val="single" w:sz="4" w:space="0" w:color="auto"/>
            </w:tcBorders>
          </w:tcPr>
          <w:p w:rsidR="00F20434" w:rsidRPr="00260CE3" w:rsidRDefault="00F20434" w:rsidP="001E08C1">
            <w:pPr>
              <w:keepNext/>
              <w:widowControl/>
              <w:ind w:left="-108"/>
              <w:jc w:val="center"/>
              <w:rPr>
                <w:rFonts w:ascii="Arial Narrow" w:hAnsi="Arial Narrow"/>
                <w:sz w:val="20"/>
              </w:rPr>
            </w:pPr>
            <w:r w:rsidRPr="00260CE3">
              <w:rPr>
                <w:rFonts w:ascii="Arial Narrow" w:hAnsi="Arial Narrow"/>
                <w:sz w:val="20"/>
              </w:rPr>
              <w:t>Dispensed Price for Max. Qty</w:t>
            </w:r>
          </w:p>
        </w:tc>
        <w:tc>
          <w:tcPr>
            <w:tcW w:w="2330" w:type="dxa"/>
            <w:gridSpan w:val="2"/>
            <w:tcBorders>
              <w:bottom w:val="single" w:sz="4" w:space="0" w:color="auto"/>
            </w:tcBorders>
          </w:tcPr>
          <w:p w:rsidR="00F20434" w:rsidRPr="00260CE3" w:rsidRDefault="00F20434" w:rsidP="001E08C1">
            <w:pPr>
              <w:keepNext/>
              <w:widowControl/>
              <w:rPr>
                <w:rFonts w:ascii="Arial Narrow" w:hAnsi="Arial Narrow"/>
                <w:sz w:val="20"/>
                <w:lang w:val="fr-FR"/>
              </w:rPr>
            </w:pPr>
            <w:r w:rsidRPr="00260CE3">
              <w:rPr>
                <w:rFonts w:ascii="Arial Narrow" w:hAnsi="Arial Narrow"/>
                <w:sz w:val="20"/>
              </w:rPr>
              <w:t>Proprietary Name and Manufacturer</w:t>
            </w:r>
          </w:p>
        </w:tc>
      </w:tr>
      <w:tr w:rsidR="00101B9F" w:rsidRPr="00260CE3" w:rsidTr="00101B9F">
        <w:trPr>
          <w:trHeight w:val="577"/>
        </w:trPr>
        <w:tc>
          <w:tcPr>
            <w:tcW w:w="3828" w:type="dxa"/>
          </w:tcPr>
          <w:p w:rsidR="00F20434" w:rsidRPr="00260CE3" w:rsidRDefault="00F20434" w:rsidP="001E08C1">
            <w:pPr>
              <w:keepNext/>
              <w:widowControl/>
              <w:ind w:left="-108"/>
              <w:jc w:val="left"/>
              <w:rPr>
                <w:rFonts w:ascii="Arial Narrow" w:hAnsi="Arial Narrow"/>
                <w:sz w:val="20"/>
              </w:rPr>
            </w:pPr>
            <w:r>
              <w:rPr>
                <w:rFonts w:ascii="Arial Narrow" w:hAnsi="Arial Narrow"/>
                <w:smallCaps/>
                <w:sz w:val="20"/>
              </w:rPr>
              <w:t>LUMACAFTOR + IVACAFTOR</w:t>
            </w:r>
          </w:p>
          <w:p w:rsidR="00F20434" w:rsidRPr="00260CE3" w:rsidRDefault="00101B9F" w:rsidP="001E08C1">
            <w:pPr>
              <w:keepNext/>
              <w:widowControl/>
              <w:ind w:left="-108"/>
              <w:jc w:val="left"/>
              <w:rPr>
                <w:rFonts w:ascii="Arial Narrow" w:hAnsi="Arial Narrow"/>
                <w:sz w:val="20"/>
              </w:rPr>
            </w:pPr>
            <w:r>
              <w:rPr>
                <w:rFonts w:ascii="Arial Narrow" w:hAnsi="Arial Narrow"/>
                <w:sz w:val="20"/>
              </w:rPr>
              <w:t>l</w:t>
            </w:r>
            <w:r w:rsidR="00F20434">
              <w:rPr>
                <w:rFonts w:ascii="Arial Narrow" w:hAnsi="Arial Narrow"/>
                <w:sz w:val="20"/>
              </w:rPr>
              <w:t>umacaftor 200 mg + ivacaftor 125 mg</w:t>
            </w:r>
            <w:r>
              <w:rPr>
                <w:rFonts w:ascii="Arial Narrow" w:hAnsi="Arial Narrow"/>
                <w:sz w:val="20"/>
              </w:rPr>
              <w:t xml:space="preserve"> tablet</w:t>
            </w:r>
          </w:p>
        </w:tc>
        <w:tc>
          <w:tcPr>
            <w:tcW w:w="567" w:type="dxa"/>
          </w:tcPr>
          <w:p w:rsidR="00F20434" w:rsidRPr="00260CE3" w:rsidRDefault="00F20434" w:rsidP="001E08C1">
            <w:pPr>
              <w:keepNext/>
              <w:widowControl/>
              <w:ind w:left="-108"/>
              <w:rPr>
                <w:rFonts w:ascii="Arial Narrow" w:hAnsi="Arial Narrow"/>
                <w:sz w:val="20"/>
              </w:rPr>
            </w:pPr>
          </w:p>
          <w:p w:rsidR="00F20434" w:rsidRPr="00260CE3" w:rsidRDefault="00F20434" w:rsidP="001E08C1">
            <w:pPr>
              <w:keepNext/>
              <w:widowControl/>
              <w:ind w:left="-108"/>
              <w:rPr>
                <w:rFonts w:ascii="Arial Narrow" w:hAnsi="Arial Narrow"/>
                <w:sz w:val="20"/>
              </w:rPr>
            </w:pPr>
            <w:r w:rsidRPr="008C6079">
              <w:rPr>
                <w:rFonts w:ascii="Arial Narrow" w:hAnsi="Arial Narrow"/>
                <w:sz w:val="20"/>
              </w:rPr>
              <w:t>112</w:t>
            </w:r>
          </w:p>
        </w:tc>
        <w:tc>
          <w:tcPr>
            <w:tcW w:w="708" w:type="dxa"/>
          </w:tcPr>
          <w:p w:rsidR="00F20434" w:rsidRPr="00260CE3" w:rsidRDefault="00F20434" w:rsidP="001E08C1">
            <w:pPr>
              <w:keepNext/>
              <w:widowControl/>
              <w:ind w:left="-108"/>
              <w:rPr>
                <w:rFonts w:ascii="Arial Narrow" w:hAnsi="Arial Narrow"/>
                <w:sz w:val="20"/>
              </w:rPr>
            </w:pPr>
          </w:p>
          <w:p w:rsidR="00F20434" w:rsidRPr="00260CE3" w:rsidRDefault="00F20434" w:rsidP="001E08C1">
            <w:pPr>
              <w:keepNext/>
              <w:widowControl/>
              <w:ind w:left="-108"/>
              <w:rPr>
                <w:rFonts w:ascii="Arial Narrow" w:hAnsi="Arial Narrow"/>
                <w:sz w:val="20"/>
              </w:rPr>
            </w:pPr>
            <w:r w:rsidRPr="008C6079">
              <w:rPr>
                <w:rFonts w:ascii="Arial Narrow" w:hAnsi="Arial Narrow"/>
                <w:sz w:val="20"/>
              </w:rPr>
              <w:t>5</w:t>
            </w:r>
          </w:p>
        </w:tc>
        <w:tc>
          <w:tcPr>
            <w:tcW w:w="1701" w:type="dxa"/>
          </w:tcPr>
          <w:p w:rsidR="00F20434" w:rsidRPr="00260CE3" w:rsidRDefault="00F20434" w:rsidP="001E08C1">
            <w:pPr>
              <w:keepNext/>
              <w:widowControl/>
              <w:ind w:left="-108"/>
              <w:rPr>
                <w:rFonts w:ascii="Arial Narrow" w:hAnsi="Arial Narrow"/>
                <w:sz w:val="20"/>
              </w:rPr>
            </w:pPr>
          </w:p>
          <w:p w:rsidR="00F20434" w:rsidRPr="00260CE3" w:rsidRDefault="00F20434" w:rsidP="001E08C1">
            <w:pPr>
              <w:keepNext/>
              <w:widowControl/>
              <w:ind w:left="-108"/>
              <w:jc w:val="center"/>
              <w:rPr>
                <w:rFonts w:ascii="Arial Narrow" w:hAnsi="Arial Narrow"/>
                <w:sz w:val="20"/>
              </w:rPr>
            </w:pPr>
            <w:r w:rsidRPr="00260CE3">
              <w:rPr>
                <w:rFonts w:ascii="Arial Narrow" w:hAnsi="Arial Narrow"/>
                <w:sz w:val="20"/>
              </w:rPr>
              <w:t>$</w:t>
            </w:r>
            <w:r w:rsidR="00A42B97">
              <w:rPr>
                <w:rFonts w:ascii="Arial Narrow" w:hAnsi="Arial Narrow"/>
                <w:noProof/>
                <w:color w:val="000000"/>
                <w:sz w:val="20"/>
                <w:highlight w:val="black"/>
              </w:rPr>
              <w:t>''''''''''''''''</w:t>
            </w:r>
          </w:p>
        </w:tc>
        <w:tc>
          <w:tcPr>
            <w:tcW w:w="1560" w:type="dxa"/>
          </w:tcPr>
          <w:p w:rsidR="00F20434" w:rsidRDefault="00F20434" w:rsidP="001E08C1">
            <w:pPr>
              <w:keepNext/>
              <w:widowControl/>
              <w:rPr>
                <w:rFonts w:ascii="Arial Narrow" w:hAnsi="Arial Narrow"/>
                <w:sz w:val="20"/>
              </w:rPr>
            </w:pPr>
          </w:p>
          <w:p w:rsidR="00F20434" w:rsidRPr="00260CE3" w:rsidRDefault="00F20434" w:rsidP="001E08C1">
            <w:pPr>
              <w:keepNext/>
              <w:widowControl/>
              <w:rPr>
                <w:rFonts w:ascii="Arial Narrow" w:hAnsi="Arial Narrow"/>
                <w:sz w:val="20"/>
              </w:rPr>
            </w:pPr>
            <w:r>
              <w:rPr>
                <w:rFonts w:ascii="Arial Narrow" w:hAnsi="Arial Narrow"/>
                <w:sz w:val="20"/>
              </w:rPr>
              <w:t>Orkambi®</w:t>
            </w:r>
          </w:p>
        </w:tc>
        <w:tc>
          <w:tcPr>
            <w:tcW w:w="770" w:type="dxa"/>
          </w:tcPr>
          <w:p w:rsidR="00F20434" w:rsidRDefault="00F20434" w:rsidP="001E08C1">
            <w:pPr>
              <w:keepNext/>
              <w:widowControl/>
              <w:rPr>
                <w:rFonts w:ascii="Arial Narrow" w:hAnsi="Arial Narrow"/>
                <w:sz w:val="20"/>
              </w:rPr>
            </w:pPr>
          </w:p>
          <w:p w:rsidR="00F20434" w:rsidRPr="00260CE3" w:rsidRDefault="00101B9F" w:rsidP="001E08C1">
            <w:pPr>
              <w:keepNext/>
              <w:widowControl/>
              <w:rPr>
                <w:rFonts w:ascii="Arial Narrow" w:hAnsi="Arial Narrow"/>
                <w:sz w:val="20"/>
              </w:rPr>
            </w:pPr>
            <w:r>
              <w:rPr>
                <w:rFonts w:ascii="Arial Narrow" w:hAnsi="Arial Narrow"/>
                <w:sz w:val="20"/>
              </w:rPr>
              <w:t>VR</w:t>
            </w:r>
          </w:p>
        </w:tc>
      </w:tr>
    </w:tbl>
    <w:p w:rsidR="00101B9F" w:rsidRPr="00101B9F" w:rsidRDefault="00101B9F" w:rsidP="001E08C1">
      <w:pPr>
        <w:widowControl/>
        <w:rPr>
          <w:sz w:val="2"/>
          <w:szCs w:val="2"/>
        </w:rPr>
      </w:pPr>
    </w:p>
    <w:tbl>
      <w:tblPr>
        <w:tblW w:w="0" w:type="auto"/>
        <w:tblInd w:w="108" w:type="dxa"/>
        <w:tblLayout w:type="fixed"/>
        <w:tblLook w:val="0000" w:firstRow="0" w:lastRow="0" w:firstColumn="0" w:lastColumn="0" w:noHBand="0" w:noVBand="0"/>
      </w:tblPr>
      <w:tblGrid>
        <w:gridCol w:w="1843"/>
        <w:gridCol w:w="7291"/>
      </w:tblGrid>
      <w:tr w:rsidR="00F20434" w:rsidRPr="00260CE3" w:rsidTr="00E7621B">
        <w:trPr>
          <w:cantSplit/>
          <w:trHeight w:val="360"/>
        </w:trPr>
        <w:tc>
          <w:tcPr>
            <w:tcW w:w="1843" w:type="dxa"/>
            <w:tcBorders>
              <w:top w:val="single" w:sz="4" w:space="0" w:color="auto"/>
              <w:left w:val="single" w:sz="4" w:space="0" w:color="auto"/>
              <w:bottom w:val="single" w:sz="4" w:space="0" w:color="auto"/>
              <w:right w:val="single" w:sz="4" w:space="0" w:color="auto"/>
            </w:tcBorders>
          </w:tcPr>
          <w:p w:rsidR="00F20434" w:rsidRPr="00260CE3" w:rsidRDefault="00F20434" w:rsidP="00E7621B">
            <w:pPr>
              <w:keepLines/>
              <w:widowControl/>
              <w:rPr>
                <w:rFonts w:ascii="Arial Narrow" w:hAnsi="Arial Narrow"/>
                <w:b/>
                <w:sz w:val="20"/>
              </w:rPr>
            </w:pPr>
            <w:r w:rsidRPr="00260CE3">
              <w:rPr>
                <w:rFonts w:ascii="Arial Narrow" w:hAnsi="Arial Narrow"/>
                <w:b/>
                <w:sz w:val="20"/>
              </w:rPr>
              <w:t>Category</w:t>
            </w:r>
            <w:r w:rsidR="00E7621B">
              <w:rPr>
                <w:rFonts w:ascii="Arial Narrow" w:hAnsi="Arial Narrow"/>
                <w:b/>
                <w:sz w:val="20"/>
              </w:rPr>
              <w:t>/</w:t>
            </w:r>
            <w:r w:rsidRPr="00260CE3">
              <w:rPr>
                <w:rFonts w:ascii="Arial Narrow" w:hAnsi="Arial Narrow"/>
                <w:b/>
                <w:sz w:val="20"/>
              </w:rPr>
              <w:t>Program</w:t>
            </w:r>
          </w:p>
        </w:tc>
        <w:tc>
          <w:tcPr>
            <w:tcW w:w="7291" w:type="dxa"/>
            <w:tcBorders>
              <w:top w:val="single" w:sz="4" w:space="0" w:color="auto"/>
              <w:left w:val="single" w:sz="4" w:space="0" w:color="auto"/>
              <w:bottom w:val="single" w:sz="4" w:space="0" w:color="auto"/>
              <w:right w:val="single" w:sz="4" w:space="0" w:color="auto"/>
            </w:tcBorders>
          </w:tcPr>
          <w:p w:rsidR="00F20434" w:rsidRPr="00260CE3" w:rsidRDefault="00F20434" w:rsidP="00E7621B">
            <w:pPr>
              <w:keepLines/>
              <w:widowControl/>
              <w:rPr>
                <w:rFonts w:ascii="Arial Narrow" w:hAnsi="Arial Narrow"/>
                <w:sz w:val="20"/>
              </w:rPr>
            </w:pPr>
            <w:r w:rsidRPr="00260CE3">
              <w:rPr>
                <w:rFonts w:ascii="Arial Narrow" w:hAnsi="Arial Narrow"/>
                <w:sz w:val="20"/>
              </w:rPr>
              <w:t>Section 100 – Highly Specialised Drugs Program</w:t>
            </w:r>
          </w:p>
        </w:tc>
      </w:tr>
      <w:tr w:rsidR="00F20434" w:rsidRPr="00260CE3" w:rsidTr="00101B9F">
        <w:trPr>
          <w:trHeight w:val="360"/>
        </w:trPr>
        <w:tc>
          <w:tcPr>
            <w:tcW w:w="1843" w:type="dxa"/>
            <w:tcBorders>
              <w:top w:val="single" w:sz="4" w:space="0" w:color="auto"/>
              <w:left w:val="single" w:sz="4" w:space="0" w:color="auto"/>
              <w:bottom w:val="single" w:sz="4" w:space="0" w:color="auto"/>
              <w:right w:val="single" w:sz="4" w:space="0" w:color="auto"/>
            </w:tcBorders>
          </w:tcPr>
          <w:p w:rsidR="00F20434" w:rsidRPr="00260CE3" w:rsidRDefault="00F20434" w:rsidP="001E08C1">
            <w:pPr>
              <w:widowControl/>
              <w:rPr>
                <w:rFonts w:ascii="Arial Narrow" w:hAnsi="Arial Narrow"/>
                <w:b/>
                <w:sz w:val="20"/>
              </w:rPr>
            </w:pPr>
            <w:r w:rsidRPr="00260CE3">
              <w:rPr>
                <w:rFonts w:ascii="Arial Narrow" w:hAnsi="Arial Narrow"/>
                <w:b/>
                <w:sz w:val="20"/>
              </w:rPr>
              <w:t>Prescriber type:</w:t>
            </w:r>
          </w:p>
        </w:tc>
        <w:tc>
          <w:tcPr>
            <w:tcW w:w="7291" w:type="dxa"/>
            <w:tcBorders>
              <w:top w:val="single" w:sz="4" w:space="0" w:color="auto"/>
              <w:left w:val="single" w:sz="4" w:space="0" w:color="auto"/>
              <w:bottom w:val="single" w:sz="4" w:space="0" w:color="auto"/>
              <w:right w:val="single" w:sz="4" w:space="0" w:color="auto"/>
            </w:tcBorders>
          </w:tcPr>
          <w:p w:rsidR="00F20434" w:rsidRPr="00260CE3" w:rsidRDefault="00F20434" w:rsidP="001E08C1">
            <w:pPr>
              <w:widowControl/>
              <w:rPr>
                <w:rFonts w:ascii="Arial Narrow" w:hAnsi="Arial Narrow"/>
                <w:sz w:val="20"/>
              </w:rPr>
            </w:pPr>
            <w:r>
              <w:rPr>
                <w:rFonts w:ascii="Arial Narrow" w:hAnsi="Arial Narrow"/>
                <w:sz w:val="20"/>
              </w:rPr>
              <w:fldChar w:fldCharType="begin">
                <w:ffData>
                  <w:name w:val=""/>
                  <w:enabled/>
                  <w:calcOnExit w:val="0"/>
                  <w:checkBox>
                    <w:sizeAuto/>
                    <w:default w:val="1"/>
                  </w:checkBox>
                </w:ffData>
              </w:fldChar>
            </w:r>
            <w:r>
              <w:rPr>
                <w:rFonts w:ascii="Arial Narrow" w:hAnsi="Arial Narrow"/>
                <w:sz w:val="20"/>
              </w:rPr>
              <w:instrText xml:space="preserve"> FORMCHECKBOX </w:instrText>
            </w:r>
            <w:r w:rsidR="000D33EE">
              <w:rPr>
                <w:rFonts w:ascii="Arial Narrow" w:hAnsi="Arial Narrow"/>
                <w:sz w:val="20"/>
              </w:rPr>
            </w:r>
            <w:r w:rsidR="000D33EE">
              <w:rPr>
                <w:rFonts w:ascii="Arial Narrow" w:hAnsi="Arial Narrow"/>
                <w:sz w:val="20"/>
              </w:rPr>
              <w:fldChar w:fldCharType="separate"/>
            </w:r>
            <w:r>
              <w:rPr>
                <w:rFonts w:ascii="Arial Narrow" w:hAnsi="Arial Narrow"/>
                <w:sz w:val="20"/>
              </w:rPr>
              <w:fldChar w:fldCharType="end"/>
            </w:r>
            <w:r w:rsidRPr="00260CE3">
              <w:rPr>
                <w:rFonts w:ascii="Arial Narrow" w:hAnsi="Arial Narrow"/>
                <w:sz w:val="20"/>
              </w:rPr>
              <w:t xml:space="preserve">Medical Practitioners  </w:t>
            </w:r>
          </w:p>
        </w:tc>
      </w:tr>
      <w:tr w:rsidR="00F20434" w:rsidRPr="00260CE3" w:rsidTr="00101B9F">
        <w:trPr>
          <w:trHeight w:val="360"/>
        </w:trPr>
        <w:tc>
          <w:tcPr>
            <w:tcW w:w="1843" w:type="dxa"/>
            <w:tcBorders>
              <w:top w:val="single" w:sz="4" w:space="0" w:color="auto"/>
              <w:left w:val="single" w:sz="4" w:space="0" w:color="auto"/>
              <w:bottom w:val="single" w:sz="4" w:space="0" w:color="auto"/>
              <w:right w:val="single" w:sz="4" w:space="0" w:color="auto"/>
            </w:tcBorders>
          </w:tcPr>
          <w:p w:rsidR="00F20434" w:rsidRPr="00BB7912" w:rsidRDefault="00F20434" w:rsidP="001E08C1">
            <w:pPr>
              <w:widowControl/>
              <w:rPr>
                <w:rFonts w:ascii="Arial Narrow" w:hAnsi="Arial Narrow"/>
                <w:b/>
                <w:sz w:val="20"/>
              </w:rPr>
            </w:pPr>
            <w:r w:rsidRPr="00260CE3">
              <w:rPr>
                <w:rFonts w:ascii="Arial Narrow" w:hAnsi="Arial Narrow"/>
                <w:b/>
                <w:sz w:val="20"/>
              </w:rPr>
              <w:t>PBS Indication:</w:t>
            </w:r>
          </w:p>
        </w:tc>
        <w:tc>
          <w:tcPr>
            <w:tcW w:w="7291" w:type="dxa"/>
            <w:tcBorders>
              <w:top w:val="single" w:sz="4" w:space="0" w:color="auto"/>
              <w:left w:val="single" w:sz="4" w:space="0" w:color="auto"/>
              <w:bottom w:val="single" w:sz="4" w:space="0" w:color="auto"/>
              <w:right w:val="single" w:sz="4" w:space="0" w:color="auto"/>
            </w:tcBorders>
          </w:tcPr>
          <w:p w:rsidR="00F20434" w:rsidRPr="00260CE3" w:rsidRDefault="00F20434" w:rsidP="001E08C1">
            <w:pPr>
              <w:widowControl/>
              <w:rPr>
                <w:rFonts w:ascii="Arial Narrow" w:hAnsi="Arial Narrow"/>
                <w:sz w:val="20"/>
              </w:rPr>
            </w:pPr>
            <w:r>
              <w:rPr>
                <w:rFonts w:ascii="Arial Narrow" w:hAnsi="Arial Narrow"/>
                <w:sz w:val="20"/>
              </w:rPr>
              <w:t>Cystic fibrosis</w:t>
            </w:r>
          </w:p>
        </w:tc>
      </w:tr>
      <w:tr w:rsidR="00F20434" w:rsidRPr="00260CE3" w:rsidTr="00101B9F">
        <w:trPr>
          <w:trHeight w:val="360"/>
        </w:trPr>
        <w:tc>
          <w:tcPr>
            <w:tcW w:w="1843" w:type="dxa"/>
            <w:tcBorders>
              <w:top w:val="single" w:sz="4" w:space="0" w:color="auto"/>
              <w:left w:val="single" w:sz="4" w:space="0" w:color="auto"/>
              <w:bottom w:val="single" w:sz="4" w:space="0" w:color="auto"/>
              <w:right w:val="single" w:sz="4" w:space="0" w:color="auto"/>
            </w:tcBorders>
          </w:tcPr>
          <w:p w:rsidR="00F20434" w:rsidRDefault="00F20434" w:rsidP="001E08C1">
            <w:pPr>
              <w:widowControl/>
              <w:jc w:val="left"/>
              <w:rPr>
                <w:rFonts w:ascii="Arial Narrow" w:hAnsi="Arial Narrow"/>
                <w:i/>
                <w:sz w:val="20"/>
                <w:highlight w:val="yellow"/>
              </w:rPr>
            </w:pPr>
            <w:r w:rsidRPr="00260CE3">
              <w:rPr>
                <w:rFonts w:ascii="Arial Narrow" w:hAnsi="Arial Narrow"/>
                <w:b/>
                <w:sz w:val="20"/>
              </w:rPr>
              <w:t>Restriction</w:t>
            </w:r>
            <w:r>
              <w:rPr>
                <w:rFonts w:ascii="Arial Narrow" w:hAnsi="Arial Narrow"/>
                <w:b/>
                <w:sz w:val="20"/>
              </w:rPr>
              <w:t xml:space="preserve"> Level / Method</w:t>
            </w:r>
            <w:r w:rsidRPr="00260CE3">
              <w:rPr>
                <w:rFonts w:ascii="Arial Narrow" w:hAnsi="Arial Narrow"/>
                <w:b/>
                <w:sz w:val="20"/>
              </w:rPr>
              <w:t>:</w:t>
            </w:r>
          </w:p>
          <w:p w:rsidR="00F20434" w:rsidRDefault="00F20434" w:rsidP="001E08C1">
            <w:pPr>
              <w:widowControl/>
              <w:jc w:val="left"/>
              <w:rPr>
                <w:rFonts w:ascii="Arial Narrow" w:hAnsi="Arial Narrow"/>
                <w:i/>
                <w:sz w:val="20"/>
              </w:rPr>
            </w:pPr>
          </w:p>
          <w:p w:rsidR="00F20434" w:rsidRPr="00CD28F3" w:rsidRDefault="00F20434" w:rsidP="001E08C1">
            <w:pPr>
              <w:widowControl/>
              <w:rPr>
                <w:rFonts w:ascii="Arial Narrow" w:hAnsi="Arial Narrow"/>
                <w:i/>
                <w:sz w:val="20"/>
              </w:rPr>
            </w:pPr>
          </w:p>
        </w:tc>
        <w:tc>
          <w:tcPr>
            <w:tcW w:w="7291" w:type="dxa"/>
            <w:tcBorders>
              <w:top w:val="single" w:sz="4" w:space="0" w:color="auto"/>
              <w:left w:val="single" w:sz="4" w:space="0" w:color="auto"/>
              <w:bottom w:val="single" w:sz="4" w:space="0" w:color="auto"/>
              <w:right w:val="single" w:sz="4" w:space="0" w:color="auto"/>
            </w:tcBorders>
          </w:tcPr>
          <w:p w:rsidR="00F20434" w:rsidRPr="00106BCF" w:rsidRDefault="00F20434" w:rsidP="001E08C1">
            <w:pPr>
              <w:widowControl/>
              <w:rPr>
                <w:rFonts w:ascii="Arial Narrow" w:hAnsi="Arial Narrow"/>
                <w:sz w:val="20"/>
              </w:rPr>
            </w:pPr>
            <w:r w:rsidRPr="00106BCF">
              <w:rPr>
                <w:rFonts w:ascii="Arial Narrow" w:hAnsi="Arial Narrow"/>
                <w:sz w:val="20"/>
              </w:rPr>
              <w:fldChar w:fldCharType="begin">
                <w:ffData>
                  <w:name w:val="Check1"/>
                  <w:enabled/>
                  <w:calcOnExit w:val="0"/>
                  <w:checkBox>
                    <w:sizeAuto/>
                    <w:default w:val="0"/>
                  </w:checkBox>
                </w:ffData>
              </w:fldChar>
            </w:r>
            <w:r w:rsidRPr="00106BCF">
              <w:rPr>
                <w:rFonts w:ascii="Arial Narrow" w:hAnsi="Arial Narrow"/>
                <w:sz w:val="20"/>
              </w:rPr>
              <w:instrText xml:space="preserve"> FORMCHECKBOX </w:instrText>
            </w:r>
            <w:r w:rsidR="000D33EE">
              <w:rPr>
                <w:rFonts w:ascii="Arial Narrow" w:hAnsi="Arial Narrow"/>
                <w:sz w:val="20"/>
              </w:rPr>
            </w:r>
            <w:r w:rsidR="000D33EE">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Restricted benefit</w:t>
            </w:r>
          </w:p>
          <w:p w:rsidR="00F20434" w:rsidRPr="00106BCF" w:rsidRDefault="00F20434" w:rsidP="001E08C1">
            <w:pPr>
              <w:widowControl/>
              <w:rPr>
                <w:rFonts w:ascii="Arial Narrow" w:hAnsi="Arial Narrow"/>
                <w:sz w:val="20"/>
              </w:rPr>
            </w:pPr>
            <w:r>
              <w:rPr>
                <w:rFonts w:ascii="Arial Narrow" w:hAnsi="Arial Narrow"/>
                <w:sz w:val="20"/>
              </w:rPr>
              <w:fldChar w:fldCharType="begin">
                <w:ffData>
                  <w:name w:val=""/>
                  <w:enabled/>
                  <w:calcOnExit w:val="0"/>
                  <w:checkBox>
                    <w:sizeAuto/>
                    <w:default w:val="1"/>
                  </w:checkBox>
                </w:ffData>
              </w:fldChar>
            </w:r>
            <w:r>
              <w:rPr>
                <w:rFonts w:ascii="Arial Narrow" w:hAnsi="Arial Narrow"/>
                <w:sz w:val="20"/>
              </w:rPr>
              <w:instrText xml:space="preserve"> FORMCHECKBOX </w:instrText>
            </w:r>
            <w:r w:rsidR="000D33EE">
              <w:rPr>
                <w:rFonts w:ascii="Arial Narrow" w:hAnsi="Arial Narrow"/>
                <w:sz w:val="20"/>
              </w:rPr>
            </w:r>
            <w:r w:rsidR="000D33EE">
              <w:rPr>
                <w:rFonts w:ascii="Arial Narrow" w:hAnsi="Arial Narrow"/>
                <w:sz w:val="20"/>
              </w:rPr>
              <w:fldChar w:fldCharType="separate"/>
            </w:r>
            <w:r>
              <w:rPr>
                <w:rFonts w:ascii="Arial Narrow" w:hAnsi="Arial Narrow"/>
                <w:sz w:val="20"/>
              </w:rPr>
              <w:fldChar w:fldCharType="end"/>
            </w:r>
            <w:r w:rsidRPr="00106BCF">
              <w:rPr>
                <w:rFonts w:ascii="Arial Narrow" w:hAnsi="Arial Narrow"/>
                <w:sz w:val="20"/>
              </w:rPr>
              <w:t>Authority Required - In Writing</w:t>
            </w:r>
          </w:p>
          <w:p w:rsidR="00F20434" w:rsidRPr="00106BCF" w:rsidRDefault="00F20434" w:rsidP="001E08C1">
            <w:pPr>
              <w:widowControl/>
              <w:rPr>
                <w:rFonts w:ascii="Arial Narrow" w:hAnsi="Arial Narrow"/>
                <w:sz w:val="20"/>
              </w:rPr>
            </w:pPr>
            <w:r w:rsidRPr="00106BCF">
              <w:rPr>
                <w:rFonts w:ascii="Arial Narrow" w:hAnsi="Arial Narrow"/>
                <w:sz w:val="20"/>
              </w:rPr>
              <w:fldChar w:fldCharType="begin">
                <w:ffData>
                  <w:name w:val="Check3"/>
                  <w:enabled/>
                  <w:calcOnExit w:val="0"/>
                  <w:checkBox>
                    <w:sizeAuto/>
                    <w:default w:val="0"/>
                  </w:checkBox>
                </w:ffData>
              </w:fldChar>
            </w:r>
            <w:r w:rsidRPr="00106BCF">
              <w:rPr>
                <w:rFonts w:ascii="Arial Narrow" w:hAnsi="Arial Narrow"/>
                <w:sz w:val="20"/>
              </w:rPr>
              <w:instrText xml:space="preserve"> FORMCHECKBOX </w:instrText>
            </w:r>
            <w:r w:rsidR="000D33EE">
              <w:rPr>
                <w:rFonts w:ascii="Arial Narrow" w:hAnsi="Arial Narrow"/>
                <w:sz w:val="20"/>
              </w:rPr>
            </w:r>
            <w:r w:rsidR="000D33EE">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Authority Required - Telephone</w:t>
            </w:r>
          </w:p>
          <w:p w:rsidR="00F20434" w:rsidRPr="00106BCF" w:rsidRDefault="00F20434" w:rsidP="001E08C1">
            <w:pPr>
              <w:widowControl/>
              <w:rPr>
                <w:rFonts w:ascii="Arial Narrow" w:hAnsi="Arial Narrow"/>
                <w:sz w:val="20"/>
              </w:rPr>
            </w:pPr>
            <w:r w:rsidRPr="00106BCF">
              <w:rPr>
                <w:rFonts w:ascii="Arial Narrow" w:hAnsi="Arial Narrow"/>
                <w:sz w:val="20"/>
              </w:rPr>
              <w:fldChar w:fldCharType="begin">
                <w:ffData>
                  <w:name w:val=""/>
                  <w:enabled/>
                  <w:calcOnExit w:val="0"/>
                  <w:checkBox>
                    <w:sizeAuto/>
                    <w:default w:val="0"/>
                  </w:checkBox>
                </w:ffData>
              </w:fldChar>
            </w:r>
            <w:r w:rsidRPr="00106BCF">
              <w:rPr>
                <w:rFonts w:ascii="Arial Narrow" w:hAnsi="Arial Narrow"/>
                <w:sz w:val="20"/>
              </w:rPr>
              <w:instrText xml:space="preserve"> FORMCHECKBOX </w:instrText>
            </w:r>
            <w:r w:rsidR="000D33EE">
              <w:rPr>
                <w:rFonts w:ascii="Arial Narrow" w:hAnsi="Arial Narrow"/>
                <w:sz w:val="20"/>
              </w:rPr>
            </w:r>
            <w:r w:rsidR="000D33EE">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 xml:space="preserve">Authority Required </w:t>
            </w:r>
            <w:r w:rsidRPr="004332FE">
              <w:rPr>
                <w:rFonts w:ascii="Arial Narrow" w:hAnsi="Arial Narrow"/>
                <w:sz w:val="20"/>
              </w:rPr>
              <w:t>-</w:t>
            </w:r>
            <w:r w:rsidRPr="00106BCF">
              <w:rPr>
                <w:rFonts w:ascii="Arial Narrow" w:hAnsi="Arial Narrow"/>
                <w:sz w:val="20"/>
              </w:rPr>
              <w:t xml:space="preserve"> Emergency</w:t>
            </w:r>
          </w:p>
          <w:p w:rsidR="00F20434" w:rsidRPr="00106BCF" w:rsidRDefault="00F20434" w:rsidP="001E08C1">
            <w:pPr>
              <w:widowControl/>
              <w:rPr>
                <w:rFonts w:ascii="Arial Narrow" w:hAnsi="Arial Narrow"/>
                <w:sz w:val="20"/>
              </w:rPr>
            </w:pPr>
            <w:r w:rsidRPr="00106BCF">
              <w:rPr>
                <w:rFonts w:ascii="Arial Narrow" w:hAnsi="Arial Narrow"/>
                <w:sz w:val="20"/>
              </w:rPr>
              <w:fldChar w:fldCharType="begin">
                <w:ffData>
                  <w:name w:val="Check5"/>
                  <w:enabled/>
                  <w:calcOnExit w:val="0"/>
                  <w:checkBox>
                    <w:sizeAuto/>
                    <w:default w:val="0"/>
                  </w:checkBox>
                </w:ffData>
              </w:fldChar>
            </w:r>
            <w:r w:rsidRPr="00106BCF">
              <w:rPr>
                <w:rFonts w:ascii="Arial Narrow" w:hAnsi="Arial Narrow"/>
                <w:sz w:val="20"/>
              </w:rPr>
              <w:instrText xml:space="preserve"> FORMCHECKBOX </w:instrText>
            </w:r>
            <w:r w:rsidR="000D33EE">
              <w:rPr>
                <w:rFonts w:ascii="Arial Narrow" w:hAnsi="Arial Narrow"/>
                <w:sz w:val="20"/>
              </w:rPr>
            </w:r>
            <w:r w:rsidR="000D33EE">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Authority Required - Electronic</w:t>
            </w:r>
          </w:p>
          <w:p w:rsidR="00F20434" w:rsidRPr="00260CE3" w:rsidRDefault="00F20434" w:rsidP="001E08C1">
            <w:pPr>
              <w:widowControl/>
              <w:rPr>
                <w:rFonts w:ascii="Arial Narrow" w:hAnsi="Arial Narrow"/>
                <w:sz w:val="20"/>
              </w:rPr>
            </w:pPr>
            <w:r w:rsidRPr="00106BCF">
              <w:rPr>
                <w:rFonts w:ascii="Arial Narrow" w:hAnsi="Arial Narrow"/>
                <w:sz w:val="20"/>
              </w:rPr>
              <w:lastRenderedPageBreak/>
              <w:fldChar w:fldCharType="begin">
                <w:ffData>
                  <w:name w:val="Check5"/>
                  <w:enabled/>
                  <w:calcOnExit w:val="0"/>
                  <w:checkBox>
                    <w:sizeAuto/>
                    <w:default w:val="0"/>
                  </w:checkBox>
                </w:ffData>
              </w:fldChar>
            </w:r>
            <w:r w:rsidRPr="00106BCF">
              <w:rPr>
                <w:rFonts w:ascii="Arial Narrow" w:hAnsi="Arial Narrow"/>
                <w:sz w:val="20"/>
              </w:rPr>
              <w:instrText xml:space="preserve"> FORMCHECKBOX </w:instrText>
            </w:r>
            <w:r w:rsidR="000D33EE">
              <w:rPr>
                <w:rFonts w:ascii="Arial Narrow" w:hAnsi="Arial Narrow"/>
                <w:sz w:val="20"/>
              </w:rPr>
            </w:r>
            <w:r w:rsidR="000D33EE">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Streamlined</w:t>
            </w:r>
          </w:p>
        </w:tc>
      </w:tr>
      <w:tr w:rsidR="00F20434" w:rsidRPr="00260CE3" w:rsidTr="00101B9F">
        <w:trPr>
          <w:trHeight w:val="360"/>
        </w:trPr>
        <w:tc>
          <w:tcPr>
            <w:tcW w:w="1843" w:type="dxa"/>
            <w:tcBorders>
              <w:top w:val="single" w:sz="4" w:space="0" w:color="auto"/>
              <w:left w:val="single" w:sz="4" w:space="0" w:color="auto"/>
              <w:bottom w:val="single" w:sz="4" w:space="0" w:color="auto"/>
              <w:right w:val="single" w:sz="4" w:space="0" w:color="auto"/>
            </w:tcBorders>
          </w:tcPr>
          <w:p w:rsidR="00F20434" w:rsidRPr="00260CE3" w:rsidRDefault="00F20434" w:rsidP="001E08C1">
            <w:pPr>
              <w:widowControl/>
              <w:rPr>
                <w:rFonts w:ascii="Arial Narrow" w:hAnsi="Arial Narrow"/>
                <w:b/>
                <w:sz w:val="20"/>
              </w:rPr>
            </w:pPr>
            <w:r w:rsidRPr="00260CE3">
              <w:rPr>
                <w:rFonts w:ascii="Arial Narrow" w:hAnsi="Arial Narrow"/>
                <w:b/>
                <w:sz w:val="20"/>
              </w:rPr>
              <w:lastRenderedPageBreak/>
              <w:t>Treatment criteria:</w:t>
            </w:r>
          </w:p>
          <w:p w:rsidR="00F20434" w:rsidRPr="00260CE3" w:rsidRDefault="00F20434" w:rsidP="001E08C1">
            <w:pPr>
              <w:widowControl/>
              <w:rPr>
                <w:rFonts w:ascii="Arial Narrow" w:hAnsi="Arial Narrow"/>
                <w:i/>
                <w:sz w:val="20"/>
              </w:rPr>
            </w:pPr>
          </w:p>
          <w:p w:rsidR="00F20434" w:rsidRPr="00260CE3" w:rsidRDefault="00F20434" w:rsidP="001E08C1">
            <w:pPr>
              <w:widowControl/>
              <w:rPr>
                <w:rFonts w:ascii="Arial Narrow" w:hAnsi="Arial Narrow"/>
                <w:sz w:val="20"/>
              </w:rPr>
            </w:pPr>
          </w:p>
        </w:tc>
        <w:tc>
          <w:tcPr>
            <w:tcW w:w="7291" w:type="dxa"/>
            <w:tcBorders>
              <w:top w:val="single" w:sz="4" w:space="0" w:color="auto"/>
              <w:left w:val="single" w:sz="4" w:space="0" w:color="auto"/>
              <w:bottom w:val="single" w:sz="4" w:space="0" w:color="auto"/>
              <w:right w:val="single" w:sz="4" w:space="0" w:color="auto"/>
            </w:tcBorders>
          </w:tcPr>
          <w:p w:rsidR="00F20434" w:rsidRPr="003311F6" w:rsidRDefault="00F20434" w:rsidP="001E08C1">
            <w:pPr>
              <w:widowControl/>
              <w:rPr>
                <w:rFonts w:ascii="Arial Narrow" w:hAnsi="Arial Narrow"/>
                <w:strike/>
                <w:sz w:val="20"/>
              </w:rPr>
            </w:pPr>
            <w:r w:rsidRPr="003311F6">
              <w:rPr>
                <w:rFonts w:ascii="Arial Narrow" w:hAnsi="Arial Narrow"/>
                <w:strike/>
                <w:sz w:val="20"/>
              </w:rPr>
              <w:t>Patient must be assessed through a cystic fibrosis clinic/centre which is under the control of specialist respiratory physicians with experience and expertise in the management of cystic fibrosis. If attendance at such a unit is not possible because of geographical isolation, management (including prescribing) may be in consultation with such a unit,</w:t>
            </w:r>
          </w:p>
          <w:p w:rsidR="00F20434" w:rsidRPr="003311F6" w:rsidRDefault="00F20434" w:rsidP="001E08C1">
            <w:pPr>
              <w:widowControl/>
              <w:rPr>
                <w:rFonts w:ascii="Arial Narrow" w:hAnsi="Arial Narrow"/>
                <w:strike/>
                <w:sz w:val="20"/>
              </w:rPr>
            </w:pPr>
            <w:r w:rsidRPr="003311F6">
              <w:rPr>
                <w:rFonts w:ascii="Arial Narrow" w:hAnsi="Arial Narrow"/>
                <w:strike/>
                <w:sz w:val="20"/>
              </w:rPr>
              <w:t xml:space="preserve">AND </w:t>
            </w:r>
          </w:p>
          <w:p w:rsidR="00F20434" w:rsidRPr="003311F6" w:rsidRDefault="00F20434" w:rsidP="001E08C1">
            <w:pPr>
              <w:widowControl/>
              <w:rPr>
                <w:rFonts w:ascii="Arial Narrow" w:hAnsi="Arial Narrow"/>
                <w:strike/>
                <w:sz w:val="20"/>
              </w:rPr>
            </w:pPr>
            <w:r w:rsidRPr="003311F6">
              <w:rPr>
                <w:rFonts w:ascii="Arial Narrow" w:hAnsi="Arial Narrow"/>
                <w:strike/>
                <w:sz w:val="20"/>
              </w:rPr>
              <w:t xml:space="preserve">Patient must be homozygous for the F508del mutation in the CFTR gene, </w:t>
            </w:r>
          </w:p>
          <w:p w:rsidR="00F20434" w:rsidRPr="003311F6" w:rsidRDefault="00F20434" w:rsidP="001E08C1">
            <w:pPr>
              <w:widowControl/>
              <w:rPr>
                <w:rFonts w:ascii="Arial Narrow" w:hAnsi="Arial Narrow"/>
                <w:strike/>
                <w:sz w:val="20"/>
              </w:rPr>
            </w:pPr>
            <w:r w:rsidRPr="003311F6">
              <w:rPr>
                <w:rFonts w:ascii="Arial Narrow" w:hAnsi="Arial Narrow"/>
                <w:strike/>
                <w:sz w:val="20"/>
              </w:rPr>
              <w:t xml:space="preserve">AND </w:t>
            </w:r>
          </w:p>
          <w:p w:rsidR="00F20434" w:rsidRPr="003311F6" w:rsidRDefault="00F20434" w:rsidP="001E08C1">
            <w:pPr>
              <w:widowControl/>
              <w:rPr>
                <w:rFonts w:ascii="Arial Narrow" w:hAnsi="Arial Narrow"/>
                <w:strike/>
                <w:sz w:val="20"/>
              </w:rPr>
            </w:pPr>
            <w:r w:rsidRPr="003311F6">
              <w:rPr>
                <w:rFonts w:ascii="Arial Narrow" w:hAnsi="Arial Narrow"/>
                <w:strike/>
                <w:sz w:val="20"/>
              </w:rPr>
              <w:t>The treatment must be given concomitantly with standard therapy for this condition.</w:t>
            </w:r>
          </w:p>
          <w:p w:rsidR="00F20434" w:rsidRDefault="00F20434" w:rsidP="001E08C1">
            <w:pPr>
              <w:widowControl/>
              <w:rPr>
                <w:rFonts w:ascii="Arial Narrow" w:hAnsi="Arial Narrow"/>
                <w:i/>
                <w:sz w:val="20"/>
              </w:rPr>
            </w:pPr>
            <w:r>
              <w:rPr>
                <w:rFonts w:ascii="Arial Narrow" w:hAnsi="Arial Narrow"/>
                <w:i/>
                <w:sz w:val="20"/>
              </w:rPr>
              <w:t>Must be treated by a specialist respiratory physician with expertise in cystic fibrosis, OR</w:t>
            </w:r>
          </w:p>
          <w:p w:rsidR="00F20434" w:rsidRDefault="00F20434" w:rsidP="001E08C1">
            <w:pPr>
              <w:widowControl/>
              <w:rPr>
                <w:rFonts w:ascii="Arial Narrow" w:hAnsi="Arial Narrow"/>
                <w:i/>
                <w:sz w:val="20"/>
              </w:rPr>
            </w:pPr>
            <w:r>
              <w:rPr>
                <w:rFonts w:ascii="Arial Narrow" w:hAnsi="Arial Narrow"/>
                <w:i/>
                <w:sz w:val="20"/>
              </w:rPr>
              <w:t>Must be treated in consultation with a specialist respiratory physician with expertise in cystic fibrosis if attendance is not possible due to geographic isolation;</w:t>
            </w:r>
          </w:p>
          <w:p w:rsidR="00F20434" w:rsidRDefault="00F20434" w:rsidP="001E08C1">
            <w:pPr>
              <w:widowControl/>
              <w:rPr>
                <w:rFonts w:ascii="Arial Narrow" w:hAnsi="Arial Narrow"/>
                <w:i/>
                <w:sz w:val="20"/>
              </w:rPr>
            </w:pPr>
            <w:r>
              <w:rPr>
                <w:rFonts w:ascii="Arial Narrow" w:hAnsi="Arial Narrow"/>
                <w:i/>
                <w:sz w:val="20"/>
              </w:rPr>
              <w:t>AND</w:t>
            </w:r>
          </w:p>
          <w:p w:rsidR="00F20434" w:rsidRDefault="00F20434" w:rsidP="001E08C1">
            <w:pPr>
              <w:widowControl/>
              <w:rPr>
                <w:rFonts w:ascii="Arial Narrow" w:hAnsi="Arial Narrow"/>
                <w:i/>
                <w:sz w:val="20"/>
              </w:rPr>
            </w:pPr>
            <w:r>
              <w:rPr>
                <w:rFonts w:ascii="Arial Narrow" w:hAnsi="Arial Narrow"/>
                <w:i/>
                <w:sz w:val="20"/>
              </w:rPr>
              <w:t>Must be treated in a centre with expertise in cystic fibrosis, OR</w:t>
            </w:r>
          </w:p>
          <w:p w:rsidR="00F20434" w:rsidRPr="00260CE3" w:rsidRDefault="00F20434" w:rsidP="001E08C1">
            <w:pPr>
              <w:widowControl/>
              <w:rPr>
                <w:rFonts w:ascii="Arial Narrow" w:hAnsi="Arial Narrow"/>
                <w:sz w:val="20"/>
              </w:rPr>
            </w:pPr>
            <w:r>
              <w:rPr>
                <w:rFonts w:ascii="Arial Narrow" w:hAnsi="Arial Narrow"/>
                <w:i/>
                <w:sz w:val="20"/>
              </w:rPr>
              <w:t>Must be treated in consultation with a centre with expertise in cystic fibrosis if attendance is not possible due to geographic isolation.</w:t>
            </w:r>
          </w:p>
        </w:tc>
      </w:tr>
      <w:tr w:rsidR="00F20434" w:rsidRPr="00260CE3" w:rsidTr="00101B9F">
        <w:trPr>
          <w:trHeight w:val="360"/>
        </w:trPr>
        <w:tc>
          <w:tcPr>
            <w:tcW w:w="1843" w:type="dxa"/>
            <w:tcBorders>
              <w:top w:val="single" w:sz="4" w:space="0" w:color="auto"/>
              <w:left w:val="single" w:sz="4" w:space="0" w:color="auto"/>
              <w:bottom w:val="single" w:sz="4" w:space="0" w:color="auto"/>
              <w:right w:val="single" w:sz="4" w:space="0" w:color="auto"/>
            </w:tcBorders>
          </w:tcPr>
          <w:p w:rsidR="00F20434" w:rsidRPr="00260CE3" w:rsidRDefault="00F20434" w:rsidP="001E08C1">
            <w:pPr>
              <w:widowControl/>
              <w:rPr>
                <w:rFonts w:ascii="Arial Narrow" w:hAnsi="Arial Narrow"/>
                <w:b/>
                <w:sz w:val="20"/>
              </w:rPr>
            </w:pPr>
            <w:r w:rsidRPr="00260CE3">
              <w:rPr>
                <w:rFonts w:ascii="Arial Narrow" w:hAnsi="Arial Narrow"/>
                <w:b/>
                <w:sz w:val="20"/>
              </w:rPr>
              <w:t>Clinical criteria:</w:t>
            </w:r>
          </w:p>
          <w:p w:rsidR="00F20434" w:rsidRPr="00260CE3" w:rsidRDefault="00F20434" w:rsidP="001E08C1">
            <w:pPr>
              <w:widowControl/>
              <w:rPr>
                <w:rFonts w:ascii="Arial Narrow" w:hAnsi="Arial Narrow"/>
                <w:i/>
                <w:sz w:val="20"/>
              </w:rPr>
            </w:pPr>
          </w:p>
          <w:p w:rsidR="00F20434" w:rsidRPr="00260CE3" w:rsidRDefault="00F20434" w:rsidP="001E08C1">
            <w:pPr>
              <w:widowControl/>
              <w:rPr>
                <w:rFonts w:ascii="Arial Narrow" w:hAnsi="Arial Narrow"/>
                <w:sz w:val="20"/>
              </w:rPr>
            </w:pPr>
          </w:p>
        </w:tc>
        <w:tc>
          <w:tcPr>
            <w:tcW w:w="7291" w:type="dxa"/>
            <w:tcBorders>
              <w:top w:val="single" w:sz="4" w:space="0" w:color="auto"/>
              <w:left w:val="single" w:sz="4" w:space="0" w:color="auto"/>
              <w:bottom w:val="single" w:sz="4" w:space="0" w:color="auto"/>
              <w:right w:val="single" w:sz="4" w:space="0" w:color="auto"/>
            </w:tcBorders>
          </w:tcPr>
          <w:p w:rsidR="00F20434" w:rsidRPr="007A0895" w:rsidRDefault="00F20434" w:rsidP="001E08C1">
            <w:pPr>
              <w:widowControl/>
              <w:rPr>
                <w:rFonts w:ascii="Arial Narrow" w:hAnsi="Arial Narrow"/>
                <w:i/>
                <w:strike/>
                <w:sz w:val="20"/>
              </w:rPr>
            </w:pPr>
            <w:r w:rsidRPr="007A0895">
              <w:rPr>
                <w:rFonts w:ascii="Arial Narrow" w:hAnsi="Arial Narrow"/>
                <w:strike/>
                <w:sz w:val="20"/>
              </w:rPr>
              <w:t xml:space="preserve">Treatment of cystic fibrosis in patients age 12 years and older who are homozygous for the </w:t>
            </w:r>
            <w:r w:rsidRPr="007A0895">
              <w:rPr>
                <w:rFonts w:ascii="Arial Narrow" w:hAnsi="Arial Narrow"/>
                <w:i/>
                <w:strike/>
                <w:sz w:val="20"/>
              </w:rPr>
              <w:t>F508del</w:t>
            </w:r>
            <w:r w:rsidRPr="007A0895">
              <w:rPr>
                <w:rFonts w:ascii="Arial Narrow" w:hAnsi="Arial Narrow"/>
                <w:strike/>
                <w:sz w:val="20"/>
              </w:rPr>
              <w:t xml:space="preserve"> mutation in the CFTR gene.</w:t>
            </w:r>
          </w:p>
          <w:p w:rsidR="00F20434" w:rsidRPr="003311F6" w:rsidRDefault="00F20434" w:rsidP="001E08C1">
            <w:pPr>
              <w:widowControl/>
              <w:rPr>
                <w:rFonts w:ascii="Arial Narrow" w:hAnsi="Arial Narrow"/>
                <w:i/>
                <w:sz w:val="20"/>
              </w:rPr>
            </w:pPr>
            <w:r w:rsidRPr="003311F6">
              <w:rPr>
                <w:rFonts w:ascii="Arial Narrow" w:hAnsi="Arial Narrow"/>
                <w:i/>
                <w:sz w:val="20"/>
              </w:rPr>
              <w:t>Patient must be homozygous for the F508del mutation in the cystic fibrosis transmembrane con</w:t>
            </w:r>
            <w:r>
              <w:rPr>
                <w:rFonts w:ascii="Arial Narrow" w:hAnsi="Arial Narrow"/>
                <w:i/>
                <w:sz w:val="20"/>
              </w:rPr>
              <w:t>ductance regulator (CFTR) gene;</w:t>
            </w:r>
          </w:p>
          <w:p w:rsidR="00F20434" w:rsidRPr="003311F6" w:rsidRDefault="00F20434" w:rsidP="001E08C1">
            <w:pPr>
              <w:widowControl/>
              <w:rPr>
                <w:rFonts w:ascii="Arial Narrow" w:hAnsi="Arial Narrow"/>
                <w:i/>
                <w:sz w:val="20"/>
              </w:rPr>
            </w:pPr>
            <w:r w:rsidRPr="003311F6">
              <w:rPr>
                <w:rFonts w:ascii="Arial Narrow" w:hAnsi="Arial Narrow"/>
                <w:i/>
                <w:sz w:val="20"/>
              </w:rPr>
              <w:t xml:space="preserve">AND </w:t>
            </w:r>
          </w:p>
          <w:p w:rsidR="00F20434" w:rsidRDefault="00F20434" w:rsidP="001E08C1">
            <w:pPr>
              <w:widowControl/>
              <w:rPr>
                <w:rFonts w:ascii="Arial Narrow" w:hAnsi="Arial Narrow"/>
                <w:i/>
                <w:sz w:val="20"/>
              </w:rPr>
            </w:pPr>
            <w:r w:rsidRPr="003311F6">
              <w:rPr>
                <w:rFonts w:ascii="Arial Narrow" w:hAnsi="Arial Narrow"/>
                <w:i/>
                <w:sz w:val="20"/>
              </w:rPr>
              <w:t>Patient must have a sweat chloride value of greater than or equal to 60 mmol/L</w:t>
            </w:r>
            <w:r>
              <w:rPr>
                <w:rFonts w:ascii="Arial Narrow" w:hAnsi="Arial Narrow"/>
                <w:i/>
                <w:sz w:val="20"/>
              </w:rPr>
              <w:t>;</w:t>
            </w:r>
          </w:p>
          <w:p w:rsidR="00F20434" w:rsidRPr="003311F6" w:rsidRDefault="00F20434" w:rsidP="001E08C1">
            <w:pPr>
              <w:widowControl/>
              <w:rPr>
                <w:rFonts w:ascii="Arial Narrow" w:hAnsi="Arial Narrow"/>
                <w:i/>
                <w:sz w:val="20"/>
              </w:rPr>
            </w:pPr>
            <w:r w:rsidRPr="003311F6">
              <w:rPr>
                <w:rFonts w:ascii="Arial Narrow" w:hAnsi="Arial Narrow"/>
                <w:i/>
                <w:sz w:val="20"/>
              </w:rPr>
              <w:t>AND</w:t>
            </w:r>
          </w:p>
          <w:p w:rsidR="00F20434" w:rsidRPr="003311F6" w:rsidRDefault="00F20434" w:rsidP="001E08C1">
            <w:pPr>
              <w:widowControl/>
              <w:rPr>
                <w:rFonts w:ascii="Arial Narrow" w:hAnsi="Arial Narrow"/>
                <w:i/>
                <w:sz w:val="20"/>
              </w:rPr>
            </w:pPr>
            <w:r w:rsidRPr="003311F6">
              <w:rPr>
                <w:rFonts w:ascii="Arial Narrow" w:hAnsi="Arial Narrow"/>
                <w:i/>
                <w:sz w:val="20"/>
              </w:rPr>
              <w:t xml:space="preserve">Patient must have a </w:t>
            </w:r>
            <w:r w:rsidRPr="00DE2C22">
              <w:rPr>
                <w:rFonts w:ascii="Arial Narrow" w:hAnsi="Arial Narrow"/>
                <w:i/>
                <w:sz w:val="20"/>
                <w:szCs w:val="24"/>
              </w:rPr>
              <w:t>FEV</w:t>
            </w:r>
            <w:r w:rsidRPr="00DE2C22">
              <w:rPr>
                <w:rFonts w:ascii="Arial Narrow" w:hAnsi="Arial Narrow"/>
                <w:i/>
                <w:sz w:val="20"/>
                <w:szCs w:val="24"/>
                <w:vertAlign w:val="subscript"/>
              </w:rPr>
              <w:t>1</w:t>
            </w:r>
            <w:r w:rsidRPr="00DE2C22">
              <w:rPr>
                <w:rFonts w:ascii="Arial Narrow" w:hAnsi="Arial Narrow"/>
                <w:i/>
                <w:sz w:val="18"/>
              </w:rPr>
              <w:t xml:space="preserve"> </w:t>
            </w:r>
            <w:r w:rsidRPr="003311F6">
              <w:rPr>
                <w:rFonts w:ascii="Arial Narrow" w:hAnsi="Arial Narrow"/>
                <w:i/>
                <w:sz w:val="20"/>
              </w:rPr>
              <w:t xml:space="preserve">of  ≥40% of predicted </w:t>
            </w:r>
            <w:r>
              <w:rPr>
                <w:rFonts w:ascii="Arial Narrow" w:hAnsi="Arial Narrow"/>
                <w:i/>
                <w:sz w:val="20"/>
              </w:rPr>
              <w:t>normal for age, sex, and height;</w:t>
            </w:r>
          </w:p>
          <w:p w:rsidR="00F20434" w:rsidRPr="003311F6" w:rsidRDefault="00F20434" w:rsidP="001E08C1">
            <w:pPr>
              <w:widowControl/>
              <w:rPr>
                <w:rFonts w:ascii="Arial Narrow" w:hAnsi="Arial Narrow"/>
                <w:i/>
                <w:sz w:val="20"/>
              </w:rPr>
            </w:pPr>
            <w:r w:rsidRPr="003311F6">
              <w:rPr>
                <w:rFonts w:ascii="Arial Narrow" w:hAnsi="Arial Narrow"/>
                <w:i/>
                <w:sz w:val="20"/>
              </w:rPr>
              <w:t>AND</w:t>
            </w:r>
          </w:p>
          <w:p w:rsidR="00F20434" w:rsidRPr="003311F6" w:rsidRDefault="00F20434" w:rsidP="001E08C1">
            <w:pPr>
              <w:widowControl/>
              <w:rPr>
                <w:rFonts w:ascii="Arial Narrow" w:hAnsi="Arial Narrow"/>
                <w:i/>
                <w:sz w:val="20"/>
              </w:rPr>
            </w:pPr>
            <w:r w:rsidRPr="003311F6">
              <w:rPr>
                <w:rFonts w:ascii="Arial Narrow" w:hAnsi="Arial Narrow"/>
                <w:i/>
                <w:sz w:val="20"/>
              </w:rPr>
              <w:t>Patient must have experienced chronic sinopulmonary disease</w:t>
            </w:r>
            <w:r>
              <w:rPr>
                <w:rFonts w:ascii="Arial Narrow" w:hAnsi="Arial Narrow"/>
                <w:i/>
                <w:sz w:val="20"/>
              </w:rPr>
              <w:t>,</w:t>
            </w:r>
            <w:r w:rsidRPr="003311F6">
              <w:rPr>
                <w:rFonts w:ascii="Arial Narrow" w:hAnsi="Arial Narrow"/>
                <w:i/>
                <w:sz w:val="20"/>
              </w:rPr>
              <w:t xml:space="preserve"> OR</w:t>
            </w:r>
          </w:p>
          <w:p w:rsidR="00F20434" w:rsidRPr="003311F6" w:rsidRDefault="00F20434" w:rsidP="001E08C1">
            <w:pPr>
              <w:widowControl/>
              <w:rPr>
                <w:rFonts w:ascii="Arial Narrow" w:hAnsi="Arial Narrow"/>
                <w:i/>
                <w:sz w:val="20"/>
              </w:rPr>
            </w:pPr>
            <w:r w:rsidRPr="003311F6">
              <w:rPr>
                <w:rFonts w:ascii="Arial Narrow" w:hAnsi="Arial Narrow"/>
                <w:i/>
                <w:sz w:val="20"/>
              </w:rPr>
              <w:t>Patient must have experienced gastrointestinal abnormalities</w:t>
            </w:r>
            <w:r>
              <w:rPr>
                <w:rFonts w:ascii="Arial Narrow" w:hAnsi="Arial Narrow"/>
                <w:i/>
                <w:sz w:val="20"/>
              </w:rPr>
              <w:t>,</w:t>
            </w:r>
            <w:r w:rsidRPr="003311F6">
              <w:rPr>
                <w:rFonts w:ascii="Arial Narrow" w:hAnsi="Arial Narrow"/>
                <w:i/>
                <w:sz w:val="20"/>
              </w:rPr>
              <w:t xml:space="preserve"> OR</w:t>
            </w:r>
          </w:p>
          <w:p w:rsidR="00F20434" w:rsidRPr="003311F6" w:rsidRDefault="00F20434" w:rsidP="001E08C1">
            <w:pPr>
              <w:widowControl/>
              <w:rPr>
                <w:rFonts w:ascii="Arial Narrow" w:hAnsi="Arial Narrow"/>
                <w:i/>
                <w:sz w:val="20"/>
              </w:rPr>
            </w:pPr>
            <w:r w:rsidRPr="003311F6">
              <w:rPr>
                <w:rFonts w:ascii="Arial Narrow" w:hAnsi="Arial Narrow"/>
                <w:i/>
                <w:sz w:val="20"/>
              </w:rPr>
              <w:t>Patient must have experienced nutritional abnormalities</w:t>
            </w:r>
            <w:r>
              <w:rPr>
                <w:rFonts w:ascii="Arial Narrow" w:hAnsi="Arial Narrow"/>
                <w:i/>
                <w:sz w:val="20"/>
              </w:rPr>
              <w:t>;</w:t>
            </w:r>
          </w:p>
          <w:p w:rsidR="00F20434" w:rsidRPr="003311F6" w:rsidRDefault="00F20434" w:rsidP="001E08C1">
            <w:pPr>
              <w:widowControl/>
              <w:rPr>
                <w:rFonts w:ascii="Arial Narrow" w:hAnsi="Arial Narrow"/>
                <w:i/>
                <w:sz w:val="20"/>
              </w:rPr>
            </w:pPr>
            <w:r w:rsidRPr="003311F6">
              <w:rPr>
                <w:rFonts w:ascii="Arial Narrow" w:hAnsi="Arial Narrow"/>
                <w:i/>
                <w:sz w:val="20"/>
              </w:rPr>
              <w:t>AND</w:t>
            </w:r>
          </w:p>
          <w:p w:rsidR="00F20434" w:rsidRPr="00260CE3" w:rsidRDefault="00F20434" w:rsidP="001E08C1">
            <w:pPr>
              <w:widowControl/>
              <w:rPr>
                <w:rFonts w:ascii="Arial Narrow" w:hAnsi="Arial Narrow"/>
                <w:sz w:val="20"/>
              </w:rPr>
            </w:pPr>
            <w:r w:rsidRPr="003311F6">
              <w:rPr>
                <w:rFonts w:ascii="Arial Narrow" w:hAnsi="Arial Narrow"/>
                <w:i/>
                <w:sz w:val="20"/>
              </w:rPr>
              <w:t>The treatment must be given concomitantly with standard therapy for this condition.</w:t>
            </w:r>
          </w:p>
        </w:tc>
      </w:tr>
      <w:tr w:rsidR="00F20434" w:rsidRPr="00260CE3" w:rsidTr="00101B9F">
        <w:trPr>
          <w:trHeight w:val="360"/>
        </w:trPr>
        <w:tc>
          <w:tcPr>
            <w:tcW w:w="1843" w:type="dxa"/>
            <w:tcBorders>
              <w:top w:val="single" w:sz="4" w:space="0" w:color="auto"/>
              <w:left w:val="single" w:sz="4" w:space="0" w:color="auto"/>
              <w:bottom w:val="single" w:sz="4" w:space="0" w:color="auto"/>
              <w:right w:val="single" w:sz="4" w:space="0" w:color="auto"/>
            </w:tcBorders>
          </w:tcPr>
          <w:p w:rsidR="00F20434" w:rsidRPr="003311F6" w:rsidRDefault="00F20434" w:rsidP="001E08C1">
            <w:pPr>
              <w:widowControl/>
              <w:rPr>
                <w:rFonts w:ascii="Arial Narrow" w:hAnsi="Arial Narrow"/>
                <w:b/>
                <w:sz w:val="20"/>
              </w:rPr>
            </w:pPr>
            <w:r w:rsidRPr="00260CE3">
              <w:rPr>
                <w:rFonts w:ascii="Arial Narrow" w:hAnsi="Arial Narrow"/>
                <w:b/>
                <w:sz w:val="20"/>
              </w:rPr>
              <w:t>Population criteria:</w:t>
            </w:r>
          </w:p>
        </w:tc>
        <w:tc>
          <w:tcPr>
            <w:tcW w:w="7291" w:type="dxa"/>
            <w:tcBorders>
              <w:top w:val="single" w:sz="4" w:space="0" w:color="auto"/>
              <w:left w:val="single" w:sz="4" w:space="0" w:color="auto"/>
              <w:bottom w:val="single" w:sz="4" w:space="0" w:color="auto"/>
              <w:right w:val="single" w:sz="4" w:space="0" w:color="auto"/>
            </w:tcBorders>
          </w:tcPr>
          <w:p w:rsidR="00F20434" w:rsidRPr="00260CE3" w:rsidRDefault="00F20434" w:rsidP="001E08C1">
            <w:pPr>
              <w:widowControl/>
              <w:rPr>
                <w:rFonts w:ascii="Arial Narrow" w:hAnsi="Arial Narrow"/>
                <w:sz w:val="20"/>
              </w:rPr>
            </w:pPr>
            <w:r w:rsidRPr="003311F6">
              <w:rPr>
                <w:rFonts w:ascii="Arial Narrow" w:hAnsi="Arial Narrow"/>
                <w:sz w:val="20"/>
              </w:rPr>
              <w:t>Patient must be 12 years of age or older.</w:t>
            </w:r>
          </w:p>
        </w:tc>
      </w:tr>
      <w:tr w:rsidR="00F20434" w:rsidRPr="00260CE3" w:rsidTr="00101B9F">
        <w:trPr>
          <w:trHeight w:val="360"/>
        </w:trPr>
        <w:tc>
          <w:tcPr>
            <w:tcW w:w="1843" w:type="dxa"/>
            <w:tcBorders>
              <w:top w:val="single" w:sz="4" w:space="0" w:color="auto"/>
              <w:left w:val="single" w:sz="4" w:space="0" w:color="auto"/>
              <w:bottom w:val="single" w:sz="4" w:space="0" w:color="auto"/>
              <w:right w:val="single" w:sz="4" w:space="0" w:color="auto"/>
            </w:tcBorders>
          </w:tcPr>
          <w:p w:rsidR="00F20434" w:rsidRPr="00260CE3" w:rsidRDefault="00F20434" w:rsidP="001E08C1">
            <w:pPr>
              <w:widowControl/>
              <w:rPr>
                <w:rFonts w:ascii="Arial Narrow" w:hAnsi="Arial Narrow"/>
                <w:b/>
                <w:sz w:val="20"/>
              </w:rPr>
            </w:pPr>
            <w:r w:rsidRPr="00260CE3">
              <w:rPr>
                <w:rFonts w:ascii="Arial Narrow" w:hAnsi="Arial Narrow"/>
                <w:b/>
                <w:sz w:val="20"/>
              </w:rPr>
              <w:t>Prescriber Instructions</w:t>
            </w:r>
          </w:p>
          <w:p w:rsidR="00F20434" w:rsidRPr="00260CE3" w:rsidRDefault="00F20434" w:rsidP="001E08C1">
            <w:pPr>
              <w:widowControl/>
              <w:rPr>
                <w:rFonts w:ascii="Arial Narrow" w:hAnsi="Arial Narrow"/>
                <w:sz w:val="20"/>
              </w:rPr>
            </w:pPr>
          </w:p>
        </w:tc>
        <w:tc>
          <w:tcPr>
            <w:tcW w:w="7291" w:type="dxa"/>
            <w:tcBorders>
              <w:top w:val="single" w:sz="4" w:space="0" w:color="auto"/>
              <w:left w:val="single" w:sz="4" w:space="0" w:color="auto"/>
              <w:bottom w:val="single" w:sz="4" w:space="0" w:color="auto"/>
              <w:right w:val="single" w:sz="4" w:space="0" w:color="auto"/>
            </w:tcBorders>
          </w:tcPr>
          <w:p w:rsidR="00F20434" w:rsidRPr="003311F6" w:rsidRDefault="00F20434" w:rsidP="001E08C1">
            <w:pPr>
              <w:widowControl/>
              <w:rPr>
                <w:rFonts w:ascii="Arial Narrow" w:hAnsi="Arial Narrow"/>
                <w:strike/>
                <w:sz w:val="20"/>
              </w:rPr>
            </w:pPr>
            <w:r w:rsidRPr="003311F6">
              <w:rPr>
                <w:rFonts w:ascii="Arial Narrow" w:hAnsi="Arial Narrow"/>
                <w:strike/>
                <w:sz w:val="20"/>
              </w:rPr>
              <w:t>The authority application must be in writing and must include:</w:t>
            </w:r>
          </w:p>
          <w:p w:rsidR="00F20434" w:rsidRPr="003311F6" w:rsidRDefault="00F20434" w:rsidP="001E08C1">
            <w:pPr>
              <w:widowControl/>
              <w:rPr>
                <w:rFonts w:ascii="Arial Narrow" w:hAnsi="Arial Narrow"/>
                <w:strike/>
                <w:sz w:val="20"/>
              </w:rPr>
            </w:pPr>
            <w:r w:rsidRPr="003311F6">
              <w:rPr>
                <w:rFonts w:ascii="Arial Narrow" w:hAnsi="Arial Narrow"/>
                <w:strike/>
                <w:sz w:val="20"/>
              </w:rPr>
              <w:t>(1) a completed authority prescription form; and</w:t>
            </w:r>
          </w:p>
          <w:p w:rsidR="00F20434" w:rsidRPr="003311F6" w:rsidRDefault="00F20434" w:rsidP="001E08C1">
            <w:pPr>
              <w:widowControl/>
              <w:rPr>
                <w:rFonts w:ascii="Arial Narrow" w:hAnsi="Arial Narrow"/>
                <w:strike/>
                <w:sz w:val="20"/>
              </w:rPr>
            </w:pPr>
            <w:r w:rsidRPr="003311F6">
              <w:rPr>
                <w:rFonts w:ascii="Arial Narrow" w:hAnsi="Arial Narrow"/>
                <w:strike/>
                <w:sz w:val="20"/>
              </w:rPr>
              <w:t>(2) a completed Cystic Fibrosis Lumacaftor with Ivacaftor Authority Application Supporting Information Form; and</w:t>
            </w:r>
          </w:p>
          <w:p w:rsidR="00F20434" w:rsidRPr="003311F6" w:rsidRDefault="00F20434" w:rsidP="001E08C1">
            <w:pPr>
              <w:widowControl/>
              <w:rPr>
                <w:rFonts w:ascii="Arial Narrow" w:hAnsi="Arial Narrow"/>
                <w:strike/>
                <w:sz w:val="20"/>
              </w:rPr>
            </w:pPr>
            <w:r w:rsidRPr="003311F6">
              <w:rPr>
                <w:rFonts w:ascii="Arial Narrow" w:hAnsi="Arial Narrow"/>
                <w:strike/>
                <w:sz w:val="20"/>
              </w:rPr>
              <w:t>(3) a signed patient acknowledgement; or an acknowledgement signed by a parent or authorised guardian, if applicable; and</w:t>
            </w:r>
          </w:p>
          <w:p w:rsidR="00F20434" w:rsidRPr="003311F6" w:rsidRDefault="00F20434" w:rsidP="001E08C1">
            <w:pPr>
              <w:widowControl/>
              <w:rPr>
                <w:rFonts w:ascii="Arial Narrow" w:hAnsi="Arial Narrow"/>
                <w:strike/>
                <w:sz w:val="20"/>
              </w:rPr>
            </w:pPr>
            <w:r w:rsidRPr="003311F6">
              <w:rPr>
                <w:rFonts w:ascii="Arial Narrow" w:hAnsi="Arial Narrow"/>
                <w:strike/>
                <w:sz w:val="20"/>
              </w:rPr>
              <w:t>(4) a copy of the pathology report detailing the molecular testing for the patient being homozygous for the F508del mutation on the CFTR gene.</w:t>
            </w:r>
          </w:p>
          <w:p w:rsidR="00F20434" w:rsidRDefault="00F20434" w:rsidP="001E08C1">
            <w:pPr>
              <w:widowControl/>
              <w:rPr>
                <w:rFonts w:ascii="Arial Narrow" w:hAnsi="Arial Narrow"/>
                <w:sz w:val="20"/>
              </w:rPr>
            </w:pPr>
          </w:p>
          <w:p w:rsidR="00101B9F" w:rsidRDefault="00F20434" w:rsidP="001E08C1">
            <w:pPr>
              <w:widowControl/>
              <w:rPr>
                <w:rFonts w:ascii="Arial Narrow" w:hAnsi="Arial Narrow"/>
                <w:i/>
                <w:sz w:val="20"/>
              </w:rPr>
            </w:pPr>
            <w:r w:rsidRPr="00E20CF1">
              <w:rPr>
                <w:rFonts w:ascii="Arial Narrow" w:hAnsi="Arial Narrow"/>
                <w:i/>
                <w:sz w:val="20"/>
              </w:rPr>
              <w:t xml:space="preserve">Patients receiving PBS-subsidised treatment with this drug must be registered in the Australian Cystic Fibrosis Database Registry. </w:t>
            </w:r>
          </w:p>
          <w:p w:rsidR="00101B9F" w:rsidRDefault="00101B9F" w:rsidP="001E08C1">
            <w:pPr>
              <w:widowControl/>
              <w:rPr>
                <w:rFonts w:ascii="Arial Narrow" w:hAnsi="Arial Narrow"/>
                <w:i/>
                <w:sz w:val="20"/>
              </w:rPr>
            </w:pPr>
          </w:p>
          <w:p w:rsidR="00F20434" w:rsidRPr="00E20CF1" w:rsidRDefault="00F20434" w:rsidP="001E08C1">
            <w:pPr>
              <w:widowControl/>
              <w:rPr>
                <w:rFonts w:ascii="Arial Narrow" w:hAnsi="Arial Narrow"/>
                <w:i/>
                <w:sz w:val="20"/>
              </w:rPr>
            </w:pPr>
            <w:r w:rsidRPr="00E20CF1">
              <w:rPr>
                <w:rFonts w:ascii="Arial Narrow" w:hAnsi="Arial Narrow"/>
                <w:i/>
                <w:sz w:val="20"/>
              </w:rPr>
              <w:t>Treatment must not be given to a patient who has an acute upper or lower respiratory infection, pulmonary exacerbation, or changes in therapy (including antibiotics) for pulmonary disease in the last 4 weeks prior to commencing this drug.</w:t>
            </w:r>
          </w:p>
          <w:p w:rsidR="00F20434" w:rsidRDefault="00F20434" w:rsidP="001E08C1">
            <w:pPr>
              <w:widowControl/>
              <w:rPr>
                <w:rFonts w:ascii="Arial Narrow" w:hAnsi="Arial Narrow"/>
                <w:sz w:val="20"/>
              </w:rPr>
            </w:pPr>
          </w:p>
          <w:p w:rsidR="00F20434" w:rsidRPr="00E47C77" w:rsidRDefault="00F20434" w:rsidP="001E08C1">
            <w:pPr>
              <w:widowControl/>
              <w:rPr>
                <w:rFonts w:ascii="Arial Narrow" w:hAnsi="Arial Narrow"/>
                <w:sz w:val="20"/>
              </w:rPr>
            </w:pPr>
            <w:r w:rsidRPr="00E47C77">
              <w:rPr>
                <w:rFonts w:ascii="Arial Narrow" w:hAnsi="Arial Narrow"/>
                <w:sz w:val="20"/>
              </w:rPr>
              <w:t>The authority application must be in writing and must include:</w:t>
            </w:r>
          </w:p>
          <w:p w:rsidR="00F20434" w:rsidRPr="00E47C77" w:rsidRDefault="00F20434" w:rsidP="001E08C1">
            <w:pPr>
              <w:widowControl/>
              <w:rPr>
                <w:rFonts w:ascii="Arial Narrow" w:hAnsi="Arial Narrow"/>
                <w:sz w:val="20"/>
              </w:rPr>
            </w:pPr>
            <w:r w:rsidRPr="00E47C77">
              <w:rPr>
                <w:rFonts w:ascii="Arial Narrow" w:hAnsi="Arial Narrow"/>
                <w:sz w:val="20"/>
              </w:rPr>
              <w:t>(1) a completed authority prescription form; and</w:t>
            </w:r>
          </w:p>
          <w:p w:rsidR="00F20434" w:rsidRPr="00E47C77" w:rsidRDefault="00F20434" w:rsidP="001E08C1">
            <w:pPr>
              <w:widowControl/>
              <w:rPr>
                <w:rFonts w:ascii="Arial Narrow" w:hAnsi="Arial Narrow"/>
                <w:sz w:val="20"/>
              </w:rPr>
            </w:pPr>
            <w:r w:rsidRPr="00E47C77">
              <w:rPr>
                <w:rFonts w:ascii="Arial Narrow" w:hAnsi="Arial Narrow"/>
                <w:sz w:val="20"/>
              </w:rPr>
              <w:t>(2) a completed Cystic Fibrosis Lumacaftor with Ivacaftor Authority Application Supporting Information Form; and</w:t>
            </w:r>
          </w:p>
          <w:p w:rsidR="00F20434" w:rsidRPr="00E47C77" w:rsidRDefault="00F20434" w:rsidP="001E08C1">
            <w:pPr>
              <w:widowControl/>
              <w:rPr>
                <w:rFonts w:ascii="Arial Narrow" w:hAnsi="Arial Narrow"/>
                <w:sz w:val="20"/>
              </w:rPr>
            </w:pPr>
            <w:r w:rsidRPr="00E47C77">
              <w:rPr>
                <w:rFonts w:ascii="Arial Narrow" w:hAnsi="Arial Narrow"/>
                <w:sz w:val="20"/>
              </w:rPr>
              <w:t>(3) a signed patient acknowledgement; or an acknowledgement signed by a parent or authorised guardian, if applicable; and</w:t>
            </w:r>
          </w:p>
          <w:p w:rsidR="00F20434" w:rsidRPr="003311F6" w:rsidRDefault="00F20434" w:rsidP="001E08C1">
            <w:pPr>
              <w:widowControl/>
              <w:rPr>
                <w:rFonts w:ascii="Arial Narrow" w:hAnsi="Arial Narrow"/>
                <w:i/>
                <w:sz w:val="20"/>
              </w:rPr>
            </w:pPr>
            <w:r w:rsidRPr="00E47C77">
              <w:rPr>
                <w:rFonts w:ascii="Arial Narrow" w:hAnsi="Arial Narrow"/>
                <w:sz w:val="20"/>
              </w:rPr>
              <w:t xml:space="preserve">(4) a copy of the pathology report detailing the molecular testing for the patient being </w:t>
            </w:r>
            <w:r w:rsidRPr="00E47C77">
              <w:rPr>
                <w:rFonts w:ascii="Arial Narrow" w:hAnsi="Arial Narrow"/>
                <w:sz w:val="20"/>
              </w:rPr>
              <w:lastRenderedPageBreak/>
              <w:t>homozygous for the F508del mutation on the CFTR gene</w:t>
            </w:r>
            <w:r w:rsidRPr="003311F6">
              <w:rPr>
                <w:rFonts w:ascii="Arial Narrow" w:hAnsi="Arial Narrow"/>
                <w:i/>
                <w:sz w:val="20"/>
              </w:rPr>
              <w:t>; and</w:t>
            </w:r>
          </w:p>
          <w:p w:rsidR="00F20434" w:rsidRPr="003311F6" w:rsidRDefault="00F20434" w:rsidP="001E08C1">
            <w:pPr>
              <w:widowControl/>
              <w:rPr>
                <w:rFonts w:ascii="Arial Narrow" w:hAnsi="Arial Narrow"/>
                <w:i/>
                <w:sz w:val="20"/>
              </w:rPr>
            </w:pPr>
            <w:r w:rsidRPr="003311F6">
              <w:rPr>
                <w:rFonts w:ascii="Arial Narrow" w:hAnsi="Arial Narrow"/>
                <w:i/>
                <w:sz w:val="20"/>
              </w:rPr>
              <w:t>(5) the result of a</w:t>
            </w:r>
            <w:r w:rsidRPr="00DE2C22">
              <w:rPr>
                <w:rFonts w:ascii="Arial Narrow" w:hAnsi="Arial Narrow"/>
                <w:i/>
                <w:sz w:val="20"/>
              </w:rPr>
              <w:t xml:space="preserve"> FEV</w:t>
            </w:r>
            <w:r w:rsidRPr="00DE2C22">
              <w:rPr>
                <w:rFonts w:ascii="Arial Narrow" w:hAnsi="Arial Narrow"/>
                <w:i/>
                <w:sz w:val="20"/>
                <w:vertAlign w:val="subscript"/>
              </w:rPr>
              <w:t>1</w:t>
            </w:r>
            <w:r w:rsidRPr="00DE2C22">
              <w:rPr>
                <w:rFonts w:ascii="Arial Narrow" w:hAnsi="Arial Narrow"/>
                <w:i/>
                <w:sz w:val="20"/>
              </w:rPr>
              <w:t xml:space="preserve"> measurement performed within a month prior to the date of application. Note: FEV</w:t>
            </w:r>
            <w:r w:rsidRPr="00DE2C22">
              <w:rPr>
                <w:rFonts w:ascii="Arial Narrow" w:hAnsi="Arial Narrow"/>
                <w:i/>
                <w:sz w:val="20"/>
                <w:vertAlign w:val="subscript"/>
              </w:rPr>
              <w:t>1</w:t>
            </w:r>
            <w:r w:rsidRPr="00DE2C22">
              <w:rPr>
                <w:rFonts w:ascii="Arial Narrow" w:hAnsi="Arial Narrow"/>
                <w:i/>
                <w:sz w:val="20"/>
              </w:rPr>
              <w:t>, must be measured in an accredited pulmonary function laboratory, with documented no acute infective exacerbation at the time FEV</w:t>
            </w:r>
            <w:r w:rsidRPr="00DE2C22">
              <w:rPr>
                <w:rFonts w:ascii="Arial Narrow" w:hAnsi="Arial Narrow"/>
                <w:i/>
                <w:sz w:val="20"/>
                <w:vertAlign w:val="subscript"/>
              </w:rPr>
              <w:t>1</w:t>
            </w:r>
            <w:r w:rsidRPr="00DE2C22">
              <w:rPr>
                <w:rFonts w:ascii="Arial Narrow" w:hAnsi="Arial Narrow"/>
                <w:i/>
                <w:sz w:val="20"/>
              </w:rPr>
              <w:t xml:space="preserve"> is m</w:t>
            </w:r>
            <w:r w:rsidRPr="003311F6">
              <w:rPr>
                <w:rFonts w:ascii="Arial Narrow" w:hAnsi="Arial Narrow"/>
                <w:i/>
                <w:sz w:val="20"/>
              </w:rPr>
              <w:t>easured; and</w:t>
            </w:r>
          </w:p>
          <w:p w:rsidR="00F20434" w:rsidRPr="003311F6" w:rsidRDefault="00F20434" w:rsidP="001E08C1">
            <w:pPr>
              <w:widowControl/>
              <w:rPr>
                <w:rFonts w:ascii="Arial Narrow" w:hAnsi="Arial Narrow"/>
                <w:i/>
                <w:sz w:val="20"/>
              </w:rPr>
            </w:pPr>
            <w:r w:rsidRPr="003311F6">
              <w:rPr>
                <w:rFonts w:ascii="Arial Narrow" w:hAnsi="Arial Narrow"/>
                <w:i/>
                <w:sz w:val="20"/>
              </w:rPr>
              <w:t>(6) evidence that the patient has either chronic sinopulmonary disease or gastrointestinal and nutritional abnormalities; and</w:t>
            </w:r>
          </w:p>
          <w:p w:rsidR="00F20434" w:rsidRPr="003311F6" w:rsidRDefault="00F20434" w:rsidP="001E08C1">
            <w:pPr>
              <w:widowControl/>
              <w:rPr>
                <w:rFonts w:ascii="Arial Narrow" w:hAnsi="Arial Narrow"/>
                <w:i/>
                <w:sz w:val="20"/>
              </w:rPr>
            </w:pPr>
            <w:r w:rsidRPr="003311F6">
              <w:rPr>
                <w:rFonts w:ascii="Arial Narrow" w:hAnsi="Arial Narrow"/>
                <w:i/>
                <w:sz w:val="20"/>
              </w:rPr>
              <w:t xml:space="preserve">(7) a copy of a current medication history </w:t>
            </w:r>
          </w:p>
          <w:p w:rsidR="00F20434" w:rsidRPr="003311F6" w:rsidRDefault="00F20434" w:rsidP="001E08C1">
            <w:pPr>
              <w:widowControl/>
              <w:rPr>
                <w:rFonts w:ascii="Arial Narrow" w:hAnsi="Arial Narrow"/>
                <w:i/>
                <w:sz w:val="20"/>
              </w:rPr>
            </w:pPr>
            <w:r w:rsidRPr="003311F6">
              <w:rPr>
                <w:rFonts w:ascii="Arial Narrow" w:hAnsi="Arial Narrow"/>
                <w:i/>
                <w:sz w:val="20"/>
              </w:rPr>
              <w:t>(8) a copy of a sweat chloride result; and</w:t>
            </w:r>
          </w:p>
          <w:p w:rsidR="00F20434" w:rsidRPr="003311F6" w:rsidRDefault="00F20434" w:rsidP="001E08C1">
            <w:pPr>
              <w:widowControl/>
              <w:rPr>
                <w:rFonts w:ascii="Arial Narrow" w:hAnsi="Arial Narrow"/>
                <w:i/>
                <w:sz w:val="20"/>
              </w:rPr>
            </w:pPr>
            <w:r w:rsidRPr="003311F6">
              <w:rPr>
                <w:rFonts w:ascii="Arial Narrow" w:hAnsi="Arial Narrow"/>
                <w:i/>
                <w:sz w:val="20"/>
              </w:rPr>
              <w:t>(9) height and weight measurements at the time of application; and</w:t>
            </w:r>
          </w:p>
          <w:p w:rsidR="00F20434" w:rsidRPr="00260CE3" w:rsidRDefault="00F20434" w:rsidP="001E08C1">
            <w:pPr>
              <w:widowControl/>
              <w:rPr>
                <w:rFonts w:ascii="Arial Narrow" w:hAnsi="Arial Narrow"/>
                <w:sz w:val="20"/>
              </w:rPr>
            </w:pPr>
            <w:r w:rsidRPr="003311F6">
              <w:rPr>
                <w:rFonts w:ascii="Arial Narrow" w:hAnsi="Arial Narrow"/>
                <w:i/>
                <w:sz w:val="20"/>
              </w:rPr>
              <w:t>(10) a baseline measurement of the number of days of CF-related hospitalisation (including hospital-in-the home) in the previous 12 months.</w:t>
            </w:r>
          </w:p>
        </w:tc>
      </w:tr>
      <w:tr w:rsidR="00F20434" w:rsidRPr="00260CE3" w:rsidTr="00101B9F">
        <w:trPr>
          <w:trHeight w:val="360"/>
        </w:trPr>
        <w:tc>
          <w:tcPr>
            <w:tcW w:w="1843" w:type="dxa"/>
            <w:tcBorders>
              <w:top w:val="single" w:sz="4" w:space="0" w:color="auto"/>
              <w:left w:val="single" w:sz="4" w:space="0" w:color="auto"/>
              <w:bottom w:val="single" w:sz="4" w:space="0" w:color="auto"/>
              <w:right w:val="single" w:sz="4" w:space="0" w:color="auto"/>
            </w:tcBorders>
          </w:tcPr>
          <w:p w:rsidR="00F20434" w:rsidRPr="00260CE3" w:rsidRDefault="00F20434" w:rsidP="001E08C1">
            <w:pPr>
              <w:widowControl/>
              <w:rPr>
                <w:rFonts w:ascii="Arial Narrow" w:hAnsi="Arial Narrow"/>
                <w:b/>
                <w:sz w:val="20"/>
              </w:rPr>
            </w:pPr>
            <w:r w:rsidRPr="00260CE3">
              <w:rPr>
                <w:rFonts w:ascii="Arial Narrow" w:hAnsi="Arial Narrow"/>
                <w:b/>
                <w:sz w:val="20"/>
              </w:rPr>
              <w:lastRenderedPageBreak/>
              <w:t>Administrative Advice</w:t>
            </w:r>
          </w:p>
          <w:p w:rsidR="00F20434" w:rsidRPr="00260CE3" w:rsidRDefault="00F20434" w:rsidP="001E08C1">
            <w:pPr>
              <w:widowControl/>
              <w:rPr>
                <w:rFonts w:ascii="Arial Narrow" w:hAnsi="Arial Narrow"/>
                <w:i/>
                <w:sz w:val="20"/>
              </w:rPr>
            </w:pPr>
          </w:p>
        </w:tc>
        <w:tc>
          <w:tcPr>
            <w:tcW w:w="7291" w:type="dxa"/>
            <w:tcBorders>
              <w:top w:val="single" w:sz="4" w:space="0" w:color="auto"/>
              <w:left w:val="single" w:sz="4" w:space="0" w:color="auto"/>
              <w:bottom w:val="single" w:sz="4" w:space="0" w:color="auto"/>
              <w:right w:val="single" w:sz="4" w:space="0" w:color="auto"/>
            </w:tcBorders>
          </w:tcPr>
          <w:p w:rsidR="00F20434" w:rsidRPr="003311F6" w:rsidRDefault="00F20434" w:rsidP="001E08C1">
            <w:pPr>
              <w:widowControl/>
              <w:rPr>
                <w:rFonts w:ascii="Arial Narrow" w:hAnsi="Arial Narrow"/>
                <w:i/>
                <w:sz w:val="20"/>
              </w:rPr>
            </w:pPr>
            <w:r w:rsidRPr="003311F6">
              <w:rPr>
                <w:rFonts w:ascii="Arial Narrow" w:hAnsi="Arial Narrow"/>
                <w:i/>
                <w:sz w:val="20"/>
              </w:rPr>
              <w:t>Special pricing arrangements apply</w:t>
            </w:r>
          </w:p>
          <w:p w:rsidR="00F20434" w:rsidRPr="003311F6" w:rsidRDefault="00F20434" w:rsidP="001E08C1">
            <w:pPr>
              <w:widowControl/>
              <w:rPr>
                <w:rFonts w:ascii="Arial Narrow" w:hAnsi="Arial Narrow"/>
                <w:i/>
                <w:sz w:val="20"/>
              </w:rPr>
            </w:pPr>
          </w:p>
          <w:p w:rsidR="00F20434" w:rsidRPr="003311F6" w:rsidRDefault="00F20434" w:rsidP="001E08C1">
            <w:pPr>
              <w:keepNext/>
              <w:widowControl/>
              <w:rPr>
                <w:rFonts w:ascii="Arial Narrow" w:hAnsi="Arial Narrow"/>
                <w:i/>
                <w:sz w:val="20"/>
                <w:lang w:val="en-US"/>
              </w:rPr>
            </w:pPr>
            <w:r w:rsidRPr="003311F6">
              <w:rPr>
                <w:rFonts w:ascii="Arial Narrow" w:hAnsi="Arial Narrow"/>
                <w:i/>
                <w:sz w:val="20"/>
                <w:lang w:val="en-US"/>
              </w:rPr>
              <w:t>No increase in the maximum number of repeats may be authorised.</w:t>
            </w:r>
          </w:p>
          <w:p w:rsidR="00F20434" w:rsidRPr="003311F6" w:rsidRDefault="00F20434" w:rsidP="001E08C1">
            <w:pPr>
              <w:keepNext/>
              <w:widowControl/>
              <w:rPr>
                <w:rFonts w:ascii="Arial Narrow" w:hAnsi="Arial Narrow"/>
                <w:i/>
                <w:sz w:val="20"/>
                <w:lang w:val="en-US"/>
              </w:rPr>
            </w:pPr>
          </w:p>
          <w:p w:rsidR="00F20434" w:rsidRPr="003311F6" w:rsidRDefault="00F20434" w:rsidP="001E08C1">
            <w:pPr>
              <w:widowControl/>
              <w:rPr>
                <w:rFonts w:ascii="Arial Narrow" w:hAnsi="Arial Narrow"/>
                <w:i/>
                <w:sz w:val="20"/>
                <w:lang w:val="en-US"/>
              </w:rPr>
            </w:pPr>
            <w:r w:rsidRPr="003311F6">
              <w:rPr>
                <w:rFonts w:ascii="Arial Narrow" w:hAnsi="Arial Narrow"/>
                <w:i/>
                <w:sz w:val="20"/>
                <w:lang w:val="en-US"/>
              </w:rPr>
              <w:t>No increase in the maximum quantity or number of units may be authorised.</w:t>
            </w:r>
          </w:p>
          <w:p w:rsidR="00F20434" w:rsidRPr="003311F6" w:rsidRDefault="00F20434" w:rsidP="001E08C1">
            <w:pPr>
              <w:widowControl/>
              <w:rPr>
                <w:rFonts w:ascii="Arial Narrow" w:hAnsi="Arial Narrow"/>
                <w:i/>
                <w:sz w:val="20"/>
              </w:rPr>
            </w:pPr>
          </w:p>
          <w:p w:rsidR="00F20434" w:rsidRPr="003311F6" w:rsidRDefault="00F20434" w:rsidP="001E08C1">
            <w:pPr>
              <w:widowControl/>
              <w:rPr>
                <w:rFonts w:ascii="Arial Narrow" w:hAnsi="Arial Narrow"/>
                <w:i/>
                <w:sz w:val="20"/>
              </w:rPr>
            </w:pPr>
            <w:r w:rsidRPr="003311F6">
              <w:rPr>
                <w:rFonts w:ascii="Arial Narrow" w:hAnsi="Arial Narrow"/>
                <w:i/>
                <w:sz w:val="20"/>
              </w:rPr>
              <w:t>Any queries concerning the arrangements to prescribe may be directed to the Department of Human Services on 1800 700 270 (hours of operation 8 a.m. to 5 p.m. EST Monday to Friday).</w:t>
            </w:r>
          </w:p>
          <w:p w:rsidR="00F20434" w:rsidRPr="003311F6" w:rsidRDefault="00F20434" w:rsidP="001E08C1">
            <w:pPr>
              <w:widowControl/>
              <w:rPr>
                <w:rFonts w:ascii="Arial Narrow" w:hAnsi="Arial Narrow"/>
                <w:i/>
                <w:sz w:val="20"/>
              </w:rPr>
            </w:pPr>
          </w:p>
          <w:p w:rsidR="00F20434" w:rsidRPr="003311F6" w:rsidRDefault="00F20434" w:rsidP="001E08C1">
            <w:pPr>
              <w:widowControl/>
              <w:rPr>
                <w:rFonts w:ascii="Arial Narrow" w:hAnsi="Arial Narrow"/>
                <w:i/>
                <w:sz w:val="20"/>
              </w:rPr>
            </w:pPr>
            <w:r w:rsidRPr="003311F6">
              <w:rPr>
                <w:rFonts w:ascii="Arial Narrow" w:hAnsi="Arial Narrow"/>
                <w:i/>
                <w:sz w:val="20"/>
              </w:rPr>
              <w:t>Prescribing information (including Authority Application forms and other relevant documentation as applicable) is available on the Department of Human Services website at www.humanservices.gov.au</w:t>
            </w:r>
          </w:p>
          <w:p w:rsidR="00F20434" w:rsidRPr="003311F6" w:rsidRDefault="00F20434" w:rsidP="001E08C1">
            <w:pPr>
              <w:widowControl/>
              <w:rPr>
                <w:rFonts w:ascii="Arial Narrow" w:hAnsi="Arial Narrow"/>
                <w:i/>
                <w:sz w:val="20"/>
              </w:rPr>
            </w:pPr>
          </w:p>
          <w:p w:rsidR="00F20434" w:rsidRPr="003311F6" w:rsidRDefault="00F20434" w:rsidP="001E08C1">
            <w:pPr>
              <w:widowControl/>
              <w:rPr>
                <w:rFonts w:ascii="Arial Narrow" w:hAnsi="Arial Narrow"/>
                <w:i/>
                <w:sz w:val="20"/>
              </w:rPr>
            </w:pPr>
            <w:r w:rsidRPr="003311F6">
              <w:rPr>
                <w:rFonts w:ascii="Arial Narrow" w:hAnsi="Arial Narrow"/>
                <w:i/>
                <w:sz w:val="20"/>
              </w:rPr>
              <w:t>Applications for authority to prescribe should be forwarded to:</w:t>
            </w:r>
          </w:p>
          <w:p w:rsidR="00F20434" w:rsidRPr="003311F6" w:rsidRDefault="00F20434" w:rsidP="001E08C1">
            <w:pPr>
              <w:widowControl/>
              <w:rPr>
                <w:rFonts w:ascii="Arial Narrow" w:hAnsi="Arial Narrow"/>
                <w:i/>
                <w:sz w:val="20"/>
              </w:rPr>
            </w:pPr>
            <w:r w:rsidRPr="003311F6">
              <w:rPr>
                <w:rFonts w:ascii="Arial Narrow" w:hAnsi="Arial Narrow"/>
                <w:i/>
                <w:sz w:val="20"/>
              </w:rPr>
              <w:t>Department of Human Services</w:t>
            </w:r>
          </w:p>
          <w:p w:rsidR="00F20434" w:rsidRPr="003311F6" w:rsidRDefault="00F20434" w:rsidP="001E08C1">
            <w:pPr>
              <w:widowControl/>
              <w:rPr>
                <w:rFonts w:ascii="Arial Narrow" w:hAnsi="Arial Narrow"/>
                <w:i/>
                <w:sz w:val="20"/>
              </w:rPr>
            </w:pPr>
            <w:r w:rsidRPr="003311F6">
              <w:rPr>
                <w:rFonts w:ascii="Arial Narrow" w:hAnsi="Arial Narrow"/>
                <w:i/>
                <w:sz w:val="20"/>
              </w:rPr>
              <w:t>Complex Drugs</w:t>
            </w:r>
          </w:p>
          <w:p w:rsidR="00F20434" w:rsidRPr="003311F6" w:rsidRDefault="00F20434" w:rsidP="001E08C1">
            <w:pPr>
              <w:widowControl/>
              <w:rPr>
                <w:rFonts w:ascii="Arial Narrow" w:hAnsi="Arial Narrow"/>
                <w:i/>
                <w:sz w:val="20"/>
              </w:rPr>
            </w:pPr>
            <w:r w:rsidRPr="003311F6">
              <w:rPr>
                <w:rFonts w:ascii="Arial Narrow" w:hAnsi="Arial Narrow"/>
                <w:i/>
                <w:sz w:val="20"/>
              </w:rPr>
              <w:t>Reply Paid 9826</w:t>
            </w:r>
          </w:p>
          <w:p w:rsidR="00F20434" w:rsidRPr="00260CE3" w:rsidRDefault="00F20434" w:rsidP="001E08C1">
            <w:pPr>
              <w:widowControl/>
              <w:rPr>
                <w:rFonts w:ascii="Arial Narrow" w:hAnsi="Arial Narrow"/>
                <w:sz w:val="20"/>
              </w:rPr>
            </w:pPr>
            <w:r w:rsidRPr="003311F6">
              <w:rPr>
                <w:rFonts w:ascii="Arial Narrow" w:hAnsi="Arial Narrow"/>
                <w:i/>
                <w:sz w:val="20"/>
              </w:rPr>
              <w:t>HOBART TAS 7001</w:t>
            </w:r>
          </w:p>
        </w:tc>
      </w:tr>
    </w:tbl>
    <w:p w:rsidR="00B2608F" w:rsidRPr="00DA2530" w:rsidRDefault="00B2608F" w:rsidP="001E08C1">
      <w:pPr>
        <w:widowControl/>
        <w:rPr>
          <w:rFonts w:ascii="Arial Narrow" w:hAnsi="Arial Narrow"/>
          <w:sz w:val="16"/>
          <w:szCs w:val="16"/>
        </w:rPr>
      </w:pPr>
    </w:p>
    <w:p w:rsidR="00B2608F" w:rsidRPr="00DA2530" w:rsidRDefault="00B2608F" w:rsidP="001E08C1">
      <w:pPr>
        <w:pStyle w:val="ListParagraph"/>
        <w:widowControl/>
        <w:numPr>
          <w:ilvl w:val="1"/>
          <w:numId w:val="18"/>
        </w:numPr>
        <w:spacing w:after="120"/>
        <w:contextualSpacing w:val="0"/>
        <w:rPr>
          <w:rFonts w:asciiTheme="minorHAnsi" w:hAnsiTheme="minorHAnsi"/>
          <w:sz w:val="24"/>
        </w:rPr>
      </w:pPr>
      <w:r w:rsidRPr="00DA2530">
        <w:rPr>
          <w:rFonts w:asciiTheme="minorHAnsi" w:hAnsiTheme="minorHAnsi"/>
          <w:sz w:val="24"/>
        </w:rPr>
        <w:t xml:space="preserve">The recommended dose is two tablets (each containing lumacaftor 200 mg/ivacaftor 125 mg) taken orally every 12 hours. The treatment is ongoing for the lifetime of the patient. Dose reductions are recommended in the </w:t>
      </w:r>
      <w:r w:rsidR="00F9583F">
        <w:rPr>
          <w:rFonts w:asciiTheme="minorHAnsi" w:hAnsiTheme="minorHAnsi"/>
          <w:sz w:val="24"/>
        </w:rPr>
        <w:t xml:space="preserve">TGA approved </w:t>
      </w:r>
      <w:r w:rsidRPr="00DA2530">
        <w:rPr>
          <w:rFonts w:asciiTheme="minorHAnsi" w:hAnsiTheme="minorHAnsi"/>
          <w:sz w:val="24"/>
        </w:rPr>
        <w:t>product information (PI) for patients with moderate or severe hepatic impairment.</w:t>
      </w:r>
    </w:p>
    <w:p w:rsidR="00B2608F" w:rsidRPr="00DA2530" w:rsidRDefault="00B2608F" w:rsidP="001E08C1">
      <w:pPr>
        <w:pStyle w:val="ListParagraph"/>
        <w:widowControl/>
        <w:numPr>
          <w:ilvl w:val="1"/>
          <w:numId w:val="18"/>
        </w:numPr>
        <w:spacing w:after="120"/>
        <w:contextualSpacing w:val="0"/>
        <w:rPr>
          <w:rFonts w:asciiTheme="minorHAnsi" w:hAnsiTheme="minorHAnsi"/>
          <w:sz w:val="24"/>
        </w:rPr>
      </w:pPr>
      <w:bookmarkStart w:id="13" w:name="_Hlk479594419"/>
      <w:r w:rsidRPr="00DA2530">
        <w:rPr>
          <w:rFonts w:asciiTheme="minorHAnsi" w:hAnsiTheme="minorHAnsi"/>
          <w:sz w:val="24"/>
        </w:rPr>
        <w:t xml:space="preserve">No special pricing arrangements were proposed in relation to the DPMQ. However, the </w:t>
      </w:r>
      <w:r w:rsidR="00497D5E">
        <w:rPr>
          <w:rFonts w:asciiTheme="minorHAnsi" w:hAnsiTheme="minorHAnsi"/>
          <w:sz w:val="24"/>
        </w:rPr>
        <w:t>resubmission</w:t>
      </w:r>
      <w:r w:rsidRPr="00DA2530">
        <w:rPr>
          <w:rFonts w:asciiTheme="minorHAnsi" w:hAnsiTheme="minorHAnsi"/>
          <w:sz w:val="24"/>
        </w:rPr>
        <w:t xml:space="preserve"> proposed to cap the gross cost to the PBS in the first </w:t>
      </w:r>
      <w:r w:rsidR="00D316FB" w:rsidRPr="00DA2530">
        <w:rPr>
          <w:rFonts w:asciiTheme="minorHAnsi" w:hAnsiTheme="minorHAnsi"/>
          <w:sz w:val="24"/>
        </w:rPr>
        <w:t>five</w:t>
      </w:r>
      <w:r w:rsidRPr="00DA2530">
        <w:rPr>
          <w:rFonts w:asciiTheme="minorHAnsi" w:hAnsiTheme="minorHAnsi"/>
          <w:sz w:val="24"/>
        </w:rPr>
        <w:t xml:space="preserve"> years of listing</w:t>
      </w:r>
      <w:r w:rsidR="00497D5E">
        <w:rPr>
          <w:rFonts w:asciiTheme="minorHAnsi" w:hAnsiTheme="minorHAnsi"/>
          <w:sz w:val="24"/>
        </w:rPr>
        <w:t>,</w:t>
      </w:r>
      <w:r w:rsidRPr="00DA2530">
        <w:rPr>
          <w:rFonts w:asciiTheme="minorHAnsi" w:hAnsiTheme="minorHAnsi"/>
          <w:sz w:val="24"/>
        </w:rPr>
        <w:t xml:space="preserve"> by way of a reduction on the total projected expenditure</w:t>
      </w:r>
      <w:r w:rsidR="00497D5E">
        <w:rPr>
          <w:rFonts w:asciiTheme="minorHAnsi" w:hAnsiTheme="minorHAnsi"/>
          <w:sz w:val="24"/>
        </w:rPr>
        <w:t>.</w:t>
      </w:r>
      <w:r w:rsidRPr="00DA2530">
        <w:rPr>
          <w:rFonts w:asciiTheme="minorHAnsi" w:hAnsiTheme="minorHAnsi"/>
          <w:sz w:val="24"/>
        </w:rPr>
        <w:t xml:space="preserve"> </w:t>
      </w:r>
      <w:bookmarkEnd w:id="13"/>
      <w:r w:rsidR="00497D5E">
        <w:rPr>
          <w:rFonts w:asciiTheme="minorHAnsi" w:hAnsiTheme="minorHAnsi"/>
          <w:sz w:val="24"/>
        </w:rPr>
        <w:t>The</w:t>
      </w:r>
      <w:r w:rsidRPr="00DA2530">
        <w:rPr>
          <w:rFonts w:asciiTheme="minorHAnsi" w:hAnsiTheme="minorHAnsi"/>
          <w:sz w:val="24"/>
        </w:rPr>
        <w:t xml:space="preserve"> </w:t>
      </w:r>
      <w:r w:rsidR="00497D5E">
        <w:rPr>
          <w:rFonts w:asciiTheme="minorHAnsi" w:hAnsiTheme="minorHAnsi"/>
          <w:sz w:val="24"/>
        </w:rPr>
        <w:t xml:space="preserve">resubmission also proposed </w:t>
      </w:r>
      <w:r w:rsidRPr="00DA2530">
        <w:rPr>
          <w:rFonts w:asciiTheme="minorHAnsi" w:hAnsiTheme="minorHAnsi"/>
          <w:sz w:val="24"/>
        </w:rPr>
        <w:t xml:space="preserve">a </w:t>
      </w:r>
      <w:r w:rsidR="00A42B97">
        <w:rPr>
          <w:rFonts w:asciiTheme="minorHAnsi" w:hAnsiTheme="minorHAnsi"/>
          <w:noProof/>
          <w:color w:val="000000"/>
          <w:sz w:val="24"/>
          <w:highlight w:val="black"/>
        </w:rPr>
        <w:t>'''''''''''''''''''''''''''''''''''''''''' '''''''''''''''''''''''''''' ''''''''''''''''' ''' '''''''''''''''''' '''' '''''''''''' ''''''''''''''''''''''''''''''' '''''' ''''''''''''''' '''' '''''''''''''''''''' ''''''''''''''' '''''''''''' '''''' ''''''''''''''''' '''''' ''' '''''' '''''''''''' ''''''' '''''' ''''''''''''''''''''''''''' '''''''''' ''''''''''''''''''''''''</w:t>
      </w:r>
    </w:p>
    <w:p w:rsidR="009D183B" w:rsidRPr="00226B30" w:rsidRDefault="009D183B" w:rsidP="001E08C1">
      <w:pPr>
        <w:pStyle w:val="ListParagraph"/>
        <w:widowControl/>
        <w:numPr>
          <w:ilvl w:val="1"/>
          <w:numId w:val="18"/>
        </w:numPr>
        <w:spacing w:after="120"/>
        <w:contextualSpacing w:val="0"/>
        <w:rPr>
          <w:rFonts w:asciiTheme="minorHAnsi" w:hAnsiTheme="minorHAnsi"/>
          <w:sz w:val="24"/>
        </w:rPr>
      </w:pPr>
      <w:r w:rsidRPr="00226B30">
        <w:rPr>
          <w:rFonts w:asciiTheme="minorHAnsi" w:hAnsiTheme="minorHAnsi"/>
          <w:sz w:val="24"/>
        </w:rPr>
        <w:t>The ESC noted that</w:t>
      </w:r>
      <w:r w:rsidR="00E82E37" w:rsidRPr="00226B30">
        <w:rPr>
          <w:rFonts w:asciiTheme="minorHAnsi" w:hAnsiTheme="minorHAnsi"/>
          <w:sz w:val="24"/>
        </w:rPr>
        <w:t xml:space="preserve"> the TRAFFIC and TRANSPORT trials</w:t>
      </w:r>
      <w:r w:rsidRPr="00226B30">
        <w:rPr>
          <w:rFonts w:asciiTheme="minorHAnsi" w:hAnsiTheme="minorHAnsi"/>
          <w:sz w:val="24"/>
        </w:rPr>
        <w:t xml:space="preserve"> required patients to have a ppFEV</w:t>
      </w:r>
      <w:r w:rsidRPr="00226B30">
        <w:rPr>
          <w:rFonts w:asciiTheme="minorHAnsi" w:hAnsiTheme="minorHAnsi"/>
          <w:sz w:val="24"/>
          <w:vertAlign w:val="subscript"/>
        </w:rPr>
        <w:t>1</w:t>
      </w:r>
      <w:r w:rsidRPr="00226B30">
        <w:rPr>
          <w:rFonts w:asciiTheme="minorHAnsi" w:hAnsiTheme="minorHAnsi"/>
          <w:sz w:val="24"/>
        </w:rPr>
        <w:t xml:space="preserve"> of </w:t>
      </w:r>
      <w:r w:rsidR="00E82E37" w:rsidRPr="00226B30">
        <w:rPr>
          <w:rFonts w:asciiTheme="minorHAnsi" w:hAnsiTheme="minorHAnsi"/>
          <w:sz w:val="24"/>
        </w:rPr>
        <w:t>≥</w:t>
      </w:r>
      <w:r w:rsidRPr="00226B30">
        <w:rPr>
          <w:rFonts w:asciiTheme="minorHAnsi" w:hAnsiTheme="minorHAnsi"/>
          <w:sz w:val="24"/>
        </w:rPr>
        <w:t xml:space="preserve">40% and </w:t>
      </w:r>
      <w:r w:rsidR="00E82E37" w:rsidRPr="00226B30">
        <w:rPr>
          <w:rFonts w:asciiTheme="minorHAnsi" w:hAnsiTheme="minorHAnsi"/>
          <w:sz w:val="24"/>
        </w:rPr>
        <w:t>≤</w:t>
      </w:r>
      <w:r w:rsidRPr="00226B30">
        <w:rPr>
          <w:rFonts w:asciiTheme="minorHAnsi" w:hAnsiTheme="minorHAnsi"/>
          <w:sz w:val="24"/>
        </w:rPr>
        <w:t>90% adjusted for age, gender and height. The PBAC had previously determined that the efficacy and safety of lumacaftor/ivacaftor in patients with ppFEV1 &lt;40% and &gt;90% had not been evaluated and is unknown (</w:t>
      </w:r>
      <w:r w:rsidR="00EC38D6">
        <w:rPr>
          <w:rFonts w:asciiTheme="minorHAnsi" w:hAnsiTheme="minorHAnsi"/>
          <w:sz w:val="24"/>
        </w:rPr>
        <w:t xml:space="preserve">paragraph </w:t>
      </w:r>
      <w:r w:rsidRPr="00226B30">
        <w:rPr>
          <w:rFonts w:asciiTheme="minorHAnsi" w:hAnsiTheme="minorHAnsi"/>
          <w:sz w:val="24"/>
        </w:rPr>
        <w:t xml:space="preserve">2.2, </w:t>
      </w:r>
      <w:r w:rsidR="00EC38D6" w:rsidRPr="00226B30">
        <w:rPr>
          <w:rFonts w:asciiTheme="minorHAnsi" w:hAnsiTheme="minorHAnsi"/>
          <w:sz w:val="24"/>
        </w:rPr>
        <w:t>March 2016</w:t>
      </w:r>
      <w:r w:rsidR="00EC38D6">
        <w:rPr>
          <w:rFonts w:asciiTheme="minorHAnsi" w:hAnsiTheme="minorHAnsi"/>
          <w:sz w:val="24"/>
        </w:rPr>
        <w:t xml:space="preserve"> </w:t>
      </w:r>
      <w:r w:rsidRPr="00226B30">
        <w:rPr>
          <w:rFonts w:asciiTheme="minorHAnsi" w:hAnsiTheme="minorHAnsi"/>
          <w:sz w:val="24"/>
        </w:rPr>
        <w:t>Public Summary Document</w:t>
      </w:r>
      <w:r w:rsidR="00D75B26">
        <w:rPr>
          <w:rFonts w:asciiTheme="minorHAnsi" w:hAnsiTheme="minorHAnsi"/>
          <w:sz w:val="24"/>
        </w:rPr>
        <w:t xml:space="preserve"> (PSD)</w:t>
      </w:r>
      <w:r w:rsidRPr="00226B30">
        <w:rPr>
          <w:rFonts w:asciiTheme="minorHAnsi" w:hAnsiTheme="minorHAnsi"/>
          <w:sz w:val="24"/>
        </w:rPr>
        <w:t xml:space="preserve">). The </w:t>
      </w:r>
      <w:r w:rsidR="00E82E37" w:rsidRPr="00226B30">
        <w:rPr>
          <w:rFonts w:asciiTheme="minorHAnsi" w:hAnsiTheme="minorHAnsi"/>
          <w:sz w:val="24"/>
        </w:rPr>
        <w:t>Secretariat has suggested including a clinical criterion that “Patient must have a FEV1 of ≥40% of predicted normal for age, sex, and height” in the above requested listing.</w:t>
      </w:r>
    </w:p>
    <w:p w:rsidR="00D316FB" w:rsidRDefault="00D316FB" w:rsidP="001E08C1">
      <w:pPr>
        <w:pStyle w:val="ListParagraph"/>
        <w:widowControl/>
        <w:numPr>
          <w:ilvl w:val="1"/>
          <w:numId w:val="18"/>
        </w:numPr>
        <w:spacing w:after="120"/>
        <w:contextualSpacing w:val="0"/>
        <w:rPr>
          <w:rFonts w:asciiTheme="minorHAnsi" w:hAnsiTheme="minorHAnsi"/>
          <w:sz w:val="24"/>
        </w:rPr>
      </w:pPr>
      <w:r w:rsidRPr="00DA2530">
        <w:rPr>
          <w:rFonts w:asciiTheme="minorHAnsi" w:hAnsiTheme="minorHAnsi"/>
          <w:sz w:val="24"/>
        </w:rPr>
        <w:t>The requested basis for listing is cost-effectiveness compared with the nominated comparator (best supportive care).</w:t>
      </w:r>
    </w:p>
    <w:p w:rsidR="000D33EE" w:rsidRDefault="000D33EE" w:rsidP="000D33EE">
      <w:pPr>
        <w:pStyle w:val="ListParagraph"/>
        <w:widowControl/>
        <w:spacing w:after="120"/>
        <w:contextualSpacing w:val="0"/>
        <w:rPr>
          <w:rFonts w:asciiTheme="minorHAnsi" w:hAnsiTheme="minorHAnsi"/>
          <w:sz w:val="24"/>
        </w:rPr>
      </w:pPr>
    </w:p>
    <w:p w:rsidR="00B2608F" w:rsidRPr="00DA2530" w:rsidRDefault="00B2608F" w:rsidP="00A54394">
      <w:pPr>
        <w:pStyle w:val="Heading2"/>
        <w:ind w:hanging="720"/>
      </w:pPr>
      <w:bookmarkStart w:id="14" w:name="_Toc482713670"/>
      <w:r w:rsidRPr="00DA2530">
        <w:lastRenderedPageBreak/>
        <w:t>Background</w:t>
      </w:r>
      <w:bookmarkEnd w:id="14"/>
    </w:p>
    <w:p w:rsidR="00946B10" w:rsidRPr="009F7057" w:rsidRDefault="00D316FB" w:rsidP="009F7057">
      <w:pPr>
        <w:pStyle w:val="ListParagraph"/>
        <w:widowControl/>
        <w:numPr>
          <w:ilvl w:val="1"/>
          <w:numId w:val="10"/>
        </w:numPr>
        <w:spacing w:after="120"/>
        <w:ind w:left="720" w:hanging="720"/>
        <w:contextualSpacing w:val="0"/>
        <w:rPr>
          <w:rFonts w:asciiTheme="minorHAnsi" w:hAnsiTheme="minorHAnsi"/>
          <w:sz w:val="24"/>
          <w:szCs w:val="24"/>
        </w:rPr>
      </w:pPr>
      <w:r w:rsidRPr="009F7057">
        <w:rPr>
          <w:rFonts w:asciiTheme="minorHAnsi" w:hAnsiTheme="minorHAnsi"/>
          <w:sz w:val="24"/>
          <w:szCs w:val="24"/>
        </w:rPr>
        <w:t>TGA status</w:t>
      </w:r>
      <w:r w:rsidR="00226B30" w:rsidRPr="009F7057">
        <w:rPr>
          <w:rFonts w:asciiTheme="minorHAnsi" w:hAnsiTheme="minorHAnsi"/>
          <w:sz w:val="24"/>
          <w:szCs w:val="24"/>
        </w:rPr>
        <w:t xml:space="preserve"> at the time of PBAC consideration</w:t>
      </w:r>
      <w:r w:rsidRPr="009F7057">
        <w:rPr>
          <w:rFonts w:asciiTheme="minorHAnsi" w:hAnsiTheme="minorHAnsi"/>
          <w:sz w:val="24"/>
          <w:szCs w:val="24"/>
        </w:rPr>
        <w:t xml:space="preserve">: </w:t>
      </w:r>
      <w:r w:rsidR="00B2608F" w:rsidRPr="009F7057">
        <w:rPr>
          <w:rFonts w:asciiTheme="minorHAnsi" w:hAnsiTheme="minorHAnsi"/>
          <w:sz w:val="24"/>
          <w:szCs w:val="24"/>
        </w:rPr>
        <w:t>Lumacaftor/ivacaftor was registered by the TGA for “the treatment of cystic fibrosis (CF) in patients age</w:t>
      </w:r>
      <w:r w:rsidR="006535E2">
        <w:rPr>
          <w:rFonts w:asciiTheme="minorHAnsi" w:hAnsiTheme="minorHAnsi"/>
          <w:sz w:val="24"/>
          <w:szCs w:val="24"/>
        </w:rPr>
        <w:t>d</w:t>
      </w:r>
      <w:r w:rsidR="00B2608F" w:rsidRPr="009F7057">
        <w:rPr>
          <w:rFonts w:asciiTheme="minorHAnsi" w:hAnsiTheme="minorHAnsi"/>
          <w:sz w:val="24"/>
          <w:szCs w:val="24"/>
        </w:rPr>
        <w:t xml:space="preserve"> 12 years and older who are homozygous for the F508del mutation in the CFTR gene” on 8 March 2016.</w:t>
      </w:r>
      <w:r w:rsidR="00946B10" w:rsidRPr="009F7057">
        <w:rPr>
          <w:rFonts w:asciiTheme="minorHAnsi" w:hAnsiTheme="minorHAnsi"/>
          <w:sz w:val="24"/>
          <w:szCs w:val="24"/>
        </w:rPr>
        <w:t xml:space="preserve"> </w:t>
      </w:r>
    </w:p>
    <w:p w:rsidR="00B2608F" w:rsidRPr="00DA2530" w:rsidRDefault="00B2608F" w:rsidP="001E08C1">
      <w:pPr>
        <w:pStyle w:val="ListParagraph"/>
        <w:widowControl/>
        <w:numPr>
          <w:ilvl w:val="1"/>
          <w:numId w:val="10"/>
        </w:numPr>
        <w:spacing w:after="120"/>
        <w:ind w:left="720" w:hanging="720"/>
        <w:contextualSpacing w:val="0"/>
        <w:rPr>
          <w:rFonts w:asciiTheme="minorHAnsi" w:hAnsiTheme="minorHAnsi"/>
          <w:sz w:val="24"/>
          <w:szCs w:val="24"/>
        </w:rPr>
      </w:pPr>
      <w:r w:rsidRPr="00DA2530">
        <w:rPr>
          <w:rFonts w:asciiTheme="minorHAnsi" w:hAnsiTheme="minorHAnsi"/>
          <w:sz w:val="24"/>
          <w:szCs w:val="24"/>
        </w:rPr>
        <w:t>A major submission for lumacaftor/ivacaftor was rejected at the March 2016 PBAC meeting on the basis of an unacceptably high and uncertain incremental cost</w:t>
      </w:r>
      <w:r w:rsidRPr="00DA2530">
        <w:rPr>
          <w:rFonts w:asciiTheme="minorHAnsi" w:hAnsiTheme="minorHAnsi"/>
          <w:sz w:val="24"/>
          <w:szCs w:val="24"/>
        </w:rPr>
        <w:noBreakHyphen/>
        <w:t>effectiveness ratio at the requested price, and uncertainty around the impact of lumacaftor/ivacaftor on long-term improvements in lung function and survival</w:t>
      </w:r>
      <w:r w:rsidR="00D316FB" w:rsidRPr="00DA2530">
        <w:rPr>
          <w:rFonts w:asciiTheme="minorHAnsi" w:hAnsiTheme="minorHAnsi"/>
          <w:sz w:val="24"/>
          <w:szCs w:val="24"/>
        </w:rPr>
        <w:t xml:space="preserve"> (paragraph 7.1, March 2016 PSD)</w:t>
      </w:r>
      <w:r w:rsidRPr="00DA2530">
        <w:rPr>
          <w:rFonts w:asciiTheme="minorHAnsi" w:hAnsiTheme="minorHAnsi"/>
          <w:sz w:val="24"/>
          <w:szCs w:val="24"/>
        </w:rPr>
        <w:t xml:space="preserve">. A minor resubmission was also rejected </w:t>
      </w:r>
      <w:r w:rsidR="00D316FB" w:rsidRPr="00DA2530">
        <w:rPr>
          <w:rFonts w:asciiTheme="minorHAnsi" w:hAnsiTheme="minorHAnsi"/>
          <w:sz w:val="24"/>
          <w:szCs w:val="24"/>
        </w:rPr>
        <w:t>by</w:t>
      </w:r>
      <w:r w:rsidRPr="00DA2530">
        <w:rPr>
          <w:rFonts w:asciiTheme="minorHAnsi" w:hAnsiTheme="minorHAnsi"/>
          <w:sz w:val="24"/>
          <w:szCs w:val="24"/>
        </w:rPr>
        <w:t xml:space="preserve"> the PBAC </w:t>
      </w:r>
      <w:r w:rsidR="00D316FB" w:rsidRPr="00DA2530">
        <w:rPr>
          <w:rFonts w:asciiTheme="minorHAnsi" w:hAnsiTheme="minorHAnsi"/>
          <w:sz w:val="24"/>
          <w:szCs w:val="24"/>
        </w:rPr>
        <w:t xml:space="preserve">at its November 2016 meeting </w:t>
      </w:r>
      <w:r w:rsidRPr="00DA2530">
        <w:rPr>
          <w:rFonts w:asciiTheme="minorHAnsi" w:hAnsiTheme="minorHAnsi"/>
          <w:sz w:val="24"/>
          <w:szCs w:val="24"/>
        </w:rPr>
        <w:t xml:space="preserve">noting that the issues it previously identified in its consideration of the March 2016 submission had not been addressed. The PBAC </w:t>
      </w:r>
      <w:r w:rsidR="00D316FB" w:rsidRPr="00DA2530">
        <w:rPr>
          <w:rFonts w:asciiTheme="minorHAnsi" w:hAnsiTheme="minorHAnsi"/>
          <w:sz w:val="24"/>
          <w:szCs w:val="24"/>
        </w:rPr>
        <w:t xml:space="preserve">further </w:t>
      </w:r>
      <w:r w:rsidRPr="00DA2530">
        <w:rPr>
          <w:rFonts w:asciiTheme="minorHAnsi" w:hAnsiTheme="minorHAnsi"/>
          <w:sz w:val="24"/>
          <w:szCs w:val="24"/>
        </w:rPr>
        <w:t>noted the continu</w:t>
      </w:r>
      <w:r w:rsidR="00385062" w:rsidRPr="00DA2530">
        <w:rPr>
          <w:rFonts w:asciiTheme="minorHAnsi" w:hAnsiTheme="minorHAnsi"/>
          <w:sz w:val="24"/>
          <w:szCs w:val="24"/>
        </w:rPr>
        <w:t>ed</w:t>
      </w:r>
      <w:r w:rsidRPr="00DA2530">
        <w:rPr>
          <w:rFonts w:asciiTheme="minorHAnsi" w:hAnsiTheme="minorHAnsi"/>
          <w:sz w:val="24"/>
          <w:szCs w:val="24"/>
        </w:rPr>
        <w:t xml:space="preserve"> uncertainty regarding long-term benefits of treatment on lung function and overall survival</w:t>
      </w:r>
      <w:r w:rsidR="00D316FB" w:rsidRPr="00DA2530">
        <w:rPr>
          <w:rFonts w:asciiTheme="minorHAnsi" w:hAnsiTheme="minorHAnsi"/>
          <w:sz w:val="24"/>
          <w:szCs w:val="24"/>
        </w:rPr>
        <w:t xml:space="preserve"> (paragraph 7.1, November 2016 PSD)</w:t>
      </w:r>
      <w:r w:rsidRPr="00DA2530">
        <w:rPr>
          <w:rFonts w:asciiTheme="minorHAnsi" w:hAnsiTheme="minorHAnsi"/>
          <w:sz w:val="24"/>
          <w:szCs w:val="24"/>
        </w:rPr>
        <w:t>.</w:t>
      </w:r>
    </w:p>
    <w:p w:rsidR="00081331" w:rsidRDefault="00B2608F" w:rsidP="001E08C1">
      <w:pPr>
        <w:pStyle w:val="ListParagraph"/>
        <w:widowControl/>
        <w:numPr>
          <w:ilvl w:val="1"/>
          <w:numId w:val="10"/>
        </w:numPr>
        <w:spacing w:after="120"/>
        <w:ind w:left="720" w:hanging="720"/>
        <w:contextualSpacing w:val="0"/>
        <w:rPr>
          <w:rFonts w:asciiTheme="minorHAnsi" w:hAnsiTheme="minorHAnsi"/>
          <w:sz w:val="24"/>
          <w:szCs w:val="24"/>
        </w:rPr>
      </w:pPr>
      <w:r w:rsidRPr="00DA2530">
        <w:rPr>
          <w:rFonts w:asciiTheme="minorHAnsi" w:hAnsiTheme="minorHAnsi"/>
          <w:sz w:val="24"/>
          <w:szCs w:val="24"/>
        </w:rPr>
        <w:t xml:space="preserve">A summary of the key differences between the March 2016 </w:t>
      </w:r>
      <w:r w:rsidR="00130D67" w:rsidRPr="00DA2530">
        <w:rPr>
          <w:rFonts w:asciiTheme="minorHAnsi" w:hAnsiTheme="minorHAnsi"/>
          <w:sz w:val="24"/>
          <w:szCs w:val="24"/>
        </w:rPr>
        <w:t xml:space="preserve">major </w:t>
      </w:r>
      <w:r w:rsidRPr="00DA2530">
        <w:rPr>
          <w:rFonts w:asciiTheme="minorHAnsi" w:hAnsiTheme="minorHAnsi"/>
          <w:sz w:val="24"/>
          <w:szCs w:val="24"/>
        </w:rPr>
        <w:t>submission, the November 2016 minor resubmission and the current resubmission is provided in Table 2.</w:t>
      </w:r>
    </w:p>
    <w:p w:rsidR="00B2608F" w:rsidRPr="000D33EE" w:rsidRDefault="00081331" w:rsidP="000D33EE">
      <w:pPr>
        <w:widowControl/>
        <w:jc w:val="left"/>
        <w:rPr>
          <w:rFonts w:asciiTheme="minorHAnsi" w:hAnsiTheme="minorHAnsi"/>
          <w:sz w:val="24"/>
          <w:szCs w:val="24"/>
        </w:rPr>
      </w:pPr>
      <w:r>
        <w:rPr>
          <w:rFonts w:asciiTheme="minorHAnsi" w:hAnsiTheme="minorHAnsi"/>
          <w:sz w:val="24"/>
          <w:szCs w:val="24"/>
        </w:rPr>
        <w:br w:type="page"/>
      </w:r>
    </w:p>
    <w:p w:rsidR="008A1DA3" w:rsidRDefault="008A1DA3" w:rsidP="008A1DA3">
      <w:pPr>
        <w:pStyle w:val="Caption"/>
      </w:pPr>
      <w:bookmarkStart w:id="15" w:name="_Hlk481745455"/>
      <w:bookmarkStart w:id="16" w:name="_Hlk481745410"/>
      <w:r>
        <w:t xml:space="preserve">Table </w:t>
      </w:r>
      <w:r w:rsidR="000056CF">
        <w:rPr>
          <w:noProof/>
        </w:rPr>
        <w:t>2</w:t>
      </w:r>
      <w:r w:rsidRPr="003C13DB">
        <w:t>: Summary of the previous and current (re)submissions</w:t>
      </w:r>
    </w:p>
    <w:tbl>
      <w:tblP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1254"/>
        <w:gridCol w:w="3932"/>
        <w:gridCol w:w="3932"/>
      </w:tblGrid>
      <w:tr w:rsidR="00F31AD4" w:rsidRPr="00DA2530" w:rsidTr="00F31AD4">
        <w:trPr>
          <w:tblHeader/>
        </w:trPr>
        <w:tc>
          <w:tcPr>
            <w:tcW w:w="688" w:type="pct"/>
            <w:tcBorders>
              <w:top w:val="single" w:sz="4" w:space="0" w:color="auto"/>
              <w:left w:val="single" w:sz="4" w:space="0" w:color="auto"/>
              <w:bottom w:val="single" w:sz="4" w:space="0" w:color="auto"/>
              <w:right w:val="single" w:sz="4" w:space="0" w:color="auto"/>
            </w:tcBorders>
            <w:vAlign w:val="center"/>
            <w:hideMark/>
          </w:tcPr>
          <w:p w:rsidR="00F31AD4" w:rsidRPr="00DA2530" w:rsidRDefault="00F31AD4" w:rsidP="001E08C1">
            <w:pPr>
              <w:keepNext/>
              <w:widowControl/>
              <w:rPr>
                <w:rFonts w:ascii="Arial Narrow" w:hAnsi="Arial Narrow" w:cs="Calibri"/>
                <w:b/>
                <w:sz w:val="20"/>
                <w:lang w:eastAsia="en-AU"/>
              </w:rPr>
            </w:pPr>
            <w:r w:rsidRPr="00DA2530">
              <w:rPr>
                <w:rFonts w:ascii="Arial Narrow" w:hAnsi="Arial Narrow" w:cs="Calibri"/>
                <w:b/>
                <w:sz w:val="20"/>
                <w:lang w:eastAsia="en-AU"/>
              </w:rPr>
              <w:t>Component</w:t>
            </w:r>
          </w:p>
        </w:tc>
        <w:tc>
          <w:tcPr>
            <w:tcW w:w="2156" w:type="pct"/>
            <w:tcBorders>
              <w:top w:val="single" w:sz="4" w:space="0" w:color="auto"/>
              <w:left w:val="single" w:sz="4" w:space="0" w:color="auto"/>
              <w:bottom w:val="single" w:sz="4" w:space="0" w:color="auto"/>
              <w:right w:val="single" w:sz="4" w:space="0" w:color="auto"/>
            </w:tcBorders>
            <w:vAlign w:val="center"/>
            <w:hideMark/>
          </w:tcPr>
          <w:p w:rsidR="00F31AD4" w:rsidRPr="00DA2530" w:rsidRDefault="00F31AD4" w:rsidP="001E08C1">
            <w:pPr>
              <w:keepNext/>
              <w:widowControl/>
              <w:jc w:val="center"/>
              <w:rPr>
                <w:rFonts w:ascii="Arial Narrow" w:hAnsi="Arial Narrow" w:cs="Calibri"/>
                <w:b/>
                <w:sz w:val="20"/>
                <w:lang w:eastAsia="en-AU"/>
              </w:rPr>
            </w:pPr>
            <w:r w:rsidRPr="00DA2530">
              <w:rPr>
                <w:rFonts w:ascii="Arial Narrow" w:hAnsi="Arial Narrow" w:cs="Calibri"/>
                <w:b/>
                <w:sz w:val="20"/>
              </w:rPr>
              <w:t xml:space="preserve">March 2016 major submission and November 2016 minor </w:t>
            </w:r>
            <w:r w:rsidR="00AA3276" w:rsidRPr="00DA2530">
              <w:rPr>
                <w:rFonts w:ascii="Arial Narrow" w:hAnsi="Arial Narrow" w:cs="Calibri"/>
                <w:b/>
                <w:sz w:val="20"/>
              </w:rPr>
              <w:t>re</w:t>
            </w:r>
            <w:r w:rsidRPr="00DA2530">
              <w:rPr>
                <w:rFonts w:ascii="Arial Narrow" w:hAnsi="Arial Narrow" w:cs="Calibri"/>
                <w:b/>
                <w:sz w:val="20"/>
              </w:rPr>
              <w:t>submission</w:t>
            </w:r>
          </w:p>
        </w:tc>
        <w:tc>
          <w:tcPr>
            <w:tcW w:w="2156" w:type="pct"/>
            <w:tcBorders>
              <w:top w:val="single" w:sz="4" w:space="0" w:color="auto"/>
              <w:left w:val="single" w:sz="4" w:space="0" w:color="auto"/>
              <w:bottom w:val="single" w:sz="4" w:space="0" w:color="auto"/>
              <w:right w:val="single" w:sz="4" w:space="0" w:color="auto"/>
            </w:tcBorders>
            <w:vAlign w:val="center"/>
          </w:tcPr>
          <w:p w:rsidR="00F31AD4" w:rsidRPr="00DA2530" w:rsidRDefault="00F31AD4" w:rsidP="001E08C1">
            <w:pPr>
              <w:keepNext/>
              <w:widowControl/>
              <w:jc w:val="center"/>
              <w:rPr>
                <w:rFonts w:ascii="Arial Narrow" w:hAnsi="Arial Narrow" w:cs="Calibri"/>
                <w:b/>
                <w:sz w:val="20"/>
              </w:rPr>
            </w:pPr>
            <w:r w:rsidRPr="00DA2530">
              <w:rPr>
                <w:rFonts w:ascii="Arial Narrow" w:hAnsi="Arial Narrow" w:cs="Calibri"/>
                <w:b/>
                <w:sz w:val="20"/>
              </w:rPr>
              <w:t>July 2017 major resubmission</w:t>
            </w:r>
          </w:p>
        </w:tc>
      </w:tr>
      <w:tr w:rsidR="00F31AD4" w:rsidRPr="00DA2530" w:rsidTr="00F31AD4">
        <w:tc>
          <w:tcPr>
            <w:tcW w:w="688" w:type="pct"/>
            <w:tcBorders>
              <w:top w:val="single" w:sz="4" w:space="0" w:color="auto"/>
              <w:left w:val="single" w:sz="4" w:space="0" w:color="auto"/>
              <w:bottom w:val="single" w:sz="4" w:space="0" w:color="auto"/>
              <w:right w:val="single" w:sz="4" w:space="0" w:color="auto"/>
            </w:tcBorders>
            <w:hideMark/>
          </w:tcPr>
          <w:p w:rsidR="00F31AD4" w:rsidRPr="00DA2530" w:rsidRDefault="00F31AD4" w:rsidP="001E08C1">
            <w:pPr>
              <w:keepNext/>
              <w:widowControl/>
              <w:rPr>
                <w:rFonts w:ascii="Arial Narrow" w:hAnsi="Arial Narrow" w:cs="Calibri"/>
                <w:sz w:val="20"/>
                <w:lang w:eastAsia="en-AU"/>
              </w:rPr>
            </w:pPr>
            <w:r w:rsidRPr="00DA2530">
              <w:rPr>
                <w:rFonts w:ascii="Arial Narrow" w:hAnsi="Arial Narrow" w:cs="Calibri"/>
                <w:sz w:val="20"/>
              </w:rPr>
              <w:t>Requested PBS listing</w:t>
            </w:r>
          </w:p>
        </w:tc>
        <w:tc>
          <w:tcPr>
            <w:tcW w:w="2156" w:type="pct"/>
            <w:tcBorders>
              <w:top w:val="single" w:sz="4" w:space="0" w:color="auto"/>
              <w:left w:val="single" w:sz="4" w:space="0" w:color="auto"/>
              <w:bottom w:val="single" w:sz="4" w:space="0" w:color="auto"/>
              <w:right w:val="single" w:sz="4" w:space="0" w:color="auto"/>
            </w:tcBorders>
            <w:hideMark/>
          </w:tcPr>
          <w:p w:rsidR="00F31AD4" w:rsidRPr="00DA2530" w:rsidRDefault="00F31AD4" w:rsidP="001E08C1">
            <w:pPr>
              <w:keepNext/>
              <w:widowControl/>
              <w:jc w:val="left"/>
              <w:rPr>
                <w:rFonts w:ascii="Arial Narrow" w:hAnsi="Arial Narrow" w:cs="Calibri"/>
                <w:sz w:val="20"/>
                <w:lang w:eastAsia="en-AU"/>
              </w:rPr>
            </w:pPr>
            <w:r w:rsidRPr="00DA2530">
              <w:rPr>
                <w:rFonts w:ascii="Arial Narrow" w:hAnsi="Arial Narrow" w:cs="Calibri"/>
                <w:sz w:val="20"/>
              </w:rPr>
              <w:t>Treatment of cystic fibrosis in patients aged 12 years and older who are homozygous for the F508del mutation in the CFTR gene.</w:t>
            </w:r>
          </w:p>
        </w:tc>
        <w:tc>
          <w:tcPr>
            <w:tcW w:w="2156" w:type="pct"/>
            <w:tcBorders>
              <w:top w:val="single" w:sz="4" w:space="0" w:color="auto"/>
              <w:left w:val="single" w:sz="4" w:space="0" w:color="auto"/>
              <w:bottom w:val="single" w:sz="4" w:space="0" w:color="auto"/>
              <w:right w:val="single" w:sz="4" w:space="0" w:color="auto"/>
            </w:tcBorders>
          </w:tcPr>
          <w:p w:rsidR="00F31AD4" w:rsidRPr="00DA2530" w:rsidRDefault="00F31AD4" w:rsidP="001E08C1">
            <w:pPr>
              <w:keepNext/>
              <w:widowControl/>
              <w:jc w:val="left"/>
              <w:rPr>
                <w:rFonts w:ascii="Arial Narrow" w:hAnsi="Arial Narrow" w:cs="Calibri"/>
                <w:sz w:val="20"/>
              </w:rPr>
            </w:pPr>
            <w:r w:rsidRPr="00DA2530">
              <w:rPr>
                <w:rFonts w:ascii="Arial Narrow" w:hAnsi="Arial Narrow" w:cs="Calibri"/>
                <w:sz w:val="20"/>
              </w:rPr>
              <w:t>As per March 2016, with changes suggested by the Secretariat during the evaluation of the March 2016 submission. November 2016 suggested changes were not incorporated.</w:t>
            </w:r>
          </w:p>
        </w:tc>
      </w:tr>
      <w:tr w:rsidR="00F31AD4" w:rsidRPr="00DA2530" w:rsidTr="00F31AD4">
        <w:tc>
          <w:tcPr>
            <w:tcW w:w="688" w:type="pct"/>
            <w:tcBorders>
              <w:top w:val="single" w:sz="4" w:space="0" w:color="auto"/>
              <w:left w:val="single" w:sz="4" w:space="0" w:color="auto"/>
              <w:bottom w:val="single" w:sz="4" w:space="0" w:color="auto"/>
              <w:right w:val="single" w:sz="4" w:space="0" w:color="auto"/>
            </w:tcBorders>
            <w:hideMark/>
          </w:tcPr>
          <w:p w:rsidR="00F31AD4" w:rsidRPr="00DA2530" w:rsidRDefault="00F31AD4" w:rsidP="001E08C1">
            <w:pPr>
              <w:widowControl/>
              <w:rPr>
                <w:rFonts w:ascii="Arial Narrow" w:hAnsi="Arial Narrow" w:cs="Calibri"/>
                <w:sz w:val="20"/>
                <w:lang w:eastAsia="en-AU"/>
              </w:rPr>
            </w:pPr>
            <w:r w:rsidRPr="00DA2530">
              <w:rPr>
                <w:rFonts w:ascii="Arial Narrow" w:hAnsi="Arial Narrow" w:cs="Calibri"/>
                <w:sz w:val="20"/>
              </w:rPr>
              <w:t>Requested price</w:t>
            </w:r>
          </w:p>
        </w:tc>
        <w:tc>
          <w:tcPr>
            <w:tcW w:w="2156" w:type="pct"/>
            <w:tcBorders>
              <w:top w:val="single" w:sz="4" w:space="0" w:color="auto"/>
              <w:left w:val="single" w:sz="4" w:space="0" w:color="auto"/>
              <w:bottom w:val="single" w:sz="4" w:space="0" w:color="auto"/>
              <w:right w:val="single" w:sz="4" w:space="0" w:color="auto"/>
            </w:tcBorders>
            <w:hideMark/>
          </w:tcPr>
          <w:p w:rsidR="00F31AD4" w:rsidRPr="00DA2530" w:rsidRDefault="00F31AD4" w:rsidP="001E08C1">
            <w:pPr>
              <w:widowControl/>
              <w:jc w:val="left"/>
              <w:rPr>
                <w:rFonts w:ascii="Arial Narrow" w:hAnsi="Arial Narrow" w:cs="Calibri"/>
                <w:sz w:val="20"/>
              </w:rPr>
            </w:pPr>
            <w:r w:rsidRPr="00DA2530">
              <w:rPr>
                <w:rFonts w:ascii="Arial Narrow" w:hAnsi="Arial Narrow" w:cs="Calibri"/>
                <w:sz w:val="20"/>
              </w:rPr>
              <w:t>S100 HSD public hospital DPMQ: $</w:t>
            </w:r>
            <w:r w:rsidR="00A42B97">
              <w:rPr>
                <w:rFonts w:ascii="Arial Narrow" w:hAnsi="Arial Narrow" w:cs="Calibri"/>
                <w:noProof/>
                <w:color w:val="000000"/>
                <w:sz w:val="20"/>
                <w:highlight w:val="black"/>
              </w:rPr>
              <w:t>''''''''''''''''</w:t>
            </w:r>
          </w:p>
        </w:tc>
        <w:tc>
          <w:tcPr>
            <w:tcW w:w="2156" w:type="pct"/>
            <w:tcBorders>
              <w:top w:val="single" w:sz="4" w:space="0" w:color="auto"/>
              <w:left w:val="single" w:sz="4" w:space="0" w:color="auto"/>
              <w:bottom w:val="single" w:sz="4" w:space="0" w:color="auto"/>
              <w:right w:val="single" w:sz="4" w:space="0" w:color="auto"/>
            </w:tcBorders>
          </w:tcPr>
          <w:p w:rsidR="00F31AD4" w:rsidRPr="00DA2530" w:rsidRDefault="00F31AD4" w:rsidP="001E08C1">
            <w:pPr>
              <w:widowControl/>
              <w:jc w:val="left"/>
              <w:rPr>
                <w:rFonts w:ascii="Arial Narrow" w:hAnsi="Arial Narrow" w:cs="Calibri"/>
                <w:sz w:val="20"/>
              </w:rPr>
            </w:pPr>
            <w:r w:rsidRPr="00DA2530">
              <w:rPr>
                <w:rFonts w:ascii="Arial Narrow" w:hAnsi="Arial Narrow" w:cs="Calibri"/>
                <w:sz w:val="20"/>
              </w:rPr>
              <w:t>As per March 2016</w:t>
            </w:r>
          </w:p>
        </w:tc>
      </w:tr>
      <w:tr w:rsidR="00F31AD4" w:rsidRPr="00DA2530" w:rsidTr="00F31AD4">
        <w:tc>
          <w:tcPr>
            <w:tcW w:w="688" w:type="pct"/>
            <w:tcBorders>
              <w:top w:val="single" w:sz="4" w:space="0" w:color="auto"/>
              <w:left w:val="single" w:sz="4" w:space="0" w:color="auto"/>
              <w:bottom w:val="single" w:sz="4" w:space="0" w:color="auto"/>
              <w:right w:val="single" w:sz="4" w:space="0" w:color="auto"/>
            </w:tcBorders>
            <w:hideMark/>
          </w:tcPr>
          <w:p w:rsidR="00F31AD4" w:rsidRPr="00DA2530" w:rsidRDefault="00F31AD4" w:rsidP="001E08C1">
            <w:pPr>
              <w:widowControl/>
              <w:rPr>
                <w:rFonts w:ascii="Arial Narrow" w:hAnsi="Arial Narrow" w:cs="Calibri"/>
                <w:sz w:val="20"/>
                <w:lang w:eastAsia="en-AU"/>
              </w:rPr>
            </w:pPr>
            <w:r w:rsidRPr="00DA2530">
              <w:rPr>
                <w:rFonts w:ascii="Arial Narrow" w:hAnsi="Arial Narrow" w:cs="Calibri"/>
                <w:sz w:val="20"/>
              </w:rPr>
              <w:t>Main comparator</w:t>
            </w:r>
          </w:p>
        </w:tc>
        <w:tc>
          <w:tcPr>
            <w:tcW w:w="2156" w:type="pct"/>
            <w:tcBorders>
              <w:top w:val="single" w:sz="4" w:space="0" w:color="auto"/>
              <w:left w:val="single" w:sz="4" w:space="0" w:color="auto"/>
              <w:bottom w:val="single" w:sz="4" w:space="0" w:color="auto"/>
              <w:right w:val="single" w:sz="4" w:space="0" w:color="auto"/>
            </w:tcBorders>
          </w:tcPr>
          <w:p w:rsidR="00F31AD4" w:rsidRPr="00DA2530" w:rsidRDefault="00F31AD4" w:rsidP="001E08C1">
            <w:pPr>
              <w:widowControl/>
              <w:jc w:val="left"/>
              <w:rPr>
                <w:rFonts w:ascii="Arial Narrow" w:hAnsi="Arial Narrow" w:cs="Calibri"/>
                <w:sz w:val="20"/>
              </w:rPr>
            </w:pPr>
            <w:r w:rsidRPr="00DA2530">
              <w:rPr>
                <w:rFonts w:ascii="Arial Narrow" w:hAnsi="Arial Narrow" w:cs="Calibri"/>
                <w:sz w:val="20"/>
              </w:rPr>
              <w:t>Best supportive care</w:t>
            </w:r>
          </w:p>
          <w:p w:rsidR="00F31AD4" w:rsidRPr="00DA2530" w:rsidRDefault="00F31AD4" w:rsidP="001E08C1">
            <w:pPr>
              <w:widowControl/>
              <w:jc w:val="left"/>
              <w:rPr>
                <w:rFonts w:ascii="Arial Narrow" w:hAnsi="Arial Narrow" w:cs="Calibri"/>
                <w:sz w:val="20"/>
              </w:rPr>
            </w:pPr>
          </w:p>
          <w:p w:rsidR="00F31AD4" w:rsidRPr="00DA2530" w:rsidRDefault="00F31AD4" w:rsidP="001E08C1">
            <w:pPr>
              <w:widowControl/>
              <w:jc w:val="left"/>
              <w:rPr>
                <w:rFonts w:ascii="Arial Narrow" w:hAnsi="Arial Narrow" w:cs="Calibri"/>
                <w:sz w:val="20"/>
                <w:lang w:eastAsia="en-AU"/>
              </w:rPr>
            </w:pPr>
            <w:r w:rsidRPr="00DA2530">
              <w:rPr>
                <w:rFonts w:ascii="Arial Narrow" w:hAnsi="Arial Narrow" w:cs="Calibri"/>
                <w:b/>
                <w:sz w:val="20"/>
              </w:rPr>
              <w:t>PBAC comment:</w:t>
            </w:r>
            <w:r w:rsidRPr="00DA2530">
              <w:rPr>
                <w:rFonts w:ascii="Arial Narrow" w:hAnsi="Arial Narrow" w:cs="Calibri"/>
                <w:sz w:val="20"/>
              </w:rPr>
              <w:t xml:space="preserve"> Best supportive care was the appropriate comparator (7.4 of March 2016 PSD)</w:t>
            </w:r>
          </w:p>
        </w:tc>
        <w:tc>
          <w:tcPr>
            <w:tcW w:w="2156" w:type="pct"/>
            <w:tcBorders>
              <w:top w:val="single" w:sz="4" w:space="0" w:color="auto"/>
              <w:left w:val="single" w:sz="4" w:space="0" w:color="auto"/>
              <w:bottom w:val="single" w:sz="4" w:space="0" w:color="auto"/>
              <w:right w:val="single" w:sz="4" w:space="0" w:color="auto"/>
            </w:tcBorders>
          </w:tcPr>
          <w:p w:rsidR="00F31AD4" w:rsidRPr="00DA2530" w:rsidRDefault="00F31AD4" w:rsidP="001E08C1">
            <w:pPr>
              <w:widowControl/>
              <w:jc w:val="left"/>
              <w:rPr>
                <w:rFonts w:ascii="Arial Narrow" w:hAnsi="Arial Narrow" w:cs="Calibri"/>
                <w:sz w:val="20"/>
              </w:rPr>
            </w:pPr>
            <w:r w:rsidRPr="00DA2530">
              <w:rPr>
                <w:rFonts w:ascii="Arial Narrow" w:hAnsi="Arial Narrow" w:cs="Calibri"/>
                <w:sz w:val="20"/>
              </w:rPr>
              <w:t>As per March 2016</w:t>
            </w:r>
          </w:p>
        </w:tc>
      </w:tr>
      <w:tr w:rsidR="00F31AD4" w:rsidRPr="00DA2530" w:rsidTr="00F31AD4">
        <w:tc>
          <w:tcPr>
            <w:tcW w:w="688" w:type="pct"/>
            <w:tcBorders>
              <w:top w:val="single" w:sz="4" w:space="0" w:color="auto"/>
              <w:left w:val="single" w:sz="4" w:space="0" w:color="auto"/>
              <w:bottom w:val="single" w:sz="4" w:space="0" w:color="auto"/>
              <w:right w:val="single" w:sz="4" w:space="0" w:color="auto"/>
            </w:tcBorders>
            <w:hideMark/>
          </w:tcPr>
          <w:p w:rsidR="00F31AD4" w:rsidRPr="00DA2530" w:rsidRDefault="00F31AD4" w:rsidP="001E08C1">
            <w:pPr>
              <w:widowControl/>
              <w:rPr>
                <w:rFonts w:ascii="Arial Narrow" w:hAnsi="Arial Narrow" w:cs="Calibri"/>
                <w:sz w:val="20"/>
                <w:lang w:eastAsia="en-AU"/>
              </w:rPr>
            </w:pPr>
            <w:r w:rsidRPr="00DA2530">
              <w:rPr>
                <w:rFonts w:ascii="Arial Narrow" w:hAnsi="Arial Narrow" w:cs="Calibri"/>
                <w:sz w:val="20"/>
              </w:rPr>
              <w:t>Clinical evidence</w:t>
            </w:r>
          </w:p>
        </w:tc>
        <w:tc>
          <w:tcPr>
            <w:tcW w:w="2156" w:type="pct"/>
            <w:tcBorders>
              <w:top w:val="single" w:sz="4" w:space="0" w:color="auto"/>
              <w:left w:val="single" w:sz="4" w:space="0" w:color="auto"/>
              <w:bottom w:val="single" w:sz="4" w:space="0" w:color="auto"/>
              <w:right w:val="single" w:sz="4" w:space="0" w:color="auto"/>
            </w:tcBorders>
            <w:hideMark/>
          </w:tcPr>
          <w:p w:rsidR="00F31AD4" w:rsidRPr="00DA2530" w:rsidRDefault="00F31AD4" w:rsidP="001E08C1">
            <w:pPr>
              <w:widowControl/>
              <w:jc w:val="left"/>
              <w:rPr>
                <w:rFonts w:ascii="Arial Narrow" w:hAnsi="Arial Narrow" w:cs="Calibri"/>
                <w:sz w:val="20"/>
                <w:lang w:eastAsia="en-AU"/>
              </w:rPr>
            </w:pPr>
            <w:r w:rsidRPr="00DA2530">
              <w:rPr>
                <w:rFonts w:ascii="Arial Narrow" w:hAnsi="Arial Narrow" w:cs="Calibri"/>
                <w:sz w:val="20"/>
              </w:rPr>
              <w:t>Two head-to-head trials comparing lumacaftor/ivacaftor to placebo at 24 weeks; TRAFFIC (n=374) and TRANSPORT (n=376). Supportive evidence for further 24 weeks from one extension study (PROGRESS, n=516).</w:t>
            </w:r>
          </w:p>
        </w:tc>
        <w:tc>
          <w:tcPr>
            <w:tcW w:w="2156" w:type="pct"/>
            <w:tcBorders>
              <w:top w:val="single" w:sz="4" w:space="0" w:color="auto"/>
              <w:left w:val="single" w:sz="4" w:space="0" w:color="auto"/>
              <w:bottom w:val="single" w:sz="4" w:space="0" w:color="auto"/>
              <w:right w:val="single" w:sz="4" w:space="0" w:color="auto"/>
            </w:tcBorders>
          </w:tcPr>
          <w:p w:rsidR="00F31AD4" w:rsidRPr="00DA2530" w:rsidRDefault="00F31AD4" w:rsidP="001E08C1">
            <w:pPr>
              <w:widowControl/>
              <w:jc w:val="left"/>
              <w:rPr>
                <w:rFonts w:ascii="Arial Narrow" w:hAnsi="Arial Narrow" w:cs="Calibri"/>
                <w:sz w:val="20"/>
              </w:rPr>
            </w:pPr>
            <w:r w:rsidRPr="00DA2530">
              <w:rPr>
                <w:rFonts w:ascii="Arial Narrow" w:hAnsi="Arial Narrow" w:cs="Calibri"/>
                <w:sz w:val="20"/>
              </w:rPr>
              <w:t xml:space="preserve">As per March 2016 with the addition of extension </w:t>
            </w:r>
            <w:r w:rsidR="00147C39" w:rsidRPr="00DA2530">
              <w:rPr>
                <w:rFonts w:ascii="Arial Narrow" w:hAnsi="Arial Narrow" w:cs="Calibri"/>
                <w:sz w:val="20"/>
              </w:rPr>
              <w:t xml:space="preserve">study </w:t>
            </w:r>
            <w:r w:rsidRPr="00DA2530">
              <w:rPr>
                <w:rFonts w:ascii="Arial Narrow" w:hAnsi="Arial Narrow" w:cs="Calibri"/>
                <w:sz w:val="20"/>
              </w:rPr>
              <w:t>PROGRESS to week 96.</w:t>
            </w:r>
          </w:p>
        </w:tc>
      </w:tr>
      <w:tr w:rsidR="00F31AD4" w:rsidRPr="00DA2530" w:rsidTr="00F31AD4">
        <w:tc>
          <w:tcPr>
            <w:tcW w:w="688" w:type="pct"/>
            <w:tcBorders>
              <w:top w:val="single" w:sz="4" w:space="0" w:color="auto"/>
              <w:left w:val="single" w:sz="4" w:space="0" w:color="auto"/>
              <w:bottom w:val="single" w:sz="4" w:space="0" w:color="auto"/>
              <w:right w:val="single" w:sz="4" w:space="0" w:color="auto"/>
            </w:tcBorders>
            <w:hideMark/>
          </w:tcPr>
          <w:p w:rsidR="00F31AD4" w:rsidRPr="00DA2530" w:rsidRDefault="00F31AD4" w:rsidP="001E08C1">
            <w:pPr>
              <w:widowControl/>
              <w:rPr>
                <w:rFonts w:ascii="Arial Narrow" w:hAnsi="Arial Narrow" w:cs="Calibri"/>
                <w:sz w:val="20"/>
                <w:lang w:eastAsia="en-AU"/>
              </w:rPr>
            </w:pPr>
            <w:r w:rsidRPr="00DA2530">
              <w:rPr>
                <w:rFonts w:ascii="Arial Narrow" w:hAnsi="Arial Narrow" w:cs="Calibri"/>
                <w:sz w:val="20"/>
              </w:rPr>
              <w:t>Key effectiveness data</w:t>
            </w:r>
          </w:p>
        </w:tc>
        <w:tc>
          <w:tcPr>
            <w:tcW w:w="2156" w:type="pct"/>
            <w:tcBorders>
              <w:top w:val="single" w:sz="4" w:space="0" w:color="auto"/>
              <w:left w:val="single" w:sz="4" w:space="0" w:color="auto"/>
              <w:bottom w:val="single" w:sz="4" w:space="0" w:color="auto"/>
              <w:right w:val="single" w:sz="4" w:space="0" w:color="auto"/>
            </w:tcBorders>
          </w:tcPr>
          <w:p w:rsidR="00F31AD4" w:rsidRPr="00DA2530" w:rsidRDefault="00F31AD4" w:rsidP="001E08C1">
            <w:pPr>
              <w:widowControl/>
              <w:snapToGrid w:val="0"/>
              <w:ind w:right="63"/>
              <w:contextualSpacing/>
              <w:jc w:val="left"/>
              <w:rPr>
                <w:rFonts w:ascii="Arial Narrow" w:hAnsi="Arial Narrow" w:cs="Calibri"/>
                <w:color w:val="000000"/>
                <w:sz w:val="20"/>
                <w:lang w:eastAsia="en-AU"/>
              </w:rPr>
            </w:pPr>
            <w:r w:rsidRPr="00DA2530">
              <w:rPr>
                <w:rFonts w:ascii="Arial Narrow" w:hAnsi="Arial Narrow" w:cs="Calibri"/>
                <w:color w:val="000000"/>
                <w:sz w:val="20"/>
                <w:lang w:eastAsia="en-AU"/>
              </w:rPr>
              <w:t>Absolute increase in pp</w:t>
            </w:r>
            <w:r w:rsidR="00023A66" w:rsidRPr="00DA2530">
              <w:rPr>
                <w:rFonts w:ascii="Arial Narrow" w:hAnsi="Arial Narrow" w:cs="Calibri"/>
                <w:color w:val="000000"/>
                <w:sz w:val="20"/>
                <w:lang w:eastAsia="en-AU"/>
              </w:rPr>
              <w:t>FEV</w:t>
            </w:r>
            <w:r w:rsidR="00023A66" w:rsidRPr="00DA2530">
              <w:rPr>
                <w:rFonts w:ascii="Arial Narrow" w:hAnsi="Arial Narrow" w:cs="Calibri"/>
                <w:color w:val="000000"/>
                <w:sz w:val="20"/>
                <w:vertAlign w:val="subscript"/>
                <w:lang w:eastAsia="en-AU"/>
              </w:rPr>
              <w:t>1</w:t>
            </w:r>
            <w:r w:rsidRPr="00DA2530">
              <w:rPr>
                <w:rFonts w:ascii="Arial Narrow" w:hAnsi="Arial Narrow" w:cs="Calibri"/>
                <w:color w:val="000000"/>
                <w:sz w:val="20"/>
                <w:lang w:eastAsia="en-AU"/>
              </w:rPr>
              <w:t xml:space="preserve"> of 2.8% (measured as the average of weeks 16 and 24).  Reduction in the annualised rate of pulmonary exacerbations, including those that required hospitalisation and/or </w:t>
            </w:r>
            <w:r w:rsidR="003E3E97">
              <w:rPr>
                <w:rFonts w:ascii="Arial Narrow" w:hAnsi="Arial Narrow" w:cs="Calibri"/>
                <w:color w:val="000000"/>
                <w:sz w:val="20"/>
                <w:lang w:eastAsia="en-AU"/>
              </w:rPr>
              <w:t>IV</w:t>
            </w:r>
            <w:r w:rsidR="003E3E97" w:rsidRPr="00DA2530">
              <w:rPr>
                <w:rFonts w:ascii="Arial Narrow" w:hAnsi="Arial Narrow" w:cs="Calibri"/>
                <w:color w:val="000000"/>
                <w:sz w:val="20"/>
                <w:lang w:eastAsia="en-AU"/>
              </w:rPr>
              <w:t xml:space="preserve"> </w:t>
            </w:r>
            <w:r w:rsidRPr="00DA2530">
              <w:rPr>
                <w:rFonts w:ascii="Arial Narrow" w:hAnsi="Arial Narrow" w:cs="Calibri"/>
                <w:color w:val="000000"/>
                <w:sz w:val="20"/>
                <w:lang w:eastAsia="en-AU"/>
              </w:rPr>
              <w:t>antibiotics.</w:t>
            </w:r>
          </w:p>
          <w:p w:rsidR="00F31AD4" w:rsidRPr="00DA2530" w:rsidRDefault="00F31AD4" w:rsidP="001E08C1">
            <w:pPr>
              <w:widowControl/>
              <w:snapToGrid w:val="0"/>
              <w:ind w:right="63"/>
              <w:contextualSpacing/>
              <w:jc w:val="left"/>
              <w:rPr>
                <w:rFonts w:ascii="Arial Narrow" w:hAnsi="Arial Narrow" w:cs="Calibri"/>
                <w:color w:val="000000"/>
                <w:sz w:val="20"/>
                <w:lang w:eastAsia="en-AU"/>
              </w:rPr>
            </w:pPr>
          </w:p>
          <w:p w:rsidR="00F31AD4" w:rsidRPr="00DA2530" w:rsidRDefault="00F31AD4" w:rsidP="001E08C1">
            <w:pPr>
              <w:widowControl/>
              <w:snapToGrid w:val="0"/>
              <w:ind w:right="63"/>
              <w:contextualSpacing/>
              <w:jc w:val="left"/>
              <w:rPr>
                <w:rFonts w:ascii="Arial Narrow" w:hAnsi="Arial Narrow" w:cs="Calibri"/>
                <w:color w:val="000000"/>
                <w:sz w:val="20"/>
              </w:rPr>
            </w:pPr>
            <w:r w:rsidRPr="00DA2530">
              <w:rPr>
                <w:rFonts w:ascii="Arial Narrow" w:hAnsi="Arial Narrow" w:cs="Calibri"/>
                <w:b/>
                <w:color w:val="000000"/>
                <w:sz w:val="20"/>
                <w:lang w:eastAsia="en-AU"/>
              </w:rPr>
              <w:t xml:space="preserve">PBAC comment: </w:t>
            </w:r>
            <w:r w:rsidRPr="00DA2530">
              <w:rPr>
                <w:rFonts w:ascii="Arial Narrow" w:hAnsi="Arial Narrow"/>
                <w:sz w:val="20"/>
              </w:rPr>
              <w:t>“…it was uncertain whether this observed improvement in p</w:t>
            </w:r>
            <w:r w:rsidRPr="00DA2530">
              <w:rPr>
                <w:rFonts w:ascii="Arial Narrow" w:hAnsi="Arial Narrow" w:cs="Calibri"/>
                <w:color w:val="000000"/>
                <w:sz w:val="20"/>
                <w:lang w:eastAsia="en-AU"/>
              </w:rPr>
              <w:t>p</w:t>
            </w:r>
            <w:r w:rsidR="00023A66" w:rsidRPr="00DA2530">
              <w:rPr>
                <w:rFonts w:ascii="Arial Narrow" w:hAnsi="Arial Narrow" w:cs="Calibri"/>
                <w:color w:val="000000"/>
                <w:sz w:val="20"/>
                <w:lang w:eastAsia="en-AU"/>
              </w:rPr>
              <w:t>FEV</w:t>
            </w:r>
            <w:r w:rsidR="00023A66" w:rsidRPr="00DA2530">
              <w:rPr>
                <w:rFonts w:ascii="Arial Narrow" w:hAnsi="Arial Narrow" w:cs="Calibri"/>
                <w:color w:val="000000"/>
                <w:sz w:val="20"/>
                <w:vertAlign w:val="subscript"/>
                <w:lang w:eastAsia="en-AU"/>
              </w:rPr>
              <w:t>1</w:t>
            </w:r>
            <w:r w:rsidRPr="00DA2530">
              <w:rPr>
                <w:rFonts w:ascii="Arial Narrow" w:hAnsi="Arial Narrow"/>
                <w:sz w:val="20"/>
                <w:vertAlign w:val="subscript"/>
              </w:rPr>
              <w:t xml:space="preserve"> </w:t>
            </w:r>
            <w:r w:rsidRPr="00DA2530">
              <w:rPr>
                <w:rFonts w:ascii="Arial Narrow" w:hAnsi="Arial Narrow"/>
                <w:sz w:val="20"/>
              </w:rPr>
              <w:t>[2.81%] represented a clinically significant difference, noting that this was considerably smaller than the improvement of 10.58% (95% CI: 8.57, 12.59) demonstrated for ivacaftor monotherapy.” (paragraph 7.6 of March 2016 PSD)</w:t>
            </w:r>
          </w:p>
        </w:tc>
        <w:tc>
          <w:tcPr>
            <w:tcW w:w="2156" w:type="pct"/>
            <w:tcBorders>
              <w:top w:val="single" w:sz="4" w:space="0" w:color="auto"/>
              <w:left w:val="single" w:sz="4" w:space="0" w:color="auto"/>
              <w:bottom w:val="single" w:sz="4" w:space="0" w:color="auto"/>
              <w:right w:val="single" w:sz="4" w:space="0" w:color="auto"/>
            </w:tcBorders>
          </w:tcPr>
          <w:p w:rsidR="00F31AD4" w:rsidRPr="00DA2530" w:rsidRDefault="00F31AD4" w:rsidP="001E08C1">
            <w:pPr>
              <w:widowControl/>
              <w:jc w:val="left"/>
              <w:rPr>
                <w:rFonts w:ascii="Arial Narrow" w:hAnsi="Arial Narrow" w:cs="Calibri"/>
                <w:sz w:val="20"/>
              </w:rPr>
            </w:pPr>
            <w:r w:rsidRPr="00DA2530">
              <w:rPr>
                <w:rFonts w:ascii="Arial Narrow" w:hAnsi="Arial Narrow" w:cs="Calibri"/>
                <w:sz w:val="20"/>
              </w:rPr>
              <w:t xml:space="preserve">The increase in </w:t>
            </w:r>
            <w:r w:rsidRPr="00DA2530">
              <w:rPr>
                <w:rFonts w:ascii="Arial Narrow" w:hAnsi="Arial Narrow" w:cs="Calibri"/>
                <w:color w:val="000000"/>
                <w:sz w:val="20"/>
                <w:lang w:eastAsia="en-AU"/>
              </w:rPr>
              <w:t>pp</w:t>
            </w:r>
            <w:r w:rsidR="00023A66" w:rsidRPr="00DA2530">
              <w:rPr>
                <w:rFonts w:ascii="Arial Narrow" w:hAnsi="Arial Narrow" w:cs="Calibri"/>
                <w:color w:val="000000"/>
                <w:sz w:val="20"/>
                <w:lang w:eastAsia="en-AU"/>
              </w:rPr>
              <w:t>FEV</w:t>
            </w:r>
            <w:r w:rsidR="00023A66" w:rsidRPr="00DA2530">
              <w:rPr>
                <w:rFonts w:ascii="Arial Narrow" w:hAnsi="Arial Narrow" w:cs="Calibri"/>
                <w:color w:val="000000"/>
                <w:sz w:val="20"/>
                <w:vertAlign w:val="subscript"/>
                <w:lang w:eastAsia="en-AU"/>
              </w:rPr>
              <w:t>1</w:t>
            </w:r>
            <w:r w:rsidRPr="00DA2530">
              <w:rPr>
                <w:rFonts w:ascii="Arial Narrow" w:hAnsi="Arial Narrow" w:cs="Calibri"/>
                <w:sz w:val="20"/>
              </w:rPr>
              <w:t xml:space="preserve"> observed in TRAFFIC and TRANSPORT at week 24 in lumacaftor/ivacaftor treated patients was not maintained at week 72 or </w:t>
            </w:r>
            <w:r w:rsidRPr="00132AED">
              <w:rPr>
                <w:rFonts w:ascii="Arial Narrow" w:hAnsi="Arial Narrow" w:cs="Calibri"/>
                <w:sz w:val="20"/>
              </w:rPr>
              <w:t xml:space="preserve">96. </w:t>
            </w:r>
            <w:r w:rsidR="00132AED" w:rsidRPr="00132AED">
              <w:rPr>
                <w:rFonts w:ascii="Arial Narrow" w:hAnsi="Arial Narrow" w:cs="Calibri"/>
                <w:sz w:val="20"/>
              </w:rPr>
              <w:t xml:space="preserve">While </w:t>
            </w:r>
            <w:r w:rsidRPr="00132AED">
              <w:rPr>
                <w:rFonts w:ascii="Arial Narrow" w:hAnsi="Arial Narrow" w:cs="Calibri"/>
                <w:sz w:val="20"/>
              </w:rPr>
              <w:t>p</w:t>
            </w:r>
            <w:r w:rsidRPr="00132AED">
              <w:rPr>
                <w:rFonts w:ascii="Arial Narrow" w:hAnsi="Arial Narrow" w:cs="Calibri"/>
                <w:color w:val="000000"/>
                <w:sz w:val="20"/>
                <w:lang w:eastAsia="en-AU"/>
              </w:rPr>
              <w:t>p</w:t>
            </w:r>
            <w:r w:rsidR="00023A66" w:rsidRPr="00132AED">
              <w:rPr>
                <w:rFonts w:ascii="Arial Narrow" w:hAnsi="Arial Narrow" w:cs="Calibri"/>
                <w:color w:val="000000"/>
                <w:sz w:val="20"/>
                <w:lang w:eastAsia="en-AU"/>
              </w:rPr>
              <w:t>FEV</w:t>
            </w:r>
            <w:r w:rsidR="00023A66" w:rsidRPr="00132AED">
              <w:rPr>
                <w:rFonts w:ascii="Arial Narrow" w:hAnsi="Arial Narrow" w:cs="Calibri"/>
                <w:color w:val="000000"/>
                <w:sz w:val="20"/>
                <w:vertAlign w:val="subscript"/>
                <w:lang w:eastAsia="en-AU"/>
              </w:rPr>
              <w:t>1</w:t>
            </w:r>
            <w:r w:rsidRPr="00132AED">
              <w:rPr>
                <w:rFonts w:ascii="Arial Narrow" w:hAnsi="Arial Narrow" w:cs="Calibri"/>
                <w:color w:val="000000"/>
                <w:sz w:val="20"/>
                <w:lang w:eastAsia="en-AU"/>
              </w:rPr>
              <w:t xml:space="preserve"> di</w:t>
            </w:r>
            <w:r w:rsidRPr="00132AED">
              <w:rPr>
                <w:rFonts w:ascii="Arial Narrow" w:hAnsi="Arial Narrow" w:cs="Calibri"/>
                <w:sz w:val="20"/>
              </w:rPr>
              <w:t>d remain above the</w:t>
            </w:r>
            <w:r w:rsidRPr="00226B30">
              <w:rPr>
                <w:rFonts w:ascii="Arial Narrow" w:hAnsi="Arial Narrow" w:cs="Calibri"/>
                <w:sz w:val="20"/>
              </w:rPr>
              <w:t xml:space="preserve"> original pre-treatment baseline at these </w:t>
            </w:r>
            <w:r w:rsidR="00387CBB" w:rsidRPr="00226B30">
              <w:rPr>
                <w:rFonts w:ascii="Arial Narrow" w:hAnsi="Arial Narrow" w:cs="Calibri"/>
                <w:sz w:val="20"/>
              </w:rPr>
              <w:t>time points</w:t>
            </w:r>
            <w:r w:rsidR="00132AED" w:rsidRPr="00226B30">
              <w:rPr>
                <w:rFonts w:ascii="Arial Narrow" w:hAnsi="Arial Narrow" w:cs="Calibri"/>
                <w:sz w:val="20"/>
              </w:rPr>
              <w:t>, this difference was not statistically significant</w:t>
            </w:r>
            <w:r w:rsidRPr="00226B30">
              <w:rPr>
                <w:rFonts w:ascii="Arial Narrow" w:hAnsi="Arial Narrow" w:cs="Calibri"/>
                <w:sz w:val="20"/>
              </w:rPr>
              <w:t>.</w:t>
            </w:r>
          </w:p>
          <w:p w:rsidR="00F31AD4" w:rsidRPr="00DA2530" w:rsidRDefault="00F31AD4" w:rsidP="001E08C1">
            <w:pPr>
              <w:widowControl/>
              <w:jc w:val="left"/>
              <w:rPr>
                <w:rFonts w:ascii="Arial Narrow" w:hAnsi="Arial Narrow" w:cs="Calibri"/>
                <w:sz w:val="20"/>
              </w:rPr>
            </w:pPr>
          </w:p>
          <w:p w:rsidR="00F31AD4" w:rsidRPr="00DA2530" w:rsidRDefault="00F31AD4" w:rsidP="001E08C1">
            <w:pPr>
              <w:widowControl/>
              <w:jc w:val="left"/>
              <w:rPr>
                <w:rFonts w:ascii="Arial Narrow" w:hAnsi="Arial Narrow" w:cs="Calibri"/>
                <w:sz w:val="20"/>
              </w:rPr>
            </w:pPr>
          </w:p>
        </w:tc>
      </w:tr>
      <w:tr w:rsidR="00F31AD4" w:rsidRPr="00DA2530" w:rsidTr="00F31AD4">
        <w:tc>
          <w:tcPr>
            <w:tcW w:w="688" w:type="pct"/>
            <w:tcBorders>
              <w:top w:val="single" w:sz="4" w:space="0" w:color="auto"/>
              <w:left w:val="single" w:sz="4" w:space="0" w:color="auto"/>
              <w:bottom w:val="single" w:sz="4" w:space="0" w:color="auto"/>
              <w:right w:val="single" w:sz="4" w:space="0" w:color="auto"/>
            </w:tcBorders>
            <w:hideMark/>
          </w:tcPr>
          <w:p w:rsidR="00F31AD4" w:rsidRPr="00DA2530" w:rsidRDefault="00F31AD4" w:rsidP="001E08C1">
            <w:pPr>
              <w:widowControl/>
              <w:rPr>
                <w:rFonts w:ascii="Arial Narrow" w:hAnsi="Arial Narrow" w:cs="Calibri"/>
                <w:sz w:val="20"/>
                <w:lang w:eastAsia="en-AU"/>
              </w:rPr>
            </w:pPr>
            <w:r w:rsidRPr="00DA2530">
              <w:rPr>
                <w:rFonts w:ascii="Arial Narrow" w:hAnsi="Arial Narrow" w:cs="Calibri"/>
                <w:sz w:val="20"/>
              </w:rPr>
              <w:t>Clinical claim</w:t>
            </w:r>
          </w:p>
        </w:tc>
        <w:tc>
          <w:tcPr>
            <w:tcW w:w="2156" w:type="pct"/>
            <w:tcBorders>
              <w:top w:val="single" w:sz="4" w:space="0" w:color="auto"/>
              <w:left w:val="single" w:sz="4" w:space="0" w:color="auto"/>
              <w:bottom w:val="single" w:sz="4" w:space="0" w:color="auto"/>
              <w:right w:val="single" w:sz="4" w:space="0" w:color="auto"/>
            </w:tcBorders>
          </w:tcPr>
          <w:p w:rsidR="00F31AD4" w:rsidRPr="00DA2530" w:rsidRDefault="00F31AD4" w:rsidP="001E08C1">
            <w:pPr>
              <w:widowControl/>
              <w:jc w:val="left"/>
              <w:rPr>
                <w:rFonts w:ascii="Arial Narrow" w:hAnsi="Arial Narrow" w:cs="Calibri"/>
                <w:sz w:val="20"/>
              </w:rPr>
            </w:pPr>
            <w:r w:rsidRPr="00DA2530">
              <w:rPr>
                <w:rFonts w:ascii="Arial Narrow" w:hAnsi="Arial Narrow" w:cs="Calibri"/>
                <w:sz w:val="20"/>
              </w:rPr>
              <w:t>Superior in terms of comparative effectiveness and equivalent in terms of comparative safety over best supportive care.</w:t>
            </w:r>
          </w:p>
          <w:p w:rsidR="00F31AD4" w:rsidRPr="00DA2530" w:rsidRDefault="00F31AD4" w:rsidP="001E08C1">
            <w:pPr>
              <w:widowControl/>
              <w:jc w:val="left"/>
              <w:rPr>
                <w:rFonts w:ascii="Arial Narrow" w:hAnsi="Arial Narrow" w:cs="Calibri"/>
                <w:sz w:val="20"/>
              </w:rPr>
            </w:pPr>
          </w:p>
          <w:p w:rsidR="00F31AD4" w:rsidRPr="00DA2530" w:rsidRDefault="00F31AD4" w:rsidP="001E08C1">
            <w:pPr>
              <w:widowControl/>
              <w:jc w:val="left"/>
              <w:rPr>
                <w:rFonts w:ascii="Arial Narrow" w:hAnsi="Arial Narrow" w:cs="Calibri"/>
                <w:color w:val="0000FF"/>
                <w:sz w:val="20"/>
              </w:rPr>
            </w:pPr>
            <w:r w:rsidRPr="00DA2530">
              <w:rPr>
                <w:rFonts w:ascii="Arial Narrow" w:hAnsi="Arial Narrow" w:cs="Calibri"/>
                <w:b/>
                <w:sz w:val="20"/>
              </w:rPr>
              <w:t>PBAC comment</w:t>
            </w:r>
            <w:r w:rsidR="00D923C8">
              <w:rPr>
                <w:rFonts w:ascii="Arial Narrow" w:hAnsi="Arial Narrow" w:cs="Calibri"/>
                <w:sz w:val="20"/>
              </w:rPr>
              <w:t>: “The extrapolation of short-</w:t>
            </w:r>
            <w:r w:rsidRPr="00DA2530">
              <w:rPr>
                <w:rFonts w:ascii="Arial Narrow" w:hAnsi="Arial Narrow" w:cs="Calibri"/>
                <w:sz w:val="20"/>
              </w:rPr>
              <w:t>term results to longer term efficacy was uncertain” and “long-term safety of lumacaftor/ivacaftor is unknown” (paragraph 7.7 and 7.10 of March 2016 PSD)</w:t>
            </w:r>
          </w:p>
        </w:tc>
        <w:tc>
          <w:tcPr>
            <w:tcW w:w="2156" w:type="pct"/>
            <w:tcBorders>
              <w:top w:val="single" w:sz="4" w:space="0" w:color="auto"/>
              <w:left w:val="single" w:sz="4" w:space="0" w:color="auto"/>
              <w:bottom w:val="single" w:sz="4" w:space="0" w:color="auto"/>
              <w:right w:val="single" w:sz="4" w:space="0" w:color="auto"/>
            </w:tcBorders>
          </w:tcPr>
          <w:p w:rsidR="00F31AD4" w:rsidRPr="00DA2530" w:rsidRDefault="00F31AD4" w:rsidP="001E08C1">
            <w:pPr>
              <w:widowControl/>
              <w:jc w:val="left"/>
              <w:rPr>
                <w:rFonts w:ascii="Arial Narrow" w:hAnsi="Arial Narrow" w:cs="Calibri"/>
                <w:sz w:val="20"/>
              </w:rPr>
            </w:pPr>
            <w:r w:rsidRPr="00DA2530">
              <w:rPr>
                <w:rFonts w:ascii="Arial Narrow" w:hAnsi="Arial Narrow" w:cs="Calibri"/>
                <w:sz w:val="20"/>
              </w:rPr>
              <w:t>The resubmission claimed that longer-term data from the PROGRESS study provided further evidence that lumacaftor/ivacaftor is a disease modifying therapy, and the longer-term safety profile was consistent with the previous data in TRAFFIC and TRANSPORT.</w:t>
            </w:r>
          </w:p>
        </w:tc>
      </w:tr>
      <w:tr w:rsidR="00F31AD4" w:rsidRPr="00DA2530" w:rsidTr="00F31AD4">
        <w:tc>
          <w:tcPr>
            <w:tcW w:w="688" w:type="pct"/>
            <w:tcBorders>
              <w:top w:val="single" w:sz="4" w:space="0" w:color="auto"/>
              <w:left w:val="single" w:sz="4" w:space="0" w:color="auto"/>
              <w:bottom w:val="single" w:sz="4" w:space="0" w:color="auto"/>
              <w:right w:val="single" w:sz="4" w:space="0" w:color="auto"/>
            </w:tcBorders>
            <w:hideMark/>
          </w:tcPr>
          <w:p w:rsidR="00F31AD4" w:rsidRPr="00DA2530" w:rsidRDefault="00F31AD4" w:rsidP="001E08C1">
            <w:pPr>
              <w:widowControl/>
              <w:rPr>
                <w:rFonts w:ascii="Arial Narrow" w:hAnsi="Arial Narrow" w:cs="Calibri"/>
                <w:sz w:val="20"/>
                <w:lang w:eastAsia="en-AU"/>
              </w:rPr>
            </w:pPr>
            <w:r w:rsidRPr="00DA2530">
              <w:rPr>
                <w:rFonts w:ascii="Arial Narrow" w:hAnsi="Arial Narrow" w:cs="Calibri"/>
                <w:sz w:val="20"/>
              </w:rPr>
              <w:t>Economic evaluation</w:t>
            </w:r>
          </w:p>
        </w:tc>
        <w:tc>
          <w:tcPr>
            <w:tcW w:w="2156" w:type="pct"/>
            <w:tcBorders>
              <w:top w:val="single" w:sz="4" w:space="0" w:color="auto"/>
              <w:left w:val="single" w:sz="4" w:space="0" w:color="auto"/>
              <w:bottom w:val="single" w:sz="4" w:space="0" w:color="auto"/>
              <w:right w:val="single" w:sz="4" w:space="0" w:color="auto"/>
            </w:tcBorders>
          </w:tcPr>
          <w:p w:rsidR="00F33977" w:rsidRPr="00DA2530" w:rsidRDefault="00F31AD4" w:rsidP="001E08C1">
            <w:pPr>
              <w:widowControl/>
              <w:jc w:val="left"/>
              <w:rPr>
                <w:rFonts w:ascii="Arial Narrow" w:hAnsi="Arial Narrow" w:cs="Calibri"/>
                <w:sz w:val="20"/>
              </w:rPr>
            </w:pPr>
            <w:r w:rsidRPr="00DA2530">
              <w:rPr>
                <w:rFonts w:ascii="Arial Narrow" w:hAnsi="Arial Narrow" w:cs="Calibri"/>
                <w:sz w:val="20"/>
              </w:rPr>
              <w:t>Cost-utility model with cost/QALY of</w:t>
            </w:r>
            <w:r w:rsidR="00F33977" w:rsidRPr="00DA2530">
              <w:rPr>
                <w:rFonts w:ascii="Arial Narrow" w:hAnsi="Arial Narrow" w:cs="Calibri"/>
                <w:sz w:val="20"/>
              </w:rPr>
              <w:t>:</w:t>
            </w:r>
          </w:p>
          <w:p w:rsidR="00F33977" w:rsidRPr="00DA2530" w:rsidRDefault="00F33977" w:rsidP="001E08C1">
            <w:pPr>
              <w:pStyle w:val="ListParagraph"/>
              <w:widowControl/>
              <w:numPr>
                <w:ilvl w:val="0"/>
                <w:numId w:val="19"/>
              </w:numPr>
              <w:ind w:left="306"/>
              <w:jc w:val="left"/>
              <w:rPr>
                <w:rFonts w:ascii="Arial Narrow" w:hAnsi="Arial Narrow" w:cs="Calibri"/>
                <w:b/>
                <w:sz w:val="20"/>
              </w:rPr>
            </w:pPr>
            <w:r w:rsidRPr="00DA2530">
              <w:rPr>
                <w:rFonts w:ascii="Arial Narrow" w:hAnsi="Arial Narrow" w:cs="Calibri"/>
                <w:sz w:val="20"/>
              </w:rPr>
              <w:t xml:space="preserve">March 2016: </w:t>
            </w:r>
            <w:r w:rsidR="00F31AD4" w:rsidRPr="00DA2530">
              <w:rPr>
                <w:rFonts w:ascii="Arial Narrow" w:hAnsi="Arial Narrow" w:cs="Calibri"/>
                <w:sz w:val="20"/>
              </w:rPr>
              <w:t>$</w:t>
            </w:r>
            <w:r w:rsidR="00A42B97">
              <w:rPr>
                <w:rFonts w:ascii="Arial Narrow" w:hAnsi="Arial Narrow" w:cs="Calibri"/>
                <w:noProof/>
                <w:color w:val="000000"/>
                <w:sz w:val="20"/>
                <w:highlight w:val="black"/>
              </w:rPr>
              <w:t>'''''''''''''''''</w:t>
            </w:r>
            <w:r w:rsidR="00070ACB" w:rsidRPr="0075630F">
              <w:rPr>
                <w:rFonts w:ascii="Arial Narrow" w:hAnsi="Arial Narrow" w:cs="Calibri"/>
                <w:sz w:val="20"/>
              </w:rPr>
              <w:t>more than $200,000</w:t>
            </w:r>
            <w:r w:rsidR="00F31AD4" w:rsidRPr="00DA2530">
              <w:rPr>
                <w:rFonts w:ascii="Arial Narrow" w:hAnsi="Arial Narrow" w:cs="Calibri"/>
                <w:sz w:val="20"/>
              </w:rPr>
              <w:t>.</w:t>
            </w:r>
          </w:p>
          <w:p w:rsidR="00BA1214" w:rsidRPr="00DA2530" w:rsidRDefault="00F33977" w:rsidP="001E08C1">
            <w:pPr>
              <w:pStyle w:val="ListParagraph"/>
              <w:widowControl/>
              <w:numPr>
                <w:ilvl w:val="0"/>
                <w:numId w:val="19"/>
              </w:numPr>
              <w:ind w:left="306"/>
              <w:jc w:val="left"/>
              <w:rPr>
                <w:rFonts w:ascii="Arial Narrow" w:hAnsi="Arial Narrow" w:cs="Calibri"/>
                <w:b/>
                <w:sz w:val="20"/>
              </w:rPr>
            </w:pPr>
            <w:r w:rsidRPr="00DA2530">
              <w:rPr>
                <w:rFonts w:ascii="Arial Narrow" w:hAnsi="Arial Narrow" w:cs="Calibri"/>
                <w:sz w:val="20"/>
              </w:rPr>
              <w:t xml:space="preserve">November 2016: </w:t>
            </w:r>
            <w:r w:rsidR="00A42B97">
              <w:rPr>
                <w:rFonts w:ascii="Arial Narrow" w:hAnsi="Arial Narrow" w:cs="Calibri"/>
                <w:noProof/>
                <w:color w:val="000000"/>
                <w:sz w:val="20"/>
                <w:highlight w:val="black"/>
              </w:rPr>
              <w:t>'''''''''''''''''''''</w:t>
            </w:r>
            <w:r w:rsidR="00070ACB" w:rsidRPr="0075630F">
              <w:rPr>
                <w:rFonts w:ascii="Arial Narrow" w:hAnsi="Arial Narrow" w:cs="Calibri"/>
                <w:sz w:val="20"/>
              </w:rPr>
              <w:t>more than $200,000</w:t>
            </w:r>
            <w:r w:rsidR="00070ACB" w:rsidRPr="00DA2530">
              <w:rPr>
                <w:rFonts w:ascii="Arial Narrow" w:hAnsi="Arial Narrow" w:cs="Calibri"/>
                <w:sz w:val="20"/>
              </w:rPr>
              <w:t xml:space="preserve"> </w:t>
            </w:r>
            <w:r w:rsidR="009D44FC" w:rsidRPr="001F1BA4">
              <w:rPr>
                <w:rFonts w:ascii="Arial Narrow" w:hAnsi="Arial Narrow" w:cs="Calibri"/>
                <w:sz w:val="20"/>
              </w:rPr>
              <w:t>(r</w:t>
            </w:r>
            <w:r w:rsidR="00F15C98" w:rsidRPr="001F1BA4">
              <w:rPr>
                <w:rFonts w:ascii="Arial Narrow" w:hAnsi="Arial Narrow" w:cs="Calibri"/>
                <w:sz w:val="20"/>
              </w:rPr>
              <w:t>evised to include a financial cap and reduce time to patent expiry and time to</w:t>
            </w:r>
            <w:r w:rsidR="00F15C98" w:rsidRPr="00DA2530">
              <w:rPr>
                <w:rFonts w:ascii="Arial Narrow" w:hAnsi="Arial Narrow" w:cs="Calibri"/>
                <w:sz w:val="20"/>
              </w:rPr>
              <w:t xml:space="preserve"> </w:t>
            </w:r>
            <w:r w:rsidR="00A42B97">
              <w:rPr>
                <w:rFonts w:ascii="Arial Narrow" w:hAnsi="Arial Narrow" w:cs="Calibri"/>
                <w:noProof/>
                <w:color w:val="000000"/>
                <w:sz w:val="20"/>
                <w:highlight w:val="black"/>
              </w:rPr>
              <w:t>''''''''''</w:t>
            </w:r>
            <w:r w:rsidR="00F15C98" w:rsidRPr="00DA2530">
              <w:rPr>
                <w:rFonts w:ascii="Arial Narrow" w:hAnsi="Arial Narrow" w:cs="Calibri"/>
                <w:sz w:val="20"/>
              </w:rPr>
              <w:t xml:space="preserve"> </w:t>
            </w:r>
            <w:r w:rsidR="00F15C98" w:rsidRPr="001F1BA4">
              <w:rPr>
                <w:rFonts w:ascii="Arial Narrow" w:hAnsi="Arial Narrow" w:cs="Calibri"/>
                <w:sz w:val="20"/>
              </w:rPr>
              <w:t>price reduction</w:t>
            </w:r>
            <w:r w:rsidR="009D44FC" w:rsidRPr="001F1BA4">
              <w:rPr>
                <w:rFonts w:ascii="Arial Narrow" w:hAnsi="Arial Narrow" w:cs="Calibri"/>
                <w:sz w:val="20"/>
              </w:rPr>
              <w:t>)</w:t>
            </w:r>
            <w:r w:rsidR="00F15C98" w:rsidRPr="001F1BA4">
              <w:rPr>
                <w:rFonts w:ascii="Arial Narrow" w:hAnsi="Arial Narrow" w:cs="Calibri"/>
                <w:sz w:val="20"/>
              </w:rPr>
              <w:t>.</w:t>
            </w:r>
            <w:r w:rsidR="00F15C98" w:rsidRPr="00DA2530">
              <w:rPr>
                <w:rFonts w:ascii="Arial Narrow" w:hAnsi="Arial Narrow" w:cs="Calibri"/>
                <w:sz w:val="20"/>
              </w:rPr>
              <w:t xml:space="preserve"> </w:t>
            </w:r>
          </w:p>
          <w:p w:rsidR="00BA1214" w:rsidRPr="00DA2530" w:rsidRDefault="00BA1214" w:rsidP="001E08C1">
            <w:pPr>
              <w:widowControl/>
              <w:jc w:val="left"/>
              <w:rPr>
                <w:rFonts w:ascii="Arial Narrow" w:hAnsi="Arial Narrow" w:cs="Calibri"/>
                <w:b/>
                <w:sz w:val="20"/>
              </w:rPr>
            </w:pPr>
          </w:p>
          <w:p w:rsidR="00F31AD4" w:rsidRPr="00DA2530" w:rsidRDefault="00F31AD4" w:rsidP="001E08C1">
            <w:pPr>
              <w:widowControl/>
              <w:jc w:val="left"/>
              <w:rPr>
                <w:rFonts w:ascii="Arial Narrow" w:hAnsi="Arial Narrow" w:cs="Calibri"/>
                <w:sz w:val="20"/>
              </w:rPr>
            </w:pPr>
            <w:r w:rsidRPr="00DA2530">
              <w:rPr>
                <w:rFonts w:ascii="Arial Narrow" w:hAnsi="Arial Narrow" w:cs="Calibri"/>
                <w:b/>
                <w:sz w:val="20"/>
              </w:rPr>
              <w:t>PBAC comment</w:t>
            </w:r>
            <w:r w:rsidRPr="00DA2530">
              <w:rPr>
                <w:rFonts w:ascii="Arial Narrow" w:hAnsi="Arial Narrow" w:cs="Calibri"/>
                <w:sz w:val="20"/>
              </w:rPr>
              <w:t>: “Unacceptably high and uncertain ICER at the requested price and uncertainty around the impact of lumacaftor/ivacaftor on long</w:t>
            </w:r>
            <w:r w:rsidR="00D923C8">
              <w:rPr>
                <w:rFonts w:ascii="Arial Narrow" w:hAnsi="Arial Narrow" w:cs="Calibri"/>
                <w:sz w:val="20"/>
              </w:rPr>
              <w:t>-</w:t>
            </w:r>
            <w:r w:rsidRPr="00DA2530">
              <w:rPr>
                <w:rFonts w:ascii="Arial Narrow" w:hAnsi="Arial Narrow" w:cs="Calibri"/>
                <w:sz w:val="20"/>
              </w:rPr>
              <w:t xml:space="preserve">term improvements on lung function and overall survival (paragraph 7.1 of March 2016 PSD) </w:t>
            </w:r>
          </w:p>
          <w:p w:rsidR="00F31AD4" w:rsidRPr="00DA2530" w:rsidRDefault="00F31AD4" w:rsidP="001E08C1">
            <w:pPr>
              <w:widowControl/>
              <w:jc w:val="left"/>
              <w:rPr>
                <w:rFonts w:ascii="Arial Narrow" w:hAnsi="Arial Narrow" w:cs="Calibri"/>
                <w:sz w:val="20"/>
                <w:lang w:eastAsia="en-AU"/>
              </w:rPr>
            </w:pPr>
            <w:r w:rsidRPr="00DA2530">
              <w:rPr>
                <w:rFonts w:ascii="Arial Narrow" w:hAnsi="Arial Narrow" w:cs="Calibri"/>
                <w:sz w:val="20"/>
              </w:rPr>
              <w:t>There was “continuing uncertainty regarding long-term benefits of treatment” and the ICER was likely under-estimated. (paragraph 7.1 and 7.3 of November 2016 PSD)</w:t>
            </w:r>
          </w:p>
        </w:tc>
        <w:tc>
          <w:tcPr>
            <w:tcW w:w="2156" w:type="pct"/>
            <w:tcBorders>
              <w:top w:val="single" w:sz="4" w:space="0" w:color="auto"/>
              <w:left w:val="single" w:sz="4" w:space="0" w:color="auto"/>
              <w:bottom w:val="single" w:sz="4" w:space="0" w:color="auto"/>
              <w:right w:val="single" w:sz="4" w:space="0" w:color="auto"/>
            </w:tcBorders>
          </w:tcPr>
          <w:p w:rsidR="002444A7" w:rsidRPr="00DA2530" w:rsidRDefault="002444A7" w:rsidP="001E08C1">
            <w:pPr>
              <w:widowControl/>
              <w:jc w:val="left"/>
              <w:rPr>
                <w:rFonts w:ascii="Arial Narrow" w:hAnsi="Arial Narrow" w:cs="Calibri"/>
                <w:sz w:val="20"/>
              </w:rPr>
            </w:pPr>
            <w:r w:rsidRPr="00DA2530">
              <w:rPr>
                <w:rFonts w:ascii="Arial Narrow" w:hAnsi="Arial Narrow" w:cs="Calibri"/>
                <w:sz w:val="20"/>
              </w:rPr>
              <w:t>Cost-utility model with cost/QALY of:</w:t>
            </w:r>
          </w:p>
          <w:p w:rsidR="00E044D4" w:rsidRPr="00DA2530" w:rsidRDefault="00F31AD4" w:rsidP="001E08C1">
            <w:pPr>
              <w:pStyle w:val="ListParagraph"/>
              <w:widowControl/>
              <w:numPr>
                <w:ilvl w:val="0"/>
                <w:numId w:val="19"/>
              </w:numPr>
              <w:ind w:left="306"/>
              <w:jc w:val="left"/>
              <w:rPr>
                <w:rFonts w:ascii="Arial Narrow" w:hAnsi="Arial Narrow" w:cs="Calibri"/>
                <w:sz w:val="20"/>
              </w:rPr>
            </w:pPr>
            <w:r w:rsidRPr="00DA2530">
              <w:rPr>
                <w:rFonts w:ascii="Arial Narrow" w:hAnsi="Arial Narrow" w:cs="Calibri"/>
                <w:sz w:val="20"/>
              </w:rPr>
              <w:t>Base Case 1:</w:t>
            </w:r>
            <w:r w:rsidR="002444A7" w:rsidRPr="00DA2530">
              <w:rPr>
                <w:rFonts w:ascii="Arial Narrow" w:hAnsi="Arial Narrow" w:cs="Calibri"/>
                <w:sz w:val="20"/>
              </w:rPr>
              <w:t xml:space="preserve"> </w:t>
            </w:r>
            <w:r w:rsidR="008C6079">
              <w:rPr>
                <w:rFonts w:ascii="Arial Narrow" w:hAnsi="Arial Narrow" w:cs="Calibri"/>
                <w:sz w:val="20"/>
              </w:rPr>
              <w:t>$105,000 - $200,000</w:t>
            </w:r>
            <w:r w:rsidR="00D84A7F" w:rsidRPr="00DA2530">
              <w:rPr>
                <w:rFonts w:ascii="Arial Narrow" w:hAnsi="Arial Narrow" w:cs="Calibri"/>
                <w:sz w:val="20"/>
              </w:rPr>
              <w:t xml:space="preserve">. </w:t>
            </w:r>
          </w:p>
          <w:p w:rsidR="00F31AD4" w:rsidRPr="00DA2530" w:rsidRDefault="00F31AD4" w:rsidP="008C6079">
            <w:pPr>
              <w:pStyle w:val="ListParagraph"/>
              <w:widowControl/>
              <w:numPr>
                <w:ilvl w:val="0"/>
                <w:numId w:val="19"/>
              </w:numPr>
              <w:ind w:left="306"/>
              <w:jc w:val="left"/>
              <w:rPr>
                <w:rFonts w:ascii="Arial Narrow" w:hAnsi="Arial Narrow" w:cs="Calibri"/>
                <w:sz w:val="20"/>
              </w:rPr>
            </w:pPr>
            <w:r w:rsidRPr="00DA2530">
              <w:rPr>
                <w:rFonts w:ascii="Arial Narrow" w:hAnsi="Arial Narrow" w:cs="Calibri"/>
                <w:sz w:val="20"/>
              </w:rPr>
              <w:t>Base Case 2:</w:t>
            </w:r>
            <w:r w:rsidR="00310F4F" w:rsidRPr="00DA2530">
              <w:rPr>
                <w:rFonts w:ascii="Arial Narrow" w:hAnsi="Arial Narrow" w:cs="Calibri"/>
                <w:sz w:val="20"/>
              </w:rPr>
              <w:t xml:space="preserve"> </w:t>
            </w:r>
            <w:r w:rsidR="008C6079">
              <w:rPr>
                <w:rFonts w:ascii="Arial Narrow" w:hAnsi="Arial Narrow" w:cs="Calibri"/>
                <w:sz w:val="20"/>
              </w:rPr>
              <w:t>$105,000 - $200,000</w:t>
            </w:r>
            <w:r w:rsidR="00D508FA" w:rsidRPr="00DA2530">
              <w:rPr>
                <w:rFonts w:ascii="Arial Narrow" w:hAnsi="Arial Narrow" w:cs="Calibri"/>
                <w:sz w:val="20"/>
              </w:rPr>
              <w:t>.</w:t>
            </w:r>
          </w:p>
        </w:tc>
      </w:tr>
      <w:tr w:rsidR="00F31AD4" w:rsidRPr="00DA2530" w:rsidTr="00F31AD4">
        <w:tc>
          <w:tcPr>
            <w:tcW w:w="688" w:type="pct"/>
            <w:tcBorders>
              <w:top w:val="single" w:sz="4" w:space="0" w:color="auto"/>
              <w:left w:val="single" w:sz="4" w:space="0" w:color="auto"/>
              <w:bottom w:val="single" w:sz="4" w:space="0" w:color="auto"/>
              <w:right w:val="single" w:sz="4" w:space="0" w:color="auto"/>
            </w:tcBorders>
            <w:hideMark/>
          </w:tcPr>
          <w:p w:rsidR="00F31AD4" w:rsidRPr="00DA2530" w:rsidRDefault="00F31AD4" w:rsidP="001E08C1">
            <w:pPr>
              <w:widowControl/>
              <w:jc w:val="left"/>
              <w:rPr>
                <w:rFonts w:ascii="Arial Narrow" w:hAnsi="Arial Narrow" w:cs="Calibri"/>
                <w:sz w:val="20"/>
                <w:lang w:eastAsia="en-AU"/>
              </w:rPr>
            </w:pPr>
            <w:r w:rsidRPr="00DA2530">
              <w:rPr>
                <w:rFonts w:ascii="Arial Narrow" w:hAnsi="Arial Narrow" w:cs="Calibri"/>
                <w:sz w:val="20"/>
              </w:rPr>
              <w:t>Number of patients</w:t>
            </w:r>
          </w:p>
        </w:tc>
        <w:tc>
          <w:tcPr>
            <w:tcW w:w="2156" w:type="pct"/>
            <w:tcBorders>
              <w:top w:val="single" w:sz="4" w:space="0" w:color="auto"/>
              <w:left w:val="single" w:sz="4" w:space="0" w:color="auto"/>
              <w:bottom w:val="single" w:sz="4" w:space="0" w:color="auto"/>
              <w:right w:val="single" w:sz="4" w:space="0" w:color="auto"/>
            </w:tcBorders>
            <w:hideMark/>
          </w:tcPr>
          <w:p w:rsidR="00F31AD4" w:rsidRPr="00DA2530" w:rsidRDefault="00403EE0" w:rsidP="00403EE0">
            <w:pPr>
              <w:widowControl/>
              <w:jc w:val="left"/>
              <w:rPr>
                <w:rFonts w:ascii="Arial Narrow" w:hAnsi="Arial Narrow" w:cs="Calibri"/>
                <w:sz w:val="20"/>
                <w:lang w:eastAsia="en-AU"/>
              </w:rPr>
            </w:pPr>
            <w:r w:rsidRPr="001448D8">
              <w:rPr>
                <w:rFonts w:ascii="Arial Narrow" w:hAnsi="Arial Narrow" w:cs="Calibri"/>
                <w:sz w:val="20"/>
              </w:rPr>
              <w:t xml:space="preserve">Less than </w:t>
            </w:r>
            <w:r w:rsidR="00387CBB" w:rsidRPr="001448D8">
              <w:rPr>
                <w:rFonts w:ascii="Arial Narrow" w:hAnsi="Arial Narrow" w:cs="Calibri"/>
                <w:sz w:val="20"/>
              </w:rPr>
              <w:t xml:space="preserve">10,000 </w:t>
            </w:r>
            <w:r w:rsidR="00387CBB" w:rsidRPr="00DA2530">
              <w:rPr>
                <w:rFonts w:ascii="Arial Narrow" w:hAnsi="Arial Narrow" w:cs="Calibri"/>
                <w:sz w:val="20"/>
              </w:rPr>
              <w:t>in</w:t>
            </w:r>
            <w:r w:rsidR="00F31AD4" w:rsidRPr="00DA2530">
              <w:rPr>
                <w:rFonts w:ascii="Arial Narrow" w:hAnsi="Arial Narrow" w:cs="Calibri"/>
                <w:sz w:val="20"/>
              </w:rPr>
              <w:t xml:space="preserve"> Year 1</w:t>
            </w:r>
            <w:r>
              <w:rPr>
                <w:rFonts w:ascii="Arial Narrow" w:hAnsi="Arial Narrow" w:cs="Calibri"/>
                <w:sz w:val="20"/>
              </w:rPr>
              <w:t xml:space="preserve"> increasing </w:t>
            </w:r>
            <w:r w:rsidR="00387CBB">
              <w:rPr>
                <w:rFonts w:ascii="Arial Narrow" w:hAnsi="Arial Narrow" w:cs="Calibri"/>
                <w:sz w:val="20"/>
              </w:rPr>
              <w:t xml:space="preserve">to </w:t>
            </w:r>
            <w:r w:rsidR="00387CBB" w:rsidRPr="00DA2530">
              <w:rPr>
                <w:rFonts w:ascii="Arial Narrow" w:hAnsi="Arial Narrow" w:cs="Calibri"/>
                <w:sz w:val="20"/>
              </w:rPr>
              <w:t>less</w:t>
            </w:r>
            <w:r w:rsidRPr="00403EE0">
              <w:rPr>
                <w:rFonts w:ascii="Arial Narrow" w:hAnsi="Arial Narrow" w:cs="Calibri"/>
                <w:sz w:val="20"/>
              </w:rPr>
              <w:t xml:space="preserve"> than </w:t>
            </w:r>
            <w:r w:rsidR="00387CBB" w:rsidRPr="00403EE0">
              <w:rPr>
                <w:rFonts w:ascii="Arial Narrow" w:hAnsi="Arial Narrow" w:cs="Calibri"/>
                <w:sz w:val="20"/>
              </w:rPr>
              <w:t xml:space="preserve">10,000 </w:t>
            </w:r>
            <w:r w:rsidR="00387CBB" w:rsidRPr="00DA2530">
              <w:rPr>
                <w:rFonts w:ascii="Arial Narrow" w:hAnsi="Arial Narrow" w:cs="Calibri"/>
                <w:sz w:val="20"/>
              </w:rPr>
              <w:t>in</w:t>
            </w:r>
            <w:r w:rsidR="00F31AD4" w:rsidRPr="00DA2530">
              <w:rPr>
                <w:rFonts w:ascii="Arial Narrow" w:hAnsi="Arial Narrow" w:cs="Calibri"/>
                <w:sz w:val="20"/>
              </w:rPr>
              <w:t xml:space="preserve"> Year 5.</w:t>
            </w:r>
          </w:p>
        </w:tc>
        <w:tc>
          <w:tcPr>
            <w:tcW w:w="2156" w:type="pct"/>
            <w:tcBorders>
              <w:top w:val="single" w:sz="4" w:space="0" w:color="auto"/>
              <w:left w:val="single" w:sz="4" w:space="0" w:color="auto"/>
              <w:bottom w:val="single" w:sz="4" w:space="0" w:color="auto"/>
              <w:right w:val="single" w:sz="4" w:space="0" w:color="auto"/>
            </w:tcBorders>
          </w:tcPr>
          <w:p w:rsidR="00F31AD4" w:rsidRPr="00DA2530" w:rsidRDefault="00403EE0" w:rsidP="00832AB6">
            <w:pPr>
              <w:widowControl/>
              <w:jc w:val="left"/>
              <w:rPr>
                <w:rFonts w:ascii="Arial Narrow" w:hAnsi="Arial Narrow" w:cs="Calibri"/>
                <w:sz w:val="20"/>
              </w:rPr>
            </w:pPr>
            <w:r>
              <w:rPr>
                <w:rFonts w:ascii="Arial Narrow" w:hAnsi="Arial Narrow" w:cs="Calibri"/>
                <w:sz w:val="20"/>
              </w:rPr>
              <w:t>L</w:t>
            </w:r>
            <w:r w:rsidRPr="00403EE0">
              <w:rPr>
                <w:rFonts w:ascii="Arial Narrow" w:hAnsi="Arial Narrow" w:cs="Calibri"/>
                <w:sz w:val="20"/>
              </w:rPr>
              <w:t xml:space="preserve">ess than 10,000 </w:t>
            </w:r>
            <w:r w:rsidR="00F31AD4" w:rsidRPr="00DA2530">
              <w:rPr>
                <w:rFonts w:ascii="Arial Narrow" w:hAnsi="Arial Narrow" w:cs="Calibri"/>
                <w:sz w:val="20"/>
              </w:rPr>
              <w:t xml:space="preserve"> in Year 1</w:t>
            </w:r>
            <w:r>
              <w:rPr>
                <w:rFonts w:ascii="Arial Narrow" w:hAnsi="Arial Narrow" w:cs="Calibri"/>
                <w:sz w:val="20"/>
              </w:rPr>
              <w:t xml:space="preserve"> increasing to</w:t>
            </w:r>
            <w:r w:rsidR="00F31AD4" w:rsidRPr="00DA2530">
              <w:rPr>
                <w:rFonts w:ascii="Arial Narrow" w:hAnsi="Arial Narrow" w:cs="Calibri"/>
                <w:sz w:val="20"/>
              </w:rPr>
              <w:t xml:space="preserve"> </w:t>
            </w:r>
            <w:r w:rsidR="00832AB6">
              <w:rPr>
                <w:rFonts w:ascii="Arial Narrow" w:hAnsi="Arial Narrow" w:cs="Calibri"/>
                <w:sz w:val="20"/>
              </w:rPr>
              <w:t>less than 10,000</w:t>
            </w:r>
            <w:r w:rsidR="00F31AD4" w:rsidRPr="00DA2530">
              <w:rPr>
                <w:rFonts w:ascii="Arial Narrow" w:hAnsi="Arial Narrow" w:cs="Calibri"/>
                <w:sz w:val="20"/>
              </w:rPr>
              <w:t xml:space="preserve"> in Year 5</w:t>
            </w:r>
          </w:p>
        </w:tc>
      </w:tr>
      <w:tr w:rsidR="00F31AD4" w:rsidRPr="00DA2530" w:rsidTr="00F31AD4">
        <w:tc>
          <w:tcPr>
            <w:tcW w:w="688" w:type="pct"/>
            <w:tcBorders>
              <w:top w:val="single" w:sz="4" w:space="0" w:color="auto"/>
              <w:left w:val="single" w:sz="4" w:space="0" w:color="auto"/>
              <w:bottom w:val="single" w:sz="4" w:space="0" w:color="auto"/>
              <w:right w:val="single" w:sz="4" w:space="0" w:color="auto"/>
            </w:tcBorders>
            <w:hideMark/>
          </w:tcPr>
          <w:p w:rsidR="00F31AD4" w:rsidRPr="00DA2530" w:rsidRDefault="00F31AD4" w:rsidP="001E08C1">
            <w:pPr>
              <w:widowControl/>
              <w:jc w:val="left"/>
              <w:rPr>
                <w:rFonts w:ascii="Arial Narrow" w:hAnsi="Arial Narrow" w:cs="Calibri"/>
                <w:sz w:val="20"/>
                <w:lang w:eastAsia="en-AU"/>
              </w:rPr>
            </w:pPr>
            <w:r w:rsidRPr="00DA2530">
              <w:rPr>
                <w:rFonts w:ascii="Arial Narrow" w:hAnsi="Arial Narrow" w:cs="Calibri"/>
                <w:sz w:val="20"/>
              </w:rPr>
              <w:t>Estimated net cost to PBS</w:t>
            </w:r>
          </w:p>
        </w:tc>
        <w:tc>
          <w:tcPr>
            <w:tcW w:w="2156" w:type="pct"/>
            <w:tcBorders>
              <w:top w:val="single" w:sz="4" w:space="0" w:color="auto"/>
              <w:left w:val="single" w:sz="4" w:space="0" w:color="auto"/>
              <w:bottom w:val="single" w:sz="4" w:space="0" w:color="auto"/>
              <w:right w:val="single" w:sz="4" w:space="0" w:color="auto"/>
            </w:tcBorders>
          </w:tcPr>
          <w:p w:rsidR="00F31AD4" w:rsidRPr="00DA2530" w:rsidRDefault="006979AE" w:rsidP="006979AE">
            <w:pPr>
              <w:widowControl/>
              <w:jc w:val="left"/>
              <w:rPr>
                <w:rFonts w:ascii="Arial Narrow" w:hAnsi="Arial Narrow" w:cs="Calibri"/>
                <w:sz w:val="20"/>
              </w:rPr>
            </w:pPr>
            <w:r w:rsidRPr="006979AE">
              <w:rPr>
                <w:rFonts w:ascii="Arial Narrow" w:hAnsi="Arial Narrow" w:cs="Calibri"/>
                <w:sz w:val="20"/>
              </w:rPr>
              <w:t>More than $100 million in Year 1 increasing to more than $100</w:t>
            </w:r>
            <w:r>
              <w:rPr>
                <w:rFonts w:ascii="Arial Narrow" w:hAnsi="Arial Narrow" w:cs="Calibri"/>
                <w:sz w:val="20"/>
              </w:rPr>
              <w:t xml:space="preserve"> </w:t>
            </w:r>
            <w:r w:rsidRPr="006979AE">
              <w:rPr>
                <w:rFonts w:ascii="Arial Narrow" w:hAnsi="Arial Narrow" w:cs="Calibri"/>
                <w:sz w:val="20"/>
              </w:rPr>
              <w:t>million in Year 5 for a total of more than $100 million over the first 5</w:t>
            </w:r>
            <w:r>
              <w:rPr>
                <w:rFonts w:ascii="Arial Narrow" w:hAnsi="Arial Narrow" w:cs="Calibri"/>
                <w:sz w:val="20"/>
              </w:rPr>
              <w:t xml:space="preserve"> </w:t>
            </w:r>
            <w:r w:rsidRPr="006979AE">
              <w:rPr>
                <w:rFonts w:ascii="Arial Narrow" w:hAnsi="Arial Narrow" w:cs="Calibri"/>
                <w:sz w:val="20"/>
              </w:rPr>
              <w:t>years of listing.</w:t>
            </w:r>
            <w:r w:rsidRPr="006979AE" w:rsidDel="006979AE">
              <w:rPr>
                <w:rFonts w:ascii="Arial Narrow" w:hAnsi="Arial Narrow" w:cs="Calibri"/>
                <w:sz w:val="20"/>
              </w:rPr>
              <w:t xml:space="preserve"> </w:t>
            </w:r>
            <w:r w:rsidR="00F31AD4" w:rsidRPr="00DA2530">
              <w:rPr>
                <w:rFonts w:ascii="Arial Narrow" w:hAnsi="Arial Narrow" w:cs="Calibri"/>
                <w:sz w:val="20"/>
              </w:rPr>
              <w:t>(March 2016).</w:t>
            </w:r>
          </w:p>
          <w:p w:rsidR="00CB2950" w:rsidRPr="00DA2530" w:rsidRDefault="00CB2950" w:rsidP="001E08C1">
            <w:pPr>
              <w:widowControl/>
              <w:jc w:val="left"/>
              <w:rPr>
                <w:rFonts w:ascii="Arial Narrow" w:hAnsi="Arial Narrow" w:cs="Calibri"/>
                <w:b/>
                <w:sz w:val="20"/>
              </w:rPr>
            </w:pPr>
          </w:p>
          <w:p w:rsidR="00F31AD4" w:rsidRPr="00DA2530" w:rsidRDefault="00F31AD4" w:rsidP="001E08C1">
            <w:pPr>
              <w:widowControl/>
              <w:jc w:val="left"/>
              <w:rPr>
                <w:rFonts w:ascii="Arial Narrow" w:hAnsi="Arial Narrow" w:cs="Calibri"/>
                <w:sz w:val="20"/>
              </w:rPr>
            </w:pPr>
            <w:r w:rsidRPr="00DA2530">
              <w:rPr>
                <w:rFonts w:ascii="Arial Narrow" w:hAnsi="Arial Narrow" w:cs="Calibri"/>
                <w:b/>
                <w:sz w:val="20"/>
              </w:rPr>
              <w:t>PBAC comment</w:t>
            </w:r>
            <w:r w:rsidRPr="00DA2530">
              <w:rPr>
                <w:rFonts w:ascii="Arial Narrow" w:hAnsi="Arial Narrow" w:cs="Calibri"/>
                <w:sz w:val="20"/>
              </w:rPr>
              <w:t xml:space="preserve">: “noted the significant opportunity cost of listing lumacaftor/ivacaftor, particularly in the context of the uncertainty of the long-term improvements in lung function” (paragraph 7.16 of March 2016 PSD) </w:t>
            </w:r>
          </w:p>
          <w:p w:rsidR="00CB2950" w:rsidRPr="00DA2530" w:rsidRDefault="00CB2950" w:rsidP="001E08C1">
            <w:pPr>
              <w:widowControl/>
              <w:jc w:val="left"/>
              <w:rPr>
                <w:rFonts w:ascii="Arial Narrow" w:hAnsi="Arial Narrow" w:cs="Calibri"/>
                <w:sz w:val="20"/>
              </w:rPr>
            </w:pPr>
          </w:p>
          <w:p w:rsidR="00F31AD4" w:rsidRPr="00DA2530" w:rsidRDefault="00CB2950" w:rsidP="001E08C1">
            <w:pPr>
              <w:widowControl/>
              <w:jc w:val="left"/>
              <w:rPr>
                <w:rFonts w:ascii="Arial Narrow" w:hAnsi="Arial Narrow" w:cs="Calibri"/>
                <w:sz w:val="20"/>
              </w:rPr>
            </w:pPr>
            <w:r w:rsidRPr="00DA2530">
              <w:rPr>
                <w:rFonts w:ascii="Arial Narrow" w:hAnsi="Arial Narrow" w:cs="Calibri"/>
                <w:sz w:val="20"/>
              </w:rPr>
              <w:t>Cap</w:t>
            </w:r>
            <w:r w:rsidR="00F31AD4" w:rsidRPr="00DA2530">
              <w:rPr>
                <w:rFonts w:ascii="Arial Narrow" w:hAnsi="Arial Narrow" w:cs="Calibri"/>
                <w:sz w:val="20"/>
              </w:rPr>
              <w:t xml:space="preserve"> on the first five years gross PBS cost (without co-payments deducted) to $</w:t>
            </w:r>
            <w:r w:rsidR="00A42B97">
              <w:rPr>
                <w:rFonts w:ascii="Arial Narrow" w:hAnsi="Arial Narrow" w:cs="Calibri"/>
                <w:noProof/>
                <w:color w:val="000000"/>
                <w:sz w:val="20"/>
                <w:highlight w:val="black"/>
              </w:rPr>
              <w:t>'''''''''' ''''''''''''''''</w:t>
            </w:r>
            <w:r w:rsidRPr="00DA2530">
              <w:rPr>
                <w:rFonts w:ascii="Arial Narrow" w:hAnsi="Arial Narrow" w:cs="Calibri"/>
                <w:sz w:val="20"/>
              </w:rPr>
              <w:t xml:space="preserve"> (November 2016).</w:t>
            </w:r>
          </w:p>
        </w:tc>
        <w:tc>
          <w:tcPr>
            <w:tcW w:w="2156" w:type="pct"/>
            <w:tcBorders>
              <w:top w:val="single" w:sz="4" w:space="0" w:color="auto"/>
              <w:left w:val="single" w:sz="4" w:space="0" w:color="auto"/>
              <w:bottom w:val="single" w:sz="4" w:space="0" w:color="auto"/>
              <w:right w:val="single" w:sz="4" w:space="0" w:color="auto"/>
            </w:tcBorders>
          </w:tcPr>
          <w:p w:rsidR="00F31AD4" w:rsidRPr="00DA2530" w:rsidRDefault="00F31AD4" w:rsidP="001448D8">
            <w:pPr>
              <w:widowControl/>
              <w:jc w:val="left"/>
              <w:rPr>
                <w:rFonts w:ascii="Arial Narrow" w:hAnsi="Arial Narrow" w:cs="Calibri"/>
                <w:sz w:val="20"/>
              </w:rPr>
            </w:pPr>
            <w:r w:rsidRPr="00DA2530">
              <w:rPr>
                <w:rFonts w:ascii="Arial Narrow" w:hAnsi="Arial Narrow" w:cs="Calibri"/>
                <w:sz w:val="20"/>
              </w:rPr>
              <w:t xml:space="preserve">Proposal to cap the gross cost to the PBS (without co-payment deducted) to </w:t>
            </w:r>
            <w:r w:rsidR="001448D8">
              <w:rPr>
                <w:rFonts w:ascii="Arial Narrow" w:hAnsi="Arial Narrow" w:cs="Calibri"/>
                <w:sz w:val="20"/>
              </w:rPr>
              <w:t xml:space="preserve">more than $100 million in each of the first 5 years of listing. </w:t>
            </w:r>
          </w:p>
        </w:tc>
      </w:tr>
      <w:tr w:rsidR="00F31AD4" w:rsidRPr="00DA2530" w:rsidTr="00F31AD4">
        <w:tc>
          <w:tcPr>
            <w:tcW w:w="688" w:type="pct"/>
            <w:tcBorders>
              <w:top w:val="single" w:sz="4" w:space="0" w:color="auto"/>
              <w:left w:val="single" w:sz="4" w:space="0" w:color="auto"/>
              <w:bottom w:val="single" w:sz="4" w:space="0" w:color="auto"/>
              <w:right w:val="single" w:sz="4" w:space="0" w:color="auto"/>
            </w:tcBorders>
            <w:hideMark/>
          </w:tcPr>
          <w:p w:rsidR="00F31AD4" w:rsidRPr="00DA2530" w:rsidRDefault="00F31AD4" w:rsidP="001E08C1">
            <w:pPr>
              <w:widowControl/>
              <w:jc w:val="left"/>
              <w:rPr>
                <w:rFonts w:ascii="Arial Narrow" w:hAnsi="Arial Narrow" w:cs="Calibri"/>
                <w:sz w:val="20"/>
                <w:highlight w:val="yellow"/>
                <w:lang w:eastAsia="en-AU"/>
              </w:rPr>
            </w:pPr>
            <w:r w:rsidRPr="00DA2530">
              <w:rPr>
                <w:rFonts w:ascii="Arial Narrow" w:hAnsi="Arial Narrow" w:cs="Calibri"/>
                <w:sz w:val="20"/>
              </w:rPr>
              <w:t>Risk sharing arrangement and pay-for-performance</w:t>
            </w:r>
          </w:p>
        </w:tc>
        <w:tc>
          <w:tcPr>
            <w:tcW w:w="2156" w:type="pct"/>
            <w:tcBorders>
              <w:top w:val="single" w:sz="4" w:space="0" w:color="auto"/>
              <w:left w:val="single" w:sz="4" w:space="0" w:color="auto"/>
              <w:bottom w:val="single" w:sz="4" w:space="0" w:color="auto"/>
              <w:right w:val="single" w:sz="4" w:space="0" w:color="auto"/>
            </w:tcBorders>
          </w:tcPr>
          <w:p w:rsidR="00F31AD4" w:rsidRPr="00DA2530" w:rsidRDefault="00F31AD4" w:rsidP="001E08C1">
            <w:pPr>
              <w:widowControl/>
              <w:jc w:val="left"/>
              <w:rPr>
                <w:rFonts w:ascii="Arial Narrow" w:hAnsi="Arial Narrow" w:cs="Calibri"/>
                <w:sz w:val="20"/>
              </w:rPr>
            </w:pPr>
            <w:r w:rsidRPr="00DA2530">
              <w:rPr>
                <w:rFonts w:ascii="Arial Narrow" w:hAnsi="Arial Narrow" w:cs="Calibri"/>
                <w:sz w:val="20"/>
              </w:rPr>
              <w:t>The sponsor was open to discussing the details of the requested listing and the final pricing arrangement. (March 2016).</w:t>
            </w:r>
          </w:p>
          <w:p w:rsidR="00CB2950" w:rsidRPr="00DA2530" w:rsidRDefault="00CB2950" w:rsidP="001E08C1">
            <w:pPr>
              <w:widowControl/>
              <w:jc w:val="left"/>
              <w:rPr>
                <w:rFonts w:ascii="Arial Narrow" w:hAnsi="Arial Narrow" w:cs="Calibri"/>
                <w:sz w:val="20"/>
              </w:rPr>
            </w:pPr>
          </w:p>
          <w:p w:rsidR="00F31AD4" w:rsidRPr="00DA2530" w:rsidRDefault="00F31AD4" w:rsidP="001E08C1">
            <w:pPr>
              <w:widowControl/>
              <w:jc w:val="left"/>
              <w:rPr>
                <w:rFonts w:ascii="Arial Narrow" w:hAnsi="Arial Narrow" w:cs="Calibri"/>
                <w:sz w:val="20"/>
                <w:lang w:eastAsia="en-AU"/>
              </w:rPr>
            </w:pPr>
            <w:r w:rsidRPr="00DA2530">
              <w:rPr>
                <w:rFonts w:ascii="Arial Narrow" w:hAnsi="Arial Narrow" w:cs="Calibri"/>
                <w:sz w:val="20"/>
              </w:rPr>
              <w:t>Proposal to cap the gross cost to the PBS (without co-payments deducted) as above</w:t>
            </w:r>
            <w:r w:rsidR="00B54C30" w:rsidRPr="00DA2530">
              <w:rPr>
                <w:rFonts w:ascii="Arial Narrow" w:hAnsi="Arial Narrow" w:cs="Calibri"/>
                <w:sz w:val="20"/>
              </w:rPr>
              <w:t xml:space="preserve"> and t</w:t>
            </w:r>
            <w:r w:rsidRPr="00DA2530">
              <w:rPr>
                <w:rFonts w:ascii="Arial Narrow" w:hAnsi="Arial Narrow" w:cs="Calibri"/>
                <w:sz w:val="20"/>
              </w:rPr>
              <w:t xml:space="preserve">he sponsor indicated a willingness to discuss </w:t>
            </w:r>
            <w:r w:rsidR="00A42B97">
              <w:rPr>
                <w:rFonts w:ascii="Arial Narrow" w:hAnsi="Arial Narrow" w:cs="Calibri"/>
                <w:noProof/>
                <w:color w:val="000000"/>
                <w:sz w:val="20"/>
                <w:highlight w:val="black"/>
              </w:rPr>
              <w:t xml:space="preserve">'''' ''''''''''''''''''''''''''''''''''''''''''''''' '''''''''''''''''''''''''''''' </w:t>
            </w:r>
            <w:r w:rsidRPr="00DA2530">
              <w:rPr>
                <w:rFonts w:ascii="Arial Narrow" w:hAnsi="Arial Narrow" w:cs="Calibri"/>
                <w:sz w:val="20"/>
              </w:rPr>
              <w:t>(November 2016)</w:t>
            </w:r>
          </w:p>
        </w:tc>
        <w:tc>
          <w:tcPr>
            <w:tcW w:w="2156" w:type="pct"/>
            <w:tcBorders>
              <w:top w:val="single" w:sz="4" w:space="0" w:color="auto"/>
              <w:left w:val="single" w:sz="4" w:space="0" w:color="auto"/>
              <w:bottom w:val="single" w:sz="4" w:space="0" w:color="auto"/>
              <w:right w:val="single" w:sz="4" w:space="0" w:color="auto"/>
            </w:tcBorders>
          </w:tcPr>
          <w:p w:rsidR="00F31AD4" w:rsidRPr="00DA2530" w:rsidRDefault="00F31AD4" w:rsidP="001E08C1">
            <w:pPr>
              <w:widowControl/>
              <w:jc w:val="left"/>
              <w:rPr>
                <w:rFonts w:ascii="Arial Narrow" w:hAnsi="Arial Narrow" w:cs="Calibri"/>
                <w:sz w:val="20"/>
              </w:rPr>
            </w:pPr>
            <w:r w:rsidRPr="00DA2530">
              <w:rPr>
                <w:rFonts w:ascii="Arial Narrow" w:hAnsi="Arial Narrow" w:cs="Calibri"/>
                <w:sz w:val="20"/>
              </w:rPr>
              <w:t xml:space="preserve">Proposal to cap the gross cost to the PBS (without co-payments deducted) as above. </w:t>
            </w:r>
          </w:p>
          <w:p w:rsidR="00F31AD4" w:rsidRPr="00DA2530" w:rsidRDefault="00F31AD4" w:rsidP="001E08C1">
            <w:pPr>
              <w:widowControl/>
              <w:jc w:val="left"/>
              <w:rPr>
                <w:rFonts w:ascii="Arial Narrow" w:hAnsi="Arial Narrow" w:cs="Calibri"/>
                <w:sz w:val="20"/>
              </w:rPr>
            </w:pPr>
            <w:r w:rsidRPr="00DA2530">
              <w:rPr>
                <w:rFonts w:ascii="Arial Narrow" w:hAnsi="Arial Narrow" w:cs="Calibri"/>
                <w:sz w:val="20"/>
              </w:rPr>
              <w:t xml:space="preserve">In addition, a proposal was presented to </w:t>
            </w:r>
            <w:r w:rsidR="00A42B97">
              <w:rPr>
                <w:rFonts w:ascii="Arial Narrow" w:hAnsi="Arial Narrow" w:cs="Calibri"/>
                <w:noProof/>
                <w:color w:val="000000"/>
                <w:sz w:val="20"/>
                <w:highlight w:val="black"/>
              </w:rPr>
              <w:t xml:space="preserve">'''''''''''''' ''' ''''''''''''''''''''''''''''''' '''''''''''''''''''''''''''''''' '''''''''''''''''''''' ''' '''''''''''' ''''''''''''''''''' ''''' '''''''''''''' '''''''''''''''''''''''''''''''''''''' ''''''''' ''''''''''''''''' '''''''''' '''''''''''''''''''' ''''' '''''''''''''''' ''''''''''''''' '''''''' '''''''''''''''''''''' '''''''' ''' '''''''' ''''''''''''' '''' ''''''''' ''''''''''''''''''''' ''''''''''''''''''''''''''' ''' '''''''''''' '''''''''''''''''''''''''''''''''''''''' '''''''''''''''''' ''''' '''''''''''' ''''''''''' '''''''''''' ''''''' ''''''''''''''''''''''''''''' ''''''''''''''''''''''' ''''' '''''''''''''''''''' '''' '''''''' '''''''''''''''''''' ''''''''''' </w:t>
            </w:r>
          </w:p>
        </w:tc>
      </w:tr>
    </w:tbl>
    <w:p w:rsidR="00B2608F" w:rsidRPr="00DA2530" w:rsidRDefault="00B2608F" w:rsidP="001E08C1">
      <w:pPr>
        <w:pStyle w:val="Tablefooter8pt"/>
      </w:pPr>
      <w:r w:rsidRPr="00DA2530">
        <w:t>Source: Resubmission table, page (i) to (iii) of July 2017 resubmission and compiled during the evaluation.</w:t>
      </w:r>
    </w:p>
    <w:p w:rsidR="00B2608F" w:rsidRPr="00DA2530" w:rsidRDefault="00B2608F" w:rsidP="001E08C1">
      <w:pPr>
        <w:pStyle w:val="Tablefooter8pt"/>
        <w:spacing w:after="120"/>
      </w:pPr>
      <w:r w:rsidRPr="00DA2530">
        <w:t>Abbreviations: ICER, incremental cost effectiveness ratio; ACFDR, Australian Cystic Fibrosis Disease Registry</w:t>
      </w:r>
      <w:r w:rsidR="00F31AD4" w:rsidRPr="00DA2530">
        <w:t>; PSD, Public Summary Document</w:t>
      </w:r>
      <w:r w:rsidRPr="00DA2530">
        <w:t>.</w:t>
      </w:r>
    </w:p>
    <w:p w:rsidR="00226B30" w:rsidRDefault="00226B30" w:rsidP="001E08C1">
      <w:pPr>
        <w:pStyle w:val="ListParagraph"/>
        <w:widowControl/>
        <w:spacing w:after="120"/>
        <w:contextualSpacing w:val="0"/>
        <w:rPr>
          <w:rFonts w:asciiTheme="minorHAnsi" w:hAnsiTheme="minorHAnsi"/>
          <w:i/>
          <w:sz w:val="24"/>
        </w:rPr>
      </w:pPr>
      <w:bookmarkStart w:id="17" w:name="_Toc476306884"/>
      <w:bookmarkStart w:id="18" w:name="_Toc482713671"/>
      <w:bookmarkEnd w:id="15"/>
      <w:bookmarkEnd w:id="16"/>
      <w:r w:rsidRPr="008E229A">
        <w:rPr>
          <w:rFonts w:asciiTheme="minorHAnsi" w:hAnsiTheme="minorHAnsi"/>
          <w:i/>
          <w:sz w:val="24"/>
        </w:rPr>
        <w:t>For more detail on PBAC’s view, see section 7 “PBAC outcome.”</w:t>
      </w:r>
    </w:p>
    <w:p w:rsidR="000D33EE" w:rsidRPr="00226B30" w:rsidRDefault="000D33EE" w:rsidP="001E08C1">
      <w:pPr>
        <w:pStyle w:val="ListParagraph"/>
        <w:widowControl/>
        <w:spacing w:after="120"/>
        <w:contextualSpacing w:val="0"/>
        <w:rPr>
          <w:rFonts w:asciiTheme="minorHAnsi" w:hAnsiTheme="minorHAnsi"/>
          <w:i/>
          <w:sz w:val="24"/>
        </w:rPr>
      </w:pPr>
    </w:p>
    <w:p w:rsidR="00B2608F" w:rsidRPr="00DA2530" w:rsidRDefault="00B2608F" w:rsidP="00A54394">
      <w:pPr>
        <w:pStyle w:val="Heading2"/>
        <w:ind w:hanging="720"/>
      </w:pPr>
      <w:r w:rsidRPr="00DA2530">
        <w:t>Population and disease</w:t>
      </w:r>
      <w:bookmarkEnd w:id="17"/>
      <w:bookmarkEnd w:id="18"/>
    </w:p>
    <w:p w:rsidR="00942C6E" w:rsidRPr="00226B30" w:rsidRDefault="00B2608F" w:rsidP="001E08C1">
      <w:pPr>
        <w:pStyle w:val="ListParagraph"/>
        <w:widowControl/>
        <w:numPr>
          <w:ilvl w:val="1"/>
          <w:numId w:val="11"/>
        </w:numPr>
        <w:spacing w:before="120" w:after="160"/>
        <w:ind w:left="709" w:hanging="709"/>
        <w:contextualSpacing w:val="0"/>
        <w:rPr>
          <w:rFonts w:asciiTheme="minorHAnsi" w:hAnsiTheme="minorHAnsi"/>
          <w:sz w:val="24"/>
        </w:rPr>
      </w:pPr>
      <w:r w:rsidRPr="00DA2530">
        <w:rPr>
          <w:rFonts w:asciiTheme="minorHAnsi" w:hAnsiTheme="minorHAnsi"/>
          <w:sz w:val="24"/>
        </w:rPr>
        <w:t xml:space="preserve">CF is an autosomal recessive disease caused by mutations in the CFTR gene. CF is a progressive multi-organ disease that primarily affects the pulmonary and digestive </w:t>
      </w:r>
      <w:r w:rsidRPr="00226B30">
        <w:rPr>
          <w:rFonts w:asciiTheme="minorHAnsi" w:hAnsiTheme="minorHAnsi"/>
          <w:sz w:val="24"/>
        </w:rPr>
        <w:t>systems.</w:t>
      </w:r>
      <w:r w:rsidR="00F254F7" w:rsidRPr="00226B30">
        <w:rPr>
          <w:rFonts w:asciiTheme="minorHAnsi" w:hAnsiTheme="minorHAnsi"/>
          <w:sz w:val="24"/>
        </w:rPr>
        <w:t xml:space="preserve"> </w:t>
      </w:r>
    </w:p>
    <w:p w:rsidR="00F254F7" w:rsidRPr="00226B30" w:rsidRDefault="004B52BE" w:rsidP="001E08C1">
      <w:pPr>
        <w:pStyle w:val="ListParagraph"/>
        <w:widowControl/>
        <w:numPr>
          <w:ilvl w:val="1"/>
          <w:numId w:val="11"/>
        </w:numPr>
        <w:spacing w:before="120" w:after="160"/>
        <w:ind w:left="709" w:hanging="709"/>
        <w:contextualSpacing w:val="0"/>
        <w:rPr>
          <w:rFonts w:asciiTheme="minorHAnsi" w:hAnsiTheme="minorHAnsi"/>
          <w:sz w:val="24"/>
        </w:rPr>
      </w:pPr>
      <w:r w:rsidRPr="00226B30">
        <w:rPr>
          <w:rFonts w:asciiTheme="minorHAnsi" w:hAnsiTheme="minorHAnsi"/>
          <w:sz w:val="24"/>
        </w:rPr>
        <w:t>As per the March 2016 and November 2016 submissions, the major resubmission proposed that lumacaftor</w:t>
      </w:r>
      <w:r w:rsidR="006259EA" w:rsidRPr="00226B30">
        <w:rPr>
          <w:rFonts w:asciiTheme="minorHAnsi" w:hAnsiTheme="minorHAnsi"/>
          <w:sz w:val="24"/>
        </w:rPr>
        <w:t xml:space="preserve"> 400 mg/ivacaftor 250 mg twice daily</w:t>
      </w:r>
      <w:r w:rsidRPr="00226B30">
        <w:rPr>
          <w:rFonts w:asciiTheme="minorHAnsi" w:hAnsiTheme="minorHAnsi"/>
          <w:sz w:val="24"/>
        </w:rPr>
        <w:t xml:space="preserve"> be administered in addition to current best supportive care in patients aged 12 years and older who are homozygous for the F508 deletion mutation </w:t>
      </w:r>
      <w:r w:rsidR="00F254F7" w:rsidRPr="00226B30">
        <w:rPr>
          <w:rFonts w:asciiTheme="minorHAnsi" w:hAnsiTheme="minorHAnsi"/>
          <w:sz w:val="24"/>
        </w:rPr>
        <w:t xml:space="preserve">in the </w:t>
      </w:r>
      <w:r w:rsidRPr="00226B30">
        <w:rPr>
          <w:rFonts w:asciiTheme="minorHAnsi" w:hAnsiTheme="minorHAnsi"/>
          <w:sz w:val="24"/>
        </w:rPr>
        <w:t>CFTR gene.</w:t>
      </w:r>
      <w:r w:rsidR="00942C6E" w:rsidRPr="00226B30">
        <w:rPr>
          <w:rFonts w:asciiTheme="minorHAnsi" w:hAnsiTheme="minorHAnsi"/>
          <w:sz w:val="24"/>
        </w:rPr>
        <w:t xml:space="preserve"> </w:t>
      </w:r>
      <w:r w:rsidR="00F254F7" w:rsidRPr="00226B30">
        <w:rPr>
          <w:rFonts w:asciiTheme="minorHAnsi" w:hAnsiTheme="minorHAnsi"/>
          <w:sz w:val="24"/>
        </w:rPr>
        <w:t>The ESC noted that over 90% of the Australian cystic fibrosis patient population have at least one F508del mutation</w:t>
      </w:r>
      <w:r w:rsidR="007C7FF4" w:rsidRPr="00226B30">
        <w:rPr>
          <w:rFonts w:asciiTheme="minorHAnsi" w:hAnsiTheme="minorHAnsi"/>
          <w:sz w:val="24"/>
        </w:rPr>
        <w:t>,</w:t>
      </w:r>
      <w:r w:rsidR="00F254F7" w:rsidRPr="00226B30">
        <w:rPr>
          <w:rFonts w:asciiTheme="minorHAnsi" w:hAnsiTheme="minorHAnsi"/>
          <w:sz w:val="24"/>
        </w:rPr>
        <w:t xml:space="preserve"> and around 50% are homozygous for the mutation</w:t>
      </w:r>
      <w:r w:rsidR="007C7FF4" w:rsidRPr="00226B30">
        <w:rPr>
          <w:rFonts w:asciiTheme="minorHAnsi" w:hAnsiTheme="minorHAnsi"/>
          <w:sz w:val="24"/>
        </w:rPr>
        <w:t>,</w:t>
      </w:r>
      <w:r w:rsidR="00F254F7" w:rsidRPr="00226B30">
        <w:rPr>
          <w:rFonts w:asciiTheme="minorHAnsi" w:hAnsiTheme="minorHAnsi"/>
          <w:sz w:val="24"/>
        </w:rPr>
        <w:t xml:space="preserve"> in the CFTR gene</w:t>
      </w:r>
      <w:r w:rsidR="00F254F7" w:rsidRPr="00226B30">
        <w:rPr>
          <w:rStyle w:val="FootnoteReference"/>
          <w:rFonts w:asciiTheme="minorHAnsi" w:hAnsiTheme="minorHAnsi"/>
          <w:sz w:val="24"/>
        </w:rPr>
        <w:footnoteReference w:id="1"/>
      </w:r>
      <w:r w:rsidR="00F254F7" w:rsidRPr="00226B30">
        <w:rPr>
          <w:rFonts w:asciiTheme="minorHAnsi" w:hAnsiTheme="minorHAnsi"/>
          <w:sz w:val="24"/>
        </w:rPr>
        <w:t>.</w:t>
      </w:r>
    </w:p>
    <w:p w:rsidR="00C978B0" w:rsidRPr="00226B30" w:rsidRDefault="00AE2614" w:rsidP="001E08C1">
      <w:pPr>
        <w:pStyle w:val="ListParagraph"/>
        <w:widowControl/>
        <w:numPr>
          <w:ilvl w:val="1"/>
          <w:numId w:val="11"/>
        </w:numPr>
        <w:spacing w:before="120" w:after="160"/>
        <w:ind w:left="709" w:hanging="709"/>
        <w:contextualSpacing w:val="0"/>
        <w:rPr>
          <w:rFonts w:asciiTheme="minorHAnsi" w:hAnsiTheme="minorHAnsi"/>
          <w:sz w:val="24"/>
        </w:rPr>
      </w:pPr>
      <w:r w:rsidRPr="00226B30">
        <w:rPr>
          <w:rFonts w:asciiTheme="minorHAnsi" w:hAnsiTheme="minorHAnsi"/>
          <w:sz w:val="24"/>
        </w:rPr>
        <w:t>The evaluation noted that l</w:t>
      </w:r>
      <w:r w:rsidR="001944FE" w:rsidRPr="00226B30">
        <w:rPr>
          <w:rFonts w:asciiTheme="minorHAnsi" w:hAnsiTheme="minorHAnsi"/>
          <w:sz w:val="24"/>
        </w:rPr>
        <w:t xml:space="preserve">umacaftor/ivacaftor </w:t>
      </w:r>
      <w:r w:rsidR="00942C6E" w:rsidRPr="00226B30">
        <w:rPr>
          <w:rFonts w:asciiTheme="minorHAnsi" w:hAnsiTheme="minorHAnsi"/>
          <w:sz w:val="24"/>
        </w:rPr>
        <w:t xml:space="preserve">was </w:t>
      </w:r>
      <w:r w:rsidR="001944FE" w:rsidRPr="00226B30">
        <w:rPr>
          <w:rFonts w:asciiTheme="minorHAnsi" w:hAnsiTheme="minorHAnsi"/>
          <w:sz w:val="24"/>
        </w:rPr>
        <w:t>approved for use in patients aged 6</w:t>
      </w:r>
      <w:r w:rsidRPr="00226B30">
        <w:rPr>
          <w:rFonts w:asciiTheme="minorHAnsi" w:hAnsiTheme="minorHAnsi"/>
          <w:sz w:val="24"/>
        </w:rPr>
        <w:t>-11</w:t>
      </w:r>
      <w:r w:rsidR="001944FE" w:rsidRPr="00226B30">
        <w:rPr>
          <w:rFonts w:asciiTheme="minorHAnsi" w:hAnsiTheme="minorHAnsi"/>
          <w:sz w:val="24"/>
        </w:rPr>
        <w:t xml:space="preserve"> years of age</w:t>
      </w:r>
      <w:r w:rsidRPr="00226B30">
        <w:rPr>
          <w:rFonts w:asciiTheme="minorHAnsi" w:hAnsiTheme="minorHAnsi"/>
          <w:sz w:val="24"/>
        </w:rPr>
        <w:t xml:space="preserve"> by the US Food and Drug Administration (FDA)</w:t>
      </w:r>
      <w:r w:rsidR="00942C6E" w:rsidRPr="00226B30">
        <w:rPr>
          <w:rFonts w:asciiTheme="minorHAnsi" w:hAnsiTheme="minorHAnsi"/>
          <w:sz w:val="24"/>
        </w:rPr>
        <w:t xml:space="preserve"> on 28 </w:t>
      </w:r>
      <w:r w:rsidRPr="00226B30">
        <w:rPr>
          <w:rFonts w:asciiTheme="minorHAnsi" w:hAnsiTheme="minorHAnsi"/>
          <w:sz w:val="24"/>
        </w:rPr>
        <w:t>September 2016 and asked the sponsor to</w:t>
      </w:r>
      <w:r w:rsidR="001944FE" w:rsidRPr="00226B30">
        <w:rPr>
          <w:rFonts w:asciiTheme="minorHAnsi" w:hAnsiTheme="minorHAnsi"/>
          <w:sz w:val="24"/>
        </w:rPr>
        <w:t xml:space="preserve"> advise of current plans for seeking </w:t>
      </w:r>
      <w:r w:rsidRPr="00226B30">
        <w:rPr>
          <w:rFonts w:asciiTheme="minorHAnsi" w:hAnsiTheme="minorHAnsi"/>
          <w:sz w:val="24"/>
        </w:rPr>
        <w:t xml:space="preserve">to extend </w:t>
      </w:r>
      <w:r w:rsidR="001944FE" w:rsidRPr="00226B30">
        <w:rPr>
          <w:rFonts w:asciiTheme="minorHAnsi" w:hAnsiTheme="minorHAnsi"/>
          <w:sz w:val="24"/>
        </w:rPr>
        <w:t xml:space="preserve">Australian marketing approval for </w:t>
      </w:r>
      <w:r w:rsidRPr="00226B30">
        <w:rPr>
          <w:rFonts w:asciiTheme="minorHAnsi" w:hAnsiTheme="minorHAnsi"/>
          <w:sz w:val="24"/>
        </w:rPr>
        <w:t>lumacaftor</w:t>
      </w:r>
      <w:r w:rsidR="001944FE" w:rsidRPr="00226B30">
        <w:rPr>
          <w:rFonts w:asciiTheme="minorHAnsi" w:hAnsiTheme="minorHAnsi"/>
          <w:sz w:val="24"/>
        </w:rPr>
        <w:t xml:space="preserve">/ivacaftor </w:t>
      </w:r>
      <w:r w:rsidRPr="00226B30">
        <w:rPr>
          <w:rFonts w:asciiTheme="minorHAnsi" w:hAnsiTheme="minorHAnsi"/>
          <w:sz w:val="24"/>
        </w:rPr>
        <w:t xml:space="preserve">to </w:t>
      </w:r>
      <w:r w:rsidR="000F3C02" w:rsidRPr="00226B30">
        <w:rPr>
          <w:rFonts w:asciiTheme="minorHAnsi" w:hAnsiTheme="minorHAnsi"/>
          <w:sz w:val="24"/>
        </w:rPr>
        <w:t>this</w:t>
      </w:r>
      <w:r w:rsidRPr="00226B30">
        <w:rPr>
          <w:rFonts w:asciiTheme="minorHAnsi" w:hAnsiTheme="minorHAnsi"/>
          <w:sz w:val="24"/>
        </w:rPr>
        <w:t xml:space="preserve"> age</w:t>
      </w:r>
      <w:r w:rsidR="000F3C02" w:rsidRPr="00226B30">
        <w:rPr>
          <w:rFonts w:asciiTheme="minorHAnsi" w:hAnsiTheme="minorHAnsi"/>
          <w:sz w:val="24"/>
        </w:rPr>
        <w:t xml:space="preserve"> group</w:t>
      </w:r>
      <w:r w:rsidR="001944FE" w:rsidRPr="00226B30">
        <w:rPr>
          <w:rFonts w:asciiTheme="minorHAnsi" w:hAnsiTheme="minorHAnsi"/>
          <w:sz w:val="24"/>
        </w:rPr>
        <w:t>.</w:t>
      </w:r>
      <w:r w:rsidR="00335EA8" w:rsidRPr="00226B30">
        <w:rPr>
          <w:rFonts w:asciiTheme="minorHAnsi" w:hAnsiTheme="minorHAnsi"/>
          <w:sz w:val="24"/>
        </w:rPr>
        <w:t xml:space="preserve"> </w:t>
      </w:r>
      <w:r w:rsidR="00C978B0" w:rsidRPr="00226B30">
        <w:rPr>
          <w:rFonts w:asciiTheme="minorHAnsi" w:hAnsiTheme="minorHAnsi"/>
          <w:sz w:val="24"/>
        </w:rPr>
        <w:t xml:space="preserve">The PSCR </w:t>
      </w:r>
      <w:r w:rsidR="00440F1C">
        <w:rPr>
          <w:rFonts w:asciiTheme="minorHAnsi" w:hAnsiTheme="minorHAnsi"/>
          <w:sz w:val="24"/>
        </w:rPr>
        <w:t xml:space="preserve">and pre-PBAC response </w:t>
      </w:r>
      <w:r w:rsidR="00C978B0" w:rsidRPr="00226B30">
        <w:rPr>
          <w:rFonts w:asciiTheme="minorHAnsi" w:hAnsiTheme="minorHAnsi"/>
          <w:sz w:val="24"/>
        </w:rPr>
        <w:t>did not address this request for information.</w:t>
      </w:r>
      <w:r w:rsidR="001944FE" w:rsidRPr="00226B30">
        <w:rPr>
          <w:rFonts w:asciiTheme="minorHAnsi" w:hAnsiTheme="minorHAnsi"/>
          <w:sz w:val="24"/>
        </w:rPr>
        <w:t xml:space="preserve"> </w:t>
      </w:r>
      <w:r w:rsidR="00A42B97">
        <w:rPr>
          <w:rFonts w:asciiTheme="minorHAnsi" w:hAnsiTheme="minorHAnsi"/>
          <w:noProof/>
          <w:color w:val="000000"/>
          <w:sz w:val="24"/>
          <w:szCs w:val="24"/>
          <w:highlight w:val="black"/>
        </w:rPr>
        <w:t>''''''' '''''''' '''''''''''''' ''''''' ''''''''''' '''''''' ''' '''''''''''''''''' ''''' '''''''''''''''''''''' '''''''' '''''' '''''''''''''''' ''''' ''''' '''''''' '''''''''' ''''' ''''''''''''' ''' ''''''''' ''''''''''''''' '''' ''''''''''''''''''''' ''''''' '''''''''''''''''''''' '''''''' ''''''' '''''' '''''' ''' ''' ''''''''''''''''' ''''''''''''''''''''''' ''''''''''' '''''''''''''</w:t>
      </w:r>
    </w:p>
    <w:p w:rsidR="00521821" w:rsidRDefault="00521821" w:rsidP="001E08C1">
      <w:pPr>
        <w:pStyle w:val="ListParagraph"/>
        <w:widowControl/>
        <w:numPr>
          <w:ilvl w:val="1"/>
          <w:numId w:val="11"/>
        </w:numPr>
        <w:spacing w:before="120" w:after="160"/>
        <w:ind w:left="709" w:hanging="709"/>
        <w:contextualSpacing w:val="0"/>
        <w:rPr>
          <w:rFonts w:asciiTheme="minorHAnsi" w:hAnsiTheme="minorHAnsi"/>
          <w:sz w:val="24"/>
        </w:rPr>
      </w:pPr>
      <w:r w:rsidRPr="00226B30">
        <w:rPr>
          <w:rFonts w:asciiTheme="minorHAnsi" w:hAnsiTheme="minorHAnsi"/>
          <w:sz w:val="24"/>
        </w:rPr>
        <w:t xml:space="preserve">The evaluation </w:t>
      </w:r>
      <w:r w:rsidR="00C978B0" w:rsidRPr="00226B30">
        <w:rPr>
          <w:rFonts w:asciiTheme="minorHAnsi" w:hAnsiTheme="minorHAnsi"/>
          <w:sz w:val="24"/>
        </w:rPr>
        <w:t xml:space="preserve">also </w:t>
      </w:r>
      <w:r w:rsidRPr="00226B30">
        <w:rPr>
          <w:rFonts w:asciiTheme="minorHAnsi" w:hAnsiTheme="minorHAnsi"/>
          <w:sz w:val="24"/>
        </w:rPr>
        <w:t xml:space="preserve">noted that on 27 March 2017, </w:t>
      </w:r>
      <w:r w:rsidR="00942C6E" w:rsidRPr="00226B30">
        <w:rPr>
          <w:rFonts w:asciiTheme="minorHAnsi" w:hAnsiTheme="minorHAnsi"/>
          <w:sz w:val="24"/>
        </w:rPr>
        <w:t>the s</w:t>
      </w:r>
      <w:r w:rsidRPr="00226B30">
        <w:rPr>
          <w:rFonts w:asciiTheme="minorHAnsi" w:hAnsiTheme="minorHAnsi"/>
          <w:sz w:val="24"/>
        </w:rPr>
        <w:t>ponsor announced</w:t>
      </w:r>
      <w:r w:rsidRPr="00480571">
        <w:rPr>
          <w:rFonts w:asciiTheme="minorHAnsi" w:hAnsiTheme="minorHAnsi"/>
          <w:sz w:val="24"/>
          <w:szCs w:val="24"/>
          <w:vertAlign w:val="superscript"/>
        </w:rPr>
        <w:footnoteReference w:id="2"/>
      </w:r>
      <w:r w:rsidRPr="00226B30">
        <w:rPr>
          <w:rFonts w:asciiTheme="minorHAnsi" w:hAnsiTheme="minorHAnsi"/>
          <w:sz w:val="24"/>
        </w:rPr>
        <w:t xml:space="preserve"> results from two Phase 3 studies of a tezacaftor/ivacaftor combination treatment that showed statistically significant improvements in lung function (ppFEV1) in patients aged 12 and older who were homozygous for the F508del mutation</w:t>
      </w:r>
      <w:r w:rsidR="00942C6E" w:rsidRPr="00226B30">
        <w:rPr>
          <w:rFonts w:asciiTheme="minorHAnsi" w:hAnsiTheme="minorHAnsi"/>
          <w:sz w:val="24"/>
        </w:rPr>
        <w:t>. The sponsor</w:t>
      </w:r>
      <w:r w:rsidRPr="00226B30">
        <w:rPr>
          <w:rFonts w:asciiTheme="minorHAnsi" w:hAnsiTheme="minorHAnsi"/>
          <w:sz w:val="24"/>
        </w:rPr>
        <w:t xml:space="preserve"> </w:t>
      </w:r>
      <w:r w:rsidR="00480571">
        <w:rPr>
          <w:rFonts w:asciiTheme="minorHAnsi" w:hAnsiTheme="minorHAnsi"/>
          <w:sz w:val="24"/>
        </w:rPr>
        <w:t xml:space="preserve">also announced </w:t>
      </w:r>
      <w:r w:rsidRPr="00226B30">
        <w:rPr>
          <w:rFonts w:asciiTheme="minorHAnsi" w:hAnsiTheme="minorHAnsi"/>
          <w:sz w:val="24"/>
        </w:rPr>
        <w:t>plans to submit a New Drug Application to the FDA and a Marketing Authorization Application</w:t>
      </w:r>
      <w:r w:rsidR="00297253" w:rsidRPr="00226B30">
        <w:rPr>
          <w:rFonts w:asciiTheme="minorHAnsi" w:hAnsiTheme="minorHAnsi"/>
          <w:sz w:val="24"/>
        </w:rPr>
        <w:t xml:space="preserve"> </w:t>
      </w:r>
      <w:r w:rsidRPr="00226B30">
        <w:rPr>
          <w:rFonts w:asciiTheme="minorHAnsi" w:hAnsiTheme="minorHAnsi"/>
          <w:sz w:val="24"/>
        </w:rPr>
        <w:t>to the European Medicines Agency in the third quarter of 2017 for the combination therapy.</w:t>
      </w:r>
      <w:r w:rsidR="009D13F2" w:rsidRPr="00226B30">
        <w:rPr>
          <w:rFonts w:asciiTheme="minorHAnsi" w:hAnsiTheme="minorHAnsi"/>
          <w:sz w:val="24"/>
        </w:rPr>
        <w:t xml:space="preserve"> The evaluation noted</w:t>
      </w:r>
      <w:r w:rsidR="00297253" w:rsidRPr="00226B30">
        <w:rPr>
          <w:rFonts w:asciiTheme="minorHAnsi" w:hAnsiTheme="minorHAnsi"/>
          <w:sz w:val="24"/>
        </w:rPr>
        <w:t xml:space="preserve"> </w:t>
      </w:r>
      <w:r w:rsidR="009D13F2" w:rsidRPr="00226B30">
        <w:rPr>
          <w:rFonts w:asciiTheme="minorHAnsi" w:hAnsiTheme="minorHAnsi"/>
          <w:sz w:val="24"/>
        </w:rPr>
        <w:t xml:space="preserve">that if lumacaftor/ivacaftor was PBS listed for the requested indication it would </w:t>
      </w:r>
      <w:r w:rsidR="00942C6E" w:rsidRPr="00226B30">
        <w:rPr>
          <w:rFonts w:asciiTheme="minorHAnsi" w:hAnsiTheme="minorHAnsi"/>
          <w:sz w:val="24"/>
        </w:rPr>
        <w:t xml:space="preserve">likely </w:t>
      </w:r>
      <w:r w:rsidR="009D13F2" w:rsidRPr="00226B30">
        <w:rPr>
          <w:rFonts w:asciiTheme="minorHAnsi" w:hAnsiTheme="minorHAnsi"/>
          <w:sz w:val="24"/>
        </w:rPr>
        <w:t xml:space="preserve">be used as a comparator for tezacaftor/ivacaftor in a future submission to the PBAC. </w:t>
      </w:r>
      <w:r w:rsidR="00297253" w:rsidRPr="00226B30">
        <w:rPr>
          <w:rFonts w:asciiTheme="minorHAnsi" w:hAnsiTheme="minorHAnsi"/>
          <w:sz w:val="24"/>
        </w:rPr>
        <w:t>The evaluation asked the sponsor to advise of current plans for seeking Australian marketing approval for tezacaftor/ivacaftor.</w:t>
      </w:r>
      <w:r w:rsidR="00C978B0" w:rsidRPr="00226B30">
        <w:rPr>
          <w:rFonts w:asciiTheme="minorHAnsi" w:hAnsiTheme="minorHAnsi"/>
          <w:sz w:val="24"/>
        </w:rPr>
        <w:t xml:space="preserve"> The PSCR </w:t>
      </w:r>
      <w:r w:rsidR="00440F1C">
        <w:rPr>
          <w:rFonts w:asciiTheme="minorHAnsi" w:hAnsiTheme="minorHAnsi"/>
          <w:sz w:val="24"/>
        </w:rPr>
        <w:t xml:space="preserve">and pre-PBAC response </w:t>
      </w:r>
      <w:r w:rsidR="00C978B0" w:rsidRPr="00226B30">
        <w:rPr>
          <w:rFonts w:asciiTheme="minorHAnsi" w:hAnsiTheme="minorHAnsi"/>
          <w:sz w:val="24"/>
        </w:rPr>
        <w:t xml:space="preserve">did not address this request for information. </w:t>
      </w:r>
      <w:r w:rsidR="00A42B97">
        <w:rPr>
          <w:rFonts w:asciiTheme="minorHAnsi" w:hAnsiTheme="minorHAnsi"/>
          <w:noProof/>
          <w:color w:val="000000"/>
          <w:sz w:val="24"/>
          <w:szCs w:val="24"/>
          <w:highlight w:val="black"/>
        </w:rPr>
        <w:t>''''''' '''''''' ''''''''''''''' '''''' ''''''''''' '''''''' ''' '''''''''''''' '''' ''''''''''''' ''' '''''''''''''''''''' '''''' '''''''''''''''''''''''''''''''''' ''''' ''''''' '''''''' '''''''''''''' '''' ''''''''''''</w:t>
      </w:r>
      <w:r w:rsidR="00164BC7">
        <w:rPr>
          <w:rFonts w:asciiTheme="minorHAnsi" w:hAnsiTheme="minorHAnsi"/>
          <w:sz w:val="24"/>
          <w:szCs w:val="24"/>
        </w:rPr>
        <w:t xml:space="preserve"> </w:t>
      </w:r>
      <w:r w:rsidR="00D3005E">
        <w:rPr>
          <w:rFonts w:asciiTheme="minorHAnsi" w:hAnsiTheme="minorHAnsi"/>
          <w:sz w:val="24"/>
          <w:szCs w:val="24"/>
        </w:rPr>
        <w:t xml:space="preserve">In addition, </w:t>
      </w:r>
      <w:r w:rsidR="006535E2">
        <w:rPr>
          <w:rFonts w:asciiTheme="minorHAnsi" w:hAnsiTheme="minorHAnsi"/>
          <w:sz w:val="24"/>
          <w:szCs w:val="24"/>
        </w:rPr>
        <w:t xml:space="preserve">the PBAC was also aware that </w:t>
      </w:r>
      <w:r w:rsidR="00D3005E">
        <w:rPr>
          <w:rFonts w:asciiTheme="minorHAnsi" w:hAnsiTheme="minorHAnsi"/>
          <w:sz w:val="24"/>
          <w:szCs w:val="24"/>
        </w:rPr>
        <w:t>phase 1 and 2 c</w:t>
      </w:r>
      <w:r w:rsidR="00F953F2">
        <w:rPr>
          <w:rFonts w:asciiTheme="minorHAnsi" w:hAnsiTheme="minorHAnsi"/>
          <w:sz w:val="24"/>
          <w:szCs w:val="24"/>
        </w:rPr>
        <w:t xml:space="preserve">linical </w:t>
      </w:r>
      <w:r w:rsidR="00D3005E">
        <w:rPr>
          <w:rFonts w:asciiTheme="minorHAnsi" w:hAnsiTheme="minorHAnsi"/>
          <w:sz w:val="24"/>
          <w:szCs w:val="24"/>
        </w:rPr>
        <w:t>trials</w:t>
      </w:r>
      <w:r w:rsidR="00F953F2">
        <w:rPr>
          <w:rFonts w:asciiTheme="minorHAnsi" w:hAnsiTheme="minorHAnsi"/>
          <w:sz w:val="24"/>
          <w:szCs w:val="24"/>
        </w:rPr>
        <w:t xml:space="preserve"> are </w:t>
      </w:r>
      <w:r w:rsidR="00D3005E">
        <w:rPr>
          <w:rFonts w:asciiTheme="minorHAnsi" w:hAnsiTheme="minorHAnsi"/>
          <w:sz w:val="24"/>
          <w:szCs w:val="24"/>
        </w:rPr>
        <w:t xml:space="preserve">currently ongoing </w:t>
      </w:r>
      <w:r w:rsidR="00F953F2">
        <w:rPr>
          <w:rFonts w:asciiTheme="minorHAnsi" w:hAnsiTheme="minorHAnsi"/>
          <w:sz w:val="24"/>
          <w:szCs w:val="24"/>
        </w:rPr>
        <w:t>for triple therapy regimens of tezacaftor/ivacaftor plus a “next generation corrector” in various CF populations, including patients homozygous for F508del</w:t>
      </w:r>
      <w:r w:rsidR="00D3005E">
        <w:rPr>
          <w:rStyle w:val="FootnoteReference"/>
          <w:rFonts w:asciiTheme="minorHAnsi" w:hAnsiTheme="minorHAnsi"/>
          <w:sz w:val="24"/>
          <w:szCs w:val="24"/>
        </w:rPr>
        <w:footnoteReference w:id="3"/>
      </w:r>
      <w:r w:rsidR="00F953F2">
        <w:rPr>
          <w:rFonts w:asciiTheme="minorHAnsi" w:hAnsiTheme="minorHAnsi"/>
          <w:sz w:val="24"/>
          <w:szCs w:val="24"/>
        </w:rPr>
        <w:t>.</w:t>
      </w:r>
    </w:p>
    <w:p w:rsidR="00226B30" w:rsidRDefault="00226B30" w:rsidP="001E08C1">
      <w:pPr>
        <w:widowControl/>
        <w:spacing w:after="120"/>
        <w:ind w:firstLine="709"/>
        <w:rPr>
          <w:rFonts w:asciiTheme="minorHAnsi" w:hAnsiTheme="minorHAnsi"/>
          <w:i/>
          <w:sz w:val="24"/>
        </w:rPr>
      </w:pPr>
      <w:r w:rsidRPr="008E229A">
        <w:rPr>
          <w:rFonts w:asciiTheme="minorHAnsi" w:hAnsiTheme="minorHAnsi"/>
          <w:i/>
          <w:sz w:val="24"/>
        </w:rPr>
        <w:t>For more detail on PBAC’s view, see section 7 “PBAC outcome.”</w:t>
      </w:r>
    </w:p>
    <w:p w:rsidR="000D33EE" w:rsidRPr="00226B30" w:rsidRDefault="000D33EE" w:rsidP="001E08C1">
      <w:pPr>
        <w:widowControl/>
        <w:spacing w:after="120"/>
        <w:ind w:firstLine="709"/>
        <w:rPr>
          <w:rFonts w:asciiTheme="minorHAnsi" w:hAnsiTheme="minorHAnsi"/>
          <w:i/>
          <w:sz w:val="24"/>
        </w:rPr>
      </w:pPr>
    </w:p>
    <w:p w:rsidR="00B2608F" w:rsidRPr="00DA2530" w:rsidRDefault="00B2608F" w:rsidP="00A54394">
      <w:pPr>
        <w:pStyle w:val="Heading2"/>
        <w:ind w:hanging="720"/>
      </w:pPr>
      <w:bookmarkStart w:id="19" w:name="_Toc413139275"/>
      <w:bookmarkStart w:id="20" w:name="_Toc476306885"/>
      <w:bookmarkStart w:id="21" w:name="_Toc482713672"/>
      <w:r w:rsidRPr="00DA2530">
        <w:t>Comparator</w:t>
      </w:r>
      <w:bookmarkEnd w:id="19"/>
      <w:bookmarkEnd w:id="20"/>
      <w:bookmarkEnd w:id="21"/>
    </w:p>
    <w:p w:rsidR="00226B30" w:rsidRDefault="00B2608F" w:rsidP="00440F1C">
      <w:pPr>
        <w:pStyle w:val="ListParagraph"/>
        <w:widowControl/>
        <w:numPr>
          <w:ilvl w:val="1"/>
          <w:numId w:val="12"/>
        </w:numPr>
        <w:spacing w:before="120" w:after="160"/>
        <w:ind w:left="709" w:hanging="709"/>
        <w:contextualSpacing w:val="0"/>
        <w:rPr>
          <w:rFonts w:asciiTheme="minorHAnsi" w:hAnsiTheme="minorHAnsi"/>
          <w:sz w:val="24"/>
        </w:rPr>
      </w:pPr>
      <w:r w:rsidRPr="00DA2530">
        <w:rPr>
          <w:rFonts w:asciiTheme="minorHAnsi" w:hAnsiTheme="minorHAnsi"/>
          <w:sz w:val="24"/>
        </w:rPr>
        <w:t xml:space="preserve">Best supportive care (BSC) was nominated as the comparator. The PBAC </w:t>
      </w:r>
      <w:r w:rsidR="007731B2" w:rsidRPr="00DA2530">
        <w:rPr>
          <w:rFonts w:asciiTheme="minorHAnsi" w:hAnsiTheme="minorHAnsi"/>
          <w:sz w:val="24"/>
        </w:rPr>
        <w:t xml:space="preserve">previously </w:t>
      </w:r>
      <w:r w:rsidRPr="00DA2530">
        <w:rPr>
          <w:rFonts w:asciiTheme="minorHAnsi" w:hAnsiTheme="minorHAnsi"/>
          <w:sz w:val="24"/>
        </w:rPr>
        <w:t>accepted that this is the appropriate comparator</w:t>
      </w:r>
      <w:r w:rsidR="007731B2" w:rsidRPr="00DA2530">
        <w:rPr>
          <w:rFonts w:asciiTheme="minorHAnsi" w:hAnsiTheme="minorHAnsi"/>
          <w:sz w:val="24"/>
        </w:rPr>
        <w:t xml:space="preserve"> (paragraph 7.4, March 2016 PSD)</w:t>
      </w:r>
      <w:r w:rsidRPr="00DA2530">
        <w:rPr>
          <w:rFonts w:asciiTheme="minorHAnsi" w:hAnsiTheme="minorHAnsi"/>
          <w:sz w:val="24"/>
        </w:rPr>
        <w:t>.</w:t>
      </w:r>
    </w:p>
    <w:p w:rsidR="00B2608F" w:rsidRPr="00DA2530" w:rsidRDefault="00B2608F" w:rsidP="00A54394">
      <w:pPr>
        <w:pStyle w:val="Heading2"/>
        <w:ind w:hanging="720"/>
      </w:pPr>
      <w:bookmarkStart w:id="22" w:name="_Toc413139276"/>
      <w:bookmarkStart w:id="23" w:name="_Toc476306886"/>
      <w:bookmarkStart w:id="24" w:name="_Toc482713673"/>
      <w:r w:rsidRPr="00DA2530">
        <w:t>Consideration of the evidence</w:t>
      </w:r>
      <w:bookmarkEnd w:id="22"/>
      <w:bookmarkEnd w:id="23"/>
      <w:bookmarkEnd w:id="24"/>
    </w:p>
    <w:p w:rsidR="00226B30" w:rsidRPr="00815F85" w:rsidRDefault="00226B30" w:rsidP="001E08C1">
      <w:pPr>
        <w:pStyle w:val="Heading3"/>
      </w:pPr>
      <w:bookmarkStart w:id="25" w:name="_Toc413139277"/>
      <w:bookmarkStart w:id="26" w:name="_Toc476306887"/>
      <w:bookmarkStart w:id="27" w:name="_Toc482713674"/>
      <w:r w:rsidRPr="00815F85">
        <w:t>Sponsor hearing</w:t>
      </w:r>
    </w:p>
    <w:p w:rsidR="00960E73" w:rsidRPr="00E3157A" w:rsidRDefault="00960E73" w:rsidP="00A24BF6">
      <w:pPr>
        <w:pStyle w:val="ListParagraph"/>
        <w:widowControl/>
        <w:numPr>
          <w:ilvl w:val="1"/>
          <w:numId w:val="13"/>
        </w:numPr>
        <w:spacing w:after="120"/>
        <w:ind w:left="709" w:hanging="709"/>
        <w:contextualSpacing w:val="0"/>
        <w:rPr>
          <w:rFonts w:asciiTheme="minorHAnsi" w:hAnsiTheme="minorHAnsi"/>
          <w:sz w:val="24"/>
        </w:rPr>
      </w:pPr>
      <w:r w:rsidRPr="00E3157A">
        <w:rPr>
          <w:rFonts w:asciiTheme="minorHAnsi" w:hAnsiTheme="minorHAnsi"/>
          <w:sz w:val="24"/>
        </w:rPr>
        <w:t>The sponsor req</w:t>
      </w:r>
      <w:r>
        <w:rPr>
          <w:rFonts w:asciiTheme="minorHAnsi" w:hAnsiTheme="minorHAnsi"/>
          <w:sz w:val="24"/>
        </w:rPr>
        <w:t>uested a hearing for this item.</w:t>
      </w:r>
      <w:r w:rsidRPr="00E3157A">
        <w:rPr>
          <w:rFonts w:asciiTheme="minorHAnsi" w:hAnsiTheme="minorHAnsi"/>
          <w:sz w:val="24"/>
        </w:rPr>
        <w:t xml:space="preserve"> The clinician discussed </w:t>
      </w:r>
      <w:r>
        <w:rPr>
          <w:rFonts w:asciiTheme="minorHAnsi" w:hAnsiTheme="minorHAnsi"/>
          <w:sz w:val="24"/>
        </w:rPr>
        <w:t>what outcomes a</w:t>
      </w:r>
      <w:r w:rsidR="00265B43">
        <w:rPr>
          <w:rFonts w:asciiTheme="minorHAnsi" w:hAnsiTheme="minorHAnsi"/>
          <w:sz w:val="24"/>
        </w:rPr>
        <w:t>re informative for deciding which</w:t>
      </w:r>
      <w:r>
        <w:rPr>
          <w:rFonts w:asciiTheme="minorHAnsi" w:hAnsiTheme="minorHAnsi"/>
          <w:sz w:val="24"/>
        </w:rPr>
        <w:t xml:space="preserve"> treatments are useful for CF and noted that very few treatments modify the course of the disease. The clinician noted that the pattern of response in terms of FEV</w:t>
      </w:r>
      <w:r w:rsidRPr="00F633B1">
        <w:rPr>
          <w:rFonts w:asciiTheme="minorHAnsi" w:hAnsiTheme="minorHAnsi"/>
          <w:sz w:val="24"/>
          <w:vertAlign w:val="subscript"/>
        </w:rPr>
        <w:t>1</w:t>
      </w:r>
      <w:r>
        <w:rPr>
          <w:rFonts w:asciiTheme="minorHAnsi" w:hAnsiTheme="minorHAnsi"/>
          <w:sz w:val="24"/>
        </w:rPr>
        <w:t xml:space="preserve"> for lumacaftor/ivacaftor is similar but less than that demonstrated with ivacaftor for the class III gating patient population who typically have milder disease than the homozygous F508del population of interest for lumacaftor/ivacaftor. The clinician stressed the importance of reducing the rate of decline in lung function</w:t>
      </w:r>
      <w:r w:rsidR="00427BF5">
        <w:rPr>
          <w:rFonts w:asciiTheme="minorHAnsi" w:hAnsiTheme="minorHAnsi"/>
          <w:sz w:val="24"/>
        </w:rPr>
        <w:t>. Further, the clinician</w:t>
      </w:r>
      <w:r>
        <w:rPr>
          <w:rFonts w:asciiTheme="minorHAnsi" w:hAnsiTheme="minorHAnsi"/>
          <w:sz w:val="24"/>
        </w:rPr>
        <w:t xml:space="preserve"> claimed that </w:t>
      </w:r>
      <w:r w:rsidR="00427BF5">
        <w:rPr>
          <w:rFonts w:asciiTheme="minorHAnsi" w:hAnsiTheme="minorHAnsi"/>
          <w:sz w:val="24"/>
        </w:rPr>
        <w:t>a change in FEV</w:t>
      </w:r>
      <w:r w:rsidR="00427BF5" w:rsidRPr="005458B2">
        <w:rPr>
          <w:rFonts w:asciiTheme="minorHAnsi" w:hAnsiTheme="minorHAnsi"/>
          <w:sz w:val="24"/>
          <w:vertAlign w:val="subscript"/>
        </w:rPr>
        <w:t>1</w:t>
      </w:r>
      <w:r w:rsidR="00427BF5">
        <w:rPr>
          <w:rFonts w:asciiTheme="minorHAnsi" w:hAnsiTheme="minorHAnsi"/>
          <w:sz w:val="24"/>
        </w:rPr>
        <w:t xml:space="preserve"> was not a good predictor of the longer-term decline in lung function,</w:t>
      </w:r>
      <w:r w:rsidR="00FC5E63">
        <w:rPr>
          <w:rFonts w:asciiTheme="minorHAnsi" w:hAnsiTheme="minorHAnsi"/>
          <w:sz w:val="24"/>
        </w:rPr>
        <w:t xml:space="preserve"> or long-term health outcomes,</w:t>
      </w:r>
      <w:r w:rsidR="00427BF5">
        <w:rPr>
          <w:rFonts w:asciiTheme="minorHAnsi" w:hAnsiTheme="minorHAnsi"/>
          <w:sz w:val="24"/>
        </w:rPr>
        <w:t xml:space="preserve"> which </w:t>
      </w:r>
      <w:r w:rsidR="00FC5E63">
        <w:rPr>
          <w:rFonts w:asciiTheme="minorHAnsi" w:hAnsiTheme="minorHAnsi"/>
          <w:sz w:val="24"/>
        </w:rPr>
        <w:t>some evidence suggests may</w:t>
      </w:r>
      <w:r w:rsidR="00427BF5">
        <w:rPr>
          <w:rFonts w:asciiTheme="minorHAnsi" w:hAnsiTheme="minorHAnsi"/>
          <w:sz w:val="24"/>
        </w:rPr>
        <w:t xml:space="preserve"> be influenced by metabolic affects. </w:t>
      </w:r>
      <w:r w:rsidR="00FC5E63">
        <w:rPr>
          <w:rFonts w:asciiTheme="minorHAnsi" w:hAnsiTheme="minorHAnsi"/>
          <w:sz w:val="24"/>
        </w:rPr>
        <w:t xml:space="preserve">Specifically, the clinician was of the opinion that </w:t>
      </w:r>
      <w:r>
        <w:rPr>
          <w:rFonts w:asciiTheme="minorHAnsi" w:hAnsiTheme="minorHAnsi"/>
          <w:sz w:val="24"/>
        </w:rPr>
        <w:t>the short-term change in FEV</w:t>
      </w:r>
      <w:r w:rsidRPr="00E3157A">
        <w:rPr>
          <w:rFonts w:asciiTheme="minorHAnsi" w:hAnsiTheme="minorHAnsi"/>
          <w:sz w:val="24"/>
          <w:vertAlign w:val="subscript"/>
        </w:rPr>
        <w:t>1</w:t>
      </w:r>
      <w:r>
        <w:rPr>
          <w:rFonts w:asciiTheme="minorHAnsi" w:hAnsiTheme="minorHAnsi"/>
          <w:sz w:val="24"/>
        </w:rPr>
        <w:t xml:space="preserve"> demonstrated in trials is independent of the long-term rate of decline. In response to a question from the PBAC regarding the </w:t>
      </w:r>
      <w:r w:rsidR="0043694C">
        <w:rPr>
          <w:rFonts w:asciiTheme="minorHAnsi" w:hAnsiTheme="minorHAnsi"/>
          <w:sz w:val="24"/>
        </w:rPr>
        <w:t>utility of the propensity matched analysis of lumacaftor/ivacaftor treated patients in the PROGRESS extension study against a</w:t>
      </w:r>
      <w:r>
        <w:rPr>
          <w:rFonts w:asciiTheme="minorHAnsi" w:hAnsiTheme="minorHAnsi"/>
          <w:sz w:val="24"/>
        </w:rPr>
        <w:t xml:space="preserve"> historical cohort drawn from the US CF registry (see </w:t>
      </w:r>
      <w:r w:rsidRPr="001D475E">
        <w:rPr>
          <w:rFonts w:asciiTheme="minorHAnsi" w:hAnsiTheme="minorHAnsi"/>
          <w:sz w:val="24"/>
        </w:rPr>
        <w:t>paragraph 6.</w:t>
      </w:r>
      <w:r w:rsidR="008E229A" w:rsidRPr="001D475E">
        <w:rPr>
          <w:rFonts w:asciiTheme="minorHAnsi" w:hAnsiTheme="minorHAnsi"/>
          <w:sz w:val="24"/>
        </w:rPr>
        <w:t>19</w:t>
      </w:r>
      <w:r>
        <w:rPr>
          <w:rFonts w:asciiTheme="minorHAnsi" w:hAnsiTheme="minorHAnsi"/>
          <w:sz w:val="24"/>
        </w:rPr>
        <w:t xml:space="preserve">), the clinician noted that patients in the US tend to perform worse on average than patients in other countries such as the UK. </w:t>
      </w:r>
      <w:r w:rsidRPr="00E3157A">
        <w:rPr>
          <w:rFonts w:asciiTheme="minorHAnsi" w:hAnsiTheme="minorHAnsi"/>
          <w:sz w:val="24"/>
        </w:rPr>
        <w:t>The PBAC considered that the hearing was informative as it provided a clinical perspective on</w:t>
      </w:r>
      <w:r>
        <w:rPr>
          <w:rFonts w:asciiTheme="minorHAnsi" w:hAnsiTheme="minorHAnsi"/>
          <w:sz w:val="24"/>
        </w:rPr>
        <w:t xml:space="preserve"> the outcomes of interest in the treatment of CF</w:t>
      </w:r>
      <w:r w:rsidRPr="00E3157A">
        <w:rPr>
          <w:rFonts w:asciiTheme="minorHAnsi" w:hAnsiTheme="minorHAnsi"/>
          <w:sz w:val="24"/>
        </w:rPr>
        <w:t>.</w:t>
      </w:r>
    </w:p>
    <w:p w:rsidR="00226B30" w:rsidRPr="00226B30" w:rsidRDefault="00226B30" w:rsidP="001E08C1">
      <w:pPr>
        <w:pStyle w:val="Heading3"/>
      </w:pPr>
      <w:r w:rsidRPr="00226B30">
        <w:t>Consumer comments</w:t>
      </w:r>
    </w:p>
    <w:p w:rsidR="00960E73" w:rsidRPr="006C2EA0" w:rsidRDefault="00960E73" w:rsidP="00A24BF6">
      <w:pPr>
        <w:pStyle w:val="ListParagraph"/>
        <w:widowControl/>
        <w:numPr>
          <w:ilvl w:val="1"/>
          <w:numId w:val="13"/>
        </w:numPr>
        <w:spacing w:after="120"/>
        <w:ind w:left="709" w:hanging="709"/>
        <w:contextualSpacing w:val="0"/>
        <w:rPr>
          <w:rFonts w:asciiTheme="minorHAnsi" w:hAnsiTheme="minorHAnsi"/>
          <w:sz w:val="24"/>
        </w:rPr>
      </w:pPr>
      <w:r w:rsidRPr="006C2EA0">
        <w:rPr>
          <w:rFonts w:asciiTheme="minorHAnsi" w:hAnsiTheme="minorHAnsi"/>
          <w:sz w:val="24"/>
        </w:rPr>
        <w:t xml:space="preserve">The PBAC noted and welcomed the input from individuals (214) and </w:t>
      </w:r>
      <w:r>
        <w:rPr>
          <w:rFonts w:asciiTheme="minorHAnsi" w:hAnsiTheme="minorHAnsi"/>
          <w:sz w:val="24"/>
        </w:rPr>
        <w:t>one organisation</w:t>
      </w:r>
      <w:r w:rsidRPr="006C2EA0">
        <w:rPr>
          <w:rFonts w:asciiTheme="minorHAnsi" w:hAnsiTheme="minorHAnsi"/>
          <w:sz w:val="24"/>
        </w:rPr>
        <w:t xml:space="preserve"> via the Consumer Comment</w:t>
      </w:r>
      <w:r>
        <w:rPr>
          <w:rFonts w:asciiTheme="minorHAnsi" w:hAnsiTheme="minorHAnsi"/>
          <w:sz w:val="24"/>
        </w:rPr>
        <w:t xml:space="preserve">s facility on the PBS website. </w:t>
      </w:r>
      <w:r w:rsidRPr="006C2EA0">
        <w:rPr>
          <w:rFonts w:asciiTheme="minorHAnsi" w:hAnsiTheme="minorHAnsi"/>
          <w:sz w:val="24"/>
        </w:rPr>
        <w:t>The comments described a range of benefits of treatment with lumacaftor/ivacaftor, including improvement in lung function, reduction in chest infections and exacerbations, weight gain, fewer hospital visits, fewer medications to be consumed on a daily basis, slowing disease progression</w:t>
      </w:r>
      <w:r w:rsidR="0043694C">
        <w:rPr>
          <w:rFonts w:asciiTheme="minorHAnsi" w:hAnsiTheme="minorHAnsi"/>
          <w:sz w:val="24"/>
        </w:rPr>
        <w:t>, improvement in</w:t>
      </w:r>
      <w:r w:rsidRPr="006C2EA0">
        <w:rPr>
          <w:rFonts w:asciiTheme="minorHAnsi" w:hAnsiTheme="minorHAnsi"/>
          <w:sz w:val="24"/>
        </w:rPr>
        <w:t xml:space="preserve"> quality of life and enabling greater participation in society (including less time off work and school for illness). The comments</w:t>
      </w:r>
      <w:r>
        <w:rPr>
          <w:rFonts w:asciiTheme="minorHAnsi" w:hAnsiTheme="minorHAnsi"/>
          <w:sz w:val="24"/>
        </w:rPr>
        <w:t xml:space="preserve"> </w:t>
      </w:r>
      <w:r w:rsidRPr="006C2EA0">
        <w:rPr>
          <w:rFonts w:asciiTheme="minorHAnsi" w:hAnsiTheme="minorHAnsi"/>
          <w:sz w:val="24"/>
        </w:rPr>
        <w:t xml:space="preserve">noted </w:t>
      </w:r>
      <w:r w:rsidR="0043694C">
        <w:rPr>
          <w:rFonts w:asciiTheme="minorHAnsi" w:hAnsiTheme="minorHAnsi"/>
          <w:sz w:val="24"/>
        </w:rPr>
        <w:t xml:space="preserve">that </w:t>
      </w:r>
      <w:r w:rsidRPr="006C2EA0">
        <w:rPr>
          <w:rFonts w:asciiTheme="minorHAnsi" w:hAnsiTheme="minorHAnsi"/>
          <w:sz w:val="24"/>
        </w:rPr>
        <w:t xml:space="preserve">the very high cost of the drug on the private market puts it out of the financial reach of Australian patients. The comments also noted that lumacaftor/ivacaftor is a treatment which targets the underlying genetic defect which causes </w:t>
      </w:r>
      <w:r>
        <w:rPr>
          <w:rFonts w:asciiTheme="minorHAnsi" w:hAnsiTheme="minorHAnsi"/>
          <w:sz w:val="24"/>
        </w:rPr>
        <w:t>CF</w:t>
      </w:r>
      <w:r w:rsidRPr="006C2EA0">
        <w:rPr>
          <w:rFonts w:asciiTheme="minorHAnsi" w:hAnsiTheme="minorHAnsi"/>
          <w:sz w:val="24"/>
        </w:rPr>
        <w:t>, rather than treating the symptoms of the disease.</w:t>
      </w:r>
    </w:p>
    <w:p w:rsidR="00960E73" w:rsidRPr="00A05E4B" w:rsidRDefault="00960E73" w:rsidP="00A24BF6">
      <w:pPr>
        <w:pStyle w:val="ListParagraph"/>
        <w:widowControl/>
        <w:numPr>
          <w:ilvl w:val="1"/>
          <w:numId w:val="13"/>
        </w:numPr>
        <w:spacing w:after="120"/>
        <w:ind w:left="709" w:hanging="709"/>
        <w:contextualSpacing w:val="0"/>
        <w:rPr>
          <w:rFonts w:asciiTheme="minorHAnsi" w:hAnsiTheme="minorHAnsi"/>
          <w:sz w:val="24"/>
        </w:rPr>
      </w:pPr>
      <w:r w:rsidRPr="00A05E4B">
        <w:rPr>
          <w:rFonts w:asciiTheme="minorHAnsi" w:hAnsiTheme="minorHAnsi"/>
          <w:sz w:val="24"/>
        </w:rPr>
        <w:t>The PBAC noted the advice received from Cystic Fibrosis Australia</w:t>
      </w:r>
      <w:r>
        <w:rPr>
          <w:rFonts w:asciiTheme="minorHAnsi" w:hAnsiTheme="minorHAnsi"/>
          <w:sz w:val="24"/>
        </w:rPr>
        <w:t xml:space="preserve"> (CFA)</w:t>
      </w:r>
      <w:r w:rsidRPr="00A05E4B">
        <w:rPr>
          <w:rFonts w:asciiTheme="minorHAnsi" w:hAnsiTheme="minorHAnsi"/>
          <w:sz w:val="24"/>
        </w:rPr>
        <w:t xml:space="preserve"> that</w:t>
      </w:r>
      <w:r w:rsidR="00DD4988">
        <w:rPr>
          <w:rFonts w:asciiTheme="minorHAnsi" w:hAnsiTheme="minorHAnsi"/>
          <w:sz w:val="24"/>
        </w:rPr>
        <w:t xml:space="preserve"> CFA considers</w:t>
      </w:r>
      <w:r w:rsidRPr="00A05E4B">
        <w:rPr>
          <w:rFonts w:asciiTheme="minorHAnsi" w:hAnsiTheme="minorHAnsi"/>
          <w:sz w:val="24"/>
        </w:rPr>
        <w:t xml:space="preserve"> lumacaftor/ivacaftor </w:t>
      </w:r>
      <w:r w:rsidR="00DD4988">
        <w:rPr>
          <w:rFonts w:asciiTheme="minorHAnsi" w:hAnsiTheme="minorHAnsi"/>
          <w:sz w:val="24"/>
        </w:rPr>
        <w:t>to be</w:t>
      </w:r>
      <w:r w:rsidRPr="00A05E4B">
        <w:rPr>
          <w:rFonts w:asciiTheme="minorHAnsi" w:hAnsiTheme="minorHAnsi"/>
          <w:sz w:val="24"/>
        </w:rPr>
        <w:t xml:space="preserve"> a</w:t>
      </w:r>
      <w:r>
        <w:rPr>
          <w:rFonts w:asciiTheme="minorHAnsi" w:hAnsiTheme="minorHAnsi"/>
          <w:sz w:val="24"/>
        </w:rPr>
        <w:t xml:space="preserve">n essential medicine that treats the underlying cause of the disease. CFA stated that treatment with lumacaftor/ivacaftor slows decline in lung function, </w:t>
      </w:r>
      <w:r w:rsidRPr="00A05E4B">
        <w:rPr>
          <w:rFonts w:asciiTheme="minorHAnsi" w:hAnsiTheme="minorHAnsi"/>
          <w:sz w:val="24"/>
        </w:rPr>
        <w:t>reduce</w:t>
      </w:r>
      <w:r>
        <w:rPr>
          <w:rFonts w:asciiTheme="minorHAnsi" w:hAnsiTheme="minorHAnsi"/>
          <w:sz w:val="24"/>
        </w:rPr>
        <w:t>s</w:t>
      </w:r>
      <w:r w:rsidRPr="00A05E4B">
        <w:rPr>
          <w:rFonts w:asciiTheme="minorHAnsi" w:hAnsiTheme="minorHAnsi"/>
          <w:sz w:val="24"/>
        </w:rPr>
        <w:t xml:space="preserve"> hospitalisations</w:t>
      </w:r>
      <w:r>
        <w:rPr>
          <w:rFonts w:asciiTheme="minorHAnsi" w:hAnsiTheme="minorHAnsi"/>
          <w:sz w:val="24"/>
        </w:rPr>
        <w:t>, exacerbations</w:t>
      </w:r>
      <w:r w:rsidRPr="00A05E4B">
        <w:rPr>
          <w:rFonts w:asciiTheme="minorHAnsi" w:hAnsiTheme="minorHAnsi"/>
          <w:sz w:val="24"/>
        </w:rPr>
        <w:t xml:space="preserve"> and</w:t>
      </w:r>
      <w:r>
        <w:rPr>
          <w:rFonts w:asciiTheme="minorHAnsi" w:hAnsiTheme="minorHAnsi"/>
          <w:sz w:val="24"/>
        </w:rPr>
        <w:t xml:space="preserve"> antibiotic use, and increases BMI.</w:t>
      </w:r>
      <w:r w:rsidRPr="00A05E4B">
        <w:rPr>
          <w:rFonts w:asciiTheme="minorHAnsi" w:hAnsiTheme="minorHAnsi"/>
          <w:sz w:val="24"/>
        </w:rPr>
        <w:t xml:space="preserve"> </w:t>
      </w:r>
      <w:r>
        <w:rPr>
          <w:rFonts w:asciiTheme="minorHAnsi" w:hAnsiTheme="minorHAnsi"/>
          <w:sz w:val="24"/>
        </w:rPr>
        <w:t xml:space="preserve">The CFA further noted the anxiety and depression experienced by patients with CF. </w:t>
      </w:r>
      <w:r w:rsidRPr="00A05E4B">
        <w:rPr>
          <w:rFonts w:asciiTheme="minorHAnsi" w:hAnsiTheme="minorHAnsi"/>
          <w:sz w:val="24"/>
        </w:rPr>
        <w:t>The PBAC noted that this advice was supportive of the evidence provided in the</w:t>
      </w:r>
      <w:r>
        <w:rPr>
          <w:rFonts w:asciiTheme="minorHAnsi" w:hAnsiTheme="minorHAnsi"/>
          <w:sz w:val="24"/>
        </w:rPr>
        <w:t xml:space="preserve"> </w:t>
      </w:r>
      <w:r w:rsidRPr="00A05E4B">
        <w:rPr>
          <w:rFonts w:asciiTheme="minorHAnsi" w:hAnsiTheme="minorHAnsi"/>
          <w:sz w:val="24"/>
        </w:rPr>
        <w:t>submission.</w:t>
      </w:r>
    </w:p>
    <w:p w:rsidR="00B2608F" w:rsidRPr="00DA2530" w:rsidRDefault="00B2608F" w:rsidP="001E08C1">
      <w:pPr>
        <w:pStyle w:val="Heading3"/>
      </w:pPr>
      <w:r w:rsidRPr="00DA2530">
        <w:t>Clinical trials</w:t>
      </w:r>
      <w:bookmarkEnd w:id="25"/>
      <w:bookmarkEnd w:id="26"/>
      <w:bookmarkEnd w:id="27"/>
    </w:p>
    <w:p w:rsidR="00B2608F" w:rsidRPr="00226B30" w:rsidRDefault="00B2608F" w:rsidP="00A24BF6">
      <w:pPr>
        <w:pStyle w:val="ListParagraph"/>
        <w:widowControl/>
        <w:numPr>
          <w:ilvl w:val="1"/>
          <w:numId w:val="13"/>
        </w:numPr>
        <w:spacing w:after="120"/>
        <w:ind w:left="709" w:hanging="709"/>
        <w:contextualSpacing w:val="0"/>
        <w:rPr>
          <w:rFonts w:asciiTheme="minorHAnsi" w:hAnsiTheme="minorHAnsi"/>
          <w:sz w:val="24"/>
        </w:rPr>
      </w:pPr>
      <w:r w:rsidRPr="00226B30">
        <w:rPr>
          <w:rFonts w:asciiTheme="minorHAnsi" w:hAnsiTheme="minorHAnsi"/>
          <w:sz w:val="24"/>
        </w:rPr>
        <w:t xml:space="preserve">The resubmission was based on the same two head-to-head trials </w:t>
      </w:r>
      <w:r w:rsidR="007731B2" w:rsidRPr="00226B30">
        <w:rPr>
          <w:rFonts w:asciiTheme="minorHAnsi" w:hAnsiTheme="minorHAnsi"/>
          <w:sz w:val="24"/>
        </w:rPr>
        <w:t xml:space="preserve">as </w:t>
      </w:r>
      <w:r w:rsidRPr="00226B30">
        <w:rPr>
          <w:rFonts w:asciiTheme="minorHAnsi" w:hAnsiTheme="minorHAnsi"/>
          <w:sz w:val="24"/>
        </w:rPr>
        <w:t xml:space="preserve">the </w:t>
      </w:r>
      <w:r w:rsidR="007731B2" w:rsidRPr="00226B30">
        <w:rPr>
          <w:rFonts w:asciiTheme="minorHAnsi" w:hAnsiTheme="minorHAnsi"/>
          <w:sz w:val="24"/>
        </w:rPr>
        <w:t xml:space="preserve">March 2016 major </w:t>
      </w:r>
      <w:r w:rsidRPr="00226B30">
        <w:rPr>
          <w:rFonts w:asciiTheme="minorHAnsi" w:hAnsiTheme="minorHAnsi"/>
          <w:sz w:val="24"/>
        </w:rPr>
        <w:t>submission</w:t>
      </w:r>
      <w:r w:rsidR="0029572D" w:rsidRPr="00226B30">
        <w:rPr>
          <w:rFonts w:asciiTheme="minorHAnsi" w:hAnsiTheme="minorHAnsi"/>
          <w:sz w:val="24"/>
        </w:rPr>
        <w:t>,</w:t>
      </w:r>
      <w:r w:rsidRPr="00226B30">
        <w:rPr>
          <w:rFonts w:asciiTheme="minorHAnsi" w:hAnsiTheme="minorHAnsi"/>
          <w:sz w:val="24"/>
        </w:rPr>
        <w:t xml:space="preserve"> TRAFFIC (n=374) and TRANSPORT (n=376)</w:t>
      </w:r>
      <w:r w:rsidR="0029572D" w:rsidRPr="00226B30">
        <w:rPr>
          <w:rFonts w:asciiTheme="minorHAnsi" w:hAnsiTheme="minorHAnsi"/>
          <w:sz w:val="24"/>
        </w:rPr>
        <w:t>,</w:t>
      </w:r>
      <w:r w:rsidRPr="00226B30">
        <w:rPr>
          <w:rFonts w:asciiTheme="minorHAnsi" w:hAnsiTheme="minorHAnsi"/>
          <w:sz w:val="24"/>
        </w:rPr>
        <w:t xml:space="preserve"> </w:t>
      </w:r>
      <w:r w:rsidR="001944FE" w:rsidRPr="00226B30">
        <w:rPr>
          <w:rFonts w:asciiTheme="minorHAnsi" w:hAnsiTheme="minorHAnsi"/>
          <w:sz w:val="24"/>
        </w:rPr>
        <w:t xml:space="preserve">comparing </w:t>
      </w:r>
      <w:r w:rsidRPr="00226B30">
        <w:rPr>
          <w:rFonts w:asciiTheme="minorHAnsi" w:hAnsiTheme="minorHAnsi"/>
          <w:sz w:val="24"/>
        </w:rPr>
        <w:t xml:space="preserve">lumacaftor 400 mg/ivacaftor 250 mg twice daily to placebo. </w:t>
      </w:r>
      <w:r w:rsidR="007731B2" w:rsidRPr="00226B30">
        <w:rPr>
          <w:rFonts w:asciiTheme="minorHAnsi" w:hAnsiTheme="minorHAnsi"/>
          <w:sz w:val="24"/>
        </w:rPr>
        <w:t xml:space="preserve">Of the patients in these trials, </w:t>
      </w:r>
      <w:r w:rsidRPr="00226B30">
        <w:rPr>
          <w:rFonts w:asciiTheme="minorHAnsi" w:hAnsiTheme="minorHAnsi"/>
          <w:sz w:val="24"/>
        </w:rPr>
        <w:t>516 patients receive</w:t>
      </w:r>
      <w:r w:rsidR="007731B2" w:rsidRPr="00226B30">
        <w:rPr>
          <w:rFonts w:asciiTheme="minorHAnsi" w:hAnsiTheme="minorHAnsi"/>
          <w:sz w:val="24"/>
        </w:rPr>
        <w:t>d</w:t>
      </w:r>
      <w:r w:rsidRPr="00226B30">
        <w:rPr>
          <w:rFonts w:asciiTheme="minorHAnsi" w:hAnsiTheme="minorHAnsi"/>
          <w:sz w:val="24"/>
        </w:rPr>
        <w:t xml:space="preserve"> the same dose </w:t>
      </w:r>
      <w:r w:rsidR="007731B2" w:rsidRPr="00226B30">
        <w:rPr>
          <w:rFonts w:asciiTheme="minorHAnsi" w:hAnsiTheme="minorHAnsi"/>
          <w:sz w:val="24"/>
        </w:rPr>
        <w:t xml:space="preserve">of lumacaftor/ivacaftor </w:t>
      </w:r>
      <w:r w:rsidRPr="00226B30">
        <w:rPr>
          <w:rFonts w:asciiTheme="minorHAnsi" w:hAnsiTheme="minorHAnsi"/>
          <w:sz w:val="24"/>
        </w:rPr>
        <w:t>in an extension study</w:t>
      </w:r>
      <w:r w:rsidR="007731B2" w:rsidRPr="00226B30">
        <w:rPr>
          <w:rFonts w:asciiTheme="minorHAnsi" w:hAnsiTheme="minorHAnsi"/>
          <w:sz w:val="24"/>
        </w:rPr>
        <w:t>,</w:t>
      </w:r>
      <w:r w:rsidRPr="00226B30">
        <w:rPr>
          <w:rFonts w:asciiTheme="minorHAnsi" w:hAnsiTheme="minorHAnsi"/>
          <w:sz w:val="24"/>
        </w:rPr>
        <w:t xml:space="preserve"> PROGRESS. While data at 24 weeks in this study had been presented in the original submission, the current resubmission presented further data at 72 weeks and 96 weeks</w:t>
      </w:r>
      <w:r w:rsidR="00896B26" w:rsidRPr="00226B30">
        <w:rPr>
          <w:rFonts w:asciiTheme="minorHAnsi" w:hAnsiTheme="minorHAnsi"/>
          <w:sz w:val="24"/>
        </w:rPr>
        <w:t xml:space="preserve"> of the extension phase</w:t>
      </w:r>
      <w:r w:rsidR="00ED258C" w:rsidRPr="00226B30">
        <w:rPr>
          <w:rFonts w:asciiTheme="minorHAnsi" w:hAnsiTheme="minorHAnsi"/>
          <w:sz w:val="24"/>
        </w:rPr>
        <w:t xml:space="preserve"> (</w:t>
      </w:r>
      <w:r w:rsidR="00ED258C" w:rsidRPr="00226B30">
        <w:rPr>
          <w:rFonts w:asciiTheme="minorHAnsi" w:hAnsiTheme="minorHAnsi"/>
          <w:sz w:val="24"/>
          <w:szCs w:val="24"/>
        </w:rPr>
        <w:t>i.e. up to 120 weeks of treatment for those in the lumacaftor/ivacaftor treatment group in TRAFFIC/TRANSPORT)</w:t>
      </w:r>
      <w:r w:rsidRPr="00226B30">
        <w:rPr>
          <w:rFonts w:asciiTheme="minorHAnsi" w:hAnsiTheme="minorHAnsi"/>
          <w:sz w:val="24"/>
        </w:rPr>
        <w:t>.</w:t>
      </w:r>
    </w:p>
    <w:p w:rsidR="000E49E7" w:rsidRDefault="000E49E7" w:rsidP="00A24BF6">
      <w:pPr>
        <w:pStyle w:val="ListParagraph"/>
        <w:widowControl/>
        <w:numPr>
          <w:ilvl w:val="1"/>
          <w:numId w:val="13"/>
        </w:numPr>
        <w:spacing w:after="120"/>
        <w:ind w:left="709" w:hanging="709"/>
        <w:contextualSpacing w:val="0"/>
        <w:rPr>
          <w:rFonts w:asciiTheme="minorHAnsi" w:hAnsiTheme="minorHAnsi"/>
          <w:sz w:val="24"/>
        </w:rPr>
      </w:pPr>
      <w:r w:rsidRPr="00226B30">
        <w:rPr>
          <w:rFonts w:asciiTheme="minorHAnsi" w:hAnsiTheme="minorHAnsi"/>
          <w:sz w:val="24"/>
        </w:rPr>
        <w:t xml:space="preserve">Details of the trials presented in the resubmission are provided in Table </w:t>
      </w:r>
      <w:r w:rsidR="003C370C" w:rsidRPr="00226B30">
        <w:rPr>
          <w:rFonts w:asciiTheme="minorHAnsi" w:hAnsiTheme="minorHAnsi"/>
          <w:sz w:val="24"/>
        </w:rPr>
        <w:t>3</w:t>
      </w:r>
      <w:r w:rsidRPr="00226B30">
        <w:rPr>
          <w:rFonts w:asciiTheme="minorHAnsi" w:hAnsiTheme="minorHAnsi"/>
          <w:sz w:val="24"/>
        </w:rPr>
        <w:t>.</w:t>
      </w:r>
    </w:p>
    <w:p w:rsidR="000D33EE" w:rsidRPr="000D33EE" w:rsidRDefault="000D33EE" w:rsidP="000D33EE">
      <w:pPr>
        <w:widowControl/>
        <w:spacing w:after="120"/>
        <w:rPr>
          <w:rFonts w:asciiTheme="minorHAnsi" w:hAnsiTheme="minorHAnsi"/>
          <w:sz w:val="24"/>
        </w:rPr>
      </w:pPr>
    </w:p>
    <w:p w:rsidR="008A1DA3" w:rsidRDefault="008A1DA3" w:rsidP="008A1DA3">
      <w:pPr>
        <w:pStyle w:val="Caption"/>
      </w:pPr>
      <w:r>
        <w:t xml:space="preserve">Table </w:t>
      </w:r>
      <w:r w:rsidR="000056CF">
        <w:rPr>
          <w:noProof/>
        </w:rPr>
        <w:t>3</w:t>
      </w:r>
      <w:r w:rsidRPr="000C10AA">
        <w:t>: Trials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148"/>
        <w:gridCol w:w="5825"/>
        <w:gridCol w:w="2109"/>
      </w:tblGrid>
      <w:tr w:rsidR="00B2608F" w:rsidRPr="00226B30" w:rsidTr="00D35196">
        <w:trPr>
          <w:cantSplit/>
        </w:trPr>
        <w:tc>
          <w:tcPr>
            <w:tcW w:w="632" w:type="pct"/>
          </w:tcPr>
          <w:p w:rsidR="00B2608F" w:rsidRPr="00226B30" w:rsidRDefault="00B2608F" w:rsidP="001E08C1">
            <w:pPr>
              <w:keepNext/>
              <w:widowControl/>
              <w:rPr>
                <w:rFonts w:ascii="Arial Narrow" w:hAnsi="Arial Narrow"/>
                <w:b/>
                <w:sz w:val="20"/>
              </w:rPr>
            </w:pPr>
            <w:r w:rsidRPr="00226B30">
              <w:rPr>
                <w:rFonts w:ascii="Arial Narrow" w:hAnsi="Arial Narrow"/>
                <w:b/>
                <w:sz w:val="20"/>
              </w:rPr>
              <w:t>Trial ID</w:t>
            </w:r>
          </w:p>
        </w:tc>
        <w:tc>
          <w:tcPr>
            <w:tcW w:w="3207" w:type="pct"/>
          </w:tcPr>
          <w:p w:rsidR="00B2608F" w:rsidRPr="00226B30" w:rsidRDefault="00B2608F" w:rsidP="001E08C1">
            <w:pPr>
              <w:keepNext/>
              <w:widowControl/>
              <w:jc w:val="left"/>
              <w:rPr>
                <w:rFonts w:ascii="Arial Narrow" w:hAnsi="Arial Narrow"/>
                <w:b/>
                <w:sz w:val="20"/>
              </w:rPr>
            </w:pPr>
            <w:r w:rsidRPr="00226B30">
              <w:rPr>
                <w:rFonts w:ascii="Arial Narrow" w:hAnsi="Arial Narrow"/>
                <w:b/>
                <w:sz w:val="20"/>
              </w:rPr>
              <w:t>Protocol title/ Publication title</w:t>
            </w:r>
          </w:p>
        </w:tc>
        <w:tc>
          <w:tcPr>
            <w:tcW w:w="1161" w:type="pct"/>
          </w:tcPr>
          <w:p w:rsidR="00B2608F" w:rsidRPr="00226B30" w:rsidRDefault="00B2608F" w:rsidP="001E08C1">
            <w:pPr>
              <w:keepNext/>
              <w:widowControl/>
              <w:jc w:val="center"/>
              <w:rPr>
                <w:rFonts w:ascii="Arial Narrow" w:hAnsi="Arial Narrow"/>
                <w:b/>
                <w:sz w:val="20"/>
              </w:rPr>
            </w:pPr>
            <w:r w:rsidRPr="00226B30">
              <w:rPr>
                <w:rFonts w:ascii="Arial Narrow" w:hAnsi="Arial Narrow"/>
                <w:b/>
                <w:sz w:val="20"/>
              </w:rPr>
              <w:t>Publication citation</w:t>
            </w:r>
          </w:p>
        </w:tc>
      </w:tr>
      <w:tr w:rsidR="00B2608F" w:rsidRPr="00226B30" w:rsidTr="00D35196">
        <w:trPr>
          <w:cantSplit/>
        </w:trPr>
        <w:tc>
          <w:tcPr>
            <w:tcW w:w="5000" w:type="pct"/>
            <w:gridSpan w:val="3"/>
          </w:tcPr>
          <w:p w:rsidR="00B2608F" w:rsidRPr="00226B30" w:rsidRDefault="00B2608F" w:rsidP="001E08C1">
            <w:pPr>
              <w:keepNext/>
              <w:widowControl/>
              <w:jc w:val="left"/>
              <w:rPr>
                <w:rFonts w:ascii="Arial Narrow" w:hAnsi="Arial Narrow"/>
                <w:b/>
                <w:sz w:val="20"/>
              </w:rPr>
            </w:pPr>
            <w:r w:rsidRPr="00226B30">
              <w:rPr>
                <w:rFonts w:ascii="Arial Narrow" w:hAnsi="Arial Narrow"/>
                <w:b/>
                <w:sz w:val="20"/>
              </w:rPr>
              <w:t>Direct randomised trials</w:t>
            </w:r>
          </w:p>
        </w:tc>
      </w:tr>
      <w:tr w:rsidR="00B2608F" w:rsidRPr="00226B30" w:rsidTr="00D35196">
        <w:trPr>
          <w:cantSplit/>
        </w:trPr>
        <w:tc>
          <w:tcPr>
            <w:tcW w:w="632" w:type="pct"/>
            <w:tcBorders>
              <w:bottom w:val="single" w:sz="4" w:space="0" w:color="auto"/>
            </w:tcBorders>
          </w:tcPr>
          <w:p w:rsidR="00B2608F" w:rsidRPr="00226B30" w:rsidRDefault="00B2608F" w:rsidP="001E08C1">
            <w:pPr>
              <w:keepNext/>
              <w:widowControl/>
              <w:rPr>
                <w:rFonts w:ascii="Arial Narrow" w:hAnsi="Arial Narrow"/>
                <w:sz w:val="20"/>
              </w:rPr>
            </w:pPr>
            <w:r w:rsidRPr="00226B30">
              <w:rPr>
                <w:rFonts w:ascii="Arial Narrow" w:hAnsi="Arial Narrow"/>
                <w:sz w:val="20"/>
              </w:rPr>
              <w:t>Traffic</w:t>
            </w:r>
          </w:p>
        </w:tc>
        <w:tc>
          <w:tcPr>
            <w:tcW w:w="3207" w:type="pct"/>
            <w:tcBorders>
              <w:bottom w:val="single" w:sz="4" w:space="0" w:color="auto"/>
            </w:tcBorders>
          </w:tcPr>
          <w:p w:rsidR="00B2608F" w:rsidRPr="00226B30" w:rsidRDefault="00B2608F" w:rsidP="001E08C1">
            <w:pPr>
              <w:keepNext/>
              <w:widowControl/>
              <w:jc w:val="left"/>
              <w:rPr>
                <w:rFonts w:ascii="Arial Narrow" w:hAnsi="Arial Narrow"/>
                <w:sz w:val="20"/>
              </w:rPr>
            </w:pPr>
            <w:r w:rsidRPr="00226B30">
              <w:rPr>
                <w:rFonts w:ascii="Arial Narrow" w:hAnsi="Arial Narrow"/>
                <w:sz w:val="20"/>
              </w:rPr>
              <w:t xml:space="preserve">Clinical study report VX12-809-103 </w:t>
            </w:r>
          </w:p>
          <w:p w:rsidR="00B2608F" w:rsidRPr="00226B30" w:rsidRDefault="00B2608F" w:rsidP="001E08C1">
            <w:pPr>
              <w:keepNext/>
              <w:widowControl/>
              <w:jc w:val="left"/>
              <w:rPr>
                <w:rFonts w:ascii="Arial Narrow" w:hAnsi="Arial Narrow"/>
                <w:sz w:val="20"/>
              </w:rPr>
            </w:pPr>
            <w:r w:rsidRPr="00226B30">
              <w:rPr>
                <w:rFonts w:ascii="Arial Narrow" w:hAnsi="Arial Narrow"/>
                <w:sz w:val="20"/>
              </w:rPr>
              <w:t>A Phase 3, Randomized, Double-Blind, Placebo-Controlled, Parallel-Group Study to Evaluate the Efficacy and Safety of Lumacaftor in Combination With Ivacaftor in Subjects Aged 12 Years and Older With Cystic Fibrosis, Homozygous for the F508del-CFTR Mutation</w:t>
            </w:r>
          </w:p>
          <w:p w:rsidR="00B2608F" w:rsidRPr="00226B30" w:rsidRDefault="00B2608F" w:rsidP="001E08C1">
            <w:pPr>
              <w:keepNext/>
              <w:widowControl/>
              <w:jc w:val="left"/>
              <w:rPr>
                <w:rFonts w:ascii="Arial Narrow" w:hAnsi="Arial Narrow"/>
                <w:sz w:val="20"/>
              </w:rPr>
            </w:pPr>
          </w:p>
        </w:tc>
        <w:tc>
          <w:tcPr>
            <w:tcW w:w="1161" w:type="pct"/>
            <w:tcBorders>
              <w:bottom w:val="single" w:sz="4" w:space="0" w:color="auto"/>
            </w:tcBorders>
          </w:tcPr>
          <w:p w:rsidR="00B2608F" w:rsidRPr="00226B30" w:rsidRDefault="007731B2" w:rsidP="001E08C1">
            <w:pPr>
              <w:keepNext/>
              <w:widowControl/>
              <w:rPr>
                <w:rFonts w:ascii="Arial Narrow" w:hAnsi="Arial Narrow"/>
                <w:b/>
                <w:sz w:val="20"/>
              </w:rPr>
            </w:pPr>
            <w:r w:rsidRPr="00226B30">
              <w:rPr>
                <w:rFonts w:ascii="Arial Narrow" w:hAnsi="Arial Narrow"/>
                <w:sz w:val="20"/>
              </w:rPr>
              <w:t>8 September 2014</w:t>
            </w:r>
          </w:p>
        </w:tc>
      </w:tr>
      <w:tr w:rsidR="00B2608F" w:rsidRPr="00226B30" w:rsidTr="00D35196">
        <w:trPr>
          <w:cantSplit/>
        </w:trPr>
        <w:tc>
          <w:tcPr>
            <w:tcW w:w="632" w:type="pct"/>
            <w:tcBorders>
              <w:bottom w:val="nil"/>
            </w:tcBorders>
          </w:tcPr>
          <w:p w:rsidR="00B2608F" w:rsidRPr="00226B30" w:rsidRDefault="00B2608F" w:rsidP="001E08C1">
            <w:pPr>
              <w:keepNext/>
              <w:widowControl/>
              <w:rPr>
                <w:rFonts w:ascii="Arial Narrow" w:hAnsi="Arial Narrow"/>
                <w:sz w:val="20"/>
              </w:rPr>
            </w:pPr>
            <w:r w:rsidRPr="00226B30">
              <w:rPr>
                <w:rFonts w:ascii="Arial Narrow" w:hAnsi="Arial Narrow"/>
                <w:sz w:val="20"/>
              </w:rPr>
              <w:t>Transport</w:t>
            </w:r>
          </w:p>
        </w:tc>
        <w:tc>
          <w:tcPr>
            <w:tcW w:w="3207" w:type="pct"/>
            <w:tcBorders>
              <w:bottom w:val="single" w:sz="4" w:space="0" w:color="auto"/>
            </w:tcBorders>
          </w:tcPr>
          <w:p w:rsidR="00B2608F" w:rsidRPr="00226B30" w:rsidRDefault="00B2608F" w:rsidP="001E08C1">
            <w:pPr>
              <w:keepNext/>
              <w:widowControl/>
              <w:jc w:val="left"/>
              <w:rPr>
                <w:rFonts w:ascii="Arial Narrow" w:hAnsi="Arial Narrow"/>
                <w:sz w:val="20"/>
              </w:rPr>
            </w:pPr>
            <w:r w:rsidRPr="00226B30">
              <w:rPr>
                <w:rFonts w:ascii="Arial Narrow" w:hAnsi="Arial Narrow"/>
                <w:sz w:val="20"/>
              </w:rPr>
              <w:t xml:space="preserve">Clinical study report VX12-809-104  </w:t>
            </w:r>
          </w:p>
          <w:p w:rsidR="00B2608F" w:rsidRPr="00226B30" w:rsidRDefault="00B2608F" w:rsidP="001E08C1">
            <w:pPr>
              <w:keepNext/>
              <w:widowControl/>
              <w:jc w:val="left"/>
              <w:rPr>
                <w:rFonts w:ascii="Arial Narrow" w:hAnsi="Arial Narrow"/>
                <w:sz w:val="20"/>
              </w:rPr>
            </w:pPr>
            <w:r w:rsidRPr="00226B30">
              <w:rPr>
                <w:rFonts w:ascii="Arial Narrow" w:hAnsi="Arial Narrow"/>
                <w:sz w:val="20"/>
              </w:rPr>
              <w:t>A Phase 3, Randomized, Double-Blind, Placebo-Controlled, Parallel-Group Study to Evaluate the Efficacy and Safety of Lumacaftor in Combination With Ivacaftor in Subjects Aged 12 Years and Older With Cystic Fibrosis, Homozygous for the F508del-CFTR Mutation.</w:t>
            </w:r>
          </w:p>
          <w:p w:rsidR="00B2608F" w:rsidRPr="00226B30" w:rsidRDefault="00B2608F" w:rsidP="001E08C1">
            <w:pPr>
              <w:keepNext/>
              <w:widowControl/>
              <w:jc w:val="left"/>
              <w:rPr>
                <w:rFonts w:ascii="Arial Narrow" w:hAnsi="Arial Narrow"/>
                <w:sz w:val="20"/>
              </w:rPr>
            </w:pPr>
          </w:p>
        </w:tc>
        <w:tc>
          <w:tcPr>
            <w:tcW w:w="1161" w:type="pct"/>
            <w:tcBorders>
              <w:bottom w:val="single" w:sz="4" w:space="0" w:color="auto"/>
            </w:tcBorders>
          </w:tcPr>
          <w:p w:rsidR="00B2608F" w:rsidRPr="00226B30" w:rsidRDefault="007731B2" w:rsidP="001E08C1">
            <w:pPr>
              <w:keepNext/>
              <w:widowControl/>
              <w:rPr>
                <w:rFonts w:ascii="Arial Narrow" w:hAnsi="Arial Narrow"/>
                <w:sz w:val="20"/>
              </w:rPr>
            </w:pPr>
            <w:r w:rsidRPr="00226B30">
              <w:rPr>
                <w:rFonts w:ascii="Arial Narrow" w:hAnsi="Arial Narrow"/>
                <w:sz w:val="20"/>
              </w:rPr>
              <w:t>2 September 2014</w:t>
            </w:r>
          </w:p>
        </w:tc>
      </w:tr>
      <w:tr w:rsidR="00B2608F" w:rsidRPr="00226B30" w:rsidTr="00D35196">
        <w:trPr>
          <w:cantSplit/>
        </w:trPr>
        <w:tc>
          <w:tcPr>
            <w:tcW w:w="632" w:type="pct"/>
            <w:tcBorders>
              <w:top w:val="nil"/>
            </w:tcBorders>
          </w:tcPr>
          <w:p w:rsidR="00B2608F" w:rsidRPr="00226B30" w:rsidRDefault="00B2608F" w:rsidP="001E08C1">
            <w:pPr>
              <w:keepNext/>
              <w:widowControl/>
              <w:rPr>
                <w:rFonts w:ascii="Arial Narrow" w:hAnsi="Arial Narrow"/>
                <w:sz w:val="20"/>
              </w:rPr>
            </w:pPr>
          </w:p>
        </w:tc>
        <w:tc>
          <w:tcPr>
            <w:tcW w:w="3207" w:type="pct"/>
            <w:tcBorders>
              <w:top w:val="single" w:sz="4" w:space="0" w:color="auto"/>
            </w:tcBorders>
          </w:tcPr>
          <w:p w:rsidR="00B2608F" w:rsidRPr="00226B30" w:rsidRDefault="00B2608F" w:rsidP="001E08C1">
            <w:pPr>
              <w:keepNext/>
              <w:widowControl/>
              <w:jc w:val="left"/>
              <w:rPr>
                <w:rFonts w:ascii="Arial Narrow" w:hAnsi="Arial Narrow"/>
                <w:sz w:val="20"/>
              </w:rPr>
            </w:pPr>
            <w:r w:rsidRPr="00226B30">
              <w:rPr>
                <w:rFonts w:ascii="Arial Narrow" w:hAnsi="Arial Narrow"/>
                <w:sz w:val="20"/>
              </w:rPr>
              <w:t>Wainwright CE, Elborn JS, Ramsey B, Marigowda G et al. Lumacaftor-Ivacaftor in Patients with Cystic Fibrosis Homozygous for Phe508del CFTR.</w:t>
            </w:r>
          </w:p>
        </w:tc>
        <w:tc>
          <w:tcPr>
            <w:tcW w:w="1161" w:type="pct"/>
            <w:tcBorders>
              <w:top w:val="single" w:sz="4" w:space="0" w:color="auto"/>
            </w:tcBorders>
          </w:tcPr>
          <w:p w:rsidR="00B2608F" w:rsidRPr="00226B30" w:rsidRDefault="00B2608F" w:rsidP="001E08C1">
            <w:pPr>
              <w:keepNext/>
              <w:widowControl/>
              <w:rPr>
                <w:rFonts w:ascii="Arial Narrow" w:hAnsi="Arial Narrow"/>
                <w:sz w:val="20"/>
              </w:rPr>
            </w:pPr>
            <w:r w:rsidRPr="00226B30">
              <w:rPr>
                <w:rFonts w:ascii="Arial Narrow" w:hAnsi="Arial Narrow"/>
                <w:sz w:val="20"/>
              </w:rPr>
              <w:t>New England Journal of Medicine 2015; 373:220-23</w:t>
            </w:r>
          </w:p>
        </w:tc>
      </w:tr>
      <w:tr w:rsidR="00B2608F" w:rsidRPr="00226B30" w:rsidTr="00D35196">
        <w:trPr>
          <w:cantSplit/>
        </w:trPr>
        <w:tc>
          <w:tcPr>
            <w:tcW w:w="5000" w:type="pct"/>
            <w:gridSpan w:val="3"/>
          </w:tcPr>
          <w:p w:rsidR="00B2608F" w:rsidRPr="00226B30" w:rsidRDefault="00B2608F" w:rsidP="001E08C1">
            <w:pPr>
              <w:keepNext/>
              <w:widowControl/>
              <w:jc w:val="left"/>
              <w:rPr>
                <w:rFonts w:ascii="Arial Narrow" w:hAnsi="Arial Narrow"/>
                <w:b/>
                <w:sz w:val="20"/>
              </w:rPr>
            </w:pPr>
            <w:r w:rsidRPr="00226B30">
              <w:rPr>
                <w:rFonts w:ascii="Arial Narrow" w:hAnsi="Arial Narrow"/>
                <w:b/>
                <w:sz w:val="20"/>
              </w:rPr>
              <w:t>Rollover extension study</w:t>
            </w:r>
          </w:p>
        </w:tc>
      </w:tr>
      <w:tr w:rsidR="00B2608F" w:rsidRPr="00226B30" w:rsidTr="00D35196">
        <w:trPr>
          <w:cantSplit/>
        </w:trPr>
        <w:tc>
          <w:tcPr>
            <w:tcW w:w="632" w:type="pct"/>
            <w:tcBorders>
              <w:bottom w:val="nil"/>
            </w:tcBorders>
          </w:tcPr>
          <w:p w:rsidR="00B2608F" w:rsidRPr="00226B30" w:rsidRDefault="00B2608F" w:rsidP="001E08C1">
            <w:pPr>
              <w:keepNext/>
              <w:widowControl/>
              <w:rPr>
                <w:rFonts w:ascii="Arial Narrow" w:hAnsi="Arial Narrow"/>
                <w:sz w:val="20"/>
              </w:rPr>
            </w:pPr>
            <w:r w:rsidRPr="00226B30">
              <w:rPr>
                <w:rFonts w:ascii="Arial Narrow" w:hAnsi="Arial Narrow"/>
                <w:sz w:val="20"/>
              </w:rPr>
              <w:t>Progress</w:t>
            </w:r>
          </w:p>
        </w:tc>
        <w:tc>
          <w:tcPr>
            <w:tcW w:w="3207" w:type="pct"/>
          </w:tcPr>
          <w:p w:rsidR="00B2608F" w:rsidRPr="00226B30" w:rsidRDefault="00B2608F" w:rsidP="001E08C1">
            <w:pPr>
              <w:keepNext/>
              <w:widowControl/>
              <w:jc w:val="left"/>
              <w:rPr>
                <w:rFonts w:ascii="Arial Narrow" w:hAnsi="Arial Narrow"/>
                <w:sz w:val="20"/>
              </w:rPr>
            </w:pPr>
            <w:r w:rsidRPr="00226B30">
              <w:rPr>
                <w:rFonts w:ascii="Arial Narrow" w:hAnsi="Arial Narrow"/>
                <w:sz w:val="20"/>
              </w:rPr>
              <w:t xml:space="preserve">Clinical study report VX12-809-105 </w:t>
            </w:r>
          </w:p>
          <w:p w:rsidR="00B2608F" w:rsidRPr="00226B30" w:rsidRDefault="00B2608F" w:rsidP="001E08C1">
            <w:pPr>
              <w:keepNext/>
              <w:widowControl/>
              <w:jc w:val="left"/>
              <w:rPr>
                <w:rFonts w:ascii="Arial Narrow" w:hAnsi="Arial Narrow"/>
                <w:sz w:val="20"/>
              </w:rPr>
            </w:pPr>
            <w:r w:rsidRPr="00226B30">
              <w:rPr>
                <w:rFonts w:ascii="Arial Narrow" w:hAnsi="Arial Narrow"/>
                <w:sz w:val="20"/>
              </w:rPr>
              <w:t>A Phase 3, Rollover Study to Evaluate the Safety and Efficacy of Long-term Treatment With Lumacaftor in Combination With Ivacaftor in Subjects Aged 12 Years and Older With Cystic Fibrosis, Homozygous or Heterozygous for the F508del-CFTR Mutation</w:t>
            </w:r>
          </w:p>
          <w:p w:rsidR="00B2608F" w:rsidRPr="00226B30" w:rsidRDefault="00B2608F" w:rsidP="001E08C1">
            <w:pPr>
              <w:keepNext/>
              <w:widowControl/>
              <w:jc w:val="left"/>
              <w:rPr>
                <w:rFonts w:ascii="Arial Narrow" w:hAnsi="Arial Narrow"/>
                <w:sz w:val="20"/>
              </w:rPr>
            </w:pPr>
            <w:r w:rsidRPr="00226B30">
              <w:rPr>
                <w:rFonts w:ascii="Arial Narrow" w:hAnsi="Arial Narrow"/>
                <w:sz w:val="20"/>
              </w:rPr>
              <w:t xml:space="preserve">Interim analysis 2 (IA2) at Week 24 </w:t>
            </w:r>
          </w:p>
          <w:p w:rsidR="00B2608F" w:rsidRPr="00226B30" w:rsidRDefault="00B2608F" w:rsidP="001E08C1">
            <w:pPr>
              <w:keepNext/>
              <w:widowControl/>
              <w:jc w:val="left"/>
              <w:rPr>
                <w:rFonts w:ascii="Arial Narrow" w:hAnsi="Arial Narrow"/>
                <w:sz w:val="20"/>
              </w:rPr>
            </w:pPr>
          </w:p>
        </w:tc>
        <w:tc>
          <w:tcPr>
            <w:tcW w:w="1161" w:type="pct"/>
          </w:tcPr>
          <w:p w:rsidR="00B2608F" w:rsidRPr="00226B30" w:rsidRDefault="00D35196" w:rsidP="001E08C1">
            <w:pPr>
              <w:keepNext/>
              <w:widowControl/>
              <w:rPr>
                <w:rFonts w:ascii="Arial Narrow" w:hAnsi="Arial Narrow"/>
                <w:sz w:val="20"/>
              </w:rPr>
            </w:pPr>
            <w:r w:rsidRPr="00226B30">
              <w:rPr>
                <w:rFonts w:ascii="Arial Narrow" w:hAnsi="Arial Narrow"/>
                <w:sz w:val="20"/>
              </w:rPr>
              <w:t>18 May 2015</w:t>
            </w:r>
          </w:p>
        </w:tc>
      </w:tr>
      <w:tr w:rsidR="00B2608F" w:rsidRPr="00226B30" w:rsidTr="00D35196">
        <w:trPr>
          <w:cantSplit/>
        </w:trPr>
        <w:tc>
          <w:tcPr>
            <w:tcW w:w="632" w:type="pct"/>
            <w:tcBorders>
              <w:top w:val="nil"/>
              <w:bottom w:val="nil"/>
            </w:tcBorders>
          </w:tcPr>
          <w:p w:rsidR="00B2608F" w:rsidRPr="00226B30" w:rsidRDefault="00B2608F" w:rsidP="001E08C1">
            <w:pPr>
              <w:keepNext/>
              <w:widowControl/>
              <w:rPr>
                <w:rFonts w:ascii="Arial Narrow" w:hAnsi="Arial Narrow"/>
                <w:sz w:val="20"/>
              </w:rPr>
            </w:pPr>
          </w:p>
        </w:tc>
        <w:tc>
          <w:tcPr>
            <w:tcW w:w="3207" w:type="pct"/>
          </w:tcPr>
          <w:p w:rsidR="00B2608F" w:rsidRPr="00226B30" w:rsidRDefault="00B2608F" w:rsidP="001E08C1">
            <w:pPr>
              <w:keepNext/>
              <w:widowControl/>
              <w:jc w:val="left"/>
              <w:rPr>
                <w:rFonts w:ascii="Arial Narrow" w:hAnsi="Arial Narrow"/>
                <w:sz w:val="20"/>
              </w:rPr>
            </w:pPr>
            <w:r w:rsidRPr="00226B30">
              <w:rPr>
                <w:rFonts w:ascii="Arial Narrow" w:hAnsi="Arial Narrow"/>
                <w:sz w:val="20"/>
              </w:rPr>
              <w:t xml:space="preserve">Elborn, J., Ramsey, B. and Boyle, M. B.  Lumacaftor in combination with ivacaftor in patients with cystic fibrosis who were homozygous for the F508del-CFTR mutation. </w:t>
            </w:r>
          </w:p>
        </w:tc>
        <w:tc>
          <w:tcPr>
            <w:tcW w:w="1161" w:type="pct"/>
          </w:tcPr>
          <w:p w:rsidR="00B2608F" w:rsidRPr="00226B30" w:rsidRDefault="00B2608F" w:rsidP="001E08C1">
            <w:pPr>
              <w:keepNext/>
              <w:widowControl/>
              <w:rPr>
                <w:rFonts w:ascii="Arial Narrow" w:hAnsi="Arial Narrow"/>
                <w:sz w:val="20"/>
              </w:rPr>
            </w:pPr>
            <w:r w:rsidRPr="00226B30">
              <w:rPr>
                <w:rFonts w:ascii="Arial Narrow" w:hAnsi="Arial Narrow"/>
                <w:sz w:val="20"/>
              </w:rPr>
              <w:t>The 38th annual European Cystic Fibrosis Conference, Brussels, Belgium, 10-12 June 2015</w:t>
            </w:r>
          </w:p>
        </w:tc>
      </w:tr>
      <w:tr w:rsidR="00B2608F" w:rsidRPr="00226B30" w:rsidTr="00D35196">
        <w:trPr>
          <w:cantSplit/>
        </w:trPr>
        <w:tc>
          <w:tcPr>
            <w:tcW w:w="632" w:type="pct"/>
            <w:tcBorders>
              <w:top w:val="nil"/>
              <w:bottom w:val="nil"/>
            </w:tcBorders>
          </w:tcPr>
          <w:p w:rsidR="00B2608F" w:rsidRPr="00226B30" w:rsidRDefault="00B2608F" w:rsidP="001E08C1">
            <w:pPr>
              <w:keepNext/>
              <w:widowControl/>
              <w:rPr>
                <w:rFonts w:ascii="Arial Narrow" w:hAnsi="Arial Narrow"/>
                <w:sz w:val="20"/>
              </w:rPr>
            </w:pPr>
          </w:p>
        </w:tc>
        <w:tc>
          <w:tcPr>
            <w:tcW w:w="3207" w:type="pct"/>
          </w:tcPr>
          <w:p w:rsidR="00B2608F" w:rsidRPr="00226B30" w:rsidRDefault="00B2608F" w:rsidP="001E08C1">
            <w:pPr>
              <w:keepNext/>
              <w:widowControl/>
              <w:jc w:val="left"/>
              <w:rPr>
                <w:rFonts w:ascii="Arial Narrow" w:hAnsi="Arial Narrow"/>
                <w:sz w:val="20"/>
              </w:rPr>
            </w:pPr>
            <w:r w:rsidRPr="00226B30">
              <w:rPr>
                <w:rFonts w:ascii="Arial Narrow" w:hAnsi="Arial Narrow"/>
                <w:sz w:val="20"/>
              </w:rPr>
              <w:t xml:space="preserve">Konstan, M. W., McKone, E. F., Moss, R. B., et al. (2017). </w:t>
            </w:r>
          </w:p>
          <w:p w:rsidR="00B2608F" w:rsidRPr="00226B30" w:rsidRDefault="00B2608F" w:rsidP="001E08C1">
            <w:pPr>
              <w:keepNext/>
              <w:widowControl/>
              <w:jc w:val="left"/>
              <w:rPr>
                <w:rFonts w:ascii="Arial Narrow" w:hAnsi="Arial Narrow"/>
                <w:sz w:val="20"/>
              </w:rPr>
            </w:pPr>
            <w:r w:rsidRPr="00226B30">
              <w:rPr>
                <w:rFonts w:ascii="Arial Narrow" w:hAnsi="Arial Narrow"/>
                <w:sz w:val="20"/>
              </w:rPr>
              <w:t>Assessment of safety and efficacy of long-term treatment with combination lumacaftor and ivacaftor therapy in patients with cystic fibrosis homozygous for the F508del-CFTR mutation (PROGRESS): A phase 3, extension study.</w:t>
            </w:r>
          </w:p>
        </w:tc>
        <w:tc>
          <w:tcPr>
            <w:tcW w:w="1161" w:type="pct"/>
          </w:tcPr>
          <w:p w:rsidR="00B2608F" w:rsidRPr="00226B30" w:rsidRDefault="00B2608F" w:rsidP="001E08C1">
            <w:pPr>
              <w:keepNext/>
              <w:widowControl/>
              <w:rPr>
                <w:rFonts w:ascii="Arial Narrow" w:hAnsi="Arial Narrow"/>
                <w:sz w:val="20"/>
              </w:rPr>
            </w:pPr>
            <w:r w:rsidRPr="00226B30">
              <w:rPr>
                <w:rFonts w:ascii="Arial Narrow" w:hAnsi="Arial Narrow"/>
                <w:sz w:val="20"/>
              </w:rPr>
              <w:t>The Lancet Respiratory Medicine 2017. 5 (2): 107-18.</w:t>
            </w:r>
          </w:p>
          <w:p w:rsidR="00B2608F" w:rsidRPr="00226B30" w:rsidRDefault="00B2608F" w:rsidP="001E08C1">
            <w:pPr>
              <w:keepNext/>
              <w:widowControl/>
              <w:rPr>
                <w:rFonts w:ascii="Arial Narrow" w:hAnsi="Arial Narrow"/>
                <w:sz w:val="20"/>
              </w:rPr>
            </w:pPr>
          </w:p>
        </w:tc>
      </w:tr>
      <w:tr w:rsidR="00B2608F" w:rsidRPr="00226B30" w:rsidTr="00D35196">
        <w:trPr>
          <w:cantSplit/>
        </w:trPr>
        <w:tc>
          <w:tcPr>
            <w:tcW w:w="632" w:type="pct"/>
            <w:tcBorders>
              <w:top w:val="nil"/>
            </w:tcBorders>
          </w:tcPr>
          <w:p w:rsidR="00B2608F" w:rsidRPr="00226B30" w:rsidRDefault="00B2608F" w:rsidP="001E08C1">
            <w:pPr>
              <w:keepNext/>
              <w:widowControl/>
              <w:rPr>
                <w:rFonts w:ascii="Arial Narrow" w:hAnsi="Arial Narrow"/>
                <w:sz w:val="20"/>
              </w:rPr>
            </w:pPr>
          </w:p>
        </w:tc>
        <w:tc>
          <w:tcPr>
            <w:tcW w:w="3207" w:type="pct"/>
          </w:tcPr>
          <w:p w:rsidR="00B2608F" w:rsidRPr="00226B30" w:rsidRDefault="00B2608F" w:rsidP="001E08C1">
            <w:pPr>
              <w:keepNext/>
              <w:widowControl/>
              <w:jc w:val="left"/>
              <w:rPr>
                <w:rFonts w:ascii="Arial Narrow" w:hAnsi="Arial Narrow"/>
                <w:sz w:val="20"/>
              </w:rPr>
            </w:pPr>
            <w:r w:rsidRPr="00226B30">
              <w:rPr>
                <w:rFonts w:ascii="Arial Narrow" w:hAnsi="Arial Narrow"/>
                <w:sz w:val="20"/>
              </w:rPr>
              <w:t>Konstan, M., McKone, E., Moss, R., et al.</w:t>
            </w:r>
          </w:p>
          <w:p w:rsidR="00B2608F" w:rsidRPr="00226B30" w:rsidRDefault="00B2608F" w:rsidP="001E08C1">
            <w:pPr>
              <w:keepNext/>
              <w:widowControl/>
              <w:jc w:val="left"/>
              <w:rPr>
                <w:rFonts w:ascii="Arial Narrow" w:hAnsi="Arial Narrow"/>
                <w:sz w:val="20"/>
              </w:rPr>
            </w:pPr>
            <w:r w:rsidRPr="00226B30">
              <w:rPr>
                <w:rFonts w:ascii="Arial Narrow" w:hAnsi="Arial Narrow"/>
                <w:sz w:val="20"/>
              </w:rPr>
              <w:t xml:space="preserve">Evidence of reduction in annual rate of </w:t>
            </w:r>
            <w:r w:rsidR="00023A66" w:rsidRPr="00226B30">
              <w:rPr>
                <w:rFonts w:ascii="Arial Narrow" w:hAnsi="Arial Narrow"/>
                <w:sz w:val="20"/>
              </w:rPr>
              <w:t>FEV</w:t>
            </w:r>
            <w:r w:rsidR="00023A66" w:rsidRPr="00226B30">
              <w:rPr>
                <w:rFonts w:ascii="Arial Narrow" w:hAnsi="Arial Narrow"/>
                <w:sz w:val="20"/>
                <w:vertAlign w:val="subscript"/>
              </w:rPr>
              <w:t>1</w:t>
            </w:r>
            <w:r w:rsidRPr="00226B30">
              <w:rPr>
                <w:rFonts w:ascii="Arial Narrow" w:hAnsi="Arial Narrow"/>
                <w:sz w:val="20"/>
              </w:rPr>
              <w:t xml:space="preserve"> decline and sustained benefits with lumacaftor and ivacaftor (LUM/IVA) in patients (PTS) with CF homozygous for f508del-cftr.</w:t>
            </w:r>
          </w:p>
        </w:tc>
        <w:tc>
          <w:tcPr>
            <w:tcW w:w="1161" w:type="pct"/>
          </w:tcPr>
          <w:p w:rsidR="00B2608F" w:rsidRPr="00226B30" w:rsidRDefault="00B2608F" w:rsidP="001E08C1">
            <w:pPr>
              <w:keepNext/>
              <w:widowControl/>
              <w:rPr>
                <w:rFonts w:ascii="Arial Narrow" w:hAnsi="Arial Narrow"/>
                <w:b/>
                <w:sz w:val="20"/>
              </w:rPr>
            </w:pPr>
            <w:r w:rsidRPr="00226B30">
              <w:rPr>
                <w:rFonts w:ascii="Arial Narrow" w:hAnsi="Arial Narrow"/>
                <w:sz w:val="20"/>
              </w:rPr>
              <w:t>Pediatric Pulmonology 2016. 51: 260.</w:t>
            </w:r>
          </w:p>
          <w:p w:rsidR="00B2608F" w:rsidRPr="00226B30" w:rsidRDefault="00B2608F" w:rsidP="001E08C1">
            <w:pPr>
              <w:keepNext/>
              <w:widowControl/>
              <w:rPr>
                <w:rFonts w:ascii="Arial Narrow" w:hAnsi="Arial Narrow"/>
                <w:sz w:val="20"/>
              </w:rPr>
            </w:pPr>
          </w:p>
        </w:tc>
      </w:tr>
    </w:tbl>
    <w:p w:rsidR="00B2608F" w:rsidRPr="00226B30" w:rsidRDefault="00B2608F" w:rsidP="001E08C1">
      <w:pPr>
        <w:pStyle w:val="Tablefooter8pt"/>
      </w:pPr>
      <w:r w:rsidRPr="00226B30">
        <w:t>Source: Table B.2-3, page 64-65 of resubmission.</w:t>
      </w:r>
    </w:p>
    <w:p w:rsidR="00B2608F" w:rsidRPr="00226B30" w:rsidRDefault="00B2608F" w:rsidP="001E08C1">
      <w:pPr>
        <w:widowControl/>
        <w:rPr>
          <w:rFonts w:ascii="Arial Narrow" w:hAnsi="Arial Narrow"/>
          <w:sz w:val="20"/>
        </w:rPr>
      </w:pPr>
    </w:p>
    <w:p w:rsidR="00B2608F" w:rsidRDefault="00B2608F" w:rsidP="00A24BF6">
      <w:pPr>
        <w:pStyle w:val="ListParagraph"/>
        <w:widowControl/>
        <w:numPr>
          <w:ilvl w:val="1"/>
          <w:numId w:val="13"/>
        </w:numPr>
        <w:spacing w:after="120"/>
        <w:ind w:left="709" w:hanging="709"/>
        <w:contextualSpacing w:val="0"/>
        <w:rPr>
          <w:rFonts w:asciiTheme="minorHAnsi" w:hAnsiTheme="minorHAnsi"/>
          <w:sz w:val="24"/>
        </w:rPr>
      </w:pPr>
      <w:r w:rsidRPr="00226B30">
        <w:rPr>
          <w:rFonts w:asciiTheme="minorHAnsi" w:hAnsiTheme="minorHAnsi"/>
          <w:sz w:val="24"/>
        </w:rPr>
        <w:t xml:space="preserve">The key features of the direct randomised trials and the extension study are summarised in </w:t>
      </w:r>
      <w:r w:rsidR="003C370C" w:rsidRPr="00226B30">
        <w:rPr>
          <w:rFonts w:asciiTheme="minorHAnsi" w:hAnsiTheme="minorHAnsi"/>
          <w:sz w:val="24"/>
        </w:rPr>
        <w:t>Table 4</w:t>
      </w:r>
      <w:r w:rsidRPr="00226B30">
        <w:rPr>
          <w:rFonts w:asciiTheme="minorHAnsi" w:hAnsiTheme="minorHAnsi"/>
          <w:sz w:val="24"/>
        </w:rPr>
        <w:t xml:space="preserve">. </w:t>
      </w:r>
    </w:p>
    <w:p w:rsidR="000D33EE" w:rsidRPr="000D33EE" w:rsidRDefault="000D33EE" w:rsidP="000D33EE">
      <w:pPr>
        <w:widowControl/>
        <w:spacing w:after="120"/>
        <w:rPr>
          <w:rFonts w:asciiTheme="minorHAnsi" w:hAnsiTheme="minorHAnsi"/>
          <w:sz w:val="24"/>
        </w:rPr>
      </w:pPr>
    </w:p>
    <w:p w:rsidR="008A1DA3" w:rsidRDefault="008A1DA3" w:rsidP="008A1DA3">
      <w:pPr>
        <w:pStyle w:val="Caption"/>
      </w:pPr>
      <w:r>
        <w:t xml:space="preserve">Table </w:t>
      </w:r>
      <w:r w:rsidR="000056CF">
        <w:rPr>
          <w:noProof/>
        </w:rPr>
        <w:t>4</w:t>
      </w:r>
      <w:r w:rsidRPr="00E33036">
        <w:t>: Key features of the included evidence, lumacaftor/ivacaftor vs. placebo</w:t>
      </w:r>
    </w:p>
    <w:tbl>
      <w:tblPr>
        <w:tblW w:w="490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071"/>
        <w:gridCol w:w="481"/>
        <w:gridCol w:w="1600"/>
        <w:gridCol w:w="709"/>
        <w:gridCol w:w="1370"/>
        <w:gridCol w:w="2033"/>
        <w:gridCol w:w="1644"/>
      </w:tblGrid>
      <w:tr w:rsidR="002F02A4" w:rsidRPr="00226B30" w:rsidTr="002F02A4">
        <w:tc>
          <w:tcPr>
            <w:tcW w:w="601" w:type="pct"/>
            <w:shd w:val="clear" w:color="auto" w:fill="auto"/>
            <w:vAlign w:val="center"/>
          </w:tcPr>
          <w:p w:rsidR="00B2608F" w:rsidRPr="00226B30" w:rsidRDefault="00B2608F" w:rsidP="001E08C1">
            <w:pPr>
              <w:keepNext/>
              <w:widowControl/>
              <w:rPr>
                <w:rFonts w:ascii="Arial Narrow" w:hAnsi="Arial Narrow"/>
                <w:b/>
                <w:sz w:val="20"/>
              </w:rPr>
            </w:pPr>
            <w:r w:rsidRPr="00226B30">
              <w:rPr>
                <w:rFonts w:ascii="Arial Narrow" w:hAnsi="Arial Narrow"/>
                <w:b/>
                <w:sz w:val="20"/>
              </w:rPr>
              <w:t>Trial</w:t>
            </w:r>
          </w:p>
        </w:tc>
        <w:tc>
          <w:tcPr>
            <w:tcW w:w="270" w:type="pct"/>
            <w:shd w:val="clear" w:color="auto" w:fill="auto"/>
            <w:vAlign w:val="center"/>
          </w:tcPr>
          <w:p w:rsidR="00B2608F" w:rsidRPr="00226B30" w:rsidRDefault="00B2608F" w:rsidP="001E08C1">
            <w:pPr>
              <w:keepNext/>
              <w:widowControl/>
              <w:jc w:val="center"/>
              <w:rPr>
                <w:rFonts w:ascii="Arial Narrow" w:hAnsi="Arial Narrow"/>
                <w:b/>
                <w:sz w:val="20"/>
              </w:rPr>
            </w:pPr>
            <w:r w:rsidRPr="00226B30">
              <w:rPr>
                <w:rFonts w:ascii="Arial Narrow" w:hAnsi="Arial Narrow"/>
                <w:b/>
                <w:sz w:val="20"/>
              </w:rPr>
              <w:t>N</w:t>
            </w:r>
          </w:p>
        </w:tc>
        <w:tc>
          <w:tcPr>
            <w:tcW w:w="898" w:type="pct"/>
            <w:shd w:val="clear" w:color="auto" w:fill="auto"/>
            <w:vAlign w:val="center"/>
          </w:tcPr>
          <w:p w:rsidR="00B2608F" w:rsidRPr="00226B30" w:rsidRDefault="00B2608F" w:rsidP="001E08C1">
            <w:pPr>
              <w:keepNext/>
              <w:widowControl/>
              <w:jc w:val="center"/>
              <w:rPr>
                <w:rFonts w:ascii="Arial Narrow" w:hAnsi="Arial Narrow"/>
                <w:b/>
                <w:sz w:val="20"/>
              </w:rPr>
            </w:pPr>
            <w:r w:rsidRPr="00226B30">
              <w:rPr>
                <w:rFonts w:ascii="Arial Narrow" w:hAnsi="Arial Narrow"/>
                <w:b/>
                <w:sz w:val="20"/>
              </w:rPr>
              <w:t>Design/ duration</w:t>
            </w:r>
          </w:p>
        </w:tc>
        <w:tc>
          <w:tcPr>
            <w:tcW w:w="398" w:type="pct"/>
            <w:shd w:val="clear" w:color="auto" w:fill="auto"/>
            <w:vAlign w:val="center"/>
          </w:tcPr>
          <w:p w:rsidR="00B2608F" w:rsidRPr="00226B30" w:rsidRDefault="00B2608F" w:rsidP="001E08C1">
            <w:pPr>
              <w:keepNext/>
              <w:widowControl/>
              <w:jc w:val="center"/>
              <w:rPr>
                <w:rFonts w:ascii="Arial Narrow" w:hAnsi="Arial Narrow"/>
                <w:b/>
                <w:sz w:val="20"/>
              </w:rPr>
            </w:pPr>
            <w:r w:rsidRPr="00226B30">
              <w:rPr>
                <w:rFonts w:ascii="Arial Narrow" w:hAnsi="Arial Narrow"/>
                <w:b/>
                <w:sz w:val="20"/>
              </w:rPr>
              <w:t>Risk of bias</w:t>
            </w:r>
          </w:p>
        </w:tc>
        <w:tc>
          <w:tcPr>
            <w:tcW w:w="769" w:type="pct"/>
            <w:shd w:val="clear" w:color="auto" w:fill="auto"/>
            <w:vAlign w:val="center"/>
          </w:tcPr>
          <w:p w:rsidR="00B2608F" w:rsidRPr="00226B30" w:rsidRDefault="00B2608F" w:rsidP="001E08C1">
            <w:pPr>
              <w:keepNext/>
              <w:widowControl/>
              <w:jc w:val="center"/>
              <w:rPr>
                <w:rFonts w:ascii="Arial Narrow" w:hAnsi="Arial Narrow"/>
                <w:b/>
                <w:sz w:val="20"/>
              </w:rPr>
            </w:pPr>
            <w:r w:rsidRPr="00226B30">
              <w:rPr>
                <w:rFonts w:ascii="Arial Narrow" w:hAnsi="Arial Narrow"/>
                <w:b/>
                <w:sz w:val="20"/>
              </w:rPr>
              <w:t>Patient population</w:t>
            </w:r>
          </w:p>
        </w:tc>
        <w:tc>
          <w:tcPr>
            <w:tcW w:w="1141" w:type="pct"/>
            <w:shd w:val="clear" w:color="auto" w:fill="auto"/>
            <w:vAlign w:val="center"/>
          </w:tcPr>
          <w:p w:rsidR="00B2608F" w:rsidRPr="00226B30" w:rsidRDefault="00B2608F" w:rsidP="001E08C1">
            <w:pPr>
              <w:keepNext/>
              <w:widowControl/>
              <w:jc w:val="center"/>
              <w:rPr>
                <w:rFonts w:ascii="Arial Narrow" w:hAnsi="Arial Narrow"/>
                <w:b/>
                <w:sz w:val="20"/>
              </w:rPr>
            </w:pPr>
            <w:r w:rsidRPr="00226B30">
              <w:rPr>
                <w:rFonts w:ascii="Arial Narrow" w:hAnsi="Arial Narrow"/>
                <w:b/>
                <w:sz w:val="20"/>
              </w:rPr>
              <w:t>Outcomes</w:t>
            </w:r>
          </w:p>
        </w:tc>
        <w:tc>
          <w:tcPr>
            <w:tcW w:w="923" w:type="pct"/>
            <w:shd w:val="clear" w:color="auto" w:fill="auto"/>
            <w:vAlign w:val="center"/>
          </w:tcPr>
          <w:p w:rsidR="00B2608F" w:rsidRPr="00226B30" w:rsidRDefault="00B2608F" w:rsidP="001E08C1">
            <w:pPr>
              <w:keepNext/>
              <w:widowControl/>
              <w:jc w:val="center"/>
              <w:rPr>
                <w:rFonts w:ascii="Arial Narrow" w:hAnsi="Arial Narrow"/>
                <w:b/>
                <w:sz w:val="20"/>
              </w:rPr>
            </w:pPr>
            <w:r w:rsidRPr="00226B30">
              <w:rPr>
                <w:rFonts w:ascii="Arial Narrow" w:hAnsi="Arial Narrow"/>
                <w:b/>
                <w:sz w:val="20"/>
              </w:rPr>
              <w:t>Use in modelled evaluation</w:t>
            </w:r>
          </w:p>
        </w:tc>
      </w:tr>
      <w:tr w:rsidR="002F02A4" w:rsidRPr="00226B30" w:rsidTr="002F02A4">
        <w:tc>
          <w:tcPr>
            <w:tcW w:w="601" w:type="pct"/>
            <w:shd w:val="clear" w:color="auto" w:fill="auto"/>
            <w:vAlign w:val="center"/>
          </w:tcPr>
          <w:p w:rsidR="00B2608F" w:rsidRPr="00226B30" w:rsidRDefault="00B2608F" w:rsidP="001E08C1">
            <w:pPr>
              <w:keepNext/>
              <w:widowControl/>
              <w:rPr>
                <w:rFonts w:ascii="Arial Narrow" w:hAnsi="Arial Narrow"/>
                <w:sz w:val="20"/>
              </w:rPr>
            </w:pPr>
            <w:r w:rsidRPr="00226B30">
              <w:rPr>
                <w:rFonts w:ascii="Arial Narrow" w:hAnsi="Arial Narrow"/>
                <w:sz w:val="20"/>
              </w:rPr>
              <w:t>TRAFFIC</w:t>
            </w:r>
          </w:p>
        </w:tc>
        <w:tc>
          <w:tcPr>
            <w:tcW w:w="270" w:type="pct"/>
            <w:shd w:val="clear" w:color="auto" w:fill="auto"/>
            <w:vAlign w:val="center"/>
          </w:tcPr>
          <w:p w:rsidR="00B2608F" w:rsidRPr="00226B30" w:rsidRDefault="00B2608F" w:rsidP="001E08C1">
            <w:pPr>
              <w:keepNext/>
              <w:widowControl/>
              <w:jc w:val="center"/>
              <w:rPr>
                <w:rFonts w:ascii="Arial Narrow" w:hAnsi="Arial Narrow"/>
                <w:sz w:val="20"/>
              </w:rPr>
            </w:pPr>
            <w:r w:rsidRPr="00226B30">
              <w:rPr>
                <w:rFonts w:ascii="Arial Narrow" w:hAnsi="Arial Narrow"/>
                <w:sz w:val="20"/>
              </w:rPr>
              <w:t>374</w:t>
            </w:r>
            <w:r w:rsidRPr="00226B30">
              <w:rPr>
                <w:rFonts w:ascii="Arial Narrow" w:hAnsi="Arial Narrow"/>
                <w:sz w:val="20"/>
                <w:vertAlign w:val="superscript"/>
              </w:rPr>
              <w:t>a</w:t>
            </w:r>
          </w:p>
        </w:tc>
        <w:tc>
          <w:tcPr>
            <w:tcW w:w="898" w:type="pct"/>
            <w:shd w:val="clear" w:color="auto" w:fill="auto"/>
            <w:vAlign w:val="center"/>
          </w:tcPr>
          <w:p w:rsidR="00B2608F" w:rsidRPr="00226B30" w:rsidRDefault="00B2608F" w:rsidP="001E08C1">
            <w:pPr>
              <w:keepNext/>
              <w:widowControl/>
              <w:jc w:val="center"/>
              <w:rPr>
                <w:rFonts w:ascii="Arial Narrow" w:hAnsi="Arial Narrow"/>
                <w:sz w:val="20"/>
              </w:rPr>
            </w:pPr>
            <w:r w:rsidRPr="00226B30">
              <w:rPr>
                <w:rFonts w:ascii="Arial Narrow" w:hAnsi="Arial Narrow"/>
                <w:sz w:val="20"/>
              </w:rPr>
              <w:t>R, DB, MC</w:t>
            </w:r>
          </w:p>
          <w:p w:rsidR="00B2608F" w:rsidRPr="00226B30" w:rsidRDefault="00B2608F" w:rsidP="001E08C1">
            <w:pPr>
              <w:keepNext/>
              <w:widowControl/>
              <w:jc w:val="center"/>
              <w:rPr>
                <w:rFonts w:ascii="Arial Narrow" w:hAnsi="Arial Narrow"/>
                <w:sz w:val="20"/>
              </w:rPr>
            </w:pPr>
            <w:r w:rsidRPr="00226B30">
              <w:rPr>
                <w:rFonts w:ascii="Arial Narrow" w:hAnsi="Arial Narrow"/>
                <w:sz w:val="20"/>
              </w:rPr>
              <w:t>24 weeks</w:t>
            </w:r>
          </w:p>
        </w:tc>
        <w:tc>
          <w:tcPr>
            <w:tcW w:w="398" w:type="pct"/>
            <w:shd w:val="clear" w:color="auto" w:fill="auto"/>
            <w:vAlign w:val="center"/>
          </w:tcPr>
          <w:p w:rsidR="00B2608F" w:rsidRPr="00226B30" w:rsidRDefault="00B2608F" w:rsidP="001E08C1">
            <w:pPr>
              <w:keepNext/>
              <w:widowControl/>
              <w:jc w:val="center"/>
              <w:rPr>
                <w:rFonts w:ascii="Arial Narrow" w:hAnsi="Arial Narrow"/>
                <w:sz w:val="20"/>
              </w:rPr>
            </w:pPr>
            <w:r w:rsidRPr="00226B30">
              <w:rPr>
                <w:rFonts w:ascii="Arial Narrow" w:hAnsi="Arial Narrow"/>
                <w:sz w:val="20"/>
              </w:rPr>
              <w:t>Low</w:t>
            </w:r>
          </w:p>
        </w:tc>
        <w:tc>
          <w:tcPr>
            <w:tcW w:w="769" w:type="pct"/>
            <w:shd w:val="clear" w:color="auto" w:fill="auto"/>
            <w:vAlign w:val="center"/>
          </w:tcPr>
          <w:p w:rsidR="00B2608F" w:rsidRPr="00226B30" w:rsidRDefault="00B2608F" w:rsidP="001E08C1">
            <w:pPr>
              <w:keepNext/>
              <w:widowControl/>
              <w:jc w:val="center"/>
              <w:rPr>
                <w:rFonts w:ascii="Arial Narrow" w:hAnsi="Arial Narrow"/>
                <w:sz w:val="20"/>
              </w:rPr>
            </w:pPr>
            <w:r w:rsidRPr="00226B30">
              <w:rPr>
                <w:rFonts w:ascii="Arial Narrow" w:hAnsi="Arial Narrow"/>
                <w:sz w:val="20"/>
              </w:rPr>
              <w:t>Aged 12 or older</w:t>
            </w:r>
          </w:p>
          <w:p w:rsidR="00B2608F" w:rsidRPr="00226B30" w:rsidRDefault="00B2608F" w:rsidP="001E08C1">
            <w:pPr>
              <w:keepNext/>
              <w:widowControl/>
              <w:jc w:val="center"/>
              <w:rPr>
                <w:rFonts w:ascii="Arial Narrow" w:hAnsi="Arial Narrow"/>
                <w:sz w:val="20"/>
              </w:rPr>
            </w:pPr>
            <w:r w:rsidRPr="00226B30">
              <w:rPr>
                <w:rFonts w:ascii="Arial Narrow" w:hAnsi="Arial Narrow"/>
                <w:sz w:val="20"/>
              </w:rPr>
              <w:t>Homozygous for the F508del mutation</w:t>
            </w:r>
          </w:p>
        </w:tc>
        <w:tc>
          <w:tcPr>
            <w:tcW w:w="1141" w:type="pct"/>
            <w:shd w:val="clear" w:color="auto" w:fill="auto"/>
            <w:vAlign w:val="center"/>
          </w:tcPr>
          <w:p w:rsidR="00B2608F" w:rsidRPr="00226B30" w:rsidRDefault="00B2608F" w:rsidP="001E08C1">
            <w:pPr>
              <w:keepNext/>
              <w:widowControl/>
              <w:jc w:val="center"/>
              <w:rPr>
                <w:rFonts w:ascii="Arial Narrow" w:hAnsi="Arial Narrow"/>
                <w:sz w:val="20"/>
              </w:rPr>
            </w:pPr>
            <w:r w:rsidRPr="00226B30">
              <w:rPr>
                <w:rFonts w:ascii="Arial Narrow" w:hAnsi="Arial Narrow"/>
                <w:sz w:val="20"/>
              </w:rPr>
              <w:t>Absolute change in pp</w:t>
            </w:r>
            <w:r w:rsidR="00023A66" w:rsidRPr="00226B30">
              <w:rPr>
                <w:rFonts w:ascii="Arial Narrow" w:hAnsi="Arial Narrow"/>
                <w:sz w:val="20"/>
              </w:rPr>
              <w:t>FEV</w:t>
            </w:r>
            <w:r w:rsidR="00023A66" w:rsidRPr="00226B30">
              <w:rPr>
                <w:rFonts w:ascii="Arial Narrow" w:hAnsi="Arial Narrow"/>
                <w:sz w:val="20"/>
                <w:vertAlign w:val="subscript"/>
              </w:rPr>
              <w:t>1</w:t>
            </w:r>
            <w:r w:rsidRPr="00226B30">
              <w:rPr>
                <w:rFonts w:ascii="Arial Narrow" w:hAnsi="Arial Narrow"/>
                <w:sz w:val="20"/>
              </w:rPr>
              <w:t xml:space="preserve">, BMI, CFQ-R, </w:t>
            </w:r>
            <w:r w:rsidR="00AA66E6" w:rsidRPr="00226B30">
              <w:rPr>
                <w:rFonts w:ascii="Arial Narrow" w:hAnsi="Arial Narrow"/>
                <w:sz w:val="20"/>
              </w:rPr>
              <w:t>PE</w:t>
            </w:r>
            <w:r w:rsidRPr="00226B30">
              <w:rPr>
                <w:rFonts w:ascii="Arial Narrow" w:hAnsi="Arial Narrow"/>
                <w:sz w:val="20"/>
              </w:rPr>
              <w:t>s, EQ-5D-3L</w:t>
            </w:r>
          </w:p>
        </w:tc>
        <w:tc>
          <w:tcPr>
            <w:tcW w:w="923" w:type="pct"/>
            <w:shd w:val="clear" w:color="auto" w:fill="auto"/>
            <w:vAlign w:val="center"/>
          </w:tcPr>
          <w:p w:rsidR="00B2608F" w:rsidRPr="00226B30" w:rsidRDefault="00B2608F" w:rsidP="001E08C1">
            <w:pPr>
              <w:keepNext/>
              <w:widowControl/>
              <w:jc w:val="center"/>
              <w:rPr>
                <w:rFonts w:ascii="Arial Narrow" w:hAnsi="Arial Narrow"/>
                <w:sz w:val="20"/>
              </w:rPr>
            </w:pPr>
            <w:r w:rsidRPr="00226B30">
              <w:rPr>
                <w:rFonts w:ascii="Arial Narrow" w:hAnsi="Arial Narrow"/>
                <w:sz w:val="20"/>
              </w:rPr>
              <w:t>Absolute change in pp</w:t>
            </w:r>
            <w:r w:rsidR="00DE2C22" w:rsidRPr="00226B30">
              <w:rPr>
                <w:rFonts w:ascii="Arial Narrow" w:hAnsi="Arial Narrow"/>
                <w:sz w:val="20"/>
              </w:rPr>
              <w:t>FEV</w:t>
            </w:r>
            <w:r w:rsidR="00DE2C22" w:rsidRPr="00226B30">
              <w:rPr>
                <w:rFonts w:ascii="Arial Narrow" w:hAnsi="Arial Narrow"/>
                <w:sz w:val="20"/>
                <w:vertAlign w:val="subscript"/>
              </w:rPr>
              <w:t>1</w:t>
            </w:r>
            <w:r w:rsidRPr="00226B30">
              <w:rPr>
                <w:rFonts w:ascii="Arial Narrow" w:hAnsi="Arial Narrow"/>
                <w:sz w:val="20"/>
              </w:rPr>
              <w:t xml:space="preserve">, weight for age z-score, </w:t>
            </w:r>
            <w:r w:rsidR="00AA66E6" w:rsidRPr="00226B30">
              <w:rPr>
                <w:rFonts w:ascii="Arial Narrow" w:hAnsi="Arial Narrow"/>
                <w:sz w:val="20"/>
              </w:rPr>
              <w:t>PEs</w:t>
            </w:r>
          </w:p>
        </w:tc>
      </w:tr>
      <w:tr w:rsidR="002F02A4" w:rsidRPr="00226B30" w:rsidTr="002F02A4">
        <w:tc>
          <w:tcPr>
            <w:tcW w:w="601" w:type="pct"/>
            <w:shd w:val="clear" w:color="auto" w:fill="auto"/>
            <w:vAlign w:val="center"/>
          </w:tcPr>
          <w:p w:rsidR="00B2608F" w:rsidRPr="00226B30" w:rsidRDefault="00B2608F" w:rsidP="001E08C1">
            <w:pPr>
              <w:keepNext/>
              <w:widowControl/>
              <w:rPr>
                <w:rFonts w:ascii="Arial Narrow" w:hAnsi="Arial Narrow"/>
                <w:sz w:val="20"/>
              </w:rPr>
            </w:pPr>
            <w:r w:rsidRPr="00226B30">
              <w:rPr>
                <w:rFonts w:ascii="Arial Narrow" w:hAnsi="Arial Narrow"/>
                <w:sz w:val="20"/>
              </w:rPr>
              <w:t>TRANSPORT</w:t>
            </w:r>
          </w:p>
        </w:tc>
        <w:tc>
          <w:tcPr>
            <w:tcW w:w="270" w:type="pct"/>
            <w:shd w:val="clear" w:color="auto" w:fill="auto"/>
            <w:vAlign w:val="center"/>
          </w:tcPr>
          <w:p w:rsidR="00B2608F" w:rsidRPr="00226B30" w:rsidRDefault="00B2608F" w:rsidP="001E08C1">
            <w:pPr>
              <w:keepNext/>
              <w:widowControl/>
              <w:jc w:val="center"/>
              <w:rPr>
                <w:rFonts w:ascii="Arial Narrow" w:hAnsi="Arial Narrow"/>
                <w:sz w:val="20"/>
              </w:rPr>
            </w:pPr>
            <w:r w:rsidRPr="00226B30">
              <w:rPr>
                <w:rFonts w:ascii="Arial Narrow" w:hAnsi="Arial Narrow"/>
                <w:sz w:val="20"/>
              </w:rPr>
              <w:t>376</w:t>
            </w:r>
            <w:r w:rsidRPr="00226B30">
              <w:rPr>
                <w:rFonts w:ascii="Arial Narrow" w:hAnsi="Arial Narrow"/>
                <w:sz w:val="20"/>
                <w:vertAlign w:val="superscript"/>
              </w:rPr>
              <w:t>b</w:t>
            </w:r>
          </w:p>
        </w:tc>
        <w:tc>
          <w:tcPr>
            <w:tcW w:w="898" w:type="pct"/>
            <w:shd w:val="clear" w:color="auto" w:fill="auto"/>
            <w:vAlign w:val="center"/>
          </w:tcPr>
          <w:p w:rsidR="00B2608F" w:rsidRPr="00226B30" w:rsidRDefault="00B2608F" w:rsidP="001E08C1">
            <w:pPr>
              <w:keepNext/>
              <w:widowControl/>
              <w:jc w:val="center"/>
              <w:rPr>
                <w:rFonts w:ascii="Arial Narrow" w:hAnsi="Arial Narrow"/>
                <w:sz w:val="20"/>
              </w:rPr>
            </w:pPr>
            <w:r w:rsidRPr="00226B30">
              <w:rPr>
                <w:rFonts w:ascii="Arial Narrow" w:hAnsi="Arial Narrow"/>
                <w:sz w:val="20"/>
              </w:rPr>
              <w:t>R, DB, MC</w:t>
            </w:r>
          </w:p>
          <w:p w:rsidR="00B2608F" w:rsidRPr="00226B30" w:rsidRDefault="00B2608F" w:rsidP="001E08C1">
            <w:pPr>
              <w:keepNext/>
              <w:widowControl/>
              <w:jc w:val="center"/>
              <w:rPr>
                <w:rFonts w:ascii="Arial Narrow" w:hAnsi="Arial Narrow"/>
                <w:sz w:val="20"/>
              </w:rPr>
            </w:pPr>
            <w:r w:rsidRPr="00226B30">
              <w:rPr>
                <w:rFonts w:ascii="Arial Narrow" w:hAnsi="Arial Narrow"/>
                <w:sz w:val="20"/>
              </w:rPr>
              <w:t>24 weeks</w:t>
            </w:r>
          </w:p>
        </w:tc>
        <w:tc>
          <w:tcPr>
            <w:tcW w:w="398" w:type="pct"/>
            <w:shd w:val="clear" w:color="auto" w:fill="auto"/>
            <w:vAlign w:val="center"/>
          </w:tcPr>
          <w:p w:rsidR="00B2608F" w:rsidRPr="00226B30" w:rsidRDefault="00B2608F" w:rsidP="001E08C1">
            <w:pPr>
              <w:keepNext/>
              <w:widowControl/>
              <w:jc w:val="center"/>
              <w:rPr>
                <w:rFonts w:ascii="Arial Narrow" w:hAnsi="Arial Narrow"/>
                <w:sz w:val="20"/>
              </w:rPr>
            </w:pPr>
            <w:r w:rsidRPr="00226B30">
              <w:rPr>
                <w:rFonts w:ascii="Arial Narrow" w:hAnsi="Arial Narrow"/>
                <w:sz w:val="20"/>
              </w:rPr>
              <w:t>Low</w:t>
            </w:r>
          </w:p>
        </w:tc>
        <w:tc>
          <w:tcPr>
            <w:tcW w:w="769" w:type="pct"/>
            <w:shd w:val="clear" w:color="auto" w:fill="auto"/>
            <w:vAlign w:val="center"/>
          </w:tcPr>
          <w:p w:rsidR="00B2608F" w:rsidRPr="00226B30" w:rsidRDefault="00B2608F" w:rsidP="001E08C1">
            <w:pPr>
              <w:keepNext/>
              <w:widowControl/>
              <w:jc w:val="center"/>
              <w:rPr>
                <w:rFonts w:ascii="Arial Narrow" w:hAnsi="Arial Narrow"/>
                <w:sz w:val="20"/>
              </w:rPr>
            </w:pPr>
            <w:r w:rsidRPr="00226B30">
              <w:rPr>
                <w:rFonts w:ascii="Arial Narrow" w:hAnsi="Arial Narrow"/>
                <w:sz w:val="20"/>
              </w:rPr>
              <w:t>Aged 12 or older</w:t>
            </w:r>
          </w:p>
          <w:p w:rsidR="00B2608F" w:rsidRPr="00226B30" w:rsidRDefault="00B2608F" w:rsidP="001E08C1">
            <w:pPr>
              <w:keepNext/>
              <w:widowControl/>
              <w:jc w:val="center"/>
              <w:rPr>
                <w:rFonts w:ascii="Arial Narrow" w:hAnsi="Arial Narrow"/>
                <w:sz w:val="20"/>
              </w:rPr>
            </w:pPr>
            <w:r w:rsidRPr="00226B30">
              <w:rPr>
                <w:rFonts w:ascii="Arial Narrow" w:hAnsi="Arial Narrow"/>
                <w:sz w:val="20"/>
              </w:rPr>
              <w:t>Homozygous for the F508del mutation</w:t>
            </w:r>
          </w:p>
        </w:tc>
        <w:tc>
          <w:tcPr>
            <w:tcW w:w="1141" w:type="pct"/>
            <w:shd w:val="clear" w:color="auto" w:fill="auto"/>
            <w:vAlign w:val="center"/>
          </w:tcPr>
          <w:p w:rsidR="00B2608F" w:rsidRPr="00226B30" w:rsidRDefault="00B2608F" w:rsidP="001E08C1">
            <w:pPr>
              <w:keepNext/>
              <w:widowControl/>
              <w:jc w:val="center"/>
              <w:rPr>
                <w:rFonts w:ascii="Arial Narrow" w:hAnsi="Arial Narrow"/>
                <w:sz w:val="20"/>
              </w:rPr>
            </w:pPr>
            <w:r w:rsidRPr="00226B30">
              <w:rPr>
                <w:rFonts w:ascii="Arial Narrow" w:hAnsi="Arial Narrow"/>
                <w:sz w:val="20"/>
              </w:rPr>
              <w:t>Absolute change in pp</w:t>
            </w:r>
            <w:r w:rsidR="00DE2C22" w:rsidRPr="00226B30">
              <w:rPr>
                <w:rFonts w:ascii="Arial Narrow" w:hAnsi="Arial Narrow"/>
                <w:sz w:val="20"/>
              </w:rPr>
              <w:t>FEV</w:t>
            </w:r>
            <w:r w:rsidR="00DE2C22" w:rsidRPr="00226B30">
              <w:rPr>
                <w:rFonts w:ascii="Arial Narrow" w:hAnsi="Arial Narrow"/>
                <w:sz w:val="20"/>
                <w:vertAlign w:val="subscript"/>
              </w:rPr>
              <w:t>1</w:t>
            </w:r>
            <w:r w:rsidRPr="00226B30">
              <w:rPr>
                <w:rFonts w:ascii="Arial Narrow" w:hAnsi="Arial Narrow"/>
                <w:sz w:val="20"/>
              </w:rPr>
              <w:t xml:space="preserve">, BMI, CFQ-R, </w:t>
            </w:r>
            <w:r w:rsidR="00AA66E6" w:rsidRPr="00226B30">
              <w:rPr>
                <w:rFonts w:ascii="Arial Narrow" w:hAnsi="Arial Narrow"/>
                <w:sz w:val="20"/>
              </w:rPr>
              <w:t>PEs</w:t>
            </w:r>
            <w:r w:rsidRPr="00226B30">
              <w:rPr>
                <w:rFonts w:ascii="Arial Narrow" w:hAnsi="Arial Narrow"/>
                <w:sz w:val="20"/>
              </w:rPr>
              <w:t>, EQ-5D-3L</w:t>
            </w:r>
          </w:p>
        </w:tc>
        <w:tc>
          <w:tcPr>
            <w:tcW w:w="923" w:type="pct"/>
            <w:shd w:val="clear" w:color="auto" w:fill="auto"/>
            <w:vAlign w:val="center"/>
          </w:tcPr>
          <w:p w:rsidR="00B2608F" w:rsidRPr="00226B30" w:rsidRDefault="00B2608F" w:rsidP="001E08C1">
            <w:pPr>
              <w:keepNext/>
              <w:widowControl/>
              <w:jc w:val="center"/>
              <w:rPr>
                <w:rFonts w:ascii="Arial Narrow" w:hAnsi="Arial Narrow"/>
                <w:sz w:val="20"/>
              </w:rPr>
            </w:pPr>
            <w:r w:rsidRPr="00226B30">
              <w:rPr>
                <w:rFonts w:ascii="Arial Narrow" w:hAnsi="Arial Narrow"/>
                <w:sz w:val="20"/>
              </w:rPr>
              <w:t>Absolute change in pp</w:t>
            </w:r>
            <w:r w:rsidR="00DE2C22" w:rsidRPr="00226B30">
              <w:rPr>
                <w:rFonts w:ascii="Arial Narrow" w:hAnsi="Arial Narrow"/>
                <w:sz w:val="20"/>
              </w:rPr>
              <w:t>FEV</w:t>
            </w:r>
            <w:r w:rsidR="00DE2C22" w:rsidRPr="00226B30">
              <w:rPr>
                <w:rFonts w:ascii="Arial Narrow" w:hAnsi="Arial Narrow"/>
                <w:sz w:val="20"/>
                <w:vertAlign w:val="subscript"/>
              </w:rPr>
              <w:t>1</w:t>
            </w:r>
            <w:r w:rsidRPr="00226B30">
              <w:rPr>
                <w:rFonts w:ascii="Arial Narrow" w:hAnsi="Arial Narrow"/>
                <w:sz w:val="20"/>
              </w:rPr>
              <w:t xml:space="preserve">, weight for age z-score, </w:t>
            </w:r>
            <w:r w:rsidR="00AA66E6" w:rsidRPr="00226B30">
              <w:rPr>
                <w:rFonts w:ascii="Arial Narrow" w:hAnsi="Arial Narrow"/>
                <w:sz w:val="20"/>
              </w:rPr>
              <w:t>PEs</w:t>
            </w:r>
          </w:p>
        </w:tc>
      </w:tr>
      <w:tr w:rsidR="002F02A4" w:rsidRPr="00226B30" w:rsidTr="002F02A4">
        <w:tc>
          <w:tcPr>
            <w:tcW w:w="601" w:type="pct"/>
            <w:shd w:val="clear" w:color="auto" w:fill="auto"/>
            <w:vAlign w:val="center"/>
          </w:tcPr>
          <w:p w:rsidR="00B2608F" w:rsidRPr="00226B30" w:rsidRDefault="00B2608F" w:rsidP="001E08C1">
            <w:pPr>
              <w:keepNext/>
              <w:widowControl/>
              <w:rPr>
                <w:rFonts w:ascii="Arial Narrow" w:hAnsi="Arial Narrow"/>
                <w:sz w:val="20"/>
              </w:rPr>
            </w:pPr>
            <w:r w:rsidRPr="00226B30">
              <w:rPr>
                <w:rFonts w:ascii="Arial Narrow" w:hAnsi="Arial Narrow"/>
                <w:sz w:val="20"/>
              </w:rPr>
              <w:t>PROGRESS</w:t>
            </w:r>
          </w:p>
        </w:tc>
        <w:tc>
          <w:tcPr>
            <w:tcW w:w="270" w:type="pct"/>
            <w:shd w:val="clear" w:color="auto" w:fill="auto"/>
            <w:vAlign w:val="center"/>
          </w:tcPr>
          <w:p w:rsidR="00B2608F" w:rsidRPr="00226B30" w:rsidRDefault="00B2608F" w:rsidP="001E08C1">
            <w:pPr>
              <w:keepNext/>
              <w:widowControl/>
              <w:jc w:val="center"/>
              <w:rPr>
                <w:rFonts w:ascii="Arial Narrow" w:hAnsi="Arial Narrow"/>
                <w:sz w:val="20"/>
                <w:vertAlign w:val="superscript"/>
              </w:rPr>
            </w:pPr>
            <w:r w:rsidRPr="00226B30">
              <w:rPr>
                <w:rFonts w:ascii="Arial Narrow" w:hAnsi="Arial Narrow"/>
                <w:sz w:val="20"/>
              </w:rPr>
              <w:t>516</w:t>
            </w:r>
            <w:r w:rsidRPr="00226B30">
              <w:rPr>
                <w:rFonts w:ascii="Arial Narrow" w:hAnsi="Arial Narrow"/>
                <w:sz w:val="20"/>
                <w:vertAlign w:val="superscript"/>
              </w:rPr>
              <w:t>c</w:t>
            </w:r>
          </w:p>
        </w:tc>
        <w:tc>
          <w:tcPr>
            <w:tcW w:w="898" w:type="pct"/>
            <w:shd w:val="clear" w:color="auto" w:fill="auto"/>
            <w:vAlign w:val="center"/>
          </w:tcPr>
          <w:p w:rsidR="00B2608F" w:rsidRPr="00226B30" w:rsidRDefault="00B2608F" w:rsidP="001E08C1">
            <w:pPr>
              <w:keepNext/>
              <w:widowControl/>
              <w:jc w:val="center"/>
              <w:rPr>
                <w:rFonts w:ascii="Arial Narrow" w:hAnsi="Arial Narrow"/>
                <w:sz w:val="20"/>
              </w:rPr>
            </w:pPr>
            <w:r w:rsidRPr="00226B30">
              <w:rPr>
                <w:rFonts w:ascii="Arial Narrow" w:hAnsi="Arial Narrow"/>
                <w:sz w:val="20"/>
              </w:rPr>
              <w:t xml:space="preserve">Extension study for further 72/96 weeks with </w:t>
            </w:r>
            <w:r w:rsidR="00A30ED2" w:rsidRPr="00226B30">
              <w:rPr>
                <w:rFonts w:ascii="Arial Narrow" w:hAnsi="Arial Narrow"/>
                <w:sz w:val="20"/>
              </w:rPr>
              <w:t xml:space="preserve">all </w:t>
            </w:r>
            <w:r w:rsidRPr="00226B30">
              <w:rPr>
                <w:rFonts w:ascii="Arial Narrow" w:hAnsi="Arial Narrow"/>
                <w:sz w:val="20"/>
              </w:rPr>
              <w:t>patients receiving lumacaftor 400mg/ ivacaftor 250mg twice daily.</w:t>
            </w:r>
          </w:p>
        </w:tc>
        <w:tc>
          <w:tcPr>
            <w:tcW w:w="398" w:type="pct"/>
            <w:shd w:val="clear" w:color="auto" w:fill="auto"/>
            <w:vAlign w:val="center"/>
          </w:tcPr>
          <w:p w:rsidR="00B2608F" w:rsidRPr="00226B30" w:rsidRDefault="00B2608F" w:rsidP="001E08C1">
            <w:pPr>
              <w:keepNext/>
              <w:widowControl/>
              <w:jc w:val="center"/>
              <w:rPr>
                <w:rFonts w:ascii="Arial Narrow" w:hAnsi="Arial Narrow"/>
                <w:sz w:val="20"/>
              </w:rPr>
            </w:pPr>
            <w:r w:rsidRPr="00226B30">
              <w:rPr>
                <w:rFonts w:ascii="Arial Narrow" w:hAnsi="Arial Narrow"/>
                <w:sz w:val="20"/>
              </w:rPr>
              <w:t>High</w:t>
            </w:r>
          </w:p>
        </w:tc>
        <w:tc>
          <w:tcPr>
            <w:tcW w:w="769" w:type="pct"/>
            <w:shd w:val="clear" w:color="auto" w:fill="auto"/>
            <w:vAlign w:val="center"/>
          </w:tcPr>
          <w:p w:rsidR="00B2608F" w:rsidRPr="00226B30" w:rsidRDefault="00B2608F" w:rsidP="001E08C1">
            <w:pPr>
              <w:keepNext/>
              <w:widowControl/>
              <w:jc w:val="center"/>
              <w:rPr>
                <w:rFonts w:ascii="Arial Narrow" w:hAnsi="Arial Narrow"/>
                <w:sz w:val="20"/>
              </w:rPr>
            </w:pPr>
            <w:r w:rsidRPr="00226B30">
              <w:rPr>
                <w:rFonts w:ascii="Arial Narrow" w:hAnsi="Arial Narrow"/>
                <w:sz w:val="20"/>
              </w:rPr>
              <w:t>Aged 12 or older</w:t>
            </w:r>
          </w:p>
          <w:p w:rsidR="00B2608F" w:rsidRPr="00226B30" w:rsidRDefault="00B2608F" w:rsidP="001E08C1">
            <w:pPr>
              <w:keepNext/>
              <w:widowControl/>
              <w:jc w:val="center"/>
              <w:rPr>
                <w:rFonts w:ascii="Arial Narrow" w:hAnsi="Arial Narrow"/>
                <w:sz w:val="20"/>
              </w:rPr>
            </w:pPr>
            <w:r w:rsidRPr="00226B30">
              <w:rPr>
                <w:rFonts w:ascii="Arial Narrow" w:hAnsi="Arial Narrow"/>
                <w:sz w:val="20"/>
              </w:rPr>
              <w:t>Homozygous for the F508del mutation rolling over from TRAFFIC and TRANSPORT</w:t>
            </w:r>
          </w:p>
        </w:tc>
        <w:tc>
          <w:tcPr>
            <w:tcW w:w="1141" w:type="pct"/>
            <w:shd w:val="clear" w:color="auto" w:fill="auto"/>
            <w:vAlign w:val="center"/>
          </w:tcPr>
          <w:p w:rsidR="00B2608F" w:rsidRPr="00226B30" w:rsidRDefault="00B2608F" w:rsidP="001E08C1">
            <w:pPr>
              <w:keepNext/>
              <w:widowControl/>
              <w:jc w:val="center"/>
              <w:rPr>
                <w:rFonts w:ascii="Arial Narrow" w:hAnsi="Arial Narrow"/>
                <w:sz w:val="20"/>
              </w:rPr>
            </w:pPr>
            <w:r w:rsidRPr="00226B30">
              <w:rPr>
                <w:rFonts w:ascii="Arial Narrow" w:hAnsi="Arial Narrow"/>
                <w:sz w:val="20"/>
              </w:rPr>
              <w:t>Safety of long-term treatment, absolute change in pp</w:t>
            </w:r>
            <w:r w:rsidR="00DE2C22" w:rsidRPr="00226B30">
              <w:rPr>
                <w:rFonts w:ascii="Arial Narrow" w:hAnsi="Arial Narrow"/>
                <w:sz w:val="20"/>
              </w:rPr>
              <w:t>FEV</w:t>
            </w:r>
            <w:r w:rsidR="00DE2C22" w:rsidRPr="00226B30">
              <w:rPr>
                <w:rFonts w:ascii="Arial Narrow" w:hAnsi="Arial Narrow"/>
                <w:sz w:val="20"/>
                <w:vertAlign w:val="subscript"/>
              </w:rPr>
              <w:t>1</w:t>
            </w:r>
            <w:r w:rsidRPr="00226B30">
              <w:rPr>
                <w:rFonts w:ascii="Arial Narrow" w:hAnsi="Arial Narrow"/>
                <w:sz w:val="20"/>
              </w:rPr>
              <w:t xml:space="preserve">, BMI, CFQ-R, </w:t>
            </w:r>
            <w:r w:rsidR="00AA66E6" w:rsidRPr="00226B30">
              <w:rPr>
                <w:rFonts w:ascii="Arial Narrow" w:hAnsi="Arial Narrow"/>
                <w:sz w:val="20"/>
              </w:rPr>
              <w:t>PEs</w:t>
            </w:r>
          </w:p>
        </w:tc>
        <w:tc>
          <w:tcPr>
            <w:tcW w:w="923" w:type="pct"/>
            <w:shd w:val="clear" w:color="auto" w:fill="auto"/>
            <w:vAlign w:val="center"/>
          </w:tcPr>
          <w:p w:rsidR="00B2608F" w:rsidRPr="00226B30" w:rsidRDefault="00B2608F" w:rsidP="001E08C1">
            <w:pPr>
              <w:keepNext/>
              <w:widowControl/>
              <w:jc w:val="center"/>
              <w:rPr>
                <w:rFonts w:ascii="Arial Narrow" w:hAnsi="Arial Narrow"/>
                <w:sz w:val="20"/>
              </w:rPr>
            </w:pPr>
            <w:r w:rsidRPr="00226B30">
              <w:rPr>
                <w:rFonts w:ascii="Arial Narrow" w:hAnsi="Arial Narrow"/>
                <w:sz w:val="20"/>
              </w:rPr>
              <w:t>Not used.</w:t>
            </w:r>
          </w:p>
        </w:tc>
      </w:tr>
    </w:tbl>
    <w:p w:rsidR="00B2608F" w:rsidRPr="00226B30" w:rsidRDefault="00B2608F" w:rsidP="001E08C1">
      <w:pPr>
        <w:pStyle w:val="Tablefooter8pt"/>
        <w:spacing w:after="120"/>
        <w:contextualSpacing/>
      </w:pPr>
      <w:r w:rsidRPr="00226B30">
        <w:t>Source: compiled during the evaluation</w:t>
      </w:r>
    </w:p>
    <w:p w:rsidR="00B2608F" w:rsidRPr="00226B30" w:rsidRDefault="00B2608F" w:rsidP="001E08C1">
      <w:pPr>
        <w:pStyle w:val="Tablefooter8pt"/>
        <w:spacing w:after="120"/>
        <w:contextualSpacing/>
      </w:pPr>
      <w:r w:rsidRPr="00226B30">
        <w:t xml:space="preserve">DB=double blind; MC=multi-centre; R=randomised; CFQ-R=cystic fibrosis questionnaire </w:t>
      </w:r>
      <w:r w:rsidR="001301AE" w:rsidRPr="00226B30">
        <w:t xml:space="preserve">- </w:t>
      </w:r>
      <w:r w:rsidRPr="00226B30">
        <w:t>revised; BMI=body mass index</w:t>
      </w:r>
      <w:r w:rsidR="00AA66E6" w:rsidRPr="00226B30">
        <w:t>; PE = pulmonary exacerbation</w:t>
      </w:r>
    </w:p>
    <w:p w:rsidR="00B2608F" w:rsidRPr="00226B30" w:rsidRDefault="00B2608F" w:rsidP="001E08C1">
      <w:pPr>
        <w:pStyle w:val="Tablefooter8pt"/>
        <w:spacing w:after="120"/>
        <w:contextualSpacing/>
        <w:rPr>
          <w:lang w:eastAsia="en-AU"/>
        </w:rPr>
      </w:pPr>
      <w:r w:rsidRPr="00226B30">
        <w:rPr>
          <w:vertAlign w:val="superscript"/>
        </w:rPr>
        <w:t xml:space="preserve">a </w:t>
      </w:r>
      <w:r w:rsidRPr="00226B30">
        <w:t>n=374 in the 2 arms of the trial included in the analysis. The trial had a third arm (</w:t>
      </w:r>
      <w:r w:rsidRPr="00226B30">
        <w:rPr>
          <w:lang w:eastAsia="en-AU"/>
        </w:rPr>
        <w:t>600 mg lumacaftor qd, 250 mg ivacaftor q12h) with n=185</w:t>
      </w:r>
    </w:p>
    <w:p w:rsidR="00B2608F" w:rsidRPr="00226B30" w:rsidRDefault="00B2608F" w:rsidP="001E08C1">
      <w:pPr>
        <w:pStyle w:val="Tablefooter8pt"/>
        <w:spacing w:after="120"/>
        <w:contextualSpacing/>
        <w:rPr>
          <w:lang w:eastAsia="en-AU"/>
        </w:rPr>
      </w:pPr>
      <w:r w:rsidRPr="00226B30">
        <w:rPr>
          <w:vertAlign w:val="superscript"/>
          <w:lang w:eastAsia="en-AU"/>
        </w:rPr>
        <w:t xml:space="preserve">b </w:t>
      </w:r>
      <w:r w:rsidRPr="00226B30">
        <w:t xml:space="preserve">n=376 in the 2 arms of the trial included in the analysis. The trial had a third arm </w:t>
      </w:r>
      <w:bookmarkStart w:id="28" w:name="_Hlk479592991"/>
      <w:r w:rsidRPr="00226B30">
        <w:t>(</w:t>
      </w:r>
      <w:r w:rsidRPr="00226B30">
        <w:rPr>
          <w:lang w:eastAsia="en-AU"/>
        </w:rPr>
        <w:t>600 mg lumacaftor qd, 250 mg ivacaftor q12h) with n=187</w:t>
      </w:r>
      <w:bookmarkEnd w:id="28"/>
    </w:p>
    <w:p w:rsidR="00B2608F" w:rsidRPr="00226B30" w:rsidRDefault="00B2608F" w:rsidP="001E08C1">
      <w:pPr>
        <w:pStyle w:val="Tablefooter8pt"/>
        <w:spacing w:after="120"/>
        <w:contextualSpacing/>
      </w:pPr>
      <w:r w:rsidRPr="00226B30">
        <w:rPr>
          <w:vertAlign w:val="superscript"/>
          <w:lang w:eastAsia="en-AU"/>
        </w:rPr>
        <w:t>c</w:t>
      </w:r>
      <w:r w:rsidRPr="00226B30">
        <w:rPr>
          <w:lang w:eastAsia="en-AU"/>
        </w:rPr>
        <w:t xml:space="preserve"> n = 516 in the group included in the analysis, of whom 176 transitioned from placebo. The study had a second arm </w:t>
      </w:r>
      <w:r w:rsidRPr="00226B30">
        <w:t>(</w:t>
      </w:r>
      <w:r w:rsidRPr="00226B30">
        <w:rPr>
          <w:lang w:eastAsia="en-AU"/>
        </w:rPr>
        <w:t>600 mg lumacaftor qd, 250 mg ivacaftor q12h) with n=514</w:t>
      </w:r>
    </w:p>
    <w:p w:rsidR="001944FE" w:rsidRPr="00226B30" w:rsidRDefault="00B2608F" w:rsidP="00A24BF6">
      <w:pPr>
        <w:pStyle w:val="ListParagraph"/>
        <w:widowControl/>
        <w:numPr>
          <w:ilvl w:val="1"/>
          <w:numId w:val="13"/>
        </w:numPr>
        <w:spacing w:after="120"/>
        <w:ind w:left="709" w:hanging="709"/>
        <w:contextualSpacing w:val="0"/>
        <w:rPr>
          <w:rFonts w:asciiTheme="minorHAnsi" w:hAnsiTheme="minorHAnsi"/>
          <w:sz w:val="24"/>
          <w:szCs w:val="24"/>
        </w:rPr>
      </w:pPr>
      <w:r w:rsidRPr="00226B30">
        <w:rPr>
          <w:rFonts w:asciiTheme="minorHAnsi" w:hAnsiTheme="minorHAnsi"/>
          <w:sz w:val="24"/>
          <w:szCs w:val="24"/>
        </w:rPr>
        <w:t xml:space="preserve">A large proportion of patients in PROGRESS discontinued treatment prior to completion; 82% completed extension week 72, and 42% completed extension week 96. Reasons for discontinuation included adverse events (7%, n=38), refusal of further dosing (9%, n=46), terminated treatment by sponsor (4%, n=19) and “other” (33%, n=170). The latter </w:t>
      </w:r>
      <w:r w:rsidR="00621EA8" w:rsidRPr="00226B30">
        <w:rPr>
          <w:rFonts w:asciiTheme="minorHAnsi" w:hAnsiTheme="minorHAnsi"/>
          <w:sz w:val="24"/>
          <w:szCs w:val="24"/>
        </w:rPr>
        <w:t xml:space="preserve">largely occurred between week 72 and week 96 and the </w:t>
      </w:r>
      <w:r w:rsidR="0029572D" w:rsidRPr="00226B30">
        <w:rPr>
          <w:rFonts w:asciiTheme="minorHAnsi" w:hAnsiTheme="minorHAnsi"/>
          <w:sz w:val="24"/>
          <w:szCs w:val="24"/>
        </w:rPr>
        <w:t>re</w:t>
      </w:r>
      <w:r w:rsidR="00621EA8" w:rsidRPr="00226B30">
        <w:rPr>
          <w:rFonts w:asciiTheme="minorHAnsi" w:hAnsiTheme="minorHAnsi"/>
          <w:sz w:val="24"/>
          <w:szCs w:val="24"/>
        </w:rPr>
        <w:t xml:space="preserve">submission </w:t>
      </w:r>
      <w:r w:rsidRPr="00226B30">
        <w:rPr>
          <w:rFonts w:asciiTheme="minorHAnsi" w:hAnsiTheme="minorHAnsi"/>
          <w:sz w:val="24"/>
          <w:szCs w:val="24"/>
        </w:rPr>
        <w:t xml:space="preserve">stated </w:t>
      </w:r>
      <w:r w:rsidR="00621EA8" w:rsidRPr="00226B30">
        <w:rPr>
          <w:rFonts w:asciiTheme="minorHAnsi" w:hAnsiTheme="minorHAnsi"/>
          <w:sz w:val="24"/>
          <w:szCs w:val="24"/>
        </w:rPr>
        <w:t xml:space="preserve">this was </w:t>
      </w:r>
      <w:r w:rsidRPr="00226B30">
        <w:rPr>
          <w:rFonts w:asciiTheme="minorHAnsi" w:hAnsiTheme="minorHAnsi"/>
          <w:sz w:val="24"/>
          <w:szCs w:val="24"/>
        </w:rPr>
        <w:t>largely due to commerc</w:t>
      </w:r>
      <w:r w:rsidR="00084CFA">
        <w:rPr>
          <w:rFonts w:asciiTheme="minorHAnsi" w:hAnsiTheme="minorHAnsi"/>
          <w:sz w:val="24"/>
          <w:szCs w:val="24"/>
        </w:rPr>
        <w:t>ial drug availability in the US</w:t>
      </w:r>
      <w:r w:rsidR="00506D47">
        <w:rPr>
          <w:rFonts w:asciiTheme="minorHAnsi" w:hAnsiTheme="minorHAnsi"/>
          <w:sz w:val="24"/>
          <w:szCs w:val="24"/>
        </w:rPr>
        <w:t xml:space="preserve"> and subsequent closure of clinical trial sites</w:t>
      </w:r>
      <w:r w:rsidRPr="00226B30">
        <w:rPr>
          <w:rFonts w:asciiTheme="minorHAnsi" w:hAnsiTheme="minorHAnsi"/>
          <w:sz w:val="24"/>
          <w:szCs w:val="24"/>
        </w:rPr>
        <w:t xml:space="preserve">. Accordingly, the </w:t>
      </w:r>
      <w:r w:rsidR="0029572D" w:rsidRPr="00226B30">
        <w:rPr>
          <w:rFonts w:asciiTheme="minorHAnsi" w:hAnsiTheme="minorHAnsi"/>
          <w:sz w:val="24"/>
          <w:szCs w:val="24"/>
        </w:rPr>
        <w:t xml:space="preserve">main efficacy analyses in the </w:t>
      </w:r>
      <w:r w:rsidRPr="00226B30">
        <w:rPr>
          <w:rFonts w:asciiTheme="minorHAnsi" w:hAnsiTheme="minorHAnsi"/>
          <w:sz w:val="24"/>
          <w:szCs w:val="24"/>
        </w:rPr>
        <w:t>resubmission were done for visits up to extension week 72, with sensitivity analyses done for visits up to extension week 96. T</w:t>
      </w:r>
      <w:r w:rsidR="00C71000" w:rsidRPr="00226B30">
        <w:rPr>
          <w:rFonts w:asciiTheme="minorHAnsi" w:hAnsiTheme="minorHAnsi"/>
          <w:sz w:val="24"/>
          <w:szCs w:val="24"/>
        </w:rPr>
        <w:t>he evaluation noted that t</w:t>
      </w:r>
      <w:r w:rsidRPr="00226B30">
        <w:rPr>
          <w:rFonts w:asciiTheme="minorHAnsi" w:hAnsiTheme="minorHAnsi"/>
          <w:sz w:val="24"/>
          <w:szCs w:val="24"/>
        </w:rPr>
        <w:t>his high attrition rate suggest</w:t>
      </w:r>
      <w:r w:rsidR="00513F16" w:rsidRPr="00226B30">
        <w:rPr>
          <w:rFonts w:asciiTheme="minorHAnsi" w:hAnsiTheme="minorHAnsi"/>
          <w:sz w:val="24"/>
          <w:szCs w:val="24"/>
        </w:rPr>
        <w:t>ed</w:t>
      </w:r>
      <w:r w:rsidRPr="00226B30">
        <w:rPr>
          <w:rFonts w:asciiTheme="minorHAnsi" w:hAnsiTheme="minorHAnsi"/>
          <w:sz w:val="24"/>
          <w:szCs w:val="24"/>
        </w:rPr>
        <w:t xml:space="preserve"> an increased risk of bias in this study in respect of outcome reporting, the direction of which is unknown. </w:t>
      </w:r>
      <w:r w:rsidR="00621EA8" w:rsidRPr="00226B30">
        <w:rPr>
          <w:rFonts w:asciiTheme="minorHAnsi" w:hAnsiTheme="minorHAnsi"/>
          <w:sz w:val="24"/>
          <w:szCs w:val="24"/>
        </w:rPr>
        <w:t>It is unclear if patients who discontinued between weeks 72 and 96 performed “better” or “worse” on lumacaftor/ivacaftor than those who remained.</w:t>
      </w:r>
      <w:r w:rsidR="00A30ED2" w:rsidRPr="00226B30">
        <w:rPr>
          <w:rFonts w:asciiTheme="minorHAnsi" w:hAnsiTheme="minorHAnsi"/>
          <w:sz w:val="24"/>
          <w:szCs w:val="24"/>
        </w:rPr>
        <w:t xml:space="preserve"> </w:t>
      </w:r>
      <w:r w:rsidR="00513F16" w:rsidRPr="00226B30">
        <w:rPr>
          <w:rFonts w:asciiTheme="minorHAnsi" w:hAnsiTheme="minorHAnsi"/>
          <w:sz w:val="24"/>
          <w:szCs w:val="24"/>
        </w:rPr>
        <w:t>However, t</w:t>
      </w:r>
      <w:r w:rsidR="001944FE" w:rsidRPr="00226B30">
        <w:rPr>
          <w:rFonts w:asciiTheme="minorHAnsi" w:hAnsiTheme="minorHAnsi"/>
          <w:sz w:val="24"/>
          <w:szCs w:val="24"/>
        </w:rPr>
        <w:t xml:space="preserve">he ESC </w:t>
      </w:r>
      <w:r w:rsidR="001C74EB" w:rsidRPr="00226B30">
        <w:rPr>
          <w:rFonts w:asciiTheme="minorHAnsi" w:hAnsiTheme="minorHAnsi"/>
          <w:sz w:val="24"/>
          <w:szCs w:val="24"/>
        </w:rPr>
        <w:t>noted</w:t>
      </w:r>
      <w:r w:rsidR="001944FE" w:rsidRPr="00226B30">
        <w:rPr>
          <w:rFonts w:asciiTheme="minorHAnsi" w:hAnsiTheme="minorHAnsi"/>
          <w:sz w:val="24"/>
          <w:szCs w:val="24"/>
        </w:rPr>
        <w:t xml:space="preserve"> </w:t>
      </w:r>
      <w:r w:rsidR="00621EA8" w:rsidRPr="00226B30">
        <w:rPr>
          <w:rFonts w:asciiTheme="minorHAnsi" w:hAnsiTheme="minorHAnsi"/>
          <w:sz w:val="24"/>
          <w:szCs w:val="24"/>
        </w:rPr>
        <w:t xml:space="preserve">that </w:t>
      </w:r>
      <w:r w:rsidR="001C74EB" w:rsidRPr="00226B30">
        <w:rPr>
          <w:rFonts w:asciiTheme="minorHAnsi" w:hAnsiTheme="minorHAnsi"/>
          <w:sz w:val="24"/>
          <w:szCs w:val="24"/>
        </w:rPr>
        <w:t xml:space="preserve">over </w:t>
      </w:r>
      <w:r w:rsidR="001944FE" w:rsidRPr="00226B30">
        <w:rPr>
          <w:rFonts w:asciiTheme="minorHAnsi" w:hAnsiTheme="minorHAnsi"/>
          <w:sz w:val="24"/>
          <w:szCs w:val="24"/>
        </w:rPr>
        <w:t xml:space="preserve">16% patients </w:t>
      </w:r>
      <w:r w:rsidR="001C74EB" w:rsidRPr="00226B30">
        <w:rPr>
          <w:rFonts w:asciiTheme="minorHAnsi" w:hAnsiTheme="minorHAnsi"/>
          <w:sz w:val="24"/>
          <w:szCs w:val="24"/>
        </w:rPr>
        <w:t>chose to</w:t>
      </w:r>
      <w:r w:rsidR="00621EA8" w:rsidRPr="00226B30">
        <w:rPr>
          <w:rFonts w:asciiTheme="minorHAnsi" w:hAnsiTheme="minorHAnsi"/>
          <w:sz w:val="24"/>
          <w:szCs w:val="24"/>
        </w:rPr>
        <w:t xml:space="preserve"> </w:t>
      </w:r>
      <w:r w:rsidR="00612237" w:rsidRPr="00226B30">
        <w:rPr>
          <w:rFonts w:asciiTheme="minorHAnsi" w:hAnsiTheme="minorHAnsi"/>
          <w:sz w:val="24"/>
          <w:szCs w:val="24"/>
        </w:rPr>
        <w:t>discontinue</w:t>
      </w:r>
      <w:r w:rsidR="001944FE" w:rsidRPr="00226B30">
        <w:rPr>
          <w:rFonts w:asciiTheme="minorHAnsi" w:hAnsiTheme="minorHAnsi"/>
          <w:sz w:val="24"/>
          <w:szCs w:val="24"/>
        </w:rPr>
        <w:t xml:space="preserve"> treatment</w:t>
      </w:r>
      <w:r w:rsidR="001C74EB" w:rsidRPr="00226B30">
        <w:rPr>
          <w:rFonts w:asciiTheme="minorHAnsi" w:hAnsiTheme="minorHAnsi"/>
          <w:sz w:val="24"/>
          <w:szCs w:val="24"/>
        </w:rPr>
        <w:t xml:space="preserve"> before week 96</w:t>
      </w:r>
      <w:r w:rsidR="00621EA8" w:rsidRPr="00226B30">
        <w:rPr>
          <w:rFonts w:asciiTheme="minorHAnsi" w:hAnsiTheme="minorHAnsi"/>
          <w:sz w:val="24"/>
          <w:szCs w:val="24"/>
        </w:rPr>
        <w:t xml:space="preserve"> due</w:t>
      </w:r>
      <w:r w:rsidR="001944FE" w:rsidRPr="00226B30">
        <w:rPr>
          <w:rFonts w:asciiTheme="minorHAnsi" w:hAnsiTheme="minorHAnsi"/>
          <w:sz w:val="24"/>
          <w:szCs w:val="24"/>
        </w:rPr>
        <w:t xml:space="preserve"> to adverse events or refusal of further dosing.</w:t>
      </w:r>
    </w:p>
    <w:p w:rsidR="00B2608F" w:rsidRPr="00DA2530" w:rsidRDefault="00B2608F" w:rsidP="001E08C1">
      <w:pPr>
        <w:pStyle w:val="Heading3"/>
      </w:pPr>
      <w:bookmarkStart w:id="29" w:name="_Toc413139278"/>
      <w:bookmarkStart w:id="30" w:name="_Toc476306888"/>
      <w:bookmarkStart w:id="31" w:name="_Toc482713675"/>
      <w:r w:rsidRPr="00DA2530">
        <w:t>Comparative effectiveness</w:t>
      </w:r>
      <w:bookmarkEnd w:id="29"/>
      <w:bookmarkEnd w:id="30"/>
      <w:bookmarkEnd w:id="31"/>
    </w:p>
    <w:p w:rsidR="00B2608F" w:rsidRPr="00226B30" w:rsidRDefault="00B2608F" w:rsidP="00C10120">
      <w:pPr>
        <w:pStyle w:val="ListParagraph"/>
        <w:widowControl/>
        <w:numPr>
          <w:ilvl w:val="1"/>
          <w:numId w:val="13"/>
        </w:numPr>
        <w:spacing w:after="120"/>
        <w:ind w:left="709" w:hanging="709"/>
        <w:contextualSpacing w:val="0"/>
        <w:rPr>
          <w:rFonts w:asciiTheme="minorHAnsi" w:hAnsiTheme="minorHAnsi"/>
          <w:sz w:val="24"/>
        </w:rPr>
      </w:pPr>
      <w:r w:rsidRPr="00226B30">
        <w:rPr>
          <w:rFonts w:asciiTheme="minorHAnsi" w:hAnsiTheme="minorHAnsi"/>
          <w:sz w:val="24"/>
        </w:rPr>
        <w:t>The primary outcome at 24 weeks in the TRAFFIC and TRANSPORT trials was an absolute increase in pp</w:t>
      </w:r>
      <w:r w:rsidR="00023A66" w:rsidRPr="00226B30">
        <w:rPr>
          <w:rFonts w:asciiTheme="minorHAnsi" w:hAnsiTheme="minorHAnsi"/>
          <w:sz w:val="24"/>
          <w:szCs w:val="24"/>
        </w:rPr>
        <w:t>FEV</w:t>
      </w:r>
      <w:r w:rsidR="00023A66" w:rsidRPr="00226B30">
        <w:rPr>
          <w:rFonts w:asciiTheme="minorHAnsi" w:hAnsiTheme="minorHAnsi"/>
          <w:sz w:val="24"/>
          <w:szCs w:val="24"/>
          <w:vertAlign w:val="subscript"/>
        </w:rPr>
        <w:t>1</w:t>
      </w:r>
      <w:r w:rsidRPr="00226B30">
        <w:rPr>
          <w:rFonts w:asciiTheme="minorHAnsi" w:hAnsiTheme="minorHAnsi"/>
          <w:sz w:val="24"/>
        </w:rPr>
        <w:t xml:space="preserve"> of 2.8</w:t>
      </w:r>
      <w:r w:rsidR="00791621">
        <w:rPr>
          <w:rFonts w:asciiTheme="minorHAnsi" w:hAnsiTheme="minorHAnsi"/>
          <w:sz w:val="24"/>
        </w:rPr>
        <w:t xml:space="preserve"> percentage points</w:t>
      </w:r>
      <w:r w:rsidR="00791621" w:rsidRPr="00226B30">
        <w:rPr>
          <w:rFonts w:asciiTheme="minorHAnsi" w:hAnsiTheme="minorHAnsi"/>
          <w:sz w:val="24"/>
        </w:rPr>
        <w:t xml:space="preserve"> </w:t>
      </w:r>
      <w:r w:rsidRPr="00226B30">
        <w:rPr>
          <w:rFonts w:asciiTheme="minorHAnsi" w:hAnsiTheme="minorHAnsi"/>
          <w:sz w:val="24"/>
        </w:rPr>
        <w:t>(95% CI: 1.80, 3.82). The PBAC previously considered that it was uncertain whether the observed improvement in pp</w:t>
      </w:r>
      <w:r w:rsidR="00023A66" w:rsidRPr="00226B30">
        <w:rPr>
          <w:rFonts w:asciiTheme="minorHAnsi" w:hAnsiTheme="minorHAnsi"/>
          <w:sz w:val="24"/>
          <w:szCs w:val="24"/>
        </w:rPr>
        <w:t>FEV</w:t>
      </w:r>
      <w:r w:rsidR="00023A66" w:rsidRPr="00226B30">
        <w:rPr>
          <w:rFonts w:asciiTheme="minorHAnsi" w:hAnsiTheme="minorHAnsi"/>
          <w:sz w:val="24"/>
          <w:szCs w:val="24"/>
          <w:vertAlign w:val="subscript"/>
        </w:rPr>
        <w:t>1</w:t>
      </w:r>
      <w:r w:rsidRPr="00226B30">
        <w:rPr>
          <w:rFonts w:asciiTheme="minorHAnsi" w:hAnsiTheme="minorHAnsi"/>
          <w:sz w:val="24"/>
        </w:rPr>
        <w:t xml:space="preserve"> represented a clinically significant difference noting that it was considerably smaller than the improvement of 10.58</w:t>
      </w:r>
      <w:r w:rsidR="00791621">
        <w:rPr>
          <w:rFonts w:asciiTheme="minorHAnsi" w:hAnsiTheme="minorHAnsi"/>
          <w:sz w:val="24"/>
        </w:rPr>
        <w:t xml:space="preserve"> percentage points</w:t>
      </w:r>
      <w:r w:rsidR="00791621" w:rsidRPr="00226B30">
        <w:rPr>
          <w:rFonts w:asciiTheme="minorHAnsi" w:hAnsiTheme="minorHAnsi"/>
          <w:sz w:val="24"/>
        </w:rPr>
        <w:t xml:space="preserve"> </w:t>
      </w:r>
      <w:r w:rsidRPr="00226B30">
        <w:rPr>
          <w:rFonts w:asciiTheme="minorHAnsi" w:hAnsiTheme="minorHAnsi"/>
          <w:sz w:val="24"/>
        </w:rPr>
        <w:t xml:space="preserve">(95% CI: 8.57, 12.59) demonstrated for ivacaftor monotherapy </w:t>
      </w:r>
      <w:r w:rsidR="000F4693" w:rsidRPr="00226B30">
        <w:rPr>
          <w:rFonts w:asciiTheme="minorHAnsi" w:hAnsiTheme="minorHAnsi"/>
          <w:sz w:val="24"/>
          <w:szCs w:val="24"/>
        </w:rPr>
        <w:t>for patients with cystic fibrosis with a G551D or other class III gating mutation in the CFTR gene on at least one allele</w:t>
      </w:r>
      <w:r w:rsidR="000F4693" w:rsidRPr="00226B30">
        <w:rPr>
          <w:rFonts w:asciiTheme="minorHAnsi" w:hAnsiTheme="minorHAnsi"/>
          <w:sz w:val="24"/>
        </w:rPr>
        <w:t xml:space="preserve"> </w:t>
      </w:r>
      <w:r w:rsidRPr="00226B30">
        <w:rPr>
          <w:rFonts w:asciiTheme="minorHAnsi" w:hAnsiTheme="minorHAnsi"/>
          <w:sz w:val="24"/>
        </w:rPr>
        <w:t xml:space="preserve">(paragraph 7.6, March 2016 PSD). In addition, the incremental improvements (compared with placebo) demonstrated in patients’ weight and </w:t>
      </w:r>
      <w:r w:rsidR="001301AE" w:rsidRPr="00226B30">
        <w:rPr>
          <w:rFonts w:asciiTheme="minorHAnsi" w:hAnsiTheme="minorHAnsi"/>
          <w:sz w:val="24"/>
        </w:rPr>
        <w:t>quality of life</w:t>
      </w:r>
      <w:r w:rsidR="00C80023">
        <w:rPr>
          <w:rFonts w:asciiTheme="minorHAnsi" w:hAnsiTheme="minorHAnsi"/>
          <w:sz w:val="24"/>
        </w:rPr>
        <w:t xml:space="preserve"> as </w:t>
      </w:r>
      <w:r w:rsidR="001301AE" w:rsidRPr="00226B30">
        <w:rPr>
          <w:rFonts w:asciiTheme="minorHAnsi" w:hAnsiTheme="minorHAnsi"/>
          <w:sz w:val="24"/>
        </w:rPr>
        <w:t>measured using the revised Cystic Fibrosis Questionnaire (</w:t>
      </w:r>
      <w:r w:rsidRPr="00226B30">
        <w:rPr>
          <w:rFonts w:asciiTheme="minorHAnsi" w:hAnsiTheme="minorHAnsi"/>
          <w:sz w:val="24"/>
        </w:rPr>
        <w:t>CFQ-R</w:t>
      </w:r>
      <w:r w:rsidR="001301AE" w:rsidRPr="00226B30">
        <w:rPr>
          <w:rFonts w:asciiTheme="minorHAnsi" w:hAnsiTheme="minorHAnsi"/>
          <w:sz w:val="24"/>
        </w:rPr>
        <w:t>)</w:t>
      </w:r>
      <w:r w:rsidRPr="00226B30">
        <w:rPr>
          <w:rFonts w:asciiTheme="minorHAnsi" w:hAnsiTheme="minorHAnsi"/>
          <w:sz w:val="24"/>
        </w:rPr>
        <w:t xml:space="preserve"> for ivacaftor monotherapy</w:t>
      </w:r>
      <w:r w:rsidR="000F4693" w:rsidRPr="00226B30">
        <w:rPr>
          <w:rFonts w:asciiTheme="minorHAnsi" w:hAnsiTheme="minorHAnsi"/>
          <w:sz w:val="24"/>
        </w:rPr>
        <w:t xml:space="preserve"> in this different patient population</w:t>
      </w:r>
      <w:r w:rsidRPr="00226B30">
        <w:rPr>
          <w:rFonts w:asciiTheme="minorHAnsi" w:hAnsiTheme="minorHAnsi"/>
          <w:sz w:val="24"/>
        </w:rPr>
        <w:t xml:space="preserve"> </w:t>
      </w:r>
      <w:r w:rsidR="000F4693" w:rsidRPr="00226B30">
        <w:rPr>
          <w:rFonts w:asciiTheme="minorHAnsi" w:hAnsiTheme="minorHAnsi"/>
          <w:sz w:val="24"/>
        </w:rPr>
        <w:t xml:space="preserve">were considered more compelling </w:t>
      </w:r>
      <w:r w:rsidRPr="00226B30">
        <w:rPr>
          <w:rFonts w:asciiTheme="minorHAnsi" w:hAnsiTheme="minorHAnsi"/>
          <w:sz w:val="24"/>
        </w:rPr>
        <w:t>than for lumacaftor/ivacaftor.</w:t>
      </w:r>
    </w:p>
    <w:p w:rsidR="008B5FB2" w:rsidRPr="00226B30" w:rsidRDefault="008B5FB2" w:rsidP="00C10120">
      <w:pPr>
        <w:pStyle w:val="ListParagraph"/>
        <w:widowControl/>
        <w:numPr>
          <w:ilvl w:val="1"/>
          <w:numId w:val="13"/>
        </w:numPr>
        <w:spacing w:after="120"/>
        <w:ind w:left="709" w:hanging="709"/>
        <w:contextualSpacing w:val="0"/>
        <w:rPr>
          <w:rFonts w:asciiTheme="minorHAnsi" w:hAnsiTheme="minorHAnsi"/>
          <w:sz w:val="24"/>
        </w:rPr>
      </w:pPr>
      <w:r w:rsidRPr="00226B30">
        <w:rPr>
          <w:rFonts w:asciiTheme="minorHAnsi" w:hAnsiTheme="minorHAnsi"/>
          <w:sz w:val="24"/>
        </w:rPr>
        <w:t xml:space="preserve">The PSCR (p2) argued it </w:t>
      </w:r>
      <w:r w:rsidR="000F4693" w:rsidRPr="00226B30">
        <w:rPr>
          <w:rFonts w:asciiTheme="minorHAnsi" w:hAnsiTheme="minorHAnsi"/>
          <w:sz w:val="24"/>
        </w:rPr>
        <w:t>wa</w:t>
      </w:r>
      <w:r w:rsidRPr="00226B30">
        <w:rPr>
          <w:rFonts w:asciiTheme="minorHAnsi" w:hAnsiTheme="minorHAnsi"/>
          <w:sz w:val="24"/>
        </w:rPr>
        <w:t>s not appropriate to directly compare the magnitude of ppFEV</w:t>
      </w:r>
      <w:r w:rsidRPr="00226B30">
        <w:rPr>
          <w:rFonts w:asciiTheme="minorHAnsi" w:hAnsiTheme="minorHAnsi"/>
          <w:sz w:val="24"/>
          <w:vertAlign w:val="subscript"/>
        </w:rPr>
        <w:t>1</w:t>
      </w:r>
      <w:r w:rsidRPr="00226B30">
        <w:rPr>
          <w:rFonts w:asciiTheme="minorHAnsi" w:hAnsiTheme="minorHAnsi"/>
          <w:sz w:val="24"/>
        </w:rPr>
        <w:t xml:space="preserve"> improvement observed with lumacaftor/ivacaftor with that observed with ivacaftor monotherapy because of differences in disease aetiology between the two treatment populations.</w:t>
      </w:r>
      <w:r w:rsidR="000F4693" w:rsidRPr="00226B30">
        <w:rPr>
          <w:rFonts w:asciiTheme="minorHAnsi" w:hAnsiTheme="minorHAnsi"/>
          <w:sz w:val="24"/>
        </w:rPr>
        <w:t xml:space="preserve"> </w:t>
      </w:r>
      <w:r w:rsidR="00656CA7" w:rsidRPr="00226B30">
        <w:rPr>
          <w:rFonts w:asciiTheme="minorHAnsi" w:hAnsiTheme="minorHAnsi"/>
          <w:sz w:val="24"/>
        </w:rPr>
        <w:t xml:space="preserve">Whilst acknowledging these differences in the genetic basis of the disease, the ESC nevertheless noted that the </w:t>
      </w:r>
      <w:r w:rsidR="00302A7B">
        <w:rPr>
          <w:rFonts w:asciiTheme="minorHAnsi" w:hAnsiTheme="minorHAnsi"/>
          <w:sz w:val="24"/>
        </w:rPr>
        <w:t xml:space="preserve">magnitude of the </w:t>
      </w:r>
      <w:r w:rsidR="00656CA7" w:rsidRPr="00226B30">
        <w:rPr>
          <w:rFonts w:asciiTheme="minorHAnsi" w:hAnsiTheme="minorHAnsi"/>
          <w:sz w:val="24"/>
        </w:rPr>
        <w:t>change in ppFEV</w:t>
      </w:r>
      <w:r w:rsidR="00656CA7" w:rsidRPr="00226B30">
        <w:rPr>
          <w:rFonts w:asciiTheme="minorHAnsi" w:hAnsiTheme="minorHAnsi"/>
          <w:sz w:val="24"/>
          <w:vertAlign w:val="subscript"/>
        </w:rPr>
        <w:t>1</w:t>
      </w:r>
      <w:r w:rsidR="00656CA7" w:rsidRPr="00226B30">
        <w:rPr>
          <w:rFonts w:asciiTheme="minorHAnsi" w:hAnsiTheme="minorHAnsi"/>
          <w:sz w:val="24"/>
        </w:rPr>
        <w:t xml:space="preserve"> was less than that for ivacaftor monotherapy in Class III gating mutations and that the clinical significance of the 2.81</w:t>
      </w:r>
      <w:r w:rsidR="00791621">
        <w:rPr>
          <w:rFonts w:asciiTheme="minorHAnsi" w:hAnsiTheme="minorHAnsi"/>
          <w:sz w:val="24"/>
        </w:rPr>
        <w:t xml:space="preserve"> percentage point</w:t>
      </w:r>
      <w:r w:rsidR="00791621" w:rsidRPr="00226B30">
        <w:rPr>
          <w:rFonts w:asciiTheme="minorHAnsi" w:hAnsiTheme="minorHAnsi"/>
          <w:sz w:val="24"/>
        </w:rPr>
        <w:t xml:space="preserve"> </w:t>
      </w:r>
      <w:r w:rsidR="00656CA7" w:rsidRPr="00226B30">
        <w:rPr>
          <w:rFonts w:asciiTheme="minorHAnsi" w:hAnsiTheme="minorHAnsi"/>
          <w:sz w:val="24"/>
        </w:rPr>
        <w:t xml:space="preserve">improvement remained uncertain. </w:t>
      </w:r>
    </w:p>
    <w:p w:rsidR="00B2608F" w:rsidRPr="00226B30" w:rsidRDefault="00293395" w:rsidP="00C10120">
      <w:pPr>
        <w:pStyle w:val="ListParagraph"/>
        <w:widowControl/>
        <w:numPr>
          <w:ilvl w:val="1"/>
          <w:numId w:val="13"/>
        </w:numPr>
        <w:spacing w:after="120"/>
        <w:ind w:left="709" w:hanging="709"/>
        <w:contextualSpacing w:val="0"/>
        <w:rPr>
          <w:rFonts w:asciiTheme="minorHAnsi" w:hAnsiTheme="minorHAnsi"/>
          <w:sz w:val="24"/>
        </w:rPr>
      </w:pPr>
      <w:r w:rsidRPr="00226B30">
        <w:rPr>
          <w:rFonts w:asciiTheme="minorHAnsi" w:hAnsiTheme="minorHAnsi"/>
          <w:sz w:val="24"/>
        </w:rPr>
        <w:t xml:space="preserve">The clinical evidence from the PROGRESS </w:t>
      </w:r>
      <w:r w:rsidR="00F65AA0" w:rsidRPr="00226B30">
        <w:rPr>
          <w:rFonts w:asciiTheme="minorHAnsi" w:hAnsiTheme="minorHAnsi"/>
          <w:sz w:val="24"/>
        </w:rPr>
        <w:t xml:space="preserve">extension </w:t>
      </w:r>
      <w:r w:rsidRPr="00226B30">
        <w:rPr>
          <w:rFonts w:asciiTheme="minorHAnsi" w:hAnsiTheme="minorHAnsi"/>
          <w:sz w:val="24"/>
        </w:rPr>
        <w:t>study indicated that there was a decline in pp</w:t>
      </w:r>
      <w:r w:rsidRPr="00226B30">
        <w:rPr>
          <w:rFonts w:asciiTheme="minorHAnsi" w:hAnsiTheme="minorHAnsi"/>
          <w:sz w:val="24"/>
          <w:szCs w:val="24"/>
        </w:rPr>
        <w:t>FEV</w:t>
      </w:r>
      <w:r w:rsidRPr="00226B30">
        <w:rPr>
          <w:rFonts w:asciiTheme="minorHAnsi" w:hAnsiTheme="minorHAnsi"/>
          <w:sz w:val="24"/>
          <w:szCs w:val="24"/>
          <w:vertAlign w:val="subscript"/>
        </w:rPr>
        <w:t>1</w:t>
      </w:r>
      <w:r w:rsidRPr="00226B30">
        <w:rPr>
          <w:rFonts w:asciiTheme="minorHAnsi" w:hAnsiTheme="minorHAnsi"/>
          <w:sz w:val="24"/>
        </w:rPr>
        <w:t xml:space="preserve"> for lumacaftor/ivacaftor treated patients over time with the modest 2.81</w:t>
      </w:r>
      <w:r w:rsidR="00791621">
        <w:rPr>
          <w:rFonts w:asciiTheme="minorHAnsi" w:hAnsiTheme="minorHAnsi"/>
          <w:sz w:val="24"/>
        </w:rPr>
        <w:t xml:space="preserve"> percentage point</w:t>
      </w:r>
      <w:r w:rsidR="00791621" w:rsidRPr="00226B30">
        <w:rPr>
          <w:rFonts w:asciiTheme="minorHAnsi" w:hAnsiTheme="minorHAnsi"/>
          <w:sz w:val="24"/>
        </w:rPr>
        <w:t xml:space="preserve"> </w:t>
      </w:r>
      <w:r w:rsidRPr="00226B30">
        <w:rPr>
          <w:rFonts w:asciiTheme="minorHAnsi" w:hAnsiTheme="minorHAnsi"/>
          <w:sz w:val="24"/>
        </w:rPr>
        <w:t xml:space="preserve">improvement observed in TRAFFIC and TRANSPORT not being maintained </w:t>
      </w:r>
      <w:r w:rsidR="00B2608F" w:rsidRPr="00226B30">
        <w:rPr>
          <w:rFonts w:asciiTheme="minorHAnsi" w:hAnsiTheme="minorHAnsi"/>
          <w:sz w:val="24"/>
        </w:rPr>
        <w:t>at weeks 72 or 96</w:t>
      </w:r>
      <w:r w:rsidRPr="00226B30">
        <w:rPr>
          <w:rFonts w:asciiTheme="minorHAnsi" w:hAnsiTheme="minorHAnsi"/>
          <w:sz w:val="24"/>
        </w:rPr>
        <w:t xml:space="preserve"> of the extension study</w:t>
      </w:r>
      <w:r w:rsidR="00B2608F" w:rsidRPr="00226B30">
        <w:rPr>
          <w:rFonts w:asciiTheme="minorHAnsi" w:hAnsiTheme="minorHAnsi"/>
          <w:sz w:val="24"/>
        </w:rPr>
        <w:t>. Using the pre</w:t>
      </w:r>
      <w:r w:rsidR="00387CBB">
        <w:rPr>
          <w:rFonts w:asciiTheme="minorHAnsi" w:hAnsiTheme="minorHAnsi"/>
          <w:sz w:val="24"/>
        </w:rPr>
        <w:t>-</w:t>
      </w:r>
      <w:r w:rsidR="00B2608F" w:rsidRPr="00226B30">
        <w:rPr>
          <w:rFonts w:asciiTheme="minorHAnsi" w:hAnsiTheme="minorHAnsi"/>
          <w:sz w:val="24"/>
        </w:rPr>
        <w:t>specified analysis methods,</w:t>
      </w:r>
      <w:r w:rsidRPr="00226B30">
        <w:rPr>
          <w:rFonts w:asciiTheme="minorHAnsi" w:hAnsiTheme="minorHAnsi"/>
          <w:sz w:val="24"/>
        </w:rPr>
        <w:t xml:space="preserve"> the ESC noted that</w:t>
      </w:r>
      <w:r w:rsidR="00B2608F" w:rsidRPr="00226B30">
        <w:rPr>
          <w:rFonts w:asciiTheme="minorHAnsi" w:hAnsiTheme="minorHAnsi"/>
          <w:sz w:val="24"/>
        </w:rPr>
        <w:t xml:space="preserve"> the change in pp</w:t>
      </w:r>
      <w:r w:rsidR="00023A66" w:rsidRPr="00226B30">
        <w:rPr>
          <w:rFonts w:asciiTheme="minorHAnsi" w:hAnsiTheme="minorHAnsi"/>
          <w:sz w:val="24"/>
          <w:szCs w:val="24"/>
        </w:rPr>
        <w:t>FEV</w:t>
      </w:r>
      <w:r w:rsidR="00023A66" w:rsidRPr="00226B30">
        <w:rPr>
          <w:rFonts w:asciiTheme="minorHAnsi" w:hAnsiTheme="minorHAnsi"/>
          <w:sz w:val="24"/>
          <w:szCs w:val="24"/>
          <w:vertAlign w:val="subscript"/>
        </w:rPr>
        <w:t>1</w:t>
      </w:r>
      <w:r w:rsidR="00B2608F" w:rsidRPr="00226B30">
        <w:rPr>
          <w:rFonts w:asciiTheme="minorHAnsi" w:hAnsiTheme="minorHAnsi"/>
          <w:sz w:val="24"/>
        </w:rPr>
        <w:t xml:space="preserve"> from baseline in lumacaftor/ivacaftor treated patients was no longer statistically significant at </w:t>
      </w:r>
      <w:r w:rsidR="00FD1ED2">
        <w:rPr>
          <w:rFonts w:asciiTheme="minorHAnsi" w:hAnsiTheme="minorHAnsi"/>
          <w:sz w:val="24"/>
        </w:rPr>
        <w:t xml:space="preserve">extension </w:t>
      </w:r>
      <w:r w:rsidR="00B2608F" w:rsidRPr="00226B30">
        <w:rPr>
          <w:rFonts w:asciiTheme="minorHAnsi" w:hAnsiTheme="minorHAnsi"/>
          <w:sz w:val="24"/>
        </w:rPr>
        <w:t>weeks 72 or 96</w:t>
      </w:r>
      <w:r w:rsidRPr="00226B30">
        <w:rPr>
          <w:rFonts w:asciiTheme="minorHAnsi" w:hAnsiTheme="minorHAnsi"/>
          <w:sz w:val="24"/>
        </w:rPr>
        <w:t xml:space="preserve"> (i.e. up to 120 </w:t>
      </w:r>
      <w:r w:rsidR="00FD1ED2">
        <w:rPr>
          <w:rFonts w:asciiTheme="minorHAnsi" w:hAnsiTheme="minorHAnsi"/>
          <w:sz w:val="24"/>
        </w:rPr>
        <w:t xml:space="preserve">continuous </w:t>
      </w:r>
      <w:r w:rsidRPr="00226B30">
        <w:rPr>
          <w:rFonts w:asciiTheme="minorHAnsi" w:hAnsiTheme="minorHAnsi"/>
          <w:sz w:val="24"/>
        </w:rPr>
        <w:t>weeks of treatment)</w:t>
      </w:r>
      <w:r w:rsidR="00B2608F" w:rsidRPr="00226B30">
        <w:rPr>
          <w:rFonts w:asciiTheme="minorHAnsi" w:hAnsiTheme="minorHAnsi"/>
          <w:sz w:val="24"/>
        </w:rPr>
        <w:t>. Patients who had been treated with placebo and transitioned to lumacaftor/ivacaftor treatment demonstrated a change of 1.5</w:t>
      </w:r>
      <w:r w:rsidR="00791621">
        <w:rPr>
          <w:rFonts w:asciiTheme="minorHAnsi" w:hAnsiTheme="minorHAnsi"/>
          <w:sz w:val="24"/>
        </w:rPr>
        <w:t xml:space="preserve"> percentage points</w:t>
      </w:r>
      <w:r w:rsidR="00791621" w:rsidRPr="00226B30">
        <w:rPr>
          <w:rFonts w:asciiTheme="minorHAnsi" w:hAnsiTheme="minorHAnsi"/>
          <w:sz w:val="24"/>
        </w:rPr>
        <w:t xml:space="preserve"> </w:t>
      </w:r>
      <w:r w:rsidR="00B2608F" w:rsidRPr="00226B30">
        <w:rPr>
          <w:rFonts w:asciiTheme="minorHAnsi" w:hAnsiTheme="minorHAnsi"/>
          <w:sz w:val="24"/>
        </w:rPr>
        <w:t>in pp</w:t>
      </w:r>
      <w:r w:rsidR="00023A66" w:rsidRPr="00226B30">
        <w:rPr>
          <w:rFonts w:asciiTheme="minorHAnsi" w:hAnsiTheme="minorHAnsi"/>
          <w:sz w:val="24"/>
          <w:szCs w:val="24"/>
        </w:rPr>
        <w:t>FEV</w:t>
      </w:r>
      <w:r w:rsidR="00023A66" w:rsidRPr="00226B30">
        <w:rPr>
          <w:rFonts w:asciiTheme="minorHAnsi" w:hAnsiTheme="minorHAnsi"/>
          <w:sz w:val="24"/>
          <w:szCs w:val="24"/>
          <w:vertAlign w:val="subscript"/>
        </w:rPr>
        <w:t>1</w:t>
      </w:r>
      <w:r w:rsidR="00B2608F" w:rsidRPr="00226B30">
        <w:rPr>
          <w:rFonts w:asciiTheme="minorHAnsi" w:hAnsiTheme="minorHAnsi"/>
          <w:sz w:val="24"/>
        </w:rPr>
        <w:t xml:space="preserve"> after </w:t>
      </w:r>
      <w:r w:rsidR="00981884">
        <w:rPr>
          <w:rFonts w:asciiTheme="minorHAnsi" w:hAnsiTheme="minorHAnsi"/>
          <w:sz w:val="24"/>
        </w:rPr>
        <w:t>72</w:t>
      </w:r>
      <w:r w:rsidR="00981884" w:rsidRPr="00226B30">
        <w:rPr>
          <w:rFonts w:asciiTheme="minorHAnsi" w:hAnsiTheme="minorHAnsi"/>
          <w:sz w:val="24"/>
        </w:rPr>
        <w:t xml:space="preserve"> </w:t>
      </w:r>
      <w:r w:rsidR="00B2608F" w:rsidRPr="00226B30">
        <w:rPr>
          <w:rFonts w:asciiTheme="minorHAnsi" w:hAnsiTheme="minorHAnsi"/>
          <w:sz w:val="24"/>
        </w:rPr>
        <w:t>weeks</w:t>
      </w:r>
      <w:r w:rsidR="00981884">
        <w:rPr>
          <w:rFonts w:asciiTheme="minorHAnsi" w:hAnsiTheme="minorHAnsi"/>
          <w:sz w:val="24"/>
        </w:rPr>
        <w:t xml:space="preserve"> of treatment, although the difference with baseline was no longer statistically significant at 96</w:t>
      </w:r>
      <w:r w:rsidR="00981884" w:rsidRPr="00226B30">
        <w:rPr>
          <w:rFonts w:asciiTheme="minorHAnsi" w:hAnsiTheme="minorHAnsi"/>
          <w:sz w:val="24"/>
        </w:rPr>
        <w:t xml:space="preserve"> </w:t>
      </w:r>
      <w:r w:rsidR="00B2608F" w:rsidRPr="00226B30">
        <w:rPr>
          <w:rFonts w:asciiTheme="minorHAnsi" w:hAnsiTheme="minorHAnsi"/>
          <w:sz w:val="24"/>
        </w:rPr>
        <w:t xml:space="preserve">weeks. These data are illustrated in Table </w:t>
      </w:r>
      <w:r w:rsidR="003C370C" w:rsidRPr="00226B30">
        <w:rPr>
          <w:rFonts w:asciiTheme="minorHAnsi" w:hAnsiTheme="minorHAnsi"/>
          <w:sz w:val="24"/>
        </w:rPr>
        <w:t>5</w:t>
      </w:r>
      <w:r w:rsidR="001944FE" w:rsidRPr="00226B30">
        <w:rPr>
          <w:rFonts w:asciiTheme="minorHAnsi" w:hAnsiTheme="minorHAnsi"/>
          <w:sz w:val="24"/>
        </w:rPr>
        <w:t xml:space="preserve"> </w:t>
      </w:r>
      <w:r w:rsidR="00ED2EE3" w:rsidRPr="00226B30">
        <w:rPr>
          <w:rFonts w:asciiTheme="minorHAnsi" w:hAnsiTheme="minorHAnsi"/>
          <w:sz w:val="24"/>
        </w:rPr>
        <w:t>and Figure 1</w:t>
      </w:r>
      <w:r w:rsidR="00B2608F" w:rsidRPr="00226B30">
        <w:rPr>
          <w:rFonts w:asciiTheme="minorHAnsi" w:hAnsiTheme="minorHAnsi"/>
          <w:sz w:val="24"/>
        </w:rPr>
        <w:t xml:space="preserve">. </w:t>
      </w:r>
    </w:p>
    <w:p w:rsidR="008A1DA3" w:rsidRDefault="008A1DA3" w:rsidP="008A1DA3">
      <w:pPr>
        <w:pStyle w:val="Caption"/>
      </w:pPr>
      <w:r>
        <w:t xml:space="preserve">Table </w:t>
      </w:r>
      <w:r w:rsidR="000056CF">
        <w:rPr>
          <w:noProof/>
        </w:rPr>
        <w:t>5</w:t>
      </w:r>
      <w:r w:rsidRPr="003C3ADF">
        <w:t>: Absolute changes from baseline in ppFEV1 in TRAFFIC or TRANSPORT and PROGRESS</w:t>
      </w:r>
    </w:p>
    <w:tbl>
      <w:tblPr>
        <w:tblStyle w:val="newstyle32"/>
        <w:tblW w:w="5000" w:type="pct"/>
        <w:tblLayout w:type="fixed"/>
        <w:tblLook w:val="04A0" w:firstRow="1" w:lastRow="0" w:firstColumn="1" w:lastColumn="0" w:noHBand="0" w:noVBand="1"/>
        <w:tblCaption w:val="Absolute changes from baseline in ppFEV1 in TRAFFIC or TRANSPORT and PROGRESS"/>
      </w:tblPr>
      <w:tblGrid>
        <w:gridCol w:w="1574"/>
        <w:gridCol w:w="1780"/>
        <w:gridCol w:w="1834"/>
        <w:gridCol w:w="1923"/>
        <w:gridCol w:w="1925"/>
      </w:tblGrid>
      <w:tr w:rsidR="00B2608F" w:rsidRPr="00226B30" w:rsidTr="008A1DA3">
        <w:trPr>
          <w:cnfStyle w:val="100000000000" w:firstRow="1" w:lastRow="0" w:firstColumn="0" w:lastColumn="0" w:oddVBand="0" w:evenVBand="0" w:oddHBand="0" w:evenHBand="0" w:firstRowFirstColumn="0" w:firstRowLastColumn="0" w:lastRowFirstColumn="0" w:lastRowLastColumn="0"/>
          <w:trHeight w:val="300"/>
        </w:trPr>
        <w:tc>
          <w:tcPr>
            <w:tcW w:w="871" w:type="pct"/>
            <w:vMerge w:val="restart"/>
            <w:shd w:val="clear" w:color="auto" w:fill="auto"/>
            <w:noWrap/>
            <w:hideMark/>
          </w:tcPr>
          <w:p w:rsidR="00B2608F" w:rsidRPr="00226B30" w:rsidRDefault="00B2608F" w:rsidP="001E08C1">
            <w:pPr>
              <w:keepNext/>
              <w:widowControl/>
              <w:rPr>
                <w:rFonts w:ascii="Arial Narrow" w:hAnsi="Arial Narrow" w:cs="Calibri"/>
                <w:sz w:val="16"/>
              </w:rPr>
            </w:pPr>
            <w:r w:rsidRPr="00226B30">
              <w:rPr>
                <w:rFonts w:ascii="Arial Narrow" w:hAnsi="Arial Narrow" w:cs="Calibri"/>
                <w:sz w:val="16"/>
              </w:rPr>
              <w:t> </w:t>
            </w:r>
          </w:p>
        </w:tc>
        <w:tc>
          <w:tcPr>
            <w:tcW w:w="2000" w:type="pct"/>
            <w:gridSpan w:val="2"/>
            <w:shd w:val="clear" w:color="auto" w:fill="auto"/>
            <w:noWrap/>
            <w:hideMark/>
          </w:tcPr>
          <w:p w:rsidR="00B2608F" w:rsidRPr="00226B30" w:rsidRDefault="00B2608F" w:rsidP="001E08C1">
            <w:pPr>
              <w:keepNext/>
              <w:widowControl/>
              <w:ind w:left="0" w:right="0"/>
              <w:jc w:val="center"/>
              <w:rPr>
                <w:rFonts w:ascii="Arial Narrow" w:eastAsia="Times New Roman" w:hAnsi="Arial Narrow"/>
                <w:sz w:val="20"/>
              </w:rPr>
            </w:pPr>
            <w:r w:rsidRPr="00226B30">
              <w:rPr>
                <w:rFonts w:ascii="Arial Narrow" w:eastAsia="Times New Roman" w:hAnsi="Arial Narrow"/>
                <w:sz w:val="20"/>
              </w:rPr>
              <w:t>TRAFFIC or TRANSPORT</w:t>
            </w:r>
          </w:p>
          <w:p w:rsidR="0042291D" w:rsidRPr="00226B30" w:rsidRDefault="0042291D" w:rsidP="001E08C1">
            <w:pPr>
              <w:keepNext/>
              <w:widowControl/>
              <w:ind w:left="0" w:right="0"/>
              <w:jc w:val="center"/>
              <w:rPr>
                <w:rFonts w:ascii="Arial Narrow" w:eastAsia="Times New Roman" w:hAnsi="Arial Narrow"/>
                <w:b w:val="0"/>
                <w:sz w:val="20"/>
              </w:rPr>
            </w:pPr>
            <w:r w:rsidRPr="00226B30">
              <w:rPr>
                <w:rFonts w:ascii="Arial Narrow" w:eastAsia="Times New Roman" w:hAnsi="Arial Narrow"/>
                <w:b w:val="0"/>
                <w:sz w:val="20"/>
              </w:rPr>
              <w:t>least squares mean, (95% CI), p value</w:t>
            </w:r>
            <w:r w:rsidRPr="00226B30">
              <w:rPr>
                <w:rFonts w:ascii="Arial Narrow" w:eastAsia="Times New Roman" w:hAnsi="Arial Narrow"/>
                <w:b w:val="0"/>
                <w:sz w:val="20"/>
                <w:vertAlign w:val="superscript"/>
              </w:rPr>
              <w:t>†</w:t>
            </w:r>
          </w:p>
        </w:tc>
        <w:tc>
          <w:tcPr>
            <w:tcW w:w="2129" w:type="pct"/>
            <w:gridSpan w:val="2"/>
            <w:shd w:val="clear" w:color="auto" w:fill="auto"/>
            <w:noWrap/>
            <w:hideMark/>
          </w:tcPr>
          <w:p w:rsidR="00B2608F" w:rsidRPr="00226B30" w:rsidRDefault="00B2608F" w:rsidP="001E08C1">
            <w:pPr>
              <w:keepNext/>
              <w:widowControl/>
              <w:ind w:left="0" w:right="0"/>
              <w:jc w:val="center"/>
              <w:rPr>
                <w:rFonts w:ascii="Arial Narrow" w:eastAsia="Times New Roman" w:hAnsi="Arial Narrow"/>
                <w:sz w:val="20"/>
              </w:rPr>
            </w:pPr>
            <w:r w:rsidRPr="00226B30">
              <w:rPr>
                <w:rFonts w:ascii="Arial Narrow" w:eastAsia="Times New Roman" w:hAnsi="Arial Narrow"/>
                <w:sz w:val="20"/>
              </w:rPr>
              <w:t>PROGRESS</w:t>
            </w:r>
          </w:p>
          <w:p w:rsidR="0042291D" w:rsidRPr="00226B30" w:rsidRDefault="0042291D" w:rsidP="001E08C1">
            <w:pPr>
              <w:keepNext/>
              <w:widowControl/>
              <w:ind w:left="0" w:right="0"/>
              <w:jc w:val="center"/>
              <w:rPr>
                <w:rFonts w:ascii="Arial Narrow" w:eastAsia="Times New Roman" w:hAnsi="Arial Narrow"/>
                <w:sz w:val="20"/>
              </w:rPr>
            </w:pPr>
            <w:r w:rsidRPr="00226B30">
              <w:rPr>
                <w:rFonts w:ascii="Arial Narrow" w:eastAsia="Times New Roman" w:hAnsi="Arial Narrow"/>
                <w:b w:val="0"/>
                <w:sz w:val="20"/>
              </w:rPr>
              <w:t>least squares mean, (95% CI), p value</w:t>
            </w:r>
            <w:r w:rsidRPr="00226B30">
              <w:rPr>
                <w:rFonts w:ascii="Arial Narrow" w:eastAsia="Times New Roman" w:hAnsi="Arial Narrow"/>
                <w:b w:val="0"/>
                <w:sz w:val="20"/>
                <w:vertAlign w:val="superscript"/>
              </w:rPr>
              <w:t>†</w:t>
            </w:r>
          </w:p>
        </w:tc>
      </w:tr>
      <w:tr w:rsidR="00B2608F" w:rsidRPr="00226B30" w:rsidTr="008A1DA3">
        <w:trPr>
          <w:cantSplit w:val="0"/>
          <w:trHeight w:val="428"/>
        </w:trPr>
        <w:tc>
          <w:tcPr>
            <w:tcW w:w="871" w:type="pct"/>
            <w:vMerge/>
            <w:shd w:val="clear" w:color="auto" w:fill="auto"/>
            <w:hideMark/>
          </w:tcPr>
          <w:p w:rsidR="00B2608F" w:rsidRPr="00226B30" w:rsidRDefault="00B2608F" w:rsidP="001E08C1">
            <w:pPr>
              <w:keepNext/>
              <w:widowControl/>
              <w:rPr>
                <w:rFonts w:ascii="Arial Narrow" w:hAnsi="Arial Narrow" w:cs="Calibri"/>
                <w:sz w:val="16"/>
              </w:rPr>
            </w:pPr>
          </w:p>
        </w:tc>
        <w:tc>
          <w:tcPr>
            <w:tcW w:w="985" w:type="pct"/>
            <w:shd w:val="clear" w:color="auto" w:fill="auto"/>
            <w:noWrap/>
            <w:hideMark/>
          </w:tcPr>
          <w:p w:rsidR="00B2608F" w:rsidRPr="00226B30" w:rsidRDefault="00B2608F" w:rsidP="001E08C1">
            <w:pPr>
              <w:keepNext/>
              <w:widowControl/>
              <w:ind w:left="0" w:right="0"/>
              <w:jc w:val="center"/>
              <w:rPr>
                <w:rFonts w:ascii="Arial Narrow" w:eastAsia="Times New Roman" w:hAnsi="Arial Narrow"/>
                <w:b/>
                <w:sz w:val="20"/>
              </w:rPr>
            </w:pPr>
            <w:r w:rsidRPr="00226B30">
              <w:rPr>
                <w:rFonts w:ascii="Arial Narrow" w:eastAsia="Times New Roman" w:hAnsi="Arial Narrow"/>
                <w:b/>
                <w:sz w:val="20"/>
              </w:rPr>
              <w:t>Placebo (n=371)</w:t>
            </w:r>
          </w:p>
        </w:tc>
        <w:tc>
          <w:tcPr>
            <w:tcW w:w="1015" w:type="pct"/>
            <w:shd w:val="clear" w:color="auto" w:fill="auto"/>
            <w:hideMark/>
          </w:tcPr>
          <w:p w:rsidR="00B2608F" w:rsidRPr="00226B30" w:rsidRDefault="000815C7" w:rsidP="001E08C1">
            <w:pPr>
              <w:keepNext/>
              <w:widowControl/>
              <w:ind w:left="0" w:right="0"/>
              <w:jc w:val="center"/>
              <w:rPr>
                <w:rFonts w:ascii="Arial Narrow" w:eastAsia="Times New Roman" w:hAnsi="Arial Narrow"/>
                <w:b/>
                <w:sz w:val="20"/>
              </w:rPr>
            </w:pPr>
            <w:r w:rsidRPr="00226B30">
              <w:rPr>
                <w:rFonts w:ascii="Arial Narrow" w:eastAsia="Times New Roman" w:hAnsi="Arial Narrow"/>
                <w:b/>
                <w:sz w:val="20"/>
              </w:rPr>
              <w:t xml:space="preserve">Lumacaftor/ivacaftor </w:t>
            </w:r>
            <w:r w:rsidR="00B2608F" w:rsidRPr="00226B30">
              <w:rPr>
                <w:rFonts w:ascii="Arial Narrow" w:eastAsia="Times New Roman" w:hAnsi="Arial Narrow"/>
                <w:b/>
                <w:sz w:val="20"/>
              </w:rPr>
              <w:t xml:space="preserve"> (n=369)</w:t>
            </w:r>
          </w:p>
        </w:tc>
        <w:tc>
          <w:tcPr>
            <w:tcW w:w="1064" w:type="pct"/>
            <w:shd w:val="clear" w:color="auto" w:fill="auto"/>
            <w:hideMark/>
          </w:tcPr>
          <w:p w:rsidR="00B2608F" w:rsidRPr="00226B30" w:rsidRDefault="00B2608F" w:rsidP="001E08C1">
            <w:pPr>
              <w:keepNext/>
              <w:widowControl/>
              <w:ind w:left="0" w:right="0"/>
              <w:jc w:val="center"/>
              <w:rPr>
                <w:rFonts w:ascii="Arial Narrow" w:eastAsia="Times New Roman" w:hAnsi="Arial Narrow"/>
                <w:b/>
                <w:sz w:val="20"/>
              </w:rPr>
            </w:pPr>
            <w:r w:rsidRPr="00226B30">
              <w:rPr>
                <w:rFonts w:ascii="Arial Narrow" w:eastAsia="Times New Roman" w:hAnsi="Arial Narrow"/>
                <w:b/>
                <w:sz w:val="20"/>
              </w:rPr>
              <w:t xml:space="preserve">Placebo transitioned to </w:t>
            </w:r>
            <w:r w:rsidR="000815C7" w:rsidRPr="00226B30">
              <w:rPr>
                <w:rFonts w:ascii="Arial Narrow" w:eastAsia="Times New Roman" w:hAnsi="Arial Narrow"/>
                <w:b/>
                <w:sz w:val="20"/>
              </w:rPr>
              <w:t>lumacaftor/ivacaftor</w:t>
            </w:r>
            <w:r w:rsidRPr="00226B30">
              <w:rPr>
                <w:rFonts w:ascii="Arial Narrow" w:eastAsia="Times New Roman" w:hAnsi="Arial Narrow"/>
                <w:b/>
                <w:sz w:val="20"/>
              </w:rPr>
              <w:t xml:space="preserve"> (n=176)</w:t>
            </w:r>
          </w:p>
        </w:tc>
        <w:tc>
          <w:tcPr>
            <w:tcW w:w="1065" w:type="pct"/>
            <w:shd w:val="clear" w:color="auto" w:fill="auto"/>
            <w:hideMark/>
          </w:tcPr>
          <w:p w:rsidR="00B2608F" w:rsidRPr="00226B30" w:rsidRDefault="00B2608F" w:rsidP="001E08C1">
            <w:pPr>
              <w:keepNext/>
              <w:widowControl/>
              <w:ind w:left="0" w:right="0"/>
              <w:jc w:val="center"/>
              <w:rPr>
                <w:rFonts w:ascii="Arial Narrow" w:eastAsia="Times New Roman" w:hAnsi="Arial Narrow"/>
                <w:b/>
                <w:sz w:val="20"/>
              </w:rPr>
            </w:pPr>
            <w:r w:rsidRPr="00226B30">
              <w:rPr>
                <w:rFonts w:ascii="Arial Narrow" w:eastAsia="Times New Roman" w:hAnsi="Arial Narrow"/>
                <w:b/>
                <w:sz w:val="20"/>
              </w:rPr>
              <w:t xml:space="preserve">Continued </w:t>
            </w:r>
            <w:r w:rsidR="000815C7" w:rsidRPr="00226B30">
              <w:rPr>
                <w:rFonts w:ascii="Arial Narrow" w:eastAsia="Times New Roman" w:hAnsi="Arial Narrow"/>
                <w:b/>
                <w:sz w:val="20"/>
              </w:rPr>
              <w:t>lumacaftor/ivacaftor</w:t>
            </w:r>
            <w:r w:rsidRPr="00226B30">
              <w:rPr>
                <w:rFonts w:ascii="Arial Narrow" w:eastAsia="Times New Roman" w:hAnsi="Arial Narrow"/>
                <w:b/>
                <w:sz w:val="20"/>
              </w:rPr>
              <w:t xml:space="preserve"> (n=369</w:t>
            </w:r>
            <w:r w:rsidR="002174D7" w:rsidRPr="00226B30">
              <w:rPr>
                <w:rFonts w:ascii="Arial Narrow" w:eastAsia="Times New Roman" w:hAnsi="Arial Narrow"/>
                <w:b/>
                <w:sz w:val="20"/>
              </w:rPr>
              <w:t>*</w:t>
            </w:r>
            <w:r w:rsidRPr="00226B30">
              <w:rPr>
                <w:rFonts w:ascii="Arial Narrow" w:eastAsia="Times New Roman" w:hAnsi="Arial Narrow"/>
                <w:b/>
                <w:sz w:val="20"/>
              </w:rPr>
              <w:t>)</w:t>
            </w:r>
          </w:p>
        </w:tc>
      </w:tr>
      <w:tr w:rsidR="00B2608F" w:rsidRPr="00226B30" w:rsidTr="008A1DA3">
        <w:trPr>
          <w:cantSplit w:val="0"/>
          <w:trHeight w:val="20"/>
        </w:trPr>
        <w:tc>
          <w:tcPr>
            <w:tcW w:w="871" w:type="pct"/>
            <w:noWrap/>
            <w:hideMark/>
          </w:tcPr>
          <w:p w:rsidR="00B2608F" w:rsidRPr="00226B30" w:rsidRDefault="00B2608F" w:rsidP="001E08C1">
            <w:pPr>
              <w:keepNext/>
              <w:widowControl/>
              <w:ind w:left="0" w:right="0"/>
              <w:rPr>
                <w:rFonts w:ascii="Arial Narrow" w:eastAsia="Times New Roman" w:hAnsi="Arial Narrow"/>
                <w:sz w:val="20"/>
              </w:rPr>
            </w:pPr>
            <w:r w:rsidRPr="00226B30">
              <w:rPr>
                <w:rFonts w:ascii="Arial Narrow" w:eastAsia="Times New Roman" w:hAnsi="Arial Narrow"/>
                <w:sz w:val="20"/>
              </w:rPr>
              <w:t>Week 24</w:t>
            </w:r>
          </w:p>
        </w:tc>
        <w:tc>
          <w:tcPr>
            <w:tcW w:w="985" w:type="pct"/>
            <w:noWrap/>
            <w:hideMark/>
          </w:tcPr>
          <w:p w:rsidR="00B2608F" w:rsidRPr="00226B30" w:rsidRDefault="00B2608F" w:rsidP="001E08C1">
            <w:pPr>
              <w:keepNext/>
              <w:widowControl/>
              <w:ind w:left="0" w:right="0"/>
              <w:jc w:val="center"/>
              <w:rPr>
                <w:rFonts w:ascii="Arial Narrow" w:eastAsia="Times New Roman" w:hAnsi="Arial Narrow"/>
                <w:sz w:val="20"/>
              </w:rPr>
            </w:pPr>
            <w:r w:rsidRPr="00226B30">
              <w:rPr>
                <w:rFonts w:ascii="Arial Narrow" w:eastAsia="Times New Roman" w:hAnsi="Arial Narrow"/>
                <w:sz w:val="20"/>
              </w:rPr>
              <w:t>–0·4 (–1·2 to 0·4), p=0·3494</w:t>
            </w:r>
          </w:p>
        </w:tc>
        <w:tc>
          <w:tcPr>
            <w:tcW w:w="1015" w:type="pct"/>
            <w:noWrap/>
            <w:hideMark/>
          </w:tcPr>
          <w:p w:rsidR="00B2608F" w:rsidRPr="00226B30" w:rsidRDefault="00B2608F" w:rsidP="001E08C1">
            <w:pPr>
              <w:keepNext/>
              <w:widowControl/>
              <w:ind w:left="0" w:right="0"/>
              <w:jc w:val="center"/>
              <w:rPr>
                <w:rFonts w:ascii="Arial Narrow" w:eastAsia="Times New Roman" w:hAnsi="Arial Narrow"/>
                <w:sz w:val="20"/>
              </w:rPr>
            </w:pPr>
            <w:r w:rsidRPr="00226B30">
              <w:rPr>
                <w:rFonts w:ascii="Arial Narrow" w:eastAsia="Times New Roman" w:hAnsi="Arial Narrow"/>
                <w:sz w:val="20"/>
              </w:rPr>
              <w:t>2·2 (1·3 to 3·0), p&lt;0·0001</w:t>
            </w:r>
          </w:p>
        </w:tc>
        <w:tc>
          <w:tcPr>
            <w:tcW w:w="1064" w:type="pct"/>
            <w:noWrap/>
            <w:hideMark/>
          </w:tcPr>
          <w:p w:rsidR="00B2608F" w:rsidRPr="00226B30" w:rsidRDefault="00B2608F" w:rsidP="001E08C1">
            <w:pPr>
              <w:keepNext/>
              <w:widowControl/>
              <w:ind w:left="0" w:right="0"/>
              <w:jc w:val="center"/>
              <w:rPr>
                <w:rFonts w:ascii="Arial Narrow" w:eastAsia="Times New Roman" w:hAnsi="Arial Narrow"/>
                <w:sz w:val="20"/>
              </w:rPr>
            </w:pPr>
            <w:r w:rsidRPr="00226B30">
              <w:rPr>
                <w:rFonts w:ascii="Arial Narrow" w:eastAsia="Times New Roman" w:hAnsi="Arial Narrow"/>
                <w:sz w:val="20"/>
              </w:rPr>
              <w:t>··</w:t>
            </w:r>
          </w:p>
        </w:tc>
        <w:tc>
          <w:tcPr>
            <w:tcW w:w="1065" w:type="pct"/>
            <w:noWrap/>
            <w:hideMark/>
          </w:tcPr>
          <w:p w:rsidR="00B2608F" w:rsidRPr="00226B30" w:rsidRDefault="00B2608F" w:rsidP="001E08C1">
            <w:pPr>
              <w:keepNext/>
              <w:widowControl/>
              <w:ind w:left="0" w:right="0"/>
              <w:jc w:val="center"/>
              <w:rPr>
                <w:rFonts w:ascii="Arial Narrow" w:eastAsia="Times New Roman" w:hAnsi="Arial Narrow"/>
                <w:sz w:val="20"/>
              </w:rPr>
            </w:pPr>
            <w:r w:rsidRPr="00226B30">
              <w:rPr>
                <w:rFonts w:ascii="Arial Narrow" w:eastAsia="Times New Roman" w:hAnsi="Arial Narrow"/>
                <w:sz w:val="20"/>
              </w:rPr>
              <w:t>··</w:t>
            </w:r>
          </w:p>
        </w:tc>
      </w:tr>
      <w:tr w:rsidR="00B2608F" w:rsidRPr="00226B30" w:rsidTr="008A1DA3">
        <w:trPr>
          <w:cantSplit w:val="0"/>
          <w:trHeight w:val="20"/>
        </w:trPr>
        <w:tc>
          <w:tcPr>
            <w:tcW w:w="871" w:type="pct"/>
            <w:noWrap/>
            <w:hideMark/>
          </w:tcPr>
          <w:p w:rsidR="00B2608F" w:rsidRPr="00226B30" w:rsidRDefault="00B2608F" w:rsidP="001E08C1">
            <w:pPr>
              <w:keepNext/>
              <w:widowControl/>
              <w:ind w:left="0" w:right="0"/>
              <w:rPr>
                <w:rFonts w:ascii="Arial Narrow" w:eastAsia="Times New Roman" w:hAnsi="Arial Narrow"/>
                <w:sz w:val="20"/>
              </w:rPr>
            </w:pPr>
            <w:bookmarkStart w:id="32" w:name="_Hlk479758369"/>
            <w:r w:rsidRPr="00226B30">
              <w:rPr>
                <w:rFonts w:ascii="Arial Narrow" w:eastAsia="Times New Roman" w:hAnsi="Arial Narrow"/>
                <w:sz w:val="20"/>
              </w:rPr>
              <w:t>Extension week 72</w:t>
            </w:r>
          </w:p>
        </w:tc>
        <w:tc>
          <w:tcPr>
            <w:tcW w:w="985" w:type="pct"/>
            <w:noWrap/>
            <w:hideMark/>
          </w:tcPr>
          <w:p w:rsidR="00B2608F" w:rsidRPr="00226B30" w:rsidRDefault="00B2608F" w:rsidP="001E08C1">
            <w:pPr>
              <w:keepNext/>
              <w:widowControl/>
              <w:ind w:left="0" w:right="0"/>
              <w:jc w:val="center"/>
              <w:rPr>
                <w:rFonts w:ascii="Arial Narrow" w:eastAsia="Times New Roman" w:hAnsi="Arial Narrow"/>
                <w:sz w:val="20"/>
              </w:rPr>
            </w:pPr>
            <w:r w:rsidRPr="00226B30">
              <w:rPr>
                <w:rFonts w:ascii="Arial Narrow" w:eastAsia="Times New Roman" w:hAnsi="Arial Narrow"/>
                <w:sz w:val="20"/>
              </w:rPr>
              <w:t>··</w:t>
            </w:r>
          </w:p>
        </w:tc>
        <w:tc>
          <w:tcPr>
            <w:tcW w:w="1015" w:type="pct"/>
            <w:noWrap/>
            <w:hideMark/>
          </w:tcPr>
          <w:p w:rsidR="00B2608F" w:rsidRPr="00226B30" w:rsidRDefault="00B2608F" w:rsidP="001E08C1">
            <w:pPr>
              <w:keepNext/>
              <w:widowControl/>
              <w:ind w:left="0" w:right="0"/>
              <w:jc w:val="center"/>
              <w:rPr>
                <w:rFonts w:ascii="Arial Narrow" w:eastAsia="Times New Roman" w:hAnsi="Arial Narrow"/>
                <w:sz w:val="20"/>
              </w:rPr>
            </w:pPr>
            <w:r w:rsidRPr="00226B30">
              <w:rPr>
                <w:rFonts w:ascii="Arial Narrow" w:eastAsia="Times New Roman" w:hAnsi="Arial Narrow"/>
                <w:sz w:val="20"/>
              </w:rPr>
              <w:t>··</w:t>
            </w:r>
          </w:p>
        </w:tc>
        <w:tc>
          <w:tcPr>
            <w:tcW w:w="1064" w:type="pct"/>
            <w:noWrap/>
            <w:hideMark/>
          </w:tcPr>
          <w:p w:rsidR="00B2608F" w:rsidRPr="00226B30" w:rsidRDefault="00B2608F" w:rsidP="001E08C1">
            <w:pPr>
              <w:keepNext/>
              <w:widowControl/>
              <w:ind w:left="0" w:right="0"/>
              <w:jc w:val="center"/>
              <w:rPr>
                <w:rFonts w:ascii="Arial Narrow" w:eastAsia="Times New Roman" w:hAnsi="Arial Narrow"/>
                <w:sz w:val="20"/>
              </w:rPr>
            </w:pPr>
            <w:r w:rsidRPr="00226B30">
              <w:rPr>
                <w:rFonts w:ascii="Arial Narrow" w:eastAsia="Times New Roman" w:hAnsi="Arial Narrow"/>
                <w:sz w:val="20"/>
              </w:rPr>
              <w:t xml:space="preserve">1·5 (0.2, 2·9), </w:t>
            </w:r>
            <w:r w:rsidRPr="00226B30">
              <w:rPr>
                <w:rFonts w:ascii="Arial Narrow" w:eastAsia="Times New Roman" w:hAnsi="Arial Narrow"/>
                <w:sz w:val="20"/>
              </w:rPr>
              <w:br/>
              <w:t>p=0·0254</w:t>
            </w:r>
          </w:p>
        </w:tc>
        <w:tc>
          <w:tcPr>
            <w:tcW w:w="1065" w:type="pct"/>
            <w:noWrap/>
            <w:hideMark/>
          </w:tcPr>
          <w:p w:rsidR="00B2608F" w:rsidRPr="00226B30" w:rsidRDefault="00B2608F" w:rsidP="001E08C1">
            <w:pPr>
              <w:keepNext/>
              <w:widowControl/>
              <w:ind w:left="0" w:right="0"/>
              <w:jc w:val="center"/>
              <w:rPr>
                <w:rFonts w:ascii="Arial Narrow" w:eastAsia="Times New Roman" w:hAnsi="Arial Narrow"/>
                <w:sz w:val="20"/>
              </w:rPr>
            </w:pPr>
            <w:r w:rsidRPr="00226B30">
              <w:rPr>
                <w:rFonts w:ascii="Arial Narrow" w:eastAsia="Times New Roman" w:hAnsi="Arial Narrow"/>
                <w:sz w:val="20"/>
              </w:rPr>
              <w:t>0·5 (–0·4 to 1·5), p=0·2806</w:t>
            </w:r>
          </w:p>
        </w:tc>
      </w:tr>
      <w:tr w:rsidR="00B2608F" w:rsidRPr="00226B30" w:rsidTr="008A1DA3">
        <w:trPr>
          <w:cantSplit w:val="0"/>
          <w:trHeight w:val="20"/>
        </w:trPr>
        <w:tc>
          <w:tcPr>
            <w:tcW w:w="871" w:type="pct"/>
            <w:noWrap/>
            <w:hideMark/>
          </w:tcPr>
          <w:p w:rsidR="00B2608F" w:rsidRPr="00226B30" w:rsidRDefault="00B2608F" w:rsidP="001E08C1">
            <w:pPr>
              <w:keepNext/>
              <w:widowControl/>
              <w:ind w:left="0" w:right="0"/>
              <w:rPr>
                <w:rFonts w:ascii="Arial Narrow" w:eastAsia="Times New Roman" w:hAnsi="Arial Narrow"/>
                <w:sz w:val="20"/>
              </w:rPr>
            </w:pPr>
            <w:r w:rsidRPr="00226B30">
              <w:rPr>
                <w:rFonts w:ascii="Arial Narrow" w:eastAsia="Times New Roman" w:hAnsi="Arial Narrow"/>
                <w:sz w:val="20"/>
              </w:rPr>
              <w:t>Extension week 96</w:t>
            </w:r>
          </w:p>
        </w:tc>
        <w:tc>
          <w:tcPr>
            <w:tcW w:w="985" w:type="pct"/>
            <w:noWrap/>
            <w:hideMark/>
          </w:tcPr>
          <w:p w:rsidR="00B2608F" w:rsidRPr="00226B30" w:rsidRDefault="00B2608F" w:rsidP="001E08C1">
            <w:pPr>
              <w:keepNext/>
              <w:widowControl/>
              <w:ind w:left="0" w:right="0"/>
              <w:jc w:val="center"/>
              <w:rPr>
                <w:rFonts w:ascii="Arial Narrow" w:eastAsia="Times New Roman" w:hAnsi="Arial Narrow"/>
                <w:sz w:val="20"/>
              </w:rPr>
            </w:pPr>
            <w:r w:rsidRPr="00226B30">
              <w:rPr>
                <w:rFonts w:ascii="Arial Narrow" w:eastAsia="Times New Roman" w:hAnsi="Arial Narrow"/>
                <w:sz w:val="20"/>
              </w:rPr>
              <w:t>··</w:t>
            </w:r>
          </w:p>
        </w:tc>
        <w:tc>
          <w:tcPr>
            <w:tcW w:w="1015" w:type="pct"/>
            <w:noWrap/>
            <w:hideMark/>
          </w:tcPr>
          <w:p w:rsidR="00B2608F" w:rsidRPr="00226B30" w:rsidRDefault="00B2608F" w:rsidP="001E08C1">
            <w:pPr>
              <w:keepNext/>
              <w:widowControl/>
              <w:ind w:left="0" w:right="0"/>
              <w:jc w:val="center"/>
              <w:rPr>
                <w:rFonts w:ascii="Arial Narrow" w:eastAsia="Times New Roman" w:hAnsi="Arial Narrow"/>
                <w:sz w:val="20"/>
              </w:rPr>
            </w:pPr>
            <w:r w:rsidRPr="00226B30">
              <w:rPr>
                <w:rFonts w:ascii="Arial Narrow" w:eastAsia="Times New Roman" w:hAnsi="Arial Narrow"/>
                <w:sz w:val="20"/>
              </w:rPr>
              <w:t>··</w:t>
            </w:r>
          </w:p>
        </w:tc>
        <w:tc>
          <w:tcPr>
            <w:tcW w:w="1064" w:type="pct"/>
            <w:noWrap/>
            <w:hideMark/>
          </w:tcPr>
          <w:p w:rsidR="00B2608F" w:rsidRPr="00226B30" w:rsidRDefault="00B2608F" w:rsidP="001E08C1">
            <w:pPr>
              <w:keepNext/>
              <w:widowControl/>
              <w:ind w:left="0" w:right="0"/>
              <w:jc w:val="center"/>
              <w:rPr>
                <w:rFonts w:ascii="Arial Narrow" w:eastAsia="Times New Roman" w:hAnsi="Arial Narrow"/>
                <w:sz w:val="20"/>
              </w:rPr>
            </w:pPr>
            <w:r w:rsidRPr="00226B30">
              <w:rPr>
                <w:rFonts w:ascii="Arial Narrow" w:eastAsia="Times New Roman" w:hAnsi="Arial Narrow"/>
                <w:sz w:val="20"/>
              </w:rPr>
              <w:t xml:space="preserve">0·8 (–0·8, 2·3), </w:t>
            </w:r>
            <w:r w:rsidRPr="00226B30">
              <w:rPr>
                <w:rFonts w:ascii="Arial Narrow" w:eastAsia="Times New Roman" w:hAnsi="Arial Narrow"/>
                <w:sz w:val="20"/>
              </w:rPr>
              <w:br/>
              <w:t>p=0·3495</w:t>
            </w:r>
          </w:p>
        </w:tc>
        <w:tc>
          <w:tcPr>
            <w:tcW w:w="1065" w:type="pct"/>
            <w:noWrap/>
            <w:hideMark/>
          </w:tcPr>
          <w:p w:rsidR="00B2608F" w:rsidRPr="00226B30" w:rsidRDefault="00B2608F" w:rsidP="001E08C1">
            <w:pPr>
              <w:keepNext/>
              <w:widowControl/>
              <w:ind w:left="0" w:right="0"/>
              <w:jc w:val="center"/>
              <w:rPr>
                <w:rFonts w:ascii="Arial Narrow" w:eastAsia="Times New Roman" w:hAnsi="Arial Narrow"/>
                <w:sz w:val="20"/>
              </w:rPr>
            </w:pPr>
            <w:r w:rsidRPr="00226B30">
              <w:rPr>
                <w:rFonts w:ascii="Arial Narrow" w:eastAsia="Times New Roman" w:hAnsi="Arial Narrow"/>
                <w:sz w:val="20"/>
              </w:rPr>
              <w:t>0·5 (–0·7 to 1·6), p=0·4231</w:t>
            </w:r>
          </w:p>
        </w:tc>
      </w:tr>
    </w:tbl>
    <w:bookmarkEnd w:id="32"/>
    <w:p w:rsidR="00B2608F" w:rsidRPr="00226B30" w:rsidRDefault="00B2608F" w:rsidP="001E08C1">
      <w:pPr>
        <w:pStyle w:val="Tablefooter8pt"/>
        <w:rPr>
          <w:rFonts w:eastAsia="Calibri"/>
          <w:lang w:val="en-US" w:eastAsia="zh-CN"/>
        </w:rPr>
      </w:pPr>
      <w:r w:rsidRPr="00226B30">
        <w:rPr>
          <w:rFonts w:eastAsia="Calibri"/>
          <w:lang w:val="en-US" w:eastAsia="zh-CN"/>
        </w:rPr>
        <w:t>Source: Table B.7-2, page 128 July 2017 resubmission.</w:t>
      </w:r>
    </w:p>
    <w:p w:rsidR="00B2608F" w:rsidRPr="00226B30" w:rsidRDefault="00B2608F" w:rsidP="001E08C1">
      <w:pPr>
        <w:pStyle w:val="Tablefooter8pt"/>
        <w:rPr>
          <w:rFonts w:eastAsia="Calibri"/>
          <w:lang w:val="en-US" w:eastAsia="zh-CN"/>
        </w:rPr>
      </w:pPr>
      <w:r w:rsidRPr="00226B30">
        <w:rPr>
          <w:rFonts w:eastAsia="Calibri"/>
          <w:lang w:val="en-US" w:eastAsia="zh-CN"/>
        </w:rPr>
        <w:t>Abbreviations: pp</w:t>
      </w:r>
      <w:r w:rsidR="00023A66" w:rsidRPr="00226B30">
        <w:rPr>
          <w:szCs w:val="24"/>
        </w:rPr>
        <w:t>FEV</w:t>
      </w:r>
      <w:r w:rsidR="00023A66" w:rsidRPr="00226B30">
        <w:rPr>
          <w:szCs w:val="24"/>
          <w:vertAlign w:val="subscript"/>
        </w:rPr>
        <w:t>1</w:t>
      </w:r>
      <w:r w:rsidRPr="00226B30">
        <w:rPr>
          <w:vertAlign w:val="subscript"/>
          <w:lang w:val="en-US"/>
        </w:rPr>
        <w:t xml:space="preserve"> </w:t>
      </w:r>
      <w:r w:rsidR="00801BA2" w:rsidRPr="00226B30">
        <w:rPr>
          <w:rFonts w:eastAsia="Calibri"/>
          <w:lang w:val="en-US" w:eastAsia="zh-CN"/>
        </w:rPr>
        <w:t xml:space="preserve">= </w:t>
      </w:r>
      <w:r w:rsidRPr="00226B30">
        <w:rPr>
          <w:rFonts w:eastAsia="Calibri"/>
          <w:lang w:val="en-US" w:eastAsia="zh-CN"/>
        </w:rPr>
        <w:t xml:space="preserve">percent predicted </w:t>
      </w:r>
      <w:r w:rsidR="00023A66" w:rsidRPr="00226B30">
        <w:rPr>
          <w:szCs w:val="24"/>
        </w:rPr>
        <w:t>FEV</w:t>
      </w:r>
      <w:r w:rsidR="00023A66" w:rsidRPr="00226B30">
        <w:rPr>
          <w:szCs w:val="24"/>
          <w:vertAlign w:val="subscript"/>
        </w:rPr>
        <w:t>1</w:t>
      </w:r>
      <w:r w:rsidR="00E707A8" w:rsidRPr="00226B30">
        <w:rPr>
          <w:rFonts w:eastAsia="Calibri"/>
          <w:lang w:val="en-US" w:eastAsia="zh-CN"/>
        </w:rPr>
        <w:t xml:space="preserve">, </w:t>
      </w:r>
      <w:r w:rsidR="00E707A8" w:rsidRPr="00226B30">
        <w:rPr>
          <w:rFonts w:eastAsia="Calibri"/>
          <w:lang w:eastAsia="zh-CN"/>
        </w:rPr>
        <w:t>CI = confidence interval.</w:t>
      </w:r>
    </w:p>
    <w:p w:rsidR="00B2608F" w:rsidRPr="00226B30" w:rsidRDefault="00B2608F" w:rsidP="001E08C1">
      <w:pPr>
        <w:pStyle w:val="Tablefooter8pt"/>
        <w:rPr>
          <w:rFonts w:eastAsia="Calibri"/>
          <w:lang w:val="en-US" w:eastAsia="zh-CN"/>
        </w:rPr>
      </w:pPr>
      <w:r w:rsidRPr="00226B30">
        <w:rPr>
          <w:rFonts w:eastAsia="Calibri"/>
          <w:lang w:val="en-US" w:eastAsia="zh-CN"/>
        </w:rPr>
        <w:t xml:space="preserve">†For the placebo and lumacaftor/ivacaftor groups, baseline from TRAFFIC or TRANSPORT was used; for the placebo transitioned to lumacaftor/ivacaftor group, baseline from PROGRESS was used. All p values (including for TRAFFIC or TRANSPORT data) are within treatment. </w:t>
      </w:r>
    </w:p>
    <w:p w:rsidR="002174D7" w:rsidRDefault="002174D7" w:rsidP="001E08C1">
      <w:pPr>
        <w:pStyle w:val="Tablefooter8pt"/>
        <w:spacing w:after="120"/>
        <w:rPr>
          <w:rFonts w:eastAsia="Calibri"/>
          <w:lang w:val="en-US" w:eastAsia="zh-CN"/>
        </w:rPr>
      </w:pPr>
      <w:r w:rsidRPr="00226B30">
        <w:rPr>
          <w:rFonts w:eastAsia="Calibri"/>
          <w:lang w:val="en-US" w:eastAsia="zh-CN"/>
        </w:rPr>
        <w:t xml:space="preserve">* </w:t>
      </w:r>
      <w:bookmarkStart w:id="33" w:name="_Hlk482005090"/>
      <w:r w:rsidRPr="00226B30">
        <w:rPr>
          <w:rFonts w:eastAsia="Calibri"/>
          <w:lang w:val="en-US" w:eastAsia="zh-CN"/>
        </w:rPr>
        <w:t>This number is as presented in the submission. 369 patients in TRAFFIC and TRANSPORT had received at least one dose of lumacaftor/ivacaftor 400mg/250mg twice daily and therefore are included in safety analyses. 341 of these patients enrolled in PROGRESS study, and 340 received at least one dose.</w:t>
      </w:r>
      <w:bookmarkEnd w:id="33"/>
    </w:p>
    <w:p w:rsidR="000D33EE" w:rsidRPr="00226B30" w:rsidRDefault="000D33EE" w:rsidP="001E08C1">
      <w:pPr>
        <w:pStyle w:val="Tablefooter8pt"/>
        <w:spacing w:after="120"/>
        <w:rPr>
          <w:rFonts w:eastAsia="Calibri"/>
          <w:lang w:val="en-US" w:eastAsia="zh-CN"/>
        </w:rPr>
      </w:pPr>
    </w:p>
    <w:p w:rsidR="008A1DA3" w:rsidRDefault="008A1DA3" w:rsidP="008A1DA3">
      <w:pPr>
        <w:pStyle w:val="Caption"/>
        <w:jc w:val="both"/>
      </w:pPr>
      <w:r>
        <w:t xml:space="preserve">Figure </w:t>
      </w:r>
      <w:r w:rsidR="000056CF">
        <w:rPr>
          <w:noProof/>
        </w:rPr>
        <w:t>1</w:t>
      </w:r>
      <w:r w:rsidRPr="00972489">
        <w:t>: Absolute change in ppFEV1 in TRAFFIC, TRANSPORT and PROGRESS, least square mean</w:t>
      </w:r>
    </w:p>
    <w:p w:rsidR="00565027" w:rsidRPr="00226B30" w:rsidRDefault="00A1019D" w:rsidP="001E08C1">
      <w:pPr>
        <w:widowControl/>
        <w:rPr>
          <w:rFonts w:ascii="Arial Narrow" w:eastAsia="Calibri" w:hAnsi="Arial Narrow" w:cs="Calibri"/>
          <w:sz w:val="20"/>
          <w:lang w:val="en-US" w:eastAsia="zh-CN"/>
        </w:rPr>
      </w:pPr>
      <w:r w:rsidRPr="00226B30">
        <w:rPr>
          <w:rFonts w:ascii="Arial Narrow" w:eastAsia="Calibri" w:hAnsi="Arial Narrow" w:cs="Calibri"/>
          <w:noProof/>
          <w:sz w:val="20"/>
          <w:lang w:eastAsia="en-AU"/>
        </w:rPr>
        <w:drawing>
          <wp:inline distT="0" distB="0" distL="0" distR="0" wp14:anchorId="36BBBDD9" wp14:editId="5B6F0306">
            <wp:extent cx="5731510" cy="1994127"/>
            <wp:effectExtent l="0" t="0" r="2540" b="6350"/>
            <wp:docPr id="9" name="Picture 9" title="Absolute change in ppFEV1 in TRAFFIC, TRANSPORT and PROGRESS, least square me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1994127"/>
                    </a:xfrm>
                    <a:prstGeom prst="rect">
                      <a:avLst/>
                    </a:prstGeom>
                    <a:noFill/>
                    <a:ln>
                      <a:noFill/>
                    </a:ln>
                  </pic:spPr>
                </pic:pic>
              </a:graphicData>
            </a:graphic>
          </wp:inline>
        </w:drawing>
      </w:r>
    </w:p>
    <w:p w:rsidR="00565027" w:rsidRPr="00226B30" w:rsidRDefault="000D1A66" w:rsidP="001E08C1">
      <w:pPr>
        <w:pStyle w:val="Tablefooter8pt"/>
        <w:spacing w:after="120"/>
        <w:rPr>
          <w:rFonts w:eastAsia="Calibri" w:cs="Calibri"/>
          <w:sz w:val="20"/>
          <w:lang w:val="en-US" w:eastAsia="zh-CN"/>
        </w:rPr>
      </w:pPr>
      <w:r w:rsidRPr="00226B30">
        <w:rPr>
          <w:rFonts w:eastAsia="Calibri"/>
          <w:lang w:val="en-US" w:eastAsia="zh-CN"/>
        </w:rPr>
        <w:t xml:space="preserve">Source: </w:t>
      </w:r>
      <w:r w:rsidR="00ED2EE3" w:rsidRPr="00226B30">
        <w:rPr>
          <w:rFonts w:eastAsia="Calibri"/>
          <w:lang w:val="en-US" w:eastAsia="zh-CN"/>
        </w:rPr>
        <w:t>Konstan et al, 2017</w:t>
      </w:r>
    </w:p>
    <w:p w:rsidR="00B2608F" w:rsidRPr="00226B30" w:rsidRDefault="00C74FA9" w:rsidP="00C10120">
      <w:pPr>
        <w:pStyle w:val="ListParagraph"/>
        <w:widowControl/>
        <w:numPr>
          <w:ilvl w:val="1"/>
          <w:numId w:val="13"/>
        </w:numPr>
        <w:spacing w:after="120"/>
        <w:ind w:left="709" w:hanging="709"/>
        <w:contextualSpacing w:val="0"/>
        <w:rPr>
          <w:rFonts w:asciiTheme="minorHAnsi" w:hAnsiTheme="minorHAnsi"/>
          <w:sz w:val="24"/>
        </w:rPr>
      </w:pPr>
      <w:r w:rsidRPr="00226B30">
        <w:rPr>
          <w:rFonts w:asciiTheme="minorHAnsi" w:hAnsiTheme="minorHAnsi"/>
          <w:sz w:val="24"/>
        </w:rPr>
        <w:t>The PSCR (p1) argued that the main objective of CF treatment is to minimise the rate of deterioration over time and that it is not meaningful to simply compare the ppFEV</w:t>
      </w:r>
      <w:r w:rsidRPr="00226B30">
        <w:rPr>
          <w:rFonts w:asciiTheme="minorHAnsi" w:hAnsiTheme="minorHAnsi"/>
          <w:sz w:val="24"/>
          <w:vertAlign w:val="subscript"/>
        </w:rPr>
        <w:t>1</w:t>
      </w:r>
      <w:r w:rsidRPr="00226B30">
        <w:rPr>
          <w:rFonts w:asciiTheme="minorHAnsi" w:hAnsiTheme="minorHAnsi"/>
          <w:sz w:val="24"/>
        </w:rPr>
        <w:t xml:space="preserve"> at week 96 of PROGRESS for lumacaftor/ivacaftor treated patients with their own baseline ppFEV</w:t>
      </w:r>
      <w:r w:rsidRPr="00226B30">
        <w:rPr>
          <w:rFonts w:asciiTheme="minorHAnsi" w:hAnsiTheme="minorHAnsi"/>
          <w:sz w:val="24"/>
          <w:vertAlign w:val="subscript"/>
        </w:rPr>
        <w:t>1</w:t>
      </w:r>
      <w:r w:rsidRPr="00226B30">
        <w:rPr>
          <w:rFonts w:asciiTheme="minorHAnsi" w:hAnsiTheme="minorHAnsi"/>
          <w:sz w:val="24"/>
        </w:rPr>
        <w:t xml:space="preserve"> given that</w:t>
      </w:r>
      <w:r w:rsidR="00656CA7" w:rsidRPr="00226B30">
        <w:rPr>
          <w:rFonts w:asciiTheme="minorHAnsi" w:hAnsiTheme="minorHAnsi"/>
          <w:sz w:val="24"/>
        </w:rPr>
        <w:t>,</w:t>
      </w:r>
      <w:r w:rsidRPr="00226B30">
        <w:rPr>
          <w:rFonts w:asciiTheme="minorHAnsi" w:hAnsiTheme="minorHAnsi"/>
          <w:sz w:val="24"/>
        </w:rPr>
        <w:t xml:space="preserve"> had those patients received BSC</w:t>
      </w:r>
      <w:r w:rsidR="00656CA7" w:rsidRPr="00226B30">
        <w:rPr>
          <w:rFonts w:asciiTheme="minorHAnsi" w:hAnsiTheme="minorHAnsi"/>
          <w:sz w:val="24"/>
        </w:rPr>
        <w:t>,</w:t>
      </w:r>
      <w:r w:rsidRPr="00226B30">
        <w:rPr>
          <w:rFonts w:asciiTheme="minorHAnsi" w:hAnsiTheme="minorHAnsi"/>
          <w:sz w:val="24"/>
        </w:rPr>
        <w:t xml:space="preserve"> they would have deteriorated </w:t>
      </w:r>
      <w:r w:rsidR="00656CA7" w:rsidRPr="00226B30">
        <w:rPr>
          <w:rFonts w:asciiTheme="minorHAnsi" w:hAnsiTheme="minorHAnsi"/>
          <w:sz w:val="24"/>
        </w:rPr>
        <w:t xml:space="preserve">to a greater extent </w:t>
      </w:r>
      <w:r w:rsidRPr="00226B30">
        <w:rPr>
          <w:rFonts w:asciiTheme="minorHAnsi" w:hAnsiTheme="minorHAnsi"/>
          <w:sz w:val="24"/>
        </w:rPr>
        <w:t xml:space="preserve">over this time period. </w:t>
      </w:r>
      <w:r w:rsidR="009E676E" w:rsidRPr="00226B30">
        <w:rPr>
          <w:rFonts w:asciiTheme="minorHAnsi" w:hAnsiTheme="minorHAnsi"/>
          <w:sz w:val="24"/>
        </w:rPr>
        <w:t>However, the ESC noted that</w:t>
      </w:r>
      <w:r w:rsidR="000B1718" w:rsidRPr="00226B30">
        <w:rPr>
          <w:rFonts w:asciiTheme="minorHAnsi" w:hAnsiTheme="minorHAnsi"/>
          <w:sz w:val="24"/>
        </w:rPr>
        <w:t xml:space="preserve"> </w:t>
      </w:r>
      <w:r w:rsidRPr="00226B30">
        <w:rPr>
          <w:rFonts w:asciiTheme="minorHAnsi" w:hAnsiTheme="minorHAnsi"/>
          <w:sz w:val="24"/>
        </w:rPr>
        <w:t xml:space="preserve">the updated data from PROGRESS and the argument in the PSCR contradicted </w:t>
      </w:r>
      <w:r w:rsidR="000B1718" w:rsidRPr="00226B30">
        <w:rPr>
          <w:rFonts w:asciiTheme="minorHAnsi" w:hAnsiTheme="minorHAnsi"/>
          <w:sz w:val="24"/>
        </w:rPr>
        <w:t xml:space="preserve">the assumption in the </w:t>
      </w:r>
      <w:r w:rsidR="00B2608F" w:rsidRPr="00226B30">
        <w:rPr>
          <w:rFonts w:asciiTheme="minorHAnsi" w:hAnsiTheme="minorHAnsi"/>
          <w:sz w:val="24"/>
        </w:rPr>
        <w:t>economic model that patients treated with lumacaftor/ivacaftor do not experience a decline in pp</w:t>
      </w:r>
      <w:r w:rsidR="00023A66" w:rsidRPr="00226B30">
        <w:rPr>
          <w:rFonts w:asciiTheme="minorHAnsi" w:hAnsiTheme="minorHAnsi"/>
          <w:sz w:val="24"/>
          <w:szCs w:val="24"/>
        </w:rPr>
        <w:t>FEV</w:t>
      </w:r>
      <w:r w:rsidR="00023A66" w:rsidRPr="00226B30">
        <w:rPr>
          <w:rFonts w:asciiTheme="minorHAnsi" w:hAnsiTheme="minorHAnsi"/>
          <w:sz w:val="24"/>
          <w:szCs w:val="24"/>
          <w:vertAlign w:val="subscript"/>
        </w:rPr>
        <w:t>1</w:t>
      </w:r>
      <w:r w:rsidR="00B2608F" w:rsidRPr="00226B30">
        <w:rPr>
          <w:rFonts w:asciiTheme="minorHAnsi" w:hAnsiTheme="minorHAnsi"/>
          <w:sz w:val="24"/>
        </w:rPr>
        <w:t xml:space="preserve"> over time</w:t>
      </w:r>
      <w:r w:rsidR="007B4405" w:rsidRPr="00226B30">
        <w:rPr>
          <w:rFonts w:asciiTheme="minorHAnsi" w:hAnsiTheme="minorHAnsi"/>
          <w:sz w:val="24"/>
        </w:rPr>
        <w:t>.</w:t>
      </w:r>
    </w:p>
    <w:p w:rsidR="00293395" w:rsidRPr="00226B30" w:rsidRDefault="00293395" w:rsidP="00C10120">
      <w:pPr>
        <w:pStyle w:val="ListParagraph"/>
        <w:widowControl/>
        <w:numPr>
          <w:ilvl w:val="1"/>
          <w:numId w:val="13"/>
        </w:numPr>
        <w:spacing w:after="120"/>
        <w:ind w:left="709" w:hanging="709"/>
        <w:contextualSpacing w:val="0"/>
        <w:rPr>
          <w:rFonts w:asciiTheme="minorHAnsi" w:hAnsiTheme="minorHAnsi"/>
          <w:sz w:val="24"/>
        </w:rPr>
      </w:pPr>
      <w:r w:rsidRPr="00226B30">
        <w:rPr>
          <w:rFonts w:asciiTheme="minorHAnsi" w:hAnsiTheme="minorHAnsi"/>
          <w:sz w:val="24"/>
        </w:rPr>
        <w:t xml:space="preserve">The ESC </w:t>
      </w:r>
      <w:r w:rsidR="00F16E00" w:rsidRPr="00226B30">
        <w:rPr>
          <w:rFonts w:asciiTheme="minorHAnsi" w:hAnsiTheme="minorHAnsi"/>
          <w:sz w:val="24"/>
        </w:rPr>
        <w:t xml:space="preserve">also </w:t>
      </w:r>
      <w:r w:rsidRPr="00226B30">
        <w:rPr>
          <w:rFonts w:asciiTheme="minorHAnsi" w:hAnsiTheme="minorHAnsi"/>
          <w:sz w:val="24"/>
        </w:rPr>
        <w:t xml:space="preserve">noted </w:t>
      </w:r>
      <w:r w:rsidR="00F16E00" w:rsidRPr="00226B30">
        <w:rPr>
          <w:rFonts w:asciiTheme="minorHAnsi" w:hAnsiTheme="minorHAnsi"/>
          <w:sz w:val="24"/>
        </w:rPr>
        <w:t xml:space="preserve">that </w:t>
      </w:r>
      <w:r w:rsidRPr="00226B30">
        <w:rPr>
          <w:rFonts w:asciiTheme="minorHAnsi" w:hAnsiTheme="minorHAnsi"/>
          <w:sz w:val="24"/>
        </w:rPr>
        <w:t>the treatment gain of 10.58</w:t>
      </w:r>
      <w:r w:rsidR="00791621">
        <w:rPr>
          <w:rFonts w:asciiTheme="minorHAnsi" w:hAnsiTheme="minorHAnsi"/>
          <w:sz w:val="24"/>
        </w:rPr>
        <w:t xml:space="preserve"> percentage points</w:t>
      </w:r>
      <w:r w:rsidR="00791621" w:rsidRPr="00226B30">
        <w:rPr>
          <w:rFonts w:asciiTheme="minorHAnsi" w:hAnsiTheme="minorHAnsi"/>
          <w:sz w:val="24"/>
        </w:rPr>
        <w:t xml:space="preserve"> </w:t>
      </w:r>
      <w:r w:rsidRPr="00226B30">
        <w:rPr>
          <w:rFonts w:asciiTheme="minorHAnsi" w:hAnsiTheme="minorHAnsi"/>
          <w:sz w:val="24"/>
        </w:rPr>
        <w:t xml:space="preserve">in the clinical trial for ivacaftor </w:t>
      </w:r>
      <w:r w:rsidR="00AC328F">
        <w:rPr>
          <w:rFonts w:asciiTheme="minorHAnsi" w:hAnsiTheme="minorHAnsi"/>
          <w:sz w:val="24"/>
        </w:rPr>
        <w:t xml:space="preserve">for </w:t>
      </w:r>
      <w:r w:rsidRPr="00226B30">
        <w:rPr>
          <w:rFonts w:asciiTheme="minorHAnsi" w:hAnsiTheme="minorHAnsi"/>
          <w:sz w:val="24"/>
        </w:rPr>
        <w:t xml:space="preserve">patients </w:t>
      </w:r>
      <w:r w:rsidRPr="00226B30">
        <w:rPr>
          <w:rFonts w:asciiTheme="minorHAnsi" w:hAnsiTheme="minorHAnsi"/>
          <w:sz w:val="24"/>
          <w:szCs w:val="24"/>
        </w:rPr>
        <w:t>with cystic fibrosis with a G551D or other class III gating mutation in the CFTR gene on at least one allele</w:t>
      </w:r>
      <w:r w:rsidRPr="00226B30">
        <w:rPr>
          <w:rFonts w:asciiTheme="minorHAnsi" w:hAnsiTheme="minorHAnsi"/>
          <w:sz w:val="24"/>
        </w:rPr>
        <w:t xml:space="preserve"> </w:t>
      </w:r>
      <w:r w:rsidR="00AC328F">
        <w:rPr>
          <w:rFonts w:asciiTheme="minorHAnsi" w:hAnsiTheme="minorHAnsi"/>
          <w:sz w:val="24"/>
        </w:rPr>
        <w:t>was maintained at</w:t>
      </w:r>
      <w:r w:rsidRPr="00226B30">
        <w:rPr>
          <w:rFonts w:asciiTheme="minorHAnsi" w:hAnsiTheme="minorHAnsi"/>
          <w:sz w:val="24"/>
        </w:rPr>
        <w:t xml:space="preserve"> up to 144 weeks </w:t>
      </w:r>
      <w:r w:rsidR="00AC328F">
        <w:rPr>
          <w:rFonts w:asciiTheme="minorHAnsi" w:hAnsiTheme="minorHAnsi"/>
          <w:sz w:val="24"/>
        </w:rPr>
        <w:t xml:space="preserve">of treatment </w:t>
      </w:r>
      <w:r w:rsidRPr="00226B30">
        <w:rPr>
          <w:rFonts w:asciiTheme="minorHAnsi" w:hAnsiTheme="minorHAnsi"/>
          <w:sz w:val="24"/>
        </w:rPr>
        <w:t>(</w:t>
      </w:r>
      <w:r w:rsidR="00D75B26">
        <w:rPr>
          <w:rFonts w:asciiTheme="minorHAnsi" w:hAnsiTheme="minorHAnsi"/>
          <w:sz w:val="24"/>
        </w:rPr>
        <w:t>PSD</w:t>
      </w:r>
      <w:r w:rsidRPr="00226B30">
        <w:rPr>
          <w:rFonts w:asciiTheme="minorHAnsi" w:hAnsiTheme="minorHAnsi"/>
          <w:sz w:val="24"/>
        </w:rPr>
        <w:t>, ivacaftor, March 2014).</w:t>
      </w:r>
    </w:p>
    <w:p w:rsidR="00B2608F" w:rsidRDefault="00B2608F" w:rsidP="00C10120">
      <w:pPr>
        <w:pStyle w:val="ListParagraph"/>
        <w:widowControl/>
        <w:numPr>
          <w:ilvl w:val="1"/>
          <w:numId w:val="13"/>
        </w:numPr>
        <w:spacing w:after="120"/>
        <w:ind w:left="709" w:hanging="709"/>
        <w:contextualSpacing w:val="0"/>
        <w:rPr>
          <w:rFonts w:asciiTheme="minorHAnsi" w:hAnsiTheme="minorHAnsi"/>
          <w:sz w:val="24"/>
        </w:rPr>
      </w:pPr>
      <w:r w:rsidRPr="00226B30">
        <w:rPr>
          <w:rFonts w:asciiTheme="minorHAnsi" w:hAnsiTheme="minorHAnsi"/>
          <w:sz w:val="24"/>
        </w:rPr>
        <w:t xml:space="preserve">The changes from baseline in </w:t>
      </w:r>
      <w:r w:rsidR="00606261" w:rsidRPr="00226B30">
        <w:rPr>
          <w:rFonts w:asciiTheme="minorHAnsi" w:hAnsiTheme="minorHAnsi"/>
          <w:sz w:val="24"/>
        </w:rPr>
        <w:t>pulmonary exacerbation (</w:t>
      </w:r>
      <w:r w:rsidRPr="00226B30">
        <w:rPr>
          <w:rFonts w:asciiTheme="minorHAnsi" w:hAnsiTheme="minorHAnsi"/>
          <w:sz w:val="24"/>
        </w:rPr>
        <w:t>PE</w:t>
      </w:r>
      <w:r w:rsidR="00606261" w:rsidRPr="00226B30">
        <w:rPr>
          <w:rFonts w:asciiTheme="minorHAnsi" w:hAnsiTheme="minorHAnsi"/>
          <w:sz w:val="24"/>
        </w:rPr>
        <w:t>)</w:t>
      </w:r>
      <w:r w:rsidRPr="00226B30">
        <w:rPr>
          <w:rFonts w:asciiTheme="minorHAnsi" w:hAnsiTheme="minorHAnsi"/>
          <w:sz w:val="24"/>
        </w:rPr>
        <w:t xml:space="preserve"> events in TRAFFIC, TRANSPORT and PROGRESS are shown in Table </w:t>
      </w:r>
      <w:r w:rsidR="003C370C" w:rsidRPr="00226B30">
        <w:rPr>
          <w:rFonts w:asciiTheme="minorHAnsi" w:hAnsiTheme="minorHAnsi"/>
          <w:sz w:val="24"/>
        </w:rPr>
        <w:t>6</w:t>
      </w:r>
      <w:r w:rsidRPr="00226B30">
        <w:rPr>
          <w:rFonts w:asciiTheme="minorHAnsi" w:hAnsiTheme="minorHAnsi"/>
          <w:sz w:val="24"/>
        </w:rPr>
        <w:t xml:space="preserve">. The annualised rates </w:t>
      </w:r>
      <w:r w:rsidR="00BB164B" w:rsidRPr="00226B30">
        <w:rPr>
          <w:rFonts w:asciiTheme="minorHAnsi" w:hAnsiTheme="minorHAnsi"/>
          <w:sz w:val="24"/>
        </w:rPr>
        <w:t xml:space="preserve">for lumacaftor/ivacaftor </w:t>
      </w:r>
      <w:r w:rsidR="004A45CF">
        <w:rPr>
          <w:rFonts w:asciiTheme="minorHAnsi" w:hAnsiTheme="minorHAnsi"/>
          <w:sz w:val="24"/>
        </w:rPr>
        <w:t>were</w:t>
      </w:r>
      <w:r w:rsidR="004A45CF" w:rsidRPr="00226B30">
        <w:rPr>
          <w:rFonts w:asciiTheme="minorHAnsi" w:hAnsiTheme="minorHAnsi"/>
          <w:sz w:val="24"/>
        </w:rPr>
        <w:t xml:space="preserve"> </w:t>
      </w:r>
      <w:r w:rsidRPr="00226B30">
        <w:rPr>
          <w:rFonts w:asciiTheme="minorHAnsi" w:hAnsiTheme="minorHAnsi"/>
          <w:sz w:val="24"/>
        </w:rPr>
        <w:t>lower than the rates in the placebo group up to week</w:t>
      </w:r>
      <w:r w:rsidR="00606261" w:rsidRPr="00226B30">
        <w:rPr>
          <w:rFonts w:asciiTheme="minorHAnsi" w:hAnsiTheme="minorHAnsi"/>
          <w:sz w:val="24"/>
        </w:rPr>
        <w:t> </w:t>
      </w:r>
      <w:r w:rsidR="009D1CF8" w:rsidRPr="00226B30">
        <w:rPr>
          <w:rFonts w:asciiTheme="minorHAnsi" w:hAnsiTheme="minorHAnsi"/>
          <w:sz w:val="24"/>
        </w:rPr>
        <w:t>24.</w:t>
      </w:r>
    </w:p>
    <w:p w:rsidR="000D33EE" w:rsidRPr="000D33EE" w:rsidRDefault="000D33EE" w:rsidP="000D33EE">
      <w:pPr>
        <w:widowControl/>
        <w:spacing w:after="120"/>
        <w:rPr>
          <w:rFonts w:asciiTheme="minorHAnsi" w:hAnsiTheme="minorHAnsi"/>
          <w:sz w:val="24"/>
        </w:rPr>
      </w:pPr>
    </w:p>
    <w:p w:rsidR="008A1DA3" w:rsidRDefault="008A1DA3" w:rsidP="008A1DA3">
      <w:pPr>
        <w:pStyle w:val="Caption"/>
      </w:pPr>
      <w:r>
        <w:t xml:space="preserve">Table </w:t>
      </w:r>
      <w:r w:rsidR="000056CF">
        <w:rPr>
          <w:noProof/>
        </w:rPr>
        <w:t>6</w:t>
      </w:r>
      <w:r w:rsidRPr="00977B4F">
        <w:t>: Changes from baseline in pulmonary exacerbation events in TRAFFIC or TRANSPORT and PROGRESS</w:t>
      </w:r>
    </w:p>
    <w:tbl>
      <w:tblPr>
        <w:tblStyle w:val="newstyle31"/>
        <w:tblW w:w="5000" w:type="pct"/>
        <w:tblLayout w:type="fixed"/>
        <w:tblLook w:val="04A0" w:firstRow="1" w:lastRow="0" w:firstColumn="1" w:lastColumn="0" w:noHBand="0" w:noVBand="1"/>
        <w:tblCaption w:val="Changes from baseline in pulmonary exacerbation events in TRAFFIC or TRANSPORT and PROGRESS"/>
      </w:tblPr>
      <w:tblGrid>
        <w:gridCol w:w="2722"/>
        <w:gridCol w:w="1578"/>
        <w:gridCol w:w="1579"/>
        <w:gridCol w:w="1578"/>
        <w:gridCol w:w="1579"/>
      </w:tblGrid>
      <w:tr w:rsidR="00B2608F" w:rsidRPr="00226B30" w:rsidTr="008A1DA3">
        <w:trPr>
          <w:cnfStyle w:val="100000000000" w:firstRow="1" w:lastRow="0" w:firstColumn="0" w:lastColumn="0" w:oddVBand="0" w:evenVBand="0" w:oddHBand="0" w:evenHBand="0" w:firstRowFirstColumn="0" w:firstRowLastColumn="0" w:lastRowFirstColumn="0" w:lastRowLastColumn="0"/>
          <w:trHeight w:val="207"/>
        </w:trPr>
        <w:tc>
          <w:tcPr>
            <w:tcW w:w="1506" w:type="pct"/>
            <w:vMerge w:val="restart"/>
            <w:shd w:val="clear" w:color="auto" w:fill="auto"/>
            <w:noWrap/>
            <w:vAlign w:val="bottom"/>
            <w:hideMark/>
          </w:tcPr>
          <w:p w:rsidR="00B2608F" w:rsidRPr="00226B30" w:rsidRDefault="00E94845" w:rsidP="001E08C1">
            <w:pPr>
              <w:keepNext/>
              <w:widowControl/>
              <w:ind w:left="0" w:right="0"/>
              <w:jc w:val="left"/>
            </w:pPr>
            <w:r w:rsidRPr="00226B30">
              <w:rPr>
                <w:rFonts w:ascii="Arial Narrow" w:eastAsia="Times New Roman" w:hAnsi="Arial Narrow"/>
                <w:sz w:val="20"/>
              </w:rPr>
              <w:t>Pulmonary exacerbation events</w:t>
            </w:r>
            <w:r w:rsidR="000815C7" w:rsidRPr="00226B30">
              <w:rPr>
                <w:rFonts w:ascii="Arial Narrow" w:eastAsia="Times New Roman" w:hAnsi="Arial Narrow"/>
                <w:sz w:val="20"/>
              </w:rPr>
              <w:t xml:space="preserve"> per patient-year</w:t>
            </w:r>
          </w:p>
        </w:tc>
        <w:tc>
          <w:tcPr>
            <w:tcW w:w="1747" w:type="pct"/>
            <w:gridSpan w:val="2"/>
            <w:shd w:val="clear" w:color="auto" w:fill="auto"/>
            <w:noWrap/>
            <w:hideMark/>
          </w:tcPr>
          <w:p w:rsidR="00B2608F" w:rsidRPr="00226B30" w:rsidRDefault="00B2608F" w:rsidP="001E08C1">
            <w:pPr>
              <w:keepNext/>
              <w:widowControl/>
              <w:ind w:left="0" w:right="0"/>
              <w:jc w:val="center"/>
              <w:rPr>
                <w:rFonts w:ascii="Arial Narrow" w:eastAsia="Times New Roman" w:hAnsi="Arial Narrow"/>
                <w:sz w:val="20"/>
              </w:rPr>
            </w:pPr>
            <w:r w:rsidRPr="00226B30">
              <w:rPr>
                <w:rFonts w:ascii="Arial Narrow" w:eastAsia="Times New Roman" w:hAnsi="Arial Narrow"/>
                <w:sz w:val="20"/>
              </w:rPr>
              <w:t>TRAFFIC or TRANSPORT</w:t>
            </w:r>
            <w:r w:rsidR="005456E6" w:rsidRPr="00226B30">
              <w:rPr>
                <w:rFonts w:ascii="Arial Narrow" w:eastAsia="Times New Roman" w:hAnsi="Arial Narrow"/>
                <w:sz w:val="20"/>
              </w:rPr>
              <w:t>*</w:t>
            </w:r>
          </w:p>
          <w:p w:rsidR="00E94845" w:rsidRPr="00226B30" w:rsidRDefault="00E94845" w:rsidP="001E08C1">
            <w:pPr>
              <w:keepNext/>
              <w:widowControl/>
              <w:ind w:left="0" w:right="0"/>
              <w:jc w:val="center"/>
              <w:rPr>
                <w:rFonts w:ascii="Arial Narrow" w:eastAsia="Times New Roman" w:hAnsi="Arial Narrow"/>
                <w:b w:val="0"/>
                <w:sz w:val="20"/>
              </w:rPr>
            </w:pPr>
            <w:r w:rsidRPr="00226B30">
              <w:rPr>
                <w:rFonts w:ascii="Arial Narrow" w:eastAsia="Times New Roman" w:hAnsi="Arial Narrow"/>
                <w:b w:val="0"/>
                <w:sz w:val="20"/>
              </w:rPr>
              <w:t>n (95% CI)</w:t>
            </w:r>
          </w:p>
        </w:tc>
        <w:tc>
          <w:tcPr>
            <w:tcW w:w="1747" w:type="pct"/>
            <w:gridSpan w:val="2"/>
            <w:shd w:val="clear" w:color="auto" w:fill="auto"/>
            <w:noWrap/>
            <w:hideMark/>
          </w:tcPr>
          <w:p w:rsidR="00B2608F" w:rsidRPr="00226B30" w:rsidRDefault="00B2608F" w:rsidP="001E08C1">
            <w:pPr>
              <w:keepNext/>
              <w:widowControl/>
              <w:ind w:left="0" w:right="0"/>
              <w:jc w:val="center"/>
              <w:rPr>
                <w:rFonts w:ascii="Arial Narrow" w:eastAsia="Times New Roman" w:hAnsi="Arial Narrow"/>
                <w:sz w:val="20"/>
              </w:rPr>
            </w:pPr>
            <w:r w:rsidRPr="00226B30">
              <w:rPr>
                <w:rFonts w:ascii="Arial Narrow" w:eastAsia="Times New Roman" w:hAnsi="Arial Narrow"/>
                <w:sz w:val="20"/>
              </w:rPr>
              <w:t>PROGRESS*</w:t>
            </w:r>
          </w:p>
          <w:p w:rsidR="00E94845" w:rsidRPr="00226B30" w:rsidRDefault="00E94845" w:rsidP="001E08C1">
            <w:pPr>
              <w:keepNext/>
              <w:widowControl/>
              <w:ind w:left="0" w:right="0"/>
              <w:jc w:val="center"/>
              <w:rPr>
                <w:rFonts w:ascii="Arial Narrow" w:eastAsia="Times New Roman" w:hAnsi="Arial Narrow"/>
                <w:sz w:val="20"/>
              </w:rPr>
            </w:pPr>
            <w:r w:rsidRPr="00226B30">
              <w:rPr>
                <w:rFonts w:ascii="Arial Narrow" w:eastAsia="Times New Roman" w:hAnsi="Arial Narrow"/>
                <w:b w:val="0"/>
                <w:sz w:val="20"/>
              </w:rPr>
              <w:t>n (95% CI)</w:t>
            </w:r>
          </w:p>
        </w:tc>
      </w:tr>
      <w:tr w:rsidR="00B2608F" w:rsidRPr="00226B30" w:rsidTr="008A1DA3">
        <w:trPr>
          <w:cantSplit w:val="0"/>
          <w:trHeight w:val="428"/>
        </w:trPr>
        <w:tc>
          <w:tcPr>
            <w:tcW w:w="1506" w:type="pct"/>
            <w:vMerge/>
            <w:shd w:val="clear" w:color="auto" w:fill="auto"/>
            <w:hideMark/>
          </w:tcPr>
          <w:p w:rsidR="00B2608F" w:rsidRPr="00226B30" w:rsidRDefault="00B2608F" w:rsidP="001E08C1">
            <w:pPr>
              <w:keepNext/>
              <w:widowControl/>
              <w:rPr>
                <w:rFonts w:ascii="Arial Narrow" w:hAnsi="Arial Narrow" w:cs="Calibri"/>
                <w:sz w:val="16"/>
                <w:szCs w:val="16"/>
              </w:rPr>
            </w:pPr>
          </w:p>
        </w:tc>
        <w:tc>
          <w:tcPr>
            <w:tcW w:w="873" w:type="pct"/>
            <w:shd w:val="clear" w:color="auto" w:fill="auto"/>
            <w:noWrap/>
            <w:hideMark/>
          </w:tcPr>
          <w:p w:rsidR="00B2608F" w:rsidRPr="00226B30" w:rsidRDefault="00B2608F" w:rsidP="001E08C1">
            <w:pPr>
              <w:keepNext/>
              <w:widowControl/>
              <w:ind w:left="0" w:right="0"/>
              <w:jc w:val="center"/>
              <w:rPr>
                <w:rFonts w:ascii="Arial Narrow" w:eastAsia="Times New Roman" w:hAnsi="Arial Narrow"/>
                <w:b/>
                <w:sz w:val="20"/>
              </w:rPr>
            </w:pPr>
            <w:r w:rsidRPr="00226B30">
              <w:rPr>
                <w:rFonts w:ascii="Arial Narrow" w:eastAsia="Times New Roman" w:hAnsi="Arial Narrow"/>
                <w:b/>
                <w:sz w:val="20"/>
              </w:rPr>
              <w:t>Placebo (n=371)</w:t>
            </w:r>
          </w:p>
        </w:tc>
        <w:tc>
          <w:tcPr>
            <w:tcW w:w="874" w:type="pct"/>
            <w:shd w:val="clear" w:color="auto" w:fill="auto"/>
            <w:hideMark/>
          </w:tcPr>
          <w:p w:rsidR="00B2608F" w:rsidRPr="00226B30" w:rsidRDefault="000815C7" w:rsidP="001E08C1">
            <w:pPr>
              <w:keepNext/>
              <w:widowControl/>
              <w:ind w:left="0" w:right="0"/>
              <w:jc w:val="center"/>
              <w:rPr>
                <w:rFonts w:ascii="Arial Narrow" w:eastAsia="Times New Roman" w:hAnsi="Arial Narrow"/>
                <w:b/>
                <w:sz w:val="20"/>
              </w:rPr>
            </w:pPr>
            <w:r w:rsidRPr="00226B30">
              <w:rPr>
                <w:rFonts w:ascii="Arial Narrow" w:eastAsia="Times New Roman" w:hAnsi="Arial Narrow"/>
                <w:b/>
                <w:sz w:val="20"/>
              </w:rPr>
              <w:t>Lumacaftor/ ivacaftor</w:t>
            </w:r>
            <w:r w:rsidR="00B2608F" w:rsidRPr="00226B30">
              <w:rPr>
                <w:rFonts w:ascii="Arial Narrow" w:eastAsia="Times New Roman" w:hAnsi="Arial Narrow"/>
                <w:b/>
                <w:sz w:val="20"/>
              </w:rPr>
              <w:t xml:space="preserve"> (n=369)</w:t>
            </w:r>
          </w:p>
        </w:tc>
        <w:tc>
          <w:tcPr>
            <w:tcW w:w="873" w:type="pct"/>
            <w:shd w:val="clear" w:color="auto" w:fill="auto"/>
            <w:hideMark/>
          </w:tcPr>
          <w:p w:rsidR="00B2608F" w:rsidRPr="00226B30" w:rsidRDefault="00B2608F" w:rsidP="001E08C1">
            <w:pPr>
              <w:keepNext/>
              <w:widowControl/>
              <w:ind w:left="0" w:right="0"/>
              <w:jc w:val="center"/>
              <w:rPr>
                <w:rFonts w:ascii="Arial Narrow" w:eastAsia="Times New Roman" w:hAnsi="Arial Narrow"/>
                <w:b/>
                <w:sz w:val="20"/>
              </w:rPr>
            </w:pPr>
            <w:r w:rsidRPr="00226B30">
              <w:rPr>
                <w:rFonts w:ascii="Arial Narrow" w:eastAsia="Times New Roman" w:hAnsi="Arial Narrow"/>
                <w:b/>
                <w:sz w:val="20"/>
              </w:rPr>
              <w:t xml:space="preserve">Placebo transitioned to </w:t>
            </w:r>
            <w:r w:rsidR="000815C7" w:rsidRPr="00226B30">
              <w:rPr>
                <w:rFonts w:ascii="Arial Narrow" w:eastAsia="Times New Roman" w:hAnsi="Arial Narrow"/>
                <w:b/>
                <w:sz w:val="20"/>
              </w:rPr>
              <w:t>lumacaftor/ ivacaftor</w:t>
            </w:r>
            <w:r w:rsidR="000815C7" w:rsidRPr="00226B30" w:rsidDel="000815C7">
              <w:rPr>
                <w:rFonts w:ascii="Arial Narrow" w:eastAsia="Times New Roman" w:hAnsi="Arial Narrow"/>
                <w:b/>
                <w:sz w:val="20"/>
              </w:rPr>
              <w:t xml:space="preserve"> </w:t>
            </w:r>
            <w:r w:rsidRPr="00226B30">
              <w:rPr>
                <w:rFonts w:ascii="Arial Narrow" w:eastAsia="Times New Roman" w:hAnsi="Arial Narrow"/>
                <w:b/>
                <w:sz w:val="20"/>
              </w:rPr>
              <w:t>(n=176)</w:t>
            </w:r>
          </w:p>
        </w:tc>
        <w:tc>
          <w:tcPr>
            <w:tcW w:w="874" w:type="pct"/>
            <w:shd w:val="clear" w:color="auto" w:fill="auto"/>
            <w:hideMark/>
          </w:tcPr>
          <w:p w:rsidR="00B2608F" w:rsidRPr="00226B30" w:rsidRDefault="00B2608F" w:rsidP="001E08C1">
            <w:pPr>
              <w:keepNext/>
              <w:widowControl/>
              <w:ind w:left="0" w:right="0"/>
              <w:jc w:val="center"/>
              <w:rPr>
                <w:rFonts w:ascii="Arial Narrow" w:eastAsia="Times New Roman" w:hAnsi="Arial Narrow"/>
                <w:b/>
                <w:sz w:val="20"/>
              </w:rPr>
            </w:pPr>
            <w:r w:rsidRPr="00226B30">
              <w:rPr>
                <w:rFonts w:ascii="Arial Narrow" w:eastAsia="Times New Roman" w:hAnsi="Arial Narrow"/>
                <w:b/>
                <w:sz w:val="20"/>
              </w:rPr>
              <w:t xml:space="preserve">Continued </w:t>
            </w:r>
            <w:r w:rsidR="000815C7" w:rsidRPr="00226B30">
              <w:rPr>
                <w:rFonts w:ascii="Arial Narrow" w:eastAsia="Times New Roman" w:hAnsi="Arial Narrow"/>
                <w:b/>
                <w:sz w:val="20"/>
              </w:rPr>
              <w:t>lumacaftor/ ivacaftor</w:t>
            </w:r>
            <w:r w:rsidRPr="00226B30">
              <w:rPr>
                <w:rFonts w:ascii="Arial Narrow" w:eastAsia="Times New Roman" w:hAnsi="Arial Narrow"/>
                <w:b/>
                <w:sz w:val="20"/>
              </w:rPr>
              <w:t xml:space="preserve"> (n=369</w:t>
            </w:r>
            <w:r w:rsidR="002174D7" w:rsidRPr="00226B30">
              <w:rPr>
                <w:rFonts w:ascii="Arial Narrow" w:eastAsia="Times New Roman" w:hAnsi="Arial Narrow"/>
                <w:b/>
                <w:sz w:val="20"/>
                <w:vertAlign w:val="superscript"/>
              </w:rPr>
              <w:t>!</w:t>
            </w:r>
            <w:r w:rsidRPr="00226B30">
              <w:rPr>
                <w:rFonts w:ascii="Arial Narrow" w:eastAsia="Times New Roman" w:hAnsi="Arial Narrow"/>
                <w:b/>
                <w:sz w:val="20"/>
              </w:rPr>
              <w:t>)</w:t>
            </w:r>
          </w:p>
        </w:tc>
      </w:tr>
      <w:tr w:rsidR="00B2608F" w:rsidRPr="00226B30" w:rsidTr="008A1DA3">
        <w:trPr>
          <w:cantSplit w:val="0"/>
          <w:trHeight w:val="20"/>
        </w:trPr>
        <w:tc>
          <w:tcPr>
            <w:tcW w:w="1506" w:type="pct"/>
            <w:noWrap/>
            <w:hideMark/>
          </w:tcPr>
          <w:p w:rsidR="00B2608F" w:rsidRPr="00226B30" w:rsidRDefault="000815C7" w:rsidP="001E08C1">
            <w:pPr>
              <w:keepNext/>
              <w:widowControl/>
              <w:ind w:left="0" w:right="0"/>
              <w:rPr>
                <w:rFonts w:ascii="Arial Narrow" w:eastAsia="Times New Roman" w:hAnsi="Arial Narrow"/>
                <w:sz w:val="20"/>
              </w:rPr>
            </w:pPr>
            <w:r w:rsidRPr="00226B30">
              <w:rPr>
                <w:rFonts w:ascii="Arial Narrow" w:eastAsia="Times New Roman" w:hAnsi="Arial Narrow"/>
                <w:sz w:val="20"/>
              </w:rPr>
              <w:t>All events</w:t>
            </w:r>
          </w:p>
        </w:tc>
        <w:tc>
          <w:tcPr>
            <w:tcW w:w="873" w:type="pct"/>
            <w:noWrap/>
            <w:vAlign w:val="center"/>
            <w:hideMark/>
          </w:tcPr>
          <w:p w:rsidR="00B2608F" w:rsidRPr="00226B30" w:rsidRDefault="00B2608F" w:rsidP="001E08C1">
            <w:pPr>
              <w:keepNext/>
              <w:widowControl/>
              <w:ind w:left="0" w:right="0"/>
              <w:jc w:val="center"/>
              <w:rPr>
                <w:rFonts w:ascii="Arial Narrow" w:eastAsia="Times New Roman" w:hAnsi="Arial Narrow"/>
                <w:sz w:val="20"/>
              </w:rPr>
            </w:pPr>
            <w:r w:rsidRPr="00226B30">
              <w:rPr>
                <w:rFonts w:ascii="Arial Narrow" w:eastAsia="Times New Roman" w:hAnsi="Arial Narrow"/>
                <w:sz w:val="20"/>
              </w:rPr>
              <w:t>1.14 (0.97 to 1.34)</w:t>
            </w:r>
          </w:p>
        </w:tc>
        <w:tc>
          <w:tcPr>
            <w:tcW w:w="874" w:type="pct"/>
            <w:noWrap/>
            <w:vAlign w:val="center"/>
            <w:hideMark/>
          </w:tcPr>
          <w:p w:rsidR="00B2608F" w:rsidRPr="00226B30" w:rsidRDefault="00B2608F" w:rsidP="001E08C1">
            <w:pPr>
              <w:keepNext/>
              <w:widowControl/>
              <w:ind w:left="0" w:right="0"/>
              <w:jc w:val="center"/>
              <w:rPr>
                <w:rFonts w:ascii="Arial Narrow" w:eastAsia="Times New Roman" w:hAnsi="Arial Narrow"/>
                <w:sz w:val="20"/>
              </w:rPr>
            </w:pPr>
            <w:r w:rsidRPr="00226B30">
              <w:rPr>
                <w:rFonts w:ascii="Arial Narrow" w:eastAsia="Times New Roman" w:hAnsi="Arial Narrow"/>
                <w:sz w:val="20"/>
              </w:rPr>
              <w:t>0.70 (0.57 to 0.84)</w:t>
            </w:r>
          </w:p>
        </w:tc>
        <w:tc>
          <w:tcPr>
            <w:tcW w:w="873" w:type="pct"/>
            <w:noWrap/>
            <w:vAlign w:val="center"/>
            <w:hideMark/>
          </w:tcPr>
          <w:p w:rsidR="00B2608F" w:rsidRPr="00226B30" w:rsidRDefault="00B2608F" w:rsidP="001E08C1">
            <w:pPr>
              <w:keepNext/>
              <w:widowControl/>
              <w:ind w:left="0" w:right="0"/>
              <w:jc w:val="center"/>
              <w:rPr>
                <w:rFonts w:ascii="Arial Narrow" w:eastAsia="Times New Roman" w:hAnsi="Arial Narrow"/>
                <w:sz w:val="20"/>
              </w:rPr>
            </w:pPr>
            <w:r w:rsidRPr="00226B30">
              <w:rPr>
                <w:rFonts w:ascii="Arial Narrow" w:eastAsia="Times New Roman" w:hAnsi="Arial Narrow"/>
                <w:sz w:val="20"/>
              </w:rPr>
              <w:t>0.69 (0.56 to 0.85)</w:t>
            </w:r>
          </w:p>
        </w:tc>
        <w:tc>
          <w:tcPr>
            <w:tcW w:w="874" w:type="pct"/>
            <w:noWrap/>
            <w:vAlign w:val="center"/>
            <w:hideMark/>
          </w:tcPr>
          <w:p w:rsidR="00B2608F" w:rsidRPr="00226B30" w:rsidRDefault="00B2608F" w:rsidP="001E08C1">
            <w:pPr>
              <w:keepNext/>
              <w:widowControl/>
              <w:ind w:left="0" w:right="0"/>
              <w:jc w:val="center"/>
              <w:rPr>
                <w:rFonts w:ascii="Arial Narrow" w:eastAsia="Times New Roman" w:hAnsi="Arial Narrow"/>
                <w:sz w:val="20"/>
              </w:rPr>
            </w:pPr>
            <w:r w:rsidRPr="00226B30">
              <w:rPr>
                <w:rFonts w:ascii="Arial Narrow" w:eastAsia="Times New Roman" w:hAnsi="Arial Narrow"/>
                <w:sz w:val="20"/>
              </w:rPr>
              <w:t>0.65 (0.56 to 0.75)</w:t>
            </w:r>
          </w:p>
        </w:tc>
      </w:tr>
      <w:tr w:rsidR="00B2608F" w:rsidRPr="00226B30" w:rsidTr="008A1DA3">
        <w:trPr>
          <w:cantSplit w:val="0"/>
          <w:trHeight w:val="20"/>
        </w:trPr>
        <w:tc>
          <w:tcPr>
            <w:tcW w:w="1506" w:type="pct"/>
            <w:noWrap/>
            <w:hideMark/>
          </w:tcPr>
          <w:p w:rsidR="00B2608F" w:rsidRPr="00226B30" w:rsidRDefault="00B2608F" w:rsidP="001E08C1">
            <w:pPr>
              <w:keepNext/>
              <w:widowControl/>
              <w:ind w:left="0" w:right="0"/>
              <w:jc w:val="left"/>
              <w:rPr>
                <w:rFonts w:ascii="Arial Narrow" w:eastAsia="Times New Roman" w:hAnsi="Arial Narrow"/>
                <w:sz w:val="20"/>
              </w:rPr>
            </w:pPr>
            <w:r w:rsidRPr="00226B30">
              <w:rPr>
                <w:rFonts w:ascii="Arial Narrow" w:eastAsia="Times New Roman" w:hAnsi="Arial Narrow"/>
                <w:sz w:val="20"/>
              </w:rPr>
              <w:t>Requiring hospital admission</w:t>
            </w:r>
          </w:p>
        </w:tc>
        <w:tc>
          <w:tcPr>
            <w:tcW w:w="873" w:type="pct"/>
            <w:noWrap/>
            <w:vAlign w:val="center"/>
            <w:hideMark/>
          </w:tcPr>
          <w:p w:rsidR="00B2608F" w:rsidRPr="00226B30" w:rsidRDefault="00B2608F" w:rsidP="001E08C1">
            <w:pPr>
              <w:keepNext/>
              <w:widowControl/>
              <w:ind w:left="0" w:right="0"/>
              <w:jc w:val="center"/>
              <w:rPr>
                <w:rFonts w:ascii="Arial Narrow" w:eastAsia="Times New Roman" w:hAnsi="Arial Narrow"/>
                <w:sz w:val="20"/>
              </w:rPr>
            </w:pPr>
            <w:r w:rsidRPr="00226B30">
              <w:rPr>
                <w:rFonts w:ascii="Arial Narrow" w:eastAsia="Times New Roman" w:hAnsi="Arial Narrow"/>
                <w:sz w:val="20"/>
              </w:rPr>
              <w:t>0.45 (0.36 to 0.57)</w:t>
            </w:r>
          </w:p>
        </w:tc>
        <w:tc>
          <w:tcPr>
            <w:tcW w:w="874" w:type="pct"/>
            <w:noWrap/>
            <w:vAlign w:val="center"/>
            <w:hideMark/>
          </w:tcPr>
          <w:p w:rsidR="00B2608F" w:rsidRPr="00226B30" w:rsidRDefault="00B2608F" w:rsidP="001E08C1">
            <w:pPr>
              <w:keepNext/>
              <w:widowControl/>
              <w:ind w:left="0" w:right="0"/>
              <w:jc w:val="center"/>
              <w:rPr>
                <w:rFonts w:ascii="Arial Narrow" w:eastAsia="Times New Roman" w:hAnsi="Arial Narrow"/>
                <w:sz w:val="20"/>
              </w:rPr>
            </w:pPr>
            <w:r w:rsidRPr="00226B30">
              <w:rPr>
                <w:rFonts w:ascii="Arial Narrow" w:eastAsia="Times New Roman" w:hAnsi="Arial Narrow"/>
                <w:sz w:val="20"/>
              </w:rPr>
              <w:t>0.17 (0.12 to 0.25)</w:t>
            </w:r>
          </w:p>
        </w:tc>
        <w:tc>
          <w:tcPr>
            <w:tcW w:w="873" w:type="pct"/>
            <w:noWrap/>
            <w:vAlign w:val="center"/>
            <w:hideMark/>
          </w:tcPr>
          <w:p w:rsidR="00B2608F" w:rsidRPr="00226B30" w:rsidRDefault="00B2608F" w:rsidP="001E08C1">
            <w:pPr>
              <w:keepNext/>
              <w:widowControl/>
              <w:ind w:left="0" w:right="0"/>
              <w:jc w:val="center"/>
              <w:rPr>
                <w:rFonts w:ascii="Arial Narrow" w:eastAsia="Times New Roman" w:hAnsi="Arial Narrow"/>
                <w:sz w:val="20"/>
              </w:rPr>
            </w:pPr>
            <w:r w:rsidRPr="00226B30">
              <w:rPr>
                <w:rFonts w:ascii="Arial Narrow" w:eastAsia="Times New Roman" w:hAnsi="Arial Narrow"/>
                <w:sz w:val="20"/>
              </w:rPr>
              <w:t>0.30 (0.22 to 0.40)</w:t>
            </w:r>
          </w:p>
        </w:tc>
        <w:tc>
          <w:tcPr>
            <w:tcW w:w="874" w:type="pct"/>
            <w:noWrap/>
            <w:vAlign w:val="center"/>
            <w:hideMark/>
          </w:tcPr>
          <w:p w:rsidR="00B2608F" w:rsidRPr="00226B30" w:rsidRDefault="00B2608F" w:rsidP="001E08C1">
            <w:pPr>
              <w:keepNext/>
              <w:widowControl/>
              <w:ind w:left="0" w:right="0"/>
              <w:jc w:val="center"/>
              <w:rPr>
                <w:rFonts w:ascii="Arial Narrow" w:eastAsia="Times New Roman" w:hAnsi="Arial Narrow"/>
                <w:sz w:val="20"/>
              </w:rPr>
            </w:pPr>
            <w:r w:rsidRPr="00226B30">
              <w:rPr>
                <w:rFonts w:ascii="Arial Narrow" w:eastAsia="Times New Roman" w:hAnsi="Arial Narrow"/>
                <w:sz w:val="20"/>
              </w:rPr>
              <w:t>0.24 (0.19 to 0.29)</w:t>
            </w:r>
          </w:p>
        </w:tc>
      </w:tr>
      <w:tr w:rsidR="00B2608F" w:rsidRPr="00226B30" w:rsidTr="008A1DA3">
        <w:trPr>
          <w:cantSplit w:val="0"/>
          <w:trHeight w:val="20"/>
        </w:trPr>
        <w:tc>
          <w:tcPr>
            <w:tcW w:w="1506" w:type="pct"/>
            <w:hideMark/>
          </w:tcPr>
          <w:p w:rsidR="00B2608F" w:rsidRPr="00226B30" w:rsidRDefault="00B2608F" w:rsidP="001E08C1">
            <w:pPr>
              <w:keepNext/>
              <w:widowControl/>
              <w:ind w:left="0" w:right="0"/>
              <w:jc w:val="left"/>
              <w:rPr>
                <w:rFonts w:ascii="Arial Narrow" w:eastAsia="Times New Roman" w:hAnsi="Arial Narrow"/>
                <w:sz w:val="20"/>
              </w:rPr>
            </w:pPr>
            <w:r w:rsidRPr="00226B30">
              <w:rPr>
                <w:rFonts w:ascii="Arial Narrow" w:eastAsia="Times New Roman" w:hAnsi="Arial Narrow"/>
                <w:sz w:val="20"/>
              </w:rPr>
              <w:t>Requiring intravenous antibiotics</w:t>
            </w:r>
          </w:p>
        </w:tc>
        <w:tc>
          <w:tcPr>
            <w:tcW w:w="873" w:type="pct"/>
            <w:noWrap/>
            <w:vAlign w:val="center"/>
            <w:hideMark/>
          </w:tcPr>
          <w:p w:rsidR="00B2608F" w:rsidRPr="00226B30" w:rsidRDefault="00B2608F" w:rsidP="001E08C1">
            <w:pPr>
              <w:keepNext/>
              <w:widowControl/>
              <w:ind w:left="0" w:right="0"/>
              <w:jc w:val="center"/>
              <w:rPr>
                <w:rFonts w:ascii="Arial Narrow" w:eastAsia="Times New Roman" w:hAnsi="Arial Narrow"/>
                <w:sz w:val="20"/>
              </w:rPr>
            </w:pPr>
            <w:r w:rsidRPr="00226B30">
              <w:rPr>
                <w:rFonts w:ascii="Arial Narrow" w:eastAsia="Times New Roman" w:hAnsi="Arial Narrow"/>
                <w:sz w:val="20"/>
              </w:rPr>
              <w:t>0.58 (0.47 to 0.72)</w:t>
            </w:r>
          </w:p>
        </w:tc>
        <w:tc>
          <w:tcPr>
            <w:tcW w:w="874" w:type="pct"/>
            <w:noWrap/>
            <w:vAlign w:val="center"/>
            <w:hideMark/>
          </w:tcPr>
          <w:p w:rsidR="00B2608F" w:rsidRPr="00226B30" w:rsidRDefault="00B2608F" w:rsidP="001E08C1">
            <w:pPr>
              <w:keepNext/>
              <w:widowControl/>
              <w:ind w:left="0" w:right="0"/>
              <w:jc w:val="center"/>
              <w:rPr>
                <w:rFonts w:ascii="Arial Narrow" w:eastAsia="Times New Roman" w:hAnsi="Arial Narrow"/>
                <w:sz w:val="20"/>
              </w:rPr>
            </w:pPr>
            <w:r w:rsidRPr="00226B30">
              <w:rPr>
                <w:rFonts w:ascii="Arial Narrow" w:eastAsia="Times New Roman" w:hAnsi="Arial Narrow"/>
                <w:sz w:val="20"/>
              </w:rPr>
              <w:t>0.25 (0.19 to 0.33)</w:t>
            </w:r>
          </w:p>
        </w:tc>
        <w:tc>
          <w:tcPr>
            <w:tcW w:w="873" w:type="pct"/>
            <w:noWrap/>
            <w:vAlign w:val="center"/>
            <w:hideMark/>
          </w:tcPr>
          <w:p w:rsidR="00B2608F" w:rsidRPr="00226B30" w:rsidRDefault="00B2608F" w:rsidP="001E08C1">
            <w:pPr>
              <w:keepNext/>
              <w:widowControl/>
              <w:ind w:left="0" w:right="0"/>
              <w:jc w:val="center"/>
              <w:rPr>
                <w:rFonts w:ascii="Arial Narrow" w:eastAsia="Times New Roman" w:hAnsi="Arial Narrow"/>
                <w:sz w:val="20"/>
              </w:rPr>
            </w:pPr>
            <w:r w:rsidRPr="00226B30">
              <w:rPr>
                <w:rFonts w:ascii="Arial Narrow" w:eastAsia="Times New Roman" w:hAnsi="Arial Narrow"/>
                <w:sz w:val="20"/>
              </w:rPr>
              <w:t>0.37 (0.29 to 0.49)</w:t>
            </w:r>
          </w:p>
        </w:tc>
        <w:tc>
          <w:tcPr>
            <w:tcW w:w="874" w:type="pct"/>
            <w:noWrap/>
            <w:vAlign w:val="center"/>
            <w:hideMark/>
          </w:tcPr>
          <w:p w:rsidR="00B2608F" w:rsidRPr="00226B30" w:rsidRDefault="00B2608F" w:rsidP="001E08C1">
            <w:pPr>
              <w:keepNext/>
              <w:widowControl/>
              <w:ind w:left="0" w:right="0"/>
              <w:jc w:val="center"/>
              <w:rPr>
                <w:rFonts w:ascii="Arial Narrow" w:eastAsia="Times New Roman" w:hAnsi="Arial Narrow"/>
                <w:sz w:val="20"/>
              </w:rPr>
            </w:pPr>
            <w:r w:rsidRPr="00226B30">
              <w:rPr>
                <w:rFonts w:ascii="Arial Narrow" w:eastAsia="Times New Roman" w:hAnsi="Arial Narrow"/>
                <w:sz w:val="20"/>
              </w:rPr>
              <w:t>0.32 (0.26 to 0.38)</w:t>
            </w:r>
          </w:p>
        </w:tc>
      </w:tr>
    </w:tbl>
    <w:p w:rsidR="00B2608F" w:rsidRPr="00226B30" w:rsidRDefault="00B2608F" w:rsidP="001E08C1">
      <w:pPr>
        <w:pStyle w:val="Tablefooter8pt"/>
        <w:rPr>
          <w:rFonts w:eastAsia="Calibri"/>
          <w:lang w:val="en-US" w:eastAsia="zh-CN"/>
        </w:rPr>
      </w:pPr>
      <w:r w:rsidRPr="00226B30">
        <w:rPr>
          <w:rFonts w:eastAsia="Calibri"/>
          <w:lang w:val="en-US" w:eastAsia="zh-CN"/>
        </w:rPr>
        <w:t>Source: Table B.7-14, page 133 July 2017 resubmission.</w:t>
      </w:r>
    </w:p>
    <w:p w:rsidR="00B2608F" w:rsidRPr="00226B30" w:rsidRDefault="00E707A8" w:rsidP="001E08C1">
      <w:pPr>
        <w:pStyle w:val="Tablefooter8pt"/>
        <w:rPr>
          <w:rFonts w:eastAsia="Calibri"/>
          <w:lang w:eastAsia="zh-CN"/>
        </w:rPr>
      </w:pPr>
      <w:r w:rsidRPr="00226B30">
        <w:rPr>
          <w:rFonts w:eastAsia="Calibri"/>
          <w:lang w:eastAsia="zh-CN"/>
        </w:rPr>
        <w:t xml:space="preserve">Abbreviations: CI = </w:t>
      </w:r>
      <w:r w:rsidR="00B2608F" w:rsidRPr="00226B30">
        <w:rPr>
          <w:rFonts w:eastAsia="Calibri"/>
          <w:lang w:eastAsia="zh-CN"/>
        </w:rPr>
        <w:t>confidence interval.</w:t>
      </w:r>
    </w:p>
    <w:p w:rsidR="00B2608F" w:rsidRPr="00226B30" w:rsidRDefault="004B591C" w:rsidP="001E08C1">
      <w:pPr>
        <w:pStyle w:val="BodyText"/>
        <w:widowControl/>
        <w:spacing w:after="120"/>
        <w:rPr>
          <w:rFonts w:ascii="Arial Narrow" w:eastAsia="Calibri" w:hAnsi="Arial Narrow" w:cs="Calibri"/>
          <w:sz w:val="16"/>
          <w:szCs w:val="16"/>
          <w:lang w:eastAsia="zh-CN"/>
        </w:rPr>
      </w:pPr>
      <w:r w:rsidRPr="00226B30">
        <w:rPr>
          <w:rFonts w:ascii="Arial Narrow" w:eastAsia="Calibri" w:hAnsi="Arial Narrow" w:cs="Calibri"/>
          <w:sz w:val="16"/>
          <w:szCs w:val="16"/>
          <w:lang w:eastAsia="zh-CN"/>
        </w:rPr>
        <w:t>* The analyses for TRAFFIC or TRANSPORT included events through to week 24. The pulmonary exacerbations analyses for PROGRESS included events throughout the cumulative study period (TRAFFIC or TRANSPORT and PROGRESS), such that the placebo transitioned to lumacaftor/ivacaftor group received up to 96 weeks of active treatment and the lumacaftor/ivacaftor group received up to 120 weeks of active treatment.</w:t>
      </w:r>
    </w:p>
    <w:p w:rsidR="003D6F80" w:rsidRPr="00226B30" w:rsidRDefault="006A5B43" w:rsidP="00C10120">
      <w:pPr>
        <w:pStyle w:val="ListParagraph"/>
        <w:widowControl/>
        <w:numPr>
          <w:ilvl w:val="1"/>
          <w:numId w:val="13"/>
        </w:numPr>
        <w:spacing w:after="120"/>
        <w:ind w:left="709" w:hanging="709"/>
        <w:contextualSpacing w:val="0"/>
        <w:rPr>
          <w:rFonts w:asciiTheme="minorHAnsi" w:hAnsiTheme="minorHAnsi"/>
          <w:sz w:val="24"/>
        </w:rPr>
      </w:pPr>
      <w:bookmarkStart w:id="34" w:name="_Hlk479763225"/>
      <w:r w:rsidRPr="00226B30">
        <w:rPr>
          <w:rFonts w:asciiTheme="minorHAnsi" w:hAnsiTheme="minorHAnsi"/>
          <w:sz w:val="24"/>
        </w:rPr>
        <w:t xml:space="preserve">The PSCR (p2) noted that </w:t>
      </w:r>
      <w:r w:rsidR="00B04173" w:rsidRPr="00226B30">
        <w:rPr>
          <w:rFonts w:asciiTheme="minorHAnsi" w:hAnsiTheme="minorHAnsi"/>
          <w:sz w:val="24"/>
        </w:rPr>
        <w:t>the absolute PE event rate p</w:t>
      </w:r>
      <w:r w:rsidRPr="00226B30">
        <w:rPr>
          <w:rFonts w:asciiTheme="minorHAnsi" w:hAnsiTheme="minorHAnsi"/>
          <w:sz w:val="24"/>
        </w:rPr>
        <w:t xml:space="preserve">er patient-year for patients treated with lumacaftor/ivacaftor in </w:t>
      </w:r>
      <w:r w:rsidR="0028554B" w:rsidRPr="00226B30">
        <w:rPr>
          <w:rFonts w:asciiTheme="minorHAnsi" w:hAnsiTheme="minorHAnsi"/>
          <w:sz w:val="24"/>
        </w:rPr>
        <w:t xml:space="preserve">TRAFFIC/TRANSPORT </w:t>
      </w:r>
      <w:r w:rsidRPr="00226B30">
        <w:rPr>
          <w:rFonts w:asciiTheme="minorHAnsi" w:hAnsiTheme="minorHAnsi"/>
          <w:sz w:val="24"/>
        </w:rPr>
        <w:t>remain</w:t>
      </w:r>
      <w:r w:rsidR="0028554B">
        <w:rPr>
          <w:rFonts w:asciiTheme="minorHAnsi" w:hAnsiTheme="minorHAnsi"/>
          <w:sz w:val="24"/>
        </w:rPr>
        <w:t>ed</w:t>
      </w:r>
      <w:r w:rsidRPr="00226B30">
        <w:rPr>
          <w:rFonts w:asciiTheme="minorHAnsi" w:hAnsiTheme="minorHAnsi"/>
          <w:sz w:val="24"/>
        </w:rPr>
        <w:t xml:space="preserve"> similar </w:t>
      </w:r>
      <w:r w:rsidR="0028554B">
        <w:rPr>
          <w:rFonts w:asciiTheme="minorHAnsi" w:hAnsiTheme="minorHAnsi"/>
          <w:sz w:val="24"/>
        </w:rPr>
        <w:t>in</w:t>
      </w:r>
      <w:r w:rsidR="0028554B" w:rsidRPr="00226B30">
        <w:rPr>
          <w:rFonts w:asciiTheme="minorHAnsi" w:hAnsiTheme="minorHAnsi"/>
          <w:sz w:val="24"/>
        </w:rPr>
        <w:t xml:space="preserve"> PROGRESS</w:t>
      </w:r>
      <w:r w:rsidRPr="00226B30">
        <w:rPr>
          <w:rFonts w:asciiTheme="minorHAnsi" w:hAnsiTheme="minorHAnsi"/>
          <w:sz w:val="24"/>
        </w:rPr>
        <w:t xml:space="preserve">; that is, the rate of PEs is approximately halved by lumacaftor/ivacaftor relative to placebo and this is maintained in patients who are treated for up to 120 weeks. </w:t>
      </w:r>
      <w:r w:rsidR="003D6F80" w:rsidRPr="00226B30">
        <w:rPr>
          <w:rFonts w:asciiTheme="minorHAnsi" w:hAnsiTheme="minorHAnsi"/>
          <w:sz w:val="24"/>
        </w:rPr>
        <w:t xml:space="preserve">The ESC </w:t>
      </w:r>
      <w:r w:rsidRPr="00226B30">
        <w:rPr>
          <w:rFonts w:asciiTheme="minorHAnsi" w:hAnsiTheme="minorHAnsi"/>
          <w:sz w:val="24"/>
        </w:rPr>
        <w:t xml:space="preserve">further </w:t>
      </w:r>
      <w:r w:rsidR="003D6F80" w:rsidRPr="00226B30">
        <w:rPr>
          <w:rFonts w:asciiTheme="minorHAnsi" w:hAnsiTheme="minorHAnsi"/>
          <w:sz w:val="24"/>
        </w:rPr>
        <w:t xml:space="preserve">noted </w:t>
      </w:r>
      <w:r w:rsidRPr="00226B30">
        <w:rPr>
          <w:rFonts w:asciiTheme="minorHAnsi" w:hAnsiTheme="minorHAnsi"/>
          <w:sz w:val="24"/>
        </w:rPr>
        <w:t xml:space="preserve">that </w:t>
      </w:r>
      <w:r w:rsidR="003D6F80" w:rsidRPr="00226B30">
        <w:rPr>
          <w:rFonts w:asciiTheme="minorHAnsi" w:hAnsiTheme="minorHAnsi"/>
          <w:sz w:val="24"/>
        </w:rPr>
        <w:t>the PE</w:t>
      </w:r>
      <w:r w:rsidRPr="00226B30">
        <w:rPr>
          <w:rFonts w:asciiTheme="minorHAnsi" w:hAnsiTheme="minorHAnsi"/>
          <w:sz w:val="24"/>
        </w:rPr>
        <w:t xml:space="preserve"> event rate</w:t>
      </w:r>
      <w:r w:rsidR="003D6F80" w:rsidRPr="00226B30">
        <w:rPr>
          <w:rFonts w:asciiTheme="minorHAnsi" w:hAnsiTheme="minorHAnsi"/>
          <w:sz w:val="24"/>
        </w:rPr>
        <w:t xml:space="preserve"> in the </w:t>
      </w:r>
      <w:r w:rsidRPr="00226B30">
        <w:rPr>
          <w:rFonts w:asciiTheme="minorHAnsi" w:hAnsiTheme="minorHAnsi"/>
          <w:sz w:val="24"/>
        </w:rPr>
        <w:t xml:space="preserve">patients treated with placebo in TRAFFIC/TRANSPORT </w:t>
      </w:r>
      <w:r w:rsidR="003D6F80" w:rsidRPr="00226B30">
        <w:rPr>
          <w:rFonts w:asciiTheme="minorHAnsi" w:hAnsiTheme="minorHAnsi"/>
          <w:sz w:val="24"/>
        </w:rPr>
        <w:t>fell after transition to lumacaftor/ivacaftor</w:t>
      </w:r>
      <w:r w:rsidRPr="00226B30">
        <w:rPr>
          <w:rFonts w:asciiTheme="minorHAnsi" w:hAnsiTheme="minorHAnsi"/>
          <w:sz w:val="24"/>
        </w:rPr>
        <w:t xml:space="preserve"> treatment in PROGRESS</w:t>
      </w:r>
      <w:r w:rsidR="003D6F80" w:rsidRPr="00226B30">
        <w:rPr>
          <w:rFonts w:asciiTheme="minorHAnsi" w:hAnsiTheme="minorHAnsi"/>
          <w:sz w:val="24"/>
        </w:rPr>
        <w:t>. The ESC noted that</w:t>
      </w:r>
      <w:r w:rsidR="001926CA" w:rsidRPr="00226B30">
        <w:rPr>
          <w:rFonts w:asciiTheme="minorHAnsi" w:hAnsiTheme="minorHAnsi"/>
          <w:sz w:val="24"/>
        </w:rPr>
        <w:t xml:space="preserve"> it was unclear whether</w:t>
      </w:r>
      <w:r w:rsidR="003D6F80" w:rsidRPr="00226B30">
        <w:rPr>
          <w:rFonts w:asciiTheme="minorHAnsi" w:hAnsiTheme="minorHAnsi"/>
          <w:sz w:val="24"/>
        </w:rPr>
        <w:t xml:space="preserve"> this </w:t>
      </w:r>
      <w:r w:rsidRPr="00226B30">
        <w:rPr>
          <w:rFonts w:asciiTheme="minorHAnsi" w:hAnsiTheme="minorHAnsi"/>
          <w:sz w:val="24"/>
        </w:rPr>
        <w:t>decrease in PE events may have</w:t>
      </w:r>
      <w:r w:rsidR="003D6F80" w:rsidRPr="00226B30">
        <w:rPr>
          <w:rFonts w:asciiTheme="minorHAnsi" w:hAnsiTheme="minorHAnsi"/>
          <w:sz w:val="24"/>
        </w:rPr>
        <w:t xml:space="preserve"> occurred independently of changes i</w:t>
      </w:r>
      <w:r w:rsidRPr="00226B30">
        <w:rPr>
          <w:rFonts w:asciiTheme="minorHAnsi" w:hAnsiTheme="minorHAnsi"/>
          <w:sz w:val="24"/>
        </w:rPr>
        <w:t>n</w:t>
      </w:r>
      <w:r w:rsidR="003D6F80" w:rsidRPr="00226B30">
        <w:rPr>
          <w:rFonts w:asciiTheme="minorHAnsi" w:hAnsiTheme="minorHAnsi"/>
          <w:sz w:val="24"/>
        </w:rPr>
        <w:t xml:space="preserve"> </w:t>
      </w:r>
      <w:r w:rsidR="001926CA" w:rsidRPr="00226B30">
        <w:rPr>
          <w:rFonts w:asciiTheme="minorHAnsi" w:hAnsiTheme="minorHAnsi"/>
          <w:sz w:val="24"/>
        </w:rPr>
        <w:t>pp</w:t>
      </w:r>
      <w:r w:rsidR="003D6F80" w:rsidRPr="00226B30">
        <w:rPr>
          <w:rFonts w:asciiTheme="minorHAnsi" w:hAnsiTheme="minorHAnsi"/>
          <w:sz w:val="24"/>
        </w:rPr>
        <w:t>FEV</w:t>
      </w:r>
      <w:r w:rsidR="003D6F80" w:rsidRPr="00226B30">
        <w:rPr>
          <w:rFonts w:asciiTheme="minorHAnsi" w:hAnsiTheme="minorHAnsi"/>
          <w:sz w:val="24"/>
          <w:vertAlign w:val="subscript"/>
        </w:rPr>
        <w:t>1</w:t>
      </w:r>
      <w:r w:rsidR="003D6F80" w:rsidRPr="00226B30">
        <w:rPr>
          <w:rFonts w:asciiTheme="minorHAnsi" w:hAnsiTheme="minorHAnsi"/>
          <w:sz w:val="24"/>
        </w:rPr>
        <w:t>.</w:t>
      </w:r>
    </w:p>
    <w:p w:rsidR="00B2608F" w:rsidRPr="00226B30" w:rsidRDefault="00B2608F" w:rsidP="00C10120">
      <w:pPr>
        <w:pStyle w:val="ListParagraph"/>
        <w:widowControl/>
        <w:numPr>
          <w:ilvl w:val="1"/>
          <w:numId w:val="13"/>
        </w:numPr>
        <w:spacing w:after="120"/>
        <w:ind w:left="709" w:hanging="709"/>
        <w:contextualSpacing w:val="0"/>
        <w:rPr>
          <w:rFonts w:asciiTheme="minorHAnsi" w:hAnsiTheme="minorHAnsi"/>
          <w:sz w:val="24"/>
        </w:rPr>
      </w:pPr>
      <w:r w:rsidRPr="00226B30">
        <w:rPr>
          <w:rFonts w:asciiTheme="minorHAnsi" w:hAnsiTheme="minorHAnsi"/>
          <w:sz w:val="24"/>
        </w:rPr>
        <w:t xml:space="preserve">The changes from baseline in CFQ-R in TRAFFIC, TRANSPORT and PROGRESS are shown in Table </w:t>
      </w:r>
      <w:r w:rsidR="003C370C" w:rsidRPr="00226B30">
        <w:rPr>
          <w:rFonts w:asciiTheme="minorHAnsi" w:hAnsiTheme="minorHAnsi"/>
          <w:sz w:val="24"/>
        </w:rPr>
        <w:t>7</w:t>
      </w:r>
      <w:r w:rsidRPr="00226B30">
        <w:rPr>
          <w:rFonts w:asciiTheme="minorHAnsi" w:hAnsiTheme="minorHAnsi"/>
          <w:sz w:val="24"/>
        </w:rPr>
        <w:t xml:space="preserve">. </w:t>
      </w:r>
      <w:bookmarkStart w:id="35" w:name="_Hlk479685143"/>
      <w:r w:rsidR="00B90387">
        <w:rPr>
          <w:rFonts w:asciiTheme="minorHAnsi" w:hAnsiTheme="minorHAnsi"/>
          <w:sz w:val="24"/>
        </w:rPr>
        <w:t xml:space="preserve">The numerical improvement observed in CFQ-R at 24 weeks for lumacaftor/ivacaftor treated patients was not statistically significantly different to the improvement observed in placebo treated patients. </w:t>
      </w:r>
      <w:r w:rsidR="003310F5">
        <w:rPr>
          <w:rFonts w:asciiTheme="minorHAnsi" w:hAnsiTheme="minorHAnsi"/>
          <w:sz w:val="24"/>
        </w:rPr>
        <w:t>Furthermore, t</w:t>
      </w:r>
      <w:r w:rsidR="00516BDA" w:rsidRPr="00226B30">
        <w:rPr>
          <w:rFonts w:asciiTheme="minorHAnsi" w:hAnsiTheme="minorHAnsi"/>
          <w:sz w:val="24"/>
        </w:rPr>
        <w:t>he ESC noted that w</w:t>
      </w:r>
      <w:r w:rsidRPr="00226B30">
        <w:rPr>
          <w:rFonts w:asciiTheme="minorHAnsi" w:hAnsiTheme="minorHAnsi"/>
          <w:sz w:val="24"/>
        </w:rPr>
        <w:t xml:space="preserve">hile </w:t>
      </w:r>
      <w:r w:rsidR="003310F5">
        <w:rPr>
          <w:rFonts w:asciiTheme="minorHAnsi" w:hAnsiTheme="minorHAnsi"/>
          <w:sz w:val="24"/>
        </w:rPr>
        <w:t xml:space="preserve">the </w:t>
      </w:r>
      <w:r w:rsidRPr="00226B30">
        <w:rPr>
          <w:rFonts w:asciiTheme="minorHAnsi" w:hAnsiTheme="minorHAnsi"/>
          <w:sz w:val="24"/>
        </w:rPr>
        <w:t>improvement for the mean respiratory domain score seen at 24 weeks in the lumacaftor/ivacaftor treated group appeared to be maintained at weeks 72 and 96</w:t>
      </w:r>
      <w:r w:rsidR="001301AE" w:rsidRPr="00226B30">
        <w:rPr>
          <w:rFonts w:asciiTheme="minorHAnsi" w:hAnsiTheme="minorHAnsi"/>
          <w:sz w:val="24"/>
        </w:rPr>
        <w:t xml:space="preserve"> of PROGRESS</w:t>
      </w:r>
      <w:r w:rsidRPr="00226B30">
        <w:rPr>
          <w:rFonts w:asciiTheme="minorHAnsi" w:hAnsiTheme="minorHAnsi"/>
          <w:sz w:val="24"/>
        </w:rPr>
        <w:t>, the difference from baseline in the</w:t>
      </w:r>
      <w:r w:rsidR="007D6C9F">
        <w:rPr>
          <w:rFonts w:asciiTheme="minorHAnsi" w:hAnsiTheme="minorHAnsi"/>
          <w:sz w:val="24"/>
        </w:rPr>
        <w:t xml:space="preserve"> patients </w:t>
      </w:r>
      <w:r w:rsidR="00940F3A" w:rsidRPr="00226B30">
        <w:rPr>
          <w:rFonts w:asciiTheme="minorHAnsi" w:hAnsiTheme="minorHAnsi"/>
          <w:sz w:val="24"/>
        </w:rPr>
        <w:t>who</w:t>
      </w:r>
      <w:r w:rsidRPr="00226B30">
        <w:rPr>
          <w:rFonts w:asciiTheme="minorHAnsi" w:hAnsiTheme="minorHAnsi"/>
          <w:sz w:val="24"/>
        </w:rPr>
        <w:t xml:space="preserve"> transitioned </w:t>
      </w:r>
      <w:r w:rsidR="00940F3A" w:rsidRPr="00226B30">
        <w:rPr>
          <w:rFonts w:asciiTheme="minorHAnsi" w:hAnsiTheme="minorHAnsi"/>
          <w:sz w:val="24"/>
        </w:rPr>
        <w:t xml:space="preserve">from placebo </w:t>
      </w:r>
      <w:r w:rsidRPr="00226B30">
        <w:rPr>
          <w:rFonts w:asciiTheme="minorHAnsi" w:hAnsiTheme="minorHAnsi"/>
          <w:sz w:val="24"/>
        </w:rPr>
        <w:t xml:space="preserve">to lumacaftor/ivacaftor </w:t>
      </w:r>
      <w:r w:rsidR="00940F3A" w:rsidRPr="00226B30">
        <w:rPr>
          <w:rFonts w:asciiTheme="minorHAnsi" w:hAnsiTheme="minorHAnsi"/>
          <w:sz w:val="24"/>
        </w:rPr>
        <w:t xml:space="preserve">was not statistically significant </w:t>
      </w:r>
      <w:r w:rsidRPr="00226B30">
        <w:rPr>
          <w:rFonts w:asciiTheme="minorHAnsi" w:hAnsiTheme="minorHAnsi"/>
          <w:sz w:val="24"/>
        </w:rPr>
        <w:t xml:space="preserve">at weeks 72 and 96. </w:t>
      </w:r>
    </w:p>
    <w:p w:rsidR="003D6F80" w:rsidRPr="00226B30" w:rsidRDefault="003D6F80" w:rsidP="00C10120">
      <w:pPr>
        <w:pStyle w:val="ListParagraph"/>
        <w:widowControl/>
        <w:numPr>
          <w:ilvl w:val="1"/>
          <w:numId w:val="13"/>
        </w:numPr>
        <w:spacing w:after="120"/>
        <w:ind w:left="709" w:hanging="709"/>
        <w:contextualSpacing w:val="0"/>
        <w:rPr>
          <w:rFonts w:asciiTheme="minorHAnsi" w:hAnsiTheme="minorHAnsi"/>
          <w:sz w:val="24"/>
        </w:rPr>
      </w:pPr>
      <w:r w:rsidRPr="00226B30">
        <w:rPr>
          <w:rFonts w:asciiTheme="minorHAnsi" w:hAnsiTheme="minorHAnsi"/>
          <w:sz w:val="24"/>
        </w:rPr>
        <w:t xml:space="preserve">The ESC noted </w:t>
      </w:r>
      <w:r w:rsidR="005F2499" w:rsidRPr="00226B30">
        <w:rPr>
          <w:rFonts w:asciiTheme="minorHAnsi" w:hAnsiTheme="minorHAnsi"/>
          <w:sz w:val="24"/>
        </w:rPr>
        <w:t xml:space="preserve">an </w:t>
      </w:r>
      <w:r w:rsidRPr="00226B30">
        <w:rPr>
          <w:rFonts w:asciiTheme="minorHAnsi" w:hAnsiTheme="minorHAnsi"/>
          <w:sz w:val="24"/>
        </w:rPr>
        <w:t xml:space="preserve">improvement in the mean </w:t>
      </w:r>
      <w:r w:rsidR="005F2499" w:rsidRPr="00226B30">
        <w:rPr>
          <w:rFonts w:asciiTheme="minorHAnsi" w:hAnsiTheme="minorHAnsi"/>
          <w:sz w:val="24"/>
        </w:rPr>
        <w:t xml:space="preserve">CFQ-R </w:t>
      </w:r>
      <w:r w:rsidRPr="00226B30">
        <w:rPr>
          <w:rFonts w:asciiTheme="minorHAnsi" w:hAnsiTheme="minorHAnsi"/>
          <w:sz w:val="24"/>
        </w:rPr>
        <w:t xml:space="preserve">respiratory domain score compared </w:t>
      </w:r>
      <w:r w:rsidR="005F2499" w:rsidRPr="00226B30">
        <w:rPr>
          <w:rFonts w:asciiTheme="minorHAnsi" w:hAnsiTheme="minorHAnsi"/>
          <w:sz w:val="24"/>
        </w:rPr>
        <w:t>with</w:t>
      </w:r>
      <w:r w:rsidRPr="00226B30">
        <w:rPr>
          <w:rFonts w:asciiTheme="minorHAnsi" w:hAnsiTheme="minorHAnsi"/>
          <w:sz w:val="24"/>
        </w:rPr>
        <w:t xml:space="preserve"> baseline at 72 weeks</w:t>
      </w:r>
      <w:r w:rsidR="005F2499" w:rsidRPr="00226B30">
        <w:rPr>
          <w:rFonts w:asciiTheme="minorHAnsi" w:hAnsiTheme="minorHAnsi"/>
          <w:sz w:val="24"/>
        </w:rPr>
        <w:t xml:space="preserve"> in PROGRESS</w:t>
      </w:r>
      <w:r w:rsidRPr="00226B30">
        <w:rPr>
          <w:rFonts w:asciiTheme="minorHAnsi" w:hAnsiTheme="minorHAnsi"/>
          <w:sz w:val="24"/>
        </w:rPr>
        <w:t xml:space="preserve"> </w:t>
      </w:r>
      <w:r w:rsidR="005F2499" w:rsidRPr="00226B30">
        <w:rPr>
          <w:rFonts w:asciiTheme="minorHAnsi" w:hAnsiTheme="minorHAnsi"/>
          <w:sz w:val="24"/>
        </w:rPr>
        <w:t>for</w:t>
      </w:r>
      <w:r w:rsidRPr="00226B30">
        <w:rPr>
          <w:rFonts w:asciiTheme="minorHAnsi" w:hAnsiTheme="minorHAnsi"/>
          <w:sz w:val="24"/>
        </w:rPr>
        <w:t xml:space="preserve"> the group </w:t>
      </w:r>
      <w:r w:rsidR="005F2499" w:rsidRPr="00226B30">
        <w:rPr>
          <w:rFonts w:asciiTheme="minorHAnsi" w:hAnsiTheme="minorHAnsi"/>
          <w:sz w:val="24"/>
        </w:rPr>
        <w:t xml:space="preserve">of patients who </w:t>
      </w:r>
      <w:r w:rsidRPr="00226B30">
        <w:rPr>
          <w:rFonts w:asciiTheme="minorHAnsi" w:hAnsiTheme="minorHAnsi"/>
          <w:sz w:val="24"/>
        </w:rPr>
        <w:t xml:space="preserve">transitioned from placebo to lumacaftor/ivacaftor. However, this </w:t>
      </w:r>
      <w:r w:rsidR="005F2499" w:rsidRPr="00226B30">
        <w:rPr>
          <w:rFonts w:asciiTheme="minorHAnsi" w:hAnsiTheme="minorHAnsi"/>
          <w:sz w:val="24"/>
        </w:rPr>
        <w:t xml:space="preserve">improvement </w:t>
      </w:r>
      <w:r w:rsidRPr="00226B30">
        <w:rPr>
          <w:rFonts w:asciiTheme="minorHAnsi" w:hAnsiTheme="minorHAnsi"/>
          <w:sz w:val="24"/>
        </w:rPr>
        <w:t>was not seen at 96 weeks</w:t>
      </w:r>
      <w:r w:rsidR="00940F3A" w:rsidRPr="00226B30">
        <w:rPr>
          <w:rFonts w:asciiTheme="minorHAnsi" w:hAnsiTheme="minorHAnsi"/>
          <w:sz w:val="24"/>
        </w:rPr>
        <w:t>,</w:t>
      </w:r>
      <w:r w:rsidR="005F2499" w:rsidRPr="00226B30">
        <w:rPr>
          <w:rFonts w:asciiTheme="minorHAnsi" w:hAnsiTheme="minorHAnsi"/>
          <w:sz w:val="24"/>
        </w:rPr>
        <w:t xml:space="preserve"> </w:t>
      </w:r>
      <w:r w:rsidRPr="00226B30">
        <w:rPr>
          <w:rFonts w:asciiTheme="minorHAnsi" w:hAnsiTheme="minorHAnsi"/>
          <w:sz w:val="24"/>
        </w:rPr>
        <w:t>despite the improvements in PEs seen in this transition group.</w:t>
      </w:r>
    </w:p>
    <w:bookmarkEnd w:id="34"/>
    <w:p w:rsidR="003D6F80" w:rsidRPr="00226B30" w:rsidRDefault="00B2608F" w:rsidP="00C10120">
      <w:pPr>
        <w:pStyle w:val="ListParagraph"/>
        <w:widowControl/>
        <w:numPr>
          <w:ilvl w:val="1"/>
          <w:numId w:val="13"/>
        </w:numPr>
        <w:spacing w:after="120"/>
        <w:ind w:left="709" w:hanging="709"/>
        <w:contextualSpacing w:val="0"/>
        <w:rPr>
          <w:rFonts w:asciiTheme="minorHAnsi" w:hAnsiTheme="minorHAnsi"/>
          <w:sz w:val="24"/>
        </w:rPr>
      </w:pPr>
      <w:r w:rsidRPr="00226B30">
        <w:rPr>
          <w:rFonts w:asciiTheme="minorHAnsi" w:hAnsiTheme="minorHAnsi"/>
          <w:sz w:val="24"/>
        </w:rPr>
        <w:t xml:space="preserve">The absolute change from baseline in </w:t>
      </w:r>
      <w:r w:rsidR="00DD414A" w:rsidRPr="00226B30">
        <w:rPr>
          <w:rFonts w:asciiTheme="minorHAnsi" w:hAnsiTheme="minorHAnsi"/>
          <w:sz w:val="24"/>
        </w:rPr>
        <w:t>body mass index (</w:t>
      </w:r>
      <w:r w:rsidRPr="00226B30">
        <w:rPr>
          <w:rFonts w:asciiTheme="minorHAnsi" w:hAnsiTheme="minorHAnsi"/>
          <w:sz w:val="24"/>
        </w:rPr>
        <w:t>BMI</w:t>
      </w:r>
      <w:r w:rsidR="00DD414A" w:rsidRPr="00226B30">
        <w:rPr>
          <w:rFonts w:asciiTheme="minorHAnsi" w:hAnsiTheme="minorHAnsi"/>
          <w:sz w:val="24"/>
        </w:rPr>
        <w:t>)</w:t>
      </w:r>
      <w:r w:rsidRPr="00226B30">
        <w:rPr>
          <w:rFonts w:asciiTheme="minorHAnsi" w:hAnsiTheme="minorHAnsi"/>
          <w:sz w:val="24"/>
        </w:rPr>
        <w:t xml:space="preserve"> continued </w:t>
      </w:r>
      <w:r w:rsidR="00AE1AA6">
        <w:rPr>
          <w:rFonts w:asciiTheme="minorHAnsi" w:hAnsiTheme="minorHAnsi"/>
          <w:sz w:val="24"/>
        </w:rPr>
        <w:t xml:space="preserve">to </w:t>
      </w:r>
      <w:r w:rsidRPr="00226B30">
        <w:rPr>
          <w:rFonts w:asciiTheme="minorHAnsi" w:hAnsiTheme="minorHAnsi"/>
          <w:sz w:val="24"/>
        </w:rPr>
        <w:t xml:space="preserve">increase through </w:t>
      </w:r>
      <w:r w:rsidR="001301AE" w:rsidRPr="00226B30">
        <w:rPr>
          <w:rFonts w:asciiTheme="minorHAnsi" w:hAnsiTheme="minorHAnsi"/>
          <w:sz w:val="24"/>
        </w:rPr>
        <w:t xml:space="preserve">to </w:t>
      </w:r>
      <w:r w:rsidRPr="00226B30">
        <w:rPr>
          <w:rFonts w:asciiTheme="minorHAnsi" w:hAnsiTheme="minorHAnsi"/>
          <w:sz w:val="24"/>
        </w:rPr>
        <w:t>96</w:t>
      </w:r>
      <w:r w:rsidR="0048047D" w:rsidRPr="00226B30">
        <w:rPr>
          <w:rFonts w:asciiTheme="minorHAnsi" w:hAnsiTheme="minorHAnsi"/>
          <w:sz w:val="24"/>
        </w:rPr>
        <w:t> </w:t>
      </w:r>
      <w:r w:rsidRPr="00226B30">
        <w:rPr>
          <w:rFonts w:asciiTheme="minorHAnsi" w:hAnsiTheme="minorHAnsi"/>
          <w:sz w:val="24"/>
        </w:rPr>
        <w:t>weeks in PROGRESS</w:t>
      </w:r>
      <w:r w:rsidR="003D6F80" w:rsidRPr="00226B30">
        <w:rPr>
          <w:rFonts w:asciiTheme="minorHAnsi" w:hAnsiTheme="minorHAnsi"/>
          <w:sz w:val="24"/>
        </w:rPr>
        <w:t xml:space="preserve"> in </w:t>
      </w:r>
      <w:r w:rsidR="00940F3A" w:rsidRPr="00226B30">
        <w:rPr>
          <w:rFonts w:asciiTheme="minorHAnsi" w:hAnsiTheme="minorHAnsi"/>
          <w:sz w:val="24"/>
        </w:rPr>
        <w:t xml:space="preserve">patients previously treated with both </w:t>
      </w:r>
      <w:r w:rsidR="003D6F80" w:rsidRPr="00226B30">
        <w:rPr>
          <w:rFonts w:asciiTheme="minorHAnsi" w:hAnsiTheme="minorHAnsi"/>
          <w:sz w:val="24"/>
        </w:rPr>
        <w:t xml:space="preserve">lumacaftor/ivacaftor </w:t>
      </w:r>
      <w:r w:rsidR="00940F3A" w:rsidRPr="00226B30">
        <w:rPr>
          <w:rFonts w:asciiTheme="minorHAnsi" w:hAnsiTheme="minorHAnsi"/>
          <w:sz w:val="24"/>
        </w:rPr>
        <w:t xml:space="preserve">and </w:t>
      </w:r>
      <w:r w:rsidR="003D6F80" w:rsidRPr="00226B30">
        <w:rPr>
          <w:rFonts w:asciiTheme="minorHAnsi" w:hAnsiTheme="minorHAnsi"/>
          <w:sz w:val="24"/>
        </w:rPr>
        <w:t>placebo</w:t>
      </w:r>
      <w:r w:rsidRPr="00226B30">
        <w:rPr>
          <w:rFonts w:asciiTheme="minorHAnsi" w:hAnsiTheme="minorHAnsi"/>
          <w:sz w:val="24"/>
        </w:rPr>
        <w:t xml:space="preserve"> </w:t>
      </w:r>
      <w:r w:rsidR="00940F3A" w:rsidRPr="00226B30">
        <w:rPr>
          <w:rFonts w:asciiTheme="minorHAnsi" w:hAnsiTheme="minorHAnsi"/>
          <w:sz w:val="24"/>
        </w:rPr>
        <w:t xml:space="preserve">in TRAFFIC/TRANSPORT </w:t>
      </w:r>
      <w:r w:rsidRPr="00226B30">
        <w:rPr>
          <w:rFonts w:asciiTheme="minorHAnsi" w:hAnsiTheme="minorHAnsi"/>
          <w:sz w:val="24"/>
        </w:rPr>
        <w:t xml:space="preserve">(see Table </w:t>
      </w:r>
      <w:r w:rsidR="003C370C" w:rsidRPr="00226B30">
        <w:rPr>
          <w:rFonts w:asciiTheme="minorHAnsi" w:hAnsiTheme="minorHAnsi"/>
          <w:sz w:val="24"/>
        </w:rPr>
        <w:t>7</w:t>
      </w:r>
      <w:r w:rsidRPr="00226B30">
        <w:rPr>
          <w:rFonts w:asciiTheme="minorHAnsi" w:hAnsiTheme="minorHAnsi"/>
          <w:sz w:val="24"/>
        </w:rPr>
        <w:t xml:space="preserve">). </w:t>
      </w:r>
      <w:bookmarkEnd w:id="35"/>
    </w:p>
    <w:p w:rsidR="008A1DA3" w:rsidRDefault="008A1DA3" w:rsidP="008A1DA3">
      <w:pPr>
        <w:pStyle w:val="Caption"/>
      </w:pPr>
      <w:r>
        <w:t xml:space="preserve">Table </w:t>
      </w:r>
      <w:r w:rsidR="000056CF">
        <w:rPr>
          <w:noProof/>
        </w:rPr>
        <w:t>7</w:t>
      </w:r>
      <w:r w:rsidRPr="008D0E0C">
        <w:t>: Changes from baseline in CFQ-R respiratory domain score and BMI in TRAFFIC, TRANSPORT and PROGRESS</w:t>
      </w:r>
    </w:p>
    <w:tbl>
      <w:tblPr>
        <w:tblStyle w:val="newstyle3"/>
        <w:tblW w:w="5000" w:type="pct"/>
        <w:tblLayout w:type="fixed"/>
        <w:tblLook w:val="04A0" w:firstRow="1" w:lastRow="0" w:firstColumn="1" w:lastColumn="0" w:noHBand="0" w:noVBand="1"/>
        <w:tblCaption w:val="Changes from baseline in CFQ-R respiratory domain score and BMI in TRAFFIC, TRANSPORT and PROGRESS"/>
      </w:tblPr>
      <w:tblGrid>
        <w:gridCol w:w="1540"/>
        <w:gridCol w:w="1863"/>
        <w:gridCol w:w="1907"/>
        <w:gridCol w:w="1861"/>
        <w:gridCol w:w="1865"/>
      </w:tblGrid>
      <w:tr w:rsidR="00B2608F" w:rsidRPr="00226B30" w:rsidTr="008A1DA3">
        <w:trPr>
          <w:cnfStyle w:val="100000000000" w:firstRow="1" w:lastRow="0" w:firstColumn="0" w:lastColumn="0" w:oddVBand="0" w:evenVBand="0" w:oddHBand="0" w:evenHBand="0" w:firstRowFirstColumn="0" w:firstRowLastColumn="0" w:lastRowFirstColumn="0" w:lastRowLastColumn="0"/>
          <w:trHeight w:val="300"/>
        </w:trPr>
        <w:tc>
          <w:tcPr>
            <w:tcW w:w="852" w:type="pct"/>
            <w:vMerge w:val="restart"/>
            <w:shd w:val="clear" w:color="auto" w:fill="auto"/>
            <w:noWrap/>
            <w:hideMark/>
          </w:tcPr>
          <w:p w:rsidR="00B2608F" w:rsidRPr="00226B30" w:rsidRDefault="00B2608F" w:rsidP="001E08C1">
            <w:pPr>
              <w:keepNext/>
              <w:widowControl/>
              <w:rPr>
                <w:rFonts w:ascii="Arial Narrow" w:hAnsi="Arial Narrow" w:cs="Calibri"/>
                <w:sz w:val="16"/>
                <w:szCs w:val="16"/>
              </w:rPr>
            </w:pPr>
            <w:r w:rsidRPr="00226B30">
              <w:rPr>
                <w:rFonts w:ascii="Arial Narrow" w:hAnsi="Arial Narrow" w:cs="Calibri"/>
                <w:sz w:val="16"/>
                <w:szCs w:val="16"/>
              </w:rPr>
              <w:t> </w:t>
            </w:r>
          </w:p>
        </w:tc>
        <w:tc>
          <w:tcPr>
            <w:tcW w:w="2086" w:type="pct"/>
            <w:gridSpan w:val="2"/>
            <w:shd w:val="clear" w:color="auto" w:fill="auto"/>
            <w:noWrap/>
            <w:hideMark/>
          </w:tcPr>
          <w:p w:rsidR="00B2608F" w:rsidRPr="00226B30" w:rsidRDefault="00B2608F" w:rsidP="001E08C1">
            <w:pPr>
              <w:keepNext/>
              <w:widowControl/>
              <w:ind w:left="0" w:right="0"/>
              <w:jc w:val="center"/>
              <w:rPr>
                <w:rFonts w:ascii="Arial Narrow" w:eastAsia="Times New Roman" w:hAnsi="Arial Narrow"/>
                <w:sz w:val="20"/>
              </w:rPr>
            </w:pPr>
            <w:r w:rsidRPr="00226B30">
              <w:rPr>
                <w:rFonts w:ascii="Arial Narrow" w:eastAsia="Times New Roman" w:hAnsi="Arial Narrow"/>
                <w:sz w:val="20"/>
              </w:rPr>
              <w:t>TRAFFIC or TRANSPORT</w:t>
            </w:r>
          </w:p>
        </w:tc>
        <w:tc>
          <w:tcPr>
            <w:tcW w:w="2062" w:type="pct"/>
            <w:gridSpan w:val="2"/>
            <w:shd w:val="clear" w:color="auto" w:fill="auto"/>
            <w:noWrap/>
            <w:hideMark/>
          </w:tcPr>
          <w:p w:rsidR="00B2608F" w:rsidRPr="00226B30" w:rsidRDefault="00B2608F" w:rsidP="001E08C1">
            <w:pPr>
              <w:keepNext/>
              <w:widowControl/>
              <w:ind w:left="0" w:right="0"/>
              <w:jc w:val="center"/>
              <w:rPr>
                <w:rFonts w:ascii="Arial Narrow" w:eastAsia="Times New Roman" w:hAnsi="Arial Narrow"/>
                <w:sz w:val="20"/>
              </w:rPr>
            </w:pPr>
            <w:r w:rsidRPr="00226B30">
              <w:rPr>
                <w:rFonts w:ascii="Arial Narrow" w:eastAsia="Times New Roman" w:hAnsi="Arial Narrow"/>
                <w:sz w:val="20"/>
              </w:rPr>
              <w:t>PROGRESS</w:t>
            </w:r>
          </w:p>
        </w:tc>
      </w:tr>
      <w:tr w:rsidR="00B2608F" w:rsidRPr="00226B30" w:rsidTr="008A1DA3">
        <w:trPr>
          <w:cantSplit w:val="0"/>
          <w:trHeight w:val="463"/>
        </w:trPr>
        <w:tc>
          <w:tcPr>
            <w:tcW w:w="852" w:type="pct"/>
            <w:vMerge/>
            <w:shd w:val="clear" w:color="auto" w:fill="auto"/>
            <w:hideMark/>
          </w:tcPr>
          <w:p w:rsidR="00B2608F" w:rsidRPr="00226B30" w:rsidRDefault="00B2608F" w:rsidP="001E08C1">
            <w:pPr>
              <w:keepNext/>
              <w:widowControl/>
              <w:rPr>
                <w:rFonts w:ascii="Arial Narrow" w:hAnsi="Arial Narrow" w:cs="Calibri"/>
                <w:sz w:val="16"/>
                <w:szCs w:val="16"/>
              </w:rPr>
            </w:pPr>
          </w:p>
        </w:tc>
        <w:tc>
          <w:tcPr>
            <w:tcW w:w="1031" w:type="pct"/>
            <w:shd w:val="clear" w:color="auto" w:fill="auto"/>
            <w:noWrap/>
            <w:hideMark/>
          </w:tcPr>
          <w:p w:rsidR="00B2608F" w:rsidRPr="00226B30" w:rsidRDefault="00B2608F" w:rsidP="001E08C1">
            <w:pPr>
              <w:keepNext/>
              <w:widowControl/>
              <w:ind w:left="0" w:right="0"/>
              <w:jc w:val="center"/>
              <w:rPr>
                <w:rFonts w:ascii="Arial Narrow" w:eastAsia="Times New Roman" w:hAnsi="Arial Narrow"/>
                <w:b/>
                <w:sz w:val="20"/>
              </w:rPr>
            </w:pPr>
            <w:r w:rsidRPr="00226B30">
              <w:rPr>
                <w:rFonts w:ascii="Arial Narrow" w:eastAsia="Times New Roman" w:hAnsi="Arial Narrow"/>
                <w:b/>
                <w:sz w:val="20"/>
              </w:rPr>
              <w:t>Placebo (n=371)</w:t>
            </w:r>
          </w:p>
        </w:tc>
        <w:tc>
          <w:tcPr>
            <w:tcW w:w="1055" w:type="pct"/>
            <w:shd w:val="clear" w:color="auto" w:fill="auto"/>
            <w:hideMark/>
          </w:tcPr>
          <w:p w:rsidR="00B2608F" w:rsidRPr="00226B30" w:rsidRDefault="000815C7" w:rsidP="001E08C1">
            <w:pPr>
              <w:keepNext/>
              <w:widowControl/>
              <w:ind w:left="0" w:right="0"/>
              <w:jc w:val="center"/>
              <w:rPr>
                <w:rFonts w:ascii="Arial Narrow" w:eastAsia="Times New Roman" w:hAnsi="Arial Narrow"/>
                <w:b/>
                <w:sz w:val="20"/>
              </w:rPr>
            </w:pPr>
            <w:r w:rsidRPr="00226B30">
              <w:rPr>
                <w:rFonts w:ascii="Arial Narrow" w:eastAsia="Times New Roman" w:hAnsi="Arial Narrow"/>
                <w:b/>
                <w:sz w:val="20"/>
              </w:rPr>
              <w:t>Lumacaftor/ ivacaftor</w:t>
            </w:r>
            <w:r w:rsidR="00B2608F" w:rsidRPr="00226B30">
              <w:rPr>
                <w:rFonts w:ascii="Arial Narrow" w:eastAsia="Times New Roman" w:hAnsi="Arial Narrow"/>
                <w:b/>
                <w:sz w:val="20"/>
              </w:rPr>
              <w:t xml:space="preserve"> (n=369)</w:t>
            </w:r>
          </w:p>
        </w:tc>
        <w:tc>
          <w:tcPr>
            <w:tcW w:w="1030" w:type="pct"/>
            <w:shd w:val="clear" w:color="auto" w:fill="auto"/>
            <w:hideMark/>
          </w:tcPr>
          <w:p w:rsidR="00B2608F" w:rsidRPr="00226B30" w:rsidRDefault="00B2608F" w:rsidP="001E08C1">
            <w:pPr>
              <w:keepNext/>
              <w:widowControl/>
              <w:ind w:left="0" w:right="0"/>
              <w:jc w:val="center"/>
              <w:rPr>
                <w:rFonts w:ascii="Arial Narrow" w:eastAsia="Times New Roman" w:hAnsi="Arial Narrow"/>
                <w:b/>
                <w:sz w:val="20"/>
              </w:rPr>
            </w:pPr>
            <w:r w:rsidRPr="00226B30">
              <w:rPr>
                <w:rFonts w:ascii="Arial Narrow" w:eastAsia="Times New Roman" w:hAnsi="Arial Narrow"/>
                <w:b/>
                <w:sz w:val="20"/>
              </w:rPr>
              <w:t xml:space="preserve">Placebo transitioned to </w:t>
            </w:r>
            <w:r w:rsidR="000815C7" w:rsidRPr="00226B30">
              <w:rPr>
                <w:rFonts w:ascii="Arial Narrow" w:eastAsia="Times New Roman" w:hAnsi="Arial Narrow"/>
                <w:b/>
                <w:sz w:val="20"/>
              </w:rPr>
              <w:t>lumacaftor/ ivacaftor</w:t>
            </w:r>
            <w:r w:rsidRPr="00226B30">
              <w:rPr>
                <w:rFonts w:ascii="Arial Narrow" w:eastAsia="Times New Roman" w:hAnsi="Arial Narrow"/>
                <w:b/>
                <w:sz w:val="20"/>
              </w:rPr>
              <w:t xml:space="preserve"> (n=176)</w:t>
            </w:r>
          </w:p>
        </w:tc>
        <w:tc>
          <w:tcPr>
            <w:tcW w:w="1032" w:type="pct"/>
            <w:shd w:val="clear" w:color="auto" w:fill="auto"/>
            <w:hideMark/>
          </w:tcPr>
          <w:p w:rsidR="00B2608F" w:rsidRPr="00226B30" w:rsidRDefault="00B2608F" w:rsidP="001E08C1">
            <w:pPr>
              <w:keepNext/>
              <w:widowControl/>
              <w:ind w:left="0" w:right="0"/>
              <w:jc w:val="center"/>
              <w:rPr>
                <w:rFonts w:ascii="Arial Narrow" w:eastAsia="Times New Roman" w:hAnsi="Arial Narrow"/>
                <w:b/>
                <w:sz w:val="20"/>
              </w:rPr>
            </w:pPr>
            <w:r w:rsidRPr="00226B30">
              <w:rPr>
                <w:rFonts w:ascii="Arial Narrow" w:eastAsia="Times New Roman" w:hAnsi="Arial Narrow"/>
                <w:b/>
                <w:sz w:val="20"/>
              </w:rPr>
              <w:t xml:space="preserve">Continued </w:t>
            </w:r>
            <w:r w:rsidR="000815C7" w:rsidRPr="00226B30">
              <w:rPr>
                <w:rFonts w:ascii="Arial Narrow" w:eastAsia="Times New Roman" w:hAnsi="Arial Narrow"/>
                <w:b/>
                <w:sz w:val="20"/>
              </w:rPr>
              <w:t>lumacaftor/ ivacaftor</w:t>
            </w:r>
            <w:r w:rsidRPr="00226B30">
              <w:rPr>
                <w:rFonts w:ascii="Arial Narrow" w:eastAsia="Times New Roman" w:hAnsi="Arial Narrow"/>
                <w:b/>
                <w:sz w:val="20"/>
              </w:rPr>
              <w:t xml:space="preserve"> (n=369)</w:t>
            </w:r>
          </w:p>
        </w:tc>
      </w:tr>
      <w:tr w:rsidR="00B2608F" w:rsidRPr="00226B30" w:rsidTr="008A1DA3">
        <w:trPr>
          <w:cantSplit w:val="0"/>
          <w:trHeight w:val="20"/>
        </w:trPr>
        <w:tc>
          <w:tcPr>
            <w:tcW w:w="5000" w:type="pct"/>
            <w:gridSpan w:val="5"/>
            <w:noWrap/>
            <w:hideMark/>
          </w:tcPr>
          <w:p w:rsidR="00B2608F" w:rsidRPr="00226B30" w:rsidRDefault="00B2608F" w:rsidP="001E08C1">
            <w:pPr>
              <w:keepNext/>
              <w:widowControl/>
              <w:ind w:left="0" w:right="0"/>
              <w:rPr>
                <w:rFonts w:ascii="Arial Narrow" w:eastAsia="Times New Roman" w:hAnsi="Arial Narrow"/>
                <w:sz w:val="20"/>
              </w:rPr>
            </w:pPr>
            <w:r w:rsidRPr="00226B30">
              <w:rPr>
                <w:rFonts w:ascii="Arial Narrow" w:eastAsia="Times New Roman" w:hAnsi="Arial Narrow"/>
                <w:b/>
                <w:sz w:val="20"/>
              </w:rPr>
              <w:t>Absolute change from baseline in CFQ-R respiratory domain score</w:t>
            </w:r>
            <w:r w:rsidRPr="00226B30">
              <w:rPr>
                <w:rFonts w:ascii="Arial Narrow" w:eastAsia="Times New Roman" w:hAnsi="Arial Narrow"/>
                <w:sz w:val="20"/>
              </w:rPr>
              <w:t>, least squares mean, 95% CI, (points), p value</w:t>
            </w:r>
            <w:r w:rsidRPr="00226B30">
              <w:rPr>
                <w:rFonts w:ascii="Arial Narrow" w:eastAsia="Times New Roman" w:hAnsi="Arial Narrow"/>
                <w:sz w:val="20"/>
                <w:vertAlign w:val="superscript"/>
              </w:rPr>
              <w:t>†</w:t>
            </w:r>
          </w:p>
        </w:tc>
      </w:tr>
      <w:tr w:rsidR="00B2608F" w:rsidRPr="00226B30" w:rsidTr="008A1DA3">
        <w:trPr>
          <w:cantSplit w:val="0"/>
          <w:trHeight w:val="309"/>
        </w:trPr>
        <w:tc>
          <w:tcPr>
            <w:tcW w:w="852" w:type="pct"/>
            <w:noWrap/>
            <w:hideMark/>
          </w:tcPr>
          <w:p w:rsidR="00B2608F" w:rsidRPr="00226B30" w:rsidRDefault="00B2608F" w:rsidP="001E08C1">
            <w:pPr>
              <w:keepNext/>
              <w:widowControl/>
              <w:ind w:left="0" w:right="0"/>
              <w:rPr>
                <w:rFonts w:ascii="Arial Narrow" w:eastAsia="Times New Roman" w:hAnsi="Arial Narrow"/>
                <w:sz w:val="20"/>
              </w:rPr>
            </w:pPr>
            <w:r w:rsidRPr="00226B30">
              <w:rPr>
                <w:rFonts w:ascii="Arial Narrow" w:eastAsia="Times New Roman" w:hAnsi="Arial Narrow"/>
                <w:sz w:val="20"/>
              </w:rPr>
              <w:t>Week 24</w:t>
            </w:r>
          </w:p>
        </w:tc>
        <w:tc>
          <w:tcPr>
            <w:tcW w:w="1031" w:type="pct"/>
            <w:noWrap/>
            <w:hideMark/>
          </w:tcPr>
          <w:p w:rsidR="00E21109" w:rsidRPr="00226B30" w:rsidRDefault="00B2608F" w:rsidP="001E08C1">
            <w:pPr>
              <w:keepNext/>
              <w:widowControl/>
              <w:ind w:left="0" w:right="0"/>
              <w:jc w:val="center"/>
              <w:rPr>
                <w:rFonts w:ascii="Arial Narrow" w:eastAsia="Times New Roman" w:hAnsi="Arial Narrow"/>
                <w:sz w:val="20"/>
              </w:rPr>
            </w:pPr>
            <w:r w:rsidRPr="00226B30">
              <w:rPr>
                <w:rFonts w:ascii="Arial Narrow" w:eastAsia="Times New Roman" w:hAnsi="Arial Narrow"/>
                <w:sz w:val="20"/>
              </w:rPr>
              <w:t>1.9 (0.3 to 3.5)</w:t>
            </w:r>
          </w:p>
          <w:p w:rsidR="00B2608F" w:rsidRPr="00226B30" w:rsidRDefault="00B2608F" w:rsidP="001E08C1">
            <w:pPr>
              <w:keepNext/>
              <w:widowControl/>
              <w:ind w:left="0" w:right="0"/>
              <w:jc w:val="center"/>
              <w:rPr>
                <w:rFonts w:ascii="Arial Narrow" w:eastAsia="Times New Roman" w:hAnsi="Arial Narrow"/>
                <w:sz w:val="20"/>
              </w:rPr>
            </w:pPr>
            <w:r w:rsidRPr="00226B30">
              <w:rPr>
                <w:rFonts w:ascii="Arial Narrow" w:eastAsia="Times New Roman" w:hAnsi="Arial Narrow"/>
                <w:sz w:val="20"/>
              </w:rPr>
              <w:t>p=0.0213</w:t>
            </w:r>
          </w:p>
        </w:tc>
        <w:tc>
          <w:tcPr>
            <w:tcW w:w="1055" w:type="pct"/>
            <w:noWrap/>
            <w:hideMark/>
          </w:tcPr>
          <w:p w:rsidR="00B2608F" w:rsidRPr="00226B30" w:rsidRDefault="00B2608F" w:rsidP="001E08C1">
            <w:pPr>
              <w:keepNext/>
              <w:widowControl/>
              <w:ind w:left="0" w:right="0"/>
              <w:jc w:val="center"/>
              <w:rPr>
                <w:rFonts w:ascii="Arial Narrow" w:eastAsia="Times New Roman" w:hAnsi="Arial Narrow"/>
                <w:sz w:val="20"/>
              </w:rPr>
            </w:pPr>
            <w:r w:rsidRPr="00226B30">
              <w:rPr>
                <w:rFonts w:ascii="Arial Narrow" w:eastAsia="Times New Roman" w:hAnsi="Arial Narrow"/>
                <w:sz w:val="20"/>
              </w:rPr>
              <w:t xml:space="preserve">4.1 (2.5 to 5.7) </w:t>
            </w:r>
            <w:r w:rsidRPr="00226B30">
              <w:rPr>
                <w:rFonts w:ascii="Arial Narrow" w:eastAsia="Times New Roman" w:hAnsi="Arial Narrow"/>
                <w:sz w:val="20"/>
              </w:rPr>
              <w:br/>
              <w:t>p&lt;0.0001</w:t>
            </w:r>
          </w:p>
        </w:tc>
        <w:tc>
          <w:tcPr>
            <w:tcW w:w="1030" w:type="pct"/>
            <w:noWrap/>
            <w:hideMark/>
          </w:tcPr>
          <w:p w:rsidR="00B2608F" w:rsidRPr="00226B30" w:rsidRDefault="00B2608F" w:rsidP="001E08C1">
            <w:pPr>
              <w:keepNext/>
              <w:widowControl/>
              <w:ind w:left="0" w:right="0"/>
              <w:jc w:val="center"/>
              <w:rPr>
                <w:rFonts w:ascii="Arial Narrow" w:eastAsia="Times New Roman" w:hAnsi="Arial Narrow"/>
                <w:sz w:val="20"/>
              </w:rPr>
            </w:pPr>
            <w:r w:rsidRPr="00226B30">
              <w:rPr>
                <w:rFonts w:ascii="Arial Narrow" w:eastAsia="Times New Roman" w:hAnsi="Arial Narrow"/>
                <w:sz w:val="20"/>
              </w:rPr>
              <w:t>..</w:t>
            </w:r>
          </w:p>
        </w:tc>
        <w:tc>
          <w:tcPr>
            <w:tcW w:w="1032" w:type="pct"/>
            <w:noWrap/>
            <w:hideMark/>
          </w:tcPr>
          <w:p w:rsidR="00B2608F" w:rsidRPr="00226B30" w:rsidRDefault="00B2608F" w:rsidP="001E08C1">
            <w:pPr>
              <w:keepNext/>
              <w:widowControl/>
              <w:ind w:left="0" w:right="0"/>
              <w:jc w:val="center"/>
              <w:rPr>
                <w:rFonts w:ascii="Arial Narrow" w:eastAsia="Times New Roman" w:hAnsi="Arial Narrow"/>
                <w:sz w:val="20"/>
              </w:rPr>
            </w:pPr>
            <w:r w:rsidRPr="00226B30">
              <w:rPr>
                <w:rFonts w:ascii="Arial Narrow" w:eastAsia="Times New Roman" w:hAnsi="Arial Narrow"/>
                <w:sz w:val="20"/>
              </w:rPr>
              <w:t>..</w:t>
            </w:r>
          </w:p>
        </w:tc>
      </w:tr>
      <w:tr w:rsidR="00B2608F" w:rsidRPr="00226B30" w:rsidTr="008A1DA3">
        <w:trPr>
          <w:cantSplit w:val="0"/>
          <w:trHeight w:val="491"/>
        </w:trPr>
        <w:tc>
          <w:tcPr>
            <w:tcW w:w="852" w:type="pct"/>
            <w:noWrap/>
            <w:hideMark/>
          </w:tcPr>
          <w:p w:rsidR="00B2608F" w:rsidRPr="00226B30" w:rsidRDefault="00B2608F" w:rsidP="001E08C1">
            <w:pPr>
              <w:keepNext/>
              <w:widowControl/>
              <w:ind w:left="0" w:right="0"/>
              <w:rPr>
                <w:rFonts w:ascii="Arial Narrow" w:eastAsia="Times New Roman" w:hAnsi="Arial Narrow"/>
                <w:sz w:val="20"/>
              </w:rPr>
            </w:pPr>
            <w:r w:rsidRPr="00226B30">
              <w:rPr>
                <w:rFonts w:ascii="Arial Narrow" w:eastAsia="Times New Roman" w:hAnsi="Arial Narrow"/>
                <w:sz w:val="20"/>
              </w:rPr>
              <w:t>Extension week 72</w:t>
            </w:r>
          </w:p>
        </w:tc>
        <w:tc>
          <w:tcPr>
            <w:tcW w:w="1031" w:type="pct"/>
            <w:noWrap/>
            <w:hideMark/>
          </w:tcPr>
          <w:p w:rsidR="00B2608F" w:rsidRPr="00226B30" w:rsidRDefault="00B2608F" w:rsidP="001E08C1">
            <w:pPr>
              <w:keepNext/>
              <w:widowControl/>
              <w:ind w:left="0" w:right="0"/>
              <w:jc w:val="center"/>
              <w:rPr>
                <w:rFonts w:ascii="Arial Narrow" w:eastAsia="Times New Roman" w:hAnsi="Arial Narrow"/>
                <w:sz w:val="20"/>
              </w:rPr>
            </w:pPr>
            <w:r w:rsidRPr="00226B30">
              <w:rPr>
                <w:rFonts w:ascii="Arial Narrow" w:eastAsia="Times New Roman" w:hAnsi="Arial Narrow"/>
                <w:sz w:val="20"/>
              </w:rPr>
              <w:t>··</w:t>
            </w:r>
          </w:p>
        </w:tc>
        <w:tc>
          <w:tcPr>
            <w:tcW w:w="1055" w:type="pct"/>
            <w:noWrap/>
            <w:hideMark/>
          </w:tcPr>
          <w:p w:rsidR="00B2608F" w:rsidRPr="00226B30" w:rsidRDefault="00B2608F" w:rsidP="001E08C1">
            <w:pPr>
              <w:keepNext/>
              <w:widowControl/>
              <w:ind w:left="0" w:right="0"/>
              <w:jc w:val="center"/>
              <w:rPr>
                <w:rFonts w:ascii="Arial Narrow" w:eastAsia="Times New Roman" w:hAnsi="Arial Narrow"/>
                <w:sz w:val="20"/>
              </w:rPr>
            </w:pPr>
            <w:r w:rsidRPr="00226B30">
              <w:rPr>
                <w:rFonts w:ascii="Arial Narrow" w:eastAsia="Times New Roman" w:hAnsi="Arial Narrow"/>
                <w:sz w:val="20"/>
              </w:rPr>
              <w:t>··</w:t>
            </w:r>
          </w:p>
        </w:tc>
        <w:tc>
          <w:tcPr>
            <w:tcW w:w="1030" w:type="pct"/>
            <w:noWrap/>
            <w:hideMark/>
          </w:tcPr>
          <w:p w:rsidR="00B2608F" w:rsidRPr="00226B30" w:rsidRDefault="00B2608F" w:rsidP="001E08C1">
            <w:pPr>
              <w:keepNext/>
              <w:widowControl/>
              <w:ind w:left="0" w:right="0"/>
              <w:jc w:val="center"/>
              <w:rPr>
                <w:rFonts w:ascii="Arial Narrow" w:eastAsia="Times New Roman" w:hAnsi="Arial Narrow"/>
                <w:sz w:val="20"/>
              </w:rPr>
            </w:pPr>
            <w:r w:rsidRPr="00226B30">
              <w:rPr>
                <w:rFonts w:ascii="Arial Narrow" w:eastAsia="Times New Roman" w:hAnsi="Arial Narrow"/>
                <w:sz w:val="20"/>
              </w:rPr>
              <w:t xml:space="preserve">3.3 (0.7 to 5.9) </w:t>
            </w:r>
            <w:r w:rsidRPr="00226B30">
              <w:rPr>
                <w:rFonts w:ascii="Arial Narrow" w:eastAsia="Times New Roman" w:hAnsi="Arial Narrow"/>
                <w:sz w:val="20"/>
              </w:rPr>
              <w:br/>
              <w:t>p=0.0124</w:t>
            </w:r>
          </w:p>
        </w:tc>
        <w:tc>
          <w:tcPr>
            <w:tcW w:w="1032" w:type="pct"/>
            <w:noWrap/>
            <w:hideMark/>
          </w:tcPr>
          <w:p w:rsidR="00B2608F" w:rsidRPr="00226B30" w:rsidRDefault="00B2608F" w:rsidP="001E08C1">
            <w:pPr>
              <w:keepNext/>
              <w:widowControl/>
              <w:ind w:left="0" w:right="0"/>
              <w:jc w:val="center"/>
              <w:rPr>
                <w:rFonts w:ascii="Arial Narrow" w:eastAsia="Times New Roman" w:hAnsi="Arial Narrow"/>
                <w:sz w:val="20"/>
              </w:rPr>
            </w:pPr>
            <w:r w:rsidRPr="00226B30">
              <w:rPr>
                <w:rFonts w:ascii="Arial Narrow" w:eastAsia="Times New Roman" w:hAnsi="Arial Narrow"/>
                <w:sz w:val="20"/>
              </w:rPr>
              <w:t>5.7 (3.8 to 7.5)</w:t>
            </w:r>
            <w:r w:rsidRPr="00226B30">
              <w:rPr>
                <w:rFonts w:ascii="Arial Narrow" w:eastAsia="Times New Roman" w:hAnsi="Arial Narrow"/>
                <w:sz w:val="20"/>
              </w:rPr>
              <w:br/>
              <w:t>p&lt;0.0001</w:t>
            </w:r>
          </w:p>
        </w:tc>
      </w:tr>
      <w:tr w:rsidR="00B2608F" w:rsidRPr="00226B30" w:rsidTr="008A1DA3">
        <w:trPr>
          <w:cantSplit w:val="0"/>
          <w:trHeight w:val="20"/>
        </w:trPr>
        <w:tc>
          <w:tcPr>
            <w:tcW w:w="852" w:type="pct"/>
            <w:noWrap/>
            <w:hideMark/>
          </w:tcPr>
          <w:p w:rsidR="00B2608F" w:rsidRPr="00226B30" w:rsidRDefault="00B2608F" w:rsidP="001E08C1">
            <w:pPr>
              <w:keepNext/>
              <w:widowControl/>
              <w:ind w:left="0" w:right="0"/>
              <w:rPr>
                <w:rFonts w:ascii="Arial Narrow" w:eastAsia="Times New Roman" w:hAnsi="Arial Narrow"/>
                <w:sz w:val="20"/>
              </w:rPr>
            </w:pPr>
            <w:r w:rsidRPr="00226B30">
              <w:rPr>
                <w:rFonts w:ascii="Arial Narrow" w:eastAsia="Times New Roman" w:hAnsi="Arial Narrow"/>
                <w:sz w:val="20"/>
              </w:rPr>
              <w:t>Extension week 96</w:t>
            </w:r>
          </w:p>
        </w:tc>
        <w:tc>
          <w:tcPr>
            <w:tcW w:w="1031" w:type="pct"/>
            <w:noWrap/>
            <w:hideMark/>
          </w:tcPr>
          <w:p w:rsidR="00B2608F" w:rsidRPr="00226B30" w:rsidRDefault="00B2608F" w:rsidP="001E08C1">
            <w:pPr>
              <w:keepNext/>
              <w:widowControl/>
              <w:ind w:left="0" w:right="0"/>
              <w:jc w:val="center"/>
              <w:rPr>
                <w:rFonts w:ascii="Arial Narrow" w:eastAsia="Times New Roman" w:hAnsi="Arial Narrow"/>
                <w:sz w:val="20"/>
              </w:rPr>
            </w:pPr>
            <w:r w:rsidRPr="00226B30">
              <w:rPr>
                <w:rFonts w:ascii="Arial Narrow" w:eastAsia="Times New Roman" w:hAnsi="Arial Narrow"/>
                <w:sz w:val="20"/>
              </w:rPr>
              <w:t>··</w:t>
            </w:r>
          </w:p>
        </w:tc>
        <w:tc>
          <w:tcPr>
            <w:tcW w:w="1055" w:type="pct"/>
            <w:noWrap/>
            <w:hideMark/>
          </w:tcPr>
          <w:p w:rsidR="00B2608F" w:rsidRPr="00226B30" w:rsidRDefault="00B2608F" w:rsidP="001E08C1">
            <w:pPr>
              <w:keepNext/>
              <w:widowControl/>
              <w:ind w:left="0" w:right="0"/>
              <w:jc w:val="center"/>
              <w:rPr>
                <w:rFonts w:ascii="Arial Narrow" w:eastAsia="Times New Roman" w:hAnsi="Arial Narrow"/>
                <w:sz w:val="20"/>
              </w:rPr>
            </w:pPr>
            <w:r w:rsidRPr="00226B30">
              <w:rPr>
                <w:rFonts w:ascii="Arial Narrow" w:eastAsia="Times New Roman" w:hAnsi="Arial Narrow"/>
                <w:sz w:val="20"/>
              </w:rPr>
              <w:t>··</w:t>
            </w:r>
          </w:p>
        </w:tc>
        <w:tc>
          <w:tcPr>
            <w:tcW w:w="1030" w:type="pct"/>
            <w:noWrap/>
            <w:hideMark/>
          </w:tcPr>
          <w:p w:rsidR="00B2608F" w:rsidRPr="00226B30" w:rsidRDefault="00B2608F" w:rsidP="001E08C1">
            <w:pPr>
              <w:keepNext/>
              <w:widowControl/>
              <w:ind w:left="0" w:right="0"/>
              <w:jc w:val="center"/>
              <w:rPr>
                <w:rFonts w:ascii="Arial Narrow" w:eastAsia="Times New Roman" w:hAnsi="Arial Narrow"/>
                <w:sz w:val="20"/>
              </w:rPr>
            </w:pPr>
            <w:r w:rsidRPr="00226B30">
              <w:rPr>
                <w:rFonts w:ascii="Arial Narrow" w:eastAsia="Times New Roman" w:hAnsi="Arial Narrow"/>
                <w:sz w:val="20"/>
              </w:rPr>
              <w:t>0.5 (–2.7 to 3.6) p=0.7665</w:t>
            </w:r>
          </w:p>
        </w:tc>
        <w:tc>
          <w:tcPr>
            <w:tcW w:w="1032" w:type="pct"/>
            <w:noWrap/>
            <w:hideMark/>
          </w:tcPr>
          <w:p w:rsidR="00B2608F" w:rsidRPr="00226B30" w:rsidRDefault="00B2608F" w:rsidP="001E08C1">
            <w:pPr>
              <w:keepNext/>
              <w:widowControl/>
              <w:ind w:left="0" w:right="0"/>
              <w:jc w:val="center"/>
              <w:rPr>
                <w:rFonts w:ascii="Arial Narrow" w:eastAsia="Times New Roman" w:hAnsi="Arial Narrow"/>
                <w:sz w:val="20"/>
              </w:rPr>
            </w:pPr>
            <w:r w:rsidRPr="00226B30">
              <w:rPr>
                <w:rFonts w:ascii="Arial Narrow" w:eastAsia="Times New Roman" w:hAnsi="Arial Narrow"/>
                <w:sz w:val="20"/>
              </w:rPr>
              <w:t xml:space="preserve">3.5 (1.3 to 5.8) </w:t>
            </w:r>
            <w:r w:rsidRPr="00226B30">
              <w:rPr>
                <w:rFonts w:ascii="Arial Narrow" w:eastAsia="Times New Roman" w:hAnsi="Arial Narrow"/>
                <w:sz w:val="20"/>
              </w:rPr>
              <w:br/>
              <w:t>p=0.0018</w:t>
            </w:r>
          </w:p>
        </w:tc>
      </w:tr>
      <w:tr w:rsidR="00B2608F" w:rsidRPr="00226B30" w:rsidTr="008A1DA3">
        <w:trPr>
          <w:cantSplit w:val="0"/>
          <w:trHeight w:val="20"/>
        </w:trPr>
        <w:tc>
          <w:tcPr>
            <w:tcW w:w="5000" w:type="pct"/>
            <w:gridSpan w:val="5"/>
            <w:noWrap/>
          </w:tcPr>
          <w:p w:rsidR="00B2608F" w:rsidRPr="00226B30" w:rsidRDefault="00B2608F" w:rsidP="001E08C1">
            <w:pPr>
              <w:keepNext/>
              <w:widowControl/>
              <w:ind w:left="0" w:right="0"/>
              <w:rPr>
                <w:rFonts w:ascii="Arial Narrow" w:eastAsia="Times New Roman" w:hAnsi="Arial Narrow"/>
                <w:sz w:val="20"/>
              </w:rPr>
            </w:pPr>
            <w:r w:rsidRPr="00226B30">
              <w:rPr>
                <w:rFonts w:ascii="Arial Narrow" w:eastAsia="Times New Roman" w:hAnsi="Arial Narrow"/>
                <w:b/>
                <w:sz w:val="20"/>
              </w:rPr>
              <w:t>Absolute change from baseline in body-mass index</w:t>
            </w:r>
            <w:r w:rsidRPr="00226B30">
              <w:rPr>
                <w:rFonts w:ascii="Arial Narrow" w:eastAsia="Times New Roman" w:hAnsi="Arial Narrow"/>
                <w:sz w:val="20"/>
              </w:rPr>
              <w:t>, least squares mean, 95% CI, (kg/m</w:t>
            </w:r>
            <w:r w:rsidRPr="00226B30">
              <w:rPr>
                <w:rFonts w:ascii="Arial Narrow" w:eastAsia="Times New Roman" w:hAnsi="Arial Narrow"/>
                <w:sz w:val="20"/>
                <w:vertAlign w:val="superscript"/>
              </w:rPr>
              <w:t>2</w:t>
            </w:r>
            <w:r w:rsidRPr="00226B30">
              <w:rPr>
                <w:rFonts w:ascii="Arial Narrow" w:eastAsia="Times New Roman" w:hAnsi="Arial Narrow"/>
                <w:sz w:val="20"/>
              </w:rPr>
              <w:t>), p value†</w:t>
            </w:r>
          </w:p>
        </w:tc>
      </w:tr>
      <w:tr w:rsidR="00B2608F" w:rsidRPr="00226B30" w:rsidTr="008A1DA3">
        <w:trPr>
          <w:cantSplit w:val="0"/>
          <w:trHeight w:val="310"/>
        </w:trPr>
        <w:tc>
          <w:tcPr>
            <w:tcW w:w="852" w:type="pct"/>
            <w:noWrap/>
          </w:tcPr>
          <w:p w:rsidR="00B2608F" w:rsidRPr="00226B30" w:rsidRDefault="00B2608F" w:rsidP="001E08C1">
            <w:pPr>
              <w:keepNext/>
              <w:widowControl/>
              <w:ind w:left="0" w:right="0"/>
              <w:rPr>
                <w:rFonts w:ascii="Arial Narrow" w:eastAsia="Times New Roman" w:hAnsi="Arial Narrow"/>
                <w:sz w:val="20"/>
              </w:rPr>
            </w:pPr>
            <w:r w:rsidRPr="00226B30">
              <w:rPr>
                <w:rFonts w:ascii="Arial Narrow" w:eastAsia="Times New Roman" w:hAnsi="Arial Narrow"/>
                <w:sz w:val="20"/>
              </w:rPr>
              <w:t>Week 24</w:t>
            </w:r>
          </w:p>
        </w:tc>
        <w:tc>
          <w:tcPr>
            <w:tcW w:w="1031" w:type="pct"/>
            <w:noWrap/>
          </w:tcPr>
          <w:p w:rsidR="00B2608F" w:rsidRPr="00226B30" w:rsidRDefault="00B2608F" w:rsidP="001E08C1">
            <w:pPr>
              <w:keepNext/>
              <w:widowControl/>
              <w:ind w:left="0" w:right="0"/>
              <w:jc w:val="center"/>
              <w:rPr>
                <w:rFonts w:ascii="Arial Narrow" w:eastAsia="Times New Roman" w:hAnsi="Arial Narrow"/>
                <w:sz w:val="20"/>
              </w:rPr>
            </w:pPr>
            <w:r w:rsidRPr="00226B30">
              <w:rPr>
                <w:rFonts w:ascii="Arial Narrow" w:eastAsia="Times New Roman" w:hAnsi="Arial Narrow"/>
                <w:sz w:val="20"/>
              </w:rPr>
              <w:t>0.13 (0.04 to 0.23)</w:t>
            </w:r>
            <w:r w:rsidRPr="00226B30">
              <w:rPr>
                <w:rFonts w:ascii="Arial Narrow" w:eastAsia="Times New Roman" w:hAnsi="Arial Narrow"/>
                <w:sz w:val="20"/>
              </w:rPr>
              <w:br/>
              <w:t>p=0.0066</w:t>
            </w:r>
          </w:p>
        </w:tc>
        <w:tc>
          <w:tcPr>
            <w:tcW w:w="1055" w:type="pct"/>
            <w:noWrap/>
          </w:tcPr>
          <w:p w:rsidR="00B2608F" w:rsidRPr="00226B30" w:rsidRDefault="00B2608F" w:rsidP="001E08C1">
            <w:pPr>
              <w:keepNext/>
              <w:widowControl/>
              <w:ind w:left="0" w:right="0"/>
              <w:jc w:val="center"/>
              <w:rPr>
                <w:rFonts w:ascii="Arial Narrow" w:eastAsia="Times New Roman" w:hAnsi="Arial Narrow"/>
                <w:sz w:val="20"/>
              </w:rPr>
            </w:pPr>
            <w:r w:rsidRPr="00226B30">
              <w:rPr>
                <w:rFonts w:ascii="Arial Narrow" w:eastAsia="Times New Roman" w:hAnsi="Arial Narrow"/>
                <w:sz w:val="20"/>
              </w:rPr>
              <w:t>0.37 (0.28 to 0.47)</w:t>
            </w:r>
            <w:r w:rsidRPr="00226B30">
              <w:rPr>
                <w:rFonts w:ascii="Arial Narrow" w:eastAsia="Times New Roman" w:hAnsi="Arial Narrow"/>
                <w:sz w:val="20"/>
              </w:rPr>
              <w:br/>
              <w:t>p&lt;0.0001</w:t>
            </w:r>
          </w:p>
        </w:tc>
        <w:tc>
          <w:tcPr>
            <w:tcW w:w="1030" w:type="pct"/>
            <w:noWrap/>
          </w:tcPr>
          <w:p w:rsidR="00B2608F" w:rsidRPr="00226B30" w:rsidRDefault="00B2608F" w:rsidP="001E08C1">
            <w:pPr>
              <w:keepNext/>
              <w:widowControl/>
              <w:ind w:left="0" w:right="0"/>
              <w:jc w:val="center"/>
              <w:rPr>
                <w:rFonts w:ascii="Arial Narrow" w:eastAsia="Times New Roman" w:hAnsi="Arial Narrow"/>
                <w:sz w:val="20"/>
              </w:rPr>
            </w:pPr>
            <w:r w:rsidRPr="00226B30">
              <w:rPr>
                <w:rFonts w:ascii="Arial Narrow" w:eastAsia="Times New Roman" w:hAnsi="Arial Narrow"/>
                <w:sz w:val="20"/>
              </w:rPr>
              <w:t>..</w:t>
            </w:r>
          </w:p>
        </w:tc>
        <w:tc>
          <w:tcPr>
            <w:tcW w:w="1032" w:type="pct"/>
            <w:noWrap/>
          </w:tcPr>
          <w:p w:rsidR="00B2608F" w:rsidRPr="00226B30" w:rsidRDefault="00B2608F" w:rsidP="001E08C1">
            <w:pPr>
              <w:keepNext/>
              <w:widowControl/>
              <w:ind w:left="0" w:right="0"/>
              <w:jc w:val="center"/>
              <w:rPr>
                <w:rFonts w:ascii="Arial Narrow" w:eastAsia="Times New Roman" w:hAnsi="Arial Narrow"/>
                <w:sz w:val="20"/>
              </w:rPr>
            </w:pPr>
            <w:r w:rsidRPr="00226B30">
              <w:rPr>
                <w:rFonts w:ascii="Arial Narrow" w:eastAsia="Times New Roman" w:hAnsi="Arial Narrow"/>
                <w:sz w:val="20"/>
              </w:rPr>
              <w:t>..</w:t>
            </w:r>
          </w:p>
        </w:tc>
      </w:tr>
      <w:tr w:rsidR="00B2608F" w:rsidRPr="00226B30" w:rsidTr="008A1DA3">
        <w:trPr>
          <w:cantSplit w:val="0"/>
          <w:trHeight w:val="20"/>
        </w:trPr>
        <w:tc>
          <w:tcPr>
            <w:tcW w:w="852" w:type="pct"/>
            <w:noWrap/>
          </w:tcPr>
          <w:p w:rsidR="00B2608F" w:rsidRPr="00226B30" w:rsidRDefault="00B2608F" w:rsidP="001E08C1">
            <w:pPr>
              <w:keepNext/>
              <w:widowControl/>
              <w:ind w:left="0" w:right="0"/>
              <w:rPr>
                <w:rFonts w:ascii="Arial Narrow" w:eastAsia="Times New Roman" w:hAnsi="Arial Narrow"/>
                <w:sz w:val="20"/>
              </w:rPr>
            </w:pPr>
            <w:r w:rsidRPr="00226B30">
              <w:rPr>
                <w:rFonts w:ascii="Arial Narrow" w:eastAsia="Times New Roman" w:hAnsi="Arial Narrow"/>
                <w:sz w:val="20"/>
              </w:rPr>
              <w:t>Extension week 72</w:t>
            </w:r>
          </w:p>
        </w:tc>
        <w:tc>
          <w:tcPr>
            <w:tcW w:w="1031" w:type="pct"/>
            <w:noWrap/>
          </w:tcPr>
          <w:p w:rsidR="00B2608F" w:rsidRPr="00226B30" w:rsidRDefault="00B2608F" w:rsidP="001E08C1">
            <w:pPr>
              <w:keepNext/>
              <w:widowControl/>
              <w:ind w:left="0" w:right="0"/>
              <w:jc w:val="center"/>
              <w:rPr>
                <w:rFonts w:ascii="Arial Narrow" w:eastAsia="Times New Roman" w:hAnsi="Arial Narrow"/>
                <w:sz w:val="20"/>
              </w:rPr>
            </w:pPr>
            <w:r w:rsidRPr="00226B30">
              <w:rPr>
                <w:rFonts w:ascii="Arial Narrow" w:eastAsia="Times New Roman" w:hAnsi="Arial Narrow"/>
                <w:sz w:val="20"/>
              </w:rPr>
              <w:t>··</w:t>
            </w:r>
          </w:p>
        </w:tc>
        <w:tc>
          <w:tcPr>
            <w:tcW w:w="1055" w:type="pct"/>
            <w:noWrap/>
          </w:tcPr>
          <w:p w:rsidR="00B2608F" w:rsidRPr="00226B30" w:rsidRDefault="00B2608F" w:rsidP="001E08C1">
            <w:pPr>
              <w:keepNext/>
              <w:widowControl/>
              <w:ind w:left="0" w:right="0"/>
              <w:jc w:val="center"/>
              <w:rPr>
                <w:rFonts w:ascii="Arial Narrow" w:eastAsia="Times New Roman" w:hAnsi="Arial Narrow"/>
                <w:sz w:val="20"/>
              </w:rPr>
            </w:pPr>
            <w:r w:rsidRPr="00226B30">
              <w:rPr>
                <w:rFonts w:ascii="Arial Narrow" w:eastAsia="Times New Roman" w:hAnsi="Arial Narrow"/>
                <w:sz w:val="20"/>
              </w:rPr>
              <w:t>..</w:t>
            </w:r>
          </w:p>
        </w:tc>
        <w:tc>
          <w:tcPr>
            <w:tcW w:w="1030" w:type="pct"/>
            <w:noWrap/>
          </w:tcPr>
          <w:p w:rsidR="00B2608F" w:rsidRPr="00226B30" w:rsidRDefault="00B2608F" w:rsidP="001E08C1">
            <w:pPr>
              <w:keepNext/>
              <w:widowControl/>
              <w:ind w:left="0" w:right="0"/>
              <w:jc w:val="center"/>
              <w:rPr>
                <w:rFonts w:ascii="Arial Narrow" w:eastAsia="Times New Roman" w:hAnsi="Arial Narrow"/>
                <w:sz w:val="20"/>
              </w:rPr>
            </w:pPr>
            <w:r w:rsidRPr="00226B30">
              <w:rPr>
                <w:rFonts w:ascii="Arial Narrow" w:eastAsia="Times New Roman" w:hAnsi="Arial Narrow"/>
                <w:sz w:val="20"/>
              </w:rPr>
              <w:t>0.62 (0.45 to 0.79) p&lt;0.0001</w:t>
            </w:r>
          </w:p>
        </w:tc>
        <w:tc>
          <w:tcPr>
            <w:tcW w:w="1032" w:type="pct"/>
            <w:noWrap/>
          </w:tcPr>
          <w:p w:rsidR="00B2608F" w:rsidRPr="00226B30" w:rsidRDefault="00B2608F" w:rsidP="001E08C1">
            <w:pPr>
              <w:keepNext/>
              <w:widowControl/>
              <w:ind w:left="0" w:right="0"/>
              <w:jc w:val="center"/>
              <w:rPr>
                <w:rFonts w:ascii="Arial Narrow" w:eastAsia="Times New Roman" w:hAnsi="Arial Narrow"/>
                <w:sz w:val="20"/>
              </w:rPr>
            </w:pPr>
            <w:r w:rsidRPr="00226B30">
              <w:rPr>
                <w:rFonts w:ascii="Arial Narrow" w:eastAsia="Times New Roman" w:hAnsi="Arial Narrow"/>
                <w:sz w:val="20"/>
              </w:rPr>
              <w:t>0.69 (0.56 to 0.81)</w:t>
            </w:r>
            <w:r w:rsidRPr="00226B30">
              <w:rPr>
                <w:rFonts w:ascii="Arial Narrow" w:eastAsia="Times New Roman" w:hAnsi="Arial Narrow"/>
                <w:sz w:val="20"/>
              </w:rPr>
              <w:br/>
              <w:t>p&lt;0.0001</w:t>
            </w:r>
          </w:p>
        </w:tc>
      </w:tr>
      <w:tr w:rsidR="00B2608F" w:rsidRPr="00226B30" w:rsidTr="008A1DA3">
        <w:trPr>
          <w:cantSplit w:val="0"/>
          <w:trHeight w:val="20"/>
        </w:trPr>
        <w:tc>
          <w:tcPr>
            <w:tcW w:w="852" w:type="pct"/>
            <w:noWrap/>
          </w:tcPr>
          <w:p w:rsidR="00B2608F" w:rsidRPr="00226B30" w:rsidRDefault="00B2608F" w:rsidP="001E08C1">
            <w:pPr>
              <w:keepNext/>
              <w:widowControl/>
              <w:ind w:left="0" w:right="0"/>
              <w:rPr>
                <w:rFonts w:ascii="Arial Narrow" w:eastAsia="Times New Roman" w:hAnsi="Arial Narrow"/>
                <w:sz w:val="20"/>
              </w:rPr>
            </w:pPr>
            <w:r w:rsidRPr="00226B30">
              <w:rPr>
                <w:rFonts w:ascii="Arial Narrow" w:eastAsia="Times New Roman" w:hAnsi="Arial Narrow"/>
                <w:sz w:val="20"/>
              </w:rPr>
              <w:t>Extension week 96</w:t>
            </w:r>
          </w:p>
        </w:tc>
        <w:tc>
          <w:tcPr>
            <w:tcW w:w="1031" w:type="pct"/>
            <w:noWrap/>
          </w:tcPr>
          <w:p w:rsidR="00B2608F" w:rsidRPr="00226B30" w:rsidRDefault="00B2608F" w:rsidP="001E08C1">
            <w:pPr>
              <w:keepNext/>
              <w:widowControl/>
              <w:ind w:left="0" w:right="0"/>
              <w:jc w:val="center"/>
              <w:rPr>
                <w:rFonts w:ascii="Arial Narrow" w:eastAsia="Times New Roman" w:hAnsi="Arial Narrow"/>
                <w:sz w:val="20"/>
              </w:rPr>
            </w:pPr>
            <w:r w:rsidRPr="00226B30">
              <w:rPr>
                <w:rFonts w:ascii="Arial Narrow" w:eastAsia="Times New Roman" w:hAnsi="Arial Narrow"/>
                <w:sz w:val="20"/>
              </w:rPr>
              <w:t>··</w:t>
            </w:r>
          </w:p>
        </w:tc>
        <w:tc>
          <w:tcPr>
            <w:tcW w:w="1055" w:type="pct"/>
            <w:noWrap/>
          </w:tcPr>
          <w:p w:rsidR="00B2608F" w:rsidRPr="00226B30" w:rsidRDefault="00B2608F" w:rsidP="001E08C1">
            <w:pPr>
              <w:keepNext/>
              <w:widowControl/>
              <w:ind w:left="0" w:right="0"/>
              <w:jc w:val="center"/>
              <w:rPr>
                <w:rFonts w:ascii="Arial Narrow" w:eastAsia="Times New Roman" w:hAnsi="Arial Narrow"/>
                <w:sz w:val="20"/>
              </w:rPr>
            </w:pPr>
            <w:r w:rsidRPr="00226B30">
              <w:rPr>
                <w:rFonts w:ascii="Arial Narrow" w:eastAsia="Times New Roman" w:hAnsi="Arial Narrow"/>
                <w:sz w:val="20"/>
              </w:rPr>
              <w:t>..</w:t>
            </w:r>
          </w:p>
        </w:tc>
        <w:tc>
          <w:tcPr>
            <w:tcW w:w="1030" w:type="pct"/>
            <w:noWrap/>
          </w:tcPr>
          <w:p w:rsidR="00B2608F" w:rsidRPr="00226B30" w:rsidRDefault="00B2608F" w:rsidP="001E08C1">
            <w:pPr>
              <w:keepNext/>
              <w:widowControl/>
              <w:ind w:left="0" w:right="0"/>
              <w:jc w:val="center"/>
              <w:rPr>
                <w:rFonts w:ascii="Arial Narrow" w:eastAsia="Times New Roman" w:hAnsi="Arial Narrow"/>
                <w:sz w:val="20"/>
              </w:rPr>
            </w:pPr>
            <w:r w:rsidRPr="00226B30">
              <w:rPr>
                <w:rFonts w:ascii="Arial Narrow" w:eastAsia="Times New Roman" w:hAnsi="Arial Narrow"/>
                <w:sz w:val="20"/>
              </w:rPr>
              <w:t>0.76 (0.56 to 0.97) p&lt;0.0001</w:t>
            </w:r>
          </w:p>
        </w:tc>
        <w:tc>
          <w:tcPr>
            <w:tcW w:w="1032" w:type="pct"/>
            <w:noWrap/>
          </w:tcPr>
          <w:p w:rsidR="00B2608F" w:rsidRPr="00226B30" w:rsidRDefault="00B2608F" w:rsidP="001E08C1">
            <w:pPr>
              <w:keepNext/>
              <w:widowControl/>
              <w:ind w:left="0" w:right="0"/>
              <w:jc w:val="center"/>
              <w:rPr>
                <w:rFonts w:ascii="Arial Narrow" w:eastAsia="Times New Roman" w:hAnsi="Arial Narrow"/>
                <w:sz w:val="20"/>
              </w:rPr>
            </w:pPr>
            <w:r w:rsidRPr="00226B30">
              <w:rPr>
                <w:rFonts w:ascii="Arial Narrow" w:eastAsia="Times New Roman" w:hAnsi="Arial Narrow"/>
                <w:sz w:val="20"/>
              </w:rPr>
              <w:t>0.96 (0.81 to 1.11) p&lt;0.0001</w:t>
            </w:r>
          </w:p>
        </w:tc>
      </w:tr>
    </w:tbl>
    <w:p w:rsidR="00B2608F" w:rsidRPr="00226B30" w:rsidRDefault="00B2608F" w:rsidP="001E08C1">
      <w:pPr>
        <w:pStyle w:val="Tablefooter8pt"/>
        <w:rPr>
          <w:rFonts w:eastAsia="Calibri"/>
          <w:lang w:eastAsia="zh-CN"/>
        </w:rPr>
      </w:pPr>
      <w:r w:rsidRPr="00226B30">
        <w:rPr>
          <w:rFonts w:eastAsia="Calibri"/>
          <w:lang w:eastAsia="zh-CN"/>
        </w:rPr>
        <w:t>Source: Table B.7-11 and B.7-12, page 129 and 131 July 2017 resubmission.</w:t>
      </w:r>
    </w:p>
    <w:p w:rsidR="00B2608F" w:rsidRPr="00226B30" w:rsidRDefault="00B2608F" w:rsidP="001E08C1">
      <w:pPr>
        <w:pStyle w:val="Tablefooter8pt"/>
        <w:rPr>
          <w:rFonts w:eastAsia="Calibri"/>
          <w:lang w:eastAsia="zh-CN"/>
        </w:rPr>
      </w:pPr>
      <w:r w:rsidRPr="00226B30">
        <w:rPr>
          <w:rFonts w:eastAsia="Calibri"/>
          <w:lang w:eastAsia="zh-CN"/>
        </w:rPr>
        <w:t>Abbreviations: CFQ-R</w:t>
      </w:r>
      <w:r w:rsidR="00E21279" w:rsidRPr="00226B30">
        <w:rPr>
          <w:rFonts w:eastAsia="Calibri"/>
          <w:lang w:eastAsia="zh-CN"/>
        </w:rPr>
        <w:t xml:space="preserve"> =</w:t>
      </w:r>
      <w:r w:rsidRPr="00226B30">
        <w:rPr>
          <w:rFonts w:eastAsia="Calibri"/>
          <w:lang w:eastAsia="zh-CN"/>
        </w:rPr>
        <w:t xml:space="preserve"> Cystic Fibr</w:t>
      </w:r>
      <w:r w:rsidR="00E21279" w:rsidRPr="00226B30">
        <w:rPr>
          <w:rFonts w:eastAsia="Calibri"/>
          <w:lang w:eastAsia="zh-CN"/>
        </w:rPr>
        <w:t>osis Questionnaire-Revised; CI =</w:t>
      </w:r>
      <w:r w:rsidRPr="00226B30">
        <w:rPr>
          <w:rFonts w:eastAsia="Calibri"/>
          <w:lang w:eastAsia="zh-CN"/>
        </w:rPr>
        <w:t xml:space="preserve"> confidence interval.</w:t>
      </w:r>
    </w:p>
    <w:p w:rsidR="00B2608F" w:rsidRPr="00226B30" w:rsidRDefault="00B2608F" w:rsidP="001E08C1">
      <w:pPr>
        <w:pStyle w:val="Tablefooter8pt"/>
        <w:rPr>
          <w:rFonts w:eastAsia="Calibri"/>
          <w:lang w:eastAsia="zh-CN"/>
        </w:rPr>
      </w:pPr>
      <w:r w:rsidRPr="00226B30">
        <w:rPr>
          <w:rFonts w:eastAsia="Calibri"/>
          <w:lang w:eastAsia="zh-CN"/>
        </w:rPr>
        <w:t xml:space="preserve">†For the placebo </w:t>
      </w:r>
      <w:r w:rsidR="0048047D" w:rsidRPr="00226B30">
        <w:rPr>
          <w:rFonts w:eastAsia="Calibri"/>
          <w:lang w:eastAsia="zh-CN"/>
        </w:rPr>
        <w:t>a</w:t>
      </w:r>
      <w:r w:rsidRPr="00226B30">
        <w:rPr>
          <w:rFonts w:eastAsia="Calibri"/>
          <w:lang w:eastAsia="zh-CN"/>
        </w:rPr>
        <w:t xml:space="preserve">nd lumacaftor/ivacaftor groups, baseline from TRAFFIC or TRANSPORT was used; for the placebo transitioned to lumacaftor/ivacaftor group, baseline from PROGRESS was used. All p values (including for TRAFFIC or TRANSPORT data) are within treatment. </w:t>
      </w:r>
    </w:p>
    <w:p w:rsidR="00B2608F" w:rsidRDefault="00B2608F" w:rsidP="001E08C1">
      <w:pPr>
        <w:pStyle w:val="Tablefooter8pt"/>
        <w:spacing w:after="120"/>
        <w:rPr>
          <w:rFonts w:eastAsia="Calibri"/>
          <w:lang w:eastAsia="zh-CN"/>
        </w:rPr>
      </w:pPr>
      <w:r w:rsidRPr="00226B30">
        <w:rPr>
          <w:rFonts w:eastAsia="Calibri"/>
          <w:lang w:eastAsia="zh-CN"/>
        </w:rPr>
        <w:t xml:space="preserve">All p values (including for TRAFFIC or TRANSPORT data) are within treatment.  </w:t>
      </w:r>
    </w:p>
    <w:p w:rsidR="000D33EE" w:rsidRPr="00226B30" w:rsidRDefault="000D33EE" w:rsidP="001E08C1">
      <w:pPr>
        <w:pStyle w:val="Tablefooter8pt"/>
        <w:spacing w:after="120"/>
        <w:rPr>
          <w:rFonts w:eastAsia="Calibri"/>
          <w:lang w:eastAsia="zh-CN"/>
        </w:rPr>
      </w:pPr>
    </w:p>
    <w:p w:rsidR="00B2608F" w:rsidRPr="00226B30" w:rsidRDefault="00B2608F" w:rsidP="00C10120">
      <w:pPr>
        <w:pStyle w:val="ListParagraph"/>
        <w:widowControl/>
        <w:numPr>
          <w:ilvl w:val="1"/>
          <w:numId w:val="13"/>
        </w:numPr>
        <w:spacing w:after="120"/>
        <w:ind w:left="709" w:hanging="708"/>
        <w:contextualSpacing w:val="0"/>
        <w:rPr>
          <w:rFonts w:asciiTheme="minorHAnsi" w:hAnsiTheme="minorHAnsi"/>
          <w:sz w:val="24"/>
          <w:lang w:val="en-US"/>
        </w:rPr>
      </w:pPr>
      <w:r w:rsidRPr="00226B30">
        <w:rPr>
          <w:rFonts w:asciiTheme="minorHAnsi" w:hAnsiTheme="minorHAnsi"/>
          <w:sz w:val="24"/>
          <w:lang w:val="en-US"/>
        </w:rPr>
        <w:t>The resubmission claim</w:t>
      </w:r>
      <w:r w:rsidR="00E41D87" w:rsidRPr="00226B30">
        <w:rPr>
          <w:rFonts w:asciiTheme="minorHAnsi" w:hAnsiTheme="minorHAnsi"/>
          <w:sz w:val="24"/>
          <w:lang w:val="en-US"/>
        </w:rPr>
        <w:t>ed</w:t>
      </w:r>
      <w:r w:rsidRPr="00226B30">
        <w:rPr>
          <w:rFonts w:asciiTheme="minorHAnsi" w:hAnsiTheme="minorHAnsi"/>
          <w:sz w:val="24"/>
          <w:lang w:val="en-US"/>
        </w:rPr>
        <w:t xml:space="preserve"> that the new longer-term efficacy data from PROGRESS demonstrated sustained improvements in key CF treatment outcomes that are associated with prolongation of life. Despite the progressive nature of CF, mean pp</w:t>
      </w:r>
      <w:r w:rsidR="00023A66" w:rsidRPr="00226B30">
        <w:rPr>
          <w:rFonts w:asciiTheme="minorHAnsi" w:hAnsiTheme="minorHAnsi"/>
          <w:sz w:val="24"/>
          <w:szCs w:val="24"/>
        </w:rPr>
        <w:t>FEV</w:t>
      </w:r>
      <w:r w:rsidR="00023A66" w:rsidRPr="00226B30">
        <w:rPr>
          <w:rFonts w:asciiTheme="minorHAnsi" w:hAnsiTheme="minorHAnsi"/>
          <w:sz w:val="24"/>
          <w:szCs w:val="24"/>
          <w:vertAlign w:val="subscript"/>
        </w:rPr>
        <w:t>1</w:t>
      </w:r>
      <w:r w:rsidRPr="00226B30">
        <w:rPr>
          <w:rFonts w:asciiTheme="minorHAnsi" w:hAnsiTheme="minorHAnsi"/>
          <w:sz w:val="24"/>
          <w:lang w:val="en-US"/>
        </w:rPr>
        <w:t xml:space="preserve"> remained above the pretreatment baseline after up to 120 weeks of cumulative exposure to lumacaftor/ivacaftor</w:t>
      </w:r>
      <w:r w:rsidR="0010779E" w:rsidRPr="00226B30">
        <w:rPr>
          <w:rFonts w:asciiTheme="minorHAnsi" w:hAnsiTheme="minorHAnsi"/>
          <w:sz w:val="24"/>
          <w:lang w:val="en-US"/>
        </w:rPr>
        <w:t xml:space="preserve"> (although this difference was not </w:t>
      </w:r>
      <w:r w:rsidR="000015D8" w:rsidRPr="00226B30">
        <w:rPr>
          <w:rFonts w:asciiTheme="minorHAnsi" w:hAnsiTheme="minorHAnsi"/>
          <w:sz w:val="24"/>
          <w:lang w:val="en-US"/>
        </w:rPr>
        <w:t xml:space="preserve">statistically </w:t>
      </w:r>
      <w:r w:rsidR="0010779E" w:rsidRPr="00226B30">
        <w:rPr>
          <w:rFonts w:asciiTheme="minorHAnsi" w:hAnsiTheme="minorHAnsi"/>
          <w:sz w:val="24"/>
          <w:lang w:val="en-US"/>
        </w:rPr>
        <w:t>significant)</w:t>
      </w:r>
      <w:r w:rsidRPr="00226B30">
        <w:rPr>
          <w:rFonts w:asciiTheme="minorHAnsi" w:hAnsiTheme="minorHAnsi"/>
          <w:sz w:val="24"/>
          <w:lang w:val="en-US"/>
        </w:rPr>
        <w:t xml:space="preserve">. </w:t>
      </w:r>
      <w:r w:rsidR="00E21109" w:rsidRPr="00226B30">
        <w:rPr>
          <w:rFonts w:asciiTheme="minorHAnsi" w:hAnsiTheme="minorHAnsi"/>
          <w:sz w:val="24"/>
          <w:lang w:val="en-US"/>
        </w:rPr>
        <w:t>The resubmission</w:t>
      </w:r>
      <w:r w:rsidRPr="00226B30">
        <w:rPr>
          <w:rFonts w:asciiTheme="minorHAnsi" w:hAnsiTheme="minorHAnsi"/>
          <w:sz w:val="24"/>
          <w:lang w:val="en-US"/>
        </w:rPr>
        <w:t xml:space="preserve"> </w:t>
      </w:r>
      <w:r w:rsidR="00E21109" w:rsidRPr="00226B30">
        <w:rPr>
          <w:rFonts w:asciiTheme="minorHAnsi" w:hAnsiTheme="minorHAnsi"/>
          <w:sz w:val="24"/>
          <w:lang w:val="en-US"/>
        </w:rPr>
        <w:t xml:space="preserve">also </w:t>
      </w:r>
      <w:r w:rsidRPr="00226B30">
        <w:rPr>
          <w:rFonts w:asciiTheme="minorHAnsi" w:hAnsiTheme="minorHAnsi"/>
          <w:sz w:val="24"/>
          <w:lang w:val="en-US"/>
        </w:rPr>
        <w:t>claimed that the sustained benefits on PE rates and patient-reported respiratory symptoms</w:t>
      </w:r>
      <w:r w:rsidR="00B542D8">
        <w:rPr>
          <w:rFonts w:asciiTheme="minorHAnsi" w:hAnsiTheme="minorHAnsi"/>
          <w:sz w:val="24"/>
          <w:lang w:val="en-US"/>
        </w:rPr>
        <w:t>,</w:t>
      </w:r>
      <w:r w:rsidRPr="00226B30">
        <w:rPr>
          <w:rFonts w:asciiTheme="minorHAnsi" w:hAnsiTheme="minorHAnsi"/>
          <w:sz w:val="24"/>
          <w:lang w:val="en-US"/>
        </w:rPr>
        <w:t xml:space="preserve"> together with continued improvement in nutritional status</w:t>
      </w:r>
      <w:r w:rsidR="00B542D8">
        <w:rPr>
          <w:rFonts w:asciiTheme="minorHAnsi" w:hAnsiTheme="minorHAnsi"/>
          <w:sz w:val="24"/>
          <w:lang w:val="en-US"/>
        </w:rPr>
        <w:t>,</w:t>
      </w:r>
      <w:r w:rsidRPr="00226B30">
        <w:rPr>
          <w:rFonts w:asciiTheme="minorHAnsi" w:hAnsiTheme="minorHAnsi"/>
          <w:sz w:val="24"/>
          <w:lang w:val="en-US"/>
        </w:rPr>
        <w:t xml:space="preserve"> showed that lumacaftor/ivacaftor provides multisystem benefits that continue to dampen the expected disease trajectory over the longer term, and suggest that lumacaftor/ivacaftor is a disease modifying therapy in </w:t>
      </w:r>
      <w:r w:rsidR="00A9454E" w:rsidRPr="00226B30">
        <w:rPr>
          <w:rFonts w:asciiTheme="minorHAnsi" w:hAnsiTheme="minorHAnsi"/>
          <w:sz w:val="24"/>
          <w:lang w:val="en-US"/>
        </w:rPr>
        <w:t>CF</w:t>
      </w:r>
      <w:r w:rsidRPr="00226B30">
        <w:rPr>
          <w:rFonts w:asciiTheme="minorHAnsi" w:hAnsiTheme="minorHAnsi"/>
          <w:sz w:val="24"/>
          <w:lang w:val="en-US"/>
        </w:rPr>
        <w:t>.</w:t>
      </w:r>
    </w:p>
    <w:p w:rsidR="008945D6" w:rsidRPr="00226B30" w:rsidRDefault="00B2608F" w:rsidP="00C10120">
      <w:pPr>
        <w:pStyle w:val="ListParagraph"/>
        <w:widowControl/>
        <w:numPr>
          <w:ilvl w:val="1"/>
          <w:numId w:val="13"/>
        </w:numPr>
        <w:spacing w:after="120"/>
        <w:ind w:left="709" w:hanging="708"/>
        <w:contextualSpacing w:val="0"/>
        <w:rPr>
          <w:rFonts w:asciiTheme="minorHAnsi" w:hAnsiTheme="minorHAnsi"/>
          <w:sz w:val="24"/>
        </w:rPr>
      </w:pPr>
      <w:r w:rsidRPr="00226B30">
        <w:rPr>
          <w:rFonts w:asciiTheme="minorHAnsi" w:hAnsiTheme="minorHAnsi"/>
          <w:sz w:val="24"/>
          <w:lang w:val="en-US"/>
        </w:rPr>
        <w:t>To place the rate of decline in pp</w:t>
      </w:r>
      <w:r w:rsidR="00023A66" w:rsidRPr="00226B30">
        <w:rPr>
          <w:rFonts w:asciiTheme="minorHAnsi" w:hAnsiTheme="minorHAnsi"/>
          <w:sz w:val="24"/>
          <w:szCs w:val="24"/>
        </w:rPr>
        <w:t>FEV</w:t>
      </w:r>
      <w:r w:rsidR="00023A66" w:rsidRPr="00226B30">
        <w:rPr>
          <w:rFonts w:asciiTheme="minorHAnsi" w:hAnsiTheme="minorHAnsi"/>
          <w:sz w:val="24"/>
          <w:szCs w:val="24"/>
          <w:vertAlign w:val="subscript"/>
        </w:rPr>
        <w:t>1</w:t>
      </w:r>
      <w:r w:rsidRPr="00226B30">
        <w:rPr>
          <w:rFonts w:asciiTheme="minorHAnsi" w:hAnsiTheme="minorHAnsi"/>
          <w:sz w:val="24"/>
          <w:lang w:val="en-US"/>
        </w:rPr>
        <w:t xml:space="preserve"> observed in the PROGRESS study in context, </w:t>
      </w:r>
      <w:r w:rsidR="00E635A4">
        <w:rPr>
          <w:rFonts w:asciiTheme="minorHAnsi" w:hAnsiTheme="minorHAnsi"/>
          <w:sz w:val="24"/>
          <w:lang w:val="en-US"/>
        </w:rPr>
        <w:t xml:space="preserve">the </w:t>
      </w:r>
      <w:r w:rsidRPr="00226B30">
        <w:rPr>
          <w:rFonts w:asciiTheme="minorHAnsi" w:hAnsiTheme="minorHAnsi"/>
          <w:sz w:val="24"/>
          <w:lang w:val="en-US"/>
        </w:rPr>
        <w:t>resubmission</w:t>
      </w:r>
      <w:r w:rsidR="000015D8" w:rsidRPr="00226B30">
        <w:rPr>
          <w:rFonts w:asciiTheme="minorHAnsi" w:hAnsiTheme="minorHAnsi"/>
          <w:sz w:val="24"/>
          <w:lang w:val="en-US"/>
        </w:rPr>
        <w:t xml:space="preserve"> presented an analysis</w:t>
      </w:r>
      <w:r w:rsidRPr="00226B30">
        <w:rPr>
          <w:rFonts w:asciiTheme="minorHAnsi" w:hAnsiTheme="minorHAnsi"/>
          <w:sz w:val="24"/>
          <w:lang w:val="en-US"/>
        </w:rPr>
        <w:t xml:space="preserve"> </w:t>
      </w:r>
      <w:r w:rsidR="000015D8" w:rsidRPr="00226B30">
        <w:rPr>
          <w:rFonts w:asciiTheme="minorHAnsi" w:hAnsiTheme="minorHAnsi"/>
          <w:sz w:val="24"/>
          <w:lang w:val="en-US"/>
        </w:rPr>
        <w:t xml:space="preserve">that </w:t>
      </w:r>
      <w:r w:rsidRPr="00226B30">
        <w:rPr>
          <w:rFonts w:asciiTheme="minorHAnsi" w:hAnsiTheme="minorHAnsi"/>
          <w:sz w:val="24"/>
          <w:lang w:val="en-US"/>
        </w:rPr>
        <w:t xml:space="preserve">compared the rate of decline </w:t>
      </w:r>
      <w:r w:rsidR="000015D8" w:rsidRPr="00226B30">
        <w:rPr>
          <w:rFonts w:asciiTheme="minorHAnsi" w:hAnsiTheme="minorHAnsi"/>
          <w:sz w:val="24"/>
          <w:lang w:val="en-US"/>
        </w:rPr>
        <w:t xml:space="preserve">with that of </w:t>
      </w:r>
      <w:r w:rsidRPr="00226B30">
        <w:rPr>
          <w:rFonts w:asciiTheme="minorHAnsi" w:hAnsiTheme="minorHAnsi"/>
          <w:sz w:val="24"/>
          <w:lang w:val="en-US"/>
        </w:rPr>
        <w:t xml:space="preserve">a matched control registry. In this analysis, 455 patients treated with lumacaftor/ivacaftor in PROGRESS were matched with 1,588 control patients from the US Cystic Fibrosis Foundation Patient Registry (CFFPR). </w:t>
      </w:r>
      <w:bookmarkStart w:id="36" w:name="_Hlk482117819"/>
      <w:r w:rsidR="00C129DC" w:rsidRPr="00226B30">
        <w:rPr>
          <w:rFonts w:asciiTheme="minorHAnsi" w:hAnsiTheme="minorHAnsi"/>
          <w:sz w:val="24"/>
          <w:lang w:val="en-US"/>
        </w:rPr>
        <w:t>Matching was performed using a propensity score approach, with matching being based on variables including age, sex, spirometry measur</w:t>
      </w:r>
      <w:r w:rsidR="000F34DF" w:rsidRPr="00226B30">
        <w:rPr>
          <w:rFonts w:asciiTheme="minorHAnsi" w:hAnsiTheme="minorHAnsi"/>
          <w:sz w:val="24"/>
          <w:lang w:val="en-US"/>
        </w:rPr>
        <w:t>es, nutrition and bacteriology.</w:t>
      </w:r>
      <w:r w:rsidR="0045062B" w:rsidRPr="00226B30">
        <w:rPr>
          <w:rFonts w:asciiTheme="minorHAnsi" w:hAnsiTheme="minorHAnsi"/>
          <w:sz w:val="24"/>
          <w:lang w:val="en-US"/>
        </w:rPr>
        <w:t xml:space="preserve"> The ESC noted </w:t>
      </w:r>
      <w:r w:rsidR="00225D6D" w:rsidRPr="00226B30">
        <w:rPr>
          <w:rFonts w:asciiTheme="minorHAnsi" w:hAnsiTheme="minorHAnsi"/>
          <w:sz w:val="24"/>
          <w:lang w:val="en-US"/>
        </w:rPr>
        <w:t xml:space="preserve">the groups appeared to be fairly well matched but </w:t>
      </w:r>
      <w:r w:rsidR="0045062B" w:rsidRPr="00226B30">
        <w:rPr>
          <w:rFonts w:asciiTheme="minorHAnsi" w:hAnsiTheme="minorHAnsi"/>
          <w:sz w:val="24"/>
          <w:lang w:val="en-US"/>
        </w:rPr>
        <w:t xml:space="preserve">that </w:t>
      </w:r>
      <w:r w:rsidR="009E45D1" w:rsidRPr="00226B30">
        <w:rPr>
          <w:rFonts w:asciiTheme="minorHAnsi" w:hAnsiTheme="minorHAnsi"/>
          <w:sz w:val="24"/>
          <w:lang w:val="en-US"/>
        </w:rPr>
        <w:t xml:space="preserve">some key variables, including </w:t>
      </w:r>
      <w:r w:rsidR="0045062B" w:rsidRPr="00226B30">
        <w:rPr>
          <w:rFonts w:asciiTheme="minorHAnsi" w:hAnsiTheme="minorHAnsi"/>
          <w:sz w:val="24"/>
          <w:lang w:val="en-US"/>
        </w:rPr>
        <w:t>BMI and use of corticosteroids</w:t>
      </w:r>
      <w:r w:rsidR="009E45D1" w:rsidRPr="00226B30">
        <w:rPr>
          <w:rFonts w:asciiTheme="minorHAnsi" w:hAnsiTheme="minorHAnsi"/>
          <w:sz w:val="24"/>
          <w:lang w:val="en-US"/>
        </w:rPr>
        <w:t>,</w:t>
      </w:r>
      <w:r w:rsidR="0045062B" w:rsidRPr="00226B30">
        <w:rPr>
          <w:rFonts w:asciiTheme="minorHAnsi" w:hAnsiTheme="minorHAnsi"/>
          <w:sz w:val="24"/>
          <w:lang w:val="en-US"/>
        </w:rPr>
        <w:t xml:space="preserve"> were excluded from the propensity </w:t>
      </w:r>
      <w:r w:rsidR="0069731C" w:rsidRPr="00226B30">
        <w:rPr>
          <w:rFonts w:asciiTheme="minorHAnsi" w:hAnsiTheme="minorHAnsi"/>
          <w:sz w:val="24"/>
          <w:lang w:val="en-US"/>
        </w:rPr>
        <w:t>score</w:t>
      </w:r>
      <w:r w:rsidR="009E45D1" w:rsidRPr="00226B30">
        <w:rPr>
          <w:rFonts w:asciiTheme="minorHAnsi" w:hAnsiTheme="minorHAnsi"/>
          <w:sz w:val="24"/>
          <w:lang w:val="en-US"/>
        </w:rPr>
        <w:t xml:space="preserve"> </w:t>
      </w:r>
      <w:r w:rsidR="0069731C" w:rsidRPr="00226B30">
        <w:rPr>
          <w:rFonts w:asciiTheme="minorHAnsi" w:hAnsiTheme="minorHAnsi"/>
          <w:sz w:val="24"/>
          <w:lang w:val="en-US"/>
        </w:rPr>
        <w:t>model</w:t>
      </w:r>
      <w:r w:rsidR="000015D8" w:rsidRPr="00226B30">
        <w:rPr>
          <w:rFonts w:asciiTheme="minorHAnsi" w:hAnsiTheme="minorHAnsi"/>
          <w:sz w:val="24"/>
          <w:lang w:val="en-US"/>
        </w:rPr>
        <w:t xml:space="preserve"> </w:t>
      </w:r>
      <w:r w:rsidR="008945D6" w:rsidRPr="00226B30">
        <w:rPr>
          <w:rFonts w:asciiTheme="minorHAnsi" w:hAnsiTheme="minorHAnsi"/>
          <w:sz w:val="24"/>
        </w:rPr>
        <w:t xml:space="preserve">and it </w:t>
      </w:r>
      <w:r w:rsidR="009E45D1" w:rsidRPr="00226B30">
        <w:rPr>
          <w:rFonts w:asciiTheme="minorHAnsi" w:hAnsiTheme="minorHAnsi"/>
          <w:sz w:val="24"/>
        </w:rPr>
        <w:t xml:space="preserve">was therefore </w:t>
      </w:r>
      <w:r w:rsidR="008945D6" w:rsidRPr="00226B30">
        <w:rPr>
          <w:rFonts w:asciiTheme="minorHAnsi" w:hAnsiTheme="minorHAnsi"/>
          <w:sz w:val="24"/>
        </w:rPr>
        <w:t xml:space="preserve">difficult to </w:t>
      </w:r>
      <w:r w:rsidR="00F97CA6" w:rsidRPr="00226B30">
        <w:rPr>
          <w:rFonts w:asciiTheme="minorHAnsi" w:hAnsiTheme="minorHAnsi"/>
          <w:sz w:val="24"/>
        </w:rPr>
        <w:t xml:space="preserve">assess whether </w:t>
      </w:r>
      <w:r w:rsidR="008945D6" w:rsidRPr="00226B30">
        <w:rPr>
          <w:rFonts w:asciiTheme="minorHAnsi" w:hAnsiTheme="minorHAnsi"/>
          <w:sz w:val="24"/>
        </w:rPr>
        <w:t xml:space="preserve">these variables were balanced between the treatment arms </w:t>
      </w:r>
      <w:r w:rsidR="00F97CA6" w:rsidRPr="00226B30">
        <w:rPr>
          <w:rFonts w:asciiTheme="minorHAnsi" w:hAnsiTheme="minorHAnsi"/>
          <w:sz w:val="24"/>
        </w:rPr>
        <w:t xml:space="preserve">after </w:t>
      </w:r>
      <w:r w:rsidR="008945D6" w:rsidRPr="00226B30">
        <w:rPr>
          <w:rFonts w:asciiTheme="minorHAnsi" w:hAnsiTheme="minorHAnsi"/>
          <w:sz w:val="24"/>
        </w:rPr>
        <w:t xml:space="preserve">matching. The ESC also noted </w:t>
      </w:r>
      <w:r w:rsidR="009E45D1" w:rsidRPr="00226B30">
        <w:rPr>
          <w:rFonts w:asciiTheme="minorHAnsi" w:hAnsiTheme="minorHAnsi"/>
          <w:sz w:val="24"/>
        </w:rPr>
        <w:t>the methodology was a single point-in-time rebalancing at baseline</w:t>
      </w:r>
      <w:r w:rsidR="008945D6" w:rsidRPr="00226B30">
        <w:rPr>
          <w:rFonts w:asciiTheme="minorHAnsi" w:hAnsiTheme="minorHAnsi"/>
          <w:sz w:val="24"/>
        </w:rPr>
        <w:t xml:space="preserve"> </w:t>
      </w:r>
      <w:r w:rsidR="0069731C" w:rsidRPr="00226B30">
        <w:rPr>
          <w:rFonts w:asciiTheme="minorHAnsi" w:hAnsiTheme="minorHAnsi"/>
          <w:sz w:val="24"/>
        </w:rPr>
        <w:t xml:space="preserve">which </w:t>
      </w:r>
      <w:r w:rsidR="008945D6" w:rsidRPr="00226B30">
        <w:rPr>
          <w:rFonts w:asciiTheme="minorHAnsi" w:hAnsiTheme="minorHAnsi"/>
          <w:sz w:val="24"/>
        </w:rPr>
        <w:t>did not adjust for the imbalance that is reintroduced subsequent to baseline.</w:t>
      </w:r>
      <w:r w:rsidR="009E45D1" w:rsidRPr="00226B30">
        <w:rPr>
          <w:rFonts w:asciiTheme="minorHAnsi" w:hAnsiTheme="minorHAnsi"/>
          <w:sz w:val="24"/>
        </w:rPr>
        <w:t xml:space="preserve"> Accordingly, if there were any </w:t>
      </w:r>
      <w:r w:rsidR="00C54323" w:rsidRPr="00226B30">
        <w:rPr>
          <w:rFonts w:asciiTheme="minorHAnsi" w:hAnsiTheme="minorHAnsi"/>
          <w:sz w:val="24"/>
        </w:rPr>
        <w:t xml:space="preserve">post-baseline </w:t>
      </w:r>
      <w:r w:rsidR="009E45D1" w:rsidRPr="00226B30">
        <w:rPr>
          <w:rFonts w:asciiTheme="minorHAnsi" w:hAnsiTheme="minorHAnsi"/>
          <w:sz w:val="24"/>
        </w:rPr>
        <w:t xml:space="preserve">differences in variables </w:t>
      </w:r>
      <w:r w:rsidR="00C54323" w:rsidRPr="00226B30">
        <w:rPr>
          <w:rFonts w:asciiTheme="minorHAnsi" w:hAnsiTheme="minorHAnsi"/>
          <w:sz w:val="24"/>
        </w:rPr>
        <w:t>that were</w:t>
      </w:r>
      <w:r w:rsidR="009E45D1" w:rsidRPr="00226B30">
        <w:rPr>
          <w:rFonts w:asciiTheme="minorHAnsi" w:hAnsiTheme="minorHAnsi"/>
          <w:sz w:val="24"/>
        </w:rPr>
        <w:t xml:space="preserve"> not due to the treatment</w:t>
      </w:r>
      <w:r w:rsidR="000015D8" w:rsidRPr="00226B30">
        <w:rPr>
          <w:rFonts w:asciiTheme="minorHAnsi" w:hAnsiTheme="minorHAnsi"/>
          <w:sz w:val="24"/>
        </w:rPr>
        <w:t>,</w:t>
      </w:r>
      <w:r w:rsidR="009E45D1" w:rsidRPr="00226B30">
        <w:rPr>
          <w:rFonts w:asciiTheme="minorHAnsi" w:hAnsiTheme="minorHAnsi"/>
          <w:sz w:val="24"/>
        </w:rPr>
        <w:t xml:space="preserve"> or</w:t>
      </w:r>
      <w:r w:rsidR="000015D8" w:rsidRPr="00226B30">
        <w:rPr>
          <w:rFonts w:asciiTheme="minorHAnsi" w:hAnsiTheme="minorHAnsi"/>
          <w:sz w:val="24"/>
        </w:rPr>
        <w:t xml:space="preserve"> if there were</w:t>
      </w:r>
      <w:r w:rsidR="009E45D1" w:rsidRPr="00226B30">
        <w:rPr>
          <w:rFonts w:asciiTheme="minorHAnsi" w:hAnsiTheme="minorHAnsi"/>
          <w:sz w:val="24"/>
        </w:rPr>
        <w:t xml:space="preserve"> differences in </w:t>
      </w:r>
      <w:r w:rsidR="000015D8" w:rsidRPr="00226B30">
        <w:rPr>
          <w:rFonts w:asciiTheme="minorHAnsi" w:hAnsiTheme="minorHAnsi"/>
          <w:sz w:val="24"/>
        </w:rPr>
        <w:t>data collection between the patients in PROGRESS and the CFFPR cohort</w:t>
      </w:r>
      <w:r w:rsidR="0069731C" w:rsidRPr="00226B30">
        <w:rPr>
          <w:rFonts w:asciiTheme="minorHAnsi" w:hAnsiTheme="minorHAnsi"/>
          <w:sz w:val="24"/>
        </w:rPr>
        <w:t>,</w:t>
      </w:r>
      <w:r w:rsidR="009E45D1" w:rsidRPr="00226B30">
        <w:rPr>
          <w:rFonts w:asciiTheme="minorHAnsi" w:hAnsiTheme="minorHAnsi"/>
          <w:sz w:val="24"/>
        </w:rPr>
        <w:t xml:space="preserve"> these may</w:t>
      </w:r>
      <w:r w:rsidR="000015D8" w:rsidRPr="00226B30">
        <w:rPr>
          <w:rFonts w:asciiTheme="minorHAnsi" w:hAnsiTheme="minorHAnsi"/>
          <w:sz w:val="24"/>
        </w:rPr>
        <w:t xml:space="preserve"> have</w:t>
      </w:r>
      <w:r w:rsidR="009E45D1" w:rsidRPr="00226B30">
        <w:rPr>
          <w:rFonts w:asciiTheme="minorHAnsi" w:hAnsiTheme="minorHAnsi"/>
          <w:sz w:val="24"/>
        </w:rPr>
        <w:t xml:space="preserve"> confound</w:t>
      </w:r>
      <w:r w:rsidR="000015D8" w:rsidRPr="00226B30">
        <w:rPr>
          <w:rFonts w:asciiTheme="minorHAnsi" w:hAnsiTheme="minorHAnsi"/>
          <w:sz w:val="24"/>
        </w:rPr>
        <w:t>ed</w:t>
      </w:r>
      <w:r w:rsidR="009E45D1" w:rsidRPr="00226B30">
        <w:rPr>
          <w:rFonts w:asciiTheme="minorHAnsi" w:hAnsiTheme="minorHAnsi"/>
          <w:sz w:val="24"/>
        </w:rPr>
        <w:t xml:space="preserve"> the outcomes.</w:t>
      </w:r>
    </w:p>
    <w:p w:rsidR="00B2608F" w:rsidRDefault="00B2608F" w:rsidP="00C10120">
      <w:pPr>
        <w:pStyle w:val="ListParagraph"/>
        <w:widowControl/>
        <w:numPr>
          <w:ilvl w:val="1"/>
          <w:numId w:val="13"/>
        </w:numPr>
        <w:spacing w:after="120"/>
        <w:ind w:left="709" w:hanging="708"/>
        <w:contextualSpacing w:val="0"/>
        <w:rPr>
          <w:rFonts w:asciiTheme="minorHAnsi" w:hAnsiTheme="minorHAnsi"/>
          <w:sz w:val="24"/>
          <w:lang w:val="en-US"/>
        </w:rPr>
      </w:pPr>
      <w:bookmarkStart w:id="37" w:name="_Hlk479699128"/>
      <w:bookmarkEnd w:id="36"/>
      <w:r w:rsidRPr="00226B30">
        <w:rPr>
          <w:rFonts w:asciiTheme="minorHAnsi" w:hAnsiTheme="minorHAnsi"/>
          <w:sz w:val="24"/>
          <w:lang w:val="en-US"/>
        </w:rPr>
        <w:t xml:space="preserve">The estimated annualised rate of lung function decline in this analysis was </w:t>
      </w:r>
      <w:r w:rsidR="00E95A87" w:rsidRPr="00226B30">
        <w:rPr>
          <w:rFonts w:asciiTheme="minorHAnsi" w:hAnsiTheme="minorHAnsi"/>
          <w:sz w:val="24"/>
          <w:lang w:val="en-US"/>
        </w:rPr>
        <w:t>-</w:t>
      </w:r>
      <w:r w:rsidRPr="00226B30">
        <w:rPr>
          <w:rFonts w:asciiTheme="minorHAnsi" w:hAnsiTheme="minorHAnsi"/>
          <w:sz w:val="24"/>
          <w:lang w:val="en-US"/>
        </w:rPr>
        <w:t xml:space="preserve">1.33 percentage points (95% CI: </w:t>
      </w:r>
      <w:r w:rsidR="00E95A87" w:rsidRPr="00226B30">
        <w:rPr>
          <w:rFonts w:asciiTheme="minorHAnsi" w:hAnsiTheme="minorHAnsi"/>
          <w:sz w:val="24"/>
          <w:lang w:val="en-US"/>
        </w:rPr>
        <w:t>-1.80, -</w:t>
      </w:r>
      <w:r w:rsidRPr="00226B30">
        <w:rPr>
          <w:rFonts w:asciiTheme="minorHAnsi" w:hAnsiTheme="minorHAnsi"/>
          <w:sz w:val="24"/>
          <w:lang w:val="en-US"/>
        </w:rPr>
        <w:t>0.85) in lumacaftor/ivacaftor-treated patients. This rate was less than the rate in the matched CFFPR controls (</w:t>
      </w:r>
      <w:r w:rsidR="00E95A87" w:rsidRPr="00226B30">
        <w:rPr>
          <w:rFonts w:asciiTheme="minorHAnsi" w:hAnsiTheme="minorHAnsi"/>
          <w:sz w:val="24"/>
          <w:lang w:val="en-US"/>
        </w:rPr>
        <w:t>-</w:t>
      </w:r>
      <w:r w:rsidRPr="00226B30">
        <w:rPr>
          <w:rFonts w:asciiTheme="minorHAnsi" w:hAnsiTheme="minorHAnsi"/>
          <w:sz w:val="24"/>
          <w:lang w:val="en-US"/>
        </w:rPr>
        <w:t xml:space="preserve">2.29 percentage </w:t>
      </w:r>
      <w:r w:rsidR="00E95A87" w:rsidRPr="00226B30">
        <w:rPr>
          <w:rFonts w:asciiTheme="minorHAnsi" w:hAnsiTheme="minorHAnsi"/>
          <w:sz w:val="24"/>
          <w:lang w:val="en-US"/>
        </w:rPr>
        <w:t>points, 95% CI: -2.56, -</w:t>
      </w:r>
      <w:r w:rsidRPr="00226B30">
        <w:rPr>
          <w:rFonts w:asciiTheme="minorHAnsi" w:hAnsiTheme="minorHAnsi"/>
          <w:sz w:val="24"/>
          <w:lang w:val="en-US"/>
        </w:rPr>
        <w:t>2.03; p&lt;0.001) and represented a 42% decrease in the rate of pp</w:t>
      </w:r>
      <w:r w:rsidR="00023A66" w:rsidRPr="00226B30">
        <w:rPr>
          <w:rFonts w:asciiTheme="minorHAnsi" w:hAnsiTheme="minorHAnsi"/>
          <w:sz w:val="24"/>
          <w:szCs w:val="24"/>
        </w:rPr>
        <w:t>FEV</w:t>
      </w:r>
      <w:r w:rsidR="00023A66" w:rsidRPr="00226B30">
        <w:rPr>
          <w:rFonts w:asciiTheme="minorHAnsi" w:hAnsiTheme="minorHAnsi"/>
          <w:sz w:val="24"/>
          <w:szCs w:val="24"/>
          <w:vertAlign w:val="subscript"/>
        </w:rPr>
        <w:t>1</w:t>
      </w:r>
      <w:r w:rsidRPr="00226B30">
        <w:rPr>
          <w:rFonts w:asciiTheme="minorHAnsi" w:hAnsiTheme="minorHAnsi"/>
          <w:sz w:val="24"/>
          <w:lang w:val="en-US"/>
        </w:rPr>
        <w:t xml:space="preserve"> decline in lumacaftor/ivacaftor-treated patients compared with the matched controls</w:t>
      </w:r>
      <w:r w:rsidR="00136A4D" w:rsidRPr="00226B30">
        <w:rPr>
          <w:rFonts w:asciiTheme="minorHAnsi" w:hAnsiTheme="minorHAnsi"/>
          <w:sz w:val="24"/>
          <w:lang w:val="en-US"/>
        </w:rPr>
        <w:t xml:space="preserve"> (or conversely, </w:t>
      </w:r>
      <w:r w:rsidR="00136A4D" w:rsidRPr="00226B30">
        <w:rPr>
          <w:rFonts w:asciiTheme="minorHAnsi" w:hAnsiTheme="minorHAnsi"/>
          <w:sz w:val="24"/>
          <w:lang w:eastAsia="en-GB"/>
        </w:rPr>
        <w:t>lumacaftor/ivacaftor treated patients experienced a decline in ppFEV</w:t>
      </w:r>
      <w:r w:rsidR="00136A4D" w:rsidRPr="00226B30">
        <w:rPr>
          <w:rFonts w:asciiTheme="minorHAnsi" w:hAnsiTheme="minorHAnsi"/>
          <w:sz w:val="24"/>
          <w:vertAlign w:val="subscript"/>
          <w:lang w:eastAsia="en-GB"/>
        </w:rPr>
        <w:t>1</w:t>
      </w:r>
      <w:r w:rsidR="00136A4D" w:rsidRPr="00226B30">
        <w:rPr>
          <w:rFonts w:asciiTheme="minorHAnsi" w:hAnsiTheme="minorHAnsi"/>
          <w:sz w:val="24"/>
          <w:lang w:eastAsia="en-GB"/>
        </w:rPr>
        <w:t xml:space="preserve"> that was 58% of the decline in the matched registry controls)</w:t>
      </w:r>
      <w:r w:rsidRPr="00226B30">
        <w:rPr>
          <w:rFonts w:asciiTheme="minorHAnsi" w:hAnsiTheme="minorHAnsi"/>
          <w:sz w:val="24"/>
          <w:lang w:val="en-US"/>
        </w:rPr>
        <w:t xml:space="preserve">. The relative rates of decline are depicted in Figure </w:t>
      </w:r>
      <w:r w:rsidR="000F34DF" w:rsidRPr="00226B30">
        <w:rPr>
          <w:rFonts w:asciiTheme="minorHAnsi" w:hAnsiTheme="minorHAnsi"/>
          <w:sz w:val="24"/>
          <w:lang w:val="en-US"/>
        </w:rPr>
        <w:t>2</w:t>
      </w:r>
      <w:r w:rsidRPr="00226B30">
        <w:rPr>
          <w:rFonts w:asciiTheme="minorHAnsi" w:hAnsiTheme="minorHAnsi"/>
          <w:sz w:val="24"/>
          <w:lang w:val="en-US"/>
        </w:rPr>
        <w:t xml:space="preserve"> below.</w:t>
      </w:r>
    </w:p>
    <w:p w:rsidR="000D33EE" w:rsidRPr="000D33EE" w:rsidRDefault="000D33EE" w:rsidP="000D33EE">
      <w:pPr>
        <w:widowControl/>
        <w:spacing w:after="120"/>
        <w:ind w:left="1"/>
        <w:rPr>
          <w:rFonts w:asciiTheme="minorHAnsi" w:hAnsiTheme="minorHAnsi"/>
          <w:sz w:val="24"/>
          <w:lang w:val="en-US"/>
        </w:rPr>
      </w:pPr>
    </w:p>
    <w:bookmarkEnd w:id="37"/>
    <w:p w:rsidR="008A1DA3" w:rsidRDefault="008A1DA3" w:rsidP="008A1DA3">
      <w:pPr>
        <w:pStyle w:val="Caption"/>
        <w:jc w:val="both"/>
      </w:pPr>
      <w:r>
        <w:t xml:space="preserve">Figure </w:t>
      </w:r>
      <w:r w:rsidR="000056CF">
        <w:rPr>
          <w:noProof/>
        </w:rPr>
        <w:t>2</w:t>
      </w:r>
      <w:r w:rsidRPr="00FF40C3">
        <w:t>: Estimated annual rate of ppFEV1 decline with lumacaftor/ivacaftor treated patients compared with a matched control group.</w:t>
      </w:r>
    </w:p>
    <w:p w:rsidR="00B2608F" w:rsidRPr="00226B30" w:rsidRDefault="00B2608F" w:rsidP="001E08C1">
      <w:pPr>
        <w:pStyle w:val="ListParagraph"/>
        <w:widowControl/>
        <w:spacing w:after="120"/>
        <w:rPr>
          <w:lang w:val="en-US"/>
        </w:rPr>
      </w:pPr>
      <w:r w:rsidRPr="00226B30">
        <w:rPr>
          <w:noProof/>
          <w:lang w:eastAsia="en-AU"/>
        </w:rPr>
        <w:drawing>
          <wp:inline distT="0" distB="0" distL="0" distR="0" wp14:anchorId="4CD3EB2D" wp14:editId="78F1E9B2">
            <wp:extent cx="3395207" cy="2574223"/>
            <wp:effectExtent l="0" t="0" r="0" b="0"/>
            <wp:docPr id="7" name="Picture 7" title="Estimated annual rate of ppFEV1 decline with lumacaftor/ivacaftor treated patients compared with a matched control 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15935" cy="2589939"/>
                    </a:xfrm>
                    <a:prstGeom prst="rect">
                      <a:avLst/>
                    </a:prstGeom>
                    <a:noFill/>
                    <a:ln>
                      <a:noFill/>
                    </a:ln>
                  </pic:spPr>
                </pic:pic>
              </a:graphicData>
            </a:graphic>
          </wp:inline>
        </w:drawing>
      </w:r>
    </w:p>
    <w:p w:rsidR="00B2608F" w:rsidRPr="00226B30" w:rsidRDefault="00B2608F" w:rsidP="001E08C1">
      <w:pPr>
        <w:pStyle w:val="Tablefooter8pt"/>
        <w:rPr>
          <w:lang w:val="en-US"/>
        </w:rPr>
      </w:pPr>
      <w:r w:rsidRPr="00226B30">
        <w:rPr>
          <w:lang w:val="en-US"/>
        </w:rPr>
        <w:t>Source: Figure B.7-9 p134 July 2017 resubmission.</w:t>
      </w:r>
    </w:p>
    <w:p w:rsidR="00B2608F" w:rsidRPr="00226B30" w:rsidRDefault="00B2608F" w:rsidP="001E08C1">
      <w:pPr>
        <w:pStyle w:val="Tablefooter8pt"/>
        <w:rPr>
          <w:lang w:val="en-US"/>
        </w:rPr>
      </w:pPr>
      <w:r w:rsidRPr="00226B30">
        <w:rPr>
          <w:lang w:val="en-US"/>
        </w:rPr>
        <w:t xml:space="preserve">The lines shown are calculated slopes for annualised rates of decline in each group. A significant difference between groups in the rate of lung function decline was observed (p&lt;0.001). Post-baseline data were limited to 2 years; visits occurring at 21 days of treatment initiation baseline or earlier were excluded from the analysis. </w:t>
      </w:r>
    </w:p>
    <w:p w:rsidR="00B2608F" w:rsidRPr="00226B30" w:rsidRDefault="00B2608F" w:rsidP="001E08C1">
      <w:pPr>
        <w:pStyle w:val="Tablefooter8pt"/>
        <w:rPr>
          <w:lang w:val="en-US"/>
        </w:rPr>
      </w:pPr>
      <w:r w:rsidRPr="00226B30">
        <w:rPr>
          <w:lang w:val="en-US"/>
        </w:rPr>
        <w:t>Bars show standard error.</w:t>
      </w:r>
    </w:p>
    <w:p w:rsidR="00B2608F" w:rsidRPr="00226B30" w:rsidRDefault="00E21279" w:rsidP="001C2FCF">
      <w:pPr>
        <w:pStyle w:val="Tablefooter8pt"/>
        <w:keepNext w:val="0"/>
        <w:spacing w:after="120"/>
        <w:rPr>
          <w:lang w:val="en-US"/>
        </w:rPr>
      </w:pPr>
      <w:r w:rsidRPr="00226B30">
        <w:rPr>
          <w:lang w:val="en-US"/>
        </w:rPr>
        <w:t>Abbreviations: GLI =</w:t>
      </w:r>
      <w:r w:rsidR="00B2608F" w:rsidRPr="00226B30">
        <w:rPr>
          <w:lang w:val="en-US"/>
        </w:rPr>
        <w:t xml:space="preserve"> Global Lungs Initiative; pp</w:t>
      </w:r>
      <w:r w:rsidR="00023A66" w:rsidRPr="00226B30">
        <w:rPr>
          <w:szCs w:val="24"/>
        </w:rPr>
        <w:t>FEV</w:t>
      </w:r>
      <w:r w:rsidR="00023A66" w:rsidRPr="00226B30">
        <w:rPr>
          <w:szCs w:val="24"/>
          <w:vertAlign w:val="subscript"/>
        </w:rPr>
        <w:t>1</w:t>
      </w:r>
      <w:r w:rsidRPr="00226B30">
        <w:rPr>
          <w:lang w:val="en-US"/>
        </w:rPr>
        <w:t xml:space="preserve"> =</w:t>
      </w:r>
      <w:r w:rsidR="00B2608F" w:rsidRPr="00226B30">
        <w:rPr>
          <w:lang w:val="en-US"/>
        </w:rPr>
        <w:t xml:space="preserve"> percent predicted forced expiratory volume in 1 second.</w:t>
      </w:r>
    </w:p>
    <w:p w:rsidR="00C9234A" w:rsidRPr="00226B30" w:rsidRDefault="00C9234A" w:rsidP="00C9234A">
      <w:pPr>
        <w:pStyle w:val="ListParagraph"/>
        <w:widowControl/>
        <w:numPr>
          <w:ilvl w:val="1"/>
          <w:numId w:val="13"/>
        </w:numPr>
        <w:spacing w:before="120" w:after="120"/>
        <w:ind w:left="720" w:hanging="720"/>
        <w:contextualSpacing w:val="0"/>
        <w:rPr>
          <w:lang w:val="en-US"/>
        </w:rPr>
      </w:pPr>
      <w:bookmarkStart w:id="38" w:name="_Toc413139279"/>
      <w:bookmarkStart w:id="39" w:name="_Toc476306889"/>
      <w:r w:rsidRPr="00226B30">
        <w:rPr>
          <w:rFonts w:asciiTheme="minorHAnsi" w:hAnsiTheme="minorHAnsi"/>
          <w:sz w:val="24"/>
          <w:lang w:val="en-US"/>
        </w:rPr>
        <w:t>A rate of change analysis was also performed for secondary outcomes where data from the PROGRESS study were compared with the CFFPR cohort. These data indicated a positive rate of change in the lumacaftor/ivacaftor group for weight for age and BMI-z score (with the matched cohort declining over time) and a greater rate of change in the treatment group for BMI (kg/m</w:t>
      </w:r>
      <w:r w:rsidRPr="00226B30">
        <w:rPr>
          <w:rFonts w:asciiTheme="minorHAnsi" w:hAnsiTheme="minorHAnsi"/>
          <w:sz w:val="24"/>
          <w:vertAlign w:val="superscript"/>
          <w:lang w:val="en-US"/>
        </w:rPr>
        <w:t>2</w:t>
      </w:r>
      <w:r w:rsidRPr="00226B30">
        <w:rPr>
          <w:rFonts w:asciiTheme="minorHAnsi" w:hAnsiTheme="minorHAnsi"/>
          <w:sz w:val="24"/>
          <w:lang w:val="en-US"/>
        </w:rPr>
        <w:t>) versus the matched cohort.</w:t>
      </w:r>
    </w:p>
    <w:p w:rsidR="00C10120" w:rsidRPr="00C16535" w:rsidRDefault="00C10120" w:rsidP="00C10120">
      <w:pPr>
        <w:pStyle w:val="ListParagraph"/>
        <w:widowControl/>
        <w:numPr>
          <w:ilvl w:val="1"/>
          <w:numId w:val="13"/>
        </w:numPr>
        <w:spacing w:after="120"/>
        <w:ind w:left="709" w:hanging="708"/>
        <w:contextualSpacing w:val="0"/>
        <w:rPr>
          <w:rFonts w:asciiTheme="minorHAnsi" w:hAnsiTheme="minorHAnsi"/>
          <w:sz w:val="24"/>
          <w:lang w:val="en-US"/>
        </w:rPr>
      </w:pPr>
      <w:r>
        <w:rPr>
          <w:rFonts w:asciiTheme="minorHAnsi" w:hAnsiTheme="minorHAnsi"/>
          <w:sz w:val="24"/>
          <w:lang w:val="en-US"/>
        </w:rPr>
        <w:t>T</w:t>
      </w:r>
      <w:r w:rsidRPr="00C16535">
        <w:rPr>
          <w:rFonts w:asciiTheme="minorHAnsi" w:hAnsiTheme="minorHAnsi"/>
          <w:sz w:val="24"/>
          <w:lang w:val="en-US"/>
        </w:rPr>
        <w:t>he PBAC agreed with the ESC that patients appeared to be fairly well matched</w:t>
      </w:r>
      <w:r>
        <w:rPr>
          <w:rFonts w:asciiTheme="minorHAnsi" w:hAnsiTheme="minorHAnsi"/>
          <w:sz w:val="24"/>
          <w:lang w:val="en-US"/>
        </w:rPr>
        <w:t xml:space="preserve"> in terms of the variables used for the propensity scoring approach.</w:t>
      </w:r>
      <w:r w:rsidRPr="00C16535">
        <w:rPr>
          <w:rFonts w:asciiTheme="minorHAnsi" w:hAnsiTheme="minorHAnsi"/>
          <w:sz w:val="24"/>
          <w:lang w:val="en-US"/>
        </w:rPr>
        <w:t xml:space="preserve"> </w:t>
      </w:r>
      <w:r>
        <w:rPr>
          <w:rFonts w:asciiTheme="minorHAnsi" w:hAnsiTheme="minorHAnsi"/>
          <w:sz w:val="24"/>
          <w:lang w:val="en-US"/>
        </w:rPr>
        <w:t xml:space="preserve">However, </w:t>
      </w:r>
      <w:r w:rsidRPr="00C16535">
        <w:rPr>
          <w:rFonts w:asciiTheme="minorHAnsi" w:hAnsiTheme="minorHAnsi"/>
          <w:sz w:val="24"/>
          <w:lang w:val="en-US"/>
        </w:rPr>
        <w:t>the PBAC considered that the historical control patients</w:t>
      </w:r>
      <w:r>
        <w:rPr>
          <w:rFonts w:asciiTheme="minorHAnsi" w:hAnsiTheme="minorHAnsi"/>
          <w:sz w:val="24"/>
          <w:lang w:val="en-US"/>
        </w:rPr>
        <w:t xml:space="preserve"> from the CFFPR</w:t>
      </w:r>
      <w:r w:rsidRPr="00C16535">
        <w:rPr>
          <w:rFonts w:asciiTheme="minorHAnsi" w:hAnsiTheme="minorHAnsi"/>
          <w:sz w:val="24"/>
          <w:lang w:val="en-US"/>
        </w:rPr>
        <w:t xml:space="preserve"> were </w:t>
      </w:r>
      <w:r>
        <w:rPr>
          <w:rFonts w:asciiTheme="minorHAnsi" w:hAnsiTheme="minorHAnsi"/>
          <w:sz w:val="24"/>
          <w:lang w:val="en-US"/>
        </w:rPr>
        <w:t xml:space="preserve">nevertheless </w:t>
      </w:r>
      <w:r w:rsidRPr="00C16535">
        <w:rPr>
          <w:rFonts w:asciiTheme="minorHAnsi" w:hAnsiTheme="minorHAnsi"/>
          <w:sz w:val="24"/>
          <w:lang w:val="en-US"/>
        </w:rPr>
        <w:t>unlikely to be representative of the patients in TRAFFIC/TRANSPORT</w:t>
      </w:r>
      <w:r w:rsidR="00927E71">
        <w:rPr>
          <w:rFonts w:asciiTheme="minorHAnsi" w:hAnsiTheme="minorHAnsi"/>
          <w:sz w:val="24"/>
          <w:lang w:val="en-US"/>
        </w:rPr>
        <w:t>, and hence PROGRESS</w:t>
      </w:r>
      <w:r>
        <w:rPr>
          <w:rFonts w:asciiTheme="minorHAnsi" w:hAnsiTheme="minorHAnsi"/>
          <w:sz w:val="24"/>
          <w:lang w:val="en-US"/>
        </w:rPr>
        <w:t>,</w:t>
      </w:r>
      <w:r w:rsidRPr="00C16535">
        <w:rPr>
          <w:rFonts w:asciiTheme="minorHAnsi" w:hAnsiTheme="minorHAnsi"/>
          <w:sz w:val="24"/>
          <w:lang w:val="en-US"/>
        </w:rPr>
        <w:t xml:space="preserve"> and </w:t>
      </w:r>
      <w:r w:rsidR="00D15DE8">
        <w:rPr>
          <w:rFonts w:asciiTheme="minorHAnsi" w:hAnsiTheme="minorHAnsi"/>
          <w:sz w:val="24"/>
          <w:lang w:val="en-US"/>
        </w:rPr>
        <w:t xml:space="preserve">the comparison of </w:t>
      </w:r>
      <w:r w:rsidRPr="00C16535">
        <w:rPr>
          <w:rFonts w:asciiTheme="minorHAnsi" w:hAnsiTheme="minorHAnsi"/>
          <w:sz w:val="24"/>
          <w:lang w:val="en-US"/>
        </w:rPr>
        <w:t xml:space="preserve">the </w:t>
      </w:r>
      <w:r w:rsidR="004577CD">
        <w:rPr>
          <w:rFonts w:asciiTheme="minorHAnsi" w:hAnsiTheme="minorHAnsi"/>
          <w:sz w:val="24"/>
          <w:lang w:val="en-US"/>
        </w:rPr>
        <w:t>reduction in the rate</w:t>
      </w:r>
      <w:r w:rsidRPr="00C16535">
        <w:rPr>
          <w:rFonts w:asciiTheme="minorHAnsi" w:hAnsiTheme="minorHAnsi"/>
          <w:sz w:val="24"/>
          <w:lang w:val="en-US"/>
        </w:rPr>
        <w:t xml:space="preserve"> of decline in FEV</w:t>
      </w:r>
      <w:r w:rsidRPr="00E43BD2">
        <w:rPr>
          <w:rFonts w:asciiTheme="minorHAnsi" w:hAnsiTheme="minorHAnsi"/>
          <w:sz w:val="24"/>
          <w:vertAlign w:val="subscript"/>
          <w:lang w:val="en-US"/>
        </w:rPr>
        <w:t>1</w:t>
      </w:r>
      <w:r w:rsidRPr="00C16535">
        <w:rPr>
          <w:rFonts w:asciiTheme="minorHAnsi" w:hAnsiTheme="minorHAnsi"/>
          <w:sz w:val="24"/>
          <w:lang w:val="en-US"/>
        </w:rPr>
        <w:t xml:space="preserve"> </w:t>
      </w:r>
      <w:r w:rsidR="00D15DE8">
        <w:rPr>
          <w:rFonts w:asciiTheme="minorHAnsi" w:hAnsiTheme="minorHAnsi"/>
          <w:sz w:val="24"/>
          <w:lang w:val="en-US"/>
        </w:rPr>
        <w:t xml:space="preserve">in PROGRESS </w:t>
      </w:r>
      <w:r w:rsidR="004D54C9">
        <w:rPr>
          <w:rFonts w:asciiTheme="minorHAnsi" w:hAnsiTheme="minorHAnsi"/>
          <w:sz w:val="24"/>
          <w:lang w:val="en-US"/>
        </w:rPr>
        <w:t>versus</w:t>
      </w:r>
      <w:r w:rsidR="00D15DE8">
        <w:rPr>
          <w:rFonts w:asciiTheme="minorHAnsi" w:hAnsiTheme="minorHAnsi"/>
          <w:sz w:val="24"/>
          <w:lang w:val="en-US"/>
        </w:rPr>
        <w:t xml:space="preserve"> the CFFPR </w:t>
      </w:r>
      <w:r w:rsidRPr="00C16535">
        <w:rPr>
          <w:rFonts w:asciiTheme="minorHAnsi" w:hAnsiTheme="minorHAnsi"/>
          <w:sz w:val="24"/>
          <w:lang w:val="en-US"/>
        </w:rPr>
        <w:t xml:space="preserve">was </w:t>
      </w:r>
      <w:r w:rsidR="00073551">
        <w:rPr>
          <w:rFonts w:asciiTheme="minorHAnsi" w:hAnsiTheme="minorHAnsi"/>
          <w:sz w:val="24"/>
          <w:lang w:val="en-US"/>
        </w:rPr>
        <w:t xml:space="preserve">likely to be </w:t>
      </w:r>
      <w:r w:rsidR="00D15DE8">
        <w:rPr>
          <w:rFonts w:asciiTheme="minorHAnsi" w:hAnsiTheme="minorHAnsi"/>
          <w:sz w:val="24"/>
          <w:lang w:val="en-US"/>
        </w:rPr>
        <w:t xml:space="preserve">biased in </w:t>
      </w:r>
      <w:r w:rsidR="00D15DE8" w:rsidRPr="0055086C">
        <w:rPr>
          <w:rFonts w:asciiTheme="minorHAnsi" w:hAnsiTheme="minorHAnsi"/>
          <w:sz w:val="24"/>
        </w:rPr>
        <w:t>favour</w:t>
      </w:r>
      <w:r w:rsidR="00D15DE8">
        <w:rPr>
          <w:rFonts w:asciiTheme="minorHAnsi" w:hAnsiTheme="minorHAnsi"/>
          <w:sz w:val="24"/>
          <w:lang w:val="en-US"/>
        </w:rPr>
        <w:t xml:space="preserve"> of </w:t>
      </w:r>
      <w:r w:rsidR="00D15DE8" w:rsidRPr="00226B30">
        <w:rPr>
          <w:rFonts w:asciiTheme="minorHAnsi" w:hAnsiTheme="minorHAnsi"/>
          <w:sz w:val="24"/>
          <w:lang w:val="en-US"/>
        </w:rPr>
        <w:t>lumacaftor/ivacaftor</w:t>
      </w:r>
      <w:r w:rsidR="00D15DE8">
        <w:rPr>
          <w:rFonts w:asciiTheme="minorHAnsi" w:hAnsiTheme="minorHAnsi"/>
          <w:sz w:val="24"/>
          <w:lang w:val="en-US"/>
        </w:rPr>
        <w:t>. More specifically:</w:t>
      </w:r>
    </w:p>
    <w:p w:rsidR="00C10120" w:rsidRDefault="00C10120" w:rsidP="00B6229A">
      <w:pPr>
        <w:pStyle w:val="ListParagraph"/>
        <w:widowControl/>
        <w:numPr>
          <w:ilvl w:val="2"/>
          <w:numId w:val="13"/>
        </w:numPr>
        <w:spacing w:after="120"/>
        <w:ind w:left="993" w:hanging="284"/>
        <w:contextualSpacing w:val="0"/>
        <w:rPr>
          <w:rFonts w:asciiTheme="minorHAnsi" w:hAnsiTheme="minorHAnsi"/>
          <w:sz w:val="24"/>
          <w:lang w:val="en-US"/>
        </w:rPr>
      </w:pPr>
      <w:r w:rsidRPr="001C2FCF">
        <w:rPr>
          <w:rFonts w:asciiTheme="minorHAnsi" w:hAnsiTheme="minorHAnsi"/>
          <w:sz w:val="24"/>
          <w:lang w:val="en-US"/>
        </w:rPr>
        <w:t xml:space="preserve">The </w:t>
      </w:r>
      <w:r>
        <w:rPr>
          <w:rFonts w:asciiTheme="minorHAnsi" w:hAnsiTheme="minorHAnsi"/>
          <w:sz w:val="24"/>
          <w:lang w:val="en-US"/>
        </w:rPr>
        <w:t>historical controls were drawn from the CFFPR</w:t>
      </w:r>
      <w:r w:rsidR="00927E71">
        <w:rPr>
          <w:rFonts w:asciiTheme="minorHAnsi" w:hAnsiTheme="minorHAnsi"/>
          <w:sz w:val="24"/>
          <w:lang w:val="en-US"/>
        </w:rPr>
        <w:t xml:space="preserve"> </w:t>
      </w:r>
      <w:r w:rsidR="004D54C9">
        <w:rPr>
          <w:rFonts w:asciiTheme="minorHAnsi" w:hAnsiTheme="minorHAnsi"/>
          <w:sz w:val="24"/>
          <w:lang w:val="en-US"/>
        </w:rPr>
        <w:t>which included</w:t>
      </w:r>
      <w:r w:rsidR="00927E71">
        <w:rPr>
          <w:rFonts w:asciiTheme="minorHAnsi" w:hAnsiTheme="minorHAnsi"/>
          <w:sz w:val="24"/>
          <w:lang w:val="en-US"/>
        </w:rPr>
        <w:t xml:space="preserve"> only patients from the US,</w:t>
      </w:r>
      <w:r>
        <w:rPr>
          <w:rFonts w:asciiTheme="minorHAnsi" w:hAnsiTheme="minorHAnsi"/>
          <w:sz w:val="24"/>
          <w:lang w:val="en-US"/>
        </w:rPr>
        <w:t xml:space="preserve"> while the patients in PROGRESS were from the CF clinics across North America, Europe and Australia that participated in TRAFFIC/TRANSPORT. The PBAC noted a recent cohort study (Stephenson et al, 2017</w:t>
      </w:r>
      <w:r w:rsidRPr="00151FD2">
        <w:rPr>
          <w:vertAlign w:val="superscript"/>
        </w:rPr>
        <w:footnoteReference w:id="4"/>
      </w:r>
      <w:r w:rsidR="0055086C">
        <w:rPr>
          <w:rFonts w:asciiTheme="minorHAnsi" w:hAnsiTheme="minorHAnsi"/>
          <w:sz w:val="24"/>
          <w:lang w:val="en-US"/>
        </w:rPr>
        <w:t>) that found a 10 </w:t>
      </w:r>
      <w:r>
        <w:rPr>
          <w:rFonts w:asciiTheme="minorHAnsi" w:hAnsiTheme="minorHAnsi"/>
          <w:sz w:val="24"/>
          <w:lang w:val="en-US"/>
        </w:rPr>
        <w:t xml:space="preserve">year difference in the median age of survival for CF patients in </w:t>
      </w:r>
      <w:r w:rsidR="00073551">
        <w:rPr>
          <w:rFonts w:asciiTheme="minorHAnsi" w:hAnsiTheme="minorHAnsi"/>
          <w:sz w:val="24"/>
          <w:lang w:val="en-US"/>
        </w:rPr>
        <w:t xml:space="preserve">the US CFFPR (40.6 years) compared to </w:t>
      </w:r>
      <w:r>
        <w:rPr>
          <w:rFonts w:asciiTheme="minorHAnsi" w:hAnsiTheme="minorHAnsi"/>
          <w:sz w:val="24"/>
          <w:lang w:val="en-US"/>
        </w:rPr>
        <w:t>the Canadian Cystic Fibrosis Registry (50.9 years</w:t>
      </w:r>
      <w:r w:rsidR="00387CBB">
        <w:rPr>
          <w:rFonts w:asciiTheme="minorHAnsi" w:hAnsiTheme="minorHAnsi"/>
          <w:sz w:val="24"/>
          <w:lang w:val="en-US"/>
        </w:rPr>
        <w:t xml:space="preserve">). </w:t>
      </w:r>
      <w:r>
        <w:rPr>
          <w:rFonts w:asciiTheme="minorHAnsi" w:hAnsiTheme="minorHAnsi"/>
          <w:sz w:val="24"/>
          <w:lang w:val="en-US"/>
        </w:rPr>
        <w:t xml:space="preserve">The study found that this difference </w:t>
      </w:r>
      <w:r w:rsidRPr="0058227B">
        <w:rPr>
          <w:rFonts w:asciiTheme="minorHAnsi" w:hAnsiTheme="minorHAnsi"/>
          <w:sz w:val="24"/>
          <w:lang w:val="en-US"/>
        </w:rPr>
        <w:t>persisted after adjustment for risk factors associated with survival,</w:t>
      </w:r>
      <w:r>
        <w:rPr>
          <w:rFonts w:asciiTheme="minorHAnsi" w:hAnsiTheme="minorHAnsi"/>
          <w:sz w:val="24"/>
          <w:lang w:val="en-US"/>
        </w:rPr>
        <w:t xml:space="preserve"> with the exception of private </w:t>
      </w:r>
      <w:r w:rsidRPr="0058227B">
        <w:rPr>
          <w:rFonts w:asciiTheme="minorHAnsi" w:hAnsiTheme="minorHAnsi"/>
          <w:sz w:val="24"/>
          <w:lang w:val="en-US"/>
        </w:rPr>
        <w:t>insura</w:t>
      </w:r>
      <w:r>
        <w:rPr>
          <w:rFonts w:asciiTheme="minorHAnsi" w:hAnsiTheme="minorHAnsi"/>
          <w:sz w:val="24"/>
          <w:lang w:val="en-US"/>
        </w:rPr>
        <w:t xml:space="preserve">nce status among US patients, and concluded that </w:t>
      </w:r>
      <w:r w:rsidRPr="0058227B">
        <w:rPr>
          <w:rFonts w:asciiTheme="minorHAnsi" w:hAnsiTheme="minorHAnsi"/>
          <w:sz w:val="24"/>
          <w:lang w:val="en-US"/>
        </w:rPr>
        <w:t>the Canadian survival advantage</w:t>
      </w:r>
      <w:r>
        <w:rPr>
          <w:rFonts w:asciiTheme="minorHAnsi" w:hAnsiTheme="minorHAnsi"/>
          <w:sz w:val="24"/>
          <w:lang w:val="en-US"/>
        </w:rPr>
        <w:t xml:space="preserve"> may in part be explained by d</w:t>
      </w:r>
      <w:r w:rsidRPr="0058227B">
        <w:rPr>
          <w:rFonts w:asciiTheme="minorHAnsi" w:hAnsiTheme="minorHAnsi"/>
          <w:sz w:val="24"/>
          <w:lang w:val="en-US"/>
        </w:rPr>
        <w:t>ifferential access to transplantation, increased post</w:t>
      </w:r>
      <w:r>
        <w:rPr>
          <w:rFonts w:asciiTheme="minorHAnsi" w:hAnsiTheme="minorHAnsi"/>
          <w:sz w:val="24"/>
          <w:lang w:val="en-US"/>
        </w:rPr>
        <w:noBreakHyphen/>
      </w:r>
      <w:r w:rsidRPr="0058227B">
        <w:rPr>
          <w:rFonts w:asciiTheme="minorHAnsi" w:hAnsiTheme="minorHAnsi"/>
          <w:sz w:val="24"/>
          <w:lang w:val="en-US"/>
        </w:rPr>
        <w:t>transplant survival, and differences in health care systems.</w:t>
      </w:r>
      <w:r w:rsidR="004335B0">
        <w:rPr>
          <w:rFonts w:asciiTheme="minorHAnsi" w:hAnsiTheme="minorHAnsi"/>
          <w:sz w:val="24"/>
          <w:lang w:val="en-US"/>
        </w:rPr>
        <w:t xml:space="preserve"> T</w:t>
      </w:r>
      <w:r>
        <w:rPr>
          <w:rFonts w:asciiTheme="minorHAnsi" w:hAnsiTheme="minorHAnsi"/>
          <w:sz w:val="24"/>
          <w:lang w:val="en-US"/>
        </w:rPr>
        <w:t xml:space="preserve">he clinician at the sponsor hearing </w:t>
      </w:r>
      <w:r w:rsidR="004335B0">
        <w:rPr>
          <w:rFonts w:asciiTheme="minorHAnsi" w:hAnsiTheme="minorHAnsi"/>
          <w:sz w:val="24"/>
          <w:lang w:val="en-US"/>
        </w:rPr>
        <w:t xml:space="preserve">also </w:t>
      </w:r>
      <w:r>
        <w:rPr>
          <w:rFonts w:asciiTheme="minorHAnsi" w:hAnsiTheme="minorHAnsi"/>
          <w:sz w:val="24"/>
          <w:lang w:val="en-US"/>
        </w:rPr>
        <w:t>noted that patients in the US tend to perform worse on average than patients in other countries, such as the UK (s</w:t>
      </w:r>
      <w:r w:rsidRPr="0055086C">
        <w:rPr>
          <w:rFonts w:asciiTheme="minorHAnsi" w:hAnsiTheme="minorHAnsi"/>
          <w:sz w:val="24"/>
          <w:lang w:val="en-US"/>
        </w:rPr>
        <w:t>ee paragraph 6.1). A</w:t>
      </w:r>
      <w:r>
        <w:rPr>
          <w:rFonts w:asciiTheme="minorHAnsi" w:hAnsiTheme="minorHAnsi"/>
          <w:sz w:val="24"/>
          <w:lang w:val="en-US"/>
        </w:rPr>
        <w:t xml:space="preserve">ccordingly, the PBAC considered that the </w:t>
      </w:r>
      <w:r w:rsidR="004335B0">
        <w:rPr>
          <w:rFonts w:asciiTheme="minorHAnsi" w:hAnsiTheme="minorHAnsi"/>
          <w:sz w:val="24"/>
          <w:lang w:val="en-US"/>
        </w:rPr>
        <w:t xml:space="preserve">higher </w:t>
      </w:r>
      <w:r>
        <w:rPr>
          <w:rFonts w:asciiTheme="minorHAnsi" w:hAnsiTheme="minorHAnsi"/>
          <w:sz w:val="24"/>
          <w:lang w:val="en-US"/>
        </w:rPr>
        <w:t>rate of decline in FEV</w:t>
      </w:r>
      <w:r w:rsidRPr="008323A8">
        <w:rPr>
          <w:rFonts w:asciiTheme="minorHAnsi" w:hAnsiTheme="minorHAnsi"/>
          <w:sz w:val="24"/>
          <w:vertAlign w:val="subscript"/>
          <w:lang w:val="en-US"/>
        </w:rPr>
        <w:t>1</w:t>
      </w:r>
      <w:r>
        <w:rPr>
          <w:rFonts w:asciiTheme="minorHAnsi" w:hAnsiTheme="minorHAnsi"/>
          <w:sz w:val="24"/>
          <w:lang w:val="en-US"/>
        </w:rPr>
        <w:t xml:space="preserve"> in the </w:t>
      </w:r>
      <w:r w:rsidR="00927E71">
        <w:rPr>
          <w:rFonts w:asciiTheme="minorHAnsi" w:hAnsiTheme="minorHAnsi"/>
          <w:sz w:val="24"/>
          <w:lang w:val="en-US"/>
        </w:rPr>
        <w:t>US CFFPR may have been</w:t>
      </w:r>
      <w:r w:rsidR="004335B0">
        <w:rPr>
          <w:rFonts w:asciiTheme="minorHAnsi" w:hAnsiTheme="minorHAnsi"/>
          <w:sz w:val="24"/>
          <w:lang w:val="en-US"/>
        </w:rPr>
        <w:t xml:space="preserve"> at least partly </w:t>
      </w:r>
      <w:r w:rsidR="00927E71">
        <w:rPr>
          <w:rFonts w:asciiTheme="minorHAnsi" w:hAnsiTheme="minorHAnsi"/>
          <w:sz w:val="24"/>
          <w:lang w:val="en-US"/>
        </w:rPr>
        <w:t xml:space="preserve">due </w:t>
      </w:r>
      <w:r w:rsidR="00B94D93">
        <w:rPr>
          <w:rFonts w:asciiTheme="minorHAnsi" w:hAnsiTheme="minorHAnsi"/>
          <w:sz w:val="24"/>
          <w:lang w:val="en-US"/>
        </w:rPr>
        <w:t xml:space="preserve">to </w:t>
      </w:r>
      <w:r w:rsidR="00073551">
        <w:rPr>
          <w:rFonts w:asciiTheme="minorHAnsi" w:hAnsiTheme="minorHAnsi"/>
          <w:sz w:val="24"/>
          <w:lang w:val="en-US"/>
        </w:rPr>
        <w:t>it consisting entirely of historical</w:t>
      </w:r>
      <w:r w:rsidR="00927E71">
        <w:rPr>
          <w:rFonts w:asciiTheme="minorHAnsi" w:hAnsiTheme="minorHAnsi"/>
          <w:sz w:val="24"/>
          <w:lang w:val="en-US"/>
        </w:rPr>
        <w:t xml:space="preserve"> </w:t>
      </w:r>
      <w:r w:rsidR="004D54C9">
        <w:rPr>
          <w:rFonts w:asciiTheme="minorHAnsi" w:hAnsiTheme="minorHAnsi"/>
          <w:sz w:val="24"/>
          <w:lang w:val="en-US"/>
        </w:rPr>
        <w:t>US patients</w:t>
      </w:r>
      <w:r w:rsidR="0055086C">
        <w:rPr>
          <w:rFonts w:asciiTheme="minorHAnsi" w:hAnsiTheme="minorHAnsi"/>
          <w:sz w:val="24"/>
          <w:lang w:val="en-US"/>
        </w:rPr>
        <w:t>, compared with PROGRESS</w:t>
      </w:r>
      <w:r w:rsidR="00073551">
        <w:rPr>
          <w:rFonts w:asciiTheme="minorHAnsi" w:hAnsiTheme="minorHAnsi"/>
          <w:sz w:val="24"/>
          <w:lang w:val="en-US"/>
        </w:rPr>
        <w:t xml:space="preserve"> which included patients from other countries, and in which patients might </w:t>
      </w:r>
      <w:r w:rsidR="0011542E">
        <w:rPr>
          <w:rFonts w:asciiTheme="minorHAnsi" w:hAnsiTheme="minorHAnsi"/>
          <w:sz w:val="24"/>
          <w:lang w:val="en-US"/>
        </w:rPr>
        <w:t>be</w:t>
      </w:r>
      <w:r w:rsidR="00073551">
        <w:rPr>
          <w:rFonts w:asciiTheme="minorHAnsi" w:hAnsiTheme="minorHAnsi"/>
          <w:sz w:val="24"/>
          <w:lang w:val="en-US"/>
        </w:rPr>
        <w:t xml:space="preserve"> expected to</w:t>
      </w:r>
      <w:r w:rsidR="0011542E">
        <w:rPr>
          <w:rFonts w:asciiTheme="minorHAnsi" w:hAnsiTheme="minorHAnsi"/>
          <w:sz w:val="24"/>
          <w:lang w:val="en-US"/>
        </w:rPr>
        <w:t xml:space="preserve"> have</w:t>
      </w:r>
      <w:r w:rsidR="00073551">
        <w:rPr>
          <w:rFonts w:asciiTheme="minorHAnsi" w:hAnsiTheme="minorHAnsi"/>
          <w:sz w:val="24"/>
          <w:lang w:val="en-US"/>
        </w:rPr>
        <w:t xml:space="preserve"> benefit</w:t>
      </w:r>
      <w:r w:rsidR="0011542E">
        <w:rPr>
          <w:rFonts w:asciiTheme="minorHAnsi" w:hAnsiTheme="minorHAnsi"/>
          <w:sz w:val="24"/>
          <w:lang w:val="en-US"/>
        </w:rPr>
        <w:t>ed</w:t>
      </w:r>
      <w:r w:rsidR="00073551">
        <w:rPr>
          <w:rFonts w:asciiTheme="minorHAnsi" w:hAnsiTheme="minorHAnsi"/>
          <w:sz w:val="24"/>
          <w:lang w:val="en-US"/>
        </w:rPr>
        <w:t xml:space="preserve"> from optimization of other aspects of care</w:t>
      </w:r>
      <w:r w:rsidR="004D54C9">
        <w:rPr>
          <w:rFonts w:asciiTheme="minorHAnsi" w:hAnsiTheme="minorHAnsi"/>
          <w:sz w:val="24"/>
          <w:lang w:val="en-US"/>
        </w:rPr>
        <w:t xml:space="preserve">. </w:t>
      </w:r>
      <w:r w:rsidR="00E05DC5">
        <w:rPr>
          <w:rFonts w:asciiTheme="minorHAnsi" w:hAnsiTheme="minorHAnsi"/>
          <w:sz w:val="24"/>
          <w:lang w:val="en-US"/>
        </w:rPr>
        <w:t>Further</w:t>
      </w:r>
      <w:r w:rsidR="004335B0" w:rsidRPr="004335B0">
        <w:rPr>
          <w:rFonts w:asciiTheme="minorHAnsi" w:hAnsiTheme="minorHAnsi"/>
          <w:sz w:val="24"/>
          <w:lang w:val="en-US"/>
        </w:rPr>
        <w:t xml:space="preserve"> </w:t>
      </w:r>
      <w:r w:rsidR="004335B0">
        <w:rPr>
          <w:rFonts w:asciiTheme="minorHAnsi" w:hAnsiTheme="minorHAnsi"/>
          <w:sz w:val="24"/>
          <w:lang w:val="en-US"/>
        </w:rPr>
        <w:t xml:space="preserve">increasing </w:t>
      </w:r>
      <w:r w:rsidR="00073551">
        <w:rPr>
          <w:rFonts w:asciiTheme="minorHAnsi" w:hAnsiTheme="minorHAnsi"/>
          <w:sz w:val="24"/>
          <w:lang w:val="en-US"/>
        </w:rPr>
        <w:t>uncertainty about the benefit</w:t>
      </w:r>
      <w:r w:rsidR="004335B0">
        <w:rPr>
          <w:rFonts w:asciiTheme="minorHAnsi" w:hAnsiTheme="minorHAnsi"/>
          <w:sz w:val="24"/>
          <w:lang w:val="en-US"/>
        </w:rPr>
        <w:t xml:space="preserve"> of </w:t>
      </w:r>
      <w:r w:rsidR="004335B0" w:rsidRPr="00226B30">
        <w:rPr>
          <w:rFonts w:asciiTheme="minorHAnsi" w:hAnsiTheme="minorHAnsi"/>
          <w:sz w:val="24"/>
          <w:lang w:val="en-US"/>
        </w:rPr>
        <w:t>lumacaftor/ivacaftor</w:t>
      </w:r>
      <w:r w:rsidR="004335B0">
        <w:rPr>
          <w:rFonts w:asciiTheme="minorHAnsi" w:hAnsiTheme="minorHAnsi"/>
          <w:sz w:val="24"/>
          <w:lang w:val="en-US"/>
        </w:rPr>
        <w:t xml:space="preserve"> was the </w:t>
      </w:r>
      <w:r w:rsidR="004335B0" w:rsidRPr="0055086C">
        <w:rPr>
          <w:rFonts w:asciiTheme="minorHAnsi" w:hAnsiTheme="minorHAnsi"/>
          <w:sz w:val="24"/>
          <w:lang w:val="en-US"/>
        </w:rPr>
        <w:t>closure of US clinical trial sites</w:t>
      </w:r>
      <w:r w:rsidR="001E3BF2" w:rsidRPr="0055086C">
        <w:rPr>
          <w:rFonts w:asciiTheme="minorHAnsi" w:hAnsiTheme="minorHAnsi"/>
          <w:sz w:val="24"/>
          <w:lang w:val="en-US"/>
        </w:rPr>
        <w:t xml:space="preserve"> (</w:t>
      </w:r>
      <w:r w:rsidR="0055086C" w:rsidRPr="0055086C">
        <w:rPr>
          <w:rFonts w:asciiTheme="minorHAnsi" w:hAnsiTheme="minorHAnsi"/>
          <w:sz w:val="24"/>
          <w:lang w:val="en-US"/>
        </w:rPr>
        <w:t>see paragraph 6.7</w:t>
      </w:r>
      <w:r w:rsidR="001E3BF2" w:rsidRPr="0055086C">
        <w:rPr>
          <w:rFonts w:asciiTheme="minorHAnsi" w:hAnsiTheme="minorHAnsi"/>
          <w:sz w:val="24"/>
          <w:lang w:val="en-US"/>
        </w:rPr>
        <w:t>)</w:t>
      </w:r>
      <w:r w:rsidR="004335B0" w:rsidRPr="0055086C">
        <w:rPr>
          <w:rFonts w:asciiTheme="minorHAnsi" w:hAnsiTheme="minorHAnsi"/>
          <w:sz w:val="24"/>
          <w:lang w:val="en-US"/>
        </w:rPr>
        <w:t xml:space="preserve"> </w:t>
      </w:r>
      <w:r w:rsidR="0055086C" w:rsidRPr="0055086C">
        <w:rPr>
          <w:rFonts w:asciiTheme="minorHAnsi" w:hAnsiTheme="minorHAnsi"/>
          <w:sz w:val="24"/>
          <w:lang w:val="en-US"/>
        </w:rPr>
        <w:t xml:space="preserve">which </w:t>
      </w:r>
      <w:r w:rsidR="004335B0" w:rsidRPr="0055086C">
        <w:rPr>
          <w:rFonts w:asciiTheme="minorHAnsi" w:hAnsiTheme="minorHAnsi"/>
          <w:sz w:val="24"/>
          <w:lang w:val="en-US"/>
        </w:rPr>
        <w:t>presumably result</w:t>
      </w:r>
      <w:r w:rsidR="0055086C" w:rsidRPr="0055086C">
        <w:rPr>
          <w:rFonts w:asciiTheme="minorHAnsi" w:hAnsiTheme="minorHAnsi"/>
          <w:sz w:val="24"/>
          <w:lang w:val="en-US"/>
        </w:rPr>
        <w:t>ed</w:t>
      </w:r>
      <w:r w:rsidR="004335B0" w:rsidRPr="0055086C">
        <w:rPr>
          <w:rFonts w:asciiTheme="minorHAnsi" w:hAnsiTheme="minorHAnsi"/>
          <w:sz w:val="24"/>
          <w:lang w:val="en-US"/>
        </w:rPr>
        <w:t xml:space="preserve"> in </w:t>
      </w:r>
      <w:r w:rsidR="0011542E">
        <w:rPr>
          <w:rFonts w:asciiTheme="minorHAnsi" w:hAnsiTheme="minorHAnsi"/>
          <w:sz w:val="24"/>
          <w:lang w:val="en-US"/>
        </w:rPr>
        <w:t>further depletion</w:t>
      </w:r>
      <w:r w:rsidR="00E05DC5" w:rsidRPr="0055086C">
        <w:rPr>
          <w:rFonts w:asciiTheme="minorHAnsi" w:hAnsiTheme="minorHAnsi"/>
          <w:sz w:val="24"/>
          <w:lang w:val="en-US"/>
        </w:rPr>
        <w:t xml:space="preserve"> </w:t>
      </w:r>
      <w:r w:rsidR="0011542E">
        <w:rPr>
          <w:rFonts w:asciiTheme="minorHAnsi" w:hAnsiTheme="minorHAnsi"/>
          <w:sz w:val="24"/>
          <w:lang w:val="en-US"/>
        </w:rPr>
        <w:t xml:space="preserve">of the </w:t>
      </w:r>
      <w:r w:rsidR="00E05DC5" w:rsidRPr="0055086C">
        <w:rPr>
          <w:rFonts w:asciiTheme="minorHAnsi" w:hAnsiTheme="minorHAnsi"/>
          <w:sz w:val="24"/>
          <w:lang w:val="en-US"/>
        </w:rPr>
        <w:t>PROGRESS</w:t>
      </w:r>
      <w:r w:rsidR="0011542E">
        <w:rPr>
          <w:rFonts w:asciiTheme="minorHAnsi" w:hAnsiTheme="minorHAnsi"/>
          <w:sz w:val="24"/>
          <w:lang w:val="en-US"/>
        </w:rPr>
        <w:t xml:space="preserve"> patient population with US patients</w:t>
      </w:r>
      <w:r w:rsidR="00E05DC5" w:rsidRPr="0055086C">
        <w:rPr>
          <w:rFonts w:asciiTheme="minorHAnsi" w:hAnsiTheme="minorHAnsi"/>
          <w:sz w:val="24"/>
          <w:lang w:val="en-US"/>
        </w:rPr>
        <w:t xml:space="preserve"> over</w:t>
      </w:r>
      <w:r w:rsidR="00037FE9">
        <w:rPr>
          <w:rFonts w:asciiTheme="minorHAnsi" w:hAnsiTheme="minorHAnsi"/>
          <w:sz w:val="24"/>
          <w:lang w:val="en-US"/>
        </w:rPr>
        <w:t xml:space="preserve"> </w:t>
      </w:r>
      <w:r w:rsidR="00E05DC5" w:rsidRPr="0055086C">
        <w:rPr>
          <w:rFonts w:asciiTheme="minorHAnsi" w:hAnsiTheme="minorHAnsi"/>
          <w:sz w:val="24"/>
          <w:lang w:val="en-US"/>
        </w:rPr>
        <w:t>time</w:t>
      </w:r>
      <w:r w:rsidRPr="0055086C">
        <w:rPr>
          <w:rFonts w:asciiTheme="minorHAnsi" w:hAnsiTheme="minorHAnsi"/>
          <w:sz w:val="24"/>
          <w:lang w:val="en-US"/>
        </w:rPr>
        <w:t>.</w:t>
      </w:r>
    </w:p>
    <w:p w:rsidR="004D54C9" w:rsidRPr="00652860" w:rsidRDefault="00C10120" w:rsidP="00652860">
      <w:pPr>
        <w:pStyle w:val="ListParagraph"/>
        <w:widowControl/>
        <w:numPr>
          <w:ilvl w:val="2"/>
          <w:numId w:val="13"/>
        </w:numPr>
        <w:spacing w:after="120"/>
        <w:ind w:left="993" w:hanging="284"/>
        <w:contextualSpacing w:val="0"/>
        <w:rPr>
          <w:rFonts w:asciiTheme="minorHAnsi" w:hAnsiTheme="minorHAnsi"/>
          <w:sz w:val="24"/>
          <w:lang w:val="en-US"/>
        </w:rPr>
      </w:pPr>
      <w:r>
        <w:rPr>
          <w:rFonts w:asciiTheme="minorHAnsi" w:hAnsiTheme="minorHAnsi"/>
          <w:sz w:val="24"/>
          <w:lang w:val="en-US"/>
        </w:rPr>
        <w:t xml:space="preserve">The PBAC considered that </w:t>
      </w:r>
      <w:r w:rsidR="004D54C9">
        <w:rPr>
          <w:rFonts w:asciiTheme="minorHAnsi" w:hAnsiTheme="minorHAnsi"/>
          <w:sz w:val="24"/>
          <w:lang w:val="en-US"/>
        </w:rPr>
        <w:t xml:space="preserve">due to the requirements of the trial protocols </w:t>
      </w:r>
      <w:r w:rsidR="001E3BF2">
        <w:rPr>
          <w:rFonts w:asciiTheme="minorHAnsi" w:hAnsiTheme="minorHAnsi"/>
          <w:sz w:val="24"/>
          <w:lang w:val="en-US"/>
        </w:rPr>
        <w:t>(e</w:t>
      </w:r>
      <w:r w:rsidR="0055086C">
        <w:rPr>
          <w:rFonts w:asciiTheme="minorHAnsi" w:hAnsiTheme="minorHAnsi"/>
          <w:sz w:val="24"/>
          <w:lang w:val="en-US"/>
        </w:rPr>
        <w:t>.</w:t>
      </w:r>
      <w:r w:rsidR="001E3BF2">
        <w:rPr>
          <w:rFonts w:asciiTheme="minorHAnsi" w:hAnsiTheme="minorHAnsi"/>
          <w:sz w:val="24"/>
          <w:lang w:val="en-US"/>
        </w:rPr>
        <w:t xml:space="preserve">g. inclusion/exclusion criteria, monitoring and support provided), </w:t>
      </w:r>
      <w:r w:rsidR="004D54C9">
        <w:rPr>
          <w:rFonts w:asciiTheme="minorHAnsi" w:hAnsiTheme="minorHAnsi"/>
          <w:sz w:val="24"/>
          <w:lang w:val="en-US"/>
        </w:rPr>
        <w:t xml:space="preserve">and the </w:t>
      </w:r>
      <w:r w:rsidR="00B61571" w:rsidRPr="0055086C">
        <w:rPr>
          <w:rFonts w:asciiTheme="minorHAnsi" w:hAnsiTheme="minorHAnsi"/>
          <w:sz w:val="24"/>
        </w:rPr>
        <w:t>specialised</w:t>
      </w:r>
      <w:r w:rsidR="00B61571">
        <w:rPr>
          <w:rFonts w:asciiTheme="minorHAnsi" w:hAnsiTheme="minorHAnsi"/>
          <w:sz w:val="24"/>
          <w:lang w:val="en-US"/>
        </w:rPr>
        <w:t xml:space="preserve"> </w:t>
      </w:r>
      <w:r w:rsidR="004D54C9">
        <w:rPr>
          <w:rFonts w:asciiTheme="minorHAnsi" w:hAnsiTheme="minorHAnsi"/>
          <w:sz w:val="24"/>
          <w:lang w:val="en-US"/>
        </w:rPr>
        <w:t xml:space="preserve">centres involved, that </w:t>
      </w:r>
      <w:r>
        <w:rPr>
          <w:rFonts w:asciiTheme="minorHAnsi" w:hAnsiTheme="minorHAnsi"/>
          <w:sz w:val="24"/>
          <w:lang w:val="en-US"/>
        </w:rPr>
        <w:t>the</w:t>
      </w:r>
      <w:r w:rsidR="004D54C9">
        <w:rPr>
          <w:rFonts w:asciiTheme="minorHAnsi" w:hAnsiTheme="minorHAnsi"/>
          <w:sz w:val="24"/>
          <w:lang w:val="en-US"/>
        </w:rPr>
        <w:t xml:space="preserve"> patients enrolled in the trials were likely to have a better prognosis on average than the CFFPR control patients</w:t>
      </w:r>
      <w:r w:rsidR="008A5FEA">
        <w:rPr>
          <w:rFonts w:asciiTheme="minorHAnsi" w:hAnsiTheme="minorHAnsi"/>
          <w:sz w:val="24"/>
          <w:lang w:val="en-US"/>
        </w:rPr>
        <w:t>. The PBAC noted that the reduction in FEV</w:t>
      </w:r>
      <w:r w:rsidR="008A5FEA" w:rsidRPr="008A5FEA">
        <w:rPr>
          <w:rFonts w:asciiTheme="minorHAnsi" w:hAnsiTheme="minorHAnsi"/>
          <w:sz w:val="24"/>
          <w:vertAlign w:val="subscript"/>
          <w:lang w:val="en-US"/>
        </w:rPr>
        <w:t>1</w:t>
      </w:r>
      <w:r w:rsidR="008A5FEA">
        <w:rPr>
          <w:rFonts w:asciiTheme="minorHAnsi" w:hAnsiTheme="minorHAnsi"/>
          <w:sz w:val="24"/>
          <w:lang w:val="en-US"/>
        </w:rPr>
        <w:t xml:space="preserve"> over 24 weeks for patients treated with placebo in the TRAFFIC/TRANSPORT trials was 0.4 percentage points and that this was much lower than the reduction observed in the CFFPR </w:t>
      </w:r>
      <w:r w:rsidR="001E3BF2">
        <w:rPr>
          <w:rFonts w:asciiTheme="minorHAnsi" w:hAnsiTheme="minorHAnsi"/>
          <w:sz w:val="24"/>
          <w:lang w:val="en-US"/>
        </w:rPr>
        <w:t xml:space="preserve">control patients </w:t>
      </w:r>
      <w:r w:rsidR="0055086C">
        <w:rPr>
          <w:rFonts w:asciiTheme="minorHAnsi" w:hAnsiTheme="minorHAnsi"/>
          <w:sz w:val="24"/>
          <w:lang w:val="en-US"/>
        </w:rPr>
        <w:t>over 1 and 2 </w:t>
      </w:r>
      <w:r w:rsidR="008A5FEA">
        <w:rPr>
          <w:rFonts w:asciiTheme="minorHAnsi" w:hAnsiTheme="minorHAnsi"/>
          <w:sz w:val="24"/>
          <w:lang w:val="en-US"/>
        </w:rPr>
        <w:t>years (2.29 percentage points). The PBAC consider</w:t>
      </w:r>
      <w:r w:rsidR="00EE4E74">
        <w:rPr>
          <w:rFonts w:asciiTheme="minorHAnsi" w:hAnsiTheme="minorHAnsi"/>
          <w:sz w:val="24"/>
          <w:lang w:val="en-US"/>
        </w:rPr>
        <w:t>ed</w:t>
      </w:r>
      <w:r w:rsidR="008A5FEA">
        <w:rPr>
          <w:rFonts w:asciiTheme="minorHAnsi" w:hAnsiTheme="minorHAnsi"/>
          <w:sz w:val="24"/>
          <w:lang w:val="en-US"/>
        </w:rPr>
        <w:t xml:space="preserve"> that this difference </w:t>
      </w:r>
      <w:r w:rsidR="0011542E">
        <w:rPr>
          <w:rFonts w:asciiTheme="minorHAnsi" w:hAnsiTheme="minorHAnsi"/>
          <w:sz w:val="24"/>
          <w:lang w:val="en-US"/>
        </w:rPr>
        <w:t xml:space="preserve">suggested </w:t>
      </w:r>
      <w:r w:rsidR="00EE4E74">
        <w:rPr>
          <w:rFonts w:asciiTheme="minorHAnsi" w:hAnsiTheme="minorHAnsi"/>
          <w:sz w:val="24"/>
          <w:lang w:val="en-US"/>
        </w:rPr>
        <w:t>that the prognosis of patients in the trials differed substantially</w:t>
      </w:r>
      <w:r w:rsidR="0011542E" w:rsidRPr="0011542E">
        <w:rPr>
          <w:rFonts w:asciiTheme="minorHAnsi" w:hAnsiTheme="minorHAnsi"/>
          <w:sz w:val="24"/>
          <w:lang w:val="en-US"/>
        </w:rPr>
        <w:t xml:space="preserve"> </w:t>
      </w:r>
      <w:r w:rsidR="0011542E">
        <w:rPr>
          <w:rFonts w:asciiTheme="minorHAnsi" w:hAnsiTheme="minorHAnsi"/>
          <w:sz w:val="24"/>
          <w:lang w:val="en-US"/>
        </w:rPr>
        <w:t>from CFFPR controls</w:t>
      </w:r>
      <w:r w:rsidR="008A5FEA">
        <w:rPr>
          <w:rFonts w:asciiTheme="minorHAnsi" w:hAnsiTheme="minorHAnsi"/>
          <w:sz w:val="24"/>
          <w:lang w:val="en-US"/>
        </w:rPr>
        <w:t xml:space="preserve">. Further, the PBAC </w:t>
      </w:r>
      <w:r w:rsidR="00E05DC5">
        <w:rPr>
          <w:rFonts w:asciiTheme="minorHAnsi" w:hAnsiTheme="minorHAnsi"/>
          <w:sz w:val="24"/>
          <w:lang w:val="en-US"/>
        </w:rPr>
        <w:t>noted that the reduction in FEV</w:t>
      </w:r>
      <w:r w:rsidR="00E05DC5" w:rsidRPr="00E05DC5">
        <w:rPr>
          <w:rFonts w:asciiTheme="minorHAnsi" w:hAnsiTheme="minorHAnsi"/>
          <w:sz w:val="24"/>
          <w:vertAlign w:val="subscript"/>
          <w:lang w:val="en-US"/>
        </w:rPr>
        <w:t>1</w:t>
      </w:r>
      <w:r w:rsidR="00E05DC5">
        <w:rPr>
          <w:rFonts w:asciiTheme="minorHAnsi" w:hAnsiTheme="minorHAnsi"/>
          <w:sz w:val="24"/>
          <w:lang w:val="en-US"/>
        </w:rPr>
        <w:t xml:space="preserve"> in the placebo arm</w:t>
      </w:r>
      <w:r w:rsidR="0069129A">
        <w:rPr>
          <w:rFonts w:asciiTheme="minorHAnsi" w:hAnsiTheme="minorHAnsi"/>
          <w:sz w:val="24"/>
          <w:lang w:val="en-US"/>
        </w:rPr>
        <w:t xml:space="preserve"> in a trial for tezacaftor/ivacaftor</w:t>
      </w:r>
      <w:r w:rsidR="001D420F">
        <w:rPr>
          <w:rFonts w:asciiTheme="minorHAnsi" w:hAnsiTheme="minorHAnsi"/>
          <w:sz w:val="24"/>
          <w:lang w:val="en-US"/>
        </w:rPr>
        <w:t xml:space="preserve"> in </w:t>
      </w:r>
      <w:r w:rsidR="0011542E">
        <w:rPr>
          <w:rFonts w:asciiTheme="minorHAnsi" w:hAnsiTheme="minorHAnsi"/>
          <w:sz w:val="24"/>
          <w:lang w:val="en-US"/>
        </w:rPr>
        <w:t>a similar</w:t>
      </w:r>
      <w:r w:rsidR="001D420F">
        <w:rPr>
          <w:rFonts w:asciiTheme="minorHAnsi" w:hAnsiTheme="minorHAnsi"/>
          <w:sz w:val="24"/>
          <w:lang w:val="en-US"/>
        </w:rPr>
        <w:t xml:space="preserve"> patient population as TRAFFIC/TRANSPORT</w:t>
      </w:r>
      <w:r w:rsidR="0069129A">
        <w:rPr>
          <w:rFonts w:asciiTheme="minorHAnsi" w:hAnsiTheme="minorHAnsi"/>
          <w:sz w:val="24"/>
          <w:lang w:val="en-US"/>
        </w:rPr>
        <w:t xml:space="preserve"> was</w:t>
      </w:r>
      <w:r w:rsidR="00E05DC5">
        <w:rPr>
          <w:rFonts w:asciiTheme="minorHAnsi" w:hAnsiTheme="minorHAnsi"/>
          <w:sz w:val="24"/>
          <w:lang w:val="en-US"/>
        </w:rPr>
        <w:t xml:space="preserve"> 0.6 percentage point</w:t>
      </w:r>
      <w:r w:rsidR="0069129A">
        <w:rPr>
          <w:rFonts w:asciiTheme="minorHAnsi" w:hAnsiTheme="minorHAnsi"/>
          <w:sz w:val="24"/>
          <w:lang w:val="en-US"/>
        </w:rPr>
        <w:t>s</w:t>
      </w:r>
      <w:r w:rsidR="00E05DC5">
        <w:rPr>
          <w:rFonts w:asciiTheme="minorHAnsi" w:hAnsiTheme="minorHAnsi"/>
          <w:sz w:val="24"/>
          <w:lang w:val="en-US"/>
        </w:rPr>
        <w:t xml:space="preserve"> </w:t>
      </w:r>
      <w:r w:rsidR="000F615C">
        <w:rPr>
          <w:rFonts w:asciiTheme="minorHAnsi" w:hAnsiTheme="minorHAnsi"/>
          <w:sz w:val="24"/>
          <w:lang w:val="en-US"/>
        </w:rPr>
        <w:t>over 24 weeks</w:t>
      </w:r>
      <w:r w:rsidR="00506ACC">
        <w:rPr>
          <w:rFonts w:asciiTheme="minorHAnsi" w:hAnsiTheme="minorHAnsi"/>
          <w:sz w:val="24"/>
          <w:lang w:val="en-US"/>
        </w:rPr>
        <w:t xml:space="preserve"> (EVOLVE study</w:t>
      </w:r>
      <w:r w:rsidR="00506ACC">
        <w:rPr>
          <w:rStyle w:val="FootnoteReference"/>
          <w:rFonts w:asciiTheme="minorHAnsi" w:hAnsiTheme="minorHAnsi"/>
          <w:sz w:val="24"/>
          <w:lang w:val="en-US"/>
        </w:rPr>
        <w:footnoteReference w:id="5"/>
      </w:r>
      <w:r w:rsidR="00506ACC">
        <w:rPr>
          <w:rFonts w:asciiTheme="minorHAnsi" w:hAnsiTheme="minorHAnsi"/>
          <w:sz w:val="24"/>
          <w:lang w:val="en-US"/>
        </w:rPr>
        <w:t>)</w:t>
      </w:r>
      <w:r w:rsidR="00E05DC5">
        <w:rPr>
          <w:rFonts w:asciiTheme="minorHAnsi" w:hAnsiTheme="minorHAnsi"/>
          <w:sz w:val="24"/>
          <w:lang w:val="en-US"/>
        </w:rPr>
        <w:t>.</w:t>
      </w:r>
      <w:r>
        <w:rPr>
          <w:rFonts w:asciiTheme="minorHAnsi" w:hAnsiTheme="minorHAnsi"/>
          <w:sz w:val="24"/>
          <w:lang w:val="en-US"/>
        </w:rPr>
        <w:t xml:space="preserve"> </w:t>
      </w:r>
      <w:r w:rsidR="00324CFF">
        <w:rPr>
          <w:rFonts w:asciiTheme="minorHAnsi" w:hAnsiTheme="minorHAnsi"/>
          <w:sz w:val="24"/>
          <w:lang w:val="en-US"/>
        </w:rPr>
        <w:t>Thus the PBAC considered that it was not valid to compare the 2.29 percentage point reduction in FEV</w:t>
      </w:r>
      <w:r w:rsidR="00324CFF" w:rsidRPr="00702F30">
        <w:rPr>
          <w:rFonts w:asciiTheme="minorHAnsi" w:hAnsiTheme="minorHAnsi"/>
          <w:sz w:val="24"/>
          <w:vertAlign w:val="subscript"/>
          <w:lang w:val="en-US"/>
        </w:rPr>
        <w:t>1</w:t>
      </w:r>
      <w:r w:rsidR="00324CFF">
        <w:rPr>
          <w:rFonts w:asciiTheme="minorHAnsi" w:hAnsiTheme="minorHAnsi"/>
          <w:sz w:val="24"/>
          <w:lang w:val="en-US"/>
        </w:rPr>
        <w:t xml:space="preserve"> in </w:t>
      </w:r>
      <w:r w:rsidR="0011542E">
        <w:rPr>
          <w:rFonts w:asciiTheme="minorHAnsi" w:hAnsiTheme="minorHAnsi"/>
          <w:sz w:val="24"/>
          <w:lang w:val="en-US"/>
        </w:rPr>
        <w:t>historical controls from</w:t>
      </w:r>
      <w:r w:rsidR="00324CFF">
        <w:rPr>
          <w:rFonts w:asciiTheme="minorHAnsi" w:hAnsiTheme="minorHAnsi"/>
          <w:sz w:val="24"/>
          <w:lang w:val="en-US"/>
        </w:rPr>
        <w:t xml:space="preserve"> CFFPR with that observed</w:t>
      </w:r>
      <w:r w:rsidR="0011542E">
        <w:rPr>
          <w:rFonts w:asciiTheme="minorHAnsi" w:hAnsiTheme="minorHAnsi"/>
          <w:sz w:val="24"/>
          <w:lang w:val="en-US"/>
        </w:rPr>
        <w:t xml:space="preserve"> among treated patients</w:t>
      </w:r>
      <w:r w:rsidR="00324CFF">
        <w:rPr>
          <w:rFonts w:asciiTheme="minorHAnsi" w:hAnsiTheme="minorHAnsi"/>
          <w:sz w:val="24"/>
          <w:lang w:val="en-US"/>
        </w:rPr>
        <w:t xml:space="preserve"> in PROGRESS.</w:t>
      </w:r>
    </w:p>
    <w:p w:rsidR="00C10120" w:rsidRDefault="00652860" w:rsidP="00702F30">
      <w:pPr>
        <w:pStyle w:val="ListParagraph"/>
        <w:widowControl/>
        <w:spacing w:before="120" w:after="120"/>
        <w:contextualSpacing w:val="0"/>
        <w:rPr>
          <w:rFonts w:asciiTheme="minorHAnsi" w:hAnsiTheme="minorHAnsi"/>
          <w:sz w:val="24"/>
          <w:lang w:val="en-US"/>
        </w:rPr>
      </w:pPr>
      <w:r>
        <w:rPr>
          <w:rFonts w:asciiTheme="minorHAnsi" w:hAnsiTheme="minorHAnsi"/>
          <w:sz w:val="24"/>
          <w:lang w:val="en-US"/>
        </w:rPr>
        <w:t>Overall</w:t>
      </w:r>
      <w:r w:rsidR="00C10120">
        <w:rPr>
          <w:rFonts w:asciiTheme="minorHAnsi" w:hAnsiTheme="minorHAnsi"/>
          <w:sz w:val="24"/>
          <w:lang w:val="en-US"/>
        </w:rPr>
        <w:t xml:space="preserve">, the PBAC considered </w:t>
      </w:r>
      <w:r w:rsidR="008518AB">
        <w:rPr>
          <w:rFonts w:asciiTheme="minorHAnsi" w:hAnsiTheme="minorHAnsi"/>
          <w:sz w:val="24"/>
          <w:lang w:val="en-US"/>
        </w:rPr>
        <w:t>that the matched analysis did not adequately support the claim of a reduction in the rate of decline in FEV</w:t>
      </w:r>
      <w:r w:rsidR="008518AB" w:rsidRPr="008518AB">
        <w:rPr>
          <w:rFonts w:asciiTheme="minorHAnsi" w:hAnsiTheme="minorHAnsi"/>
          <w:sz w:val="24"/>
          <w:vertAlign w:val="subscript"/>
          <w:lang w:val="en-US"/>
        </w:rPr>
        <w:t>1</w:t>
      </w:r>
      <w:r w:rsidR="008518AB">
        <w:rPr>
          <w:rFonts w:asciiTheme="minorHAnsi" w:hAnsiTheme="minorHAnsi"/>
          <w:sz w:val="24"/>
          <w:lang w:val="en-US"/>
        </w:rPr>
        <w:t xml:space="preserve"> with </w:t>
      </w:r>
      <w:r w:rsidR="008518AB" w:rsidRPr="00226B30">
        <w:rPr>
          <w:rFonts w:asciiTheme="minorHAnsi" w:hAnsiTheme="minorHAnsi"/>
          <w:sz w:val="24"/>
          <w:lang w:val="en-US"/>
        </w:rPr>
        <w:t>lumacaftor/ivacaftor</w:t>
      </w:r>
      <w:r w:rsidR="008518AB">
        <w:rPr>
          <w:rFonts w:asciiTheme="minorHAnsi" w:hAnsiTheme="minorHAnsi"/>
          <w:sz w:val="24"/>
          <w:lang w:val="en-US"/>
        </w:rPr>
        <w:t xml:space="preserve"> compared with BSC.</w:t>
      </w:r>
    </w:p>
    <w:p w:rsidR="00B2608F" w:rsidRPr="00DA2530" w:rsidRDefault="00B2608F" w:rsidP="001E08C1">
      <w:pPr>
        <w:pStyle w:val="Heading3"/>
      </w:pPr>
      <w:bookmarkStart w:id="40" w:name="_Toc482713676"/>
      <w:r w:rsidRPr="00DA2530">
        <w:t>Comparative harms</w:t>
      </w:r>
      <w:bookmarkEnd w:id="38"/>
      <w:bookmarkEnd w:id="39"/>
      <w:bookmarkEnd w:id="40"/>
    </w:p>
    <w:p w:rsidR="00B2608F" w:rsidRDefault="00B2608F" w:rsidP="00115ED8">
      <w:pPr>
        <w:widowControl/>
        <w:numPr>
          <w:ilvl w:val="1"/>
          <w:numId w:val="13"/>
        </w:numPr>
        <w:spacing w:after="120"/>
        <w:ind w:left="720" w:hanging="720"/>
        <w:rPr>
          <w:rFonts w:asciiTheme="minorHAnsi" w:hAnsiTheme="minorHAnsi"/>
          <w:sz w:val="24"/>
        </w:rPr>
      </w:pPr>
      <w:bookmarkStart w:id="41" w:name="_Hlk479686839"/>
      <w:bookmarkStart w:id="42" w:name="_Toc476306890"/>
      <w:bookmarkStart w:id="43" w:name="_Toc413139281"/>
      <w:r w:rsidRPr="00DA2530">
        <w:rPr>
          <w:rFonts w:asciiTheme="minorHAnsi" w:hAnsiTheme="minorHAnsi"/>
          <w:sz w:val="24"/>
        </w:rPr>
        <w:t xml:space="preserve">A summary of the adverse events for lumacaftor/ivacaftor versus placebo is presented in Table </w:t>
      </w:r>
      <w:r w:rsidR="003C370C">
        <w:rPr>
          <w:rFonts w:asciiTheme="minorHAnsi" w:hAnsiTheme="minorHAnsi"/>
          <w:sz w:val="24"/>
        </w:rPr>
        <w:t>8</w:t>
      </w:r>
      <w:r w:rsidRPr="00DA2530">
        <w:rPr>
          <w:rFonts w:asciiTheme="minorHAnsi" w:hAnsiTheme="minorHAnsi"/>
          <w:sz w:val="24"/>
        </w:rPr>
        <w:t xml:space="preserve"> below. </w:t>
      </w:r>
    </w:p>
    <w:p w:rsidR="000D33EE" w:rsidRPr="00DA2530" w:rsidRDefault="000D33EE" w:rsidP="000D33EE">
      <w:pPr>
        <w:widowControl/>
        <w:spacing w:after="120"/>
        <w:rPr>
          <w:rFonts w:asciiTheme="minorHAnsi" w:hAnsiTheme="minorHAnsi"/>
          <w:sz w:val="24"/>
        </w:rPr>
      </w:pPr>
    </w:p>
    <w:bookmarkEnd w:id="41"/>
    <w:p w:rsidR="008A1DA3" w:rsidRDefault="008A1DA3" w:rsidP="008A1DA3">
      <w:pPr>
        <w:pStyle w:val="Caption"/>
      </w:pPr>
      <w:r>
        <w:t xml:space="preserve">Table </w:t>
      </w:r>
      <w:r w:rsidR="000056CF">
        <w:rPr>
          <w:noProof/>
        </w:rPr>
        <w:t>8</w:t>
      </w:r>
      <w:r w:rsidRPr="00B4435A">
        <w:t>: Summary of adverse events in TRAFFIC and TRANSPORT</w:t>
      </w:r>
    </w:p>
    <w:tbl>
      <w:tblPr>
        <w:tblW w:w="5000" w:type="pct"/>
        <w:tblLayout w:type="fixed"/>
        <w:tblCellMar>
          <w:left w:w="58" w:type="dxa"/>
          <w:right w:w="43" w:type="dxa"/>
        </w:tblCellMar>
        <w:tblLook w:val="04A0" w:firstRow="1" w:lastRow="0" w:firstColumn="1" w:lastColumn="0" w:noHBand="0" w:noVBand="1"/>
      </w:tblPr>
      <w:tblGrid>
        <w:gridCol w:w="2206"/>
        <w:gridCol w:w="1153"/>
        <w:gridCol w:w="1154"/>
        <w:gridCol w:w="1154"/>
        <w:gridCol w:w="1154"/>
        <w:gridCol w:w="1154"/>
        <w:gridCol w:w="1152"/>
      </w:tblGrid>
      <w:tr w:rsidR="00B2608F" w:rsidRPr="00DA2530" w:rsidTr="008A1DA3">
        <w:trPr>
          <w:trHeight w:val="300"/>
          <w:tblHeader/>
        </w:trPr>
        <w:tc>
          <w:tcPr>
            <w:tcW w:w="120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608F" w:rsidRPr="00DA2530" w:rsidRDefault="00B2608F" w:rsidP="001E08C1">
            <w:pPr>
              <w:keepNext/>
              <w:widowControl/>
              <w:jc w:val="left"/>
              <w:rPr>
                <w:rFonts w:ascii="Arial Narrow" w:hAnsi="Arial Narrow" w:cs="Calibri"/>
                <w:b/>
                <w:bCs/>
                <w:color w:val="000000"/>
                <w:sz w:val="20"/>
              </w:rPr>
            </w:pPr>
            <w:r w:rsidRPr="00DA2530">
              <w:rPr>
                <w:rFonts w:ascii="Arial Narrow" w:hAnsi="Arial Narrow" w:cs="Calibri"/>
                <w:b/>
                <w:bCs/>
                <w:color w:val="000000"/>
                <w:sz w:val="20"/>
              </w:rPr>
              <w:t>AE Category</w:t>
            </w:r>
          </w:p>
        </w:tc>
        <w:tc>
          <w:tcPr>
            <w:tcW w:w="1264" w:type="pct"/>
            <w:gridSpan w:val="2"/>
            <w:tcBorders>
              <w:top w:val="single" w:sz="4" w:space="0" w:color="auto"/>
              <w:left w:val="nil"/>
              <w:bottom w:val="single" w:sz="4" w:space="0" w:color="auto"/>
              <w:right w:val="single" w:sz="4" w:space="0" w:color="auto"/>
            </w:tcBorders>
            <w:shd w:val="clear" w:color="auto" w:fill="auto"/>
            <w:noWrap/>
            <w:vAlign w:val="center"/>
            <w:hideMark/>
          </w:tcPr>
          <w:p w:rsidR="00B2608F" w:rsidRPr="00DA2530" w:rsidRDefault="00B2608F" w:rsidP="001E08C1">
            <w:pPr>
              <w:keepNext/>
              <w:widowControl/>
              <w:jc w:val="center"/>
              <w:rPr>
                <w:rFonts w:ascii="Arial Narrow" w:hAnsi="Arial Narrow" w:cs="Calibri"/>
                <w:b/>
                <w:bCs/>
                <w:color w:val="000000"/>
                <w:sz w:val="20"/>
              </w:rPr>
            </w:pPr>
            <w:r w:rsidRPr="00DA2530">
              <w:rPr>
                <w:rFonts w:ascii="Arial Narrow" w:hAnsi="Arial Narrow" w:cs="Calibri"/>
                <w:b/>
                <w:bCs/>
                <w:color w:val="000000"/>
                <w:sz w:val="20"/>
              </w:rPr>
              <w:t>TRAFFIC</w:t>
            </w:r>
          </w:p>
        </w:tc>
        <w:tc>
          <w:tcPr>
            <w:tcW w:w="1264" w:type="pct"/>
            <w:gridSpan w:val="2"/>
            <w:tcBorders>
              <w:top w:val="single" w:sz="4" w:space="0" w:color="auto"/>
              <w:left w:val="nil"/>
              <w:bottom w:val="single" w:sz="4" w:space="0" w:color="auto"/>
              <w:right w:val="single" w:sz="4" w:space="0" w:color="auto"/>
            </w:tcBorders>
            <w:shd w:val="clear" w:color="auto" w:fill="auto"/>
            <w:noWrap/>
            <w:vAlign w:val="center"/>
            <w:hideMark/>
          </w:tcPr>
          <w:p w:rsidR="00B2608F" w:rsidRPr="00DA2530" w:rsidRDefault="00B2608F" w:rsidP="001E08C1">
            <w:pPr>
              <w:keepNext/>
              <w:widowControl/>
              <w:jc w:val="center"/>
              <w:rPr>
                <w:rFonts w:ascii="Arial Narrow" w:hAnsi="Arial Narrow" w:cs="Calibri"/>
                <w:b/>
                <w:bCs/>
                <w:color w:val="000000"/>
                <w:sz w:val="20"/>
              </w:rPr>
            </w:pPr>
            <w:r w:rsidRPr="00DA2530">
              <w:rPr>
                <w:rFonts w:ascii="Arial Narrow" w:hAnsi="Arial Narrow" w:cs="Calibri"/>
                <w:b/>
                <w:bCs/>
                <w:color w:val="000000"/>
                <w:sz w:val="20"/>
              </w:rPr>
              <w:t>TRANSPORT</w:t>
            </w:r>
          </w:p>
        </w:tc>
        <w:tc>
          <w:tcPr>
            <w:tcW w:w="1263" w:type="pct"/>
            <w:gridSpan w:val="2"/>
            <w:tcBorders>
              <w:top w:val="single" w:sz="4" w:space="0" w:color="auto"/>
              <w:left w:val="nil"/>
              <w:bottom w:val="single" w:sz="4" w:space="0" w:color="auto"/>
              <w:right w:val="single" w:sz="4" w:space="0" w:color="auto"/>
            </w:tcBorders>
            <w:shd w:val="clear" w:color="auto" w:fill="auto"/>
            <w:vAlign w:val="center"/>
          </w:tcPr>
          <w:p w:rsidR="00B2608F" w:rsidRPr="00DA2530" w:rsidRDefault="00B2608F" w:rsidP="001E08C1">
            <w:pPr>
              <w:keepNext/>
              <w:widowControl/>
              <w:jc w:val="center"/>
              <w:rPr>
                <w:rFonts w:ascii="Arial Narrow" w:hAnsi="Arial Narrow" w:cs="Calibri"/>
                <w:b/>
                <w:bCs/>
                <w:color w:val="000000"/>
                <w:sz w:val="20"/>
              </w:rPr>
            </w:pPr>
            <w:r w:rsidRPr="00DA2530">
              <w:rPr>
                <w:rFonts w:ascii="Arial Narrow" w:hAnsi="Arial Narrow" w:cs="Calibri"/>
                <w:b/>
                <w:bCs/>
                <w:color w:val="000000"/>
                <w:sz w:val="20"/>
              </w:rPr>
              <w:t>Pooled</w:t>
            </w:r>
          </w:p>
        </w:tc>
      </w:tr>
      <w:tr w:rsidR="00116163" w:rsidRPr="00DA2530" w:rsidTr="008A1DA3">
        <w:trPr>
          <w:trHeight w:val="699"/>
          <w:tblHeader/>
        </w:trPr>
        <w:tc>
          <w:tcPr>
            <w:tcW w:w="120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2608F" w:rsidRPr="00DA2530" w:rsidRDefault="00B2608F" w:rsidP="001E08C1">
            <w:pPr>
              <w:keepNext/>
              <w:widowControl/>
              <w:rPr>
                <w:rFonts w:ascii="Arial Narrow" w:hAnsi="Arial Narrow" w:cs="Calibri"/>
                <w:b/>
                <w:bCs/>
                <w:color w:val="000000"/>
                <w:sz w:val="20"/>
              </w:rPr>
            </w:pPr>
          </w:p>
        </w:tc>
        <w:tc>
          <w:tcPr>
            <w:tcW w:w="632" w:type="pct"/>
            <w:tcBorders>
              <w:top w:val="nil"/>
              <w:left w:val="nil"/>
              <w:bottom w:val="single" w:sz="4" w:space="0" w:color="auto"/>
              <w:right w:val="single" w:sz="4" w:space="0" w:color="auto"/>
            </w:tcBorders>
            <w:shd w:val="clear" w:color="auto" w:fill="auto"/>
            <w:vAlign w:val="bottom"/>
            <w:hideMark/>
          </w:tcPr>
          <w:p w:rsidR="00B2608F" w:rsidRPr="00DA2530" w:rsidRDefault="00116163" w:rsidP="001E08C1">
            <w:pPr>
              <w:keepNext/>
              <w:widowControl/>
              <w:jc w:val="center"/>
              <w:rPr>
                <w:rFonts w:ascii="Arial Narrow" w:hAnsi="Arial Narrow" w:cs="Calibri"/>
                <w:b/>
                <w:bCs/>
                <w:color w:val="000000"/>
                <w:sz w:val="20"/>
              </w:rPr>
            </w:pPr>
            <w:r>
              <w:rPr>
                <w:rFonts w:ascii="Arial Narrow" w:hAnsi="Arial Narrow" w:cs="Calibri"/>
                <w:b/>
                <w:bCs/>
                <w:color w:val="000000"/>
                <w:sz w:val="20"/>
              </w:rPr>
              <w:t>Lumacaftor/ ivacaftor</w:t>
            </w:r>
          </w:p>
          <w:p w:rsidR="00B2608F" w:rsidRPr="00DA2530" w:rsidRDefault="00B2608F" w:rsidP="001E08C1">
            <w:pPr>
              <w:keepNext/>
              <w:widowControl/>
              <w:jc w:val="center"/>
              <w:rPr>
                <w:rFonts w:ascii="Arial Narrow" w:hAnsi="Arial Narrow" w:cs="Calibri"/>
                <w:b/>
                <w:bCs/>
                <w:color w:val="000000"/>
                <w:sz w:val="20"/>
              </w:rPr>
            </w:pPr>
            <w:r w:rsidRPr="00DA2530">
              <w:rPr>
                <w:rFonts w:ascii="Arial Narrow" w:hAnsi="Arial Narrow" w:cs="Calibri"/>
                <w:b/>
                <w:bCs/>
                <w:color w:val="000000"/>
                <w:sz w:val="20"/>
              </w:rPr>
              <w:t>(N=182)</w:t>
            </w:r>
          </w:p>
        </w:tc>
        <w:tc>
          <w:tcPr>
            <w:tcW w:w="632" w:type="pct"/>
            <w:tcBorders>
              <w:top w:val="nil"/>
              <w:left w:val="nil"/>
              <w:bottom w:val="single" w:sz="4" w:space="0" w:color="auto"/>
              <w:right w:val="single" w:sz="4" w:space="0" w:color="auto"/>
            </w:tcBorders>
            <w:shd w:val="clear" w:color="auto" w:fill="auto"/>
            <w:noWrap/>
            <w:vAlign w:val="bottom"/>
            <w:hideMark/>
          </w:tcPr>
          <w:p w:rsidR="00B2608F" w:rsidRPr="00DA2530" w:rsidRDefault="00B2608F" w:rsidP="001E08C1">
            <w:pPr>
              <w:keepNext/>
              <w:widowControl/>
              <w:jc w:val="center"/>
              <w:rPr>
                <w:rFonts w:ascii="Arial Narrow" w:hAnsi="Arial Narrow" w:cs="Calibri"/>
                <w:b/>
                <w:bCs/>
                <w:color w:val="000000"/>
                <w:sz w:val="20"/>
              </w:rPr>
            </w:pPr>
            <w:r w:rsidRPr="00DA2530">
              <w:rPr>
                <w:rFonts w:ascii="Arial Narrow" w:hAnsi="Arial Narrow" w:cs="Calibri"/>
                <w:b/>
                <w:bCs/>
                <w:color w:val="000000"/>
                <w:sz w:val="20"/>
              </w:rPr>
              <w:t>Placebo</w:t>
            </w:r>
          </w:p>
          <w:p w:rsidR="00B2608F" w:rsidRPr="00DA2530" w:rsidRDefault="00B2608F" w:rsidP="001E08C1">
            <w:pPr>
              <w:keepNext/>
              <w:widowControl/>
              <w:jc w:val="center"/>
              <w:rPr>
                <w:rFonts w:ascii="Arial Narrow" w:hAnsi="Arial Narrow" w:cs="Calibri"/>
                <w:b/>
                <w:bCs/>
                <w:color w:val="000000"/>
                <w:sz w:val="20"/>
              </w:rPr>
            </w:pPr>
            <w:r w:rsidRPr="00DA2530">
              <w:rPr>
                <w:rFonts w:ascii="Arial Narrow" w:hAnsi="Arial Narrow" w:cs="Calibri"/>
                <w:b/>
                <w:bCs/>
                <w:color w:val="000000"/>
                <w:sz w:val="20"/>
              </w:rPr>
              <w:t>(N=184)</w:t>
            </w:r>
          </w:p>
        </w:tc>
        <w:tc>
          <w:tcPr>
            <w:tcW w:w="632" w:type="pct"/>
            <w:tcBorders>
              <w:top w:val="nil"/>
              <w:left w:val="nil"/>
              <w:bottom w:val="single" w:sz="4" w:space="0" w:color="auto"/>
              <w:right w:val="single" w:sz="4" w:space="0" w:color="auto"/>
            </w:tcBorders>
            <w:shd w:val="clear" w:color="auto" w:fill="auto"/>
            <w:vAlign w:val="bottom"/>
            <w:hideMark/>
          </w:tcPr>
          <w:p w:rsidR="00116163" w:rsidRPr="00DA2530" w:rsidRDefault="00116163" w:rsidP="001E08C1">
            <w:pPr>
              <w:keepNext/>
              <w:widowControl/>
              <w:jc w:val="center"/>
              <w:rPr>
                <w:rFonts w:ascii="Arial Narrow" w:hAnsi="Arial Narrow" w:cs="Calibri"/>
                <w:b/>
                <w:bCs/>
                <w:color w:val="000000"/>
                <w:sz w:val="20"/>
              </w:rPr>
            </w:pPr>
            <w:r>
              <w:rPr>
                <w:rFonts w:ascii="Arial Narrow" w:hAnsi="Arial Narrow" w:cs="Calibri"/>
                <w:b/>
                <w:bCs/>
                <w:color w:val="000000"/>
                <w:sz w:val="20"/>
              </w:rPr>
              <w:t>Lumacaftor/ ivacaftor</w:t>
            </w:r>
          </w:p>
          <w:p w:rsidR="00B2608F" w:rsidRPr="00DA2530" w:rsidRDefault="00116163" w:rsidP="001E08C1">
            <w:pPr>
              <w:keepNext/>
              <w:widowControl/>
              <w:jc w:val="center"/>
              <w:rPr>
                <w:rFonts w:ascii="Arial Narrow" w:hAnsi="Arial Narrow" w:cs="Calibri"/>
                <w:b/>
                <w:bCs/>
                <w:color w:val="000000"/>
                <w:sz w:val="20"/>
              </w:rPr>
            </w:pPr>
            <w:r w:rsidRPr="00DA2530" w:rsidDel="00116163">
              <w:rPr>
                <w:rFonts w:ascii="Arial Narrow" w:hAnsi="Arial Narrow" w:cs="Calibri"/>
                <w:b/>
                <w:bCs/>
                <w:color w:val="000000"/>
                <w:sz w:val="20"/>
              </w:rPr>
              <w:t xml:space="preserve"> </w:t>
            </w:r>
            <w:r w:rsidR="00B2608F" w:rsidRPr="00DA2530">
              <w:rPr>
                <w:rFonts w:ascii="Arial Narrow" w:hAnsi="Arial Narrow" w:cs="Calibri"/>
                <w:b/>
                <w:bCs/>
                <w:color w:val="000000"/>
                <w:sz w:val="20"/>
              </w:rPr>
              <w:t>(N=187)</w:t>
            </w:r>
          </w:p>
        </w:tc>
        <w:tc>
          <w:tcPr>
            <w:tcW w:w="632" w:type="pct"/>
            <w:tcBorders>
              <w:top w:val="nil"/>
              <w:left w:val="nil"/>
              <w:bottom w:val="single" w:sz="4" w:space="0" w:color="auto"/>
              <w:right w:val="single" w:sz="4" w:space="0" w:color="auto"/>
            </w:tcBorders>
            <w:shd w:val="clear" w:color="auto" w:fill="auto"/>
            <w:noWrap/>
            <w:vAlign w:val="bottom"/>
            <w:hideMark/>
          </w:tcPr>
          <w:p w:rsidR="00B2608F" w:rsidRPr="00DA2530" w:rsidRDefault="00B2608F" w:rsidP="001E08C1">
            <w:pPr>
              <w:keepNext/>
              <w:widowControl/>
              <w:jc w:val="center"/>
              <w:rPr>
                <w:rFonts w:ascii="Arial Narrow" w:hAnsi="Arial Narrow" w:cs="Calibri"/>
                <w:b/>
                <w:bCs/>
                <w:color w:val="000000"/>
                <w:sz w:val="20"/>
              </w:rPr>
            </w:pPr>
            <w:r w:rsidRPr="00DA2530">
              <w:rPr>
                <w:rFonts w:ascii="Arial Narrow" w:hAnsi="Arial Narrow" w:cs="Calibri"/>
                <w:b/>
                <w:bCs/>
                <w:color w:val="000000"/>
                <w:sz w:val="20"/>
              </w:rPr>
              <w:t>Placebo</w:t>
            </w:r>
          </w:p>
          <w:p w:rsidR="00B2608F" w:rsidRPr="00DA2530" w:rsidRDefault="00B2608F" w:rsidP="001E08C1">
            <w:pPr>
              <w:keepNext/>
              <w:widowControl/>
              <w:jc w:val="center"/>
              <w:rPr>
                <w:rFonts w:ascii="Arial Narrow" w:hAnsi="Arial Narrow" w:cs="Calibri"/>
                <w:b/>
                <w:bCs/>
                <w:color w:val="000000"/>
                <w:sz w:val="20"/>
              </w:rPr>
            </w:pPr>
            <w:r w:rsidRPr="00DA2530">
              <w:rPr>
                <w:rFonts w:ascii="Arial Narrow" w:hAnsi="Arial Narrow" w:cs="Calibri"/>
                <w:b/>
                <w:bCs/>
                <w:color w:val="000000"/>
                <w:sz w:val="20"/>
              </w:rPr>
              <w:t>(N=186)</w:t>
            </w:r>
          </w:p>
        </w:tc>
        <w:tc>
          <w:tcPr>
            <w:tcW w:w="632" w:type="pct"/>
            <w:tcBorders>
              <w:top w:val="nil"/>
              <w:left w:val="nil"/>
              <w:bottom w:val="single" w:sz="4" w:space="0" w:color="auto"/>
              <w:right w:val="single" w:sz="4" w:space="0" w:color="auto"/>
            </w:tcBorders>
            <w:shd w:val="clear" w:color="auto" w:fill="auto"/>
            <w:vAlign w:val="bottom"/>
          </w:tcPr>
          <w:p w:rsidR="00116163" w:rsidRPr="00DA2530" w:rsidRDefault="00116163" w:rsidP="001E08C1">
            <w:pPr>
              <w:keepNext/>
              <w:widowControl/>
              <w:jc w:val="center"/>
              <w:rPr>
                <w:rFonts w:ascii="Arial Narrow" w:hAnsi="Arial Narrow" w:cs="Calibri"/>
                <w:b/>
                <w:bCs/>
                <w:color w:val="000000"/>
                <w:sz w:val="20"/>
              </w:rPr>
            </w:pPr>
            <w:r>
              <w:rPr>
                <w:rFonts w:ascii="Arial Narrow" w:hAnsi="Arial Narrow" w:cs="Calibri"/>
                <w:b/>
                <w:bCs/>
                <w:color w:val="000000"/>
                <w:sz w:val="20"/>
              </w:rPr>
              <w:t>Lumacaftor/ ivacaftor</w:t>
            </w:r>
          </w:p>
          <w:p w:rsidR="00B2608F" w:rsidRPr="00DA2530" w:rsidRDefault="00116163" w:rsidP="001E08C1">
            <w:pPr>
              <w:keepNext/>
              <w:widowControl/>
              <w:jc w:val="center"/>
              <w:rPr>
                <w:rFonts w:ascii="Arial Narrow" w:hAnsi="Arial Narrow" w:cs="Calibri"/>
                <w:b/>
                <w:bCs/>
                <w:color w:val="000000"/>
                <w:sz w:val="20"/>
              </w:rPr>
            </w:pPr>
            <w:r w:rsidRPr="00DA2530" w:rsidDel="00116163">
              <w:rPr>
                <w:rFonts w:ascii="Arial Narrow" w:hAnsi="Arial Narrow" w:cs="Calibri"/>
                <w:b/>
                <w:bCs/>
                <w:color w:val="000000"/>
                <w:sz w:val="20"/>
              </w:rPr>
              <w:t xml:space="preserve"> </w:t>
            </w:r>
            <w:r w:rsidR="00B2608F" w:rsidRPr="00DA2530">
              <w:rPr>
                <w:rFonts w:ascii="Arial Narrow" w:hAnsi="Arial Narrow" w:cs="Calibri"/>
                <w:b/>
                <w:bCs/>
                <w:color w:val="000000"/>
                <w:sz w:val="20"/>
              </w:rPr>
              <w:t>(N=369)</w:t>
            </w:r>
          </w:p>
        </w:tc>
        <w:tc>
          <w:tcPr>
            <w:tcW w:w="631" w:type="pct"/>
            <w:tcBorders>
              <w:top w:val="nil"/>
              <w:left w:val="nil"/>
              <w:bottom w:val="single" w:sz="4" w:space="0" w:color="auto"/>
              <w:right w:val="single" w:sz="4" w:space="0" w:color="auto"/>
            </w:tcBorders>
            <w:shd w:val="clear" w:color="auto" w:fill="auto"/>
            <w:vAlign w:val="bottom"/>
          </w:tcPr>
          <w:p w:rsidR="00B2608F" w:rsidRPr="00DA2530" w:rsidRDefault="00B2608F" w:rsidP="001E08C1">
            <w:pPr>
              <w:keepNext/>
              <w:widowControl/>
              <w:jc w:val="center"/>
              <w:rPr>
                <w:rFonts w:ascii="Arial Narrow" w:hAnsi="Arial Narrow" w:cs="Calibri"/>
                <w:b/>
                <w:bCs/>
                <w:color w:val="000000"/>
                <w:sz w:val="20"/>
              </w:rPr>
            </w:pPr>
            <w:r w:rsidRPr="00DA2530">
              <w:rPr>
                <w:rFonts w:ascii="Arial Narrow" w:hAnsi="Arial Narrow" w:cs="Calibri"/>
                <w:b/>
                <w:bCs/>
                <w:color w:val="000000"/>
                <w:sz w:val="20"/>
              </w:rPr>
              <w:t>Placebo</w:t>
            </w:r>
          </w:p>
          <w:p w:rsidR="00B2608F" w:rsidRPr="00DA2530" w:rsidRDefault="00B2608F" w:rsidP="001E08C1">
            <w:pPr>
              <w:keepNext/>
              <w:widowControl/>
              <w:jc w:val="center"/>
              <w:rPr>
                <w:rFonts w:ascii="Arial Narrow" w:hAnsi="Arial Narrow" w:cs="Calibri"/>
                <w:b/>
                <w:bCs/>
                <w:color w:val="000000"/>
                <w:sz w:val="20"/>
              </w:rPr>
            </w:pPr>
            <w:r w:rsidRPr="00DA2530">
              <w:rPr>
                <w:rFonts w:ascii="Arial Narrow" w:hAnsi="Arial Narrow" w:cs="Calibri"/>
                <w:b/>
                <w:bCs/>
                <w:color w:val="000000"/>
                <w:sz w:val="20"/>
              </w:rPr>
              <w:t>(N=370)</w:t>
            </w:r>
          </w:p>
        </w:tc>
      </w:tr>
      <w:tr w:rsidR="00116163" w:rsidRPr="00DA2530" w:rsidTr="008A1DA3">
        <w:trPr>
          <w:trHeight w:val="289"/>
        </w:trPr>
        <w:tc>
          <w:tcPr>
            <w:tcW w:w="1209" w:type="pct"/>
            <w:tcBorders>
              <w:top w:val="nil"/>
              <w:left w:val="single" w:sz="4" w:space="0" w:color="auto"/>
              <w:bottom w:val="single" w:sz="4" w:space="0" w:color="auto"/>
              <w:right w:val="single" w:sz="4" w:space="0" w:color="auto"/>
            </w:tcBorders>
            <w:shd w:val="clear" w:color="auto" w:fill="auto"/>
            <w:noWrap/>
            <w:vAlign w:val="center"/>
            <w:hideMark/>
          </w:tcPr>
          <w:p w:rsidR="00B2608F" w:rsidRPr="00DA2530" w:rsidRDefault="00B2608F" w:rsidP="001E08C1">
            <w:pPr>
              <w:keepNext/>
              <w:widowControl/>
              <w:spacing w:before="20"/>
              <w:rPr>
                <w:rFonts w:ascii="Arial Narrow" w:hAnsi="Arial Narrow" w:cs="Calibri"/>
                <w:bCs/>
                <w:color w:val="000000"/>
                <w:sz w:val="20"/>
              </w:rPr>
            </w:pPr>
            <w:r w:rsidRPr="00DA2530">
              <w:rPr>
                <w:rFonts w:ascii="Arial Narrow" w:hAnsi="Arial Narrow" w:cs="Calibri"/>
                <w:bCs/>
                <w:color w:val="000000"/>
                <w:sz w:val="20"/>
              </w:rPr>
              <w:t>Total number of AEs</w:t>
            </w:r>
          </w:p>
        </w:tc>
        <w:tc>
          <w:tcPr>
            <w:tcW w:w="632" w:type="pct"/>
            <w:tcBorders>
              <w:top w:val="nil"/>
              <w:left w:val="nil"/>
              <w:bottom w:val="single" w:sz="4" w:space="0" w:color="auto"/>
              <w:right w:val="single" w:sz="4" w:space="0" w:color="auto"/>
            </w:tcBorders>
            <w:shd w:val="clear" w:color="auto" w:fill="auto"/>
            <w:noWrap/>
            <w:vAlign w:val="center"/>
            <w:hideMark/>
          </w:tcPr>
          <w:p w:rsidR="00B2608F" w:rsidRPr="00DA2530" w:rsidRDefault="00B2608F" w:rsidP="001E08C1">
            <w:pPr>
              <w:keepNext/>
              <w:widowControl/>
              <w:spacing w:before="20"/>
              <w:jc w:val="center"/>
              <w:rPr>
                <w:rFonts w:ascii="Arial Narrow" w:hAnsi="Arial Narrow"/>
                <w:sz w:val="20"/>
              </w:rPr>
            </w:pPr>
            <w:r w:rsidRPr="00DA2530">
              <w:rPr>
                <w:rFonts w:ascii="Arial Narrow" w:hAnsi="Arial Narrow"/>
                <w:sz w:val="20"/>
              </w:rPr>
              <w:t>1019</w:t>
            </w:r>
          </w:p>
        </w:tc>
        <w:tc>
          <w:tcPr>
            <w:tcW w:w="632" w:type="pct"/>
            <w:tcBorders>
              <w:top w:val="nil"/>
              <w:left w:val="nil"/>
              <w:bottom w:val="single" w:sz="4" w:space="0" w:color="auto"/>
              <w:right w:val="single" w:sz="4" w:space="0" w:color="auto"/>
            </w:tcBorders>
            <w:shd w:val="clear" w:color="auto" w:fill="auto"/>
            <w:noWrap/>
            <w:vAlign w:val="center"/>
            <w:hideMark/>
          </w:tcPr>
          <w:p w:rsidR="00B2608F" w:rsidRPr="00DA2530" w:rsidRDefault="00B2608F" w:rsidP="001E08C1">
            <w:pPr>
              <w:keepNext/>
              <w:widowControl/>
              <w:spacing w:before="20"/>
              <w:jc w:val="center"/>
              <w:rPr>
                <w:rFonts w:ascii="Arial Narrow" w:hAnsi="Arial Narrow"/>
                <w:sz w:val="20"/>
              </w:rPr>
            </w:pPr>
            <w:r w:rsidRPr="00DA2530">
              <w:rPr>
                <w:rFonts w:ascii="Arial Narrow" w:hAnsi="Arial Narrow"/>
                <w:sz w:val="20"/>
              </w:rPr>
              <w:t>994</w:t>
            </w:r>
          </w:p>
        </w:tc>
        <w:tc>
          <w:tcPr>
            <w:tcW w:w="632" w:type="pct"/>
            <w:tcBorders>
              <w:top w:val="nil"/>
              <w:left w:val="nil"/>
              <w:bottom w:val="single" w:sz="4" w:space="0" w:color="auto"/>
              <w:right w:val="single" w:sz="4" w:space="0" w:color="auto"/>
            </w:tcBorders>
            <w:shd w:val="clear" w:color="auto" w:fill="auto"/>
            <w:noWrap/>
            <w:vAlign w:val="center"/>
            <w:hideMark/>
          </w:tcPr>
          <w:p w:rsidR="00B2608F" w:rsidRPr="00DA2530" w:rsidRDefault="00B2608F" w:rsidP="001E08C1">
            <w:pPr>
              <w:keepNext/>
              <w:widowControl/>
              <w:spacing w:before="20"/>
              <w:jc w:val="center"/>
              <w:rPr>
                <w:rFonts w:ascii="Arial Narrow" w:hAnsi="Arial Narrow"/>
                <w:sz w:val="20"/>
              </w:rPr>
            </w:pPr>
            <w:r w:rsidRPr="00DA2530">
              <w:rPr>
                <w:rFonts w:ascii="Arial Narrow" w:hAnsi="Arial Narrow"/>
                <w:sz w:val="20"/>
              </w:rPr>
              <w:t>1111</w:t>
            </w:r>
          </w:p>
        </w:tc>
        <w:tc>
          <w:tcPr>
            <w:tcW w:w="632" w:type="pct"/>
            <w:tcBorders>
              <w:top w:val="nil"/>
              <w:left w:val="nil"/>
              <w:bottom w:val="single" w:sz="4" w:space="0" w:color="auto"/>
              <w:right w:val="single" w:sz="4" w:space="0" w:color="auto"/>
            </w:tcBorders>
            <w:shd w:val="clear" w:color="auto" w:fill="auto"/>
            <w:noWrap/>
            <w:vAlign w:val="center"/>
            <w:hideMark/>
          </w:tcPr>
          <w:p w:rsidR="00B2608F" w:rsidRPr="00DA2530" w:rsidRDefault="00B2608F" w:rsidP="001E08C1">
            <w:pPr>
              <w:keepNext/>
              <w:widowControl/>
              <w:spacing w:before="20"/>
              <w:jc w:val="center"/>
              <w:rPr>
                <w:rFonts w:ascii="Arial Narrow" w:hAnsi="Arial Narrow"/>
                <w:sz w:val="20"/>
              </w:rPr>
            </w:pPr>
            <w:r w:rsidRPr="00DA2530">
              <w:rPr>
                <w:rFonts w:ascii="Arial Narrow" w:hAnsi="Arial Narrow"/>
                <w:sz w:val="20"/>
              </w:rPr>
              <w:t>1138</w:t>
            </w:r>
          </w:p>
        </w:tc>
        <w:tc>
          <w:tcPr>
            <w:tcW w:w="632" w:type="pct"/>
            <w:tcBorders>
              <w:top w:val="nil"/>
              <w:left w:val="nil"/>
              <w:bottom w:val="single" w:sz="4" w:space="0" w:color="auto"/>
              <w:right w:val="single" w:sz="4" w:space="0" w:color="auto"/>
            </w:tcBorders>
            <w:shd w:val="clear" w:color="auto" w:fill="auto"/>
            <w:vAlign w:val="center"/>
          </w:tcPr>
          <w:p w:rsidR="00B2608F" w:rsidRPr="00DA2530" w:rsidRDefault="00B2608F" w:rsidP="001E08C1">
            <w:pPr>
              <w:keepNext/>
              <w:widowControl/>
              <w:spacing w:before="20"/>
              <w:jc w:val="center"/>
              <w:rPr>
                <w:rFonts w:ascii="Arial Narrow" w:hAnsi="Arial Narrow"/>
                <w:sz w:val="20"/>
              </w:rPr>
            </w:pPr>
            <w:r w:rsidRPr="00DA2530">
              <w:rPr>
                <w:rFonts w:ascii="Arial Narrow" w:hAnsi="Arial Narrow"/>
                <w:sz w:val="20"/>
              </w:rPr>
              <w:t>2130</w:t>
            </w:r>
          </w:p>
        </w:tc>
        <w:tc>
          <w:tcPr>
            <w:tcW w:w="631" w:type="pct"/>
            <w:tcBorders>
              <w:top w:val="nil"/>
              <w:left w:val="nil"/>
              <w:bottom w:val="single" w:sz="4" w:space="0" w:color="auto"/>
              <w:right w:val="single" w:sz="4" w:space="0" w:color="auto"/>
            </w:tcBorders>
            <w:shd w:val="clear" w:color="auto" w:fill="auto"/>
            <w:vAlign w:val="center"/>
          </w:tcPr>
          <w:p w:rsidR="00B2608F" w:rsidRPr="00DA2530" w:rsidRDefault="00B2608F" w:rsidP="001E08C1">
            <w:pPr>
              <w:keepNext/>
              <w:widowControl/>
              <w:spacing w:before="20"/>
              <w:jc w:val="center"/>
              <w:rPr>
                <w:rFonts w:ascii="Arial Narrow" w:hAnsi="Arial Narrow"/>
                <w:sz w:val="20"/>
              </w:rPr>
            </w:pPr>
            <w:r w:rsidRPr="00DA2530">
              <w:rPr>
                <w:rFonts w:ascii="Arial Narrow" w:hAnsi="Arial Narrow"/>
                <w:sz w:val="20"/>
              </w:rPr>
              <w:t>2132</w:t>
            </w:r>
          </w:p>
        </w:tc>
      </w:tr>
      <w:tr w:rsidR="00116163" w:rsidRPr="00DA2530" w:rsidTr="008A1DA3">
        <w:trPr>
          <w:trHeight w:val="289"/>
        </w:trPr>
        <w:tc>
          <w:tcPr>
            <w:tcW w:w="1209" w:type="pct"/>
            <w:tcBorders>
              <w:top w:val="nil"/>
              <w:left w:val="single" w:sz="4" w:space="0" w:color="auto"/>
              <w:bottom w:val="single" w:sz="4" w:space="0" w:color="auto"/>
              <w:right w:val="single" w:sz="4" w:space="0" w:color="auto"/>
            </w:tcBorders>
            <w:shd w:val="clear" w:color="auto" w:fill="auto"/>
            <w:noWrap/>
            <w:vAlign w:val="center"/>
            <w:hideMark/>
          </w:tcPr>
          <w:p w:rsidR="00B2608F" w:rsidRPr="00DA2530" w:rsidRDefault="00B2608F" w:rsidP="001E08C1">
            <w:pPr>
              <w:keepNext/>
              <w:widowControl/>
              <w:spacing w:before="20"/>
              <w:rPr>
                <w:rFonts w:ascii="Arial Narrow" w:hAnsi="Arial Narrow" w:cs="Calibri"/>
                <w:bCs/>
                <w:color w:val="000000"/>
                <w:sz w:val="20"/>
              </w:rPr>
            </w:pPr>
            <w:r w:rsidRPr="00DA2530">
              <w:rPr>
                <w:rFonts w:ascii="Arial Narrow" w:hAnsi="Arial Narrow" w:cs="Calibri"/>
                <w:bCs/>
                <w:color w:val="000000"/>
                <w:sz w:val="20"/>
              </w:rPr>
              <w:t>Subjects with any AEs, n (%)</w:t>
            </w:r>
          </w:p>
        </w:tc>
        <w:tc>
          <w:tcPr>
            <w:tcW w:w="632" w:type="pct"/>
            <w:tcBorders>
              <w:top w:val="nil"/>
              <w:left w:val="nil"/>
              <w:bottom w:val="single" w:sz="4" w:space="0" w:color="auto"/>
              <w:right w:val="single" w:sz="4" w:space="0" w:color="auto"/>
            </w:tcBorders>
            <w:shd w:val="clear" w:color="auto" w:fill="auto"/>
            <w:noWrap/>
            <w:vAlign w:val="center"/>
            <w:hideMark/>
          </w:tcPr>
          <w:p w:rsidR="00B2608F" w:rsidRPr="00DA2530" w:rsidRDefault="00B2608F" w:rsidP="001E08C1">
            <w:pPr>
              <w:keepNext/>
              <w:widowControl/>
              <w:spacing w:before="20"/>
              <w:jc w:val="center"/>
              <w:rPr>
                <w:rFonts w:ascii="Arial Narrow" w:hAnsi="Arial Narrow"/>
                <w:sz w:val="20"/>
              </w:rPr>
            </w:pPr>
            <w:r w:rsidRPr="00DA2530">
              <w:rPr>
                <w:rFonts w:ascii="Arial Narrow" w:hAnsi="Arial Narrow"/>
                <w:sz w:val="20"/>
              </w:rPr>
              <w:t>174 (95.6)</w:t>
            </w:r>
          </w:p>
        </w:tc>
        <w:tc>
          <w:tcPr>
            <w:tcW w:w="632" w:type="pct"/>
            <w:tcBorders>
              <w:top w:val="nil"/>
              <w:left w:val="nil"/>
              <w:bottom w:val="single" w:sz="4" w:space="0" w:color="auto"/>
              <w:right w:val="single" w:sz="4" w:space="0" w:color="auto"/>
            </w:tcBorders>
            <w:shd w:val="clear" w:color="auto" w:fill="auto"/>
            <w:noWrap/>
            <w:vAlign w:val="center"/>
            <w:hideMark/>
          </w:tcPr>
          <w:p w:rsidR="00B2608F" w:rsidRPr="00DA2530" w:rsidRDefault="00B2608F" w:rsidP="001E08C1">
            <w:pPr>
              <w:keepNext/>
              <w:widowControl/>
              <w:spacing w:before="20"/>
              <w:jc w:val="center"/>
              <w:rPr>
                <w:rFonts w:ascii="Arial Narrow" w:hAnsi="Arial Narrow"/>
                <w:sz w:val="20"/>
              </w:rPr>
            </w:pPr>
            <w:r w:rsidRPr="00DA2530">
              <w:rPr>
                <w:rFonts w:ascii="Arial Narrow" w:hAnsi="Arial Narrow"/>
                <w:sz w:val="20"/>
              </w:rPr>
              <w:t>174 (94.6)</w:t>
            </w:r>
          </w:p>
        </w:tc>
        <w:tc>
          <w:tcPr>
            <w:tcW w:w="632" w:type="pct"/>
            <w:tcBorders>
              <w:top w:val="nil"/>
              <w:left w:val="nil"/>
              <w:bottom w:val="single" w:sz="4" w:space="0" w:color="auto"/>
              <w:right w:val="single" w:sz="4" w:space="0" w:color="auto"/>
            </w:tcBorders>
            <w:shd w:val="clear" w:color="auto" w:fill="auto"/>
            <w:noWrap/>
            <w:vAlign w:val="center"/>
            <w:hideMark/>
          </w:tcPr>
          <w:p w:rsidR="00B2608F" w:rsidRPr="00DA2530" w:rsidRDefault="00B2608F" w:rsidP="001E08C1">
            <w:pPr>
              <w:keepNext/>
              <w:widowControl/>
              <w:spacing w:before="20"/>
              <w:jc w:val="center"/>
              <w:rPr>
                <w:rFonts w:ascii="Arial Narrow" w:hAnsi="Arial Narrow"/>
                <w:sz w:val="20"/>
              </w:rPr>
            </w:pPr>
            <w:r w:rsidRPr="00DA2530">
              <w:rPr>
                <w:rFonts w:ascii="Arial Narrow" w:hAnsi="Arial Narrow"/>
                <w:sz w:val="20"/>
              </w:rPr>
              <w:t>177 (94.7)</w:t>
            </w:r>
          </w:p>
        </w:tc>
        <w:tc>
          <w:tcPr>
            <w:tcW w:w="632" w:type="pct"/>
            <w:tcBorders>
              <w:top w:val="nil"/>
              <w:left w:val="nil"/>
              <w:bottom w:val="single" w:sz="4" w:space="0" w:color="auto"/>
              <w:right w:val="single" w:sz="4" w:space="0" w:color="auto"/>
            </w:tcBorders>
            <w:shd w:val="clear" w:color="auto" w:fill="auto"/>
            <w:noWrap/>
            <w:vAlign w:val="center"/>
            <w:hideMark/>
          </w:tcPr>
          <w:p w:rsidR="00B2608F" w:rsidRPr="00DA2530" w:rsidRDefault="00B2608F" w:rsidP="001E08C1">
            <w:pPr>
              <w:keepNext/>
              <w:widowControl/>
              <w:spacing w:before="20"/>
              <w:jc w:val="center"/>
              <w:rPr>
                <w:rFonts w:ascii="Arial Narrow" w:hAnsi="Arial Narrow"/>
                <w:sz w:val="20"/>
              </w:rPr>
            </w:pPr>
            <w:r w:rsidRPr="00DA2530">
              <w:rPr>
                <w:rFonts w:ascii="Arial Narrow" w:hAnsi="Arial Narrow"/>
                <w:sz w:val="20"/>
              </w:rPr>
              <w:t>181 (97.3)</w:t>
            </w:r>
          </w:p>
        </w:tc>
        <w:tc>
          <w:tcPr>
            <w:tcW w:w="632" w:type="pct"/>
            <w:tcBorders>
              <w:top w:val="nil"/>
              <w:left w:val="nil"/>
              <w:bottom w:val="single" w:sz="4" w:space="0" w:color="auto"/>
              <w:right w:val="single" w:sz="4" w:space="0" w:color="auto"/>
            </w:tcBorders>
            <w:shd w:val="clear" w:color="auto" w:fill="auto"/>
            <w:vAlign w:val="center"/>
          </w:tcPr>
          <w:p w:rsidR="00B2608F" w:rsidRPr="00DA2530" w:rsidRDefault="00B2608F" w:rsidP="001E08C1">
            <w:pPr>
              <w:keepNext/>
              <w:widowControl/>
              <w:spacing w:before="20"/>
              <w:jc w:val="center"/>
              <w:rPr>
                <w:rFonts w:ascii="Arial Narrow" w:hAnsi="Arial Narrow"/>
                <w:sz w:val="20"/>
              </w:rPr>
            </w:pPr>
            <w:r w:rsidRPr="00DA2530">
              <w:rPr>
                <w:rFonts w:ascii="Arial Narrow" w:hAnsi="Arial Narrow"/>
                <w:sz w:val="20"/>
              </w:rPr>
              <w:t>351 (95.1)</w:t>
            </w:r>
          </w:p>
        </w:tc>
        <w:tc>
          <w:tcPr>
            <w:tcW w:w="631" w:type="pct"/>
            <w:tcBorders>
              <w:top w:val="nil"/>
              <w:left w:val="nil"/>
              <w:bottom w:val="single" w:sz="4" w:space="0" w:color="auto"/>
              <w:right w:val="single" w:sz="4" w:space="0" w:color="auto"/>
            </w:tcBorders>
            <w:shd w:val="clear" w:color="auto" w:fill="auto"/>
            <w:vAlign w:val="center"/>
          </w:tcPr>
          <w:p w:rsidR="00B2608F" w:rsidRPr="00DA2530" w:rsidRDefault="00B2608F" w:rsidP="001E08C1">
            <w:pPr>
              <w:keepNext/>
              <w:widowControl/>
              <w:spacing w:before="20"/>
              <w:jc w:val="center"/>
              <w:rPr>
                <w:rFonts w:ascii="Arial Narrow" w:hAnsi="Arial Narrow"/>
                <w:sz w:val="20"/>
              </w:rPr>
            </w:pPr>
            <w:r w:rsidRPr="00DA2530">
              <w:rPr>
                <w:rFonts w:ascii="Arial Narrow" w:hAnsi="Arial Narrow"/>
                <w:sz w:val="20"/>
              </w:rPr>
              <w:t>355 (95.9)</w:t>
            </w:r>
          </w:p>
        </w:tc>
      </w:tr>
      <w:tr w:rsidR="00116163" w:rsidRPr="00DA2530" w:rsidTr="008A1DA3">
        <w:trPr>
          <w:trHeight w:val="578"/>
        </w:trPr>
        <w:tc>
          <w:tcPr>
            <w:tcW w:w="1209" w:type="pct"/>
            <w:tcBorders>
              <w:top w:val="nil"/>
              <w:left w:val="single" w:sz="4" w:space="0" w:color="auto"/>
              <w:bottom w:val="single" w:sz="4" w:space="0" w:color="auto"/>
              <w:right w:val="single" w:sz="4" w:space="0" w:color="auto"/>
            </w:tcBorders>
            <w:shd w:val="clear" w:color="auto" w:fill="auto"/>
            <w:vAlign w:val="center"/>
          </w:tcPr>
          <w:p w:rsidR="00B2608F" w:rsidRPr="00DA2530" w:rsidRDefault="00B2608F" w:rsidP="001E08C1">
            <w:pPr>
              <w:keepNext/>
              <w:widowControl/>
              <w:spacing w:before="20"/>
              <w:rPr>
                <w:rFonts w:ascii="Arial Narrow" w:hAnsi="Arial Narrow" w:cs="Calibri"/>
                <w:bCs/>
                <w:color w:val="000000"/>
                <w:sz w:val="20"/>
              </w:rPr>
            </w:pPr>
            <w:r w:rsidRPr="00DA2530">
              <w:rPr>
                <w:rFonts w:ascii="Arial Narrow" w:hAnsi="Arial Narrow" w:cs="Calibri"/>
                <w:bCs/>
                <w:color w:val="000000"/>
                <w:sz w:val="20"/>
              </w:rPr>
              <w:t>Subjects with Grade</w:t>
            </w:r>
            <w:r w:rsidR="00E45B23" w:rsidRPr="00DA2530">
              <w:rPr>
                <w:rFonts w:ascii="Arial Narrow" w:hAnsi="Arial Narrow" w:cs="Calibri"/>
                <w:bCs/>
                <w:color w:val="000000"/>
                <w:sz w:val="20"/>
              </w:rPr>
              <w:t xml:space="preserve"> </w:t>
            </w:r>
            <w:r w:rsidR="00E707A8">
              <w:rPr>
                <w:rFonts w:ascii="Arial Narrow" w:hAnsi="Arial Narrow" w:cs="Calibri"/>
                <w:bCs/>
                <w:color w:val="000000"/>
                <w:sz w:val="20"/>
              </w:rPr>
              <w:t>3</w:t>
            </w:r>
            <w:r w:rsidRPr="00DA2530">
              <w:rPr>
                <w:rFonts w:ascii="Arial Narrow" w:hAnsi="Arial Narrow" w:cs="Calibri"/>
                <w:bCs/>
                <w:color w:val="000000"/>
                <w:sz w:val="20"/>
              </w:rPr>
              <w:t>/4 AEs, n (%)</w:t>
            </w:r>
          </w:p>
        </w:tc>
        <w:tc>
          <w:tcPr>
            <w:tcW w:w="632" w:type="pct"/>
            <w:tcBorders>
              <w:top w:val="nil"/>
              <w:left w:val="nil"/>
              <w:bottom w:val="single" w:sz="4" w:space="0" w:color="auto"/>
              <w:right w:val="single" w:sz="4" w:space="0" w:color="auto"/>
            </w:tcBorders>
            <w:shd w:val="clear" w:color="auto" w:fill="auto"/>
            <w:vAlign w:val="center"/>
          </w:tcPr>
          <w:p w:rsidR="00B2608F" w:rsidRPr="00DA2530" w:rsidRDefault="00B2608F" w:rsidP="001E08C1">
            <w:pPr>
              <w:keepNext/>
              <w:widowControl/>
              <w:spacing w:before="20"/>
              <w:jc w:val="center"/>
              <w:rPr>
                <w:rFonts w:ascii="Arial Narrow" w:hAnsi="Arial Narrow"/>
                <w:sz w:val="20"/>
              </w:rPr>
            </w:pPr>
            <w:r w:rsidRPr="00DA2530">
              <w:rPr>
                <w:rFonts w:ascii="Arial Narrow" w:hAnsi="Arial Narrow"/>
                <w:sz w:val="20"/>
                <w:lang w:val="en-US"/>
              </w:rPr>
              <w:t>19 (10.4)</w:t>
            </w:r>
          </w:p>
        </w:tc>
        <w:tc>
          <w:tcPr>
            <w:tcW w:w="632" w:type="pct"/>
            <w:tcBorders>
              <w:top w:val="nil"/>
              <w:left w:val="nil"/>
              <w:bottom w:val="single" w:sz="4" w:space="0" w:color="auto"/>
              <w:right w:val="single" w:sz="4" w:space="0" w:color="auto"/>
            </w:tcBorders>
            <w:shd w:val="clear" w:color="auto" w:fill="auto"/>
            <w:vAlign w:val="center"/>
          </w:tcPr>
          <w:p w:rsidR="00B2608F" w:rsidRPr="00DA2530" w:rsidRDefault="00B2608F" w:rsidP="001E08C1">
            <w:pPr>
              <w:keepNext/>
              <w:widowControl/>
              <w:spacing w:before="20"/>
              <w:jc w:val="center"/>
              <w:rPr>
                <w:rFonts w:ascii="Arial Narrow" w:hAnsi="Arial Narrow"/>
                <w:sz w:val="20"/>
              </w:rPr>
            </w:pPr>
            <w:r w:rsidRPr="00DA2530">
              <w:rPr>
                <w:rFonts w:ascii="Arial Narrow" w:hAnsi="Arial Narrow"/>
                <w:sz w:val="20"/>
                <w:lang w:val="en-US"/>
              </w:rPr>
              <w:t>25 (13.6)</w:t>
            </w:r>
          </w:p>
        </w:tc>
        <w:tc>
          <w:tcPr>
            <w:tcW w:w="632" w:type="pct"/>
            <w:tcBorders>
              <w:top w:val="nil"/>
              <w:left w:val="nil"/>
              <w:bottom w:val="single" w:sz="4" w:space="0" w:color="auto"/>
              <w:right w:val="single" w:sz="4" w:space="0" w:color="auto"/>
            </w:tcBorders>
            <w:shd w:val="clear" w:color="auto" w:fill="auto"/>
            <w:noWrap/>
            <w:vAlign w:val="center"/>
          </w:tcPr>
          <w:p w:rsidR="00B2608F" w:rsidRPr="00DA2530" w:rsidRDefault="00B2608F" w:rsidP="001E08C1">
            <w:pPr>
              <w:keepNext/>
              <w:widowControl/>
              <w:spacing w:before="20"/>
              <w:jc w:val="center"/>
              <w:rPr>
                <w:rFonts w:ascii="Arial Narrow" w:hAnsi="Arial Narrow"/>
                <w:sz w:val="20"/>
              </w:rPr>
            </w:pPr>
            <w:r w:rsidRPr="00DA2530">
              <w:rPr>
                <w:rFonts w:ascii="Arial Narrow" w:hAnsi="Arial Narrow"/>
                <w:sz w:val="20"/>
                <w:lang w:val="en-US"/>
              </w:rPr>
              <w:t>26 (13.9)</w:t>
            </w:r>
          </w:p>
        </w:tc>
        <w:tc>
          <w:tcPr>
            <w:tcW w:w="632" w:type="pct"/>
            <w:tcBorders>
              <w:top w:val="nil"/>
              <w:left w:val="nil"/>
              <w:bottom w:val="single" w:sz="4" w:space="0" w:color="auto"/>
              <w:right w:val="single" w:sz="4" w:space="0" w:color="auto"/>
            </w:tcBorders>
            <w:shd w:val="clear" w:color="auto" w:fill="auto"/>
            <w:noWrap/>
            <w:vAlign w:val="center"/>
          </w:tcPr>
          <w:p w:rsidR="00B2608F" w:rsidRPr="00DA2530" w:rsidRDefault="00B2608F" w:rsidP="001E08C1">
            <w:pPr>
              <w:keepNext/>
              <w:widowControl/>
              <w:spacing w:before="20"/>
              <w:jc w:val="center"/>
              <w:rPr>
                <w:rFonts w:ascii="Arial Narrow" w:hAnsi="Arial Narrow"/>
                <w:sz w:val="20"/>
              </w:rPr>
            </w:pPr>
            <w:r w:rsidRPr="00DA2530">
              <w:rPr>
                <w:rFonts w:ascii="Arial Narrow" w:hAnsi="Arial Narrow"/>
                <w:sz w:val="20"/>
                <w:lang w:val="en-US"/>
              </w:rPr>
              <w:t>34 (18.3)</w:t>
            </w:r>
          </w:p>
        </w:tc>
        <w:tc>
          <w:tcPr>
            <w:tcW w:w="632" w:type="pct"/>
            <w:tcBorders>
              <w:top w:val="nil"/>
              <w:left w:val="nil"/>
              <w:bottom w:val="single" w:sz="4" w:space="0" w:color="auto"/>
              <w:right w:val="single" w:sz="4" w:space="0" w:color="auto"/>
            </w:tcBorders>
            <w:shd w:val="clear" w:color="auto" w:fill="auto"/>
            <w:vAlign w:val="center"/>
          </w:tcPr>
          <w:p w:rsidR="00B2608F" w:rsidRPr="00DA2530" w:rsidRDefault="00B2608F" w:rsidP="001E08C1">
            <w:pPr>
              <w:keepNext/>
              <w:widowControl/>
              <w:spacing w:before="20"/>
              <w:jc w:val="center"/>
              <w:rPr>
                <w:rFonts w:ascii="Arial Narrow" w:hAnsi="Arial Narrow"/>
                <w:sz w:val="20"/>
              </w:rPr>
            </w:pPr>
            <w:r w:rsidRPr="00DA2530">
              <w:rPr>
                <w:rFonts w:ascii="Arial Narrow" w:hAnsi="Arial Narrow"/>
                <w:sz w:val="20"/>
              </w:rPr>
              <w:t>NR</w:t>
            </w:r>
          </w:p>
        </w:tc>
        <w:tc>
          <w:tcPr>
            <w:tcW w:w="631" w:type="pct"/>
            <w:tcBorders>
              <w:top w:val="nil"/>
              <w:left w:val="nil"/>
              <w:bottom w:val="single" w:sz="4" w:space="0" w:color="auto"/>
              <w:right w:val="single" w:sz="4" w:space="0" w:color="auto"/>
            </w:tcBorders>
            <w:shd w:val="clear" w:color="auto" w:fill="auto"/>
            <w:vAlign w:val="center"/>
          </w:tcPr>
          <w:p w:rsidR="00B2608F" w:rsidRPr="00DA2530" w:rsidRDefault="00B2608F" w:rsidP="001E08C1">
            <w:pPr>
              <w:keepNext/>
              <w:widowControl/>
              <w:spacing w:before="20"/>
              <w:jc w:val="center"/>
              <w:rPr>
                <w:rFonts w:ascii="Arial Narrow" w:hAnsi="Arial Narrow"/>
                <w:sz w:val="20"/>
              </w:rPr>
            </w:pPr>
            <w:r w:rsidRPr="00DA2530">
              <w:rPr>
                <w:rFonts w:ascii="Arial Narrow" w:hAnsi="Arial Narrow"/>
                <w:sz w:val="20"/>
              </w:rPr>
              <w:t>NR</w:t>
            </w:r>
          </w:p>
        </w:tc>
      </w:tr>
      <w:tr w:rsidR="00116163" w:rsidRPr="00DA2530" w:rsidTr="008A1DA3">
        <w:trPr>
          <w:trHeight w:val="578"/>
        </w:trPr>
        <w:tc>
          <w:tcPr>
            <w:tcW w:w="1209" w:type="pct"/>
            <w:tcBorders>
              <w:top w:val="nil"/>
              <w:left w:val="single" w:sz="4" w:space="0" w:color="auto"/>
              <w:bottom w:val="single" w:sz="4" w:space="0" w:color="auto"/>
              <w:right w:val="single" w:sz="4" w:space="0" w:color="auto"/>
            </w:tcBorders>
            <w:shd w:val="clear" w:color="auto" w:fill="auto"/>
            <w:vAlign w:val="center"/>
          </w:tcPr>
          <w:p w:rsidR="00B2608F" w:rsidRPr="00DA2530" w:rsidRDefault="00B2608F" w:rsidP="001E08C1">
            <w:pPr>
              <w:keepNext/>
              <w:widowControl/>
              <w:spacing w:before="20"/>
              <w:rPr>
                <w:rFonts w:ascii="Arial Narrow" w:hAnsi="Arial Narrow" w:cs="Calibri"/>
                <w:bCs/>
                <w:color w:val="000000"/>
                <w:sz w:val="20"/>
              </w:rPr>
            </w:pPr>
            <w:r w:rsidRPr="00DA2530">
              <w:rPr>
                <w:rFonts w:ascii="Arial Narrow" w:hAnsi="Arial Narrow" w:cs="Calibri"/>
                <w:bCs/>
                <w:color w:val="000000"/>
                <w:sz w:val="20"/>
              </w:rPr>
              <w:t>Subjects with AEs by relationship: ‘Related’ or ‘possibly related”, n (%)</w:t>
            </w:r>
          </w:p>
        </w:tc>
        <w:tc>
          <w:tcPr>
            <w:tcW w:w="632" w:type="pct"/>
            <w:tcBorders>
              <w:top w:val="nil"/>
              <w:left w:val="nil"/>
              <w:bottom w:val="single" w:sz="4" w:space="0" w:color="auto"/>
              <w:right w:val="single" w:sz="4" w:space="0" w:color="auto"/>
            </w:tcBorders>
            <w:shd w:val="clear" w:color="auto" w:fill="auto"/>
            <w:vAlign w:val="center"/>
          </w:tcPr>
          <w:p w:rsidR="00B2608F" w:rsidRPr="00DA2530" w:rsidRDefault="00B2608F" w:rsidP="001E08C1">
            <w:pPr>
              <w:keepNext/>
              <w:widowControl/>
              <w:spacing w:before="20"/>
              <w:jc w:val="center"/>
              <w:rPr>
                <w:rFonts w:ascii="Arial Narrow" w:hAnsi="Arial Narrow"/>
                <w:sz w:val="20"/>
              </w:rPr>
            </w:pPr>
            <w:r w:rsidRPr="00DA2530">
              <w:rPr>
                <w:rFonts w:ascii="Arial Narrow" w:hAnsi="Arial Narrow"/>
                <w:sz w:val="20"/>
              </w:rPr>
              <w:t>91 (50)</w:t>
            </w:r>
          </w:p>
        </w:tc>
        <w:tc>
          <w:tcPr>
            <w:tcW w:w="632" w:type="pct"/>
            <w:tcBorders>
              <w:top w:val="nil"/>
              <w:left w:val="nil"/>
              <w:bottom w:val="single" w:sz="4" w:space="0" w:color="auto"/>
              <w:right w:val="single" w:sz="4" w:space="0" w:color="auto"/>
            </w:tcBorders>
            <w:shd w:val="clear" w:color="auto" w:fill="auto"/>
            <w:vAlign w:val="center"/>
          </w:tcPr>
          <w:p w:rsidR="00B2608F" w:rsidRPr="00DA2530" w:rsidRDefault="00B2608F" w:rsidP="001E08C1">
            <w:pPr>
              <w:keepNext/>
              <w:widowControl/>
              <w:spacing w:before="20"/>
              <w:jc w:val="center"/>
              <w:rPr>
                <w:rFonts w:ascii="Arial Narrow" w:hAnsi="Arial Narrow"/>
                <w:sz w:val="20"/>
              </w:rPr>
            </w:pPr>
            <w:r w:rsidRPr="00DA2530">
              <w:rPr>
                <w:rFonts w:ascii="Arial Narrow" w:hAnsi="Arial Narrow"/>
                <w:sz w:val="20"/>
              </w:rPr>
              <w:t>49 (26.6)</w:t>
            </w:r>
          </w:p>
        </w:tc>
        <w:tc>
          <w:tcPr>
            <w:tcW w:w="632" w:type="pct"/>
            <w:tcBorders>
              <w:top w:val="nil"/>
              <w:left w:val="nil"/>
              <w:bottom w:val="single" w:sz="4" w:space="0" w:color="auto"/>
              <w:right w:val="single" w:sz="4" w:space="0" w:color="auto"/>
            </w:tcBorders>
            <w:shd w:val="clear" w:color="auto" w:fill="auto"/>
            <w:noWrap/>
            <w:vAlign w:val="center"/>
          </w:tcPr>
          <w:p w:rsidR="00B2608F" w:rsidRPr="00DA2530" w:rsidRDefault="00B2608F" w:rsidP="001E08C1">
            <w:pPr>
              <w:keepNext/>
              <w:widowControl/>
              <w:spacing w:before="20"/>
              <w:jc w:val="center"/>
              <w:rPr>
                <w:rFonts w:ascii="Arial Narrow" w:hAnsi="Arial Narrow"/>
                <w:sz w:val="20"/>
              </w:rPr>
            </w:pPr>
            <w:r w:rsidRPr="00DA2530">
              <w:rPr>
                <w:rFonts w:ascii="Arial Narrow" w:hAnsi="Arial Narrow"/>
                <w:sz w:val="20"/>
              </w:rPr>
              <w:t>100 (53.5)</w:t>
            </w:r>
          </w:p>
        </w:tc>
        <w:tc>
          <w:tcPr>
            <w:tcW w:w="632" w:type="pct"/>
            <w:tcBorders>
              <w:top w:val="nil"/>
              <w:left w:val="nil"/>
              <w:bottom w:val="single" w:sz="4" w:space="0" w:color="auto"/>
              <w:right w:val="single" w:sz="4" w:space="0" w:color="auto"/>
            </w:tcBorders>
            <w:shd w:val="clear" w:color="auto" w:fill="auto"/>
            <w:noWrap/>
            <w:vAlign w:val="center"/>
          </w:tcPr>
          <w:p w:rsidR="00B2608F" w:rsidRPr="00DA2530" w:rsidRDefault="00B2608F" w:rsidP="001E08C1">
            <w:pPr>
              <w:keepNext/>
              <w:widowControl/>
              <w:spacing w:before="20"/>
              <w:jc w:val="center"/>
              <w:rPr>
                <w:rFonts w:ascii="Arial Narrow" w:hAnsi="Arial Narrow"/>
                <w:sz w:val="20"/>
              </w:rPr>
            </w:pPr>
            <w:r w:rsidRPr="00DA2530">
              <w:rPr>
                <w:rFonts w:ascii="Arial Narrow" w:hAnsi="Arial Narrow"/>
                <w:sz w:val="20"/>
              </w:rPr>
              <w:t>80 (43)</w:t>
            </w:r>
          </w:p>
        </w:tc>
        <w:tc>
          <w:tcPr>
            <w:tcW w:w="632" w:type="pct"/>
            <w:tcBorders>
              <w:top w:val="nil"/>
              <w:left w:val="nil"/>
              <w:bottom w:val="single" w:sz="4" w:space="0" w:color="auto"/>
              <w:right w:val="single" w:sz="4" w:space="0" w:color="auto"/>
            </w:tcBorders>
            <w:shd w:val="clear" w:color="auto" w:fill="auto"/>
            <w:vAlign w:val="center"/>
          </w:tcPr>
          <w:p w:rsidR="00B2608F" w:rsidRPr="00DA2530" w:rsidRDefault="00B2608F" w:rsidP="001E08C1">
            <w:pPr>
              <w:keepNext/>
              <w:widowControl/>
              <w:spacing w:before="20"/>
              <w:jc w:val="center"/>
              <w:rPr>
                <w:rFonts w:ascii="Arial Narrow" w:hAnsi="Arial Narrow"/>
                <w:sz w:val="20"/>
              </w:rPr>
            </w:pPr>
            <w:r w:rsidRPr="00DA2530">
              <w:rPr>
                <w:rFonts w:ascii="Arial Narrow" w:hAnsi="Arial Narrow"/>
                <w:sz w:val="20"/>
              </w:rPr>
              <w:t>NR</w:t>
            </w:r>
          </w:p>
        </w:tc>
        <w:tc>
          <w:tcPr>
            <w:tcW w:w="631" w:type="pct"/>
            <w:tcBorders>
              <w:top w:val="nil"/>
              <w:left w:val="nil"/>
              <w:bottom w:val="single" w:sz="4" w:space="0" w:color="auto"/>
              <w:right w:val="single" w:sz="4" w:space="0" w:color="auto"/>
            </w:tcBorders>
            <w:shd w:val="clear" w:color="auto" w:fill="auto"/>
            <w:vAlign w:val="center"/>
          </w:tcPr>
          <w:p w:rsidR="00B2608F" w:rsidRPr="00DA2530" w:rsidRDefault="00B2608F" w:rsidP="001E08C1">
            <w:pPr>
              <w:keepNext/>
              <w:widowControl/>
              <w:spacing w:before="20"/>
              <w:jc w:val="center"/>
              <w:rPr>
                <w:rFonts w:ascii="Arial Narrow" w:hAnsi="Arial Narrow"/>
                <w:sz w:val="20"/>
              </w:rPr>
            </w:pPr>
            <w:r w:rsidRPr="00DA2530">
              <w:rPr>
                <w:rFonts w:ascii="Arial Narrow" w:hAnsi="Arial Narrow"/>
                <w:sz w:val="20"/>
              </w:rPr>
              <w:t>NR</w:t>
            </w:r>
          </w:p>
        </w:tc>
      </w:tr>
      <w:tr w:rsidR="00116163" w:rsidRPr="00DA2530" w:rsidTr="008A1DA3">
        <w:trPr>
          <w:trHeight w:val="578"/>
        </w:trPr>
        <w:tc>
          <w:tcPr>
            <w:tcW w:w="1209" w:type="pct"/>
            <w:tcBorders>
              <w:top w:val="nil"/>
              <w:left w:val="single" w:sz="4" w:space="0" w:color="auto"/>
              <w:bottom w:val="single" w:sz="4" w:space="0" w:color="auto"/>
              <w:right w:val="single" w:sz="4" w:space="0" w:color="auto"/>
            </w:tcBorders>
            <w:shd w:val="clear" w:color="auto" w:fill="auto"/>
            <w:vAlign w:val="center"/>
            <w:hideMark/>
          </w:tcPr>
          <w:p w:rsidR="00B2608F" w:rsidRPr="00DA2530" w:rsidRDefault="00B2608F" w:rsidP="001E08C1">
            <w:pPr>
              <w:keepNext/>
              <w:widowControl/>
              <w:spacing w:before="20"/>
              <w:rPr>
                <w:rFonts w:ascii="Arial Narrow" w:hAnsi="Arial Narrow" w:cs="Calibri"/>
                <w:bCs/>
                <w:color w:val="000000"/>
                <w:sz w:val="20"/>
              </w:rPr>
            </w:pPr>
            <w:r w:rsidRPr="00DA2530">
              <w:rPr>
                <w:rFonts w:ascii="Arial Narrow" w:hAnsi="Arial Narrow" w:cs="Calibri"/>
                <w:bCs/>
                <w:color w:val="000000"/>
                <w:sz w:val="20"/>
              </w:rPr>
              <w:t>Subjects with AEs leading to treatment discontinuation, n (%)</w:t>
            </w:r>
          </w:p>
        </w:tc>
        <w:tc>
          <w:tcPr>
            <w:tcW w:w="632" w:type="pct"/>
            <w:tcBorders>
              <w:top w:val="nil"/>
              <w:left w:val="nil"/>
              <w:bottom w:val="single" w:sz="4" w:space="0" w:color="auto"/>
              <w:right w:val="single" w:sz="4" w:space="0" w:color="auto"/>
            </w:tcBorders>
            <w:shd w:val="clear" w:color="auto" w:fill="auto"/>
            <w:vAlign w:val="center"/>
            <w:hideMark/>
          </w:tcPr>
          <w:p w:rsidR="00B2608F" w:rsidRPr="00DA2530" w:rsidRDefault="00B2608F" w:rsidP="001E08C1">
            <w:pPr>
              <w:keepNext/>
              <w:widowControl/>
              <w:spacing w:before="20"/>
              <w:jc w:val="center"/>
              <w:rPr>
                <w:rFonts w:ascii="Arial Narrow" w:hAnsi="Arial Narrow"/>
                <w:sz w:val="20"/>
              </w:rPr>
            </w:pPr>
            <w:r w:rsidRPr="00DA2530">
              <w:rPr>
                <w:rFonts w:ascii="Arial Narrow" w:hAnsi="Arial Narrow"/>
                <w:sz w:val="20"/>
              </w:rPr>
              <w:t>6 (3.3)</w:t>
            </w:r>
          </w:p>
        </w:tc>
        <w:tc>
          <w:tcPr>
            <w:tcW w:w="632" w:type="pct"/>
            <w:tcBorders>
              <w:top w:val="nil"/>
              <w:left w:val="nil"/>
              <w:bottom w:val="single" w:sz="4" w:space="0" w:color="auto"/>
              <w:right w:val="single" w:sz="4" w:space="0" w:color="auto"/>
            </w:tcBorders>
            <w:shd w:val="clear" w:color="auto" w:fill="auto"/>
            <w:vAlign w:val="center"/>
            <w:hideMark/>
          </w:tcPr>
          <w:p w:rsidR="00B2608F" w:rsidRPr="00DA2530" w:rsidRDefault="00B2608F" w:rsidP="001E08C1">
            <w:pPr>
              <w:keepNext/>
              <w:widowControl/>
              <w:spacing w:before="20"/>
              <w:jc w:val="center"/>
              <w:rPr>
                <w:rFonts w:ascii="Arial Narrow" w:hAnsi="Arial Narrow"/>
                <w:sz w:val="20"/>
              </w:rPr>
            </w:pPr>
            <w:r w:rsidRPr="00DA2530">
              <w:rPr>
                <w:rFonts w:ascii="Arial Narrow" w:hAnsi="Arial Narrow"/>
                <w:sz w:val="20"/>
              </w:rPr>
              <w:t>4 (2.2)</w:t>
            </w:r>
          </w:p>
        </w:tc>
        <w:tc>
          <w:tcPr>
            <w:tcW w:w="632" w:type="pct"/>
            <w:tcBorders>
              <w:top w:val="nil"/>
              <w:left w:val="nil"/>
              <w:bottom w:val="single" w:sz="4" w:space="0" w:color="auto"/>
              <w:right w:val="single" w:sz="4" w:space="0" w:color="auto"/>
            </w:tcBorders>
            <w:shd w:val="clear" w:color="auto" w:fill="auto"/>
            <w:noWrap/>
            <w:vAlign w:val="center"/>
            <w:hideMark/>
          </w:tcPr>
          <w:p w:rsidR="00B2608F" w:rsidRPr="00DA2530" w:rsidRDefault="00B2608F" w:rsidP="001E08C1">
            <w:pPr>
              <w:keepNext/>
              <w:widowControl/>
              <w:spacing w:before="20"/>
              <w:jc w:val="center"/>
              <w:rPr>
                <w:rFonts w:ascii="Arial Narrow" w:hAnsi="Arial Narrow"/>
                <w:sz w:val="20"/>
              </w:rPr>
            </w:pPr>
            <w:r w:rsidRPr="00DA2530">
              <w:rPr>
                <w:rFonts w:ascii="Arial Narrow" w:hAnsi="Arial Narrow"/>
                <w:sz w:val="20"/>
              </w:rPr>
              <w:t>11 (5.9)</w:t>
            </w:r>
          </w:p>
        </w:tc>
        <w:tc>
          <w:tcPr>
            <w:tcW w:w="632" w:type="pct"/>
            <w:tcBorders>
              <w:top w:val="nil"/>
              <w:left w:val="nil"/>
              <w:bottom w:val="single" w:sz="4" w:space="0" w:color="auto"/>
              <w:right w:val="single" w:sz="4" w:space="0" w:color="auto"/>
            </w:tcBorders>
            <w:shd w:val="clear" w:color="auto" w:fill="auto"/>
            <w:noWrap/>
            <w:vAlign w:val="center"/>
            <w:hideMark/>
          </w:tcPr>
          <w:p w:rsidR="00B2608F" w:rsidRPr="00DA2530" w:rsidRDefault="00B2608F" w:rsidP="001E08C1">
            <w:pPr>
              <w:keepNext/>
              <w:widowControl/>
              <w:spacing w:before="20"/>
              <w:jc w:val="center"/>
              <w:rPr>
                <w:rFonts w:ascii="Arial Narrow" w:hAnsi="Arial Narrow"/>
                <w:sz w:val="20"/>
              </w:rPr>
            </w:pPr>
            <w:r w:rsidRPr="00DA2530">
              <w:rPr>
                <w:rFonts w:ascii="Arial Narrow" w:hAnsi="Arial Narrow"/>
                <w:sz w:val="20"/>
              </w:rPr>
              <w:t>2 (1.1)</w:t>
            </w:r>
          </w:p>
        </w:tc>
        <w:tc>
          <w:tcPr>
            <w:tcW w:w="632" w:type="pct"/>
            <w:tcBorders>
              <w:top w:val="nil"/>
              <w:left w:val="nil"/>
              <w:bottom w:val="single" w:sz="4" w:space="0" w:color="auto"/>
              <w:right w:val="single" w:sz="4" w:space="0" w:color="auto"/>
            </w:tcBorders>
            <w:shd w:val="clear" w:color="auto" w:fill="auto"/>
            <w:vAlign w:val="center"/>
          </w:tcPr>
          <w:p w:rsidR="00B2608F" w:rsidRPr="00DA2530" w:rsidRDefault="00B2608F" w:rsidP="001E08C1">
            <w:pPr>
              <w:keepNext/>
              <w:widowControl/>
              <w:spacing w:before="20"/>
              <w:jc w:val="center"/>
              <w:rPr>
                <w:rFonts w:ascii="Arial Narrow" w:hAnsi="Arial Narrow"/>
                <w:sz w:val="20"/>
              </w:rPr>
            </w:pPr>
            <w:r w:rsidRPr="00DA2530">
              <w:rPr>
                <w:rFonts w:ascii="Arial Narrow" w:hAnsi="Arial Narrow"/>
                <w:sz w:val="20"/>
              </w:rPr>
              <w:t>17 (4.6)</w:t>
            </w:r>
          </w:p>
        </w:tc>
        <w:tc>
          <w:tcPr>
            <w:tcW w:w="631" w:type="pct"/>
            <w:tcBorders>
              <w:top w:val="nil"/>
              <w:left w:val="nil"/>
              <w:bottom w:val="single" w:sz="4" w:space="0" w:color="auto"/>
              <w:right w:val="single" w:sz="4" w:space="0" w:color="auto"/>
            </w:tcBorders>
            <w:shd w:val="clear" w:color="auto" w:fill="auto"/>
            <w:vAlign w:val="center"/>
          </w:tcPr>
          <w:p w:rsidR="00B2608F" w:rsidRPr="00DA2530" w:rsidRDefault="00B2608F" w:rsidP="001E08C1">
            <w:pPr>
              <w:keepNext/>
              <w:widowControl/>
              <w:spacing w:before="20"/>
              <w:jc w:val="center"/>
              <w:rPr>
                <w:rFonts w:ascii="Arial Narrow" w:hAnsi="Arial Narrow"/>
                <w:sz w:val="20"/>
              </w:rPr>
            </w:pPr>
            <w:r w:rsidRPr="00DA2530">
              <w:rPr>
                <w:rFonts w:ascii="Arial Narrow" w:hAnsi="Arial Narrow"/>
                <w:sz w:val="20"/>
              </w:rPr>
              <w:t>6 (1.6)</w:t>
            </w:r>
          </w:p>
        </w:tc>
      </w:tr>
      <w:tr w:rsidR="00116163" w:rsidRPr="00DA2530" w:rsidTr="008A1DA3">
        <w:trPr>
          <w:trHeight w:val="578"/>
        </w:trPr>
        <w:tc>
          <w:tcPr>
            <w:tcW w:w="1209" w:type="pct"/>
            <w:tcBorders>
              <w:top w:val="nil"/>
              <w:left w:val="single" w:sz="4" w:space="0" w:color="auto"/>
              <w:bottom w:val="single" w:sz="4" w:space="0" w:color="auto"/>
              <w:right w:val="single" w:sz="4" w:space="0" w:color="auto"/>
            </w:tcBorders>
            <w:shd w:val="clear" w:color="auto" w:fill="auto"/>
            <w:vAlign w:val="center"/>
            <w:hideMark/>
          </w:tcPr>
          <w:p w:rsidR="00B2608F" w:rsidRPr="00DA2530" w:rsidRDefault="00B2608F" w:rsidP="001E08C1">
            <w:pPr>
              <w:keepNext/>
              <w:widowControl/>
              <w:spacing w:before="20"/>
              <w:rPr>
                <w:rFonts w:ascii="Arial Narrow" w:hAnsi="Arial Narrow" w:cs="Calibri"/>
                <w:bCs/>
                <w:color w:val="000000"/>
                <w:sz w:val="20"/>
              </w:rPr>
            </w:pPr>
            <w:r w:rsidRPr="00DA2530">
              <w:rPr>
                <w:rFonts w:ascii="Arial Narrow" w:hAnsi="Arial Narrow" w:cs="Calibri"/>
                <w:bCs/>
                <w:color w:val="000000"/>
                <w:sz w:val="20"/>
              </w:rPr>
              <w:t>Subjects with AEs leading to treatment interruption, n (%)</w:t>
            </w:r>
          </w:p>
        </w:tc>
        <w:tc>
          <w:tcPr>
            <w:tcW w:w="632" w:type="pct"/>
            <w:tcBorders>
              <w:top w:val="nil"/>
              <w:left w:val="nil"/>
              <w:bottom w:val="single" w:sz="4" w:space="0" w:color="auto"/>
              <w:right w:val="single" w:sz="4" w:space="0" w:color="auto"/>
            </w:tcBorders>
            <w:shd w:val="clear" w:color="auto" w:fill="auto"/>
            <w:vAlign w:val="center"/>
            <w:hideMark/>
          </w:tcPr>
          <w:p w:rsidR="00B2608F" w:rsidRPr="00DA2530" w:rsidRDefault="00B2608F" w:rsidP="001E08C1">
            <w:pPr>
              <w:keepNext/>
              <w:widowControl/>
              <w:spacing w:before="20"/>
              <w:jc w:val="center"/>
              <w:rPr>
                <w:rFonts w:ascii="Arial Narrow" w:hAnsi="Arial Narrow"/>
                <w:sz w:val="20"/>
              </w:rPr>
            </w:pPr>
            <w:r w:rsidRPr="00DA2530">
              <w:rPr>
                <w:rFonts w:ascii="Arial Narrow" w:hAnsi="Arial Narrow"/>
                <w:sz w:val="20"/>
              </w:rPr>
              <w:t>14 (7.7)</w:t>
            </w:r>
          </w:p>
        </w:tc>
        <w:tc>
          <w:tcPr>
            <w:tcW w:w="632" w:type="pct"/>
            <w:tcBorders>
              <w:top w:val="nil"/>
              <w:left w:val="nil"/>
              <w:bottom w:val="single" w:sz="4" w:space="0" w:color="auto"/>
              <w:right w:val="single" w:sz="4" w:space="0" w:color="auto"/>
            </w:tcBorders>
            <w:shd w:val="clear" w:color="auto" w:fill="auto"/>
            <w:vAlign w:val="center"/>
            <w:hideMark/>
          </w:tcPr>
          <w:p w:rsidR="00B2608F" w:rsidRPr="00DA2530" w:rsidRDefault="00B2608F" w:rsidP="001E08C1">
            <w:pPr>
              <w:keepNext/>
              <w:widowControl/>
              <w:spacing w:before="20"/>
              <w:jc w:val="center"/>
              <w:rPr>
                <w:rFonts w:ascii="Arial Narrow" w:hAnsi="Arial Narrow"/>
                <w:sz w:val="20"/>
              </w:rPr>
            </w:pPr>
            <w:r w:rsidRPr="00DA2530">
              <w:rPr>
                <w:rFonts w:ascii="Arial Narrow" w:hAnsi="Arial Narrow"/>
                <w:sz w:val="20"/>
              </w:rPr>
              <w:t>10 (5.4)</w:t>
            </w:r>
          </w:p>
        </w:tc>
        <w:tc>
          <w:tcPr>
            <w:tcW w:w="632" w:type="pct"/>
            <w:tcBorders>
              <w:top w:val="nil"/>
              <w:left w:val="nil"/>
              <w:bottom w:val="single" w:sz="4" w:space="0" w:color="auto"/>
              <w:right w:val="single" w:sz="4" w:space="0" w:color="auto"/>
            </w:tcBorders>
            <w:shd w:val="clear" w:color="auto" w:fill="auto"/>
            <w:noWrap/>
            <w:vAlign w:val="center"/>
            <w:hideMark/>
          </w:tcPr>
          <w:p w:rsidR="00B2608F" w:rsidRPr="00DA2530" w:rsidRDefault="00B2608F" w:rsidP="001E08C1">
            <w:pPr>
              <w:keepNext/>
              <w:widowControl/>
              <w:spacing w:before="20"/>
              <w:jc w:val="center"/>
              <w:rPr>
                <w:rFonts w:ascii="Arial Narrow" w:hAnsi="Arial Narrow"/>
                <w:sz w:val="20"/>
              </w:rPr>
            </w:pPr>
            <w:r w:rsidRPr="00DA2530">
              <w:rPr>
                <w:rFonts w:ascii="Arial Narrow" w:hAnsi="Arial Narrow"/>
                <w:sz w:val="20"/>
              </w:rPr>
              <w:t>8 (4.3)</w:t>
            </w:r>
          </w:p>
        </w:tc>
        <w:tc>
          <w:tcPr>
            <w:tcW w:w="632" w:type="pct"/>
            <w:tcBorders>
              <w:top w:val="nil"/>
              <w:left w:val="nil"/>
              <w:bottom w:val="single" w:sz="4" w:space="0" w:color="auto"/>
              <w:right w:val="single" w:sz="4" w:space="0" w:color="auto"/>
            </w:tcBorders>
            <w:shd w:val="clear" w:color="auto" w:fill="auto"/>
            <w:noWrap/>
            <w:vAlign w:val="center"/>
            <w:hideMark/>
          </w:tcPr>
          <w:p w:rsidR="00B2608F" w:rsidRPr="00DA2530" w:rsidRDefault="00B2608F" w:rsidP="001E08C1">
            <w:pPr>
              <w:keepNext/>
              <w:widowControl/>
              <w:spacing w:before="20"/>
              <w:jc w:val="center"/>
              <w:rPr>
                <w:rFonts w:ascii="Arial Narrow" w:hAnsi="Arial Narrow"/>
                <w:sz w:val="20"/>
              </w:rPr>
            </w:pPr>
            <w:r w:rsidRPr="00DA2530">
              <w:rPr>
                <w:rFonts w:ascii="Arial Narrow" w:hAnsi="Arial Narrow"/>
                <w:sz w:val="20"/>
              </w:rPr>
              <w:t>15 (8.1)</w:t>
            </w:r>
          </w:p>
        </w:tc>
        <w:tc>
          <w:tcPr>
            <w:tcW w:w="632" w:type="pct"/>
            <w:tcBorders>
              <w:top w:val="nil"/>
              <w:left w:val="nil"/>
              <w:bottom w:val="single" w:sz="4" w:space="0" w:color="auto"/>
              <w:right w:val="single" w:sz="4" w:space="0" w:color="auto"/>
            </w:tcBorders>
            <w:shd w:val="clear" w:color="auto" w:fill="auto"/>
            <w:vAlign w:val="center"/>
          </w:tcPr>
          <w:p w:rsidR="00B2608F" w:rsidRPr="00DA2530" w:rsidRDefault="00B2608F" w:rsidP="001E08C1">
            <w:pPr>
              <w:keepNext/>
              <w:widowControl/>
              <w:spacing w:before="20"/>
              <w:jc w:val="center"/>
              <w:rPr>
                <w:rFonts w:ascii="Arial Narrow" w:hAnsi="Arial Narrow"/>
                <w:sz w:val="20"/>
              </w:rPr>
            </w:pPr>
            <w:r w:rsidRPr="00DA2530">
              <w:rPr>
                <w:rFonts w:ascii="Arial Narrow" w:hAnsi="Arial Narrow"/>
                <w:sz w:val="20"/>
              </w:rPr>
              <w:t>22 (6.0)</w:t>
            </w:r>
          </w:p>
        </w:tc>
        <w:tc>
          <w:tcPr>
            <w:tcW w:w="631" w:type="pct"/>
            <w:tcBorders>
              <w:top w:val="nil"/>
              <w:left w:val="nil"/>
              <w:bottom w:val="single" w:sz="4" w:space="0" w:color="auto"/>
              <w:right w:val="single" w:sz="4" w:space="0" w:color="auto"/>
            </w:tcBorders>
            <w:shd w:val="clear" w:color="auto" w:fill="auto"/>
            <w:vAlign w:val="center"/>
          </w:tcPr>
          <w:p w:rsidR="00B2608F" w:rsidRPr="00DA2530" w:rsidRDefault="00B2608F" w:rsidP="001E08C1">
            <w:pPr>
              <w:keepNext/>
              <w:widowControl/>
              <w:spacing w:before="20"/>
              <w:jc w:val="center"/>
              <w:rPr>
                <w:rFonts w:ascii="Arial Narrow" w:hAnsi="Arial Narrow"/>
                <w:sz w:val="20"/>
              </w:rPr>
            </w:pPr>
            <w:r w:rsidRPr="00DA2530">
              <w:rPr>
                <w:rFonts w:ascii="Arial Narrow" w:hAnsi="Arial Narrow"/>
                <w:sz w:val="20"/>
              </w:rPr>
              <w:t>25 (6.8)</w:t>
            </w:r>
          </w:p>
        </w:tc>
      </w:tr>
      <w:tr w:rsidR="00116163" w:rsidRPr="00DA2530" w:rsidTr="008A1DA3">
        <w:trPr>
          <w:trHeight w:val="289"/>
        </w:trPr>
        <w:tc>
          <w:tcPr>
            <w:tcW w:w="1209" w:type="pct"/>
            <w:tcBorders>
              <w:top w:val="nil"/>
              <w:left w:val="single" w:sz="4" w:space="0" w:color="auto"/>
              <w:bottom w:val="single" w:sz="4" w:space="0" w:color="auto"/>
              <w:right w:val="single" w:sz="4" w:space="0" w:color="auto"/>
            </w:tcBorders>
            <w:shd w:val="clear" w:color="auto" w:fill="auto"/>
            <w:vAlign w:val="center"/>
            <w:hideMark/>
          </w:tcPr>
          <w:p w:rsidR="00B2608F" w:rsidRPr="00DA2530" w:rsidRDefault="00B2608F" w:rsidP="001E08C1">
            <w:pPr>
              <w:keepNext/>
              <w:widowControl/>
              <w:spacing w:before="20"/>
              <w:rPr>
                <w:rFonts w:ascii="Arial Narrow" w:hAnsi="Arial Narrow" w:cs="Calibri"/>
                <w:bCs/>
                <w:color w:val="000000"/>
                <w:sz w:val="20"/>
              </w:rPr>
            </w:pPr>
            <w:r w:rsidRPr="00DA2530">
              <w:rPr>
                <w:rFonts w:ascii="Arial Narrow" w:hAnsi="Arial Narrow" w:cs="Calibri"/>
                <w:bCs/>
                <w:color w:val="000000"/>
                <w:sz w:val="20"/>
              </w:rPr>
              <w:t>Subjects with SAEs, n (%)</w:t>
            </w:r>
          </w:p>
        </w:tc>
        <w:tc>
          <w:tcPr>
            <w:tcW w:w="632" w:type="pct"/>
            <w:tcBorders>
              <w:top w:val="nil"/>
              <w:left w:val="nil"/>
              <w:bottom w:val="single" w:sz="4" w:space="0" w:color="auto"/>
              <w:right w:val="single" w:sz="4" w:space="0" w:color="auto"/>
            </w:tcBorders>
            <w:shd w:val="clear" w:color="auto" w:fill="auto"/>
            <w:vAlign w:val="center"/>
            <w:hideMark/>
          </w:tcPr>
          <w:p w:rsidR="00B2608F" w:rsidRPr="00DA2530" w:rsidRDefault="00B2608F" w:rsidP="001E08C1">
            <w:pPr>
              <w:keepNext/>
              <w:widowControl/>
              <w:spacing w:before="20"/>
              <w:jc w:val="center"/>
              <w:rPr>
                <w:rFonts w:ascii="Arial Narrow" w:hAnsi="Arial Narrow"/>
                <w:sz w:val="20"/>
              </w:rPr>
            </w:pPr>
            <w:r w:rsidRPr="00DA2530">
              <w:rPr>
                <w:rFonts w:ascii="Arial Narrow" w:hAnsi="Arial Narrow"/>
                <w:sz w:val="20"/>
              </w:rPr>
              <w:t>33 (18.1)</w:t>
            </w:r>
          </w:p>
        </w:tc>
        <w:tc>
          <w:tcPr>
            <w:tcW w:w="632" w:type="pct"/>
            <w:tcBorders>
              <w:top w:val="nil"/>
              <w:left w:val="nil"/>
              <w:bottom w:val="single" w:sz="4" w:space="0" w:color="auto"/>
              <w:right w:val="single" w:sz="4" w:space="0" w:color="auto"/>
            </w:tcBorders>
            <w:shd w:val="clear" w:color="auto" w:fill="auto"/>
            <w:vAlign w:val="center"/>
            <w:hideMark/>
          </w:tcPr>
          <w:p w:rsidR="00B2608F" w:rsidRPr="00DA2530" w:rsidRDefault="00B2608F" w:rsidP="001E08C1">
            <w:pPr>
              <w:keepNext/>
              <w:widowControl/>
              <w:spacing w:before="20"/>
              <w:jc w:val="center"/>
              <w:rPr>
                <w:rFonts w:ascii="Arial Narrow" w:hAnsi="Arial Narrow"/>
                <w:sz w:val="20"/>
              </w:rPr>
            </w:pPr>
            <w:r w:rsidRPr="00DA2530">
              <w:rPr>
                <w:rFonts w:ascii="Arial Narrow" w:hAnsi="Arial Narrow"/>
                <w:sz w:val="20"/>
              </w:rPr>
              <w:t>49 (26.6)</w:t>
            </w:r>
          </w:p>
        </w:tc>
        <w:tc>
          <w:tcPr>
            <w:tcW w:w="632" w:type="pct"/>
            <w:tcBorders>
              <w:top w:val="nil"/>
              <w:left w:val="nil"/>
              <w:bottom w:val="single" w:sz="4" w:space="0" w:color="auto"/>
              <w:right w:val="single" w:sz="4" w:space="0" w:color="auto"/>
            </w:tcBorders>
            <w:shd w:val="clear" w:color="auto" w:fill="auto"/>
            <w:vAlign w:val="center"/>
            <w:hideMark/>
          </w:tcPr>
          <w:p w:rsidR="00B2608F" w:rsidRPr="00DA2530" w:rsidRDefault="00B2608F" w:rsidP="001E08C1">
            <w:pPr>
              <w:keepNext/>
              <w:widowControl/>
              <w:spacing w:before="20"/>
              <w:jc w:val="center"/>
              <w:rPr>
                <w:rFonts w:ascii="Arial Narrow" w:hAnsi="Arial Narrow"/>
                <w:sz w:val="20"/>
              </w:rPr>
            </w:pPr>
            <w:r w:rsidRPr="00DA2530">
              <w:rPr>
                <w:rFonts w:ascii="Arial Narrow" w:hAnsi="Arial Narrow"/>
                <w:sz w:val="20"/>
              </w:rPr>
              <w:t>31 (16.6)</w:t>
            </w:r>
          </w:p>
        </w:tc>
        <w:tc>
          <w:tcPr>
            <w:tcW w:w="632" w:type="pct"/>
            <w:tcBorders>
              <w:top w:val="nil"/>
              <w:left w:val="nil"/>
              <w:bottom w:val="single" w:sz="4" w:space="0" w:color="auto"/>
              <w:right w:val="single" w:sz="4" w:space="0" w:color="auto"/>
            </w:tcBorders>
            <w:shd w:val="clear" w:color="auto" w:fill="auto"/>
            <w:vAlign w:val="center"/>
            <w:hideMark/>
          </w:tcPr>
          <w:p w:rsidR="00B2608F" w:rsidRPr="00DA2530" w:rsidRDefault="00B2608F" w:rsidP="001E08C1">
            <w:pPr>
              <w:keepNext/>
              <w:widowControl/>
              <w:spacing w:before="20"/>
              <w:jc w:val="center"/>
              <w:rPr>
                <w:rFonts w:ascii="Arial Narrow" w:hAnsi="Arial Narrow"/>
                <w:sz w:val="20"/>
              </w:rPr>
            </w:pPr>
            <w:r w:rsidRPr="00DA2530">
              <w:rPr>
                <w:rFonts w:ascii="Arial Narrow" w:hAnsi="Arial Narrow"/>
                <w:sz w:val="20"/>
              </w:rPr>
              <w:t>57 (30.6)</w:t>
            </w:r>
          </w:p>
        </w:tc>
        <w:tc>
          <w:tcPr>
            <w:tcW w:w="632" w:type="pct"/>
            <w:tcBorders>
              <w:top w:val="nil"/>
              <w:left w:val="nil"/>
              <w:bottom w:val="single" w:sz="4" w:space="0" w:color="auto"/>
              <w:right w:val="single" w:sz="4" w:space="0" w:color="auto"/>
            </w:tcBorders>
            <w:shd w:val="clear" w:color="auto" w:fill="auto"/>
            <w:vAlign w:val="center"/>
          </w:tcPr>
          <w:p w:rsidR="00B2608F" w:rsidRPr="00DA2530" w:rsidRDefault="00B2608F" w:rsidP="001E08C1">
            <w:pPr>
              <w:keepNext/>
              <w:widowControl/>
              <w:spacing w:before="20"/>
              <w:jc w:val="center"/>
              <w:rPr>
                <w:rFonts w:ascii="Arial Narrow" w:hAnsi="Arial Narrow"/>
                <w:sz w:val="20"/>
              </w:rPr>
            </w:pPr>
            <w:r w:rsidRPr="00DA2530">
              <w:rPr>
                <w:rFonts w:ascii="Arial Narrow" w:hAnsi="Arial Narrow"/>
                <w:sz w:val="20"/>
              </w:rPr>
              <w:t>64 (17.3)</w:t>
            </w:r>
          </w:p>
        </w:tc>
        <w:tc>
          <w:tcPr>
            <w:tcW w:w="631" w:type="pct"/>
            <w:tcBorders>
              <w:top w:val="nil"/>
              <w:left w:val="nil"/>
              <w:bottom w:val="single" w:sz="4" w:space="0" w:color="auto"/>
              <w:right w:val="single" w:sz="4" w:space="0" w:color="auto"/>
            </w:tcBorders>
            <w:shd w:val="clear" w:color="auto" w:fill="auto"/>
            <w:vAlign w:val="center"/>
          </w:tcPr>
          <w:p w:rsidR="00B2608F" w:rsidRPr="00DA2530" w:rsidRDefault="00B2608F" w:rsidP="001E08C1">
            <w:pPr>
              <w:keepNext/>
              <w:widowControl/>
              <w:spacing w:before="20"/>
              <w:jc w:val="center"/>
              <w:rPr>
                <w:rFonts w:ascii="Arial Narrow" w:hAnsi="Arial Narrow"/>
                <w:sz w:val="20"/>
              </w:rPr>
            </w:pPr>
            <w:r w:rsidRPr="00DA2530">
              <w:rPr>
                <w:rFonts w:ascii="Arial Narrow" w:hAnsi="Arial Narrow"/>
                <w:sz w:val="20"/>
              </w:rPr>
              <w:t>106 (28.6)</w:t>
            </w:r>
          </w:p>
        </w:tc>
      </w:tr>
      <w:tr w:rsidR="00116163" w:rsidRPr="00DA2530" w:rsidTr="008A1DA3">
        <w:trPr>
          <w:trHeight w:val="289"/>
        </w:trPr>
        <w:tc>
          <w:tcPr>
            <w:tcW w:w="1209" w:type="pct"/>
            <w:tcBorders>
              <w:top w:val="nil"/>
              <w:left w:val="single" w:sz="4" w:space="0" w:color="auto"/>
              <w:bottom w:val="single" w:sz="4" w:space="0" w:color="auto"/>
              <w:right w:val="single" w:sz="4" w:space="0" w:color="auto"/>
            </w:tcBorders>
            <w:shd w:val="clear" w:color="auto" w:fill="auto"/>
            <w:vAlign w:val="center"/>
            <w:hideMark/>
          </w:tcPr>
          <w:p w:rsidR="00B2608F" w:rsidRPr="00DA2530" w:rsidRDefault="00B2608F" w:rsidP="001E08C1">
            <w:pPr>
              <w:keepNext/>
              <w:widowControl/>
              <w:spacing w:before="20"/>
              <w:rPr>
                <w:rFonts w:ascii="Arial Narrow" w:hAnsi="Arial Narrow" w:cs="Calibri"/>
                <w:bCs/>
                <w:color w:val="000000"/>
                <w:sz w:val="20"/>
              </w:rPr>
            </w:pPr>
            <w:r w:rsidRPr="00DA2530">
              <w:rPr>
                <w:rFonts w:ascii="Arial Narrow" w:hAnsi="Arial Narrow" w:cs="Calibri"/>
                <w:bCs/>
                <w:color w:val="000000"/>
                <w:sz w:val="20"/>
              </w:rPr>
              <w:t>Subjects with related SAEs, n (%)</w:t>
            </w:r>
          </w:p>
        </w:tc>
        <w:tc>
          <w:tcPr>
            <w:tcW w:w="632" w:type="pct"/>
            <w:tcBorders>
              <w:top w:val="nil"/>
              <w:left w:val="nil"/>
              <w:bottom w:val="single" w:sz="4" w:space="0" w:color="auto"/>
              <w:right w:val="single" w:sz="4" w:space="0" w:color="auto"/>
            </w:tcBorders>
            <w:shd w:val="clear" w:color="auto" w:fill="auto"/>
            <w:vAlign w:val="center"/>
            <w:hideMark/>
          </w:tcPr>
          <w:p w:rsidR="00B2608F" w:rsidRPr="00DA2530" w:rsidRDefault="00B2608F" w:rsidP="001E08C1">
            <w:pPr>
              <w:keepNext/>
              <w:widowControl/>
              <w:spacing w:before="20"/>
              <w:jc w:val="center"/>
              <w:rPr>
                <w:rFonts w:ascii="Arial Narrow" w:hAnsi="Arial Narrow"/>
                <w:sz w:val="20"/>
              </w:rPr>
            </w:pPr>
            <w:r w:rsidRPr="00DA2530">
              <w:rPr>
                <w:rFonts w:ascii="Arial Narrow" w:hAnsi="Arial Narrow"/>
                <w:sz w:val="20"/>
              </w:rPr>
              <w:t>8 (4.4)</w:t>
            </w:r>
          </w:p>
        </w:tc>
        <w:tc>
          <w:tcPr>
            <w:tcW w:w="632" w:type="pct"/>
            <w:tcBorders>
              <w:top w:val="nil"/>
              <w:left w:val="nil"/>
              <w:bottom w:val="single" w:sz="4" w:space="0" w:color="auto"/>
              <w:right w:val="single" w:sz="4" w:space="0" w:color="auto"/>
            </w:tcBorders>
            <w:shd w:val="clear" w:color="auto" w:fill="auto"/>
            <w:vAlign w:val="center"/>
            <w:hideMark/>
          </w:tcPr>
          <w:p w:rsidR="00B2608F" w:rsidRPr="00DA2530" w:rsidRDefault="00B2608F" w:rsidP="001E08C1">
            <w:pPr>
              <w:keepNext/>
              <w:widowControl/>
              <w:spacing w:before="20"/>
              <w:jc w:val="center"/>
              <w:rPr>
                <w:rFonts w:ascii="Arial Narrow" w:hAnsi="Arial Narrow"/>
                <w:sz w:val="20"/>
              </w:rPr>
            </w:pPr>
            <w:r w:rsidRPr="00DA2530">
              <w:rPr>
                <w:rFonts w:ascii="Arial Narrow" w:hAnsi="Arial Narrow"/>
                <w:sz w:val="20"/>
              </w:rPr>
              <w:t>3 (1.6)</w:t>
            </w:r>
          </w:p>
        </w:tc>
        <w:tc>
          <w:tcPr>
            <w:tcW w:w="632" w:type="pct"/>
            <w:tcBorders>
              <w:top w:val="nil"/>
              <w:left w:val="nil"/>
              <w:bottom w:val="single" w:sz="4" w:space="0" w:color="auto"/>
              <w:right w:val="single" w:sz="4" w:space="0" w:color="auto"/>
            </w:tcBorders>
            <w:shd w:val="clear" w:color="auto" w:fill="auto"/>
            <w:vAlign w:val="center"/>
            <w:hideMark/>
          </w:tcPr>
          <w:p w:rsidR="00B2608F" w:rsidRPr="00DA2530" w:rsidRDefault="00B2608F" w:rsidP="001E08C1">
            <w:pPr>
              <w:keepNext/>
              <w:widowControl/>
              <w:spacing w:before="20"/>
              <w:jc w:val="center"/>
              <w:rPr>
                <w:rFonts w:ascii="Arial Narrow" w:hAnsi="Arial Narrow"/>
                <w:sz w:val="20"/>
              </w:rPr>
            </w:pPr>
            <w:r w:rsidRPr="00DA2530">
              <w:rPr>
                <w:rFonts w:ascii="Arial Narrow" w:hAnsi="Arial Narrow"/>
                <w:sz w:val="20"/>
              </w:rPr>
              <w:t>6 (3.2)</w:t>
            </w:r>
          </w:p>
        </w:tc>
        <w:tc>
          <w:tcPr>
            <w:tcW w:w="632" w:type="pct"/>
            <w:tcBorders>
              <w:top w:val="nil"/>
              <w:left w:val="nil"/>
              <w:bottom w:val="single" w:sz="4" w:space="0" w:color="auto"/>
              <w:right w:val="single" w:sz="4" w:space="0" w:color="auto"/>
            </w:tcBorders>
            <w:shd w:val="clear" w:color="auto" w:fill="auto"/>
            <w:vAlign w:val="center"/>
            <w:hideMark/>
          </w:tcPr>
          <w:p w:rsidR="00B2608F" w:rsidRPr="00DA2530" w:rsidRDefault="00B2608F" w:rsidP="001E08C1">
            <w:pPr>
              <w:keepNext/>
              <w:widowControl/>
              <w:spacing w:before="20"/>
              <w:jc w:val="center"/>
              <w:rPr>
                <w:rFonts w:ascii="Arial Narrow" w:hAnsi="Arial Narrow"/>
                <w:sz w:val="20"/>
              </w:rPr>
            </w:pPr>
            <w:r w:rsidRPr="00DA2530">
              <w:rPr>
                <w:rFonts w:ascii="Arial Narrow" w:hAnsi="Arial Narrow"/>
                <w:sz w:val="20"/>
              </w:rPr>
              <w:t>5 (2.7)</w:t>
            </w:r>
          </w:p>
        </w:tc>
        <w:tc>
          <w:tcPr>
            <w:tcW w:w="632" w:type="pct"/>
            <w:tcBorders>
              <w:top w:val="nil"/>
              <w:left w:val="nil"/>
              <w:bottom w:val="single" w:sz="4" w:space="0" w:color="auto"/>
              <w:right w:val="single" w:sz="4" w:space="0" w:color="auto"/>
            </w:tcBorders>
            <w:shd w:val="clear" w:color="auto" w:fill="auto"/>
            <w:vAlign w:val="center"/>
          </w:tcPr>
          <w:p w:rsidR="00B2608F" w:rsidRPr="00DA2530" w:rsidRDefault="00B2608F" w:rsidP="001E08C1">
            <w:pPr>
              <w:keepNext/>
              <w:widowControl/>
              <w:spacing w:before="20"/>
              <w:jc w:val="center"/>
              <w:rPr>
                <w:rFonts w:ascii="Arial Narrow" w:hAnsi="Arial Narrow"/>
                <w:sz w:val="20"/>
              </w:rPr>
            </w:pPr>
            <w:r w:rsidRPr="00DA2530">
              <w:rPr>
                <w:rFonts w:ascii="Arial Narrow" w:hAnsi="Arial Narrow"/>
                <w:sz w:val="20"/>
              </w:rPr>
              <w:t>14 (3.8)</w:t>
            </w:r>
          </w:p>
        </w:tc>
        <w:tc>
          <w:tcPr>
            <w:tcW w:w="631" w:type="pct"/>
            <w:tcBorders>
              <w:top w:val="nil"/>
              <w:left w:val="nil"/>
              <w:bottom w:val="single" w:sz="4" w:space="0" w:color="auto"/>
              <w:right w:val="single" w:sz="4" w:space="0" w:color="auto"/>
            </w:tcBorders>
            <w:shd w:val="clear" w:color="auto" w:fill="auto"/>
            <w:vAlign w:val="center"/>
          </w:tcPr>
          <w:p w:rsidR="00B2608F" w:rsidRPr="00DA2530" w:rsidRDefault="00B2608F" w:rsidP="001E08C1">
            <w:pPr>
              <w:keepNext/>
              <w:widowControl/>
              <w:spacing w:before="20"/>
              <w:jc w:val="center"/>
              <w:rPr>
                <w:rFonts w:ascii="Arial Narrow" w:hAnsi="Arial Narrow"/>
                <w:sz w:val="20"/>
              </w:rPr>
            </w:pPr>
            <w:r w:rsidRPr="00DA2530">
              <w:rPr>
                <w:rFonts w:ascii="Arial Narrow" w:hAnsi="Arial Narrow"/>
                <w:sz w:val="20"/>
              </w:rPr>
              <w:t>8 (2.2)</w:t>
            </w:r>
          </w:p>
        </w:tc>
      </w:tr>
      <w:tr w:rsidR="00116163" w:rsidRPr="00DA2530" w:rsidTr="008A1DA3">
        <w:trPr>
          <w:trHeight w:val="289"/>
        </w:trPr>
        <w:tc>
          <w:tcPr>
            <w:tcW w:w="1209" w:type="pct"/>
            <w:tcBorders>
              <w:top w:val="nil"/>
              <w:left w:val="single" w:sz="4" w:space="0" w:color="auto"/>
              <w:bottom w:val="single" w:sz="4" w:space="0" w:color="auto"/>
              <w:right w:val="single" w:sz="4" w:space="0" w:color="auto"/>
            </w:tcBorders>
            <w:shd w:val="clear" w:color="auto" w:fill="auto"/>
            <w:vAlign w:val="center"/>
            <w:hideMark/>
          </w:tcPr>
          <w:p w:rsidR="00B2608F" w:rsidRPr="00DA2530" w:rsidRDefault="00B2608F" w:rsidP="001E08C1">
            <w:pPr>
              <w:keepNext/>
              <w:widowControl/>
              <w:spacing w:before="20"/>
              <w:rPr>
                <w:rFonts w:ascii="Arial Narrow" w:hAnsi="Arial Narrow" w:cs="Calibri"/>
                <w:bCs/>
                <w:color w:val="000000"/>
                <w:sz w:val="20"/>
              </w:rPr>
            </w:pPr>
            <w:r w:rsidRPr="00DA2530">
              <w:rPr>
                <w:rFonts w:ascii="Arial Narrow" w:hAnsi="Arial Narrow" w:cs="Calibri"/>
                <w:bCs/>
                <w:color w:val="000000"/>
                <w:sz w:val="20"/>
              </w:rPr>
              <w:t>Subjects with AEs leading to death, n (%)</w:t>
            </w:r>
          </w:p>
        </w:tc>
        <w:tc>
          <w:tcPr>
            <w:tcW w:w="632" w:type="pct"/>
            <w:tcBorders>
              <w:top w:val="nil"/>
              <w:left w:val="nil"/>
              <w:bottom w:val="single" w:sz="4" w:space="0" w:color="auto"/>
              <w:right w:val="single" w:sz="4" w:space="0" w:color="auto"/>
            </w:tcBorders>
            <w:shd w:val="clear" w:color="auto" w:fill="auto"/>
            <w:vAlign w:val="center"/>
            <w:hideMark/>
          </w:tcPr>
          <w:p w:rsidR="00B2608F" w:rsidRPr="00DA2530" w:rsidRDefault="00B2608F" w:rsidP="001E08C1">
            <w:pPr>
              <w:keepNext/>
              <w:widowControl/>
              <w:spacing w:before="20"/>
              <w:jc w:val="center"/>
              <w:rPr>
                <w:rFonts w:ascii="Arial Narrow" w:hAnsi="Arial Narrow"/>
                <w:sz w:val="20"/>
              </w:rPr>
            </w:pPr>
            <w:r w:rsidRPr="00DA2530">
              <w:rPr>
                <w:rFonts w:ascii="Arial Narrow" w:hAnsi="Arial Narrow"/>
                <w:sz w:val="20"/>
              </w:rPr>
              <w:t>0</w:t>
            </w:r>
          </w:p>
        </w:tc>
        <w:tc>
          <w:tcPr>
            <w:tcW w:w="632" w:type="pct"/>
            <w:tcBorders>
              <w:top w:val="nil"/>
              <w:left w:val="nil"/>
              <w:bottom w:val="single" w:sz="4" w:space="0" w:color="auto"/>
              <w:right w:val="single" w:sz="4" w:space="0" w:color="auto"/>
            </w:tcBorders>
            <w:shd w:val="clear" w:color="auto" w:fill="auto"/>
            <w:vAlign w:val="center"/>
            <w:hideMark/>
          </w:tcPr>
          <w:p w:rsidR="00B2608F" w:rsidRPr="00DA2530" w:rsidRDefault="00B2608F" w:rsidP="001E08C1">
            <w:pPr>
              <w:keepNext/>
              <w:widowControl/>
              <w:spacing w:before="20"/>
              <w:jc w:val="center"/>
              <w:rPr>
                <w:rFonts w:ascii="Arial Narrow" w:hAnsi="Arial Narrow"/>
                <w:sz w:val="20"/>
              </w:rPr>
            </w:pPr>
            <w:r w:rsidRPr="00DA2530">
              <w:rPr>
                <w:rFonts w:ascii="Arial Narrow" w:hAnsi="Arial Narrow"/>
                <w:sz w:val="20"/>
              </w:rPr>
              <w:t>0</w:t>
            </w:r>
          </w:p>
        </w:tc>
        <w:tc>
          <w:tcPr>
            <w:tcW w:w="632" w:type="pct"/>
            <w:tcBorders>
              <w:top w:val="nil"/>
              <w:left w:val="nil"/>
              <w:bottom w:val="single" w:sz="4" w:space="0" w:color="auto"/>
              <w:right w:val="single" w:sz="4" w:space="0" w:color="auto"/>
            </w:tcBorders>
            <w:shd w:val="clear" w:color="auto" w:fill="auto"/>
            <w:vAlign w:val="center"/>
            <w:hideMark/>
          </w:tcPr>
          <w:p w:rsidR="00B2608F" w:rsidRPr="00DA2530" w:rsidRDefault="00B2608F" w:rsidP="001E08C1">
            <w:pPr>
              <w:keepNext/>
              <w:widowControl/>
              <w:spacing w:before="20"/>
              <w:jc w:val="center"/>
              <w:rPr>
                <w:rFonts w:ascii="Arial Narrow" w:hAnsi="Arial Narrow"/>
                <w:sz w:val="20"/>
              </w:rPr>
            </w:pPr>
            <w:r w:rsidRPr="00DA2530">
              <w:rPr>
                <w:rFonts w:ascii="Arial Narrow" w:hAnsi="Arial Narrow"/>
                <w:sz w:val="20"/>
              </w:rPr>
              <w:t>0</w:t>
            </w:r>
          </w:p>
        </w:tc>
        <w:tc>
          <w:tcPr>
            <w:tcW w:w="632" w:type="pct"/>
            <w:tcBorders>
              <w:top w:val="nil"/>
              <w:left w:val="nil"/>
              <w:bottom w:val="single" w:sz="4" w:space="0" w:color="auto"/>
              <w:right w:val="single" w:sz="4" w:space="0" w:color="auto"/>
            </w:tcBorders>
            <w:shd w:val="clear" w:color="auto" w:fill="auto"/>
            <w:vAlign w:val="center"/>
            <w:hideMark/>
          </w:tcPr>
          <w:p w:rsidR="00B2608F" w:rsidRPr="00DA2530" w:rsidRDefault="00B2608F" w:rsidP="001E08C1">
            <w:pPr>
              <w:keepNext/>
              <w:widowControl/>
              <w:spacing w:before="20"/>
              <w:jc w:val="center"/>
              <w:rPr>
                <w:rFonts w:ascii="Arial Narrow" w:hAnsi="Arial Narrow"/>
                <w:sz w:val="20"/>
              </w:rPr>
            </w:pPr>
            <w:r w:rsidRPr="00DA2530">
              <w:rPr>
                <w:rFonts w:ascii="Arial Narrow" w:hAnsi="Arial Narrow"/>
                <w:sz w:val="20"/>
              </w:rPr>
              <w:t>0</w:t>
            </w:r>
          </w:p>
        </w:tc>
        <w:tc>
          <w:tcPr>
            <w:tcW w:w="632" w:type="pct"/>
            <w:tcBorders>
              <w:top w:val="nil"/>
              <w:left w:val="nil"/>
              <w:bottom w:val="single" w:sz="4" w:space="0" w:color="auto"/>
              <w:right w:val="single" w:sz="4" w:space="0" w:color="auto"/>
            </w:tcBorders>
            <w:shd w:val="clear" w:color="auto" w:fill="auto"/>
            <w:vAlign w:val="center"/>
          </w:tcPr>
          <w:p w:rsidR="00B2608F" w:rsidRPr="00DA2530" w:rsidRDefault="00B2608F" w:rsidP="001E08C1">
            <w:pPr>
              <w:keepNext/>
              <w:widowControl/>
              <w:spacing w:before="20"/>
              <w:jc w:val="center"/>
              <w:rPr>
                <w:rFonts w:ascii="Arial Narrow" w:hAnsi="Arial Narrow"/>
                <w:sz w:val="20"/>
              </w:rPr>
            </w:pPr>
            <w:r w:rsidRPr="00DA2530">
              <w:rPr>
                <w:rFonts w:ascii="Arial Narrow" w:hAnsi="Arial Narrow"/>
                <w:sz w:val="20"/>
              </w:rPr>
              <w:t>0</w:t>
            </w:r>
          </w:p>
        </w:tc>
        <w:tc>
          <w:tcPr>
            <w:tcW w:w="631" w:type="pct"/>
            <w:tcBorders>
              <w:top w:val="nil"/>
              <w:left w:val="nil"/>
              <w:bottom w:val="single" w:sz="4" w:space="0" w:color="auto"/>
              <w:right w:val="single" w:sz="4" w:space="0" w:color="auto"/>
            </w:tcBorders>
            <w:shd w:val="clear" w:color="auto" w:fill="auto"/>
            <w:vAlign w:val="center"/>
          </w:tcPr>
          <w:p w:rsidR="00B2608F" w:rsidRPr="00DA2530" w:rsidRDefault="00B2608F" w:rsidP="001E08C1">
            <w:pPr>
              <w:keepNext/>
              <w:widowControl/>
              <w:spacing w:before="20"/>
              <w:jc w:val="center"/>
              <w:rPr>
                <w:rFonts w:ascii="Arial Narrow" w:hAnsi="Arial Narrow"/>
                <w:sz w:val="20"/>
              </w:rPr>
            </w:pPr>
            <w:r w:rsidRPr="00DA2530">
              <w:rPr>
                <w:rFonts w:ascii="Arial Narrow" w:hAnsi="Arial Narrow"/>
                <w:sz w:val="20"/>
              </w:rPr>
              <w:t>0</w:t>
            </w:r>
          </w:p>
        </w:tc>
      </w:tr>
    </w:tbl>
    <w:p w:rsidR="00B2608F" w:rsidRPr="00DA2530" w:rsidRDefault="00B2608F" w:rsidP="001E08C1">
      <w:pPr>
        <w:pStyle w:val="Tablefooter8pt"/>
      </w:pPr>
      <w:r w:rsidRPr="00DA2530">
        <w:t>Source: Table B.6.4, p112 July 2017 resubmission. Table 12-2, TRAFFIC CSR, p 188; Table 12-2, TRANSPORT CSR, p 201.</w:t>
      </w:r>
    </w:p>
    <w:p w:rsidR="00B2608F" w:rsidRPr="00DA2530" w:rsidRDefault="00B2608F" w:rsidP="001E08C1">
      <w:pPr>
        <w:pStyle w:val="Tablefooter8pt"/>
      </w:pPr>
      <w:r w:rsidRPr="00DA2530">
        <w:t>Abbreviations: AE</w:t>
      </w:r>
      <w:r w:rsidR="00E707A8">
        <w:t xml:space="preserve"> = adverse event; n = size of subsample; N =</w:t>
      </w:r>
      <w:r w:rsidRPr="00DA2530">
        <w:t xml:space="preserve"> number of subjects; </w:t>
      </w:r>
      <w:r w:rsidR="00E707A8">
        <w:t xml:space="preserve">SAE = serious adverse event, NR = </w:t>
      </w:r>
      <w:r w:rsidRPr="00DA2530">
        <w:t>not reported.</w:t>
      </w:r>
    </w:p>
    <w:p w:rsidR="00B2608F" w:rsidRPr="00DA2530" w:rsidRDefault="00B2608F" w:rsidP="001E08C1">
      <w:pPr>
        <w:widowControl/>
        <w:rPr>
          <w:rFonts w:eastAsia="Calibri" w:cs="Calibri"/>
          <w:sz w:val="16"/>
          <w:szCs w:val="16"/>
        </w:rPr>
      </w:pPr>
    </w:p>
    <w:p w:rsidR="00B2608F" w:rsidRPr="00DA2530" w:rsidRDefault="00B2608F" w:rsidP="00141A87">
      <w:pPr>
        <w:widowControl/>
        <w:numPr>
          <w:ilvl w:val="1"/>
          <w:numId w:val="13"/>
        </w:numPr>
        <w:spacing w:after="120"/>
        <w:ind w:left="709" w:hanging="709"/>
        <w:rPr>
          <w:rFonts w:asciiTheme="minorHAnsi" w:hAnsiTheme="minorHAnsi"/>
          <w:sz w:val="24"/>
        </w:rPr>
      </w:pPr>
      <w:r w:rsidRPr="00DA2530">
        <w:rPr>
          <w:rFonts w:asciiTheme="minorHAnsi" w:hAnsiTheme="minorHAnsi"/>
          <w:sz w:val="24"/>
        </w:rPr>
        <w:t xml:space="preserve">In the randomised trials, the most common </w:t>
      </w:r>
      <w:r w:rsidR="00014D06">
        <w:rPr>
          <w:rFonts w:asciiTheme="minorHAnsi" w:hAnsiTheme="minorHAnsi"/>
          <w:sz w:val="24"/>
        </w:rPr>
        <w:t>adverse events</w:t>
      </w:r>
      <w:r w:rsidR="00014D06" w:rsidRPr="00DA2530">
        <w:rPr>
          <w:rFonts w:asciiTheme="minorHAnsi" w:hAnsiTheme="minorHAnsi"/>
          <w:sz w:val="24"/>
        </w:rPr>
        <w:t xml:space="preserve"> </w:t>
      </w:r>
      <w:r w:rsidRPr="00DA2530">
        <w:rPr>
          <w:rFonts w:asciiTheme="minorHAnsi" w:hAnsiTheme="minorHAnsi"/>
          <w:sz w:val="24"/>
        </w:rPr>
        <w:t xml:space="preserve">experienced by patients who received lumacaftor/ivacaftor were </w:t>
      </w:r>
      <w:bookmarkStart w:id="44" w:name="_Hlk479759173"/>
      <w:r w:rsidRPr="00DA2530">
        <w:rPr>
          <w:rFonts w:asciiTheme="minorHAnsi" w:hAnsiTheme="minorHAnsi"/>
          <w:sz w:val="24"/>
        </w:rPr>
        <w:t>dyspnoea (14.0% versus 7.8% on placebo), diarrhoea (11.0% versus 8.4% on placebo), and nausea (10.2% versus 7.6% on placebo). Serious adverse reactions occurring in at least 0.5% of patients on lumacaftor/ivacaftor and in a greater proportion of lumacaftor/ivacaftor patients than placebo patients were hepatobiliary events.</w:t>
      </w:r>
    </w:p>
    <w:p w:rsidR="00B2608F" w:rsidRPr="00DA2530" w:rsidRDefault="00B2608F" w:rsidP="00141A87">
      <w:pPr>
        <w:widowControl/>
        <w:numPr>
          <w:ilvl w:val="1"/>
          <w:numId w:val="13"/>
        </w:numPr>
        <w:spacing w:after="120"/>
        <w:ind w:left="709" w:hanging="709"/>
        <w:rPr>
          <w:rFonts w:asciiTheme="minorHAnsi" w:hAnsiTheme="minorHAnsi"/>
          <w:sz w:val="24"/>
          <w:lang w:val="en-US"/>
        </w:rPr>
      </w:pPr>
      <w:bookmarkStart w:id="45" w:name="_Hlk479759483"/>
      <w:bookmarkEnd w:id="44"/>
      <w:r w:rsidRPr="00DA2530">
        <w:rPr>
          <w:rFonts w:asciiTheme="minorHAnsi" w:hAnsiTheme="minorHAnsi"/>
          <w:sz w:val="24"/>
        </w:rPr>
        <w:t>In PROGRESS, the most common adverse events reported were cough (</w:t>
      </w:r>
      <w:r w:rsidRPr="00DA2530">
        <w:rPr>
          <w:rFonts w:asciiTheme="minorHAnsi" w:hAnsiTheme="minorHAnsi"/>
          <w:sz w:val="24"/>
          <w:lang w:val="en-US"/>
        </w:rPr>
        <w:t xml:space="preserve">44%), increased sputum (22%), and haemoptysis (20%). Most of these </w:t>
      </w:r>
      <w:r w:rsidR="00B11F6A">
        <w:rPr>
          <w:rFonts w:asciiTheme="minorHAnsi" w:hAnsiTheme="minorHAnsi"/>
          <w:sz w:val="24"/>
          <w:lang w:val="en-US"/>
        </w:rPr>
        <w:t>adverse events</w:t>
      </w:r>
      <w:r w:rsidR="00B11F6A" w:rsidRPr="00DA2530">
        <w:rPr>
          <w:rFonts w:asciiTheme="minorHAnsi" w:hAnsiTheme="minorHAnsi"/>
          <w:sz w:val="24"/>
          <w:lang w:val="en-US"/>
        </w:rPr>
        <w:t xml:space="preserve"> </w:t>
      </w:r>
      <w:r w:rsidRPr="00DA2530">
        <w:rPr>
          <w:rFonts w:asciiTheme="minorHAnsi" w:hAnsiTheme="minorHAnsi"/>
          <w:sz w:val="24"/>
          <w:lang w:val="en-US"/>
        </w:rPr>
        <w:t xml:space="preserve">(in 71% of patients) were considered mild or moderate in severity. There was an increase in blood pressure associated with extended lumacaftor/ivacaftor therapy. </w:t>
      </w:r>
    </w:p>
    <w:p w:rsidR="00B2608F" w:rsidRPr="00DA2530" w:rsidRDefault="00014D06" w:rsidP="00141A87">
      <w:pPr>
        <w:widowControl/>
        <w:numPr>
          <w:ilvl w:val="1"/>
          <w:numId w:val="13"/>
        </w:numPr>
        <w:spacing w:after="120"/>
        <w:ind w:left="709" w:hanging="709"/>
        <w:rPr>
          <w:rFonts w:asciiTheme="minorHAnsi" w:hAnsiTheme="minorHAnsi"/>
          <w:sz w:val="24"/>
        </w:rPr>
      </w:pPr>
      <w:r>
        <w:rPr>
          <w:rFonts w:asciiTheme="minorHAnsi" w:hAnsiTheme="minorHAnsi"/>
          <w:sz w:val="24"/>
        </w:rPr>
        <w:t xml:space="preserve">Serious adverse events were experienced by </w:t>
      </w:r>
      <w:r w:rsidR="00B2608F" w:rsidRPr="00DA2530">
        <w:rPr>
          <w:rFonts w:asciiTheme="minorHAnsi" w:hAnsiTheme="minorHAnsi"/>
          <w:sz w:val="24"/>
        </w:rPr>
        <w:t xml:space="preserve">45% of patients in PROGRESS, the most frequently reported being infective </w:t>
      </w:r>
      <w:r w:rsidR="00CB7337">
        <w:rPr>
          <w:rFonts w:asciiTheme="minorHAnsi" w:hAnsiTheme="minorHAnsi"/>
          <w:sz w:val="24"/>
        </w:rPr>
        <w:t xml:space="preserve">PEs </w:t>
      </w:r>
      <w:r w:rsidR="00B2608F" w:rsidRPr="00DA2530">
        <w:rPr>
          <w:rFonts w:asciiTheme="minorHAnsi" w:hAnsiTheme="minorHAnsi"/>
          <w:sz w:val="24"/>
        </w:rPr>
        <w:t>of CF (in 33% of patients), h</w:t>
      </w:r>
      <w:r w:rsidR="00E45B23" w:rsidRPr="00DA2530">
        <w:rPr>
          <w:rFonts w:asciiTheme="minorHAnsi" w:hAnsiTheme="minorHAnsi"/>
          <w:sz w:val="24"/>
        </w:rPr>
        <w:t>a</w:t>
      </w:r>
      <w:r w:rsidR="00B2608F" w:rsidRPr="00DA2530">
        <w:rPr>
          <w:rFonts w:asciiTheme="minorHAnsi" w:hAnsiTheme="minorHAnsi"/>
          <w:sz w:val="24"/>
        </w:rPr>
        <w:t>emoptysis (3%), and distal intestinal obstruction syndrome (3%).</w:t>
      </w:r>
    </w:p>
    <w:bookmarkEnd w:id="45"/>
    <w:p w:rsidR="00B2608F" w:rsidRDefault="00B2608F" w:rsidP="00141A87">
      <w:pPr>
        <w:widowControl/>
        <w:numPr>
          <w:ilvl w:val="1"/>
          <w:numId w:val="13"/>
        </w:numPr>
        <w:spacing w:after="120"/>
        <w:ind w:left="709" w:hanging="709"/>
        <w:rPr>
          <w:rFonts w:asciiTheme="minorHAnsi" w:hAnsiTheme="minorHAnsi"/>
          <w:sz w:val="24"/>
        </w:rPr>
      </w:pPr>
      <w:r w:rsidRPr="00DA2530">
        <w:rPr>
          <w:rFonts w:asciiTheme="minorHAnsi" w:hAnsiTheme="minorHAnsi"/>
          <w:sz w:val="24"/>
        </w:rPr>
        <w:t>Two deaths occurred in the lumacaftor 400 mg/ivacaftor 250 mg every 12h</w:t>
      </w:r>
      <w:r w:rsidR="000B1718" w:rsidRPr="00DA2530">
        <w:rPr>
          <w:rFonts w:asciiTheme="minorHAnsi" w:hAnsiTheme="minorHAnsi"/>
          <w:sz w:val="24"/>
        </w:rPr>
        <w:t xml:space="preserve"> group </w:t>
      </w:r>
      <w:r w:rsidRPr="00DA2530">
        <w:rPr>
          <w:rFonts w:asciiTheme="minorHAnsi" w:hAnsiTheme="minorHAnsi"/>
          <w:sz w:val="24"/>
        </w:rPr>
        <w:t>during the course of PROGRESS: one patient died from respiratory failure related to infective PE, and one from distal intestinal obstruction syndrome. Neither of the deaths was considered to be related to the study drug.</w:t>
      </w:r>
    </w:p>
    <w:p w:rsidR="00B2608F" w:rsidRPr="00DA2530" w:rsidRDefault="00B2608F" w:rsidP="001E08C1">
      <w:pPr>
        <w:pStyle w:val="Heading3"/>
      </w:pPr>
      <w:bookmarkStart w:id="46" w:name="_Toc482713677"/>
      <w:r w:rsidRPr="00DA2530">
        <w:t>Benefits and harms</w:t>
      </w:r>
      <w:bookmarkEnd w:id="42"/>
      <w:bookmarkEnd w:id="46"/>
    </w:p>
    <w:p w:rsidR="00B2608F" w:rsidRPr="00DA2530" w:rsidRDefault="00B2608F" w:rsidP="002D52EC">
      <w:pPr>
        <w:pStyle w:val="ListParagraph"/>
        <w:widowControl/>
        <w:numPr>
          <w:ilvl w:val="1"/>
          <w:numId w:val="13"/>
        </w:numPr>
        <w:spacing w:after="120"/>
        <w:ind w:left="709" w:hanging="709"/>
        <w:contextualSpacing w:val="0"/>
        <w:rPr>
          <w:rFonts w:asciiTheme="minorHAnsi" w:hAnsiTheme="minorHAnsi"/>
          <w:sz w:val="24"/>
        </w:rPr>
      </w:pPr>
      <w:bookmarkStart w:id="47" w:name="_Hlk479761273"/>
      <w:r w:rsidRPr="00DA2530">
        <w:rPr>
          <w:rFonts w:asciiTheme="minorHAnsi" w:hAnsiTheme="minorHAnsi"/>
          <w:sz w:val="24"/>
        </w:rPr>
        <w:t>A summary of the comparative benefits and harms for lumacaftor/ivacaftor versus placebo as evidenced from the TRAFFIC and TRANSPOR</w:t>
      </w:r>
      <w:r w:rsidR="003C370C">
        <w:rPr>
          <w:rFonts w:asciiTheme="minorHAnsi" w:hAnsiTheme="minorHAnsi"/>
          <w:sz w:val="24"/>
        </w:rPr>
        <w:t>T trials is presented in Table 9</w:t>
      </w:r>
      <w:r w:rsidRPr="00DA2530">
        <w:rPr>
          <w:rFonts w:asciiTheme="minorHAnsi" w:hAnsiTheme="minorHAnsi"/>
          <w:sz w:val="24"/>
        </w:rPr>
        <w:t xml:space="preserve"> below. </w:t>
      </w:r>
    </w:p>
    <w:p w:rsidR="008A1DA3" w:rsidRDefault="008A1DA3" w:rsidP="008A1DA3">
      <w:pPr>
        <w:pStyle w:val="Caption"/>
      </w:pPr>
      <w:r>
        <w:t xml:space="preserve">Table </w:t>
      </w:r>
      <w:r w:rsidR="000056CF">
        <w:rPr>
          <w:noProof/>
        </w:rPr>
        <w:t>9</w:t>
      </w:r>
      <w:r w:rsidRPr="001615C7">
        <w:t>: Summary of comparative benefits and harms for lumacaftor/ivacaftor and placebo</w:t>
      </w:r>
    </w:p>
    <w:tbl>
      <w:tblPr>
        <w:tblStyle w:val="Summarybox1"/>
        <w:tblW w:w="5000" w:type="pct"/>
        <w:tblLayout w:type="fixed"/>
        <w:tblCellMar>
          <w:left w:w="28" w:type="dxa"/>
          <w:right w:w="28" w:type="dxa"/>
        </w:tblCellMar>
        <w:tblLook w:val="04A0" w:firstRow="1" w:lastRow="0" w:firstColumn="1" w:lastColumn="0" w:noHBand="0" w:noVBand="1"/>
        <w:tblCaption w:val="Summary of comparative benefits and harms for lumacaftor/ivacaftor and placebo"/>
      </w:tblPr>
      <w:tblGrid>
        <w:gridCol w:w="1171"/>
        <w:gridCol w:w="7"/>
        <w:gridCol w:w="7"/>
        <w:gridCol w:w="869"/>
        <w:gridCol w:w="548"/>
        <w:gridCol w:w="7"/>
        <w:gridCol w:w="418"/>
        <w:gridCol w:w="712"/>
        <w:gridCol w:w="220"/>
        <w:gridCol w:w="843"/>
        <w:gridCol w:w="420"/>
        <w:gridCol w:w="810"/>
        <w:gridCol w:w="543"/>
        <w:gridCol w:w="696"/>
        <w:gridCol w:w="659"/>
        <w:gridCol w:w="1152"/>
      </w:tblGrid>
      <w:tr w:rsidR="00B2608F" w:rsidRPr="00116163" w:rsidTr="008A1DA3">
        <w:trPr>
          <w:tblHeader/>
        </w:trPr>
        <w:tc>
          <w:tcPr>
            <w:tcW w:w="5000" w:type="pct"/>
            <w:gridSpan w:val="16"/>
            <w:shd w:val="clear" w:color="auto" w:fill="auto"/>
            <w:vAlign w:val="center"/>
          </w:tcPr>
          <w:p w:rsidR="00B2608F" w:rsidRPr="00116163" w:rsidRDefault="00B2608F" w:rsidP="001E08C1">
            <w:pPr>
              <w:keepNext/>
              <w:widowControl/>
              <w:rPr>
                <w:rFonts w:ascii="Arial Narrow" w:hAnsi="Arial Narrow"/>
                <w:b/>
                <w:color w:val="000000"/>
                <w:sz w:val="20"/>
              </w:rPr>
            </w:pPr>
            <w:r w:rsidRPr="00116163">
              <w:rPr>
                <w:rFonts w:ascii="Arial Narrow" w:hAnsi="Arial Narrow"/>
                <w:b/>
                <w:color w:val="000000"/>
                <w:sz w:val="20"/>
              </w:rPr>
              <w:t>Benefits</w:t>
            </w:r>
          </w:p>
        </w:tc>
      </w:tr>
      <w:tr w:rsidR="00B2608F" w:rsidRPr="00116163" w:rsidTr="00116163">
        <w:tc>
          <w:tcPr>
            <w:tcW w:w="5000" w:type="pct"/>
            <w:gridSpan w:val="16"/>
            <w:tcBorders>
              <w:top w:val="double" w:sz="4" w:space="0" w:color="auto"/>
            </w:tcBorders>
            <w:shd w:val="clear" w:color="auto" w:fill="auto"/>
            <w:vAlign w:val="center"/>
          </w:tcPr>
          <w:p w:rsidR="00B2608F" w:rsidRPr="00116163" w:rsidRDefault="00B2608F" w:rsidP="001E08C1">
            <w:pPr>
              <w:keepNext/>
              <w:widowControl/>
              <w:rPr>
                <w:rFonts w:ascii="Arial Narrow" w:hAnsi="Arial Narrow"/>
                <w:b/>
                <w:color w:val="000000"/>
                <w:sz w:val="20"/>
              </w:rPr>
            </w:pPr>
            <w:r w:rsidRPr="00116163">
              <w:rPr>
                <w:rFonts w:ascii="Arial Narrow" w:hAnsi="Arial Narrow"/>
                <w:b/>
                <w:color w:val="000000"/>
                <w:sz w:val="20"/>
              </w:rPr>
              <w:t>pp</w:t>
            </w:r>
            <w:r w:rsidR="00023A66" w:rsidRPr="00116163">
              <w:rPr>
                <w:rFonts w:ascii="Arial Narrow" w:hAnsi="Arial Narrow"/>
                <w:b/>
                <w:sz w:val="20"/>
              </w:rPr>
              <w:t>FEV</w:t>
            </w:r>
            <w:r w:rsidR="00023A66" w:rsidRPr="00116163">
              <w:rPr>
                <w:rFonts w:ascii="Arial Narrow" w:hAnsi="Arial Narrow"/>
                <w:b/>
                <w:sz w:val="20"/>
                <w:vertAlign w:val="subscript"/>
              </w:rPr>
              <w:t>1</w:t>
            </w:r>
            <w:r w:rsidRPr="00116163">
              <w:rPr>
                <w:rFonts w:ascii="Arial Narrow" w:hAnsi="Arial Narrow"/>
                <w:b/>
                <w:color w:val="000000"/>
                <w:sz w:val="20"/>
              </w:rPr>
              <w:t xml:space="preserve">: absolute change from baseline </w:t>
            </w:r>
          </w:p>
        </w:tc>
      </w:tr>
      <w:tr w:rsidR="00B2608F" w:rsidRPr="00116163" w:rsidTr="008A1DA3">
        <w:trPr>
          <w:trHeight w:val="225"/>
        </w:trPr>
        <w:tc>
          <w:tcPr>
            <w:tcW w:w="645" w:type="pct"/>
            <w:vMerge w:val="restart"/>
            <w:shd w:val="clear" w:color="auto" w:fill="auto"/>
            <w:vAlign w:val="center"/>
          </w:tcPr>
          <w:p w:rsidR="00B2608F" w:rsidRPr="00116163" w:rsidRDefault="00B2608F" w:rsidP="001E08C1">
            <w:pPr>
              <w:keepNext/>
              <w:widowControl/>
              <w:rPr>
                <w:rFonts w:ascii="Arial Narrow" w:hAnsi="Arial Narrow"/>
                <w:color w:val="000000"/>
                <w:sz w:val="20"/>
              </w:rPr>
            </w:pPr>
          </w:p>
        </w:tc>
        <w:tc>
          <w:tcPr>
            <w:tcW w:w="1535" w:type="pct"/>
            <w:gridSpan w:val="8"/>
            <w:vAlign w:val="center"/>
          </w:tcPr>
          <w:p w:rsidR="00B2608F" w:rsidRPr="00116163" w:rsidRDefault="00B2608F" w:rsidP="001E08C1">
            <w:pPr>
              <w:keepNext/>
              <w:widowControl/>
              <w:jc w:val="center"/>
              <w:rPr>
                <w:rFonts w:ascii="Arial Narrow" w:hAnsi="Arial Narrow"/>
                <w:b/>
                <w:sz w:val="20"/>
                <w:lang w:val="en-US"/>
              </w:rPr>
            </w:pPr>
            <w:r w:rsidRPr="00116163">
              <w:rPr>
                <w:rFonts w:ascii="Arial Narrow" w:hAnsi="Arial Narrow"/>
                <w:b/>
                <w:sz w:val="20"/>
                <w:lang w:val="en-US"/>
              </w:rPr>
              <w:t>Lumacaftor/</w:t>
            </w:r>
            <w:r w:rsidR="00116163" w:rsidRPr="00116163">
              <w:rPr>
                <w:rFonts w:ascii="Arial Narrow" w:hAnsi="Arial Narrow"/>
                <w:b/>
                <w:sz w:val="20"/>
                <w:lang w:val="en-US"/>
              </w:rPr>
              <w:t>i</w:t>
            </w:r>
            <w:r w:rsidRPr="00116163">
              <w:rPr>
                <w:rFonts w:ascii="Arial Narrow" w:hAnsi="Arial Narrow"/>
                <w:b/>
                <w:sz w:val="20"/>
                <w:lang w:val="en-US"/>
              </w:rPr>
              <w:t>vacaftor</w:t>
            </w:r>
          </w:p>
        </w:tc>
        <w:tc>
          <w:tcPr>
            <w:tcW w:w="1823" w:type="pct"/>
            <w:gridSpan w:val="5"/>
            <w:vAlign w:val="center"/>
          </w:tcPr>
          <w:p w:rsidR="00B2608F" w:rsidRPr="00116163" w:rsidRDefault="00B2608F" w:rsidP="001E08C1">
            <w:pPr>
              <w:keepNext/>
              <w:widowControl/>
              <w:jc w:val="center"/>
              <w:rPr>
                <w:rFonts w:ascii="Arial Narrow" w:hAnsi="Arial Narrow"/>
                <w:color w:val="000000"/>
                <w:sz w:val="20"/>
              </w:rPr>
            </w:pPr>
            <w:r w:rsidRPr="00116163">
              <w:rPr>
                <w:rFonts w:ascii="Arial Narrow" w:hAnsi="Arial Narrow"/>
                <w:b/>
                <w:color w:val="000000"/>
                <w:sz w:val="20"/>
              </w:rPr>
              <w:t>Placebo</w:t>
            </w:r>
          </w:p>
        </w:tc>
        <w:tc>
          <w:tcPr>
            <w:tcW w:w="997" w:type="pct"/>
            <w:gridSpan w:val="2"/>
            <w:vMerge w:val="restart"/>
            <w:vAlign w:val="center"/>
          </w:tcPr>
          <w:p w:rsidR="00B2608F" w:rsidRPr="00116163" w:rsidRDefault="00B2608F" w:rsidP="001E08C1">
            <w:pPr>
              <w:keepNext/>
              <w:widowControl/>
              <w:jc w:val="center"/>
              <w:rPr>
                <w:rFonts w:ascii="Arial Narrow" w:hAnsi="Arial Narrow"/>
                <w:b/>
                <w:sz w:val="20"/>
              </w:rPr>
            </w:pPr>
            <w:r w:rsidRPr="00116163">
              <w:rPr>
                <w:rFonts w:ascii="Arial Narrow" w:hAnsi="Arial Narrow"/>
                <w:b/>
                <w:sz w:val="20"/>
              </w:rPr>
              <w:t>LS mean difference</w:t>
            </w:r>
          </w:p>
          <w:p w:rsidR="00B2608F" w:rsidRPr="00116163" w:rsidRDefault="00B2608F" w:rsidP="001E08C1">
            <w:pPr>
              <w:keepNext/>
              <w:widowControl/>
              <w:jc w:val="center"/>
              <w:rPr>
                <w:rFonts w:ascii="Arial Narrow" w:hAnsi="Arial Narrow"/>
                <w:b/>
                <w:sz w:val="20"/>
              </w:rPr>
            </w:pPr>
            <w:r w:rsidRPr="00116163">
              <w:rPr>
                <w:rFonts w:ascii="Arial Narrow" w:hAnsi="Arial Narrow"/>
                <w:b/>
                <w:sz w:val="20"/>
              </w:rPr>
              <w:t>lumacaftor/ivacaftor vs. placebo</w:t>
            </w:r>
          </w:p>
          <w:p w:rsidR="00B2608F" w:rsidRPr="00116163" w:rsidRDefault="00B2608F" w:rsidP="001E08C1">
            <w:pPr>
              <w:keepNext/>
              <w:widowControl/>
              <w:jc w:val="center"/>
              <w:rPr>
                <w:rFonts w:ascii="Arial Narrow" w:hAnsi="Arial Narrow"/>
                <w:b/>
                <w:sz w:val="20"/>
              </w:rPr>
            </w:pPr>
            <w:r w:rsidRPr="00116163">
              <w:rPr>
                <w:rFonts w:ascii="Arial Narrow" w:hAnsi="Arial Narrow"/>
                <w:b/>
                <w:sz w:val="20"/>
              </w:rPr>
              <w:t>(95% CI)</w:t>
            </w:r>
          </w:p>
        </w:tc>
      </w:tr>
      <w:tr w:rsidR="00B2608F" w:rsidRPr="00116163" w:rsidTr="008A1DA3">
        <w:trPr>
          <w:trHeight w:val="225"/>
        </w:trPr>
        <w:tc>
          <w:tcPr>
            <w:tcW w:w="645" w:type="pct"/>
            <w:vMerge/>
            <w:shd w:val="clear" w:color="auto" w:fill="auto"/>
            <w:vAlign w:val="center"/>
          </w:tcPr>
          <w:p w:rsidR="00B2608F" w:rsidRPr="00116163" w:rsidRDefault="00B2608F" w:rsidP="001E08C1">
            <w:pPr>
              <w:keepNext/>
              <w:widowControl/>
              <w:rPr>
                <w:rFonts w:ascii="Arial Narrow" w:hAnsi="Arial Narrow"/>
                <w:color w:val="000000"/>
                <w:sz w:val="20"/>
              </w:rPr>
            </w:pPr>
          </w:p>
        </w:tc>
        <w:tc>
          <w:tcPr>
            <w:tcW w:w="486" w:type="pct"/>
            <w:gridSpan w:val="3"/>
            <w:vAlign w:val="center"/>
          </w:tcPr>
          <w:p w:rsidR="00B2608F" w:rsidRPr="00116163" w:rsidRDefault="008730A9" w:rsidP="001E08C1">
            <w:pPr>
              <w:keepNext/>
              <w:widowControl/>
              <w:jc w:val="center"/>
              <w:rPr>
                <w:rFonts w:ascii="Arial Narrow" w:hAnsi="Arial Narrow"/>
                <w:b/>
                <w:color w:val="000000"/>
                <w:sz w:val="20"/>
              </w:rPr>
            </w:pPr>
            <w:r w:rsidRPr="00116163">
              <w:rPr>
                <w:rFonts w:ascii="Arial Narrow" w:hAnsi="Arial Narrow"/>
                <w:b/>
                <w:color w:val="000000"/>
                <w:sz w:val="20"/>
              </w:rPr>
              <w:t>N</w:t>
            </w:r>
          </w:p>
        </w:tc>
        <w:tc>
          <w:tcPr>
            <w:tcW w:w="536" w:type="pct"/>
            <w:gridSpan w:val="3"/>
            <w:vAlign w:val="center"/>
          </w:tcPr>
          <w:p w:rsidR="00B2608F" w:rsidRPr="00116163" w:rsidRDefault="00B2608F" w:rsidP="001E08C1">
            <w:pPr>
              <w:keepNext/>
              <w:widowControl/>
              <w:jc w:val="center"/>
              <w:rPr>
                <w:rFonts w:ascii="Arial Narrow" w:hAnsi="Arial Narrow"/>
                <w:b/>
                <w:sz w:val="20"/>
              </w:rPr>
            </w:pPr>
            <w:r w:rsidRPr="00116163">
              <w:rPr>
                <w:rFonts w:ascii="Arial Narrow" w:hAnsi="Arial Narrow"/>
                <w:b/>
                <w:sz w:val="20"/>
              </w:rPr>
              <w:t>Mean ∆ baseline pp</w:t>
            </w:r>
            <w:r w:rsidR="00023A66" w:rsidRPr="00116163">
              <w:rPr>
                <w:rFonts w:ascii="Arial Narrow" w:hAnsi="Arial Narrow"/>
                <w:b/>
                <w:sz w:val="20"/>
              </w:rPr>
              <w:t>FEV</w:t>
            </w:r>
            <w:r w:rsidR="00023A66" w:rsidRPr="00116163">
              <w:rPr>
                <w:rFonts w:ascii="Arial Narrow" w:hAnsi="Arial Narrow"/>
                <w:b/>
                <w:sz w:val="20"/>
                <w:vertAlign w:val="subscript"/>
              </w:rPr>
              <w:t>1</w:t>
            </w:r>
          </w:p>
        </w:tc>
        <w:tc>
          <w:tcPr>
            <w:tcW w:w="513" w:type="pct"/>
            <w:gridSpan w:val="2"/>
            <w:vAlign w:val="center"/>
          </w:tcPr>
          <w:p w:rsidR="00B2608F" w:rsidRPr="00116163" w:rsidRDefault="00B2608F" w:rsidP="001E08C1">
            <w:pPr>
              <w:keepNext/>
              <w:widowControl/>
              <w:jc w:val="center"/>
              <w:rPr>
                <w:rFonts w:ascii="Arial Narrow" w:hAnsi="Arial Narrow"/>
                <w:b/>
                <w:sz w:val="20"/>
              </w:rPr>
            </w:pPr>
            <w:r w:rsidRPr="00116163">
              <w:rPr>
                <w:rFonts w:ascii="Arial Narrow" w:hAnsi="Arial Narrow"/>
                <w:b/>
                <w:sz w:val="20"/>
              </w:rPr>
              <w:t>SE</w:t>
            </w:r>
          </w:p>
        </w:tc>
        <w:tc>
          <w:tcPr>
            <w:tcW w:w="464" w:type="pct"/>
            <w:vAlign w:val="center"/>
          </w:tcPr>
          <w:p w:rsidR="00B2608F" w:rsidRPr="00116163" w:rsidRDefault="00B2608F" w:rsidP="001E08C1">
            <w:pPr>
              <w:keepNext/>
              <w:widowControl/>
              <w:jc w:val="center"/>
              <w:rPr>
                <w:rFonts w:ascii="Arial Narrow" w:hAnsi="Arial Narrow"/>
                <w:b/>
                <w:color w:val="000000"/>
                <w:sz w:val="20"/>
              </w:rPr>
            </w:pPr>
            <w:r w:rsidRPr="00116163">
              <w:rPr>
                <w:rFonts w:ascii="Arial Narrow" w:hAnsi="Arial Narrow"/>
                <w:b/>
                <w:color w:val="000000"/>
                <w:sz w:val="20"/>
              </w:rPr>
              <w:t>n</w:t>
            </w:r>
          </w:p>
        </w:tc>
        <w:tc>
          <w:tcPr>
            <w:tcW w:w="677" w:type="pct"/>
            <w:gridSpan w:val="2"/>
            <w:vAlign w:val="center"/>
          </w:tcPr>
          <w:p w:rsidR="00B2608F" w:rsidRPr="00116163" w:rsidRDefault="00B2608F" w:rsidP="001E08C1">
            <w:pPr>
              <w:keepNext/>
              <w:widowControl/>
              <w:jc w:val="center"/>
              <w:rPr>
                <w:rFonts w:ascii="Arial Narrow" w:hAnsi="Arial Narrow"/>
                <w:b/>
                <w:sz w:val="20"/>
              </w:rPr>
            </w:pPr>
            <w:r w:rsidRPr="00116163">
              <w:rPr>
                <w:rFonts w:ascii="Arial Narrow" w:hAnsi="Arial Narrow"/>
                <w:b/>
                <w:sz w:val="20"/>
              </w:rPr>
              <w:t>Mean ∆ baseline pp</w:t>
            </w:r>
            <w:r w:rsidR="00023A66" w:rsidRPr="00116163">
              <w:rPr>
                <w:rFonts w:ascii="Arial Narrow" w:hAnsi="Arial Narrow"/>
                <w:b/>
                <w:sz w:val="20"/>
              </w:rPr>
              <w:t>FEV</w:t>
            </w:r>
            <w:r w:rsidR="00023A66" w:rsidRPr="00116163">
              <w:rPr>
                <w:rFonts w:ascii="Arial Narrow" w:hAnsi="Arial Narrow"/>
                <w:b/>
                <w:sz w:val="20"/>
                <w:vertAlign w:val="subscript"/>
              </w:rPr>
              <w:t>1</w:t>
            </w:r>
          </w:p>
        </w:tc>
        <w:tc>
          <w:tcPr>
            <w:tcW w:w="682" w:type="pct"/>
            <w:gridSpan w:val="2"/>
            <w:vAlign w:val="center"/>
          </w:tcPr>
          <w:p w:rsidR="00B2608F" w:rsidRPr="00116163" w:rsidRDefault="00B2608F" w:rsidP="001E08C1">
            <w:pPr>
              <w:keepNext/>
              <w:widowControl/>
              <w:jc w:val="center"/>
              <w:rPr>
                <w:rFonts w:ascii="Arial Narrow" w:hAnsi="Arial Narrow"/>
                <w:b/>
                <w:sz w:val="20"/>
              </w:rPr>
            </w:pPr>
            <w:r w:rsidRPr="00116163">
              <w:rPr>
                <w:rFonts w:ascii="Arial Narrow" w:hAnsi="Arial Narrow"/>
                <w:b/>
                <w:sz w:val="20"/>
              </w:rPr>
              <w:t>SE</w:t>
            </w:r>
          </w:p>
        </w:tc>
        <w:tc>
          <w:tcPr>
            <w:tcW w:w="997" w:type="pct"/>
            <w:gridSpan w:val="2"/>
            <w:vMerge/>
            <w:vAlign w:val="center"/>
          </w:tcPr>
          <w:p w:rsidR="00B2608F" w:rsidRPr="00116163" w:rsidRDefault="00B2608F" w:rsidP="001E08C1">
            <w:pPr>
              <w:keepNext/>
              <w:widowControl/>
              <w:jc w:val="center"/>
              <w:rPr>
                <w:rFonts w:ascii="Arial Narrow" w:hAnsi="Arial Narrow"/>
                <w:b/>
                <w:sz w:val="20"/>
              </w:rPr>
            </w:pPr>
          </w:p>
        </w:tc>
      </w:tr>
      <w:tr w:rsidR="00B2608F" w:rsidRPr="00116163" w:rsidTr="008A1DA3">
        <w:tc>
          <w:tcPr>
            <w:tcW w:w="645" w:type="pct"/>
            <w:tcBorders>
              <w:bottom w:val="single" w:sz="4" w:space="0" w:color="auto"/>
            </w:tcBorders>
            <w:shd w:val="clear" w:color="auto" w:fill="auto"/>
            <w:vAlign w:val="center"/>
          </w:tcPr>
          <w:p w:rsidR="00B2608F" w:rsidRPr="00116163" w:rsidRDefault="00B2608F" w:rsidP="001E08C1">
            <w:pPr>
              <w:keepNext/>
              <w:widowControl/>
              <w:rPr>
                <w:rFonts w:ascii="Arial Narrow" w:hAnsi="Arial Narrow"/>
                <w:color w:val="000000"/>
                <w:sz w:val="20"/>
              </w:rPr>
            </w:pPr>
            <w:r w:rsidRPr="00116163">
              <w:rPr>
                <w:rFonts w:ascii="Arial Narrow" w:hAnsi="Arial Narrow"/>
                <w:color w:val="000000"/>
                <w:sz w:val="20"/>
              </w:rPr>
              <w:t xml:space="preserve">Traffic </w:t>
            </w:r>
          </w:p>
        </w:tc>
        <w:tc>
          <w:tcPr>
            <w:tcW w:w="486" w:type="pct"/>
            <w:gridSpan w:val="3"/>
            <w:tcBorders>
              <w:bottom w:val="single" w:sz="4" w:space="0" w:color="auto"/>
            </w:tcBorders>
            <w:vAlign w:val="center"/>
          </w:tcPr>
          <w:p w:rsidR="00B2608F" w:rsidRPr="00116163" w:rsidRDefault="00B2608F" w:rsidP="001E08C1">
            <w:pPr>
              <w:keepNext/>
              <w:widowControl/>
              <w:jc w:val="center"/>
              <w:rPr>
                <w:rFonts w:ascii="Arial Narrow" w:hAnsi="Arial Narrow"/>
                <w:color w:val="000000"/>
                <w:sz w:val="20"/>
              </w:rPr>
            </w:pPr>
            <w:r w:rsidRPr="00116163">
              <w:rPr>
                <w:rFonts w:ascii="Arial Narrow" w:hAnsi="Arial Narrow"/>
                <w:color w:val="000000"/>
                <w:sz w:val="20"/>
              </w:rPr>
              <w:t>182</w:t>
            </w:r>
          </w:p>
        </w:tc>
        <w:tc>
          <w:tcPr>
            <w:tcW w:w="536" w:type="pct"/>
            <w:gridSpan w:val="3"/>
            <w:tcBorders>
              <w:bottom w:val="single" w:sz="4" w:space="0" w:color="auto"/>
            </w:tcBorders>
            <w:vAlign w:val="center"/>
          </w:tcPr>
          <w:p w:rsidR="00B2608F" w:rsidRPr="00116163" w:rsidRDefault="00B2608F" w:rsidP="001E08C1">
            <w:pPr>
              <w:keepNext/>
              <w:widowControl/>
              <w:jc w:val="center"/>
              <w:rPr>
                <w:rFonts w:ascii="Arial Narrow" w:hAnsi="Arial Narrow"/>
                <w:color w:val="000000"/>
                <w:sz w:val="20"/>
              </w:rPr>
            </w:pPr>
            <w:r w:rsidRPr="00116163">
              <w:rPr>
                <w:rFonts w:ascii="Arial Narrow" w:hAnsi="Arial Narrow"/>
                <w:color w:val="000000"/>
                <w:sz w:val="20"/>
              </w:rPr>
              <w:t>2.16</w:t>
            </w:r>
          </w:p>
        </w:tc>
        <w:tc>
          <w:tcPr>
            <w:tcW w:w="513" w:type="pct"/>
            <w:gridSpan w:val="2"/>
            <w:tcBorders>
              <w:bottom w:val="single" w:sz="4" w:space="0" w:color="auto"/>
            </w:tcBorders>
            <w:vAlign w:val="center"/>
          </w:tcPr>
          <w:p w:rsidR="00B2608F" w:rsidRPr="00116163" w:rsidRDefault="00B2608F" w:rsidP="001E08C1">
            <w:pPr>
              <w:keepNext/>
              <w:widowControl/>
              <w:jc w:val="center"/>
              <w:rPr>
                <w:rFonts w:ascii="Arial Narrow" w:hAnsi="Arial Narrow"/>
                <w:color w:val="000000"/>
                <w:sz w:val="20"/>
              </w:rPr>
            </w:pPr>
            <w:r w:rsidRPr="00116163">
              <w:rPr>
                <w:rFonts w:ascii="Arial Narrow" w:hAnsi="Arial Narrow"/>
                <w:color w:val="000000"/>
                <w:sz w:val="20"/>
              </w:rPr>
              <w:t>0.530</w:t>
            </w:r>
          </w:p>
        </w:tc>
        <w:tc>
          <w:tcPr>
            <w:tcW w:w="464" w:type="pct"/>
            <w:tcBorders>
              <w:bottom w:val="single" w:sz="4" w:space="0" w:color="auto"/>
            </w:tcBorders>
            <w:vAlign w:val="center"/>
          </w:tcPr>
          <w:p w:rsidR="00B2608F" w:rsidRPr="00116163" w:rsidRDefault="00B2608F" w:rsidP="001E08C1">
            <w:pPr>
              <w:keepNext/>
              <w:widowControl/>
              <w:jc w:val="center"/>
              <w:rPr>
                <w:rFonts w:ascii="Arial Narrow" w:hAnsi="Arial Narrow"/>
                <w:color w:val="000000"/>
                <w:sz w:val="20"/>
              </w:rPr>
            </w:pPr>
            <w:r w:rsidRPr="00116163">
              <w:rPr>
                <w:rFonts w:ascii="Arial Narrow" w:hAnsi="Arial Narrow"/>
                <w:color w:val="000000"/>
                <w:sz w:val="20"/>
              </w:rPr>
              <w:t>184</w:t>
            </w:r>
          </w:p>
        </w:tc>
        <w:tc>
          <w:tcPr>
            <w:tcW w:w="677" w:type="pct"/>
            <w:gridSpan w:val="2"/>
            <w:tcBorders>
              <w:bottom w:val="single" w:sz="4" w:space="0" w:color="auto"/>
            </w:tcBorders>
            <w:vAlign w:val="center"/>
          </w:tcPr>
          <w:p w:rsidR="00B2608F" w:rsidRPr="00116163" w:rsidRDefault="00B2608F" w:rsidP="001E08C1">
            <w:pPr>
              <w:keepNext/>
              <w:widowControl/>
              <w:jc w:val="center"/>
              <w:rPr>
                <w:rFonts w:ascii="Arial Narrow" w:hAnsi="Arial Narrow"/>
                <w:color w:val="000000"/>
                <w:sz w:val="20"/>
              </w:rPr>
            </w:pPr>
            <w:r w:rsidRPr="00116163">
              <w:rPr>
                <w:rFonts w:ascii="Arial Narrow" w:hAnsi="Arial Narrow"/>
                <w:color w:val="000000"/>
                <w:sz w:val="20"/>
              </w:rPr>
              <w:t>-0.44</w:t>
            </w:r>
          </w:p>
        </w:tc>
        <w:tc>
          <w:tcPr>
            <w:tcW w:w="682" w:type="pct"/>
            <w:gridSpan w:val="2"/>
            <w:tcBorders>
              <w:bottom w:val="single" w:sz="4" w:space="0" w:color="auto"/>
            </w:tcBorders>
            <w:vAlign w:val="center"/>
          </w:tcPr>
          <w:p w:rsidR="00B2608F" w:rsidRPr="00116163" w:rsidRDefault="00B2608F" w:rsidP="001E08C1">
            <w:pPr>
              <w:keepNext/>
              <w:widowControl/>
              <w:jc w:val="center"/>
              <w:rPr>
                <w:rFonts w:ascii="Arial Narrow" w:hAnsi="Arial Narrow"/>
                <w:color w:val="000000"/>
                <w:sz w:val="20"/>
              </w:rPr>
            </w:pPr>
            <w:r w:rsidRPr="00116163">
              <w:rPr>
                <w:rFonts w:ascii="Arial Narrow" w:hAnsi="Arial Narrow"/>
                <w:color w:val="000000"/>
                <w:sz w:val="20"/>
              </w:rPr>
              <w:t>0.524</w:t>
            </w:r>
          </w:p>
        </w:tc>
        <w:tc>
          <w:tcPr>
            <w:tcW w:w="997" w:type="pct"/>
            <w:gridSpan w:val="2"/>
            <w:tcBorders>
              <w:bottom w:val="single" w:sz="4" w:space="0" w:color="auto"/>
            </w:tcBorders>
            <w:vAlign w:val="center"/>
          </w:tcPr>
          <w:p w:rsidR="00B2608F" w:rsidRPr="00116163" w:rsidRDefault="00B2608F" w:rsidP="001E08C1">
            <w:pPr>
              <w:keepNext/>
              <w:widowControl/>
              <w:jc w:val="center"/>
              <w:rPr>
                <w:rFonts w:ascii="Arial Narrow" w:hAnsi="Arial Narrow"/>
                <w:sz w:val="20"/>
              </w:rPr>
            </w:pPr>
            <w:r w:rsidRPr="00116163">
              <w:rPr>
                <w:rFonts w:ascii="Arial Narrow" w:hAnsi="Arial Narrow"/>
                <w:sz w:val="20"/>
              </w:rPr>
              <w:t>2.60 (1.18, 4.40)</w:t>
            </w:r>
          </w:p>
        </w:tc>
      </w:tr>
      <w:tr w:rsidR="00B2608F" w:rsidRPr="00116163" w:rsidTr="008A1DA3">
        <w:tc>
          <w:tcPr>
            <w:tcW w:w="645" w:type="pct"/>
            <w:tcBorders>
              <w:bottom w:val="single" w:sz="4" w:space="0" w:color="auto"/>
            </w:tcBorders>
            <w:shd w:val="clear" w:color="auto" w:fill="auto"/>
            <w:vAlign w:val="center"/>
          </w:tcPr>
          <w:p w:rsidR="00B2608F" w:rsidRPr="00116163" w:rsidRDefault="00B2608F" w:rsidP="001E08C1">
            <w:pPr>
              <w:keepNext/>
              <w:widowControl/>
              <w:rPr>
                <w:rFonts w:ascii="Arial Narrow" w:hAnsi="Arial Narrow"/>
                <w:color w:val="000000"/>
                <w:sz w:val="20"/>
              </w:rPr>
            </w:pPr>
            <w:r w:rsidRPr="00116163">
              <w:rPr>
                <w:rFonts w:ascii="Arial Narrow" w:hAnsi="Arial Narrow"/>
                <w:color w:val="000000"/>
                <w:sz w:val="20"/>
              </w:rPr>
              <w:t>Transport</w:t>
            </w:r>
          </w:p>
        </w:tc>
        <w:tc>
          <w:tcPr>
            <w:tcW w:w="486" w:type="pct"/>
            <w:gridSpan w:val="3"/>
            <w:tcBorders>
              <w:bottom w:val="single" w:sz="4" w:space="0" w:color="auto"/>
            </w:tcBorders>
            <w:vAlign w:val="center"/>
          </w:tcPr>
          <w:p w:rsidR="00B2608F" w:rsidRPr="00116163" w:rsidRDefault="00B2608F" w:rsidP="001E08C1">
            <w:pPr>
              <w:keepNext/>
              <w:widowControl/>
              <w:jc w:val="center"/>
              <w:rPr>
                <w:rFonts w:ascii="Arial Narrow" w:hAnsi="Arial Narrow"/>
                <w:color w:val="000000"/>
                <w:sz w:val="20"/>
              </w:rPr>
            </w:pPr>
            <w:r w:rsidRPr="00116163">
              <w:rPr>
                <w:rFonts w:ascii="Arial Narrow" w:hAnsi="Arial Narrow"/>
                <w:color w:val="000000"/>
                <w:sz w:val="20"/>
              </w:rPr>
              <w:t>187</w:t>
            </w:r>
          </w:p>
        </w:tc>
        <w:tc>
          <w:tcPr>
            <w:tcW w:w="536" w:type="pct"/>
            <w:gridSpan w:val="3"/>
            <w:tcBorders>
              <w:bottom w:val="single" w:sz="4" w:space="0" w:color="auto"/>
            </w:tcBorders>
            <w:vAlign w:val="center"/>
          </w:tcPr>
          <w:p w:rsidR="00B2608F" w:rsidRPr="00116163" w:rsidRDefault="00B2608F" w:rsidP="001E08C1">
            <w:pPr>
              <w:keepNext/>
              <w:widowControl/>
              <w:jc w:val="center"/>
              <w:rPr>
                <w:rFonts w:ascii="Arial Narrow" w:hAnsi="Arial Narrow"/>
                <w:color w:val="000000"/>
                <w:sz w:val="20"/>
              </w:rPr>
            </w:pPr>
            <w:r w:rsidRPr="00116163">
              <w:rPr>
                <w:rFonts w:ascii="Arial Narrow" w:hAnsi="Arial Narrow"/>
                <w:color w:val="000000"/>
                <w:sz w:val="20"/>
              </w:rPr>
              <w:t>2.85</w:t>
            </w:r>
          </w:p>
        </w:tc>
        <w:tc>
          <w:tcPr>
            <w:tcW w:w="513" w:type="pct"/>
            <w:gridSpan w:val="2"/>
            <w:tcBorders>
              <w:bottom w:val="single" w:sz="4" w:space="0" w:color="auto"/>
            </w:tcBorders>
            <w:vAlign w:val="center"/>
          </w:tcPr>
          <w:p w:rsidR="00B2608F" w:rsidRPr="00116163" w:rsidRDefault="00B2608F" w:rsidP="001E08C1">
            <w:pPr>
              <w:keepNext/>
              <w:widowControl/>
              <w:jc w:val="center"/>
              <w:rPr>
                <w:rFonts w:ascii="Arial Narrow" w:hAnsi="Arial Narrow"/>
                <w:color w:val="000000"/>
                <w:sz w:val="20"/>
              </w:rPr>
            </w:pPr>
            <w:r w:rsidRPr="00116163">
              <w:rPr>
                <w:rFonts w:ascii="Arial Narrow" w:hAnsi="Arial Narrow"/>
                <w:color w:val="000000"/>
                <w:sz w:val="20"/>
              </w:rPr>
              <w:t>0.540</w:t>
            </w:r>
          </w:p>
        </w:tc>
        <w:tc>
          <w:tcPr>
            <w:tcW w:w="464" w:type="pct"/>
            <w:tcBorders>
              <w:bottom w:val="single" w:sz="4" w:space="0" w:color="auto"/>
            </w:tcBorders>
            <w:vAlign w:val="center"/>
          </w:tcPr>
          <w:p w:rsidR="00B2608F" w:rsidRPr="00116163" w:rsidRDefault="00B2608F" w:rsidP="001E08C1">
            <w:pPr>
              <w:keepNext/>
              <w:widowControl/>
              <w:jc w:val="center"/>
              <w:rPr>
                <w:rFonts w:ascii="Arial Narrow" w:hAnsi="Arial Narrow"/>
                <w:color w:val="000000"/>
                <w:sz w:val="20"/>
              </w:rPr>
            </w:pPr>
            <w:r w:rsidRPr="00116163">
              <w:rPr>
                <w:rFonts w:ascii="Arial Narrow" w:hAnsi="Arial Narrow"/>
                <w:color w:val="000000"/>
                <w:sz w:val="20"/>
              </w:rPr>
              <w:t>187</w:t>
            </w:r>
          </w:p>
        </w:tc>
        <w:tc>
          <w:tcPr>
            <w:tcW w:w="677" w:type="pct"/>
            <w:gridSpan w:val="2"/>
            <w:tcBorders>
              <w:bottom w:val="single" w:sz="4" w:space="0" w:color="auto"/>
            </w:tcBorders>
            <w:vAlign w:val="center"/>
          </w:tcPr>
          <w:p w:rsidR="00B2608F" w:rsidRPr="00116163" w:rsidRDefault="00B2608F" w:rsidP="001E08C1">
            <w:pPr>
              <w:keepNext/>
              <w:widowControl/>
              <w:jc w:val="center"/>
              <w:rPr>
                <w:rFonts w:ascii="Arial Narrow" w:hAnsi="Arial Narrow"/>
                <w:color w:val="000000"/>
                <w:sz w:val="20"/>
              </w:rPr>
            </w:pPr>
            <w:r w:rsidRPr="00116163">
              <w:rPr>
                <w:rFonts w:ascii="Arial Narrow" w:hAnsi="Arial Narrow"/>
                <w:color w:val="000000"/>
                <w:sz w:val="20"/>
              </w:rPr>
              <w:t>-0.15</w:t>
            </w:r>
          </w:p>
        </w:tc>
        <w:tc>
          <w:tcPr>
            <w:tcW w:w="682" w:type="pct"/>
            <w:gridSpan w:val="2"/>
            <w:tcBorders>
              <w:bottom w:val="single" w:sz="4" w:space="0" w:color="auto"/>
            </w:tcBorders>
            <w:vAlign w:val="center"/>
          </w:tcPr>
          <w:p w:rsidR="00B2608F" w:rsidRPr="00116163" w:rsidRDefault="00B2608F" w:rsidP="001E08C1">
            <w:pPr>
              <w:keepNext/>
              <w:widowControl/>
              <w:jc w:val="center"/>
              <w:rPr>
                <w:rFonts w:ascii="Arial Narrow" w:hAnsi="Arial Narrow"/>
                <w:color w:val="000000"/>
                <w:sz w:val="20"/>
              </w:rPr>
            </w:pPr>
            <w:r w:rsidRPr="00116163">
              <w:rPr>
                <w:rFonts w:ascii="Arial Narrow" w:hAnsi="Arial Narrow"/>
                <w:color w:val="000000"/>
                <w:sz w:val="20"/>
              </w:rPr>
              <w:t>0.539</w:t>
            </w:r>
          </w:p>
        </w:tc>
        <w:tc>
          <w:tcPr>
            <w:tcW w:w="997" w:type="pct"/>
            <w:gridSpan w:val="2"/>
            <w:tcBorders>
              <w:bottom w:val="single" w:sz="4" w:space="0" w:color="auto"/>
            </w:tcBorders>
            <w:vAlign w:val="center"/>
          </w:tcPr>
          <w:p w:rsidR="00B2608F" w:rsidRPr="00116163" w:rsidRDefault="00B2608F" w:rsidP="001E08C1">
            <w:pPr>
              <w:keepNext/>
              <w:widowControl/>
              <w:jc w:val="center"/>
              <w:rPr>
                <w:rFonts w:ascii="Arial Narrow" w:hAnsi="Arial Narrow"/>
                <w:sz w:val="20"/>
              </w:rPr>
            </w:pPr>
            <w:r w:rsidRPr="00116163">
              <w:rPr>
                <w:rFonts w:ascii="Arial Narrow" w:hAnsi="Arial Narrow"/>
                <w:sz w:val="20"/>
              </w:rPr>
              <w:t>3.00 (1.56, 4.44)</w:t>
            </w:r>
          </w:p>
        </w:tc>
      </w:tr>
      <w:tr w:rsidR="00B2608F" w:rsidRPr="00116163" w:rsidTr="008A1DA3">
        <w:tc>
          <w:tcPr>
            <w:tcW w:w="645" w:type="pct"/>
            <w:tcBorders>
              <w:top w:val="single" w:sz="4" w:space="0" w:color="auto"/>
              <w:bottom w:val="double" w:sz="4" w:space="0" w:color="auto"/>
            </w:tcBorders>
            <w:shd w:val="clear" w:color="auto" w:fill="auto"/>
            <w:vAlign w:val="center"/>
          </w:tcPr>
          <w:p w:rsidR="00B2608F" w:rsidRPr="00116163" w:rsidRDefault="00B2608F" w:rsidP="001E08C1">
            <w:pPr>
              <w:keepNext/>
              <w:widowControl/>
              <w:rPr>
                <w:rFonts w:ascii="Arial Narrow" w:hAnsi="Arial Narrow"/>
                <w:color w:val="000000"/>
                <w:sz w:val="20"/>
              </w:rPr>
            </w:pPr>
            <w:r w:rsidRPr="00116163">
              <w:rPr>
                <w:rFonts w:ascii="Arial Narrow" w:hAnsi="Arial Narrow"/>
                <w:color w:val="000000"/>
                <w:sz w:val="20"/>
              </w:rPr>
              <w:t>Pooled</w:t>
            </w:r>
          </w:p>
        </w:tc>
        <w:tc>
          <w:tcPr>
            <w:tcW w:w="486" w:type="pct"/>
            <w:gridSpan w:val="3"/>
            <w:tcBorders>
              <w:top w:val="single" w:sz="4" w:space="0" w:color="auto"/>
              <w:bottom w:val="double" w:sz="4" w:space="0" w:color="auto"/>
            </w:tcBorders>
            <w:vAlign w:val="center"/>
          </w:tcPr>
          <w:p w:rsidR="00B2608F" w:rsidRPr="00116163" w:rsidRDefault="00B2608F" w:rsidP="001E08C1">
            <w:pPr>
              <w:keepNext/>
              <w:widowControl/>
              <w:jc w:val="center"/>
              <w:rPr>
                <w:rFonts w:ascii="Arial Narrow" w:hAnsi="Arial Narrow"/>
                <w:color w:val="000000"/>
                <w:sz w:val="20"/>
              </w:rPr>
            </w:pPr>
            <w:r w:rsidRPr="00116163">
              <w:rPr>
                <w:rFonts w:ascii="Arial Narrow" w:hAnsi="Arial Narrow"/>
                <w:color w:val="000000"/>
                <w:sz w:val="20"/>
              </w:rPr>
              <w:t>369</w:t>
            </w:r>
          </w:p>
        </w:tc>
        <w:tc>
          <w:tcPr>
            <w:tcW w:w="536" w:type="pct"/>
            <w:gridSpan w:val="3"/>
            <w:tcBorders>
              <w:top w:val="single" w:sz="4" w:space="0" w:color="auto"/>
              <w:bottom w:val="double" w:sz="4" w:space="0" w:color="auto"/>
            </w:tcBorders>
            <w:vAlign w:val="center"/>
          </w:tcPr>
          <w:p w:rsidR="00B2608F" w:rsidRPr="00116163" w:rsidRDefault="00B2608F" w:rsidP="001E08C1">
            <w:pPr>
              <w:keepNext/>
              <w:widowControl/>
              <w:jc w:val="center"/>
              <w:rPr>
                <w:rFonts w:ascii="Arial Narrow" w:hAnsi="Arial Narrow"/>
                <w:color w:val="000000"/>
                <w:sz w:val="20"/>
              </w:rPr>
            </w:pPr>
            <w:r w:rsidRPr="00116163">
              <w:rPr>
                <w:rFonts w:ascii="Arial Narrow" w:hAnsi="Arial Narrow"/>
                <w:color w:val="000000"/>
                <w:sz w:val="20"/>
              </w:rPr>
              <w:t>2.49</w:t>
            </w:r>
          </w:p>
        </w:tc>
        <w:tc>
          <w:tcPr>
            <w:tcW w:w="513" w:type="pct"/>
            <w:gridSpan w:val="2"/>
            <w:tcBorders>
              <w:top w:val="single" w:sz="4" w:space="0" w:color="auto"/>
              <w:bottom w:val="double" w:sz="4" w:space="0" w:color="auto"/>
            </w:tcBorders>
            <w:vAlign w:val="center"/>
          </w:tcPr>
          <w:p w:rsidR="00B2608F" w:rsidRPr="00116163" w:rsidRDefault="00B2608F" w:rsidP="001E08C1">
            <w:pPr>
              <w:keepNext/>
              <w:widowControl/>
              <w:jc w:val="center"/>
              <w:rPr>
                <w:rFonts w:ascii="Arial Narrow" w:hAnsi="Arial Narrow"/>
                <w:color w:val="000000"/>
                <w:sz w:val="20"/>
              </w:rPr>
            </w:pPr>
            <w:r w:rsidRPr="00116163">
              <w:rPr>
                <w:rFonts w:ascii="Arial Narrow" w:hAnsi="Arial Narrow"/>
                <w:color w:val="000000"/>
                <w:sz w:val="20"/>
              </w:rPr>
              <w:t>0.379</w:t>
            </w:r>
          </w:p>
        </w:tc>
        <w:tc>
          <w:tcPr>
            <w:tcW w:w="464" w:type="pct"/>
            <w:tcBorders>
              <w:top w:val="single" w:sz="4" w:space="0" w:color="auto"/>
              <w:bottom w:val="double" w:sz="4" w:space="0" w:color="auto"/>
            </w:tcBorders>
            <w:vAlign w:val="center"/>
          </w:tcPr>
          <w:p w:rsidR="00B2608F" w:rsidRPr="00116163" w:rsidRDefault="00B2608F" w:rsidP="001E08C1">
            <w:pPr>
              <w:keepNext/>
              <w:widowControl/>
              <w:jc w:val="center"/>
              <w:rPr>
                <w:rFonts w:ascii="Arial Narrow" w:hAnsi="Arial Narrow"/>
                <w:color w:val="000000"/>
                <w:sz w:val="20"/>
              </w:rPr>
            </w:pPr>
            <w:r w:rsidRPr="00116163">
              <w:rPr>
                <w:rFonts w:ascii="Arial Narrow" w:hAnsi="Arial Narrow"/>
                <w:color w:val="000000"/>
                <w:sz w:val="20"/>
              </w:rPr>
              <w:t>371</w:t>
            </w:r>
          </w:p>
        </w:tc>
        <w:tc>
          <w:tcPr>
            <w:tcW w:w="677" w:type="pct"/>
            <w:gridSpan w:val="2"/>
            <w:tcBorders>
              <w:top w:val="single" w:sz="4" w:space="0" w:color="auto"/>
              <w:bottom w:val="double" w:sz="4" w:space="0" w:color="auto"/>
            </w:tcBorders>
            <w:vAlign w:val="center"/>
          </w:tcPr>
          <w:p w:rsidR="00B2608F" w:rsidRPr="00116163" w:rsidRDefault="00B2608F" w:rsidP="001E08C1">
            <w:pPr>
              <w:keepNext/>
              <w:widowControl/>
              <w:jc w:val="center"/>
              <w:rPr>
                <w:rFonts w:ascii="Arial Narrow" w:hAnsi="Arial Narrow"/>
                <w:color w:val="000000"/>
                <w:sz w:val="20"/>
              </w:rPr>
            </w:pPr>
            <w:r w:rsidRPr="00116163">
              <w:rPr>
                <w:rFonts w:ascii="Arial Narrow" w:hAnsi="Arial Narrow"/>
                <w:color w:val="000000"/>
                <w:sz w:val="20"/>
              </w:rPr>
              <w:t>-0.32</w:t>
            </w:r>
          </w:p>
        </w:tc>
        <w:tc>
          <w:tcPr>
            <w:tcW w:w="682" w:type="pct"/>
            <w:gridSpan w:val="2"/>
            <w:tcBorders>
              <w:top w:val="single" w:sz="4" w:space="0" w:color="auto"/>
              <w:bottom w:val="double" w:sz="4" w:space="0" w:color="auto"/>
            </w:tcBorders>
            <w:vAlign w:val="center"/>
          </w:tcPr>
          <w:p w:rsidR="00B2608F" w:rsidRPr="00116163" w:rsidRDefault="00B2608F" w:rsidP="001E08C1">
            <w:pPr>
              <w:keepNext/>
              <w:widowControl/>
              <w:jc w:val="center"/>
              <w:rPr>
                <w:rFonts w:ascii="Arial Narrow" w:hAnsi="Arial Narrow"/>
                <w:color w:val="000000"/>
                <w:sz w:val="20"/>
              </w:rPr>
            </w:pPr>
            <w:r w:rsidRPr="00116163">
              <w:rPr>
                <w:rFonts w:ascii="Arial Narrow" w:hAnsi="Arial Narrow"/>
                <w:color w:val="000000"/>
                <w:sz w:val="20"/>
              </w:rPr>
              <w:t>0.376</w:t>
            </w:r>
          </w:p>
        </w:tc>
        <w:tc>
          <w:tcPr>
            <w:tcW w:w="997" w:type="pct"/>
            <w:gridSpan w:val="2"/>
            <w:tcBorders>
              <w:top w:val="single" w:sz="4" w:space="0" w:color="auto"/>
              <w:bottom w:val="double" w:sz="4" w:space="0" w:color="auto"/>
            </w:tcBorders>
            <w:vAlign w:val="center"/>
          </w:tcPr>
          <w:p w:rsidR="00B2608F" w:rsidRPr="00116163" w:rsidRDefault="00B2608F" w:rsidP="001E08C1">
            <w:pPr>
              <w:keepNext/>
              <w:widowControl/>
              <w:jc w:val="center"/>
              <w:rPr>
                <w:rFonts w:ascii="Arial Narrow" w:hAnsi="Arial Narrow"/>
                <w:sz w:val="20"/>
              </w:rPr>
            </w:pPr>
            <w:r w:rsidRPr="00116163">
              <w:rPr>
                <w:rFonts w:ascii="Arial Narrow" w:hAnsi="Arial Narrow"/>
                <w:sz w:val="20"/>
              </w:rPr>
              <w:t>2.81 (1.80, 3.82)</w:t>
            </w:r>
          </w:p>
        </w:tc>
      </w:tr>
      <w:tr w:rsidR="00B2608F" w:rsidRPr="00116163" w:rsidTr="00116163">
        <w:tc>
          <w:tcPr>
            <w:tcW w:w="5000" w:type="pct"/>
            <w:gridSpan w:val="16"/>
            <w:tcBorders>
              <w:top w:val="double" w:sz="4" w:space="0" w:color="auto"/>
            </w:tcBorders>
            <w:shd w:val="clear" w:color="auto" w:fill="auto"/>
            <w:vAlign w:val="center"/>
          </w:tcPr>
          <w:p w:rsidR="00B2608F" w:rsidRPr="00116163" w:rsidRDefault="00B2608F" w:rsidP="001E08C1">
            <w:pPr>
              <w:keepNext/>
              <w:widowControl/>
              <w:rPr>
                <w:rFonts w:ascii="Arial Narrow" w:hAnsi="Arial Narrow"/>
                <w:b/>
                <w:color w:val="000000"/>
                <w:sz w:val="20"/>
              </w:rPr>
            </w:pPr>
            <w:r w:rsidRPr="00116163">
              <w:rPr>
                <w:rFonts w:ascii="Arial Narrow" w:hAnsi="Arial Narrow"/>
                <w:b/>
                <w:color w:val="000000"/>
                <w:sz w:val="20"/>
              </w:rPr>
              <w:t xml:space="preserve">Harms </w:t>
            </w:r>
          </w:p>
        </w:tc>
      </w:tr>
      <w:tr w:rsidR="00B2608F" w:rsidRPr="00116163" w:rsidTr="00116163">
        <w:trPr>
          <w:trHeight w:val="70"/>
        </w:trPr>
        <w:tc>
          <w:tcPr>
            <w:tcW w:w="649" w:type="pct"/>
            <w:gridSpan w:val="2"/>
            <w:vMerge w:val="restart"/>
            <w:shd w:val="clear" w:color="auto" w:fill="auto"/>
            <w:vAlign w:val="center"/>
          </w:tcPr>
          <w:p w:rsidR="00B2608F" w:rsidRPr="00116163" w:rsidRDefault="00B2608F" w:rsidP="001E08C1">
            <w:pPr>
              <w:keepNext/>
              <w:widowControl/>
              <w:rPr>
                <w:rFonts w:ascii="Arial Narrow" w:hAnsi="Arial Narrow"/>
                <w:b/>
                <w:color w:val="000000"/>
                <w:sz w:val="20"/>
              </w:rPr>
            </w:pPr>
          </w:p>
        </w:tc>
        <w:tc>
          <w:tcPr>
            <w:tcW w:w="784" w:type="pct"/>
            <w:gridSpan w:val="3"/>
            <w:vMerge w:val="restart"/>
            <w:vAlign w:val="center"/>
          </w:tcPr>
          <w:p w:rsidR="00B2608F" w:rsidRPr="00116163" w:rsidRDefault="00B2608F" w:rsidP="001E08C1">
            <w:pPr>
              <w:keepNext/>
              <w:widowControl/>
              <w:jc w:val="center"/>
              <w:rPr>
                <w:rFonts w:ascii="Arial Narrow" w:hAnsi="Arial Narrow"/>
                <w:b/>
                <w:sz w:val="20"/>
                <w:lang w:val="en-US"/>
              </w:rPr>
            </w:pPr>
            <w:r w:rsidRPr="00116163">
              <w:rPr>
                <w:rFonts w:ascii="Arial Narrow" w:hAnsi="Arial Narrow"/>
                <w:b/>
                <w:sz w:val="20"/>
                <w:lang w:val="en-US"/>
              </w:rPr>
              <w:t>Lumacaftor</w:t>
            </w:r>
          </w:p>
          <w:p w:rsidR="00B2608F" w:rsidRPr="00116163" w:rsidRDefault="00B2608F" w:rsidP="001E08C1">
            <w:pPr>
              <w:keepNext/>
              <w:widowControl/>
              <w:jc w:val="center"/>
              <w:rPr>
                <w:rFonts w:ascii="Arial Narrow" w:hAnsi="Arial Narrow"/>
                <w:b/>
                <w:color w:val="000000"/>
                <w:sz w:val="20"/>
              </w:rPr>
            </w:pPr>
            <w:r w:rsidRPr="00116163">
              <w:rPr>
                <w:rFonts w:ascii="Arial Narrow" w:hAnsi="Arial Narrow"/>
                <w:b/>
                <w:sz w:val="20"/>
                <w:lang w:val="en-US"/>
              </w:rPr>
              <w:t>/</w:t>
            </w:r>
            <w:r w:rsidR="00116163" w:rsidRPr="00116163">
              <w:rPr>
                <w:rFonts w:ascii="Arial Narrow" w:hAnsi="Arial Narrow"/>
                <w:b/>
                <w:sz w:val="20"/>
                <w:lang w:val="en-US"/>
              </w:rPr>
              <w:t>ivacaftor</w:t>
            </w:r>
          </w:p>
        </w:tc>
        <w:tc>
          <w:tcPr>
            <w:tcW w:w="626" w:type="pct"/>
            <w:gridSpan w:val="3"/>
            <w:vMerge w:val="restart"/>
            <w:vAlign w:val="center"/>
          </w:tcPr>
          <w:p w:rsidR="00B2608F" w:rsidRPr="00116163" w:rsidRDefault="00B2608F" w:rsidP="001E08C1">
            <w:pPr>
              <w:keepNext/>
              <w:widowControl/>
              <w:jc w:val="center"/>
              <w:rPr>
                <w:rFonts w:ascii="Arial Narrow" w:hAnsi="Arial Narrow"/>
                <w:b/>
                <w:color w:val="000000"/>
                <w:sz w:val="20"/>
              </w:rPr>
            </w:pPr>
            <w:r w:rsidRPr="00116163">
              <w:rPr>
                <w:rFonts w:ascii="Arial Narrow" w:hAnsi="Arial Narrow"/>
                <w:b/>
                <w:color w:val="000000"/>
                <w:sz w:val="20"/>
              </w:rPr>
              <w:t>Placebo</w:t>
            </w:r>
          </w:p>
        </w:tc>
        <w:tc>
          <w:tcPr>
            <w:tcW w:w="816" w:type="pct"/>
            <w:gridSpan w:val="3"/>
            <w:vMerge w:val="restart"/>
            <w:vAlign w:val="center"/>
          </w:tcPr>
          <w:p w:rsidR="00B2608F" w:rsidRPr="00116163" w:rsidRDefault="00B2608F" w:rsidP="001E08C1">
            <w:pPr>
              <w:keepNext/>
              <w:widowControl/>
              <w:jc w:val="center"/>
              <w:rPr>
                <w:rFonts w:ascii="Arial Narrow" w:hAnsi="Arial Narrow"/>
                <w:b/>
                <w:color w:val="000000"/>
                <w:sz w:val="20"/>
              </w:rPr>
            </w:pPr>
            <w:r w:rsidRPr="00116163">
              <w:rPr>
                <w:rFonts w:ascii="Arial Narrow" w:hAnsi="Arial Narrow"/>
                <w:b/>
                <w:color w:val="000000"/>
                <w:sz w:val="20"/>
              </w:rPr>
              <w:t>RR</w:t>
            </w:r>
          </w:p>
          <w:p w:rsidR="00B2608F" w:rsidRPr="00116163" w:rsidRDefault="00B2608F" w:rsidP="001E08C1">
            <w:pPr>
              <w:keepNext/>
              <w:widowControl/>
              <w:jc w:val="center"/>
              <w:rPr>
                <w:rFonts w:ascii="Arial Narrow" w:hAnsi="Arial Narrow"/>
                <w:b/>
                <w:color w:val="000000"/>
                <w:sz w:val="20"/>
              </w:rPr>
            </w:pPr>
            <w:r w:rsidRPr="00116163">
              <w:rPr>
                <w:rFonts w:ascii="Arial Narrow" w:hAnsi="Arial Narrow"/>
                <w:b/>
                <w:color w:val="000000"/>
                <w:sz w:val="20"/>
              </w:rPr>
              <w:t>(95% CI)</w:t>
            </w:r>
          </w:p>
        </w:tc>
        <w:tc>
          <w:tcPr>
            <w:tcW w:w="1491" w:type="pct"/>
            <w:gridSpan w:val="4"/>
            <w:vAlign w:val="center"/>
          </w:tcPr>
          <w:p w:rsidR="00B2608F" w:rsidRPr="00116163" w:rsidRDefault="00B2608F" w:rsidP="001E08C1">
            <w:pPr>
              <w:keepNext/>
              <w:widowControl/>
              <w:jc w:val="center"/>
              <w:rPr>
                <w:rFonts w:ascii="Arial Narrow" w:hAnsi="Arial Narrow"/>
                <w:b/>
                <w:color w:val="000000"/>
                <w:sz w:val="20"/>
              </w:rPr>
            </w:pPr>
            <w:r w:rsidRPr="00116163">
              <w:rPr>
                <w:rFonts w:ascii="Arial Narrow" w:hAnsi="Arial Narrow"/>
                <w:b/>
                <w:color w:val="000000"/>
                <w:sz w:val="20"/>
              </w:rPr>
              <w:t xml:space="preserve">Event rate/100 patients per 24 weeks </w:t>
            </w:r>
          </w:p>
        </w:tc>
        <w:tc>
          <w:tcPr>
            <w:tcW w:w="634" w:type="pct"/>
            <w:vMerge w:val="restart"/>
            <w:vAlign w:val="center"/>
          </w:tcPr>
          <w:p w:rsidR="00B2608F" w:rsidRPr="00116163" w:rsidRDefault="00B2608F" w:rsidP="001E08C1">
            <w:pPr>
              <w:keepNext/>
              <w:widowControl/>
              <w:jc w:val="center"/>
              <w:rPr>
                <w:rFonts w:ascii="Arial Narrow" w:hAnsi="Arial Narrow"/>
                <w:b/>
                <w:color w:val="000000"/>
                <w:sz w:val="20"/>
              </w:rPr>
            </w:pPr>
            <w:r w:rsidRPr="00116163">
              <w:rPr>
                <w:rFonts w:ascii="Arial Narrow" w:hAnsi="Arial Narrow"/>
                <w:b/>
                <w:color w:val="000000"/>
                <w:sz w:val="20"/>
              </w:rPr>
              <w:t>RD</w:t>
            </w:r>
          </w:p>
        </w:tc>
      </w:tr>
      <w:tr w:rsidR="00B2608F" w:rsidRPr="00116163" w:rsidTr="008A1DA3">
        <w:trPr>
          <w:trHeight w:val="390"/>
        </w:trPr>
        <w:tc>
          <w:tcPr>
            <w:tcW w:w="649" w:type="pct"/>
            <w:gridSpan w:val="2"/>
            <w:vMerge/>
            <w:shd w:val="clear" w:color="auto" w:fill="auto"/>
            <w:vAlign w:val="center"/>
          </w:tcPr>
          <w:p w:rsidR="00B2608F" w:rsidRPr="00116163" w:rsidRDefault="00B2608F" w:rsidP="001E08C1">
            <w:pPr>
              <w:keepNext/>
              <w:widowControl/>
              <w:rPr>
                <w:rFonts w:ascii="Arial Narrow" w:hAnsi="Arial Narrow"/>
                <w:b/>
                <w:color w:val="000000"/>
                <w:sz w:val="20"/>
              </w:rPr>
            </w:pPr>
          </w:p>
        </w:tc>
        <w:tc>
          <w:tcPr>
            <w:tcW w:w="784" w:type="pct"/>
            <w:gridSpan w:val="3"/>
            <w:vMerge/>
            <w:vAlign w:val="center"/>
          </w:tcPr>
          <w:p w:rsidR="00B2608F" w:rsidRPr="00116163" w:rsidRDefault="00B2608F" w:rsidP="001E08C1">
            <w:pPr>
              <w:keepNext/>
              <w:widowControl/>
              <w:jc w:val="center"/>
              <w:rPr>
                <w:rFonts w:ascii="Arial Narrow" w:hAnsi="Arial Narrow"/>
                <w:b/>
                <w:color w:val="000000"/>
                <w:sz w:val="20"/>
              </w:rPr>
            </w:pPr>
          </w:p>
        </w:tc>
        <w:tc>
          <w:tcPr>
            <w:tcW w:w="626" w:type="pct"/>
            <w:gridSpan w:val="3"/>
            <w:vMerge/>
            <w:vAlign w:val="center"/>
          </w:tcPr>
          <w:p w:rsidR="00B2608F" w:rsidRPr="00116163" w:rsidRDefault="00B2608F" w:rsidP="001E08C1">
            <w:pPr>
              <w:keepNext/>
              <w:widowControl/>
              <w:jc w:val="center"/>
              <w:rPr>
                <w:rFonts w:ascii="Arial Narrow" w:hAnsi="Arial Narrow"/>
                <w:b/>
                <w:color w:val="000000"/>
                <w:sz w:val="20"/>
              </w:rPr>
            </w:pPr>
          </w:p>
        </w:tc>
        <w:tc>
          <w:tcPr>
            <w:tcW w:w="816" w:type="pct"/>
            <w:gridSpan w:val="3"/>
            <w:vMerge/>
            <w:vAlign w:val="center"/>
          </w:tcPr>
          <w:p w:rsidR="00B2608F" w:rsidRPr="00116163" w:rsidRDefault="00B2608F" w:rsidP="001E08C1">
            <w:pPr>
              <w:keepNext/>
              <w:widowControl/>
              <w:jc w:val="center"/>
              <w:rPr>
                <w:rFonts w:ascii="Arial Narrow" w:hAnsi="Arial Narrow"/>
                <w:b/>
                <w:color w:val="000000"/>
                <w:sz w:val="20"/>
              </w:rPr>
            </w:pPr>
          </w:p>
        </w:tc>
        <w:tc>
          <w:tcPr>
            <w:tcW w:w="745" w:type="pct"/>
            <w:gridSpan w:val="2"/>
            <w:vAlign w:val="center"/>
          </w:tcPr>
          <w:p w:rsidR="00116163" w:rsidRPr="00116163" w:rsidRDefault="00116163" w:rsidP="001E08C1">
            <w:pPr>
              <w:keepNext/>
              <w:widowControl/>
              <w:jc w:val="center"/>
              <w:rPr>
                <w:rFonts w:ascii="Arial Narrow" w:hAnsi="Arial Narrow"/>
                <w:b/>
                <w:sz w:val="20"/>
                <w:lang w:val="en-US"/>
              </w:rPr>
            </w:pPr>
            <w:r w:rsidRPr="00116163">
              <w:rPr>
                <w:rFonts w:ascii="Arial Narrow" w:hAnsi="Arial Narrow"/>
                <w:b/>
                <w:sz w:val="20"/>
                <w:lang w:val="en-US"/>
              </w:rPr>
              <w:t>Lumacaftor</w:t>
            </w:r>
          </w:p>
          <w:p w:rsidR="00B2608F" w:rsidRPr="00116163" w:rsidRDefault="00116163" w:rsidP="001E08C1">
            <w:pPr>
              <w:keepNext/>
              <w:widowControl/>
              <w:jc w:val="center"/>
              <w:rPr>
                <w:rFonts w:ascii="Arial Narrow" w:hAnsi="Arial Narrow"/>
                <w:b/>
                <w:color w:val="000000"/>
                <w:sz w:val="20"/>
              </w:rPr>
            </w:pPr>
            <w:r w:rsidRPr="00116163">
              <w:rPr>
                <w:rFonts w:ascii="Arial Narrow" w:hAnsi="Arial Narrow"/>
                <w:b/>
                <w:sz w:val="20"/>
                <w:lang w:val="en-US"/>
              </w:rPr>
              <w:t>/ivacaftor</w:t>
            </w:r>
          </w:p>
        </w:tc>
        <w:tc>
          <w:tcPr>
            <w:tcW w:w="746" w:type="pct"/>
            <w:gridSpan w:val="2"/>
            <w:vAlign w:val="center"/>
          </w:tcPr>
          <w:p w:rsidR="00B2608F" w:rsidRPr="00116163" w:rsidRDefault="00B2608F" w:rsidP="001E08C1">
            <w:pPr>
              <w:keepNext/>
              <w:widowControl/>
              <w:jc w:val="center"/>
              <w:rPr>
                <w:rFonts w:ascii="Arial Narrow" w:hAnsi="Arial Narrow"/>
                <w:b/>
                <w:color w:val="000000"/>
                <w:sz w:val="20"/>
              </w:rPr>
            </w:pPr>
            <w:r w:rsidRPr="00116163">
              <w:rPr>
                <w:rFonts w:ascii="Arial Narrow" w:hAnsi="Arial Narrow"/>
                <w:b/>
                <w:color w:val="000000"/>
                <w:sz w:val="20"/>
              </w:rPr>
              <w:t>Placebo</w:t>
            </w:r>
          </w:p>
        </w:tc>
        <w:tc>
          <w:tcPr>
            <w:tcW w:w="634" w:type="pct"/>
            <w:vMerge/>
            <w:vAlign w:val="center"/>
          </w:tcPr>
          <w:p w:rsidR="00B2608F" w:rsidRPr="00116163" w:rsidRDefault="00B2608F" w:rsidP="001E08C1">
            <w:pPr>
              <w:keepNext/>
              <w:widowControl/>
              <w:jc w:val="center"/>
              <w:rPr>
                <w:rFonts w:ascii="Arial Narrow" w:hAnsi="Arial Narrow"/>
                <w:b/>
                <w:color w:val="000000"/>
                <w:sz w:val="20"/>
              </w:rPr>
            </w:pPr>
          </w:p>
        </w:tc>
      </w:tr>
      <w:tr w:rsidR="00B2608F" w:rsidRPr="00116163" w:rsidTr="00116163">
        <w:tc>
          <w:tcPr>
            <w:tcW w:w="5000" w:type="pct"/>
            <w:gridSpan w:val="16"/>
            <w:shd w:val="clear" w:color="auto" w:fill="auto"/>
            <w:vAlign w:val="center"/>
          </w:tcPr>
          <w:p w:rsidR="00B2608F" w:rsidRPr="00116163" w:rsidRDefault="00B2608F" w:rsidP="001E08C1">
            <w:pPr>
              <w:keepNext/>
              <w:widowControl/>
              <w:rPr>
                <w:rFonts w:ascii="Arial Narrow" w:hAnsi="Arial Narrow"/>
                <w:b/>
                <w:color w:val="000000"/>
                <w:sz w:val="20"/>
              </w:rPr>
            </w:pPr>
            <w:r w:rsidRPr="00116163">
              <w:rPr>
                <w:rFonts w:ascii="Arial Narrow" w:hAnsi="Arial Narrow"/>
                <w:b/>
                <w:color w:val="000000"/>
                <w:sz w:val="20"/>
              </w:rPr>
              <w:t>Subjects with any adverse event</w:t>
            </w:r>
          </w:p>
        </w:tc>
      </w:tr>
      <w:tr w:rsidR="00B2608F" w:rsidRPr="00116163" w:rsidTr="008A1DA3">
        <w:tc>
          <w:tcPr>
            <w:tcW w:w="652" w:type="pct"/>
            <w:gridSpan w:val="3"/>
            <w:shd w:val="clear" w:color="auto" w:fill="auto"/>
            <w:vAlign w:val="center"/>
          </w:tcPr>
          <w:p w:rsidR="00B2608F" w:rsidRPr="00116163" w:rsidRDefault="00B2608F" w:rsidP="001E08C1">
            <w:pPr>
              <w:keepNext/>
              <w:widowControl/>
              <w:rPr>
                <w:rFonts w:ascii="Arial Narrow" w:hAnsi="Arial Narrow"/>
                <w:color w:val="000000"/>
                <w:sz w:val="20"/>
              </w:rPr>
            </w:pPr>
            <w:r w:rsidRPr="00116163">
              <w:rPr>
                <w:rFonts w:ascii="Arial Narrow" w:hAnsi="Arial Narrow"/>
                <w:color w:val="000000"/>
                <w:sz w:val="20"/>
              </w:rPr>
              <w:t>Pooled</w:t>
            </w:r>
          </w:p>
        </w:tc>
        <w:tc>
          <w:tcPr>
            <w:tcW w:w="784" w:type="pct"/>
            <w:gridSpan w:val="3"/>
            <w:vAlign w:val="center"/>
          </w:tcPr>
          <w:p w:rsidR="00B2608F" w:rsidRPr="00116163" w:rsidRDefault="00B2608F" w:rsidP="001E08C1">
            <w:pPr>
              <w:keepNext/>
              <w:widowControl/>
              <w:jc w:val="center"/>
              <w:rPr>
                <w:rFonts w:ascii="Arial Narrow" w:hAnsi="Arial Narrow"/>
                <w:color w:val="000000"/>
                <w:sz w:val="20"/>
              </w:rPr>
            </w:pPr>
            <w:r w:rsidRPr="00116163">
              <w:rPr>
                <w:rFonts w:ascii="Arial Narrow" w:hAnsi="Arial Narrow"/>
                <w:color w:val="000000"/>
                <w:sz w:val="20"/>
              </w:rPr>
              <w:t>351/369</w:t>
            </w:r>
          </w:p>
        </w:tc>
        <w:tc>
          <w:tcPr>
            <w:tcW w:w="622" w:type="pct"/>
            <w:gridSpan w:val="2"/>
            <w:vAlign w:val="center"/>
          </w:tcPr>
          <w:p w:rsidR="00B2608F" w:rsidRPr="00116163" w:rsidRDefault="00B2608F" w:rsidP="001E08C1">
            <w:pPr>
              <w:keepNext/>
              <w:widowControl/>
              <w:jc w:val="center"/>
              <w:rPr>
                <w:rFonts w:ascii="Arial Narrow" w:hAnsi="Arial Narrow"/>
                <w:color w:val="000000"/>
                <w:sz w:val="20"/>
              </w:rPr>
            </w:pPr>
            <w:r w:rsidRPr="00116163">
              <w:rPr>
                <w:rFonts w:ascii="Arial Narrow" w:hAnsi="Arial Narrow"/>
                <w:color w:val="000000"/>
                <w:sz w:val="20"/>
              </w:rPr>
              <w:t>355/370</w:t>
            </w:r>
          </w:p>
        </w:tc>
        <w:tc>
          <w:tcPr>
            <w:tcW w:w="816" w:type="pct"/>
            <w:gridSpan w:val="3"/>
            <w:vAlign w:val="center"/>
          </w:tcPr>
          <w:p w:rsidR="00B2608F" w:rsidRPr="00116163" w:rsidRDefault="00B2608F" w:rsidP="001E08C1">
            <w:pPr>
              <w:keepNext/>
              <w:widowControl/>
              <w:jc w:val="center"/>
              <w:rPr>
                <w:rFonts w:ascii="Arial Narrow" w:hAnsi="Arial Narrow"/>
                <w:color w:val="000000"/>
                <w:sz w:val="20"/>
              </w:rPr>
            </w:pPr>
            <w:r w:rsidRPr="00116163">
              <w:rPr>
                <w:rFonts w:ascii="Arial Narrow" w:hAnsi="Arial Narrow"/>
                <w:color w:val="000000"/>
                <w:sz w:val="20"/>
              </w:rPr>
              <w:t>0.99</w:t>
            </w:r>
          </w:p>
          <w:p w:rsidR="00B2608F" w:rsidRPr="00116163" w:rsidRDefault="00B2608F" w:rsidP="001E08C1">
            <w:pPr>
              <w:keepNext/>
              <w:widowControl/>
              <w:jc w:val="center"/>
              <w:rPr>
                <w:rFonts w:ascii="Arial Narrow" w:hAnsi="Arial Narrow"/>
                <w:color w:val="000000"/>
                <w:sz w:val="20"/>
              </w:rPr>
            </w:pPr>
            <w:r w:rsidRPr="00116163">
              <w:rPr>
                <w:rFonts w:ascii="Arial Narrow" w:hAnsi="Arial Narrow"/>
                <w:color w:val="000000"/>
                <w:sz w:val="20"/>
              </w:rPr>
              <w:t>(0.96,1.02)</w:t>
            </w:r>
          </w:p>
        </w:tc>
        <w:tc>
          <w:tcPr>
            <w:tcW w:w="745" w:type="pct"/>
            <w:gridSpan w:val="2"/>
            <w:vAlign w:val="center"/>
          </w:tcPr>
          <w:p w:rsidR="00B2608F" w:rsidRPr="00116163" w:rsidRDefault="00B2608F" w:rsidP="001E08C1">
            <w:pPr>
              <w:keepNext/>
              <w:widowControl/>
              <w:jc w:val="center"/>
              <w:rPr>
                <w:rFonts w:ascii="Arial Narrow" w:hAnsi="Arial Narrow"/>
                <w:color w:val="000000"/>
                <w:sz w:val="20"/>
              </w:rPr>
            </w:pPr>
            <w:r w:rsidRPr="00116163">
              <w:rPr>
                <w:rFonts w:ascii="Arial Narrow" w:hAnsi="Arial Narrow"/>
                <w:color w:val="000000"/>
                <w:sz w:val="20"/>
              </w:rPr>
              <w:t>95.1</w:t>
            </w:r>
          </w:p>
        </w:tc>
        <w:tc>
          <w:tcPr>
            <w:tcW w:w="746" w:type="pct"/>
            <w:gridSpan w:val="2"/>
            <w:vAlign w:val="center"/>
          </w:tcPr>
          <w:p w:rsidR="00B2608F" w:rsidRPr="00116163" w:rsidRDefault="00B2608F" w:rsidP="001E08C1">
            <w:pPr>
              <w:keepNext/>
              <w:widowControl/>
              <w:jc w:val="center"/>
              <w:rPr>
                <w:rFonts w:ascii="Arial Narrow" w:hAnsi="Arial Narrow"/>
                <w:color w:val="000000"/>
                <w:sz w:val="20"/>
              </w:rPr>
            </w:pPr>
            <w:r w:rsidRPr="00116163">
              <w:rPr>
                <w:rFonts w:ascii="Arial Narrow" w:hAnsi="Arial Narrow"/>
                <w:color w:val="000000"/>
                <w:sz w:val="20"/>
              </w:rPr>
              <w:t>95.9</w:t>
            </w:r>
          </w:p>
        </w:tc>
        <w:tc>
          <w:tcPr>
            <w:tcW w:w="634" w:type="pct"/>
            <w:vAlign w:val="center"/>
          </w:tcPr>
          <w:p w:rsidR="00B2608F" w:rsidRPr="00116163" w:rsidRDefault="00B2608F" w:rsidP="001E08C1">
            <w:pPr>
              <w:keepNext/>
              <w:widowControl/>
              <w:jc w:val="center"/>
              <w:rPr>
                <w:rFonts w:ascii="Arial Narrow" w:hAnsi="Arial Narrow"/>
                <w:color w:val="000000"/>
                <w:sz w:val="20"/>
              </w:rPr>
            </w:pPr>
            <w:r w:rsidRPr="00116163">
              <w:rPr>
                <w:rFonts w:ascii="Arial Narrow" w:hAnsi="Arial Narrow"/>
                <w:color w:val="000000"/>
                <w:sz w:val="20"/>
              </w:rPr>
              <w:t>0.00</w:t>
            </w:r>
          </w:p>
        </w:tc>
      </w:tr>
      <w:tr w:rsidR="00B2608F" w:rsidRPr="00116163" w:rsidTr="00116163">
        <w:tc>
          <w:tcPr>
            <w:tcW w:w="5000" w:type="pct"/>
            <w:gridSpan w:val="16"/>
            <w:shd w:val="clear" w:color="auto" w:fill="auto"/>
            <w:vAlign w:val="center"/>
          </w:tcPr>
          <w:p w:rsidR="00B2608F" w:rsidRPr="00116163" w:rsidRDefault="00B2608F" w:rsidP="001E08C1">
            <w:pPr>
              <w:keepNext/>
              <w:widowControl/>
              <w:rPr>
                <w:rFonts w:ascii="Arial Narrow" w:hAnsi="Arial Narrow"/>
                <w:b/>
                <w:color w:val="000000"/>
                <w:sz w:val="20"/>
              </w:rPr>
            </w:pPr>
            <w:r w:rsidRPr="00116163">
              <w:rPr>
                <w:rFonts w:ascii="Arial Narrow" w:hAnsi="Arial Narrow"/>
                <w:b/>
                <w:color w:val="000000"/>
                <w:sz w:val="20"/>
              </w:rPr>
              <w:t>Subjects with any serious adverse event</w:t>
            </w:r>
          </w:p>
        </w:tc>
      </w:tr>
      <w:tr w:rsidR="00B2608F" w:rsidRPr="00116163" w:rsidTr="008A1DA3">
        <w:tc>
          <w:tcPr>
            <w:tcW w:w="652" w:type="pct"/>
            <w:gridSpan w:val="3"/>
            <w:shd w:val="clear" w:color="auto" w:fill="auto"/>
            <w:vAlign w:val="center"/>
          </w:tcPr>
          <w:p w:rsidR="00B2608F" w:rsidRPr="00116163" w:rsidRDefault="00B2608F" w:rsidP="001E08C1">
            <w:pPr>
              <w:keepNext/>
              <w:widowControl/>
              <w:rPr>
                <w:rFonts w:ascii="Arial Narrow" w:hAnsi="Arial Narrow"/>
                <w:color w:val="000000"/>
                <w:sz w:val="20"/>
              </w:rPr>
            </w:pPr>
            <w:r w:rsidRPr="00116163">
              <w:rPr>
                <w:rFonts w:ascii="Arial Narrow" w:hAnsi="Arial Narrow"/>
                <w:color w:val="000000"/>
                <w:sz w:val="20"/>
              </w:rPr>
              <w:t>Pooled</w:t>
            </w:r>
          </w:p>
        </w:tc>
        <w:tc>
          <w:tcPr>
            <w:tcW w:w="784" w:type="pct"/>
            <w:gridSpan w:val="3"/>
            <w:vAlign w:val="center"/>
          </w:tcPr>
          <w:p w:rsidR="00B2608F" w:rsidRPr="00116163" w:rsidRDefault="00B2608F" w:rsidP="001E08C1">
            <w:pPr>
              <w:keepNext/>
              <w:widowControl/>
              <w:jc w:val="center"/>
              <w:rPr>
                <w:rFonts w:ascii="Arial Narrow" w:hAnsi="Arial Narrow"/>
                <w:color w:val="000000"/>
                <w:sz w:val="20"/>
              </w:rPr>
            </w:pPr>
            <w:r w:rsidRPr="00116163">
              <w:rPr>
                <w:rFonts w:ascii="Arial Narrow" w:hAnsi="Arial Narrow"/>
                <w:color w:val="000000"/>
                <w:sz w:val="20"/>
              </w:rPr>
              <w:t>64/369</w:t>
            </w:r>
          </w:p>
        </w:tc>
        <w:tc>
          <w:tcPr>
            <w:tcW w:w="622" w:type="pct"/>
            <w:gridSpan w:val="2"/>
            <w:vAlign w:val="center"/>
          </w:tcPr>
          <w:p w:rsidR="00B2608F" w:rsidRPr="00116163" w:rsidRDefault="00B2608F" w:rsidP="001E08C1">
            <w:pPr>
              <w:keepNext/>
              <w:widowControl/>
              <w:jc w:val="center"/>
              <w:rPr>
                <w:rFonts w:ascii="Arial Narrow" w:hAnsi="Arial Narrow"/>
                <w:color w:val="000000"/>
                <w:sz w:val="20"/>
              </w:rPr>
            </w:pPr>
            <w:r w:rsidRPr="00116163">
              <w:rPr>
                <w:rFonts w:ascii="Arial Narrow" w:hAnsi="Arial Narrow"/>
                <w:color w:val="000000"/>
                <w:sz w:val="20"/>
              </w:rPr>
              <w:t>106/370</w:t>
            </w:r>
          </w:p>
        </w:tc>
        <w:tc>
          <w:tcPr>
            <w:tcW w:w="816" w:type="pct"/>
            <w:gridSpan w:val="3"/>
            <w:vAlign w:val="center"/>
          </w:tcPr>
          <w:p w:rsidR="00B2608F" w:rsidRPr="00116163" w:rsidRDefault="00B2608F" w:rsidP="001E08C1">
            <w:pPr>
              <w:keepNext/>
              <w:widowControl/>
              <w:jc w:val="center"/>
              <w:rPr>
                <w:rFonts w:ascii="Arial Narrow" w:hAnsi="Arial Narrow"/>
                <w:color w:val="000000"/>
                <w:sz w:val="20"/>
              </w:rPr>
            </w:pPr>
            <w:r w:rsidRPr="00116163">
              <w:rPr>
                <w:rFonts w:ascii="Arial Narrow" w:hAnsi="Arial Narrow"/>
                <w:color w:val="000000"/>
                <w:sz w:val="20"/>
              </w:rPr>
              <w:t>0.61</w:t>
            </w:r>
          </w:p>
          <w:p w:rsidR="00B2608F" w:rsidRPr="00116163" w:rsidRDefault="00B2608F" w:rsidP="001E08C1">
            <w:pPr>
              <w:keepNext/>
              <w:widowControl/>
              <w:jc w:val="center"/>
              <w:rPr>
                <w:rFonts w:ascii="Arial Narrow" w:hAnsi="Arial Narrow"/>
                <w:color w:val="000000"/>
                <w:sz w:val="20"/>
              </w:rPr>
            </w:pPr>
            <w:r w:rsidRPr="00116163">
              <w:rPr>
                <w:rFonts w:ascii="Arial Narrow" w:hAnsi="Arial Narrow"/>
                <w:color w:val="000000"/>
                <w:sz w:val="20"/>
              </w:rPr>
              <w:t>(0.46, 0.80)</w:t>
            </w:r>
          </w:p>
        </w:tc>
        <w:tc>
          <w:tcPr>
            <w:tcW w:w="745" w:type="pct"/>
            <w:gridSpan w:val="2"/>
            <w:vAlign w:val="center"/>
          </w:tcPr>
          <w:p w:rsidR="00B2608F" w:rsidRPr="00116163" w:rsidRDefault="00B2608F" w:rsidP="001E08C1">
            <w:pPr>
              <w:keepNext/>
              <w:widowControl/>
              <w:jc w:val="center"/>
              <w:rPr>
                <w:rFonts w:ascii="Arial Narrow" w:hAnsi="Arial Narrow"/>
                <w:color w:val="000000"/>
                <w:sz w:val="20"/>
              </w:rPr>
            </w:pPr>
            <w:r w:rsidRPr="00116163">
              <w:rPr>
                <w:rFonts w:ascii="Arial Narrow" w:hAnsi="Arial Narrow"/>
                <w:color w:val="000000"/>
                <w:sz w:val="20"/>
              </w:rPr>
              <w:t>17.3</w:t>
            </w:r>
          </w:p>
        </w:tc>
        <w:tc>
          <w:tcPr>
            <w:tcW w:w="746" w:type="pct"/>
            <w:gridSpan w:val="2"/>
            <w:vAlign w:val="center"/>
          </w:tcPr>
          <w:p w:rsidR="00B2608F" w:rsidRPr="00116163" w:rsidRDefault="00B2608F" w:rsidP="001E08C1">
            <w:pPr>
              <w:keepNext/>
              <w:widowControl/>
              <w:jc w:val="center"/>
              <w:rPr>
                <w:rFonts w:ascii="Arial Narrow" w:hAnsi="Arial Narrow"/>
                <w:color w:val="000000"/>
                <w:sz w:val="20"/>
              </w:rPr>
            </w:pPr>
            <w:r w:rsidRPr="00116163">
              <w:rPr>
                <w:rFonts w:ascii="Arial Narrow" w:hAnsi="Arial Narrow"/>
                <w:color w:val="000000"/>
                <w:sz w:val="20"/>
              </w:rPr>
              <w:t>28.6</w:t>
            </w:r>
          </w:p>
        </w:tc>
        <w:tc>
          <w:tcPr>
            <w:tcW w:w="634" w:type="pct"/>
            <w:vAlign w:val="center"/>
          </w:tcPr>
          <w:p w:rsidR="00B2608F" w:rsidRPr="00116163" w:rsidRDefault="00B2608F" w:rsidP="001E08C1">
            <w:pPr>
              <w:keepNext/>
              <w:widowControl/>
              <w:jc w:val="center"/>
              <w:rPr>
                <w:rFonts w:ascii="Arial Narrow" w:hAnsi="Arial Narrow"/>
                <w:color w:val="000000"/>
                <w:sz w:val="20"/>
              </w:rPr>
            </w:pPr>
            <w:r w:rsidRPr="00116163">
              <w:rPr>
                <w:rFonts w:ascii="Arial Narrow" w:hAnsi="Arial Narrow"/>
                <w:color w:val="000000"/>
                <w:sz w:val="20"/>
              </w:rPr>
              <w:t>-0.11</w:t>
            </w:r>
          </w:p>
        </w:tc>
      </w:tr>
      <w:tr w:rsidR="00B2608F" w:rsidRPr="00116163" w:rsidTr="00116163">
        <w:tc>
          <w:tcPr>
            <w:tcW w:w="5000" w:type="pct"/>
            <w:gridSpan w:val="16"/>
            <w:shd w:val="clear" w:color="auto" w:fill="auto"/>
            <w:vAlign w:val="center"/>
          </w:tcPr>
          <w:p w:rsidR="00B2608F" w:rsidRPr="00116163" w:rsidRDefault="00B2608F" w:rsidP="001E08C1">
            <w:pPr>
              <w:keepNext/>
              <w:widowControl/>
              <w:rPr>
                <w:rFonts w:ascii="Arial Narrow" w:hAnsi="Arial Narrow"/>
                <w:color w:val="000000"/>
                <w:sz w:val="20"/>
              </w:rPr>
            </w:pPr>
            <w:r w:rsidRPr="00116163">
              <w:rPr>
                <w:rFonts w:ascii="Arial Narrow" w:hAnsi="Arial Narrow"/>
                <w:b/>
                <w:color w:val="000000"/>
                <w:sz w:val="20"/>
              </w:rPr>
              <w:t>Subjects with any treatment related serious event</w:t>
            </w:r>
          </w:p>
        </w:tc>
      </w:tr>
      <w:tr w:rsidR="00B2608F" w:rsidRPr="00116163" w:rsidTr="008A1DA3">
        <w:tc>
          <w:tcPr>
            <w:tcW w:w="649" w:type="pct"/>
            <w:gridSpan w:val="2"/>
            <w:shd w:val="clear" w:color="auto" w:fill="auto"/>
            <w:vAlign w:val="center"/>
          </w:tcPr>
          <w:p w:rsidR="00B2608F" w:rsidRPr="00116163" w:rsidRDefault="00B2608F" w:rsidP="001E08C1">
            <w:pPr>
              <w:keepNext/>
              <w:widowControl/>
              <w:rPr>
                <w:rFonts w:ascii="Arial Narrow" w:hAnsi="Arial Narrow"/>
                <w:color w:val="000000"/>
                <w:sz w:val="20"/>
              </w:rPr>
            </w:pPr>
            <w:r w:rsidRPr="00116163">
              <w:rPr>
                <w:rFonts w:ascii="Arial Narrow" w:hAnsi="Arial Narrow"/>
                <w:color w:val="000000"/>
                <w:sz w:val="20"/>
              </w:rPr>
              <w:t>Pooled</w:t>
            </w:r>
          </w:p>
        </w:tc>
        <w:tc>
          <w:tcPr>
            <w:tcW w:w="788" w:type="pct"/>
            <w:gridSpan w:val="4"/>
            <w:vAlign w:val="center"/>
          </w:tcPr>
          <w:p w:rsidR="00B2608F" w:rsidRPr="00116163" w:rsidRDefault="00B2608F" w:rsidP="001E08C1">
            <w:pPr>
              <w:keepNext/>
              <w:widowControl/>
              <w:jc w:val="center"/>
              <w:rPr>
                <w:rFonts w:ascii="Arial Narrow" w:hAnsi="Arial Narrow"/>
                <w:color w:val="000000"/>
                <w:sz w:val="20"/>
              </w:rPr>
            </w:pPr>
            <w:r w:rsidRPr="00116163">
              <w:rPr>
                <w:rFonts w:ascii="Arial Narrow" w:hAnsi="Arial Narrow"/>
                <w:color w:val="000000"/>
                <w:sz w:val="20"/>
              </w:rPr>
              <w:t>14/369</w:t>
            </w:r>
          </w:p>
        </w:tc>
        <w:tc>
          <w:tcPr>
            <w:tcW w:w="622" w:type="pct"/>
            <w:gridSpan w:val="2"/>
            <w:vAlign w:val="center"/>
          </w:tcPr>
          <w:p w:rsidR="00B2608F" w:rsidRPr="00116163" w:rsidRDefault="00B2608F" w:rsidP="001E08C1">
            <w:pPr>
              <w:keepNext/>
              <w:widowControl/>
              <w:jc w:val="center"/>
              <w:rPr>
                <w:rFonts w:ascii="Arial Narrow" w:hAnsi="Arial Narrow"/>
                <w:color w:val="000000"/>
                <w:sz w:val="20"/>
              </w:rPr>
            </w:pPr>
            <w:r w:rsidRPr="00116163">
              <w:rPr>
                <w:rFonts w:ascii="Arial Narrow" w:hAnsi="Arial Narrow"/>
                <w:color w:val="000000"/>
                <w:sz w:val="20"/>
              </w:rPr>
              <w:t>8/370</w:t>
            </w:r>
          </w:p>
        </w:tc>
        <w:tc>
          <w:tcPr>
            <w:tcW w:w="816" w:type="pct"/>
            <w:gridSpan w:val="3"/>
            <w:vAlign w:val="center"/>
          </w:tcPr>
          <w:p w:rsidR="00B2608F" w:rsidRPr="00116163" w:rsidRDefault="00B2608F" w:rsidP="001E08C1">
            <w:pPr>
              <w:keepNext/>
              <w:widowControl/>
              <w:jc w:val="center"/>
              <w:rPr>
                <w:rFonts w:ascii="Arial Narrow" w:hAnsi="Arial Narrow"/>
                <w:color w:val="000000"/>
                <w:sz w:val="20"/>
              </w:rPr>
            </w:pPr>
            <w:r w:rsidRPr="00116163">
              <w:rPr>
                <w:rFonts w:ascii="Arial Narrow" w:hAnsi="Arial Narrow"/>
                <w:color w:val="000000"/>
                <w:sz w:val="20"/>
              </w:rPr>
              <w:t>1.75</w:t>
            </w:r>
          </w:p>
          <w:p w:rsidR="00B2608F" w:rsidRPr="00116163" w:rsidRDefault="00B2608F" w:rsidP="001E08C1">
            <w:pPr>
              <w:keepNext/>
              <w:widowControl/>
              <w:jc w:val="center"/>
              <w:rPr>
                <w:rFonts w:ascii="Arial Narrow" w:hAnsi="Arial Narrow"/>
                <w:color w:val="000000"/>
                <w:sz w:val="20"/>
              </w:rPr>
            </w:pPr>
            <w:r w:rsidRPr="00116163">
              <w:rPr>
                <w:rFonts w:ascii="Arial Narrow" w:hAnsi="Arial Narrow"/>
                <w:color w:val="000000"/>
                <w:sz w:val="20"/>
              </w:rPr>
              <w:t>(0.75, 4.13)</w:t>
            </w:r>
          </w:p>
        </w:tc>
        <w:tc>
          <w:tcPr>
            <w:tcW w:w="745" w:type="pct"/>
            <w:gridSpan w:val="2"/>
            <w:vAlign w:val="center"/>
          </w:tcPr>
          <w:p w:rsidR="00B2608F" w:rsidRPr="00116163" w:rsidRDefault="00B2608F" w:rsidP="001E08C1">
            <w:pPr>
              <w:keepNext/>
              <w:widowControl/>
              <w:jc w:val="center"/>
              <w:rPr>
                <w:rFonts w:ascii="Arial Narrow" w:hAnsi="Arial Narrow"/>
                <w:color w:val="000000"/>
                <w:sz w:val="20"/>
              </w:rPr>
            </w:pPr>
            <w:r w:rsidRPr="00116163">
              <w:rPr>
                <w:rFonts w:ascii="Arial Narrow" w:hAnsi="Arial Narrow"/>
                <w:color w:val="000000"/>
                <w:sz w:val="20"/>
              </w:rPr>
              <w:t>3.8</w:t>
            </w:r>
          </w:p>
        </w:tc>
        <w:tc>
          <w:tcPr>
            <w:tcW w:w="746" w:type="pct"/>
            <w:gridSpan w:val="2"/>
            <w:vAlign w:val="center"/>
          </w:tcPr>
          <w:p w:rsidR="00B2608F" w:rsidRPr="00116163" w:rsidRDefault="00B2608F" w:rsidP="001E08C1">
            <w:pPr>
              <w:keepNext/>
              <w:widowControl/>
              <w:jc w:val="center"/>
              <w:rPr>
                <w:rFonts w:ascii="Arial Narrow" w:hAnsi="Arial Narrow"/>
                <w:color w:val="000000"/>
                <w:sz w:val="20"/>
              </w:rPr>
            </w:pPr>
            <w:r w:rsidRPr="00116163">
              <w:rPr>
                <w:rFonts w:ascii="Arial Narrow" w:hAnsi="Arial Narrow"/>
                <w:color w:val="000000"/>
                <w:sz w:val="20"/>
              </w:rPr>
              <w:t>2.2</w:t>
            </w:r>
          </w:p>
        </w:tc>
        <w:tc>
          <w:tcPr>
            <w:tcW w:w="634" w:type="pct"/>
            <w:vAlign w:val="center"/>
          </w:tcPr>
          <w:p w:rsidR="00B2608F" w:rsidRPr="00116163" w:rsidRDefault="00B2608F" w:rsidP="001E08C1">
            <w:pPr>
              <w:keepNext/>
              <w:widowControl/>
              <w:jc w:val="center"/>
              <w:rPr>
                <w:rFonts w:ascii="Arial Narrow" w:hAnsi="Arial Narrow"/>
                <w:color w:val="000000"/>
                <w:sz w:val="20"/>
              </w:rPr>
            </w:pPr>
            <w:r w:rsidRPr="00116163">
              <w:rPr>
                <w:rFonts w:ascii="Arial Narrow" w:hAnsi="Arial Narrow"/>
                <w:color w:val="000000"/>
                <w:sz w:val="20"/>
              </w:rPr>
              <w:t>0.02</w:t>
            </w:r>
          </w:p>
        </w:tc>
      </w:tr>
    </w:tbl>
    <w:p w:rsidR="00B2608F" w:rsidRPr="00DA2530" w:rsidRDefault="00B2608F" w:rsidP="001E08C1">
      <w:pPr>
        <w:pStyle w:val="Tablefooter8pt"/>
      </w:pPr>
      <w:r w:rsidRPr="00DA2530">
        <w:t xml:space="preserve">Source: Compiled during the evaluation/Table B.6.1, p102, </w:t>
      </w:r>
      <w:r w:rsidRPr="00DA2530">
        <w:rPr>
          <w:szCs w:val="18"/>
        </w:rPr>
        <w:t>Table B.6.4, p112</w:t>
      </w:r>
      <w:r w:rsidRPr="00DA2530">
        <w:t xml:space="preserve"> of the submission and calculated during the evaluation</w:t>
      </w:r>
    </w:p>
    <w:p w:rsidR="00B2608F" w:rsidRPr="00DA2530" w:rsidRDefault="00B2608F" w:rsidP="004E5808">
      <w:pPr>
        <w:pStyle w:val="Tablefooter8pt"/>
        <w:spacing w:after="120"/>
      </w:pPr>
      <w:r w:rsidRPr="00DA2530">
        <w:t xml:space="preserve">Abbreviations: SE = </w:t>
      </w:r>
      <w:r w:rsidR="00116163">
        <w:t>s</w:t>
      </w:r>
      <w:r w:rsidRPr="00DA2530">
        <w:t xml:space="preserve">tandard error; mg= milligrams; LS = least squares; </w:t>
      </w:r>
      <w:r w:rsidRPr="00DA2530">
        <w:rPr>
          <w:szCs w:val="18"/>
        </w:rPr>
        <w:t>pp</w:t>
      </w:r>
      <w:r w:rsidR="00023A66" w:rsidRPr="00DA2530">
        <w:rPr>
          <w:szCs w:val="24"/>
        </w:rPr>
        <w:t>FEV</w:t>
      </w:r>
      <w:r w:rsidR="00023A66" w:rsidRPr="00DA2530">
        <w:rPr>
          <w:szCs w:val="24"/>
          <w:vertAlign w:val="subscript"/>
        </w:rPr>
        <w:t>1</w:t>
      </w:r>
      <w:r w:rsidRPr="00DA2530">
        <w:rPr>
          <w:szCs w:val="18"/>
        </w:rPr>
        <w:t xml:space="preserve"> = per</w:t>
      </w:r>
      <w:r w:rsidR="00116163">
        <w:rPr>
          <w:szCs w:val="18"/>
        </w:rPr>
        <w:t xml:space="preserve"> </w:t>
      </w:r>
      <w:r w:rsidRPr="00DA2530">
        <w:rPr>
          <w:szCs w:val="18"/>
        </w:rPr>
        <w:t xml:space="preserve">cent predicted </w:t>
      </w:r>
      <w:r w:rsidR="00023A66" w:rsidRPr="00DA2530">
        <w:rPr>
          <w:szCs w:val="24"/>
        </w:rPr>
        <w:t>FEV</w:t>
      </w:r>
      <w:r w:rsidR="00023A66" w:rsidRPr="00DA2530">
        <w:rPr>
          <w:szCs w:val="24"/>
          <w:vertAlign w:val="subscript"/>
        </w:rPr>
        <w:t>1</w:t>
      </w:r>
      <w:r w:rsidRPr="00DA2530">
        <w:rPr>
          <w:szCs w:val="18"/>
        </w:rPr>
        <w:t xml:space="preserve">; </w:t>
      </w:r>
      <w:r w:rsidRPr="00DA2530">
        <w:t>CI = confidence interval; RD = risk difference</w:t>
      </w:r>
      <w:r w:rsidR="00116163">
        <w:t>; RR = relative risk.</w:t>
      </w:r>
    </w:p>
    <w:p w:rsidR="00B2608F" w:rsidRDefault="00B2608F" w:rsidP="001E08C1">
      <w:pPr>
        <w:pStyle w:val="ListParagraph"/>
        <w:widowControl/>
        <w:numPr>
          <w:ilvl w:val="1"/>
          <w:numId w:val="13"/>
        </w:numPr>
        <w:spacing w:after="120"/>
        <w:ind w:left="810" w:hanging="810"/>
        <w:contextualSpacing w:val="0"/>
        <w:rPr>
          <w:rFonts w:asciiTheme="minorHAnsi" w:hAnsiTheme="minorHAnsi"/>
          <w:sz w:val="24"/>
        </w:rPr>
      </w:pPr>
      <w:r w:rsidRPr="00DA2530">
        <w:rPr>
          <w:rFonts w:asciiTheme="minorHAnsi" w:hAnsiTheme="minorHAnsi"/>
          <w:sz w:val="24"/>
        </w:rPr>
        <w:t xml:space="preserve">On the basis of </w:t>
      </w:r>
      <w:r w:rsidR="006D052D">
        <w:rPr>
          <w:rFonts w:asciiTheme="minorHAnsi" w:hAnsiTheme="minorHAnsi"/>
          <w:sz w:val="24"/>
        </w:rPr>
        <w:t>the direct randomised trials</w:t>
      </w:r>
      <w:r w:rsidRPr="00DA2530">
        <w:rPr>
          <w:rFonts w:asciiTheme="minorHAnsi" w:hAnsiTheme="minorHAnsi"/>
          <w:sz w:val="24"/>
        </w:rPr>
        <w:t xml:space="preserve"> presented by the resubmission, </w:t>
      </w:r>
      <w:r w:rsidR="006D052D">
        <w:rPr>
          <w:rFonts w:asciiTheme="minorHAnsi" w:hAnsiTheme="minorHAnsi"/>
          <w:sz w:val="24"/>
        </w:rPr>
        <w:t>treatment with</w:t>
      </w:r>
      <w:r w:rsidRPr="00DA2530">
        <w:rPr>
          <w:rFonts w:asciiTheme="minorHAnsi" w:hAnsiTheme="minorHAnsi"/>
          <w:sz w:val="24"/>
        </w:rPr>
        <w:t xml:space="preserve"> lumacaftor/ivacaftor resulted in approximately a 2.81</w:t>
      </w:r>
      <w:r w:rsidR="002D52EC">
        <w:rPr>
          <w:rFonts w:asciiTheme="minorHAnsi" w:hAnsiTheme="minorHAnsi"/>
          <w:sz w:val="24"/>
        </w:rPr>
        <w:t xml:space="preserve"> percentage point</w:t>
      </w:r>
      <w:r w:rsidR="002D52EC" w:rsidRPr="00DA2530">
        <w:rPr>
          <w:rFonts w:asciiTheme="minorHAnsi" w:hAnsiTheme="minorHAnsi"/>
          <w:sz w:val="24"/>
        </w:rPr>
        <w:t xml:space="preserve"> </w:t>
      </w:r>
      <w:r w:rsidR="006D052D">
        <w:rPr>
          <w:rFonts w:asciiTheme="minorHAnsi" w:hAnsiTheme="minorHAnsi"/>
          <w:sz w:val="24"/>
        </w:rPr>
        <w:t xml:space="preserve">larger </w:t>
      </w:r>
      <w:r w:rsidRPr="00DA2530">
        <w:rPr>
          <w:rFonts w:asciiTheme="minorHAnsi" w:hAnsiTheme="minorHAnsi"/>
          <w:sz w:val="24"/>
        </w:rPr>
        <w:t>increase in absolute pp</w:t>
      </w:r>
      <w:r w:rsidR="00023A66" w:rsidRPr="00DA2530">
        <w:rPr>
          <w:rFonts w:asciiTheme="minorHAnsi" w:hAnsiTheme="minorHAnsi"/>
          <w:sz w:val="24"/>
          <w:szCs w:val="24"/>
        </w:rPr>
        <w:t>FEV</w:t>
      </w:r>
      <w:r w:rsidR="00023A66" w:rsidRPr="00DA2530">
        <w:rPr>
          <w:rFonts w:asciiTheme="minorHAnsi" w:hAnsiTheme="minorHAnsi"/>
          <w:sz w:val="24"/>
          <w:szCs w:val="24"/>
          <w:vertAlign w:val="subscript"/>
        </w:rPr>
        <w:t>1</w:t>
      </w:r>
      <w:r w:rsidRPr="00DA2530">
        <w:rPr>
          <w:rFonts w:asciiTheme="minorHAnsi" w:hAnsiTheme="minorHAnsi"/>
          <w:sz w:val="24"/>
        </w:rPr>
        <w:t xml:space="preserve"> </w:t>
      </w:r>
      <w:r w:rsidR="006D052D">
        <w:rPr>
          <w:rFonts w:asciiTheme="minorHAnsi" w:hAnsiTheme="minorHAnsi"/>
          <w:sz w:val="24"/>
        </w:rPr>
        <w:t xml:space="preserve">compared with placebo </w:t>
      </w:r>
      <w:r w:rsidRPr="00DA2530">
        <w:rPr>
          <w:rFonts w:asciiTheme="minorHAnsi" w:hAnsiTheme="minorHAnsi"/>
          <w:sz w:val="24"/>
        </w:rPr>
        <w:t>over a median duration of follow-up of 24</w:t>
      </w:r>
      <w:r w:rsidR="006C77B4">
        <w:rPr>
          <w:rFonts w:asciiTheme="minorHAnsi" w:hAnsiTheme="minorHAnsi"/>
          <w:sz w:val="24"/>
        </w:rPr>
        <w:t> </w:t>
      </w:r>
      <w:r w:rsidR="004E5808">
        <w:rPr>
          <w:rFonts w:asciiTheme="minorHAnsi" w:hAnsiTheme="minorHAnsi"/>
          <w:sz w:val="24"/>
        </w:rPr>
        <w:t>weeks.</w:t>
      </w:r>
    </w:p>
    <w:p w:rsidR="00063173" w:rsidRPr="00063173" w:rsidRDefault="00063173" w:rsidP="00063173">
      <w:pPr>
        <w:pStyle w:val="ListParagraph"/>
        <w:keepNext/>
        <w:keepLines/>
        <w:widowControl/>
        <w:numPr>
          <w:ilvl w:val="1"/>
          <w:numId w:val="13"/>
        </w:numPr>
        <w:spacing w:after="120"/>
        <w:ind w:left="811" w:hanging="811"/>
        <w:contextualSpacing w:val="0"/>
        <w:rPr>
          <w:rFonts w:asciiTheme="minorHAnsi" w:hAnsiTheme="minorHAnsi"/>
          <w:sz w:val="24"/>
        </w:rPr>
      </w:pPr>
      <w:r w:rsidRPr="00063173">
        <w:rPr>
          <w:rFonts w:asciiTheme="minorHAnsi" w:hAnsiTheme="minorHAnsi"/>
          <w:sz w:val="24"/>
        </w:rPr>
        <w:t xml:space="preserve">On the basis of the direct randomised trials presented by the resubmission, </w:t>
      </w:r>
      <w:r>
        <w:rPr>
          <w:rFonts w:asciiTheme="minorHAnsi" w:hAnsiTheme="minorHAnsi"/>
          <w:sz w:val="24"/>
        </w:rPr>
        <w:t>a patient treated</w:t>
      </w:r>
      <w:r w:rsidRPr="00063173">
        <w:rPr>
          <w:rFonts w:asciiTheme="minorHAnsi" w:hAnsiTheme="minorHAnsi"/>
          <w:sz w:val="24"/>
        </w:rPr>
        <w:t xml:space="preserve"> with lumacaftor/ivacaftor </w:t>
      </w:r>
      <w:r>
        <w:rPr>
          <w:rFonts w:asciiTheme="minorHAnsi" w:hAnsiTheme="minorHAnsi"/>
          <w:sz w:val="24"/>
        </w:rPr>
        <w:t xml:space="preserve">could expect to have one fewer </w:t>
      </w:r>
      <w:r w:rsidRPr="00063173">
        <w:rPr>
          <w:rFonts w:asciiTheme="minorHAnsi" w:hAnsiTheme="minorHAnsi"/>
          <w:sz w:val="24"/>
        </w:rPr>
        <w:t xml:space="preserve">pulmonary exacerbation </w:t>
      </w:r>
      <w:r>
        <w:rPr>
          <w:rFonts w:asciiTheme="minorHAnsi" w:hAnsiTheme="minorHAnsi"/>
          <w:sz w:val="24"/>
        </w:rPr>
        <w:t xml:space="preserve">over </w:t>
      </w:r>
      <w:r w:rsidRPr="00063173">
        <w:rPr>
          <w:rFonts w:asciiTheme="minorHAnsi" w:hAnsiTheme="minorHAnsi"/>
          <w:sz w:val="24"/>
        </w:rPr>
        <w:t>2.5 year</w:t>
      </w:r>
      <w:r>
        <w:rPr>
          <w:rFonts w:asciiTheme="minorHAnsi" w:hAnsiTheme="minorHAnsi"/>
          <w:sz w:val="24"/>
        </w:rPr>
        <w:t>s</w:t>
      </w:r>
      <w:r w:rsidRPr="00063173">
        <w:rPr>
          <w:rFonts w:asciiTheme="minorHAnsi" w:hAnsiTheme="minorHAnsi"/>
          <w:sz w:val="24"/>
        </w:rPr>
        <w:t xml:space="preserve"> and </w:t>
      </w:r>
      <w:r>
        <w:rPr>
          <w:rFonts w:asciiTheme="minorHAnsi" w:hAnsiTheme="minorHAnsi"/>
          <w:sz w:val="24"/>
        </w:rPr>
        <w:t xml:space="preserve">one fewer </w:t>
      </w:r>
      <w:r w:rsidRPr="00063173">
        <w:rPr>
          <w:rFonts w:asciiTheme="minorHAnsi" w:hAnsiTheme="minorHAnsi"/>
          <w:sz w:val="24"/>
        </w:rPr>
        <w:t xml:space="preserve">hospitalisation </w:t>
      </w:r>
      <w:r>
        <w:rPr>
          <w:rFonts w:asciiTheme="minorHAnsi" w:hAnsiTheme="minorHAnsi"/>
          <w:sz w:val="24"/>
        </w:rPr>
        <w:t>due to a</w:t>
      </w:r>
      <w:r w:rsidRPr="00063173">
        <w:rPr>
          <w:rFonts w:asciiTheme="minorHAnsi" w:hAnsiTheme="minorHAnsi"/>
          <w:sz w:val="24"/>
        </w:rPr>
        <w:t xml:space="preserve"> pulmonary exacerbation </w:t>
      </w:r>
      <w:r>
        <w:rPr>
          <w:rFonts w:asciiTheme="minorHAnsi" w:hAnsiTheme="minorHAnsi"/>
          <w:sz w:val="24"/>
        </w:rPr>
        <w:t>over</w:t>
      </w:r>
      <w:r w:rsidRPr="00063173">
        <w:rPr>
          <w:rFonts w:asciiTheme="minorHAnsi" w:hAnsiTheme="minorHAnsi"/>
          <w:sz w:val="24"/>
        </w:rPr>
        <w:t xml:space="preserve"> 3 year</w:t>
      </w:r>
      <w:r>
        <w:rPr>
          <w:rFonts w:asciiTheme="minorHAnsi" w:hAnsiTheme="minorHAnsi"/>
          <w:sz w:val="24"/>
        </w:rPr>
        <w:t>s</w:t>
      </w:r>
      <w:r w:rsidRPr="00063173">
        <w:rPr>
          <w:rFonts w:asciiTheme="minorHAnsi" w:hAnsiTheme="minorHAnsi"/>
          <w:sz w:val="24"/>
        </w:rPr>
        <w:t>.</w:t>
      </w:r>
    </w:p>
    <w:p w:rsidR="00B2608F" w:rsidRPr="00DA2530" w:rsidRDefault="00B2608F" w:rsidP="001E08C1">
      <w:pPr>
        <w:pStyle w:val="ListParagraph"/>
        <w:widowControl/>
        <w:numPr>
          <w:ilvl w:val="1"/>
          <w:numId w:val="13"/>
        </w:numPr>
        <w:spacing w:after="120"/>
        <w:ind w:left="810" w:hanging="810"/>
        <w:contextualSpacing w:val="0"/>
        <w:rPr>
          <w:rFonts w:asciiTheme="minorHAnsi" w:hAnsiTheme="minorHAnsi"/>
          <w:sz w:val="24"/>
        </w:rPr>
      </w:pPr>
      <w:r w:rsidRPr="00DA2530">
        <w:rPr>
          <w:rFonts w:asciiTheme="minorHAnsi" w:hAnsiTheme="minorHAnsi"/>
          <w:sz w:val="24"/>
        </w:rPr>
        <w:t xml:space="preserve">Patients treated with lumacaftor/ivacaftor who continued therapy after </w:t>
      </w:r>
      <w:r w:rsidR="00A217E6" w:rsidRPr="00DA2530">
        <w:rPr>
          <w:rFonts w:asciiTheme="minorHAnsi" w:hAnsiTheme="minorHAnsi"/>
          <w:sz w:val="24"/>
        </w:rPr>
        <w:t xml:space="preserve">completion of </w:t>
      </w:r>
      <w:r w:rsidRPr="00DA2530">
        <w:rPr>
          <w:rFonts w:asciiTheme="minorHAnsi" w:hAnsiTheme="minorHAnsi"/>
          <w:sz w:val="24"/>
        </w:rPr>
        <w:t>the</w:t>
      </w:r>
      <w:r w:rsidR="00A2435F" w:rsidRPr="00DA2530">
        <w:rPr>
          <w:rFonts w:asciiTheme="minorHAnsi" w:hAnsiTheme="minorHAnsi"/>
          <w:sz w:val="24"/>
        </w:rPr>
        <w:t xml:space="preserve"> </w:t>
      </w:r>
      <w:r w:rsidR="00C866AB" w:rsidRPr="00DA2530">
        <w:rPr>
          <w:rFonts w:asciiTheme="minorHAnsi" w:hAnsiTheme="minorHAnsi"/>
          <w:sz w:val="24"/>
        </w:rPr>
        <w:t xml:space="preserve">original randomised trials continued to show an improvement in their lung function over baseline. However, the extent of that improvement decreased over time and </w:t>
      </w:r>
      <w:r w:rsidR="008E4944" w:rsidRPr="00DA2530">
        <w:rPr>
          <w:rFonts w:asciiTheme="minorHAnsi" w:hAnsiTheme="minorHAnsi"/>
          <w:sz w:val="24"/>
        </w:rPr>
        <w:t xml:space="preserve">by 96 weeks of treatment this difference was no longer statistically significant compared with </w:t>
      </w:r>
      <w:r w:rsidR="00C866AB" w:rsidRPr="00DA2530">
        <w:rPr>
          <w:rFonts w:asciiTheme="minorHAnsi" w:hAnsiTheme="minorHAnsi"/>
          <w:sz w:val="24"/>
        </w:rPr>
        <w:t>before they commenced the trials</w:t>
      </w:r>
      <w:r w:rsidRPr="00DA2530">
        <w:rPr>
          <w:rFonts w:asciiTheme="minorHAnsi" w:hAnsiTheme="minorHAnsi"/>
          <w:sz w:val="24"/>
        </w:rPr>
        <w:t>.</w:t>
      </w:r>
    </w:p>
    <w:p w:rsidR="00B2608F" w:rsidRPr="00DA2530" w:rsidRDefault="00B2608F" w:rsidP="001E08C1">
      <w:pPr>
        <w:pStyle w:val="ListParagraph"/>
        <w:widowControl/>
        <w:numPr>
          <w:ilvl w:val="1"/>
          <w:numId w:val="13"/>
        </w:numPr>
        <w:spacing w:before="120" w:after="160"/>
        <w:ind w:left="810" w:hanging="810"/>
        <w:contextualSpacing w:val="0"/>
        <w:rPr>
          <w:rFonts w:asciiTheme="minorHAnsi" w:hAnsiTheme="minorHAnsi"/>
          <w:sz w:val="24"/>
        </w:rPr>
      </w:pPr>
      <w:r w:rsidRPr="00DA2530">
        <w:rPr>
          <w:rFonts w:asciiTheme="minorHAnsi" w:hAnsiTheme="minorHAnsi"/>
          <w:sz w:val="24"/>
        </w:rPr>
        <w:t xml:space="preserve">On the basis of direct evidence from the trials, the </w:t>
      </w:r>
      <w:r w:rsidR="00620E4D">
        <w:rPr>
          <w:rFonts w:asciiTheme="minorHAnsi" w:hAnsiTheme="minorHAnsi"/>
          <w:sz w:val="24"/>
        </w:rPr>
        <w:t xml:space="preserve">overall </w:t>
      </w:r>
      <w:r w:rsidRPr="00DA2530">
        <w:rPr>
          <w:rFonts w:asciiTheme="minorHAnsi" w:hAnsiTheme="minorHAnsi"/>
          <w:sz w:val="24"/>
        </w:rPr>
        <w:t>frequency of adverse e</w:t>
      </w:r>
      <w:r w:rsidR="003F79AD" w:rsidRPr="00DA2530">
        <w:rPr>
          <w:rFonts w:asciiTheme="minorHAnsi" w:hAnsiTheme="minorHAnsi"/>
          <w:sz w:val="24"/>
        </w:rPr>
        <w:t>vents</w:t>
      </w:r>
      <w:r w:rsidRPr="00DA2530">
        <w:rPr>
          <w:rFonts w:asciiTheme="minorHAnsi" w:hAnsiTheme="minorHAnsi"/>
          <w:sz w:val="24"/>
        </w:rPr>
        <w:t xml:space="preserve"> being reported was comparable between lumacaftor/ivacaftor and placebo groups. Dyspnoea (14.0% versus 7.8% on placebo), diarrhoea (11.0% versus 8.4% on placebo), and nausea (10.2% versus 7.6% on placebo) occurred more frequently in the lumacaftor/ivacaftor group. </w:t>
      </w:r>
      <w:r w:rsidR="00C45554" w:rsidRPr="00DA2530">
        <w:rPr>
          <w:rFonts w:asciiTheme="minorHAnsi" w:hAnsiTheme="minorHAnsi"/>
          <w:sz w:val="24"/>
        </w:rPr>
        <w:t>Hepatobiliary serious adverse events had been reported in TRAFFIC and TRANSPORT, and occurred in at least 0.5% of patients on lumacaftor/ivacaftor and in a greater proportion of lumacaftor/ivacaftor patients than placebo patients. Following discontinuation of lumacaftor/ivacaftor, liver function tests returned to baseline or improved</w:t>
      </w:r>
      <w:r w:rsidR="004E5808">
        <w:rPr>
          <w:rFonts w:asciiTheme="minorHAnsi" w:hAnsiTheme="minorHAnsi"/>
          <w:sz w:val="24"/>
        </w:rPr>
        <w:t xml:space="preserve"> substantially in all patients.</w:t>
      </w:r>
    </w:p>
    <w:p w:rsidR="00B2608F" w:rsidRPr="00DA2530" w:rsidRDefault="00B2608F" w:rsidP="001E08C1">
      <w:pPr>
        <w:pStyle w:val="ListParagraph"/>
        <w:widowControl/>
        <w:numPr>
          <w:ilvl w:val="1"/>
          <w:numId w:val="13"/>
        </w:numPr>
        <w:spacing w:before="120" w:after="160"/>
        <w:ind w:left="810" w:hanging="810"/>
        <w:contextualSpacing w:val="0"/>
        <w:rPr>
          <w:rFonts w:asciiTheme="minorHAnsi" w:hAnsiTheme="minorHAnsi"/>
          <w:sz w:val="24"/>
        </w:rPr>
      </w:pPr>
      <w:r w:rsidRPr="00DA2530">
        <w:rPr>
          <w:rFonts w:asciiTheme="minorHAnsi" w:hAnsiTheme="minorHAnsi"/>
          <w:sz w:val="24"/>
        </w:rPr>
        <w:t xml:space="preserve">For patients who continued to receive (or commenced) lumacaftor/ivacaftor therapy after the </w:t>
      </w:r>
      <w:r w:rsidR="00944ABD" w:rsidRPr="00DA2530">
        <w:rPr>
          <w:rFonts w:asciiTheme="minorHAnsi" w:hAnsiTheme="minorHAnsi"/>
          <w:sz w:val="24"/>
        </w:rPr>
        <w:t xml:space="preserve">TRAFFIC and TRANSPORT </w:t>
      </w:r>
      <w:r w:rsidRPr="00DA2530">
        <w:rPr>
          <w:rFonts w:asciiTheme="minorHAnsi" w:hAnsiTheme="minorHAnsi"/>
          <w:sz w:val="24"/>
        </w:rPr>
        <w:t xml:space="preserve">trials ended, the most common adverse events reported were cough (44%), increased sputum (22%), and haemoptysis (20%) and may resolve without discontinuing treatment. A trend of an increase in blood pressure associated with extended lumacaftor/ivacaftor therapy had been identified and routine blood pressure monitoring is recommended. The most frequently reported serious adverse events in this group were infective </w:t>
      </w:r>
      <w:r w:rsidR="00AA66E6">
        <w:rPr>
          <w:rFonts w:asciiTheme="minorHAnsi" w:hAnsiTheme="minorHAnsi"/>
          <w:sz w:val="24"/>
        </w:rPr>
        <w:t>PEs</w:t>
      </w:r>
      <w:r w:rsidRPr="00DA2530">
        <w:rPr>
          <w:rFonts w:asciiTheme="minorHAnsi" w:hAnsiTheme="minorHAnsi"/>
          <w:sz w:val="24"/>
        </w:rPr>
        <w:t xml:space="preserve"> of cystic fibrosis (in 33% of patients), h</w:t>
      </w:r>
      <w:r w:rsidR="00BE7985" w:rsidRPr="00DA2530">
        <w:rPr>
          <w:rFonts w:asciiTheme="minorHAnsi" w:hAnsiTheme="minorHAnsi"/>
          <w:sz w:val="24"/>
        </w:rPr>
        <w:t>a</w:t>
      </w:r>
      <w:r w:rsidRPr="00DA2530">
        <w:rPr>
          <w:rFonts w:asciiTheme="minorHAnsi" w:hAnsiTheme="minorHAnsi"/>
          <w:sz w:val="24"/>
        </w:rPr>
        <w:t>emoptysis (3%), and distal intestinal obstruction syndrome (3%).</w:t>
      </w:r>
    </w:p>
    <w:p w:rsidR="00B2608F" w:rsidRPr="00DA2530" w:rsidRDefault="00B2608F" w:rsidP="001E08C1">
      <w:pPr>
        <w:pStyle w:val="Heading3"/>
      </w:pPr>
      <w:bookmarkStart w:id="48" w:name="_Toc476306891"/>
      <w:bookmarkStart w:id="49" w:name="_Toc482713678"/>
      <w:bookmarkEnd w:id="47"/>
      <w:r w:rsidRPr="00DA2530">
        <w:t>Clinical claim</w:t>
      </w:r>
      <w:bookmarkEnd w:id="43"/>
      <w:bookmarkEnd w:id="48"/>
      <w:bookmarkEnd w:id="49"/>
    </w:p>
    <w:p w:rsidR="00B2608F" w:rsidRPr="00226B30" w:rsidRDefault="00B2608F" w:rsidP="00CC34BE">
      <w:pPr>
        <w:pStyle w:val="ListParagraph"/>
        <w:widowControl/>
        <w:numPr>
          <w:ilvl w:val="1"/>
          <w:numId w:val="13"/>
        </w:numPr>
        <w:spacing w:after="120"/>
        <w:ind w:left="709" w:hanging="709"/>
        <w:contextualSpacing w:val="0"/>
        <w:rPr>
          <w:rFonts w:asciiTheme="minorHAnsi" w:hAnsiTheme="minorHAnsi"/>
          <w:sz w:val="24"/>
        </w:rPr>
      </w:pPr>
      <w:bookmarkStart w:id="50" w:name="_Hlk479762032"/>
      <w:r w:rsidRPr="00226B30">
        <w:rPr>
          <w:rFonts w:asciiTheme="minorHAnsi" w:hAnsiTheme="minorHAnsi"/>
          <w:sz w:val="24"/>
        </w:rPr>
        <w:t>The March 2016 submission described lumacaftor/ivacaftor as superior in terms of comparative effectiveness as it improved key CF outcomes that are associated with prolongation of life expectancy. The current resubmission claimed that the longer</w:t>
      </w:r>
      <w:r w:rsidR="002F22E4" w:rsidRPr="00226B30">
        <w:rPr>
          <w:rFonts w:asciiTheme="minorHAnsi" w:hAnsiTheme="minorHAnsi"/>
          <w:sz w:val="24"/>
        </w:rPr>
        <w:noBreakHyphen/>
      </w:r>
      <w:r w:rsidRPr="00226B30">
        <w:rPr>
          <w:rFonts w:asciiTheme="minorHAnsi" w:hAnsiTheme="minorHAnsi"/>
          <w:sz w:val="24"/>
        </w:rPr>
        <w:t xml:space="preserve">term data from the PROGRESS study provided further evidence that lumacaftor/ivacaftor is a disease modifying therapy. </w:t>
      </w:r>
    </w:p>
    <w:p w:rsidR="00B2608F" w:rsidRPr="00226B30" w:rsidRDefault="00B2608F" w:rsidP="00CC34BE">
      <w:pPr>
        <w:pStyle w:val="ListParagraph"/>
        <w:widowControl/>
        <w:numPr>
          <w:ilvl w:val="1"/>
          <w:numId w:val="13"/>
        </w:numPr>
        <w:spacing w:after="120"/>
        <w:ind w:left="709" w:hanging="709"/>
        <w:contextualSpacing w:val="0"/>
        <w:rPr>
          <w:rFonts w:asciiTheme="minorHAnsi" w:hAnsiTheme="minorHAnsi"/>
          <w:sz w:val="24"/>
        </w:rPr>
      </w:pPr>
      <w:r w:rsidRPr="00226B30">
        <w:rPr>
          <w:rFonts w:asciiTheme="minorHAnsi" w:hAnsiTheme="minorHAnsi"/>
          <w:sz w:val="24"/>
        </w:rPr>
        <w:t xml:space="preserve">The March 2016 submission claimed the drug </w:t>
      </w:r>
      <w:r w:rsidR="002B0356">
        <w:rPr>
          <w:rFonts w:asciiTheme="minorHAnsi" w:hAnsiTheme="minorHAnsi"/>
          <w:sz w:val="24"/>
        </w:rPr>
        <w:t>is</w:t>
      </w:r>
      <w:r w:rsidRPr="00226B30">
        <w:rPr>
          <w:rFonts w:asciiTheme="minorHAnsi" w:hAnsiTheme="minorHAnsi"/>
          <w:sz w:val="24"/>
        </w:rPr>
        <w:t xml:space="preserve"> equivalent </w:t>
      </w:r>
      <w:r w:rsidR="00D923C8">
        <w:rPr>
          <w:rFonts w:asciiTheme="minorHAnsi" w:hAnsiTheme="minorHAnsi"/>
          <w:sz w:val="24"/>
        </w:rPr>
        <w:t xml:space="preserve">to BSC </w:t>
      </w:r>
      <w:r w:rsidRPr="00226B30">
        <w:rPr>
          <w:rFonts w:asciiTheme="minorHAnsi" w:hAnsiTheme="minorHAnsi"/>
          <w:sz w:val="24"/>
        </w:rPr>
        <w:t>in terms of comparative safety, and the current resubmission argued that the longer</w:t>
      </w:r>
      <w:r w:rsidR="002F22E4" w:rsidRPr="00226B30">
        <w:rPr>
          <w:rFonts w:asciiTheme="minorHAnsi" w:hAnsiTheme="minorHAnsi"/>
          <w:sz w:val="24"/>
        </w:rPr>
        <w:noBreakHyphen/>
      </w:r>
      <w:r w:rsidRPr="00226B30">
        <w:rPr>
          <w:rFonts w:asciiTheme="minorHAnsi" w:hAnsiTheme="minorHAnsi"/>
          <w:sz w:val="24"/>
        </w:rPr>
        <w:t>term safety profile was consistent with the previous data in TRAFFIC and TRANSPORT.</w:t>
      </w:r>
    </w:p>
    <w:bookmarkEnd w:id="50"/>
    <w:p w:rsidR="00335D8F" w:rsidRPr="00226B30" w:rsidRDefault="00335D8F" w:rsidP="00CC34BE">
      <w:pPr>
        <w:pStyle w:val="ListParagraph"/>
        <w:widowControl/>
        <w:numPr>
          <w:ilvl w:val="1"/>
          <w:numId w:val="13"/>
        </w:numPr>
        <w:spacing w:after="120"/>
        <w:ind w:left="709" w:hanging="709"/>
        <w:contextualSpacing w:val="0"/>
        <w:rPr>
          <w:rFonts w:asciiTheme="minorHAnsi" w:hAnsiTheme="minorHAnsi"/>
          <w:sz w:val="24"/>
        </w:rPr>
      </w:pPr>
      <w:r w:rsidRPr="00226B30">
        <w:rPr>
          <w:rFonts w:asciiTheme="minorHAnsi" w:hAnsiTheme="minorHAnsi"/>
          <w:sz w:val="24"/>
          <w:szCs w:val="22"/>
        </w:rPr>
        <w:t xml:space="preserve">In March 2016, the PBAC </w:t>
      </w:r>
      <w:r w:rsidRPr="00226B30">
        <w:rPr>
          <w:rFonts w:asciiTheme="minorHAnsi" w:hAnsiTheme="minorHAnsi"/>
          <w:sz w:val="24"/>
        </w:rPr>
        <w:t>noted the improvement in exacerbations, weight gain, BMI, the hospitalisation rate and antibiotic use associated with treatment with lu</w:t>
      </w:r>
      <w:r w:rsidR="00D923C8">
        <w:rPr>
          <w:rFonts w:asciiTheme="minorHAnsi" w:hAnsiTheme="minorHAnsi"/>
          <w:sz w:val="24"/>
        </w:rPr>
        <w:t>macaftor/ivacaftor in the short-</w:t>
      </w:r>
      <w:r w:rsidRPr="00226B30">
        <w:rPr>
          <w:rFonts w:asciiTheme="minorHAnsi" w:hAnsiTheme="minorHAnsi"/>
          <w:sz w:val="24"/>
        </w:rPr>
        <w:t xml:space="preserve">term but considered that the impact of </w:t>
      </w:r>
      <w:r w:rsidR="00DA2285" w:rsidRPr="00226B30">
        <w:rPr>
          <w:rFonts w:asciiTheme="minorHAnsi" w:hAnsiTheme="minorHAnsi"/>
          <w:sz w:val="24"/>
        </w:rPr>
        <w:t>lu</w:t>
      </w:r>
      <w:r w:rsidR="00DA2285">
        <w:rPr>
          <w:rFonts w:asciiTheme="minorHAnsi" w:hAnsiTheme="minorHAnsi"/>
          <w:sz w:val="24"/>
        </w:rPr>
        <w:t>macaftor/ivacaftor</w:t>
      </w:r>
      <w:r w:rsidRPr="00226B30">
        <w:rPr>
          <w:rFonts w:asciiTheme="minorHAnsi" w:hAnsiTheme="minorHAnsi"/>
          <w:sz w:val="24"/>
        </w:rPr>
        <w:t xml:space="preserve"> on improvements in long-term lung function and survival was uncertain. In addition, t</w:t>
      </w:r>
      <w:r w:rsidRPr="00226B30">
        <w:rPr>
          <w:rFonts w:asciiTheme="minorHAnsi" w:hAnsiTheme="minorHAnsi"/>
          <w:sz w:val="24"/>
          <w:szCs w:val="22"/>
        </w:rPr>
        <w:t>he PBAC considered that the claim of equivalent comparative safety was reasonable in the short</w:t>
      </w:r>
      <w:r w:rsidR="00D923C8">
        <w:rPr>
          <w:rFonts w:asciiTheme="minorHAnsi" w:hAnsiTheme="minorHAnsi"/>
          <w:sz w:val="24"/>
          <w:szCs w:val="22"/>
        </w:rPr>
        <w:t>-</w:t>
      </w:r>
      <w:r w:rsidRPr="00226B30">
        <w:rPr>
          <w:rFonts w:asciiTheme="minorHAnsi" w:hAnsiTheme="minorHAnsi"/>
          <w:sz w:val="24"/>
          <w:szCs w:val="22"/>
        </w:rPr>
        <w:t>term but noted the long</w:t>
      </w:r>
      <w:r w:rsidR="00D923C8">
        <w:rPr>
          <w:rFonts w:asciiTheme="minorHAnsi" w:hAnsiTheme="minorHAnsi"/>
          <w:sz w:val="24"/>
          <w:szCs w:val="22"/>
        </w:rPr>
        <w:t>-</w:t>
      </w:r>
      <w:r w:rsidRPr="00226B30">
        <w:rPr>
          <w:rFonts w:asciiTheme="minorHAnsi" w:hAnsiTheme="minorHAnsi"/>
          <w:sz w:val="24"/>
          <w:szCs w:val="22"/>
        </w:rPr>
        <w:t>term safety of lumacaftor/ivacaftor is unknown.</w:t>
      </w:r>
    </w:p>
    <w:p w:rsidR="00E964E1" w:rsidRPr="00226B30" w:rsidRDefault="00E95875" w:rsidP="00CC34BE">
      <w:pPr>
        <w:pStyle w:val="ListParagraph"/>
        <w:widowControl/>
        <w:numPr>
          <w:ilvl w:val="1"/>
          <w:numId w:val="13"/>
        </w:numPr>
        <w:spacing w:after="120"/>
        <w:ind w:left="709" w:hanging="709"/>
        <w:contextualSpacing w:val="0"/>
        <w:rPr>
          <w:rFonts w:asciiTheme="minorHAnsi" w:hAnsiTheme="minorHAnsi"/>
          <w:sz w:val="24"/>
        </w:rPr>
      </w:pPr>
      <w:bookmarkStart w:id="51" w:name="_Hlk482005155"/>
      <w:r w:rsidRPr="00226B30">
        <w:rPr>
          <w:rFonts w:asciiTheme="minorHAnsi" w:hAnsiTheme="minorHAnsi"/>
          <w:sz w:val="24"/>
          <w:szCs w:val="22"/>
        </w:rPr>
        <w:t xml:space="preserve">Evidence from the PROGRESS </w:t>
      </w:r>
      <w:r w:rsidR="00915020">
        <w:rPr>
          <w:rFonts w:asciiTheme="minorHAnsi" w:hAnsiTheme="minorHAnsi"/>
          <w:sz w:val="24"/>
          <w:szCs w:val="22"/>
        </w:rPr>
        <w:t xml:space="preserve">extension </w:t>
      </w:r>
      <w:r w:rsidRPr="00226B30">
        <w:rPr>
          <w:rFonts w:asciiTheme="minorHAnsi" w:hAnsiTheme="minorHAnsi"/>
          <w:sz w:val="24"/>
          <w:szCs w:val="22"/>
        </w:rPr>
        <w:t>study demonstrated that the modest increase in pp</w:t>
      </w:r>
      <w:r w:rsidR="00023A66" w:rsidRPr="00226B30">
        <w:rPr>
          <w:rFonts w:asciiTheme="minorHAnsi" w:hAnsiTheme="minorHAnsi"/>
          <w:sz w:val="24"/>
          <w:szCs w:val="24"/>
        </w:rPr>
        <w:t>FEV</w:t>
      </w:r>
      <w:r w:rsidR="00023A66" w:rsidRPr="00226B30">
        <w:rPr>
          <w:rFonts w:asciiTheme="minorHAnsi" w:hAnsiTheme="minorHAnsi"/>
          <w:sz w:val="24"/>
          <w:szCs w:val="24"/>
          <w:vertAlign w:val="subscript"/>
        </w:rPr>
        <w:t>1</w:t>
      </w:r>
      <w:r w:rsidRPr="00226B30">
        <w:rPr>
          <w:rFonts w:asciiTheme="minorHAnsi" w:hAnsiTheme="minorHAnsi"/>
          <w:sz w:val="24"/>
          <w:szCs w:val="22"/>
        </w:rPr>
        <w:t xml:space="preserve"> in lumacaftor/ivacaftor treated patients demonstrated in TRAFFIC and TRANSPORT was not maintained through to 120 weeks. </w:t>
      </w:r>
    </w:p>
    <w:p w:rsidR="00B04173" w:rsidRPr="00A6147D" w:rsidRDefault="00E964E1" w:rsidP="00A6147D">
      <w:pPr>
        <w:pStyle w:val="ListParagraph"/>
        <w:widowControl/>
        <w:numPr>
          <w:ilvl w:val="1"/>
          <w:numId w:val="13"/>
        </w:numPr>
        <w:spacing w:after="120"/>
        <w:ind w:left="709" w:hanging="709"/>
        <w:contextualSpacing w:val="0"/>
        <w:rPr>
          <w:rFonts w:asciiTheme="minorHAnsi" w:hAnsiTheme="minorHAnsi"/>
          <w:sz w:val="24"/>
        </w:rPr>
      </w:pPr>
      <w:r w:rsidRPr="00226B30">
        <w:rPr>
          <w:rFonts w:asciiTheme="minorHAnsi" w:hAnsiTheme="minorHAnsi"/>
          <w:sz w:val="24"/>
        </w:rPr>
        <w:t xml:space="preserve">The PSCR (p4) argued the main objective of treatment with lumacaftor/ivacaftor is to minimise the rate of deterioration over time, noting the </w:t>
      </w:r>
      <w:r w:rsidR="00702F30">
        <w:rPr>
          <w:rFonts w:asciiTheme="minorHAnsi" w:hAnsiTheme="minorHAnsi"/>
          <w:sz w:val="24"/>
        </w:rPr>
        <w:t xml:space="preserve">matched </w:t>
      </w:r>
      <w:r w:rsidRPr="00226B30">
        <w:rPr>
          <w:rFonts w:asciiTheme="minorHAnsi" w:hAnsiTheme="minorHAnsi"/>
          <w:sz w:val="24"/>
        </w:rPr>
        <w:t>analysis of the comparative rates of decline of ppFEV</w:t>
      </w:r>
      <w:r w:rsidRPr="00226B30">
        <w:rPr>
          <w:rFonts w:asciiTheme="minorHAnsi" w:hAnsiTheme="minorHAnsi"/>
          <w:sz w:val="24"/>
          <w:vertAlign w:val="subscript"/>
        </w:rPr>
        <w:t>1</w:t>
      </w:r>
      <w:r w:rsidRPr="00226B30">
        <w:rPr>
          <w:rFonts w:asciiTheme="minorHAnsi" w:hAnsiTheme="minorHAnsi"/>
          <w:sz w:val="24"/>
        </w:rPr>
        <w:t xml:space="preserve"> which </w:t>
      </w:r>
      <w:r w:rsidRPr="00226B30">
        <w:rPr>
          <w:rFonts w:asciiTheme="minorHAnsi" w:hAnsiTheme="minorHAnsi"/>
          <w:sz w:val="24"/>
          <w:lang w:val="en-US"/>
        </w:rPr>
        <w:t>represented a 42% decrease in the rate of pp</w:t>
      </w:r>
      <w:r w:rsidRPr="00226B30">
        <w:rPr>
          <w:rFonts w:asciiTheme="minorHAnsi" w:hAnsiTheme="minorHAnsi"/>
          <w:sz w:val="24"/>
          <w:szCs w:val="24"/>
        </w:rPr>
        <w:t>FEV</w:t>
      </w:r>
      <w:r w:rsidRPr="00226B30">
        <w:rPr>
          <w:rFonts w:asciiTheme="minorHAnsi" w:hAnsiTheme="minorHAnsi"/>
          <w:sz w:val="24"/>
          <w:szCs w:val="24"/>
          <w:vertAlign w:val="subscript"/>
        </w:rPr>
        <w:t>1</w:t>
      </w:r>
      <w:r w:rsidRPr="00226B30">
        <w:rPr>
          <w:rFonts w:asciiTheme="minorHAnsi" w:hAnsiTheme="minorHAnsi"/>
          <w:sz w:val="24"/>
          <w:lang w:val="en-US"/>
        </w:rPr>
        <w:t xml:space="preserve"> decline in lumacaftor/ivacaftor-treated patients compared with a matched cohort</w:t>
      </w:r>
      <w:r w:rsidRPr="00226B30">
        <w:rPr>
          <w:rFonts w:asciiTheme="minorHAnsi" w:hAnsiTheme="minorHAnsi"/>
          <w:sz w:val="24"/>
        </w:rPr>
        <w:t xml:space="preserve">. </w:t>
      </w:r>
      <w:r w:rsidR="00B04173" w:rsidRPr="00A6147D">
        <w:rPr>
          <w:rFonts w:asciiTheme="minorHAnsi" w:hAnsiTheme="minorHAnsi"/>
          <w:sz w:val="24"/>
        </w:rPr>
        <w:t>The PSCR (p2) further argued that the clinical impact of slowing CF progression over time was reflected to some extent by the maintenance of the absolute reduction in PE events per patient-year for up to 120 weeks of treatment.</w:t>
      </w:r>
      <w:r w:rsidR="00A27684" w:rsidRPr="00A6147D">
        <w:rPr>
          <w:rFonts w:asciiTheme="minorHAnsi" w:hAnsiTheme="minorHAnsi"/>
          <w:sz w:val="24"/>
        </w:rPr>
        <w:t xml:space="preserve"> </w:t>
      </w:r>
    </w:p>
    <w:bookmarkEnd w:id="51"/>
    <w:p w:rsidR="00960E73" w:rsidRPr="002339AC" w:rsidRDefault="00960E73" w:rsidP="00CC34BE">
      <w:pPr>
        <w:pStyle w:val="ListParagraph"/>
        <w:widowControl/>
        <w:numPr>
          <w:ilvl w:val="1"/>
          <w:numId w:val="13"/>
        </w:numPr>
        <w:spacing w:after="120"/>
        <w:ind w:left="709" w:hanging="709"/>
        <w:contextualSpacing w:val="0"/>
        <w:rPr>
          <w:rFonts w:asciiTheme="minorHAnsi" w:hAnsiTheme="minorHAnsi"/>
          <w:sz w:val="24"/>
        </w:rPr>
      </w:pPr>
      <w:r w:rsidRPr="002339AC">
        <w:rPr>
          <w:rFonts w:asciiTheme="minorHAnsi" w:hAnsiTheme="minorHAnsi"/>
          <w:sz w:val="24"/>
        </w:rPr>
        <w:t xml:space="preserve">The </w:t>
      </w:r>
      <w:r w:rsidR="00C9729E">
        <w:rPr>
          <w:rFonts w:asciiTheme="minorHAnsi" w:hAnsiTheme="minorHAnsi"/>
          <w:sz w:val="24"/>
        </w:rPr>
        <w:t xml:space="preserve">PBAC </w:t>
      </w:r>
      <w:r w:rsidRPr="002339AC">
        <w:rPr>
          <w:rFonts w:asciiTheme="minorHAnsi" w:hAnsiTheme="minorHAnsi"/>
          <w:sz w:val="24"/>
        </w:rPr>
        <w:t>considered the claim that lumacaftor/ivacaftor slows the rate of decline in</w:t>
      </w:r>
      <w:r w:rsidR="00C67B56">
        <w:rPr>
          <w:rFonts w:asciiTheme="minorHAnsi" w:hAnsiTheme="minorHAnsi"/>
          <w:sz w:val="24"/>
        </w:rPr>
        <w:t xml:space="preserve"> </w:t>
      </w:r>
      <w:r w:rsidR="00C67B56">
        <w:rPr>
          <w:rFonts w:asciiTheme="minorHAnsi" w:hAnsiTheme="minorHAnsi"/>
          <w:bCs/>
          <w:sz w:val="24"/>
          <w:szCs w:val="24"/>
          <w:lang w:val="en-GB"/>
        </w:rPr>
        <w:t>ppFEV</w:t>
      </w:r>
      <w:r w:rsidR="00C67B56" w:rsidRPr="00C67B56">
        <w:rPr>
          <w:rFonts w:asciiTheme="minorHAnsi" w:hAnsiTheme="minorHAnsi"/>
          <w:bCs/>
          <w:sz w:val="24"/>
          <w:szCs w:val="24"/>
          <w:vertAlign w:val="subscript"/>
          <w:lang w:val="en-GB"/>
        </w:rPr>
        <w:t>1</w:t>
      </w:r>
      <w:r w:rsidRPr="002339AC">
        <w:rPr>
          <w:rFonts w:asciiTheme="minorHAnsi" w:hAnsiTheme="minorHAnsi"/>
          <w:sz w:val="24"/>
        </w:rPr>
        <w:t xml:space="preserve"> beyond 24 weeks, compared with patients treated with BSC, was not adequately supported by the resubmission</w:t>
      </w:r>
      <w:r w:rsidR="00C9729E">
        <w:rPr>
          <w:rFonts w:asciiTheme="minorHAnsi" w:hAnsiTheme="minorHAnsi"/>
          <w:sz w:val="24"/>
        </w:rPr>
        <w:t xml:space="preserve"> </w:t>
      </w:r>
      <w:r w:rsidR="005346C2">
        <w:rPr>
          <w:rFonts w:asciiTheme="minorHAnsi" w:hAnsiTheme="minorHAnsi"/>
          <w:sz w:val="24"/>
        </w:rPr>
        <w:t>for the reasons out</w:t>
      </w:r>
      <w:r w:rsidR="005346C2" w:rsidRPr="001D475E">
        <w:rPr>
          <w:rFonts w:asciiTheme="minorHAnsi" w:hAnsiTheme="minorHAnsi"/>
          <w:sz w:val="24"/>
        </w:rPr>
        <w:t xml:space="preserve">lined in paragraph </w:t>
      </w:r>
      <w:r w:rsidR="00E43BD2" w:rsidRPr="001D475E">
        <w:rPr>
          <w:rFonts w:asciiTheme="minorHAnsi" w:hAnsiTheme="minorHAnsi"/>
          <w:sz w:val="24"/>
        </w:rPr>
        <w:t>6.22</w:t>
      </w:r>
      <w:r w:rsidRPr="002339AC">
        <w:rPr>
          <w:rFonts w:asciiTheme="minorHAnsi" w:hAnsiTheme="minorHAnsi"/>
          <w:sz w:val="24"/>
        </w:rPr>
        <w:t xml:space="preserve">. </w:t>
      </w:r>
      <w:r>
        <w:rPr>
          <w:rFonts w:asciiTheme="minorHAnsi" w:hAnsiTheme="minorHAnsi"/>
          <w:sz w:val="24"/>
        </w:rPr>
        <w:t>However, t</w:t>
      </w:r>
      <w:r w:rsidRPr="002339AC">
        <w:rPr>
          <w:rFonts w:asciiTheme="minorHAnsi" w:hAnsiTheme="minorHAnsi"/>
          <w:sz w:val="24"/>
        </w:rPr>
        <w:t>he PBAC noted improvements in other clinical measures, including a reduction pulmonary exacerbations and an increase in body mass index, were maintained beyond the 24 week trial period, and therefore considered</w:t>
      </w:r>
      <w:r>
        <w:rPr>
          <w:rFonts w:asciiTheme="minorHAnsi" w:hAnsiTheme="minorHAnsi"/>
          <w:sz w:val="24"/>
        </w:rPr>
        <w:t xml:space="preserve"> that the claim of superior comparative effectiveness </w:t>
      </w:r>
      <w:r w:rsidR="00037FE9">
        <w:rPr>
          <w:rFonts w:asciiTheme="minorHAnsi" w:hAnsiTheme="minorHAnsi"/>
          <w:sz w:val="24"/>
        </w:rPr>
        <w:t xml:space="preserve">for these outcomes </w:t>
      </w:r>
      <w:r>
        <w:rPr>
          <w:rFonts w:asciiTheme="minorHAnsi" w:hAnsiTheme="minorHAnsi"/>
          <w:sz w:val="24"/>
        </w:rPr>
        <w:t>was reasonable.</w:t>
      </w:r>
    </w:p>
    <w:p w:rsidR="007C71DF" w:rsidRPr="00A6147D" w:rsidRDefault="00FF1401" w:rsidP="00A6147D">
      <w:pPr>
        <w:pStyle w:val="ListParagraph"/>
        <w:widowControl/>
        <w:numPr>
          <w:ilvl w:val="1"/>
          <w:numId w:val="13"/>
        </w:numPr>
        <w:spacing w:after="120"/>
        <w:ind w:left="709" w:hanging="709"/>
        <w:contextualSpacing w:val="0"/>
        <w:rPr>
          <w:rFonts w:asciiTheme="minorHAnsi" w:hAnsiTheme="minorHAnsi"/>
          <w:sz w:val="24"/>
          <w:szCs w:val="22"/>
        </w:rPr>
      </w:pPr>
      <w:r w:rsidRPr="00A6147D">
        <w:rPr>
          <w:rFonts w:asciiTheme="minorHAnsi" w:hAnsiTheme="minorHAnsi"/>
          <w:sz w:val="24"/>
          <w:szCs w:val="22"/>
        </w:rPr>
        <w:t>The PBAC considered that the claim of non-inferior</w:t>
      </w:r>
      <w:r w:rsidR="005614BB" w:rsidRPr="00A6147D">
        <w:rPr>
          <w:rFonts w:asciiTheme="minorHAnsi" w:hAnsiTheme="minorHAnsi"/>
          <w:sz w:val="24"/>
          <w:szCs w:val="22"/>
        </w:rPr>
        <w:t xml:space="preserve"> comparative safety </w:t>
      </w:r>
      <w:r w:rsidRPr="00A6147D">
        <w:rPr>
          <w:rFonts w:asciiTheme="minorHAnsi" w:hAnsiTheme="minorHAnsi"/>
          <w:sz w:val="24"/>
          <w:szCs w:val="22"/>
        </w:rPr>
        <w:t xml:space="preserve">was not adequately supported by </w:t>
      </w:r>
      <w:r w:rsidR="00387CBB" w:rsidRPr="00A6147D">
        <w:rPr>
          <w:rFonts w:asciiTheme="minorHAnsi" w:hAnsiTheme="minorHAnsi"/>
          <w:sz w:val="24"/>
          <w:szCs w:val="22"/>
        </w:rPr>
        <w:t>the updated</w:t>
      </w:r>
      <w:r w:rsidR="007C71DF" w:rsidRPr="00A6147D">
        <w:rPr>
          <w:rFonts w:asciiTheme="minorHAnsi" w:hAnsiTheme="minorHAnsi"/>
          <w:sz w:val="24"/>
          <w:szCs w:val="22"/>
        </w:rPr>
        <w:t xml:space="preserve"> data from the PROGRESS study</w:t>
      </w:r>
      <w:r w:rsidR="00A6147D">
        <w:rPr>
          <w:rFonts w:asciiTheme="minorHAnsi" w:hAnsiTheme="minorHAnsi"/>
          <w:sz w:val="24"/>
          <w:szCs w:val="22"/>
        </w:rPr>
        <w:t xml:space="preserve"> provided in the current resubmission</w:t>
      </w:r>
      <w:r w:rsidR="007C71DF" w:rsidRPr="00A6147D">
        <w:rPr>
          <w:rFonts w:asciiTheme="minorHAnsi" w:hAnsiTheme="minorHAnsi"/>
          <w:sz w:val="24"/>
          <w:szCs w:val="22"/>
        </w:rPr>
        <w:t xml:space="preserve">. There is evidence of drug-related adverse events including respiratory adverse events (e.g. haemoptysis, cough), hepatobiliary events and development of hypertension associated with continued therapy. In this regard, the </w:t>
      </w:r>
      <w:r w:rsidR="00A6147D">
        <w:rPr>
          <w:rFonts w:asciiTheme="minorHAnsi" w:hAnsiTheme="minorHAnsi"/>
          <w:sz w:val="24"/>
          <w:szCs w:val="22"/>
        </w:rPr>
        <w:t>PBAC</w:t>
      </w:r>
      <w:r w:rsidR="00A6147D" w:rsidRPr="00A6147D">
        <w:rPr>
          <w:rFonts w:asciiTheme="minorHAnsi" w:hAnsiTheme="minorHAnsi"/>
          <w:sz w:val="24"/>
          <w:szCs w:val="22"/>
        </w:rPr>
        <w:t xml:space="preserve"> </w:t>
      </w:r>
      <w:r w:rsidR="007C71DF" w:rsidRPr="00A6147D">
        <w:rPr>
          <w:rFonts w:asciiTheme="minorHAnsi" w:hAnsiTheme="minorHAnsi"/>
          <w:sz w:val="24"/>
          <w:szCs w:val="22"/>
        </w:rPr>
        <w:t xml:space="preserve">noted that 16% of patients chose to discontinue use due to adverse events or patient refusal of further dosing. </w:t>
      </w:r>
    </w:p>
    <w:p w:rsidR="00B2608F" w:rsidRPr="00DA2530" w:rsidRDefault="00B2608F" w:rsidP="001E08C1">
      <w:pPr>
        <w:pStyle w:val="Heading3"/>
      </w:pPr>
      <w:bookmarkStart w:id="52" w:name="_Toc413139282"/>
      <w:bookmarkStart w:id="53" w:name="_Toc476306892"/>
      <w:bookmarkStart w:id="54" w:name="_Toc482713679"/>
      <w:r w:rsidRPr="00DA2530">
        <w:t>Economic analysis</w:t>
      </w:r>
      <w:bookmarkEnd w:id="52"/>
      <w:bookmarkEnd w:id="53"/>
      <w:bookmarkEnd w:id="54"/>
    </w:p>
    <w:p w:rsidR="00121A6E" w:rsidRDefault="00B2608F" w:rsidP="00C3041E">
      <w:pPr>
        <w:pStyle w:val="ListParagraph"/>
        <w:widowControl/>
        <w:numPr>
          <w:ilvl w:val="1"/>
          <w:numId w:val="13"/>
        </w:numPr>
        <w:spacing w:after="120"/>
        <w:ind w:left="709" w:hanging="709"/>
        <w:contextualSpacing w:val="0"/>
        <w:rPr>
          <w:rFonts w:asciiTheme="minorHAnsi" w:hAnsiTheme="minorHAnsi"/>
          <w:sz w:val="24"/>
        </w:rPr>
      </w:pPr>
      <w:bookmarkStart w:id="55" w:name="_Ref482265491"/>
      <w:bookmarkStart w:id="56" w:name="_Ref481916843"/>
      <w:r w:rsidRPr="00DA2530">
        <w:rPr>
          <w:rFonts w:asciiTheme="minorHAnsi" w:hAnsiTheme="minorHAnsi"/>
          <w:sz w:val="24"/>
        </w:rPr>
        <w:t xml:space="preserve">The structure of the model </w:t>
      </w:r>
      <w:r w:rsidR="00F34678">
        <w:rPr>
          <w:rFonts w:asciiTheme="minorHAnsi" w:hAnsiTheme="minorHAnsi"/>
          <w:sz w:val="24"/>
        </w:rPr>
        <w:t>wa</w:t>
      </w:r>
      <w:r w:rsidRPr="00DA2530">
        <w:rPr>
          <w:rFonts w:asciiTheme="minorHAnsi" w:hAnsiTheme="minorHAnsi"/>
          <w:sz w:val="24"/>
        </w:rPr>
        <w:t xml:space="preserve">s the same as the previous submissions (March 2016 and November 2016) which presented a cost-utility analysis compared with BSC. A summary of the model structure is presented in </w:t>
      </w:r>
      <w:r w:rsidRPr="0051567E">
        <w:rPr>
          <w:rFonts w:asciiTheme="minorHAnsi" w:hAnsiTheme="minorHAnsi"/>
          <w:sz w:val="24"/>
        </w:rPr>
        <w:t>Table 1</w:t>
      </w:r>
      <w:r w:rsidR="003C370C">
        <w:rPr>
          <w:rFonts w:asciiTheme="minorHAnsi" w:hAnsiTheme="minorHAnsi"/>
          <w:sz w:val="24"/>
        </w:rPr>
        <w:t>0</w:t>
      </w:r>
      <w:r w:rsidRPr="00DA2530">
        <w:rPr>
          <w:rFonts w:asciiTheme="minorHAnsi" w:hAnsiTheme="minorHAnsi"/>
          <w:sz w:val="24"/>
        </w:rPr>
        <w:t xml:space="preserve">. </w:t>
      </w:r>
      <w:r w:rsidR="00627E93" w:rsidRPr="00DA2530">
        <w:rPr>
          <w:rFonts w:asciiTheme="minorHAnsi" w:hAnsiTheme="minorHAnsi"/>
          <w:sz w:val="24"/>
        </w:rPr>
        <w:t>The resubmission presented two base cases</w:t>
      </w:r>
      <w:r w:rsidR="00121A6E" w:rsidRPr="00DA2530">
        <w:rPr>
          <w:rFonts w:asciiTheme="minorHAnsi" w:hAnsiTheme="minorHAnsi"/>
          <w:sz w:val="24"/>
        </w:rPr>
        <w:t xml:space="preserve"> referred to </w:t>
      </w:r>
      <w:r w:rsidR="003533FD" w:rsidRPr="00DA2530">
        <w:rPr>
          <w:rFonts w:asciiTheme="minorHAnsi" w:hAnsiTheme="minorHAnsi"/>
          <w:sz w:val="24"/>
        </w:rPr>
        <w:t xml:space="preserve">as </w:t>
      </w:r>
      <w:r w:rsidR="00121A6E" w:rsidRPr="00DA2530">
        <w:rPr>
          <w:rFonts w:asciiTheme="minorHAnsi" w:hAnsiTheme="minorHAnsi"/>
          <w:sz w:val="24"/>
        </w:rPr>
        <w:t>Base case 1 and Base case 2</w:t>
      </w:r>
      <w:r w:rsidR="00627E93" w:rsidRPr="00DA2530">
        <w:rPr>
          <w:rFonts w:asciiTheme="minorHAnsi" w:hAnsiTheme="minorHAnsi"/>
          <w:sz w:val="24"/>
        </w:rPr>
        <w:t>.</w:t>
      </w:r>
      <w:bookmarkEnd w:id="55"/>
      <w:r w:rsidR="00627E93" w:rsidRPr="00DA2530">
        <w:rPr>
          <w:rFonts w:asciiTheme="minorHAnsi" w:hAnsiTheme="minorHAnsi"/>
          <w:sz w:val="24"/>
        </w:rPr>
        <w:t xml:space="preserve"> </w:t>
      </w:r>
    </w:p>
    <w:p w:rsidR="000D33EE" w:rsidRPr="000D33EE" w:rsidRDefault="000D33EE" w:rsidP="000D33EE">
      <w:pPr>
        <w:widowControl/>
        <w:spacing w:after="120"/>
        <w:rPr>
          <w:rFonts w:asciiTheme="minorHAnsi" w:hAnsiTheme="minorHAnsi"/>
          <w:sz w:val="24"/>
        </w:rPr>
      </w:pPr>
    </w:p>
    <w:p w:rsidR="008A1DA3" w:rsidRDefault="008A1DA3" w:rsidP="008A1DA3">
      <w:pPr>
        <w:pStyle w:val="Caption"/>
      </w:pPr>
      <w:bookmarkStart w:id="57" w:name="_Ref482265519"/>
      <w:r>
        <w:t xml:space="preserve">Table </w:t>
      </w:r>
      <w:r w:rsidR="000056CF">
        <w:rPr>
          <w:noProof/>
        </w:rPr>
        <w:t>10</w:t>
      </w:r>
      <w:r w:rsidRPr="00AE4A5F">
        <w:t>: Summary of model structure and rationale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162"/>
        <w:gridCol w:w="7920"/>
      </w:tblGrid>
      <w:tr w:rsidR="00DE1411" w:rsidRPr="00DA2530" w:rsidTr="009B5536">
        <w:trPr>
          <w:tblHeader/>
        </w:trPr>
        <w:tc>
          <w:tcPr>
            <w:tcW w:w="640" w:type="pct"/>
            <w:shd w:val="clear" w:color="auto" w:fill="auto"/>
            <w:vAlign w:val="center"/>
          </w:tcPr>
          <w:p w:rsidR="00DE1411" w:rsidRPr="00DA2530" w:rsidRDefault="00DE1411" w:rsidP="001E08C1">
            <w:pPr>
              <w:pStyle w:val="TableText1"/>
              <w:rPr>
                <w:b/>
              </w:rPr>
            </w:pPr>
            <w:r w:rsidRPr="00DA2530">
              <w:rPr>
                <w:b/>
              </w:rPr>
              <w:t>Component</w:t>
            </w:r>
          </w:p>
        </w:tc>
        <w:tc>
          <w:tcPr>
            <w:tcW w:w="4360" w:type="pct"/>
            <w:shd w:val="clear" w:color="auto" w:fill="auto"/>
            <w:vAlign w:val="center"/>
          </w:tcPr>
          <w:p w:rsidR="00DE1411" w:rsidRPr="00DA2530" w:rsidRDefault="00DE1411" w:rsidP="001E08C1">
            <w:pPr>
              <w:pStyle w:val="TableText1"/>
              <w:rPr>
                <w:b/>
              </w:rPr>
            </w:pPr>
            <w:r w:rsidRPr="00DA2530">
              <w:rPr>
                <w:b/>
              </w:rPr>
              <w:t>Summary</w:t>
            </w:r>
          </w:p>
        </w:tc>
      </w:tr>
      <w:tr w:rsidR="00DE1411" w:rsidRPr="00DA2530" w:rsidTr="009B5536">
        <w:tc>
          <w:tcPr>
            <w:tcW w:w="640" w:type="pct"/>
            <w:shd w:val="clear" w:color="auto" w:fill="auto"/>
            <w:vAlign w:val="center"/>
          </w:tcPr>
          <w:p w:rsidR="00DE1411" w:rsidRPr="00DA2530" w:rsidRDefault="00DE1411" w:rsidP="001E08C1">
            <w:pPr>
              <w:pStyle w:val="TableText1"/>
            </w:pPr>
            <w:r w:rsidRPr="00DA2530">
              <w:t>Time horizon</w:t>
            </w:r>
          </w:p>
        </w:tc>
        <w:tc>
          <w:tcPr>
            <w:tcW w:w="4360" w:type="pct"/>
            <w:shd w:val="clear" w:color="auto" w:fill="auto"/>
            <w:vAlign w:val="center"/>
          </w:tcPr>
          <w:p w:rsidR="00DE1411" w:rsidRPr="00DA2530" w:rsidRDefault="00DE1411" w:rsidP="001E08C1">
            <w:pPr>
              <w:pStyle w:val="TableText1"/>
              <w:rPr>
                <w:rFonts w:ascii="Times" w:eastAsia="Times New Roman" w:hAnsi="Times" w:cs="Times New Roman"/>
              </w:rPr>
            </w:pPr>
            <w:r w:rsidRPr="00DA2530">
              <w:t>Life time horizon the modelled Base case 1 versus 24 weeks in the trial. A further 96 weeks was presented as supportive evidence, but not used in the model.</w:t>
            </w:r>
          </w:p>
        </w:tc>
      </w:tr>
      <w:tr w:rsidR="00DE1411" w:rsidRPr="00DA2530" w:rsidTr="009B5536">
        <w:tc>
          <w:tcPr>
            <w:tcW w:w="640" w:type="pct"/>
            <w:shd w:val="clear" w:color="auto" w:fill="auto"/>
            <w:vAlign w:val="center"/>
          </w:tcPr>
          <w:p w:rsidR="00DE1411" w:rsidRPr="00DA2530" w:rsidRDefault="00DE1411" w:rsidP="001E08C1">
            <w:pPr>
              <w:pStyle w:val="TableText1"/>
              <w:rPr>
                <w:rFonts w:ascii="Times" w:eastAsia="Times New Roman" w:hAnsi="Times" w:cs="Times New Roman"/>
              </w:rPr>
            </w:pPr>
            <w:r w:rsidRPr="00DA2530">
              <w:t>Outcomes</w:t>
            </w:r>
          </w:p>
        </w:tc>
        <w:tc>
          <w:tcPr>
            <w:tcW w:w="4360" w:type="pct"/>
            <w:shd w:val="clear" w:color="auto" w:fill="auto"/>
            <w:vAlign w:val="center"/>
          </w:tcPr>
          <w:p w:rsidR="00DE1411" w:rsidRPr="00DA2530" w:rsidRDefault="00DE1411" w:rsidP="001E08C1">
            <w:pPr>
              <w:pStyle w:val="TableText1"/>
              <w:rPr>
                <w:rFonts w:ascii="Times" w:eastAsia="Times New Roman" w:hAnsi="Times" w:cs="Times New Roman"/>
              </w:rPr>
            </w:pPr>
            <w:r w:rsidRPr="00DA2530">
              <w:t>QALYs</w:t>
            </w:r>
          </w:p>
        </w:tc>
      </w:tr>
      <w:tr w:rsidR="00DE1411" w:rsidRPr="00DA2530" w:rsidTr="009B5536">
        <w:tc>
          <w:tcPr>
            <w:tcW w:w="640" w:type="pct"/>
            <w:shd w:val="clear" w:color="auto" w:fill="auto"/>
            <w:vAlign w:val="center"/>
          </w:tcPr>
          <w:p w:rsidR="00DE1411" w:rsidRPr="00DA2530" w:rsidRDefault="00DE1411" w:rsidP="001E08C1">
            <w:pPr>
              <w:pStyle w:val="TableText1"/>
              <w:rPr>
                <w:rFonts w:ascii="Times" w:eastAsia="Times New Roman" w:hAnsi="Times" w:cs="Times New Roman"/>
              </w:rPr>
            </w:pPr>
            <w:r w:rsidRPr="00DA2530">
              <w:t>Methods used to generate results</w:t>
            </w:r>
          </w:p>
        </w:tc>
        <w:tc>
          <w:tcPr>
            <w:tcW w:w="4360" w:type="pct"/>
            <w:shd w:val="clear" w:color="auto" w:fill="auto"/>
            <w:vAlign w:val="center"/>
          </w:tcPr>
          <w:p w:rsidR="00DE1411" w:rsidRPr="00DA2530" w:rsidRDefault="00DE1411" w:rsidP="001E08C1">
            <w:pPr>
              <w:pStyle w:val="TableText1"/>
            </w:pPr>
            <w:r w:rsidRPr="00DA2530">
              <w:t>Microsimulation</w:t>
            </w:r>
          </w:p>
          <w:p w:rsidR="00DE1411" w:rsidRPr="00DA2530" w:rsidRDefault="00DE1411" w:rsidP="001E08C1">
            <w:pPr>
              <w:pStyle w:val="TableText1"/>
              <w:rPr>
                <w:rFonts w:ascii="Times" w:eastAsia="Times New Roman" w:hAnsi="Times" w:cs="Times New Roman"/>
              </w:rPr>
            </w:pPr>
            <w:r w:rsidRPr="00DA2530">
              <w:t>Cox-proportional hazards survival model (Liou et al, 2001) used to apply the effect of nine risk factors on the baseline hazard of mortality. In lumacaftor/ivacaftor patients pp</w:t>
            </w:r>
            <w:r w:rsidRPr="00DA2530">
              <w:rPr>
                <w:szCs w:val="24"/>
              </w:rPr>
              <w:t>FEV</w:t>
            </w:r>
            <w:r w:rsidRPr="00DA2530">
              <w:rPr>
                <w:szCs w:val="24"/>
                <w:vertAlign w:val="subscript"/>
              </w:rPr>
              <w:t>1</w:t>
            </w:r>
            <w:r w:rsidRPr="00DA2530">
              <w:rPr>
                <w:vertAlign w:val="subscript"/>
              </w:rPr>
              <w:t xml:space="preserve">, </w:t>
            </w:r>
            <w:r w:rsidRPr="00DA2530">
              <w:t>weight-for-age z-score and number of pulmonary exacerbations are based on trial results.</w:t>
            </w:r>
          </w:p>
        </w:tc>
      </w:tr>
      <w:tr w:rsidR="00DE1411" w:rsidRPr="00DA2530" w:rsidTr="009B5536">
        <w:tc>
          <w:tcPr>
            <w:tcW w:w="640" w:type="pct"/>
            <w:shd w:val="clear" w:color="auto" w:fill="auto"/>
            <w:vAlign w:val="center"/>
          </w:tcPr>
          <w:p w:rsidR="00DE1411" w:rsidRPr="00DA2530" w:rsidRDefault="00DE1411" w:rsidP="001E08C1">
            <w:pPr>
              <w:pStyle w:val="TableText1"/>
              <w:rPr>
                <w:rFonts w:ascii="Times" w:eastAsia="Times New Roman" w:hAnsi="Times" w:cs="Times New Roman"/>
              </w:rPr>
            </w:pPr>
            <w:r w:rsidRPr="00DA2530">
              <w:t>Health states</w:t>
            </w:r>
          </w:p>
        </w:tc>
        <w:tc>
          <w:tcPr>
            <w:tcW w:w="4360" w:type="pct"/>
            <w:shd w:val="clear" w:color="auto" w:fill="auto"/>
            <w:vAlign w:val="center"/>
          </w:tcPr>
          <w:p w:rsidR="00DE1411" w:rsidRPr="00DA2530" w:rsidRDefault="00DE1411" w:rsidP="001E08C1">
            <w:pPr>
              <w:pStyle w:val="TableText1"/>
              <w:rPr>
                <w:rFonts w:ascii="Times" w:eastAsia="Times New Roman" w:hAnsi="Times" w:cs="Times New Roman"/>
              </w:rPr>
            </w:pPr>
            <w:r w:rsidRPr="00DA2530">
              <w:t>As a microsimulation, changes are recorded in the underlying risk factors (as above) for each patient. Utility values are applied to health states based on pp</w:t>
            </w:r>
            <w:r w:rsidRPr="00DA2530">
              <w:rPr>
                <w:szCs w:val="24"/>
              </w:rPr>
              <w:t>FEV</w:t>
            </w:r>
            <w:r w:rsidRPr="00DA2530">
              <w:rPr>
                <w:szCs w:val="24"/>
                <w:vertAlign w:val="subscript"/>
              </w:rPr>
              <w:t>1</w:t>
            </w:r>
            <w:r w:rsidRPr="00DA2530">
              <w:t xml:space="preserve"> status of normal (&gt;90%), mild (70-90%), moderate (40-70%) and severe (&lt;</w:t>
            </w:r>
            <w:r w:rsidR="0033295E">
              <w:t>4</w:t>
            </w:r>
            <w:r w:rsidRPr="00DA2530">
              <w:t>0%).</w:t>
            </w:r>
          </w:p>
        </w:tc>
      </w:tr>
      <w:tr w:rsidR="00DE1411" w:rsidRPr="00DA2530" w:rsidTr="009B5536">
        <w:tc>
          <w:tcPr>
            <w:tcW w:w="640" w:type="pct"/>
            <w:shd w:val="clear" w:color="auto" w:fill="auto"/>
            <w:vAlign w:val="center"/>
          </w:tcPr>
          <w:p w:rsidR="00DE1411" w:rsidRPr="00DA2530" w:rsidRDefault="00DE1411" w:rsidP="001E08C1">
            <w:pPr>
              <w:pStyle w:val="TableText1"/>
              <w:rPr>
                <w:rFonts w:ascii="Times" w:eastAsia="Times New Roman" w:hAnsi="Times" w:cs="Times New Roman"/>
              </w:rPr>
            </w:pPr>
            <w:r w:rsidRPr="00DA2530">
              <w:t>Utilities</w:t>
            </w:r>
          </w:p>
        </w:tc>
        <w:tc>
          <w:tcPr>
            <w:tcW w:w="4360" w:type="pct"/>
            <w:shd w:val="clear" w:color="auto" w:fill="auto"/>
            <w:vAlign w:val="center"/>
          </w:tcPr>
          <w:p w:rsidR="00DE1411" w:rsidRPr="00DA2530" w:rsidRDefault="00DE1411" w:rsidP="001E08C1">
            <w:pPr>
              <w:pStyle w:val="TableText1"/>
              <w:rPr>
                <w:rFonts w:ascii="Times" w:eastAsia="Times New Roman" w:hAnsi="Times" w:cs="Times New Roman"/>
              </w:rPr>
            </w:pPr>
            <w:r w:rsidRPr="00DA2530">
              <w:t>Clinician Survey</w:t>
            </w:r>
          </w:p>
        </w:tc>
      </w:tr>
      <w:tr w:rsidR="00DE1411" w:rsidRPr="00DA2530" w:rsidTr="009B5536">
        <w:tc>
          <w:tcPr>
            <w:tcW w:w="640" w:type="pct"/>
            <w:shd w:val="clear" w:color="auto" w:fill="auto"/>
            <w:vAlign w:val="center"/>
          </w:tcPr>
          <w:p w:rsidR="00DE1411" w:rsidRPr="00DA2530" w:rsidRDefault="00DE1411" w:rsidP="001E08C1">
            <w:pPr>
              <w:pStyle w:val="TableText1"/>
              <w:rPr>
                <w:rFonts w:ascii="Times" w:eastAsia="Times New Roman" w:hAnsi="Times" w:cs="Times New Roman"/>
              </w:rPr>
            </w:pPr>
            <w:r w:rsidRPr="00DA2530">
              <w:t>Cycle length</w:t>
            </w:r>
          </w:p>
        </w:tc>
        <w:tc>
          <w:tcPr>
            <w:tcW w:w="4360" w:type="pct"/>
            <w:shd w:val="clear" w:color="auto" w:fill="auto"/>
            <w:vAlign w:val="center"/>
          </w:tcPr>
          <w:p w:rsidR="00DE1411" w:rsidRPr="00DA2530" w:rsidRDefault="00DE1411" w:rsidP="001E08C1">
            <w:pPr>
              <w:pStyle w:val="TableText1"/>
              <w:rPr>
                <w:rFonts w:ascii="Times" w:eastAsia="Times New Roman" w:hAnsi="Times" w:cs="Times New Roman"/>
              </w:rPr>
            </w:pPr>
            <w:r w:rsidRPr="00DA2530">
              <w:t xml:space="preserve">4 weeks for the initial two years, annual thereafter. </w:t>
            </w:r>
          </w:p>
        </w:tc>
      </w:tr>
    </w:tbl>
    <w:p w:rsidR="00DE1411" w:rsidRPr="00DA2530" w:rsidRDefault="00DE1411" w:rsidP="001E08C1">
      <w:pPr>
        <w:pStyle w:val="Tablefooter8pt"/>
      </w:pPr>
      <w:r w:rsidRPr="00DA2530">
        <w:t xml:space="preserve">Source: Table D.3.1 of the Commentary. </w:t>
      </w:r>
    </w:p>
    <w:p w:rsidR="00DE1411" w:rsidRDefault="00DE1411" w:rsidP="001E08C1">
      <w:pPr>
        <w:pStyle w:val="Tablefooter8pt"/>
        <w:spacing w:after="120"/>
      </w:pPr>
      <w:r w:rsidRPr="00DA2530">
        <w:t>Abbreviations: pp</w:t>
      </w:r>
      <w:r w:rsidRPr="00DA2530">
        <w:rPr>
          <w:szCs w:val="24"/>
        </w:rPr>
        <w:t>FEV</w:t>
      </w:r>
      <w:r w:rsidRPr="00DA2530">
        <w:rPr>
          <w:szCs w:val="24"/>
          <w:vertAlign w:val="subscript"/>
        </w:rPr>
        <w:t>1</w:t>
      </w:r>
      <w:r w:rsidRPr="00DA2530">
        <w:t xml:space="preserve"> </w:t>
      </w:r>
      <w:r>
        <w:t xml:space="preserve">= </w:t>
      </w:r>
      <w:r w:rsidRPr="00DA2530">
        <w:t>percent predicted forced expirat</w:t>
      </w:r>
      <w:r>
        <w:t xml:space="preserve">ory volume in one second; QALY = </w:t>
      </w:r>
      <w:r w:rsidRPr="00DA2530">
        <w:t>quality-adjusted life-years.</w:t>
      </w:r>
    </w:p>
    <w:p w:rsidR="000D33EE" w:rsidRPr="00DA2530" w:rsidRDefault="000D33EE" w:rsidP="001E08C1">
      <w:pPr>
        <w:pStyle w:val="Tablefooter8pt"/>
        <w:spacing w:after="120"/>
      </w:pPr>
    </w:p>
    <w:p w:rsidR="00B2608F" w:rsidRPr="00DA2530" w:rsidRDefault="00627E93" w:rsidP="00F458A7">
      <w:pPr>
        <w:pStyle w:val="ListParagraph"/>
        <w:widowControl/>
        <w:numPr>
          <w:ilvl w:val="1"/>
          <w:numId w:val="13"/>
        </w:numPr>
        <w:spacing w:after="120"/>
        <w:ind w:left="709" w:hanging="709"/>
        <w:contextualSpacing w:val="0"/>
        <w:rPr>
          <w:rFonts w:asciiTheme="minorHAnsi" w:hAnsiTheme="minorHAnsi"/>
          <w:sz w:val="24"/>
        </w:rPr>
      </w:pPr>
      <w:r w:rsidRPr="00DA2530">
        <w:rPr>
          <w:rFonts w:asciiTheme="minorHAnsi" w:hAnsiTheme="minorHAnsi"/>
          <w:sz w:val="24"/>
        </w:rPr>
        <w:t>Base case 1 included</w:t>
      </w:r>
      <w:r w:rsidR="00B2608F" w:rsidRPr="00DA2530">
        <w:rPr>
          <w:rFonts w:asciiTheme="minorHAnsi" w:hAnsiTheme="minorHAnsi"/>
          <w:sz w:val="24"/>
        </w:rPr>
        <w:t xml:space="preserve"> four revisions to the March 2016 model</w:t>
      </w:r>
      <w:r w:rsidRPr="00DA2530">
        <w:rPr>
          <w:rFonts w:asciiTheme="minorHAnsi" w:hAnsiTheme="minorHAnsi"/>
          <w:sz w:val="24"/>
        </w:rPr>
        <w:t xml:space="preserve"> to result in an ICER of </w:t>
      </w:r>
      <w:r w:rsidR="00F458A7">
        <w:rPr>
          <w:rFonts w:asciiTheme="minorHAnsi" w:hAnsiTheme="minorHAnsi"/>
          <w:sz w:val="24"/>
        </w:rPr>
        <w:t xml:space="preserve"> </w:t>
      </w:r>
      <w:r w:rsidR="00F458A7" w:rsidRPr="00F458A7">
        <w:rPr>
          <w:rFonts w:asciiTheme="minorHAnsi" w:hAnsiTheme="minorHAnsi"/>
          <w:sz w:val="24"/>
        </w:rPr>
        <w:t>$105,000/QALY – $200,000/QALY</w:t>
      </w:r>
      <w:r w:rsidR="00B2608F" w:rsidRPr="00DA2530">
        <w:rPr>
          <w:rFonts w:asciiTheme="minorHAnsi" w:hAnsiTheme="minorHAnsi"/>
          <w:sz w:val="24"/>
        </w:rPr>
        <w:t>:</w:t>
      </w:r>
      <w:bookmarkEnd w:id="56"/>
      <w:bookmarkEnd w:id="57"/>
      <w:r w:rsidR="00B2608F" w:rsidRPr="00DA2530">
        <w:rPr>
          <w:rFonts w:asciiTheme="minorHAnsi" w:hAnsiTheme="minorHAnsi"/>
          <w:sz w:val="24"/>
        </w:rPr>
        <w:t xml:space="preserve"> </w:t>
      </w:r>
    </w:p>
    <w:p w:rsidR="00B2608F" w:rsidRPr="00226B30" w:rsidRDefault="00B2608F" w:rsidP="00C3041E">
      <w:pPr>
        <w:pStyle w:val="ListParagraph"/>
        <w:widowControl/>
        <w:numPr>
          <w:ilvl w:val="0"/>
          <w:numId w:val="14"/>
        </w:numPr>
        <w:ind w:left="993" w:hanging="284"/>
        <w:contextualSpacing w:val="0"/>
        <w:rPr>
          <w:rFonts w:asciiTheme="minorHAnsi" w:hAnsiTheme="minorHAnsi"/>
          <w:sz w:val="24"/>
        </w:rPr>
      </w:pPr>
      <w:r w:rsidRPr="00226B30">
        <w:rPr>
          <w:rFonts w:asciiTheme="minorHAnsi" w:hAnsiTheme="minorHAnsi"/>
          <w:sz w:val="24"/>
        </w:rPr>
        <w:t>The assumed date of PBS listing of lumacaftor/ivacaftor changed from 1 July 2016 to 1 February 2018</w:t>
      </w:r>
      <w:r w:rsidR="00F34678" w:rsidRPr="00226B30">
        <w:rPr>
          <w:rFonts w:asciiTheme="minorHAnsi" w:hAnsiTheme="minorHAnsi"/>
          <w:sz w:val="24"/>
        </w:rPr>
        <w:t xml:space="preserve"> which</w:t>
      </w:r>
      <w:r w:rsidRPr="00226B30">
        <w:rPr>
          <w:rFonts w:asciiTheme="minorHAnsi" w:hAnsiTheme="minorHAnsi"/>
          <w:sz w:val="24"/>
        </w:rPr>
        <w:t xml:space="preserve"> reduced the time listed on the PBS until loss of exclusivity from </w:t>
      </w:r>
      <w:r w:rsidR="00A42B97">
        <w:rPr>
          <w:rFonts w:asciiTheme="minorHAnsi" w:hAnsiTheme="minorHAnsi"/>
          <w:noProof/>
          <w:color w:val="000000"/>
          <w:sz w:val="24"/>
          <w:highlight w:val="black"/>
        </w:rPr>
        <w:t>'''''''''</w:t>
      </w:r>
      <w:r w:rsidRPr="00226B30">
        <w:rPr>
          <w:rFonts w:asciiTheme="minorHAnsi" w:hAnsiTheme="minorHAnsi"/>
          <w:sz w:val="24"/>
        </w:rPr>
        <w:t xml:space="preserve"> years to </w:t>
      </w:r>
      <w:r w:rsidR="00A42B97">
        <w:rPr>
          <w:rFonts w:asciiTheme="minorHAnsi" w:hAnsiTheme="minorHAnsi"/>
          <w:noProof/>
          <w:color w:val="000000"/>
          <w:sz w:val="24"/>
          <w:highlight w:val="black"/>
        </w:rPr>
        <w:t xml:space="preserve">''''''''' </w:t>
      </w:r>
      <w:r w:rsidRPr="00226B30">
        <w:rPr>
          <w:rFonts w:asciiTheme="minorHAnsi" w:hAnsiTheme="minorHAnsi"/>
          <w:sz w:val="24"/>
        </w:rPr>
        <w:t xml:space="preserve">years. </w:t>
      </w:r>
      <w:r w:rsidR="00AF03E4">
        <w:rPr>
          <w:rFonts w:asciiTheme="minorHAnsi" w:hAnsiTheme="minorHAnsi"/>
          <w:sz w:val="24"/>
        </w:rPr>
        <w:t>The model applied a</w:t>
      </w:r>
      <w:r w:rsidRPr="00226B30">
        <w:rPr>
          <w:rFonts w:asciiTheme="minorHAnsi" w:hAnsiTheme="minorHAnsi"/>
          <w:sz w:val="24"/>
        </w:rPr>
        <w:t xml:space="preserve"> </w:t>
      </w:r>
      <w:r w:rsidR="00A42B97">
        <w:rPr>
          <w:rFonts w:asciiTheme="minorHAnsi" w:hAnsiTheme="minorHAnsi"/>
          <w:noProof/>
          <w:color w:val="000000"/>
          <w:sz w:val="24"/>
          <w:highlight w:val="black"/>
        </w:rPr>
        <w:t>''''''</w:t>
      </w:r>
      <w:r w:rsidRPr="00226B30">
        <w:rPr>
          <w:rFonts w:asciiTheme="minorHAnsi" w:hAnsiTheme="minorHAnsi"/>
          <w:sz w:val="24"/>
        </w:rPr>
        <w:t>% reduction in the price of lumacaftor/ivacaftor at the end of the patent period (</w:t>
      </w:r>
      <w:r w:rsidR="00A42B97">
        <w:rPr>
          <w:rFonts w:asciiTheme="minorHAnsi" w:hAnsiTheme="minorHAnsi"/>
          <w:noProof/>
          <w:color w:val="000000"/>
          <w:sz w:val="24"/>
          <w:highlight w:val="black"/>
        </w:rPr>
        <w:t>''' ''''''''''''''''''''' '''''''''</w:t>
      </w:r>
      <w:r w:rsidRPr="00226B30">
        <w:rPr>
          <w:rFonts w:asciiTheme="minorHAnsi" w:hAnsiTheme="minorHAnsi"/>
          <w:sz w:val="24"/>
        </w:rPr>
        <w:t xml:space="preserve">). This </w:t>
      </w:r>
      <w:r w:rsidR="00F34678" w:rsidRPr="00226B30">
        <w:rPr>
          <w:rFonts w:asciiTheme="minorHAnsi" w:hAnsiTheme="minorHAnsi"/>
          <w:sz w:val="24"/>
        </w:rPr>
        <w:t>assumption</w:t>
      </w:r>
      <w:r w:rsidRPr="00226B30">
        <w:rPr>
          <w:rFonts w:asciiTheme="minorHAnsi" w:hAnsiTheme="minorHAnsi"/>
          <w:sz w:val="24"/>
        </w:rPr>
        <w:t xml:space="preserve"> is contrary to the PBAC </w:t>
      </w:r>
      <w:r w:rsidR="00304243" w:rsidRPr="00226B30">
        <w:rPr>
          <w:rFonts w:asciiTheme="minorHAnsi" w:hAnsiTheme="minorHAnsi"/>
          <w:sz w:val="24"/>
        </w:rPr>
        <w:t>G</w:t>
      </w:r>
      <w:r w:rsidRPr="00226B30">
        <w:rPr>
          <w:rFonts w:asciiTheme="minorHAnsi" w:hAnsiTheme="minorHAnsi"/>
          <w:sz w:val="24"/>
        </w:rPr>
        <w:t>uidelines</w:t>
      </w:r>
      <w:r w:rsidR="00DF7BF9">
        <w:rPr>
          <w:rFonts w:asciiTheme="minorHAnsi" w:hAnsiTheme="minorHAnsi"/>
          <w:sz w:val="24"/>
        </w:rPr>
        <w:t xml:space="preserve"> V5.0 (p82)</w:t>
      </w:r>
      <w:r w:rsidRPr="00226B30">
        <w:rPr>
          <w:rFonts w:asciiTheme="minorHAnsi" w:hAnsiTheme="minorHAnsi"/>
          <w:sz w:val="24"/>
        </w:rPr>
        <w:t xml:space="preserve"> which state that submissions should value future costs at current prices.</w:t>
      </w:r>
      <w:r w:rsidR="000E273F" w:rsidRPr="00226B30">
        <w:rPr>
          <w:rFonts w:asciiTheme="minorHAnsi" w:hAnsiTheme="minorHAnsi"/>
          <w:sz w:val="24"/>
        </w:rPr>
        <w:t xml:space="preserve"> </w:t>
      </w:r>
    </w:p>
    <w:p w:rsidR="000E273F" w:rsidRPr="001F1BA4" w:rsidRDefault="00B2608F" w:rsidP="00C3041E">
      <w:pPr>
        <w:pStyle w:val="ListParagraph"/>
        <w:widowControl/>
        <w:numPr>
          <w:ilvl w:val="0"/>
          <w:numId w:val="14"/>
        </w:numPr>
        <w:ind w:left="993" w:hanging="284"/>
        <w:contextualSpacing w:val="0"/>
        <w:rPr>
          <w:rFonts w:asciiTheme="minorHAnsi" w:hAnsiTheme="minorHAnsi"/>
          <w:sz w:val="24"/>
        </w:rPr>
      </w:pPr>
      <w:r w:rsidRPr="001F1BA4">
        <w:rPr>
          <w:rFonts w:asciiTheme="minorHAnsi" w:hAnsiTheme="minorHAnsi"/>
          <w:sz w:val="24"/>
        </w:rPr>
        <w:t xml:space="preserve">An F1 </w:t>
      </w:r>
      <w:r w:rsidR="000D756F" w:rsidRPr="001F1BA4">
        <w:rPr>
          <w:rFonts w:asciiTheme="minorHAnsi" w:hAnsiTheme="minorHAnsi"/>
          <w:sz w:val="24"/>
        </w:rPr>
        <w:t xml:space="preserve">statutory 5% </w:t>
      </w:r>
      <w:r w:rsidRPr="001F1BA4">
        <w:rPr>
          <w:rFonts w:asciiTheme="minorHAnsi" w:hAnsiTheme="minorHAnsi"/>
          <w:sz w:val="24"/>
        </w:rPr>
        <w:t>price cut was applied to the price of lumacaftor/ivacaftor</w:t>
      </w:r>
      <w:r w:rsidR="00121A6E" w:rsidRPr="001F1BA4">
        <w:rPr>
          <w:rFonts w:asciiTheme="minorHAnsi" w:hAnsiTheme="minorHAnsi"/>
          <w:sz w:val="24"/>
        </w:rPr>
        <w:t xml:space="preserve"> after the first 5 years of listing</w:t>
      </w:r>
      <w:r w:rsidRPr="001F1BA4">
        <w:rPr>
          <w:rFonts w:asciiTheme="minorHAnsi" w:hAnsiTheme="minorHAnsi"/>
          <w:sz w:val="24"/>
        </w:rPr>
        <w:t>.</w:t>
      </w:r>
      <w:r w:rsidR="008F462B" w:rsidRPr="001F1BA4">
        <w:rPr>
          <w:rFonts w:asciiTheme="minorHAnsi" w:hAnsiTheme="minorHAnsi"/>
          <w:sz w:val="24"/>
        </w:rPr>
        <w:t xml:space="preserve"> As with the </w:t>
      </w:r>
      <w:r w:rsidR="00A42B97">
        <w:rPr>
          <w:rFonts w:asciiTheme="minorHAnsi" w:hAnsiTheme="minorHAnsi"/>
          <w:noProof/>
          <w:color w:val="000000"/>
          <w:sz w:val="24"/>
          <w:highlight w:val="black"/>
        </w:rPr>
        <w:t>'''''</w:t>
      </w:r>
      <w:r w:rsidR="008F462B" w:rsidRPr="001F1BA4">
        <w:rPr>
          <w:rFonts w:asciiTheme="minorHAnsi" w:hAnsiTheme="minorHAnsi"/>
          <w:sz w:val="24"/>
        </w:rPr>
        <w:t xml:space="preserve">% price reduction, </w:t>
      </w:r>
      <w:r w:rsidR="00E774F4" w:rsidRPr="001F1BA4">
        <w:rPr>
          <w:rFonts w:asciiTheme="minorHAnsi" w:hAnsiTheme="minorHAnsi"/>
          <w:sz w:val="24"/>
        </w:rPr>
        <w:t xml:space="preserve">the additional 5% price cut is </w:t>
      </w:r>
      <w:r w:rsidR="008F462B" w:rsidRPr="001F1BA4">
        <w:rPr>
          <w:rFonts w:asciiTheme="minorHAnsi" w:hAnsiTheme="minorHAnsi"/>
          <w:sz w:val="24"/>
        </w:rPr>
        <w:t xml:space="preserve">also </w:t>
      </w:r>
      <w:r w:rsidR="00304243" w:rsidRPr="001F1BA4">
        <w:rPr>
          <w:rFonts w:asciiTheme="minorHAnsi" w:hAnsiTheme="minorHAnsi"/>
          <w:sz w:val="24"/>
        </w:rPr>
        <w:t>contrary to the PBAC G</w:t>
      </w:r>
      <w:r w:rsidR="008F462B" w:rsidRPr="001F1BA4">
        <w:rPr>
          <w:rFonts w:asciiTheme="minorHAnsi" w:hAnsiTheme="minorHAnsi"/>
          <w:sz w:val="24"/>
        </w:rPr>
        <w:t>uidelines</w:t>
      </w:r>
      <w:r w:rsidR="00DF7BF9" w:rsidRPr="001F1BA4">
        <w:rPr>
          <w:rFonts w:asciiTheme="minorHAnsi" w:hAnsiTheme="minorHAnsi"/>
          <w:sz w:val="24"/>
        </w:rPr>
        <w:t xml:space="preserve"> V5.0</w:t>
      </w:r>
      <w:r w:rsidR="0033295E" w:rsidRPr="001F1BA4">
        <w:rPr>
          <w:rFonts w:asciiTheme="minorHAnsi" w:hAnsiTheme="minorHAnsi"/>
          <w:sz w:val="24"/>
        </w:rPr>
        <w:t xml:space="preserve">, but the effect on the ICER of this </w:t>
      </w:r>
      <w:r w:rsidR="00AF03E4" w:rsidRPr="001F1BA4">
        <w:rPr>
          <w:rFonts w:asciiTheme="minorHAnsi" w:hAnsiTheme="minorHAnsi"/>
          <w:sz w:val="24"/>
        </w:rPr>
        <w:t xml:space="preserve">was </w:t>
      </w:r>
      <w:r w:rsidR="0033295E" w:rsidRPr="001F1BA4">
        <w:rPr>
          <w:rFonts w:asciiTheme="minorHAnsi" w:hAnsiTheme="minorHAnsi"/>
          <w:sz w:val="24"/>
        </w:rPr>
        <w:t>relatively smaller than the impact of the assumed price change at patent expiry</w:t>
      </w:r>
      <w:r w:rsidR="007C71DF" w:rsidRPr="001F1BA4">
        <w:rPr>
          <w:rStyle w:val="FootnoteReference"/>
          <w:rFonts w:asciiTheme="minorHAnsi" w:hAnsiTheme="minorHAnsi"/>
          <w:sz w:val="24"/>
        </w:rPr>
        <w:footnoteReference w:id="6"/>
      </w:r>
      <w:r w:rsidR="008F462B" w:rsidRPr="001F1BA4">
        <w:rPr>
          <w:rFonts w:asciiTheme="minorHAnsi" w:hAnsiTheme="minorHAnsi"/>
          <w:sz w:val="24"/>
        </w:rPr>
        <w:t>.</w:t>
      </w:r>
      <w:r w:rsidR="000E273F" w:rsidRPr="001F1BA4">
        <w:rPr>
          <w:rFonts w:asciiTheme="minorHAnsi" w:hAnsiTheme="minorHAnsi"/>
          <w:sz w:val="24"/>
        </w:rPr>
        <w:t xml:space="preserve"> </w:t>
      </w:r>
    </w:p>
    <w:p w:rsidR="00B2608F" w:rsidRPr="00226B30" w:rsidRDefault="00B2608F" w:rsidP="00C3041E">
      <w:pPr>
        <w:pStyle w:val="ListParagraph"/>
        <w:widowControl/>
        <w:numPr>
          <w:ilvl w:val="0"/>
          <w:numId w:val="14"/>
        </w:numPr>
        <w:ind w:left="993" w:hanging="284"/>
        <w:contextualSpacing w:val="0"/>
        <w:rPr>
          <w:rFonts w:asciiTheme="minorHAnsi" w:hAnsiTheme="minorHAnsi"/>
          <w:sz w:val="24"/>
        </w:rPr>
      </w:pPr>
      <w:r w:rsidRPr="00226B30">
        <w:rPr>
          <w:rFonts w:asciiTheme="minorHAnsi" w:hAnsiTheme="minorHAnsi"/>
          <w:sz w:val="24"/>
        </w:rPr>
        <w:t xml:space="preserve">General BSC disease management costs in the lumacaftor/ivacaftor arm were reduced to capture the effect of </w:t>
      </w:r>
      <w:r w:rsidR="00EC60BB" w:rsidRPr="00226B30">
        <w:rPr>
          <w:rFonts w:asciiTheme="minorHAnsi" w:hAnsiTheme="minorHAnsi"/>
          <w:sz w:val="24"/>
        </w:rPr>
        <w:t xml:space="preserve">a </w:t>
      </w:r>
      <w:r w:rsidRPr="00226B30">
        <w:rPr>
          <w:rFonts w:asciiTheme="minorHAnsi" w:hAnsiTheme="minorHAnsi"/>
          <w:sz w:val="24"/>
        </w:rPr>
        <w:t>reduc</w:t>
      </w:r>
      <w:r w:rsidR="00EC60BB" w:rsidRPr="00226B30">
        <w:rPr>
          <w:rFonts w:asciiTheme="minorHAnsi" w:hAnsiTheme="minorHAnsi"/>
          <w:sz w:val="24"/>
        </w:rPr>
        <w:t>tion in</w:t>
      </w:r>
      <w:r w:rsidRPr="00226B30">
        <w:rPr>
          <w:rFonts w:asciiTheme="minorHAnsi" w:hAnsiTheme="minorHAnsi"/>
          <w:sz w:val="24"/>
        </w:rPr>
        <w:t xml:space="preserve"> </w:t>
      </w:r>
      <w:r w:rsidR="005C7E91" w:rsidRPr="00226B30">
        <w:rPr>
          <w:rFonts w:asciiTheme="minorHAnsi" w:hAnsiTheme="minorHAnsi"/>
          <w:sz w:val="24"/>
        </w:rPr>
        <w:t>PE-related hospitalisations.</w:t>
      </w:r>
      <w:r w:rsidR="00127742" w:rsidRPr="00226B30">
        <w:rPr>
          <w:rFonts w:asciiTheme="minorHAnsi" w:hAnsiTheme="minorHAnsi"/>
          <w:sz w:val="24"/>
        </w:rPr>
        <w:t xml:space="preserve"> The costs for PE</w:t>
      </w:r>
      <w:r w:rsidR="00AF03E4">
        <w:rPr>
          <w:rFonts w:asciiTheme="minorHAnsi" w:hAnsiTheme="minorHAnsi"/>
          <w:sz w:val="24"/>
        </w:rPr>
        <w:t>s</w:t>
      </w:r>
      <w:r w:rsidR="00127742" w:rsidRPr="00226B30">
        <w:rPr>
          <w:rFonts w:asciiTheme="minorHAnsi" w:hAnsiTheme="minorHAnsi"/>
          <w:sz w:val="24"/>
        </w:rPr>
        <w:t xml:space="preserve"> are not linked to events generated in the model in the lumacaftor/ivacaftor arm. Inpatient costs associated with PE</w:t>
      </w:r>
      <w:r w:rsidR="00EC60BB" w:rsidRPr="00226B30">
        <w:rPr>
          <w:rFonts w:asciiTheme="minorHAnsi" w:hAnsiTheme="minorHAnsi"/>
          <w:sz w:val="24"/>
        </w:rPr>
        <w:t>s</w:t>
      </w:r>
      <w:r w:rsidR="00127742" w:rsidRPr="00226B30">
        <w:rPr>
          <w:rFonts w:asciiTheme="minorHAnsi" w:hAnsiTheme="minorHAnsi"/>
          <w:sz w:val="24"/>
        </w:rPr>
        <w:t xml:space="preserve"> were estimated by multiplying the hospitalisation costs associated with BSC by 0.61, which is based on the reduction of PE-related hospitalisations after 24 weeks of treatment with lumacaftor/ivacaftor in TRAFFIC and TRANSPORT</w:t>
      </w:r>
      <w:r w:rsidR="00EC60BB" w:rsidRPr="00226B30">
        <w:rPr>
          <w:rFonts w:asciiTheme="minorHAnsi" w:hAnsiTheme="minorHAnsi"/>
          <w:sz w:val="24"/>
        </w:rPr>
        <w:t>; t</w:t>
      </w:r>
      <w:r w:rsidR="00127742" w:rsidRPr="00226B30">
        <w:rPr>
          <w:rFonts w:asciiTheme="minorHAnsi" w:hAnsiTheme="minorHAnsi"/>
          <w:sz w:val="24"/>
        </w:rPr>
        <w:t xml:space="preserve">his </w:t>
      </w:r>
      <w:r w:rsidR="00EC60BB" w:rsidRPr="00226B30">
        <w:rPr>
          <w:rFonts w:asciiTheme="minorHAnsi" w:hAnsiTheme="minorHAnsi"/>
          <w:sz w:val="24"/>
        </w:rPr>
        <w:t xml:space="preserve">inappropriately </w:t>
      </w:r>
      <w:r w:rsidR="00127742" w:rsidRPr="00226B30">
        <w:rPr>
          <w:rFonts w:asciiTheme="minorHAnsi" w:hAnsiTheme="minorHAnsi"/>
          <w:sz w:val="24"/>
        </w:rPr>
        <w:t>assume</w:t>
      </w:r>
      <w:r w:rsidR="00EC60BB" w:rsidRPr="00226B30">
        <w:rPr>
          <w:rFonts w:asciiTheme="minorHAnsi" w:hAnsiTheme="minorHAnsi"/>
          <w:sz w:val="24"/>
        </w:rPr>
        <w:t>d</w:t>
      </w:r>
      <w:r w:rsidR="00127742" w:rsidRPr="00226B30">
        <w:rPr>
          <w:rFonts w:asciiTheme="minorHAnsi" w:hAnsiTheme="minorHAnsi"/>
          <w:sz w:val="24"/>
        </w:rPr>
        <w:t xml:space="preserve"> that all hospitalisations are due to PEs.</w:t>
      </w:r>
    </w:p>
    <w:p w:rsidR="00B2608F" w:rsidRPr="00226B30" w:rsidRDefault="00B2608F" w:rsidP="00635D95">
      <w:pPr>
        <w:pStyle w:val="ListParagraph"/>
        <w:widowControl/>
        <w:numPr>
          <w:ilvl w:val="0"/>
          <w:numId w:val="14"/>
        </w:numPr>
        <w:ind w:left="993" w:hanging="461"/>
        <w:contextualSpacing w:val="0"/>
        <w:rPr>
          <w:rFonts w:asciiTheme="minorHAnsi" w:hAnsiTheme="minorHAnsi"/>
          <w:sz w:val="24"/>
        </w:rPr>
      </w:pPr>
      <w:r w:rsidRPr="00226B30">
        <w:rPr>
          <w:rFonts w:asciiTheme="minorHAnsi" w:hAnsiTheme="minorHAnsi"/>
          <w:sz w:val="24"/>
        </w:rPr>
        <w:t xml:space="preserve">The resubmission </w:t>
      </w:r>
      <w:r w:rsidR="009E7F86" w:rsidRPr="00226B30">
        <w:rPr>
          <w:rFonts w:asciiTheme="minorHAnsi" w:hAnsiTheme="minorHAnsi"/>
          <w:sz w:val="24"/>
        </w:rPr>
        <w:t xml:space="preserve">estimated that </w:t>
      </w:r>
      <w:r w:rsidR="00585D31" w:rsidRPr="00226B30">
        <w:rPr>
          <w:rFonts w:asciiTheme="minorHAnsi" w:hAnsiTheme="minorHAnsi"/>
          <w:sz w:val="24"/>
        </w:rPr>
        <w:t>the gross cost to the PBS</w:t>
      </w:r>
      <w:r w:rsidRPr="00226B30">
        <w:rPr>
          <w:rFonts w:asciiTheme="minorHAnsi" w:hAnsiTheme="minorHAnsi"/>
          <w:sz w:val="24"/>
        </w:rPr>
        <w:t xml:space="preserve"> of</w:t>
      </w:r>
      <w:r w:rsidR="00585D31" w:rsidRPr="00226B30">
        <w:rPr>
          <w:rFonts w:asciiTheme="minorHAnsi" w:hAnsiTheme="minorHAnsi"/>
          <w:sz w:val="24"/>
        </w:rPr>
        <w:t xml:space="preserve"> </w:t>
      </w:r>
      <w:r w:rsidR="0035485F" w:rsidRPr="00226B30">
        <w:rPr>
          <w:rFonts w:asciiTheme="minorHAnsi" w:hAnsiTheme="minorHAnsi"/>
          <w:sz w:val="24"/>
        </w:rPr>
        <w:t xml:space="preserve">listing </w:t>
      </w:r>
      <w:r w:rsidR="00585D31" w:rsidRPr="00226B30">
        <w:rPr>
          <w:rFonts w:asciiTheme="minorHAnsi" w:hAnsiTheme="minorHAnsi"/>
          <w:sz w:val="24"/>
        </w:rPr>
        <w:t>lumacaftor/ivacaftor would be</w:t>
      </w:r>
      <w:r w:rsidR="00635D95">
        <w:rPr>
          <w:rFonts w:asciiTheme="minorHAnsi" w:hAnsiTheme="minorHAnsi"/>
          <w:sz w:val="24"/>
        </w:rPr>
        <w:t xml:space="preserve"> substantially more than</w:t>
      </w:r>
      <w:r w:rsidRPr="00226B30">
        <w:rPr>
          <w:rFonts w:asciiTheme="minorHAnsi" w:hAnsiTheme="minorHAnsi"/>
          <w:sz w:val="24"/>
        </w:rPr>
        <w:t xml:space="preserve"> </w:t>
      </w:r>
      <w:r w:rsidR="00635D95" w:rsidRPr="00635D95">
        <w:rPr>
          <w:rFonts w:asciiTheme="minorHAnsi" w:hAnsiTheme="minorHAnsi"/>
          <w:sz w:val="24"/>
        </w:rPr>
        <w:t xml:space="preserve">$100 million per year </w:t>
      </w:r>
      <w:r w:rsidRPr="00226B30">
        <w:rPr>
          <w:rFonts w:asciiTheme="minorHAnsi" w:hAnsiTheme="minorHAnsi"/>
          <w:sz w:val="24"/>
        </w:rPr>
        <w:t xml:space="preserve">over 5 years. </w:t>
      </w:r>
      <w:r w:rsidR="009E7F86" w:rsidRPr="00226B30">
        <w:rPr>
          <w:rFonts w:asciiTheme="minorHAnsi" w:hAnsiTheme="minorHAnsi"/>
          <w:sz w:val="24"/>
        </w:rPr>
        <w:t>T</w:t>
      </w:r>
      <w:r w:rsidRPr="00226B30">
        <w:rPr>
          <w:rFonts w:asciiTheme="minorHAnsi" w:hAnsiTheme="minorHAnsi"/>
          <w:sz w:val="24"/>
        </w:rPr>
        <w:t xml:space="preserve">he model was revised to capture the effect </w:t>
      </w:r>
      <w:r w:rsidR="003F79AD" w:rsidRPr="00226B30">
        <w:rPr>
          <w:rFonts w:asciiTheme="minorHAnsi" w:hAnsiTheme="minorHAnsi"/>
          <w:sz w:val="24"/>
        </w:rPr>
        <w:t xml:space="preserve">of </w:t>
      </w:r>
      <w:r w:rsidR="009E7F86" w:rsidRPr="00226B30">
        <w:rPr>
          <w:rFonts w:asciiTheme="minorHAnsi" w:hAnsiTheme="minorHAnsi"/>
          <w:sz w:val="24"/>
        </w:rPr>
        <w:t xml:space="preserve">a “base cap” to </w:t>
      </w:r>
      <w:r w:rsidRPr="00226B30">
        <w:rPr>
          <w:rFonts w:asciiTheme="minorHAnsi" w:hAnsiTheme="minorHAnsi"/>
          <w:sz w:val="24"/>
        </w:rPr>
        <w:t xml:space="preserve">the gross cost to the PBS at </w:t>
      </w:r>
      <w:r w:rsidR="00A42B97">
        <w:rPr>
          <w:rFonts w:asciiTheme="minorHAnsi" w:hAnsiTheme="minorHAnsi"/>
          <w:noProof/>
          <w:color w:val="000000"/>
          <w:sz w:val="24"/>
          <w:highlight w:val="black"/>
        </w:rPr>
        <w:t xml:space="preserve">''''''''' ''''''''''''' </w:t>
      </w:r>
      <w:r w:rsidRPr="00226B30">
        <w:rPr>
          <w:rFonts w:asciiTheme="minorHAnsi" w:hAnsiTheme="minorHAnsi"/>
          <w:sz w:val="24"/>
        </w:rPr>
        <w:t xml:space="preserve">over five years </w:t>
      </w:r>
      <w:r w:rsidR="00A42B97">
        <w:rPr>
          <w:rFonts w:asciiTheme="minorHAnsi" w:hAnsiTheme="minorHAnsi"/>
          <w:noProof/>
          <w:color w:val="000000"/>
          <w:sz w:val="24"/>
          <w:highlight w:val="black"/>
        </w:rPr>
        <w:t>''''' '''''''''''''''''''' '''' '''''''''''</w:t>
      </w:r>
      <w:r w:rsidRPr="00226B30">
        <w:rPr>
          <w:rFonts w:asciiTheme="minorHAnsi" w:hAnsiTheme="minorHAnsi"/>
          <w:sz w:val="24"/>
        </w:rPr>
        <w:t xml:space="preserve">. </w:t>
      </w:r>
      <w:r w:rsidR="009E7F86" w:rsidRPr="00226B30">
        <w:rPr>
          <w:rFonts w:asciiTheme="minorHAnsi" w:hAnsiTheme="minorHAnsi"/>
          <w:sz w:val="24"/>
        </w:rPr>
        <w:t xml:space="preserve">While the </w:t>
      </w:r>
      <w:r w:rsidRPr="00226B30">
        <w:rPr>
          <w:rFonts w:asciiTheme="minorHAnsi" w:hAnsiTheme="minorHAnsi"/>
          <w:sz w:val="24"/>
        </w:rPr>
        <w:t xml:space="preserve">DPMQ </w:t>
      </w:r>
      <w:r w:rsidR="00304243" w:rsidRPr="00226B30">
        <w:rPr>
          <w:rFonts w:asciiTheme="minorHAnsi" w:hAnsiTheme="minorHAnsi"/>
          <w:sz w:val="24"/>
        </w:rPr>
        <w:t xml:space="preserve">for </w:t>
      </w:r>
      <w:r w:rsidRPr="00226B30">
        <w:rPr>
          <w:rFonts w:asciiTheme="minorHAnsi" w:hAnsiTheme="minorHAnsi"/>
          <w:sz w:val="24"/>
        </w:rPr>
        <w:t>lumacaftor/ivacaftor was not changed in the resubmission</w:t>
      </w:r>
      <w:r w:rsidR="009E7F86" w:rsidRPr="00226B30">
        <w:rPr>
          <w:rFonts w:asciiTheme="minorHAnsi" w:hAnsiTheme="minorHAnsi"/>
          <w:sz w:val="24"/>
        </w:rPr>
        <w:t xml:space="preserve">, </w:t>
      </w:r>
      <w:r w:rsidR="009E7F86" w:rsidRPr="00153A36">
        <w:rPr>
          <w:rFonts w:asciiTheme="minorHAnsi" w:hAnsiTheme="minorHAnsi"/>
          <w:sz w:val="24"/>
        </w:rPr>
        <w:t xml:space="preserve">this application of this “base cap” </w:t>
      </w:r>
      <w:r w:rsidR="00A42B97">
        <w:rPr>
          <w:rFonts w:asciiTheme="minorHAnsi" w:hAnsiTheme="minorHAnsi"/>
          <w:noProof/>
          <w:color w:val="000000"/>
          <w:sz w:val="24"/>
          <w:highlight w:val="black"/>
        </w:rPr>
        <w:t>'''''''''''''''' ''''''' ''''''''''''''''' '''''''' ''''' ''''''''''''''''''' '''''' '''''''''''''''</w:t>
      </w:r>
    </w:p>
    <w:p w:rsidR="00B2608F" w:rsidRPr="00226B30" w:rsidRDefault="00B2608F" w:rsidP="00A04FB8">
      <w:pPr>
        <w:pStyle w:val="ListParagraph"/>
        <w:widowControl/>
        <w:numPr>
          <w:ilvl w:val="1"/>
          <w:numId w:val="13"/>
        </w:numPr>
        <w:tabs>
          <w:tab w:val="left" w:pos="270"/>
        </w:tabs>
        <w:spacing w:before="120" w:after="160"/>
        <w:contextualSpacing w:val="0"/>
        <w:rPr>
          <w:rFonts w:asciiTheme="minorHAnsi" w:hAnsiTheme="minorHAnsi"/>
          <w:sz w:val="24"/>
        </w:rPr>
      </w:pPr>
      <w:bookmarkStart w:id="58" w:name="_Ref482265512"/>
      <w:r w:rsidRPr="00226B30">
        <w:rPr>
          <w:rFonts w:asciiTheme="minorHAnsi" w:hAnsiTheme="minorHAnsi"/>
          <w:sz w:val="24"/>
        </w:rPr>
        <w:t xml:space="preserve">Base case 2 </w:t>
      </w:r>
      <w:r w:rsidR="003533FD" w:rsidRPr="00226B30">
        <w:rPr>
          <w:rFonts w:asciiTheme="minorHAnsi" w:hAnsiTheme="minorHAnsi"/>
          <w:sz w:val="24"/>
        </w:rPr>
        <w:t xml:space="preserve">included </w:t>
      </w:r>
      <w:r w:rsidR="009E7F86" w:rsidRPr="00226B30">
        <w:rPr>
          <w:rFonts w:asciiTheme="minorHAnsi" w:hAnsiTheme="minorHAnsi"/>
          <w:sz w:val="24"/>
        </w:rPr>
        <w:t xml:space="preserve">all </w:t>
      </w:r>
      <w:r w:rsidR="00304243" w:rsidRPr="00226B30">
        <w:rPr>
          <w:rFonts w:asciiTheme="minorHAnsi" w:hAnsiTheme="minorHAnsi"/>
          <w:sz w:val="24"/>
        </w:rPr>
        <w:t xml:space="preserve">the </w:t>
      </w:r>
      <w:r w:rsidR="003533FD" w:rsidRPr="00226B30">
        <w:rPr>
          <w:rFonts w:asciiTheme="minorHAnsi" w:hAnsiTheme="minorHAnsi"/>
          <w:sz w:val="24"/>
        </w:rPr>
        <w:t xml:space="preserve">changes </w:t>
      </w:r>
      <w:r w:rsidR="00304243" w:rsidRPr="00226B30">
        <w:rPr>
          <w:rFonts w:asciiTheme="minorHAnsi" w:hAnsiTheme="minorHAnsi"/>
          <w:sz w:val="24"/>
        </w:rPr>
        <w:t xml:space="preserve">made in </w:t>
      </w:r>
      <w:r w:rsidR="003533FD" w:rsidRPr="00226B30">
        <w:rPr>
          <w:rFonts w:asciiTheme="minorHAnsi" w:hAnsiTheme="minorHAnsi"/>
          <w:sz w:val="24"/>
        </w:rPr>
        <w:t xml:space="preserve">Base case 1 and </w:t>
      </w:r>
      <w:r w:rsidR="009E7F86" w:rsidRPr="00226B30">
        <w:rPr>
          <w:rFonts w:asciiTheme="minorHAnsi" w:hAnsiTheme="minorHAnsi"/>
          <w:sz w:val="24"/>
        </w:rPr>
        <w:t xml:space="preserve">also </w:t>
      </w:r>
      <w:r w:rsidRPr="00226B30">
        <w:rPr>
          <w:rFonts w:asciiTheme="minorHAnsi" w:hAnsiTheme="minorHAnsi"/>
          <w:sz w:val="24"/>
        </w:rPr>
        <w:t>excluded all costs associated with BSC in the lumacaftor/ivacaftor group in the extended survival period, result</w:t>
      </w:r>
      <w:r w:rsidR="00690F42" w:rsidRPr="00226B30">
        <w:rPr>
          <w:rFonts w:asciiTheme="minorHAnsi" w:hAnsiTheme="minorHAnsi"/>
          <w:sz w:val="24"/>
        </w:rPr>
        <w:t>ing</w:t>
      </w:r>
      <w:r w:rsidRPr="00226B30">
        <w:rPr>
          <w:rFonts w:asciiTheme="minorHAnsi" w:hAnsiTheme="minorHAnsi"/>
          <w:sz w:val="24"/>
        </w:rPr>
        <w:t xml:space="preserve"> in an ICER of </w:t>
      </w:r>
      <w:r w:rsidR="00A04FB8" w:rsidRPr="00A04FB8">
        <w:rPr>
          <w:rFonts w:asciiTheme="minorHAnsi" w:hAnsiTheme="minorHAnsi"/>
          <w:sz w:val="24"/>
        </w:rPr>
        <w:t>$105,000/QALY – $200,000/QALY</w:t>
      </w:r>
      <w:r w:rsidRPr="00226B30">
        <w:rPr>
          <w:rFonts w:asciiTheme="minorHAnsi" w:hAnsiTheme="minorHAnsi"/>
          <w:sz w:val="24"/>
        </w:rPr>
        <w:t>. This assumed that the use of lumacaftor/ivacaftor essentially normalises bodily functions (e.g. metabolism) that would otherwise require ongoing BSC</w:t>
      </w:r>
      <w:r w:rsidR="00947F86">
        <w:rPr>
          <w:rFonts w:asciiTheme="minorHAnsi" w:hAnsiTheme="minorHAnsi"/>
          <w:sz w:val="24"/>
        </w:rPr>
        <w:t>; t</w:t>
      </w:r>
      <w:r w:rsidR="00304243" w:rsidRPr="00226B30">
        <w:rPr>
          <w:rFonts w:asciiTheme="minorHAnsi" w:hAnsiTheme="minorHAnsi"/>
          <w:sz w:val="24"/>
        </w:rPr>
        <w:t xml:space="preserve">he evaluation noted that there </w:t>
      </w:r>
      <w:r w:rsidRPr="00226B30">
        <w:rPr>
          <w:rFonts w:asciiTheme="minorHAnsi" w:hAnsiTheme="minorHAnsi"/>
          <w:sz w:val="24"/>
        </w:rPr>
        <w:t xml:space="preserve">is no evidence to support this assumption. </w:t>
      </w:r>
      <w:r w:rsidR="00CF31C5">
        <w:rPr>
          <w:rFonts w:asciiTheme="minorHAnsi" w:hAnsiTheme="minorHAnsi"/>
          <w:sz w:val="24"/>
        </w:rPr>
        <w:t>The PBAC considered that Base case 2 was not informative given</w:t>
      </w:r>
      <w:r w:rsidR="00CF31C5" w:rsidRPr="00226B30">
        <w:rPr>
          <w:rFonts w:asciiTheme="minorHAnsi" w:hAnsiTheme="minorHAnsi"/>
          <w:sz w:val="24"/>
        </w:rPr>
        <w:t xml:space="preserve"> </w:t>
      </w:r>
      <w:r w:rsidRPr="00226B30">
        <w:rPr>
          <w:rFonts w:asciiTheme="minorHAnsi" w:hAnsiTheme="minorHAnsi"/>
          <w:sz w:val="24"/>
        </w:rPr>
        <w:t xml:space="preserve">that the </w:t>
      </w:r>
      <w:r w:rsidR="00627E93" w:rsidRPr="00226B30">
        <w:rPr>
          <w:rFonts w:asciiTheme="minorHAnsi" w:hAnsiTheme="minorHAnsi"/>
          <w:sz w:val="24"/>
        </w:rPr>
        <w:t xml:space="preserve">requested </w:t>
      </w:r>
      <w:r w:rsidRPr="00226B30">
        <w:rPr>
          <w:rFonts w:asciiTheme="minorHAnsi" w:hAnsiTheme="minorHAnsi"/>
          <w:sz w:val="24"/>
        </w:rPr>
        <w:t>restriction proposed that lumacaftor/ivacaftor therapy is given concurrently with supportive therapies.</w:t>
      </w:r>
      <w:bookmarkEnd w:id="58"/>
    </w:p>
    <w:p w:rsidR="00B2608F" w:rsidRPr="00DA2530" w:rsidRDefault="00B2608F" w:rsidP="00C3041E">
      <w:pPr>
        <w:pStyle w:val="ListParagraph"/>
        <w:widowControl/>
        <w:numPr>
          <w:ilvl w:val="1"/>
          <w:numId w:val="13"/>
        </w:numPr>
        <w:spacing w:after="120"/>
        <w:ind w:left="709" w:hanging="709"/>
        <w:contextualSpacing w:val="0"/>
        <w:rPr>
          <w:rFonts w:asciiTheme="minorHAnsi" w:hAnsiTheme="minorHAnsi"/>
          <w:sz w:val="24"/>
        </w:rPr>
      </w:pPr>
      <w:r w:rsidRPr="00DA2530">
        <w:rPr>
          <w:rFonts w:asciiTheme="minorHAnsi" w:hAnsiTheme="minorHAnsi"/>
          <w:sz w:val="24"/>
        </w:rPr>
        <w:t>The key drivers of the model are shown in Table 1</w:t>
      </w:r>
      <w:r w:rsidR="003C370C">
        <w:rPr>
          <w:rFonts w:asciiTheme="minorHAnsi" w:hAnsiTheme="minorHAnsi"/>
          <w:sz w:val="24"/>
        </w:rPr>
        <w:t>1</w:t>
      </w:r>
      <w:r w:rsidRPr="00DA2530">
        <w:rPr>
          <w:rFonts w:asciiTheme="minorHAnsi" w:hAnsiTheme="minorHAnsi"/>
          <w:sz w:val="24"/>
        </w:rPr>
        <w:t>.</w:t>
      </w:r>
    </w:p>
    <w:p w:rsidR="008A1DA3" w:rsidRDefault="008A1DA3" w:rsidP="008A1DA3">
      <w:pPr>
        <w:pStyle w:val="Caption"/>
      </w:pPr>
      <w:r>
        <w:t xml:space="preserve">Table </w:t>
      </w:r>
      <w:r w:rsidR="000056CF">
        <w:rPr>
          <w:noProof/>
        </w:rPr>
        <w:t>11</w:t>
      </w:r>
      <w:r w:rsidRPr="00EA479B">
        <w:t>: Key drivers of the model</w:t>
      </w:r>
    </w:p>
    <w:tbl>
      <w:tblPr>
        <w:tblW w:w="50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691"/>
        <w:gridCol w:w="4499"/>
        <w:gridCol w:w="1907"/>
      </w:tblGrid>
      <w:tr w:rsidR="00B2608F" w:rsidRPr="00DA2530" w:rsidTr="008A1DA3">
        <w:trPr>
          <w:trHeight w:val="301"/>
          <w:tblHeader/>
        </w:trPr>
        <w:tc>
          <w:tcPr>
            <w:tcW w:w="1479" w:type="pct"/>
            <w:shd w:val="clear" w:color="auto" w:fill="auto"/>
            <w:vAlign w:val="center"/>
          </w:tcPr>
          <w:p w:rsidR="00B2608F" w:rsidRPr="00DA2530" w:rsidRDefault="00B2608F" w:rsidP="001E08C1">
            <w:pPr>
              <w:pStyle w:val="TableText1"/>
              <w:rPr>
                <w:b/>
              </w:rPr>
            </w:pPr>
            <w:r w:rsidRPr="00DA2530">
              <w:rPr>
                <w:b/>
              </w:rPr>
              <w:t>Description</w:t>
            </w:r>
          </w:p>
        </w:tc>
        <w:tc>
          <w:tcPr>
            <w:tcW w:w="2473" w:type="pct"/>
            <w:shd w:val="clear" w:color="auto" w:fill="auto"/>
            <w:vAlign w:val="center"/>
          </w:tcPr>
          <w:p w:rsidR="00B2608F" w:rsidRPr="00DA2530" w:rsidRDefault="00B2608F" w:rsidP="001E08C1">
            <w:pPr>
              <w:pStyle w:val="TableText1"/>
              <w:rPr>
                <w:b/>
              </w:rPr>
            </w:pPr>
            <w:r w:rsidRPr="00DA2530">
              <w:rPr>
                <w:b/>
              </w:rPr>
              <w:t>Method/Value</w:t>
            </w:r>
          </w:p>
        </w:tc>
        <w:tc>
          <w:tcPr>
            <w:tcW w:w="1048" w:type="pct"/>
            <w:shd w:val="clear" w:color="auto" w:fill="auto"/>
            <w:vAlign w:val="center"/>
          </w:tcPr>
          <w:p w:rsidR="00B2608F" w:rsidRPr="00DA2530" w:rsidRDefault="00B2608F" w:rsidP="001E08C1">
            <w:pPr>
              <w:pStyle w:val="TableText1"/>
              <w:rPr>
                <w:b/>
              </w:rPr>
            </w:pPr>
            <w:r w:rsidRPr="00DA2530">
              <w:rPr>
                <w:b/>
              </w:rPr>
              <w:t>Impact</w:t>
            </w:r>
          </w:p>
        </w:tc>
      </w:tr>
      <w:tr w:rsidR="00B2608F" w:rsidRPr="00DA2530" w:rsidTr="008A1DA3">
        <w:trPr>
          <w:trHeight w:val="775"/>
        </w:trPr>
        <w:tc>
          <w:tcPr>
            <w:tcW w:w="1479" w:type="pct"/>
            <w:shd w:val="clear" w:color="auto" w:fill="auto"/>
            <w:vAlign w:val="center"/>
          </w:tcPr>
          <w:p w:rsidR="00B2608F" w:rsidRPr="00DA2530" w:rsidRDefault="00B2608F" w:rsidP="001E08C1">
            <w:pPr>
              <w:pStyle w:val="TableText1"/>
              <w:rPr>
                <w:highlight w:val="yellow"/>
              </w:rPr>
            </w:pPr>
            <w:r w:rsidRPr="00DA2530">
              <w:rPr>
                <w:lang w:val="en-US"/>
              </w:rPr>
              <w:t>Modelled change in pp</w:t>
            </w:r>
            <w:r w:rsidR="00023A66" w:rsidRPr="00DA2530">
              <w:rPr>
                <w:szCs w:val="24"/>
              </w:rPr>
              <w:t>FEV</w:t>
            </w:r>
            <w:r w:rsidR="00023A66" w:rsidRPr="00DA2530">
              <w:rPr>
                <w:szCs w:val="24"/>
                <w:vertAlign w:val="subscript"/>
              </w:rPr>
              <w:t>1</w:t>
            </w:r>
            <w:r w:rsidRPr="00DA2530">
              <w:rPr>
                <w:vertAlign w:val="subscript"/>
                <w:lang w:val="en-US"/>
              </w:rPr>
              <w:t xml:space="preserve"> </w:t>
            </w:r>
            <w:r w:rsidRPr="00DA2530">
              <w:rPr>
                <w:lang w:val="en-US"/>
              </w:rPr>
              <w:t>in lumacaftor/ivacaftor patients.</w:t>
            </w:r>
          </w:p>
        </w:tc>
        <w:tc>
          <w:tcPr>
            <w:tcW w:w="2473" w:type="pct"/>
            <w:shd w:val="clear" w:color="auto" w:fill="auto"/>
            <w:vAlign w:val="center"/>
          </w:tcPr>
          <w:p w:rsidR="00B2608F" w:rsidRPr="00DA2530" w:rsidRDefault="00B2608F" w:rsidP="001E08C1">
            <w:pPr>
              <w:pStyle w:val="TableText1"/>
              <w:rPr>
                <w:lang w:val="en-US"/>
              </w:rPr>
            </w:pPr>
            <w:r w:rsidRPr="00DA2530">
              <w:rPr>
                <w:lang w:val="en-US"/>
              </w:rPr>
              <w:t xml:space="preserve">Treatment effect continued beyond 24 week trial period for life time. </w:t>
            </w:r>
            <w:r w:rsidR="00820688" w:rsidRPr="00DA2530">
              <w:rPr>
                <w:lang w:val="en-US"/>
              </w:rPr>
              <w:t xml:space="preserve">Updated </w:t>
            </w:r>
            <w:r w:rsidR="003E4F99" w:rsidRPr="00DA2530">
              <w:rPr>
                <w:lang w:val="en-US"/>
              </w:rPr>
              <w:t>data</w:t>
            </w:r>
            <w:r w:rsidR="00820688" w:rsidRPr="00DA2530">
              <w:rPr>
                <w:lang w:val="en-US"/>
              </w:rPr>
              <w:t xml:space="preserve"> </w:t>
            </w:r>
            <w:r w:rsidR="005D66D5" w:rsidRPr="00DA2530">
              <w:rPr>
                <w:lang w:val="en-US"/>
              </w:rPr>
              <w:t xml:space="preserve">from </w:t>
            </w:r>
            <w:r w:rsidR="003E4F99" w:rsidRPr="00DA2530">
              <w:rPr>
                <w:lang w:val="en-US"/>
              </w:rPr>
              <w:t xml:space="preserve">extension trial </w:t>
            </w:r>
            <w:r w:rsidR="005D66D5" w:rsidRPr="00DA2530">
              <w:rPr>
                <w:lang w:val="en-US"/>
              </w:rPr>
              <w:t xml:space="preserve">PROGRESS were not included in the model. </w:t>
            </w:r>
          </w:p>
        </w:tc>
        <w:tc>
          <w:tcPr>
            <w:tcW w:w="1048" w:type="pct"/>
            <w:shd w:val="clear" w:color="auto" w:fill="auto"/>
            <w:vAlign w:val="center"/>
          </w:tcPr>
          <w:p w:rsidR="00B2608F" w:rsidRPr="00DA2530" w:rsidRDefault="00B2608F" w:rsidP="001E08C1">
            <w:pPr>
              <w:pStyle w:val="TableText1"/>
              <w:rPr>
                <w:lang w:val="en-US"/>
              </w:rPr>
            </w:pPr>
            <w:r w:rsidRPr="00DA2530">
              <w:rPr>
                <w:lang w:val="en-US"/>
              </w:rPr>
              <w:t>High, favours lumacaftor/ivacaftor</w:t>
            </w:r>
          </w:p>
        </w:tc>
      </w:tr>
      <w:tr w:rsidR="00B2608F" w:rsidRPr="00DA2530" w:rsidTr="008A1DA3">
        <w:trPr>
          <w:trHeight w:val="546"/>
        </w:trPr>
        <w:tc>
          <w:tcPr>
            <w:tcW w:w="1479" w:type="pct"/>
            <w:shd w:val="clear" w:color="auto" w:fill="auto"/>
            <w:vAlign w:val="center"/>
          </w:tcPr>
          <w:p w:rsidR="00B2608F" w:rsidRPr="00DA2530" w:rsidRDefault="00B2608F" w:rsidP="001E08C1">
            <w:pPr>
              <w:pStyle w:val="TableText1"/>
              <w:rPr>
                <w:lang w:val="en-US"/>
              </w:rPr>
            </w:pPr>
            <w:r w:rsidRPr="00DA2530">
              <w:rPr>
                <w:lang w:val="en-US"/>
              </w:rPr>
              <w:t>Modelled change in pp</w:t>
            </w:r>
            <w:r w:rsidR="00023A66" w:rsidRPr="00DA2530">
              <w:rPr>
                <w:szCs w:val="24"/>
              </w:rPr>
              <w:t>FEV</w:t>
            </w:r>
            <w:r w:rsidR="00023A66" w:rsidRPr="00DA2530">
              <w:rPr>
                <w:szCs w:val="24"/>
                <w:vertAlign w:val="subscript"/>
              </w:rPr>
              <w:t>1</w:t>
            </w:r>
            <w:r w:rsidRPr="00DA2530">
              <w:rPr>
                <w:vertAlign w:val="subscript"/>
                <w:lang w:val="en-US"/>
              </w:rPr>
              <w:t xml:space="preserve"> </w:t>
            </w:r>
            <w:r w:rsidRPr="00DA2530">
              <w:rPr>
                <w:lang w:val="en-US"/>
              </w:rPr>
              <w:t>in BSC patients.</w:t>
            </w:r>
          </w:p>
        </w:tc>
        <w:tc>
          <w:tcPr>
            <w:tcW w:w="2473" w:type="pct"/>
            <w:shd w:val="clear" w:color="auto" w:fill="auto"/>
            <w:vAlign w:val="center"/>
          </w:tcPr>
          <w:p w:rsidR="00B2608F" w:rsidRPr="00DA2530" w:rsidRDefault="00B2608F" w:rsidP="001E08C1">
            <w:pPr>
              <w:pStyle w:val="TableText1"/>
              <w:rPr>
                <w:lang w:val="en-US"/>
              </w:rPr>
            </w:pPr>
            <w:r w:rsidRPr="00DA2530">
              <w:rPr>
                <w:lang w:val="en-US"/>
              </w:rPr>
              <w:t>Annual decline in pp</w:t>
            </w:r>
            <w:r w:rsidR="00023A66" w:rsidRPr="00DA2530">
              <w:rPr>
                <w:szCs w:val="24"/>
              </w:rPr>
              <w:t>FEV</w:t>
            </w:r>
            <w:r w:rsidR="00023A66" w:rsidRPr="00DA2530">
              <w:rPr>
                <w:szCs w:val="24"/>
                <w:vertAlign w:val="subscript"/>
              </w:rPr>
              <w:t>1</w:t>
            </w:r>
            <w:r w:rsidRPr="00DA2530">
              <w:rPr>
                <w:vertAlign w:val="subscript"/>
                <w:lang w:val="en-US"/>
              </w:rPr>
              <w:t xml:space="preserve"> </w:t>
            </w:r>
            <w:r w:rsidRPr="00DA2530">
              <w:rPr>
                <w:lang w:val="en-US"/>
              </w:rPr>
              <w:t xml:space="preserve">after the first 24 weeks </w:t>
            </w:r>
          </w:p>
        </w:tc>
        <w:tc>
          <w:tcPr>
            <w:tcW w:w="1048" w:type="pct"/>
            <w:shd w:val="clear" w:color="auto" w:fill="auto"/>
            <w:vAlign w:val="center"/>
          </w:tcPr>
          <w:p w:rsidR="00B2608F" w:rsidRPr="00DA2530" w:rsidRDefault="00B2608F" w:rsidP="001E08C1">
            <w:pPr>
              <w:pStyle w:val="TableText1"/>
              <w:rPr>
                <w:lang w:val="en-US"/>
              </w:rPr>
            </w:pPr>
            <w:r w:rsidRPr="00DA2530">
              <w:rPr>
                <w:lang w:val="en-US"/>
              </w:rPr>
              <w:t>High, favours lumacaftor/ivacaftor</w:t>
            </w:r>
          </w:p>
        </w:tc>
      </w:tr>
      <w:tr w:rsidR="00B2608F" w:rsidRPr="00DA2530" w:rsidTr="008A1DA3">
        <w:trPr>
          <w:trHeight w:val="546"/>
        </w:trPr>
        <w:tc>
          <w:tcPr>
            <w:tcW w:w="1479" w:type="pct"/>
            <w:shd w:val="clear" w:color="auto" w:fill="auto"/>
            <w:vAlign w:val="center"/>
          </w:tcPr>
          <w:p w:rsidR="00B2608F" w:rsidRPr="00DA2530" w:rsidRDefault="00B2608F" w:rsidP="001E08C1">
            <w:pPr>
              <w:pStyle w:val="TableText1"/>
              <w:rPr>
                <w:lang w:val="en-US"/>
              </w:rPr>
            </w:pPr>
            <w:r w:rsidRPr="00DA2530">
              <w:rPr>
                <w:lang w:val="en-US"/>
              </w:rPr>
              <w:t xml:space="preserve">Assumption of price reduction at patent expiry. </w:t>
            </w:r>
          </w:p>
        </w:tc>
        <w:tc>
          <w:tcPr>
            <w:tcW w:w="2473" w:type="pct"/>
            <w:shd w:val="clear" w:color="auto" w:fill="auto"/>
            <w:vAlign w:val="center"/>
          </w:tcPr>
          <w:p w:rsidR="00B2608F" w:rsidRPr="00A42B97" w:rsidRDefault="00A42B97" w:rsidP="001E08C1">
            <w:pPr>
              <w:pStyle w:val="TableText1"/>
              <w:rPr>
                <w:highlight w:val="black"/>
                <w:lang w:val="en-US"/>
              </w:rPr>
            </w:pPr>
            <w:r>
              <w:rPr>
                <w:noProof/>
                <w:color w:val="000000"/>
                <w:highlight w:val="black"/>
                <w:lang w:val="en-US"/>
              </w:rPr>
              <w:t>'''''''''' '''''''''''' ''''''''''''''''''''''' ''''' '''''''''' '''' '''''''''''''' ''''''''</w:t>
            </w:r>
          </w:p>
        </w:tc>
        <w:tc>
          <w:tcPr>
            <w:tcW w:w="1048" w:type="pct"/>
            <w:shd w:val="clear" w:color="auto" w:fill="auto"/>
            <w:vAlign w:val="center"/>
          </w:tcPr>
          <w:p w:rsidR="00B2608F" w:rsidRPr="00DA2530" w:rsidRDefault="00B2608F" w:rsidP="001E08C1">
            <w:pPr>
              <w:pStyle w:val="TableText1"/>
              <w:rPr>
                <w:lang w:val="en-US"/>
              </w:rPr>
            </w:pPr>
            <w:r w:rsidRPr="00DA2530">
              <w:rPr>
                <w:lang w:val="en-US"/>
              </w:rPr>
              <w:t>High, favours lumacaftor/ivacaftor</w:t>
            </w:r>
          </w:p>
        </w:tc>
      </w:tr>
      <w:tr w:rsidR="00B2608F" w:rsidRPr="00DA2530" w:rsidTr="008A1DA3">
        <w:trPr>
          <w:trHeight w:val="775"/>
        </w:trPr>
        <w:tc>
          <w:tcPr>
            <w:tcW w:w="1479" w:type="pct"/>
            <w:shd w:val="clear" w:color="auto" w:fill="auto"/>
            <w:vAlign w:val="center"/>
          </w:tcPr>
          <w:p w:rsidR="00B2608F" w:rsidRPr="00DA2530" w:rsidRDefault="00B2608F" w:rsidP="001E08C1">
            <w:pPr>
              <w:pStyle w:val="TableText1"/>
              <w:rPr>
                <w:lang w:val="en-US"/>
              </w:rPr>
            </w:pPr>
            <w:r w:rsidRPr="00DA2530">
              <w:rPr>
                <w:lang w:val="en-US"/>
              </w:rPr>
              <w:t>Assumption of reduction in PE-related hospitalisation costs for lumacaftor/ivacaftor.</w:t>
            </w:r>
          </w:p>
        </w:tc>
        <w:tc>
          <w:tcPr>
            <w:tcW w:w="2473" w:type="pct"/>
            <w:shd w:val="clear" w:color="auto" w:fill="auto"/>
            <w:vAlign w:val="center"/>
          </w:tcPr>
          <w:p w:rsidR="00B2608F" w:rsidRPr="00DA2530" w:rsidRDefault="00B2608F" w:rsidP="001E08C1">
            <w:pPr>
              <w:pStyle w:val="TableText1"/>
              <w:rPr>
                <w:lang w:val="en-US"/>
              </w:rPr>
            </w:pPr>
            <w:r w:rsidRPr="00DA2530">
              <w:rPr>
                <w:lang w:val="en-US"/>
              </w:rPr>
              <w:t xml:space="preserve">61% reduction in PE-related </w:t>
            </w:r>
            <w:r w:rsidR="000057F6" w:rsidRPr="00DA2530">
              <w:t>hospitalisation</w:t>
            </w:r>
            <w:r w:rsidR="000057F6" w:rsidRPr="00DA2530">
              <w:rPr>
                <w:lang w:val="en-US"/>
              </w:rPr>
              <w:t xml:space="preserve"> </w:t>
            </w:r>
            <w:r w:rsidRPr="00DA2530">
              <w:rPr>
                <w:lang w:val="en-US"/>
              </w:rPr>
              <w:t xml:space="preserve">costs; estimated by multiplying </w:t>
            </w:r>
            <w:r w:rsidRPr="00DA2530">
              <w:t>hospitalisation</w:t>
            </w:r>
            <w:r w:rsidRPr="00DA2530">
              <w:rPr>
                <w:lang w:val="en-US"/>
              </w:rPr>
              <w:t xml:space="preserve"> costs associated with BSC by 0.61. </w:t>
            </w:r>
          </w:p>
        </w:tc>
        <w:tc>
          <w:tcPr>
            <w:tcW w:w="1048" w:type="pct"/>
            <w:shd w:val="clear" w:color="auto" w:fill="auto"/>
            <w:vAlign w:val="center"/>
          </w:tcPr>
          <w:p w:rsidR="00B2608F" w:rsidRPr="00DA2530" w:rsidRDefault="00B2608F" w:rsidP="001E08C1">
            <w:pPr>
              <w:pStyle w:val="TableText1"/>
              <w:rPr>
                <w:lang w:val="en-US"/>
              </w:rPr>
            </w:pPr>
            <w:r w:rsidRPr="00DA2530">
              <w:rPr>
                <w:lang w:val="en-US"/>
              </w:rPr>
              <w:t>High, favours lumacaftor/ivacaftor</w:t>
            </w:r>
          </w:p>
        </w:tc>
      </w:tr>
      <w:tr w:rsidR="00B2608F" w:rsidRPr="00DA2530" w:rsidTr="008A1DA3">
        <w:trPr>
          <w:trHeight w:val="546"/>
        </w:trPr>
        <w:tc>
          <w:tcPr>
            <w:tcW w:w="1479" w:type="pct"/>
            <w:shd w:val="clear" w:color="auto" w:fill="auto"/>
            <w:vAlign w:val="center"/>
          </w:tcPr>
          <w:p w:rsidR="00B2608F" w:rsidRPr="00DA2530" w:rsidRDefault="00B2608F" w:rsidP="001E08C1">
            <w:pPr>
              <w:pStyle w:val="TableText1"/>
              <w:rPr>
                <w:lang w:val="en-US"/>
              </w:rPr>
            </w:pPr>
            <w:r w:rsidRPr="00DA2530">
              <w:rPr>
                <w:lang w:val="en-US"/>
              </w:rPr>
              <w:t>Extrapolation of survival</w:t>
            </w:r>
          </w:p>
        </w:tc>
        <w:tc>
          <w:tcPr>
            <w:tcW w:w="2473" w:type="pct"/>
            <w:shd w:val="clear" w:color="auto" w:fill="auto"/>
            <w:vAlign w:val="center"/>
          </w:tcPr>
          <w:p w:rsidR="00B2608F" w:rsidRPr="00DA2530" w:rsidRDefault="00B2608F" w:rsidP="001E08C1">
            <w:pPr>
              <w:pStyle w:val="TableText1"/>
              <w:rPr>
                <w:lang w:val="en-US"/>
              </w:rPr>
            </w:pPr>
            <w:r w:rsidRPr="00DA2530">
              <w:rPr>
                <w:lang w:val="en-US"/>
              </w:rPr>
              <w:t xml:space="preserve">Liou et al (2001), extrapolation of effect of intermediate outcomes on survival. </w:t>
            </w:r>
          </w:p>
        </w:tc>
        <w:tc>
          <w:tcPr>
            <w:tcW w:w="1048" w:type="pct"/>
            <w:shd w:val="clear" w:color="auto" w:fill="auto"/>
            <w:vAlign w:val="center"/>
          </w:tcPr>
          <w:p w:rsidR="00B2608F" w:rsidRPr="00DA2530" w:rsidRDefault="00B2608F" w:rsidP="001E08C1">
            <w:pPr>
              <w:pStyle w:val="TableText1"/>
              <w:rPr>
                <w:lang w:val="en-US"/>
              </w:rPr>
            </w:pPr>
            <w:r w:rsidRPr="00DA2530">
              <w:rPr>
                <w:lang w:val="en-US"/>
              </w:rPr>
              <w:t>High, favours lumacaftor/ivacaftor</w:t>
            </w:r>
          </w:p>
        </w:tc>
      </w:tr>
      <w:tr w:rsidR="00B2608F" w:rsidRPr="00DA2530" w:rsidTr="008A1DA3">
        <w:trPr>
          <w:trHeight w:val="546"/>
        </w:trPr>
        <w:tc>
          <w:tcPr>
            <w:tcW w:w="1479" w:type="pct"/>
            <w:shd w:val="clear" w:color="auto" w:fill="auto"/>
            <w:vAlign w:val="center"/>
          </w:tcPr>
          <w:p w:rsidR="00B2608F" w:rsidRPr="00DA2530" w:rsidRDefault="00B2608F" w:rsidP="001E08C1">
            <w:pPr>
              <w:pStyle w:val="TableText1"/>
              <w:rPr>
                <w:lang w:val="en-US"/>
              </w:rPr>
            </w:pPr>
            <w:r w:rsidRPr="00DA2530">
              <w:rPr>
                <w:lang w:val="en-US"/>
              </w:rPr>
              <w:t xml:space="preserve">Utilities </w:t>
            </w:r>
          </w:p>
        </w:tc>
        <w:tc>
          <w:tcPr>
            <w:tcW w:w="2473" w:type="pct"/>
            <w:shd w:val="clear" w:color="auto" w:fill="auto"/>
            <w:vAlign w:val="center"/>
          </w:tcPr>
          <w:p w:rsidR="00B2608F" w:rsidRPr="00DA2530" w:rsidRDefault="00B2608F" w:rsidP="001E08C1">
            <w:pPr>
              <w:pStyle w:val="TableText1"/>
              <w:rPr>
                <w:lang w:val="en-US"/>
              </w:rPr>
            </w:pPr>
            <w:r w:rsidRPr="00DA2530">
              <w:rPr>
                <w:lang w:val="en-US"/>
              </w:rPr>
              <w:t xml:space="preserve">High values for health states obtained via Clinician Survey. </w:t>
            </w:r>
            <w:r w:rsidR="00493B05" w:rsidRPr="00DA2530">
              <w:rPr>
                <w:lang w:val="en-US"/>
              </w:rPr>
              <w:br/>
            </w:r>
            <w:r w:rsidR="00493B05" w:rsidRPr="00DA2530">
              <w:t>The utility values applied for the ‘normal’ health state (pp</w:t>
            </w:r>
            <w:r w:rsidR="00023A66" w:rsidRPr="00DA2530">
              <w:rPr>
                <w:szCs w:val="24"/>
              </w:rPr>
              <w:t>FEV</w:t>
            </w:r>
            <w:r w:rsidR="00023A66" w:rsidRPr="00DA2530">
              <w:rPr>
                <w:szCs w:val="24"/>
                <w:vertAlign w:val="subscript"/>
              </w:rPr>
              <w:t>1</w:t>
            </w:r>
            <w:r w:rsidR="00493B05" w:rsidRPr="00DA2530">
              <w:t>&gt;90%) surpass Australian population norms.</w:t>
            </w:r>
          </w:p>
        </w:tc>
        <w:tc>
          <w:tcPr>
            <w:tcW w:w="1048" w:type="pct"/>
            <w:shd w:val="clear" w:color="auto" w:fill="auto"/>
            <w:vAlign w:val="center"/>
          </w:tcPr>
          <w:p w:rsidR="00B2608F" w:rsidRPr="00DA2530" w:rsidRDefault="00B2608F" w:rsidP="001E08C1">
            <w:pPr>
              <w:pStyle w:val="TableText1"/>
              <w:rPr>
                <w:lang w:val="en-US"/>
              </w:rPr>
            </w:pPr>
            <w:r w:rsidRPr="00DA2530">
              <w:rPr>
                <w:lang w:val="en-US"/>
              </w:rPr>
              <w:t>High, favours lumacaftor/ivacaftor</w:t>
            </w:r>
          </w:p>
        </w:tc>
      </w:tr>
    </w:tbl>
    <w:p w:rsidR="00B2608F" w:rsidRPr="00DA2530" w:rsidRDefault="00B2608F" w:rsidP="001E08C1">
      <w:pPr>
        <w:pStyle w:val="Tablefooter8pt"/>
      </w:pPr>
      <w:r w:rsidRPr="00DA2530">
        <w:t xml:space="preserve">Source: compiled during the evaluation. </w:t>
      </w:r>
    </w:p>
    <w:p w:rsidR="00B2608F" w:rsidRPr="00DA2530" w:rsidRDefault="00B2608F" w:rsidP="001E08C1">
      <w:pPr>
        <w:pStyle w:val="Tablefooter8pt"/>
        <w:spacing w:after="120"/>
      </w:pPr>
      <w:r w:rsidRPr="00DA2530">
        <w:t>Abbreviations: BSC</w:t>
      </w:r>
      <w:r w:rsidR="00E458B7">
        <w:t xml:space="preserve"> =</w:t>
      </w:r>
      <w:r w:rsidRPr="00DA2530">
        <w:t xml:space="preserve"> best supportive care; PE</w:t>
      </w:r>
      <w:r w:rsidR="00E458B7">
        <w:t xml:space="preserve"> =</w:t>
      </w:r>
      <w:r w:rsidRPr="00DA2530">
        <w:t xml:space="preserve"> pulmonary exacerbation; pp</w:t>
      </w:r>
      <w:r w:rsidR="00023A66" w:rsidRPr="00DA2530">
        <w:rPr>
          <w:szCs w:val="24"/>
        </w:rPr>
        <w:t>FEV</w:t>
      </w:r>
      <w:r w:rsidR="00023A66" w:rsidRPr="00DA2530">
        <w:rPr>
          <w:szCs w:val="24"/>
          <w:vertAlign w:val="subscript"/>
        </w:rPr>
        <w:t>1</w:t>
      </w:r>
      <w:r w:rsidR="00E458B7">
        <w:t xml:space="preserve">= </w:t>
      </w:r>
      <w:r w:rsidRPr="00DA2530">
        <w:t>per</w:t>
      </w:r>
      <w:r w:rsidR="009D7989">
        <w:t xml:space="preserve"> </w:t>
      </w:r>
      <w:r w:rsidRPr="00DA2530">
        <w:t>cent predicted forced expiratory volume in one second.</w:t>
      </w:r>
    </w:p>
    <w:p w:rsidR="00B2608F" w:rsidRPr="00DA2530" w:rsidRDefault="00B2608F" w:rsidP="001E08C1">
      <w:pPr>
        <w:pStyle w:val="ListParagraph"/>
        <w:widowControl/>
        <w:numPr>
          <w:ilvl w:val="1"/>
          <w:numId w:val="13"/>
        </w:numPr>
        <w:spacing w:after="120"/>
        <w:ind w:left="810" w:hanging="810"/>
        <w:contextualSpacing w:val="0"/>
        <w:rPr>
          <w:rFonts w:asciiTheme="minorHAnsi" w:hAnsiTheme="minorHAnsi"/>
          <w:sz w:val="24"/>
        </w:rPr>
      </w:pPr>
      <w:r w:rsidRPr="00DA2530">
        <w:rPr>
          <w:rFonts w:asciiTheme="minorHAnsi" w:hAnsiTheme="minorHAnsi"/>
          <w:sz w:val="24"/>
        </w:rPr>
        <w:t xml:space="preserve">Results from </w:t>
      </w:r>
      <w:r w:rsidR="00F251FF">
        <w:rPr>
          <w:rFonts w:asciiTheme="minorHAnsi" w:hAnsiTheme="minorHAnsi"/>
          <w:sz w:val="24"/>
        </w:rPr>
        <w:t>the</w:t>
      </w:r>
      <w:r w:rsidRPr="00DA2530">
        <w:rPr>
          <w:rFonts w:asciiTheme="minorHAnsi" w:hAnsiTheme="minorHAnsi"/>
          <w:sz w:val="24"/>
        </w:rPr>
        <w:t xml:space="preserve"> stepped economic evaluation showing the changes implemented as part of the resubmission are provided in Table 1</w:t>
      </w:r>
      <w:r w:rsidR="003C370C">
        <w:rPr>
          <w:rFonts w:asciiTheme="minorHAnsi" w:hAnsiTheme="minorHAnsi"/>
          <w:sz w:val="24"/>
        </w:rPr>
        <w:t>2</w:t>
      </w:r>
      <w:r w:rsidRPr="00DA2530">
        <w:rPr>
          <w:rFonts w:asciiTheme="minorHAnsi" w:hAnsiTheme="minorHAnsi"/>
          <w:sz w:val="24"/>
        </w:rPr>
        <w:t>.</w:t>
      </w:r>
    </w:p>
    <w:p w:rsidR="008A1DA3" w:rsidRDefault="008A1DA3" w:rsidP="008A1DA3">
      <w:pPr>
        <w:pStyle w:val="Caption"/>
      </w:pPr>
      <w:r>
        <w:t xml:space="preserve">Table </w:t>
      </w:r>
      <w:r w:rsidR="000056CF">
        <w:rPr>
          <w:noProof/>
        </w:rPr>
        <w:t>12</w:t>
      </w:r>
      <w:r w:rsidRPr="00FD540D">
        <w:t>: Results of the stepped economic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025"/>
        <w:gridCol w:w="2221"/>
        <w:gridCol w:w="2314"/>
        <w:gridCol w:w="1522"/>
      </w:tblGrid>
      <w:tr w:rsidR="00B2608F" w:rsidRPr="00DA2530" w:rsidTr="00285C73">
        <w:trPr>
          <w:tblHeader/>
        </w:trPr>
        <w:tc>
          <w:tcPr>
            <w:tcW w:w="1665" w:type="pct"/>
            <w:vAlign w:val="center"/>
          </w:tcPr>
          <w:p w:rsidR="00B2608F" w:rsidRPr="00DA2530" w:rsidRDefault="00B2608F" w:rsidP="001E08C1">
            <w:pPr>
              <w:pStyle w:val="TableText1"/>
              <w:rPr>
                <w:b/>
              </w:rPr>
            </w:pPr>
            <w:r w:rsidRPr="00DA2530">
              <w:rPr>
                <w:b/>
              </w:rPr>
              <w:t>Step and component</w:t>
            </w:r>
          </w:p>
        </w:tc>
        <w:tc>
          <w:tcPr>
            <w:tcW w:w="1223" w:type="pct"/>
            <w:vAlign w:val="center"/>
          </w:tcPr>
          <w:p w:rsidR="00B2608F" w:rsidRPr="00DA2530" w:rsidRDefault="00B2608F" w:rsidP="001E08C1">
            <w:pPr>
              <w:pStyle w:val="TableText1"/>
              <w:rPr>
                <w:b/>
              </w:rPr>
            </w:pPr>
            <w:r w:rsidRPr="00DA2530">
              <w:rPr>
                <w:b/>
              </w:rPr>
              <w:t>Lumacaftor/ivacaftor</w:t>
            </w:r>
          </w:p>
        </w:tc>
        <w:tc>
          <w:tcPr>
            <w:tcW w:w="1274" w:type="pct"/>
            <w:vAlign w:val="center"/>
          </w:tcPr>
          <w:p w:rsidR="00B2608F" w:rsidRPr="00DA2530" w:rsidRDefault="00B2608F" w:rsidP="001E08C1">
            <w:pPr>
              <w:pStyle w:val="TableText1"/>
              <w:rPr>
                <w:b/>
              </w:rPr>
            </w:pPr>
            <w:r w:rsidRPr="00DA2530">
              <w:rPr>
                <w:b/>
              </w:rPr>
              <w:t>Best supportive care</w:t>
            </w:r>
          </w:p>
        </w:tc>
        <w:tc>
          <w:tcPr>
            <w:tcW w:w="838" w:type="pct"/>
            <w:vAlign w:val="center"/>
          </w:tcPr>
          <w:p w:rsidR="00B2608F" w:rsidRPr="00DA2530" w:rsidRDefault="00B2608F" w:rsidP="001E08C1">
            <w:pPr>
              <w:pStyle w:val="TableText1"/>
              <w:rPr>
                <w:b/>
              </w:rPr>
            </w:pPr>
            <w:r w:rsidRPr="00DA2530">
              <w:rPr>
                <w:b/>
              </w:rPr>
              <w:t>Increment</w:t>
            </w:r>
          </w:p>
        </w:tc>
      </w:tr>
      <w:tr w:rsidR="00B2608F" w:rsidRPr="00DA2530" w:rsidTr="000056CF">
        <w:trPr>
          <w:trHeight w:val="390"/>
        </w:trPr>
        <w:tc>
          <w:tcPr>
            <w:tcW w:w="5000" w:type="pct"/>
            <w:gridSpan w:val="4"/>
            <w:vAlign w:val="center"/>
          </w:tcPr>
          <w:p w:rsidR="00B2608F" w:rsidRPr="00DA2530" w:rsidRDefault="00B2608F" w:rsidP="001E08C1">
            <w:pPr>
              <w:pStyle w:val="TableText1"/>
              <w:rPr>
                <w:b/>
                <w:snapToGrid w:val="0"/>
              </w:rPr>
            </w:pPr>
            <w:r w:rsidRPr="00DA2530">
              <w:rPr>
                <w:b/>
                <w:snapToGrid w:val="0"/>
              </w:rPr>
              <w:t>March 2016 submission (base case)</w:t>
            </w:r>
          </w:p>
        </w:tc>
      </w:tr>
      <w:tr w:rsidR="00B2608F" w:rsidRPr="00DA2530" w:rsidTr="00285C73">
        <w:tc>
          <w:tcPr>
            <w:tcW w:w="1665" w:type="pct"/>
            <w:vAlign w:val="center"/>
          </w:tcPr>
          <w:p w:rsidR="00B2608F" w:rsidRPr="00DA2530" w:rsidRDefault="00B2608F" w:rsidP="001E08C1">
            <w:pPr>
              <w:pStyle w:val="TableText1"/>
              <w:rPr>
                <w:rFonts w:ascii="Times" w:eastAsia="Times New Roman" w:hAnsi="Times" w:cs="Times New Roman"/>
              </w:rPr>
            </w:pPr>
            <w:r w:rsidRPr="00DA2530">
              <w:t>Costs</w:t>
            </w:r>
          </w:p>
        </w:tc>
        <w:tc>
          <w:tcPr>
            <w:tcW w:w="1223" w:type="pct"/>
            <w:vAlign w:val="center"/>
          </w:tcPr>
          <w:p w:rsidR="00B2608F" w:rsidRPr="00DA2530" w:rsidRDefault="00B2608F" w:rsidP="001E08C1">
            <w:pPr>
              <w:pStyle w:val="TableText1"/>
              <w:rPr>
                <w:rFonts w:ascii="Times" w:eastAsia="Times New Roman" w:hAnsi="Times" w:cs="Times New Roman"/>
              </w:rPr>
            </w:pPr>
            <w:r w:rsidRPr="00DA2530">
              <w:t>$</w:t>
            </w:r>
            <w:r w:rsidR="00A42B97">
              <w:rPr>
                <w:noProof/>
                <w:color w:val="000000"/>
                <w:highlight w:val="black"/>
              </w:rPr>
              <w:t>''''''''''''''''''''''''''</w:t>
            </w:r>
          </w:p>
        </w:tc>
        <w:tc>
          <w:tcPr>
            <w:tcW w:w="1274" w:type="pct"/>
            <w:vAlign w:val="center"/>
          </w:tcPr>
          <w:p w:rsidR="00B2608F" w:rsidRPr="00DA2530" w:rsidRDefault="00B2608F" w:rsidP="001E08C1">
            <w:pPr>
              <w:pStyle w:val="TableText1"/>
              <w:rPr>
                <w:rFonts w:ascii="Times" w:eastAsia="Times New Roman" w:hAnsi="Times" w:cs="Times New Roman"/>
              </w:rPr>
            </w:pPr>
            <w:r w:rsidRPr="00DA2530">
              <w:t>$</w:t>
            </w:r>
            <w:r w:rsidRPr="000056CF">
              <w:t>380,017</w:t>
            </w:r>
          </w:p>
        </w:tc>
        <w:tc>
          <w:tcPr>
            <w:tcW w:w="838" w:type="pct"/>
            <w:vAlign w:val="center"/>
          </w:tcPr>
          <w:p w:rsidR="00B2608F" w:rsidRPr="00DA2530" w:rsidRDefault="00B2608F" w:rsidP="001E08C1">
            <w:pPr>
              <w:pStyle w:val="TableText1"/>
              <w:rPr>
                <w:rFonts w:ascii="Times" w:eastAsia="Times New Roman" w:hAnsi="Times" w:cs="Times New Roman"/>
              </w:rPr>
            </w:pPr>
            <w:r w:rsidRPr="00DA2530">
              <w:t>$</w:t>
            </w:r>
            <w:r w:rsidR="00A42B97">
              <w:rPr>
                <w:noProof/>
                <w:color w:val="000000"/>
                <w:highlight w:val="black"/>
              </w:rPr>
              <w:t>''''''''''''''''''''''</w:t>
            </w:r>
          </w:p>
        </w:tc>
      </w:tr>
      <w:tr w:rsidR="00B2608F" w:rsidRPr="00DA2530" w:rsidTr="00285C73">
        <w:tc>
          <w:tcPr>
            <w:tcW w:w="1665" w:type="pct"/>
            <w:tcBorders>
              <w:bottom w:val="single" w:sz="4" w:space="0" w:color="auto"/>
            </w:tcBorders>
            <w:vAlign w:val="center"/>
          </w:tcPr>
          <w:p w:rsidR="00B2608F" w:rsidRPr="00DA2530" w:rsidRDefault="00B2608F" w:rsidP="001E08C1">
            <w:pPr>
              <w:pStyle w:val="TableText1"/>
            </w:pPr>
            <w:r w:rsidRPr="00DA2530">
              <w:t>QALYs</w:t>
            </w:r>
          </w:p>
        </w:tc>
        <w:tc>
          <w:tcPr>
            <w:tcW w:w="1223" w:type="pct"/>
            <w:tcBorders>
              <w:bottom w:val="single" w:sz="4" w:space="0" w:color="auto"/>
            </w:tcBorders>
            <w:vAlign w:val="center"/>
          </w:tcPr>
          <w:p w:rsidR="00B2608F" w:rsidRPr="00DA2530" w:rsidRDefault="00B2608F" w:rsidP="001E08C1">
            <w:pPr>
              <w:pStyle w:val="TableText1"/>
            </w:pPr>
            <w:r w:rsidRPr="00DA2530">
              <w:t xml:space="preserve">9.553 </w:t>
            </w:r>
          </w:p>
        </w:tc>
        <w:tc>
          <w:tcPr>
            <w:tcW w:w="1274" w:type="pct"/>
            <w:tcBorders>
              <w:bottom w:val="single" w:sz="4" w:space="0" w:color="auto"/>
            </w:tcBorders>
            <w:vAlign w:val="center"/>
          </w:tcPr>
          <w:p w:rsidR="00B2608F" w:rsidRPr="00DA2530" w:rsidRDefault="00B2608F" w:rsidP="001E08C1">
            <w:pPr>
              <w:pStyle w:val="TableText1"/>
            </w:pPr>
            <w:r w:rsidRPr="00DA2530">
              <w:t>4.894</w:t>
            </w:r>
          </w:p>
        </w:tc>
        <w:tc>
          <w:tcPr>
            <w:tcW w:w="838" w:type="pct"/>
            <w:vAlign w:val="center"/>
          </w:tcPr>
          <w:p w:rsidR="00B2608F" w:rsidRPr="00DA2530" w:rsidRDefault="00B2608F" w:rsidP="001E08C1">
            <w:pPr>
              <w:pStyle w:val="TableText1"/>
            </w:pPr>
            <w:r w:rsidRPr="00DA2530">
              <w:t>4.659</w:t>
            </w:r>
          </w:p>
        </w:tc>
      </w:tr>
      <w:tr w:rsidR="00B2608F" w:rsidRPr="00DA2530" w:rsidTr="00285C73">
        <w:tc>
          <w:tcPr>
            <w:tcW w:w="1665" w:type="pct"/>
            <w:tcBorders>
              <w:right w:val="nil"/>
            </w:tcBorders>
            <w:vAlign w:val="center"/>
          </w:tcPr>
          <w:p w:rsidR="00B2608F" w:rsidRPr="00DA2530" w:rsidRDefault="00B2608F" w:rsidP="001E08C1">
            <w:pPr>
              <w:pStyle w:val="TableText1"/>
            </w:pPr>
            <w:r w:rsidRPr="00DA2530">
              <w:t>Incremental cost/extra QALY gained</w:t>
            </w:r>
          </w:p>
        </w:tc>
        <w:tc>
          <w:tcPr>
            <w:tcW w:w="1223" w:type="pct"/>
            <w:tcBorders>
              <w:left w:val="nil"/>
              <w:right w:val="nil"/>
            </w:tcBorders>
            <w:vAlign w:val="center"/>
          </w:tcPr>
          <w:p w:rsidR="00B2608F" w:rsidRPr="00DA2530" w:rsidRDefault="00B2608F" w:rsidP="001E08C1">
            <w:pPr>
              <w:pStyle w:val="TableText1"/>
            </w:pPr>
          </w:p>
        </w:tc>
        <w:tc>
          <w:tcPr>
            <w:tcW w:w="1274" w:type="pct"/>
            <w:tcBorders>
              <w:left w:val="nil"/>
            </w:tcBorders>
            <w:vAlign w:val="center"/>
          </w:tcPr>
          <w:p w:rsidR="00B2608F" w:rsidRPr="00DA2530" w:rsidRDefault="00B2608F" w:rsidP="001E08C1">
            <w:pPr>
              <w:pStyle w:val="TableText1"/>
            </w:pPr>
          </w:p>
        </w:tc>
        <w:tc>
          <w:tcPr>
            <w:tcW w:w="838" w:type="pct"/>
            <w:vAlign w:val="center"/>
          </w:tcPr>
          <w:p w:rsidR="00B2608F" w:rsidRPr="00DA2530" w:rsidRDefault="00B2608F" w:rsidP="001E08C1">
            <w:pPr>
              <w:pStyle w:val="TableText1"/>
            </w:pPr>
            <w:r w:rsidRPr="00DA2530">
              <w:rPr>
                <w:rFonts w:cs="Times New Roman"/>
              </w:rPr>
              <w:t>$</w:t>
            </w:r>
            <w:r w:rsidR="00A42B97">
              <w:rPr>
                <w:rFonts w:cs="Times New Roman"/>
                <w:noProof/>
                <w:color w:val="000000"/>
                <w:highlight w:val="black"/>
              </w:rPr>
              <w:t>'''''''''''''''''''''</w:t>
            </w:r>
          </w:p>
        </w:tc>
      </w:tr>
      <w:tr w:rsidR="00B2608F" w:rsidRPr="00DA2530" w:rsidTr="00285C73">
        <w:tc>
          <w:tcPr>
            <w:tcW w:w="5000" w:type="pct"/>
            <w:gridSpan w:val="4"/>
            <w:vAlign w:val="center"/>
          </w:tcPr>
          <w:p w:rsidR="00B2608F" w:rsidRPr="00DA2530" w:rsidRDefault="00B2608F" w:rsidP="001E08C1">
            <w:pPr>
              <w:pStyle w:val="TableText1"/>
              <w:rPr>
                <w:rFonts w:cs="Times New Roman"/>
              </w:rPr>
            </w:pPr>
            <w:r w:rsidRPr="00DA2530">
              <w:rPr>
                <w:b/>
                <w:snapToGrid w:val="0"/>
              </w:rPr>
              <w:t>November 2016 resubmission (base case)</w:t>
            </w:r>
          </w:p>
        </w:tc>
      </w:tr>
      <w:tr w:rsidR="00B2608F" w:rsidRPr="00DA2530" w:rsidTr="00285C73">
        <w:tc>
          <w:tcPr>
            <w:tcW w:w="1665" w:type="pct"/>
            <w:vAlign w:val="center"/>
          </w:tcPr>
          <w:p w:rsidR="00B2608F" w:rsidRPr="00DA2530" w:rsidRDefault="00B2608F" w:rsidP="001E08C1">
            <w:pPr>
              <w:pStyle w:val="TableText1"/>
            </w:pPr>
            <w:r w:rsidRPr="00DA2530">
              <w:t>Costs</w:t>
            </w:r>
          </w:p>
        </w:tc>
        <w:tc>
          <w:tcPr>
            <w:tcW w:w="1223" w:type="pct"/>
            <w:vAlign w:val="center"/>
          </w:tcPr>
          <w:p w:rsidR="00B2608F" w:rsidRPr="00DA2530" w:rsidRDefault="00B2608F" w:rsidP="001E08C1">
            <w:pPr>
              <w:pStyle w:val="TableText1"/>
              <w:rPr>
                <w:vertAlign w:val="superscript"/>
              </w:rPr>
            </w:pPr>
            <w:r w:rsidRPr="00DA2530">
              <w:t>$</w:t>
            </w:r>
            <w:r w:rsidR="00A42B97">
              <w:rPr>
                <w:noProof/>
                <w:color w:val="000000"/>
                <w:highlight w:val="black"/>
              </w:rPr>
              <w:t>'''''''''''''''''''''''''''</w:t>
            </w:r>
          </w:p>
        </w:tc>
        <w:tc>
          <w:tcPr>
            <w:tcW w:w="1274" w:type="pct"/>
            <w:vAlign w:val="center"/>
          </w:tcPr>
          <w:p w:rsidR="00B2608F" w:rsidRPr="00DA2530" w:rsidRDefault="00B2608F" w:rsidP="001E08C1">
            <w:pPr>
              <w:pStyle w:val="TableText1"/>
            </w:pPr>
            <w:r w:rsidRPr="00DA2530">
              <w:t>$</w:t>
            </w:r>
            <w:r w:rsidRPr="000056CF">
              <w:t>380,017</w:t>
            </w:r>
          </w:p>
        </w:tc>
        <w:tc>
          <w:tcPr>
            <w:tcW w:w="838" w:type="pct"/>
            <w:vAlign w:val="center"/>
          </w:tcPr>
          <w:p w:rsidR="00B2608F" w:rsidRPr="00DA2530" w:rsidRDefault="00B2608F" w:rsidP="001E08C1">
            <w:pPr>
              <w:pStyle w:val="TableText1"/>
              <w:rPr>
                <w:vertAlign w:val="superscript"/>
              </w:rPr>
            </w:pPr>
            <w:r w:rsidRPr="00DA2530">
              <w:t>$</w:t>
            </w:r>
            <w:r w:rsidR="00A42B97">
              <w:rPr>
                <w:noProof/>
                <w:color w:val="000000"/>
                <w:highlight w:val="black"/>
              </w:rPr>
              <w:t>'''''''''''''''''''''''''</w:t>
            </w:r>
          </w:p>
        </w:tc>
      </w:tr>
      <w:tr w:rsidR="00B2608F" w:rsidRPr="00DA2530" w:rsidTr="00285C73">
        <w:tc>
          <w:tcPr>
            <w:tcW w:w="1665" w:type="pct"/>
            <w:vAlign w:val="center"/>
          </w:tcPr>
          <w:p w:rsidR="00B2608F" w:rsidRPr="00DA2530" w:rsidRDefault="00B2608F" w:rsidP="001E08C1">
            <w:pPr>
              <w:pStyle w:val="TableText1"/>
            </w:pPr>
            <w:r w:rsidRPr="00DA2530">
              <w:t>QALYs</w:t>
            </w:r>
          </w:p>
        </w:tc>
        <w:tc>
          <w:tcPr>
            <w:tcW w:w="1223" w:type="pct"/>
            <w:vAlign w:val="center"/>
          </w:tcPr>
          <w:p w:rsidR="00B2608F" w:rsidRPr="00DA2530" w:rsidRDefault="00B2608F" w:rsidP="001E08C1">
            <w:pPr>
              <w:pStyle w:val="TableText1"/>
            </w:pPr>
            <w:r w:rsidRPr="00DA2530">
              <w:t xml:space="preserve">9.553 </w:t>
            </w:r>
          </w:p>
        </w:tc>
        <w:tc>
          <w:tcPr>
            <w:tcW w:w="1274" w:type="pct"/>
            <w:vAlign w:val="center"/>
          </w:tcPr>
          <w:p w:rsidR="00B2608F" w:rsidRPr="00DA2530" w:rsidRDefault="00B2608F" w:rsidP="001E08C1">
            <w:pPr>
              <w:pStyle w:val="TableText1"/>
            </w:pPr>
            <w:r w:rsidRPr="00DA2530">
              <w:t>4.894</w:t>
            </w:r>
          </w:p>
        </w:tc>
        <w:tc>
          <w:tcPr>
            <w:tcW w:w="838" w:type="pct"/>
            <w:vAlign w:val="center"/>
          </w:tcPr>
          <w:p w:rsidR="00B2608F" w:rsidRPr="00DA2530" w:rsidRDefault="00B2608F" w:rsidP="001E08C1">
            <w:pPr>
              <w:pStyle w:val="TableText1"/>
            </w:pPr>
            <w:r w:rsidRPr="00DA2530">
              <w:t>4.659</w:t>
            </w:r>
          </w:p>
        </w:tc>
      </w:tr>
      <w:tr w:rsidR="00B2608F" w:rsidRPr="00DA2530" w:rsidTr="00285C73">
        <w:tc>
          <w:tcPr>
            <w:tcW w:w="4162" w:type="pct"/>
            <w:gridSpan w:val="3"/>
            <w:vAlign w:val="center"/>
          </w:tcPr>
          <w:p w:rsidR="00B2608F" w:rsidRPr="00DA2530" w:rsidRDefault="00B2608F" w:rsidP="001E08C1">
            <w:pPr>
              <w:pStyle w:val="TableText1"/>
            </w:pPr>
            <w:r w:rsidRPr="00DA2530">
              <w:t>Incremental cost/extra QALY gained</w:t>
            </w:r>
          </w:p>
        </w:tc>
        <w:tc>
          <w:tcPr>
            <w:tcW w:w="838" w:type="pct"/>
            <w:vAlign w:val="center"/>
          </w:tcPr>
          <w:p w:rsidR="00B2608F" w:rsidRPr="00DA2530" w:rsidRDefault="00B2608F" w:rsidP="001E08C1">
            <w:pPr>
              <w:pStyle w:val="TableText1"/>
            </w:pPr>
            <w:r w:rsidRPr="00DA2530">
              <w:t>$</w:t>
            </w:r>
            <w:r w:rsidR="00A42B97">
              <w:rPr>
                <w:noProof/>
                <w:color w:val="000000"/>
                <w:highlight w:val="black"/>
              </w:rPr>
              <w:t>''''''''''''''''''''</w:t>
            </w:r>
          </w:p>
        </w:tc>
      </w:tr>
      <w:tr w:rsidR="00B2608F" w:rsidRPr="00DA2530" w:rsidTr="00285C73">
        <w:tc>
          <w:tcPr>
            <w:tcW w:w="5000" w:type="pct"/>
            <w:gridSpan w:val="4"/>
            <w:vAlign w:val="center"/>
          </w:tcPr>
          <w:p w:rsidR="00B2608F" w:rsidRPr="00DA2530" w:rsidRDefault="00B2608F" w:rsidP="001E08C1">
            <w:pPr>
              <w:pStyle w:val="TableText1"/>
              <w:rPr>
                <w:b/>
                <w:snapToGrid w:val="0"/>
              </w:rPr>
            </w:pPr>
            <w:r w:rsidRPr="00DA2530">
              <w:rPr>
                <w:b/>
                <w:snapToGrid w:val="0"/>
              </w:rPr>
              <w:t>July 2017 resubmission</w:t>
            </w:r>
          </w:p>
        </w:tc>
      </w:tr>
      <w:tr w:rsidR="00B2608F" w:rsidRPr="00DA2530" w:rsidTr="00285C73">
        <w:tc>
          <w:tcPr>
            <w:tcW w:w="5000" w:type="pct"/>
            <w:gridSpan w:val="4"/>
            <w:vAlign w:val="center"/>
          </w:tcPr>
          <w:p w:rsidR="00B2608F" w:rsidRPr="00DA2530" w:rsidRDefault="00B2608F" w:rsidP="001E08C1">
            <w:pPr>
              <w:pStyle w:val="TableText1"/>
              <w:rPr>
                <w:b/>
                <w:snapToGrid w:val="0"/>
              </w:rPr>
            </w:pPr>
            <w:r w:rsidRPr="00DA2530">
              <w:rPr>
                <w:b/>
                <w:snapToGrid w:val="0"/>
              </w:rPr>
              <w:t>Step 1: Financial cap (base cap) of $</w:t>
            </w:r>
            <w:r w:rsidR="00A42B97">
              <w:rPr>
                <w:b/>
                <w:noProof/>
                <w:snapToGrid w:val="0"/>
                <w:color w:val="000000"/>
                <w:highlight w:val="black"/>
              </w:rPr>
              <w:t>'''''''''''''''''''''''''</w:t>
            </w:r>
            <w:r w:rsidRPr="00DA2530">
              <w:rPr>
                <w:b/>
                <w:snapToGrid w:val="0"/>
              </w:rPr>
              <w:t xml:space="preserve"> applied</w:t>
            </w:r>
            <w:r w:rsidR="0073733B" w:rsidRPr="00DA2530">
              <w:rPr>
                <w:b/>
                <w:snapToGrid w:val="0"/>
              </w:rPr>
              <w:t xml:space="preserve"> to the March 2016 </w:t>
            </w:r>
            <w:r w:rsidR="003E19A1" w:rsidRPr="00DA2530">
              <w:rPr>
                <w:b/>
                <w:snapToGrid w:val="0"/>
              </w:rPr>
              <w:t xml:space="preserve">submission </w:t>
            </w:r>
            <w:r w:rsidR="0073733B" w:rsidRPr="00DA2530">
              <w:rPr>
                <w:b/>
                <w:snapToGrid w:val="0"/>
              </w:rPr>
              <w:t>base case</w:t>
            </w:r>
          </w:p>
        </w:tc>
      </w:tr>
      <w:tr w:rsidR="00B2608F" w:rsidRPr="00DA2530" w:rsidTr="00285C73">
        <w:tc>
          <w:tcPr>
            <w:tcW w:w="1665" w:type="pct"/>
            <w:vAlign w:val="center"/>
          </w:tcPr>
          <w:p w:rsidR="00B2608F" w:rsidRPr="00DA2530" w:rsidRDefault="00B2608F" w:rsidP="001E08C1">
            <w:pPr>
              <w:pStyle w:val="TableText1"/>
              <w:rPr>
                <w:rFonts w:ascii="Times" w:eastAsia="Times New Roman" w:hAnsi="Times" w:cs="Times New Roman"/>
              </w:rPr>
            </w:pPr>
            <w:r w:rsidRPr="00DA2530">
              <w:t>Costs</w:t>
            </w:r>
          </w:p>
        </w:tc>
        <w:tc>
          <w:tcPr>
            <w:tcW w:w="1223" w:type="pct"/>
            <w:vAlign w:val="center"/>
          </w:tcPr>
          <w:p w:rsidR="00B2608F" w:rsidRPr="00DA2530" w:rsidRDefault="00B2608F" w:rsidP="001E08C1">
            <w:pPr>
              <w:pStyle w:val="TableText1"/>
              <w:rPr>
                <w:rFonts w:ascii="Times" w:eastAsia="Times New Roman" w:hAnsi="Times" w:cs="Times New Roman"/>
              </w:rPr>
            </w:pPr>
            <w:r w:rsidRPr="00DA2530">
              <w:t>$</w:t>
            </w:r>
            <w:r w:rsidR="00A42B97">
              <w:rPr>
                <w:noProof/>
                <w:color w:val="000000"/>
                <w:highlight w:val="black"/>
              </w:rPr>
              <w:t>'''''''''''''''''''''''</w:t>
            </w:r>
          </w:p>
        </w:tc>
        <w:tc>
          <w:tcPr>
            <w:tcW w:w="1274" w:type="pct"/>
            <w:vAlign w:val="center"/>
          </w:tcPr>
          <w:p w:rsidR="00B2608F" w:rsidRPr="00DA2530" w:rsidRDefault="00B2608F" w:rsidP="001E08C1">
            <w:pPr>
              <w:pStyle w:val="TableText1"/>
              <w:rPr>
                <w:rFonts w:ascii="Times" w:eastAsia="Times New Roman" w:hAnsi="Times" w:cs="Times New Roman"/>
              </w:rPr>
            </w:pPr>
            <w:r w:rsidRPr="00DA2530">
              <w:t>$</w:t>
            </w:r>
            <w:r w:rsidRPr="000056CF">
              <w:t>380,017</w:t>
            </w:r>
          </w:p>
        </w:tc>
        <w:tc>
          <w:tcPr>
            <w:tcW w:w="838" w:type="pct"/>
            <w:vAlign w:val="center"/>
          </w:tcPr>
          <w:p w:rsidR="00B2608F" w:rsidRPr="00DA2530" w:rsidRDefault="00B2608F" w:rsidP="001E08C1">
            <w:pPr>
              <w:pStyle w:val="TableText1"/>
              <w:rPr>
                <w:rFonts w:ascii="Times" w:eastAsia="Times New Roman" w:hAnsi="Times" w:cs="Times New Roman"/>
              </w:rPr>
            </w:pPr>
            <w:r w:rsidRPr="00DA2530">
              <w:t>$</w:t>
            </w:r>
            <w:r w:rsidR="00A42B97">
              <w:rPr>
                <w:noProof/>
                <w:color w:val="000000"/>
                <w:highlight w:val="black"/>
              </w:rPr>
              <w:t>''''''''''''''''''''''''</w:t>
            </w:r>
          </w:p>
        </w:tc>
      </w:tr>
      <w:tr w:rsidR="00B2608F" w:rsidRPr="00DA2530" w:rsidTr="00285C73">
        <w:tc>
          <w:tcPr>
            <w:tcW w:w="1665" w:type="pct"/>
            <w:vAlign w:val="center"/>
          </w:tcPr>
          <w:p w:rsidR="00B2608F" w:rsidRPr="00DA2530" w:rsidRDefault="00B2608F" w:rsidP="001E08C1">
            <w:pPr>
              <w:pStyle w:val="TableText1"/>
              <w:rPr>
                <w:rFonts w:ascii="Times" w:eastAsia="Times New Roman" w:hAnsi="Times" w:cs="Times New Roman"/>
              </w:rPr>
            </w:pPr>
            <w:r w:rsidRPr="00DA2530">
              <w:t>QALYs</w:t>
            </w:r>
          </w:p>
        </w:tc>
        <w:tc>
          <w:tcPr>
            <w:tcW w:w="1223" w:type="pct"/>
            <w:vAlign w:val="center"/>
          </w:tcPr>
          <w:p w:rsidR="00B2608F" w:rsidRPr="00DA2530" w:rsidRDefault="00B2608F" w:rsidP="001E08C1">
            <w:pPr>
              <w:pStyle w:val="TableText1"/>
              <w:rPr>
                <w:rFonts w:ascii="Times" w:eastAsia="Times New Roman" w:hAnsi="Times" w:cs="Times New Roman"/>
              </w:rPr>
            </w:pPr>
            <w:r w:rsidRPr="00DA2530">
              <w:t>9.553</w:t>
            </w:r>
          </w:p>
        </w:tc>
        <w:tc>
          <w:tcPr>
            <w:tcW w:w="1274" w:type="pct"/>
            <w:vAlign w:val="center"/>
          </w:tcPr>
          <w:p w:rsidR="00B2608F" w:rsidRPr="00DA2530" w:rsidRDefault="00B2608F" w:rsidP="001E08C1">
            <w:pPr>
              <w:pStyle w:val="TableText1"/>
              <w:rPr>
                <w:rFonts w:ascii="Times" w:eastAsia="Times New Roman" w:hAnsi="Times" w:cs="Times New Roman"/>
              </w:rPr>
            </w:pPr>
            <w:r w:rsidRPr="00DA2530">
              <w:t>4.894</w:t>
            </w:r>
          </w:p>
        </w:tc>
        <w:tc>
          <w:tcPr>
            <w:tcW w:w="838" w:type="pct"/>
            <w:vAlign w:val="center"/>
          </w:tcPr>
          <w:p w:rsidR="00B2608F" w:rsidRPr="00DA2530" w:rsidRDefault="00B2608F" w:rsidP="001E08C1">
            <w:pPr>
              <w:pStyle w:val="TableText1"/>
            </w:pPr>
            <w:r w:rsidRPr="00DA2530">
              <w:t>4.659</w:t>
            </w:r>
          </w:p>
        </w:tc>
      </w:tr>
      <w:tr w:rsidR="00B2608F" w:rsidRPr="00DA2530" w:rsidTr="00285C73">
        <w:tc>
          <w:tcPr>
            <w:tcW w:w="4162" w:type="pct"/>
            <w:gridSpan w:val="3"/>
            <w:vAlign w:val="center"/>
          </w:tcPr>
          <w:p w:rsidR="00B2608F" w:rsidRPr="00DA2530" w:rsidRDefault="00B2608F" w:rsidP="001E08C1">
            <w:pPr>
              <w:pStyle w:val="TableText1"/>
              <w:rPr>
                <w:rFonts w:ascii="Times" w:eastAsia="Times New Roman" w:hAnsi="Times" w:cs="Times New Roman"/>
                <w:snapToGrid w:val="0"/>
              </w:rPr>
            </w:pPr>
            <w:r w:rsidRPr="00DA2530">
              <w:t>Incremental cost/extra QALY gained</w:t>
            </w:r>
          </w:p>
        </w:tc>
        <w:tc>
          <w:tcPr>
            <w:tcW w:w="838" w:type="pct"/>
            <w:vAlign w:val="center"/>
          </w:tcPr>
          <w:p w:rsidR="00B2608F" w:rsidRPr="00DA2530" w:rsidRDefault="00B2608F" w:rsidP="001E08C1">
            <w:pPr>
              <w:pStyle w:val="TableText1"/>
              <w:rPr>
                <w:rFonts w:ascii="Times" w:eastAsia="Times New Roman" w:hAnsi="Times" w:cs="Times New Roman"/>
              </w:rPr>
            </w:pPr>
            <w:r w:rsidRPr="00DA2530">
              <w:t>$</w:t>
            </w:r>
            <w:r w:rsidR="00A42B97">
              <w:rPr>
                <w:noProof/>
                <w:color w:val="000000"/>
                <w:highlight w:val="black"/>
              </w:rPr>
              <w:t>''''''''''''''''''</w:t>
            </w:r>
          </w:p>
        </w:tc>
      </w:tr>
      <w:tr w:rsidR="00B2608F" w:rsidRPr="00DA2530" w:rsidTr="00285C73">
        <w:tc>
          <w:tcPr>
            <w:tcW w:w="5000" w:type="pct"/>
            <w:gridSpan w:val="4"/>
            <w:vAlign w:val="center"/>
          </w:tcPr>
          <w:p w:rsidR="00B2608F" w:rsidRPr="00DA2530" w:rsidRDefault="00B2608F" w:rsidP="001E08C1">
            <w:pPr>
              <w:pStyle w:val="TableText1"/>
              <w:rPr>
                <w:b/>
                <w:snapToGrid w:val="0"/>
              </w:rPr>
            </w:pPr>
            <w:r w:rsidRPr="00DA2530">
              <w:rPr>
                <w:b/>
                <w:snapToGrid w:val="0"/>
              </w:rPr>
              <w:t>Step 2: Initiation of PBS reimbursement date changed from 1 July 2016 to 1 February 2018</w:t>
            </w:r>
          </w:p>
        </w:tc>
      </w:tr>
      <w:tr w:rsidR="00B2608F" w:rsidRPr="00DA2530" w:rsidTr="00285C73">
        <w:tc>
          <w:tcPr>
            <w:tcW w:w="1665" w:type="pct"/>
            <w:vAlign w:val="center"/>
          </w:tcPr>
          <w:p w:rsidR="00B2608F" w:rsidRPr="00DA2530" w:rsidRDefault="00B2608F" w:rsidP="001E08C1">
            <w:pPr>
              <w:pStyle w:val="TableText1"/>
              <w:rPr>
                <w:rFonts w:ascii="Times" w:eastAsia="Times New Roman" w:hAnsi="Times" w:cs="Times New Roman"/>
              </w:rPr>
            </w:pPr>
            <w:r w:rsidRPr="00DA2530">
              <w:t>Costs</w:t>
            </w:r>
          </w:p>
        </w:tc>
        <w:tc>
          <w:tcPr>
            <w:tcW w:w="1223" w:type="pct"/>
            <w:vAlign w:val="center"/>
          </w:tcPr>
          <w:p w:rsidR="00B2608F" w:rsidRPr="00DA2530" w:rsidRDefault="00B2608F" w:rsidP="001E08C1">
            <w:pPr>
              <w:pStyle w:val="TableText1"/>
              <w:rPr>
                <w:rFonts w:ascii="Times" w:eastAsia="Times New Roman" w:hAnsi="Times" w:cs="Times New Roman"/>
              </w:rPr>
            </w:pPr>
            <w:r w:rsidRPr="00DA2530">
              <w:t>$</w:t>
            </w:r>
            <w:r w:rsidR="00A42B97">
              <w:rPr>
                <w:noProof/>
                <w:color w:val="000000"/>
                <w:highlight w:val="black"/>
              </w:rPr>
              <w:t>''''''''''''''''''''''</w:t>
            </w:r>
          </w:p>
        </w:tc>
        <w:tc>
          <w:tcPr>
            <w:tcW w:w="1274" w:type="pct"/>
            <w:vAlign w:val="center"/>
          </w:tcPr>
          <w:p w:rsidR="00B2608F" w:rsidRPr="00DA2530" w:rsidRDefault="00B2608F" w:rsidP="001E08C1">
            <w:pPr>
              <w:pStyle w:val="TableText1"/>
              <w:rPr>
                <w:rFonts w:ascii="Times" w:eastAsia="Times New Roman" w:hAnsi="Times" w:cs="Times New Roman"/>
              </w:rPr>
            </w:pPr>
            <w:r w:rsidRPr="00DA2530">
              <w:t>$</w:t>
            </w:r>
            <w:r w:rsidRPr="000056CF">
              <w:t>380,017</w:t>
            </w:r>
          </w:p>
        </w:tc>
        <w:tc>
          <w:tcPr>
            <w:tcW w:w="838" w:type="pct"/>
            <w:vAlign w:val="center"/>
          </w:tcPr>
          <w:p w:rsidR="00B2608F" w:rsidRPr="00DA2530" w:rsidRDefault="00B2608F" w:rsidP="001E08C1">
            <w:pPr>
              <w:pStyle w:val="TableText1"/>
              <w:rPr>
                <w:rFonts w:eastAsia="Times New Roman" w:cs="Times New Roman"/>
              </w:rPr>
            </w:pPr>
            <w:r w:rsidRPr="00DA2530">
              <w:rPr>
                <w:rFonts w:eastAsia="Times New Roman" w:cs="Times New Roman"/>
              </w:rPr>
              <w:t>$</w:t>
            </w:r>
            <w:r w:rsidR="00A42B97">
              <w:rPr>
                <w:rFonts w:eastAsia="Times New Roman" w:cs="Times New Roman"/>
                <w:noProof/>
                <w:color w:val="000000"/>
                <w:highlight w:val="black"/>
              </w:rPr>
              <w:t>''''''''''''''''''''</w:t>
            </w:r>
          </w:p>
        </w:tc>
      </w:tr>
      <w:tr w:rsidR="00B2608F" w:rsidRPr="00DA2530" w:rsidTr="00285C73">
        <w:tc>
          <w:tcPr>
            <w:tcW w:w="1665" w:type="pct"/>
            <w:vAlign w:val="center"/>
          </w:tcPr>
          <w:p w:rsidR="00B2608F" w:rsidRPr="00DA2530" w:rsidRDefault="00B2608F" w:rsidP="001E08C1">
            <w:pPr>
              <w:pStyle w:val="TableText1"/>
              <w:rPr>
                <w:rFonts w:ascii="Times" w:eastAsia="Times New Roman" w:hAnsi="Times" w:cs="Times New Roman"/>
              </w:rPr>
            </w:pPr>
            <w:r w:rsidRPr="00DA2530">
              <w:t>QALYs</w:t>
            </w:r>
          </w:p>
        </w:tc>
        <w:tc>
          <w:tcPr>
            <w:tcW w:w="1223" w:type="pct"/>
            <w:vAlign w:val="center"/>
          </w:tcPr>
          <w:p w:rsidR="00B2608F" w:rsidRPr="00DA2530" w:rsidRDefault="00B2608F" w:rsidP="001E08C1">
            <w:pPr>
              <w:pStyle w:val="TableText1"/>
              <w:rPr>
                <w:rFonts w:ascii="Times" w:eastAsia="Times New Roman" w:hAnsi="Times" w:cs="Times New Roman"/>
              </w:rPr>
            </w:pPr>
            <w:r w:rsidRPr="00DA2530">
              <w:t xml:space="preserve">9.553 </w:t>
            </w:r>
          </w:p>
        </w:tc>
        <w:tc>
          <w:tcPr>
            <w:tcW w:w="1274" w:type="pct"/>
            <w:vAlign w:val="center"/>
          </w:tcPr>
          <w:p w:rsidR="00B2608F" w:rsidRPr="00DA2530" w:rsidRDefault="00B2608F" w:rsidP="001E08C1">
            <w:pPr>
              <w:pStyle w:val="TableText1"/>
              <w:rPr>
                <w:rFonts w:ascii="Times" w:eastAsia="Times New Roman" w:hAnsi="Times" w:cs="Times New Roman"/>
              </w:rPr>
            </w:pPr>
            <w:r w:rsidRPr="00DA2530">
              <w:t>4.894</w:t>
            </w:r>
          </w:p>
        </w:tc>
        <w:tc>
          <w:tcPr>
            <w:tcW w:w="838" w:type="pct"/>
            <w:vAlign w:val="center"/>
          </w:tcPr>
          <w:p w:rsidR="00B2608F" w:rsidRPr="00DA2530" w:rsidRDefault="00B2608F" w:rsidP="001E08C1">
            <w:pPr>
              <w:pStyle w:val="TableText1"/>
            </w:pPr>
            <w:r w:rsidRPr="00DA2530">
              <w:t>4.659</w:t>
            </w:r>
          </w:p>
        </w:tc>
      </w:tr>
      <w:tr w:rsidR="00B2608F" w:rsidRPr="00DA2530" w:rsidTr="00285C73">
        <w:tc>
          <w:tcPr>
            <w:tcW w:w="4162" w:type="pct"/>
            <w:gridSpan w:val="3"/>
            <w:vAlign w:val="center"/>
          </w:tcPr>
          <w:p w:rsidR="00B2608F" w:rsidRPr="00DA2530" w:rsidRDefault="00B2608F" w:rsidP="001E08C1">
            <w:pPr>
              <w:pStyle w:val="TableText1"/>
              <w:rPr>
                <w:rFonts w:ascii="Times" w:eastAsia="Times New Roman" w:hAnsi="Times" w:cs="Times New Roman"/>
              </w:rPr>
            </w:pPr>
            <w:r w:rsidRPr="00DA2530">
              <w:t>Incremental cost/extra QALY gained</w:t>
            </w:r>
          </w:p>
        </w:tc>
        <w:tc>
          <w:tcPr>
            <w:tcW w:w="838" w:type="pct"/>
            <w:vAlign w:val="center"/>
          </w:tcPr>
          <w:p w:rsidR="00B2608F" w:rsidRPr="00DA2530" w:rsidRDefault="00B2608F" w:rsidP="001E08C1">
            <w:pPr>
              <w:pStyle w:val="TableText1"/>
              <w:rPr>
                <w:rFonts w:ascii="Times" w:eastAsia="Times New Roman" w:hAnsi="Times" w:cs="Times New Roman"/>
              </w:rPr>
            </w:pPr>
            <w:r w:rsidRPr="00DA2530">
              <w:t>$</w:t>
            </w:r>
            <w:r w:rsidR="00A42B97">
              <w:rPr>
                <w:noProof/>
                <w:color w:val="000000"/>
                <w:highlight w:val="black"/>
              </w:rPr>
              <w:t>'''''''''''''''''''''</w:t>
            </w:r>
          </w:p>
        </w:tc>
      </w:tr>
      <w:tr w:rsidR="00B2608F" w:rsidRPr="00DA2530" w:rsidTr="00285C73">
        <w:tc>
          <w:tcPr>
            <w:tcW w:w="5000" w:type="pct"/>
            <w:gridSpan w:val="4"/>
            <w:vAlign w:val="center"/>
          </w:tcPr>
          <w:p w:rsidR="00B2608F" w:rsidRPr="00DA2530" w:rsidRDefault="00B2608F" w:rsidP="001E08C1">
            <w:pPr>
              <w:pStyle w:val="TableText1"/>
              <w:rPr>
                <w:b/>
                <w:snapToGrid w:val="0"/>
              </w:rPr>
            </w:pPr>
            <w:r w:rsidRPr="00DA2530">
              <w:rPr>
                <w:b/>
                <w:snapToGrid w:val="0"/>
              </w:rPr>
              <w:t>Step 3: F1 price reduction applied</w:t>
            </w:r>
          </w:p>
        </w:tc>
      </w:tr>
      <w:tr w:rsidR="00B2608F" w:rsidRPr="00DA2530" w:rsidTr="00285C73">
        <w:tc>
          <w:tcPr>
            <w:tcW w:w="1665" w:type="pct"/>
            <w:vAlign w:val="center"/>
          </w:tcPr>
          <w:p w:rsidR="00B2608F" w:rsidRPr="00DA2530" w:rsidRDefault="00B2608F" w:rsidP="001E08C1">
            <w:pPr>
              <w:pStyle w:val="TableText1"/>
              <w:rPr>
                <w:rFonts w:ascii="Times" w:eastAsia="Times New Roman" w:hAnsi="Times" w:cs="Times New Roman"/>
              </w:rPr>
            </w:pPr>
            <w:r w:rsidRPr="00DA2530">
              <w:t>Costs</w:t>
            </w:r>
          </w:p>
        </w:tc>
        <w:tc>
          <w:tcPr>
            <w:tcW w:w="1223" w:type="pct"/>
            <w:vAlign w:val="center"/>
          </w:tcPr>
          <w:p w:rsidR="00B2608F" w:rsidRPr="00DA2530" w:rsidRDefault="00B2608F" w:rsidP="001E08C1">
            <w:pPr>
              <w:pStyle w:val="TableText1"/>
              <w:rPr>
                <w:rFonts w:ascii="Times" w:eastAsia="Times New Roman" w:hAnsi="Times" w:cs="Times New Roman"/>
              </w:rPr>
            </w:pPr>
            <w:r w:rsidRPr="00DA2530">
              <w:t>$</w:t>
            </w:r>
            <w:r w:rsidR="00A42B97">
              <w:rPr>
                <w:noProof/>
                <w:color w:val="000000"/>
                <w:highlight w:val="black"/>
              </w:rPr>
              <w:t>''''''''''''''''''''''</w:t>
            </w:r>
          </w:p>
        </w:tc>
        <w:tc>
          <w:tcPr>
            <w:tcW w:w="1274" w:type="pct"/>
            <w:vAlign w:val="center"/>
          </w:tcPr>
          <w:p w:rsidR="00B2608F" w:rsidRPr="00DA2530" w:rsidRDefault="00B2608F" w:rsidP="001E08C1">
            <w:pPr>
              <w:pStyle w:val="TableText1"/>
              <w:rPr>
                <w:rFonts w:ascii="Times" w:eastAsia="Times New Roman" w:hAnsi="Times" w:cs="Times New Roman"/>
              </w:rPr>
            </w:pPr>
            <w:r w:rsidRPr="00DA2530">
              <w:t>$</w:t>
            </w:r>
            <w:r w:rsidRPr="000056CF">
              <w:t>380,017</w:t>
            </w:r>
          </w:p>
        </w:tc>
        <w:tc>
          <w:tcPr>
            <w:tcW w:w="838" w:type="pct"/>
            <w:vAlign w:val="center"/>
          </w:tcPr>
          <w:p w:rsidR="00B2608F" w:rsidRPr="00DA2530" w:rsidRDefault="00B2608F" w:rsidP="001E08C1">
            <w:pPr>
              <w:pStyle w:val="TableText1"/>
              <w:rPr>
                <w:rFonts w:ascii="Times" w:eastAsia="Times New Roman" w:hAnsi="Times" w:cs="Times New Roman"/>
              </w:rPr>
            </w:pPr>
            <w:r w:rsidRPr="00DA2530">
              <w:t>$</w:t>
            </w:r>
            <w:r w:rsidR="00A42B97">
              <w:rPr>
                <w:noProof/>
                <w:color w:val="000000"/>
                <w:highlight w:val="black"/>
              </w:rPr>
              <w:t>'''''''''''''''''''</w:t>
            </w:r>
          </w:p>
        </w:tc>
      </w:tr>
      <w:tr w:rsidR="00B2608F" w:rsidRPr="00DA2530" w:rsidTr="00285C73">
        <w:tc>
          <w:tcPr>
            <w:tcW w:w="1665" w:type="pct"/>
            <w:vAlign w:val="center"/>
          </w:tcPr>
          <w:p w:rsidR="00B2608F" w:rsidRPr="00DA2530" w:rsidRDefault="00B2608F" w:rsidP="001E08C1">
            <w:pPr>
              <w:pStyle w:val="TableText1"/>
              <w:rPr>
                <w:rFonts w:ascii="Times" w:eastAsia="Times New Roman" w:hAnsi="Times" w:cs="Times New Roman"/>
              </w:rPr>
            </w:pPr>
            <w:r w:rsidRPr="00DA2530">
              <w:t>QALYs</w:t>
            </w:r>
          </w:p>
        </w:tc>
        <w:tc>
          <w:tcPr>
            <w:tcW w:w="1223" w:type="pct"/>
            <w:vAlign w:val="center"/>
          </w:tcPr>
          <w:p w:rsidR="00B2608F" w:rsidRPr="00DA2530" w:rsidRDefault="00B2608F" w:rsidP="001E08C1">
            <w:pPr>
              <w:pStyle w:val="TableText1"/>
              <w:rPr>
                <w:rFonts w:ascii="Times" w:eastAsia="Times New Roman" w:hAnsi="Times" w:cs="Times New Roman"/>
              </w:rPr>
            </w:pPr>
            <w:r w:rsidRPr="00DA2530">
              <w:t>9.553</w:t>
            </w:r>
          </w:p>
        </w:tc>
        <w:tc>
          <w:tcPr>
            <w:tcW w:w="1274" w:type="pct"/>
            <w:vAlign w:val="center"/>
          </w:tcPr>
          <w:p w:rsidR="00B2608F" w:rsidRPr="00DA2530" w:rsidRDefault="00B2608F" w:rsidP="001E08C1">
            <w:pPr>
              <w:pStyle w:val="TableText1"/>
              <w:rPr>
                <w:rFonts w:ascii="Times" w:eastAsia="Times New Roman" w:hAnsi="Times" w:cs="Times New Roman"/>
              </w:rPr>
            </w:pPr>
            <w:r w:rsidRPr="00DA2530">
              <w:t>4.894</w:t>
            </w:r>
          </w:p>
        </w:tc>
        <w:tc>
          <w:tcPr>
            <w:tcW w:w="838" w:type="pct"/>
            <w:vAlign w:val="center"/>
          </w:tcPr>
          <w:p w:rsidR="00B2608F" w:rsidRPr="00DA2530" w:rsidRDefault="00B2608F" w:rsidP="001E08C1">
            <w:pPr>
              <w:pStyle w:val="TableText1"/>
            </w:pPr>
            <w:r w:rsidRPr="00DA2530">
              <w:t>4.659</w:t>
            </w:r>
          </w:p>
        </w:tc>
      </w:tr>
      <w:tr w:rsidR="00B2608F" w:rsidRPr="00DA2530" w:rsidTr="00285C73">
        <w:tc>
          <w:tcPr>
            <w:tcW w:w="4162" w:type="pct"/>
            <w:gridSpan w:val="3"/>
            <w:vAlign w:val="center"/>
          </w:tcPr>
          <w:p w:rsidR="00B2608F" w:rsidRPr="00DA2530" w:rsidRDefault="00B2608F" w:rsidP="001E08C1">
            <w:pPr>
              <w:pStyle w:val="TableText1"/>
              <w:rPr>
                <w:rFonts w:ascii="Times" w:eastAsia="Times New Roman" w:hAnsi="Times" w:cs="Times New Roman"/>
              </w:rPr>
            </w:pPr>
            <w:r w:rsidRPr="00DA2530">
              <w:t>Incremental cost/extra QALY gained</w:t>
            </w:r>
          </w:p>
        </w:tc>
        <w:tc>
          <w:tcPr>
            <w:tcW w:w="838" w:type="pct"/>
            <w:vAlign w:val="center"/>
          </w:tcPr>
          <w:p w:rsidR="00B2608F" w:rsidRPr="00DA2530" w:rsidRDefault="00B2608F" w:rsidP="001E08C1">
            <w:pPr>
              <w:pStyle w:val="TableText1"/>
              <w:rPr>
                <w:rFonts w:ascii="Times" w:eastAsia="Times New Roman" w:hAnsi="Times" w:cs="Times New Roman"/>
              </w:rPr>
            </w:pPr>
            <w:r w:rsidRPr="00DA2530">
              <w:t>$</w:t>
            </w:r>
            <w:r w:rsidR="00A42B97">
              <w:rPr>
                <w:noProof/>
                <w:color w:val="000000"/>
                <w:highlight w:val="black"/>
              </w:rPr>
              <w:t>''''''''''''''''''''''</w:t>
            </w:r>
          </w:p>
        </w:tc>
      </w:tr>
      <w:tr w:rsidR="00B2608F" w:rsidRPr="00DA2530" w:rsidTr="00285C73">
        <w:tc>
          <w:tcPr>
            <w:tcW w:w="5000" w:type="pct"/>
            <w:gridSpan w:val="4"/>
            <w:vAlign w:val="center"/>
          </w:tcPr>
          <w:p w:rsidR="00B2608F" w:rsidRPr="00DA2530" w:rsidRDefault="00B2608F" w:rsidP="001E08C1">
            <w:pPr>
              <w:pStyle w:val="TableText1"/>
              <w:rPr>
                <w:b/>
                <w:snapToGrid w:val="0"/>
              </w:rPr>
            </w:pPr>
            <w:r w:rsidRPr="00DA2530">
              <w:rPr>
                <w:b/>
                <w:snapToGrid w:val="0"/>
              </w:rPr>
              <w:t>Step 4: PE-relate</w:t>
            </w:r>
            <w:r w:rsidR="004A6E14" w:rsidRPr="00DA2530">
              <w:rPr>
                <w:b/>
                <w:snapToGrid w:val="0"/>
              </w:rPr>
              <w:t>d</w:t>
            </w:r>
            <w:r w:rsidRPr="00DA2530">
              <w:rPr>
                <w:b/>
                <w:snapToGrid w:val="0"/>
              </w:rPr>
              <w:t xml:space="preserve"> hospital costs reduced for lumacaftor/ivacaftor (Base case 1)</w:t>
            </w:r>
          </w:p>
        </w:tc>
      </w:tr>
      <w:tr w:rsidR="00B2608F" w:rsidRPr="00DA2530" w:rsidTr="00285C73">
        <w:tc>
          <w:tcPr>
            <w:tcW w:w="1665" w:type="pct"/>
            <w:vAlign w:val="center"/>
          </w:tcPr>
          <w:p w:rsidR="00B2608F" w:rsidRPr="00DA2530" w:rsidRDefault="00B2608F" w:rsidP="001E08C1">
            <w:pPr>
              <w:pStyle w:val="TableText1"/>
              <w:rPr>
                <w:rFonts w:ascii="Times" w:eastAsia="Times New Roman" w:hAnsi="Times" w:cs="Times New Roman"/>
              </w:rPr>
            </w:pPr>
            <w:r w:rsidRPr="00DA2530">
              <w:t>Costs</w:t>
            </w:r>
          </w:p>
        </w:tc>
        <w:tc>
          <w:tcPr>
            <w:tcW w:w="1223" w:type="pct"/>
            <w:vAlign w:val="center"/>
          </w:tcPr>
          <w:p w:rsidR="00B2608F" w:rsidRPr="00DA2530" w:rsidRDefault="00B2608F" w:rsidP="001E08C1">
            <w:pPr>
              <w:pStyle w:val="TableText1"/>
              <w:rPr>
                <w:rFonts w:ascii="Times" w:eastAsia="Times New Roman" w:hAnsi="Times" w:cs="Times New Roman"/>
              </w:rPr>
            </w:pPr>
            <w:r w:rsidRPr="00DA2530">
              <w:t>$</w:t>
            </w:r>
            <w:r w:rsidR="00A42B97">
              <w:rPr>
                <w:noProof/>
                <w:color w:val="000000"/>
                <w:highlight w:val="black"/>
              </w:rPr>
              <w:t>'''''''''''''''''''''''''</w:t>
            </w:r>
          </w:p>
        </w:tc>
        <w:tc>
          <w:tcPr>
            <w:tcW w:w="1274" w:type="pct"/>
            <w:vAlign w:val="center"/>
          </w:tcPr>
          <w:p w:rsidR="00B2608F" w:rsidRPr="00DA2530" w:rsidRDefault="00B2608F" w:rsidP="001E08C1">
            <w:pPr>
              <w:pStyle w:val="TableText1"/>
              <w:rPr>
                <w:rFonts w:ascii="Times" w:eastAsia="Times New Roman" w:hAnsi="Times" w:cs="Times New Roman"/>
              </w:rPr>
            </w:pPr>
            <w:r w:rsidRPr="00DA2530">
              <w:t>$</w:t>
            </w:r>
            <w:r w:rsidRPr="000056CF">
              <w:t>380,017</w:t>
            </w:r>
          </w:p>
        </w:tc>
        <w:tc>
          <w:tcPr>
            <w:tcW w:w="838" w:type="pct"/>
            <w:vAlign w:val="center"/>
          </w:tcPr>
          <w:p w:rsidR="00B2608F" w:rsidRPr="00DA2530" w:rsidRDefault="00B2608F" w:rsidP="001E08C1">
            <w:pPr>
              <w:pStyle w:val="TableText1"/>
              <w:rPr>
                <w:rFonts w:ascii="Times" w:eastAsia="Times New Roman" w:hAnsi="Times" w:cs="Times New Roman"/>
              </w:rPr>
            </w:pPr>
            <w:r w:rsidRPr="00DA2530">
              <w:t>$</w:t>
            </w:r>
            <w:r w:rsidR="00A42B97">
              <w:rPr>
                <w:noProof/>
                <w:color w:val="000000"/>
                <w:highlight w:val="black"/>
              </w:rPr>
              <w:t>'''''''''''''''''''</w:t>
            </w:r>
          </w:p>
        </w:tc>
      </w:tr>
      <w:tr w:rsidR="00B2608F" w:rsidRPr="00DA2530" w:rsidTr="00285C73">
        <w:tc>
          <w:tcPr>
            <w:tcW w:w="1665" w:type="pct"/>
            <w:vAlign w:val="center"/>
          </w:tcPr>
          <w:p w:rsidR="00B2608F" w:rsidRPr="00DA2530" w:rsidRDefault="00B2608F" w:rsidP="001E08C1">
            <w:pPr>
              <w:pStyle w:val="TableText1"/>
              <w:rPr>
                <w:rFonts w:ascii="Times" w:eastAsia="Times New Roman" w:hAnsi="Times" w:cs="Times New Roman"/>
              </w:rPr>
            </w:pPr>
            <w:r w:rsidRPr="00DA2530">
              <w:t>QALYs</w:t>
            </w:r>
          </w:p>
        </w:tc>
        <w:tc>
          <w:tcPr>
            <w:tcW w:w="1223" w:type="pct"/>
            <w:vAlign w:val="center"/>
          </w:tcPr>
          <w:p w:rsidR="00B2608F" w:rsidRPr="00DA2530" w:rsidRDefault="00B2608F" w:rsidP="001E08C1">
            <w:pPr>
              <w:pStyle w:val="TableText1"/>
              <w:rPr>
                <w:rFonts w:ascii="Times" w:eastAsia="Times New Roman" w:hAnsi="Times" w:cs="Times New Roman"/>
              </w:rPr>
            </w:pPr>
            <w:r w:rsidRPr="00DA2530">
              <w:t>9.553</w:t>
            </w:r>
          </w:p>
        </w:tc>
        <w:tc>
          <w:tcPr>
            <w:tcW w:w="1274" w:type="pct"/>
            <w:vAlign w:val="center"/>
          </w:tcPr>
          <w:p w:rsidR="00B2608F" w:rsidRPr="00DA2530" w:rsidRDefault="00B2608F" w:rsidP="001E08C1">
            <w:pPr>
              <w:pStyle w:val="TableText1"/>
              <w:rPr>
                <w:rFonts w:ascii="Times" w:eastAsia="Times New Roman" w:hAnsi="Times" w:cs="Times New Roman"/>
              </w:rPr>
            </w:pPr>
            <w:r w:rsidRPr="00DA2530">
              <w:t>4.894</w:t>
            </w:r>
          </w:p>
        </w:tc>
        <w:tc>
          <w:tcPr>
            <w:tcW w:w="838" w:type="pct"/>
            <w:vAlign w:val="center"/>
          </w:tcPr>
          <w:p w:rsidR="00B2608F" w:rsidRPr="00DA2530" w:rsidRDefault="00B2608F" w:rsidP="001E08C1">
            <w:pPr>
              <w:pStyle w:val="TableText1"/>
            </w:pPr>
            <w:r w:rsidRPr="00DA2530">
              <w:t>4.659</w:t>
            </w:r>
          </w:p>
        </w:tc>
      </w:tr>
      <w:tr w:rsidR="00B2608F" w:rsidRPr="00DA2530" w:rsidTr="00285C73">
        <w:tc>
          <w:tcPr>
            <w:tcW w:w="4162" w:type="pct"/>
            <w:gridSpan w:val="3"/>
            <w:vAlign w:val="center"/>
          </w:tcPr>
          <w:p w:rsidR="00B2608F" w:rsidRPr="00DA2530" w:rsidRDefault="00B2608F" w:rsidP="001E08C1">
            <w:pPr>
              <w:pStyle w:val="TableText1"/>
              <w:rPr>
                <w:rFonts w:ascii="Times" w:eastAsia="Times New Roman" w:hAnsi="Times" w:cs="Times New Roman"/>
              </w:rPr>
            </w:pPr>
            <w:r w:rsidRPr="00DA2530">
              <w:t>Incremental cost/extra QALY gained</w:t>
            </w:r>
          </w:p>
        </w:tc>
        <w:tc>
          <w:tcPr>
            <w:tcW w:w="838" w:type="pct"/>
            <w:vAlign w:val="center"/>
          </w:tcPr>
          <w:p w:rsidR="00B2608F" w:rsidRPr="00DA2530" w:rsidRDefault="00B2608F" w:rsidP="001E08C1">
            <w:pPr>
              <w:pStyle w:val="TableText1"/>
              <w:rPr>
                <w:rFonts w:ascii="Times" w:eastAsia="Times New Roman" w:hAnsi="Times" w:cs="Times New Roman"/>
              </w:rPr>
            </w:pPr>
            <w:r w:rsidRPr="00DA2530">
              <w:t>$</w:t>
            </w:r>
            <w:r w:rsidR="00A42B97">
              <w:rPr>
                <w:noProof/>
                <w:color w:val="000000"/>
                <w:highlight w:val="black"/>
              </w:rPr>
              <w:t>''''''''''''''''''''</w:t>
            </w:r>
          </w:p>
        </w:tc>
      </w:tr>
    </w:tbl>
    <w:p w:rsidR="00B2608F" w:rsidRPr="00F251FF" w:rsidRDefault="00B2608F" w:rsidP="001E08C1">
      <w:pPr>
        <w:pStyle w:val="Tablefooter8pt"/>
      </w:pPr>
      <w:r w:rsidRPr="00F251FF">
        <w:t xml:space="preserve">Source: Table D.5.3 of the Commentary. </w:t>
      </w:r>
    </w:p>
    <w:p w:rsidR="00B2608F" w:rsidRPr="00F251FF" w:rsidRDefault="00B2608F" w:rsidP="001E08C1">
      <w:pPr>
        <w:pStyle w:val="Tablefooter8pt"/>
      </w:pPr>
      <w:r w:rsidRPr="00F251FF">
        <w:t>Abbreviations: PBS</w:t>
      </w:r>
      <w:r w:rsidR="00AC0EC7" w:rsidRPr="00F251FF">
        <w:t xml:space="preserve"> =</w:t>
      </w:r>
      <w:r w:rsidRPr="00F251FF">
        <w:t xml:space="preserve"> Pharmaceutical Benefits Scheme; PE</w:t>
      </w:r>
      <w:r w:rsidR="00AC0EC7" w:rsidRPr="00F251FF">
        <w:t xml:space="preserve"> =</w:t>
      </w:r>
      <w:r w:rsidRPr="00F251FF">
        <w:t xml:space="preserve"> pulmonary exacerbation; pp</w:t>
      </w:r>
      <w:r w:rsidR="00023A66" w:rsidRPr="00F251FF">
        <w:t>FEV</w:t>
      </w:r>
      <w:r w:rsidR="00023A66" w:rsidRPr="00F251FF">
        <w:rPr>
          <w:vertAlign w:val="subscript"/>
        </w:rPr>
        <w:t>1</w:t>
      </w:r>
      <w:r w:rsidR="00AC0EC7" w:rsidRPr="00F251FF">
        <w:t xml:space="preserve"> =</w:t>
      </w:r>
      <w:r w:rsidRPr="00F251FF">
        <w:t xml:space="preserve"> percent predicted forced expiratory volume in one second; QALY</w:t>
      </w:r>
      <w:r w:rsidR="00AC0EC7" w:rsidRPr="00F251FF">
        <w:t xml:space="preserve"> = </w:t>
      </w:r>
      <w:r w:rsidRPr="00F251FF">
        <w:t>quality-adjusted life-years.</w:t>
      </w:r>
    </w:p>
    <w:p w:rsidR="00B811FF" w:rsidRPr="00F251FF" w:rsidRDefault="00B2608F" w:rsidP="001E08C1">
      <w:pPr>
        <w:pStyle w:val="TableFooter"/>
        <w:keepNext/>
        <w:widowControl/>
        <w:spacing w:after="120"/>
        <w:rPr>
          <w:sz w:val="16"/>
          <w:szCs w:val="16"/>
        </w:rPr>
      </w:pPr>
      <w:r w:rsidRPr="00F251FF">
        <w:rPr>
          <w:sz w:val="16"/>
          <w:szCs w:val="16"/>
          <w:vertAlign w:val="superscript"/>
        </w:rPr>
        <w:t>a</w:t>
      </w:r>
      <w:r w:rsidRPr="00F251FF">
        <w:rPr>
          <w:sz w:val="16"/>
          <w:szCs w:val="16"/>
        </w:rPr>
        <w:t xml:space="preserve"> </w:t>
      </w:r>
      <w:r w:rsidR="00B811FF" w:rsidRPr="00F251FF">
        <w:rPr>
          <w:sz w:val="16"/>
          <w:szCs w:val="16"/>
        </w:rPr>
        <w:t>During the evaluation the ICER of $</w:t>
      </w:r>
      <w:r w:rsidR="00A42B97">
        <w:rPr>
          <w:noProof/>
          <w:color w:val="000000"/>
          <w:sz w:val="16"/>
          <w:szCs w:val="16"/>
          <w:highlight w:val="black"/>
        </w:rPr>
        <w:t>'''''''''''''''''''</w:t>
      </w:r>
      <w:r w:rsidR="00B811FF" w:rsidRPr="00F251FF">
        <w:rPr>
          <w:sz w:val="16"/>
          <w:szCs w:val="16"/>
        </w:rPr>
        <w:t xml:space="preserve"> per QALY gained could not be replicated</w:t>
      </w:r>
      <w:r w:rsidR="00FD70DB" w:rsidRPr="00F251FF">
        <w:rPr>
          <w:sz w:val="16"/>
          <w:szCs w:val="16"/>
        </w:rPr>
        <w:t xml:space="preserve"> using the model</w:t>
      </w:r>
      <w:r w:rsidR="00252820" w:rsidRPr="00F251FF">
        <w:rPr>
          <w:sz w:val="16"/>
          <w:szCs w:val="16"/>
        </w:rPr>
        <w:t xml:space="preserve"> in the current resubmission</w:t>
      </w:r>
      <w:r w:rsidR="00B811FF" w:rsidRPr="00F251FF">
        <w:rPr>
          <w:sz w:val="16"/>
          <w:szCs w:val="16"/>
        </w:rPr>
        <w:t>. The following values derived during the evaluation were; cost of LUMA/IVA $1</w:t>
      </w:r>
      <w:r w:rsidR="00A42B97">
        <w:rPr>
          <w:noProof/>
          <w:color w:val="000000"/>
          <w:sz w:val="16"/>
          <w:szCs w:val="16"/>
          <w:highlight w:val="black"/>
        </w:rPr>
        <w:t>''''''''''''''''''''</w:t>
      </w:r>
      <w:r w:rsidR="00B811FF" w:rsidRPr="00F251FF">
        <w:rPr>
          <w:sz w:val="16"/>
          <w:szCs w:val="16"/>
        </w:rPr>
        <w:t>, cost increment $</w:t>
      </w:r>
      <w:r w:rsidR="00A42B97">
        <w:rPr>
          <w:noProof/>
          <w:color w:val="000000"/>
          <w:sz w:val="16"/>
          <w:szCs w:val="16"/>
          <w:highlight w:val="black"/>
        </w:rPr>
        <w:t>'''''''''''''''''''''</w:t>
      </w:r>
      <w:r w:rsidR="00B811FF" w:rsidRPr="00F251FF">
        <w:rPr>
          <w:sz w:val="16"/>
          <w:szCs w:val="16"/>
        </w:rPr>
        <w:t>; ICER $</w:t>
      </w:r>
      <w:r w:rsidR="00A42B97">
        <w:rPr>
          <w:noProof/>
          <w:color w:val="000000"/>
          <w:sz w:val="16"/>
          <w:szCs w:val="16"/>
          <w:highlight w:val="black"/>
        </w:rPr>
        <w:t>''''''''''''''''''''</w:t>
      </w:r>
      <w:r w:rsidR="00FD70DB" w:rsidRPr="00F251FF">
        <w:rPr>
          <w:sz w:val="16"/>
          <w:szCs w:val="16"/>
        </w:rPr>
        <w:t>/QALY gained.</w:t>
      </w:r>
    </w:p>
    <w:p w:rsidR="00B2608F" w:rsidRPr="00DA2530" w:rsidRDefault="00B2608F" w:rsidP="00092118">
      <w:pPr>
        <w:pStyle w:val="ListParagraph"/>
        <w:widowControl/>
        <w:numPr>
          <w:ilvl w:val="1"/>
          <w:numId w:val="13"/>
        </w:numPr>
        <w:spacing w:after="120"/>
        <w:ind w:left="709" w:hanging="709"/>
        <w:contextualSpacing w:val="0"/>
        <w:rPr>
          <w:rFonts w:asciiTheme="minorHAnsi" w:hAnsiTheme="minorHAnsi"/>
          <w:sz w:val="24"/>
          <w:szCs w:val="24"/>
        </w:rPr>
      </w:pPr>
      <w:r w:rsidRPr="00DA2530">
        <w:rPr>
          <w:rFonts w:asciiTheme="minorHAnsi" w:hAnsiTheme="minorHAnsi"/>
          <w:sz w:val="24"/>
          <w:szCs w:val="24"/>
        </w:rPr>
        <w:t>In previous considerations of lumacaftor/ivacaftor in March 2016 and November 2016, the PBAC considered the estimated cost per QALY gained for lumacaftor/ivacaftor was likely to be underestimated (paragraphs 7.12-7.14, March 2016 PSD; paragraph</w:t>
      </w:r>
      <w:r w:rsidR="00092118">
        <w:rPr>
          <w:rFonts w:asciiTheme="minorHAnsi" w:hAnsiTheme="minorHAnsi"/>
          <w:sz w:val="24"/>
          <w:szCs w:val="24"/>
        </w:rPr>
        <w:t>s</w:t>
      </w:r>
      <w:r w:rsidRPr="00DA2530">
        <w:rPr>
          <w:rFonts w:asciiTheme="minorHAnsi" w:hAnsiTheme="minorHAnsi"/>
          <w:sz w:val="24"/>
          <w:szCs w:val="24"/>
        </w:rPr>
        <w:t xml:space="preserve"> 6.13</w:t>
      </w:r>
      <w:r w:rsidR="00092118">
        <w:rPr>
          <w:rFonts w:asciiTheme="minorHAnsi" w:hAnsiTheme="minorHAnsi"/>
          <w:sz w:val="24"/>
          <w:szCs w:val="24"/>
        </w:rPr>
        <w:t xml:space="preserve"> and 7.3</w:t>
      </w:r>
      <w:r w:rsidRPr="00DA2530">
        <w:rPr>
          <w:rFonts w:asciiTheme="minorHAnsi" w:hAnsiTheme="minorHAnsi"/>
          <w:sz w:val="24"/>
          <w:szCs w:val="24"/>
        </w:rPr>
        <w:t xml:space="preserve">, </w:t>
      </w:r>
      <w:r w:rsidR="009F56DA" w:rsidRPr="00DA2530">
        <w:rPr>
          <w:rFonts w:asciiTheme="minorHAnsi" w:hAnsiTheme="minorHAnsi"/>
          <w:sz w:val="24"/>
          <w:szCs w:val="24"/>
        </w:rPr>
        <w:t xml:space="preserve">November 2016 </w:t>
      </w:r>
      <w:r w:rsidR="004E11B6">
        <w:rPr>
          <w:rFonts w:asciiTheme="minorHAnsi" w:hAnsiTheme="minorHAnsi"/>
          <w:sz w:val="24"/>
          <w:szCs w:val="24"/>
        </w:rPr>
        <w:t>PSD</w:t>
      </w:r>
      <w:r w:rsidRPr="00DA2530">
        <w:rPr>
          <w:rFonts w:asciiTheme="minorHAnsi" w:hAnsiTheme="minorHAnsi"/>
          <w:sz w:val="24"/>
          <w:szCs w:val="24"/>
        </w:rPr>
        <w:t>). The following issues were not addressed in the resubmission:</w:t>
      </w:r>
    </w:p>
    <w:p w:rsidR="00B2608F" w:rsidRPr="00DA2530" w:rsidRDefault="00B2608F" w:rsidP="00092118">
      <w:pPr>
        <w:pStyle w:val="ListParagraph"/>
        <w:widowControl/>
        <w:numPr>
          <w:ilvl w:val="0"/>
          <w:numId w:val="15"/>
        </w:numPr>
        <w:spacing w:after="120"/>
        <w:ind w:left="993" w:hanging="284"/>
        <w:contextualSpacing w:val="0"/>
        <w:rPr>
          <w:rFonts w:asciiTheme="minorHAnsi" w:hAnsiTheme="minorHAnsi"/>
          <w:sz w:val="24"/>
          <w:szCs w:val="24"/>
        </w:rPr>
      </w:pPr>
      <w:r w:rsidRPr="00DA2530">
        <w:rPr>
          <w:rFonts w:asciiTheme="minorHAnsi" w:hAnsiTheme="minorHAnsi"/>
          <w:sz w:val="24"/>
          <w:szCs w:val="24"/>
        </w:rPr>
        <w:t>The model relied on the assumption that treatment effect is sustained beyond the 24 weeks of the TRAFFIC and TRANSPORT trials. The extrapolation of short-term results in pp</w:t>
      </w:r>
      <w:r w:rsidR="00023A66" w:rsidRPr="00DA2530">
        <w:rPr>
          <w:rFonts w:asciiTheme="minorHAnsi" w:hAnsiTheme="minorHAnsi"/>
          <w:sz w:val="24"/>
          <w:szCs w:val="24"/>
        </w:rPr>
        <w:t>FEV</w:t>
      </w:r>
      <w:r w:rsidR="00023A66" w:rsidRPr="00DA2530">
        <w:rPr>
          <w:rFonts w:asciiTheme="minorHAnsi" w:hAnsiTheme="minorHAnsi"/>
          <w:sz w:val="24"/>
          <w:szCs w:val="24"/>
          <w:vertAlign w:val="subscript"/>
        </w:rPr>
        <w:t>1</w:t>
      </w:r>
      <w:r w:rsidRPr="00DA2530">
        <w:rPr>
          <w:rFonts w:asciiTheme="minorHAnsi" w:hAnsiTheme="minorHAnsi"/>
          <w:sz w:val="24"/>
          <w:szCs w:val="24"/>
        </w:rPr>
        <w:t xml:space="preserve"> to mortality was highly uncertain, and the assumption that patients in the treatment group could not decline in pp</w:t>
      </w:r>
      <w:r w:rsidR="00023A66" w:rsidRPr="00DA2530">
        <w:rPr>
          <w:rFonts w:asciiTheme="minorHAnsi" w:hAnsiTheme="minorHAnsi"/>
          <w:sz w:val="24"/>
          <w:szCs w:val="24"/>
        </w:rPr>
        <w:t>FEV</w:t>
      </w:r>
      <w:r w:rsidR="00023A66" w:rsidRPr="00DA2530">
        <w:rPr>
          <w:rFonts w:asciiTheme="minorHAnsi" w:hAnsiTheme="minorHAnsi"/>
          <w:sz w:val="24"/>
          <w:szCs w:val="24"/>
          <w:vertAlign w:val="subscript"/>
        </w:rPr>
        <w:t>1</w:t>
      </w:r>
      <w:r w:rsidRPr="00DA2530">
        <w:rPr>
          <w:rFonts w:asciiTheme="minorHAnsi" w:hAnsiTheme="minorHAnsi"/>
          <w:sz w:val="24"/>
          <w:szCs w:val="24"/>
        </w:rPr>
        <w:t xml:space="preserve"> was implausible. Updated results from PROGRESS</w:t>
      </w:r>
      <w:r w:rsidR="00F65AA0">
        <w:rPr>
          <w:rFonts w:asciiTheme="minorHAnsi" w:hAnsiTheme="minorHAnsi"/>
          <w:sz w:val="24"/>
          <w:szCs w:val="24"/>
        </w:rPr>
        <w:t>,</w:t>
      </w:r>
      <w:r w:rsidRPr="00DA2530">
        <w:rPr>
          <w:rFonts w:asciiTheme="minorHAnsi" w:hAnsiTheme="minorHAnsi"/>
          <w:sz w:val="24"/>
          <w:szCs w:val="24"/>
        </w:rPr>
        <w:t xml:space="preserve"> </w:t>
      </w:r>
      <w:r w:rsidR="00D80F0E">
        <w:rPr>
          <w:rFonts w:asciiTheme="minorHAnsi" w:hAnsiTheme="minorHAnsi"/>
          <w:sz w:val="24"/>
          <w:szCs w:val="24"/>
        </w:rPr>
        <w:t xml:space="preserve">which </w:t>
      </w:r>
      <w:r w:rsidR="00D80F0E" w:rsidRPr="00DA2530">
        <w:rPr>
          <w:rFonts w:asciiTheme="minorHAnsi" w:hAnsiTheme="minorHAnsi"/>
          <w:sz w:val="24"/>
          <w:szCs w:val="24"/>
        </w:rPr>
        <w:t>show that there was a decline in ppFEV</w:t>
      </w:r>
      <w:r w:rsidR="00D80F0E" w:rsidRPr="00DA2530">
        <w:rPr>
          <w:rFonts w:asciiTheme="minorHAnsi" w:hAnsiTheme="minorHAnsi"/>
          <w:sz w:val="24"/>
          <w:szCs w:val="24"/>
          <w:vertAlign w:val="subscript"/>
        </w:rPr>
        <w:t>1</w:t>
      </w:r>
      <w:r w:rsidR="00D80F0E" w:rsidRPr="00DA2530">
        <w:rPr>
          <w:rFonts w:asciiTheme="minorHAnsi" w:hAnsiTheme="minorHAnsi"/>
          <w:sz w:val="24"/>
          <w:szCs w:val="24"/>
        </w:rPr>
        <w:t xml:space="preserve"> </w:t>
      </w:r>
      <w:r w:rsidR="00F65AA0">
        <w:rPr>
          <w:rFonts w:asciiTheme="minorHAnsi" w:hAnsiTheme="minorHAnsi"/>
          <w:sz w:val="24"/>
          <w:szCs w:val="24"/>
        </w:rPr>
        <w:t>in</w:t>
      </w:r>
      <w:r w:rsidR="00F65AA0" w:rsidRPr="00DA2530">
        <w:rPr>
          <w:rFonts w:asciiTheme="minorHAnsi" w:hAnsiTheme="minorHAnsi"/>
          <w:sz w:val="24"/>
          <w:szCs w:val="24"/>
        </w:rPr>
        <w:t xml:space="preserve"> </w:t>
      </w:r>
      <w:r w:rsidR="00D80F0E" w:rsidRPr="00DA2530">
        <w:rPr>
          <w:rFonts w:asciiTheme="minorHAnsi" w:hAnsiTheme="minorHAnsi"/>
          <w:sz w:val="24"/>
          <w:szCs w:val="24"/>
        </w:rPr>
        <w:t>lumacaftor/ivacaftor</w:t>
      </w:r>
      <w:r w:rsidR="00F65AA0">
        <w:rPr>
          <w:rFonts w:asciiTheme="minorHAnsi" w:hAnsiTheme="minorHAnsi"/>
          <w:sz w:val="24"/>
          <w:szCs w:val="24"/>
        </w:rPr>
        <w:t xml:space="preserve"> treated patients,</w:t>
      </w:r>
      <w:r w:rsidR="00D80F0E" w:rsidRPr="00DA2530">
        <w:rPr>
          <w:rFonts w:asciiTheme="minorHAnsi" w:hAnsiTheme="minorHAnsi"/>
          <w:sz w:val="24"/>
          <w:szCs w:val="24"/>
        </w:rPr>
        <w:t xml:space="preserve"> </w:t>
      </w:r>
      <w:r w:rsidRPr="00DA2530">
        <w:rPr>
          <w:rFonts w:asciiTheme="minorHAnsi" w:hAnsiTheme="minorHAnsi"/>
          <w:sz w:val="24"/>
          <w:szCs w:val="24"/>
        </w:rPr>
        <w:t xml:space="preserve">were not incorporated into the economic model in this resubmission. </w:t>
      </w:r>
    </w:p>
    <w:p w:rsidR="00E71D40" w:rsidRPr="001F1BA4" w:rsidRDefault="00B2608F" w:rsidP="00092118">
      <w:pPr>
        <w:pStyle w:val="ListParagraph"/>
        <w:widowControl/>
        <w:numPr>
          <w:ilvl w:val="0"/>
          <w:numId w:val="15"/>
        </w:numPr>
        <w:spacing w:after="120"/>
        <w:ind w:left="993" w:hanging="284"/>
        <w:contextualSpacing w:val="0"/>
        <w:rPr>
          <w:rFonts w:asciiTheme="minorHAnsi" w:hAnsiTheme="minorHAnsi"/>
          <w:sz w:val="24"/>
          <w:szCs w:val="24"/>
        </w:rPr>
      </w:pPr>
      <w:r w:rsidRPr="001F1BA4">
        <w:rPr>
          <w:rFonts w:asciiTheme="minorHAnsi" w:hAnsiTheme="minorHAnsi"/>
          <w:sz w:val="24"/>
          <w:szCs w:val="24"/>
        </w:rPr>
        <w:t xml:space="preserve">The model was sensitive to the assumption that the price of lumacaftor/ivacaftor would fall by </w:t>
      </w:r>
      <w:r w:rsidR="00A42B97">
        <w:rPr>
          <w:rFonts w:asciiTheme="minorHAnsi" w:hAnsiTheme="minorHAnsi"/>
          <w:noProof/>
          <w:color w:val="000000"/>
          <w:sz w:val="24"/>
          <w:szCs w:val="24"/>
          <w:highlight w:val="black"/>
        </w:rPr>
        <w:t>''''''</w:t>
      </w:r>
      <w:r w:rsidRPr="001F1BA4">
        <w:rPr>
          <w:rFonts w:asciiTheme="minorHAnsi" w:hAnsiTheme="minorHAnsi"/>
          <w:sz w:val="24"/>
          <w:szCs w:val="24"/>
        </w:rPr>
        <w:t xml:space="preserve">% at the end of patent protection. </w:t>
      </w:r>
    </w:p>
    <w:p w:rsidR="00DA7EE2" w:rsidRPr="00226B30" w:rsidRDefault="008D4FA0" w:rsidP="00092118">
      <w:pPr>
        <w:pStyle w:val="ListParagraph"/>
        <w:widowControl/>
        <w:numPr>
          <w:ilvl w:val="0"/>
          <w:numId w:val="15"/>
        </w:numPr>
        <w:spacing w:after="120"/>
        <w:ind w:left="993" w:hanging="284"/>
        <w:contextualSpacing w:val="0"/>
        <w:rPr>
          <w:rFonts w:asciiTheme="minorHAnsi" w:hAnsiTheme="minorHAnsi"/>
          <w:sz w:val="24"/>
          <w:szCs w:val="24"/>
        </w:rPr>
      </w:pPr>
      <w:r w:rsidRPr="00226B30">
        <w:rPr>
          <w:rFonts w:asciiTheme="minorHAnsi" w:hAnsiTheme="minorHAnsi"/>
          <w:sz w:val="24"/>
          <w:szCs w:val="24"/>
        </w:rPr>
        <w:t>At the November 2016 meeting, t</w:t>
      </w:r>
      <w:r w:rsidR="00FA6A49" w:rsidRPr="00226B30">
        <w:rPr>
          <w:rFonts w:asciiTheme="minorHAnsi" w:hAnsiTheme="minorHAnsi"/>
          <w:sz w:val="24"/>
          <w:szCs w:val="24"/>
        </w:rPr>
        <w:t xml:space="preserve">he PBAC noted that while the proposed </w:t>
      </w:r>
      <w:r w:rsidR="00702F30">
        <w:rPr>
          <w:rFonts w:asciiTheme="minorHAnsi" w:hAnsiTheme="minorHAnsi"/>
          <w:sz w:val="24"/>
          <w:szCs w:val="24"/>
        </w:rPr>
        <w:t xml:space="preserve">“base cap” </w:t>
      </w:r>
      <w:r w:rsidR="00FA6A49" w:rsidRPr="00226B30">
        <w:rPr>
          <w:rFonts w:asciiTheme="minorHAnsi" w:hAnsiTheme="minorHAnsi"/>
          <w:sz w:val="24"/>
          <w:szCs w:val="24"/>
        </w:rPr>
        <w:t xml:space="preserve">limits risk in terms of overall cost, this approach did not provide a stable estimate of cost effectiveness. </w:t>
      </w:r>
      <w:r w:rsidR="00FA6A49" w:rsidRPr="001F1BA4">
        <w:rPr>
          <w:rFonts w:asciiTheme="minorHAnsi" w:hAnsiTheme="minorHAnsi"/>
          <w:sz w:val="24"/>
          <w:szCs w:val="24"/>
        </w:rPr>
        <w:t xml:space="preserve">In addition, the model assumed that the effective price would apply for </w:t>
      </w:r>
      <w:r w:rsidR="00A42B97">
        <w:rPr>
          <w:rFonts w:asciiTheme="minorHAnsi" w:hAnsiTheme="minorHAnsi"/>
          <w:noProof/>
          <w:color w:val="000000"/>
          <w:sz w:val="24"/>
          <w:szCs w:val="24"/>
          <w:highlight w:val="black"/>
        </w:rPr>
        <w:t xml:space="preserve">'''''''' ''''''''''' </w:t>
      </w:r>
      <w:r w:rsidR="00FA6A49" w:rsidRPr="001F1BA4">
        <w:rPr>
          <w:rFonts w:asciiTheme="minorHAnsi" w:hAnsiTheme="minorHAnsi"/>
          <w:sz w:val="24"/>
          <w:szCs w:val="24"/>
        </w:rPr>
        <w:t xml:space="preserve">prior to the end of the patent protection period (at which point the price was assumed to decrease by </w:t>
      </w:r>
      <w:r w:rsidR="00A42B97">
        <w:rPr>
          <w:rFonts w:asciiTheme="minorHAnsi" w:hAnsiTheme="minorHAnsi"/>
          <w:noProof/>
          <w:color w:val="000000"/>
          <w:sz w:val="24"/>
          <w:szCs w:val="24"/>
          <w:highlight w:val="black"/>
        </w:rPr>
        <w:t>'''''</w:t>
      </w:r>
      <w:r w:rsidR="00FA6A49" w:rsidRPr="001F1BA4">
        <w:rPr>
          <w:rFonts w:asciiTheme="minorHAnsi" w:hAnsiTheme="minorHAnsi"/>
          <w:sz w:val="24"/>
          <w:szCs w:val="24"/>
        </w:rPr>
        <w:t>%).</w:t>
      </w:r>
      <w:r w:rsidR="00FA6A49" w:rsidRPr="00226B30">
        <w:rPr>
          <w:rFonts w:asciiTheme="minorHAnsi" w:hAnsiTheme="minorHAnsi"/>
          <w:sz w:val="24"/>
          <w:szCs w:val="24"/>
        </w:rPr>
        <w:t xml:space="preserve"> </w:t>
      </w:r>
      <w:r w:rsidRPr="00226B30">
        <w:rPr>
          <w:rFonts w:asciiTheme="minorHAnsi" w:hAnsiTheme="minorHAnsi"/>
          <w:sz w:val="24"/>
          <w:szCs w:val="24"/>
        </w:rPr>
        <w:t>T</w:t>
      </w:r>
      <w:r w:rsidR="00FA6A49" w:rsidRPr="00226B30">
        <w:rPr>
          <w:rFonts w:asciiTheme="minorHAnsi" w:hAnsiTheme="minorHAnsi"/>
          <w:sz w:val="24"/>
          <w:szCs w:val="24"/>
        </w:rPr>
        <w:t xml:space="preserve">he PBAC considered this assumption was inappropriate as the proposed cap on expenditure would only be guaranteed for </w:t>
      </w:r>
      <w:r w:rsidR="00FA6A49" w:rsidRPr="003442C0">
        <w:rPr>
          <w:rFonts w:asciiTheme="minorHAnsi" w:hAnsiTheme="minorHAnsi"/>
          <w:sz w:val="24"/>
          <w:szCs w:val="24"/>
        </w:rPr>
        <w:t>the first five years of listing</w:t>
      </w:r>
      <w:r w:rsidR="00FA6A49" w:rsidRPr="00226B30">
        <w:rPr>
          <w:rFonts w:asciiTheme="minorHAnsi" w:hAnsiTheme="minorHAnsi"/>
          <w:sz w:val="24"/>
          <w:szCs w:val="24"/>
        </w:rPr>
        <w:t xml:space="preserve"> (paragraph 7.3, November 2016 </w:t>
      </w:r>
      <w:r w:rsidR="004E11B6">
        <w:rPr>
          <w:rFonts w:asciiTheme="minorHAnsi" w:hAnsiTheme="minorHAnsi"/>
          <w:sz w:val="24"/>
          <w:szCs w:val="24"/>
        </w:rPr>
        <w:t>PSD</w:t>
      </w:r>
      <w:r w:rsidR="00FA6A49" w:rsidRPr="00226B30">
        <w:rPr>
          <w:rFonts w:asciiTheme="minorHAnsi" w:hAnsiTheme="minorHAnsi"/>
          <w:sz w:val="24"/>
          <w:szCs w:val="24"/>
        </w:rPr>
        <w:t>).</w:t>
      </w:r>
      <w:r w:rsidR="00DA7EE2" w:rsidRPr="00226B30">
        <w:rPr>
          <w:rFonts w:asciiTheme="minorHAnsi" w:hAnsiTheme="minorHAnsi"/>
          <w:sz w:val="24"/>
          <w:szCs w:val="24"/>
        </w:rPr>
        <w:t xml:space="preserve"> The PSCR (p3) stated that the sponsor is open to discussing </w:t>
      </w:r>
      <w:r w:rsidR="00A42B97">
        <w:rPr>
          <w:rFonts w:asciiTheme="minorHAnsi" w:hAnsiTheme="minorHAnsi"/>
          <w:noProof/>
          <w:color w:val="000000"/>
          <w:sz w:val="24"/>
          <w:szCs w:val="24"/>
          <w:highlight w:val="black"/>
        </w:rPr>
        <w:t>''''''''''''''''''''''' ''''' '''''' ''''''''''''''' '''''' ''''''''''''' ''''''' ''''''' '''''''' ''''''''''' ''''' ''''''''''''''</w:t>
      </w:r>
    </w:p>
    <w:p w:rsidR="00B2608F" w:rsidRPr="00226B30" w:rsidRDefault="00B2608F" w:rsidP="00774CDC">
      <w:pPr>
        <w:pStyle w:val="ListParagraph"/>
        <w:widowControl/>
        <w:numPr>
          <w:ilvl w:val="1"/>
          <w:numId w:val="13"/>
        </w:numPr>
        <w:spacing w:after="120"/>
        <w:ind w:left="709" w:hanging="709"/>
        <w:contextualSpacing w:val="0"/>
        <w:rPr>
          <w:rFonts w:asciiTheme="minorHAnsi" w:hAnsiTheme="minorHAnsi"/>
          <w:sz w:val="24"/>
          <w:szCs w:val="24"/>
        </w:rPr>
      </w:pPr>
      <w:r w:rsidRPr="00226B30">
        <w:rPr>
          <w:rFonts w:asciiTheme="minorHAnsi" w:hAnsiTheme="minorHAnsi"/>
          <w:sz w:val="24"/>
          <w:szCs w:val="24"/>
        </w:rPr>
        <w:t>The resubmission maintained its assumption of a difference between treatment groups in its approach to the ongoing decline in pp</w:t>
      </w:r>
      <w:r w:rsidR="00023A66" w:rsidRPr="00226B30">
        <w:rPr>
          <w:rFonts w:asciiTheme="minorHAnsi" w:hAnsiTheme="minorHAnsi"/>
          <w:sz w:val="24"/>
          <w:szCs w:val="24"/>
        </w:rPr>
        <w:t>FEV</w:t>
      </w:r>
      <w:r w:rsidR="00023A66" w:rsidRPr="00226B30">
        <w:rPr>
          <w:rFonts w:asciiTheme="minorHAnsi" w:hAnsiTheme="minorHAnsi"/>
          <w:sz w:val="24"/>
          <w:szCs w:val="24"/>
          <w:vertAlign w:val="subscript"/>
        </w:rPr>
        <w:t>1</w:t>
      </w:r>
      <w:r w:rsidRPr="00226B30">
        <w:rPr>
          <w:rFonts w:asciiTheme="minorHAnsi" w:hAnsiTheme="minorHAnsi"/>
          <w:sz w:val="24"/>
          <w:szCs w:val="24"/>
        </w:rPr>
        <w:t xml:space="preserve">, assuming that there was no decline </w:t>
      </w:r>
      <w:r w:rsidR="00E043E5">
        <w:rPr>
          <w:rFonts w:asciiTheme="minorHAnsi" w:hAnsiTheme="minorHAnsi"/>
          <w:sz w:val="24"/>
          <w:szCs w:val="24"/>
        </w:rPr>
        <w:t>for</w:t>
      </w:r>
      <w:r w:rsidR="00E043E5" w:rsidRPr="00226B30">
        <w:rPr>
          <w:rFonts w:asciiTheme="minorHAnsi" w:hAnsiTheme="minorHAnsi"/>
          <w:sz w:val="24"/>
          <w:szCs w:val="24"/>
        </w:rPr>
        <w:t xml:space="preserve"> </w:t>
      </w:r>
      <w:r w:rsidRPr="00226B30">
        <w:rPr>
          <w:rFonts w:asciiTheme="minorHAnsi" w:hAnsiTheme="minorHAnsi"/>
          <w:sz w:val="24"/>
          <w:szCs w:val="24"/>
        </w:rPr>
        <w:t xml:space="preserve">lumacaftor/ivacaftor treated </w:t>
      </w:r>
      <w:r w:rsidR="00AD59D3">
        <w:rPr>
          <w:rFonts w:asciiTheme="minorHAnsi" w:hAnsiTheme="minorHAnsi"/>
          <w:sz w:val="24"/>
          <w:szCs w:val="24"/>
        </w:rPr>
        <w:t>patients but a decline after 24 </w:t>
      </w:r>
      <w:r w:rsidRPr="00226B30">
        <w:rPr>
          <w:rFonts w:asciiTheme="minorHAnsi" w:hAnsiTheme="minorHAnsi"/>
          <w:sz w:val="24"/>
          <w:szCs w:val="24"/>
        </w:rPr>
        <w:t xml:space="preserve">weeks in BSC patients. </w:t>
      </w:r>
      <w:r w:rsidR="0028384A" w:rsidRPr="00226B30">
        <w:rPr>
          <w:rFonts w:asciiTheme="minorHAnsi" w:hAnsiTheme="minorHAnsi"/>
          <w:sz w:val="24"/>
          <w:szCs w:val="24"/>
        </w:rPr>
        <w:t>The evaluation considered it</w:t>
      </w:r>
      <w:r w:rsidRPr="00226B30">
        <w:rPr>
          <w:rFonts w:asciiTheme="minorHAnsi" w:hAnsiTheme="minorHAnsi"/>
          <w:sz w:val="24"/>
          <w:szCs w:val="24"/>
        </w:rPr>
        <w:t xml:space="preserve"> likely that the approach to modelling the baseline mortality risk (utilising data from the CF Registry in Ireland) already capture</w:t>
      </w:r>
      <w:r w:rsidR="00F37177" w:rsidRPr="00226B30">
        <w:rPr>
          <w:rFonts w:asciiTheme="minorHAnsi" w:hAnsiTheme="minorHAnsi"/>
          <w:sz w:val="24"/>
          <w:szCs w:val="24"/>
        </w:rPr>
        <w:t>d</w:t>
      </w:r>
      <w:r w:rsidRPr="00226B30">
        <w:rPr>
          <w:rFonts w:asciiTheme="minorHAnsi" w:hAnsiTheme="minorHAnsi"/>
          <w:sz w:val="24"/>
          <w:szCs w:val="24"/>
        </w:rPr>
        <w:t xml:space="preserve"> the effect of ongoing CF deterioration due to declining pp</w:t>
      </w:r>
      <w:r w:rsidR="00023A66" w:rsidRPr="00226B30">
        <w:rPr>
          <w:rFonts w:asciiTheme="minorHAnsi" w:hAnsiTheme="minorHAnsi"/>
          <w:sz w:val="24"/>
          <w:szCs w:val="24"/>
        </w:rPr>
        <w:t>FEV</w:t>
      </w:r>
      <w:r w:rsidR="00023A66" w:rsidRPr="00226B30">
        <w:rPr>
          <w:rFonts w:asciiTheme="minorHAnsi" w:hAnsiTheme="minorHAnsi"/>
          <w:sz w:val="24"/>
          <w:szCs w:val="24"/>
          <w:vertAlign w:val="subscript"/>
        </w:rPr>
        <w:t>1</w:t>
      </w:r>
      <w:r w:rsidRPr="00226B30">
        <w:rPr>
          <w:rFonts w:asciiTheme="minorHAnsi" w:hAnsiTheme="minorHAnsi"/>
          <w:sz w:val="24"/>
          <w:szCs w:val="24"/>
          <w:vertAlign w:val="subscript"/>
        </w:rPr>
        <w:t xml:space="preserve"> </w:t>
      </w:r>
      <w:r w:rsidRPr="00226B30">
        <w:rPr>
          <w:rFonts w:asciiTheme="minorHAnsi" w:hAnsiTheme="minorHAnsi"/>
          <w:sz w:val="24"/>
          <w:szCs w:val="24"/>
        </w:rPr>
        <w:t>(among other factors). Thus, modelling an additional decline in pp</w:t>
      </w:r>
      <w:r w:rsidR="00023A66" w:rsidRPr="00226B30">
        <w:rPr>
          <w:rFonts w:asciiTheme="minorHAnsi" w:hAnsiTheme="minorHAnsi"/>
          <w:sz w:val="24"/>
          <w:szCs w:val="24"/>
        </w:rPr>
        <w:t>FEV</w:t>
      </w:r>
      <w:r w:rsidR="00023A66" w:rsidRPr="00226B30">
        <w:rPr>
          <w:rFonts w:asciiTheme="minorHAnsi" w:hAnsiTheme="minorHAnsi"/>
          <w:sz w:val="24"/>
          <w:szCs w:val="24"/>
          <w:vertAlign w:val="subscript"/>
        </w:rPr>
        <w:t>1</w:t>
      </w:r>
      <w:r w:rsidRPr="00226B30">
        <w:rPr>
          <w:rFonts w:asciiTheme="minorHAnsi" w:hAnsiTheme="minorHAnsi"/>
          <w:sz w:val="24"/>
          <w:szCs w:val="24"/>
          <w:vertAlign w:val="subscript"/>
        </w:rPr>
        <w:t xml:space="preserve"> </w:t>
      </w:r>
      <w:r w:rsidRPr="00226B30">
        <w:rPr>
          <w:rFonts w:asciiTheme="minorHAnsi" w:hAnsiTheme="minorHAnsi"/>
          <w:sz w:val="24"/>
          <w:szCs w:val="24"/>
        </w:rPr>
        <w:t>for BSC unduly bias</w:t>
      </w:r>
      <w:r w:rsidR="004F2ED2" w:rsidRPr="00226B30">
        <w:rPr>
          <w:rFonts w:asciiTheme="minorHAnsi" w:hAnsiTheme="minorHAnsi"/>
          <w:sz w:val="24"/>
          <w:szCs w:val="24"/>
        </w:rPr>
        <w:t>ed</w:t>
      </w:r>
      <w:r w:rsidRPr="00226B30">
        <w:rPr>
          <w:rFonts w:asciiTheme="minorHAnsi" w:hAnsiTheme="minorHAnsi"/>
          <w:sz w:val="24"/>
          <w:szCs w:val="24"/>
        </w:rPr>
        <w:t xml:space="preserve"> the survival of that group relative to the assumed maintenance of a treatment effect (no decline) for lumacaftor/ivacaftor. This is evident in the resulting estimates of median survival produced by the resubmission: 31.92 years for BSC in the model, compared </w:t>
      </w:r>
      <w:r w:rsidR="00D3779B">
        <w:rPr>
          <w:rFonts w:asciiTheme="minorHAnsi" w:hAnsiTheme="minorHAnsi"/>
          <w:sz w:val="24"/>
          <w:szCs w:val="24"/>
        </w:rPr>
        <w:t>with</w:t>
      </w:r>
      <w:r w:rsidR="00D3779B" w:rsidRPr="00226B30">
        <w:rPr>
          <w:rFonts w:asciiTheme="minorHAnsi" w:hAnsiTheme="minorHAnsi"/>
          <w:sz w:val="24"/>
          <w:szCs w:val="24"/>
        </w:rPr>
        <w:t xml:space="preserve"> </w:t>
      </w:r>
      <w:r w:rsidRPr="00226B30">
        <w:rPr>
          <w:rFonts w:asciiTheme="minorHAnsi" w:hAnsiTheme="minorHAnsi"/>
          <w:sz w:val="24"/>
          <w:szCs w:val="24"/>
        </w:rPr>
        <w:t>39.9 years for the Irish cohort, and 45.48 years for the lumacaftor/ivacaftor group. The ICER is highly sensitive to this assumption: removing the additional decline in pp</w:t>
      </w:r>
      <w:r w:rsidR="00023A66" w:rsidRPr="00226B30">
        <w:rPr>
          <w:rFonts w:asciiTheme="minorHAnsi" w:hAnsiTheme="minorHAnsi"/>
          <w:sz w:val="24"/>
          <w:szCs w:val="24"/>
        </w:rPr>
        <w:t>FEV</w:t>
      </w:r>
      <w:r w:rsidR="00023A66" w:rsidRPr="00226B30">
        <w:rPr>
          <w:rFonts w:asciiTheme="minorHAnsi" w:hAnsiTheme="minorHAnsi"/>
          <w:sz w:val="24"/>
          <w:szCs w:val="24"/>
          <w:vertAlign w:val="subscript"/>
        </w:rPr>
        <w:t>1</w:t>
      </w:r>
      <w:r w:rsidRPr="00226B30">
        <w:rPr>
          <w:rFonts w:asciiTheme="minorHAnsi" w:hAnsiTheme="minorHAnsi"/>
          <w:sz w:val="24"/>
          <w:szCs w:val="24"/>
          <w:vertAlign w:val="subscript"/>
        </w:rPr>
        <w:t xml:space="preserve"> </w:t>
      </w:r>
      <w:r w:rsidRPr="00226B30">
        <w:rPr>
          <w:rFonts w:asciiTheme="minorHAnsi" w:hAnsiTheme="minorHAnsi"/>
          <w:sz w:val="24"/>
          <w:szCs w:val="24"/>
        </w:rPr>
        <w:t>(</w:t>
      </w:r>
      <w:r w:rsidR="00201429" w:rsidRPr="00226B30">
        <w:rPr>
          <w:rFonts w:asciiTheme="minorHAnsi" w:hAnsiTheme="minorHAnsi"/>
          <w:sz w:val="24"/>
          <w:szCs w:val="24"/>
        </w:rPr>
        <w:t xml:space="preserve">i.e. </w:t>
      </w:r>
      <w:r w:rsidRPr="00226B30">
        <w:rPr>
          <w:rFonts w:asciiTheme="minorHAnsi" w:hAnsiTheme="minorHAnsi"/>
          <w:sz w:val="24"/>
          <w:szCs w:val="24"/>
        </w:rPr>
        <w:t>assuming that the decline for both groups is captured by the underlying mortality risk) results in an ICER of</w:t>
      </w:r>
      <w:r w:rsidR="00774CDC">
        <w:rPr>
          <w:rFonts w:asciiTheme="minorHAnsi" w:hAnsiTheme="minorHAnsi"/>
          <w:sz w:val="24"/>
          <w:szCs w:val="24"/>
        </w:rPr>
        <w:t xml:space="preserve"> </w:t>
      </w:r>
      <w:r w:rsidR="00774CDC" w:rsidRPr="00774CDC">
        <w:rPr>
          <w:rFonts w:asciiTheme="minorHAnsi" w:hAnsiTheme="minorHAnsi"/>
          <w:sz w:val="24"/>
          <w:szCs w:val="24"/>
        </w:rPr>
        <w:t>more than $200,000/QALY</w:t>
      </w:r>
      <w:r w:rsidRPr="00226B30">
        <w:rPr>
          <w:rFonts w:asciiTheme="minorHAnsi" w:hAnsiTheme="minorHAnsi"/>
          <w:sz w:val="24"/>
          <w:szCs w:val="24"/>
        </w:rPr>
        <w:t>.</w:t>
      </w:r>
    </w:p>
    <w:p w:rsidR="00282905" w:rsidRPr="00226B30" w:rsidRDefault="004D06B5" w:rsidP="00D33EDC">
      <w:pPr>
        <w:pStyle w:val="ListParagraph"/>
        <w:widowControl/>
        <w:numPr>
          <w:ilvl w:val="1"/>
          <w:numId w:val="13"/>
        </w:numPr>
        <w:spacing w:after="120"/>
        <w:ind w:left="709" w:hanging="709"/>
        <w:contextualSpacing w:val="0"/>
        <w:rPr>
          <w:rFonts w:asciiTheme="minorHAnsi" w:hAnsiTheme="minorHAnsi"/>
          <w:sz w:val="24"/>
          <w:szCs w:val="24"/>
        </w:rPr>
      </w:pPr>
      <w:r w:rsidRPr="00226B30">
        <w:rPr>
          <w:rFonts w:asciiTheme="minorHAnsi" w:hAnsiTheme="minorHAnsi"/>
          <w:sz w:val="24"/>
          <w:szCs w:val="24"/>
        </w:rPr>
        <w:t xml:space="preserve">The PSCR (p3) argued the suggestion that there would be no difference in decline between the treatment groups is misleading to the PBAC. </w:t>
      </w:r>
      <w:r w:rsidR="00282905" w:rsidRPr="00226B30">
        <w:rPr>
          <w:rFonts w:asciiTheme="minorHAnsi" w:hAnsiTheme="minorHAnsi"/>
          <w:sz w:val="24"/>
          <w:szCs w:val="24"/>
        </w:rPr>
        <w:t>The PSCR (p4)</w:t>
      </w:r>
      <w:r w:rsidR="0038035A" w:rsidRPr="00226B30">
        <w:rPr>
          <w:rFonts w:asciiTheme="minorHAnsi" w:hAnsiTheme="minorHAnsi"/>
          <w:sz w:val="24"/>
          <w:szCs w:val="24"/>
        </w:rPr>
        <w:t xml:space="preserve"> further</w:t>
      </w:r>
      <w:r w:rsidR="00282905" w:rsidRPr="00226B30">
        <w:rPr>
          <w:rFonts w:asciiTheme="minorHAnsi" w:hAnsiTheme="minorHAnsi"/>
          <w:sz w:val="24"/>
          <w:szCs w:val="24"/>
        </w:rPr>
        <w:t xml:space="preserve"> argued it was clinically plausible that the model would project lower median survival for the BSC arm than the projected median survival of the Irish cohort, considering that the modelled patients are older than those in the registry (median age 19.6 years in the registry versus 25.3 in the modelled population), have lower average ppFEV1 (61%) compared with the Irish cohort (80%) and are F5</w:t>
      </w:r>
      <w:r w:rsidR="00656CA7" w:rsidRPr="00226B30">
        <w:rPr>
          <w:rFonts w:asciiTheme="minorHAnsi" w:hAnsiTheme="minorHAnsi"/>
          <w:sz w:val="24"/>
          <w:szCs w:val="24"/>
        </w:rPr>
        <w:t>08</w:t>
      </w:r>
      <w:r w:rsidR="00282905" w:rsidRPr="00226B30">
        <w:rPr>
          <w:rFonts w:asciiTheme="minorHAnsi" w:hAnsiTheme="minorHAnsi"/>
          <w:sz w:val="24"/>
          <w:szCs w:val="24"/>
        </w:rPr>
        <w:t xml:space="preserve">del homozygous; according to MacKenzie et al (2014), homozygous patients have lower projected median survival than the entire CF population. The ESC </w:t>
      </w:r>
      <w:r w:rsidR="00CF1401" w:rsidRPr="00226B30">
        <w:rPr>
          <w:rFonts w:asciiTheme="minorHAnsi" w:hAnsiTheme="minorHAnsi"/>
          <w:sz w:val="24"/>
          <w:szCs w:val="24"/>
        </w:rPr>
        <w:t>noted these points</w:t>
      </w:r>
      <w:r w:rsidR="00282905" w:rsidRPr="00226B30">
        <w:rPr>
          <w:rFonts w:asciiTheme="minorHAnsi" w:hAnsiTheme="minorHAnsi"/>
          <w:sz w:val="24"/>
          <w:szCs w:val="24"/>
        </w:rPr>
        <w:t xml:space="preserve"> </w:t>
      </w:r>
      <w:r w:rsidR="00CF1401" w:rsidRPr="00226B30">
        <w:rPr>
          <w:rFonts w:asciiTheme="minorHAnsi" w:hAnsiTheme="minorHAnsi"/>
          <w:sz w:val="24"/>
          <w:szCs w:val="24"/>
        </w:rPr>
        <w:t>and,</w:t>
      </w:r>
      <w:r w:rsidR="00282905" w:rsidRPr="00226B30">
        <w:rPr>
          <w:rFonts w:asciiTheme="minorHAnsi" w:hAnsiTheme="minorHAnsi"/>
          <w:sz w:val="24"/>
          <w:szCs w:val="24"/>
        </w:rPr>
        <w:t xml:space="preserve"> referring to their March 2016 advice</w:t>
      </w:r>
      <w:r w:rsidR="0028384A" w:rsidRPr="00226B30">
        <w:rPr>
          <w:rFonts w:asciiTheme="minorHAnsi" w:hAnsiTheme="minorHAnsi"/>
          <w:sz w:val="24"/>
          <w:szCs w:val="24"/>
        </w:rPr>
        <w:t xml:space="preserve"> to the PBAC</w:t>
      </w:r>
      <w:r w:rsidR="00CF1401" w:rsidRPr="00226B30">
        <w:rPr>
          <w:rFonts w:asciiTheme="minorHAnsi" w:hAnsiTheme="minorHAnsi"/>
          <w:sz w:val="24"/>
          <w:szCs w:val="24"/>
        </w:rPr>
        <w:t>,</w:t>
      </w:r>
      <w:r w:rsidR="00282905" w:rsidRPr="00226B30">
        <w:rPr>
          <w:rFonts w:asciiTheme="minorHAnsi" w:hAnsiTheme="minorHAnsi"/>
          <w:sz w:val="24"/>
          <w:szCs w:val="24"/>
        </w:rPr>
        <w:t xml:space="preserve"> noted that the Irish registry data encompasses Irish CF patients’ survival from 1980-2004, and expressed doubt as to whether this historical data accurately reflects the current survival in the Australian CF population.</w:t>
      </w:r>
    </w:p>
    <w:p w:rsidR="00A43712" w:rsidRPr="00A43712" w:rsidRDefault="00A43712" w:rsidP="00A43712">
      <w:pPr>
        <w:pStyle w:val="ListParagraph"/>
        <w:widowControl/>
        <w:numPr>
          <w:ilvl w:val="1"/>
          <w:numId w:val="13"/>
        </w:numPr>
        <w:spacing w:after="120"/>
        <w:ind w:left="709" w:hanging="709"/>
        <w:contextualSpacing w:val="0"/>
        <w:rPr>
          <w:rFonts w:asciiTheme="minorHAnsi" w:hAnsiTheme="minorHAnsi"/>
          <w:sz w:val="24"/>
          <w:szCs w:val="24"/>
        </w:rPr>
      </w:pPr>
      <w:r w:rsidRPr="00226B30">
        <w:rPr>
          <w:rFonts w:asciiTheme="minorHAnsi" w:hAnsiTheme="minorHAnsi"/>
          <w:sz w:val="24"/>
          <w:szCs w:val="24"/>
        </w:rPr>
        <w:t xml:space="preserve">The ESC </w:t>
      </w:r>
      <w:r w:rsidR="00300891">
        <w:rPr>
          <w:rFonts w:asciiTheme="minorHAnsi" w:hAnsiTheme="minorHAnsi"/>
          <w:sz w:val="24"/>
          <w:szCs w:val="24"/>
        </w:rPr>
        <w:t xml:space="preserve">considered </w:t>
      </w:r>
      <w:r w:rsidRPr="00226B30">
        <w:rPr>
          <w:rFonts w:asciiTheme="minorHAnsi" w:hAnsiTheme="minorHAnsi"/>
          <w:sz w:val="24"/>
          <w:szCs w:val="24"/>
        </w:rPr>
        <w:t>that the assumption that patients in the treatment group could not decline in ppFEV</w:t>
      </w:r>
      <w:r w:rsidRPr="00226B30">
        <w:rPr>
          <w:rFonts w:asciiTheme="minorHAnsi" w:hAnsiTheme="minorHAnsi"/>
          <w:sz w:val="24"/>
          <w:szCs w:val="24"/>
          <w:vertAlign w:val="subscript"/>
        </w:rPr>
        <w:t>1</w:t>
      </w:r>
      <w:r w:rsidRPr="00226B30">
        <w:rPr>
          <w:rFonts w:asciiTheme="minorHAnsi" w:hAnsiTheme="minorHAnsi"/>
          <w:sz w:val="24"/>
          <w:szCs w:val="24"/>
        </w:rPr>
        <w:t xml:space="preserve"> was implausible and inconsistent with the results of PROGRESS. </w:t>
      </w:r>
      <w:r w:rsidRPr="00A43712">
        <w:rPr>
          <w:rFonts w:asciiTheme="minorHAnsi" w:hAnsiTheme="minorHAnsi"/>
          <w:sz w:val="24"/>
          <w:lang w:eastAsia="en-GB"/>
        </w:rPr>
        <w:t>The PSCR (p3) acknowledged that a sensitivity analysis which included a decline in ppFEV</w:t>
      </w:r>
      <w:r w:rsidRPr="00A43712">
        <w:rPr>
          <w:rFonts w:asciiTheme="minorHAnsi" w:hAnsiTheme="minorHAnsi"/>
          <w:sz w:val="24"/>
          <w:vertAlign w:val="subscript"/>
          <w:lang w:eastAsia="en-GB"/>
        </w:rPr>
        <w:t>1</w:t>
      </w:r>
      <w:r w:rsidRPr="00A43712">
        <w:rPr>
          <w:rFonts w:asciiTheme="minorHAnsi" w:hAnsiTheme="minorHAnsi"/>
          <w:sz w:val="24"/>
          <w:lang w:eastAsia="en-GB"/>
        </w:rPr>
        <w:t xml:space="preserve"> which was 25% that of BSC may be reasonable and informative. The ESC considered this scenario may still favour lumacaftor/ivacaftor, noting the high risk of bias favouring treatment due to rate of discontinuation between week 72 and 96 in PROGRESS (as discussed in </w:t>
      </w:r>
      <w:r w:rsidRPr="001D475E">
        <w:rPr>
          <w:rFonts w:asciiTheme="minorHAnsi" w:hAnsiTheme="minorHAnsi"/>
          <w:sz w:val="24"/>
          <w:lang w:eastAsia="en-GB"/>
        </w:rPr>
        <w:t>paragraph 6.7).</w:t>
      </w:r>
    </w:p>
    <w:p w:rsidR="00B2608F" w:rsidRPr="00226B30" w:rsidRDefault="00B2608F" w:rsidP="00774CDC">
      <w:pPr>
        <w:pStyle w:val="ListParagraph"/>
        <w:widowControl/>
        <w:numPr>
          <w:ilvl w:val="1"/>
          <w:numId w:val="13"/>
        </w:numPr>
        <w:spacing w:after="120"/>
        <w:ind w:left="709" w:hanging="709"/>
        <w:contextualSpacing w:val="0"/>
        <w:rPr>
          <w:rFonts w:asciiTheme="minorHAnsi" w:hAnsiTheme="minorHAnsi"/>
          <w:sz w:val="24"/>
          <w:szCs w:val="24"/>
        </w:rPr>
      </w:pPr>
      <w:r w:rsidRPr="00226B30">
        <w:rPr>
          <w:rFonts w:asciiTheme="minorHAnsi" w:hAnsiTheme="minorHAnsi"/>
          <w:sz w:val="24"/>
          <w:szCs w:val="24"/>
        </w:rPr>
        <w:t xml:space="preserve">As with the previous (re)submissions, Liou et al. (2001) was used to estimate the effect of intermediate outcomes on survival. In </w:t>
      </w:r>
      <w:r w:rsidR="00DB58A7" w:rsidRPr="00226B30">
        <w:rPr>
          <w:rFonts w:asciiTheme="minorHAnsi" w:hAnsiTheme="minorHAnsi"/>
          <w:sz w:val="24"/>
          <w:szCs w:val="24"/>
        </w:rPr>
        <w:t>its</w:t>
      </w:r>
      <w:r w:rsidRPr="00226B30">
        <w:rPr>
          <w:rFonts w:asciiTheme="minorHAnsi" w:hAnsiTheme="minorHAnsi"/>
          <w:sz w:val="24"/>
          <w:szCs w:val="24"/>
        </w:rPr>
        <w:t xml:space="preserve"> previous consideration of ivacaftor monotherapy, the PBAC stated that the use of the Liou et al. data assumed that the ‘effects on survival are causal and additive’ and that this ‘may not be appropriate’ (ivacaftor, July 2013 PSD). </w:t>
      </w:r>
      <w:r w:rsidRPr="00226B30">
        <w:rPr>
          <w:rFonts w:asciiTheme="minorHAnsi" w:hAnsiTheme="minorHAnsi"/>
          <w:sz w:val="24"/>
          <w:szCs w:val="24"/>
          <w:lang w:val="en-GB" w:eastAsia="en-GB"/>
        </w:rPr>
        <w:t xml:space="preserve">The Liou et al (2001) equation </w:t>
      </w:r>
      <w:r w:rsidR="00A00DEF" w:rsidRPr="00226B30">
        <w:rPr>
          <w:rFonts w:asciiTheme="minorHAnsi" w:hAnsiTheme="minorHAnsi"/>
          <w:sz w:val="24"/>
          <w:szCs w:val="24"/>
          <w:lang w:val="en-GB" w:eastAsia="en-GB"/>
        </w:rPr>
        <w:t xml:space="preserve">was used </w:t>
      </w:r>
      <w:r w:rsidRPr="00226B30">
        <w:rPr>
          <w:rFonts w:asciiTheme="minorHAnsi" w:hAnsiTheme="minorHAnsi"/>
          <w:sz w:val="24"/>
          <w:szCs w:val="24"/>
          <w:lang w:val="en-GB" w:eastAsia="en-GB"/>
        </w:rPr>
        <w:t>to modify the baseline risk (derived from the CF Cohort Registry from Ireland) and ongoing risk based on the relative change between cycles of the risk factors incorporated in the Liou et al equation (e.g. age, pp</w:t>
      </w:r>
      <w:r w:rsidR="00023A66" w:rsidRPr="00226B30">
        <w:rPr>
          <w:rFonts w:asciiTheme="minorHAnsi" w:hAnsiTheme="minorHAnsi"/>
          <w:sz w:val="24"/>
          <w:szCs w:val="24"/>
        </w:rPr>
        <w:t>FEV</w:t>
      </w:r>
      <w:r w:rsidR="00023A66" w:rsidRPr="00226B30">
        <w:rPr>
          <w:rFonts w:asciiTheme="minorHAnsi" w:hAnsiTheme="minorHAnsi"/>
          <w:sz w:val="24"/>
          <w:szCs w:val="24"/>
          <w:vertAlign w:val="subscript"/>
        </w:rPr>
        <w:t>1</w:t>
      </w:r>
      <w:r w:rsidRPr="00226B30">
        <w:rPr>
          <w:rFonts w:asciiTheme="minorHAnsi" w:hAnsiTheme="minorHAnsi"/>
          <w:sz w:val="24"/>
          <w:szCs w:val="24"/>
          <w:lang w:val="en-GB" w:eastAsia="en-GB"/>
        </w:rPr>
        <w:t>). However, L</w:t>
      </w:r>
      <w:r w:rsidR="003F79AD" w:rsidRPr="00226B30">
        <w:rPr>
          <w:rFonts w:asciiTheme="minorHAnsi" w:hAnsiTheme="minorHAnsi"/>
          <w:sz w:val="24"/>
          <w:szCs w:val="24"/>
          <w:lang w:val="en-GB" w:eastAsia="en-GB"/>
        </w:rPr>
        <w:t>i</w:t>
      </w:r>
      <w:r w:rsidRPr="00226B30">
        <w:rPr>
          <w:rFonts w:asciiTheme="minorHAnsi" w:hAnsiTheme="minorHAnsi"/>
          <w:sz w:val="24"/>
          <w:szCs w:val="24"/>
          <w:lang w:val="en-GB" w:eastAsia="en-GB"/>
        </w:rPr>
        <w:t>ou et al developed their equation to estimate survival (mortality) risks based on absolute levels of these factors and not relative values. Adjusting the modelling approach to first estimate the absolute risk in each cycle according to these factors before expressing it as a relative risk increase</w:t>
      </w:r>
      <w:r w:rsidR="00F33DDD">
        <w:rPr>
          <w:rFonts w:asciiTheme="minorHAnsi" w:hAnsiTheme="minorHAnsi"/>
          <w:sz w:val="24"/>
          <w:szCs w:val="24"/>
          <w:lang w:val="en-GB" w:eastAsia="en-GB"/>
        </w:rPr>
        <w:t>d</w:t>
      </w:r>
      <w:r w:rsidRPr="00226B30">
        <w:rPr>
          <w:rFonts w:asciiTheme="minorHAnsi" w:hAnsiTheme="minorHAnsi"/>
          <w:sz w:val="24"/>
          <w:szCs w:val="24"/>
          <w:lang w:val="en-GB" w:eastAsia="en-GB"/>
        </w:rPr>
        <w:t xml:space="preserve"> the ICER to </w:t>
      </w:r>
      <w:r w:rsidR="00774CDC" w:rsidRPr="00774CDC">
        <w:rPr>
          <w:rFonts w:asciiTheme="minorHAnsi" w:hAnsiTheme="minorHAnsi"/>
          <w:sz w:val="24"/>
          <w:szCs w:val="24"/>
          <w:lang w:val="en-GB" w:eastAsia="en-GB"/>
        </w:rPr>
        <w:t>more than $200,000/QALY</w:t>
      </w:r>
      <w:r w:rsidRPr="00B61986">
        <w:rPr>
          <w:rFonts w:asciiTheme="minorHAnsi" w:hAnsiTheme="minorHAnsi"/>
          <w:sz w:val="24"/>
          <w:szCs w:val="24"/>
          <w:lang w:val="en-GB" w:eastAsia="en-GB"/>
        </w:rPr>
        <w:t>.</w:t>
      </w:r>
      <w:r w:rsidR="0038035A" w:rsidRPr="00226B30" w:rsidDel="0038035A">
        <w:rPr>
          <w:rFonts w:asciiTheme="minorHAnsi" w:hAnsiTheme="minorHAnsi"/>
          <w:sz w:val="24"/>
          <w:szCs w:val="24"/>
        </w:rPr>
        <w:t xml:space="preserve"> </w:t>
      </w:r>
    </w:p>
    <w:p w:rsidR="00802C56" w:rsidRPr="00226B30" w:rsidRDefault="00B2608F" w:rsidP="00774CDC">
      <w:pPr>
        <w:pStyle w:val="ListParagraph"/>
        <w:widowControl/>
        <w:numPr>
          <w:ilvl w:val="1"/>
          <w:numId w:val="13"/>
        </w:numPr>
        <w:spacing w:after="120"/>
        <w:ind w:left="709" w:hanging="709"/>
        <w:contextualSpacing w:val="0"/>
        <w:rPr>
          <w:rFonts w:asciiTheme="minorHAnsi" w:hAnsiTheme="minorHAnsi"/>
          <w:sz w:val="24"/>
          <w:szCs w:val="24"/>
        </w:rPr>
      </w:pPr>
      <w:r w:rsidRPr="00226B30">
        <w:rPr>
          <w:rFonts w:asciiTheme="minorHAnsi" w:hAnsiTheme="minorHAnsi"/>
          <w:sz w:val="24"/>
          <w:szCs w:val="24"/>
        </w:rPr>
        <w:t xml:space="preserve">In March 2016 and November 2016, the PBAC </w:t>
      </w:r>
      <w:r w:rsidR="00FB1533" w:rsidRPr="00226B30">
        <w:rPr>
          <w:rFonts w:asciiTheme="minorHAnsi" w:hAnsiTheme="minorHAnsi"/>
          <w:sz w:val="24"/>
          <w:szCs w:val="24"/>
        </w:rPr>
        <w:t xml:space="preserve">noted </w:t>
      </w:r>
      <w:r w:rsidRPr="00226B30">
        <w:rPr>
          <w:rFonts w:asciiTheme="minorHAnsi" w:hAnsiTheme="minorHAnsi"/>
          <w:sz w:val="24"/>
          <w:szCs w:val="24"/>
        </w:rPr>
        <w:t>that pp</w:t>
      </w:r>
      <w:r w:rsidR="00023A66" w:rsidRPr="00226B30">
        <w:rPr>
          <w:rFonts w:asciiTheme="minorHAnsi" w:hAnsiTheme="minorHAnsi"/>
          <w:sz w:val="24"/>
          <w:szCs w:val="24"/>
        </w:rPr>
        <w:t>FEV</w:t>
      </w:r>
      <w:r w:rsidR="00023A66" w:rsidRPr="00226B30">
        <w:rPr>
          <w:rFonts w:asciiTheme="minorHAnsi" w:hAnsiTheme="minorHAnsi"/>
          <w:sz w:val="24"/>
          <w:szCs w:val="24"/>
          <w:vertAlign w:val="subscript"/>
        </w:rPr>
        <w:t>1</w:t>
      </w:r>
      <w:r w:rsidRPr="00226B30">
        <w:rPr>
          <w:rFonts w:asciiTheme="minorHAnsi" w:hAnsiTheme="minorHAnsi"/>
          <w:sz w:val="24"/>
          <w:szCs w:val="24"/>
        </w:rPr>
        <w:t xml:space="preserve"> drives the frequency of exacerbations in the model, and did not accept the additional contribution of PEs on mortality, independent of effect on pp</w:t>
      </w:r>
      <w:r w:rsidR="00023A66" w:rsidRPr="00226B30">
        <w:rPr>
          <w:rFonts w:asciiTheme="minorHAnsi" w:hAnsiTheme="minorHAnsi"/>
          <w:sz w:val="24"/>
          <w:szCs w:val="24"/>
        </w:rPr>
        <w:t>FEV</w:t>
      </w:r>
      <w:r w:rsidR="00023A66" w:rsidRPr="00226B30">
        <w:rPr>
          <w:rFonts w:asciiTheme="minorHAnsi" w:hAnsiTheme="minorHAnsi"/>
          <w:sz w:val="24"/>
          <w:szCs w:val="24"/>
          <w:vertAlign w:val="subscript"/>
        </w:rPr>
        <w:t>1</w:t>
      </w:r>
      <w:r w:rsidRPr="00226B30">
        <w:rPr>
          <w:rFonts w:asciiTheme="minorHAnsi" w:hAnsiTheme="minorHAnsi"/>
          <w:sz w:val="24"/>
          <w:szCs w:val="24"/>
        </w:rPr>
        <w:t xml:space="preserve">. </w:t>
      </w:r>
      <w:r w:rsidR="00AF5CBB" w:rsidRPr="00226B30">
        <w:rPr>
          <w:rFonts w:asciiTheme="minorHAnsi" w:hAnsiTheme="minorHAnsi"/>
          <w:sz w:val="24"/>
          <w:szCs w:val="24"/>
        </w:rPr>
        <w:t>The ESC noted it is probabl</w:t>
      </w:r>
      <w:r w:rsidR="007C77F3" w:rsidRPr="00226B30">
        <w:rPr>
          <w:rFonts w:asciiTheme="minorHAnsi" w:hAnsiTheme="minorHAnsi"/>
          <w:sz w:val="24"/>
          <w:szCs w:val="24"/>
        </w:rPr>
        <w:t>e</w:t>
      </w:r>
      <w:r w:rsidR="00AF5CBB" w:rsidRPr="00226B30">
        <w:rPr>
          <w:rFonts w:asciiTheme="minorHAnsi" w:hAnsiTheme="minorHAnsi"/>
          <w:sz w:val="24"/>
          <w:szCs w:val="24"/>
        </w:rPr>
        <w:t xml:space="preserve"> this resulted in double-cou</w:t>
      </w:r>
      <w:r w:rsidR="007C77F3" w:rsidRPr="00226B30">
        <w:rPr>
          <w:rFonts w:asciiTheme="minorHAnsi" w:hAnsiTheme="minorHAnsi"/>
          <w:sz w:val="24"/>
          <w:szCs w:val="24"/>
        </w:rPr>
        <w:t>n</w:t>
      </w:r>
      <w:r w:rsidR="00AF5CBB" w:rsidRPr="00226B30">
        <w:rPr>
          <w:rFonts w:asciiTheme="minorHAnsi" w:hAnsiTheme="minorHAnsi"/>
          <w:sz w:val="24"/>
          <w:szCs w:val="24"/>
        </w:rPr>
        <w:t>t</w:t>
      </w:r>
      <w:r w:rsidR="007C77F3" w:rsidRPr="00226B30">
        <w:rPr>
          <w:rFonts w:asciiTheme="minorHAnsi" w:hAnsiTheme="minorHAnsi"/>
          <w:sz w:val="24"/>
          <w:szCs w:val="24"/>
        </w:rPr>
        <w:t>i</w:t>
      </w:r>
      <w:r w:rsidR="00AF5CBB" w:rsidRPr="00226B30">
        <w:rPr>
          <w:rFonts w:asciiTheme="minorHAnsi" w:hAnsiTheme="minorHAnsi"/>
          <w:sz w:val="24"/>
          <w:szCs w:val="24"/>
        </w:rPr>
        <w:t xml:space="preserve">ng of the effect of lumacaftor/ivacaftor. </w:t>
      </w:r>
      <w:r w:rsidRPr="00226B30">
        <w:rPr>
          <w:rFonts w:asciiTheme="minorHAnsi" w:hAnsiTheme="minorHAnsi"/>
          <w:sz w:val="24"/>
          <w:szCs w:val="24"/>
        </w:rPr>
        <w:t>The resubmission has addressed this by assuming that lumacaftor/ivacaftor treatment conferred a benefit in terms of reduced PE-related hospitalisations. This was captured in the model by reducing the hospitalisation-specific disease management costs applied in the lumacaftor/ivacaftor arm by 61% (annualised reduction in PE</w:t>
      </w:r>
      <w:r w:rsidR="00CC3454" w:rsidRPr="00226B30">
        <w:rPr>
          <w:rFonts w:asciiTheme="minorHAnsi" w:hAnsiTheme="minorHAnsi"/>
          <w:sz w:val="24"/>
          <w:szCs w:val="24"/>
        </w:rPr>
        <w:noBreakHyphen/>
      </w:r>
      <w:r w:rsidRPr="00226B30">
        <w:rPr>
          <w:rFonts w:asciiTheme="minorHAnsi" w:hAnsiTheme="minorHAnsi"/>
          <w:sz w:val="24"/>
          <w:szCs w:val="24"/>
        </w:rPr>
        <w:t>related hospital events recorded across the TRAFFIC and TRANSPORT trials)</w:t>
      </w:r>
      <w:r w:rsidR="00D35F72" w:rsidRPr="00226B30">
        <w:rPr>
          <w:rFonts w:asciiTheme="minorHAnsi" w:hAnsiTheme="minorHAnsi"/>
          <w:sz w:val="24"/>
          <w:szCs w:val="24"/>
        </w:rPr>
        <w:t xml:space="preserve"> which assumed that all hospitalisations (using costs reported by van Gool et al (2013)) are due to PEs</w:t>
      </w:r>
      <w:r w:rsidRPr="00226B30">
        <w:rPr>
          <w:rFonts w:asciiTheme="minorHAnsi" w:hAnsiTheme="minorHAnsi"/>
          <w:sz w:val="24"/>
          <w:szCs w:val="24"/>
        </w:rPr>
        <w:t xml:space="preserve">. The resubmission asserted that an alteration made to the model (Step 4 in </w:t>
      </w:r>
      <w:r w:rsidR="00CC3454" w:rsidRPr="00226B30">
        <w:rPr>
          <w:rFonts w:asciiTheme="minorHAnsi" w:hAnsiTheme="minorHAnsi"/>
          <w:sz w:val="24"/>
          <w:szCs w:val="24"/>
        </w:rPr>
        <w:t>Table 1</w:t>
      </w:r>
      <w:r w:rsidR="003C370C" w:rsidRPr="00226B30">
        <w:rPr>
          <w:rFonts w:asciiTheme="minorHAnsi" w:hAnsiTheme="minorHAnsi"/>
          <w:sz w:val="24"/>
          <w:szCs w:val="24"/>
        </w:rPr>
        <w:t>2</w:t>
      </w:r>
      <w:r w:rsidRPr="00226B30">
        <w:rPr>
          <w:rFonts w:asciiTheme="minorHAnsi" w:hAnsiTheme="minorHAnsi"/>
          <w:sz w:val="24"/>
          <w:szCs w:val="24"/>
        </w:rPr>
        <w:t>) reflects the independent effects of lumacaftor/ivacaftor on PE related hospitalisations. The costs for PE</w:t>
      </w:r>
      <w:r w:rsidR="00A30635">
        <w:rPr>
          <w:rFonts w:asciiTheme="minorHAnsi" w:hAnsiTheme="minorHAnsi"/>
          <w:sz w:val="24"/>
          <w:szCs w:val="24"/>
        </w:rPr>
        <w:t>s</w:t>
      </w:r>
      <w:r w:rsidRPr="00226B30">
        <w:rPr>
          <w:rFonts w:asciiTheme="minorHAnsi" w:hAnsiTheme="minorHAnsi"/>
          <w:sz w:val="24"/>
          <w:szCs w:val="24"/>
        </w:rPr>
        <w:t xml:space="preserve"> are not linked to events generated in the model in the lumacaftor/ivacaftor arm. </w:t>
      </w:r>
      <w:r w:rsidR="00A30635">
        <w:rPr>
          <w:rFonts w:asciiTheme="minorHAnsi" w:hAnsiTheme="minorHAnsi"/>
          <w:sz w:val="24"/>
          <w:szCs w:val="24"/>
        </w:rPr>
        <w:t>The evaluation considered that w</w:t>
      </w:r>
      <w:r w:rsidRPr="00226B30">
        <w:rPr>
          <w:rFonts w:asciiTheme="minorHAnsi" w:hAnsiTheme="minorHAnsi"/>
          <w:sz w:val="24"/>
          <w:szCs w:val="24"/>
        </w:rPr>
        <w:t xml:space="preserve">hile applying a reduction to costs for PEs avoided </w:t>
      </w:r>
      <w:r w:rsidR="00E12E25" w:rsidRPr="00226B30">
        <w:rPr>
          <w:rFonts w:asciiTheme="minorHAnsi" w:hAnsiTheme="minorHAnsi"/>
          <w:sz w:val="24"/>
          <w:szCs w:val="24"/>
        </w:rPr>
        <w:t xml:space="preserve">may </w:t>
      </w:r>
      <w:r w:rsidR="00A30635">
        <w:rPr>
          <w:rFonts w:asciiTheme="minorHAnsi" w:hAnsiTheme="minorHAnsi"/>
          <w:sz w:val="24"/>
          <w:szCs w:val="24"/>
        </w:rPr>
        <w:t xml:space="preserve">have </w:t>
      </w:r>
      <w:r w:rsidR="00E12E25" w:rsidRPr="00226B30">
        <w:rPr>
          <w:rFonts w:asciiTheme="minorHAnsi" w:hAnsiTheme="minorHAnsi"/>
          <w:sz w:val="24"/>
          <w:szCs w:val="24"/>
        </w:rPr>
        <w:t>be</w:t>
      </w:r>
      <w:r w:rsidR="00A30635">
        <w:rPr>
          <w:rFonts w:asciiTheme="minorHAnsi" w:hAnsiTheme="minorHAnsi"/>
          <w:sz w:val="24"/>
          <w:szCs w:val="24"/>
        </w:rPr>
        <w:t>en</w:t>
      </w:r>
      <w:r w:rsidR="00E12E25" w:rsidRPr="00226B30">
        <w:rPr>
          <w:rFonts w:asciiTheme="minorHAnsi" w:hAnsiTheme="minorHAnsi"/>
          <w:sz w:val="24"/>
          <w:szCs w:val="24"/>
        </w:rPr>
        <w:t xml:space="preserve"> </w:t>
      </w:r>
      <w:r w:rsidRPr="00226B30">
        <w:rPr>
          <w:rFonts w:asciiTheme="minorHAnsi" w:hAnsiTheme="minorHAnsi"/>
          <w:sz w:val="24"/>
          <w:szCs w:val="24"/>
        </w:rPr>
        <w:t xml:space="preserve">appropriate, it </w:t>
      </w:r>
      <w:r w:rsidR="00E12E25" w:rsidRPr="00226B30">
        <w:rPr>
          <w:rFonts w:asciiTheme="minorHAnsi" w:hAnsiTheme="minorHAnsi"/>
          <w:sz w:val="24"/>
          <w:szCs w:val="24"/>
        </w:rPr>
        <w:t xml:space="preserve">was </w:t>
      </w:r>
      <w:r w:rsidRPr="00226B30">
        <w:rPr>
          <w:rFonts w:asciiTheme="minorHAnsi" w:hAnsiTheme="minorHAnsi"/>
          <w:sz w:val="24"/>
          <w:szCs w:val="24"/>
        </w:rPr>
        <w:t xml:space="preserve">not appropriate to assume that all hospital costs are due to PEs. Assuming that only 50% of hospitalisations are due to PEs increases the ICER to </w:t>
      </w:r>
      <w:r w:rsidR="00774CDC" w:rsidRPr="00774CDC">
        <w:rPr>
          <w:rFonts w:asciiTheme="minorHAnsi" w:hAnsiTheme="minorHAnsi"/>
          <w:sz w:val="24"/>
          <w:szCs w:val="24"/>
        </w:rPr>
        <w:t>$105,000/QALY – $200,000/QALY</w:t>
      </w:r>
      <w:r w:rsidRPr="00226B30">
        <w:rPr>
          <w:rFonts w:asciiTheme="minorHAnsi" w:hAnsiTheme="minorHAnsi"/>
          <w:sz w:val="24"/>
          <w:szCs w:val="24"/>
        </w:rPr>
        <w:t>.</w:t>
      </w:r>
      <w:r w:rsidR="003F768A" w:rsidRPr="00226B30">
        <w:rPr>
          <w:rFonts w:asciiTheme="minorHAnsi" w:hAnsiTheme="minorHAnsi"/>
          <w:sz w:val="24"/>
          <w:szCs w:val="24"/>
        </w:rPr>
        <w:t xml:space="preserve"> </w:t>
      </w:r>
      <w:r w:rsidR="00802C56" w:rsidRPr="00226B30">
        <w:rPr>
          <w:rFonts w:asciiTheme="minorHAnsi" w:hAnsiTheme="minorHAnsi"/>
          <w:sz w:val="24"/>
          <w:szCs w:val="24"/>
        </w:rPr>
        <w:t xml:space="preserve">The PSCR (p5) stated </w:t>
      </w:r>
      <w:r w:rsidR="00A30635">
        <w:rPr>
          <w:rFonts w:asciiTheme="minorHAnsi" w:hAnsiTheme="minorHAnsi"/>
          <w:sz w:val="24"/>
          <w:szCs w:val="24"/>
        </w:rPr>
        <w:t xml:space="preserve">that data for </w:t>
      </w:r>
      <w:r w:rsidR="00A30635" w:rsidRPr="00226B30">
        <w:rPr>
          <w:rFonts w:asciiTheme="minorHAnsi" w:hAnsiTheme="minorHAnsi"/>
          <w:sz w:val="24"/>
          <w:szCs w:val="24"/>
        </w:rPr>
        <w:t xml:space="preserve">placebo-treated patients </w:t>
      </w:r>
      <w:r w:rsidR="00A30635">
        <w:rPr>
          <w:rFonts w:asciiTheme="minorHAnsi" w:hAnsiTheme="minorHAnsi"/>
          <w:sz w:val="24"/>
          <w:szCs w:val="24"/>
        </w:rPr>
        <w:t>in</w:t>
      </w:r>
      <w:r w:rsidR="00802C56" w:rsidRPr="00226B30">
        <w:rPr>
          <w:rFonts w:asciiTheme="minorHAnsi" w:hAnsiTheme="minorHAnsi"/>
          <w:sz w:val="24"/>
          <w:szCs w:val="24"/>
        </w:rPr>
        <w:t xml:space="preserve"> TRAFFIC</w:t>
      </w:r>
      <w:r w:rsidR="003F768A" w:rsidRPr="00226B30">
        <w:rPr>
          <w:rFonts w:asciiTheme="minorHAnsi" w:hAnsiTheme="minorHAnsi"/>
          <w:sz w:val="24"/>
          <w:szCs w:val="24"/>
        </w:rPr>
        <w:t>/</w:t>
      </w:r>
      <w:r w:rsidR="00802C56" w:rsidRPr="00226B30">
        <w:rPr>
          <w:rFonts w:asciiTheme="minorHAnsi" w:hAnsiTheme="minorHAnsi"/>
          <w:sz w:val="24"/>
          <w:szCs w:val="24"/>
        </w:rPr>
        <w:t>TRANSPORT indicated tha</w:t>
      </w:r>
      <w:r w:rsidR="007C77F3" w:rsidRPr="00226B30">
        <w:rPr>
          <w:rFonts w:asciiTheme="minorHAnsi" w:hAnsiTheme="minorHAnsi"/>
          <w:sz w:val="24"/>
          <w:szCs w:val="24"/>
        </w:rPr>
        <w:t>t</w:t>
      </w:r>
      <w:r w:rsidR="00802C56" w:rsidRPr="00226B30">
        <w:rPr>
          <w:rFonts w:asciiTheme="minorHAnsi" w:hAnsiTheme="minorHAnsi"/>
          <w:sz w:val="24"/>
          <w:szCs w:val="24"/>
        </w:rPr>
        <w:t xml:space="preserve"> 105 of 143 hospitalisations (74.3%) were due to PE</w:t>
      </w:r>
      <w:r w:rsidR="00A30635">
        <w:rPr>
          <w:rFonts w:asciiTheme="minorHAnsi" w:hAnsiTheme="minorHAnsi"/>
          <w:sz w:val="24"/>
          <w:szCs w:val="24"/>
        </w:rPr>
        <w:t>s,</w:t>
      </w:r>
      <w:r w:rsidR="00802C56" w:rsidRPr="00226B30">
        <w:rPr>
          <w:rFonts w:asciiTheme="minorHAnsi" w:hAnsiTheme="minorHAnsi"/>
          <w:sz w:val="24"/>
          <w:szCs w:val="24"/>
        </w:rPr>
        <w:t xml:space="preserve"> and therefore 75% of hospitalisations related to PE </w:t>
      </w:r>
      <w:r w:rsidR="00A30635">
        <w:rPr>
          <w:rFonts w:asciiTheme="minorHAnsi" w:hAnsiTheme="minorHAnsi"/>
          <w:sz w:val="24"/>
          <w:szCs w:val="24"/>
        </w:rPr>
        <w:t>would be</w:t>
      </w:r>
      <w:r w:rsidR="00802C56" w:rsidRPr="00226B30">
        <w:rPr>
          <w:rFonts w:asciiTheme="minorHAnsi" w:hAnsiTheme="minorHAnsi"/>
          <w:sz w:val="24"/>
          <w:szCs w:val="24"/>
        </w:rPr>
        <w:t xml:space="preserve"> </w:t>
      </w:r>
      <w:r w:rsidR="003F768A" w:rsidRPr="00226B30">
        <w:rPr>
          <w:rFonts w:asciiTheme="minorHAnsi" w:hAnsiTheme="minorHAnsi"/>
          <w:sz w:val="24"/>
          <w:szCs w:val="24"/>
        </w:rPr>
        <w:t xml:space="preserve">a </w:t>
      </w:r>
      <w:r w:rsidR="00802C56" w:rsidRPr="00226B30">
        <w:rPr>
          <w:rFonts w:asciiTheme="minorHAnsi" w:hAnsiTheme="minorHAnsi"/>
          <w:sz w:val="24"/>
          <w:szCs w:val="24"/>
        </w:rPr>
        <w:t xml:space="preserve">more appropriate </w:t>
      </w:r>
      <w:r w:rsidR="003F768A" w:rsidRPr="00226B30">
        <w:rPr>
          <w:rFonts w:asciiTheme="minorHAnsi" w:hAnsiTheme="minorHAnsi"/>
          <w:sz w:val="24"/>
          <w:szCs w:val="24"/>
        </w:rPr>
        <w:t xml:space="preserve">estimate </w:t>
      </w:r>
      <w:r w:rsidR="00802C56" w:rsidRPr="00226B30">
        <w:rPr>
          <w:rFonts w:asciiTheme="minorHAnsi" w:hAnsiTheme="minorHAnsi"/>
          <w:sz w:val="24"/>
          <w:szCs w:val="24"/>
        </w:rPr>
        <w:t>than 50%.</w:t>
      </w:r>
    </w:p>
    <w:p w:rsidR="00301EA1" w:rsidRPr="00226B30" w:rsidRDefault="00301EA1" w:rsidP="00D33EDC">
      <w:pPr>
        <w:pStyle w:val="ListParagraph"/>
        <w:widowControl/>
        <w:numPr>
          <w:ilvl w:val="1"/>
          <w:numId w:val="13"/>
        </w:numPr>
        <w:spacing w:after="120"/>
        <w:ind w:left="709" w:hanging="709"/>
        <w:contextualSpacing w:val="0"/>
        <w:rPr>
          <w:rFonts w:asciiTheme="minorHAnsi" w:hAnsiTheme="minorHAnsi"/>
          <w:sz w:val="24"/>
        </w:rPr>
      </w:pPr>
      <w:r w:rsidRPr="00226B30">
        <w:rPr>
          <w:rFonts w:asciiTheme="minorHAnsi" w:hAnsiTheme="minorHAnsi"/>
          <w:sz w:val="24"/>
        </w:rPr>
        <w:t xml:space="preserve">The ESC noted the utility weights used in the model were based on a small number of clinicians completing the EQ-5D-5L questionnaire by proxy for different </w:t>
      </w:r>
      <w:r w:rsidR="0033295E" w:rsidRPr="00226B30">
        <w:rPr>
          <w:rFonts w:asciiTheme="minorHAnsi" w:hAnsiTheme="minorHAnsi"/>
          <w:sz w:val="24"/>
        </w:rPr>
        <w:t xml:space="preserve">bands </w:t>
      </w:r>
      <w:r w:rsidRPr="00226B30">
        <w:rPr>
          <w:rFonts w:asciiTheme="minorHAnsi" w:hAnsiTheme="minorHAnsi"/>
          <w:sz w:val="24"/>
        </w:rPr>
        <w:t>of ppFEV</w:t>
      </w:r>
      <w:r w:rsidRPr="00226B30">
        <w:rPr>
          <w:rFonts w:asciiTheme="minorHAnsi" w:hAnsiTheme="minorHAnsi"/>
          <w:sz w:val="24"/>
          <w:vertAlign w:val="subscript"/>
        </w:rPr>
        <w:t>1</w:t>
      </w:r>
      <w:r w:rsidRPr="00226B30">
        <w:rPr>
          <w:rFonts w:asciiTheme="minorHAnsi" w:hAnsiTheme="minorHAnsi"/>
          <w:sz w:val="24"/>
        </w:rPr>
        <w:t>. The ESC noted patients with high levels of lung function had implausibly high utility scores and there was also a wide spread of utility scores across lung functions</w:t>
      </w:r>
      <w:r w:rsidR="00907F7C" w:rsidRPr="00226B30">
        <w:rPr>
          <w:rFonts w:asciiTheme="minorHAnsi" w:hAnsiTheme="minorHAnsi"/>
          <w:sz w:val="24"/>
        </w:rPr>
        <w:t xml:space="preserve"> which</w:t>
      </w:r>
      <w:r w:rsidR="00907F7C" w:rsidRPr="00226B30">
        <w:rPr>
          <w:rFonts w:asciiTheme="minorHAnsi" w:hAnsiTheme="minorHAnsi"/>
          <w:sz w:val="24"/>
          <w:vertAlign w:val="subscript"/>
        </w:rPr>
        <w:t xml:space="preserve"> </w:t>
      </w:r>
      <w:r w:rsidR="00907F7C" w:rsidRPr="00226B30">
        <w:rPr>
          <w:rFonts w:asciiTheme="minorHAnsi" w:hAnsiTheme="minorHAnsi"/>
          <w:sz w:val="24"/>
        </w:rPr>
        <w:t>favoured lumacaftor/ivacaftor</w:t>
      </w:r>
      <w:r w:rsidRPr="00226B30">
        <w:rPr>
          <w:rFonts w:asciiTheme="minorHAnsi" w:hAnsiTheme="minorHAnsi"/>
          <w:sz w:val="24"/>
        </w:rPr>
        <w:t>.</w:t>
      </w:r>
    </w:p>
    <w:p w:rsidR="00B2608F" w:rsidRPr="00226B30" w:rsidRDefault="00907F7C" w:rsidP="00D33EDC">
      <w:pPr>
        <w:pStyle w:val="ListParagraph"/>
        <w:widowControl/>
        <w:numPr>
          <w:ilvl w:val="1"/>
          <w:numId w:val="13"/>
        </w:numPr>
        <w:spacing w:after="120"/>
        <w:ind w:left="709" w:hanging="709"/>
        <w:contextualSpacing w:val="0"/>
        <w:rPr>
          <w:rFonts w:asciiTheme="minorHAnsi" w:hAnsiTheme="minorHAnsi"/>
          <w:sz w:val="24"/>
          <w:szCs w:val="24"/>
        </w:rPr>
      </w:pPr>
      <w:r w:rsidRPr="00226B30">
        <w:rPr>
          <w:rFonts w:asciiTheme="minorHAnsi" w:hAnsiTheme="minorHAnsi"/>
          <w:sz w:val="24"/>
          <w:szCs w:val="24"/>
        </w:rPr>
        <w:t>The resubmission presented s</w:t>
      </w:r>
      <w:r w:rsidR="00B2608F" w:rsidRPr="00226B30">
        <w:rPr>
          <w:rFonts w:asciiTheme="minorHAnsi" w:hAnsiTheme="minorHAnsi"/>
          <w:sz w:val="24"/>
          <w:szCs w:val="24"/>
        </w:rPr>
        <w:t xml:space="preserve">cenario analyses applying discount rates that varied between </w:t>
      </w:r>
      <w:r w:rsidR="00A42B97">
        <w:rPr>
          <w:rFonts w:asciiTheme="minorHAnsi" w:hAnsiTheme="minorHAnsi"/>
          <w:noProof/>
          <w:color w:val="000000"/>
          <w:sz w:val="24"/>
          <w:szCs w:val="24"/>
          <w:highlight w:val="black"/>
        </w:rPr>
        <w:t>'''''' ''''' ''''''</w:t>
      </w:r>
      <w:r w:rsidR="00B2608F" w:rsidRPr="00226B30">
        <w:rPr>
          <w:rFonts w:asciiTheme="minorHAnsi" w:hAnsiTheme="minorHAnsi"/>
          <w:sz w:val="24"/>
          <w:szCs w:val="24"/>
        </w:rPr>
        <w:t xml:space="preserve"> on costs and effects, and the resubmission reiterated a request </w:t>
      </w:r>
      <w:r w:rsidR="00360FE3" w:rsidRPr="00226B30">
        <w:rPr>
          <w:rFonts w:asciiTheme="minorHAnsi" w:hAnsiTheme="minorHAnsi"/>
          <w:sz w:val="24"/>
          <w:szCs w:val="24"/>
        </w:rPr>
        <w:t xml:space="preserve">from the November 2016 minor resubmission </w:t>
      </w:r>
      <w:r w:rsidR="00B2608F" w:rsidRPr="00226B30">
        <w:rPr>
          <w:rFonts w:asciiTheme="minorHAnsi" w:hAnsiTheme="minorHAnsi"/>
          <w:sz w:val="24"/>
          <w:szCs w:val="24"/>
        </w:rPr>
        <w:t xml:space="preserve">that </w:t>
      </w:r>
      <w:r w:rsidR="00FA1E75">
        <w:rPr>
          <w:rFonts w:asciiTheme="minorHAnsi" w:hAnsiTheme="minorHAnsi"/>
          <w:sz w:val="24"/>
          <w:szCs w:val="24"/>
        </w:rPr>
        <w:t xml:space="preserve">the PBAC consider </w:t>
      </w:r>
      <w:r w:rsidR="00B2608F" w:rsidRPr="00226B30">
        <w:rPr>
          <w:rFonts w:asciiTheme="minorHAnsi" w:hAnsiTheme="minorHAnsi"/>
          <w:sz w:val="24"/>
          <w:szCs w:val="24"/>
        </w:rPr>
        <w:t>a</w:t>
      </w:r>
      <w:r w:rsidRPr="00226B30">
        <w:rPr>
          <w:rFonts w:asciiTheme="minorHAnsi" w:hAnsiTheme="minorHAnsi"/>
          <w:sz w:val="24"/>
          <w:szCs w:val="24"/>
        </w:rPr>
        <w:t>n ICER with a</w:t>
      </w:r>
      <w:r w:rsidR="00B2608F" w:rsidRPr="00226B30">
        <w:rPr>
          <w:rFonts w:asciiTheme="minorHAnsi" w:hAnsiTheme="minorHAnsi"/>
          <w:sz w:val="24"/>
          <w:szCs w:val="24"/>
        </w:rPr>
        <w:t xml:space="preserve"> lower discount rate</w:t>
      </w:r>
      <w:r w:rsidR="00FA1E75">
        <w:rPr>
          <w:rFonts w:asciiTheme="minorHAnsi" w:hAnsiTheme="minorHAnsi"/>
          <w:sz w:val="24"/>
          <w:szCs w:val="24"/>
        </w:rPr>
        <w:t xml:space="preserve"> than 5%</w:t>
      </w:r>
      <w:r w:rsidR="00B2608F" w:rsidRPr="00226B30">
        <w:rPr>
          <w:rFonts w:asciiTheme="minorHAnsi" w:hAnsiTheme="minorHAnsi"/>
          <w:sz w:val="24"/>
          <w:szCs w:val="24"/>
        </w:rPr>
        <w:t>.</w:t>
      </w:r>
      <w:r w:rsidR="00E12E25" w:rsidRPr="00226B30">
        <w:rPr>
          <w:rFonts w:asciiTheme="minorHAnsi" w:hAnsiTheme="minorHAnsi"/>
          <w:sz w:val="24"/>
          <w:szCs w:val="24"/>
        </w:rPr>
        <w:t xml:space="preserve"> In November 2016,</w:t>
      </w:r>
      <w:r w:rsidR="00B2608F" w:rsidRPr="00226B30">
        <w:rPr>
          <w:rFonts w:asciiTheme="minorHAnsi" w:hAnsiTheme="minorHAnsi"/>
          <w:sz w:val="24"/>
          <w:szCs w:val="24"/>
        </w:rPr>
        <w:t xml:space="preserve"> the PBAC recalled that ivacaftor was recommended for listing with an ICER </w:t>
      </w:r>
      <w:r w:rsidR="00441603" w:rsidRPr="00226B30">
        <w:rPr>
          <w:rFonts w:asciiTheme="minorHAnsi" w:hAnsiTheme="minorHAnsi"/>
          <w:sz w:val="24"/>
          <w:szCs w:val="24"/>
        </w:rPr>
        <w:t>that</w:t>
      </w:r>
      <w:r w:rsidR="00B2608F" w:rsidRPr="00226B30">
        <w:rPr>
          <w:rFonts w:asciiTheme="minorHAnsi" w:hAnsiTheme="minorHAnsi"/>
          <w:sz w:val="24"/>
          <w:szCs w:val="24"/>
        </w:rPr>
        <w:t xml:space="preserve"> was calculated using a 5% discount rate for costs and outcomes (</w:t>
      </w:r>
      <w:r w:rsidR="00E12E25" w:rsidRPr="00226B30">
        <w:rPr>
          <w:rFonts w:asciiTheme="minorHAnsi" w:hAnsiTheme="minorHAnsi"/>
          <w:sz w:val="24"/>
          <w:szCs w:val="24"/>
        </w:rPr>
        <w:t xml:space="preserve">paragraph 7.4, November 2016 </w:t>
      </w:r>
      <w:r w:rsidR="00B2608F" w:rsidRPr="00226B30">
        <w:rPr>
          <w:rFonts w:asciiTheme="minorHAnsi" w:hAnsiTheme="minorHAnsi"/>
          <w:sz w:val="24"/>
          <w:szCs w:val="24"/>
        </w:rPr>
        <w:t>PSD)</w:t>
      </w:r>
      <w:r w:rsidR="001D7E44" w:rsidRPr="00226B30">
        <w:rPr>
          <w:rFonts w:asciiTheme="minorHAnsi" w:hAnsiTheme="minorHAnsi"/>
          <w:sz w:val="24"/>
          <w:szCs w:val="24"/>
        </w:rPr>
        <w:t xml:space="preserve"> in line with the PBAC Guidelines</w:t>
      </w:r>
      <w:r w:rsidR="00DF7BF9">
        <w:rPr>
          <w:rFonts w:asciiTheme="minorHAnsi" w:hAnsiTheme="minorHAnsi"/>
          <w:sz w:val="24"/>
          <w:szCs w:val="24"/>
        </w:rPr>
        <w:t xml:space="preserve"> V5.0</w:t>
      </w:r>
      <w:r w:rsidR="00B2608F" w:rsidRPr="00226B30">
        <w:rPr>
          <w:rFonts w:asciiTheme="minorHAnsi" w:hAnsiTheme="minorHAnsi"/>
          <w:sz w:val="24"/>
          <w:szCs w:val="24"/>
        </w:rPr>
        <w:t>.</w:t>
      </w:r>
      <w:r w:rsidR="00FA1E75">
        <w:rPr>
          <w:rFonts w:asciiTheme="minorHAnsi" w:hAnsiTheme="minorHAnsi"/>
          <w:sz w:val="24"/>
          <w:szCs w:val="24"/>
        </w:rPr>
        <w:t xml:space="preserve"> In its consideration of the current resubmission, the</w:t>
      </w:r>
      <w:r w:rsidR="00FA1E75" w:rsidRPr="00FA1E75">
        <w:rPr>
          <w:rFonts w:asciiTheme="minorHAnsi" w:hAnsiTheme="minorHAnsi"/>
          <w:sz w:val="24"/>
          <w:szCs w:val="24"/>
        </w:rPr>
        <w:t xml:space="preserve"> PBAC </w:t>
      </w:r>
      <w:r w:rsidR="00FA1E75">
        <w:rPr>
          <w:rFonts w:asciiTheme="minorHAnsi" w:hAnsiTheme="minorHAnsi"/>
          <w:sz w:val="24"/>
          <w:szCs w:val="24"/>
        </w:rPr>
        <w:t xml:space="preserve">again </w:t>
      </w:r>
      <w:r w:rsidR="00FA1E75" w:rsidRPr="00FA1E75">
        <w:rPr>
          <w:rFonts w:asciiTheme="minorHAnsi" w:hAnsiTheme="minorHAnsi"/>
          <w:sz w:val="24"/>
          <w:szCs w:val="24"/>
        </w:rPr>
        <w:t>noted its preference for a discount rate of 5% per annum for both costs and outcomes.</w:t>
      </w:r>
    </w:p>
    <w:p w:rsidR="00B2608F" w:rsidRDefault="00B2608F" w:rsidP="000933A0">
      <w:pPr>
        <w:pStyle w:val="ListParagraph"/>
        <w:widowControl/>
        <w:numPr>
          <w:ilvl w:val="1"/>
          <w:numId w:val="13"/>
        </w:numPr>
        <w:spacing w:after="120"/>
        <w:ind w:left="709" w:hanging="709"/>
        <w:contextualSpacing w:val="0"/>
        <w:rPr>
          <w:rFonts w:asciiTheme="minorHAnsi" w:hAnsiTheme="minorHAnsi"/>
          <w:sz w:val="24"/>
          <w:szCs w:val="24"/>
        </w:rPr>
      </w:pPr>
      <w:r w:rsidRPr="00226B30">
        <w:rPr>
          <w:rFonts w:asciiTheme="minorHAnsi" w:hAnsiTheme="minorHAnsi"/>
          <w:sz w:val="24"/>
          <w:szCs w:val="24"/>
        </w:rPr>
        <w:t xml:space="preserve">The resubmission presented a number of univariate sensitivity analyses. The resulting ICERs ranged from </w:t>
      </w:r>
      <w:r w:rsidR="000933A0" w:rsidRPr="000933A0">
        <w:rPr>
          <w:rFonts w:asciiTheme="minorHAnsi" w:hAnsiTheme="minorHAnsi"/>
          <w:sz w:val="24"/>
          <w:szCs w:val="24"/>
        </w:rPr>
        <w:t>$105,000/QALY – $200,000/QALY</w:t>
      </w:r>
      <w:r w:rsidR="00387CBB">
        <w:rPr>
          <w:rFonts w:asciiTheme="minorHAnsi" w:hAnsiTheme="minorHAnsi"/>
          <w:sz w:val="24"/>
          <w:szCs w:val="24"/>
        </w:rPr>
        <w:t xml:space="preserve"> </w:t>
      </w:r>
      <w:bookmarkStart w:id="59" w:name="_GoBack"/>
      <w:bookmarkEnd w:id="59"/>
      <w:r w:rsidRPr="00226B30">
        <w:rPr>
          <w:rFonts w:asciiTheme="minorHAnsi" w:hAnsiTheme="minorHAnsi"/>
          <w:sz w:val="24"/>
          <w:szCs w:val="24"/>
        </w:rPr>
        <w:t xml:space="preserve">when the DPMQ price of lumacaftor/ivacaftor reduced by </w:t>
      </w:r>
      <w:r w:rsidR="00A42B97">
        <w:rPr>
          <w:rFonts w:asciiTheme="minorHAnsi" w:hAnsiTheme="minorHAnsi"/>
          <w:noProof/>
          <w:color w:val="000000"/>
          <w:sz w:val="24"/>
          <w:szCs w:val="24"/>
          <w:highlight w:val="black"/>
        </w:rPr>
        <w:t>'''''</w:t>
      </w:r>
      <w:r w:rsidRPr="00226B30">
        <w:rPr>
          <w:rFonts w:asciiTheme="minorHAnsi" w:hAnsiTheme="minorHAnsi"/>
          <w:sz w:val="24"/>
          <w:szCs w:val="24"/>
        </w:rPr>
        <w:t>%</w:t>
      </w:r>
      <w:r w:rsidR="00720694">
        <w:rPr>
          <w:rFonts w:asciiTheme="minorHAnsi" w:hAnsiTheme="minorHAnsi"/>
          <w:sz w:val="24"/>
          <w:szCs w:val="24"/>
        </w:rPr>
        <w:t>,</w:t>
      </w:r>
      <w:r w:rsidRPr="00226B30">
        <w:rPr>
          <w:rFonts w:asciiTheme="minorHAnsi" w:hAnsiTheme="minorHAnsi"/>
          <w:sz w:val="24"/>
          <w:szCs w:val="24"/>
        </w:rPr>
        <w:t xml:space="preserve"> to </w:t>
      </w:r>
      <w:r w:rsidR="000933A0" w:rsidRPr="000933A0">
        <w:rPr>
          <w:rFonts w:asciiTheme="minorHAnsi" w:hAnsiTheme="minorHAnsi"/>
          <w:sz w:val="24"/>
          <w:szCs w:val="24"/>
        </w:rPr>
        <w:t>more than $200,000/QALY</w:t>
      </w:r>
      <w:r w:rsidR="000933A0">
        <w:rPr>
          <w:rFonts w:asciiTheme="minorHAnsi" w:hAnsiTheme="minorHAnsi"/>
          <w:sz w:val="24"/>
          <w:szCs w:val="24"/>
        </w:rPr>
        <w:t xml:space="preserve"> </w:t>
      </w:r>
      <w:r w:rsidRPr="00226B30">
        <w:rPr>
          <w:rFonts w:asciiTheme="minorHAnsi" w:hAnsiTheme="minorHAnsi"/>
          <w:sz w:val="24"/>
          <w:szCs w:val="24"/>
        </w:rPr>
        <w:t>when the annual rate of decline in pp</w:t>
      </w:r>
      <w:r w:rsidR="00023A66" w:rsidRPr="00226B30">
        <w:rPr>
          <w:rFonts w:asciiTheme="minorHAnsi" w:hAnsiTheme="minorHAnsi"/>
          <w:sz w:val="24"/>
          <w:szCs w:val="24"/>
        </w:rPr>
        <w:t>FEV</w:t>
      </w:r>
      <w:r w:rsidR="00023A66" w:rsidRPr="00226B30">
        <w:rPr>
          <w:rFonts w:asciiTheme="minorHAnsi" w:hAnsiTheme="minorHAnsi"/>
          <w:sz w:val="24"/>
          <w:szCs w:val="24"/>
          <w:vertAlign w:val="subscript"/>
        </w:rPr>
        <w:t>1</w:t>
      </w:r>
      <w:r w:rsidRPr="00226B30">
        <w:rPr>
          <w:rFonts w:asciiTheme="minorHAnsi" w:hAnsiTheme="minorHAnsi"/>
          <w:sz w:val="24"/>
          <w:szCs w:val="24"/>
        </w:rPr>
        <w:t xml:space="preserve"> in the lumacaftor/ivacaftor arm was reduced to </w:t>
      </w:r>
      <w:r w:rsidR="00A42B97">
        <w:rPr>
          <w:rFonts w:asciiTheme="minorHAnsi" w:hAnsiTheme="minorHAnsi"/>
          <w:noProof/>
          <w:color w:val="000000"/>
          <w:sz w:val="24"/>
          <w:szCs w:val="24"/>
          <w:highlight w:val="black"/>
        </w:rPr>
        <w:t>'''''</w:t>
      </w:r>
      <w:r w:rsidRPr="00226B30">
        <w:rPr>
          <w:rFonts w:asciiTheme="minorHAnsi" w:hAnsiTheme="minorHAnsi"/>
          <w:sz w:val="24"/>
          <w:szCs w:val="24"/>
        </w:rPr>
        <w:t>% of the reduction in patients treated with only BSC. The results of additional univariate sensitivity analyses conducted during the evaluation showed that the model was highly sensitive to the assumptions regarding the decline in pp</w:t>
      </w:r>
      <w:r w:rsidR="00023A66" w:rsidRPr="00226B30">
        <w:rPr>
          <w:rFonts w:asciiTheme="minorHAnsi" w:hAnsiTheme="minorHAnsi"/>
          <w:sz w:val="24"/>
          <w:szCs w:val="24"/>
        </w:rPr>
        <w:t>FEV</w:t>
      </w:r>
      <w:r w:rsidR="00023A66" w:rsidRPr="00226B30">
        <w:rPr>
          <w:rFonts w:asciiTheme="minorHAnsi" w:hAnsiTheme="minorHAnsi"/>
          <w:sz w:val="24"/>
          <w:szCs w:val="24"/>
          <w:vertAlign w:val="subscript"/>
        </w:rPr>
        <w:t>1</w:t>
      </w:r>
      <w:r w:rsidRPr="00484DD1">
        <w:rPr>
          <w:rFonts w:asciiTheme="minorHAnsi" w:hAnsiTheme="minorHAnsi"/>
          <w:sz w:val="24"/>
          <w:szCs w:val="24"/>
        </w:rPr>
        <w:t xml:space="preserve">, the </w:t>
      </w:r>
      <w:r w:rsidR="00A42B97">
        <w:rPr>
          <w:rFonts w:asciiTheme="minorHAnsi" w:hAnsiTheme="minorHAnsi"/>
          <w:noProof/>
          <w:color w:val="000000"/>
          <w:sz w:val="24"/>
          <w:szCs w:val="24"/>
          <w:highlight w:val="black"/>
        </w:rPr>
        <w:t>'''''</w:t>
      </w:r>
      <w:r w:rsidRPr="00484DD1">
        <w:rPr>
          <w:rFonts w:asciiTheme="minorHAnsi" w:hAnsiTheme="minorHAnsi"/>
          <w:sz w:val="24"/>
          <w:szCs w:val="24"/>
        </w:rPr>
        <w:t>% price reduction at patent expiry, inclusion</w:t>
      </w:r>
      <w:r w:rsidRPr="00226B30">
        <w:rPr>
          <w:rFonts w:asciiTheme="minorHAnsi" w:hAnsiTheme="minorHAnsi"/>
          <w:sz w:val="24"/>
          <w:szCs w:val="24"/>
        </w:rPr>
        <w:t xml:space="preserve"> of the financial cap, and the approach to modelling of the risk factors. The</w:t>
      </w:r>
      <w:r w:rsidR="0056050A" w:rsidRPr="00226B30">
        <w:rPr>
          <w:rFonts w:asciiTheme="minorHAnsi" w:hAnsiTheme="minorHAnsi"/>
          <w:sz w:val="24"/>
          <w:szCs w:val="24"/>
        </w:rPr>
        <w:t xml:space="preserve"> results of these</w:t>
      </w:r>
      <w:r w:rsidRPr="00226B30">
        <w:rPr>
          <w:rFonts w:asciiTheme="minorHAnsi" w:hAnsiTheme="minorHAnsi"/>
          <w:sz w:val="24"/>
          <w:szCs w:val="24"/>
        </w:rPr>
        <w:t xml:space="preserve"> </w:t>
      </w:r>
      <w:r w:rsidR="0056050A" w:rsidRPr="00226B30">
        <w:rPr>
          <w:rFonts w:asciiTheme="minorHAnsi" w:hAnsiTheme="minorHAnsi"/>
          <w:sz w:val="24"/>
          <w:szCs w:val="24"/>
        </w:rPr>
        <w:t xml:space="preserve">analyses for Base case 1 </w:t>
      </w:r>
      <w:r w:rsidRPr="00226B30">
        <w:rPr>
          <w:rFonts w:asciiTheme="minorHAnsi" w:hAnsiTheme="minorHAnsi"/>
          <w:sz w:val="24"/>
          <w:szCs w:val="24"/>
        </w:rPr>
        <w:t>are presented in Table 1</w:t>
      </w:r>
      <w:r w:rsidR="00330E2B">
        <w:rPr>
          <w:rFonts w:asciiTheme="minorHAnsi" w:hAnsiTheme="minorHAnsi"/>
          <w:sz w:val="24"/>
          <w:szCs w:val="24"/>
        </w:rPr>
        <w:t>3</w:t>
      </w:r>
      <w:r w:rsidRPr="00226B30">
        <w:rPr>
          <w:rFonts w:asciiTheme="minorHAnsi" w:hAnsiTheme="minorHAnsi"/>
          <w:sz w:val="24"/>
          <w:szCs w:val="24"/>
        </w:rPr>
        <w:t xml:space="preserve">. </w:t>
      </w:r>
    </w:p>
    <w:p w:rsidR="000D33EE" w:rsidRPr="000D33EE" w:rsidRDefault="000D33EE" w:rsidP="000D33EE">
      <w:pPr>
        <w:widowControl/>
        <w:spacing w:after="120"/>
        <w:rPr>
          <w:rFonts w:asciiTheme="minorHAnsi" w:hAnsiTheme="minorHAnsi"/>
          <w:sz w:val="24"/>
          <w:szCs w:val="24"/>
        </w:rPr>
      </w:pPr>
    </w:p>
    <w:p w:rsidR="008A1DA3" w:rsidRDefault="008A1DA3" w:rsidP="008A1DA3">
      <w:pPr>
        <w:pStyle w:val="Caption"/>
      </w:pPr>
      <w:r>
        <w:t xml:space="preserve">Table </w:t>
      </w:r>
      <w:r w:rsidR="000056CF">
        <w:rPr>
          <w:noProof/>
        </w:rPr>
        <w:t>13</w:t>
      </w:r>
      <w:r w:rsidRPr="00C46A98">
        <w:t>: Results of the univariate sensitivity analyses conducted during the evaluation</w:t>
      </w:r>
    </w:p>
    <w:tbl>
      <w:tblPr>
        <w:tblStyle w:val="OPTUMTableNormal"/>
        <w:tblW w:w="5000" w:type="pct"/>
        <w:tblLook w:val="04A0" w:firstRow="1" w:lastRow="0" w:firstColumn="1" w:lastColumn="0" w:noHBand="0" w:noVBand="1"/>
        <w:tblCaption w:val="Results of the univariate sensitivity analyses conducted during the evaluation"/>
      </w:tblPr>
      <w:tblGrid>
        <w:gridCol w:w="5876"/>
        <w:gridCol w:w="1122"/>
        <w:gridCol w:w="1048"/>
        <w:gridCol w:w="1196"/>
      </w:tblGrid>
      <w:tr w:rsidR="00036FC2" w:rsidRPr="00226B30" w:rsidTr="00902435">
        <w:trPr>
          <w:cnfStyle w:val="100000000000" w:firstRow="1" w:lastRow="0" w:firstColumn="0" w:lastColumn="0" w:oddVBand="0" w:evenVBand="0" w:oddHBand="0" w:evenHBand="0" w:firstRowFirstColumn="0" w:firstRowLastColumn="0" w:lastRowFirstColumn="0" w:lastRowLastColumn="0"/>
          <w:tblHeader/>
        </w:trPr>
        <w:tc>
          <w:tcPr>
            <w:tcW w:w="3179" w:type="pct"/>
            <w:shd w:val="clear" w:color="auto" w:fill="auto"/>
            <w:vAlign w:val="center"/>
          </w:tcPr>
          <w:p w:rsidR="00036FC2" w:rsidRPr="00226B30" w:rsidRDefault="00036FC2" w:rsidP="001E08C1">
            <w:pPr>
              <w:pStyle w:val="TableText1"/>
              <w:rPr>
                <w:b/>
              </w:rPr>
            </w:pPr>
            <w:r w:rsidRPr="00226B30">
              <w:rPr>
                <w:b/>
              </w:rPr>
              <w:t>Analysis description</w:t>
            </w:r>
          </w:p>
        </w:tc>
        <w:tc>
          <w:tcPr>
            <w:tcW w:w="607" w:type="pct"/>
            <w:shd w:val="clear" w:color="auto" w:fill="auto"/>
            <w:vAlign w:val="center"/>
          </w:tcPr>
          <w:p w:rsidR="00036FC2" w:rsidRPr="00226B30" w:rsidRDefault="00036FC2" w:rsidP="00902435">
            <w:pPr>
              <w:pStyle w:val="TableText1"/>
              <w:ind w:left="-95" w:right="-105"/>
              <w:jc w:val="center"/>
              <w:rPr>
                <w:b/>
              </w:rPr>
            </w:pPr>
            <w:r w:rsidRPr="00226B30">
              <w:rPr>
                <w:b/>
              </w:rPr>
              <w:t>Inc. cost ($)</w:t>
            </w:r>
          </w:p>
        </w:tc>
        <w:tc>
          <w:tcPr>
            <w:tcW w:w="567" w:type="pct"/>
            <w:shd w:val="clear" w:color="auto" w:fill="auto"/>
            <w:vAlign w:val="center"/>
          </w:tcPr>
          <w:p w:rsidR="00036FC2" w:rsidRPr="00226B30" w:rsidRDefault="00036FC2" w:rsidP="00902435">
            <w:pPr>
              <w:pStyle w:val="TableText1"/>
              <w:ind w:left="-95" w:right="-105"/>
              <w:jc w:val="center"/>
              <w:rPr>
                <w:b/>
              </w:rPr>
            </w:pPr>
            <w:r w:rsidRPr="00226B30">
              <w:rPr>
                <w:b/>
              </w:rPr>
              <w:t>Inc. effect (QALYs)</w:t>
            </w:r>
          </w:p>
        </w:tc>
        <w:tc>
          <w:tcPr>
            <w:tcW w:w="647" w:type="pct"/>
            <w:shd w:val="clear" w:color="auto" w:fill="auto"/>
            <w:vAlign w:val="center"/>
          </w:tcPr>
          <w:p w:rsidR="00036FC2" w:rsidRPr="00226B30" w:rsidRDefault="00036FC2" w:rsidP="00902435">
            <w:pPr>
              <w:pStyle w:val="TableText1"/>
              <w:ind w:left="-95" w:right="-105"/>
              <w:jc w:val="center"/>
              <w:rPr>
                <w:b/>
              </w:rPr>
            </w:pPr>
            <w:r w:rsidRPr="00226B30">
              <w:rPr>
                <w:b/>
              </w:rPr>
              <w:t>ICER ($/QALY gained)</w:t>
            </w:r>
          </w:p>
        </w:tc>
      </w:tr>
      <w:tr w:rsidR="00036FC2" w:rsidRPr="00226B30" w:rsidTr="00036FC2">
        <w:trPr>
          <w:cnfStyle w:val="100000000000" w:firstRow="1" w:lastRow="0" w:firstColumn="0" w:lastColumn="0" w:oddVBand="0" w:evenVBand="0" w:oddHBand="0" w:evenHBand="0" w:firstRowFirstColumn="0" w:firstRowLastColumn="0" w:lastRowFirstColumn="0" w:lastRowLastColumn="0"/>
          <w:tblHeader/>
        </w:trPr>
        <w:tc>
          <w:tcPr>
            <w:tcW w:w="3179" w:type="pct"/>
            <w:shd w:val="clear" w:color="auto" w:fill="auto"/>
            <w:vAlign w:val="center"/>
          </w:tcPr>
          <w:p w:rsidR="00036FC2" w:rsidRPr="00226B30" w:rsidRDefault="00036FC2" w:rsidP="001E08C1">
            <w:pPr>
              <w:pStyle w:val="TableText1"/>
            </w:pPr>
            <w:r w:rsidRPr="00226B30">
              <w:t>Base case 1</w:t>
            </w:r>
          </w:p>
        </w:tc>
        <w:tc>
          <w:tcPr>
            <w:tcW w:w="607" w:type="pct"/>
            <w:shd w:val="clear" w:color="auto" w:fill="auto"/>
            <w:vAlign w:val="center"/>
          </w:tcPr>
          <w:p w:rsidR="00036FC2" w:rsidRPr="00226B30" w:rsidRDefault="00036FC2" w:rsidP="001E08C1">
            <w:pPr>
              <w:pStyle w:val="TableText1"/>
            </w:pPr>
            <w:r w:rsidRPr="00226B30">
              <w:t>$</w:t>
            </w:r>
            <w:r w:rsidR="00A42B97">
              <w:rPr>
                <w:noProof/>
                <w:color w:val="000000"/>
                <w:highlight w:val="black"/>
              </w:rPr>
              <w:t>''''''''''''''''''</w:t>
            </w:r>
          </w:p>
        </w:tc>
        <w:tc>
          <w:tcPr>
            <w:tcW w:w="567" w:type="pct"/>
            <w:shd w:val="clear" w:color="auto" w:fill="auto"/>
            <w:vAlign w:val="center"/>
          </w:tcPr>
          <w:p w:rsidR="00036FC2" w:rsidRPr="00226B30" w:rsidRDefault="00036FC2" w:rsidP="001E08C1">
            <w:pPr>
              <w:pStyle w:val="TableText1"/>
            </w:pPr>
            <w:r w:rsidRPr="00226B30">
              <w:t>4.659</w:t>
            </w:r>
          </w:p>
        </w:tc>
        <w:tc>
          <w:tcPr>
            <w:tcW w:w="647" w:type="pct"/>
            <w:shd w:val="clear" w:color="auto" w:fill="auto"/>
            <w:vAlign w:val="center"/>
          </w:tcPr>
          <w:p w:rsidR="00036FC2" w:rsidRPr="00226B30" w:rsidRDefault="00036FC2" w:rsidP="001E08C1">
            <w:pPr>
              <w:pStyle w:val="TableText1"/>
            </w:pPr>
            <w:r w:rsidRPr="00226B30">
              <w:t>$</w:t>
            </w:r>
            <w:r w:rsidR="00A42B97">
              <w:rPr>
                <w:noProof/>
                <w:color w:val="000000"/>
                <w:highlight w:val="black"/>
              </w:rPr>
              <w:t>'''''''''''''''''''''</w:t>
            </w:r>
          </w:p>
        </w:tc>
      </w:tr>
      <w:tr w:rsidR="00036FC2" w:rsidRPr="00226B30" w:rsidTr="00036FC2">
        <w:tc>
          <w:tcPr>
            <w:tcW w:w="3179" w:type="pct"/>
            <w:vAlign w:val="center"/>
          </w:tcPr>
          <w:p w:rsidR="00036FC2" w:rsidRPr="00226B30" w:rsidRDefault="00036FC2" w:rsidP="001E08C1">
            <w:pPr>
              <w:pStyle w:val="TableText1"/>
            </w:pPr>
            <w:r w:rsidRPr="00226B30">
              <w:t xml:space="preserve">Impact of assuming 50% of hospitalisations are due to a PE </w:t>
            </w:r>
          </w:p>
        </w:tc>
        <w:tc>
          <w:tcPr>
            <w:tcW w:w="607" w:type="pct"/>
            <w:vAlign w:val="center"/>
          </w:tcPr>
          <w:p w:rsidR="00036FC2" w:rsidRPr="00226B30" w:rsidRDefault="00036FC2" w:rsidP="001E08C1">
            <w:pPr>
              <w:pStyle w:val="TableText1"/>
            </w:pPr>
            <w:r w:rsidRPr="00226B30">
              <w:t>$</w:t>
            </w:r>
            <w:r w:rsidR="00A42B97">
              <w:rPr>
                <w:noProof/>
                <w:color w:val="000000"/>
                <w:highlight w:val="black"/>
              </w:rPr>
              <w:t>''''''''''''''''''''</w:t>
            </w:r>
          </w:p>
        </w:tc>
        <w:tc>
          <w:tcPr>
            <w:tcW w:w="567" w:type="pct"/>
            <w:vAlign w:val="center"/>
          </w:tcPr>
          <w:p w:rsidR="00036FC2" w:rsidRPr="00226B30" w:rsidRDefault="00036FC2" w:rsidP="001E08C1">
            <w:pPr>
              <w:pStyle w:val="TableText1"/>
            </w:pPr>
            <w:r w:rsidRPr="00226B30">
              <w:t>4.659</w:t>
            </w:r>
          </w:p>
        </w:tc>
        <w:tc>
          <w:tcPr>
            <w:tcW w:w="647" w:type="pct"/>
            <w:vAlign w:val="center"/>
          </w:tcPr>
          <w:p w:rsidR="00036FC2" w:rsidRPr="00226B30" w:rsidRDefault="00036FC2" w:rsidP="001E08C1">
            <w:pPr>
              <w:pStyle w:val="TableText1"/>
            </w:pPr>
            <w:r w:rsidRPr="00226B30">
              <w:t>$</w:t>
            </w:r>
            <w:r w:rsidR="00A42B97">
              <w:rPr>
                <w:noProof/>
                <w:color w:val="000000"/>
                <w:highlight w:val="black"/>
              </w:rPr>
              <w:t>''''''''''''''''''</w:t>
            </w:r>
          </w:p>
        </w:tc>
      </w:tr>
      <w:tr w:rsidR="00036FC2" w:rsidRPr="00226B30" w:rsidTr="00036FC2">
        <w:tc>
          <w:tcPr>
            <w:tcW w:w="3179" w:type="pct"/>
            <w:vAlign w:val="center"/>
          </w:tcPr>
          <w:p w:rsidR="00036FC2" w:rsidRPr="00226B30" w:rsidRDefault="00036FC2" w:rsidP="001E08C1">
            <w:pPr>
              <w:pStyle w:val="TableText1"/>
            </w:pPr>
            <w:r w:rsidRPr="00226B30">
              <w:t>Application of the Liou et al (2001) equation based on absolute values</w:t>
            </w:r>
          </w:p>
        </w:tc>
        <w:tc>
          <w:tcPr>
            <w:tcW w:w="607" w:type="pct"/>
            <w:vAlign w:val="center"/>
          </w:tcPr>
          <w:p w:rsidR="00036FC2" w:rsidRPr="00226B30" w:rsidRDefault="00036FC2" w:rsidP="001E08C1">
            <w:pPr>
              <w:pStyle w:val="TableText1"/>
            </w:pPr>
            <w:r w:rsidRPr="00226B30">
              <w:t>$</w:t>
            </w:r>
            <w:r w:rsidR="00A42B97">
              <w:rPr>
                <w:noProof/>
                <w:color w:val="000000"/>
                <w:highlight w:val="black"/>
              </w:rPr>
              <w:t>'''''''''''''''''</w:t>
            </w:r>
          </w:p>
        </w:tc>
        <w:tc>
          <w:tcPr>
            <w:tcW w:w="567" w:type="pct"/>
            <w:vAlign w:val="center"/>
          </w:tcPr>
          <w:p w:rsidR="00036FC2" w:rsidRPr="00226B30" w:rsidRDefault="00036FC2" w:rsidP="001E08C1">
            <w:pPr>
              <w:pStyle w:val="TableText1"/>
            </w:pPr>
            <w:r w:rsidRPr="00226B30">
              <w:t>3.524</w:t>
            </w:r>
          </w:p>
        </w:tc>
        <w:tc>
          <w:tcPr>
            <w:tcW w:w="647" w:type="pct"/>
            <w:vAlign w:val="center"/>
          </w:tcPr>
          <w:p w:rsidR="00036FC2" w:rsidRPr="00226B30" w:rsidRDefault="00036FC2" w:rsidP="001E08C1">
            <w:pPr>
              <w:pStyle w:val="TableText1"/>
            </w:pPr>
            <w:r w:rsidRPr="00226B30">
              <w:t>$</w:t>
            </w:r>
            <w:r w:rsidR="00A42B97">
              <w:rPr>
                <w:noProof/>
                <w:color w:val="000000"/>
                <w:highlight w:val="black"/>
              </w:rPr>
              <w:t>''''''''''''''''''''</w:t>
            </w:r>
          </w:p>
        </w:tc>
      </w:tr>
      <w:tr w:rsidR="00036FC2" w:rsidRPr="00226B30" w:rsidTr="00036FC2">
        <w:tc>
          <w:tcPr>
            <w:tcW w:w="3179" w:type="pct"/>
            <w:vAlign w:val="center"/>
          </w:tcPr>
          <w:p w:rsidR="00036FC2" w:rsidRPr="00226B30" w:rsidRDefault="00036FC2" w:rsidP="001E08C1">
            <w:pPr>
              <w:pStyle w:val="TableText1"/>
            </w:pPr>
            <w:r w:rsidRPr="00226B30">
              <w:t xml:space="preserve">Using the utility values from Whiting et al. </w:t>
            </w:r>
          </w:p>
        </w:tc>
        <w:tc>
          <w:tcPr>
            <w:tcW w:w="607" w:type="pct"/>
            <w:vAlign w:val="center"/>
          </w:tcPr>
          <w:p w:rsidR="00036FC2" w:rsidRPr="00226B30" w:rsidRDefault="00036FC2" w:rsidP="001E08C1">
            <w:pPr>
              <w:pStyle w:val="TableText1"/>
            </w:pPr>
            <w:r w:rsidRPr="00226B30">
              <w:t>$</w:t>
            </w:r>
            <w:r w:rsidR="00A42B97">
              <w:rPr>
                <w:noProof/>
                <w:color w:val="000000"/>
                <w:highlight w:val="black"/>
              </w:rPr>
              <w:t>'''''''''''''''''''''</w:t>
            </w:r>
          </w:p>
        </w:tc>
        <w:tc>
          <w:tcPr>
            <w:tcW w:w="567" w:type="pct"/>
            <w:vAlign w:val="center"/>
          </w:tcPr>
          <w:p w:rsidR="00036FC2" w:rsidRPr="00226B30" w:rsidRDefault="00036FC2" w:rsidP="001E08C1">
            <w:pPr>
              <w:pStyle w:val="TableText1"/>
            </w:pPr>
            <w:r w:rsidRPr="00226B30">
              <w:t>3.835</w:t>
            </w:r>
          </w:p>
        </w:tc>
        <w:tc>
          <w:tcPr>
            <w:tcW w:w="647" w:type="pct"/>
            <w:vAlign w:val="center"/>
          </w:tcPr>
          <w:p w:rsidR="00036FC2" w:rsidRPr="00226B30" w:rsidRDefault="00036FC2" w:rsidP="001E08C1">
            <w:pPr>
              <w:pStyle w:val="TableText1"/>
            </w:pPr>
            <w:r w:rsidRPr="00226B30">
              <w:t>$</w:t>
            </w:r>
            <w:r w:rsidR="00A42B97">
              <w:rPr>
                <w:noProof/>
                <w:color w:val="000000"/>
                <w:highlight w:val="black"/>
              </w:rPr>
              <w:t>'''''''''''''''''''</w:t>
            </w:r>
          </w:p>
        </w:tc>
      </w:tr>
      <w:tr w:rsidR="00036FC2" w:rsidRPr="00226B30" w:rsidTr="00036FC2">
        <w:tc>
          <w:tcPr>
            <w:tcW w:w="3179" w:type="pct"/>
            <w:vAlign w:val="center"/>
          </w:tcPr>
          <w:p w:rsidR="00036FC2" w:rsidRPr="00226B30" w:rsidRDefault="00036FC2" w:rsidP="001E08C1">
            <w:pPr>
              <w:pStyle w:val="TableText1"/>
            </w:pPr>
            <w:r w:rsidRPr="00226B30">
              <w:t>Estimates of pp</w:t>
            </w:r>
            <w:r w:rsidR="00023A66" w:rsidRPr="00226B30">
              <w:rPr>
                <w:szCs w:val="24"/>
              </w:rPr>
              <w:t>FEV</w:t>
            </w:r>
            <w:r w:rsidR="00023A66" w:rsidRPr="00226B30">
              <w:rPr>
                <w:szCs w:val="24"/>
                <w:vertAlign w:val="subscript"/>
              </w:rPr>
              <w:t>1</w:t>
            </w:r>
            <w:r w:rsidRPr="00226B30">
              <w:t xml:space="preserve"> decline in BSC arm set to 50% of current</w:t>
            </w:r>
          </w:p>
        </w:tc>
        <w:tc>
          <w:tcPr>
            <w:tcW w:w="607" w:type="pct"/>
            <w:vAlign w:val="center"/>
          </w:tcPr>
          <w:p w:rsidR="00036FC2" w:rsidRPr="00226B30" w:rsidRDefault="00036FC2" w:rsidP="001E08C1">
            <w:pPr>
              <w:pStyle w:val="TableText1"/>
            </w:pPr>
            <w:r w:rsidRPr="00226B30">
              <w:t>$</w:t>
            </w:r>
            <w:r w:rsidR="00A42B97">
              <w:rPr>
                <w:noProof/>
                <w:color w:val="000000"/>
                <w:highlight w:val="black"/>
              </w:rPr>
              <w:t>''''''''''''''''''</w:t>
            </w:r>
          </w:p>
        </w:tc>
        <w:tc>
          <w:tcPr>
            <w:tcW w:w="567" w:type="pct"/>
            <w:vAlign w:val="center"/>
          </w:tcPr>
          <w:p w:rsidR="00036FC2" w:rsidRPr="00226B30" w:rsidRDefault="00036FC2" w:rsidP="001E08C1">
            <w:pPr>
              <w:pStyle w:val="TableText1"/>
            </w:pPr>
            <w:r w:rsidRPr="00226B30">
              <w:t>3.459</w:t>
            </w:r>
          </w:p>
        </w:tc>
        <w:tc>
          <w:tcPr>
            <w:tcW w:w="647" w:type="pct"/>
            <w:vAlign w:val="center"/>
          </w:tcPr>
          <w:p w:rsidR="00036FC2" w:rsidRPr="00226B30" w:rsidRDefault="00036FC2" w:rsidP="001E08C1">
            <w:pPr>
              <w:pStyle w:val="TableText1"/>
            </w:pPr>
            <w:r w:rsidRPr="00226B30">
              <w:t>$</w:t>
            </w:r>
            <w:r w:rsidR="00A42B97">
              <w:rPr>
                <w:noProof/>
                <w:color w:val="000000"/>
                <w:highlight w:val="black"/>
              </w:rPr>
              <w:t>'''''''''''''''''''''</w:t>
            </w:r>
          </w:p>
        </w:tc>
      </w:tr>
      <w:tr w:rsidR="00036FC2" w:rsidRPr="00226B30" w:rsidTr="00036FC2">
        <w:tc>
          <w:tcPr>
            <w:tcW w:w="3179" w:type="pct"/>
            <w:vAlign w:val="center"/>
          </w:tcPr>
          <w:p w:rsidR="00036FC2" w:rsidRPr="00226B30" w:rsidRDefault="00036FC2" w:rsidP="001E08C1">
            <w:pPr>
              <w:pStyle w:val="TableText1"/>
            </w:pPr>
            <w:r w:rsidRPr="00226B30">
              <w:t xml:space="preserve">Removal of the </w:t>
            </w:r>
            <w:r w:rsidR="00030389" w:rsidRPr="00226B30">
              <w:t xml:space="preserve">impact of the </w:t>
            </w:r>
            <w:r w:rsidRPr="00226B30">
              <w:t>financial cap</w:t>
            </w:r>
            <w:r w:rsidR="00030389" w:rsidRPr="00226B30">
              <w:t xml:space="preserve"> on the effective price</w:t>
            </w:r>
          </w:p>
        </w:tc>
        <w:tc>
          <w:tcPr>
            <w:tcW w:w="607" w:type="pct"/>
            <w:vAlign w:val="center"/>
          </w:tcPr>
          <w:p w:rsidR="00036FC2" w:rsidRPr="00226B30" w:rsidRDefault="00036FC2" w:rsidP="001E08C1">
            <w:pPr>
              <w:pStyle w:val="TableText1"/>
            </w:pPr>
            <w:r w:rsidRPr="00226B30">
              <w:t>$</w:t>
            </w:r>
            <w:r w:rsidR="00A42B97">
              <w:rPr>
                <w:noProof/>
                <w:color w:val="000000"/>
                <w:highlight w:val="black"/>
              </w:rPr>
              <w:t>''''''''''''''''''''''</w:t>
            </w:r>
          </w:p>
        </w:tc>
        <w:tc>
          <w:tcPr>
            <w:tcW w:w="567" w:type="pct"/>
            <w:vAlign w:val="center"/>
          </w:tcPr>
          <w:p w:rsidR="00036FC2" w:rsidRPr="00226B30" w:rsidRDefault="00036FC2" w:rsidP="001E08C1">
            <w:pPr>
              <w:pStyle w:val="TableText1"/>
            </w:pPr>
            <w:r w:rsidRPr="00226B30">
              <w:t>4.659</w:t>
            </w:r>
          </w:p>
        </w:tc>
        <w:tc>
          <w:tcPr>
            <w:tcW w:w="647" w:type="pct"/>
            <w:vAlign w:val="center"/>
          </w:tcPr>
          <w:p w:rsidR="00036FC2" w:rsidRPr="00226B30" w:rsidRDefault="00036FC2" w:rsidP="001E08C1">
            <w:pPr>
              <w:pStyle w:val="TableText1"/>
            </w:pPr>
            <w:r w:rsidRPr="00226B30">
              <w:t>$</w:t>
            </w:r>
            <w:r w:rsidR="00A42B97">
              <w:rPr>
                <w:noProof/>
                <w:color w:val="000000"/>
                <w:highlight w:val="black"/>
              </w:rPr>
              <w:t>'''''''''''''''''''''</w:t>
            </w:r>
          </w:p>
        </w:tc>
      </w:tr>
      <w:tr w:rsidR="00036FC2" w:rsidRPr="00226B30" w:rsidTr="00036FC2">
        <w:tc>
          <w:tcPr>
            <w:tcW w:w="3179" w:type="pct"/>
            <w:vAlign w:val="center"/>
          </w:tcPr>
          <w:p w:rsidR="00036FC2" w:rsidRPr="00226B30" w:rsidRDefault="00036FC2" w:rsidP="001E08C1">
            <w:pPr>
              <w:pStyle w:val="TableText1"/>
            </w:pPr>
            <w:r w:rsidRPr="00226B30">
              <w:t>No price reduction at patent expiry</w:t>
            </w:r>
          </w:p>
        </w:tc>
        <w:tc>
          <w:tcPr>
            <w:tcW w:w="607" w:type="pct"/>
            <w:vAlign w:val="center"/>
          </w:tcPr>
          <w:p w:rsidR="00036FC2" w:rsidRPr="00226B30" w:rsidRDefault="00036FC2" w:rsidP="001E08C1">
            <w:pPr>
              <w:pStyle w:val="TableText1"/>
            </w:pPr>
            <w:r w:rsidRPr="00226B30">
              <w:t>$</w:t>
            </w:r>
            <w:r w:rsidR="00A42B97">
              <w:rPr>
                <w:noProof/>
                <w:color w:val="000000"/>
                <w:highlight w:val="black"/>
              </w:rPr>
              <w:t>'''''''''''''''''''''''</w:t>
            </w:r>
          </w:p>
        </w:tc>
        <w:tc>
          <w:tcPr>
            <w:tcW w:w="567" w:type="pct"/>
            <w:vAlign w:val="center"/>
          </w:tcPr>
          <w:p w:rsidR="00036FC2" w:rsidRPr="00226B30" w:rsidRDefault="00036FC2" w:rsidP="001E08C1">
            <w:pPr>
              <w:pStyle w:val="TableText1"/>
            </w:pPr>
            <w:r w:rsidRPr="00226B30">
              <w:t>4.659</w:t>
            </w:r>
          </w:p>
        </w:tc>
        <w:tc>
          <w:tcPr>
            <w:tcW w:w="647" w:type="pct"/>
            <w:vAlign w:val="center"/>
          </w:tcPr>
          <w:p w:rsidR="00036FC2" w:rsidRPr="00226B30" w:rsidRDefault="00036FC2" w:rsidP="001E08C1">
            <w:pPr>
              <w:pStyle w:val="TableText1"/>
            </w:pPr>
            <w:r w:rsidRPr="00226B30">
              <w:t>$</w:t>
            </w:r>
            <w:r w:rsidR="00A42B97">
              <w:rPr>
                <w:noProof/>
                <w:color w:val="000000"/>
                <w:highlight w:val="black"/>
              </w:rPr>
              <w:t>''''''''''''''''''</w:t>
            </w:r>
          </w:p>
        </w:tc>
      </w:tr>
      <w:tr w:rsidR="00EE0669" w:rsidRPr="00226B30" w:rsidTr="00184777">
        <w:tc>
          <w:tcPr>
            <w:tcW w:w="3179" w:type="pct"/>
            <w:vAlign w:val="center"/>
          </w:tcPr>
          <w:p w:rsidR="00EE0669" w:rsidRPr="00226B30" w:rsidRDefault="00EE0669" w:rsidP="001E08C1">
            <w:pPr>
              <w:pStyle w:val="TableText1"/>
            </w:pPr>
            <w:r w:rsidRPr="00226B30">
              <w:t>Estimated decline of pp</w:t>
            </w:r>
            <w:r w:rsidRPr="00226B30">
              <w:rPr>
                <w:szCs w:val="24"/>
              </w:rPr>
              <w:t>FEV</w:t>
            </w:r>
            <w:r w:rsidRPr="00226B30">
              <w:rPr>
                <w:szCs w:val="24"/>
                <w:vertAlign w:val="subscript"/>
              </w:rPr>
              <w:t>1</w:t>
            </w:r>
            <w:r w:rsidRPr="00226B30">
              <w:t xml:space="preserve"> in lumacaftor/ivacaftor after 24 weeks set to 25% of BSC</w:t>
            </w:r>
          </w:p>
        </w:tc>
        <w:tc>
          <w:tcPr>
            <w:tcW w:w="607" w:type="pct"/>
            <w:vAlign w:val="center"/>
          </w:tcPr>
          <w:p w:rsidR="00EE0669" w:rsidRPr="00226B30" w:rsidRDefault="00EE0669" w:rsidP="001E08C1">
            <w:pPr>
              <w:pStyle w:val="TableText1"/>
            </w:pPr>
            <w:r w:rsidRPr="00226B30">
              <w:t>$</w:t>
            </w:r>
            <w:r w:rsidR="00A42B97">
              <w:rPr>
                <w:noProof/>
                <w:color w:val="000000"/>
                <w:highlight w:val="black"/>
              </w:rPr>
              <w:t>''''''''''''''''''''''</w:t>
            </w:r>
          </w:p>
        </w:tc>
        <w:tc>
          <w:tcPr>
            <w:tcW w:w="567" w:type="pct"/>
            <w:vAlign w:val="center"/>
          </w:tcPr>
          <w:p w:rsidR="00EE0669" w:rsidRPr="00226B30" w:rsidRDefault="00EE0669" w:rsidP="001E08C1">
            <w:pPr>
              <w:pStyle w:val="TableText1"/>
            </w:pPr>
            <w:r w:rsidRPr="00226B30">
              <w:t>3.176</w:t>
            </w:r>
          </w:p>
        </w:tc>
        <w:tc>
          <w:tcPr>
            <w:tcW w:w="647" w:type="pct"/>
            <w:vAlign w:val="center"/>
          </w:tcPr>
          <w:p w:rsidR="00EE0669" w:rsidRPr="00226B30" w:rsidRDefault="00EE0669" w:rsidP="001E08C1">
            <w:pPr>
              <w:pStyle w:val="TableText1"/>
            </w:pPr>
            <w:r w:rsidRPr="00226B30">
              <w:t>$</w:t>
            </w:r>
            <w:r w:rsidR="00A42B97">
              <w:rPr>
                <w:noProof/>
                <w:color w:val="000000"/>
                <w:highlight w:val="black"/>
              </w:rPr>
              <w:t>''''''''''''''''''</w:t>
            </w:r>
          </w:p>
        </w:tc>
      </w:tr>
      <w:tr w:rsidR="00036FC2" w:rsidRPr="00226B30" w:rsidTr="00036FC2">
        <w:tc>
          <w:tcPr>
            <w:tcW w:w="3179" w:type="pct"/>
            <w:vAlign w:val="center"/>
          </w:tcPr>
          <w:p w:rsidR="00036FC2" w:rsidRPr="00226B30" w:rsidRDefault="00036FC2" w:rsidP="001E08C1">
            <w:pPr>
              <w:pStyle w:val="TableText1"/>
            </w:pPr>
            <w:r w:rsidRPr="00226B30">
              <w:t>Estimated decline of pp</w:t>
            </w:r>
            <w:r w:rsidR="00023A66" w:rsidRPr="00226B30">
              <w:rPr>
                <w:szCs w:val="24"/>
              </w:rPr>
              <w:t>FEV</w:t>
            </w:r>
            <w:r w:rsidR="00023A66" w:rsidRPr="00226B30">
              <w:rPr>
                <w:szCs w:val="24"/>
                <w:vertAlign w:val="subscript"/>
              </w:rPr>
              <w:t>1</w:t>
            </w:r>
            <w:r w:rsidRPr="00226B30">
              <w:t xml:space="preserve"> in lumacaftor/ivacaftor after 24 weeks set to 50% of BSC</w:t>
            </w:r>
          </w:p>
        </w:tc>
        <w:tc>
          <w:tcPr>
            <w:tcW w:w="607" w:type="pct"/>
            <w:vAlign w:val="center"/>
          </w:tcPr>
          <w:p w:rsidR="00036FC2" w:rsidRPr="00226B30" w:rsidRDefault="00036FC2" w:rsidP="001E08C1">
            <w:pPr>
              <w:pStyle w:val="TableText1"/>
            </w:pPr>
            <w:r w:rsidRPr="00226B30">
              <w:t>$</w:t>
            </w:r>
            <w:r w:rsidR="00A42B97">
              <w:rPr>
                <w:noProof/>
                <w:color w:val="000000"/>
                <w:highlight w:val="black"/>
              </w:rPr>
              <w:t>'''''''''''''''''''</w:t>
            </w:r>
          </w:p>
        </w:tc>
        <w:tc>
          <w:tcPr>
            <w:tcW w:w="567" w:type="pct"/>
            <w:vAlign w:val="center"/>
          </w:tcPr>
          <w:p w:rsidR="00036FC2" w:rsidRPr="00226B30" w:rsidRDefault="00036FC2" w:rsidP="001E08C1">
            <w:pPr>
              <w:pStyle w:val="TableText1"/>
            </w:pPr>
            <w:r w:rsidRPr="00226B30">
              <w:t>2.068</w:t>
            </w:r>
          </w:p>
        </w:tc>
        <w:tc>
          <w:tcPr>
            <w:tcW w:w="647" w:type="pct"/>
            <w:vAlign w:val="center"/>
          </w:tcPr>
          <w:p w:rsidR="00036FC2" w:rsidRPr="00226B30" w:rsidRDefault="00036FC2" w:rsidP="001E08C1">
            <w:pPr>
              <w:pStyle w:val="TableText1"/>
            </w:pPr>
            <w:r w:rsidRPr="00226B30">
              <w:t>$</w:t>
            </w:r>
            <w:r w:rsidR="00A42B97">
              <w:rPr>
                <w:noProof/>
                <w:color w:val="000000"/>
                <w:highlight w:val="black"/>
              </w:rPr>
              <w:t>''''''''''''''''''''</w:t>
            </w:r>
          </w:p>
        </w:tc>
      </w:tr>
      <w:tr w:rsidR="00036FC2" w:rsidRPr="00226B30" w:rsidTr="00036FC2">
        <w:tc>
          <w:tcPr>
            <w:tcW w:w="3179" w:type="pct"/>
            <w:vAlign w:val="center"/>
          </w:tcPr>
          <w:p w:rsidR="00036FC2" w:rsidRPr="00226B30" w:rsidRDefault="00036FC2" w:rsidP="001E08C1">
            <w:pPr>
              <w:pStyle w:val="TableText1"/>
            </w:pPr>
            <w:r w:rsidRPr="00226B30">
              <w:t>No additional decline in pp</w:t>
            </w:r>
            <w:r w:rsidR="00023A66" w:rsidRPr="00226B30">
              <w:rPr>
                <w:szCs w:val="24"/>
              </w:rPr>
              <w:t>FEV</w:t>
            </w:r>
            <w:r w:rsidR="00023A66" w:rsidRPr="00226B30">
              <w:rPr>
                <w:szCs w:val="24"/>
                <w:vertAlign w:val="subscript"/>
              </w:rPr>
              <w:t>1</w:t>
            </w:r>
            <w:r w:rsidRPr="00226B30">
              <w:t xml:space="preserve"> decline in BSC or lumacaftor/ivacaftor</w:t>
            </w:r>
          </w:p>
        </w:tc>
        <w:tc>
          <w:tcPr>
            <w:tcW w:w="607" w:type="pct"/>
            <w:vAlign w:val="center"/>
          </w:tcPr>
          <w:p w:rsidR="00036FC2" w:rsidRPr="00226B30" w:rsidRDefault="00036FC2" w:rsidP="001E08C1">
            <w:pPr>
              <w:pStyle w:val="TableText1"/>
            </w:pPr>
            <w:r w:rsidRPr="00226B30">
              <w:t>$</w:t>
            </w:r>
            <w:r w:rsidR="00A42B97">
              <w:rPr>
                <w:noProof/>
                <w:color w:val="000000"/>
                <w:highlight w:val="black"/>
              </w:rPr>
              <w:t>''''''''''''''''''</w:t>
            </w:r>
          </w:p>
        </w:tc>
        <w:tc>
          <w:tcPr>
            <w:tcW w:w="567" w:type="pct"/>
            <w:vAlign w:val="center"/>
          </w:tcPr>
          <w:p w:rsidR="00036FC2" w:rsidRPr="00226B30" w:rsidRDefault="00036FC2" w:rsidP="001E08C1">
            <w:pPr>
              <w:pStyle w:val="TableText1"/>
            </w:pPr>
            <w:r w:rsidRPr="00226B30">
              <w:t>1.092</w:t>
            </w:r>
          </w:p>
        </w:tc>
        <w:tc>
          <w:tcPr>
            <w:tcW w:w="647" w:type="pct"/>
            <w:vAlign w:val="center"/>
          </w:tcPr>
          <w:p w:rsidR="00036FC2" w:rsidRPr="00226B30" w:rsidRDefault="00036FC2" w:rsidP="001E08C1">
            <w:pPr>
              <w:pStyle w:val="TableText1"/>
            </w:pPr>
            <w:r w:rsidRPr="00226B30">
              <w:t>$</w:t>
            </w:r>
            <w:r w:rsidR="00A42B97">
              <w:rPr>
                <w:noProof/>
                <w:color w:val="000000"/>
                <w:highlight w:val="black"/>
              </w:rPr>
              <w:t>'''''''''''''''''''</w:t>
            </w:r>
          </w:p>
        </w:tc>
      </w:tr>
    </w:tbl>
    <w:p w:rsidR="00B2608F" w:rsidRPr="00226B30" w:rsidRDefault="00B2608F" w:rsidP="001E08C1">
      <w:pPr>
        <w:pStyle w:val="Tablefooter8pt"/>
      </w:pPr>
      <w:r w:rsidRPr="00226B30">
        <w:t xml:space="preserve">Source: Constructed during the evaluation </w:t>
      </w:r>
    </w:p>
    <w:p w:rsidR="00B2608F" w:rsidRPr="00226B30" w:rsidRDefault="00B2608F" w:rsidP="001E08C1">
      <w:pPr>
        <w:pStyle w:val="Tablefooter8pt"/>
        <w:spacing w:after="120"/>
      </w:pPr>
      <w:r w:rsidRPr="00226B30">
        <w:t>Note: Application of the Liou et al (2001) equation based on absolute values followed the same approach as in the resubmission, but decomposed the estimate of the “Hazard Ratio Relative to the Previous Cycle” into two steps – an estimate of the absolute mortality risk per cycle, and then an estimate of the relative risk hazard per cycle</w:t>
      </w:r>
    </w:p>
    <w:p w:rsidR="007C77F3" w:rsidRPr="00226B30" w:rsidRDefault="00B2608F" w:rsidP="00E45866">
      <w:pPr>
        <w:pStyle w:val="ListParagraph"/>
        <w:widowControl/>
        <w:numPr>
          <w:ilvl w:val="1"/>
          <w:numId w:val="13"/>
        </w:numPr>
        <w:spacing w:after="120"/>
        <w:ind w:left="709" w:hanging="709"/>
        <w:contextualSpacing w:val="0"/>
        <w:rPr>
          <w:rFonts w:asciiTheme="minorHAnsi" w:hAnsiTheme="minorHAnsi"/>
          <w:sz w:val="24"/>
        </w:rPr>
      </w:pPr>
      <w:r w:rsidRPr="00226B30">
        <w:rPr>
          <w:rFonts w:asciiTheme="minorHAnsi" w:hAnsiTheme="minorHAnsi"/>
          <w:sz w:val="24"/>
        </w:rPr>
        <w:t xml:space="preserve">The ICERs presented in the resubmission were replicated to determine the DPMQ required to achieve that ICER in the absence of a financial cap. For the resubmission </w:t>
      </w:r>
      <w:r w:rsidR="00D101A7">
        <w:rPr>
          <w:rFonts w:asciiTheme="minorHAnsi" w:hAnsiTheme="minorHAnsi"/>
          <w:sz w:val="24"/>
        </w:rPr>
        <w:t>B</w:t>
      </w:r>
      <w:r w:rsidRPr="00226B30">
        <w:rPr>
          <w:rFonts w:asciiTheme="minorHAnsi" w:hAnsiTheme="minorHAnsi"/>
          <w:sz w:val="24"/>
        </w:rPr>
        <w:t xml:space="preserve">ase case </w:t>
      </w:r>
      <w:r w:rsidR="00D101A7">
        <w:rPr>
          <w:rFonts w:asciiTheme="minorHAnsi" w:hAnsiTheme="minorHAnsi"/>
          <w:sz w:val="24"/>
        </w:rPr>
        <w:t xml:space="preserve">1 </w:t>
      </w:r>
      <w:r w:rsidRPr="00226B30">
        <w:rPr>
          <w:rFonts w:asciiTheme="minorHAnsi" w:hAnsiTheme="minorHAnsi"/>
          <w:sz w:val="24"/>
        </w:rPr>
        <w:t xml:space="preserve">ICER of </w:t>
      </w:r>
      <w:r w:rsidR="00E45866" w:rsidRPr="00E45866">
        <w:rPr>
          <w:rFonts w:asciiTheme="minorHAnsi" w:hAnsiTheme="minorHAnsi"/>
          <w:sz w:val="24"/>
        </w:rPr>
        <w:t>$105,000/QALY – $200,000/QALY</w:t>
      </w:r>
      <w:r w:rsidRPr="00226B30">
        <w:rPr>
          <w:rFonts w:asciiTheme="minorHAnsi" w:hAnsiTheme="minorHAnsi"/>
          <w:sz w:val="24"/>
        </w:rPr>
        <w:t>, the effective DPMQ required was $</w:t>
      </w:r>
      <w:r w:rsidR="00A42B97">
        <w:rPr>
          <w:rFonts w:asciiTheme="minorHAnsi" w:hAnsiTheme="minorHAnsi"/>
          <w:noProof/>
          <w:color w:val="000000"/>
          <w:sz w:val="24"/>
          <w:highlight w:val="black"/>
        </w:rPr>
        <w:t>''''''''''''''</w:t>
      </w:r>
      <w:r w:rsidR="00D33EDC">
        <w:rPr>
          <w:rFonts w:asciiTheme="minorHAnsi" w:hAnsiTheme="minorHAnsi"/>
          <w:sz w:val="24"/>
        </w:rPr>
        <w:t xml:space="preserve"> (compared with the requested DPMQ of $</w:t>
      </w:r>
      <w:r w:rsidR="00A42B97">
        <w:rPr>
          <w:rFonts w:asciiTheme="minorHAnsi" w:hAnsiTheme="minorHAnsi"/>
          <w:noProof/>
          <w:color w:val="000000"/>
          <w:sz w:val="24"/>
          <w:highlight w:val="black"/>
        </w:rPr>
        <w:t>'''''''''''''</w:t>
      </w:r>
      <w:r w:rsidR="00D33EDC">
        <w:rPr>
          <w:rFonts w:asciiTheme="minorHAnsi" w:hAnsiTheme="minorHAnsi"/>
          <w:sz w:val="24"/>
        </w:rPr>
        <w:t>)</w:t>
      </w:r>
      <w:r w:rsidRPr="00226B30">
        <w:rPr>
          <w:rFonts w:asciiTheme="minorHAnsi" w:hAnsiTheme="minorHAnsi"/>
          <w:sz w:val="24"/>
        </w:rPr>
        <w:t xml:space="preserve">. </w:t>
      </w:r>
    </w:p>
    <w:p w:rsidR="005452E9" w:rsidRPr="00D33EDC" w:rsidRDefault="00DD4BA6" w:rsidP="00E45866">
      <w:pPr>
        <w:pStyle w:val="ListParagraph"/>
        <w:widowControl/>
        <w:numPr>
          <w:ilvl w:val="1"/>
          <w:numId w:val="13"/>
        </w:numPr>
        <w:spacing w:after="120"/>
        <w:ind w:left="709" w:hanging="709"/>
        <w:contextualSpacing w:val="0"/>
        <w:rPr>
          <w:rFonts w:asciiTheme="minorHAnsi" w:hAnsiTheme="minorHAnsi"/>
          <w:sz w:val="24"/>
          <w:szCs w:val="24"/>
        </w:rPr>
      </w:pPr>
      <w:bookmarkStart w:id="60" w:name="_Toc413139283"/>
      <w:bookmarkStart w:id="61" w:name="_Toc476306893"/>
      <w:bookmarkStart w:id="62" w:name="_Toc482713680"/>
      <w:r w:rsidRPr="00226B30">
        <w:rPr>
          <w:rFonts w:asciiTheme="minorHAnsi" w:hAnsiTheme="minorHAnsi"/>
          <w:sz w:val="24"/>
          <w:szCs w:val="24"/>
        </w:rPr>
        <w:t xml:space="preserve">The ESC </w:t>
      </w:r>
      <w:r w:rsidR="005452E9" w:rsidRPr="00226B30">
        <w:rPr>
          <w:rFonts w:asciiTheme="minorHAnsi" w:hAnsiTheme="minorHAnsi"/>
          <w:sz w:val="24"/>
          <w:szCs w:val="24"/>
        </w:rPr>
        <w:t>recalled</w:t>
      </w:r>
      <w:r w:rsidRPr="00226B30">
        <w:rPr>
          <w:rFonts w:asciiTheme="minorHAnsi" w:hAnsiTheme="minorHAnsi"/>
          <w:sz w:val="24"/>
          <w:szCs w:val="24"/>
        </w:rPr>
        <w:t xml:space="preserve"> the advice provided by the PBAC when ivacaftor was </w:t>
      </w:r>
      <w:r w:rsidR="005452E9" w:rsidRPr="00226B30">
        <w:rPr>
          <w:rFonts w:asciiTheme="minorHAnsi" w:hAnsiTheme="minorHAnsi"/>
          <w:sz w:val="24"/>
          <w:szCs w:val="24"/>
        </w:rPr>
        <w:t>recommended</w:t>
      </w:r>
      <w:r w:rsidRPr="00226B30">
        <w:rPr>
          <w:rFonts w:asciiTheme="minorHAnsi" w:hAnsiTheme="minorHAnsi"/>
          <w:sz w:val="24"/>
          <w:szCs w:val="24"/>
        </w:rPr>
        <w:t xml:space="preserve"> in March 2014</w:t>
      </w:r>
      <w:r w:rsidR="005452E9" w:rsidRPr="00226B30">
        <w:rPr>
          <w:rFonts w:asciiTheme="minorHAnsi" w:hAnsiTheme="minorHAnsi"/>
          <w:sz w:val="24"/>
          <w:szCs w:val="24"/>
        </w:rPr>
        <w:t xml:space="preserve"> with a base case ICER of $</w:t>
      </w:r>
      <w:r w:rsidR="00E45866" w:rsidRPr="00E45866">
        <w:rPr>
          <w:rFonts w:asciiTheme="minorHAnsi" w:hAnsiTheme="minorHAnsi"/>
          <w:sz w:val="24"/>
          <w:szCs w:val="24"/>
        </w:rPr>
        <w:t>$105,000/QALY – $200,000/QALY</w:t>
      </w:r>
      <w:r w:rsidRPr="00226B30">
        <w:rPr>
          <w:rFonts w:asciiTheme="minorHAnsi" w:hAnsiTheme="minorHAnsi"/>
          <w:sz w:val="24"/>
          <w:szCs w:val="24"/>
        </w:rPr>
        <w:t>, that the cost</w:t>
      </w:r>
      <w:r w:rsidR="00785AD7" w:rsidRPr="00226B30">
        <w:rPr>
          <w:rFonts w:asciiTheme="minorHAnsi" w:hAnsiTheme="minorHAnsi"/>
          <w:sz w:val="24"/>
          <w:szCs w:val="24"/>
        </w:rPr>
        <w:noBreakHyphen/>
      </w:r>
      <w:r w:rsidRPr="00226B30">
        <w:rPr>
          <w:rFonts w:asciiTheme="minorHAnsi" w:hAnsiTheme="minorHAnsi"/>
          <w:sz w:val="24"/>
          <w:szCs w:val="24"/>
        </w:rPr>
        <w:t xml:space="preserve">effectiveness of ivacaftor would be acceptable if the ICER would be around $60,000 - $80,000 per </w:t>
      </w:r>
      <w:r w:rsidR="005452E9" w:rsidRPr="00226B30">
        <w:rPr>
          <w:rFonts w:asciiTheme="minorHAnsi" w:hAnsiTheme="minorHAnsi"/>
          <w:sz w:val="24"/>
          <w:szCs w:val="24"/>
        </w:rPr>
        <w:t>QALY</w:t>
      </w:r>
      <w:r w:rsidRPr="00226B30">
        <w:rPr>
          <w:rFonts w:asciiTheme="minorHAnsi" w:hAnsiTheme="minorHAnsi"/>
          <w:sz w:val="24"/>
          <w:szCs w:val="24"/>
        </w:rPr>
        <w:t xml:space="preserve"> gained. </w:t>
      </w:r>
      <w:r w:rsidR="005452E9" w:rsidRPr="00226B30">
        <w:rPr>
          <w:rFonts w:asciiTheme="minorHAnsi" w:hAnsiTheme="minorHAnsi"/>
          <w:sz w:val="24"/>
          <w:szCs w:val="24"/>
        </w:rPr>
        <w:t>At that time, t</w:t>
      </w:r>
      <w:r w:rsidR="00D14C84" w:rsidRPr="00226B30">
        <w:rPr>
          <w:rFonts w:asciiTheme="minorHAnsi" w:hAnsiTheme="minorHAnsi"/>
          <w:sz w:val="24"/>
          <w:szCs w:val="24"/>
        </w:rPr>
        <w:t xml:space="preserve">he PBAC considered that, in the absence of a lower price, </w:t>
      </w:r>
      <w:r w:rsidR="005452E9" w:rsidRPr="00226B30">
        <w:rPr>
          <w:rFonts w:asciiTheme="minorHAnsi" w:hAnsiTheme="minorHAnsi"/>
          <w:sz w:val="24"/>
          <w:szCs w:val="24"/>
        </w:rPr>
        <w:t>the</w:t>
      </w:r>
      <w:r w:rsidR="00D14C84" w:rsidRPr="00226B30">
        <w:rPr>
          <w:rFonts w:asciiTheme="minorHAnsi" w:hAnsiTheme="minorHAnsi"/>
          <w:sz w:val="24"/>
          <w:szCs w:val="24"/>
        </w:rPr>
        <w:t xml:space="preserve"> cost-effectiveness of ivacafto</w:t>
      </w:r>
      <w:r w:rsidR="00B167E7">
        <w:rPr>
          <w:rFonts w:asciiTheme="minorHAnsi" w:hAnsiTheme="minorHAnsi"/>
          <w:sz w:val="24"/>
          <w:szCs w:val="24"/>
        </w:rPr>
        <w:t xml:space="preserve">r would be acceptable </w:t>
      </w:r>
      <w:r w:rsidR="00B167E7" w:rsidRPr="00484DD1">
        <w:rPr>
          <w:rFonts w:asciiTheme="minorHAnsi" w:hAnsiTheme="minorHAnsi"/>
          <w:sz w:val="24"/>
          <w:szCs w:val="24"/>
        </w:rPr>
        <w:t>if a “pay-for-</w:t>
      </w:r>
      <w:r w:rsidR="00D14C84" w:rsidRPr="00484DD1">
        <w:rPr>
          <w:rFonts w:asciiTheme="minorHAnsi" w:hAnsiTheme="minorHAnsi"/>
          <w:sz w:val="24"/>
          <w:szCs w:val="24"/>
        </w:rPr>
        <w:t>performance” arrangement, together with the other risk sharing measures</w:t>
      </w:r>
      <w:r w:rsidR="005452E9" w:rsidRPr="00484DD1">
        <w:rPr>
          <w:rFonts w:asciiTheme="minorHAnsi" w:hAnsiTheme="minorHAnsi"/>
          <w:sz w:val="24"/>
          <w:szCs w:val="24"/>
        </w:rPr>
        <w:t>, was implemented.</w:t>
      </w:r>
      <w:r w:rsidR="005452E9" w:rsidRPr="00226B30">
        <w:rPr>
          <w:rFonts w:asciiTheme="minorHAnsi" w:hAnsiTheme="minorHAnsi"/>
          <w:sz w:val="24"/>
          <w:szCs w:val="24"/>
        </w:rPr>
        <w:t xml:space="preserve"> </w:t>
      </w:r>
    </w:p>
    <w:p w:rsidR="00960E73" w:rsidRPr="001D475E" w:rsidRDefault="00D33EDC" w:rsidP="00D33EDC">
      <w:pPr>
        <w:pStyle w:val="ListParagraph"/>
        <w:widowControl/>
        <w:numPr>
          <w:ilvl w:val="1"/>
          <w:numId w:val="13"/>
        </w:numPr>
        <w:spacing w:after="120"/>
        <w:ind w:left="709" w:hanging="709"/>
        <w:contextualSpacing w:val="0"/>
        <w:rPr>
          <w:rFonts w:asciiTheme="minorHAnsi" w:hAnsiTheme="minorHAnsi"/>
          <w:sz w:val="24"/>
          <w:szCs w:val="24"/>
        </w:rPr>
      </w:pPr>
      <w:r>
        <w:rPr>
          <w:rFonts w:asciiTheme="minorHAnsi" w:hAnsiTheme="minorHAnsi"/>
          <w:sz w:val="24"/>
          <w:szCs w:val="24"/>
        </w:rPr>
        <w:t xml:space="preserve">Given that the PBAC considered that the claim that lumacaftor/ivacaftor slows the rate of decline in ppFEV1 beyond 24 weeks, compared with patients treated with </w:t>
      </w:r>
      <w:r w:rsidRPr="001D475E">
        <w:rPr>
          <w:rFonts w:asciiTheme="minorHAnsi" w:hAnsiTheme="minorHAnsi"/>
          <w:sz w:val="24"/>
          <w:szCs w:val="24"/>
        </w:rPr>
        <w:t>BSC, was not adequately supported by the resubmission (for the reasons outlined in paragraph 6.22), t</w:t>
      </w:r>
      <w:r w:rsidR="00960E73" w:rsidRPr="001D475E">
        <w:rPr>
          <w:rFonts w:asciiTheme="minorHAnsi" w:hAnsiTheme="minorHAnsi"/>
          <w:sz w:val="24"/>
          <w:szCs w:val="24"/>
        </w:rPr>
        <w:t>he PBAC defined a</w:t>
      </w:r>
      <w:r w:rsidRPr="001D475E">
        <w:rPr>
          <w:rFonts w:asciiTheme="minorHAnsi" w:hAnsiTheme="minorHAnsi"/>
          <w:sz w:val="24"/>
          <w:szCs w:val="24"/>
        </w:rPr>
        <w:t>n alternative</w:t>
      </w:r>
      <w:r w:rsidR="00960E73" w:rsidRPr="001D475E">
        <w:rPr>
          <w:rFonts w:asciiTheme="minorHAnsi" w:hAnsiTheme="minorHAnsi"/>
          <w:sz w:val="24"/>
          <w:szCs w:val="24"/>
        </w:rPr>
        <w:t xml:space="preserve"> scenario which it considered i</w:t>
      </w:r>
      <w:r w:rsidRPr="001D475E">
        <w:rPr>
          <w:rFonts w:asciiTheme="minorHAnsi" w:hAnsiTheme="minorHAnsi"/>
          <w:sz w:val="24"/>
          <w:szCs w:val="24"/>
        </w:rPr>
        <w:t xml:space="preserve">nformative for decision making. </w:t>
      </w:r>
      <w:r w:rsidR="00960E73" w:rsidRPr="001D475E">
        <w:rPr>
          <w:rFonts w:asciiTheme="minorHAnsi" w:hAnsiTheme="minorHAnsi"/>
          <w:sz w:val="24"/>
          <w:szCs w:val="24"/>
        </w:rPr>
        <w:t xml:space="preserve">Specifically, the PBAC made the following changes to </w:t>
      </w:r>
      <w:r w:rsidR="00D101A7" w:rsidRPr="001D475E">
        <w:rPr>
          <w:rFonts w:asciiTheme="minorHAnsi" w:hAnsiTheme="minorHAnsi"/>
          <w:sz w:val="24"/>
          <w:szCs w:val="24"/>
        </w:rPr>
        <w:t>B</w:t>
      </w:r>
      <w:r w:rsidR="00960E73" w:rsidRPr="001D475E">
        <w:rPr>
          <w:rFonts w:asciiTheme="minorHAnsi" w:hAnsiTheme="minorHAnsi"/>
          <w:sz w:val="24"/>
          <w:szCs w:val="24"/>
        </w:rPr>
        <w:t>ase case 1 in the current resubmission:</w:t>
      </w:r>
    </w:p>
    <w:p w:rsidR="00960E73" w:rsidRPr="001D475E" w:rsidRDefault="00D33EDC" w:rsidP="00960E73">
      <w:pPr>
        <w:pStyle w:val="ListParagraph"/>
        <w:widowControl/>
        <w:numPr>
          <w:ilvl w:val="2"/>
          <w:numId w:val="13"/>
        </w:numPr>
        <w:spacing w:after="120"/>
        <w:ind w:left="1134" w:hanging="283"/>
        <w:contextualSpacing w:val="0"/>
        <w:rPr>
          <w:rFonts w:asciiTheme="minorHAnsi" w:hAnsiTheme="minorHAnsi"/>
          <w:sz w:val="24"/>
          <w:szCs w:val="24"/>
        </w:rPr>
      </w:pPr>
      <w:r w:rsidRPr="001D475E">
        <w:rPr>
          <w:rFonts w:asciiTheme="minorHAnsi" w:hAnsiTheme="minorHAnsi"/>
          <w:sz w:val="24"/>
          <w:szCs w:val="24"/>
        </w:rPr>
        <w:t>The e</w:t>
      </w:r>
      <w:r w:rsidR="00960E73" w:rsidRPr="001D475E">
        <w:rPr>
          <w:rFonts w:asciiTheme="minorHAnsi" w:hAnsiTheme="minorHAnsi"/>
          <w:sz w:val="24"/>
          <w:szCs w:val="24"/>
        </w:rPr>
        <w:t>stimated decline in ppFEV</w:t>
      </w:r>
      <w:r w:rsidR="00960E73" w:rsidRPr="001D475E">
        <w:rPr>
          <w:rFonts w:asciiTheme="minorHAnsi" w:hAnsiTheme="minorHAnsi"/>
          <w:sz w:val="24"/>
          <w:szCs w:val="24"/>
          <w:vertAlign w:val="subscript"/>
        </w:rPr>
        <w:t>1</w:t>
      </w:r>
      <w:r w:rsidR="00960E73" w:rsidRPr="001D475E">
        <w:rPr>
          <w:rFonts w:asciiTheme="minorHAnsi" w:hAnsiTheme="minorHAnsi"/>
          <w:sz w:val="24"/>
          <w:szCs w:val="24"/>
        </w:rPr>
        <w:t xml:space="preserve"> in lumacaftor/ivacaftor treated patients </w:t>
      </w:r>
      <w:r w:rsidRPr="001D475E">
        <w:rPr>
          <w:rFonts w:asciiTheme="minorHAnsi" w:hAnsiTheme="minorHAnsi"/>
          <w:sz w:val="24"/>
          <w:szCs w:val="24"/>
        </w:rPr>
        <w:t xml:space="preserve">was </w:t>
      </w:r>
      <w:r w:rsidR="00960E73" w:rsidRPr="001D475E">
        <w:rPr>
          <w:rFonts w:asciiTheme="minorHAnsi" w:hAnsiTheme="minorHAnsi"/>
          <w:sz w:val="24"/>
          <w:szCs w:val="24"/>
        </w:rPr>
        <w:t>set to 100% of BSC after 24 weeks.</w:t>
      </w:r>
      <w:r w:rsidRPr="001D475E">
        <w:rPr>
          <w:rFonts w:asciiTheme="minorHAnsi" w:hAnsiTheme="minorHAnsi"/>
          <w:sz w:val="24"/>
          <w:szCs w:val="24"/>
        </w:rPr>
        <w:t xml:space="preserve"> The PBAC considered that this assumption was a more realistic interpretation of the available data than the submission</w:t>
      </w:r>
      <w:r w:rsidR="00685424" w:rsidRPr="001D475E">
        <w:rPr>
          <w:rFonts w:asciiTheme="minorHAnsi" w:hAnsiTheme="minorHAnsi"/>
          <w:sz w:val="24"/>
          <w:szCs w:val="24"/>
        </w:rPr>
        <w:t>’s</w:t>
      </w:r>
      <w:r w:rsidRPr="001D475E">
        <w:rPr>
          <w:rFonts w:asciiTheme="minorHAnsi" w:hAnsiTheme="minorHAnsi"/>
          <w:sz w:val="24"/>
          <w:szCs w:val="24"/>
        </w:rPr>
        <w:t xml:space="preserve"> assumption of no change in ppFEV</w:t>
      </w:r>
      <w:r w:rsidRPr="001D475E">
        <w:rPr>
          <w:rFonts w:asciiTheme="minorHAnsi" w:hAnsiTheme="minorHAnsi"/>
          <w:sz w:val="24"/>
          <w:szCs w:val="24"/>
          <w:vertAlign w:val="subscript"/>
        </w:rPr>
        <w:t>1</w:t>
      </w:r>
      <w:r w:rsidRPr="001D475E">
        <w:rPr>
          <w:rFonts w:asciiTheme="minorHAnsi" w:hAnsiTheme="minorHAnsi"/>
          <w:sz w:val="24"/>
          <w:szCs w:val="24"/>
        </w:rPr>
        <w:t xml:space="preserve"> for lumacaftor/ivacaftor patients. Furthermore, the PBAC considered this assumption may still favour lumacaftor/ivacaftor, as lumacaftor/ivacaftor treated patients </w:t>
      </w:r>
      <w:r w:rsidR="005A503B" w:rsidRPr="001D475E">
        <w:rPr>
          <w:rFonts w:asciiTheme="minorHAnsi" w:hAnsiTheme="minorHAnsi"/>
          <w:sz w:val="24"/>
          <w:szCs w:val="24"/>
        </w:rPr>
        <w:t xml:space="preserve">would therefore </w:t>
      </w:r>
      <w:r w:rsidRPr="001D475E">
        <w:rPr>
          <w:rFonts w:asciiTheme="minorHAnsi" w:hAnsiTheme="minorHAnsi"/>
          <w:sz w:val="24"/>
          <w:szCs w:val="24"/>
        </w:rPr>
        <w:t>always maintain the 2.8 percentage point difference in ppFEV</w:t>
      </w:r>
      <w:r w:rsidRPr="001D475E">
        <w:rPr>
          <w:rFonts w:asciiTheme="minorHAnsi" w:hAnsiTheme="minorHAnsi"/>
          <w:sz w:val="24"/>
          <w:szCs w:val="24"/>
          <w:vertAlign w:val="subscript"/>
        </w:rPr>
        <w:t>1</w:t>
      </w:r>
      <w:r w:rsidR="005A503B" w:rsidRPr="001D475E">
        <w:rPr>
          <w:rFonts w:asciiTheme="minorHAnsi" w:hAnsiTheme="minorHAnsi"/>
          <w:sz w:val="24"/>
          <w:szCs w:val="24"/>
        </w:rPr>
        <w:t>, compared with BSC patients; t</w:t>
      </w:r>
      <w:r w:rsidRPr="001D475E">
        <w:rPr>
          <w:rFonts w:asciiTheme="minorHAnsi" w:hAnsiTheme="minorHAnsi"/>
          <w:sz w:val="24"/>
          <w:szCs w:val="24"/>
        </w:rPr>
        <w:t>he PBAC considered that the difference in ppFEV</w:t>
      </w:r>
      <w:r w:rsidRPr="001D475E">
        <w:rPr>
          <w:rFonts w:asciiTheme="minorHAnsi" w:hAnsiTheme="minorHAnsi"/>
          <w:sz w:val="24"/>
          <w:szCs w:val="24"/>
          <w:vertAlign w:val="subscript"/>
        </w:rPr>
        <w:t>1</w:t>
      </w:r>
      <w:r w:rsidRPr="001D475E">
        <w:rPr>
          <w:rFonts w:asciiTheme="minorHAnsi" w:hAnsiTheme="minorHAnsi"/>
          <w:sz w:val="24"/>
          <w:szCs w:val="24"/>
        </w:rPr>
        <w:t xml:space="preserve"> </w:t>
      </w:r>
      <w:r w:rsidR="00CA4908" w:rsidRPr="001D475E">
        <w:rPr>
          <w:rFonts w:asciiTheme="minorHAnsi" w:hAnsiTheme="minorHAnsi"/>
          <w:sz w:val="24"/>
          <w:szCs w:val="24"/>
        </w:rPr>
        <w:t>may in fact</w:t>
      </w:r>
      <w:r w:rsidRPr="001D475E">
        <w:rPr>
          <w:rFonts w:asciiTheme="minorHAnsi" w:hAnsiTheme="minorHAnsi"/>
          <w:sz w:val="24"/>
          <w:szCs w:val="24"/>
        </w:rPr>
        <w:t xml:space="preserve"> reduce over the long-term. </w:t>
      </w:r>
    </w:p>
    <w:p w:rsidR="00960E73" w:rsidRPr="001D475E" w:rsidRDefault="00960E73" w:rsidP="00960E73">
      <w:pPr>
        <w:pStyle w:val="ListParagraph"/>
        <w:widowControl/>
        <w:numPr>
          <w:ilvl w:val="2"/>
          <w:numId w:val="13"/>
        </w:numPr>
        <w:spacing w:after="120"/>
        <w:ind w:left="1134" w:hanging="283"/>
        <w:contextualSpacing w:val="0"/>
        <w:rPr>
          <w:rFonts w:asciiTheme="minorHAnsi" w:hAnsiTheme="minorHAnsi"/>
          <w:sz w:val="24"/>
          <w:szCs w:val="24"/>
        </w:rPr>
      </w:pPr>
      <w:r w:rsidRPr="001D475E">
        <w:rPr>
          <w:rFonts w:asciiTheme="minorHAnsi" w:hAnsiTheme="minorHAnsi"/>
          <w:sz w:val="24"/>
          <w:szCs w:val="24"/>
        </w:rPr>
        <w:t xml:space="preserve">Assuming 75% of hospitalisations are due to PEs (see paragraph </w:t>
      </w:r>
      <w:r w:rsidR="005614BB" w:rsidRPr="001D475E">
        <w:rPr>
          <w:rFonts w:asciiTheme="minorHAnsi" w:hAnsiTheme="minorHAnsi"/>
          <w:sz w:val="24"/>
          <w:szCs w:val="24"/>
        </w:rPr>
        <w:t>6</w:t>
      </w:r>
      <w:r w:rsidRPr="001D475E">
        <w:rPr>
          <w:rFonts w:asciiTheme="minorHAnsi" w:hAnsiTheme="minorHAnsi"/>
          <w:sz w:val="24"/>
          <w:szCs w:val="24"/>
        </w:rPr>
        <w:t>.5</w:t>
      </w:r>
      <w:r w:rsidR="00330E2B" w:rsidRPr="001D475E">
        <w:rPr>
          <w:rFonts w:asciiTheme="minorHAnsi" w:hAnsiTheme="minorHAnsi"/>
          <w:sz w:val="24"/>
          <w:szCs w:val="24"/>
        </w:rPr>
        <w:t>1</w:t>
      </w:r>
      <w:r w:rsidRPr="001D475E">
        <w:rPr>
          <w:rFonts w:asciiTheme="minorHAnsi" w:hAnsiTheme="minorHAnsi"/>
          <w:sz w:val="24"/>
          <w:szCs w:val="24"/>
        </w:rPr>
        <w:t>)</w:t>
      </w:r>
    </w:p>
    <w:p w:rsidR="00960E73" w:rsidRPr="0076528C" w:rsidRDefault="00960E73" w:rsidP="00960E73">
      <w:pPr>
        <w:pStyle w:val="ListParagraph"/>
        <w:widowControl/>
        <w:numPr>
          <w:ilvl w:val="2"/>
          <w:numId w:val="13"/>
        </w:numPr>
        <w:spacing w:after="120"/>
        <w:ind w:left="1134" w:hanging="283"/>
        <w:contextualSpacing w:val="0"/>
        <w:rPr>
          <w:rFonts w:asciiTheme="minorHAnsi" w:hAnsiTheme="minorHAnsi"/>
          <w:sz w:val="24"/>
          <w:szCs w:val="24"/>
        </w:rPr>
      </w:pPr>
      <w:r w:rsidRPr="0076528C">
        <w:rPr>
          <w:rFonts w:asciiTheme="minorHAnsi" w:hAnsiTheme="minorHAnsi"/>
          <w:sz w:val="24"/>
          <w:szCs w:val="24"/>
        </w:rPr>
        <w:t xml:space="preserve">Removal </w:t>
      </w:r>
      <w:r w:rsidRPr="00484DD1">
        <w:rPr>
          <w:rFonts w:asciiTheme="minorHAnsi" w:hAnsiTheme="minorHAnsi"/>
          <w:sz w:val="24"/>
          <w:szCs w:val="24"/>
        </w:rPr>
        <w:t xml:space="preserve">of the F1 5% statutory price reduction and the assumed </w:t>
      </w:r>
      <w:r w:rsidR="00A42B97">
        <w:rPr>
          <w:rFonts w:asciiTheme="minorHAnsi" w:hAnsiTheme="minorHAnsi"/>
          <w:noProof/>
          <w:color w:val="000000"/>
          <w:sz w:val="24"/>
          <w:szCs w:val="24"/>
          <w:highlight w:val="black"/>
        </w:rPr>
        <w:t>'''''</w:t>
      </w:r>
      <w:r w:rsidRPr="00484DD1">
        <w:rPr>
          <w:rFonts w:asciiTheme="minorHAnsi" w:hAnsiTheme="minorHAnsi"/>
          <w:sz w:val="24"/>
          <w:szCs w:val="24"/>
        </w:rPr>
        <w:t>% generic price reduction, in line</w:t>
      </w:r>
      <w:r w:rsidRPr="0076528C">
        <w:rPr>
          <w:rFonts w:asciiTheme="minorHAnsi" w:hAnsiTheme="minorHAnsi"/>
          <w:sz w:val="24"/>
          <w:szCs w:val="24"/>
        </w:rPr>
        <w:t xml:space="preserve"> with the PBAC Guidelines V5.0 (p82) which states that submissions should value future costs at current prices.</w:t>
      </w:r>
      <w:r>
        <w:rPr>
          <w:rFonts w:asciiTheme="minorHAnsi" w:hAnsiTheme="minorHAnsi"/>
          <w:sz w:val="24"/>
          <w:szCs w:val="24"/>
        </w:rPr>
        <w:t xml:space="preserve"> The PBAC also noted that as </w:t>
      </w:r>
      <w:r w:rsidRPr="00484DD1">
        <w:rPr>
          <w:rFonts w:asciiTheme="minorHAnsi" w:hAnsiTheme="minorHAnsi"/>
          <w:sz w:val="24"/>
          <w:szCs w:val="24"/>
        </w:rPr>
        <w:t xml:space="preserve">lumacaftor/ivacaftor is likely to be replaced with tezacaftor/ivacaftor and triple therapy with the “next generation correctors” over the next several years, it is unlikely that lumacaftor/ivacaftor will be </w:t>
      </w:r>
      <w:r w:rsidR="00BD3B87" w:rsidRPr="00484DD1">
        <w:rPr>
          <w:rFonts w:asciiTheme="minorHAnsi" w:hAnsiTheme="minorHAnsi"/>
          <w:sz w:val="24"/>
          <w:szCs w:val="24"/>
        </w:rPr>
        <w:t xml:space="preserve">in </w:t>
      </w:r>
      <w:r w:rsidRPr="00484DD1">
        <w:rPr>
          <w:rFonts w:asciiTheme="minorHAnsi" w:hAnsiTheme="minorHAnsi"/>
          <w:sz w:val="24"/>
          <w:szCs w:val="24"/>
        </w:rPr>
        <w:t>use at the time that t</w:t>
      </w:r>
      <w:r w:rsidR="00842E7E" w:rsidRPr="00484DD1">
        <w:rPr>
          <w:rFonts w:asciiTheme="minorHAnsi" w:hAnsiTheme="minorHAnsi"/>
          <w:sz w:val="24"/>
          <w:szCs w:val="24"/>
        </w:rPr>
        <w:t>he submission assumed</w:t>
      </w:r>
      <w:r w:rsidRPr="00484DD1">
        <w:rPr>
          <w:rFonts w:asciiTheme="minorHAnsi" w:hAnsiTheme="minorHAnsi"/>
          <w:sz w:val="24"/>
          <w:szCs w:val="24"/>
        </w:rPr>
        <w:t xml:space="preserve"> the price will reduce by </w:t>
      </w:r>
      <w:r w:rsidR="00A42B97">
        <w:rPr>
          <w:rFonts w:asciiTheme="minorHAnsi" w:hAnsiTheme="minorHAnsi"/>
          <w:noProof/>
          <w:color w:val="000000"/>
          <w:sz w:val="24"/>
          <w:szCs w:val="24"/>
          <w:highlight w:val="black"/>
        </w:rPr>
        <w:t>''''''</w:t>
      </w:r>
      <w:r w:rsidRPr="00484DD1">
        <w:rPr>
          <w:rFonts w:asciiTheme="minorHAnsi" w:hAnsiTheme="minorHAnsi"/>
          <w:sz w:val="24"/>
          <w:szCs w:val="24"/>
        </w:rPr>
        <w:t>%.</w:t>
      </w:r>
      <w:r w:rsidR="00991974">
        <w:rPr>
          <w:rFonts w:asciiTheme="minorHAnsi" w:hAnsiTheme="minorHAnsi"/>
          <w:sz w:val="24"/>
          <w:szCs w:val="24"/>
        </w:rPr>
        <w:t xml:space="preserve"> </w:t>
      </w:r>
    </w:p>
    <w:p w:rsidR="00960E73" w:rsidRDefault="00842E7E" w:rsidP="00E45866">
      <w:pPr>
        <w:pStyle w:val="ListParagraph"/>
        <w:widowControl/>
        <w:numPr>
          <w:ilvl w:val="1"/>
          <w:numId w:val="13"/>
        </w:numPr>
        <w:spacing w:after="120"/>
        <w:ind w:left="709" w:hanging="709"/>
        <w:contextualSpacing w:val="0"/>
        <w:rPr>
          <w:rFonts w:asciiTheme="minorHAnsi" w:hAnsiTheme="minorHAnsi"/>
          <w:sz w:val="24"/>
          <w:szCs w:val="24"/>
        </w:rPr>
      </w:pPr>
      <w:r>
        <w:rPr>
          <w:rFonts w:asciiTheme="minorHAnsi" w:hAnsiTheme="minorHAnsi"/>
          <w:sz w:val="24"/>
          <w:szCs w:val="24"/>
        </w:rPr>
        <w:t xml:space="preserve">The PBAC’s </w:t>
      </w:r>
      <w:r w:rsidR="00960E73" w:rsidRPr="0076528C">
        <w:rPr>
          <w:rFonts w:asciiTheme="minorHAnsi" w:hAnsiTheme="minorHAnsi"/>
          <w:sz w:val="24"/>
          <w:szCs w:val="24"/>
        </w:rPr>
        <w:t>scenario resulted in an unacceptabl</w:t>
      </w:r>
      <w:r w:rsidR="00960E73">
        <w:rPr>
          <w:rFonts w:asciiTheme="minorHAnsi" w:hAnsiTheme="minorHAnsi"/>
          <w:sz w:val="24"/>
          <w:szCs w:val="24"/>
        </w:rPr>
        <w:t>y high ICER</w:t>
      </w:r>
      <w:r w:rsidR="00960E73" w:rsidRPr="0076528C">
        <w:rPr>
          <w:rFonts w:asciiTheme="minorHAnsi" w:hAnsiTheme="minorHAnsi"/>
          <w:sz w:val="24"/>
          <w:szCs w:val="24"/>
        </w:rPr>
        <w:t xml:space="preserve"> </w:t>
      </w:r>
      <w:r w:rsidR="00387CBB" w:rsidRPr="0076528C">
        <w:rPr>
          <w:rFonts w:asciiTheme="minorHAnsi" w:hAnsiTheme="minorHAnsi"/>
          <w:sz w:val="24"/>
          <w:szCs w:val="24"/>
        </w:rPr>
        <w:t xml:space="preserve">of </w:t>
      </w:r>
      <w:r w:rsidR="00387CBB">
        <w:rPr>
          <w:rFonts w:asciiTheme="minorHAnsi" w:hAnsiTheme="minorHAnsi"/>
          <w:sz w:val="24"/>
          <w:szCs w:val="24"/>
        </w:rPr>
        <w:t>significantly</w:t>
      </w:r>
      <w:r w:rsidR="001448D8">
        <w:rPr>
          <w:rFonts w:asciiTheme="minorHAnsi" w:hAnsiTheme="minorHAnsi"/>
          <w:sz w:val="24"/>
          <w:szCs w:val="24"/>
        </w:rPr>
        <w:t xml:space="preserve"> more than $1 million</w:t>
      </w:r>
      <w:r w:rsidR="00E45866" w:rsidRPr="00E45866">
        <w:rPr>
          <w:rFonts w:asciiTheme="minorHAnsi" w:hAnsiTheme="minorHAnsi"/>
          <w:sz w:val="24"/>
          <w:szCs w:val="24"/>
        </w:rPr>
        <w:t>/QALY</w:t>
      </w:r>
      <w:r w:rsidR="00E45866" w:rsidRPr="00E45866" w:rsidDel="00E45866">
        <w:rPr>
          <w:rFonts w:asciiTheme="minorHAnsi" w:hAnsiTheme="minorHAnsi"/>
          <w:sz w:val="24"/>
          <w:szCs w:val="24"/>
        </w:rPr>
        <w:t xml:space="preserve"> </w:t>
      </w:r>
      <w:r w:rsidR="00FA516F">
        <w:rPr>
          <w:rFonts w:asciiTheme="minorHAnsi" w:hAnsiTheme="minorHAnsi"/>
          <w:sz w:val="24"/>
          <w:szCs w:val="24"/>
        </w:rPr>
        <w:t xml:space="preserve">(presented </w:t>
      </w:r>
      <w:r w:rsidR="00FA516F" w:rsidRPr="001D475E">
        <w:rPr>
          <w:rFonts w:asciiTheme="minorHAnsi" w:hAnsiTheme="minorHAnsi"/>
          <w:sz w:val="24"/>
          <w:szCs w:val="24"/>
        </w:rPr>
        <w:t>in Table 1</w:t>
      </w:r>
      <w:r w:rsidR="00330E2B" w:rsidRPr="001D475E">
        <w:rPr>
          <w:rFonts w:asciiTheme="minorHAnsi" w:hAnsiTheme="minorHAnsi"/>
          <w:sz w:val="24"/>
          <w:szCs w:val="24"/>
        </w:rPr>
        <w:t>4</w:t>
      </w:r>
      <w:r w:rsidR="00FA516F" w:rsidRPr="001D475E">
        <w:rPr>
          <w:rFonts w:asciiTheme="minorHAnsi" w:hAnsiTheme="minorHAnsi"/>
          <w:sz w:val="24"/>
          <w:szCs w:val="24"/>
        </w:rPr>
        <w:t>,</w:t>
      </w:r>
      <w:r w:rsidR="00FA516F">
        <w:rPr>
          <w:rFonts w:asciiTheme="minorHAnsi" w:hAnsiTheme="minorHAnsi"/>
          <w:sz w:val="24"/>
          <w:szCs w:val="24"/>
        </w:rPr>
        <w:t xml:space="preserve"> with B</w:t>
      </w:r>
      <w:r w:rsidR="005A503B">
        <w:rPr>
          <w:rFonts w:asciiTheme="minorHAnsi" w:hAnsiTheme="minorHAnsi"/>
          <w:sz w:val="24"/>
          <w:szCs w:val="24"/>
        </w:rPr>
        <w:t>ase case 1 for comparison)</w:t>
      </w:r>
      <w:r w:rsidR="00960E73" w:rsidRPr="0076528C">
        <w:rPr>
          <w:rFonts w:asciiTheme="minorHAnsi" w:hAnsiTheme="minorHAnsi"/>
          <w:sz w:val="24"/>
          <w:szCs w:val="24"/>
        </w:rPr>
        <w:t>.</w:t>
      </w:r>
    </w:p>
    <w:p w:rsidR="000D33EE" w:rsidRPr="000D33EE" w:rsidRDefault="000D33EE" w:rsidP="000D33EE">
      <w:pPr>
        <w:widowControl/>
        <w:spacing w:after="120"/>
        <w:rPr>
          <w:rFonts w:asciiTheme="minorHAnsi" w:hAnsiTheme="minorHAnsi"/>
          <w:sz w:val="24"/>
          <w:szCs w:val="24"/>
        </w:rPr>
      </w:pPr>
    </w:p>
    <w:p w:rsidR="008A1DA3" w:rsidRDefault="008A1DA3" w:rsidP="008A1DA3">
      <w:pPr>
        <w:pStyle w:val="Caption"/>
      </w:pPr>
      <w:r>
        <w:t xml:space="preserve">Table </w:t>
      </w:r>
      <w:r w:rsidR="000056CF">
        <w:rPr>
          <w:noProof/>
        </w:rPr>
        <w:t>14</w:t>
      </w:r>
      <w:r w:rsidRPr="00323289">
        <w:t>: Results of scenario analysis conducted by PBAC</w:t>
      </w:r>
    </w:p>
    <w:tbl>
      <w:tblPr>
        <w:tblStyle w:val="OPTUMTableNormal"/>
        <w:tblW w:w="5000" w:type="pct"/>
        <w:tblLook w:val="04A0" w:firstRow="1" w:lastRow="0" w:firstColumn="1" w:lastColumn="0" w:noHBand="0" w:noVBand="1"/>
        <w:tblCaption w:val="Results of scenario analysis conducted by PBAC"/>
      </w:tblPr>
      <w:tblGrid>
        <w:gridCol w:w="3653"/>
        <w:gridCol w:w="1398"/>
        <w:gridCol w:w="1397"/>
        <w:gridCol w:w="1397"/>
        <w:gridCol w:w="1397"/>
      </w:tblGrid>
      <w:tr w:rsidR="005A503B" w:rsidRPr="00226B30" w:rsidTr="00FA516F">
        <w:trPr>
          <w:cnfStyle w:val="100000000000" w:firstRow="1" w:lastRow="0" w:firstColumn="0" w:lastColumn="0" w:oddVBand="0" w:evenVBand="0" w:oddHBand="0" w:evenHBand="0" w:firstRowFirstColumn="0" w:firstRowLastColumn="0" w:lastRowFirstColumn="0" w:lastRowLastColumn="0"/>
          <w:tblHeader/>
        </w:trPr>
        <w:tc>
          <w:tcPr>
            <w:tcW w:w="1976" w:type="pct"/>
            <w:shd w:val="clear" w:color="auto" w:fill="auto"/>
            <w:vAlign w:val="center"/>
          </w:tcPr>
          <w:p w:rsidR="005A503B" w:rsidRPr="00226B30" w:rsidRDefault="005A503B" w:rsidP="00C921DA">
            <w:pPr>
              <w:pStyle w:val="TableText1"/>
              <w:rPr>
                <w:rFonts w:cs="Arial"/>
                <w:b/>
                <w:szCs w:val="20"/>
              </w:rPr>
            </w:pPr>
            <w:r>
              <w:rPr>
                <w:rFonts w:cs="Arial"/>
                <w:b/>
                <w:szCs w:val="20"/>
              </w:rPr>
              <w:t>Scenario</w:t>
            </w:r>
          </w:p>
        </w:tc>
        <w:tc>
          <w:tcPr>
            <w:tcW w:w="756" w:type="pct"/>
            <w:shd w:val="clear" w:color="auto" w:fill="auto"/>
            <w:vAlign w:val="center"/>
          </w:tcPr>
          <w:p w:rsidR="005A503B" w:rsidRPr="00226B30" w:rsidRDefault="005A503B" w:rsidP="00C921DA">
            <w:pPr>
              <w:pStyle w:val="TableText1"/>
              <w:ind w:left="-95" w:right="-105"/>
              <w:jc w:val="center"/>
              <w:rPr>
                <w:rFonts w:cs="Arial"/>
                <w:b/>
                <w:szCs w:val="20"/>
              </w:rPr>
            </w:pPr>
            <w:r w:rsidRPr="00226B30">
              <w:rPr>
                <w:rFonts w:cs="Arial"/>
                <w:b/>
                <w:szCs w:val="20"/>
              </w:rPr>
              <w:t>Inc. cost ($)</w:t>
            </w:r>
          </w:p>
        </w:tc>
        <w:tc>
          <w:tcPr>
            <w:tcW w:w="756" w:type="pct"/>
            <w:vAlign w:val="center"/>
          </w:tcPr>
          <w:p w:rsidR="005A503B" w:rsidRPr="00226B30" w:rsidRDefault="005A503B" w:rsidP="005A503B">
            <w:pPr>
              <w:pStyle w:val="TableText1"/>
              <w:ind w:left="-95" w:right="-105"/>
              <w:jc w:val="center"/>
              <w:rPr>
                <w:rFonts w:cs="Arial"/>
                <w:b/>
                <w:szCs w:val="20"/>
              </w:rPr>
            </w:pPr>
            <w:r>
              <w:rPr>
                <w:rFonts w:cs="Arial"/>
                <w:b/>
                <w:szCs w:val="20"/>
              </w:rPr>
              <w:t>Inc. effect (L</w:t>
            </w:r>
            <w:r w:rsidRPr="00226B30">
              <w:rPr>
                <w:rFonts w:cs="Arial"/>
                <w:b/>
                <w:szCs w:val="20"/>
              </w:rPr>
              <w:t>Ys)</w:t>
            </w:r>
          </w:p>
        </w:tc>
        <w:tc>
          <w:tcPr>
            <w:tcW w:w="756" w:type="pct"/>
            <w:shd w:val="clear" w:color="auto" w:fill="auto"/>
            <w:vAlign w:val="center"/>
          </w:tcPr>
          <w:p w:rsidR="005A503B" w:rsidRPr="00226B30" w:rsidRDefault="005A503B" w:rsidP="00C921DA">
            <w:pPr>
              <w:pStyle w:val="TableText1"/>
              <w:ind w:left="-95" w:right="-105"/>
              <w:jc w:val="center"/>
              <w:rPr>
                <w:rFonts w:cs="Arial"/>
                <w:b/>
                <w:szCs w:val="20"/>
              </w:rPr>
            </w:pPr>
            <w:r w:rsidRPr="00226B30">
              <w:rPr>
                <w:rFonts w:cs="Arial"/>
                <w:b/>
                <w:szCs w:val="20"/>
              </w:rPr>
              <w:t>Inc. effect (QALYs)</w:t>
            </w:r>
          </w:p>
        </w:tc>
        <w:tc>
          <w:tcPr>
            <w:tcW w:w="756" w:type="pct"/>
            <w:shd w:val="clear" w:color="auto" w:fill="auto"/>
            <w:vAlign w:val="center"/>
          </w:tcPr>
          <w:p w:rsidR="005A503B" w:rsidRPr="00226B30" w:rsidRDefault="005A503B" w:rsidP="00C921DA">
            <w:pPr>
              <w:pStyle w:val="TableText1"/>
              <w:ind w:left="-95" w:right="-105"/>
              <w:jc w:val="center"/>
              <w:rPr>
                <w:rFonts w:cs="Arial"/>
                <w:b/>
                <w:szCs w:val="20"/>
              </w:rPr>
            </w:pPr>
            <w:r w:rsidRPr="00226B30">
              <w:rPr>
                <w:rFonts w:cs="Arial"/>
                <w:b/>
                <w:szCs w:val="20"/>
              </w:rPr>
              <w:t>ICER ($/QALY gained)</w:t>
            </w:r>
          </w:p>
        </w:tc>
      </w:tr>
      <w:tr w:rsidR="005A503B" w:rsidRPr="00226B30" w:rsidTr="00FA516F">
        <w:tc>
          <w:tcPr>
            <w:tcW w:w="1976" w:type="pct"/>
            <w:vAlign w:val="center"/>
          </w:tcPr>
          <w:p w:rsidR="005A503B" w:rsidRPr="00226B30" w:rsidRDefault="005A503B" w:rsidP="005A503B">
            <w:pPr>
              <w:pStyle w:val="TableText1"/>
              <w:rPr>
                <w:rFonts w:cs="Arial"/>
                <w:szCs w:val="20"/>
              </w:rPr>
            </w:pPr>
            <w:r>
              <w:rPr>
                <w:rFonts w:cs="Arial"/>
                <w:szCs w:val="20"/>
              </w:rPr>
              <w:t>Current resubmission</w:t>
            </w:r>
            <w:r w:rsidR="00842E7E">
              <w:rPr>
                <w:rFonts w:cs="Arial"/>
                <w:szCs w:val="20"/>
              </w:rPr>
              <w:t>,</w:t>
            </w:r>
            <w:r>
              <w:rPr>
                <w:rFonts w:cs="Arial"/>
                <w:szCs w:val="20"/>
              </w:rPr>
              <w:t xml:space="preserve"> base case 1</w:t>
            </w:r>
          </w:p>
        </w:tc>
        <w:tc>
          <w:tcPr>
            <w:tcW w:w="756" w:type="pct"/>
            <w:vAlign w:val="center"/>
          </w:tcPr>
          <w:p w:rsidR="005A503B" w:rsidRPr="00226B30" w:rsidRDefault="005A503B" w:rsidP="00C921DA">
            <w:pPr>
              <w:pStyle w:val="TableText1"/>
              <w:jc w:val="right"/>
              <w:rPr>
                <w:rFonts w:cs="Arial"/>
                <w:szCs w:val="20"/>
              </w:rPr>
            </w:pPr>
            <w:r w:rsidRPr="00226B30">
              <w:t>$</w:t>
            </w:r>
            <w:r w:rsidR="00A42B97">
              <w:rPr>
                <w:noProof/>
                <w:color w:val="000000"/>
                <w:highlight w:val="black"/>
              </w:rPr>
              <w:t>'''''''''''''''''</w:t>
            </w:r>
          </w:p>
        </w:tc>
        <w:tc>
          <w:tcPr>
            <w:tcW w:w="756" w:type="pct"/>
          </w:tcPr>
          <w:p w:rsidR="005A503B" w:rsidRPr="00226B30" w:rsidRDefault="005A503B" w:rsidP="00C921DA">
            <w:pPr>
              <w:pStyle w:val="TableText1"/>
              <w:jc w:val="right"/>
            </w:pPr>
            <w:r w:rsidRPr="005A503B">
              <w:t>4.640</w:t>
            </w:r>
          </w:p>
        </w:tc>
        <w:tc>
          <w:tcPr>
            <w:tcW w:w="756" w:type="pct"/>
            <w:vAlign w:val="center"/>
          </w:tcPr>
          <w:p w:rsidR="005A503B" w:rsidRPr="00226B30" w:rsidRDefault="005A503B" w:rsidP="00C921DA">
            <w:pPr>
              <w:pStyle w:val="TableText1"/>
              <w:jc w:val="right"/>
              <w:rPr>
                <w:rFonts w:cs="Arial"/>
                <w:szCs w:val="20"/>
              </w:rPr>
            </w:pPr>
            <w:r w:rsidRPr="00226B30">
              <w:t>4.659</w:t>
            </w:r>
          </w:p>
        </w:tc>
        <w:tc>
          <w:tcPr>
            <w:tcW w:w="756" w:type="pct"/>
            <w:vAlign w:val="center"/>
          </w:tcPr>
          <w:p w:rsidR="005A503B" w:rsidRPr="00226B30" w:rsidRDefault="005A503B" w:rsidP="00C921DA">
            <w:pPr>
              <w:pStyle w:val="TableText1"/>
              <w:jc w:val="right"/>
              <w:rPr>
                <w:rFonts w:cs="Arial"/>
                <w:szCs w:val="20"/>
              </w:rPr>
            </w:pPr>
            <w:r w:rsidRPr="00226B30">
              <w:t>$</w:t>
            </w:r>
            <w:r w:rsidR="00A42B97">
              <w:rPr>
                <w:noProof/>
                <w:color w:val="000000"/>
                <w:highlight w:val="black"/>
              </w:rPr>
              <w:t>''''''''''''''''''''</w:t>
            </w:r>
          </w:p>
        </w:tc>
      </w:tr>
      <w:tr w:rsidR="00FA516F" w:rsidRPr="00226B30" w:rsidTr="00FA516F">
        <w:trPr>
          <w:tblHeader/>
        </w:trPr>
        <w:tc>
          <w:tcPr>
            <w:tcW w:w="1976" w:type="pct"/>
            <w:shd w:val="clear" w:color="auto" w:fill="auto"/>
            <w:vAlign w:val="center"/>
          </w:tcPr>
          <w:p w:rsidR="00FA516F" w:rsidRPr="00226B30" w:rsidRDefault="00FA516F" w:rsidP="00C921DA">
            <w:pPr>
              <w:pStyle w:val="TableText1"/>
              <w:rPr>
                <w:rFonts w:cs="Arial"/>
                <w:szCs w:val="20"/>
              </w:rPr>
            </w:pPr>
            <w:r>
              <w:rPr>
                <w:rFonts w:cs="Arial"/>
                <w:szCs w:val="20"/>
              </w:rPr>
              <w:t>PBAC scenario for decision making</w:t>
            </w:r>
          </w:p>
        </w:tc>
        <w:tc>
          <w:tcPr>
            <w:tcW w:w="756" w:type="pct"/>
            <w:shd w:val="clear" w:color="auto" w:fill="auto"/>
          </w:tcPr>
          <w:p w:rsidR="00FA516F" w:rsidRPr="00FA516F" w:rsidRDefault="00FA516F" w:rsidP="00C921DA">
            <w:pPr>
              <w:pStyle w:val="TableText1"/>
              <w:jc w:val="right"/>
            </w:pPr>
            <w:r>
              <w:t>$</w:t>
            </w:r>
            <w:r w:rsidR="00A42B97">
              <w:rPr>
                <w:noProof/>
                <w:color w:val="000000"/>
                <w:highlight w:val="black"/>
              </w:rPr>
              <w:t>''''''''''''''''''''''''''</w:t>
            </w:r>
          </w:p>
        </w:tc>
        <w:tc>
          <w:tcPr>
            <w:tcW w:w="756" w:type="pct"/>
          </w:tcPr>
          <w:p w:rsidR="00FA516F" w:rsidRPr="00FA516F" w:rsidRDefault="00725136" w:rsidP="00C921DA">
            <w:pPr>
              <w:widowControl/>
              <w:jc w:val="right"/>
              <w:rPr>
                <w:rFonts w:ascii="Arial Narrow" w:eastAsiaTheme="minorHAnsi" w:hAnsi="Arial Narrow" w:cstheme="minorBidi"/>
                <w:snapToGrid/>
                <w:sz w:val="20"/>
                <w:szCs w:val="22"/>
              </w:rPr>
            </w:pPr>
            <w:r w:rsidRPr="00725136">
              <w:rPr>
                <w:rFonts w:ascii="Arial Narrow" w:eastAsiaTheme="minorHAnsi" w:hAnsi="Arial Narrow" w:cstheme="minorBidi"/>
                <w:snapToGrid/>
                <w:sz w:val="20"/>
                <w:szCs w:val="22"/>
              </w:rPr>
              <w:t>1.144</w:t>
            </w:r>
          </w:p>
        </w:tc>
        <w:tc>
          <w:tcPr>
            <w:tcW w:w="756" w:type="pct"/>
            <w:shd w:val="clear" w:color="auto" w:fill="auto"/>
          </w:tcPr>
          <w:p w:rsidR="00FA516F" w:rsidRPr="00FA516F" w:rsidRDefault="00FA516F" w:rsidP="00C921DA">
            <w:pPr>
              <w:widowControl/>
              <w:jc w:val="right"/>
              <w:rPr>
                <w:rFonts w:ascii="Arial Narrow" w:eastAsiaTheme="minorHAnsi" w:hAnsi="Arial Narrow" w:cstheme="minorBidi"/>
                <w:snapToGrid/>
                <w:sz w:val="20"/>
                <w:szCs w:val="22"/>
              </w:rPr>
            </w:pPr>
            <w:r w:rsidRPr="00FA516F">
              <w:rPr>
                <w:rFonts w:ascii="Arial Narrow" w:eastAsiaTheme="minorHAnsi" w:hAnsi="Arial Narrow" w:cstheme="minorBidi"/>
                <w:snapToGrid/>
                <w:sz w:val="20"/>
                <w:szCs w:val="22"/>
              </w:rPr>
              <w:t>0.720</w:t>
            </w:r>
          </w:p>
        </w:tc>
        <w:tc>
          <w:tcPr>
            <w:tcW w:w="756" w:type="pct"/>
            <w:shd w:val="clear" w:color="auto" w:fill="auto"/>
          </w:tcPr>
          <w:p w:rsidR="00FA516F" w:rsidRPr="00FA516F" w:rsidRDefault="00FA516F" w:rsidP="00C921DA">
            <w:pPr>
              <w:pStyle w:val="TableText1"/>
              <w:jc w:val="right"/>
            </w:pPr>
            <w:r>
              <w:rPr>
                <w:snapToGrid w:val="0"/>
              </w:rPr>
              <w:t>$</w:t>
            </w:r>
            <w:r w:rsidR="00A42B97">
              <w:rPr>
                <w:noProof/>
                <w:snapToGrid w:val="0"/>
                <w:color w:val="000000"/>
                <w:highlight w:val="black"/>
              </w:rPr>
              <w:t>'''''''''''''''''''''''</w:t>
            </w:r>
          </w:p>
        </w:tc>
      </w:tr>
    </w:tbl>
    <w:p w:rsidR="005A503B" w:rsidRPr="00226B30" w:rsidRDefault="005A503B" w:rsidP="005A503B">
      <w:pPr>
        <w:keepNext/>
        <w:widowControl/>
        <w:spacing w:after="120"/>
        <w:jc w:val="left"/>
        <w:rPr>
          <w:rFonts w:ascii="Arial Narrow" w:hAnsi="Arial Narrow"/>
          <w:sz w:val="16"/>
          <w:szCs w:val="16"/>
        </w:rPr>
      </w:pPr>
      <w:r w:rsidRPr="00226B30">
        <w:rPr>
          <w:rFonts w:ascii="Arial Narrow" w:hAnsi="Arial Narrow"/>
          <w:sz w:val="16"/>
          <w:szCs w:val="16"/>
        </w:rPr>
        <w:t xml:space="preserve">Source: Constructed </w:t>
      </w:r>
      <w:r>
        <w:rPr>
          <w:rFonts w:ascii="Arial Narrow" w:hAnsi="Arial Narrow"/>
          <w:sz w:val="16"/>
          <w:szCs w:val="16"/>
        </w:rPr>
        <w:t xml:space="preserve">during the preparation </w:t>
      </w:r>
      <w:r w:rsidRPr="00226B30">
        <w:rPr>
          <w:rFonts w:ascii="Arial Narrow" w:hAnsi="Arial Narrow"/>
          <w:sz w:val="16"/>
          <w:szCs w:val="16"/>
        </w:rPr>
        <w:t xml:space="preserve">of the </w:t>
      </w:r>
      <w:r>
        <w:rPr>
          <w:rFonts w:ascii="Arial Narrow" w:hAnsi="Arial Narrow"/>
          <w:sz w:val="16"/>
          <w:szCs w:val="16"/>
        </w:rPr>
        <w:t>PBAC minutes</w:t>
      </w:r>
      <w:r w:rsidRPr="00226B30">
        <w:rPr>
          <w:rFonts w:ascii="Arial Narrow" w:hAnsi="Arial Narrow"/>
          <w:sz w:val="16"/>
          <w:szCs w:val="16"/>
        </w:rPr>
        <w:t>.</w:t>
      </w:r>
    </w:p>
    <w:p w:rsidR="005E1FE0" w:rsidRPr="00B438EF" w:rsidRDefault="00960E73" w:rsidP="00821678">
      <w:pPr>
        <w:pStyle w:val="ListParagraph"/>
        <w:widowControl/>
        <w:numPr>
          <w:ilvl w:val="1"/>
          <w:numId w:val="13"/>
        </w:numPr>
        <w:spacing w:after="120"/>
        <w:ind w:left="709" w:hanging="709"/>
        <w:contextualSpacing w:val="0"/>
        <w:rPr>
          <w:rFonts w:asciiTheme="minorHAnsi" w:hAnsiTheme="minorHAnsi"/>
          <w:sz w:val="24"/>
          <w:szCs w:val="24"/>
        </w:rPr>
      </w:pPr>
      <w:r>
        <w:rPr>
          <w:rFonts w:asciiTheme="minorHAnsi" w:hAnsiTheme="minorHAnsi"/>
          <w:sz w:val="24"/>
          <w:szCs w:val="24"/>
        </w:rPr>
        <w:t xml:space="preserve">On the request of the Minister (delegate) under section 101(3) of the Act, </w:t>
      </w:r>
      <w:r w:rsidRPr="005E1FE0">
        <w:rPr>
          <w:rFonts w:asciiTheme="minorHAnsi" w:hAnsiTheme="minorHAnsi"/>
          <w:sz w:val="24"/>
          <w:szCs w:val="24"/>
        </w:rPr>
        <w:t>the PBAC considered the</w:t>
      </w:r>
      <w:r>
        <w:rPr>
          <w:rFonts w:asciiTheme="minorHAnsi" w:hAnsiTheme="minorHAnsi"/>
          <w:sz w:val="24"/>
          <w:szCs w:val="24"/>
        </w:rPr>
        <w:t xml:space="preserve"> price or range of prices at which it considered</w:t>
      </w:r>
      <w:r w:rsidRPr="00C2303B">
        <w:rPr>
          <w:rFonts w:asciiTheme="minorHAnsi" w:hAnsiTheme="minorHAnsi"/>
          <w:sz w:val="24"/>
          <w:szCs w:val="24"/>
        </w:rPr>
        <w:t xml:space="preserve"> treatment </w:t>
      </w:r>
      <w:r>
        <w:rPr>
          <w:rFonts w:asciiTheme="minorHAnsi" w:hAnsiTheme="minorHAnsi"/>
          <w:sz w:val="24"/>
          <w:szCs w:val="24"/>
        </w:rPr>
        <w:t>with lumacaftor/</w:t>
      </w:r>
      <w:r w:rsidRPr="00C2303B">
        <w:rPr>
          <w:rFonts w:asciiTheme="minorHAnsi" w:hAnsiTheme="minorHAnsi"/>
          <w:sz w:val="24"/>
          <w:szCs w:val="24"/>
        </w:rPr>
        <w:t xml:space="preserve">ivacaftor </w:t>
      </w:r>
      <w:r w:rsidR="00B55C31">
        <w:rPr>
          <w:rFonts w:asciiTheme="minorHAnsi" w:hAnsiTheme="minorHAnsi"/>
          <w:sz w:val="24"/>
          <w:szCs w:val="24"/>
        </w:rPr>
        <w:t>would be acceptably cost-</w:t>
      </w:r>
      <w:r w:rsidRPr="00C2303B">
        <w:rPr>
          <w:rFonts w:asciiTheme="minorHAnsi" w:hAnsiTheme="minorHAnsi"/>
          <w:sz w:val="24"/>
          <w:szCs w:val="24"/>
        </w:rPr>
        <w:t>effective for the purposes of the Act</w:t>
      </w:r>
      <w:r>
        <w:rPr>
          <w:rFonts w:asciiTheme="minorHAnsi" w:hAnsiTheme="minorHAnsi"/>
          <w:sz w:val="24"/>
          <w:szCs w:val="24"/>
        </w:rPr>
        <w:t xml:space="preserve">. In this regard, the PBAC advised that the maximum ICER it would consider to be acceptably cost effective, noting the precedent of ivacaftor, would be around </w:t>
      </w:r>
      <w:r w:rsidR="00821678" w:rsidRPr="00821678">
        <w:rPr>
          <w:rFonts w:asciiTheme="minorHAnsi" w:hAnsiTheme="minorHAnsi"/>
          <w:sz w:val="24"/>
          <w:szCs w:val="24"/>
        </w:rPr>
        <w:t>$105,000/QALY – $200,000/QALY</w:t>
      </w:r>
      <w:r>
        <w:rPr>
          <w:rFonts w:asciiTheme="minorHAnsi" w:hAnsiTheme="minorHAnsi"/>
          <w:sz w:val="24"/>
          <w:szCs w:val="24"/>
        </w:rPr>
        <w:t xml:space="preserve">. </w:t>
      </w:r>
      <w:r w:rsidR="00B55C31">
        <w:rPr>
          <w:rFonts w:asciiTheme="minorHAnsi" w:hAnsiTheme="minorHAnsi"/>
          <w:sz w:val="24"/>
          <w:szCs w:val="24"/>
        </w:rPr>
        <w:t>The PBAC advised that s</w:t>
      </w:r>
      <w:r>
        <w:rPr>
          <w:rFonts w:asciiTheme="minorHAnsi" w:hAnsiTheme="minorHAnsi"/>
          <w:sz w:val="24"/>
          <w:szCs w:val="24"/>
        </w:rPr>
        <w:t>uch an ICER would only be acceptable in conjunction with an</w:t>
      </w:r>
      <w:r w:rsidRPr="0076528C">
        <w:rPr>
          <w:rFonts w:asciiTheme="minorHAnsi" w:hAnsiTheme="minorHAnsi"/>
          <w:sz w:val="24"/>
          <w:szCs w:val="24"/>
        </w:rPr>
        <w:t xml:space="preserve"> agreement between the sponsor of </w:t>
      </w:r>
      <w:r>
        <w:rPr>
          <w:rFonts w:asciiTheme="minorHAnsi" w:hAnsiTheme="minorHAnsi"/>
          <w:sz w:val="24"/>
          <w:szCs w:val="24"/>
        </w:rPr>
        <w:t>lumacaftor/</w:t>
      </w:r>
      <w:r w:rsidRPr="0076528C">
        <w:rPr>
          <w:rFonts w:asciiTheme="minorHAnsi" w:hAnsiTheme="minorHAnsi"/>
          <w:sz w:val="24"/>
          <w:szCs w:val="24"/>
        </w:rPr>
        <w:t xml:space="preserve">ivacaftor and the Government to cap the maximum financial expenditure </w:t>
      </w:r>
      <w:r w:rsidR="00592620">
        <w:rPr>
          <w:rFonts w:asciiTheme="minorHAnsi" w:hAnsiTheme="minorHAnsi"/>
          <w:sz w:val="24"/>
          <w:szCs w:val="24"/>
        </w:rPr>
        <w:t>based on</w:t>
      </w:r>
      <w:r w:rsidRPr="0076528C">
        <w:rPr>
          <w:rFonts w:asciiTheme="minorHAnsi" w:hAnsiTheme="minorHAnsi"/>
          <w:sz w:val="24"/>
          <w:szCs w:val="24"/>
        </w:rPr>
        <w:t xml:space="preserve"> the submission’s </w:t>
      </w:r>
      <w:r w:rsidR="00592620">
        <w:rPr>
          <w:rFonts w:asciiTheme="minorHAnsi" w:hAnsiTheme="minorHAnsi"/>
          <w:sz w:val="24"/>
          <w:szCs w:val="24"/>
        </w:rPr>
        <w:t xml:space="preserve">utilisation </w:t>
      </w:r>
      <w:r w:rsidRPr="0076528C">
        <w:rPr>
          <w:rFonts w:asciiTheme="minorHAnsi" w:hAnsiTheme="minorHAnsi"/>
          <w:sz w:val="24"/>
          <w:szCs w:val="24"/>
        </w:rPr>
        <w:t>estimates</w:t>
      </w:r>
      <w:r>
        <w:rPr>
          <w:rFonts w:asciiTheme="minorHAnsi" w:hAnsiTheme="minorHAnsi"/>
          <w:sz w:val="24"/>
          <w:szCs w:val="24"/>
        </w:rPr>
        <w:t>,</w:t>
      </w:r>
      <w:r w:rsidRPr="0076528C">
        <w:rPr>
          <w:rFonts w:asciiTheme="minorHAnsi" w:hAnsiTheme="minorHAnsi"/>
          <w:sz w:val="24"/>
          <w:szCs w:val="24"/>
        </w:rPr>
        <w:t xml:space="preserve"> with a 100% rebate thereafter.</w:t>
      </w:r>
      <w:r>
        <w:rPr>
          <w:rFonts w:asciiTheme="minorHAnsi" w:hAnsiTheme="minorHAnsi"/>
          <w:sz w:val="24"/>
          <w:szCs w:val="24"/>
        </w:rPr>
        <w:t xml:space="preserve"> </w:t>
      </w:r>
      <w:r w:rsidR="00B55C31">
        <w:rPr>
          <w:rFonts w:asciiTheme="minorHAnsi" w:hAnsiTheme="minorHAnsi"/>
          <w:sz w:val="24"/>
          <w:szCs w:val="24"/>
        </w:rPr>
        <w:t>B</w:t>
      </w:r>
      <w:r>
        <w:rPr>
          <w:rFonts w:asciiTheme="minorHAnsi" w:hAnsiTheme="minorHAnsi"/>
          <w:sz w:val="24"/>
          <w:szCs w:val="24"/>
        </w:rPr>
        <w:t xml:space="preserve">ased on its revised scenario, the PBAC advised that </w:t>
      </w:r>
      <w:r w:rsidRPr="00B438EF">
        <w:rPr>
          <w:rFonts w:asciiTheme="minorHAnsi" w:hAnsiTheme="minorHAnsi"/>
          <w:sz w:val="24"/>
          <w:szCs w:val="24"/>
        </w:rPr>
        <w:t xml:space="preserve">the maximum </w:t>
      </w:r>
      <w:r w:rsidR="00B55C31">
        <w:rPr>
          <w:rFonts w:asciiTheme="minorHAnsi" w:hAnsiTheme="minorHAnsi"/>
          <w:sz w:val="24"/>
          <w:szCs w:val="24"/>
        </w:rPr>
        <w:t>DPMQ</w:t>
      </w:r>
      <w:r w:rsidRPr="00B438EF">
        <w:rPr>
          <w:rFonts w:asciiTheme="minorHAnsi" w:hAnsiTheme="minorHAnsi"/>
          <w:sz w:val="24"/>
          <w:szCs w:val="24"/>
        </w:rPr>
        <w:t xml:space="preserve"> that it would</w:t>
      </w:r>
      <w:r w:rsidR="00685424">
        <w:rPr>
          <w:rFonts w:asciiTheme="minorHAnsi" w:hAnsiTheme="minorHAnsi"/>
          <w:sz w:val="24"/>
          <w:szCs w:val="24"/>
        </w:rPr>
        <w:t xml:space="preserve"> consider to be acceptably cost-</w:t>
      </w:r>
      <w:r w:rsidRPr="00B438EF">
        <w:rPr>
          <w:rFonts w:asciiTheme="minorHAnsi" w:hAnsiTheme="minorHAnsi"/>
          <w:sz w:val="24"/>
          <w:szCs w:val="24"/>
        </w:rPr>
        <w:t>effective would be</w:t>
      </w:r>
      <w:r w:rsidR="00B55C31">
        <w:rPr>
          <w:rFonts w:asciiTheme="minorHAnsi" w:hAnsiTheme="minorHAnsi"/>
          <w:sz w:val="24"/>
          <w:szCs w:val="24"/>
        </w:rPr>
        <w:t xml:space="preserve"> around $</w:t>
      </w:r>
      <w:r w:rsidR="00A42B97">
        <w:rPr>
          <w:rFonts w:asciiTheme="minorHAnsi" w:hAnsiTheme="minorHAnsi"/>
          <w:noProof/>
          <w:color w:val="000000"/>
          <w:sz w:val="24"/>
          <w:szCs w:val="24"/>
          <w:highlight w:val="black"/>
        </w:rPr>
        <w:t>''''''''''</w:t>
      </w:r>
      <w:r w:rsidR="00B55C31">
        <w:rPr>
          <w:rFonts w:asciiTheme="minorHAnsi" w:hAnsiTheme="minorHAnsi"/>
          <w:sz w:val="24"/>
          <w:szCs w:val="24"/>
        </w:rPr>
        <w:t xml:space="preserve"> (or</w:t>
      </w:r>
      <w:r w:rsidRPr="00B438EF">
        <w:rPr>
          <w:rFonts w:asciiTheme="minorHAnsi" w:hAnsiTheme="minorHAnsi"/>
          <w:sz w:val="24"/>
          <w:szCs w:val="24"/>
        </w:rPr>
        <w:t xml:space="preserve"> </w:t>
      </w:r>
      <w:r>
        <w:rPr>
          <w:rFonts w:asciiTheme="minorHAnsi" w:hAnsiTheme="minorHAnsi"/>
          <w:sz w:val="24"/>
          <w:szCs w:val="24"/>
        </w:rPr>
        <w:t xml:space="preserve">around </w:t>
      </w:r>
      <w:r w:rsidRPr="00B438EF">
        <w:rPr>
          <w:rFonts w:asciiTheme="minorHAnsi" w:hAnsiTheme="minorHAnsi"/>
          <w:sz w:val="24"/>
          <w:szCs w:val="24"/>
        </w:rPr>
        <w:t>$</w:t>
      </w:r>
      <w:r w:rsidR="00A42B97">
        <w:rPr>
          <w:rFonts w:asciiTheme="minorHAnsi" w:hAnsiTheme="minorHAnsi"/>
          <w:noProof/>
          <w:color w:val="000000"/>
          <w:sz w:val="24"/>
          <w:szCs w:val="24"/>
          <w:highlight w:val="black"/>
        </w:rPr>
        <w:t>''''''''''''</w:t>
      </w:r>
      <w:r w:rsidRPr="00B438EF">
        <w:rPr>
          <w:rFonts w:asciiTheme="minorHAnsi" w:hAnsiTheme="minorHAnsi"/>
          <w:sz w:val="24"/>
          <w:szCs w:val="24"/>
        </w:rPr>
        <w:t xml:space="preserve"> </w:t>
      </w:r>
      <w:r>
        <w:rPr>
          <w:rFonts w:asciiTheme="minorHAnsi" w:hAnsiTheme="minorHAnsi"/>
          <w:sz w:val="24"/>
          <w:szCs w:val="24"/>
        </w:rPr>
        <w:t>per patient per yea</w:t>
      </w:r>
      <w:r w:rsidR="00B55C31">
        <w:rPr>
          <w:rFonts w:asciiTheme="minorHAnsi" w:hAnsiTheme="minorHAnsi"/>
          <w:sz w:val="24"/>
          <w:szCs w:val="24"/>
        </w:rPr>
        <w:t xml:space="preserve">r, </w:t>
      </w:r>
      <w:r w:rsidRPr="00B438EF">
        <w:rPr>
          <w:rFonts w:asciiTheme="minorHAnsi" w:hAnsiTheme="minorHAnsi"/>
          <w:sz w:val="24"/>
          <w:szCs w:val="24"/>
        </w:rPr>
        <w:t xml:space="preserve">assuming </w:t>
      </w:r>
      <w:r w:rsidR="00A42B97">
        <w:rPr>
          <w:rFonts w:asciiTheme="minorHAnsi" w:hAnsiTheme="minorHAnsi"/>
          <w:noProof/>
          <w:color w:val="000000"/>
          <w:sz w:val="24"/>
          <w:szCs w:val="24"/>
          <w:highlight w:val="black"/>
        </w:rPr>
        <w:t xml:space="preserve">'''''' </w:t>
      </w:r>
      <w:r w:rsidRPr="00B438EF">
        <w:rPr>
          <w:rFonts w:asciiTheme="minorHAnsi" w:hAnsiTheme="minorHAnsi"/>
          <w:sz w:val="24"/>
          <w:szCs w:val="24"/>
        </w:rPr>
        <w:t>packs per patient per year) which woul</w:t>
      </w:r>
      <w:r>
        <w:rPr>
          <w:rFonts w:asciiTheme="minorHAnsi" w:hAnsiTheme="minorHAnsi"/>
          <w:sz w:val="24"/>
          <w:szCs w:val="24"/>
        </w:rPr>
        <w:t xml:space="preserve">d result in an ICER of </w:t>
      </w:r>
      <w:r w:rsidR="00821678" w:rsidRPr="00821678">
        <w:rPr>
          <w:rFonts w:asciiTheme="minorHAnsi" w:hAnsiTheme="minorHAnsi"/>
          <w:sz w:val="24"/>
          <w:szCs w:val="24"/>
        </w:rPr>
        <w:t>$105,000/QALY – $200,000/QALY</w:t>
      </w:r>
      <w:r w:rsidRPr="00B438EF">
        <w:rPr>
          <w:rFonts w:asciiTheme="minorHAnsi" w:hAnsiTheme="minorHAnsi"/>
          <w:sz w:val="24"/>
          <w:szCs w:val="24"/>
        </w:rPr>
        <w:t>.</w:t>
      </w:r>
      <w:r w:rsidR="005E1FE0" w:rsidRPr="00B438EF">
        <w:rPr>
          <w:rFonts w:asciiTheme="minorHAnsi" w:hAnsiTheme="minorHAnsi"/>
          <w:sz w:val="24"/>
          <w:szCs w:val="24"/>
        </w:rPr>
        <w:t xml:space="preserve"> </w:t>
      </w:r>
    </w:p>
    <w:p w:rsidR="00B2608F" w:rsidRPr="00A42B97" w:rsidRDefault="00151988" w:rsidP="001E08C1">
      <w:pPr>
        <w:pStyle w:val="Heading3"/>
      </w:pPr>
      <w:r w:rsidRPr="00DA2530">
        <w:t>Drug cost/patient/year</w:t>
      </w:r>
      <w:r w:rsidR="00B2608F" w:rsidRPr="00DA2530">
        <w:t>: $</w:t>
      </w:r>
      <w:bookmarkEnd w:id="60"/>
      <w:bookmarkEnd w:id="61"/>
      <w:bookmarkEnd w:id="62"/>
      <w:r w:rsidR="00A42B97">
        <w:rPr>
          <w:noProof/>
          <w:color w:val="000000"/>
          <w:highlight w:val="black"/>
        </w:rPr>
        <w:t>''''''''''''''</w:t>
      </w:r>
    </w:p>
    <w:p w:rsidR="00B2608F" w:rsidRDefault="00B2608F" w:rsidP="00C921DA">
      <w:pPr>
        <w:pStyle w:val="ListParagraph"/>
        <w:widowControl/>
        <w:numPr>
          <w:ilvl w:val="1"/>
          <w:numId w:val="13"/>
        </w:numPr>
        <w:ind w:left="709" w:hanging="709"/>
        <w:rPr>
          <w:rFonts w:asciiTheme="minorHAnsi" w:hAnsiTheme="minorHAnsi"/>
          <w:sz w:val="24"/>
        </w:rPr>
      </w:pPr>
      <w:r w:rsidRPr="00DA2530">
        <w:rPr>
          <w:rFonts w:asciiTheme="minorHAnsi" w:hAnsiTheme="minorHAnsi"/>
          <w:sz w:val="24"/>
        </w:rPr>
        <w:t>The cost per pack of lumacaftor/ivacaftor (28 days treatment) is $</w:t>
      </w:r>
      <w:r w:rsidR="00A42B97">
        <w:rPr>
          <w:rFonts w:asciiTheme="minorHAnsi" w:hAnsiTheme="minorHAnsi"/>
          <w:noProof/>
          <w:color w:val="000000"/>
          <w:sz w:val="24"/>
          <w:highlight w:val="black"/>
        </w:rPr>
        <w:t>'''''''''''''</w:t>
      </w:r>
      <w:r w:rsidRPr="00DA2530">
        <w:rPr>
          <w:rFonts w:asciiTheme="minorHAnsi" w:hAnsiTheme="minorHAnsi"/>
          <w:sz w:val="24"/>
        </w:rPr>
        <w:t xml:space="preserve">. Based on a 15% dose reduction due to hepatic impairment and to account for adherence, the resubmission assumed </w:t>
      </w:r>
      <w:r w:rsidR="00A42B97">
        <w:rPr>
          <w:rFonts w:asciiTheme="minorHAnsi" w:hAnsiTheme="minorHAnsi"/>
          <w:noProof/>
          <w:color w:val="000000"/>
          <w:sz w:val="24"/>
          <w:highlight w:val="black"/>
        </w:rPr>
        <w:t>'''''</w:t>
      </w:r>
      <w:r w:rsidRPr="00DA2530">
        <w:rPr>
          <w:rFonts w:asciiTheme="minorHAnsi" w:hAnsiTheme="minorHAnsi"/>
          <w:sz w:val="24"/>
        </w:rPr>
        <w:t xml:space="preserve"> packs per patient per year at a cost of $</w:t>
      </w:r>
      <w:r w:rsidR="00A42B97">
        <w:rPr>
          <w:rFonts w:asciiTheme="minorHAnsi" w:hAnsiTheme="minorHAnsi"/>
          <w:noProof/>
          <w:color w:val="000000"/>
          <w:sz w:val="24"/>
          <w:highlight w:val="black"/>
        </w:rPr>
        <w:t>''''''''''''''</w:t>
      </w:r>
      <w:r w:rsidRPr="00DA2530">
        <w:rPr>
          <w:rFonts w:asciiTheme="minorHAnsi" w:hAnsiTheme="minorHAnsi"/>
          <w:sz w:val="24"/>
        </w:rPr>
        <w:t xml:space="preserve"> per patient per year. Treatment is ongoing for the lifetime of the patient. No special pricing arrangements were proposed in relation to the DPMQ</w:t>
      </w:r>
      <w:r w:rsidR="00297648">
        <w:rPr>
          <w:rFonts w:asciiTheme="minorHAnsi" w:hAnsiTheme="minorHAnsi"/>
          <w:sz w:val="24"/>
        </w:rPr>
        <w:t>; h</w:t>
      </w:r>
      <w:r w:rsidRPr="00DA2530">
        <w:rPr>
          <w:rFonts w:asciiTheme="minorHAnsi" w:hAnsiTheme="minorHAnsi"/>
          <w:sz w:val="24"/>
        </w:rPr>
        <w:t xml:space="preserve">owever, the </w:t>
      </w:r>
      <w:r w:rsidR="00C1726F">
        <w:rPr>
          <w:rFonts w:asciiTheme="minorHAnsi" w:hAnsiTheme="minorHAnsi"/>
          <w:sz w:val="24"/>
        </w:rPr>
        <w:t>re</w:t>
      </w:r>
      <w:r w:rsidR="00297648">
        <w:rPr>
          <w:rFonts w:asciiTheme="minorHAnsi" w:hAnsiTheme="minorHAnsi"/>
          <w:sz w:val="24"/>
        </w:rPr>
        <w:t>submission</w:t>
      </w:r>
      <w:r w:rsidR="00297648" w:rsidRPr="00DA2530">
        <w:rPr>
          <w:rFonts w:asciiTheme="minorHAnsi" w:hAnsiTheme="minorHAnsi"/>
          <w:sz w:val="24"/>
        </w:rPr>
        <w:t xml:space="preserve"> </w:t>
      </w:r>
      <w:r w:rsidRPr="00DA2530">
        <w:rPr>
          <w:rFonts w:asciiTheme="minorHAnsi" w:hAnsiTheme="minorHAnsi"/>
          <w:sz w:val="24"/>
        </w:rPr>
        <w:t xml:space="preserve">proposed to cap the gross cost to the PBS in the first 5 years of listing by way of </w:t>
      </w:r>
      <w:r w:rsidR="00A42B97">
        <w:rPr>
          <w:rFonts w:asciiTheme="minorHAnsi" w:hAnsiTheme="minorHAnsi"/>
          <w:noProof/>
          <w:color w:val="000000"/>
          <w:sz w:val="24"/>
          <w:highlight w:val="black"/>
        </w:rPr>
        <w:t>''' '''''''''''''''''' ''''' '''''' '''''''' ''''''''''''''''' '''''''''''''''''''''' ''''''''' ''''''' ''''''''''''''''' '''' '''''''''''''''' '''''' '''''''''''''''''' '''''''' ''''''' '''''''''''''</w:t>
      </w:r>
      <w:r w:rsidRPr="00DA2530">
        <w:rPr>
          <w:rFonts w:asciiTheme="minorHAnsi" w:hAnsiTheme="minorHAnsi"/>
          <w:sz w:val="24"/>
        </w:rPr>
        <w:t>.</w:t>
      </w:r>
    </w:p>
    <w:p w:rsidR="00B2608F" w:rsidRPr="00DA2530" w:rsidRDefault="00B2608F" w:rsidP="001E08C1">
      <w:pPr>
        <w:pStyle w:val="Heading3"/>
      </w:pPr>
      <w:bookmarkStart w:id="63" w:name="_Toc413139284"/>
      <w:bookmarkStart w:id="64" w:name="_Toc476306894"/>
      <w:bookmarkStart w:id="65" w:name="_Toc482713681"/>
      <w:bookmarkStart w:id="66" w:name="_Hlk479873564"/>
      <w:r w:rsidRPr="00DA2530">
        <w:t>Estimated PBS usage &amp; financial implications</w:t>
      </w:r>
      <w:bookmarkEnd w:id="63"/>
      <w:bookmarkEnd w:id="64"/>
      <w:bookmarkEnd w:id="65"/>
    </w:p>
    <w:p w:rsidR="00B2608F" w:rsidRDefault="00B2608F" w:rsidP="00C921DA">
      <w:pPr>
        <w:pStyle w:val="ListParagraph"/>
        <w:widowControl/>
        <w:numPr>
          <w:ilvl w:val="1"/>
          <w:numId w:val="13"/>
        </w:numPr>
        <w:spacing w:after="120"/>
        <w:ind w:left="709" w:hanging="709"/>
        <w:contextualSpacing w:val="0"/>
        <w:rPr>
          <w:rFonts w:asciiTheme="minorHAnsi" w:hAnsiTheme="minorHAnsi"/>
          <w:sz w:val="24"/>
        </w:rPr>
      </w:pPr>
      <w:r w:rsidRPr="00DA2530">
        <w:rPr>
          <w:rFonts w:asciiTheme="minorHAnsi" w:hAnsiTheme="minorHAnsi"/>
          <w:sz w:val="24"/>
        </w:rPr>
        <w:t xml:space="preserve">This resubmission </w:t>
      </w:r>
      <w:r w:rsidR="00387BBC">
        <w:rPr>
          <w:rFonts w:asciiTheme="minorHAnsi" w:hAnsiTheme="minorHAnsi"/>
          <w:sz w:val="24"/>
        </w:rPr>
        <w:t>was</w:t>
      </w:r>
      <w:r w:rsidR="00387BBC" w:rsidRPr="00DA2530">
        <w:rPr>
          <w:rFonts w:asciiTheme="minorHAnsi" w:hAnsiTheme="minorHAnsi"/>
          <w:sz w:val="24"/>
        </w:rPr>
        <w:t xml:space="preserve"> </w:t>
      </w:r>
      <w:r w:rsidRPr="00DA2530">
        <w:rPr>
          <w:rFonts w:asciiTheme="minorHAnsi" w:hAnsiTheme="minorHAnsi"/>
          <w:sz w:val="24"/>
        </w:rPr>
        <w:t>not considered by DUSC. An epidemiological approach was used</w:t>
      </w:r>
      <w:r w:rsidR="00C3324A" w:rsidRPr="00DA2530">
        <w:rPr>
          <w:rFonts w:asciiTheme="minorHAnsi" w:hAnsiTheme="minorHAnsi"/>
          <w:sz w:val="24"/>
        </w:rPr>
        <w:t xml:space="preserve">, similar to the </w:t>
      </w:r>
      <w:r w:rsidR="00080039" w:rsidRPr="00DA2530">
        <w:rPr>
          <w:rFonts w:asciiTheme="minorHAnsi" w:hAnsiTheme="minorHAnsi"/>
          <w:sz w:val="24"/>
        </w:rPr>
        <w:t>March 2016</w:t>
      </w:r>
      <w:r w:rsidR="00C3324A" w:rsidRPr="00DA2530">
        <w:rPr>
          <w:rFonts w:asciiTheme="minorHAnsi" w:hAnsiTheme="minorHAnsi"/>
          <w:sz w:val="24"/>
        </w:rPr>
        <w:t xml:space="preserve"> submission.</w:t>
      </w:r>
      <w:r w:rsidRPr="00DA2530">
        <w:rPr>
          <w:rFonts w:asciiTheme="minorHAnsi" w:hAnsiTheme="minorHAnsi"/>
          <w:sz w:val="24"/>
        </w:rPr>
        <w:t xml:space="preserve"> </w:t>
      </w:r>
    </w:p>
    <w:p w:rsidR="000D33EE" w:rsidRPr="000D33EE" w:rsidRDefault="000D33EE" w:rsidP="000D33EE">
      <w:pPr>
        <w:widowControl/>
        <w:spacing w:after="120"/>
        <w:rPr>
          <w:rFonts w:asciiTheme="minorHAnsi" w:hAnsiTheme="minorHAnsi"/>
          <w:sz w:val="24"/>
        </w:rPr>
      </w:pPr>
    </w:p>
    <w:p w:rsidR="008A1DA3" w:rsidRDefault="008A1DA3" w:rsidP="008A1DA3">
      <w:pPr>
        <w:pStyle w:val="Caption"/>
      </w:pPr>
      <w:r>
        <w:t xml:space="preserve">Table </w:t>
      </w:r>
      <w:r w:rsidR="000056CF">
        <w:rPr>
          <w:noProof/>
        </w:rPr>
        <w:t>15</w:t>
      </w:r>
      <w:r w:rsidRPr="00840C61">
        <w:t>: Estimated use and financial implications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413"/>
        <w:gridCol w:w="1333"/>
        <w:gridCol w:w="1333"/>
        <w:gridCol w:w="1335"/>
        <w:gridCol w:w="1333"/>
        <w:gridCol w:w="1335"/>
      </w:tblGrid>
      <w:tr w:rsidR="00B2608F" w:rsidRPr="00DA2530" w:rsidTr="00285C73">
        <w:trPr>
          <w:tblHeader/>
        </w:trPr>
        <w:tc>
          <w:tcPr>
            <w:tcW w:w="1328" w:type="pct"/>
            <w:shd w:val="clear" w:color="auto" w:fill="auto"/>
            <w:vAlign w:val="center"/>
          </w:tcPr>
          <w:p w:rsidR="00B2608F" w:rsidRPr="00DA2530" w:rsidRDefault="00B2608F" w:rsidP="001E08C1">
            <w:pPr>
              <w:pStyle w:val="TableText1"/>
            </w:pPr>
          </w:p>
        </w:tc>
        <w:tc>
          <w:tcPr>
            <w:tcW w:w="734" w:type="pct"/>
            <w:shd w:val="clear" w:color="auto" w:fill="auto"/>
            <w:vAlign w:val="center"/>
          </w:tcPr>
          <w:p w:rsidR="00B2608F" w:rsidRPr="00DA2530" w:rsidRDefault="00B2608F" w:rsidP="001E08C1">
            <w:pPr>
              <w:pStyle w:val="TableText1"/>
              <w:jc w:val="center"/>
              <w:rPr>
                <w:b/>
              </w:rPr>
            </w:pPr>
            <w:r w:rsidRPr="00DA2530">
              <w:rPr>
                <w:b/>
              </w:rPr>
              <w:t>Year 1</w:t>
            </w:r>
          </w:p>
        </w:tc>
        <w:tc>
          <w:tcPr>
            <w:tcW w:w="734" w:type="pct"/>
            <w:shd w:val="clear" w:color="auto" w:fill="auto"/>
            <w:vAlign w:val="center"/>
          </w:tcPr>
          <w:p w:rsidR="00B2608F" w:rsidRPr="00DA2530" w:rsidRDefault="00B2608F" w:rsidP="001E08C1">
            <w:pPr>
              <w:pStyle w:val="TableText1"/>
              <w:jc w:val="center"/>
              <w:rPr>
                <w:b/>
              </w:rPr>
            </w:pPr>
            <w:r w:rsidRPr="00DA2530">
              <w:rPr>
                <w:b/>
              </w:rPr>
              <w:t>Year 2</w:t>
            </w:r>
          </w:p>
        </w:tc>
        <w:tc>
          <w:tcPr>
            <w:tcW w:w="735" w:type="pct"/>
            <w:shd w:val="clear" w:color="auto" w:fill="auto"/>
            <w:vAlign w:val="center"/>
          </w:tcPr>
          <w:p w:rsidR="00B2608F" w:rsidRPr="00DA2530" w:rsidRDefault="00B2608F" w:rsidP="001E08C1">
            <w:pPr>
              <w:pStyle w:val="TableText1"/>
              <w:jc w:val="center"/>
              <w:rPr>
                <w:b/>
              </w:rPr>
            </w:pPr>
            <w:r w:rsidRPr="00DA2530">
              <w:rPr>
                <w:b/>
              </w:rPr>
              <w:t>Year 3</w:t>
            </w:r>
          </w:p>
        </w:tc>
        <w:tc>
          <w:tcPr>
            <w:tcW w:w="734" w:type="pct"/>
            <w:shd w:val="clear" w:color="auto" w:fill="auto"/>
            <w:vAlign w:val="center"/>
          </w:tcPr>
          <w:p w:rsidR="00B2608F" w:rsidRPr="00DA2530" w:rsidRDefault="00B2608F" w:rsidP="001E08C1">
            <w:pPr>
              <w:pStyle w:val="TableText1"/>
              <w:jc w:val="center"/>
              <w:rPr>
                <w:b/>
              </w:rPr>
            </w:pPr>
            <w:r w:rsidRPr="00DA2530">
              <w:rPr>
                <w:b/>
              </w:rPr>
              <w:t>Year 4</w:t>
            </w:r>
          </w:p>
        </w:tc>
        <w:tc>
          <w:tcPr>
            <w:tcW w:w="735" w:type="pct"/>
            <w:shd w:val="clear" w:color="auto" w:fill="auto"/>
            <w:vAlign w:val="center"/>
          </w:tcPr>
          <w:p w:rsidR="00B2608F" w:rsidRPr="00DA2530" w:rsidRDefault="00B2608F" w:rsidP="001E08C1">
            <w:pPr>
              <w:pStyle w:val="TableText1"/>
              <w:jc w:val="center"/>
              <w:rPr>
                <w:b/>
              </w:rPr>
            </w:pPr>
            <w:r w:rsidRPr="00DA2530">
              <w:rPr>
                <w:b/>
              </w:rPr>
              <w:t>Year 5</w:t>
            </w:r>
          </w:p>
        </w:tc>
      </w:tr>
      <w:tr w:rsidR="00B2608F" w:rsidRPr="00DA2530" w:rsidTr="00285C73">
        <w:tc>
          <w:tcPr>
            <w:tcW w:w="5000" w:type="pct"/>
            <w:gridSpan w:val="6"/>
            <w:shd w:val="clear" w:color="auto" w:fill="auto"/>
            <w:vAlign w:val="center"/>
          </w:tcPr>
          <w:p w:rsidR="00B2608F" w:rsidRPr="00DA2530" w:rsidRDefault="00B2608F" w:rsidP="001E08C1">
            <w:pPr>
              <w:pStyle w:val="TableText1"/>
              <w:rPr>
                <w:b/>
                <w:bCs/>
                <w:color w:val="000000"/>
              </w:rPr>
            </w:pPr>
            <w:r w:rsidRPr="00DA2530">
              <w:rPr>
                <w:b/>
                <w:bCs/>
                <w:color w:val="000000"/>
              </w:rPr>
              <w:t>Estimated extent of use</w:t>
            </w:r>
          </w:p>
        </w:tc>
      </w:tr>
      <w:tr w:rsidR="00B2608F" w:rsidRPr="00DA2530" w:rsidTr="00285C73">
        <w:tc>
          <w:tcPr>
            <w:tcW w:w="1328" w:type="pct"/>
            <w:shd w:val="clear" w:color="auto" w:fill="auto"/>
            <w:vAlign w:val="center"/>
          </w:tcPr>
          <w:p w:rsidR="00B2608F" w:rsidRPr="00DA2530" w:rsidRDefault="00B2608F" w:rsidP="001E08C1">
            <w:pPr>
              <w:pStyle w:val="TableText1"/>
              <w:rPr>
                <w:rFonts w:ascii="Times" w:eastAsia="Times New Roman" w:hAnsi="Times" w:cs="Times New Roman"/>
              </w:rPr>
            </w:pPr>
            <w:r w:rsidRPr="00DA2530">
              <w:t>Number of patients treated</w:t>
            </w:r>
          </w:p>
        </w:tc>
        <w:tc>
          <w:tcPr>
            <w:tcW w:w="734" w:type="pct"/>
            <w:shd w:val="clear" w:color="auto" w:fill="auto"/>
            <w:vAlign w:val="center"/>
          </w:tcPr>
          <w:p w:rsidR="00B2608F" w:rsidRPr="00A42B97" w:rsidRDefault="00A42B97" w:rsidP="001E08C1">
            <w:pPr>
              <w:pStyle w:val="TableText1"/>
              <w:jc w:val="center"/>
              <w:rPr>
                <w:bCs/>
                <w:color w:val="000000"/>
                <w:highlight w:val="black"/>
              </w:rPr>
            </w:pPr>
            <w:r>
              <w:rPr>
                <w:rFonts w:cs="Calibri"/>
                <w:noProof/>
                <w:color w:val="000000"/>
                <w:highlight w:val="black"/>
                <w:lang w:eastAsia="zh-CN"/>
              </w:rPr>
              <w:t>''''''''''</w:t>
            </w:r>
          </w:p>
        </w:tc>
        <w:tc>
          <w:tcPr>
            <w:tcW w:w="734" w:type="pct"/>
            <w:shd w:val="clear" w:color="auto" w:fill="auto"/>
            <w:vAlign w:val="center"/>
          </w:tcPr>
          <w:p w:rsidR="00B2608F" w:rsidRPr="00A42B97" w:rsidRDefault="00A42B97" w:rsidP="001E08C1">
            <w:pPr>
              <w:pStyle w:val="TableText1"/>
              <w:jc w:val="center"/>
              <w:rPr>
                <w:bCs/>
                <w:color w:val="000000"/>
                <w:highlight w:val="black"/>
              </w:rPr>
            </w:pPr>
            <w:r>
              <w:rPr>
                <w:rFonts w:cs="Calibri"/>
                <w:noProof/>
                <w:color w:val="000000"/>
                <w:highlight w:val="black"/>
                <w:lang w:eastAsia="zh-CN"/>
              </w:rPr>
              <w:t>'''''''''</w:t>
            </w:r>
          </w:p>
        </w:tc>
        <w:tc>
          <w:tcPr>
            <w:tcW w:w="735" w:type="pct"/>
            <w:shd w:val="clear" w:color="auto" w:fill="auto"/>
            <w:vAlign w:val="center"/>
          </w:tcPr>
          <w:p w:rsidR="00B2608F" w:rsidRPr="00A42B97" w:rsidRDefault="00A42B97" w:rsidP="001E08C1">
            <w:pPr>
              <w:pStyle w:val="TableText1"/>
              <w:jc w:val="center"/>
              <w:rPr>
                <w:bCs/>
                <w:color w:val="000000"/>
                <w:highlight w:val="black"/>
              </w:rPr>
            </w:pPr>
            <w:r>
              <w:rPr>
                <w:rFonts w:cs="Calibri"/>
                <w:noProof/>
                <w:color w:val="000000"/>
                <w:highlight w:val="black"/>
                <w:lang w:eastAsia="zh-CN"/>
              </w:rPr>
              <w:t>''''''''''</w:t>
            </w:r>
          </w:p>
        </w:tc>
        <w:tc>
          <w:tcPr>
            <w:tcW w:w="734" w:type="pct"/>
            <w:shd w:val="clear" w:color="auto" w:fill="auto"/>
            <w:vAlign w:val="center"/>
          </w:tcPr>
          <w:p w:rsidR="00B2608F" w:rsidRPr="00A42B97" w:rsidRDefault="00A42B97" w:rsidP="001E08C1">
            <w:pPr>
              <w:pStyle w:val="TableText1"/>
              <w:jc w:val="center"/>
              <w:rPr>
                <w:bCs/>
                <w:color w:val="000000"/>
                <w:highlight w:val="black"/>
              </w:rPr>
            </w:pPr>
            <w:r>
              <w:rPr>
                <w:rFonts w:cs="Calibri"/>
                <w:noProof/>
                <w:color w:val="000000"/>
                <w:highlight w:val="black"/>
                <w:lang w:eastAsia="zh-CN"/>
              </w:rPr>
              <w:t>'''''''''</w:t>
            </w:r>
          </w:p>
        </w:tc>
        <w:tc>
          <w:tcPr>
            <w:tcW w:w="735" w:type="pct"/>
            <w:shd w:val="clear" w:color="auto" w:fill="auto"/>
            <w:vAlign w:val="center"/>
          </w:tcPr>
          <w:p w:rsidR="00B2608F" w:rsidRPr="00A42B97" w:rsidRDefault="00A42B97" w:rsidP="001E08C1">
            <w:pPr>
              <w:pStyle w:val="TableText1"/>
              <w:jc w:val="center"/>
              <w:rPr>
                <w:bCs/>
                <w:color w:val="000000"/>
                <w:highlight w:val="black"/>
              </w:rPr>
            </w:pPr>
            <w:r>
              <w:rPr>
                <w:rFonts w:cs="Calibri"/>
                <w:noProof/>
                <w:color w:val="000000"/>
                <w:highlight w:val="black"/>
                <w:lang w:eastAsia="zh-CN"/>
              </w:rPr>
              <w:t>''''''''''''</w:t>
            </w:r>
          </w:p>
        </w:tc>
      </w:tr>
      <w:tr w:rsidR="00B2608F" w:rsidRPr="00DA2530" w:rsidTr="00285C73">
        <w:trPr>
          <w:trHeight w:val="368"/>
        </w:trPr>
        <w:tc>
          <w:tcPr>
            <w:tcW w:w="1328" w:type="pct"/>
            <w:shd w:val="clear" w:color="auto" w:fill="auto"/>
            <w:vAlign w:val="center"/>
          </w:tcPr>
          <w:p w:rsidR="00B2608F" w:rsidRPr="00DA2530" w:rsidRDefault="00B2608F" w:rsidP="001E08C1">
            <w:pPr>
              <w:pStyle w:val="TableText1"/>
              <w:rPr>
                <w:rFonts w:ascii="Times" w:eastAsia="Times New Roman" w:hAnsi="Times" w:cs="Times New Roman"/>
              </w:rPr>
            </w:pPr>
            <w:r w:rsidRPr="00DA2530">
              <w:t>Number of scripts dispensed</w:t>
            </w:r>
            <w:r w:rsidRPr="00DA2530">
              <w:rPr>
                <w:vertAlign w:val="superscript"/>
              </w:rPr>
              <w:t>a</w:t>
            </w:r>
          </w:p>
        </w:tc>
        <w:tc>
          <w:tcPr>
            <w:tcW w:w="734" w:type="pct"/>
            <w:shd w:val="clear" w:color="auto" w:fill="auto"/>
            <w:vAlign w:val="center"/>
          </w:tcPr>
          <w:p w:rsidR="00B2608F" w:rsidRPr="00A42B97" w:rsidRDefault="00A42B97" w:rsidP="001E08C1">
            <w:pPr>
              <w:pStyle w:val="TableText1"/>
              <w:jc w:val="center"/>
              <w:rPr>
                <w:bCs/>
                <w:color w:val="000000"/>
                <w:highlight w:val="black"/>
              </w:rPr>
            </w:pPr>
            <w:r>
              <w:rPr>
                <w:rFonts w:cs="Calibri"/>
                <w:noProof/>
                <w:color w:val="000000"/>
                <w:highlight w:val="black"/>
                <w:lang w:eastAsia="zh-CN"/>
              </w:rPr>
              <w:t>'''''''''''''''''</w:t>
            </w:r>
          </w:p>
        </w:tc>
        <w:tc>
          <w:tcPr>
            <w:tcW w:w="734" w:type="pct"/>
            <w:shd w:val="clear" w:color="auto" w:fill="auto"/>
            <w:vAlign w:val="center"/>
          </w:tcPr>
          <w:p w:rsidR="00B2608F" w:rsidRPr="00A42B97" w:rsidRDefault="00A42B97" w:rsidP="001E08C1">
            <w:pPr>
              <w:pStyle w:val="TableText1"/>
              <w:jc w:val="center"/>
              <w:rPr>
                <w:bCs/>
                <w:color w:val="000000"/>
                <w:highlight w:val="black"/>
              </w:rPr>
            </w:pPr>
            <w:r>
              <w:rPr>
                <w:rFonts w:cs="Calibri"/>
                <w:noProof/>
                <w:color w:val="000000"/>
                <w:highlight w:val="black"/>
                <w:lang w:eastAsia="zh-CN"/>
              </w:rPr>
              <w:t>''''''''''''''''</w:t>
            </w:r>
          </w:p>
        </w:tc>
        <w:tc>
          <w:tcPr>
            <w:tcW w:w="735" w:type="pct"/>
            <w:shd w:val="clear" w:color="auto" w:fill="auto"/>
            <w:vAlign w:val="center"/>
          </w:tcPr>
          <w:p w:rsidR="00B2608F" w:rsidRPr="00A42B97" w:rsidRDefault="00A42B97" w:rsidP="001E08C1">
            <w:pPr>
              <w:pStyle w:val="TableText1"/>
              <w:jc w:val="center"/>
              <w:rPr>
                <w:bCs/>
                <w:color w:val="000000"/>
                <w:highlight w:val="black"/>
              </w:rPr>
            </w:pPr>
            <w:r>
              <w:rPr>
                <w:rFonts w:cs="Calibri"/>
                <w:noProof/>
                <w:color w:val="000000"/>
                <w:highlight w:val="black"/>
                <w:lang w:eastAsia="zh-CN"/>
              </w:rPr>
              <w:t>'''''''''''''''</w:t>
            </w:r>
          </w:p>
        </w:tc>
        <w:tc>
          <w:tcPr>
            <w:tcW w:w="734" w:type="pct"/>
            <w:shd w:val="clear" w:color="auto" w:fill="auto"/>
            <w:vAlign w:val="center"/>
          </w:tcPr>
          <w:p w:rsidR="00B2608F" w:rsidRPr="00A42B97" w:rsidRDefault="00A42B97" w:rsidP="001E08C1">
            <w:pPr>
              <w:pStyle w:val="TableText1"/>
              <w:jc w:val="center"/>
              <w:rPr>
                <w:bCs/>
                <w:color w:val="000000"/>
                <w:highlight w:val="black"/>
              </w:rPr>
            </w:pPr>
            <w:r>
              <w:rPr>
                <w:rFonts w:cs="Calibri"/>
                <w:noProof/>
                <w:color w:val="000000"/>
                <w:highlight w:val="black"/>
                <w:lang w:eastAsia="zh-CN"/>
              </w:rPr>
              <w:t>''''''''''''''''''</w:t>
            </w:r>
          </w:p>
        </w:tc>
        <w:tc>
          <w:tcPr>
            <w:tcW w:w="735" w:type="pct"/>
            <w:shd w:val="clear" w:color="auto" w:fill="auto"/>
            <w:vAlign w:val="center"/>
          </w:tcPr>
          <w:p w:rsidR="00B2608F" w:rsidRPr="00A42B97" w:rsidRDefault="00A42B97" w:rsidP="001E08C1">
            <w:pPr>
              <w:pStyle w:val="TableText1"/>
              <w:jc w:val="center"/>
              <w:rPr>
                <w:bCs/>
                <w:color w:val="000000"/>
                <w:highlight w:val="black"/>
              </w:rPr>
            </w:pPr>
            <w:r>
              <w:rPr>
                <w:rFonts w:cs="Calibri"/>
                <w:noProof/>
                <w:color w:val="000000"/>
                <w:highlight w:val="black"/>
                <w:lang w:eastAsia="zh-CN"/>
              </w:rPr>
              <w:t>'''''''''''''''</w:t>
            </w:r>
          </w:p>
        </w:tc>
      </w:tr>
      <w:tr w:rsidR="00B2608F" w:rsidRPr="00DA2530" w:rsidTr="00285C73">
        <w:tc>
          <w:tcPr>
            <w:tcW w:w="5000" w:type="pct"/>
            <w:gridSpan w:val="6"/>
            <w:shd w:val="clear" w:color="auto" w:fill="auto"/>
            <w:vAlign w:val="center"/>
          </w:tcPr>
          <w:p w:rsidR="00B2608F" w:rsidRPr="00DA2530" w:rsidRDefault="00B2608F" w:rsidP="001E08C1">
            <w:pPr>
              <w:pStyle w:val="TableText1"/>
              <w:rPr>
                <w:b/>
                <w:bCs/>
                <w:color w:val="000000"/>
              </w:rPr>
            </w:pPr>
            <w:r w:rsidRPr="00DA2530">
              <w:rPr>
                <w:b/>
                <w:bCs/>
                <w:color w:val="000000"/>
              </w:rPr>
              <w:t>Estimated financial implications</w:t>
            </w:r>
            <w:r w:rsidR="00603181" w:rsidRPr="00DA2530">
              <w:rPr>
                <w:b/>
                <w:bCs/>
                <w:color w:val="000000"/>
              </w:rPr>
              <w:t xml:space="preserve"> to Government PBS</w:t>
            </w:r>
            <w:r w:rsidRPr="00DA2530">
              <w:rPr>
                <w:b/>
                <w:bCs/>
                <w:color w:val="000000"/>
              </w:rPr>
              <w:t xml:space="preserve"> of lumacaftor/ivacaftor</w:t>
            </w:r>
          </w:p>
        </w:tc>
      </w:tr>
      <w:tr w:rsidR="00B2608F" w:rsidRPr="00DA2530" w:rsidTr="00285C73">
        <w:tc>
          <w:tcPr>
            <w:tcW w:w="1328" w:type="pct"/>
            <w:shd w:val="clear" w:color="auto" w:fill="auto"/>
            <w:vAlign w:val="center"/>
          </w:tcPr>
          <w:p w:rsidR="00B2608F" w:rsidRPr="00DA2530" w:rsidRDefault="00B2608F" w:rsidP="001E08C1">
            <w:pPr>
              <w:pStyle w:val="TableText1"/>
              <w:rPr>
                <w:rFonts w:ascii="Times" w:eastAsia="Times New Roman" w:hAnsi="Times" w:cs="Times New Roman"/>
              </w:rPr>
            </w:pPr>
            <w:r w:rsidRPr="00DA2530">
              <w:rPr>
                <w:sz w:val="19"/>
                <w:szCs w:val="19"/>
              </w:rPr>
              <w:t xml:space="preserve">Net cost to PBS/RPBS </w:t>
            </w:r>
            <w:r w:rsidRPr="00EE032F">
              <w:rPr>
                <w:sz w:val="19"/>
                <w:szCs w:val="19"/>
              </w:rPr>
              <w:t>without financial cap</w:t>
            </w:r>
          </w:p>
        </w:tc>
        <w:tc>
          <w:tcPr>
            <w:tcW w:w="734" w:type="pct"/>
            <w:tcBorders>
              <w:bottom w:val="nil"/>
            </w:tcBorders>
            <w:shd w:val="clear" w:color="auto" w:fill="auto"/>
            <w:vAlign w:val="center"/>
          </w:tcPr>
          <w:p w:rsidR="00B2608F" w:rsidRPr="00DA2530" w:rsidRDefault="00B2608F" w:rsidP="001E08C1">
            <w:pPr>
              <w:pStyle w:val="TableText1"/>
              <w:jc w:val="center"/>
              <w:rPr>
                <w:bCs/>
                <w:color w:val="000000"/>
              </w:rPr>
            </w:pPr>
            <w:r w:rsidRPr="00DA2530">
              <w:rPr>
                <w:rFonts w:cs="Calibri"/>
              </w:rPr>
              <w:t>$</w:t>
            </w:r>
            <w:r w:rsidR="00A42B97">
              <w:rPr>
                <w:rFonts w:cs="Calibri"/>
                <w:noProof/>
                <w:color w:val="000000"/>
                <w:highlight w:val="black"/>
              </w:rPr>
              <w:t>'''''''''''''''''''''''''''''</w:t>
            </w:r>
          </w:p>
        </w:tc>
        <w:tc>
          <w:tcPr>
            <w:tcW w:w="734" w:type="pct"/>
            <w:tcBorders>
              <w:bottom w:val="nil"/>
            </w:tcBorders>
            <w:shd w:val="clear" w:color="auto" w:fill="auto"/>
            <w:vAlign w:val="center"/>
          </w:tcPr>
          <w:p w:rsidR="00B2608F" w:rsidRPr="00DA2530" w:rsidRDefault="00B2608F" w:rsidP="001E08C1">
            <w:pPr>
              <w:pStyle w:val="TableText1"/>
              <w:jc w:val="center"/>
              <w:rPr>
                <w:bCs/>
                <w:color w:val="000000"/>
              </w:rPr>
            </w:pPr>
            <w:r w:rsidRPr="00DA2530">
              <w:rPr>
                <w:rFonts w:cs="Calibri"/>
              </w:rPr>
              <w:t>$</w:t>
            </w:r>
            <w:r w:rsidR="00A42B97">
              <w:rPr>
                <w:rFonts w:cs="Calibri"/>
                <w:noProof/>
                <w:color w:val="000000"/>
                <w:highlight w:val="black"/>
              </w:rPr>
              <w:t>''''''''''''''''''''''''''''''</w:t>
            </w:r>
          </w:p>
        </w:tc>
        <w:tc>
          <w:tcPr>
            <w:tcW w:w="735" w:type="pct"/>
            <w:tcBorders>
              <w:bottom w:val="nil"/>
            </w:tcBorders>
            <w:shd w:val="clear" w:color="auto" w:fill="auto"/>
            <w:vAlign w:val="center"/>
          </w:tcPr>
          <w:p w:rsidR="00B2608F" w:rsidRPr="00DA2530" w:rsidRDefault="00B2608F" w:rsidP="001E08C1">
            <w:pPr>
              <w:pStyle w:val="TableText1"/>
              <w:jc w:val="center"/>
              <w:rPr>
                <w:bCs/>
                <w:color w:val="000000"/>
              </w:rPr>
            </w:pPr>
            <w:r w:rsidRPr="00DA2530">
              <w:rPr>
                <w:rFonts w:cs="Calibri"/>
              </w:rPr>
              <w:t>$</w:t>
            </w:r>
            <w:r w:rsidR="00A42B97">
              <w:rPr>
                <w:rFonts w:cs="Calibri"/>
                <w:noProof/>
                <w:color w:val="000000"/>
                <w:highlight w:val="black"/>
              </w:rPr>
              <w:t>''''''''''''''''''''''''''''</w:t>
            </w:r>
          </w:p>
        </w:tc>
        <w:tc>
          <w:tcPr>
            <w:tcW w:w="734" w:type="pct"/>
            <w:tcBorders>
              <w:bottom w:val="nil"/>
            </w:tcBorders>
            <w:shd w:val="clear" w:color="auto" w:fill="auto"/>
            <w:vAlign w:val="center"/>
          </w:tcPr>
          <w:p w:rsidR="00B2608F" w:rsidRPr="00DA2530" w:rsidRDefault="00B2608F" w:rsidP="001E08C1">
            <w:pPr>
              <w:pStyle w:val="TableText1"/>
              <w:jc w:val="center"/>
              <w:rPr>
                <w:bCs/>
                <w:color w:val="000000"/>
              </w:rPr>
            </w:pPr>
            <w:r w:rsidRPr="00DA2530">
              <w:rPr>
                <w:rFonts w:cs="Calibri"/>
              </w:rPr>
              <w:t>$</w:t>
            </w:r>
            <w:r w:rsidR="00A42B97">
              <w:rPr>
                <w:rFonts w:cs="Calibri"/>
                <w:noProof/>
                <w:color w:val="000000"/>
                <w:highlight w:val="black"/>
              </w:rPr>
              <w:t>'''''''''''''''''''''''''''''</w:t>
            </w:r>
          </w:p>
        </w:tc>
        <w:tc>
          <w:tcPr>
            <w:tcW w:w="735" w:type="pct"/>
            <w:tcBorders>
              <w:bottom w:val="nil"/>
            </w:tcBorders>
            <w:shd w:val="clear" w:color="auto" w:fill="auto"/>
            <w:vAlign w:val="center"/>
          </w:tcPr>
          <w:p w:rsidR="00B2608F" w:rsidRPr="00DA2530" w:rsidRDefault="00B2608F" w:rsidP="001E08C1">
            <w:pPr>
              <w:pStyle w:val="TableText1"/>
              <w:jc w:val="center"/>
              <w:rPr>
                <w:bCs/>
                <w:color w:val="000000"/>
              </w:rPr>
            </w:pPr>
            <w:r w:rsidRPr="00DA2530">
              <w:rPr>
                <w:rFonts w:cs="Calibri"/>
              </w:rPr>
              <w:t>$</w:t>
            </w:r>
            <w:r w:rsidR="00A42B97">
              <w:rPr>
                <w:rFonts w:cs="Calibri"/>
                <w:noProof/>
                <w:color w:val="000000"/>
                <w:highlight w:val="black"/>
              </w:rPr>
              <w:t>'''''''''''''''''''''''''''</w:t>
            </w:r>
          </w:p>
        </w:tc>
      </w:tr>
      <w:tr w:rsidR="00B2608F" w:rsidRPr="00DA2530" w:rsidTr="00285C73">
        <w:tc>
          <w:tcPr>
            <w:tcW w:w="1328" w:type="pct"/>
            <w:shd w:val="clear" w:color="auto" w:fill="auto"/>
            <w:vAlign w:val="center"/>
          </w:tcPr>
          <w:p w:rsidR="00B2608F" w:rsidRPr="00DA2530" w:rsidRDefault="00B2608F" w:rsidP="001E08C1">
            <w:pPr>
              <w:pStyle w:val="TableText1"/>
              <w:rPr>
                <w:sz w:val="19"/>
                <w:szCs w:val="19"/>
              </w:rPr>
            </w:pPr>
            <w:r w:rsidRPr="00DA2530">
              <w:rPr>
                <w:sz w:val="19"/>
                <w:szCs w:val="19"/>
              </w:rPr>
              <w:t xml:space="preserve">Net cost to PBS/RPBS </w:t>
            </w:r>
            <w:r w:rsidRPr="00EE032F">
              <w:rPr>
                <w:sz w:val="19"/>
                <w:szCs w:val="19"/>
              </w:rPr>
              <w:t>with proposed financial cap</w:t>
            </w:r>
          </w:p>
        </w:tc>
        <w:tc>
          <w:tcPr>
            <w:tcW w:w="734" w:type="pct"/>
            <w:shd w:val="clear" w:color="auto" w:fill="auto"/>
            <w:vAlign w:val="center"/>
          </w:tcPr>
          <w:p w:rsidR="00B2608F" w:rsidRPr="00DA2530" w:rsidRDefault="00B2608F" w:rsidP="001E08C1">
            <w:pPr>
              <w:pStyle w:val="TableText1"/>
              <w:jc w:val="center"/>
              <w:rPr>
                <w:bCs/>
                <w:color w:val="000000"/>
              </w:rPr>
            </w:pPr>
            <w:r w:rsidRPr="00DA2530">
              <w:rPr>
                <w:rFonts w:cs="Calibri"/>
              </w:rPr>
              <w:t>$</w:t>
            </w:r>
            <w:r w:rsidR="00A42B97">
              <w:rPr>
                <w:rFonts w:cs="Calibri"/>
                <w:noProof/>
                <w:color w:val="000000"/>
                <w:highlight w:val="black"/>
              </w:rPr>
              <w:t>''''''''''''''''''''''''''''''''</w:t>
            </w:r>
          </w:p>
        </w:tc>
        <w:tc>
          <w:tcPr>
            <w:tcW w:w="734" w:type="pct"/>
            <w:shd w:val="clear" w:color="auto" w:fill="auto"/>
            <w:vAlign w:val="center"/>
          </w:tcPr>
          <w:p w:rsidR="00B2608F" w:rsidRPr="00DA2530" w:rsidRDefault="00B2608F" w:rsidP="001E08C1">
            <w:pPr>
              <w:pStyle w:val="TableText1"/>
              <w:jc w:val="center"/>
              <w:rPr>
                <w:bCs/>
                <w:color w:val="000000"/>
              </w:rPr>
            </w:pPr>
            <w:r w:rsidRPr="00DA2530">
              <w:rPr>
                <w:rFonts w:cs="Calibri"/>
              </w:rPr>
              <w:t>$</w:t>
            </w:r>
            <w:r w:rsidR="00A42B97">
              <w:rPr>
                <w:rFonts w:cs="Calibri"/>
                <w:noProof/>
                <w:color w:val="000000"/>
                <w:highlight w:val="black"/>
              </w:rPr>
              <w:t>'''''''''''''''''''''''''''''</w:t>
            </w:r>
          </w:p>
        </w:tc>
        <w:tc>
          <w:tcPr>
            <w:tcW w:w="735" w:type="pct"/>
            <w:shd w:val="clear" w:color="auto" w:fill="auto"/>
            <w:vAlign w:val="center"/>
          </w:tcPr>
          <w:p w:rsidR="00B2608F" w:rsidRPr="00DA2530" w:rsidRDefault="00B2608F" w:rsidP="001E08C1">
            <w:pPr>
              <w:pStyle w:val="TableText1"/>
              <w:jc w:val="center"/>
              <w:rPr>
                <w:bCs/>
                <w:color w:val="000000"/>
              </w:rPr>
            </w:pPr>
            <w:r w:rsidRPr="00DA2530">
              <w:rPr>
                <w:rFonts w:cs="Calibri"/>
              </w:rPr>
              <w:t>$</w:t>
            </w:r>
            <w:r w:rsidR="00A42B97">
              <w:rPr>
                <w:rFonts w:cs="Calibri"/>
                <w:noProof/>
                <w:color w:val="000000"/>
                <w:highlight w:val="black"/>
              </w:rPr>
              <w:t>'''''''''''''''''''''''''''''''</w:t>
            </w:r>
          </w:p>
        </w:tc>
        <w:tc>
          <w:tcPr>
            <w:tcW w:w="734" w:type="pct"/>
            <w:shd w:val="clear" w:color="auto" w:fill="auto"/>
            <w:vAlign w:val="center"/>
          </w:tcPr>
          <w:p w:rsidR="00B2608F" w:rsidRPr="00DA2530" w:rsidRDefault="00B2608F" w:rsidP="001E08C1">
            <w:pPr>
              <w:pStyle w:val="TableText1"/>
              <w:jc w:val="center"/>
              <w:rPr>
                <w:bCs/>
                <w:color w:val="000000"/>
              </w:rPr>
            </w:pPr>
            <w:r w:rsidRPr="00DA2530">
              <w:rPr>
                <w:rFonts w:cs="Calibri"/>
              </w:rPr>
              <w:t>$</w:t>
            </w:r>
            <w:r w:rsidR="00A42B97">
              <w:rPr>
                <w:rFonts w:cs="Calibri"/>
                <w:noProof/>
                <w:color w:val="000000"/>
                <w:highlight w:val="black"/>
              </w:rPr>
              <w:t>''''''''''''''''''''''''''''</w:t>
            </w:r>
          </w:p>
        </w:tc>
        <w:tc>
          <w:tcPr>
            <w:tcW w:w="735" w:type="pct"/>
            <w:shd w:val="clear" w:color="auto" w:fill="auto"/>
            <w:vAlign w:val="center"/>
          </w:tcPr>
          <w:p w:rsidR="00B2608F" w:rsidRPr="00DA2530" w:rsidRDefault="00B2608F" w:rsidP="001E08C1">
            <w:pPr>
              <w:pStyle w:val="TableText1"/>
              <w:jc w:val="center"/>
              <w:rPr>
                <w:bCs/>
                <w:color w:val="000000"/>
              </w:rPr>
            </w:pPr>
            <w:r w:rsidRPr="00DA2530">
              <w:rPr>
                <w:rFonts w:cs="Calibri"/>
              </w:rPr>
              <w:t>$</w:t>
            </w:r>
            <w:r w:rsidR="00A42B97">
              <w:rPr>
                <w:rFonts w:cs="Calibri"/>
                <w:noProof/>
                <w:color w:val="000000"/>
                <w:highlight w:val="black"/>
              </w:rPr>
              <w:t>''''''''''''''''''''''''''''''''</w:t>
            </w:r>
          </w:p>
        </w:tc>
      </w:tr>
      <w:tr w:rsidR="00B2608F" w:rsidRPr="00DA2530" w:rsidTr="00285C73">
        <w:tc>
          <w:tcPr>
            <w:tcW w:w="5000" w:type="pct"/>
            <w:gridSpan w:val="6"/>
            <w:shd w:val="clear" w:color="auto" w:fill="auto"/>
            <w:vAlign w:val="center"/>
          </w:tcPr>
          <w:p w:rsidR="00B2608F" w:rsidRPr="00DA2530" w:rsidRDefault="00B2608F" w:rsidP="001E08C1">
            <w:pPr>
              <w:pStyle w:val="TableText1"/>
              <w:rPr>
                <w:bCs/>
                <w:color w:val="000000"/>
              </w:rPr>
            </w:pPr>
            <w:r w:rsidRPr="00DA2530">
              <w:rPr>
                <w:b/>
                <w:bCs/>
                <w:color w:val="000000"/>
              </w:rPr>
              <w:t xml:space="preserve">Estimated financial implications for </w:t>
            </w:r>
            <w:r w:rsidR="00603181" w:rsidRPr="00DA2530">
              <w:rPr>
                <w:b/>
                <w:bCs/>
                <w:color w:val="000000"/>
              </w:rPr>
              <w:t>MBS</w:t>
            </w:r>
          </w:p>
        </w:tc>
      </w:tr>
      <w:tr w:rsidR="00B2608F" w:rsidRPr="00DA2530" w:rsidTr="00285C73">
        <w:tc>
          <w:tcPr>
            <w:tcW w:w="1328" w:type="pct"/>
            <w:shd w:val="clear" w:color="auto" w:fill="auto"/>
            <w:vAlign w:val="center"/>
          </w:tcPr>
          <w:p w:rsidR="00B2608F" w:rsidRPr="00DA2530" w:rsidRDefault="00B2608F" w:rsidP="001E08C1">
            <w:pPr>
              <w:pStyle w:val="TableText1"/>
              <w:rPr>
                <w:sz w:val="19"/>
                <w:szCs w:val="19"/>
              </w:rPr>
            </w:pPr>
            <w:r w:rsidRPr="00DA2530">
              <w:rPr>
                <w:sz w:val="19"/>
                <w:szCs w:val="19"/>
              </w:rPr>
              <w:t>Net cost to MBS</w:t>
            </w:r>
          </w:p>
        </w:tc>
        <w:tc>
          <w:tcPr>
            <w:tcW w:w="734" w:type="pct"/>
            <w:shd w:val="clear" w:color="auto" w:fill="auto"/>
            <w:vAlign w:val="center"/>
          </w:tcPr>
          <w:p w:rsidR="00B2608F" w:rsidRPr="00DA2530" w:rsidRDefault="00B2608F" w:rsidP="001E08C1">
            <w:pPr>
              <w:pStyle w:val="TableText1"/>
              <w:jc w:val="center"/>
              <w:rPr>
                <w:bCs/>
                <w:color w:val="000000"/>
              </w:rPr>
            </w:pPr>
            <w:r w:rsidRPr="00DA2530">
              <w:rPr>
                <w:rFonts w:cs="Calibri"/>
                <w:bCs/>
              </w:rPr>
              <w:t>$</w:t>
            </w:r>
            <w:r w:rsidR="00A42B97">
              <w:rPr>
                <w:rFonts w:cs="Calibri"/>
                <w:bCs/>
                <w:noProof/>
                <w:color w:val="000000"/>
                <w:highlight w:val="black"/>
              </w:rPr>
              <w:t>''''''''''''''''''''</w:t>
            </w:r>
          </w:p>
        </w:tc>
        <w:tc>
          <w:tcPr>
            <w:tcW w:w="734" w:type="pct"/>
            <w:shd w:val="clear" w:color="auto" w:fill="auto"/>
            <w:vAlign w:val="center"/>
          </w:tcPr>
          <w:p w:rsidR="00B2608F" w:rsidRPr="00DA2530" w:rsidRDefault="00B2608F" w:rsidP="001E08C1">
            <w:pPr>
              <w:pStyle w:val="TableText1"/>
              <w:jc w:val="center"/>
              <w:rPr>
                <w:bCs/>
                <w:color w:val="000000"/>
              </w:rPr>
            </w:pPr>
            <w:r w:rsidRPr="00DA2530">
              <w:rPr>
                <w:rFonts w:cs="Calibri"/>
                <w:bCs/>
              </w:rPr>
              <w:t>$</w:t>
            </w:r>
            <w:r w:rsidR="00A42B97">
              <w:rPr>
                <w:rFonts w:cs="Calibri"/>
                <w:bCs/>
                <w:noProof/>
                <w:color w:val="000000"/>
                <w:highlight w:val="black"/>
              </w:rPr>
              <w:t>''''''''''''''''''</w:t>
            </w:r>
          </w:p>
        </w:tc>
        <w:tc>
          <w:tcPr>
            <w:tcW w:w="735" w:type="pct"/>
            <w:shd w:val="clear" w:color="auto" w:fill="auto"/>
            <w:vAlign w:val="center"/>
          </w:tcPr>
          <w:p w:rsidR="00B2608F" w:rsidRPr="00DA2530" w:rsidRDefault="00B2608F" w:rsidP="001E08C1">
            <w:pPr>
              <w:pStyle w:val="TableText1"/>
              <w:jc w:val="center"/>
              <w:rPr>
                <w:bCs/>
                <w:color w:val="000000"/>
              </w:rPr>
            </w:pPr>
            <w:r w:rsidRPr="00DA2530">
              <w:rPr>
                <w:rFonts w:cs="Calibri"/>
                <w:bCs/>
              </w:rPr>
              <w:t>$</w:t>
            </w:r>
            <w:r w:rsidR="00A42B97">
              <w:rPr>
                <w:rFonts w:cs="Calibri"/>
                <w:bCs/>
                <w:noProof/>
                <w:color w:val="000000"/>
                <w:highlight w:val="black"/>
              </w:rPr>
              <w:t>''''''''''''''''</w:t>
            </w:r>
          </w:p>
        </w:tc>
        <w:tc>
          <w:tcPr>
            <w:tcW w:w="734" w:type="pct"/>
            <w:shd w:val="clear" w:color="auto" w:fill="auto"/>
            <w:vAlign w:val="center"/>
          </w:tcPr>
          <w:p w:rsidR="00B2608F" w:rsidRPr="00DA2530" w:rsidRDefault="00B2608F" w:rsidP="001E08C1">
            <w:pPr>
              <w:pStyle w:val="TableText1"/>
              <w:jc w:val="center"/>
              <w:rPr>
                <w:bCs/>
                <w:color w:val="000000"/>
              </w:rPr>
            </w:pPr>
            <w:r w:rsidRPr="00DA2530">
              <w:rPr>
                <w:rFonts w:cs="Calibri"/>
                <w:bCs/>
              </w:rPr>
              <w:t>$</w:t>
            </w:r>
            <w:r w:rsidR="00A42B97">
              <w:rPr>
                <w:rFonts w:cs="Calibri"/>
                <w:bCs/>
                <w:noProof/>
                <w:color w:val="000000"/>
                <w:highlight w:val="black"/>
              </w:rPr>
              <w:t>'''''''''''''''</w:t>
            </w:r>
          </w:p>
        </w:tc>
        <w:tc>
          <w:tcPr>
            <w:tcW w:w="735" w:type="pct"/>
            <w:shd w:val="clear" w:color="auto" w:fill="auto"/>
            <w:vAlign w:val="center"/>
          </w:tcPr>
          <w:p w:rsidR="00B2608F" w:rsidRPr="00DA2530" w:rsidRDefault="00B2608F" w:rsidP="001E08C1">
            <w:pPr>
              <w:pStyle w:val="TableText1"/>
              <w:jc w:val="center"/>
              <w:rPr>
                <w:bCs/>
                <w:color w:val="000000"/>
              </w:rPr>
            </w:pPr>
            <w:r w:rsidRPr="00DA2530">
              <w:rPr>
                <w:rFonts w:cs="Calibri"/>
                <w:bCs/>
              </w:rPr>
              <w:t>$</w:t>
            </w:r>
            <w:r w:rsidR="00A42B97">
              <w:rPr>
                <w:rFonts w:cs="Calibri"/>
                <w:bCs/>
                <w:noProof/>
                <w:color w:val="000000"/>
                <w:highlight w:val="black"/>
              </w:rPr>
              <w:t>''''''''''''''''</w:t>
            </w:r>
          </w:p>
        </w:tc>
      </w:tr>
      <w:tr w:rsidR="005C7E91" w:rsidRPr="00DA2530" w:rsidTr="005C7E91">
        <w:tc>
          <w:tcPr>
            <w:tcW w:w="5000" w:type="pct"/>
            <w:gridSpan w:val="6"/>
            <w:shd w:val="clear" w:color="auto" w:fill="auto"/>
            <w:vAlign w:val="center"/>
          </w:tcPr>
          <w:p w:rsidR="005C7E91" w:rsidRPr="007675D2" w:rsidRDefault="005C7E91" w:rsidP="001E08C1">
            <w:pPr>
              <w:pStyle w:val="TableText1"/>
              <w:rPr>
                <w:rFonts w:cs="Calibri"/>
                <w:b/>
                <w:bCs/>
              </w:rPr>
            </w:pPr>
            <w:r w:rsidRPr="007675D2">
              <w:rPr>
                <w:rFonts w:cs="Calibri"/>
                <w:b/>
                <w:bCs/>
              </w:rPr>
              <w:t xml:space="preserve">Estimated financial implications for the </w:t>
            </w:r>
            <w:r w:rsidRPr="007675D2">
              <w:rPr>
                <w:b/>
                <w:sz w:val="19"/>
                <w:szCs w:val="19"/>
              </w:rPr>
              <w:t>PBS/RPBS/MBS</w:t>
            </w:r>
          </w:p>
        </w:tc>
      </w:tr>
      <w:tr w:rsidR="005C7E91" w:rsidRPr="00DA2530" w:rsidTr="00285C73">
        <w:tc>
          <w:tcPr>
            <w:tcW w:w="1328" w:type="pct"/>
            <w:shd w:val="clear" w:color="auto" w:fill="auto"/>
            <w:vAlign w:val="center"/>
          </w:tcPr>
          <w:p w:rsidR="005C7E91" w:rsidRPr="00DA2530" w:rsidRDefault="005C7E91" w:rsidP="001E08C1">
            <w:pPr>
              <w:pStyle w:val="TableText1"/>
              <w:rPr>
                <w:sz w:val="19"/>
                <w:szCs w:val="19"/>
              </w:rPr>
            </w:pPr>
            <w:r w:rsidRPr="00DA2530">
              <w:rPr>
                <w:sz w:val="19"/>
                <w:szCs w:val="19"/>
              </w:rPr>
              <w:t>Net cost to PBS/RPBS/MBS with proposed financial cap</w:t>
            </w:r>
          </w:p>
        </w:tc>
        <w:tc>
          <w:tcPr>
            <w:tcW w:w="734" w:type="pct"/>
            <w:shd w:val="clear" w:color="auto" w:fill="auto"/>
            <w:vAlign w:val="center"/>
          </w:tcPr>
          <w:p w:rsidR="005C7E91" w:rsidRPr="00DA2530" w:rsidRDefault="005C7E91" w:rsidP="001E08C1">
            <w:pPr>
              <w:pStyle w:val="TableText1"/>
              <w:jc w:val="center"/>
              <w:rPr>
                <w:rFonts w:cs="Calibri"/>
                <w:bCs/>
              </w:rPr>
            </w:pPr>
            <w:r w:rsidRPr="00DA2530">
              <w:rPr>
                <w:rFonts w:cs="Calibri"/>
                <w:bCs/>
                <w:color w:val="000000"/>
                <w:szCs w:val="20"/>
              </w:rPr>
              <w:t>$</w:t>
            </w:r>
            <w:r w:rsidR="00A42B97">
              <w:rPr>
                <w:rFonts w:cs="Calibri"/>
                <w:bCs/>
                <w:noProof/>
                <w:color w:val="000000"/>
                <w:szCs w:val="20"/>
                <w:highlight w:val="black"/>
              </w:rPr>
              <w:t>'''''''''''''''''''''''''''''''''</w:t>
            </w:r>
          </w:p>
        </w:tc>
        <w:tc>
          <w:tcPr>
            <w:tcW w:w="734" w:type="pct"/>
            <w:shd w:val="clear" w:color="auto" w:fill="auto"/>
            <w:vAlign w:val="center"/>
          </w:tcPr>
          <w:p w:rsidR="005C7E91" w:rsidRPr="00DA2530" w:rsidRDefault="005C7E91" w:rsidP="001E08C1">
            <w:pPr>
              <w:pStyle w:val="TableText1"/>
              <w:jc w:val="center"/>
              <w:rPr>
                <w:rFonts w:cs="Calibri"/>
                <w:bCs/>
              </w:rPr>
            </w:pPr>
            <w:r w:rsidRPr="00DA2530">
              <w:rPr>
                <w:rFonts w:cs="Calibri"/>
                <w:bCs/>
                <w:color w:val="000000"/>
                <w:szCs w:val="20"/>
              </w:rPr>
              <w:t>$</w:t>
            </w:r>
            <w:r w:rsidR="00A42B97">
              <w:rPr>
                <w:rFonts w:cs="Calibri"/>
                <w:bCs/>
                <w:noProof/>
                <w:color w:val="000000"/>
                <w:szCs w:val="20"/>
                <w:highlight w:val="black"/>
              </w:rPr>
              <w:t>''''''''''''''''''''''''''''</w:t>
            </w:r>
          </w:p>
        </w:tc>
        <w:tc>
          <w:tcPr>
            <w:tcW w:w="735" w:type="pct"/>
            <w:shd w:val="clear" w:color="auto" w:fill="auto"/>
            <w:vAlign w:val="center"/>
          </w:tcPr>
          <w:p w:rsidR="005C7E91" w:rsidRPr="00DA2530" w:rsidRDefault="005C7E91" w:rsidP="001E08C1">
            <w:pPr>
              <w:pStyle w:val="TableText1"/>
              <w:jc w:val="center"/>
              <w:rPr>
                <w:rFonts w:cs="Calibri"/>
                <w:bCs/>
              </w:rPr>
            </w:pPr>
            <w:r w:rsidRPr="00DA2530">
              <w:rPr>
                <w:rFonts w:cs="Calibri"/>
                <w:bCs/>
                <w:color w:val="000000"/>
                <w:szCs w:val="20"/>
              </w:rPr>
              <w:t>$</w:t>
            </w:r>
            <w:r w:rsidR="00A42B97">
              <w:rPr>
                <w:rFonts w:cs="Calibri"/>
                <w:bCs/>
                <w:noProof/>
                <w:color w:val="000000"/>
                <w:szCs w:val="20"/>
                <w:highlight w:val="black"/>
              </w:rPr>
              <w:t>''''''''''''''''''''''''''''''''</w:t>
            </w:r>
          </w:p>
        </w:tc>
        <w:tc>
          <w:tcPr>
            <w:tcW w:w="734" w:type="pct"/>
            <w:shd w:val="clear" w:color="auto" w:fill="auto"/>
            <w:vAlign w:val="center"/>
          </w:tcPr>
          <w:p w:rsidR="005C7E91" w:rsidRPr="00DA2530" w:rsidRDefault="005C7E91" w:rsidP="001E08C1">
            <w:pPr>
              <w:pStyle w:val="TableText1"/>
              <w:jc w:val="center"/>
              <w:rPr>
                <w:rFonts w:cs="Calibri"/>
                <w:bCs/>
              </w:rPr>
            </w:pPr>
            <w:r w:rsidRPr="00DA2530">
              <w:rPr>
                <w:rFonts w:cs="Calibri"/>
                <w:bCs/>
                <w:color w:val="000000"/>
                <w:szCs w:val="20"/>
              </w:rPr>
              <w:t>$</w:t>
            </w:r>
            <w:r w:rsidR="00A42B97">
              <w:rPr>
                <w:rFonts w:cs="Calibri"/>
                <w:bCs/>
                <w:noProof/>
                <w:color w:val="000000"/>
                <w:szCs w:val="20"/>
                <w:highlight w:val="black"/>
              </w:rPr>
              <w:t>'''''''''''''''''''''''''''''</w:t>
            </w:r>
          </w:p>
        </w:tc>
        <w:tc>
          <w:tcPr>
            <w:tcW w:w="735" w:type="pct"/>
            <w:shd w:val="clear" w:color="auto" w:fill="auto"/>
            <w:vAlign w:val="center"/>
          </w:tcPr>
          <w:p w:rsidR="005C7E91" w:rsidRPr="00DA2530" w:rsidRDefault="005C7E91" w:rsidP="001E08C1">
            <w:pPr>
              <w:pStyle w:val="TableText1"/>
              <w:jc w:val="center"/>
              <w:rPr>
                <w:rFonts w:cs="Calibri"/>
                <w:bCs/>
              </w:rPr>
            </w:pPr>
            <w:r w:rsidRPr="00DA2530">
              <w:rPr>
                <w:rFonts w:cs="Calibri"/>
                <w:bCs/>
                <w:color w:val="000000"/>
                <w:szCs w:val="20"/>
              </w:rPr>
              <w:t>$</w:t>
            </w:r>
            <w:r w:rsidR="00A42B97">
              <w:rPr>
                <w:rFonts w:cs="Calibri"/>
                <w:bCs/>
                <w:noProof/>
                <w:color w:val="000000"/>
                <w:szCs w:val="20"/>
                <w:highlight w:val="black"/>
              </w:rPr>
              <w:t>''''''''''''''''''''''''''''''</w:t>
            </w:r>
          </w:p>
        </w:tc>
      </w:tr>
      <w:tr w:rsidR="00603181" w:rsidRPr="00DA2530" w:rsidTr="00603181">
        <w:tc>
          <w:tcPr>
            <w:tcW w:w="5000" w:type="pct"/>
            <w:gridSpan w:val="6"/>
            <w:shd w:val="clear" w:color="auto" w:fill="auto"/>
            <w:vAlign w:val="center"/>
          </w:tcPr>
          <w:p w:rsidR="00603181" w:rsidRPr="00DA2530" w:rsidRDefault="00603181" w:rsidP="001E08C1">
            <w:pPr>
              <w:pStyle w:val="TableText1"/>
              <w:rPr>
                <w:rFonts w:cs="Calibri"/>
                <w:b/>
              </w:rPr>
            </w:pPr>
            <w:r w:rsidRPr="00DA2530">
              <w:rPr>
                <w:rFonts w:cs="Calibri"/>
                <w:b/>
              </w:rPr>
              <w:t>Estimated reduced hospitalisation costs</w:t>
            </w:r>
          </w:p>
        </w:tc>
      </w:tr>
      <w:tr w:rsidR="00B2608F" w:rsidRPr="00DA2530" w:rsidTr="00285C73">
        <w:tc>
          <w:tcPr>
            <w:tcW w:w="1328" w:type="pct"/>
            <w:shd w:val="clear" w:color="auto" w:fill="auto"/>
            <w:vAlign w:val="center"/>
          </w:tcPr>
          <w:p w:rsidR="00B2608F" w:rsidRPr="00DA2530" w:rsidRDefault="00B2608F" w:rsidP="001E08C1">
            <w:pPr>
              <w:pStyle w:val="TableText1"/>
              <w:rPr>
                <w:sz w:val="19"/>
                <w:szCs w:val="19"/>
              </w:rPr>
            </w:pPr>
            <w:r w:rsidRPr="00DA2530">
              <w:rPr>
                <w:sz w:val="19"/>
                <w:szCs w:val="19"/>
              </w:rPr>
              <w:t>Net cost associated with reduced hospitalisations</w:t>
            </w:r>
          </w:p>
        </w:tc>
        <w:tc>
          <w:tcPr>
            <w:tcW w:w="734" w:type="pct"/>
            <w:shd w:val="clear" w:color="auto" w:fill="auto"/>
            <w:vAlign w:val="center"/>
          </w:tcPr>
          <w:p w:rsidR="00B2608F" w:rsidRPr="00DA2530" w:rsidRDefault="00B2608F" w:rsidP="001E08C1">
            <w:pPr>
              <w:pStyle w:val="TableText1"/>
              <w:jc w:val="center"/>
              <w:rPr>
                <w:bCs/>
                <w:color w:val="000000"/>
              </w:rPr>
            </w:pPr>
            <w:r w:rsidRPr="00DA2530">
              <w:rPr>
                <w:rFonts w:cs="Calibri"/>
              </w:rPr>
              <w:t>- $</w:t>
            </w:r>
            <w:r w:rsidR="00A42B97">
              <w:rPr>
                <w:rFonts w:cs="Calibri"/>
                <w:noProof/>
                <w:color w:val="000000"/>
                <w:highlight w:val="black"/>
              </w:rPr>
              <w:t>'''''''''''''''''''''''</w:t>
            </w:r>
          </w:p>
        </w:tc>
        <w:tc>
          <w:tcPr>
            <w:tcW w:w="734" w:type="pct"/>
            <w:shd w:val="clear" w:color="auto" w:fill="auto"/>
            <w:vAlign w:val="center"/>
          </w:tcPr>
          <w:p w:rsidR="00B2608F" w:rsidRPr="00DA2530" w:rsidRDefault="00B2608F" w:rsidP="001E08C1">
            <w:pPr>
              <w:pStyle w:val="TableText1"/>
              <w:jc w:val="center"/>
              <w:rPr>
                <w:bCs/>
                <w:color w:val="000000"/>
              </w:rPr>
            </w:pPr>
            <w:r w:rsidRPr="00DA2530">
              <w:rPr>
                <w:rFonts w:cs="Calibri"/>
              </w:rPr>
              <w:t>- $</w:t>
            </w:r>
            <w:r w:rsidR="00A42B97">
              <w:rPr>
                <w:rFonts w:cs="Calibri"/>
                <w:noProof/>
                <w:color w:val="000000"/>
                <w:highlight w:val="black"/>
              </w:rPr>
              <w:t>''''''''''''''''''''''</w:t>
            </w:r>
          </w:p>
        </w:tc>
        <w:tc>
          <w:tcPr>
            <w:tcW w:w="735" w:type="pct"/>
            <w:shd w:val="clear" w:color="auto" w:fill="auto"/>
            <w:vAlign w:val="center"/>
          </w:tcPr>
          <w:p w:rsidR="00B2608F" w:rsidRPr="00DA2530" w:rsidRDefault="00B2608F" w:rsidP="001E08C1">
            <w:pPr>
              <w:pStyle w:val="TableText1"/>
              <w:jc w:val="center"/>
              <w:rPr>
                <w:bCs/>
                <w:color w:val="000000"/>
              </w:rPr>
            </w:pPr>
            <w:r w:rsidRPr="00DA2530">
              <w:rPr>
                <w:rFonts w:cs="Calibri"/>
              </w:rPr>
              <w:t>- $</w:t>
            </w:r>
            <w:r w:rsidR="00A42B97">
              <w:rPr>
                <w:rFonts w:cs="Calibri"/>
                <w:noProof/>
                <w:color w:val="000000"/>
                <w:highlight w:val="black"/>
              </w:rPr>
              <w:t>''''''''''''''''''''''''</w:t>
            </w:r>
          </w:p>
        </w:tc>
        <w:tc>
          <w:tcPr>
            <w:tcW w:w="734" w:type="pct"/>
            <w:shd w:val="clear" w:color="auto" w:fill="auto"/>
            <w:vAlign w:val="center"/>
          </w:tcPr>
          <w:p w:rsidR="00B2608F" w:rsidRPr="00DA2530" w:rsidRDefault="00B2608F" w:rsidP="001E08C1">
            <w:pPr>
              <w:pStyle w:val="TableText1"/>
              <w:jc w:val="center"/>
              <w:rPr>
                <w:bCs/>
                <w:color w:val="000000"/>
              </w:rPr>
            </w:pPr>
            <w:r w:rsidRPr="00DA2530">
              <w:rPr>
                <w:rFonts w:cs="Calibri"/>
              </w:rPr>
              <w:t>- $</w:t>
            </w:r>
            <w:r w:rsidR="00A42B97">
              <w:rPr>
                <w:rFonts w:cs="Calibri"/>
                <w:noProof/>
                <w:color w:val="000000"/>
                <w:highlight w:val="black"/>
              </w:rPr>
              <w:t>'''''''''''''''''''''''''</w:t>
            </w:r>
          </w:p>
        </w:tc>
        <w:tc>
          <w:tcPr>
            <w:tcW w:w="735" w:type="pct"/>
            <w:shd w:val="clear" w:color="auto" w:fill="auto"/>
            <w:vAlign w:val="center"/>
          </w:tcPr>
          <w:p w:rsidR="00B2608F" w:rsidRPr="00DA2530" w:rsidRDefault="00B2608F" w:rsidP="001E08C1">
            <w:pPr>
              <w:pStyle w:val="TableText1"/>
              <w:jc w:val="center"/>
              <w:rPr>
                <w:bCs/>
                <w:color w:val="000000"/>
              </w:rPr>
            </w:pPr>
            <w:r w:rsidRPr="00DA2530">
              <w:rPr>
                <w:rFonts w:cs="Calibri"/>
              </w:rPr>
              <w:t>- $</w:t>
            </w:r>
            <w:r w:rsidR="00A42B97">
              <w:rPr>
                <w:rFonts w:cs="Calibri"/>
                <w:noProof/>
                <w:color w:val="000000"/>
                <w:highlight w:val="black"/>
              </w:rPr>
              <w:t>'''''''''''''''''''''''</w:t>
            </w:r>
          </w:p>
        </w:tc>
      </w:tr>
    </w:tbl>
    <w:p w:rsidR="00B2608F" w:rsidRPr="00DA2530" w:rsidRDefault="00B2608F" w:rsidP="001E08C1">
      <w:pPr>
        <w:pStyle w:val="Tablefooter8pt"/>
      </w:pPr>
      <w:r w:rsidRPr="00DA2530">
        <w:rPr>
          <w:vertAlign w:val="superscript"/>
        </w:rPr>
        <w:t>a</w:t>
      </w:r>
      <w:r w:rsidRPr="00DA2530">
        <w:t xml:space="preserve"> Assuming 11 scripts per patient per year as estimated by the submission. This number was derived from an assumed adherence rate of 90% and a weighted adjustment for patients with moderate/severe hepatic impairment.</w:t>
      </w:r>
    </w:p>
    <w:p w:rsidR="00B2608F" w:rsidRPr="00DA2530" w:rsidRDefault="00B2608F" w:rsidP="00C921DA">
      <w:pPr>
        <w:pStyle w:val="Tablefooter8pt"/>
        <w:spacing w:after="120"/>
      </w:pPr>
      <w:r w:rsidRPr="00DA2530">
        <w:t>Source: T</w:t>
      </w:r>
      <w:r w:rsidRPr="00DA2530">
        <w:rPr>
          <w:rFonts w:cs="Tahoma"/>
          <w:snapToGrid/>
          <w:lang w:eastAsia="en-AU"/>
        </w:rPr>
        <w:t xml:space="preserve">able E.2-7, page 204; </w:t>
      </w:r>
      <w:r w:rsidRPr="00DA2530">
        <w:t>Table E.2-10, page 205-206; Table E.4-1 and E.4-2, page 208 of resubmission.</w:t>
      </w:r>
    </w:p>
    <w:p w:rsidR="00B2608F" w:rsidRPr="00DA2530" w:rsidRDefault="00902435" w:rsidP="0008783A">
      <w:pPr>
        <w:pStyle w:val="ListParagraph"/>
        <w:widowControl/>
        <w:numPr>
          <w:ilvl w:val="1"/>
          <w:numId w:val="13"/>
        </w:numPr>
        <w:spacing w:after="120"/>
        <w:ind w:left="709" w:hanging="709"/>
        <w:contextualSpacing w:val="0"/>
        <w:rPr>
          <w:rFonts w:asciiTheme="minorHAnsi" w:hAnsiTheme="minorHAnsi"/>
          <w:sz w:val="24"/>
        </w:rPr>
      </w:pPr>
      <w:r w:rsidRPr="00902435">
        <w:rPr>
          <w:rFonts w:asciiTheme="minorHAnsi" w:hAnsiTheme="minorHAnsi"/>
          <w:sz w:val="24"/>
        </w:rPr>
        <w:t xml:space="preserve">At year 5, the estimated number of patients was </w:t>
      </w:r>
      <w:r w:rsidR="00A42B97">
        <w:rPr>
          <w:rFonts w:asciiTheme="minorHAnsi" w:hAnsiTheme="minorHAnsi"/>
          <w:noProof/>
          <w:color w:val="000000"/>
          <w:sz w:val="24"/>
          <w:highlight w:val="black"/>
        </w:rPr>
        <w:t>'''''''''''</w:t>
      </w:r>
      <w:r w:rsidRPr="00902435">
        <w:rPr>
          <w:rFonts w:asciiTheme="minorHAnsi" w:hAnsiTheme="minorHAnsi"/>
          <w:sz w:val="24"/>
        </w:rPr>
        <w:t xml:space="preserve"> and the net cost to the PBS would be </w:t>
      </w:r>
      <w:r w:rsidR="0008783A" w:rsidRPr="0008783A">
        <w:rPr>
          <w:rFonts w:asciiTheme="minorHAnsi" w:hAnsiTheme="minorHAnsi"/>
          <w:sz w:val="24"/>
        </w:rPr>
        <w:t xml:space="preserve">more than $100 </w:t>
      </w:r>
      <w:r w:rsidR="00387CBB" w:rsidRPr="0008783A">
        <w:rPr>
          <w:rFonts w:asciiTheme="minorHAnsi" w:hAnsiTheme="minorHAnsi"/>
          <w:sz w:val="24"/>
        </w:rPr>
        <w:t>million,</w:t>
      </w:r>
      <w:r w:rsidR="004E68CC">
        <w:rPr>
          <w:rFonts w:asciiTheme="minorHAnsi" w:hAnsiTheme="minorHAnsi"/>
          <w:sz w:val="24"/>
        </w:rPr>
        <w:t xml:space="preserve"> or</w:t>
      </w:r>
      <w:r>
        <w:rPr>
          <w:rFonts w:asciiTheme="minorHAnsi" w:hAnsiTheme="minorHAnsi"/>
          <w:sz w:val="24"/>
        </w:rPr>
        <w:t xml:space="preserve"> including the impact of the </w:t>
      </w:r>
      <w:r w:rsidR="00C921DA">
        <w:rPr>
          <w:rFonts w:asciiTheme="minorHAnsi" w:hAnsiTheme="minorHAnsi"/>
          <w:sz w:val="24"/>
        </w:rPr>
        <w:t>proposed</w:t>
      </w:r>
      <w:r>
        <w:rPr>
          <w:rFonts w:asciiTheme="minorHAnsi" w:hAnsiTheme="minorHAnsi"/>
          <w:sz w:val="24"/>
        </w:rPr>
        <w:t xml:space="preserve"> financial cap</w:t>
      </w:r>
      <w:r w:rsidRPr="00902435">
        <w:rPr>
          <w:rFonts w:asciiTheme="minorHAnsi" w:hAnsiTheme="minorHAnsi"/>
          <w:sz w:val="24"/>
        </w:rPr>
        <w:t>.</w:t>
      </w:r>
      <w:r w:rsidR="007A2DD1">
        <w:rPr>
          <w:rFonts w:asciiTheme="minorHAnsi" w:hAnsiTheme="minorHAnsi"/>
          <w:sz w:val="24"/>
        </w:rPr>
        <w:t xml:space="preserve"> The total cost to the PBS over the first five years of listing (including the impact of the proposed financial cap) would be </w:t>
      </w:r>
      <w:r w:rsidR="001E7435">
        <w:rPr>
          <w:rFonts w:asciiTheme="minorHAnsi" w:hAnsiTheme="minorHAnsi"/>
          <w:sz w:val="24"/>
        </w:rPr>
        <w:t>more than $100 million</w:t>
      </w:r>
      <w:r w:rsidR="00C40578">
        <w:rPr>
          <w:rFonts w:asciiTheme="minorHAnsi" w:hAnsiTheme="minorHAnsi"/>
          <w:sz w:val="24"/>
        </w:rPr>
        <w:t xml:space="preserve"> per year</w:t>
      </w:r>
      <w:r w:rsidR="007A2DD1">
        <w:rPr>
          <w:rFonts w:asciiTheme="minorHAnsi" w:hAnsiTheme="minorHAnsi"/>
          <w:sz w:val="24"/>
        </w:rPr>
        <w:t>.</w:t>
      </w:r>
      <w:r>
        <w:rPr>
          <w:rFonts w:asciiTheme="minorHAnsi" w:hAnsiTheme="minorHAnsi"/>
          <w:sz w:val="24"/>
        </w:rPr>
        <w:t xml:space="preserve"> </w:t>
      </w:r>
      <w:r w:rsidR="00030389" w:rsidRPr="00DA2530">
        <w:rPr>
          <w:rFonts w:asciiTheme="minorHAnsi" w:hAnsiTheme="minorHAnsi"/>
          <w:sz w:val="24"/>
        </w:rPr>
        <w:t xml:space="preserve">The estimated number of patients treated </w:t>
      </w:r>
      <w:r w:rsidR="00B2608F" w:rsidRPr="00DA2530">
        <w:rPr>
          <w:rFonts w:asciiTheme="minorHAnsi" w:hAnsiTheme="minorHAnsi"/>
          <w:sz w:val="24"/>
        </w:rPr>
        <w:t xml:space="preserve">are broadly similar to those presented in the previous (re)submissions, but have been adjusted </w:t>
      </w:r>
      <w:r w:rsidR="00C3324A" w:rsidRPr="00DA2530">
        <w:rPr>
          <w:rFonts w:asciiTheme="minorHAnsi" w:hAnsiTheme="minorHAnsi"/>
          <w:sz w:val="24"/>
        </w:rPr>
        <w:t xml:space="preserve">slightly </w:t>
      </w:r>
      <w:r w:rsidR="00B2608F" w:rsidRPr="00DA2530">
        <w:rPr>
          <w:rFonts w:asciiTheme="minorHAnsi" w:hAnsiTheme="minorHAnsi"/>
          <w:sz w:val="24"/>
        </w:rPr>
        <w:t xml:space="preserve">upwards as a result of the </w:t>
      </w:r>
      <w:r w:rsidR="00C3324A" w:rsidRPr="00DA2530">
        <w:rPr>
          <w:rFonts w:asciiTheme="minorHAnsi" w:hAnsiTheme="minorHAnsi"/>
          <w:sz w:val="24"/>
        </w:rPr>
        <w:t xml:space="preserve">publication of the </w:t>
      </w:r>
      <w:r w:rsidR="00B2608F" w:rsidRPr="00DA2530">
        <w:rPr>
          <w:rFonts w:asciiTheme="minorHAnsi" w:hAnsiTheme="minorHAnsi"/>
          <w:sz w:val="24"/>
        </w:rPr>
        <w:t>ACFDR</w:t>
      </w:r>
      <w:r w:rsidR="00C3324A" w:rsidRPr="00DA2530">
        <w:rPr>
          <w:rFonts w:asciiTheme="minorHAnsi" w:hAnsiTheme="minorHAnsi"/>
          <w:sz w:val="24"/>
        </w:rPr>
        <w:t xml:space="preserve"> 2014 report, while the original submission had used the 2013 informa</w:t>
      </w:r>
      <w:r w:rsidR="00677CFA" w:rsidRPr="00DA2530">
        <w:rPr>
          <w:rFonts w:asciiTheme="minorHAnsi" w:hAnsiTheme="minorHAnsi"/>
          <w:sz w:val="24"/>
        </w:rPr>
        <w:t>ti</w:t>
      </w:r>
      <w:r w:rsidR="00C3324A" w:rsidRPr="00DA2530">
        <w:rPr>
          <w:rFonts w:asciiTheme="minorHAnsi" w:hAnsiTheme="minorHAnsi"/>
          <w:sz w:val="24"/>
        </w:rPr>
        <w:t>on.</w:t>
      </w:r>
    </w:p>
    <w:p w:rsidR="007C7153" w:rsidRDefault="00B2608F" w:rsidP="00C921DA">
      <w:pPr>
        <w:pStyle w:val="ListParagraph"/>
        <w:widowControl/>
        <w:numPr>
          <w:ilvl w:val="1"/>
          <w:numId w:val="13"/>
        </w:numPr>
        <w:spacing w:after="120"/>
        <w:ind w:left="709" w:hanging="709"/>
        <w:contextualSpacing w:val="0"/>
        <w:rPr>
          <w:rFonts w:asciiTheme="minorHAnsi" w:hAnsiTheme="minorHAnsi"/>
          <w:sz w:val="24"/>
        </w:rPr>
      </w:pPr>
      <w:r w:rsidRPr="00DA2530">
        <w:rPr>
          <w:rFonts w:asciiTheme="minorHAnsi" w:hAnsiTheme="minorHAnsi"/>
          <w:sz w:val="24"/>
        </w:rPr>
        <w:t xml:space="preserve">The size of the eligible population would be overestimated </w:t>
      </w:r>
      <w:r w:rsidR="00030389" w:rsidRPr="00DA2530">
        <w:rPr>
          <w:rFonts w:asciiTheme="minorHAnsi" w:hAnsiTheme="minorHAnsi"/>
          <w:sz w:val="24"/>
        </w:rPr>
        <w:t xml:space="preserve">if </w:t>
      </w:r>
      <w:r w:rsidRPr="00DA2530">
        <w:rPr>
          <w:rFonts w:asciiTheme="minorHAnsi" w:hAnsiTheme="minorHAnsi"/>
          <w:sz w:val="24"/>
        </w:rPr>
        <w:t xml:space="preserve">subsidised access to the treatment </w:t>
      </w:r>
      <w:r w:rsidR="00AC37BB" w:rsidRPr="00DA2530">
        <w:rPr>
          <w:rFonts w:asciiTheme="minorHAnsi" w:hAnsiTheme="minorHAnsi"/>
          <w:sz w:val="24"/>
        </w:rPr>
        <w:t>was restricted</w:t>
      </w:r>
      <w:r w:rsidRPr="00DA2530">
        <w:rPr>
          <w:rFonts w:asciiTheme="minorHAnsi" w:hAnsiTheme="minorHAnsi"/>
          <w:sz w:val="24"/>
        </w:rPr>
        <w:t xml:space="preserve"> to those patients with a pp</w:t>
      </w:r>
      <w:r w:rsidR="00023A66" w:rsidRPr="00DA2530">
        <w:rPr>
          <w:rFonts w:asciiTheme="minorHAnsi" w:hAnsiTheme="minorHAnsi"/>
          <w:sz w:val="24"/>
          <w:szCs w:val="24"/>
        </w:rPr>
        <w:t>FEV</w:t>
      </w:r>
      <w:r w:rsidR="00023A66" w:rsidRPr="00DA2530">
        <w:rPr>
          <w:rFonts w:asciiTheme="minorHAnsi" w:hAnsiTheme="minorHAnsi"/>
          <w:sz w:val="24"/>
          <w:szCs w:val="24"/>
          <w:vertAlign w:val="subscript"/>
        </w:rPr>
        <w:t>1</w:t>
      </w:r>
      <w:r w:rsidRPr="00DA2530">
        <w:rPr>
          <w:rFonts w:asciiTheme="minorHAnsi" w:hAnsiTheme="minorHAnsi"/>
          <w:sz w:val="24"/>
        </w:rPr>
        <w:t xml:space="preserve"> of </w:t>
      </w:r>
      <w:r w:rsidR="007C7153" w:rsidRPr="0009746F">
        <w:rPr>
          <w:i/>
          <w:u w:val="single"/>
        </w:rPr>
        <w:t>&gt;</w:t>
      </w:r>
      <w:r w:rsidRPr="00DA2530">
        <w:rPr>
          <w:rFonts w:asciiTheme="minorHAnsi" w:hAnsiTheme="minorHAnsi"/>
          <w:sz w:val="24"/>
        </w:rPr>
        <w:t xml:space="preserve">40% and </w:t>
      </w:r>
      <w:r w:rsidR="007C7153" w:rsidRPr="0009746F">
        <w:rPr>
          <w:i/>
          <w:u w:val="single"/>
        </w:rPr>
        <w:t>&lt;</w:t>
      </w:r>
      <w:r w:rsidRPr="00DA2530">
        <w:rPr>
          <w:rFonts w:asciiTheme="minorHAnsi" w:hAnsiTheme="minorHAnsi"/>
          <w:sz w:val="24"/>
        </w:rPr>
        <w:t xml:space="preserve">90% in line with </w:t>
      </w:r>
      <w:r w:rsidR="00030389" w:rsidRPr="00DA2530">
        <w:rPr>
          <w:rFonts w:asciiTheme="minorHAnsi" w:hAnsiTheme="minorHAnsi"/>
          <w:sz w:val="24"/>
        </w:rPr>
        <w:t>the eligibility criteria in the key trials</w:t>
      </w:r>
      <w:r w:rsidRPr="00DA2530">
        <w:rPr>
          <w:rFonts w:asciiTheme="minorHAnsi" w:hAnsiTheme="minorHAnsi"/>
          <w:sz w:val="24"/>
        </w:rPr>
        <w:t>.</w:t>
      </w:r>
    </w:p>
    <w:p w:rsidR="00B2608F" w:rsidRPr="00226B30" w:rsidRDefault="0020655F" w:rsidP="00C921DA">
      <w:pPr>
        <w:pStyle w:val="ListParagraph"/>
        <w:widowControl/>
        <w:numPr>
          <w:ilvl w:val="1"/>
          <w:numId w:val="13"/>
        </w:numPr>
        <w:spacing w:before="120" w:after="160"/>
        <w:ind w:left="709" w:hanging="709"/>
        <w:contextualSpacing w:val="0"/>
        <w:rPr>
          <w:rFonts w:asciiTheme="minorHAnsi" w:hAnsiTheme="minorHAnsi"/>
          <w:sz w:val="24"/>
        </w:rPr>
      </w:pPr>
      <w:r w:rsidRPr="00226B30">
        <w:rPr>
          <w:rFonts w:asciiTheme="minorHAnsi" w:hAnsiTheme="minorHAnsi"/>
          <w:sz w:val="24"/>
        </w:rPr>
        <w:t>Even if subsidised access were restricted on the basis of ppFEV</w:t>
      </w:r>
      <w:r w:rsidRPr="00226B30">
        <w:rPr>
          <w:rFonts w:asciiTheme="minorHAnsi" w:hAnsiTheme="minorHAnsi"/>
          <w:sz w:val="24"/>
          <w:vertAlign w:val="subscript"/>
        </w:rPr>
        <w:t>1</w:t>
      </w:r>
      <w:r w:rsidR="002204DC" w:rsidRPr="00226B30">
        <w:rPr>
          <w:rFonts w:asciiTheme="minorHAnsi" w:hAnsiTheme="minorHAnsi"/>
          <w:sz w:val="24"/>
        </w:rPr>
        <w:t>, t</w:t>
      </w:r>
      <w:r w:rsidR="00B2608F" w:rsidRPr="00226B30">
        <w:rPr>
          <w:rFonts w:asciiTheme="minorHAnsi" w:hAnsiTheme="minorHAnsi"/>
          <w:sz w:val="24"/>
        </w:rPr>
        <w:t xml:space="preserve">he </w:t>
      </w:r>
      <w:r w:rsidR="007675D2" w:rsidRPr="00226B30">
        <w:rPr>
          <w:rFonts w:asciiTheme="minorHAnsi" w:hAnsiTheme="minorHAnsi"/>
          <w:sz w:val="24"/>
        </w:rPr>
        <w:t xml:space="preserve">ESC considered that the </w:t>
      </w:r>
      <w:r w:rsidR="00B2608F" w:rsidRPr="00226B30">
        <w:rPr>
          <w:rFonts w:asciiTheme="minorHAnsi" w:hAnsiTheme="minorHAnsi"/>
          <w:sz w:val="24"/>
        </w:rPr>
        <w:t xml:space="preserve">size of the eligible population </w:t>
      </w:r>
      <w:r w:rsidR="007675D2" w:rsidRPr="00226B30">
        <w:rPr>
          <w:rFonts w:asciiTheme="minorHAnsi" w:hAnsiTheme="minorHAnsi"/>
          <w:sz w:val="24"/>
        </w:rPr>
        <w:t xml:space="preserve">was likely to </w:t>
      </w:r>
      <w:r w:rsidR="00030389" w:rsidRPr="00226B30">
        <w:rPr>
          <w:rFonts w:asciiTheme="minorHAnsi" w:hAnsiTheme="minorHAnsi"/>
          <w:sz w:val="24"/>
        </w:rPr>
        <w:t xml:space="preserve">have </w:t>
      </w:r>
      <w:r w:rsidR="00B2608F" w:rsidRPr="00226B30">
        <w:rPr>
          <w:rFonts w:asciiTheme="minorHAnsi" w:hAnsiTheme="minorHAnsi"/>
          <w:sz w:val="24"/>
        </w:rPr>
        <w:t>be</w:t>
      </w:r>
      <w:r w:rsidR="00030389" w:rsidRPr="00226B30">
        <w:rPr>
          <w:rFonts w:asciiTheme="minorHAnsi" w:hAnsiTheme="minorHAnsi"/>
          <w:sz w:val="24"/>
        </w:rPr>
        <w:t>en</w:t>
      </w:r>
      <w:r w:rsidR="00B2608F" w:rsidRPr="00226B30">
        <w:rPr>
          <w:rFonts w:asciiTheme="minorHAnsi" w:hAnsiTheme="minorHAnsi"/>
          <w:sz w:val="24"/>
        </w:rPr>
        <w:t xml:space="preserve"> underestimated. The resubmission assumed that there are </w:t>
      </w:r>
      <w:r w:rsidR="00A42B97">
        <w:rPr>
          <w:rFonts w:asciiTheme="minorHAnsi" w:hAnsiTheme="minorHAnsi"/>
          <w:noProof/>
          <w:color w:val="000000"/>
          <w:sz w:val="24"/>
          <w:highlight w:val="black"/>
        </w:rPr>
        <w:t>'''''</w:t>
      </w:r>
      <w:r w:rsidR="00B2608F" w:rsidRPr="00226B30">
        <w:rPr>
          <w:rFonts w:asciiTheme="minorHAnsi" w:hAnsiTheme="minorHAnsi"/>
          <w:sz w:val="24"/>
        </w:rPr>
        <w:t xml:space="preserve"> new patients eligible for treatment each year for the first five years (2018-2022). Data from the 2014 ACFDR indicate that there were </w:t>
      </w:r>
      <w:r w:rsidR="00B2608F" w:rsidRPr="00C40578">
        <w:rPr>
          <w:rFonts w:asciiTheme="minorHAnsi" w:hAnsiTheme="minorHAnsi"/>
          <w:sz w:val="24"/>
        </w:rPr>
        <w:t>598</w:t>
      </w:r>
      <w:r w:rsidR="00B2608F" w:rsidRPr="00226B30">
        <w:rPr>
          <w:rFonts w:asciiTheme="minorHAnsi" w:hAnsiTheme="minorHAnsi"/>
          <w:sz w:val="24"/>
        </w:rPr>
        <w:t xml:space="preserve"> patients at the end of 2014 aged 6-11 years with a CF diagnosis. With an estimated 51.5% of this cohort (308) homozygous for F508del and becoming eligible at age 12, the increase of </w:t>
      </w:r>
      <w:r w:rsidR="00A42B97">
        <w:rPr>
          <w:rFonts w:asciiTheme="minorHAnsi" w:hAnsiTheme="minorHAnsi"/>
          <w:noProof/>
          <w:color w:val="000000"/>
          <w:sz w:val="24"/>
          <w:highlight w:val="black"/>
        </w:rPr>
        <w:t xml:space="preserve">'''''' </w:t>
      </w:r>
      <w:r w:rsidR="00B2608F" w:rsidRPr="00226B30">
        <w:rPr>
          <w:rFonts w:asciiTheme="minorHAnsi" w:hAnsiTheme="minorHAnsi"/>
          <w:sz w:val="24"/>
        </w:rPr>
        <w:t xml:space="preserve">patients assumed for each year over 5 years </w:t>
      </w:r>
      <w:r w:rsidR="007675D2" w:rsidRPr="00226B30">
        <w:rPr>
          <w:rFonts w:asciiTheme="minorHAnsi" w:hAnsiTheme="minorHAnsi"/>
          <w:sz w:val="24"/>
        </w:rPr>
        <w:t xml:space="preserve">is </w:t>
      </w:r>
      <w:r w:rsidR="00B2608F" w:rsidRPr="00226B30">
        <w:rPr>
          <w:rFonts w:asciiTheme="minorHAnsi" w:hAnsiTheme="minorHAnsi"/>
          <w:sz w:val="24"/>
        </w:rPr>
        <w:t xml:space="preserve">therefore </w:t>
      </w:r>
      <w:r w:rsidR="007675D2" w:rsidRPr="00226B30">
        <w:rPr>
          <w:rFonts w:asciiTheme="minorHAnsi" w:hAnsiTheme="minorHAnsi"/>
          <w:sz w:val="24"/>
        </w:rPr>
        <w:t xml:space="preserve">likely to </w:t>
      </w:r>
      <w:r w:rsidR="00B2608F" w:rsidRPr="00226B30">
        <w:rPr>
          <w:rFonts w:asciiTheme="minorHAnsi" w:hAnsiTheme="minorHAnsi"/>
          <w:sz w:val="24"/>
        </w:rPr>
        <w:t>be an underestim</w:t>
      </w:r>
      <w:r w:rsidR="007A2DD1">
        <w:rPr>
          <w:rFonts w:asciiTheme="minorHAnsi" w:hAnsiTheme="minorHAnsi"/>
          <w:sz w:val="24"/>
        </w:rPr>
        <w:t>ate.</w:t>
      </w:r>
    </w:p>
    <w:p w:rsidR="00B2608F" w:rsidRPr="00226B30" w:rsidRDefault="00B2608F" w:rsidP="007A2DD1">
      <w:pPr>
        <w:pStyle w:val="ListParagraph"/>
        <w:widowControl/>
        <w:numPr>
          <w:ilvl w:val="1"/>
          <w:numId w:val="13"/>
        </w:numPr>
        <w:spacing w:before="120" w:after="160"/>
        <w:ind w:left="709" w:hanging="709"/>
        <w:contextualSpacing w:val="0"/>
        <w:rPr>
          <w:rFonts w:asciiTheme="minorHAnsi" w:hAnsiTheme="minorHAnsi"/>
          <w:sz w:val="24"/>
        </w:rPr>
      </w:pPr>
      <w:r w:rsidRPr="00226B30">
        <w:rPr>
          <w:rFonts w:asciiTheme="minorHAnsi" w:hAnsiTheme="minorHAnsi"/>
          <w:sz w:val="24"/>
        </w:rPr>
        <w:t>Drug utilisation each year could be overestimated on the basis that:</w:t>
      </w:r>
    </w:p>
    <w:p w:rsidR="00B2608F" w:rsidRPr="00226B30" w:rsidRDefault="00B2608F" w:rsidP="001E08C1">
      <w:pPr>
        <w:pStyle w:val="ListParagraph"/>
        <w:widowControl/>
        <w:numPr>
          <w:ilvl w:val="0"/>
          <w:numId w:val="16"/>
        </w:numPr>
        <w:spacing w:after="120"/>
        <w:ind w:left="993" w:hanging="284"/>
        <w:contextualSpacing w:val="0"/>
        <w:rPr>
          <w:rFonts w:asciiTheme="minorHAnsi" w:hAnsiTheme="minorHAnsi"/>
          <w:sz w:val="24"/>
        </w:rPr>
      </w:pPr>
      <w:r w:rsidRPr="00226B30">
        <w:rPr>
          <w:rFonts w:asciiTheme="minorHAnsi" w:hAnsiTheme="minorHAnsi"/>
          <w:sz w:val="24"/>
        </w:rPr>
        <w:t xml:space="preserve">The resubmission assumed that patients could only discontinue therapy in Year 1 of their treatment, based on discontinuation rates from TRAFFIC and TRANSPORT. </w:t>
      </w:r>
      <w:r w:rsidR="0020655F" w:rsidRPr="00226B30">
        <w:rPr>
          <w:rFonts w:asciiTheme="minorHAnsi" w:hAnsiTheme="minorHAnsi"/>
          <w:sz w:val="24"/>
        </w:rPr>
        <w:t>The ESC noted that d</w:t>
      </w:r>
      <w:r w:rsidRPr="00226B30">
        <w:rPr>
          <w:rFonts w:asciiTheme="minorHAnsi" w:hAnsiTheme="minorHAnsi"/>
          <w:sz w:val="24"/>
        </w:rPr>
        <w:t xml:space="preserve">ata from PROGRESS show that this is not </w:t>
      </w:r>
      <w:r w:rsidR="003D5EED" w:rsidRPr="00226B30">
        <w:rPr>
          <w:rFonts w:asciiTheme="minorHAnsi" w:hAnsiTheme="minorHAnsi"/>
          <w:sz w:val="24"/>
        </w:rPr>
        <w:t>realistic</w:t>
      </w:r>
      <w:r w:rsidRPr="00226B30">
        <w:rPr>
          <w:rFonts w:asciiTheme="minorHAnsi" w:hAnsiTheme="minorHAnsi"/>
          <w:sz w:val="24"/>
        </w:rPr>
        <w:t xml:space="preserve"> and that there will be a proportion of patients discontinuing treatment beyond this timeframe.</w:t>
      </w:r>
    </w:p>
    <w:p w:rsidR="00B2608F" w:rsidRDefault="00B2608F" w:rsidP="001E08C1">
      <w:pPr>
        <w:pStyle w:val="ListParagraph"/>
        <w:widowControl/>
        <w:numPr>
          <w:ilvl w:val="0"/>
          <w:numId w:val="16"/>
        </w:numPr>
        <w:spacing w:after="120"/>
        <w:ind w:left="993" w:hanging="284"/>
        <w:contextualSpacing w:val="0"/>
        <w:rPr>
          <w:rFonts w:asciiTheme="minorHAnsi" w:hAnsiTheme="minorHAnsi"/>
          <w:sz w:val="24"/>
        </w:rPr>
      </w:pPr>
      <w:r w:rsidRPr="00226B30">
        <w:rPr>
          <w:rFonts w:asciiTheme="minorHAnsi" w:hAnsiTheme="minorHAnsi"/>
          <w:sz w:val="24"/>
        </w:rPr>
        <w:t>The</w:t>
      </w:r>
      <w:r w:rsidR="005E68F7" w:rsidRPr="00226B30">
        <w:rPr>
          <w:rFonts w:asciiTheme="minorHAnsi" w:hAnsiTheme="minorHAnsi"/>
          <w:sz w:val="24"/>
        </w:rPr>
        <w:t xml:space="preserve"> </w:t>
      </w:r>
      <w:r w:rsidR="0045326C">
        <w:rPr>
          <w:rFonts w:asciiTheme="minorHAnsi" w:hAnsiTheme="minorHAnsi"/>
          <w:sz w:val="24"/>
        </w:rPr>
        <w:t>re</w:t>
      </w:r>
      <w:r w:rsidR="005E68F7" w:rsidRPr="00226B30">
        <w:rPr>
          <w:rFonts w:asciiTheme="minorHAnsi" w:hAnsiTheme="minorHAnsi"/>
          <w:sz w:val="24"/>
        </w:rPr>
        <w:t>submission</w:t>
      </w:r>
      <w:r w:rsidRPr="00226B30">
        <w:rPr>
          <w:rFonts w:asciiTheme="minorHAnsi" w:hAnsiTheme="minorHAnsi"/>
          <w:sz w:val="24"/>
        </w:rPr>
        <w:t xml:space="preserve"> assum</w:t>
      </w:r>
      <w:r w:rsidR="005E68F7" w:rsidRPr="00226B30">
        <w:rPr>
          <w:rFonts w:asciiTheme="minorHAnsi" w:hAnsiTheme="minorHAnsi"/>
          <w:sz w:val="24"/>
        </w:rPr>
        <w:t>e</w:t>
      </w:r>
      <w:r w:rsidR="0045326C">
        <w:rPr>
          <w:rFonts w:asciiTheme="minorHAnsi" w:hAnsiTheme="minorHAnsi"/>
          <w:sz w:val="24"/>
        </w:rPr>
        <w:t>d</w:t>
      </w:r>
      <w:r w:rsidRPr="00226B30">
        <w:rPr>
          <w:rFonts w:asciiTheme="minorHAnsi" w:hAnsiTheme="minorHAnsi"/>
          <w:sz w:val="24"/>
        </w:rPr>
        <w:t xml:space="preserve"> that patients who become eligible for treatment each year receive a full year of treatment. A more reasonable assumption is that initiating patients will commence throughout the year, so that on average each patient receives the equivalent of half of a </w:t>
      </w:r>
      <w:r w:rsidR="00AC37BB" w:rsidRPr="00226B30">
        <w:rPr>
          <w:rFonts w:asciiTheme="minorHAnsi" w:hAnsiTheme="minorHAnsi"/>
          <w:sz w:val="24"/>
        </w:rPr>
        <w:t>year’s</w:t>
      </w:r>
      <w:r w:rsidRPr="00226B30">
        <w:rPr>
          <w:rFonts w:asciiTheme="minorHAnsi" w:hAnsiTheme="minorHAnsi"/>
          <w:sz w:val="24"/>
        </w:rPr>
        <w:t xml:space="preserve"> supply.</w:t>
      </w:r>
    </w:p>
    <w:p w:rsidR="007A2DD1" w:rsidRPr="00226B30" w:rsidRDefault="007A2DD1" w:rsidP="007A2DD1">
      <w:pPr>
        <w:pStyle w:val="ListParagraph"/>
        <w:widowControl/>
        <w:numPr>
          <w:ilvl w:val="1"/>
          <w:numId w:val="13"/>
        </w:numPr>
        <w:spacing w:before="120" w:after="160"/>
        <w:ind w:left="709" w:hanging="709"/>
        <w:contextualSpacing w:val="0"/>
        <w:rPr>
          <w:rFonts w:asciiTheme="minorHAnsi" w:hAnsiTheme="minorHAnsi"/>
          <w:sz w:val="24"/>
        </w:rPr>
      </w:pPr>
      <w:r>
        <w:rPr>
          <w:rFonts w:asciiTheme="minorHAnsi" w:hAnsiTheme="minorHAnsi"/>
          <w:sz w:val="24"/>
        </w:rPr>
        <w:t xml:space="preserve">The PBAC noted that if lumacaftor/ivacaftor were listed at the DPMQ that it considered to be </w:t>
      </w:r>
      <w:r w:rsidR="00685424">
        <w:rPr>
          <w:rFonts w:asciiTheme="minorHAnsi" w:hAnsiTheme="minorHAnsi"/>
          <w:sz w:val="24"/>
        </w:rPr>
        <w:t>acceptably cost-</w:t>
      </w:r>
      <w:r>
        <w:rPr>
          <w:rFonts w:asciiTheme="minorHAnsi" w:hAnsiTheme="minorHAnsi"/>
          <w:sz w:val="24"/>
        </w:rPr>
        <w:t>effective (of $</w:t>
      </w:r>
      <w:r w:rsidR="00A42B97">
        <w:rPr>
          <w:rFonts w:asciiTheme="minorHAnsi" w:hAnsiTheme="minorHAnsi"/>
          <w:noProof/>
          <w:color w:val="000000"/>
          <w:sz w:val="24"/>
          <w:highlight w:val="black"/>
        </w:rPr>
        <w:t>''''''''''</w:t>
      </w:r>
      <w:r w:rsidRPr="001D475E">
        <w:rPr>
          <w:rFonts w:asciiTheme="minorHAnsi" w:hAnsiTheme="minorHAnsi"/>
          <w:sz w:val="24"/>
        </w:rPr>
        <w:t>, see paragraph 6.</w:t>
      </w:r>
      <w:r w:rsidR="00330E2B" w:rsidRPr="001D475E">
        <w:rPr>
          <w:rFonts w:asciiTheme="minorHAnsi" w:hAnsiTheme="minorHAnsi"/>
          <w:sz w:val="24"/>
        </w:rPr>
        <w:t>59</w:t>
      </w:r>
      <w:r w:rsidRPr="001D475E">
        <w:rPr>
          <w:rFonts w:asciiTheme="minorHAnsi" w:hAnsiTheme="minorHAnsi"/>
          <w:sz w:val="24"/>
        </w:rPr>
        <w:t>), the</w:t>
      </w:r>
      <w:r>
        <w:rPr>
          <w:rFonts w:asciiTheme="minorHAnsi" w:hAnsiTheme="minorHAnsi"/>
          <w:sz w:val="24"/>
        </w:rPr>
        <w:t xml:space="preserve"> net cost to the PBS based on the estimates of utilisation in the resubmission would be over the first five years of listing</w:t>
      </w:r>
      <w:r w:rsidR="00711D0B">
        <w:rPr>
          <w:rFonts w:asciiTheme="minorHAnsi" w:hAnsiTheme="minorHAnsi"/>
          <w:sz w:val="24"/>
        </w:rPr>
        <w:t xml:space="preserve"> would need to be recalculated</w:t>
      </w:r>
      <w:r w:rsidR="00330E2B">
        <w:rPr>
          <w:rFonts w:asciiTheme="minorHAnsi" w:hAnsiTheme="minorHAnsi"/>
          <w:sz w:val="24"/>
        </w:rPr>
        <w:t xml:space="preserve"> but may be in the vicinity of $20-30 million in each of the first five years of listing</w:t>
      </w:r>
      <w:r>
        <w:rPr>
          <w:rFonts w:asciiTheme="minorHAnsi" w:hAnsiTheme="minorHAnsi"/>
          <w:sz w:val="24"/>
        </w:rPr>
        <w:t>.</w:t>
      </w:r>
    </w:p>
    <w:p w:rsidR="00B2608F" w:rsidRPr="00BF1B64" w:rsidRDefault="00B2608F" w:rsidP="001E08C1">
      <w:pPr>
        <w:pStyle w:val="Heading3"/>
      </w:pPr>
      <w:bookmarkStart w:id="67" w:name="_Toc413139286"/>
      <w:bookmarkStart w:id="68" w:name="_Toc476306896"/>
      <w:bookmarkStart w:id="69" w:name="_Toc482713683"/>
      <w:bookmarkStart w:id="70" w:name="_Hlk482281565"/>
      <w:bookmarkEnd w:id="66"/>
      <w:r w:rsidRPr="00BF1B64">
        <w:t>Financial Management – Risk Sharing Arrangements</w:t>
      </w:r>
      <w:bookmarkEnd w:id="67"/>
      <w:bookmarkEnd w:id="68"/>
      <w:bookmarkEnd w:id="69"/>
    </w:p>
    <w:p w:rsidR="00AB3BFC" w:rsidRPr="00226B30" w:rsidRDefault="00AB3BFC" w:rsidP="001E7435">
      <w:pPr>
        <w:pStyle w:val="ListParagraph"/>
        <w:widowControl/>
        <w:numPr>
          <w:ilvl w:val="1"/>
          <w:numId w:val="13"/>
        </w:numPr>
        <w:spacing w:before="120" w:after="160"/>
        <w:ind w:left="709" w:hanging="709"/>
        <w:contextualSpacing w:val="0"/>
        <w:rPr>
          <w:rFonts w:asciiTheme="minorHAnsi" w:hAnsiTheme="minorHAnsi"/>
          <w:sz w:val="24"/>
        </w:rPr>
      </w:pPr>
      <w:bookmarkStart w:id="71" w:name="_Ref482265597"/>
      <w:bookmarkStart w:id="72" w:name="_Hlk479874235"/>
      <w:bookmarkEnd w:id="70"/>
      <w:r w:rsidRPr="00226B30">
        <w:rPr>
          <w:rFonts w:asciiTheme="minorHAnsi" w:hAnsiTheme="minorHAnsi"/>
          <w:sz w:val="24"/>
        </w:rPr>
        <w:t xml:space="preserve">The resubmission proposed a “base” financial cap that reflects </w:t>
      </w:r>
      <w:r w:rsidR="00A42B97">
        <w:rPr>
          <w:rFonts w:asciiTheme="minorHAnsi" w:hAnsiTheme="minorHAnsi"/>
          <w:noProof/>
          <w:color w:val="000000"/>
          <w:sz w:val="24"/>
          <w:highlight w:val="black"/>
        </w:rPr>
        <w:t>''' ''''''''' ''''''''''''''''''</w:t>
      </w:r>
      <w:r w:rsidRPr="00226B30">
        <w:rPr>
          <w:rFonts w:asciiTheme="minorHAnsi" w:hAnsiTheme="minorHAnsi"/>
          <w:sz w:val="24"/>
        </w:rPr>
        <w:t xml:space="preserve"> in the estimated financial impact to the PBS budget (see </w:t>
      </w:r>
      <w:r w:rsidR="003C370C" w:rsidRPr="00226B30">
        <w:rPr>
          <w:rFonts w:asciiTheme="minorHAnsi" w:hAnsiTheme="minorHAnsi"/>
          <w:sz w:val="24"/>
        </w:rPr>
        <w:t>Table 1</w:t>
      </w:r>
      <w:r w:rsidR="00330E2B">
        <w:rPr>
          <w:rFonts w:asciiTheme="minorHAnsi" w:hAnsiTheme="minorHAnsi"/>
          <w:sz w:val="24"/>
        </w:rPr>
        <w:t>5</w:t>
      </w:r>
      <w:r w:rsidRPr="00226B30">
        <w:rPr>
          <w:rFonts w:asciiTheme="minorHAnsi" w:hAnsiTheme="minorHAnsi"/>
          <w:sz w:val="24"/>
        </w:rPr>
        <w:t xml:space="preserve">). This equates to capping the gross cost to PBS </w:t>
      </w:r>
      <w:r w:rsidR="00D83898" w:rsidRPr="00226B30">
        <w:rPr>
          <w:rFonts w:asciiTheme="minorHAnsi" w:hAnsiTheme="minorHAnsi"/>
          <w:sz w:val="24"/>
        </w:rPr>
        <w:t xml:space="preserve">(including </w:t>
      </w:r>
      <w:r w:rsidR="001D475E" w:rsidRPr="00226B30">
        <w:rPr>
          <w:rFonts w:asciiTheme="minorHAnsi" w:hAnsiTheme="minorHAnsi"/>
          <w:sz w:val="24"/>
        </w:rPr>
        <w:t>co-payments</w:t>
      </w:r>
      <w:r w:rsidR="00D83898" w:rsidRPr="00226B30">
        <w:rPr>
          <w:rFonts w:asciiTheme="minorHAnsi" w:hAnsiTheme="minorHAnsi"/>
          <w:sz w:val="24"/>
        </w:rPr>
        <w:t xml:space="preserve">) </w:t>
      </w:r>
      <w:r w:rsidR="003606C9">
        <w:rPr>
          <w:rFonts w:asciiTheme="minorHAnsi" w:hAnsiTheme="minorHAnsi"/>
          <w:sz w:val="24"/>
        </w:rPr>
        <w:t xml:space="preserve">of lumacaftor/ivacaftor to </w:t>
      </w:r>
      <w:r w:rsidR="001E7435">
        <w:rPr>
          <w:rFonts w:asciiTheme="minorHAnsi" w:hAnsiTheme="minorHAnsi"/>
          <w:sz w:val="24"/>
        </w:rPr>
        <w:t xml:space="preserve">more than $100 million </w:t>
      </w:r>
      <w:r w:rsidR="00C40578">
        <w:rPr>
          <w:rFonts w:asciiTheme="minorHAnsi" w:hAnsiTheme="minorHAnsi"/>
          <w:sz w:val="24"/>
        </w:rPr>
        <w:t>in each year of listing</w:t>
      </w:r>
      <w:r w:rsidR="000D33EE">
        <w:rPr>
          <w:rFonts w:asciiTheme="minorHAnsi" w:hAnsiTheme="minorHAnsi"/>
          <w:sz w:val="24"/>
        </w:rPr>
        <w:t xml:space="preserve"> </w:t>
      </w:r>
      <w:r w:rsidRPr="00226B30">
        <w:rPr>
          <w:rFonts w:asciiTheme="minorHAnsi" w:hAnsiTheme="minorHAnsi"/>
          <w:sz w:val="24"/>
        </w:rPr>
        <w:t xml:space="preserve">over the period </w:t>
      </w:r>
      <w:r w:rsidR="004258D6">
        <w:rPr>
          <w:rFonts w:asciiTheme="minorHAnsi" w:hAnsiTheme="minorHAnsi"/>
          <w:sz w:val="24"/>
        </w:rPr>
        <w:t>of five years</w:t>
      </w:r>
      <w:r w:rsidR="00A42B97">
        <w:rPr>
          <w:rFonts w:asciiTheme="minorHAnsi" w:hAnsiTheme="minorHAnsi"/>
          <w:noProof/>
          <w:color w:val="000000"/>
          <w:sz w:val="24"/>
          <w:highlight w:val="black"/>
        </w:rPr>
        <w:t>'''''''''''</w:t>
      </w:r>
      <w:r w:rsidRPr="00226B30">
        <w:rPr>
          <w:rFonts w:asciiTheme="minorHAnsi" w:hAnsiTheme="minorHAnsi"/>
          <w:sz w:val="24"/>
        </w:rPr>
        <w:t>.</w:t>
      </w:r>
    </w:p>
    <w:p w:rsidR="00B2608F" w:rsidRPr="00226B30" w:rsidRDefault="00AB3BFC" w:rsidP="001E08C1">
      <w:pPr>
        <w:pStyle w:val="ListParagraph"/>
        <w:widowControl/>
        <w:numPr>
          <w:ilvl w:val="1"/>
          <w:numId w:val="13"/>
        </w:numPr>
        <w:spacing w:before="120" w:after="160"/>
        <w:ind w:left="720" w:hanging="720"/>
        <w:contextualSpacing w:val="0"/>
        <w:rPr>
          <w:rFonts w:asciiTheme="minorHAnsi" w:hAnsiTheme="minorHAnsi"/>
          <w:sz w:val="24"/>
        </w:rPr>
      </w:pPr>
      <w:r w:rsidRPr="00226B30">
        <w:rPr>
          <w:rFonts w:asciiTheme="minorHAnsi" w:hAnsiTheme="minorHAnsi"/>
          <w:sz w:val="24"/>
        </w:rPr>
        <w:t>In addition, t</w:t>
      </w:r>
      <w:r w:rsidR="00B2608F" w:rsidRPr="00226B30">
        <w:rPr>
          <w:rFonts w:asciiTheme="minorHAnsi" w:hAnsiTheme="minorHAnsi"/>
          <w:sz w:val="24"/>
        </w:rPr>
        <w:t xml:space="preserve">he resubmission proposed </w:t>
      </w:r>
      <w:r w:rsidR="00A42B97">
        <w:rPr>
          <w:rFonts w:asciiTheme="minorHAnsi" w:hAnsiTheme="minorHAnsi"/>
          <w:noProof/>
          <w:color w:val="000000"/>
          <w:sz w:val="24"/>
          <w:highlight w:val="black"/>
        </w:rPr>
        <w:t>''' ''''''''''''''''''''''''''''''''''''' ''''''''''''''''''''''' '''''''''''''''' ''' ''''''''''''''''''' '''' '''''''''' '''''''''''''''''''''''''''' ''''''' ''''''''''''' ''''' ''' ''''''''''' ''''''''''''''''' '''''''''''''''''''</w:t>
      </w:r>
      <w:r w:rsidR="00B2608F" w:rsidRPr="00226B30">
        <w:rPr>
          <w:rFonts w:asciiTheme="minorHAnsi" w:hAnsiTheme="minorHAnsi"/>
          <w:sz w:val="24"/>
        </w:rPr>
        <w:t xml:space="preserve"> </w:t>
      </w:r>
      <w:r w:rsidR="00B2608F" w:rsidRPr="00484DD1">
        <w:rPr>
          <w:rFonts w:asciiTheme="minorHAnsi" w:hAnsiTheme="minorHAnsi"/>
          <w:sz w:val="24"/>
        </w:rPr>
        <w:t>and proposed that the financial cap on the gross PBS costs could be further reduced if</w:t>
      </w:r>
      <w:r w:rsidR="00B2608F" w:rsidRPr="00226B30">
        <w:rPr>
          <w:rFonts w:asciiTheme="minorHAnsi" w:hAnsiTheme="minorHAnsi"/>
          <w:sz w:val="24"/>
        </w:rPr>
        <w:t xml:space="preserve"> </w:t>
      </w:r>
      <w:r w:rsidR="00A42B97">
        <w:rPr>
          <w:rFonts w:asciiTheme="minorHAnsi" w:hAnsiTheme="minorHAnsi"/>
          <w:noProof/>
          <w:color w:val="000000"/>
          <w:sz w:val="24"/>
          <w:highlight w:val="black"/>
        </w:rPr>
        <w:t xml:space="preserve">''''''''''''''''' '''''''''''''' '''''''''' '''''''' '''''''' ''''' ''''''''''''''''' '''' '''''''''' '''''' </w:t>
      </w:r>
      <w:r w:rsidR="003D5EED" w:rsidRPr="00226B30">
        <w:rPr>
          <w:rFonts w:asciiTheme="minorHAnsi" w:hAnsiTheme="minorHAnsi"/>
          <w:sz w:val="24"/>
        </w:rPr>
        <w:t xml:space="preserve">Conversely, </w:t>
      </w:r>
      <w:r w:rsidR="00B845B4" w:rsidRPr="00226B30">
        <w:rPr>
          <w:rFonts w:asciiTheme="minorHAnsi" w:hAnsiTheme="minorHAnsi"/>
          <w:sz w:val="24"/>
        </w:rPr>
        <w:t xml:space="preserve">the resubmission proposed </w:t>
      </w:r>
      <w:bookmarkStart w:id="73" w:name="_Hlk479700258"/>
      <w:bookmarkEnd w:id="71"/>
      <w:r w:rsidR="00A42B97">
        <w:rPr>
          <w:rFonts w:asciiTheme="minorHAnsi" w:hAnsiTheme="minorHAnsi"/>
          <w:noProof/>
          <w:color w:val="000000"/>
          <w:sz w:val="24"/>
          <w:highlight w:val="black"/>
        </w:rPr>
        <w:t>''''''' ''' ''''''''''''''' ''''''''' '''''''''''''''''''' '''''' ''''''''''' ''''''' '''''''''' ''''''''' ''''' '''''''''''''''''''' '''''''''''''''''''''''''''''' '''''''' '''''''''''''''' ''' ''''''''''''''''</w:t>
      </w:r>
      <w:r w:rsidR="006B7A93" w:rsidRPr="00484DD1">
        <w:rPr>
          <w:rFonts w:asciiTheme="minorHAnsi" w:hAnsiTheme="minorHAnsi"/>
          <w:sz w:val="24"/>
        </w:rPr>
        <w:t xml:space="preserve"> </w:t>
      </w:r>
      <w:r w:rsidR="00D959D5" w:rsidRPr="00484DD1">
        <w:rPr>
          <w:rFonts w:asciiTheme="minorHAnsi" w:hAnsiTheme="minorHAnsi"/>
          <w:sz w:val="24"/>
        </w:rPr>
        <w:t xml:space="preserve">receiving PBS-subsidised </w:t>
      </w:r>
      <w:r w:rsidR="006B7A93" w:rsidRPr="00484DD1">
        <w:rPr>
          <w:rFonts w:asciiTheme="minorHAnsi" w:hAnsiTheme="minorHAnsi"/>
          <w:sz w:val="24"/>
        </w:rPr>
        <w:t>lumacaftor/ivacaftor</w:t>
      </w:r>
      <w:r w:rsidR="00B2608F" w:rsidRPr="00484DD1">
        <w:rPr>
          <w:rFonts w:asciiTheme="minorHAnsi" w:hAnsiTheme="minorHAnsi"/>
          <w:sz w:val="24"/>
        </w:rPr>
        <w:t xml:space="preserve"> would be </w:t>
      </w:r>
      <w:bookmarkEnd w:id="73"/>
      <w:r w:rsidR="00A42B97">
        <w:rPr>
          <w:rFonts w:asciiTheme="minorHAnsi" w:hAnsiTheme="minorHAnsi"/>
          <w:noProof/>
          <w:color w:val="000000"/>
          <w:sz w:val="24"/>
          <w:highlight w:val="black"/>
        </w:rPr>
        <w:t>'''''''''''''''''''' '''''''''' ''''''''''''''''''''''''''' '''''''' ''''''''''''''''' '''' ''' '''''''''''''''''''''' '''''''''''''''''' ''''''''''''' '''''''''''''''''''''''' ''''' ''''''''''''''' '''''''' '''''' ''''''''''''''' ''''''''' '''''''''''''''''' ''''''''''''' '''''''''''''' ''' ''''''' ''''''''''''''' '''''''''''''''''' ''''''' ''''''' '''''''''</w:t>
      </w:r>
      <w:r w:rsidR="00D959D5" w:rsidRPr="00226B30">
        <w:rPr>
          <w:rFonts w:asciiTheme="minorHAnsi" w:hAnsiTheme="minorHAnsi"/>
          <w:sz w:val="24"/>
        </w:rPr>
        <w:t xml:space="preserve"> The resubmission stated that patients who previously received non-PBS </w:t>
      </w:r>
      <w:r w:rsidR="006C451B" w:rsidRPr="00226B30">
        <w:rPr>
          <w:rFonts w:asciiTheme="minorHAnsi" w:hAnsiTheme="minorHAnsi"/>
          <w:sz w:val="24"/>
        </w:rPr>
        <w:t>subsidised</w:t>
      </w:r>
      <w:r w:rsidR="00D959D5" w:rsidRPr="00226B30">
        <w:rPr>
          <w:rFonts w:asciiTheme="minorHAnsi" w:hAnsiTheme="minorHAnsi"/>
          <w:sz w:val="24"/>
        </w:rPr>
        <w:t xml:space="preserve"> lumacaftor/ivacaftor</w:t>
      </w:r>
      <w:r w:rsidR="006C451B" w:rsidRPr="00226B30">
        <w:rPr>
          <w:rFonts w:asciiTheme="minorHAnsi" w:hAnsiTheme="minorHAnsi"/>
          <w:sz w:val="24"/>
        </w:rPr>
        <w:t>,</w:t>
      </w:r>
      <w:r w:rsidR="00D959D5" w:rsidRPr="00226B30">
        <w:rPr>
          <w:rFonts w:asciiTheme="minorHAnsi" w:hAnsiTheme="minorHAnsi"/>
          <w:sz w:val="24"/>
        </w:rPr>
        <w:t xml:space="preserve"> </w:t>
      </w:r>
      <w:r w:rsidR="006C451B" w:rsidRPr="00226B30">
        <w:rPr>
          <w:rFonts w:asciiTheme="minorHAnsi" w:hAnsiTheme="minorHAnsi"/>
          <w:sz w:val="24"/>
        </w:rPr>
        <w:t xml:space="preserve">such as through a </w:t>
      </w:r>
      <w:r w:rsidR="00D959D5" w:rsidRPr="00226B30">
        <w:rPr>
          <w:rFonts w:asciiTheme="minorHAnsi" w:hAnsiTheme="minorHAnsi"/>
          <w:sz w:val="24"/>
        </w:rPr>
        <w:t>clinical trial or compassionate use</w:t>
      </w:r>
      <w:r w:rsidR="006C451B" w:rsidRPr="00226B30">
        <w:rPr>
          <w:rFonts w:asciiTheme="minorHAnsi" w:hAnsiTheme="minorHAnsi"/>
          <w:sz w:val="24"/>
        </w:rPr>
        <w:t>,</w:t>
      </w:r>
      <w:r w:rsidR="00D959D5" w:rsidRPr="00226B30">
        <w:rPr>
          <w:rFonts w:asciiTheme="minorHAnsi" w:hAnsiTheme="minorHAnsi"/>
          <w:sz w:val="24"/>
        </w:rPr>
        <w:t xml:space="preserve"> would </w:t>
      </w:r>
      <w:r w:rsidR="00A42B97">
        <w:rPr>
          <w:rFonts w:asciiTheme="minorHAnsi" w:hAnsiTheme="minorHAnsi"/>
          <w:noProof/>
          <w:color w:val="000000"/>
          <w:sz w:val="24"/>
          <w:highlight w:val="black"/>
        </w:rPr>
        <w:t>''''''''' '''' ''''''</w:t>
      </w:r>
      <w:r w:rsidR="00D959D5" w:rsidRPr="00226B30">
        <w:rPr>
          <w:rFonts w:asciiTheme="minorHAnsi" w:hAnsiTheme="minorHAnsi"/>
          <w:sz w:val="24"/>
        </w:rPr>
        <w:t xml:space="preserve"> </w:t>
      </w:r>
      <w:r w:rsidR="00A42B97">
        <w:rPr>
          <w:rFonts w:asciiTheme="minorHAnsi" w:hAnsiTheme="minorHAnsi"/>
          <w:noProof/>
          <w:color w:val="000000"/>
          <w:sz w:val="24"/>
          <w:highlight w:val="black"/>
        </w:rPr>
        <w:t xml:space="preserve">''''''''''''''''' '''''''''' '''''' '''''''''''''''''''''''' ''''' ''''' ''''''''' '''''''' ''''''''''''''''''''''' </w:t>
      </w:r>
      <w:r w:rsidR="00B845B4" w:rsidRPr="00226B30">
        <w:rPr>
          <w:rFonts w:asciiTheme="minorHAnsi" w:hAnsiTheme="minorHAnsi"/>
          <w:sz w:val="24"/>
        </w:rPr>
        <w:t>The resubmission claimed this is a “pragmatic” approach that would provide high quality and representative data collection.</w:t>
      </w:r>
    </w:p>
    <w:p w:rsidR="008A1DA3" w:rsidRDefault="008A1DA3" w:rsidP="008A1DA3">
      <w:pPr>
        <w:pStyle w:val="Caption"/>
      </w:pPr>
      <w:r>
        <w:t xml:space="preserve">Table </w:t>
      </w:r>
      <w:r w:rsidR="000056CF">
        <w:rPr>
          <w:noProof/>
        </w:rPr>
        <w:t>16</w:t>
      </w:r>
      <w:r w:rsidRPr="00E329FB">
        <w:t xml:space="preserve">: </w:t>
      </w:r>
      <w:r w:rsidR="00A42B97">
        <w:rPr>
          <w:noProof/>
          <w:color w:val="000000"/>
          <w:highlight w:val="black"/>
        </w:rPr>
        <w:t>'''''''''''''''''''''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1326"/>
        <w:gridCol w:w="1327"/>
        <w:gridCol w:w="1326"/>
        <w:gridCol w:w="1327"/>
      </w:tblGrid>
      <w:tr w:rsidR="00B845B4" w:rsidRPr="00A03BAB" w:rsidTr="00EE032F">
        <w:tc>
          <w:tcPr>
            <w:tcW w:w="3936" w:type="dxa"/>
            <w:vAlign w:val="center"/>
          </w:tcPr>
          <w:p w:rsidR="00B845B4" w:rsidRPr="00A42B97" w:rsidRDefault="00B845B4" w:rsidP="00057514">
            <w:pPr>
              <w:keepNext/>
              <w:widowControl/>
              <w:rPr>
                <w:rFonts w:ascii="Arial Narrow" w:hAnsi="Arial Narrow"/>
                <w:b/>
                <w:sz w:val="20"/>
              </w:rPr>
            </w:pPr>
          </w:p>
        </w:tc>
        <w:tc>
          <w:tcPr>
            <w:tcW w:w="1326" w:type="dxa"/>
            <w:vAlign w:val="center"/>
          </w:tcPr>
          <w:p w:rsidR="00B845B4" w:rsidRPr="00A42B97" w:rsidRDefault="00A42B97" w:rsidP="00057514">
            <w:pPr>
              <w:keepNext/>
              <w:widowControl/>
              <w:jc w:val="center"/>
              <w:rPr>
                <w:rFonts w:ascii="Arial Narrow" w:hAnsi="Arial Narrow"/>
                <w:b/>
                <w:sz w:val="20"/>
                <w:highlight w:val="black"/>
              </w:rPr>
            </w:pPr>
            <w:r>
              <w:rPr>
                <w:rFonts w:ascii="Arial Narrow" w:hAnsi="Arial Narrow"/>
                <w:b/>
                <w:noProof/>
                <w:color w:val="000000"/>
                <w:sz w:val="20"/>
                <w:highlight w:val="black"/>
              </w:rPr>
              <w:t>''''''''''''' '''''''''''</w:t>
            </w:r>
          </w:p>
          <w:p w:rsidR="00B845B4" w:rsidRPr="00A42B97" w:rsidRDefault="00A42B97" w:rsidP="00057514">
            <w:pPr>
              <w:keepNext/>
              <w:widowControl/>
              <w:jc w:val="center"/>
              <w:rPr>
                <w:rFonts w:ascii="Arial Narrow" w:hAnsi="Arial Narrow"/>
                <w:b/>
                <w:sz w:val="20"/>
                <w:highlight w:val="black"/>
              </w:rPr>
            </w:pPr>
            <w:r>
              <w:rPr>
                <w:rFonts w:ascii="Arial Narrow" w:hAnsi="Arial Narrow"/>
                <w:b/>
                <w:noProof/>
                <w:color w:val="000000"/>
                <w:sz w:val="20"/>
                <w:highlight w:val="black"/>
              </w:rPr>
              <w:t>''''''''' '''</w:t>
            </w:r>
          </w:p>
        </w:tc>
        <w:tc>
          <w:tcPr>
            <w:tcW w:w="1327" w:type="dxa"/>
            <w:vAlign w:val="center"/>
          </w:tcPr>
          <w:p w:rsidR="00B845B4" w:rsidRPr="00A42B97" w:rsidRDefault="00A42B97" w:rsidP="00057514">
            <w:pPr>
              <w:keepNext/>
              <w:widowControl/>
              <w:jc w:val="center"/>
              <w:rPr>
                <w:rFonts w:ascii="Arial Narrow" w:hAnsi="Arial Narrow"/>
                <w:b/>
                <w:sz w:val="20"/>
                <w:highlight w:val="black"/>
              </w:rPr>
            </w:pPr>
            <w:r>
              <w:rPr>
                <w:rFonts w:ascii="Arial Narrow" w:hAnsi="Arial Narrow"/>
                <w:b/>
                <w:noProof/>
                <w:color w:val="000000"/>
                <w:sz w:val="20"/>
                <w:highlight w:val="black"/>
              </w:rPr>
              <w:t>'''''''''''''' ''''''''''''</w:t>
            </w:r>
          </w:p>
          <w:p w:rsidR="00B845B4" w:rsidRPr="00A42B97" w:rsidRDefault="00A42B97" w:rsidP="00057514">
            <w:pPr>
              <w:keepNext/>
              <w:widowControl/>
              <w:jc w:val="center"/>
              <w:rPr>
                <w:rFonts w:ascii="Arial Narrow" w:hAnsi="Arial Narrow"/>
                <w:b/>
                <w:sz w:val="20"/>
                <w:highlight w:val="black"/>
              </w:rPr>
            </w:pPr>
            <w:r>
              <w:rPr>
                <w:rFonts w:ascii="Arial Narrow" w:hAnsi="Arial Narrow"/>
                <w:b/>
                <w:noProof/>
                <w:color w:val="000000"/>
                <w:sz w:val="20"/>
                <w:highlight w:val="black"/>
              </w:rPr>
              <w:t>'''''''' '''</w:t>
            </w:r>
          </w:p>
        </w:tc>
        <w:tc>
          <w:tcPr>
            <w:tcW w:w="1326" w:type="dxa"/>
            <w:vAlign w:val="center"/>
          </w:tcPr>
          <w:p w:rsidR="00B845B4" w:rsidRPr="00A42B97" w:rsidRDefault="00A42B97" w:rsidP="00057514">
            <w:pPr>
              <w:keepNext/>
              <w:widowControl/>
              <w:jc w:val="center"/>
              <w:rPr>
                <w:rFonts w:ascii="Arial Narrow" w:hAnsi="Arial Narrow"/>
                <w:b/>
                <w:sz w:val="20"/>
                <w:highlight w:val="black"/>
              </w:rPr>
            </w:pPr>
            <w:r>
              <w:rPr>
                <w:rFonts w:ascii="Arial Narrow" w:hAnsi="Arial Narrow"/>
                <w:b/>
                <w:noProof/>
                <w:color w:val="000000"/>
                <w:sz w:val="20"/>
                <w:highlight w:val="black"/>
              </w:rPr>
              <w:t>''''''''''''' ''''''''''''</w:t>
            </w:r>
          </w:p>
        </w:tc>
        <w:tc>
          <w:tcPr>
            <w:tcW w:w="1327" w:type="dxa"/>
            <w:vAlign w:val="center"/>
          </w:tcPr>
          <w:p w:rsidR="00B845B4" w:rsidRPr="00A42B97" w:rsidRDefault="00A42B97" w:rsidP="00057514">
            <w:pPr>
              <w:keepNext/>
              <w:widowControl/>
              <w:jc w:val="center"/>
              <w:rPr>
                <w:rFonts w:ascii="Arial Narrow" w:hAnsi="Arial Narrow"/>
                <w:b/>
                <w:sz w:val="20"/>
                <w:highlight w:val="black"/>
              </w:rPr>
            </w:pPr>
            <w:r>
              <w:rPr>
                <w:rFonts w:ascii="Arial Narrow" w:hAnsi="Arial Narrow"/>
                <w:b/>
                <w:noProof/>
                <w:color w:val="000000"/>
                <w:sz w:val="20"/>
                <w:highlight w:val="black"/>
              </w:rPr>
              <w:t>''''''''''''''' '''''''''''</w:t>
            </w:r>
          </w:p>
        </w:tc>
      </w:tr>
      <w:tr w:rsidR="00B845B4" w:rsidRPr="00A03BAB" w:rsidTr="00EE032F">
        <w:tc>
          <w:tcPr>
            <w:tcW w:w="3936" w:type="dxa"/>
            <w:vAlign w:val="center"/>
          </w:tcPr>
          <w:p w:rsidR="00B845B4" w:rsidRPr="00A42B97" w:rsidRDefault="00A42B97" w:rsidP="00057514">
            <w:pPr>
              <w:keepNext/>
              <w:widowControl/>
              <w:rPr>
                <w:rFonts w:ascii="Arial Narrow" w:hAnsi="Arial Narrow"/>
                <w:sz w:val="20"/>
                <w:highlight w:val="black"/>
              </w:rPr>
            </w:pPr>
            <w:r>
              <w:rPr>
                <w:rFonts w:ascii="Arial Narrow" w:hAnsi="Arial Narrow"/>
                <w:noProof/>
                <w:color w:val="000000"/>
                <w:sz w:val="20"/>
                <w:highlight w:val="black"/>
              </w:rPr>
              <w:t>'''''''''''''''' ''''''' '''''''''''' '''''''''''''''''''''' ''''' '''''''''''''''''''''''''''''' ''''''''''</w:t>
            </w:r>
          </w:p>
        </w:tc>
        <w:tc>
          <w:tcPr>
            <w:tcW w:w="1326" w:type="dxa"/>
            <w:vAlign w:val="center"/>
          </w:tcPr>
          <w:p w:rsidR="00B845B4" w:rsidRPr="00A42B97" w:rsidRDefault="00A42B97" w:rsidP="00057514">
            <w:pPr>
              <w:keepNext/>
              <w:widowControl/>
              <w:jc w:val="center"/>
              <w:rPr>
                <w:rFonts w:ascii="Arial Narrow" w:hAnsi="Arial Narrow"/>
                <w:sz w:val="20"/>
                <w:highlight w:val="black"/>
              </w:rPr>
            </w:pPr>
            <w:r>
              <w:rPr>
                <w:rFonts w:ascii="Arial Narrow" w:hAnsi="Arial Narrow"/>
                <w:noProof/>
                <w:color w:val="000000"/>
                <w:sz w:val="20"/>
                <w:highlight w:val="black"/>
              </w:rPr>
              <w:t>'''''''''''''</w:t>
            </w:r>
          </w:p>
        </w:tc>
        <w:tc>
          <w:tcPr>
            <w:tcW w:w="1327" w:type="dxa"/>
            <w:vAlign w:val="center"/>
          </w:tcPr>
          <w:p w:rsidR="00B845B4" w:rsidRPr="00A42B97" w:rsidRDefault="00A42B97" w:rsidP="00057514">
            <w:pPr>
              <w:keepNext/>
              <w:widowControl/>
              <w:jc w:val="center"/>
              <w:rPr>
                <w:rFonts w:ascii="Arial Narrow" w:hAnsi="Arial Narrow"/>
                <w:sz w:val="20"/>
                <w:highlight w:val="black"/>
              </w:rPr>
            </w:pPr>
            <w:r>
              <w:rPr>
                <w:rFonts w:ascii="Arial Narrow" w:hAnsi="Arial Narrow"/>
                <w:noProof/>
                <w:color w:val="000000"/>
                <w:sz w:val="20"/>
                <w:highlight w:val="black"/>
              </w:rPr>
              <w:t>''''''''''''' ''''' '''''''''''''</w:t>
            </w:r>
          </w:p>
        </w:tc>
        <w:tc>
          <w:tcPr>
            <w:tcW w:w="1326" w:type="dxa"/>
            <w:vAlign w:val="center"/>
          </w:tcPr>
          <w:p w:rsidR="00B845B4" w:rsidRPr="00A42B97" w:rsidRDefault="00A42B97" w:rsidP="00057514">
            <w:pPr>
              <w:keepNext/>
              <w:widowControl/>
              <w:jc w:val="center"/>
              <w:rPr>
                <w:rFonts w:ascii="Arial Narrow" w:hAnsi="Arial Narrow"/>
                <w:sz w:val="20"/>
                <w:highlight w:val="black"/>
              </w:rPr>
            </w:pPr>
            <w:r>
              <w:rPr>
                <w:rFonts w:ascii="Arial Narrow" w:hAnsi="Arial Narrow"/>
                <w:noProof/>
                <w:color w:val="000000"/>
                <w:sz w:val="20"/>
                <w:highlight w:val="black"/>
              </w:rPr>
              <w:t>''''''''' '''' '''''''''''''''</w:t>
            </w:r>
          </w:p>
        </w:tc>
        <w:tc>
          <w:tcPr>
            <w:tcW w:w="1327" w:type="dxa"/>
            <w:vAlign w:val="center"/>
          </w:tcPr>
          <w:p w:rsidR="00B845B4" w:rsidRPr="00A42B97" w:rsidRDefault="00A42B97" w:rsidP="00057514">
            <w:pPr>
              <w:keepNext/>
              <w:widowControl/>
              <w:jc w:val="center"/>
              <w:rPr>
                <w:rFonts w:ascii="Arial Narrow" w:hAnsi="Arial Narrow"/>
                <w:sz w:val="20"/>
                <w:highlight w:val="black"/>
              </w:rPr>
            </w:pPr>
            <w:r>
              <w:rPr>
                <w:rFonts w:ascii="Arial Narrow" w:hAnsi="Arial Narrow"/>
                <w:noProof/>
                <w:color w:val="000000"/>
                <w:sz w:val="20"/>
                <w:highlight w:val="black"/>
              </w:rPr>
              <w:t>''''''''''''''''</w:t>
            </w:r>
          </w:p>
        </w:tc>
      </w:tr>
      <w:tr w:rsidR="00B845B4" w:rsidRPr="00A03BAB" w:rsidTr="00EE032F">
        <w:tc>
          <w:tcPr>
            <w:tcW w:w="3936" w:type="dxa"/>
            <w:vAlign w:val="center"/>
          </w:tcPr>
          <w:p w:rsidR="00B845B4" w:rsidRPr="00A42B97" w:rsidRDefault="00A42B97" w:rsidP="00057514">
            <w:pPr>
              <w:keepNext/>
              <w:widowControl/>
              <w:rPr>
                <w:rFonts w:ascii="Arial Narrow" w:hAnsi="Arial Narrow"/>
                <w:sz w:val="20"/>
                <w:highlight w:val="black"/>
              </w:rPr>
            </w:pPr>
            <w:r>
              <w:rPr>
                <w:rFonts w:ascii="Arial Narrow" w:hAnsi="Arial Narrow"/>
                <w:noProof/>
                <w:color w:val="000000"/>
                <w:sz w:val="20"/>
                <w:highlight w:val="black"/>
              </w:rPr>
              <w:t>''''''''''''' ''''''''''</w:t>
            </w:r>
          </w:p>
        </w:tc>
        <w:tc>
          <w:tcPr>
            <w:tcW w:w="1326" w:type="dxa"/>
            <w:vAlign w:val="center"/>
          </w:tcPr>
          <w:p w:rsidR="00B845B4" w:rsidRPr="00A42B97" w:rsidRDefault="00A42B97" w:rsidP="00057514">
            <w:pPr>
              <w:keepNext/>
              <w:widowControl/>
              <w:jc w:val="center"/>
              <w:rPr>
                <w:rFonts w:ascii="Arial Narrow" w:hAnsi="Arial Narrow"/>
                <w:sz w:val="20"/>
                <w:highlight w:val="black"/>
              </w:rPr>
            </w:pPr>
            <w:r>
              <w:rPr>
                <w:rFonts w:ascii="Arial Narrow" w:hAnsi="Arial Narrow"/>
                <w:noProof/>
                <w:color w:val="000000"/>
                <w:sz w:val="20"/>
                <w:highlight w:val="black"/>
              </w:rPr>
              <w:t>''''''''''</w:t>
            </w:r>
          </w:p>
        </w:tc>
        <w:tc>
          <w:tcPr>
            <w:tcW w:w="1327" w:type="dxa"/>
            <w:vAlign w:val="center"/>
          </w:tcPr>
          <w:p w:rsidR="00B845B4" w:rsidRPr="00A42B97" w:rsidRDefault="00A42B97" w:rsidP="00057514">
            <w:pPr>
              <w:keepNext/>
              <w:widowControl/>
              <w:jc w:val="center"/>
              <w:rPr>
                <w:rFonts w:ascii="Arial Narrow" w:hAnsi="Arial Narrow"/>
                <w:sz w:val="20"/>
                <w:highlight w:val="black"/>
              </w:rPr>
            </w:pPr>
            <w:r>
              <w:rPr>
                <w:rFonts w:ascii="Arial Narrow" w:hAnsi="Arial Narrow"/>
                <w:noProof/>
                <w:color w:val="000000"/>
                <w:sz w:val="20"/>
                <w:highlight w:val="black"/>
              </w:rPr>
              <w:t>''''''''''</w:t>
            </w:r>
          </w:p>
        </w:tc>
        <w:tc>
          <w:tcPr>
            <w:tcW w:w="1326" w:type="dxa"/>
            <w:vAlign w:val="center"/>
          </w:tcPr>
          <w:p w:rsidR="00B845B4" w:rsidRPr="00A42B97" w:rsidRDefault="00A42B97" w:rsidP="00057514">
            <w:pPr>
              <w:keepNext/>
              <w:widowControl/>
              <w:jc w:val="center"/>
              <w:rPr>
                <w:rFonts w:ascii="Arial Narrow" w:hAnsi="Arial Narrow"/>
                <w:sz w:val="20"/>
                <w:highlight w:val="black"/>
              </w:rPr>
            </w:pPr>
            <w:r>
              <w:rPr>
                <w:rFonts w:ascii="Arial Narrow" w:hAnsi="Arial Narrow"/>
                <w:noProof/>
                <w:color w:val="000000"/>
                <w:sz w:val="20"/>
                <w:highlight w:val="black"/>
              </w:rPr>
              <w:t>''''''''''</w:t>
            </w:r>
          </w:p>
        </w:tc>
        <w:tc>
          <w:tcPr>
            <w:tcW w:w="1327" w:type="dxa"/>
            <w:vAlign w:val="center"/>
          </w:tcPr>
          <w:p w:rsidR="00B845B4" w:rsidRPr="00A42B97" w:rsidRDefault="00A42B97" w:rsidP="00057514">
            <w:pPr>
              <w:keepNext/>
              <w:widowControl/>
              <w:jc w:val="center"/>
              <w:rPr>
                <w:rFonts w:ascii="Arial Narrow" w:hAnsi="Arial Narrow"/>
                <w:sz w:val="20"/>
                <w:highlight w:val="black"/>
              </w:rPr>
            </w:pPr>
            <w:r>
              <w:rPr>
                <w:rFonts w:ascii="Arial Narrow" w:hAnsi="Arial Narrow"/>
                <w:noProof/>
                <w:color w:val="000000"/>
                <w:sz w:val="20"/>
                <w:highlight w:val="black"/>
              </w:rPr>
              <w:t>'''''''''''</w:t>
            </w:r>
          </w:p>
        </w:tc>
      </w:tr>
      <w:tr w:rsidR="00B845B4" w:rsidRPr="00A03BAB" w:rsidTr="00EE032F">
        <w:tc>
          <w:tcPr>
            <w:tcW w:w="3936" w:type="dxa"/>
            <w:vAlign w:val="center"/>
          </w:tcPr>
          <w:p w:rsidR="00B845B4" w:rsidRPr="00A42B97" w:rsidRDefault="00A42B97" w:rsidP="00057514">
            <w:pPr>
              <w:keepNext/>
              <w:widowControl/>
              <w:rPr>
                <w:rFonts w:ascii="Arial Narrow" w:hAnsi="Arial Narrow"/>
                <w:sz w:val="20"/>
                <w:highlight w:val="black"/>
              </w:rPr>
            </w:pPr>
            <w:r>
              <w:rPr>
                <w:rFonts w:ascii="Arial Narrow" w:hAnsi="Arial Narrow"/>
                <w:noProof/>
                <w:color w:val="000000"/>
                <w:sz w:val="20"/>
                <w:highlight w:val="black"/>
              </w:rPr>
              <w:t>''''''''''''''''''''''''' ''''''''''''''''''''''''''''''''''''''''''''''' '''''''''' ''''''''''''''''''' ''''' ''''''''''' '''''''''''''''' ''''''''''''''''''''' '''''''''''''''''</w:t>
            </w:r>
          </w:p>
        </w:tc>
        <w:tc>
          <w:tcPr>
            <w:tcW w:w="1326" w:type="dxa"/>
            <w:vAlign w:val="center"/>
          </w:tcPr>
          <w:p w:rsidR="00B845B4" w:rsidRPr="00A42B97" w:rsidRDefault="00A42B97" w:rsidP="00057514">
            <w:pPr>
              <w:keepNext/>
              <w:widowControl/>
              <w:jc w:val="center"/>
              <w:rPr>
                <w:rFonts w:ascii="Arial Narrow" w:hAnsi="Arial Narrow"/>
                <w:sz w:val="20"/>
                <w:highlight w:val="black"/>
              </w:rPr>
            </w:pPr>
            <w:r>
              <w:rPr>
                <w:rFonts w:ascii="Arial Narrow" w:hAnsi="Arial Narrow"/>
                <w:noProof/>
                <w:color w:val="000000"/>
                <w:sz w:val="20"/>
                <w:highlight w:val="black"/>
              </w:rPr>
              <w:t>''''''''''''''</w:t>
            </w:r>
          </w:p>
        </w:tc>
        <w:tc>
          <w:tcPr>
            <w:tcW w:w="1327" w:type="dxa"/>
            <w:vAlign w:val="center"/>
          </w:tcPr>
          <w:p w:rsidR="00B845B4" w:rsidRPr="00A42B97" w:rsidRDefault="00A42B97" w:rsidP="00057514">
            <w:pPr>
              <w:keepNext/>
              <w:widowControl/>
              <w:jc w:val="center"/>
              <w:rPr>
                <w:rFonts w:ascii="Arial Narrow" w:hAnsi="Arial Narrow"/>
                <w:sz w:val="20"/>
                <w:highlight w:val="black"/>
              </w:rPr>
            </w:pPr>
            <w:r>
              <w:rPr>
                <w:rFonts w:ascii="Arial Narrow" w:hAnsi="Arial Narrow"/>
                <w:noProof/>
                <w:color w:val="000000"/>
                <w:sz w:val="20"/>
                <w:highlight w:val="black"/>
              </w:rPr>
              <w:t>'''''''''''''</w:t>
            </w:r>
          </w:p>
        </w:tc>
        <w:tc>
          <w:tcPr>
            <w:tcW w:w="1326" w:type="dxa"/>
            <w:vAlign w:val="center"/>
          </w:tcPr>
          <w:p w:rsidR="00B845B4" w:rsidRPr="00A42B97" w:rsidRDefault="00A42B97" w:rsidP="00057514">
            <w:pPr>
              <w:keepNext/>
              <w:widowControl/>
              <w:jc w:val="center"/>
              <w:rPr>
                <w:rFonts w:ascii="Arial Narrow" w:hAnsi="Arial Narrow"/>
                <w:sz w:val="20"/>
                <w:highlight w:val="black"/>
              </w:rPr>
            </w:pPr>
            <w:r>
              <w:rPr>
                <w:rFonts w:ascii="Arial Narrow" w:hAnsi="Arial Narrow"/>
                <w:noProof/>
                <w:color w:val="000000"/>
                <w:sz w:val="20"/>
                <w:highlight w:val="black"/>
              </w:rPr>
              <w:t>'''''''''</w:t>
            </w:r>
          </w:p>
        </w:tc>
        <w:tc>
          <w:tcPr>
            <w:tcW w:w="1327" w:type="dxa"/>
            <w:vAlign w:val="center"/>
          </w:tcPr>
          <w:p w:rsidR="00B845B4" w:rsidRPr="00A42B97" w:rsidRDefault="00A42B97" w:rsidP="00057514">
            <w:pPr>
              <w:keepNext/>
              <w:widowControl/>
              <w:jc w:val="center"/>
              <w:rPr>
                <w:rFonts w:ascii="Arial Narrow" w:hAnsi="Arial Narrow"/>
                <w:sz w:val="20"/>
                <w:highlight w:val="black"/>
              </w:rPr>
            </w:pPr>
            <w:r>
              <w:rPr>
                <w:rFonts w:ascii="Arial Narrow" w:hAnsi="Arial Narrow"/>
                <w:noProof/>
                <w:color w:val="000000"/>
                <w:sz w:val="20"/>
                <w:highlight w:val="black"/>
              </w:rPr>
              <w:t>'''''''''</w:t>
            </w:r>
          </w:p>
        </w:tc>
      </w:tr>
      <w:tr w:rsidR="00B845B4" w:rsidRPr="00A03BAB" w:rsidTr="00EE032F">
        <w:tc>
          <w:tcPr>
            <w:tcW w:w="3936" w:type="dxa"/>
            <w:vAlign w:val="center"/>
          </w:tcPr>
          <w:p w:rsidR="00B845B4" w:rsidRPr="00A42B97" w:rsidRDefault="00A42B97" w:rsidP="00057514">
            <w:pPr>
              <w:keepNext/>
              <w:widowControl/>
              <w:rPr>
                <w:rFonts w:ascii="Arial Narrow" w:hAnsi="Arial Narrow"/>
                <w:sz w:val="20"/>
                <w:highlight w:val="black"/>
              </w:rPr>
            </w:pPr>
            <w:r>
              <w:rPr>
                <w:rFonts w:ascii="Arial Narrow" w:hAnsi="Arial Narrow"/>
                <w:noProof/>
                <w:color w:val="000000"/>
                <w:sz w:val="20"/>
                <w:highlight w:val="black"/>
              </w:rPr>
              <w:t>''''''''''''' '''''''''''''''''''''''' ''''' ''''''''''' '''''''''''' '''' '''''''''''''''''''''''</w:t>
            </w:r>
          </w:p>
        </w:tc>
        <w:tc>
          <w:tcPr>
            <w:tcW w:w="1326" w:type="dxa"/>
            <w:vAlign w:val="center"/>
          </w:tcPr>
          <w:p w:rsidR="00B845B4" w:rsidRPr="00A42B97" w:rsidRDefault="00A42B97" w:rsidP="00057514">
            <w:pPr>
              <w:keepNext/>
              <w:widowControl/>
              <w:jc w:val="center"/>
              <w:rPr>
                <w:rFonts w:ascii="Arial Narrow" w:hAnsi="Arial Narrow"/>
                <w:sz w:val="20"/>
                <w:highlight w:val="black"/>
              </w:rPr>
            </w:pPr>
            <w:r>
              <w:rPr>
                <w:rFonts w:ascii="Arial Narrow" w:hAnsi="Arial Narrow"/>
                <w:noProof/>
                <w:color w:val="000000"/>
                <w:sz w:val="20"/>
                <w:highlight w:val="black"/>
              </w:rPr>
              <w:t>'''''''''''</w:t>
            </w:r>
          </w:p>
        </w:tc>
        <w:tc>
          <w:tcPr>
            <w:tcW w:w="1327" w:type="dxa"/>
            <w:vAlign w:val="center"/>
          </w:tcPr>
          <w:p w:rsidR="00B845B4" w:rsidRPr="00A42B97" w:rsidRDefault="00A42B97" w:rsidP="00057514">
            <w:pPr>
              <w:keepNext/>
              <w:widowControl/>
              <w:jc w:val="center"/>
              <w:rPr>
                <w:rFonts w:ascii="Arial Narrow" w:hAnsi="Arial Narrow"/>
                <w:sz w:val="20"/>
                <w:highlight w:val="black"/>
              </w:rPr>
            </w:pPr>
            <w:r>
              <w:rPr>
                <w:rFonts w:ascii="Arial Narrow" w:hAnsi="Arial Narrow"/>
                <w:noProof/>
                <w:color w:val="000000"/>
                <w:sz w:val="20"/>
                <w:highlight w:val="black"/>
              </w:rPr>
              <w:t>''''''''''</w:t>
            </w:r>
          </w:p>
        </w:tc>
        <w:tc>
          <w:tcPr>
            <w:tcW w:w="1326" w:type="dxa"/>
            <w:vAlign w:val="center"/>
          </w:tcPr>
          <w:p w:rsidR="00B845B4" w:rsidRPr="00A42B97" w:rsidRDefault="00A42B97" w:rsidP="00057514">
            <w:pPr>
              <w:keepNext/>
              <w:widowControl/>
              <w:jc w:val="center"/>
              <w:rPr>
                <w:rFonts w:ascii="Arial Narrow" w:hAnsi="Arial Narrow"/>
                <w:sz w:val="20"/>
                <w:highlight w:val="black"/>
              </w:rPr>
            </w:pPr>
            <w:r>
              <w:rPr>
                <w:rFonts w:ascii="Arial Narrow" w:hAnsi="Arial Narrow"/>
                <w:noProof/>
                <w:color w:val="000000"/>
                <w:sz w:val="20"/>
                <w:highlight w:val="black"/>
              </w:rPr>
              <w:t>''''''''''</w:t>
            </w:r>
          </w:p>
        </w:tc>
        <w:tc>
          <w:tcPr>
            <w:tcW w:w="1327" w:type="dxa"/>
            <w:vAlign w:val="center"/>
          </w:tcPr>
          <w:p w:rsidR="00B845B4" w:rsidRPr="00A42B97" w:rsidRDefault="00A42B97" w:rsidP="00057514">
            <w:pPr>
              <w:keepNext/>
              <w:widowControl/>
              <w:jc w:val="center"/>
              <w:rPr>
                <w:rFonts w:ascii="Arial Narrow" w:hAnsi="Arial Narrow"/>
                <w:sz w:val="20"/>
                <w:highlight w:val="black"/>
              </w:rPr>
            </w:pPr>
            <w:r>
              <w:rPr>
                <w:rFonts w:ascii="Arial Narrow" w:hAnsi="Arial Narrow"/>
                <w:noProof/>
                <w:color w:val="000000"/>
                <w:sz w:val="20"/>
                <w:highlight w:val="black"/>
              </w:rPr>
              <w:t>''''''''''</w:t>
            </w:r>
          </w:p>
        </w:tc>
      </w:tr>
      <w:tr w:rsidR="002B25F8" w:rsidRPr="00A03BAB" w:rsidTr="00EE032F">
        <w:tc>
          <w:tcPr>
            <w:tcW w:w="3936" w:type="dxa"/>
          </w:tcPr>
          <w:p w:rsidR="002B25F8" w:rsidRPr="00A42B97" w:rsidRDefault="00A42B97" w:rsidP="00057514">
            <w:pPr>
              <w:keepNext/>
              <w:widowControl/>
              <w:rPr>
                <w:rFonts w:ascii="Arial Narrow" w:hAnsi="Arial Narrow"/>
                <w:sz w:val="20"/>
                <w:highlight w:val="black"/>
              </w:rPr>
            </w:pPr>
            <w:r>
              <w:rPr>
                <w:rFonts w:ascii="Arial Narrow" w:hAnsi="Arial Narrow"/>
                <w:noProof/>
                <w:color w:val="000000"/>
                <w:sz w:val="20"/>
                <w:highlight w:val="black"/>
              </w:rPr>
              <w:t>''''''''''' '''''''''''' '''' '''''''''''' '''''''''''''''''' '''' ''''''''''''''''''''''' ''''''''' ''''''''''''''''''''''''''' ''''''''''''''''''''</w:t>
            </w:r>
          </w:p>
        </w:tc>
        <w:tc>
          <w:tcPr>
            <w:tcW w:w="1326" w:type="dxa"/>
            <w:vAlign w:val="center"/>
          </w:tcPr>
          <w:p w:rsidR="002B25F8" w:rsidRPr="00A42B97" w:rsidRDefault="00A42B97" w:rsidP="00057514">
            <w:pPr>
              <w:keepNext/>
              <w:widowControl/>
              <w:jc w:val="center"/>
              <w:rPr>
                <w:rFonts w:ascii="Arial Narrow" w:hAnsi="Arial Narrow"/>
                <w:sz w:val="20"/>
                <w:highlight w:val="black"/>
              </w:rPr>
            </w:pPr>
            <w:r>
              <w:rPr>
                <w:rFonts w:ascii="Arial Narrow" w:hAnsi="Arial Narrow"/>
                <w:noProof/>
                <w:color w:val="000000"/>
                <w:sz w:val="20"/>
                <w:highlight w:val="black"/>
              </w:rPr>
              <w:t>''''''''''''''''''''''</w:t>
            </w:r>
          </w:p>
        </w:tc>
        <w:tc>
          <w:tcPr>
            <w:tcW w:w="1327" w:type="dxa"/>
            <w:vAlign w:val="center"/>
          </w:tcPr>
          <w:p w:rsidR="002B25F8" w:rsidRPr="00A42B97" w:rsidRDefault="00A42B97" w:rsidP="00057514">
            <w:pPr>
              <w:keepNext/>
              <w:widowControl/>
              <w:jc w:val="center"/>
              <w:rPr>
                <w:rFonts w:ascii="Arial Narrow" w:hAnsi="Arial Narrow"/>
                <w:sz w:val="20"/>
                <w:highlight w:val="black"/>
              </w:rPr>
            </w:pPr>
            <w:r>
              <w:rPr>
                <w:rFonts w:ascii="Arial Narrow" w:hAnsi="Arial Narrow"/>
                <w:noProof/>
                <w:color w:val="000000"/>
                <w:sz w:val="20"/>
                <w:highlight w:val="black"/>
              </w:rPr>
              <w:t>'''''''''''''''''''''''</w:t>
            </w:r>
          </w:p>
        </w:tc>
        <w:tc>
          <w:tcPr>
            <w:tcW w:w="1326" w:type="dxa"/>
            <w:vAlign w:val="center"/>
          </w:tcPr>
          <w:p w:rsidR="002B25F8" w:rsidRPr="00A42B97" w:rsidRDefault="00A42B97" w:rsidP="00057514">
            <w:pPr>
              <w:keepNext/>
              <w:widowControl/>
              <w:jc w:val="center"/>
              <w:rPr>
                <w:rFonts w:ascii="Arial Narrow" w:hAnsi="Arial Narrow"/>
                <w:sz w:val="20"/>
                <w:highlight w:val="black"/>
              </w:rPr>
            </w:pPr>
            <w:r>
              <w:rPr>
                <w:rFonts w:ascii="Arial Narrow" w:hAnsi="Arial Narrow"/>
                <w:noProof/>
                <w:color w:val="000000"/>
                <w:sz w:val="20"/>
                <w:highlight w:val="black"/>
              </w:rPr>
              <w:t>''''''' '''''''''''''''''</w:t>
            </w:r>
          </w:p>
          <w:p w:rsidR="002B25F8" w:rsidRPr="00A42B97" w:rsidRDefault="00A42B97" w:rsidP="00057514">
            <w:pPr>
              <w:keepNext/>
              <w:widowControl/>
              <w:jc w:val="center"/>
              <w:rPr>
                <w:rFonts w:ascii="Arial Narrow" w:hAnsi="Arial Narrow"/>
                <w:sz w:val="20"/>
                <w:highlight w:val="black"/>
              </w:rPr>
            </w:pPr>
            <w:r>
              <w:rPr>
                <w:rFonts w:ascii="Arial Narrow" w:hAnsi="Arial Narrow"/>
                <w:noProof/>
                <w:color w:val="000000"/>
                <w:sz w:val="20"/>
                <w:highlight w:val="black"/>
              </w:rPr>
              <w:t>''''''''''''''''''''''</w:t>
            </w:r>
          </w:p>
        </w:tc>
        <w:tc>
          <w:tcPr>
            <w:tcW w:w="1327" w:type="dxa"/>
            <w:vAlign w:val="center"/>
          </w:tcPr>
          <w:p w:rsidR="002B25F8" w:rsidRPr="00A42B97" w:rsidRDefault="00A42B97" w:rsidP="00057514">
            <w:pPr>
              <w:keepNext/>
              <w:widowControl/>
              <w:jc w:val="center"/>
              <w:rPr>
                <w:rFonts w:ascii="Arial Narrow" w:hAnsi="Arial Narrow"/>
                <w:sz w:val="20"/>
                <w:highlight w:val="black"/>
              </w:rPr>
            </w:pPr>
            <w:r>
              <w:rPr>
                <w:rFonts w:ascii="Arial Narrow" w:hAnsi="Arial Narrow"/>
                <w:noProof/>
                <w:color w:val="000000"/>
                <w:sz w:val="20"/>
                <w:highlight w:val="black"/>
              </w:rPr>
              <w:t>''''''''''''''''''''</w:t>
            </w:r>
          </w:p>
        </w:tc>
      </w:tr>
    </w:tbl>
    <w:p w:rsidR="00B845B4" w:rsidRPr="00226B30" w:rsidRDefault="00B845B4" w:rsidP="001E08C1">
      <w:pPr>
        <w:widowControl/>
        <w:spacing w:after="120"/>
        <w:rPr>
          <w:rFonts w:ascii="Arial Narrow" w:hAnsi="Arial Narrow"/>
          <w:sz w:val="16"/>
          <w:lang w:val="en-GB"/>
        </w:rPr>
      </w:pPr>
      <w:r w:rsidRPr="00226B30">
        <w:rPr>
          <w:rFonts w:ascii="Arial Narrow" w:hAnsi="Arial Narrow"/>
          <w:sz w:val="16"/>
          <w:lang w:val="en-GB"/>
        </w:rPr>
        <w:t>Source: Table F.2-2, page 214 of the resubmission.</w:t>
      </w:r>
    </w:p>
    <w:p w:rsidR="00D73CDD" w:rsidRPr="00226B30" w:rsidRDefault="00C33EAF" w:rsidP="001E08C1">
      <w:pPr>
        <w:pStyle w:val="ListParagraph"/>
        <w:widowControl/>
        <w:numPr>
          <w:ilvl w:val="1"/>
          <w:numId w:val="13"/>
        </w:numPr>
        <w:spacing w:after="120"/>
        <w:ind w:left="810" w:hanging="810"/>
        <w:contextualSpacing w:val="0"/>
        <w:rPr>
          <w:rFonts w:asciiTheme="minorHAnsi" w:hAnsiTheme="minorHAnsi"/>
          <w:sz w:val="24"/>
        </w:rPr>
      </w:pPr>
      <w:r w:rsidRPr="00226B30">
        <w:rPr>
          <w:rFonts w:asciiTheme="minorHAnsi" w:hAnsiTheme="minorHAnsi"/>
          <w:sz w:val="24"/>
        </w:rPr>
        <w:t>T</w:t>
      </w:r>
      <w:r w:rsidR="00BA3E25" w:rsidRPr="00226B30">
        <w:rPr>
          <w:rFonts w:asciiTheme="minorHAnsi" w:hAnsiTheme="minorHAnsi"/>
          <w:sz w:val="24"/>
        </w:rPr>
        <w:t xml:space="preserve">he resubmission presented a sensitivity analysis </w:t>
      </w:r>
      <w:r w:rsidR="002B25F8" w:rsidRPr="00226B30">
        <w:rPr>
          <w:rFonts w:asciiTheme="minorHAnsi" w:hAnsiTheme="minorHAnsi"/>
          <w:sz w:val="24"/>
        </w:rPr>
        <w:t xml:space="preserve">for the cost effectiveness of lumacaftor/ivacaftor </w:t>
      </w:r>
      <w:r w:rsidR="00BA3E25" w:rsidRPr="00226B30">
        <w:rPr>
          <w:rFonts w:asciiTheme="minorHAnsi" w:hAnsiTheme="minorHAnsi"/>
          <w:sz w:val="24"/>
        </w:rPr>
        <w:t xml:space="preserve">based on </w:t>
      </w:r>
      <w:r w:rsidR="00A42B97">
        <w:rPr>
          <w:rFonts w:asciiTheme="minorHAnsi" w:hAnsiTheme="minorHAnsi"/>
          <w:noProof/>
          <w:color w:val="000000"/>
          <w:sz w:val="24"/>
          <w:highlight w:val="black"/>
        </w:rPr>
        <w:t>''''''' '''''''''''''''''' '''''''''''''''''''''''''''''''''''''''''' '''''''''''''''''''''''''</w:t>
      </w:r>
      <w:r w:rsidR="00BA3E25" w:rsidRPr="00226B30">
        <w:rPr>
          <w:rFonts w:asciiTheme="minorHAnsi" w:hAnsiTheme="minorHAnsi"/>
          <w:sz w:val="24"/>
        </w:rPr>
        <w:t xml:space="preserve">, </w:t>
      </w:r>
      <w:r w:rsidR="00BA3E25" w:rsidRPr="00544A08">
        <w:rPr>
          <w:rFonts w:asciiTheme="minorHAnsi" w:hAnsiTheme="minorHAnsi"/>
          <w:sz w:val="24"/>
        </w:rPr>
        <w:t>reducing the financial cap if</w:t>
      </w:r>
      <w:r w:rsidR="00BA3E25" w:rsidRPr="00226B30">
        <w:rPr>
          <w:rFonts w:asciiTheme="minorHAnsi" w:hAnsiTheme="minorHAnsi"/>
          <w:sz w:val="24"/>
        </w:rPr>
        <w:t xml:space="preserve"> </w:t>
      </w:r>
      <w:r w:rsidR="00A42B97">
        <w:rPr>
          <w:rFonts w:asciiTheme="minorHAnsi" w:hAnsiTheme="minorHAnsi"/>
          <w:noProof/>
          <w:color w:val="000000"/>
          <w:sz w:val="24"/>
          <w:highlight w:val="black"/>
        </w:rPr>
        <w:t>''''''''''' '''''''''''''''''''''''''''' '''''' ''''''''''''''' '''''' '''''''' '''''''''''''' '''''' ''''''''''''''''''''''''''' ''''''''''''''' '''''' ''''''' '''''''''''' ''''''''</w:t>
      </w:r>
      <w:r w:rsidR="00BA3E25" w:rsidRPr="00226B30">
        <w:rPr>
          <w:rFonts w:asciiTheme="minorHAnsi" w:hAnsiTheme="minorHAnsi"/>
          <w:sz w:val="24"/>
        </w:rPr>
        <w:t xml:space="preserve"> </w:t>
      </w:r>
      <w:r w:rsidR="002B25F8" w:rsidRPr="00226B30">
        <w:rPr>
          <w:rFonts w:asciiTheme="minorHAnsi" w:hAnsiTheme="minorHAnsi"/>
          <w:sz w:val="24"/>
        </w:rPr>
        <w:t xml:space="preserve">The resubmission suggested </w:t>
      </w:r>
      <w:r w:rsidR="00A42B97">
        <w:rPr>
          <w:rFonts w:asciiTheme="minorHAnsi" w:hAnsiTheme="minorHAnsi"/>
          <w:noProof/>
          <w:color w:val="000000"/>
          <w:sz w:val="24"/>
          <w:highlight w:val="black"/>
        </w:rPr>
        <w:t>''''''' '''''''''''''''''' '''''''</w:t>
      </w:r>
      <w:r w:rsidR="002B25F8" w:rsidRPr="00226B30">
        <w:rPr>
          <w:rFonts w:asciiTheme="minorHAnsi" w:hAnsiTheme="minorHAnsi"/>
          <w:sz w:val="24"/>
        </w:rPr>
        <w:t xml:space="preserve"> </w:t>
      </w:r>
      <w:r w:rsidR="00D73CDD" w:rsidRPr="00226B30">
        <w:rPr>
          <w:rFonts w:asciiTheme="minorHAnsi" w:hAnsiTheme="minorHAnsi"/>
          <w:sz w:val="24"/>
        </w:rPr>
        <w:t xml:space="preserve">would </w:t>
      </w:r>
      <w:r w:rsidR="002B25F8" w:rsidRPr="00226B30">
        <w:rPr>
          <w:rFonts w:asciiTheme="minorHAnsi" w:hAnsiTheme="minorHAnsi"/>
          <w:sz w:val="24"/>
        </w:rPr>
        <w:t xml:space="preserve">potentially </w:t>
      </w:r>
      <w:r w:rsidR="00D73CDD" w:rsidRPr="00226B30">
        <w:rPr>
          <w:rFonts w:asciiTheme="minorHAnsi" w:hAnsiTheme="minorHAnsi"/>
          <w:sz w:val="24"/>
        </w:rPr>
        <w:t>improve the cost-effectiveness</w:t>
      </w:r>
      <w:r w:rsidR="002B25F8" w:rsidRPr="00226B30">
        <w:rPr>
          <w:rFonts w:asciiTheme="minorHAnsi" w:hAnsiTheme="minorHAnsi"/>
          <w:sz w:val="24"/>
        </w:rPr>
        <w:t xml:space="preserve"> of lumacaftor/ivacaftor</w:t>
      </w:r>
      <w:r w:rsidRPr="00226B30">
        <w:rPr>
          <w:rFonts w:asciiTheme="minorHAnsi" w:hAnsiTheme="minorHAnsi"/>
          <w:sz w:val="24"/>
        </w:rPr>
        <w:t>. Th</w:t>
      </w:r>
      <w:r w:rsidR="0010501E" w:rsidRPr="00226B30">
        <w:rPr>
          <w:rFonts w:asciiTheme="minorHAnsi" w:hAnsiTheme="minorHAnsi"/>
          <w:sz w:val="24"/>
        </w:rPr>
        <w:t>e ESC considered this</w:t>
      </w:r>
      <w:r w:rsidRPr="00226B30">
        <w:rPr>
          <w:rFonts w:asciiTheme="minorHAnsi" w:hAnsiTheme="minorHAnsi"/>
          <w:sz w:val="24"/>
        </w:rPr>
        <w:t xml:space="preserve"> </w:t>
      </w:r>
      <w:r w:rsidR="00D73CDD" w:rsidRPr="00226B30">
        <w:rPr>
          <w:rFonts w:asciiTheme="minorHAnsi" w:hAnsiTheme="minorHAnsi"/>
          <w:sz w:val="24"/>
        </w:rPr>
        <w:t xml:space="preserve">was inappropriate since it relied on maintaining the underlying efficacy assumptions in the economic model and </w:t>
      </w:r>
      <w:r w:rsidR="00FA6912" w:rsidRPr="00226B30">
        <w:rPr>
          <w:rFonts w:asciiTheme="minorHAnsi" w:hAnsiTheme="minorHAnsi"/>
          <w:sz w:val="24"/>
        </w:rPr>
        <w:t xml:space="preserve">only </w:t>
      </w:r>
      <w:r w:rsidR="00D73CDD" w:rsidRPr="00226B30">
        <w:rPr>
          <w:rFonts w:asciiTheme="minorHAnsi" w:hAnsiTheme="minorHAnsi"/>
          <w:sz w:val="24"/>
        </w:rPr>
        <w:t xml:space="preserve">adjusting </w:t>
      </w:r>
      <w:r w:rsidR="00FA6912" w:rsidRPr="00226B30">
        <w:rPr>
          <w:rFonts w:asciiTheme="minorHAnsi" w:hAnsiTheme="minorHAnsi"/>
          <w:sz w:val="24"/>
        </w:rPr>
        <w:t xml:space="preserve">the </w:t>
      </w:r>
      <w:r w:rsidR="00D73CDD" w:rsidRPr="00226B30">
        <w:rPr>
          <w:rFonts w:asciiTheme="minorHAnsi" w:hAnsiTheme="minorHAnsi"/>
          <w:sz w:val="24"/>
        </w:rPr>
        <w:t>costs.</w:t>
      </w:r>
      <w:r w:rsidR="002B25F8" w:rsidRPr="00226B30">
        <w:rPr>
          <w:rFonts w:asciiTheme="minorHAnsi" w:hAnsiTheme="minorHAnsi"/>
          <w:sz w:val="24"/>
        </w:rPr>
        <w:t xml:space="preserve"> </w:t>
      </w:r>
    </w:p>
    <w:p w:rsidR="00B2608F" w:rsidRPr="00226B30" w:rsidRDefault="006C451B" w:rsidP="001E08C1">
      <w:pPr>
        <w:pStyle w:val="ListParagraph"/>
        <w:widowControl/>
        <w:numPr>
          <w:ilvl w:val="1"/>
          <w:numId w:val="13"/>
        </w:numPr>
        <w:spacing w:before="120" w:after="160"/>
        <w:ind w:left="720" w:hanging="720"/>
        <w:contextualSpacing w:val="0"/>
        <w:rPr>
          <w:rFonts w:asciiTheme="minorHAnsi" w:hAnsiTheme="minorHAnsi"/>
          <w:sz w:val="24"/>
        </w:rPr>
      </w:pPr>
      <w:r w:rsidRPr="00226B30">
        <w:rPr>
          <w:rFonts w:asciiTheme="minorHAnsi" w:hAnsiTheme="minorHAnsi"/>
          <w:sz w:val="24"/>
        </w:rPr>
        <w:t>The</w:t>
      </w:r>
      <w:r w:rsidR="00B2608F" w:rsidRPr="00226B30">
        <w:rPr>
          <w:rFonts w:asciiTheme="minorHAnsi" w:hAnsiTheme="minorHAnsi"/>
          <w:sz w:val="24"/>
        </w:rPr>
        <w:t xml:space="preserve"> </w:t>
      </w:r>
      <w:r w:rsidR="00A42B97">
        <w:rPr>
          <w:rFonts w:asciiTheme="minorHAnsi" w:hAnsiTheme="minorHAnsi"/>
          <w:noProof/>
          <w:color w:val="000000"/>
          <w:sz w:val="24"/>
          <w:highlight w:val="black"/>
        </w:rPr>
        <w:t>''''''''''''''''''''''''''''''''''''''''''' ''''''''''''''''''''''''</w:t>
      </w:r>
      <w:r w:rsidR="00B2608F" w:rsidRPr="00226B30">
        <w:rPr>
          <w:rFonts w:asciiTheme="minorHAnsi" w:hAnsiTheme="minorHAnsi"/>
          <w:sz w:val="24"/>
        </w:rPr>
        <w:t xml:space="preserve"> currently in place for ivacaftor monotherapy is designed to detect the magnitude of the overall clinical benefits of treatment</w:t>
      </w:r>
      <w:r w:rsidR="00AC0A01" w:rsidRPr="00226B30">
        <w:rPr>
          <w:rFonts w:asciiTheme="minorHAnsi" w:hAnsiTheme="minorHAnsi"/>
          <w:sz w:val="24"/>
        </w:rPr>
        <w:t xml:space="preserve"> for individual patients</w:t>
      </w:r>
      <w:r w:rsidR="00B2608F" w:rsidRPr="00226B30">
        <w:rPr>
          <w:rFonts w:asciiTheme="minorHAnsi" w:hAnsiTheme="minorHAnsi"/>
          <w:sz w:val="24"/>
        </w:rPr>
        <w:t xml:space="preserve">. </w:t>
      </w:r>
      <w:r w:rsidR="00A42B97">
        <w:rPr>
          <w:rFonts w:asciiTheme="minorHAnsi" w:hAnsiTheme="minorHAnsi"/>
          <w:noProof/>
          <w:color w:val="000000"/>
          <w:sz w:val="24"/>
          <w:highlight w:val="black"/>
        </w:rPr>
        <w:t>''''''''''''' '''''' ''''''''''''''''''''''''''' ''''''''' ''''''''''''' ''' '''''''''''' ''''' ''' '''''''''''''''''''' ''''''''' '''''''''''''' '''' '''''''''''''''''' '''' ''''''' '''''''' ''''''''' ''''''''''''''' '''''''''''' ''''''''''''' '''' ''''''' '''''''''''''''''' '''' '''''''''''''''' ''''''''''''''' '''' '''''''''''' '''''' ''''''''' '''' '''''''''''''''''''''''''''''''' ''''''' ''' ''''''''''''' ''' ''''''''''''''''' '''''''''''' ''''' '''''''' ''''''''''''''''''''''''</w:t>
      </w:r>
      <w:r w:rsidR="00B2608F" w:rsidRPr="00226B30">
        <w:rPr>
          <w:rFonts w:asciiTheme="minorHAnsi" w:hAnsiTheme="minorHAnsi"/>
          <w:sz w:val="24"/>
        </w:rPr>
        <w:t xml:space="preserve"> The resubmission described this approach as “burdensome” to both clinicians and the Department of Health and “complex” from a data collection, data management, and data analysis perspective.</w:t>
      </w:r>
    </w:p>
    <w:p w:rsidR="00B2608F" w:rsidRDefault="00295F36" w:rsidP="001E08C1">
      <w:pPr>
        <w:pStyle w:val="ListParagraph"/>
        <w:widowControl/>
        <w:numPr>
          <w:ilvl w:val="1"/>
          <w:numId w:val="13"/>
        </w:numPr>
        <w:spacing w:before="120" w:after="160"/>
        <w:ind w:left="720" w:hanging="720"/>
        <w:contextualSpacing w:val="0"/>
        <w:rPr>
          <w:rFonts w:asciiTheme="minorHAnsi" w:hAnsiTheme="minorHAnsi"/>
          <w:sz w:val="24"/>
        </w:rPr>
      </w:pPr>
      <w:bookmarkStart w:id="74" w:name="_Ref482265609"/>
      <w:r w:rsidRPr="00226B30">
        <w:rPr>
          <w:rFonts w:asciiTheme="minorHAnsi" w:hAnsiTheme="minorHAnsi"/>
          <w:sz w:val="24"/>
        </w:rPr>
        <w:t>The</w:t>
      </w:r>
      <w:r w:rsidR="0010501E" w:rsidRPr="00226B30">
        <w:rPr>
          <w:rFonts w:asciiTheme="minorHAnsi" w:hAnsiTheme="minorHAnsi"/>
          <w:sz w:val="24"/>
        </w:rPr>
        <w:t xml:space="preserve"> ESC considered that th</w:t>
      </w:r>
      <w:r w:rsidR="0045326C">
        <w:rPr>
          <w:rFonts w:asciiTheme="minorHAnsi" w:hAnsiTheme="minorHAnsi"/>
          <w:sz w:val="24"/>
        </w:rPr>
        <w:t>e</w:t>
      </w:r>
      <w:r w:rsidRPr="00226B30">
        <w:rPr>
          <w:rFonts w:asciiTheme="minorHAnsi" w:hAnsiTheme="minorHAnsi"/>
          <w:sz w:val="24"/>
        </w:rPr>
        <w:t xml:space="preserve"> proposal</w:t>
      </w:r>
      <w:r w:rsidR="0045326C">
        <w:rPr>
          <w:rFonts w:asciiTheme="minorHAnsi" w:hAnsiTheme="minorHAnsi"/>
          <w:sz w:val="24"/>
        </w:rPr>
        <w:t xml:space="preserve"> for lumacaftor/ivacaftor</w:t>
      </w:r>
      <w:r w:rsidR="00B170AF" w:rsidRPr="00226B30">
        <w:rPr>
          <w:rFonts w:asciiTheme="minorHAnsi" w:hAnsiTheme="minorHAnsi"/>
          <w:sz w:val="24"/>
        </w:rPr>
        <w:t xml:space="preserve"> is less robust than </w:t>
      </w:r>
      <w:r w:rsidR="00A42B97">
        <w:rPr>
          <w:rFonts w:asciiTheme="minorHAnsi" w:hAnsiTheme="minorHAnsi"/>
          <w:noProof/>
          <w:color w:val="000000"/>
          <w:sz w:val="24"/>
          <w:highlight w:val="black"/>
        </w:rPr>
        <w:t xml:space="preserve">'''''' '''''''''''''' '''''''''''''''''''''''''''''''''''''''''' ''''''''''''''''''''''''' </w:t>
      </w:r>
      <w:r w:rsidR="00B170AF" w:rsidRPr="00226B30">
        <w:rPr>
          <w:rFonts w:asciiTheme="minorHAnsi" w:hAnsiTheme="minorHAnsi"/>
          <w:sz w:val="24"/>
        </w:rPr>
        <w:t>that apply to ivacaftor monotherapy</w:t>
      </w:r>
      <w:r w:rsidR="00906464" w:rsidRPr="00226B30">
        <w:rPr>
          <w:rFonts w:asciiTheme="minorHAnsi" w:hAnsiTheme="minorHAnsi"/>
          <w:sz w:val="24"/>
        </w:rPr>
        <w:t xml:space="preserve"> in that they do not rely on </w:t>
      </w:r>
      <w:r w:rsidR="00A42B97">
        <w:rPr>
          <w:rFonts w:asciiTheme="minorHAnsi" w:hAnsiTheme="minorHAnsi"/>
          <w:noProof/>
          <w:color w:val="000000"/>
          <w:sz w:val="24"/>
          <w:highlight w:val="black"/>
        </w:rPr>
        <w:t>'''''''''''''''' ''''''''''''''''''''''' '''' ''''' '''''''''''''''''''''''''''</w:t>
      </w:r>
      <w:r w:rsidR="00B170AF" w:rsidRPr="00226B30">
        <w:rPr>
          <w:rFonts w:asciiTheme="minorHAnsi" w:hAnsiTheme="minorHAnsi"/>
          <w:sz w:val="24"/>
        </w:rPr>
        <w:t xml:space="preserve">. </w:t>
      </w:r>
      <w:r w:rsidR="0010501E" w:rsidRPr="00226B30">
        <w:rPr>
          <w:rFonts w:asciiTheme="minorHAnsi" w:hAnsiTheme="minorHAnsi"/>
          <w:sz w:val="24"/>
        </w:rPr>
        <w:t xml:space="preserve">In November 2016, </w:t>
      </w:r>
      <w:r w:rsidR="00B170AF" w:rsidRPr="00226B30">
        <w:rPr>
          <w:rFonts w:asciiTheme="minorHAnsi" w:hAnsiTheme="minorHAnsi"/>
          <w:sz w:val="24"/>
        </w:rPr>
        <w:t xml:space="preserve">the Committee </w:t>
      </w:r>
      <w:r w:rsidR="0010501E" w:rsidRPr="00226B30">
        <w:rPr>
          <w:rFonts w:asciiTheme="minorHAnsi" w:hAnsiTheme="minorHAnsi"/>
          <w:sz w:val="24"/>
        </w:rPr>
        <w:t xml:space="preserve">stated </w:t>
      </w:r>
      <w:r w:rsidR="00B170AF" w:rsidRPr="00226B30">
        <w:rPr>
          <w:rFonts w:asciiTheme="minorHAnsi" w:hAnsiTheme="minorHAnsi"/>
          <w:sz w:val="24"/>
        </w:rPr>
        <w:t xml:space="preserve">that </w:t>
      </w:r>
      <w:r w:rsidR="00A42B97">
        <w:rPr>
          <w:rFonts w:asciiTheme="minorHAnsi" w:hAnsiTheme="minorHAnsi"/>
          <w:noProof/>
          <w:color w:val="000000"/>
          <w:sz w:val="24"/>
          <w:highlight w:val="black"/>
        </w:rPr>
        <w:t>'''''''' '''''''''''''' '''''' ''''''''''''''''''''''''''''''''''' ''''''''''''' '''''''''' '''' ''''' ''''''''''' '''''''''''''''''''</w:t>
      </w:r>
      <w:r w:rsidR="00B170AF" w:rsidRPr="00D111EB">
        <w:rPr>
          <w:rFonts w:asciiTheme="minorHAnsi" w:hAnsiTheme="minorHAnsi"/>
          <w:sz w:val="24"/>
        </w:rPr>
        <w:t xml:space="preserve"> than the current one for ivacaftor monotherapy so as to manage the uncertainty regarding long-term benefits of treatment on lung function and overall survival </w:t>
      </w:r>
      <w:r w:rsidRPr="00D111EB">
        <w:rPr>
          <w:rFonts w:asciiTheme="minorHAnsi" w:hAnsiTheme="minorHAnsi"/>
          <w:sz w:val="24"/>
        </w:rPr>
        <w:t>(</w:t>
      </w:r>
      <w:r w:rsidRPr="00226B30">
        <w:rPr>
          <w:rFonts w:asciiTheme="minorHAnsi" w:hAnsiTheme="minorHAnsi"/>
          <w:sz w:val="24"/>
        </w:rPr>
        <w:t xml:space="preserve">7.6 November 2016 </w:t>
      </w:r>
      <w:r w:rsidR="003B0C9D">
        <w:rPr>
          <w:rFonts w:asciiTheme="minorHAnsi" w:hAnsiTheme="minorHAnsi"/>
          <w:sz w:val="24"/>
        </w:rPr>
        <w:t>PSD</w:t>
      </w:r>
      <w:r w:rsidRPr="00226B30">
        <w:rPr>
          <w:rFonts w:asciiTheme="minorHAnsi" w:hAnsiTheme="minorHAnsi"/>
          <w:sz w:val="24"/>
        </w:rPr>
        <w:t>).</w:t>
      </w:r>
      <w:bookmarkEnd w:id="0"/>
      <w:bookmarkEnd w:id="1"/>
      <w:bookmarkEnd w:id="2"/>
      <w:bookmarkEnd w:id="3"/>
      <w:bookmarkEnd w:id="4"/>
      <w:bookmarkEnd w:id="5"/>
      <w:bookmarkEnd w:id="6"/>
      <w:bookmarkEnd w:id="7"/>
      <w:bookmarkEnd w:id="72"/>
      <w:bookmarkEnd w:id="74"/>
      <w:r w:rsidR="0010501E" w:rsidRPr="00226B30">
        <w:rPr>
          <w:rFonts w:asciiTheme="minorHAnsi" w:hAnsiTheme="minorHAnsi"/>
          <w:sz w:val="24"/>
        </w:rPr>
        <w:t xml:space="preserve"> The ESC further considered </w:t>
      </w:r>
      <w:r w:rsidR="00A42B97">
        <w:rPr>
          <w:rFonts w:asciiTheme="minorHAnsi" w:hAnsiTheme="minorHAnsi"/>
          <w:noProof/>
          <w:color w:val="000000"/>
          <w:sz w:val="24"/>
          <w:highlight w:val="black"/>
        </w:rPr>
        <w:t>'''''' '''''''''''''''''</w:t>
      </w:r>
      <w:r w:rsidR="00FD4100" w:rsidRPr="00226B30">
        <w:rPr>
          <w:rFonts w:asciiTheme="minorHAnsi" w:hAnsiTheme="minorHAnsi"/>
          <w:sz w:val="24"/>
        </w:rPr>
        <w:t xml:space="preserve"> </w:t>
      </w:r>
      <w:r w:rsidR="0010501E" w:rsidRPr="00226B30">
        <w:rPr>
          <w:rFonts w:asciiTheme="minorHAnsi" w:hAnsiTheme="minorHAnsi"/>
          <w:sz w:val="24"/>
        </w:rPr>
        <w:t xml:space="preserve">would not account for changes </w:t>
      </w:r>
      <w:r w:rsidR="00A42B97">
        <w:rPr>
          <w:rFonts w:asciiTheme="minorHAnsi" w:hAnsiTheme="minorHAnsi"/>
          <w:noProof/>
          <w:color w:val="000000"/>
          <w:sz w:val="24"/>
          <w:highlight w:val="black"/>
        </w:rPr>
        <w:t>''''''' '''''''' '''''''''''' '''''''''''''''''''''''''''' ''''''''' '''' ''''''''''''''' '''' '''''' '''''''''' ''''''''''''''''''' '''''''''''' ''''''' ''''''''''' ''''''''''''''''''' '''''''''''''''''' ''''' ''''''''''''''''''' ''''''''''''''' ''''''''''''' '''' ''''''''''' ''''''''''' '''''''''' ''''' ''''''''''''''''''''''''' '''''''' ''''''''''' '''''''''''''''''''''' '''' ''''''''''''''''''''''''' ''''''''''''''''''' '''''''''''''''''''' '''''''' ''''''''''''''''''''''' '''''''''''''</w:t>
      </w:r>
    </w:p>
    <w:p w:rsidR="009A0C1E" w:rsidRPr="00226B30" w:rsidRDefault="009A0C1E" w:rsidP="009A0C1E">
      <w:pPr>
        <w:pStyle w:val="ListParagraph"/>
        <w:widowControl/>
        <w:numPr>
          <w:ilvl w:val="1"/>
          <w:numId w:val="13"/>
        </w:numPr>
        <w:spacing w:before="120" w:after="160"/>
        <w:ind w:left="720" w:hanging="720"/>
        <w:contextualSpacing w:val="0"/>
        <w:rPr>
          <w:rFonts w:asciiTheme="minorHAnsi" w:hAnsiTheme="minorHAnsi"/>
          <w:sz w:val="24"/>
        </w:rPr>
      </w:pPr>
      <w:r>
        <w:rPr>
          <w:rFonts w:asciiTheme="minorHAnsi" w:hAnsiTheme="minorHAnsi"/>
          <w:sz w:val="24"/>
        </w:rPr>
        <w:t xml:space="preserve">The PBAC considered that </w:t>
      </w:r>
      <w:r w:rsidR="00A42B97">
        <w:rPr>
          <w:rFonts w:asciiTheme="minorHAnsi" w:hAnsiTheme="minorHAnsi"/>
          <w:noProof/>
          <w:color w:val="000000"/>
          <w:sz w:val="24"/>
          <w:highlight w:val="black"/>
        </w:rPr>
        <w:t xml:space="preserve">'''''' ''''''''''''''''''' '''''''''''''''''''''''''''''''''''' </w:t>
      </w:r>
      <w:r>
        <w:rPr>
          <w:rFonts w:asciiTheme="minorHAnsi" w:hAnsiTheme="minorHAnsi"/>
          <w:sz w:val="24"/>
        </w:rPr>
        <w:t>arrangement would not be suitable for managing the uncertainty in the long-term outcomes of lumacaftor/ivacaftor</w:t>
      </w:r>
      <w:r w:rsidR="00EB3007">
        <w:rPr>
          <w:rFonts w:asciiTheme="minorHAnsi" w:hAnsiTheme="minorHAnsi"/>
          <w:sz w:val="24"/>
        </w:rPr>
        <w:t xml:space="preserve"> as </w:t>
      </w:r>
      <w:r w:rsidR="00702F30">
        <w:rPr>
          <w:rFonts w:asciiTheme="minorHAnsi" w:hAnsiTheme="minorHAnsi"/>
          <w:sz w:val="24"/>
        </w:rPr>
        <w:t xml:space="preserve">multiple factors </w:t>
      </w:r>
      <w:r w:rsidR="00CA4908">
        <w:rPr>
          <w:rFonts w:asciiTheme="minorHAnsi" w:hAnsiTheme="minorHAnsi"/>
          <w:sz w:val="24"/>
        </w:rPr>
        <w:t>c</w:t>
      </w:r>
      <w:r w:rsidR="00702F30">
        <w:rPr>
          <w:rFonts w:asciiTheme="minorHAnsi" w:hAnsiTheme="minorHAnsi"/>
          <w:sz w:val="24"/>
        </w:rPr>
        <w:t xml:space="preserve">ould impact on </w:t>
      </w:r>
      <w:r w:rsidR="00A42B97">
        <w:rPr>
          <w:rFonts w:asciiTheme="minorHAnsi" w:hAnsiTheme="minorHAnsi"/>
          <w:noProof/>
          <w:color w:val="000000"/>
          <w:sz w:val="24"/>
          <w:highlight w:val="black"/>
        </w:rPr>
        <w:t>'''''''''''''''' ''' '''''''''''''' ''' ''''''''''''''''''''''</w:t>
      </w:r>
      <w:r w:rsidR="00643495">
        <w:rPr>
          <w:rFonts w:asciiTheme="minorHAnsi" w:hAnsiTheme="minorHAnsi"/>
          <w:sz w:val="24"/>
        </w:rPr>
        <w:t xml:space="preserve">. Furthermore, </w:t>
      </w:r>
      <w:r w:rsidR="00A42B97">
        <w:rPr>
          <w:rFonts w:asciiTheme="minorHAnsi" w:hAnsiTheme="minorHAnsi"/>
          <w:noProof/>
          <w:color w:val="000000"/>
          <w:sz w:val="24"/>
          <w:highlight w:val="black"/>
        </w:rPr>
        <w:t>''''''''''''''''' ''''''' ''''''''''''''' ''''''''''''''' '''' ''''''''''''''''''''''''''' '''''' ''''''''''''' '''''' '''''''' ''' '''''''''''''''' '''''''''''' ''' ''''''''''''''''''''' '''''''''''' ''''' '''''' '''''''''' ''''''''''' ''''''' ''''' ''' ''''''''''''' '''''''''''''''' ''''' '''''''''''''''''''''''''''' '''''''''''''''''''''' ''''''''''' '''''''''' ''' ''''''''''''''''''''' ''''' ''' '''''''''''''''' '''''''''''''</w:t>
      </w:r>
      <w:r w:rsidR="00EB3007">
        <w:rPr>
          <w:rFonts w:asciiTheme="minorHAnsi" w:hAnsiTheme="minorHAnsi"/>
          <w:sz w:val="24"/>
        </w:rPr>
        <w:t xml:space="preserve"> </w:t>
      </w:r>
      <w:r>
        <w:rPr>
          <w:rFonts w:asciiTheme="minorHAnsi" w:hAnsiTheme="minorHAnsi"/>
          <w:sz w:val="24"/>
        </w:rPr>
        <w:t xml:space="preserve">However, the PBAC agreed with the </w:t>
      </w:r>
      <w:r w:rsidR="00685424">
        <w:rPr>
          <w:rFonts w:asciiTheme="minorHAnsi" w:hAnsiTheme="minorHAnsi"/>
          <w:sz w:val="24"/>
        </w:rPr>
        <w:t>sponsor</w:t>
      </w:r>
      <w:r>
        <w:rPr>
          <w:rFonts w:asciiTheme="minorHAnsi" w:hAnsiTheme="minorHAnsi"/>
          <w:sz w:val="24"/>
        </w:rPr>
        <w:t xml:space="preserve"> tha</w:t>
      </w:r>
      <w:r w:rsidR="00685424">
        <w:rPr>
          <w:rFonts w:asciiTheme="minorHAnsi" w:hAnsiTheme="minorHAnsi"/>
          <w:sz w:val="24"/>
        </w:rPr>
        <w:t xml:space="preserve">t the current ivacaftor </w:t>
      </w:r>
      <w:r w:rsidR="00A42B97">
        <w:rPr>
          <w:rFonts w:asciiTheme="minorHAnsi" w:hAnsiTheme="minorHAnsi"/>
          <w:noProof/>
          <w:color w:val="000000"/>
          <w:sz w:val="24"/>
          <w:highlight w:val="black"/>
        </w:rPr>
        <w:t>''''''''''''''''''''''''''''''''''''''' ''''''''''''''''''''''''</w:t>
      </w:r>
      <w:r>
        <w:rPr>
          <w:rFonts w:asciiTheme="minorHAnsi" w:hAnsiTheme="minorHAnsi"/>
          <w:sz w:val="24"/>
        </w:rPr>
        <w:t xml:space="preserve"> is complex and administratively burdensome and that </w:t>
      </w:r>
      <w:r w:rsidR="00A42B97">
        <w:rPr>
          <w:rFonts w:asciiTheme="minorHAnsi" w:hAnsiTheme="minorHAnsi"/>
          <w:noProof/>
          <w:color w:val="000000"/>
          <w:sz w:val="24"/>
          <w:highlight w:val="black"/>
        </w:rPr>
        <w:t>''' ''''''''''' ''''' ''''''''''' '''''''''''''''' '''''''''''''''''''''' ''''''''''' '''''' '''''' ''' ''''''''''''''''' '''''''''''''' ''''' ''''''''''''''''' ''''''' ''''''''''''''''''''' '''' ''''''''''''''''''' ''''''''''''''''' ''''' ''''''''''''''''''''''''''''''''''''''</w:t>
      </w:r>
      <w:r w:rsidR="00EB3007" w:rsidRPr="00F704EB">
        <w:rPr>
          <w:rFonts w:asciiTheme="minorHAnsi" w:hAnsiTheme="minorHAnsi"/>
          <w:sz w:val="24"/>
        </w:rPr>
        <w:t>.</w:t>
      </w:r>
      <w:r w:rsidR="00EB3007">
        <w:rPr>
          <w:rFonts w:asciiTheme="minorHAnsi" w:hAnsiTheme="minorHAnsi"/>
          <w:sz w:val="24"/>
        </w:rPr>
        <w:t xml:space="preserve"> </w:t>
      </w:r>
      <w:r w:rsidR="001E3DCD">
        <w:rPr>
          <w:rFonts w:asciiTheme="minorHAnsi" w:hAnsiTheme="minorHAnsi"/>
          <w:sz w:val="24"/>
        </w:rPr>
        <w:t>In this regard, t</w:t>
      </w:r>
      <w:r>
        <w:rPr>
          <w:rFonts w:asciiTheme="minorHAnsi" w:hAnsiTheme="minorHAnsi"/>
          <w:sz w:val="24"/>
        </w:rPr>
        <w:t xml:space="preserve">he PBAC </w:t>
      </w:r>
      <w:r w:rsidR="001E3DCD">
        <w:rPr>
          <w:rFonts w:asciiTheme="minorHAnsi" w:hAnsiTheme="minorHAnsi"/>
          <w:sz w:val="24"/>
        </w:rPr>
        <w:t>reiterated</w:t>
      </w:r>
      <w:r>
        <w:rPr>
          <w:rFonts w:asciiTheme="minorHAnsi" w:hAnsiTheme="minorHAnsi"/>
          <w:sz w:val="24"/>
        </w:rPr>
        <w:t xml:space="preserve"> that lumacaftor/ivacaftor may </w:t>
      </w:r>
      <w:r w:rsidRPr="009A0C1E">
        <w:rPr>
          <w:rFonts w:asciiTheme="minorHAnsi" w:hAnsiTheme="minorHAnsi"/>
          <w:sz w:val="24"/>
        </w:rPr>
        <w:t xml:space="preserve">be acceptable </w:t>
      </w:r>
      <w:r w:rsidR="001E3DCD">
        <w:rPr>
          <w:rFonts w:asciiTheme="minorHAnsi" w:hAnsiTheme="minorHAnsi"/>
          <w:sz w:val="24"/>
        </w:rPr>
        <w:t>for recommendation at a DPMQ of $</w:t>
      </w:r>
      <w:r w:rsidR="00A42B97">
        <w:rPr>
          <w:rFonts w:asciiTheme="minorHAnsi" w:hAnsiTheme="minorHAnsi"/>
          <w:noProof/>
          <w:color w:val="000000"/>
          <w:sz w:val="24"/>
          <w:highlight w:val="black"/>
        </w:rPr>
        <w:t>'''''''''</w:t>
      </w:r>
      <w:r w:rsidR="001E3DCD">
        <w:rPr>
          <w:rFonts w:asciiTheme="minorHAnsi" w:hAnsiTheme="minorHAnsi"/>
          <w:sz w:val="24"/>
        </w:rPr>
        <w:t xml:space="preserve">, </w:t>
      </w:r>
      <w:r w:rsidRPr="009A0C1E">
        <w:rPr>
          <w:rFonts w:asciiTheme="minorHAnsi" w:hAnsiTheme="minorHAnsi"/>
          <w:sz w:val="24"/>
        </w:rPr>
        <w:t xml:space="preserve">in conjunction with an agreement between the sponsor of lumacaftor/ivacaftor and the Government to cap the maximum financial expenditure </w:t>
      </w:r>
      <w:r w:rsidR="00592620">
        <w:rPr>
          <w:rFonts w:asciiTheme="minorHAnsi" w:hAnsiTheme="minorHAnsi"/>
          <w:sz w:val="24"/>
        </w:rPr>
        <w:t>based on</w:t>
      </w:r>
      <w:r w:rsidR="00711D0B">
        <w:rPr>
          <w:rFonts w:asciiTheme="minorHAnsi" w:hAnsiTheme="minorHAnsi"/>
          <w:sz w:val="24"/>
        </w:rPr>
        <w:t xml:space="preserve"> this price and</w:t>
      </w:r>
      <w:r w:rsidRPr="009A0C1E">
        <w:rPr>
          <w:rFonts w:asciiTheme="minorHAnsi" w:hAnsiTheme="minorHAnsi"/>
          <w:sz w:val="24"/>
        </w:rPr>
        <w:t xml:space="preserve"> the submission’s </w:t>
      </w:r>
      <w:r w:rsidR="00592620">
        <w:rPr>
          <w:rFonts w:asciiTheme="minorHAnsi" w:hAnsiTheme="minorHAnsi"/>
          <w:sz w:val="24"/>
        </w:rPr>
        <w:t xml:space="preserve">utilisation </w:t>
      </w:r>
      <w:r w:rsidRPr="009A0C1E">
        <w:rPr>
          <w:rFonts w:asciiTheme="minorHAnsi" w:hAnsiTheme="minorHAnsi"/>
          <w:sz w:val="24"/>
        </w:rPr>
        <w:t>estimates, with a 100% rebate thereafter.</w:t>
      </w:r>
    </w:p>
    <w:p w:rsidR="00226B30" w:rsidRPr="00226B30" w:rsidRDefault="00226B30" w:rsidP="001E08C1">
      <w:pPr>
        <w:pStyle w:val="ListParagraph"/>
        <w:widowControl/>
        <w:spacing w:after="120"/>
        <w:ind w:left="360" w:firstLine="360"/>
        <w:contextualSpacing w:val="0"/>
        <w:rPr>
          <w:rFonts w:asciiTheme="minorHAnsi" w:hAnsiTheme="minorHAnsi"/>
          <w:i/>
          <w:sz w:val="24"/>
        </w:rPr>
      </w:pPr>
      <w:r w:rsidRPr="00C52EA3">
        <w:rPr>
          <w:rFonts w:asciiTheme="minorHAnsi" w:hAnsiTheme="minorHAnsi"/>
          <w:i/>
          <w:sz w:val="24"/>
        </w:rPr>
        <w:t>For more detail on PBAC’s view, see section 7 “PBAC outcome.”</w:t>
      </w:r>
    </w:p>
    <w:p w:rsidR="00FF1401" w:rsidRPr="00FF1401" w:rsidRDefault="00FF1401" w:rsidP="00A54394">
      <w:pPr>
        <w:pStyle w:val="Heading2"/>
        <w:ind w:hanging="720"/>
      </w:pPr>
      <w:r w:rsidRPr="00FF1401">
        <w:t>PBAC Outcome</w:t>
      </w:r>
    </w:p>
    <w:p w:rsidR="00FF1401" w:rsidRPr="00FF1401" w:rsidRDefault="00FF1401" w:rsidP="001E08C1">
      <w:pPr>
        <w:pStyle w:val="ListParagraph"/>
        <w:widowControl/>
        <w:numPr>
          <w:ilvl w:val="0"/>
          <w:numId w:val="1"/>
        </w:numPr>
        <w:contextualSpacing w:val="0"/>
        <w:jc w:val="left"/>
        <w:rPr>
          <w:vanish/>
          <w:szCs w:val="22"/>
          <w:highlight w:val="yellow"/>
          <w:lang w:val="en-GB"/>
        </w:rPr>
      </w:pPr>
    </w:p>
    <w:p w:rsidR="00FF1401" w:rsidRPr="00FF1401" w:rsidRDefault="00FF1401" w:rsidP="001E08C1">
      <w:pPr>
        <w:pStyle w:val="ListParagraph"/>
        <w:widowControl/>
        <w:numPr>
          <w:ilvl w:val="0"/>
          <w:numId w:val="1"/>
        </w:numPr>
        <w:contextualSpacing w:val="0"/>
        <w:jc w:val="left"/>
        <w:rPr>
          <w:vanish/>
          <w:szCs w:val="22"/>
          <w:highlight w:val="yellow"/>
          <w:lang w:val="en-GB"/>
        </w:rPr>
      </w:pPr>
    </w:p>
    <w:p w:rsidR="00FF1401" w:rsidRPr="00FF1401" w:rsidRDefault="00FF1401" w:rsidP="001E08C1">
      <w:pPr>
        <w:pStyle w:val="ListParagraph"/>
        <w:widowControl/>
        <w:numPr>
          <w:ilvl w:val="0"/>
          <w:numId w:val="1"/>
        </w:numPr>
        <w:contextualSpacing w:val="0"/>
        <w:jc w:val="left"/>
        <w:rPr>
          <w:vanish/>
          <w:szCs w:val="22"/>
          <w:highlight w:val="yellow"/>
          <w:lang w:val="en-GB"/>
        </w:rPr>
      </w:pPr>
    </w:p>
    <w:p w:rsidR="00FF1401" w:rsidRPr="00FF1401" w:rsidRDefault="00FF1401" w:rsidP="001E08C1">
      <w:pPr>
        <w:pStyle w:val="ListParagraph"/>
        <w:widowControl/>
        <w:numPr>
          <w:ilvl w:val="0"/>
          <w:numId w:val="1"/>
        </w:numPr>
        <w:contextualSpacing w:val="0"/>
        <w:jc w:val="left"/>
        <w:rPr>
          <w:vanish/>
          <w:szCs w:val="22"/>
          <w:highlight w:val="yellow"/>
          <w:lang w:val="en-GB"/>
        </w:rPr>
      </w:pPr>
    </w:p>
    <w:p w:rsidR="00FF1401" w:rsidRPr="00FF1401" w:rsidRDefault="00FF1401" w:rsidP="001E08C1">
      <w:pPr>
        <w:pStyle w:val="ListParagraph"/>
        <w:widowControl/>
        <w:numPr>
          <w:ilvl w:val="0"/>
          <w:numId w:val="1"/>
        </w:numPr>
        <w:contextualSpacing w:val="0"/>
        <w:jc w:val="left"/>
        <w:rPr>
          <w:vanish/>
          <w:szCs w:val="22"/>
          <w:highlight w:val="yellow"/>
          <w:lang w:val="en-GB"/>
        </w:rPr>
      </w:pPr>
    </w:p>
    <w:p w:rsidR="00FF1401" w:rsidRPr="00FF1401" w:rsidRDefault="00FF1401" w:rsidP="001E08C1">
      <w:pPr>
        <w:pStyle w:val="ListParagraph"/>
        <w:widowControl/>
        <w:numPr>
          <w:ilvl w:val="0"/>
          <w:numId w:val="1"/>
        </w:numPr>
        <w:contextualSpacing w:val="0"/>
        <w:jc w:val="left"/>
        <w:rPr>
          <w:vanish/>
          <w:szCs w:val="22"/>
          <w:highlight w:val="yellow"/>
          <w:lang w:val="en-GB"/>
        </w:rPr>
      </w:pPr>
    </w:p>
    <w:p w:rsidR="00CA2962" w:rsidRPr="00CA2962" w:rsidRDefault="00CA2962" w:rsidP="000245FF">
      <w:pPr>
        <w:pStyle w:val="ListParagraph"/>
        <w:widowControl/>
        <w:numPr>
          <w:ilvl w:val="1"/>
          <w:numId w:val="1"/>
        </w:numPr>
        <w:spacing w:after="120"/>
        <w:contextualSpacing w:val="0"/>
        <w:rPr>
          <w:rFonts w:asciiTheme="minorHAnsi" w:hAnsiTheme="minorHAnsi"/>
          <w:sz w:val="24"/>
          <w:szCs w:val="24"/>
          <w:lang w:val="en-GB"/>
        </w:rPr>
      </w:pPr>
      <w:r w:rsidRPr="00CA2962">
        <w:rPr>
          <w:rFonts w:asciiTheme="minorHAnsi" w:hAnsiTheme="minorHAnsi"/>
          <w:sz w:val="24"/>
          <w:szCs w:val="24"/>
        </w:rPr>
        <w:t xml:space="preserve">Lumacaftor with ivacaftor was not recommended by the PBAC </w:t>
      </w:r>
      <w:r w:rsidR="00DB255E">
        <w:rPr>
          <w:rFonts w:asciiTheme="minorHAnsi" w:hAnsiTheme="minorHAnsi"/>
          <w:sz w:val="24"/>
          <w:szCs w:val="24"/>
        </w:rPr>
        <w:t xml:space="preserve">for listing on the PBS for the treatment of </w:t>
      </w:r>
      <w:r w:rsidR="00DB255E" w:rsidRPr="00DB255E">
        <w:rPr>
          <w:rFonts w:asciiTheme="minorHAnsi" w:hAnsiTheme="minorHAnsi"/>
          <w:sz w:val="24"/>
          <w:szCs w:val="24"/>
        </w:rPr>
        <w:t xml:space="preserve">patients with </w:t>
      </w:r>
      <w:r w:rsidR="00DB255E">
        <w:rPr>
          <w:rFonts w:asciiTheme="minorHAnsi" w:hAnsiTheme="minorHAnsi"/>
          <w:sz w:val="24"/>
          <w:szCs w:val="24"/>
        </w:rPr>
        <w:t>CF</w:t>
      </w:r>
      <w:r w:rsidR="00DB255E" w:rsidRPr="00DB255E">
        <w:rPr>
          <w:rFonts w:asciiTheme="minorHAnsi" w:hAnsiTheme="minorHAnsi"/>
          <w:sz w:val="24"/>
          <w:szCs w:val="24"/>
        </w:rPr>
        <w:t xml:space="preserve"> aged 12 years </w:t>
      </w:r>
      <w:r w:rsidR="00B25179">
        <w:rPr>
          <w:rFonts w:asciiTheme="minorHAnsi" w:hAnsiTheme="minorHAnsi"/>
          <w:sz w:val="24"/>
          <w:szCs w:val="24"/>
        </w:rPr>
        <w:t xml:space="preserve">or older </w:t>
      </w:r>
      <w:r w:rsidR="00DB255E" w:rsidRPr="00DB255E">
        <w:rPr>
          <w:rFonts w:asciiTheme="minorHAnsi" w:hAnsiTheme="minorHAnsi"/>
          <w:sz w:val="24"/>
          <w:szCs w:val="24"/>
        </w:rPr>
        <w:t xml:space="preserve">who are homozygous for the F508del mutation in the CFTR gene </w:t>
      </w:r>
      <w:r w:rsidRPr="00CA2962">
        <w:rPr>
          <w:rFonts w:asciiTheme="minorHAnsi" w:hAnsiTheme="minorHAnsi"/>
          <w:sz w:val="24"/>
          <w:szCs w:val="24"/>
        </w:rPr>
        <w:t xml:space="preserve">on the basis of </w:t>
      </w:r>
      <w:r w:rsidR="000245FF">
        <w:rPr>
          <w:rFonts w:asciiTheme="minorHAnsi" w:hAnsiTheme="minorHAnsi"/>
          <w:sz w:val="24"/>
          <w:szCs w:val="24"/>
        </w:rPr>
        <w:t>unacceptable high</w:t>
      </w:r>
      <w:r w:rsidR="00DB255E">
        <w:rPr>
          <w:rFonts w:asciiTheme="minorHAnsi" w:hAnsiTheme="minorHAnsi"/>
          <w:sz w:val="24"/>
          <w:szCs w:val="24"/>
        </w:rPr>
        <w:t xml:space="preserve"> cost</w:t>
      </w:r>
      <w:r w:rsidR="00DB255E">
        <w:rPr>
          <w:rFonts w:asciiTheme="minorHAnsi" w:hAnsiTheme="minorHAnsi"/>
          <w:sz w:val="24"/>
          <w:szCs w:val="24"/>
        </w:rPr>
        <w:noBreakHyphen/>
      </w:r>
      <w:r w:rsidRPr="00CA2962">
        <w:rPr>
          <w:rFonts w:asciiTheme="minorHAnsi" w:hAnsiTheme="minorHAnsi"/>
          <w:sz w:val="24"/>
          <w:szCs w:val="24"/>
        </w:rPr>
        <w:t>effectiveness at the requested price</w:t>
      </w:r>
      <w:r w:rsidR="000245FF">
        <w:rPr>
          <w:rFonts w:asciiTheme="minorHAnsi" w:hAnsiTheme="minorHAnsi"/>
          <w:sz w:val="24"/>
          <w:szCs w:val="24"/>
        </w:rPr>
        <w:t xml:space="preserve"> </w:t>
      </w:r>
      <w:r w:rsidR="000245FF" w:rsidRPr="000245FF">
        <w:rPr>
          <w:rFonts w:asciiTheme="minorHAnsi" w:hAnsiTheme="minorHAnsi"/>
          <w:sz w:val="24"/>
          <w:szCs w:val="24"/>
        </w:rPr>
        <w:t xml:space="preserve">and uncertainty around the </w:t>
      </w:r>
      <w:r w:rsidR="000245FF">
        <w:rPr>
          <w:rFonts w:asciiTheme="minorHAnsi" w:hAnsiTheme="minorHAnsi"/>
          <w:sz w:val="24"/>
          <w:szCs w:val="24"/>
        </w:rPr>
        <w:t>long</w:t>
      </w:r>
      <w:r w:rsidR="000F7217">
        <w:rPr>
          <w:rFonts w:asciiTheme="minorHAnsi" w:hAnsiTheme="minorHAnsi"/>
          <w:sz w:val="24"/>
          <w:szCs w:val="24"/>
        </w:rPr>
        <w:t xml:space="preserve">er </w:t>
      </w:r>
      <w:r w:rsidR="000245FF">
        <w:rPr>
          <w:rFonts w:asciiTheme="minorHAnsi" w:hAnsiTheme="minorHAnsi"/>
          <w:sz w:val="24"/>
          <w:szCs w:val="24"/>
        </w:rPr>
        <w:t xml:space="preserve">term </w:t>
      </w:r>
      <w:r w:rsidR="000245FF" w:rsidRPr="000245FF">
        <w:rPr>
          <w:rFonts w:asciiTheme="minorHAnsi" w:hAnsiTheme="minorHAnsi"/>
          <w:sz w:val="24"/>
          <w:szCs w:val="24"/>
        </w:rPr>
        <w:t>impact of lumacaftor/ivacaftor on lung function and survival</w:t>
      </w:r>
      <w:r w:rsidR="000F7217">
        <w:rPr>
          <w:rFonts w:asciiTheme="minorHAnsi" w:hAnsiTheme="minorHAnsi"/>
          <w:sz w:val="24"/>
          <w:szCs w:val="24"/>
        </w:rPr>
        <w:t xml:space="preserve"> beyond 2 years of treatment</w:t>
      </w:r>
      <w:r w:rsidRPr="00CA2962">
        <w:rPr>
          <w:rFonts w:asciiTheme="minorHAnsi" w:hAnsiTheme="minorHAnsi"/>
          <w:sz w:val="24"/>
          <w:szCs w:val="24"/>
        </w:rPr>
        <w:t>.</w:t>
      </w:r>
    </w:p>
    <w:p w:rsidR="00CA2962" w:rsidRPr="00CA2962" w:rsidRDefault="00711D0B" w:rsidP="00970BAD">
      <w:pPr>
        <w:pStyle w:val="ListParagraph"/>
        <w:numPr>
          <w:ilvl w:val="1"/>
          <w:numId w:val="1"/>
        </w:numPr>
        <w:spacing w:after="120"/>
        <w:contextualSpacing w:val="0"/>
        <w:rPr>
          <w:rFonts w:asciiTheme="minorHAnsi" w:hAnsiTheme="minorHAnsi"/>
          <w:sz w:val="24"/>
          <w:szCs w:val="24"/>
          <w:lang w:val="en-GB"/>
        </w:rPr>
      </w:pPr>
      <w:r>
        <w:rPr>
          <w:rFonts w:asciiTheme="minorHAnsi" w:hAnsiTheme="minorHAnsi"/>
          <w:sz w:val="24"/>
          <w:szCs w:val="24"/>
          <w:lang w:val="en-GB"/>
        </w:rPr>
        <w:t>T</w:t>
      </w:r>
      <w:r w:rsidR="00CA2962" w:rsidRPr="00CA2962">
        <w:rPr>
          <w:rFonts w:asciiTheme="minorHAnsi" w:hAnsiTheme="minorHAnsi"/>
          <w:sz w:val="24"/>
          <w:szCs w:val="24"/>
          <w:lang w:val="en-GB"/>
        </w:rPr>
        <w:t>he PBAC recognised the potential clinical value of lumacaftor/ivacaftor in the treatment of cystic fibrosis in patients aged 12 years or older who are homozygous for the F508del mutation. The PBAC acknowledged the many consumer comments</w:t>
      </w:r>
      <w:r w:rsidR="00092A82">
        <w:rPr>
          <w:rFonts w:asciiTheme="minorHAnsi" w:hAnsiTheme="minorHAnsi"/>
          <w:sz w:val="24"/>
          <w:szCs w:val="24"/>
          <w:lang w:val="en-GB"/>
        </w:rPr>
        <w:t xml:space="preserve"> and </w:t>
      </w:r>
      <w:r w:rsidR="00092A82" w:rsidRPr="00CA2962">
        <w:rPr>
          <w:rFonts w:asciiTheme="minorHAnsi" w:hAnsiTheme="minorHAnsi"/>
          <w:sz w:val="24"/>
          <w:szCs w:val="24"/>
          <w:lang w:val="en-GB"/>
        </w:rPr>
        <w:t>the correspondence from Cystic Fibrosis Australia</w:t>
      </w:r>
      <w:r w:rsidR="00CA2962" w:rsidRPr="00CA2962">
        <w:rPr>
          <w:rFonts w:asciiTheme="minorHAnsi" w:hAnsiTheme="minorHAnsi"/>
          <w:sz w:val="24"/>
          <w:szCs w:val="24"/>
          <w:lang w:val="en-GB"/>
        </w:rPr>
        <w:t xml:space="preserve"> relating to this </w:t>
      </w:r>
      <w:r w:rsidR="00CA2962">
        <w:rPr>
          <w:rFonts w:asciiTheme="minorHAnsi" w:hAnsiTheme="minorHAnsi"/>
          <w:sz w:val="24"/>
          <w:szCs w:val="24"/>
          <w:lang w:val="en-GB"/>
        </w:rPr>
        <w:t>re</w:t>
      </w:r>
      <w:r w:rsidR="00CA2962" w:rsidRPr="00CA2962">
        <w:rPr>
          <w:rFonts w:asciiTheme="minorHAnsi" w:hAnsiTheme="minorHAnsi"/>
          <w:sz w:val="24"/>
          <w:szCs w:val="24"/>
          <w:lang w:val="en-GB"/>
        </w:rPr>
        <w:t>submission</w:t>
      </w:r>
      <w:r w:rsidR="00D40CFF">
        <w:rPr>
          <w:rFonts w:asciiTheme="minorHAnsi" w:hAnsiTheme="minorHAnsi"/>
          <w:sz w:val="24"/>
          <w:szCs w:val="24"/>
          <w:lang w:val="en-GB"/>
        </w:rPr>
        <w:t xml:space="preserve"> and</w:t>
      </w:r>
      <w:r w:rsidR="00CA2962" w:rsidRPr="00CA2962">
        <w:rPr>
          <w:rFonts w:asciiTheme="minorHAnsi" w:hAnsiTheme="minorHAnsi"/>
          <w:sz w:val="24"/>
          <w:szCs w:val="24"/>
          <w:lang w:val="en-GB"/>
        </w:rPr>
        <w:t xml:space="preserve"> recognised the strong support for subsidised access to lumacaftor/ivacaftor.</w:t>
      </w:r>
      <w:r w:rsidR="00646936" w:rsidDel="00646936">
        <w:rPr>
          <w:rFonts w:asciiTheme="minorHAnsi" w:hAnsiTheme="minorHAnsi"/>
          <w:sz w:val="24"/>
          <w:szCs w:val="24"/>
          <w:lang w:val="en-GB"/>
        </w:rPr>
        <w:t xml:space="preserve"> </w:t>
      </w:r>
    </w:p>
    <w:p w:rsidR="000245FF" w:rsidRPr="000245FF" w:rsidRDefault="000245FF" w:rsidP="00646936">
      <w:pPr>
        <w:pStyle w:val="ListParagraph"/>
        <w:numPr>
          <w:ilvl w:val="1"/>
          <w:numId w:val="1"/>
        </w:numPr>
        <w:spacing w:after="120"/>
        <w:contextualSpacing w:val="0"/>
        <w:rPr>
          <w:rFonts w:asciiTheme="minorHAnsi" w:hAnsiTheme="minorHAnsi"/>
          <w:bCs/>
          <w:sz w:val="24"/>
          <w:szCs w:val="24"/>
          <w:lang w:val="en-GB"/>
        </w:rPr>
      </w:pPr>
      <w:r w:rsidRPr="000245FF">
        <w:rPr>
          <w:rFonts w:asciiTheme="minorHAnsi" w:hAnsiTheme="minorHAnsi"/>
          <w:bCs/>
          <w:sz w:val="24"/>
          <w:szCs w:val="24"/>
          <w:lang w:val="en-GB"/>
        </w:rPr>
        <w:t>The PBAC recalled</w:t>
      </w:r>
      <w:r>
        <w:rPr>
          <w:rFonts w:asciiTheme="minorHAnsi" w:hAnsiTheme="minorHAnsi"/>
          <w:bCs/>
          <w:sz w:val="24"/>
          <w:szCs w:val="24"/>
          <w:lang w:val="en-GB"/>
        </w:rPr>
        <w:t xml:space="preserve"> that it previously rejected lumacaftor/ivacaftor at its March 2016 meeting on the basis of </w:t>
      </w:r>
      <w:r w:rsidRPr="000245FF">
        <w:rPr>
          <w:rFonts w:asciiTheme="minorHAnsi" w:hAnsiTheme="minorHAnsi"/>
          <w:bCs/>
          <w:sz w:val="24"/>
          <w:szCs w:val="24"/>
          <w:lang w:val="en-GB"/>
        </w:rPr>
        <w:t>unacceptably high</w:t>
      </w:r>
      <w:r w:rsidR="004577CD">
        <w:rPr>
          <w:rFonts w:asciiTheme="minorHAnsi" w:hAnsiTheme="minorHAnsi"/>
          <w:bCs/>
          <w:sz w:val="24"/>
          <w:szCs w:val="24"/>
          <w:lang w:val="en-GB"/>
        </w:rPr>
        <w:t xml:space="preserve"> and uncertain incremental cost</w:t>
      </w:r>
      <w:r w:rsidR="004577CD">
        <w:rPr>
          <w:rFonts w:asciiTheme="minorHAnsi" w:hAnsiTheme="minorHAnsi"/>
          <w:bCs/>
          <w:sz w:val="24"/>
          <w:szCs w:val="24"/>
          <w:lang w:val="en-GB"/>
        </w:rPr>
        <w:noBreakHyphen/>
      </w:r>
      <w:r w:rsidRPr="000245FF">
        <w:rPr>
          <w:rFonts w:asciiTheme="minorHAnsi" w:hAnsiTheme="minorHAnsi"/>
          <w:bCs/>
          <w:sz w:val="24"/>
          <w:szCs w:val="24"/>
          <w:lang w:val="en-GB"/>
        </w:rPr>
        <w:t>effectiveness ratio at the requested price, and uncertainty around the impact of lumacaftor/ivacaftor on long-term improvements in lung function and survival.</w:t>
      </w:r>
      <w:r>
        <w:rPr>
          <w:rFonts w:asciiTheme="minorHAnsi" w:hAnsiTheme="minorHAnsi"/>
          <w:bCs/>
          <w:sz w:val="24"/>
          <w:szCs w:val="24"/>
          <w:lang w:val="en-GB"/>
        </w:rPr>
        <w:t xml:space="preserve"> The PBAC subsequently rejected a minor resubmission for lumacaftor/ivacaftor at its November 2016 meeting, noting that the resubmission did not address the issues it identified in March 2016. </w:t>
      </w:r>
    </w:p>
    <w:p w:rsidR="001249FC" w:rsidRPr="001249FC" w:rsidRDefault="00374A87" w:rsidP="009A2555">
      <w:pPr>
        <w:widowControl/>
        <w:numPr>
          <w:ilvl w:val="1"/>
          <w:numId w:val="1"/>
        </w:numPr>
        <w:spacing w:before="120" w:after="120"/>
        <w:rPr>
          <w:rFonts w:asciiTheme="minorHAnsi" w:hAnsiTheme="minorHAnsi"/>
          <w:sz w:val="24"/>
          <w:lang w:val="en-US"/>
        </w:rPr>
      </w:pPr>
      <w:r w:rsidRPr="00C16535">
        <w:rPr>
          <w:rFonts w:asciiTheme="minorHAnsi" w:hAnsiTheme="minorHAnsi"/>
          <w:bCs/>
          <w:sz w:val="24"/>
          <w:szCs w:val="24"/>
          <w:lang w:val="en-GB"/>
        </w:rPr>
        <w:t xml:space="preserve">The PBAC </w:t>
      </w:r>
      <w:r w:rsidR="00785944">
        <w:rPr>
          <w:rFonts w:asciiTheme="minorHAnsi" w:hAnsiTheme="minorHAnsi"/>
          <w:bCs/>
          <w:sz w:val="24"/>
          <w:szCs w:val="24"/>
          <w:lang w:val="en-GB"/>
        </w:rPr>
        <w:t>noted that</w:t>
      </w:r>
      <w:r w:rsidRPr="00C16535">
        <w:rPr>
          <w:rFonts w:asciiTheme="minorHAnsi" w:hAnsiTheme="minorHAnsi"/>
          <w:bCs/>
          <w:sz w:val="24"/>
          <w:szCs w:val="24"/>
          <w:lang w:val="en-GB"/>
        </w:rPr>
        <w:t xml:space="preserve"> </w:t>
      </w:r>
      <w:r w:rsidR="001249FC">
        <w:rPr>
          <w:rFonts w:asciiTheme="minorHAnsi" w:hAnsiTheme="minorHAnsi"/>
          <w:bCs/>
          <w:sz w:val="24"/>
          <w:szCs w:val="24"/>
          <w:lang w:val="en-GB"/>
        </w:rPr>
        <w:t>updated evidence from the PROGRESS extension study de</w:t>
      </w:r>
      <w:r w:rsidR="004577CD">
        <w:rPr>
          <w:rFonts w:asciiTheme="minorHAnsi" w:hAnsiTheme="minorHAnsi"/>
          <w:bCs/>
          <w:sz w:val="24"/>
          <w:szCs w:val="24"/>
          <w:lang w:val="en-GB"/>
        </w:rPr>
        <w:t>monstrated that the modest 2.81 percentage point</w:t>
      </w:r>
      <w:r w:rsidR="001249FC">
        <w:rPr>
          <w:rFonts w:asciiTheme="minorHAnsi" w:hAnsiTheme="minorHAnsi"/>
          <w:bCs/>
          <w:sz w:val="24"/>
          <w:szCs w:val="24"/>
          <w:lang w:val="en-GB"/>
        </w:rPr>
        <w:t xml:space="preserve"> improvement in </w:t>
      </w:r>
      <w:r w:rsidR="00785944">
        <w:rPr>
          <w:rFonts w:asciiTheme="minorHAnsi" w:hAnsiTheme="minorHAnsi"/>
          <w:bCs/>
          <w:sz w:val="24"/>
          <w:szCs w:val="24"/>
          <w:lang w:val="en-GB"/>
        </w:rPr>
        <w:t>ppFEV</w:t>
      </w:r>
      <w:r w:rsidR="00785944" w:rsidRPr="00785944">
        <w:rPr>
          <w:rFonts w:asciiTheme="minorHAnsi" w:hAnsiTheme="minorHAnsi"/>
          <w:bCs/>
          <w:sz w:val="24"/>
          <w:szCs w:val="24"/>
          <w:vertAlign w:val="subscript"/>
          <w:lang w:val="en-GB"/>
        </w:rPr>
        <w:t>1</w:t>
      </w:r>
      <w:r w:rsidR="001249FC">
        <w:rPr>
          <w:rFonts w:asciiTheme="minorHAnsi" w:hAnsiTheme="minorHAnsi"/>
          <w:bCs/>
          <w:sz w:val="24"/>
          <w:szCs w:val="24"/>
          <w:lang w:val="en-GB"/>
        </w:rPr>
        <w:t xml:space="preserve"> in lumacaftor/ivacaftor treated patients versus placebo observed in TRAFFIC/TRANSPORT </w:t>
      </w:r>
      <w:r w:rsidR="00A87737">
        <w:rPr>
          <w:rFonts w:asciiTheme="minorHAnsi" w:hAnsiTheme="minorHAnsi"/>
          <w:bCs/>
          <w:sz w:val="24"/>
          <w:szCs w:val="24"/>
          <w:lang w:val="en-GB"/>
        </w:rPr>
        <w:t xml:space="preserve">at 24 weeks </w:t>
      </w:r>
      <w:r w:rsidR="001249FC">
        <w:rPr>
          <w:rFonts w:asciiTheme="minorHAnsi" w:hAnsiTheme="minorHAnsi"/>
          <w:bCs/>
          <w:sz w:val="24"/>
          <w:szCs w:val="24"/>
          <w:lang w:val="en-GB"/>
        </w:rPr>
        <w:t>was not maintained</w:t>
      </w:r>
      <w:r w:rsidR="008F6E42" w:rsidRPr="00C16535">
        <w:rPr>
          <w:rFonts w:asciiTheme="minorHAnsi" w:hAnsiTheme="minorHAnsi"/>
          <w:bCs/>
          <w:sz w:val="24"/>
          <w:szCs w:val="24"/>
          <w:lang w:val="en-GB"/>
        </w:rPr>
        <w:t xml:space="preserve"> </w:t>
      </w:r>
      <w:r w:rsidR="001249FC">
        <w:rPr>
          <w:rFonts w:asciiTheme="minorHAnsi" w:hAnsiTheme="minorHAnsi"/>
          <w:bCs/>
          <w:sz w:val="24"/>
          <w:szCs w:val="24"/>
          <w:lang w:val="en-GB"/>
        </w:rPr>
        <w:t xml:space="preserve">after an additional 96 weeks of treatment. </w:t>
      </w:r>
    </w:p>
    <w:p w:rsidR="00C16535" w:rsidRPr="00C16535" w:rsidRDefault="007B5AD1" w:rsidP="00711D0B">
      <w:pPr>
        <w:widowControl/>
        <w:numPr>
          <w:ilvl w:val="1"/>
          <w:numId w:val="1"/>
        </w:numPr>
        <w:spacing w:before="120" w:after="120"/>
        <w:rPr>
          <w:rFonts w:asciiTheme="minorHAnsi" w:hAnsiTheme="minorHAnsi"/>
          <w:sz w:val="24"/>
          <w:lang w:val="en-US"/>
        </w:rPr>
      </w:pPr>
      <w:r>
        <w:rPr>
          <w:rFonts w:asciiTheme="minorHAnsi" w:hAnsiTheme="minorHAnsi"/>
          <w:sz w:val="24"/>
          <w:lang w:val="en-US"/>
        </w:rPr>
        <w:t xml:space="preserve">The submission argued that </w:t>
      </w:r>
      <w:r w:rsidRPr="00711D0B">
        <w:rPr>
          <w:rFonts w:asciiTheme="minorHAnsi" w:hAnsiTheme="minorHAnsi"/>
          <w:sz w:val="24"/>
          <w:lang w:val="en-US"/>
        </w:rPr>
        <w:t>slow</w:t>
      </w:r>
      <w:r>
        <w:rPr>
          <w:rFonts w:asciiTheme="minorHAnsi" w:hAnsiTheme="minorHAnsi"/>
          <w:sz w:val="24"/>
          <w:lang w:val="en-US"/>
        </w:rPr>
        <w:t>ing</w:t>
      </w:r>
      <w:r w:rsidRPr="00711D0B">
        <w:rPr>
          <w:rFonts w:asciiTheme="minorHAnsi" w:hAnsiTheme="minorHAnsi"/>
          <w:sz w:val="24"/>
          <w:lang w:val="en-US"/>
        </w:rPr>
        <w:t xml:space="preserve"> the rate of deterioration over time is the main objective of CF treatment.</w:t>
      </w:r>
      <w:r w:rsidRPr="00C16535">
        <w:rPr>
          <w:rFonts w:asciiTheme="minorHAnsi" w:hAnsiTheme="minorHAnsi"/>
          <w:sz w:val="24"/>
          <w:lang w:val="en-US"/>
        </w:rPr>
        <w:t xml:space="preserve"> </w:t>
      </w:r>
      <w:r w:rsidR="00C67B56">
        <w:rPr>
          <w:rFonts w:asciiTheme="minorHAnsi" w:hAnsiTheme="minorHAnsi"/>
          <w:sz w:val="24"/>
          <w:lang w:val="en-US"/>
        </w:rPr>
        <w:t>T</w:t>
      </w:r>
      <w:r w:rsidR="00010707" w:rsidRPr="00C16535">
        <w:rPr>
          <w:rFonts w:asciiTheme="minorHAnsi" w:hAnsiTheme="minorHAnsi"/>
          <w:sz w:val="24"/>
          <w:lang w:val="en-US"/>
        </w:rPr>
        <w:t xml:space="preserve">he </w:t>
      </w:r>
      <w:r w:rsidR="00471267">
        <w:rPr>
          <w:rFonts w:asciiTheme="minorHAnsi" w:hAnsiTheme="minorHAnsi"/>
          <w:sz w:val="24"/>
          <w:lang w:val="en-US"/>
        </w:rPr>
        <w:t xml:space="preserve">PBAC noted that the </w:t>
      </w:r>
      <w:r w:rsidR="009A2555" w:rsidRPr="00C16535">
        <w:rPr>
          <w:rFonts w:asciiTheme="minorHAnsi" w:hAnsiTheme="minorHAnsi"/>
          <w:sz w:val="24"/>
          <w:lang w:val="en-US"/>
        </w:rPr>
        <w:t>submission presented a matched analysis of 455 patients treated with lumacaftor/ivacaftor in the PROGRESS extension study and 1,588</w:t>
      </w:r>
      <w:r w:rsidR="004E615A" w:rsidRPr="00C16535">
        <w:rPr>
          <w:rFonts w:asciiTheme="minorHAnsi" w:hAnsiTheme="minorHAnsi"/>
          <w:sz w:val="24"/>
          <w:lang w:val="en-US"/>
        </w:rPr>
        <w:t xml:space="preserve"> historical</w:t>
      </w:r>
      <w:r w:rsidR="009A2555" w:rsidRPr="00C16535">
        <w:rPr>
          <w:rFonts w:asciiTheme="minorHAnsi" w:hAnsiTheme="minorHAnsi"/>
          <w:sz w:val="24"/>
          <w:lang w:val="en-US"/>
        </w:rPr>
        <w:t xml:space="preserve"> control patients from the US CFFPR</w:t>
      </w:r>
      <w:r w:rsidR="00C67B56">
        <w:rPr>
          <w:rFonts w:asciiTheme="minorHAnsi" w:hAnsiTheme="minorHAnsi"/>
          <w:sz w:val="24"/>
          <w:lang w:val="en-US"/>
        </w:rPr>
        <w:t xml:space="preserve"> to compare the rate of decline in ppFEV</w:t>
      </w:r>
      <w:r w:rsidR="00C67B56" w:rsidRPr="00C67B56">
        <w:rPr>
          <w:rFonts w:asciiTheme="minorHAnsi" w:hAnsiTheme="minorHAnsi"/>
          <w:sz w:val="24"/>
          <w:vertAlign w:val="subscript"/>
          <w:lang w:val="en-US"/>
        </w:rPr>
        <w:t>1</w:t>
      </w:r>
      <w:r w:rsidR="00C67B56">
        <w:rPr>
          <w:rFonts w:asciiTheme="minorHAnsi" w:hAnsiTheme="minorHAnsi"/>
          <w:sz w:val="24"/>
          <w:lang w:val="en-US"/>
        </w:rPr>
        <w:t xml:space="preserve"> </w:t>
      </w:r>
      <w:r w:rsidR="004577CD">
        <w:rPr>
          <w:rFonts w:asciiTheme="minorHAnsi" w:hAnsiTheme="minorHAnsi"/>
          <w:sz w:val="24"/>
          <w:lang w:val="en-US"/>
        </w:rPr>
        <w:t xml:space="preserve">for lumacaftor/ivacaftor treated patients </w:t>
      </w:r>
      <w:r w:rsidR="00C67B56">
        <w:rPr>
          <w:rFonts w:asciiTheme="minorHAnsi" w:hAnsiTheme="minorHAnsi"/>
          <w:sz w:val="24"/>
          <w:lang w:val="en-US"/>
        </w:rPr>
        <w:t>to the background deterioration that would have occurred with BSC</w:t>
      </w:r>
      <w:r w:rsidR="006574A1">
        <w:rPr>
          <w:rFonts w:asciiTheme="minorHAnsi" w:hAnsiTheme="minorHAnsi"/>
          <w:sz w:val="24"/>
          <w:lang w:val="en-US"/>
        </w:rPr>
        <w:t xml:space="preserve">. </w:t>
      </w:r>
      <w:r w:rsidR="009A2555" w:rsidRPr="00C16535">
        <w:rPr>
          <w:rFonts w:asciiTheme="minorHAnsi" w:hAnsiTheme="minorHAnsi"/>
          <w:sz w:val="24"/>
          <w:lang w:val="en-US"/>
        </w:rPr>
        <w:t>The resubmission claimed the results of this matched analysis demonstrated that the annual rate of ppFEV</w:t>
      </w:r>
      <w:r w:rsidR="009A2555" w:rsidRPr="00C16535">
        <w:rPr>
          <w:rFonts w:asciiTheme="minorHAnsi" w:hAnsiTheme="minorHAnsi"/>
          <w:sz w:val="24"/>
          <w:vertAlign w:val="subscript"/>
          <w:lang w:val="en-US"/>
        </w:rPr>
        <w:t>1</w:t>
      </w:r>
      <w:r w:rsidR="009A2555" w:rsidRPr="00C16535">
        <w:rPr>
          <w:rFonts w:asciiTheme="minorHAnsi" w:hAnsiTheme="minorHAnsi"/>
          <w:sz w:val="24"/>
          <w:lang w:val="en-US"/>
        </w:rPr>
        <w:t xml:space="preserve"> decline was nearly halved in lumacaftor/ivacaftor treated patients</w:t>
      </w:r>
      <w:r w:rsidR="002F3F59" w:rsidRPr="00C16535">
        <w:rPr>
          <w:rFonts w:asciiTheme="minorHAnsi" w:hAnsiTheme="minorHAnsi"/>
          <w:sz w:val="24"/>
          <w:lang w:val="en-US"/>
        </w:rPr>
        <w:t xml:space="preserve"> (with a</w:t>
      </w:r>
      <w:r w:rsidR="0066502E">
        <w:rPr>
          <w:rFonts w:asciiTheme="minorHAnsi" w:hAnsiTheme="minorHAnsi"/>
          <w:sz w:val="24"/>
          <w:lang w:val="en-US"/>
        </w:rPr>
        <w:t>n annualized rate of</w:t>
      </w:r>
      <w:r w:rsidR="002F3F59" w:rsidRPr="00C16535">
        <w:rPr>
          <w:rFonts w:asciiTheme="minorHAnsi" w:hAnsiTheme="minorHAnsi"/>
          <w:sz w:val="24"/>
          <w:lang w:val="en-US"/>
        </w:rPr>
        <w:t xml:space="preserve"> decline of 1.33</w:t>
      </w:r>
      <w:r w:rsidR="0066502E">
        <w:rPr>
          <w:rFonts w:asciiTheme="minorHAnsi" w:hAnsiTheme="minorHAnsi"/>
          <w:sz w:val="24"/>
          <w:lang w:val="en-US"/>
        </w:rPr>
        <w:t xml:space="preserve"> percentage points</w:t>
      </w:r>
      <w:r w:rsidR="002F3F59" w:rsidRPr="00C16535">
        <w:rPr>
          <w:rFonts w:asciiTheme="minorHAnsi" w:hAnsiTheme="minorHAnsi"/>
          <w:sz w:val="24"/>
          <w:lang w:val="en-US"/>
        </w:rPr>
        <w:t>, compared with 2.29</w:t>
      </w:r>
      <w:r w:rsidR="0066502E">
        <w:rPr>
          <w:rFonts w:asciiTheme="minorHAnsi" w:hAnsiTheme="minorHAnsi"/>
          <w:sz w:val="24"/>
          <w:lang w:val="en-US"/>
        </w:rPr>
        <w:t xml:space="preserve"> percentage points </w:t>
      </w:r>
      <w:r w:rsidR="002F3F59" w:rsidRPr="00C16535">
        <w:rPr>
          <w:rFonts w:asciiTheme="minorHAnsi" w:hAnsiTheme="minorHAnsi"/>
          <w:sz w:val="24"/>
          <w:lang w:val="en-US"/>
        </w:rPr>
        <w:t>for the controls)</w:t>
      </w:r>
      <w:r w:rsidR="009A2555" w:rsidRPr="00C16535">
        <w:rPr>
          <w:rFonts w:asciiTheme="minorHAnsi" w:hAnsiTheme="minorHAnsi"/>
          <w:sz w:val="24"/>
          <w:lang w:val="en-US"/>
        </w:rPr>
        <w:t>.</w:t>
      </w:r>
      <w:r w:rsidR="0073006B">
        <w:rPr>
          <w:rFonts w:asciiTheme="minorHAnsi" w:hAnsiTheme="minorHAnsi"/>
          <w:sz w:val="24"/>
          <w:lang w:val="en-US"/>
        </w:rPr>
        <w:t xml:space="preserve"> However, a</w:t>
      </w:r>
      <w:r w:rsidR="0073006B">
        <w:rPr>
          <w:rFonts w:asciiTheme="minorHAnsi" w:hAnsiTheme="minorHAnsi"/>
          <w:bCs/>
          <w:sz w:val="24"/>
          <w:szCs w:val="24"/>
          <w:lang w:val="en-GB"/>
        </w:rPr>
        <w:t xml:space="preserve">s discussed in </w:t>
      </w:r>
      <w:r w:rsidR="0073006B" w:rsidRPr="00A54394">
        <w:rPr>
          <w:rFonts w:asciiTheme="minorHAnsi" w:hAnsiTheme="minorHAnsi"/>
          <w:bCs/>
          <w:sz w:val="24"/>
          <w:szCs w:val="24"/>
          <w:lang w:val="en-GB"/>
        </w:rPr>
        <w:t>paragraph 6.2</w:t>
      </w:r>
      <w:r w:rsidR="00E43BD2" w:rsidRPr="00A54394">
        <w:rPr>
          <w:rFonts w:asciiTheme="minorHAnsi" w:hAnsiTheme="minorHAnsi"/>
          <w:bCs/>
          <w:sz w:val="24"/>
          <w:szCs w:val="24"/>
          <w:lang w:val="en-GB"/>
        </w:rPr>
        <w:t>2</w:t>
      </w:r>
      <w:r w:rsidR="0073006B">
        <w:rPr>
          <w:rFonts w:asciiTheme="minorHAnsi" w:hAnsiTheme="minorHAnsi"/>
          <w:bCs/>
          <w:sz w:val="24"/>
          <w:szCs w:val="24"/>
          <w:lang w:val="en-GB"/>
        </w:rPr>
        <w:t>,</w:t>
      </w:r>
      <w:r w:rsidR="00C16535" w:rsidRPr="00C16535">
        <w:rPr>
          <w:rFonts w:asciiTheme="minorHAnsi" w:hAnsiTheme="minorHAnsi"/>
          <w:bCs/>
          <w:sz w:val="24"/>
          <w:szCs w:val="24"/>
          <w:lang w:val="en-GB"/>
        </w:rPr>
        <w:t xml:space="preserve"> the PBA</w:t>
      </w:r>
      <w:r w:rsidR="0073006B">
        <w:rPr>
          <w:rFonts w:asciiTheme="minorHAnsi" w:hAnsiTheme="minorHAnsi"/>
          <w:bCs/>
          <w:sz w:val="24"/>
          <w:szCs w:val="24"/>
          <w:lang w:val="en-GB"/>
        </w:rPr>
        <w:t xml:space="preserve">C considered </w:t>
      </w:r>
      <w:r w:rsidR="00097B50">
        <w:rPr>
          <w:rFonts w:asciiTheme="minorHAnsi" w:hAnsiTheme="minorHAnsi"/>
          <w:bCs/>
          <w:sz w:val="24"/>
          <w:szCs w:val="24"/>
          <w:lang w:val="en-GB"/>
        </w:rPr>
        <w:t xml:space="preserve">that </w:t>
      </w:r>
      <w:r w:rsidR="00097B50" w:rsidRPr="00C16535">
        <w:rPr>
          <w:rFonts w:asciiTheme="minorHAnsi" w:hAnsiTheme="minorHAnsi"/>
          <w:sz w:val="24"/>
          <w:lang w:val="en-US"/>
        </w:rPr>
        <w:t>the historical control patients</w:t>
      </w:r>
      <w:r w:rsidR="00097B50">
        <w:rPr>
          <w:rFonts w:asciiTheme="minorHAnsi" w:hAnsiTheme="minorHAnsi"/>
          <w:sz w:val="24"/>
          <w:lang w:val="en-US"/>
        </w:rPr>
        <w:t xml:space="preserve"> from the CFFPR</w:t>
      </w:r>
      <w:r w:rsidR="00097B50" w:rsidRPr="00C16535">
        <w:rPr>
          <w:rFonts w:asciiTheme="minorHAnsi" w:hAnsiTheme="minorHAnsi"/>
          <w:sz w:val="24"/>
          <w:lang w:val="en-US"/>
        </w:rPr>
        <w:t xml:space="preserve"> were unlikely to be representative of the patients in TRAFFIC/TRANSPORT</w:t>
      </w:r>
      <w:r w:rsidR="00711D0B">
        <w:rPr>
          <w:rFonts w:asciiTheme="minorHAnsi" w:hAnsiTheme="minorHAnsi"/>
          <w:sz w:val="24"/>
          <w:lang w:val="en-US"/>
        </w:rPr>
        <w:t xml:space="preserve"> or of Australian CF patients</w:t>
      </w:r>
      <w:r w:rsidR="00097B50">
        <w:rPr>
          <w:rFonts w:asciiTheme="minorHAnsi" w:hAnsiTheme="minorHAnsi"/>
          <w:sz w:val="24"/>
          <w:lang w:val="en-US"/>
        </w:rPr>
        <w:t>, and hence PROGRESS,</w:t>
      </w:r>
      <w:r w:rsidR="00097B50" w:rsidRPr="00C16535">
        <w:rPr>
          <w:rFonts w:asciiTheme="minorHAnsi" w:hAnsiTheme="minorHAnsi"/>
          <w:sz w:val="24"/>
          <w:lang w:val="en-US"/>
        </w:rPr>
        <w:t xml:space="preserve"> and </w:t>
      </w:r>
      <w:r w:rsidR="00097B50">
        <w:rPr>
          <w:rFonts w:asciiTheme="minorHAnsi" w:hAnsiTheme="minorHAnsi"/>
          <w:sz w:val="24"/>
          <w:lang w:val="en-US"/>
        </w:rPr>
        <w:t xml:space="preserve">the comparison of </w:t>
      </w:r>
      <w:r w:rsidR="00097B50" w:rsidRPr="00C16535">
        <w:rPr>
          <w:rFonts w:asciiTheme="minorHAnsi" w:hAnsiTheme="minorHAnsi"/>
          <w:sz w:val="24"/>
          <w:lang w:val="en-US"/>
        </w:rPr>
        <w:t xml:space="preserve">the </w:t>
      </w:r>
      <w:r w:rsidR="00097B50">
        <w:rPr>
          <w:rFonts w:asciiTheme="minorHAnsi" w:hAnsiTheme="minorHAnsi"/>
          <w:sz w:val="24"/>
          <w:lang w:val="en-US"/>
        </w:rPr>
        <w:t>reduction in the rate</w:t>
      </w:r>
      <w:r w:rsidR="00097B50" w:rsidRPr="00C16535">
        <w:rPr>
          <w:rFonts w:asciiTheme="minorHAnsi" w:hAnsiTheme="minorHAnsi"/>
          <w:sz w:val="24"/>
          <w:lang w:val="en-US"/>
        </w:rPr>
        <w:t xml:space="preserve"> of decline in </w:t>
      </w:r>
      <w:r w:rsidR="005E1A95">
        <w:rPr>
          <w:rFonts w:asciiTheme="minorHAnsi" w:hAnsiTheme="minorHAnsi"/>
          <w:sz w:val="24"/>
          <w:lang w:val="en-US"/>
        </w:rPr>
        <w:t>pp</w:t>
      </w:r>
      <w:r w:rsidR="00097B50" w:rsidRPr="00C16535">
        <w:rPr>
          <w:rFonts w:asciiTheme="minorHAnsi" w:hAnsiTheme="minorHAnsi"/>
          <w:sz w:val="24"/>
          <w:lang w:val="en-US"/>
        </w:rPr>
        <w:t>FEV</w:t>
      </w:r>
      <w:r w:rsidR="00097B50" w:rsidRPr="00E43BD2">
        <w:rPr>
          <w:rFonts w:asciiTheme="minorHAnsi" w:hAnsiTheme="minorHAnsi"/>
          <w:sz w:val="24"/>
          <w:vertAlign w:val="subscript"/>
          <w:lang w:val="en-US"/>
        </w:rPr>
        <w:t>1</w:t>
      </w:r>
      <w:r w:rsidR="00097B50" w:rsidRPr="00C16535">
        <w:rPr>
          <w:rFonts w:asciiTheme="minorHAnsi" w:hAnsiTheme="minorHAnsi"/>
          <w:sz w:val="24"/>
          <w:lang w:val="en-US"/>
        </w:rPr>
        <w:t xml:space="preserve"> </w:t>
      </w:r>
      <w:r w:rsidR="00097B50">
        <w:rPr>
          <w:rFonts w:asciiTheme="minorHAnsi" w:hAnsiTheme="minorHAnsi"/>
          <w:sz w:val="24"/>
          <w:lang w:val="en-US"/>
        </w:rPr>
        <w:t xml:space="preserve">in PROGRESS versus the CFFPR </w:t>
      </w:r>
      <w:r w:rsidR="00097B50" w:rsidRPr="00C16535">
        <w:rPr>
          <w:rFonts w:asciiTheme="minorHAnsi" w:hAnsiTheme="minorHAnsi"/>
          <w:sz w:val="24"/>
          <w:lang w:val="en-US"/>
        </w:rPr>
        <w:t xml:space="preserve">was </w:t>
      </w:r>
      <w:r w:rsidR="00CA4908">
        <w:rPr>
          <w:rFonts w:asciiTheme="minorHAnsi" w:hAnsiTheme="minorHAnsi"/>
          <w:sz w:val="24"/>
          <w:lang w:val="en-US"/>
        </w:rPr>
        <w:t xml:space="preserve">likely </w:t>
      </w:r>
      <w:r w:rsidR="00097B50">
        <w:rPr>
          <w:rFonts w:asciiTheme="minorHAnsi" w:hAnsiTheme="minorHAnsi"/>
          <w:sz w:val="24"/>
          <w:lang w:val="en-US"/>
        </w:rPr>
        <w:t xml:space="preserve">biased in </w:t>
      </w:r>
      <w:r w:rsidR="00097B50" w:rsidRPr="0055086C">
        <w:rPr>
          <w:rFonts w:asciiTheme="minorHAnsi" w:hAnsiTheme="minorHAnsi"/>
          <w:sz w:val="24"/>
        </w:rPr>
        <w:t>favour</w:t>
      </w:r>
      <w:r w:rsidR="00097B50">
        <w:rPr>
          <w:rFonts w:asciiTheme="minorHAnsi" w:hAnsiTheme="minorHAnsi"/>
          <w:sz w:val="24"/>
          <w:lang w:val="en-US"/>
        </w:rPr>
        <w:t xml:space="preserve"> of </w:t>
      </w:r>
      <w:r w:rsidR="00097B50" w:rsidRPr="00226B30">
        <w:rPr>
          <w:rFonts w:asciiTheme="minorHAnsi" w:hAnsiTheme="minorHAnsi"/>
          <w:sz w:val="24"/>
          <w:lang w:val="en-US"/>
        </w:rPr>
        <w:t>lumacaftor/ivacaftor</w:t>
      </w:r>
      <w:r w:rsidR="0073006B">
        <w:rPr>
          <w:rFonts w:asciiTheme="minorHAnsi" w:hAnsiTheme="minorHAnsi"/>
          <w:bCs/>
          <w:sz w:val="24"/>
          <w:szCs w:val="24"/>
          <w:lang w:val="en-GB"/>
        </w:rPr>
        <w:t>.</w:t>
      </w:r>
      <w:r w:rsidR="005E1A95">
        <w:rPr>
          <w:rFonts w:asciiTheme="minorHAnsi" w:hAnsiTheme="minorHAnsi"/>
          <w:bCs/>
          <w:sz w:val="24"/>
          <w:szCs w:val="24"/>
          <w:lang w:val="en-GB"/>
        </w:rPr>
        <w:t xml:space="preserve"> </w:t>
      </w:r>
      <w:r w:rsidR="0073006B">
        <w:rPr>
          <w:rFonts w:asciiTheme="minorHAnsi" w:hAnsiTheme="minorHAnsi"/>
          <w:bCs/>
          <w:sz w:val="24"/>
          <w:szCs w:val="24"/>
          <w:lang w:val="en-GB"/>
        </w:rPr>
        <w:t>Accordingly, the PBAC considered that the</w:t>
      </w:r>
      <w:r w:rsidR="00C16535" w:rsidRPr="00C16535">
        <w:rPr>
          <w:rFonts w:asciiTheme="minorHAnsi" w:hAnsiTheme="minorHAnsi"/>
          <w:bCs/>
          <w:sz w:val="24"/>
          <w:szCs w:val="24"/>
          <w:lang w:val="en-GB"/>
        </w:rPr>
        <w:t xml:space="preserve"> claim that lumacaftor/ivacaftor slows the rate of decline in </w:t>
      </w:r>
      <w:r w:rsidR="00C67B56">
        <w:rPr>
          <w:rFonts w:asciiTheme="minorHAnsi" w:hAnsiTheme="minorHAnsi"/>
          <w:bCs/>
          <w:sz w:val="24"/>
          <w:szCs w:val="24"/>
          <w:lang w:val="en-GB"/>
        </w:rPr>
        <w:t>ppFEV</w:t>
      </w:r>
      <w:r w:rsidR="00C67B56" w:rsidRPr="00C67B56">
        <w:rPr>
          <w:rFonts w:asciiTheme="minorHAnsi" w:hAnsiTheme="minorHAnsi"/>
          <w:bCs/>
          <w:sz w:val="24"/>
          <w:szCs w:val="24"/>
          <w:vertAlign w:val="subscript"/>
          <w:lang w:val="en-GB"/>
        </w:rPr>
        <w:t>1</w:t>
      </w:r>
      <w:r w:rsidR="00C67B56">
        <w:rPr>
          <w:rFonts w:asciiTheme="minorHAnsi" w:hAnsiTheme="minorHAnsi"/>
          <w:bCs/>
          <w:sz w:val="24"/>
          <w:szCs w:val="24"/>
          <w:lang w:val="en-GB"/>
        </w:rPr>
        <w:t xml:space="preserve"> </w:t>
      </w:r>
      <w:r w:rsidR="00C16535" w:rsidRPr="00C16535">
        <w:rPr>
          <w:rFonts w:asciiTheme="minorHAnsi" w:hAnsiTheme="minorHAnsi"/>
          <w:bCs/>
          <w:sz w:val="24"/>
          <w:szCs w:val="24"/>
          <w:lang w:val="en-GB"/>
        </w:rPr>
        <w:t xml:space="preserve">beyond 24 weeks, compared with patients treated with </w:t>
      </w:r>
      <w:r w:rsidR="004577CD">
        <w:rPr>
          <w:rFonts w:asciiTheme="minorHAnsi" w:hAnsiTheme="minorHAnsi"/>
          <w:bCs/>
          <w:sz w:val="24"/>
          <w:szCs w:val="24"/>
          <w:lang w:val="en-GB"/>
        </w:rPr>
        <w:t>BSC</w:t>
      </w:r>
      <w:r w:rsidR="00C16535" w:rsidRPr="00C16535">
        <w:rPr>
          <w:rFonts w:asciiTheme="minorHAnsi" w:hAnsiTheme="minorHAnsi"/>
          <w:bCs/>
          <w:sz w:val="24"/>
          <w:szCs w:val="24"/>
          <w:lang w:val="en-GB"/>
        </w:rPr>
        <w:t>, was not adequately supported by the resubmission.</w:t>
      </w:r>
    </w:p>
    <w:p w:rsidR="00C16535" w:rsidRPr="00C16535" w:rsidRDefault="00C16535" w:rsidP="001E08C1">
      <w:pPr>
        <w:widowControl/>
        <w:numPr>
          <w:ilvl w:val="1"/>
          <w:numId w:val="1"/>
        </w:numPr>
        <w:spacing w:after="120"/>
        <w:rPr>
          <w:rFonts w:asciiTheme="minorHAnsi" w:hAnsiTheme="minorHAnsi"/>
          <w:bCs/>
          <w:sz w:val="24"/>
          <w:szCs w:val="24"/>
          <w:lang w:val="en-GB"/>
        </w:rPr>
      </w:pPr>
      <w:r>
        <w:rPr>
          <w:rFonts w:asciiTheme="minorHAnsi" w:hAnsiTheme="minorHAnsi"/>
          <w:bCs/>
          <w:sz w:val="24"/>
          <w:szCs w:val="24"/>
          <w:lang w:val="en-GB"/>
        </w:rPr>
        <w:t>T</w:t>
      </w:r>
      <w:r w:rsidRPr="00C16535">
        <w:rPr>
          <w:rFonts w:asciiTheme="minorHAnsi" w:hAnsiTheme="minorHAnsi"/>
          <w:bCs/>
          <w:sz w:val="24"/>
          <w:szCs w:val="24"/>
          <w:lang w:val="en-GB"/>
        </w:rPr>
        <w:t>he PBAC noted</w:t>
      </w:r>
      <w:r w:rsidR="009A60C0">
        <w:rPr>
          <w:rFonts w:asciiTheme="minorHAnsi" w:hAnsiTheme="minorHAnsi"/>
          <w:bCs/>
          <w:sz w:val="24"/>
          <w:szCs w:val="24"/>
          <w:lang w:val="en-GB"/>
        </w:rPr>
        <w:t xml:space="preserve"> that</w:t>
      </w:r>
      <w:r w:rsidRPr="00C16535">
        <w:rPr>
          <w:rFonts w:asciiTheme="minorHAnsi" w:hAnsiTheme="minorHAnsi"/>
          <w:bCs/>
          <w:sz w:val="24"/>
          <w:szCs w:val="24"/>
          <w:lang w:val="en-GB"/>
        </w:rPr>
        <w:t xml:space="preserve"> improvements in </w:t>
      </w:r>
      <w:r>
        <w:rPr>
          <w:rFonts w:asciiTheme="minorHAnsi" w:hAnsiTheme="minorHAnsi"/>
          <w:bCs/>
          <w:sz w:val="24"/>
          <w:szCs w:val="24"/>
          <w:lang w:val="en-GB"/>
        </w:rPr>
        <w:t xml:space="preserve">some </w:t>
      </w:r>
      <w:r w:rsidRPr="00C16535">
        <w:rPr>
          <w:rFonts w:asciiTheme="minorHAnsi" w:hAnsiTheme="minorHAnsi"/>
          <w:bCs/>
          <w:sz w:val="24"/>
          <w:szCs w:val="24"/>
          <w:lang w:val="en-GB"/>
        </w:rPr>
        <w:t>clinical measures</w:t>
      </w:r>
      <w:r>
        <w:rPr>
          <w:rFonts w:asciiTheme="minorHAnsi" w:hAnsiTheme="minorHAnsi"/>
          <w:bCs/>
          <w:sz w:val="24"/>
          <w:szCs w:val="24"/>
          <w:lang w:val="en-GB"/>
        </w:rPr>
        <w:t xml:space="preserve"> other than lung function</w:t>
      </w:r>
      <w:r w:rsidRPr="00C16535">
        <w:rPr>
          <w:rFonts w:asciiTheme="minorHAnsi" w:hAnsiTheme="minorHAnsi"/>
          <w:bCs/>
          <w:sz w:val="24"/>
          <w:szCs w:val="24"/>
          <w:lang w:val="en-GB"/>
        </w:rPr>
        <w:t xml:space="preserve">, including a reduction </w:t>
      </w:r>
      <w:r w:rsidR="000245FF">
        <w:rPr>
          <w:rFonts w:asciiTheme="minorHAnsi" w:hAnsiTheme="minorHAnsi"/>
          <w:bCs/>
          <w:sz w:val="24"/>
          <w:szCs w:val="24"/>
          <w:lang w:val="en-GB"/>
        </w:rPr>
        <w:t xml:space="preserve">in </w:t>
      </w:r>
      <w:r w:rsidRPr="00C16535">
        <w:rPr>
          <w:rFonts w:asciiTheme="minorHAnsi" w:hAnsiTheme="minorHAnsi"/>
          <w:bCs/>
          <w:sz w:val="24"/>
          <w:szCs w:val="24"/>
          <w:lang w:val="en-GB"/>
        </w:rPr>
        <w:t>pulmonary exacerbations and an increase in body mass index, were maintained beyond the 24 week trial period, and therefore considered</w:t>
      </w:r>
      <w:r w:rsidR="000466AF">
        <w:rPr>
          <w:rFonts w:asciiTheme="minorHAnsi" w:hAnsiTheme="minorHAnsi"/>
          <w:bCs/>
          <w:sz w:val="24"/>
          <w:szCs w:val="24"/>
          <w:lang w:val="en-GB"/>
        </w:rPr>
        <w:t xml:space="preserve"> that</w:t>
      </w:r>
      <w:r w:rsidRPr="00C16535">
        <w:rPr>
          <w:rFonts w:asciiTheme="minorHAnsi" w:hAnsiTheme="minorHAnsi"/>
          <w:bCs/>
          <w:sz w:val="24"/>
          <w:szCs w:val="24"/>
          <w:lang w:val="en-GB"/>
        </w:rPr>
        <w:t xml:space="preserve"> </w:t>
      </w:r>
      <w:r w:rsidR="000466AF">
        <w:rPr>
          <w:rFonts w:asciiTheme="minorHAnsi" w:hAnsiTheme="minorHAnsi"/>
          <w:sz w:val="24"/>
        </w:rPr>
        <w:t xml:space="preserve">the claim of superior comparative effectiveness was reasonable and </w:t>
      </w:r>
      <w:r w:rsidRPr="00C16535">
        <w:rPr>
          <w:rFonts w:asciiTheme="minorHAnsi" w:hAnsiTheme="minorHAnsi"/>
          <w:bCs/>
          <w:sz w:val="24"/>
          <w:szCs w:val="24"/>
          <w:lang w:val="en-GB"/>
        </w:rPr>
        <w:t>there is a clinical place for this medicine</w:t>
      </w:r>
      <w:r w:rsidR="00711D0B">
        <w:rPr>
          <w:rFonts w:asciiTheme="minorHAnsi" w:hAnsiTheme="minorHAnsi"/>
          <w:bCs/>
          <w:sz w:val="24"/>
          <w:szCs w:val="24"/>
          <w:lang w:val="en-GB"/>
        </w:rPr>
        <w:t xml:space="preserve"> at a price commensurate with its clinical benefits.</w:t>
      </w:r>
    </w:p>
    <w:p w:rsidR="008C417D" w:rsidRPr="00AE4B6E" w:rsidRDefault="00374A87" w:rsidP="00F42A4D">
      <w:pPr>
        <w:widowControl/>
        <w:numPr>
          <w:ilvl w:val="1"/>
          <w:numId w:val="1"/>
        </w:numPr>
        <w:spacing w:after="120"/>
        <w:rPr>
          <w:rFonts w:asciiTheme="minorHAnsi" w:hAnsiTheme="minorHAnsi"/>
          <w:bCs/>
          <w:sz w:val="24"/>
          <w:szCs w:val="24"/>
          <w:lang w:val="en-GB"/>
        </w:rPr>
      </w:pPr>
      <w:r w:rsidRPr="00AE4B6E">
        <w:rPr>
          <w:rFonts w:asciiTheme="minorHAnsi" w:hAnsiTheme="minorHAnsi"/>
          <w:bCs/>
          <w:sz w:val="24"/>
          <w:szCs w:val="24"/>
          <w:lang w:val="en-GB"/>
        </w:rPr>
        <w:t xml:space="preserve">The PBAC noted that the economic model included in the resubmission was based on the extreme assumption that lung function was maintained for patients treated with </w:t>
      </w:r>
      <w:r w:rsidR="00AE4B6E" w:rsidRPr="00AE4B6E">
        <w:rPr>
          <w:rFonts w:asciiTheme="minorHAnsi" w:hAnsiTheme="minorHAnsi"/>
          <w:bCs/>
          <w:sz w:val="24"/>
          <w:szCs w:val="24"/>
          <w:lang w:val="en-GB"/>
        </w:rPr>
        <w:t>lumacaftor/ivacaftor</w:t>
      </w:r>
      <w:r w:rsidRPr="00AE4B6E">
        <w:rPr>
          <w:rFonts w:asciiTheme="minorHAnsi" w:hAnsiTheme="minorHAnsi"/>
          <w:bCs/>
          <w:sz w:val="24"/>
          <w:szCs w:val="24"/>
          <w:lang w:val="en-GB"/>
        </w:rPr>
        <w:t xml:space="preserve"> for the reminder of their life, and this was inconsistent with the longer-term clinical evidence.</w:t>
      </w:r>
      <w:r w:rsidR="00AE4B6E" w:rsidRPr="00AE4B6E">
        <w:rPr>
          <w:rFonts w:asciiTheme="minorHAnsi" w:hAnsiTheme="minorHAnsi"/>
          <w:bCs/>
          <w:sz w:val="24"/>
          <w:szCs w:val="24"/>
          <w:lang w:val="en-GB"/>
        </w:rPr>
        <w:t xml:space="preserve"> </w:t>
      </w:r>
      <w:r w:rsidR="008C417D" w:rsidRPr="00AE4B6E">
        <w:rPr>
          <w:rFonts w:asciiTheme="minorHAnsi" w:hAnsiTheme="minorHAnsi"/>
          <w:bCs/>
          <w:sz w:val="24"/>
          <w:szCs w:val="24"/>
          <w:lang w:val="en-GB"/>
        </w:rPr>
        <w:t>Accordingly, the PBAC defined a scenario which it considered more informative for decision making, by changing inputs to the resubmission’s economic model to better reflect the available clinical data</w:t>
      </w:r>
      <w:r w:rsidR="00AE4B6E" w:rsidRPr="00AE4B6E">
        <w:rPr>
          <w:rFonts w:asciiTheme="minorHAnsi" w:hAnsiTheme="minorHAnsi"/>
          <w:bCs/>
          <w:sz w:val="24"/>
          <w:szCs w:val="24"/>
          <w:lang w:val="en-GB"/>
        </w:rPr>
        <w:t xml:space="preserve"> (see </w:t>
      </w:r>
      <w:r w:rsidR="00AE4B6E" w:rsidRPr="00A54394">
        <w:rPr>
          <w:rFonts w:asciiTheme="minorHAnsi" w:hAnsiTheme="minorHAnsi"/>
          <w:bCs/>
          <w:sz w:val="24"/>
          <w:szCs w:val="24"/>
          <w:lang w:val="en-GB"/>
        </w:rPr>
        <w:t>paragraph 6.</w:t>
      </w:r>
      <w:r w:rsidR="00621975" w:rsidRPr="00A54394">
        <w:rPr>
          <w:rFonts w:asciiTheme="minorHAnsi" w:hAnsiTheme="minorHAnsi"/>
          <w:bCs/>
          <w:sz w:val="24"/>
          <w:szCs w:val="24"/>
          <w:lang w:val="en-GB"/>
        </w:rPr>
        <w:t>58</w:t>
      </w:r>
      <w:r w:rsidR="00AE4B6E" w:rsidRPr="00AE4B6E">
        <w:rPr>
          <w:rFonts w:asciiTheme="minorHAnsi" w:hAnsiTheme="minorHAnsi"/>
          <w:bCs/>
          <w:sz w:val="24"/>
          <w:szCs w:val="24"/>
          <w:lang w:val="en-GB"/>
        </w:rPr>
        <w:t>)</w:t>
      </w:r>
      <w:r w:rsidR="008C417D" w:rsidRPr="00AE4B6E">
        <w:rPr>
          <w:rFonts w:asciiTheme="minorHAnsi" w:hAnsiTheme="minorHAnsi"/>
          <w:bCs/>
          <w:sz w:val="24"/>
          <w:szCs w:val="24"/>
          <w:lang w:val="en-GB"/>
        </w:rPr>
        <w:t>.</w:t>
      </w:r>
      <w:r w:rsidR="00A84BD1">
        <w:rPr>
          <w:rFonts w:asciiTheme="minorHAnsi" w:hAnsiTheme="minorHAnsi"/>
          <w:bCs/>
          <w:sz w:val="24"/>
          <w:szCs w:val="24"/>
          <w:lang w:val="en-GB"/>
        </w:rPr>
        <w:t xml:space="preserve"> </w:t>
      </w:r>
      <w:r w:rsidR="008C417D" w:rsidRPr="00AE4B6E">
        <w:rPr>
          <w:rFonts w:asciiTheme="minorHAnsi" w:hAnsiTheme="minorHAnsi"/>
          <w:bCs/>
          <w:sz w:val="24"/>
          <w:szCs w:val="24"/>
          <w:lang w:val="en-GB"/>
        </w:rPr>
        <w:t xml:space="preserve">This scenario resulted in an </w:t>
      </w:r>
      <w:r w:rsidR="00AE4B6E">
        <w:rPr>
          <w:rFonts w:asciiTheme="minorHAnsi" w:hAnsiTheme="minorHAnsi"/>
          <w:bCs/>
          <w:sz w:val="24"/>
          <w:szCs w:val="24"/>
          <w:lang w:val="en-GB"/>
        </w:rPr>
        <w:t>unacceptably high</w:t>
      </w:r>
      <w:r w:rsidR="008C417D" w:rsidRPr="00AE4B6E">
        <w:rPr>
          <w:rFonts w:asciiTheme="minorHAnsi" w:hAnsiTheme="minorHAnsi"/>
          <w:bCs/>
          <w:sz w:val="24"/>
          <w:szCs w:val="24"/>
          <w:lang w:val="en-GB"/>
        </w:rPr>
        <w:t xml:space="preserve"> </w:t>
      </w:r>
      <w:r w:rsidR="00AE4B6E">
        <w:rPr>
          <w:rFonts w:asciiTheme="minorHAnsi" w:hAnsiTheme="minorHAnsi"/>
          <w:bCs/>
          <w:sz w:val="24"/>
          <w:szCs w:val="24"/>
          <w:lang w:val="en-GB"/>
        </w:rPr>
        <w:t xml:space="preserve">ICER of </w:t>
      </w:r>
      <w:r w:rsidR="008A4E56">
        <w:rPr>
          <w:rFonts w:asciiTheme="minorHAnsi" w:hAnsiTheme="minorHAnsi"/>
          <w:bCs/>
          <w:sz w:val="24"/>
          <w:szCs w:val="24"/>
          <w:lang w:val="en-GB"/>
        </w:rPr>
        <w:t>significantly more than $1 million per QALY gained</w:t>
      </w:r>
      <w:r w:rsidR="008C417D" w:rsidRPr="00AE4B6E">
        <w:rPr>
          <w:rFonts w:asciiTheme="minorHAnsi" w:hAnsiTheme="minorHAnsi"/>
          <w:bCs/>
          <w:sz w:val="24"/>
          <w:szCs w:val="24"/>
          <w:lang w:val="en-GB"/>
        </w:rPr>
        <w:t>.</w:t>
      </w:r>
    </w:p>
    <w:p w:rsidR="00AE4B6E" w:rsidRDefault="00CA2962" w:rsidP="001F5694">
      <w:pPr>
        <w:pStyle w:val="ListParagraph"/>
        <w:widowControl/>
        <w:numPr>
          <w:ilvl w:val="1"/>
          <w:numId w:val="1"/>
        </w:numPr>
        <w:spacing w:after="120"/>
        <w:contextualSpacing w:val="0"/>
        <w:rPr>
          <w:rFonts w:asciiTheme="minorHAnsi" w:hAnsiTheme="minorHAnsi"/>
          <w:bCs/>
          <w:sz w:val="24"/>
          <w:szCs w:val="24"/>
          <w:lang w:eastAsia="en-AU"/>
        </w:rPr>
      </w:pPr>
      <w:r w:rsidRPr="004F3545">
        <w:rPr>
          <w:rFonts w:asciiTheme="minorHAnsi" w:hAnsiTheme="minorHAnsi"/>
          <w:bCs/>
          <w:sz w:val="24"/>
          <w:szCs w:val="24"/>
          <w:lang w:eastAsia="en-AU"/>
        </w:rPr>
        <w:t xml:space="preserve">The PBAC noted that the net cost of lumacaftor/ivacaftor to </w:t>
      </w:r>
      <w:r w:rsidR="004F3545" w:rsidRPr="004F3545">
        <w:rPr>
          <w:rFonts w:asciiTheme="minorHAnsi" w:hAnsiTheme="minorHAnsi"/>
          <w:bCs/>
          <w:sz w:val="24"/>
          <w:szCs w:val="24"/>
          <w:lang w:eastAsia="en-AU"/>
        </w:rPr>
        <w:t>the PBS</w:t>
      </w:r>
      <w:r w:rsidRPr="004F3545">
        <w:rPr>
          <w:rFonts w:asciiTheme="minorHAnsi" w:hAnsiTheme="minorHAnsi"/>
          <w:bCs/>
          <w:sz w:val="24"/>
          <w:szCs w:val="24"/>
          <w:lang w:eastAsia="en-AU"/>
        </w:rPr>
        <w:t xml:space="preserve"> over the first five years of listing (including the proposed financial cap) was estimated to be </w:t>
      </w:r>
      <w:r w:rsidR="001F5694" w:rsidRPr="001F5694">
        <w:rPr>
          <w:rFonts w:asciiTheme="minorHAnsi" w:hAnsiTheme="minorHAnsi"/>
          <w:bCs/>
          <w:sz w:val="24"/>
          <w:szCs w:val="24"/>
          <w:lang w:eastAsia="en-AU"/>
        </w:rPr>
        <w:t>more than $100 million</w:t>
      </w:r>
      <w:r w:rsidR="00E10667">
        <w:rPr>
          <w:rFonts w:asciiTheme="minorHAnsi" w:hAnsiTheme="minorHAnsi"/>
          <w:bCs/>
          <w:sz w:val="24"/>
          <w:szCs w:val="24"/>
          <w:lang w:eastAsia="en-AU"/>
        </w:rPr>
        <w:t xml:space="preserve"> each year</w:t>
      </w:r>
      <w:r w:rsidR="00AE4B6E">
        <w:rPr>
          <w:rFonts w:asciiTheme="minorHAnsi" w:hAnsiTheme="minorHAnsi"/>
          <w:bCs/>
          <w:sz w:val="24"/>
          <w:szCs w:val="24"/>
          <w:lang w:eastAsia="en-AU"/>
        </w:rPr>
        <w:t xml:space="preserve">, with </w:t>
      </w:r>
      <w:r w:rsidR="00A42B97">
        <w:rPr>
          <w:rFonts w:asciiTheme="minorHAnsi" w:hAnsiTheme="minorHAnsi"/>
          <w:bCs/>
          <w:noProof/>
          <w:color w:val="000000"/>
          <w:sz w:val="24"/>
          <w:szCs w:val="24"/>
          <w:highlight w:val="black"/>
          <w:lang w:eastAsia="en-AU"/>
        </w:rPr>
        <w:t>'''''''''''</w:t>
      </w:r>
      <w:r w:rsidRPr="004F3545">
        <w:rPr>
          <w:rFonts w:asciiTheme="minorHAnsi" w:hAnsiTheme="minorHAnsi"/>
          <w:bCs/>
          <w:sz w:val="24"/>
          <w:szCs w:val="24"/>
          <w:lang w:eastAsia="en-AU"/>
        </w:rPr>
        <w:t xml:space="preserve"> patients treated in year 5.</w:t>
      </w:r>
      <w:r w:rsidR="00905A71">
        <w:rPr>
          <w:rFonts w:asciiTheme="minorHAnsi" w:hAnsiTheme="minorHAnsi"/>
          <w:bCs/>
          <w:sz w:val="24"/>
          <w:szCs w:val="24"/>
          <w:lang w:eastAsia="en-AU"/>
        </w:rPr>
        <w:t xml:space="preserve"> However, the PBAC considered that the estimates of utilisation in the resubmission, </w:t>
      </w:r>
      <w:r w:rsidR="00AE4B6E">
        <w:rPr>
          <w:rFonts w:asciiTheme="minorHAnsi" w:hAnsiTheme="minorHAnsi"/>
          <w:bCs/>
          <w:sz w:val="24"/>
          <w:szCs w:val="24"/>
          <w:lang w:eastAsia="en-AU"/>
        </w:rPr>
        <w:t xml:space="preserve">which assumed </w:t>
      </w:r>
      <w:r w:rsidR="00905A71">
        <w:rPr>
          <w:rFonts w:asciiTheme="minorHAnsi" w:hAnsiTheme="minorHAnsi"/>
          <w:bCs/>
          <w:sz w:val="24"/>
          <w:szCs w:val="24"/>
          <w:lang w:eastAsia="en-AU"/>
        </w:rPr>
        <w:t xml:space="preserve">an increase of </w:t>
      </w:r>
      <w:r w:rsidR="00A42B97">
        <w:rPr>
          <w:rFonts w:asciiTheme="minorHAnsi" w:hAnsiTheme="minorHAnsi"/>
          <w:bCs/>
          <w:noProof/>
          <w:color w:val="000000"/>
          <w:sz w:val="24"/>
          <w:szCs w:val="24"/>
          <w:highlight w:val="black"/>
          <w:lang w:eastAsia="en-AU"/>
        </w:rPr>
        <w:t>'''''</w:t>
      </w:r>
      <w:r w:rsidR="00905A71">
        <w:rPr>
          <w:rFonts w:asciiTheme="minorHAnsi" w:hAnsiTheme="minorHAnsi"/>
          <w:bCs/>
          <w:sz w:val="24"/>
          <w:szCs w:val="24"/>
          <w:lang w:eastAsia="en-AU"/>
        </w:rPr>
        <w:t xml:space="preserve"> patients per year, were underestimated based on the ACFDR data which indicate there are </w:t>
      </w:r>
      <w:r w:rsidR="00A42B97">
        <w:rPr>
          <w:rFonts w:asciiTheme="minorHAnsi" w:hAnsiTheme="minorHAnsi"/>
          <w:bCs/>
          <w:noProof/>
          <w:color w:val="000000"/>
          <w:sz w:val="24"/>
          <w:szCs w:val="24"/>
          <w:highlight w:val="black"/>
          <w:lang w:eastAsia="en-AU"/>
        </w:rPr>
        <w:t>''''''''</w:t>
      </w:r>
      <w:r w:rsidR="00905A71">
        <w:rPr>
          <w:rFonts w:asciiTheme="minorHAnsi" w:hAnsiTheme="minorHAnsi"/>
          <w:bCs/>
          <w:sz w:val="24"/>
          <w:szCs w:val="24"/>
          <w:lang w:eastAsia="en-AU"/>
        </w:rPr>
        <w:t xml:space="preserve"> patients in the 6-11 years homozygous for the F508del mutation at the end of 2014 who will become eligible for treatment within the estimated timeframe. </w:t>
      </w:r>
    </w:p>
    <w:p w:rsidR="00AE4B6E" w:rsidRPr="00AE4B6E" w:rsidRDefault="00AE4B6E" w:rsidP="00AE4B6E">
      <w:pPr>
        <w:pStyle w:val="ListParagraph"/>
        <w:widowControl/>
        <w:numPr>
          <w:ilvl w:val="1"/>
          <w:numId w:val="1"/>
        </w:numPr>
        <w:spacing w:after="120"/>
        <w:contextualSpacing w:val="0"/>
        <w:rPr>
          <w:rFonts w:asciiTheme="minorHAnsi" w:hAnsiTheme="minorHAnsi"/>
          <w:bCs/>
          <w:sz w:val="24"/>
          <w:szCs w:val="24"/>
          <w:lang w:eastAsia="en-AU"/>
        </w:rPr>
      </w:pPr>
      <w:r w:rsidRPr="00AE4B6E">
        <w:rPr>
          <w:rFonts w:asciiTheme="minorHAnsi" w:hAnsiTheme="minorHAnsi"/>
          <w:bCs/>
          <w:sz w:val="24"/>
          <w:szCs w:val="24"/>
          <w:lang w:eastAsia="en-AU"/>
        </w:rPr>
        <w:t xml:space="preserve">The PBAC </w:t>
      </w:r>
      <w:r w:rsidRPr="00AE4B6E">
        <w:rPr>
          <w:rFonts w:asciiTheme="minorHAnsi" w:hAnsiTheme="minorHAnsi"/>
          <w:bCs/>
          <w:sz w:val="24"/>
          <w:szCs w:val="24"/>
          <w:lang w:val="en-GB"/>
        </w:rPr>
        <w:t xml:space="preserve">noted the extent of the price reduction that would be required for lumacaftor/ivacaftor to be considered to be suitably cost effective to enable a recommendation for listing on the PBS (see </w:t>
      </w:r>
      <w:r w:rsidRPr="00A54394">
        <w:rPr>
          <w:rFonts w:asciiTheme="minorHAnsi" w:hAnsiTheme="minorHAnsi"/>
          <w:bCs/>
          <w:sz w:val="24"/>
          <w:szCs w:val="24"/>
          <w:lang w:val="en-GB"/>
        </w:rPr>
        <w:t>paragraph 6.</w:t>
      </w:r>
      <w:r w:rsidR="00621975" w:rsidRPr="00A54394">
        <w:rPr>
          <w:rFonts w:asciiTheme="minorHAnsi" w:hAnsiTheme="minorHAnsi"/>
          <w:bCs/>
          <w:sz w:val="24"/>
          <w:szCs w:val="24"/>
          <w:lang w:val="en-GB"/>
        </w:rPr>
        <w:t>60</w:t>
      </w:r>
      <w:r w:rsidRPr="00AE4B6E">
        <w:rPr>
          <w:rFonts w:asciiTheme="minorHAnsi" w:hAnsiTheme="minorHAnsi"/>
          <w:bCs/>
          <w:sz w:val="24"/>
          <w:szCs w:val="24"/>
          <w:lang w:val="en-GB"/>
        </w:rPr>
        <w:t>)</w:t>
      </w:r>
      <w:r>
        <w:rPr>
          <w:rFonts w:asciiTheme="minorHAnsi" w:hAnsiTheme="minorHAnsi"/>
          <w:bCs/>
          <w:sz w:val="24"/>
          <w:szCs w:val="24"/>
          <w:lang w:val="en-GB"/>
        </w:rPr>
        <w:t xml:space="preserve">, if implemented in conjunction with risk sharing arrangements (as outlined in </w:t>
      </w:r>
      <w:r w:rsidRPr="00A54394">
        <w:rPr>
          <w:rFonts w:asciiTheme="minorHAnsi" w:hAnsiTheme="minorHAnsi"/>
          <w:bCs/>
          <w:sz w:val="24"/>
          <w:szCs w:val="24"/>
          <w:lang w:val="en-GB"/>
        </w:rPr>
        <w:t>paragraph 6.</w:t>
      </w:r>
      <w:r w:rsidR="00621975" w:rsidRPr="00A54394">
        <w:rPr>
          <w:rFonts w:asciiTheme="minorHAnsi" w:hAnsiTheme="minorHAnsi"/>
          <w:bCs/>
          <w:sz w:val="24"/>
          <w:szCs w:val="24"/>
          <w:lang w:val="en-GB"/>
        </w:rPr>
        <w:t>73</w:t>
      </w:r>
      <w:r>
        <w:rPr>
          <w:rFonts w:asciiTheme="minorHAnsi" w:hAnsiTheme="minorHAnsi"/>
          <w:bCs/>
          <w:sz w:val="24"/>
          <w:szCs w:val="24"/>
          <w:lang w:val="en-GB"/>
        </w:rPr>
        <w:t>)</w:t>
      </w:r>
      <w:r w:rsidRPr="00AE4B6E">
        <w:rPr>
          <w:rFonts w:asciiTheme="minorHAnsi" w:hAnsiTheme="minorHAnsi"/>
          <w:bCs/>
          <w:sz w:val="24"/>
          <w:szCs w:val="24"/>
          <w:lang w:val="en-GB"/>
        </w:rPr>
        <w:t>.</w:t>
      </w:r>
      <w:r>
        <w:rPr>
          <w:rFonts w:asciiTheme="minorHAnsi" w:hAnsiTheme="minorHAnsi"/>
          <w:bCs/>
          <w:sz w:val="24"/>
          <w:szCs w:val="24"/>
          <w:lang w:val="en-GB"/>
        </w:rPr>
        <w:t xml:space="preserve"> The PBAC advised that it would accept a price offer under these terms from the sponsor</w:t>
      </w:r>
      <w:r w:rsidR="00B61986">
        <w:rPr>
          <w:rFonts w:asciiTheme="minorHAnsi" w:hAnsiTheme="minorHAnsi"/>
          <w:bCs/>
          <w:sz w:val="24"/>
          <w:szCs w:val="24"/>
          <w:lang w:val="en-GB"/>
        </w:rPr>
        <w:t xml:space="preserve"> for PBAC consideration </w:t>
      </w:r>
      <w:r>
        <w:rPr>
          <w:rFonts w:asciiTheme="minorHAnsi" w:hAnsiTheme="minorHAnsi"/>
          <w:bCs/>
          <w:sz w:val="24"/>
          <w:szCs w:val="24"/>
          <w:lang w:val="en-GB"/>
        </w:rPr>
        <w:t xml:space="preserve">at any time. </w:t>
      </w:r>
      <w:r w:rsidR="00711D0B">
        <w:rPr>
          <w:rFonts w:asciiTheme="minorHAnsi" w:hAnsiTheme="minorHAnsi"/>
          <w:bCs/>
          <w:sz w:val="24"/>
          <w:szCs w:val="24"/>
          <w:lang w:val="en-GB"/>
        </w:rPr>
        <w:t>T</w:t>
      </w:r>
      <w:r w:rsidR="007731C7">
        <w:rPr>
          <w:rFonts w:asciiTheme="minorHAnsi" w:hAnsiTheme="minorHAnsi"/>
          <w:bCs/>
          <w:sz w:val="24"/>
          <w:szCs w:val="24"/>
          <w:lang w:val="en-GB"/>
        </w:rPr>
        <w:t>he PBAC advised that a</w:t>
      </w:r>
      <w:r>
        <w:rPr>
          <w:rFonts w:asciiTheme="minorHAnsi" w:hAnsiTheme="minorHAnsi"/>
          <w:bCs/>
          <w:sz w:val="24"/>
          <w:szCs w:val="24"/>
          <w:lang w:val="en-GB"/>
        </w:rPr>
        <w:t xml:space="preserve"> resubmission</w:t>
      </w:r>
      <w:r w:rsidR="007731C7">
        <w:rPr>
          <w:rFonts w:asciiTheme="minorHAnsi" w:hAnsiTheme="minorHAnsi"/>
          <w:bCs/>
          <w:sz w:val="24"/>
          <w:szCs w:val="24"/>
          <w:lang w:val="en-GB"/>
        </w:rPr>
        <w:t>,</w:t>
      </w:r>
      <w:r>
        <w:rPr>
          <w:rFonts w:asciiTheme="minorHAnsi" w:hAnsiTheme="minorHAnsi"/>
          <w:bCs/>
          <w:sz w:val="24"/>
          <w:szCs w:val="24"/>
          <w:lang w:val="en-GB"/>
        </w:rPr>
        <w:t xml:space="preserve"> </w:t>
      </w:r>
      <w:r w:rsidR="007731C7">
        <w:rPr>
          <w:rFonts w:asciiTheme="minorHAnsi" w:hAnsiTheme="minorHAnsi"/>
          <w:bCs/>
          <w:sz w:val="24"/>
          <w:szCs w:val="24"/>
          <w:lang w:val="en-GB"/>
        </w:rPr>
        <w:t xml:space="preserve">with revisions to the economic model to reflect the available clinical data, </w:t>
      </w:r>
      <w:r>
        <w:rPr>
          <w:rFonts w:asciiTheme="minorHAnsi" w:hAnsiTheme="minorHAnsi"/>
          <w:bCs/>
          <w:sz w:val="24"/>
          <w:szCs w:val="24"/>
          <w:lang w:val="en-GB"/>
        </w:rPr>
        <w:t>would be required to justify a</w:t>
      </w:r>
      <w:r w:rsidR="007731C7">
        <w:rPr>
          <w:rFonts w:asciiTheme="minorHAnsi" w:hAnsiTheme="minorHAnsi"/>
          <w:bCs/>
          <w:sz w:val="24"/>
          <w:szCs w:val="24"/>
          <w:lang w:val="en-GB"/>
        </w:rPr>
        <w:t xml:space="preserve"> request for a</w:t>
      </w:r>
      <w:r>
        <w:rPr>
          <w:rFonts w:asciiTheme="minorHAnsi" w:hAnsiTheme="minorHAnsi"/>
          <w:bCs/>
          <w:sz w:val="24"/>
          <w:szCs w:val="24"/>
          <w:lang w:val="en-GB"/>
        </w:rPr>
        <w:t xml:space="preserve"> higher price </w:t>
      </w:r>
      <w:r w:rsidR="007731C7">
        <w:rPr>
          <w:rFonts w:asciiTheme="minorHAnsi" w:hAnsiTheme="minorHAnsi"/>
          <w:bCs/>
          <w:sz w:val="24"/>
          <w:szCs w:val="24"/>
          <w:lang w:val="en-GB"/>
        </w:rPr>
        <w:t xml:space="preserve">than that advised by the PBAC, </w:t>
      </w:r>
      <w:r>
        <w:rPr>
          <w:rFonts w:asciiTheme="minorHAnsi" w:hAnsiTheme="minorHAnsi"/>
          <w:bCs/>
          <w:sz w:val="24"/>
          <w:szCs w:val="24"/>
          <w:lang w:val="en-GB"/>
        </w:rPr>
        <w:t>or other alternative arrangement</w:t>
      </w:r>
      <w:r w:rsidR="007731C7">
        <w:rPr>
          <w:rFonts w:asciiTheme="minorHAnsi" w:hAnsiTheme="minorHAnsi"/>
          <w:bCs/>
          <w:sz w:val="24"/>
          <w:szCs w:val="24"/>
          <w:lang w:val="en-GB"/>
        </w:rPr>
        <w:t xml:space="preserve">. </w:t>
      </w:r>
    </w:p>
    <w:p w:rsidR="0080023F" w:rsidRDefault="00FF1401" w:rsidP="0080023F">
      <w:pPr>
        <w:widowControl/>
        <w:numPr>
          <w:ilvl w:val="1"/>
          <w:numId w:val="1"/>
        </w:numPr>
        <w:spacing w:after="120"/>
        <w:rPr>
          <w:rFonts w:asciiTheme="minorHAnsi" w:hAnsiTheme="minorHAnsi"/>
          <w:b/>
          <w:bCs/>
          <w:sz w:val="24"/>
          <w:szCs w:val="24"/>
          <w:lang w:val="en-GB"/>
        </w:rPr>
      </w:pPr>
      <w:r w:rsidRPr="0080023F">
        <w:rPr>
          <w:rFonts w:asciiTheme="minorHAnsi" w:hAnsiTheme="minorHAnsi"/>
          <w:bCs/>
          <w:sz w:val="24"/>
          <w:szCs w:val="24"/>
          <w:lang w:val="en-GB"/>
        </w:rPr>
        <w:t>The PBAC noted that this submission is eligible for an Independent Review.</w:t>
      </w:r>
      <w:r w:rsidR="0080023F" w:rsidRPr="0080023F">
        <w:rPr>
          <w:rFonts w:asciiTheme="minorHAnsi" w:hAnsiTheme="minorHAnsi"/>
          <w:b/>
          <w:bCs/>
          <w:sz w:val="24"/>
          <w:szCs w:val="24"/>
          <w:lang w:val="en-GB"/>
        </w:rPr>
        <w:t xml:space="preserve"> </w:t>
      </w:r>
    </w:p>
    <w:p w:rsidR="0080023F" w:rsidRDefault="0080023F" w:rsidP="0080023F">
      <w:pPr>
        <w:widowControl/>
        <w:spacing w:after="120"/>
        <w:rPr>
          <w:rFonts w:asciiTheme="minorHAnsi" w:hAnsiTheme="minorHAnsi"/>
          <w:b/>
          <w:bCs/>
          <w:sz w:val="24"/>
          <w:szCs w:val="24"/>
          <w:lang w:val="en-GB"/>
        </w:rPr>
      </w:pPr>
    </w:p>
    <w:p w:rsidR="00FF1401" w:rsidRPr="0080023F" w:rsidRDefault="00FF1401" w:rsidP="006152DA">
      <w:pPr>
        <w:widowControl/>
        <w:outlineLvl w:val="2"/>
        <w:rPr>
          <w:rFonts w:asciiTheme="minorHAnsi" w:hAnsiTheme="minorHAnsi"/>
          <w:b/>
          <w:bCs/>
          <w:sz w:val="24"/>
          <w:szCs w:val="24"/>
          <w:lang w:val="en-GB"/>
        </w:rPr>
      </w:pPr>
      <w:r w:rsidRPr="0080023F">
        <w:rPr>
          <w:rFonts w:asciiTheme="minorHAnsi" w:hAnsiTheme="minorHAnsi"/>
          <w:b/>
          <w:bCs/>
          <w:sz w:val="24"/>
          <w:szCs w:val="24"/>
          <w:lang w:val="en-GB"/>
        </w:rPr>
        <w:t>Outcome:</w:t>
      </w:r>
      <w:r w:rsidR="0080023F">
        <w:rPr>
          <w:rFonts w:asciiTheme="minorHAnsi" w:hAnsiTheme="minorHAnsi"/>
          <w:b/>
          <w:bCs/>
          <w:sz w:val="24"/>
          <w:szCs w:val="24"/>
          <w:lang w:val="en-GB"/>
        </w:rPr>
        <w:t xml:space="preserve"> </w:t>
      </w:r>
      <w:r w:rsidR="006152DA">
        <w:rPr>
          <w:rFonts w:asciiTheme="minorHAnsi" w:hAnsiTheme="minorHAnsi"/>
          <w:b/>
          <w:bCs/>
          <w:sz w:val="24"/>
          <w:szCs w:val="24"/>
          <w:lang w:val="en-GB"/>
        </w:rPr>
        <w:br/>
      </w:r>
      <w:r w:rsidRPr="0080023F">
        <w:rPr>
          <w:rFonts w:asciiTheme="minorHAnsi" w:hAnsiTheme="minorHAnsi"/>
          <w:bCs/>
          <w:sz w:val="24"/>
          <w:szCs w:val="24"/>
          <w:lang w:val="en-GB"/>
        </w:rPr>
        <w:t>Rejected</w:t>
      </w:r>
    </w:p>
    <w:p w:rsidR="002E6A32" w:rsidRPr="00A620C5" w:rsidRDefault="002E6A32" w:rsidP="001E08C1">
      <w:pPr>
        <w:widowControl/>
        <w:rPr>
          <w:rFonts w:asciiTheme="minorHAnsi" w:hAnsiTheme="minorHAnsi"/>
          <w:sz w:val="24"/>
          <w:szCs w:val="24"/>
        </w:rPr>
      </w:pPr>
    </w:p>
    <w:p w:rsidR="00A620C5" w:rsidRPr="00A620C5" w:rsidRDefault="00081331" w:rsidP="00A620C5">
      <w:pPr>
        <w:ind w:left="426"/>
        <w:rPr>
          <w:rFonts w:asciiTheme="minorHAnsi" w:eastAsiaTheme="minorHAnsi" w:hAnsiTheme="minorHAnsi" w:cstheme="minorBidi"/>
          <w:b/>
          <w:snapToGrid/>
          <w:sz w:val="24"/>
          <w:szCs w:val="24"/>
        </w:rPr>
      </w:pPr>
      <w:r w:rsidRPr="00A620C5">
        <w:rPr>
          <w:rFonts w:asciiTheme="minorHAnsi" w:hAnsiTheme="minorHAnsi"/>
          <w:sz w:val="24"/>
          <w:szCs w:val="24"/>
        </w:rPr>
        <w:tab/>
      </w:r>
      <w:r w:rsidR="00A620C5" w:rsidRPr="00A620C5">
        <w:rPr>
          <w:rFonts w:asciiTheme="minorHAnsi" w:eastAsiaTheme="minorHAnsi" w:hAnsiTheme="minorHAnsi" w:cstheme="minorBidi"/>
          <w:b/>
          <w:snapToGrid/>
          <w:sz w:val="24"/>
          <w:szCs w:val="24"/>
        </w:rPr>
        <w:t>9</w:t>
      </w:r>
      <w:r w:rsidR="00A620C5" w:rsidRPr="00A620C5">
        <w:rPr>
          <w:rFonts w:asciiTheme="minorHAnsi" w:eastAsiaTheme="minorHAnsi" w:hAnsiTheme="minorHAnsi" w:cstheme="minorBidi"/>
          <w:b/>
          <w:snapToGrid/>
          <w:sz w:val="24"/>
          <w:szCs w:val="24"/>
        </w:rPr>
        <w:tab/>
        <w:t>Context for Decision</w:t>
      </w:r>
    </w:p>
    <w:p w:rsidR="00A620C5" w:rsidRPr="00A620C5" w:rsidRDefault="00A620C5" w:rsidP="00A620C5">
      <w:pPr>
        <w:widowControl/>
        <w:spacing w:line="276" w:lineRule="auto"/>
        <w:ind w:left="426"/>
        <w:rPr>
          <w:rFonts w:asciiTheme="minorHAnsi" w:eastAsiaTheme="minorHAnsi" w:hAnsiTheme="minorHAnsi"/>
          <w:snapToGrid/>
          <w:sz w:val="24"/>
          <w:szCs w:val="24"/>
        </w:rPr>
      </w:pPr>
    </w:p>
    <w:p w:rsidR="00A620C5" w:rsidRPr="00A620C5" w:rsidRDefault="00A620C5" w:rsidP="00A42B97">
      <w:pPr>
        <w:widowControl/>
        <w:spacing w:line="276" w:lineRule="auto"/>
        <w:rPr>
          <w:rFonts w:asciiTheme="minorHAnsi" w:eastAsiaTheme="minorHAnsi" w:hAnsiTheme="minorHAnsi"/>
          <w:snapToGrid/>
          <w:sz w:val="24"/>
          <w:szCs w:val="24"/>
        </w:rPr>
      </w:pPr>
      <w:r w:rsidRPr="00A620C5">
        <w:rPr>
          <w:rFonts w:asciiTheme="minorHAnsi" w:eastAsiaTheme="minorHAnsi" w:hAnsiTheme="minorHAnsi"/>
          <w:snapToGrid/>
          <w:sz w:val="24"/>
          <w:szCs w:val="24"/>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A620C5" w:rsidRPr="00A620C5" w:rsidRDefault="00A620C5" w:rsidP="00A620C5">
      <w:pPr>
        <w:widowControl/>
        <w:spacing w:after="200" w:line="276" w:lineRule="auto"/>
        <w:ind w:left="426"/>
        <w:rPr>
          <w:rFonts w:asciiTheme="minorHAnsi" w:eastAsiaTheme="minorHAnsi" w:hAnsiTheme="minorHAnsi"/>
          <w:snapToGrid/>
          <w:sz w:val="24"/>
          <w:szCs w:val="24"/>
        </w:rPr>
      </w:pPr>
    </w:p>
    <w:p w:rsidR="00A620C5" w:rsidRPr="00A620C5" w:rsidRDefault="00A620C5" w:rsidP="00A620C5">
      <w:pPr>
        <w:widowControl/>
        <w:spacing w:after="200" w:line="276" w:lineRule="auto"/>
        <w:ind w:left="426"/>
        <w:jc w:val="left"/>
        <w:rPr>
          <w:rFonts w:asciiTheme="minorHAnsi" w:eastAsiaTheme="minorHAnsi" w:hAnsiTheme="minorHAnsi" w:cstheme="minorBidi"/>
          <w:b/>
          <w:snapToGrid/>
          <w:sz w:val="24"/>
          <w:szCs w:val="24"/>
        </w:rPr>
      </w:pPr>
      <w:r w:rsidRPr="00A620C5">
        <w:rPr>
          <w:rFonts w:asciiTheme="minorHAnsi" w:eastAsiaTheme="minorHAnsi" w:hAnsiTheme="minorHAnsi" w:cstheme="minorBidi"/>
          <w:b/>
          <w:snapToGrid/>
          <w:sz w:val="24"/>
          <w:szCs w:val="24"/>
        </w:rPr>
        <w:t>10</w:t>
      </w:r>
      <w:r w:rsidRPr="00A620C5">
        <w:rPr>
          <w:rFonts w:asciiTheme="minorHAnsi" w:eastAsiaTheme="minorHAnsi" w:hAnsiTheme="minorHAnsi" w:cstheme="minorBidi"/>
          <w:b/>
          <w:snapToGrid/>
          <w:sz w:val="24"/>
          <w:szCs w:val="24"/>
        </w:rPr>
        <w:tab/>
        <w:t xml:space="preserve"> Sponsor’s Comment</w:t>
      </w:r>
    </w:p>
    <w:p w:rsidR="00A620C5" w:rsidRPr="00A620C5" w:rsidRDefault="00A620C5" w:rsidP="00A620C5">
      <w:pPr>
        <w:widowControl/>
        <w:spacing w:line="276" w:lineRule="auto"/>
        <w:ind w:left="426"/>
        <w:rPr>
          <w:rFonts w:asciiTheme="minorHAnsi" w:eastAsiaTheme="minorHAnsi" w:hAnsiTheme="minorHAnsi"/>
          <w:bCs/>
          <w:snapToGrid/>
          <w:sz w:val="24"/>
          <w:szCs w:val="24"/>
          <w:highlight w:val="yellow"/>
          <w:lang w:val="en-GB"/>
        </w:rPr>
      </w:pPr>
    </w:p>
    <w:p w:rsidR="00A620C5" w:rsidRPr="00A620C5" w:rsidRDefault="00A620C5" w:rsidP="00A42B97">
      <w:pPr>
        <w:widowControl/>
        <w:spacing w:after="120" w:line="276" w:lineRule="auto"/>
        <w:rPr>
          <w:rFonts w:asciiTheme="minorHAnsi" w:eastAsiaTheme="minorHAnsi" w:hAnsiTheme="minorHAnsi"/>
          <w:bCs/>
          <w:snapToGrid/>
          <w:sz w:val="24"/>
          <w:szCs w:val="24"/>
        </w:rPr>
      </w:pPr>
      <w:r w:rsidRPr="00A620C5">
        <w:rPr>
          <w:rFonts w:asciiTheme="minorHAnsi" w:eastAsiaTheme="minorHAnsi" w:hAnsiTheme="minorHAnsi"/>
          <w:bCs/>
          <w:snapToGrid/>
          <w:sz w:val="24"/>
          <w:szCs w:val="24"/>
        </w:rPr>
        <w:t>The sponsor had no comment.</w:t>
      </w:r>
    </w:p>
    <w:p w:rsidR="00BC5DEC" w:rsidRPr="00081331" w:rsidRDefault="00BC5DEC" w:rsidP="001E08C1">
      <w:pPr>
        <w:widowControl/>
        <w:tabs>
          <w:tab w:val="left" w:pos="2897"/>
        </w:tabs>
        <w:rPr>
          <w:rFonts w:asciiTheme="minorHAnsi" w:hAnsiTheme="minorHAnsi"/>
          <w:sz w:val="24"/>
        </w:rPr>
      </w:pPr>
    </w:p>
    <w:sectPr w:rsidR="00BC5DEC" w:rsidRPr="00081331" w:rsidSect="000606D6">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1440" w:footer="1440" w:gutter="0"/>
      <w:pgNumType w:start="1"/>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5E31215" w15:done="0"/>
  <w15:commentEx w15:paraId="3BD14B58" w15:done="0"/>
  <w15:commentEx w15:paraId="5E67B060" w15:paraIdParent="3BD14B58" w15:done="0"/>
  <w15:commentEx w15:paraId="2B1C238C" w15:done="0"/>
  <w15:commentEx w15:paraId="5F82570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5E31215" w16cid:durableId="1D31F70F"/>
  <w16cid:commentId w16cid:paraId="3BD14B58" w16cid:durableId="1D31F710"/>
  <w16cid:commentId w16cid:paraId="5E67B060" w16cid:durableId="1D31FA3C"/>
  <w16cid:commentId w16cid:paraId="2B1C238C" w16cid:durableId="1D31F711"/>
  <w16cid:commentId w16cid:paraId="5F82570C" w16cid:durableId="1D31FDA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33EE" w:rsidRDefault="000D33EE" w:rsidP="00124A51">
      <w:r>
        <w:separator/>
      </w:r>
    </w:p>
  </w:endnote>
  <w:endnote w:type="continuationSeparator" w:id="0">
    <w:p w:rsidR="000D33EE" w:rsidRDefault="000D33EE" w:rsidP="00124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News Gothic MT">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EE" w:rsidRDefault="000D33E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6417458"/>
      <w:docPartObj>
        <w:docPartGallery w:val="Page Numbers (Bottom of Page)"/>
        <w:docPartUnique/>
      </w:docPartObj>
    </w:sdtPr>
    <w:sdtEndPr>
      <w:rPr>
        <w:rFonts w:asciiTheme="minorHAnsi" w:hAnsiTheme="minorHAnsi"/>
        <w:noProof/>
        <w:sz w:val="24"/>
        <w:szCs w:val="24"/>
      </w:rPr>
    </w:sdtEndPr>
    <w:sdtContent>
      <w:p w:rsidR="000D33EE" w:rsidRDefault="000D33EE" w:rsidP="00226B30">
        <w:pPr>
          <w:pStyle w:val="Footer"/>
          <w:jc w:val="center"/>
        </w:pPr>
      </w:p>
      <w:p w:rsidR="000D33EE" w:rsidRPr="00226B30" w:rsidRDefault="000D33EE" w:rsidP="00226B30">
        <w:pPr>
          <w:pStyle w:val="Footer"/>
          <w:jc w:val="center"/>
          <w:rPr>
            <w:rFonts w:asciiTheme="minorHAnsi" w:hAnsiTheme="minorHAnsi"/>
            <w:sz w:val="24"/>
            <w:szCs w:val="24"/>
          </w:rPr>
        </w:pPr>
        <w:r w:rsidRPr="00226B30">
          <w:rPr>
            <w:rFonts w:asciiTheme="minorHAnsi" w:hAnsiTheme="minorHAnsi"/>
            <w:sz w:val="24"/>
            <w:szCs w:val="24"/>
          </w:rPr>
          <w:fldChar w:fldCharType="begin"/>
        </w:r>
        <w:r w:rsidRPr="00226B30">
          <w:rPr>
            <w:rFonts w:asciiTheme="minorHAnsi" w:hAnsiTheme="minorHAnsi"/>
            <w:sz w:val="24"/>
            <w:szCs w:val="24"/>
          </w:rPr>
          <w:instrText xml:space="preserve"> PAGE   \* MERGEFORMAT </w:instrText>
        </w:r>
        <w:r w:rsidRPr="00226B30">
          <w:rPr>
            <w:rFonts w:asciiTheme="minorHAnsi" w:hAnsiTheme="minorHAnsi"/>
            <w:sz w:val="24"/>
            <w:szCs w:val="24"/>
          </w:rPr>
          <w:fldChar w:fldCharType="separate"/>
        </w:r>
        <w:r w:rsidR="00387CBB">
          <w:rPr>
            <w:rFonts w:asciiTheme="minorHAnsi" w:hAnsiTheme="minorHAnsi"/>
            <w:noProof/>
            <w:sz w:val="24"/>
            <w:szCs w:val="24"/>
          </w:rPr>
          <w:t>28</w:t>
        </w:r>
        <w:r w:rsidRPr="00226B30">
          <w:rPr>
            <w:rFonts w:asciiTheme="minorHAnsi" w:hAnsiTheme="minorHAnsi"/>
            <w:noProof/>
            <w:sz w:val="24"/>
            <w:szCs w:val="24"/>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EE" w:rsidRDefault="000D33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33EE" w:rsidRDefault="000D33EE" w:rsidP="00124A51">
      <w:r>
        <w:separator/>
      </w:r>
    </w:p>
  </w:footnote>
  <w:footnote w:type="continuationSeparator" w:id="0">
    <w:p w:rsidR="000D33EE" w:rsidRDefault="000D33EE" w:rsidP="00124A51">
      <w:r>
        <w:continuationSeparator/>
      </w:r>
    </w:p>
  </w:footnote>
  <w:footnote w:id="1">
    <w:p w:rsidR="000D33EE" w:rsidRPr="000F3C02" w:rsidRDefault="000D33EE">
      <w:pPr>
        <w:pStyle w:val="FootnoteText"/>
        <w:rPr>
          <w:rFonts w:ascii="Arial Narrow" w:hAnsi="Arial Narrow"/>
        </w:rPr>
      </w:pPr>
      <w:r w:rsidRPr="000F3C02">
        <w:rPr>
          <w:rStyle w:val="FootnoteReference"/>
          <w:rFonts w:ascii="Arial Narrow" w:hAnsi="Arial Narrow"/>
        </w:rPr>
        <w:footnoteRef/>
      </w:r>
      <w:r w:rsidRPr="000F3C02">
        <w:rPr>
          <w:rFonts w:ascii="Arial Narrow" w:hAnsi="Arial Narrow"/>
        </w:rPr>
        <w:t xml:space="preserve"> </w:t>
      </w:r>
      <w:hyperlink r:id="rId1" w:history="1">
        <w:r w:rsidRPr="000F3C02">
          <w:rPr>
            <w:rStyle w:val="Hyperlink"/>
            <w:rFonts w:ascii="Arial Narrow" w:hAnsi="Arial Narrow"/>
          </w:rPr>
          <w:t>Cystic fibrosis in Australia 2014, 17th annual report, Australian cystic fibrosis data registry</w:t>
        </w:r>
      </w:hyperlink>
      <w:r w:rsidRPr="000F3C02">
        <w:rPr>
          <w:rFonts w:ascii="Arial Narrow" w:hAnsi="Arial Narrow"/>
        </w:rPr>
        <w:t>, p13</w:t>
      </w:r>
      <w:r>
        <w:rPr>
          <w:rFonts w:ascii="Arial Narrow" w:hAnsi="Arial Narrow"/>
        </w:rPr>
        <w:t>.</w:t>
      </w:r>
    </w:p>
  </w:footnote>
  <w:footnote w:id="2">
    <w:p w:rsidR="000D33EE" w:rsidRPr="00521821" w:rsidRDefault="000D33EE">
      <w:pPr>
        <w:pStyle w:val="FootnoteText"/>
        <w:rPr>
          <w:rFonts w:ascii="Arial Narrow" w:hAnsi="Arial Narrow"/>
        </w:rPr>
      </w:pPr>
      <w:r w:rsidRPr="00521821">
        <w:rPr>
          <w:rStyle w:val="FootnoteReference"/>
          <w:rFonts w:ascii="Arial Narrow" w:hAnsi="Arial Narrow"/>
        </w:rPr>
        <w:footnoteRef/>
      </w:r>
      <w:r w:rsidRPr="00521821">
        <w:rPr>
          <w:rFonts w:ascii="Arial Narrow" w:hAnsi="Arial Narrow"/>
        </w:rPr>
        <w:t xml:space="preserve"> </w:t>
      </w:r>
      <w:hyperlink r:id="rId2" w:history="1">
        <w:r w:rsidRPr="00226B30">
          <w:rPr>
            <w:rStyle w:val="Hyperlink"/>
            <w:rFonts w:ascii="Arial Narrow" w:hAnsi="Arial Narrow"/>
          </w:rPr>
          <w:t>Vertex pharmaceuticals media release</w:t>
        </w:r>
      </w:hyperlink>
      <w:r w:rsidRPr="00226B30">
        <w:rPr>
          <w:rFonts w:ascii="Arial Narrow" w:hAnsi="Arial Narrow"/>
        </w:rPr>
        <w:t>, 28 March 2017, Two Phase 3 Studies of the Tezacaftor/Ivacaftor Combination Treatment Met Primary Endpoints with Statistically Significant Improvements in Lung Function (FEV1) in People with Cystic Fibrosis.</w:t>
      </w:r>
    </w:p>
  </w:footnote>
  <w:footnote w:id="3">
    <w:p w:rsidR="000D33EE" w:rsidRPr="00D3005E" w:rsidRDefault="000D33EE">
      <w:pPr>
        <w:pStyle w:val="FootnoteText"/>
        <w:rPr>
          <w:rFonts w:ascii="Arial Narrow" w:hAnsi="Arial Narrow"/>
        </w:rPr>
      </w:pPr>
      <w:r w:rsidRPr="00D3005E">
        <w:rPr>
          <w:rStyle w:val="FootnoteReference"/>
          <w:rFonts w:ascii="Arial Narrow" w:hAnsi="Arial Narrow"/>
        </w:rPr>
        <w:footnoteRef/>
      </w:r>
      <w:r w:rsidRPr="00D3005E">
        <w:rPr>
          <w:rFonts w:ascii="Arial Narrow" w:hAnsi="Arial Narrow"/>
        </w:rPr>
        <w:t xml:space="preserve"> </w:t>
      </w:r>
      <w:r>
        <w:rPr>
          <w:rFonts w:ascii="Arial Narrow" w:hAnsi="Arial Narrow"/>
        </w:rPr>
        <w:t>Clinical</w:t>
      </w:r>
      <w:r w:rsidRPr="00D3005E">
        <w:rPr>
          <w:rFonts w:ascii="Arial Narrow" w:hAnsi="Arial Narrow"/>
        </w:rPr>
        <w:t>trials.gov identifiers: NCT02951182</w:t>
      </w:r>
      <w:r>
        <w:rPr>
          <w:rFonts w:ascii="Arial Narrow" w:hAnsi="Arial Narrow"/>
        </w:rPr>
        <w:t>,</w:t>
      </w:r>
      <w:r w:rsidRPr="00D3005E">
        <w:t xml:space="preserve"> </w:t>
      </w:r>
      <w:r w:rsidRPr="00D3005E">
        <w:rPr>
          <w:rFonts w:ascii="Arial Narrow" w:hAnsi="Arial Narrow"/>
        </w:rPr>
        <w:t>NCT02951195</w:t>
      </w:r>
      <w:r>
        <w:rPr>
          <w:rFonts w:ascii="Arial Narrow" w:hAnsi="Arial Narrow"/>
        </w:rPr>
        <w:t xml:space="preserve"> and </w:t>
      </w:r>
      <w:r w:rsidRPr="00D3005E">
        <w:rPr>
          <w:rFonts w:ascii="Arial Narrow" w:hAnsi="Arial Narrow"/>
        </w:rPr>
        <w:t>NCT03029455</w:t>
      </w:r>
      <w:r>
        <w:rPr>
          <w:rFonts w:ascii="Arial Narrow" w:hAnsi="Arial Narrow"/>
        </w:rPr>
        <w:t>.</w:t>
      </w:r>
    </w:p>
  </w:footnote>
  <w:footnote w:id="4">
    <w:p w:rsidR="000D33EE" w:rsidRPr="005178C7" w:rsidRDefault="000D33EE" w:rsidP="00C10120">
      <w:pPr>
        <w:pStyle w:val="FootnoteText"/>
        <w:rPr>
          <w:rFonts w:ascii="Arial Narrow" w:hAnsi="Arial Narrow"/>
        </w:rPr>
      </w:pPr>
      <w:r w:rsidRPr="005178C7">
        <w:rPr>
          <w:rStyle w:val="FootnoteReference"/>
          <w:rFonts w:ascii="Arial Narrow" w:hAnsi="Arial Narrow"/>
        </w:rPr>
        <w:footnoteRef/>
      </w:r>
      <w:r w:rsidRPr="005178C7">
        <w:rPr>
          <w:rFonts w:ascii="Arial Narrow" w:hAnsi="Arial Narrow"/>
        </w:rPr>
        <w:t xml:space="preserve"> </w:t>
      </w:r>
      <w:r>
        <w:rPr>
          <w:rFonts w:ascii="Arial Narrow" w:hAnsi="Arial Narrow"/>
        </w:rPr>
        <w:t>Stephenson AL</w:t>
      </w:r>
      <w:r w:rsidRPr="005178C7">
        <w:rPr>
          <w:rFonts w:ascii="Arial Narrow" w:hAnsi="Arial Narrow"/>
        </w:rPr>
        <w:t>; Sykes</w:t>
      </w:r>
      <w:r>
        <w:rPr>
          <w:rFonts w:ascii="Arial Narrow" w:hAnsi="Arial Narrow"/>
        </w:rPr>
        <w:t xml:space="preserve"> J</w:t>
      </w:r>
      <w:r w:rsidRPr="005178C7">
        <w:rPr>
          <w:rFonts w:ascii="Arial Narrow" w:hAnsi="Arial Narrow"/>
        </w:rPr>
        <w:t>;</w:t>
      </w:r>
      <w:r>
        <w:rPr>
          <w:rFonts w:ascii="Arial Narrow" w:hAnsi="Arial Narrow"/>
        </w:rPr>
        <w:t xml:space="preserve"> </w:t>
      </w:r>
      <w:r w:rsidRPr="005178C7">
        <w:rPr>
          <w:rFonts w:ascii="Arial Narrow" w:hAnsi="Arial Narrow"/>
        </w:rPr>
        <w:t>Stanojevic</w:t>
      </w:r>
      <w:r>
        <w:rPr>
          <w:rFonts w:ascii="Arial Narrow" w:hAnsi="Arial Narrow"/>
        </w:rPr>
        <w:t xml:space="preserve"> S;</w:t>
      </w:r>
      <w:r w:rsidRPr="005178C7">
        <w:rPr>
          <w:rFonts w:ascii="Arial Narrow" w:hAnsi="Arial Narrow"/>
        </w:rPr>
        <w:t xml:space="preserve"> </w:t>
      </w:r>
      <w:r w:rsidRPr="005178C7">
        <w:rPr>
          <w:rFonts w:ascii="Arial Narrow" w:hAnsi="Arial Narrow"/>
          <w:i/>
        </w:rPr>
        <w:t>et al</w:t>
      </w:r>
      <w:r w:rsidRPr="005178C7">
        <w:rPr>
          <w:rFonts w:ascii="Arial Narrow" w:hAnsi="Arial Narrow"/>
        </w:rPr>
        <w:t xml:space="preserve">. </w:t>
      </w:r>
      <w:r w:rsidRPr="005178C7">
        <w:rPr>
          <w:rFonts w:ascii="Arial Narrow" w:hAnsi="Arial Narrow"/>
          <w:i/>
        </w:rPr>
        <w:t>Survival Comparison of Patients With Cystic Fibrosis in Canada and the United States: A Population-Based Cohort Study</w:t>
      </w:r>
      <w:r w:rsidRPr="005178C7">
        <w:rPr>
          <w:rFonts w:ascii="Arial Narrow" w:hAnsi="Arial Narrow"/>
        </w:rPr>
        <w:t>. Ann</w:t>
      </w:r>
      <w:r>
        <w:rPr>
          <w:rFonts w:ascii="Arial Narrow" w:hAnsi="Arial Narrow"/>
        </w:rPr>
        <w:t>als</w:t>
      </w:r>
      <w:r w:rsidRPr="005178C7">
        <w:rPr>
          <w:rFonts w:ascii="Arial Narrow" w:hAnsi="Arial Narrow"/>
        </w:rPr>
        <w:t xml:space="preserve"> </w:t>
      </w:r>
      <w:r>
        <w:rPr>
          <w:rFonts w:ascii="Arial Narrow" w:hAnsi="Arial Narrow"/>
        </w:rPr>
        <w:t xml:space="preserve">of </w:t>
      </w:r>
      <w:r w:rsidRPr="005178C7">
        <w:rPr>
          <w:rFonts w:ascii="Arial Narrow" w:hAnsi="Arial Narrow"/>
        </w:rPr>
        <w:t>Intern</w:t>
      </w:r>
      <w:r>
        <w:rPr>
          <w:rFonts w:ascii="Arial Narrow" w:hAnsi="Arial Narrow"/>
        </w:rPr>
        <w:t>al</w:t>
      </w:r>
      <w:r w:rsidRPr="005178C7">
        <w:rPr>
          <w:rFonts w:ascii="Arial Narrow" w:hAnsi="Arial Narrow"/>
        </w:rPr>
        <w:t xml:space="preserve"> Med</w:t>
      </w:r>
      <w:r>
        <w:rPr>
          <w:rFonts w:ascii="Arial Narrow" w:hAnsi="Arial Narrow"/>
        </w:rPr>
        <w:t>icine,</w:t>
      </w:r>
      <w:r w:rsidRPr="005178C7">
        <w:rPr>
          <w:rFonts w:ascii="Arial Narrow" w:hAnsi="Arial Narrow"/>
        </w:rPr>
        <w:t xml:space="preserve"> 2017;166(8):537-546.</w:t>
      </w:r>
    </w:p>
  </w:footnote>
  <w:footnote w:id="5">
    <w:p w:rsidR="000D33EE" w:rsidRDefault="000D33EE">
      <w:pPr>
        <w:pStyle w:val="FootnoteText"/>
      </w:pPr>
      <w:r>
        <w:rPr>
          <w:rStyle w:val="FootnoteReference"/>
        </w:rPr>
        <w:footnoteRef/>
      </w:r>
      <w:r>
        <w:t xml:space="preserve"> </w:t>
      </w:r>
      <w:hyperlink r:id="rId3" w:history="1">
        <w:r w:rsidRPr="00226B30">
          <w:rPr>
            <w:rStyle w:val="Hyperlink"/>
            <w:rFonts w:ascii="Arial Narrow" w:hAnsi="Arial Narrow"/>
          </w:rPr>
          <w:t>Vertex pharmaceuticals media release</w:t>
        </w:r>
      </w:hyperlink>
      <w:r w:rsidRPr="00226B30">
        <w:rPr>
          <w:rFonts w:ascii="Arial Narrow" w:hAnsi="Arial Narrow"/>
        </w:rPr>
        <w:t>, 28 March 2017, Two Phase 3 Studies of the Tezacaftor/Ivacaftor Combination Treatment Met Primary Endpoints with Statistically Significant Improvements in Lung Function (FEV1) in People with Cystic Fibrosis.</w:t>
      </w:r>
    </w:p>
  </w:footnote>
  <w:footnote w:id="6">
    <w:p w:rsidR="000D33EE" w:rsidRPr="004023B6" w:rsidRDefault="000D33EE">
      <w:pPr>
        <w:pStyle w:val="FootnoteText"/>
        <w:rPr>
          <w:rFonts w:ascii="Arial Narrow" w:hAnsi="Arial Narrow"/>
        </w:rPr>
      </w:pPr>
      <w:r w:rsidRPr="004023B6">
        <w:rPr>
          <w:rStyle w:val="FootnoteReference"/>
          <w:rFonts w:ascii="Arial Narrow" w:hAnsi="Arial Narrow"/>
        </w:rPr>
        <w:footnoteRef/>
      </w:r>
      <w:r w:rsidRPr="004023B6">
        <w:rPr>
          <w:rFonts w:ascii="Arial Narrow" w:hAnsi="Arial Narrow"/>
        </w:rPr>
        <w:t xml:space="preserve"> This reduction is also outside the terms of the recent Medicines Australia strategic agreement which sees the last F1 5% reduction occurring in April 2022, although the combination drug lumacaftor/ivacaftor may take a flow on F1 5% price reduction from ivacaftor, when the later takes that reduction on 1 April 2019.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EE" w:rsidRDefault="000D33E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EE" w:rsidRPr="00226B30" w:rsidRDefault="000D33EE" w:rsidP="00226B30">
    <w:pPr>
      <w:pStyle w:val="Header"/>
      <w:ind w:left="360"/>
      <w:jc w:val="center"/>
      <w:rPr>
        <w:rFonts w:asciiTheme="minorHAnsi" w:hAnsiTheme="minorHAnsi"/>
        <w:i/>
        <w:color w:val="808080"/>
        <w:sz w:val="24"/>
        <w:szCs w:val="24"/>
      </w:rPr>
    </w:pPr>
    <w:r>
      <w:rPr>
        <w:rFonts w:asciiTheme="minorHAnsi" w:hAnsiTheme="minorHAnsi"/>
        <w:i/>
        <w:color w:val="808080"/>
        <w:sz w:val="24"/>
        <w:szCs w:val="24"/>
      </w:rPr>
      <w:t xml:space="preserve">Public Summary Document </w:t>
    </w:r>
    <w:r w:rsidRPr="00226B30">
      <w:rPr>
        <w:rFonts w:asciiTheme="minorHAnsi" w:hAnsiTheme="minorHAnsi"/>
        <w:i/>
        <w:color w:val="808080"/>
        <w:sz w:val="24"/>
        <w:szCs w:val="24"/>
      </w:rPr>
      <w:t xml:space="preserve">– </w:t>
    </w:r>
    <w:r>
      <w:rPr>
        <w:rFonts w:asciiTheme="minorHAnsi" w:hAnsiTheme="minorHAnsi"/>
        <w:i/>
        <w:color w:val="808080"/>
        <w:sz w:val="24"/>
        <w:szCs w:val="24"/>
      </w:rPr>
      <w:t>July 2017</w:t>
    </w:r>
    <w:r w:rsidRPr="00226B30">
      <w:rPr>
        <w:rFonts w:asciiTheme="minorHAnsi" w:hAnsiTheme="minorHAnsi"/>
        <w:i/>
        <w:color w:val="808080"/>
        <w:sz w:val="24"/>
        <w:szCs w:val="24"/>
      </w:rPr>
      <w:t xml:space="preserve"> PBAC Meeting</w:t>
    </w:r>
  </w:p>
  <w:p w:rsidR="000D33EE" w:rsidRPr="008C32BD" w:rsidRDefault="000D33EE" w:rsidP="008C32B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EE" w:rsidRDefault="000D33E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F6006"/>
    <w:multiLevelType w:val="multilevel"/>
    <w:tmpl w:val="7ACA3BAE"/>
    <w:lvl w:ilvl="0">
      <w:start w:val="6"/>
      <w:numFmt w:val="decimal"/>
      <w:lvlText w:val="%1"/>
      <w:lvlJc w:val="left"/>
      <w:pPr>
        <w:ind w:left="360" w:hanging="360"/>
      </w:pPr>
      <w:rPr>
        <w:rFonts w:hint="default"/>
      </w:rPr>
    </w:lvl>
    <w:lvl w:ilvl="1">
      <w:start w:val="1"/>
      <w:numFmt w:val="decimal"/>
      <w:lvlText w:val="%1.%2"/>
      <w:lvlJc w:val="left"/>
      <w:pPr>
        <w:ind w:left="360" w:hanging="360"/>
      </w:pPr>
      <w:rPr>
        <w:rFonts w:asciiTheme="minorHAnsi" w:hAnsiTheme="minorHAnsi" w:hint="default"/>
        <w:i w:val="0"/>
        <w:sz w:val="24"/>
        <w:szCs w:val="24"/>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22A3600"/>
    <w:multiLevelType w:val="multilevel"/>
    <w:tmpl w:val="B5C6EA92"/>
    <w:numStyleLink w:val="Style2"/>
  </w:abstractNum>
  <w:abstractNum w:abstractNumId="3">
    <w:nsid w:val="066A53BE"/>
    <w:multiLevelType w:val="hybridMultilevel"/>
    <w:tmpl w:val="DA7A19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7D36328"/>
    <w:multiLevelType w:val="hybridMultilevel"/>
    <w:tmpl w:val="1C624164"/>
    <w:lvl w:ilvl="0" w:tplc="F67EEBF8">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9041749"/>
    <w:multiLevelType w:val="hybridMultilevel"/>
    <w:tmpl w:val="FFDAEC86"/>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6">
    <w:nsid w:val="095C3CF8"/>
    <w:multiLevelType w:val="hybridMultilevel"/>
    <w:tmpl w:val="82C408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099B22BB"/>
    <w:multiLevelType w:val="hybridMultilevel"/>
    <w:tmpl w:val="16FAE93C"/>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8">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0E9C2954"/>
    <w:multiLevelType w:val="multilevel"/>
    <w:tmpl w:val="4B52E8E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6EB5AD7"/>
    <w:multiLevelType w:val="multilevel"/>
    <w:tmpl w:val="4516E47E"/>
    <w:lvl w:ilvl="0">
      <w:start w:val="1"/>
      <w:numFmt w:val="decimal"/>
      <w:lvlText w:val="%1"/>
      <w:lvlJc w:val="left"/>
      <w:pPr>
        <w:ind w:left="720" w:hanging="720"/>
      </w:pPr>
      <w:rPr>
        <w:rFonts w:hint="default"/>
        <w:b/>
        <w:i w:val="0"/>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1B013C71"/>
    <w:multiLevelType w:val="multilevel"/>
    <w:tmpl w:val="B5C6EA92"/>
    <w:styleLink w:val="Style2"/>
    <w:lvl w:ilvl="0">
      <w:start w:val="2"/>
      <w:numFmt w:val="decimal"/>
      <w:lvlText w:val="%1"/>
      <w:lvlJc w:val="left"/>
      <w:pPr>
        <w:ind w:left="720" w:hanging="72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1EFF526D"/>
    <w:multiLevelType w:val="hybridMultilevel"/>
    <w:tmpl w:val="07F6E2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2503240E"/>
    <w:multiLevelType w:val="multilevel"/>
    <w:tmpl w:val="5C86D67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7965440"/>
    <w:multiLevelType w:val="hybridMultilevel"/>
    <w:tmpl w:val="E16EF27E"/>
    <w:lvl w:ilvl="0" w:tplc="04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nsid w:val="29EA2DF5"/>
    <w:multiLevelType w:val="multilevel"/>
    <w:tmpl w:val="D6C6E4B2"/>
    <w:styleLink w:val="Headings"/>
    <w:lvl w:ilvl="0">
      <w:start w:val="1"/>
      <w:numFmt w:val="decimal"/>
      <w:lvlText w:val="%1"/>
      <w:lvlJc w:val="left"/>
      <w:pPr>
        <w:ind w:left="720" w:hanging="720"/>
      </w:pPr>
      <w:rPr>
        <w:rFonts w:hint="default"/>
        <w:b/>
      </w:rPr>
    </w:lvl>
    <w:lvl w:ilvl="1">
      <w:start w:val="1"/>
      <w:numFmt w:val="decimal"/>
      <w:lvlText w:val=".%2%1"/>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2B650263"/>
    <w:multiLevelType w:val="hybridMultilevel"/>
    <w:tmpl w:val="E458A022"/>
    <w:lvl w:ilvl="0" w:tplc="5B3EBADE">
      <w:numFmt w:val="bullet"/>
      <w:pStyle w:val="Bulletpoint"/>
      <w:lvlText w:val="-"/>
      <w:lvlJc w:val="left"/>
      <w:pPr>
        <w:tabs>
          <w:tab w:val="num" w:pos="720"/>
        </w:tabs>
        <w:ind w:left="720" w:hanging="360"/>
      </w:pPr>
      <w:rPr>
        <w:rFonts w:ascii="Times New Roman" w:eastAsia="Times New Roman" w:hAnsi="Times New Roman" w:cs="Times New Roman" w:hint="default"/>
      </w:rPr>
    </w:lvl>
    <w:lvl w:ilvl="1" w:tplc="5C823EAA">
      <w:start w:val="1"/>
      <w:numFmt w:val="bullet"/>
      <w:lvlText w:val="o"/>
      <w:lvlJc w:val="left"/>
      <w:pPr>
        <w:tabs>
          <w:tab w:val="num" w:pos="1440"/>
        </w:tabs>
        <w:ind w:left="1440" w:hanging="360"/>
      </w:pPr>
      <w:rPr>
        <w:rFonts w:ascii="Courier New" w:hAnsi="Courier New" w:cs="Courier New" w:hint="default"/>
      </w:rPr>
    </w:lvl>
    <w:lvl w:ilvl="2" w:tplc="735C1F4E" w:tentative="1">
      <w:start w:val="1"/>
      <w:numFmt w:val="bullet"/>
      <w:lvlText w:val=""/>
      <w:lvlJc w:val="left"/>
      <w:pPr>
        <w:tabs>
          <w:tab w:val="num" w:pos="2160"/>
        </w:tabs>
        <w:ind w:left="2160" w:hanging="360"/>
      </w:pPr>
      <w:rPr>
        <w:rFonts w:ascii="Wingdings" w:hAnsi="Wingdings" w:hint="default"/>
      </w:rPr>
    </w:lvl>
    <w:lvl w:ilvl="3" w:tplc="72BC2C8A" w:tentative="1">
      <w:start w:val="1"/>
      <w:numFmt w:val="bullet"/>
      <w:lvlText w:val=""/>
      <w:lvlJc w:val="left"/>
      <w:pPr>
        <w:tabs>
          <w:tab w:val="num" w:pos="2880"/>
        </w:tabs>
        <w:ind w:left="2880" w:hanging="360"/>
      </w:pPr>
      <w:rPr>
        <w:rFonts w:ascii="Symbol" w:hAnsi="Symbol" w:hint="default"/>
      </w:rPr>
    </w:lvl>
    <w:lvl w:ilvl="4" w:tplc="F6408CB6" w:tentative="1">
      <w:start w:val="1"/>
      <w:numFmt w:val="bullet"/>
      <w:lvlText w:val="o"/>
      <w:lvlJc w:val="left"/>
      <w:pPr>
        <w:tabs>
          <w:tab w:val="num" w:pos="3600"/>
        </w:tabs>
        <w:ind w:left="3600" w:hanging="360"/>
      </w:pPr>
      <w:rPr>
        <w:rFonts w:ascii="Courier New" w:hAnsi="Courier New" w:cs="Courier New" w:hint="default"/>
      </w:rPr>
    </w:lvl>
    <w:lvl w:ilvl="5" w:tplc="C6E6236A" w:tentative="1">
      <w:start w:val="1"/>
      <w:numFmt w:val="bullet"/>
      <w:lvlText w:val=""/>
      <w:lvlJc w:val="left"/>
      <w:pPr>
        <w:tabs>
          <w:tab w:val="num" w:pos="4320"/>
        </w:tabs>
        <w:ind w:left="4320" w:hanging="360"/>
      </w:pPr>
      <w:rPr>
        <w:rFonts w:ascii="Wingdings" w:hAnsi="Wingdings" w:hint="default"/>
      </w:rPr>
    </w:lvl>
    <w:lvl w:ilvl="6" w:tplc="135E60BC" w:tentative="1">
      <w:start w:val="1"/>
      <w:numFmt w:val="bullet"/>
      <w:lvlText w:val=""/>
      <w:lvlJc w:val="left"/>
      <w:pPr>
        <w:tabs>
          <w:tab w:val="num" w:pos="5040"/>
        </w:tabs>
        <w:ind w:left="5040" w:hanging="360"/>
      </w:pPr>
      <w:rPr>
        <w:rFonts w:ascii="Symbol" w:hAnsi="Symbol" w:hint="default"/>
      </w:rPr>
    </w:lvl>
    <w:lvl w:ilvl="7" w:tplc="A4C251FC" w:tentative="1">
      <w:start w:val="1"/>
      <w:numFmt w:val="bullet"/>
      <w:lvlText w:val="o"/>
      <w:lvlJc w:val="left"/>
      <w:pPr>
        <w:tabs>
          <w:tab w:val="num" w:pos="5760"/>
        </w:tabs>
        <w:ind w:left="5760" w:hanging="360"/>
      </w:pPr>
      <w:rPr>
        <w:rFonts w:ascii="Courier New" w:hAnsi="Courier New" w:cs="Courier New" w:hint="default"/>
      </w:rPr>
    </w:lvl>
    <w:lvl w:ilvl="8" w:tplc="9BA2086E" w:tentative="1">
      <w:start w:val="1"/>
      <w:numFmt w:val="bullet"/>
      <w:lvlText w:val=""/>
      <w:lvlJc w:val="left"/>
      <w:pPr>
        <w:tabs>
          <w:tab w:val="num" w:pos="6480"/>
        </w:tabs>
        <w:ind w:left="6480" w:hanging="360"/>
      </w:pPr>
      <w:rPr>
        <w:rFonts w:ascii="Wingdings" w:hAnsi="Wingdings" w:hint="default"/>
      </w:rPr>
    </w:lvl>
  </w:abstractNum>
  <w:abstractNum w:abstractNumId="18">
    <w:nsid w:val="2EE53F67"/>
    <w:multiLevelType w:val="hybridMultilevel"/>
    <w:tmpl w:val="09AEB0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2FF46713"/>
    <w:multiLevelType w:val="hybridMultilevel"/>
    <w:tmpl w:val="037602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9147190"/>
    <w:multiLevelType w:val="hybridMultilevel"/>
    <w:tmpl w:val="01F2F1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09E3833"/>
    <w:multiLevelType w:val="hybridMultilevel"/>
    <w:tmpl w:val="7E8C36B6"/>
    <w:lvl w:ilvl="0" w:tplc="7ADA9312">
      <w:start w:val="1"/>
      <w:numFmt w:val="decimal"/>
      <w:lvlText w:val="%1."/>
      <w:lvlJc w:val="left"/>
      <w:pPr>
        <w:ind w:left="720" w:hanging="360"/>
      </w:pPr>
      <w:rPr>
        <w:color w:val="1F497D"/>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2">
    <w:nsid w:val="464870AE"/>
    <w:multiLevelType w:val="hybridMultilevel"/>
    <w:tmpl w:val="1E864F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B2875A5"/>
    <w:multiLevelType w:val="hybridMultilevel"/>
    <w:tmpl w:val="4D8C6658"/>
    <w:lvl w:ilvl="0" w:tplc="CF184C6A">
      <w:start w:val="1"/>
      <w:numFmt w:val="bullet"/>
      <w:pStyle w:val="V50Instructions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F552630"/>
    <w:multiLevelType w:val="hybridMultilevel"/>
    <w:tmpl w:val="80CC8D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46332AF"/>
    <w:multiLevelType w:val="hybridMultilevel"/>
    <w:tmpl w:val="F15AAFFA"/>
    <w:lvl w:ilvl="0" w:tplc="951499EE">
      <w:start w:val="1"/>
      <w:numFmt w:val="bullet"/>
      <w:pStyle w:val="Table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B395EEA"/>
    <w:multiLevelType w:val="multilevel"/>
    <w:tmpl w:val="E56E445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5F2724BA"/>
    <w:multiLevelType w:val="hybridMultilevel"/>
    <w:tmpl w:val="058C4D0E"/>
    <w:lvl w:ilvl="0" w:tplc="775200BE">
      <w:start w:val="1"/>
      <w:numFmt w:val="bullet"/>
      <w:pStyle w:val="BulletLa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6BC3675A"/>
    <w:multiLevelType w:val="multilevel"/>
    <w:tmpl w:val="D03C2224"/>
    <w:styleLink w:val="PBACstandardnumberstyle"/>
    <w:lvl w:ilvl="0">
      <w:start w:val="1"/>
      <w:numFmt w:val="upperLetter"/>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lowerLetter"/>
      <w:lvlText w:val="(%5)"/>
      <w:lvlJc w:val="left"/>
      <w:pPr>
        <w:tabs>
          <w:tab w:val="num" w:pos="1134"/>
        </w:tabs>
        <w:ind w:left="1134" w:hanging="1134"/>
      </w:pPr>
      <w:rPr>
        <w:rFonts w:hint="default"/>
      </w:rPr>
    </w:lvl>
    <w:lvl w:ilvl="5">
      <w:start w:val="1"/>
      <w:numFmt w:val="lowerRoman"/>
      <w:lvlText w:val="(%6)"/>
      <w:lvlJc w:val="left"/>
      <w:pPr>
        <w:tabs>
          <w:tab w:val="num" w:pos="1134"/>
        </w:tabs>
        <w:ind w:left="1134" w:hanging="1134"/>
      </w:pPr>
      <w:rPr>
        <w:rFonts w:hint="default"/>
      </w:rPr>
    </w:lvl>
    <w:lvl w:ilvl="6">
      <w:start w:val="1"/>
      <w:numFmt w:val="decimal"/>
      <w:lvlText w:val="%7."/>
      <w:lvlJc w:val="left"/>
      <w:pPr>
        <w:tabs>
          <w:tab w:val="num" w:pos="1134"/>
        </w:tabs>
        <w:ind w:left="1134" w:hanging="1134"/>
      </w:pPr>
      <w:rPr>
        <w:rFonts w:hint="default"/>
      </w:rPr>
    </w:lvl>
    <w:lvl w:ilvl="7">
      <w:start w:val="1"/>
      <w:numFmt w:val="lowerLetter"/>
      <w:lvlText w:val="%8."/>
      <w:lvlJc w:val="left"/>
      <w:pPr>
        <w:tabs>
          <w:tab w:val="num" w:pos="1134"/>
        </w:tabs>
        <w:ind w:left="1134" w:hanging="1134"/>
      </w:pPr>
      <w:rPr>
        <w:rFonts w:hint="default"/>
      </w:rPr>
    </w:lvl>
    <w:lvl w:ilvl="8">
      <w:start w:val="1"/>
      <w:numFmt w:val="lowerRoman"/>
      <w:lvlText w:val="%9."/>
      <w:lvlJc w:val="left"/>
      <w:pPr>
        <w:tabs>
          <w:tab w:val="num" w:pos="1134"/>
        </w:tabs>
        <w:ind w:left="1134" w:hanging="1134"/>
      </w:pPr>
      <w:rPr>
        <w:rFonts w:hint="default"/>
      </w:rPr>
    </w:lvl>
  </w:abstractNum>
  <w:abstractNum w:abstractNumId="30">
    <w:nsid w:val="784D033C"/>
    <w:multiLevelType w:val="multilevel"/>
    <w:tmpl w:val="625CE1DC"/>
    <w:lvl w:ilvl="0">
      <w:start w:val="1"/>
      <w:numFmt w:val="decimal"/>
      <w:pStyle w:val="PBACheading1"/>
      <w:lvlText w:val="%1"/>
      <w:lvlJc w:val="left"/>
      <w:pPr>
        <w:ind w:left="720" w:hanging="720"/>
      </w:pPr>
      <w:rPr>
        <w:rFonts w:hint="default"/>
        <w:b/>
        <w:i w:val="0"/>
      </w:rPr>
    </w:lvl>
    <w:lvl w:ilvl="1">
      <w:start w:val="1"/>
      <w:numFmt w:val="decimal"/>
      <w:lvlText w:val="%1.%2"/>
      <w:lvlJc w:val="left"/>
      <w:pPr>
        <w:ind w:left="720" w:hanging="720"/>
      </w:pPr>
      <w:rPr>
        <w:rFonts w:hint="default"/>
        <w:b w:val="0"/>
        <w:i w:val="0"/>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7BDB59C2"/>
    <w:multiLevelType w:val="hybridMultilevel"/>
    <w:tmpl w:val="E7762474"/>
    <w:lvl w:ilvl="0" w:tplc="E3106E82">
      <w:start w:val="1"/>
      <w:numFmt w:val="decimal"/>
      <w:pStyle w:val="Heading2"/>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7FD26384"/>
    <w:multiLevelType w:val="multilevel"/>
    <w:tmpl w:val="6326270A"/>
    <w:lvl w:ilvl="0">
      <w:start w:val="2"/>
      <w:numFmt w:val="none"/>
      <w:pStyle w:val="HeadingLevel2"/>
      <w:lvlText w:val="1."/>
      <w:lvlJc w:val="left"/>
      <w:pPr>
        <w:tabs>
          <w:tab w:val="num" w:pos="360"/>
        </w:tabs>
        <w:ind w:left="360" w:hanging="360"/>
      </w:pPr>
      <w:rPr>
        <w:rFonts w:ascii="Verdana" w:hAnsi="Verdana" w:cs="Verdana" w:hint="default"/>
        <w:b/>
        <w:bCs/>
        <w:i w:val="0"/>
        <w:iCs w:val="0"/>
        <w:sz w:val="36"/>
        <w:szCs w:val="36"/>
      </w:rPr>
    </w:lvl>
    <w:lvl w:ilvl="1">
      <w:start w:val="1"/>
      <w:numFmt w:val="decimal"/>
      <w:lvlText w:val="%2%1.1"/>
      <w:lvlJc w:val="left"/>
      <w:pPr>
        <w:tabs>
          <w:tab w:val="num" w:pos="723"/>
        </w:tabs>
        <w:ind w:left="723" w:hanging="723"/>
      </w:pPr>
      <w:rPr>
        <w:rFonts w:ascii="Verdana" w:hAnsi="Verdana" w:cs="Verdana" w:hint="default"/>
        <w:b/>
        <w:bCs/>
        <w:i w:val="0"/>
        <w:iCs w:val="0"/>
        <w:sz w:val="28"/>
        <w:szCs w:val="28"/>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30"/>
  </w:num>
  <w:num w:numId="2">
    <w:abstractNumId w:val="25"/>
  </w:num>
  <w:num w:numId="3">
    <w:abstractNumId w:val="29"/>
  </w:num>
  <w:num w:numId="4">
    <w:abstractNumId w:val="17"/>
  </w:num>
  <w:num w:numId="5">
    <w:abstractNumId w:val="32"/>
  </w:num>
  <w:num w:numId="6">
    <w:abstractNumId w:val="23"/>
  </w:num>
  <w:num w:numId="7">
    <w:abstractNumId w:val="16"/>
  </w:num>
  <w:num w:numId="8">
    <w:abstractNumId w:val="28"/>
  </w:num>
  <w:num w:numId="9">
    <w:abstractNumId w:val="24"/>
  </w:num>
  <w:num w:numId="10">
    <w:abstractNumId w:val="14"/>
  </w:num>
  <w:num w:numId="11">
    <w:abstractNumId w:val="27"/>
  </w:num>
  <w:num w:numId="12">
    <w:abstractNumId w:val="9"/>
  </w:num>
  <w:num w:numId="13">
    <w:abstractNumId w:val="0"/>
  </w:num>
  <w:num w:numId="14">
    <w:abstractNumId w:val="5"/>
  </w:num>
  <w:num w:numId="15">
    <w:abstractNumId w:val="15"/>
  </w:num>
  <w:num w:numId="16">
    <w:abstractNumId w:val="6"/>
  </w:num>
  <w:num w:numId="17">
    <w:abstractNumId w:val="11"/>
  </w:num>
  <w:num w:numId="18">
    <w:abstractNumId w:val="2"/>
    <w:lvlOverride w:ilvl="1">
      <w:lvl w:ilvl="1">
        <w:start w:val="1"/>
        <w:numFmt w:val="decimal"/>
        <w:lvlText w:val="%1.%2"/>
        <w:lvlJc w:val="left"/>
        <w:pPr>
          <w:ind w:left="720" w:hanging="720"/>
        </w:pPr>
        <w:rPr>
          <w:rFonts w:hint="default"/>
          <w:i w:val="0"/>
        </w:rPr>
      </w:lvl>
    </w:lvlOverride>
  </w:num>
  <w:num w:numId="19">
    <w:abstractNumId w:val="7"/>
  </w:num>
  <w:num w:numId="20">
    <w:abstractNumId w:val="20"/>
  </w:num>
  <w:num w:numId="21">
    <w:abstractNumId w:val="19"/>
  </w:num>
  <w:num w:numId="22">
    <w:abstractNumId w:val="18"/>
  </w:num>
  <w:num w:numId="23">
    <w:abstractNumId w:val="3"/>
  </w:num>
  <w:num w:numId="24">
    <w:abstractNumId w:val="26"/>
  </w:num>
  <w:num w:numId="25">
    <w:abstractNumId w:val="8"/>
  </w:num>
  <w:num w:numId="26">
    <w:abstractNumId w:val="1"/>
  </w:num>
  <w:num w:numId="27">
    <w:abstractNumId w:val="13"/>
  </w:num>
  <w:num w:numId="28">
    <w:abstractNumId w:val="31"/>
  </w:num>
  <w:num w:numId="29">
    <w:abstractNumId w:val="4"/>
  </w:num>
  <w:num w:numId="30">
    <w:abstractNumId w:val="22"/>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 w:numId="33">
    <w:abstractNumId w:val="10"/>
  </w:num>
  <w:num w:numId="34">
    <w:abstractNumId w:val="31"/>
  </w:num>
  <w:num w:numId="35">
    <w:abstractNumId w:val="31"/>
  </w:num>
  <w:num w:numId="36">
    <w:abstractNumId w:val="31"/>
  </w:num>
  <w:num w:numId="37">
    <w:abstractNumId w:val="31"/>
  </w:num>
  <w:num w:numId="38">
    <w:abstractNumId w:val="31"/>
  </w:num>
  <w:num w:numId="39">
    <w:abstractNumId w:val="31"/>
  </w:num>
  <w:num w:numId="40">
    <w:abstractNumId w:val="31"/>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om Snelling">
    <w15:presenceInfo w15:providerId="Windows Live" w15:userId="750d575ef53cd2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E79"/>
    <w:rsid w:val="00000790"/>
    <w:rsid w:val="00000F2A"/>
    <w:rsid w:val="0000110B"/>
    <w:rsid w:val="000014BC"/>
    <w:rsid w:val="000015D8"/>
    <w:rsid w:val="00002A32"/>
    <w:rsid w:val="000035B9"/>
    <w:rsid w:val="000039B6"/>
    <w:rsid w:val="0000450F"/>
    <w:rsid w:val="00004E37"/>
    <w:rsid w:val="000056CF"/>
    <w:rsid w:val="000057F6"/>
    <w:rsid w:val="00006262"/>
    <w:rsid w:val="00006737"/>
    <w:rsid w:val="0000710C"/>
    <w:rsid w:val="00010707"/>
    <w:rsid w:val="00010F30"/>
    <w:rsid w:val="000124DC"/>
    <w:rsid w:val="00013247"/>
    <w:rsid w:val="00013A98"/>
    <w:rsid w:val="00014D06"/>
    <w:rsid w:val="000156DD"/>
    <w:rsid w:val="00015886"/>
    <w:rsid w:val="000162EF"/>
    <w:rsid w:val="00016B37"/>
    <w:rsid w:val="00016E45"/>
    <w:rsid w:val="00016EDE"/>
    <w:rsid w:val="00016F24"/>
    <w:rsid w:val="00017A6C"/>
    <w:rsid w:val="000200B4"/>
    <w:rsid w:val="000205C1"/>
    <w:rsid w:val="000208A6"/>
    <w:rsid w:val="00021281"/>
    <w:rsid w:val="00021CA1"/>
    <w:rsid w:val="00021FDE"/>
    <w:rsid w:val="0002225F"/>
    <w:rsid w:val="00023216"/>
    <w:rsid w:val="000232E9"/>
    <w:rsid w:val="000236A6"/>
    <w:rsid w:val="00023763"/>
    <w:rsid w:val="00023A66"/>
    <w:rsid w:val="000245FF"/>
    <w:rsid w:val="000248D0"/>
    <w:rsid w:val="00024B72"/>
    <w:rsid w:val="00024ED7"/>
    <w:rsid w:val="0002581E"/>
    <w:rsid w:val="00026D1C"/>
    <w:rsid w:val="0002786F"/>
    <w:rsid w:val="000278E1"/>
    <w:rsid w:val="00030026"/>
    <w:rsid w:val="00030389"/>
    <w:rsid w:val="00031BD0"/>
    <w:rsid w:val="000322DF"/>
    <w:rsid w:val="00032B24"/>
    <w:rsid w:val="00033935"/>
    <w:rsid w:val="00033F2D"/>
    <w:rsid w:val="00036AE7"/>
    <w:rsid w:val="00036FC2"/>
    <w:rsid w:val="000372F7"/>
    <w:rsid w:val="00037703"/>
    <w:rsid w:val="00037A83"/>
    <w:rsid w:val="00037E2D"/>
    <w:rsid w:val="00037FE9"/>
    <w:rsid w:val="00040895"/>
    <w:rsid w:val="00040936"/>
    <w:rsid w:val="00040C09"/>
    <w:rsid w:val="0004231D"/>
    <w:rsid w:val="00043C37"/>
    <w:rsid w:val="00043EF2"/>
    <w:rsid w:val="000442DF"/>
    <w:rsid w:val="00045234"/>
    <w:rsid w:val="000463BC"/>
    <w:rsid w:val="000466AF"/>
    <w:rsid w:val="0005034D"/>
    <w:rsid w:val="00050C9C"/>
    <w:rsid w:val="000514E7"/>
    <w:rsid w:val="000519C2"/>
    <w:rsid w:val="00052127"/>
    <w:rsid w:val="000546D7"/>
    <w:rsid w:val="00054B30"/>
    <w:rsid w:val="00054FC5"/>
    <w:rsid w:val="00057514"/>
    <w:rsid w:val="000606D6"/>
    <w:rsid w:val="000608BE"/>
    <w:rsid w:val="00060ADF"/>
    <w:rsid w:val="00060D35"/>
    <w:rsid w:val="000612F9"/>
    <w:rsid w:val="00062473"/>
    <w:rsid w:val="00063173"/>
    <w:rsid w:val="00065F02"/>
    <w:rsid w:val="0006602C"/>
    <w:rsid w:val="00066B5E"/>
    <w:rsid w:val="00070ACB"/>
    <w:rsid w:val="00070B1B"/>
    <w:rsid w:val="00071248"/>
    <w:rsid w:val="00071315"/>
    <w:rsid w:val="0007137F"/>
    <w:rsid w:val="00071F51"/>
    <w:rsid w:val="000720B9"/>
    <w:rsid w:val="00072634"/>
    <w:rsid w:val="00072D2F"/>
    <w:rsid w:val="00073551"/>
    <w:rsid w:val="00073A10"/>
    <w:rsid w:val="000740A1"/>
    <w:rsid w:val="000746CA"/>
    <w:rsid w:val="0007535A"/>
    <w:rsid w:val="000758A6"/>
    <w:rsid w:val="00075A12"/>
    <w:rsid w:val="000768EB"/>
    <w:rsid w:val="00076F72"/>
    <w:rsid w:val="000770F1"/>
    <w:rsid w:val="00077220"/>
    <w:rsid w:val="00080039"/>
    <w:rsid w:val="00080F6B"/>
    <w:rsid w:val="000812CA"/>
    <w:rsid w:val="00081331"/>
    <w:rsid w:val="000815C7"/>
    <w:rsid w:val="00081BFA"/>
    <w:rsid w:val="0008288E"/>
    <w:rsid w:val="00083344"/>
    <w:rsid w:val="000843A5"/>
    <w:rsid w:val="00084CFA"/>
    <w:rsid w:val="00085359"/>
    <w:rsid w:val="00085D2D"/>
    <w:rsid w:val="00086AA6"/>
    <w:rsid w:val="0008783A"/>
    <w:rsid w:val="00090C7E"/>
    <w:rsid w:val="00090F18"/>
    <w:rsid w:val="00091F89"/>
    <w:rsid w:val="00092118"/>
    <w:rsid w:val="000923E1"/>
    <w:rsid w:val="00092A82"/>
    <w:rsid w:val="000933A0"/>
    <w:rsid w:val="00094CAA"/>
    <w:rsid w:val="00095590"/>
    <w:rsid w:val="0009746F"/>
    <w:rsid w:val="00097B50"/>
    <w:rsid w:val="000A1377"/>
    <w:rsid w:val="000A3F3F"/>
    <w:rsid w:val="000A468C"/>
    <w:rsid w:val="000A46C2"/>
    <w:rsid w:val="000A66F1"/>
    <w:rsid w:val="000A78AE"/>
    <w:rsid w:val="000B1572"/>
    <w:rsid w:val="000B1718"/>
    <w:rsid w:val="000B30AD"/>
    <w:rsid w:val="000B3E3B"/>
    <w:rsid w:val="000B6E70"/>
    <w:rsid w:val="000C216D"/>
    <w:rsid w:val="000C2575"/>
    <w:rsid w:val="000C31F4"/>
    <w:rsid w:val="000C502A"/>
    <w:rsid w:val="000C63E5"/>
    <w:rsid w:val="000C6FDE"/>
    <w:rsid w:val="000C70BB"/>
    <w:rsid w:val="000C78E3"/>
    <w:rsid w:val="000D1A66"/>
    <w:rsid w:val="000D1BFC"/>
    <w:rsid w:val="000D2942"/>
    <w:rsid w:val="000D33EE"/>
    <w:rsid w:val="000D37C1"/>
    <w:rsid w:val="000D3F71"/>
    <w:rsid w:val="000D5DA2"/>
    <w:rsid w:val="000D756F"/>
    <w:rsid w:val="000E0065"/>
    <w:rsid w:val="000E1483"/>
    <w:rsid w:val="000E1A92"/>
    <w:rsid w:val="000E1BB7"/>
    <w:rsid w:val="000E1DEB"/>
    <w:rsid w:val="000E273F"/>
    <w:rsid w:val="000E3540"/>
    <w:rsid w:val="000E49E7"/>
    <w:rsid w:val="000E557E"/>
    <w:rsid w:val="000E5980"/>
    <w:rsid w:val="000E5B96"/>
    <w:rsid w:val="000E6D71"/>
    <w:rsid w:val="000E7380"/>
    <w:rsid w:val="000F34DF"/>
    <w:rsid w:val="000F3C02"/>
    <w:rsid w:val="000F41C1"/>
    <w:rsid w:val="000F4657"/>
    <w:rsid w:val="000F4682"/>
    <w:rsid w:val="000F4693"/>
    <w:rsid w:val="000F5D7A"/>
    <w:rsid w:val="000F606D"/>
    <w:rsid w:val="000F615C"/>
    <w:rsid w:val="000F7217"/>
    <w:rsid w:val="000F73E2"/>
    <w:rsid w:val="000F781B"/>
    <w:rsid w:val="00100F8A"/>
    <w:rsid w:val="001013F3"/>
    <w:rsid w:val="00101519"/>
    <w:rsid w:val="0010153C"/>
    <w:rsid w:val="00101B9F"/>
    <w:rsid w:val="001048B2"/>
    <w:rsid w:val="00104F85"/>
    <w:rsid w:val="0010501E"/>
    <w:rsid w:val="00105456"/>
    <w:rsid w:val="00105F78"/>
    <w:rsid w:val="001067EE"/>
    <w:rsid w:val="00107204"/>
    <w:rsid w:val="0010779E"/>
    <w:rsid w:val="00107EBD"/>
    <w:rsid w:val="0011032E"/>
    <w:rsid w:val="00111555"/>
    <w:rsid w:val="00113581"/>
    <w:rsid w:val="00113BF7"/>
    <w:rsid w:val="001143C3"/>
    <w:rsid w:val="00114568"/>
    <w:rsid w:val="0011542E"/>
    <w:rsid w:val="001154B5"/>
    <w:rsid w:val="00115ED8"/>
    <w:rsid w:val="00116163"/>
    <w:rsid w:val="00116CE2"/>
    <w:rsid w:val="00121799"/>
    <w:rsid w:val="00121A6E"/>
    <w:rsid w:val="00121D8B"/>
    <w:rsid w:val="001222FC"/>
    <w:rsid w:val="00122677"/>
    <w:rsid w:val="00122D17"/>
    <w:rsid w:val="00123863"/>
    <w:rsid w:val="0012386C"/>
    <w:rsid w:val="001249FC"/>
    <w:rsid w:val="00124A51"/>
    <w:rsid w:val="0012661E"/>
    <w:rsid w:val="00126621"/>
    <w:rsid w:val="00127742"/>
    <w:rsid w:val="00127D29"/>
    <w:rsid w:val="00127E69"/>
    <w:rsid w:val="001301AE"/>
    <w:rsid w:val="001301E9"/>
    <w:rsid w:val="00130D67"/>
    <w:rsid w:val="00132187"/>
    <w:rsid w:val="001323A8"/>
    <w:rsid w:val="00132AED"/>
    <w:rsid w:val="00132D75"/>
    <w:rsid w:val="00132E95"/>
    <w:rsid w:val="00136A4D"/>
    <w:rsid w:val="00136F24"/>
    <w:rsid w:val="00137645"/>
    <w:rsid w:val="0014015A"/>
    <w:rsid w:val="00140E99"/>
    <w:rsid w:val="00141A87"/>
    <w:rsid w:val="00144219"/>
    <w:rsid w:val="001448D8"/>
    <w:rsid w:val="00144C4D"/>
    <w:rsid w:val="001456B0"/>
    <w:rsid w:val="001456C1"/>
    <w:rsid w:val="001458DF"/>
    <w:rsid w:val="00147C10"/>
    <w:rsid w:val="00147C39"/>
    <w:rsid w:val="00151988"/>
    <w:rsid w:val="00151FD2"/>
    <w:rsid w:val="001520F2"/>
    <w:rsid w:val="00152F61"/>
    <w:rsid w:val="00153A36"/>
    <w:rsid w:val="00154888"/>
    <w:rsid w:val="001550A5"/>
    <w:rsid w:val="0015511B"/>
    <w:rsid w:val="001551C2"/>
    <w:rsid w:val="001553A4"/>
    <w:rsid w:val="00157130"/>
    <w:rsid w:val="00162913"/>
    <w:rsid w:val="001633BA"/>
    <w:rsid w:val="001635B6"/>
    <w:rsid w:val="00163EFF"/>
    <w:rsid w:val="00163F0F"/>
    <w:rsid w:val="00164BC7"/>
    <w:rsid w:val="00164ED4"/>
    <w:rsid w:val="00165F1E"/>
    <w:rsid w:val="001661FB"/>
    <w:rsid w:val="0017246B"/>
    <w:rsid w:val="00173C1E"/>
    <w:rsid w:val="00174628"/>
    <w:rsid w:val="001746A6"/>
    <w:rsid w:val="00177D5A"/>
    <w:rsid w:val="00177F31"/>
    <w:rsid w:val="001815E3"/>
    <w:rsid w:val="00182D37"/>
    <w:rsid w:val="001830EE"/>
    <w:rsid w:val="001845DA"/>
    <w:rsid w:val="00184777"/>
    <w:rsid w:val="00184F41"/>
    <w:rsid w:val="00186108"/>
    <w:rsid w:val="00186E58"/>
    <w:rsid w:val="00186FAA"/>
    <w:rsid w:val="00191986"/>
    <w:rsid w:val="00191A8E"/>
    <w:rsid w:val="00191ACD"/>
    <w:rsid w:val="001926CA"/>
    <w:rsid w:val="001938A2"/>
    <w:rsid w:val="00193A87"/>
    <w:rsid w:val="001944FE"/>
    <w:rsid w:val="00195222"/>
    <w:rsid w:val="001971A6"/>
    <w:rsid w:val="001971D7"/>
    <w:rsid w:val="001975D8"/>
    <w:rsid w:val="001A01D5"/>
    <w:rsid w:val="001A06BE"/>
    <w:rsid w:val="001A1FA4"/>
    <w:rsid w:val="001A2FAC"/>
    <w:rsid w:val="001A3094"/>
    <w:rsid w:val="001A32EB"/>
    <w:rsid w:val="001B05E0"/>
    <w:rsid w:val="001B23D1"/>
    <w:rsid w:val="001B23ED"/>
    <w:rsid w:val="001B27DF"/>
    <w:rsid w:val="001B2D68"/>
    <w:rsid w:val="001B3243"/>
    <w:rsid w:val="001B32D2"/>
    <w:rsid w:val="001B3443"/>
    <w:rsid w:val="001B3A59"/>
    <w:rsid w:val="001B3DAA"/>
    <w:rsid w:val="001B5E2E"/>
    <w:rsid w:val="001B6188"/>
    <w:rsid w:val="001B644B"/>
    <w:rsid w:val="001B6EE6"/>
    <w:rsid w:val="001B6FE6"/>
    <w:rsid w:val="001B7DCA"/>
    <w:rsid w:val="001C0948"/>
    <w:rsid w:val="001C0D27"/>
    <w:rsid w:val="001C1030"/>
    <w:rsid w:val="001C2FCF"/>
    <w:rsid w:val="001C64E3"/>
    <w:rsid w:val="001C6E66"/>
    <w:rsid w:val="001C6F90"/>
    <w:rsid w:val="001C74EB"/>
    <w:rsid w:val="001C7639"/>
    <w:rsid w:val="001C7D42"/>
    <w:rsid w:val="001D0420"/>
    <w:rsid w:val="001D0C69"/>
    <w:rsid w:val="001D0D62"/>
    <w:rsid w:val="001D0DD2"/>
    <w:rsid w:val="001D112E"/>
    <w:rsid w:val="001D218B"/>
    <w:rsid w:val="001D3EE1"/>
    <w:rsid w:val="001D420F"/>
    <w:rsid w:val="001D475E"/>
    <w:rsid w:val="001D6016"/>
    <w:rsid w:val="001D615A"/>
    <w:rsid w:val="001D6AE2"/>
    <w:rsid w:val="001D7D6B"/>
    <w:rsid w:val="001D7E44"/>
    <w:rsid w:val="001E08C1"/>
    <w:rsid w:val="001E0AD2"/>
    <w:rsid w:val="001E0DF0"/>
    <w:rsid w:val="001E1BBD"/>
    <w:rsid w:val="001E238E"/>
    <w:rsid w:val="001E2983"/>
    <w:rsid w:val="001E2B2D"/>
    <w:rsid w:val="001E2FE9"/>
    <w:rsid w:val="001E3BF2"/>
    <w:rsid w:val="001E3DCD"/>
    <w:rsid w:val="001E4CCE"/>
    <w:rsid w:val="001E52EB"/>
    <w:rsid w:val="001E6708"/>
    <w:rsid w:val="001E696E"/>
    <w:rsid w:val="001E740C"/>
    <w:rsid w:val="001E7435"/>
    <w:rsid w:val="001E77BC"/>
    <w:rsid w:val="001F0CF2"/>
    <w:rsid w:val="001F1235"/>
    <w:rsid w:val="001F192C"/>
    <w:rsid w:val="001F1A13"/>
    <w:rsid w:val="001F1BA4"/>
    <w:rsid w:val="001F1BB6"/>
    <w:rsid w:val="001F1CB3"/>
    <w:rsid w:val="001F1EAF"/>
    <w:rsid w:val="001F2E64"/>
    <w:rsid w:val="001F3CD6"/>
    <w:rsid w:val="001F5694"/>
    <w:rsid w:val="001F6922"/>
    <w:rsid w:val="001F69AD"/>
    <w:rsid w:val="001F7361"/>
    <w:rsid w:val="0020038B"/>
    <w:rsid w:val="0020045E"/>
    <w:rsid w:val="00200EEF"/>
    <w:rsid w:val="00201429"/>
    <w:rsid w:val="0020169A"/>
    <w:rsid w:val="00201ED8"/>
    <w:rsid w:val="0020234E"/>
    <w:rsid w:val="002025FE"/>
    <w:rsid w:val="0020655F"/>
    <w:rsid w:val="002102DC"/>
    <w:rsid w:val="002105C1"/>
    <w:rsid w:val="00210938"/>
    <w:rsid w:val="0021158A"/>
    <w:rsid w:val="00212ED3"/>
    <w:rsid w:val="00213130"/>
    <w:rsid w:val="00213818"/>
    <w:rsid w:val="00214ACD"/>
    <w:rsid w:val="00215F54"/>
    <w:rsid w:val="002170F1"/>
    <w:rsid w:val="0021732F"/>
    <w:rsid w:val="002174D7"/>
    <w:rsid w:val="002178E6"/>
    <w:rsid w:val="002204DC"/>
    <w:rsid w:val="00220600"/>
    <w:rsid w:val="0022096D"/>
    <w:rsid w:val="002209FE"/>
    <w:rsid w:val="0022228B"/>
    <w:rsid w:val="00222451"/>
    <w:rsid w:val="00223B49"/>
    <w:rsid w:val="00224DD4"/>
    <w:rsid w:val="00225627"/>
    <w:rsid w:val="002256AA"/>
    <w:rsid w:val="00225D6D"/>
    <w:rsid w:val="00226B30"/>
    <w:rsid w:val="002274E2"/>
    <w:rsid w:val="00227AE9"/>
    <w:rsid w:val="00230380"/>
    <w:rsid w:val="002303CD"/>
    <w:rsid w:val="002308EA"/>
    <w:rsid w:val="002309CC"/>
    <w:rsid w:val="00232983"/>
    <w:rsid w:val="002337E9"/>
    <w:rsid w:val="002339AC"/>
    <w:rsid w:val="00234571"/>
    <w:rsid w:val="002349A3"/>
    <w:rsid w:val="00235C6F"/>
    <w:rsid w:val="00235D97"/>
    <w:rsid w:val="00236507"/>
    <w:rsid w:val="002368D0"/>
    <w:rsid w:val="0023711E"/>
    <w:rsid w:val="002375E1"/>
    <w:rsid w:val="002376A7"/>
    <w:rsid w:val="00242404"/>
    <w:rsid w:val="00242E7F"/>
    <w:rsid w:val="00243874"/>
    <w:rsid w:val="002444A7"/>
    <w:rsid w:val="00244F4D"/>
    <w:rsid w:val="00247465"/>
    <w:rsid w:val="002479DB"/>
    <w:rsid w:val="00251C69"/>
    <w:rsid w:val="00252820"/>
    <w:rsid w:val="002529ED"/>
    <w:rsid w:val="00252C38"/>
    <w:rsid w:val="0025534B"/>
    <w:rsid w:val="00255BB7"/>
    <w:rsid w:val="00255F0C"/>
    <w:rsid w:val="00255F35"/>
    <w:rsid w:val="002570C5"/>
    <w:rsid w:val="002577F3"/>
    <w:rsid w:val="00257C2B"/>
    <w:rsid w:val="00260682"/>
    <w:rsid w:val="00260E84"/>
    <w:rsid w:val="002610B0"/>
    <w:rsid w:val="0026236B"/>
    <w:rsid w:val="00262A87"/>
    <w:rsid w:val="002646A7"/>
    <w:rsid w:val="002647A6"/>
    <w:rsid w:val="00265B43"/>
    <w:rsid w:val="0027000A"/>
    <w:rsid w:val="00270942"/>
    <w:rsid w:val="00272279"/>
    <w:rsid w:val="002727F8"/>
    <w:rsid w:val="00273C9F"/>
    <w:rsid w:val="00273FB5"/>
    <w:rsid w:val="00274B00"/>
    <w:rsid w:val="00275C5A"/>
    <w:rsid w:val="00276319"/>
    <w:rsid w:val="00280024"/>
    <w:rsid w:val="00280876"/>
    <w:rsid w:val="00280975"/>
    <w:rsid w:val="00280B03"/>
    <w:rsid w:val="00280C94"/>
    <w:rsid w:val="00281CF8"/>
    <w:rsid w:val="00282905"/>
    <w:rsid w:val="0028384A"/>
    <w:rsid w:val="00284431"/>
    <w:rsid w:val="002851BE"/>
    <w:rsid w:val="0028554B"/>
    <w:rsid w:val="00285C73"/>
    <w:rsid w:val="0028602D"/>
    <w:rsid w:val="002864F6"/>
    <w:rsid w:val="002868DF"/>
    <w:rsid w:val="002869F3"/>
    <w:rsid w:val="00286A7C"/>
    <w:rsid w:val="00287BF9"/>
    <w:rsid w:val="002909A4"/>
    <w:rsid w:val="00291B1F"/>
    <w:rsid w:val="00292065"/>
    <w:rsid w:val="002922FE"/>
    <w:rsid w:val="0029249A"/>
    <w:rsid w:val="00293395"/>
    <w:rsid w:val="002943B5"/>
    <w:rsid w:val="00294D3E"/>
    <w:rsid w:val="0029572D"/>
    <w:rsid w:val="00295F36"/>
    <w:rsid w:val="0029609E"/>
    <w:rsid w:val="00297253"/>
    <w:rsid w:val="00297648"/>
    <w:rsid w:val="002A084E"/>
    <w:rsid w:val="002A14AB"/>
    <w:rsid w:val="002A1595"/>
    <w:rsid w:val="002A1F93"/>
    <w:rsid w:val="002A22C6"/>
    <w:rsid w:val="002A2E25"/>
    <w:rsid w:val="002A342D"/>
    <w:rsid w:val="002A5206"/>
    <w:rsid w:val="002A5659"/>
    <w:rsid w:val="002A69DF"/>
    <w:rsid w:val="002A7AAD"/>
    <w:rsid w:val="002A7D32"/>
    <w:rsid w:val="002B0356"/>
    <w:rsid w:val="002B0651"/>
    <w:rsid w:val="002B0CC6"/>
    <w:rsid w:val="002B1164"/>
    <w:rsid w:val="002B13B6"/>
    <w:rsid w:val="002B1C1F"/>
    <w:rsid w:val="002B2201"/>
    <w:rsid w:val="002B241E"/>
    <w:rsid w:val="002B25F8"/>
    <w:rsid w:val="002B3902"/>
    <w:rsid w:val="002B432F"/>
    <w:rsid w:val="002B46FD"/>
    <w:rsid w:val="002B4807"/>
    <w:rsid w:val="002B4C71"/>
    <w:rsid w:val="002B5683"/>
    <w:rsid w:val="002B5B37"/>
    <w:rsid w:val="002B6CCE"/>
    <w:rsid w:val="002B750D"/>
    <w:rsid w:val="002B767C"/>
    <w:rsid w:val="002C1190"/>
    <w:rsid w:val="002C26D0"/>
    <w:rsid w:val="002C27C1"/>
    <w:rsid w:val="002C39C9"/>
    <w:rsid w:val="002C4E52"/>
    <w:rsid w:val="002D1F62"/>
    <w:rsid w:val="002D20CF"/>
    <w:rsid w:val="002D370B"/>
    <w:rsid w:val="002D393D"/>
    <w:rsid w:val="002D3DB0"/>
    <w:rsid w:val="002D4554"/>
    <w:rsid w:val="002D4C27"/>
    <w:rsid w:val="002D52EC"/>
    <w:rsid w:val="002D662B"/>
    <w:rsid w:val="002D7B2D"/>
    <w:rsid w:val="002E18C6"/>
    <w:rsid w:val="002E608D"/>
    <w:rsid w:val="002E6A32"/>
    <w:rsid w:val="002E6ECE"/>
    <w:rsid w:val="002E7824"/>
    <w:rsid w:val="002F02A4"/>
    <w:rsid w:val="002F0505"/>
    <w:rsid w:val="002F0D74"/>
    <w:rsid w:val="002F1340"/>
    <w:rsid w:val="002F1519"/>
    <w:rsid w:val="002F22E4"/>
    <w:rsid w:val="002F2722"/>
    <w:rsid w:val="002F27A2"/>
    <w:rsid w:val="002F3059"/>
    <w:rsid w:val="002F3424"/>
    <w:rsid w:val="002F3F28"/>
    <w:rsid w:val="002F3F59"/>
    <w:rsid w:val="002F4153"/>
    <w:rsid w:val="002F6413"/>
    <w:rsid w:val="002F6928"/>
    <w:rsid w:val="002F76F9"/>
    <w:rsid w:val="0030014F"/>
    <w:rsid w:val="00300891"/>
    <w:rsid w:val="00300F9D"/>
    <w:rsid w:val="00301017"/>
    <w:rsid w:val="00301E4F"/>
    <w:rsid w:val="00301EA1"/>
    <w:rsid w:val="00301EF3"/>
    <w:rsid w:val="00302A7B"/>
    <w:rsid w:val="003037E6"/>
    <w:rsid w:val="00304243"/>
    <w:rsid w:val="003054DF"/>
    <w:rsid w:val="00305C2E"/>
    <w:rsid w:val="003073CC"/>
    <w:rsid w:val="0030786C"/>
    <w:rsid w:val="00310017"/>
    <w:rsid w:val="0031031A"/>
    <w:rsid w:val="00310A02"/>
    <w:rsid w:val="00310F4F"/>
    <w:rsid w:val="003116C3"/>
    <w:rsid w:val="00314036"/>
    <w:rsid w:val="00314CE7"/>
    <w:rsid w:val="00315498"/>
    <w:rsid w:val="00315FF9"/>
    <w:rsid w:val="00316486"/>
    <w:rsid w:val="003166E4"/>
    <w:rsid w:val="00316C7D"/>
    <w:rsid w:val="00316D2D"/>
    <w:rsid w:val="00317AA8"/>
    <w:rsid w:val="00317ED3"/>
    <w:rsid w:val="0032083B"/>
    <w:rsid w:val="00320A85"/>
    <w:rsid w:val="00321585"/>
    <w:rsid w:val="003219B2"/>
    <w:rsid w:val="00321CDD"/>
    <w:rsid w:val="00322249"/>
    <w:rsid w:val="00322852"/>
    <w:rsid w:val="00323428"/>
    <w:rsid w:val="00323AC2"/>
    <w:rsid w:val="00323C20"/>
    <w:rsid w:val="00323C2B"/>
    <w:rsid w:val="003247A8"/>
    <w:rsid w:val="00324CFF"/>
    <w:rsid w:val="003264F6"/>
    <w:rsid w:val="00326B3A"/>
    <w:rsid w:val="003270B8"/>
    <w:rsid w:val="0032764F"/>
    <w:rsid w:val="0032788A"/>
    <w:rsid w:val="00330E2B"/>
    <w:rsid w:val="003310F5"/>
    <w:rsid w:val="0033121D"/>
    <w:rsid w:val="003328CB"/>
    <w:rsid w:val="0033295E"/>
    <w:rsid w:val="003335FE"/>
    <w:rsid w:val="0033473C"/>
    <w:rsid w:val="00334E5D"/>
    <w:rsid w:val="00335D8F"/>
    <w:rsid w:val="00335EA8"/>
    <w:rsid w:val="003366C9"/>
    <w:rsid w:val="00336779"/>
    <w:rsid w:val="00336D03"/>
    <w:rsid w:val="00340049"/>
    <w:rsid w:val="00340095"/>
    <w:rsid w:val="0034068E"/>
    <w:rsid w:val="00340A97"/>
    <w:rsid w:val="003429C3"/>
    <w:rsid w:val="00343611"/>
    <w:rsid w:val="003442C0"/>
    <w:rsid w:val="00345009"/>
    <w:rsid w:val="00346338"/>
    <w:rsid w:val="00346E61"/>
    <w:rsid w:val="00346E78"/>
    <w:rsid w:val="00350BE6"/>
    <w:rsid w:val="003511AA"/>
    <w:rsid w:val="00352BB3"/>
    <w:rsid w:val="00352D11"/>
    <w:rsid w:val="003533FD"/>
    <w:rsid w:val="00353780"/>
    <w:rsid w:val="00353F8E"/>
    <w:rsid w:val="003541D1"/>
    <w:rsid w:val="00354434"/>
    <w:rsid w:val="0035485F"/>
    <w:rsid w:val="00354F6A"/>
    <w:rsid w:val="00355628"/>
    <w:rsid w:val="00355E2C"/>
    <w:rsid w:val="0035614C"/>
    <w:rsid w:val="0035620E"/>
    <w:rsid w:val="00356823"/>
    <w:rsid w:val="0035686C"/>
    <w:rsid w:val="00356A27"/>
    <w:rsid w:val="00356BE9"/>
    <w:rsid w:val="00356FD9"/>
    <w:rsid w:val="00357829"/>
    <w:rsid w:val="003606C9"/>
    <w:rsid w:val="00360FE3"/>
    <w:rsid w:val="00363693"/>
    <w:rsid w:val="00364ABD"/>
    <w:rsid w:val="00365CF4"/>
    <w:rsid w:val="0036681D"/>
    <w:rsid w:val="00367D81"/>
    <w:rsid w:val="00372956"/>
    <w:rsid w:val="00373B60"/>
    <w:rsid w:val="00373DEF"/>
    <w:rsid w:val="00374763"/>
    <w:rsid w:val="00374A87"/>
    <w:rsid w:val="00374AA1"/>
    <w:rsid w:val="0037539C"/>
    <w:rsid w:val="0037688B"/>
    <w:rsid w:val="003779C4"/>
    <w:rsid w:val="0038035A"/>
    <w:rsid w:val="003808AB"/>
    <w:rsid w:val="0038250F"/>
    <w:rsid w:val="0038365C"/>
    <w:rsid w:val="003842CD"/>
    <w:rsid w:val="00384A12"/>
    <w:rsid w:val="00385062"/>
    <w:rsid w:val="003858BD"/>
    <w:rsid w:val="0038678C"/>
    <w:rsid w:val="00386951"/>
    <w:rsid w:val="00386AAA"/>
    <w:rsid w:val="00387BBC"/>
    <w:rsid w:val="00387CBB"/>
    <w:rsid w:val="00391394"/>
    <w:rsid w:val="0039339C"/>
    <w:rsid w:val="00393758"/>
    <w:rsid w:val="00393D97"/>
    <w:rsid w:val="00393F75"/>
    <w:rsid w:val="0039528D"/>
    <w:rsid w:val="00396FD0"/>
    <w:rsid w:val="003A022F"/>
    <w:rsid w:val="003A1372"/>
    <w:rsid w:val="003A1A7A"/>
    <w:rsid w:val="003A1C89"/>
    <w:rsid w:val="003A2C74"/>
    <w:rsid w:val="003A3765"/>
    <w:rsid w:val="003A4252"/>
    <w:rsid w:val="003A4B37"/>
    <w:rsid w:val="003A5E86"/>
    <w:rsid w:val="003A60AB"/>
    <w:rsid w:val="003A6555"/>
    <w:rsid w:val="003B08BD"/>
    <w:rsid w:val="003B0A62"/>
    <w:rsid w:val="003B0C9D"/>
    <w:rsid w:val="003B24FF"/>
    <w:rsid w:val="003B293E"/>
    <w:rsid w:val="003B4D5B"/>
    <w:rsid w:val="003C08DF"/>
    <w:rsid w:val="003C370C"/>
    <w:rsid w:val="003C4672"/>
    <w:rsid w:val="003C64DC"/>
    <w:rsid w:val="003C743C"/>
    <w:rsid w:val="003D039F"/>
    <w:rsid w:val="003D0FC5"/>
    <w:rsid w:val="003D1828"/>
    <w:rsid w:val="003D1A31"/>
    <w:rsid w:val="003D2422"/>
    <w:rsid w:val="003D26AC"/>
    <w:rsid w:val="003D2FDD"/>
    <w:rsid w:val="003D33AB"/>
    <w:rsid w:val="003D34D8"/>
    <w:rsid w:val="003D410B"/>
    <w:rsid w:val="003D4D31"/>
    <w:rsid w:val="003D4D70"/>
    <w:rsid w:val="003D5EED"/>
    <w:rsid w:val="003D627F"/>
    <w:rsid w:val="003D6905"/>
    <w:rsid w:val="003D6A01"/>
    <w:rsid w:val="003D6F80"/>
    <w:rsid w:val="003D71BF"/>
    <w:rsid w:val="003D739D"/>
    <w:rsid w:val="003D74E4"/>
    <w:rsid w:val="003E19A1"/>
    <w:rsid w:val="003E2BA5"/>
    <w:rsid w:val="003E3E97"/>
    <w:rsid w:val="003E4E34"/>
    <w:rsid w:val="003E4F99"/>
    <w:rsid w:val="003E6201"/>
    <w:rsid w:val="003E733D"/>
    <w:rsid w:val="003E7613"/>
    <w:rsid w:val="003F189D"/>
    <w:rsid w:val="003F1DBB"/>
    <w:rsid w:val="003F1E1A"/>
    <w:rsid w:val="003F1EAE"/>
    <w:rsid w:val="003F29CF"/>
    <w:rsid w:val="003F2DCD"/>
    <w:rsid w:val="003F3359"/>
    <w:rsid w:val="003F3E93"/>
    <w:rsid w:val="003F4156"/>
    <w:rsid w:val="003F4206"/>
    <w:rsid w:val="003F4D69"/>
    <w:rsid w:val="003F5FFA"/>
    <w:rsid w:val="003F6965"/>
    <w:rsid w:val="003F6AAF"/>
    <w:rsid w:val="003F7531"/>
    <w:rsid w:val="003F761B"/>
    <w:rsid w:val="003F768A"/>
    <w:rsid w:val="003F79AD"/>
    <w:rsid w:val="004004AA"/>
    <w:rsid w:val="00400A55"/>
    <w:rsid w:val="0040148A"/>
    <w:rsid w:val="004023B6"/>
    <w:rsid w:val="004036FA"/>
    <w:rsid w:val="00403C4A"/>
    <w:rsid w:val="00403EE0"/>
    <w:rsid w:val="0040441E"/>
    <w:rsid w:val="004050E3"/>
    <w:rsid w:val="00405700"/>
    <w:rsid w:val="004072E1"/>
    <w:rsid w:val="004079D5"/>
    <w:rsid w:val="00407CD7"/>
    <w:rsid w:val="00410255"/>
    <w:rsid w:val="004102AF"/>
    <w:rsid w:val="004109DA"/>
    <w:rsid w:val="00410EC7"/>
    <w:rsid w:val="00411C98"/>
    <w:rsid w:val="00412747"/>
    <w:rsid w:val="00413996"/>
    <w:rsid w:val="00414476"/>
    <w:rsid w:val="00414939"/>
    <w:rsid w:val="00414980"/>
    <w:rsid w:val="00415957"/>
    <w:rsid w:val="00417532"/>
    <w:rsid w:val="00420780"/>
    <w:rsid w:val="00420B42"/>
    <w:rsid w:val="00420B9F"/>
    <w:rsid w:val="0042291D"/>
    <w:rsid w:val="0042385C"/>
    <w:rsid w:val="00423B63"/>
    <w:rsid w:val="00424485"/>
    <w:rsid w:val="0042463D"/>
    <w:rsid w:val="00424C21"/>
    <w:rsid w:val="004258D6"/>
    <w:rsid w:val="00425CB2"/>
    <w:rsid w:val="00426E44"/>
    <w:rsid w:val="0042785E"/>
    <w:rsid w:val="00427BF5"/>
    <w:rsid w:val="004319F8"/>
    <w:rsid w:val="00432B29"/>
    <w:rsid w:val="004335B0"/>
    <w:rsid w:val="0043375A"/>
    <w:rsid w:val="00436935"/>
    <w:rsid w:val="0043694C"/>
    <w:rsid w:val="0043796F"/>
    <w:rsid w:val="00440F1C"/>
    <w:rsid w:val="00441603"/>
    <w:rsid w:val="00443179"/>
    <w:rsid w:val="0044359F"/>
    <w:rsid w:val="00443CF5"/>
    <w:rsid w:val="004440CD"/>
    <w:rsid w:val="00444272"/>
    <w:rsid w:val="004443A7"/>
    <w:rsid w:val="00444A53"/>
    <w:rsid w:val="00444F28"/>
    <w:rsid w:val="00445431"/>
    <w:rsid w:val="004464EB"/>
    <w:rsid w:val="00447B2B"/>
    <w:rsid w:val="0045062B"/>
    <w:rsid w:val="0045113D"/>
    <w:rsid w:val="00451D4B"/>
    <w:rsid w:val="004524F2"/>
    <w:rsid w:val="0045251B"/>
    <w:rsid w:val="0045326C"/>
    <w:rsid w:val="00454126"/>
    <w:rsid w:val="0045581A"/>
    <w:rsid w:val="00455D45"/>
    <w:rsid w:val="00455D51"/>
    <w:rsid w:val="00456875"/>
    <w:rsid w:val="004577CD"/>
    <w:rsid w:val="004607F1"/>
    <w:rsid w:val="004615D1"/>
    <w:rsid w:val="00461654"/>
    <w:rsid w:val="0046340F"/>
    <w:rsid w:val="00464595"/>
    <w:rsid w:val="004648CE"/>
    <w:rsid w:val="00465167"/>
    <w:rsid w:val="00466C8E"/>
    <w:rsid w:val="00467477"/>
    <w:rsid w:val="004705E2"/>
    <w:rsid w:val="00470819"/>
    <w:rsid w:val="00471267"/>
    <w:rsid w:val="00471641"/>
    <w:rsid w:val="00472359"/>
    <w:rsid w:val="00472C3A"/>
    <w:rsid w:val="0047456A"/>
    <w:rsid w:val="004749E7"/>
    <w:rsid w:val="0047550D"/>
    <w:rsid w:val="00476825"/>
    <w:rsid w:val="00476D91"/>
    <w:rsid w:val="00476EEA"/>
    <w:rsid w:val="004803D3"/>
    <w:rsid w:val="0048047D"/>
    <w:rsid w:val="00480571"/>
    <w:rsid w:val="004810AC"/>
    <w:rsid w:val="0048311F"/>
    <w:rsid w:val="00483330"/>
    <w:rsid w:val="00484DD1"/>
    <w:rsid w:val="00485608"/>
    <w:rsid w:val="00485A51"/>
    <w:rsid w:val="00485BEA"/>
    <w:rsid w:val="004867E2"/>
    <w:rsid w:val="004900A6"/>
    <w:rsid w:val="0049167A"/>
    <w:rsid w:val="00491B3A"/>
    <w:rsid w:val="00493B05"/>
    <w:rsid w:val="00493C7E"/>
    <w:rsid w:val="00494582"/>
    <w:rsid w:val="00494C48"/>
    <w:rsid w:val="0049649C"/>
    <w:rsid w:val="004964F7"/>
    <w:rsid w:val="00496AA1"/>
    <w:rsid w:val="0049716D"/>
    <w:rsid w:val="00497D5E"/>
    <w:rsid w:val="00497F10"/>
    <w:rsid w:val="004A079D"/>
    <w:rsid w:val="004A0DA1"/>
    <w:rsid w:val="004A369E"/>
    <w:rsid w:val="004A38C0"/>
    <w:rsid w:val="004A440D"/>
    <w:rsid w:val="004A45CF"/>
    <w:rsid w:val="004A5FFA"/>
    <w:rsid w:val="004A6597"/>
    <w:rsid w:val="004A66EC"/>
    <w:rsid w:val="004A6E14"/>
    <w:rsid w:val="004A7338"/>
    <w:rsid w:val="004B06E2"/>
    <w:rsid w:val="004B0B39"/>
    <w:rsid w:val="004B2F18"/>
    <w:rsid w:val="004B3DDB"/>
    <w:rsid w:val="004B44FD"/>
    <w:rsid w:val="004B4FB3"/>
    <w:rsid w:val="004B52BE"/>
    <w:rsid w:val="004B591C"/>
    <w:rsid w:val="004B5B6C"/>
    <w:rsid w:val="004B5CFC"/>
    <w:rsid w:val="004B5F1A"/>
    <w:rsid w:val="004B7662"/>
    <w:rsid w:val="004B7A27"/>
    <w:rsid w:val="004C02C3"/>
    <w:rsid w:val="004C09E5"/>
    <w:rsid w:val="004C0A23"/>
    <w:rsid w:val="004C1454"/>
    <w:rsid w:val="004C264C"/>
    <w:rsid w:val="004C2D24"/>
    <w:rsid w:val="004C3F98"/>
    <w:rsid w:val="004C460E"/>
    <w:rsid w:val="004C4AED"/>
    <w:rsid w:val="004C740B"/>
    <w:rsid w:val="004C7EA0"/>
    <w:rsid w:val="004D06B5"/>
    <w:rsid w:val="004D0C4C"/>
    <w:rsid w:val="004D1048"/>
    <w:rsid w:val="004D210A"/>
    <w:rsid w:val="004D2B00"/>
    <w:rsid w:val="004D3205"/>
    <w:rsid w:val="004D4D60"/>
    <w:rsid w:val="004D5093"/>
    <w:rsid w:val="004D54C9"/>
    <w:rsid w:val="004E0172"/>
    <w:rsid w:val="004E0C77"/>
    <w:rsid w:val="004E0EB8"/>
    <w:rsid w:val="004E11B6"/>
    <w:rsid w:val="004E1274"/>
    <w:rsid w:val="004E27BF"/>
    <w:rsid w:val="004E2ADC"/>
    <w:rsid w:val="004E2C79"/>
    <w:rsid w:val="004E3D37"/>
    <w:rsid w:val="004E5099"/>
    <w:rsid w:val="004E54F7"/>
    <w:rsid w:val="004E5578"/>
    <w:rsid w:val="004E5808"/>
    <w:rsid w:val="004E615A"/>
    <w:rsid w:val="004E68CC"/>
    <w:rsid w:val="004F1D02"/>
    <w:rsid w:val="004F2029"/>
    <w:rsid w:val="004F2679"/>
    <w:rsid w:val="004F2ED2"/>
    <w:rsid w:val="004F2F2E"/>
    <w:rsid w:val="004F3545"/>
    <w:rsid w:val="004F392E"/>
    <w:rsid w:val="004F3FE5"/>
    <w:rsid w:val="004F4C1E"/>
    <w:rsid w:val="004F768B"/>
    <w:rsid w:val="004F7988"/>
    <w:rsid w:val="004F7AAB"/>
    <w:rsid w:val="0050084A"/>
    <w:rsid w:val="005012BE"/>
    <w:rsid w:val="00502971"/>
    <w:rsid w:val="00504703"/>
    <w:rsid w:val="00506ACC"/>
    <w:rsid w:val="00506D47"/>
    <w:rsid w:val="00506E16"/>
    <w:rsid w:val="00507B3D"/>
    <w:rsid w:val="00511BC0"/>
    <w:rsid w:val="00512BB7"/>
    <w:rsid w:val="00513F16"/>
    <w:rsid w:val="00514CFF"/>
    <w:rsid w:val="005152B5"/>
    <w:rsid w:val="005153F0"/>
    <w:rsid w:val="0051567E"/>
    <w:rsid w:val="00516BDA"/>
    <w:rsid w:val="00517538"/>
    <w:rsid w:val="005178C7"/>
    <w:rsid w:val="00521319"/>
    <w:rsid w:val="00521821"/>
    <w:rsid w:val="00522679"/>
    <w:rsid w:val="00522A51"/>
    <w:rsid w:val="0052311E"/>
    <w:rsid w:val="00523C28"/>
    <w:rsid w:val="005249BE"/>
    <w:rsid w:val="00530371"/>
    <w:rsid w:val="00530AE3"/>
    <w:rsid w:val="005310BA"/>
    <w:rsid w:val="00533074"/>
    <w:rsid w:val="0053320C"/>
    <w:rsid w:val="005337C0"/>
    <w:rsid w:val="005345A5"/>
    <w:rsid w:val="005346C2"/>
    <w:rsid w:val="00535D44"/>
    <w:rsid w:val="00536498"/>
    <w:rsid w:val="00537ABC"/>
    <w:rsid w:val="0054026E"/>
    <w:rsid w:val="00541F29"/>
    <w:rsid w:val="00543387"/>
    <w:rsid w:val="005449F1"/>
    <w:rsid w:val="00544A08"/>
    <w:rsid w:val="005452E9"/>
    <w:rsid w:val="005456E6"/>
    <w:rsid w:val="005458B2"/>
    <w:rsid w:val="00545A8A"/>
    <w:rsid w:val="0054676A"/>
    <w:rsid w:val="005503E8"/>
    <w:rsid w:val="00550777"/>
    <w:rsid w:val="0055086C"/>
    <w:rsid w:val="0055200F"/>
    <w:rsid w:val="005545C5"/>
    <w:rsid w:val="00555109"/>
    <w:rsid w:val="00555F97"/>
    <w:rsid w:val="005560EF"/>
    <w:rsid w:val="00556B8B"/>
    <w:rsid w:val="0055732E"/>
    <w:rsid w:val="00557677"/>
    <w:rsid w:val="0056050A"/>
    <w:rsid w:val="00560F1A"/>
    <w:rsid w:val="005614BB"/>
    <w:rsid w:val="0056276A"/>
    <w:rsid w:val="00562F49"/>
    <w:rsid w:val="005638FC"/>
    <w:rsid w:val="00564AD4"/>
    <w:rsid w:val="00565027"/>
    <w:rsid w:val="00565A5A"/>
    <w:rsid w:val="00566698"/>
    <w:rsid w:val="0056696F"/>
    <w:rsid w:val="00566F07"/>
    <w:rsid w:val="0056703E"/>
    <w:rsid w:val="0056710D"/>
    <w:rsid w:val="00567114"/>
    <w:rsid w:val="005706F7"/>
    <w:rsid w:val="00571F2E"/>
    <w:rsid w:val="00575F5A"/>
    <w:rsid w:val="00576838"/>
    <w:rsid w:val="00576972"/>
    <w:rsid w:val="00577717"/>
    <w:rsid w:val="005801E9"/>
    <w:rsid w:val="00580329"/>
    <w:rsid w:val="0058227B"/>
    <w:rsid w:val="00583699"/>
    <w:rsid w:val="0058522B"/>
    <w:rsid w:val="00585A82"/>
    <w:rsid w:val="00585D31"/>
    <w:rsid w:val="005900D5"/>
    <w:rsid w:val="005915CE"/>
    <w:rsid w:val="005924E8"/>
    <w:rsid w:val="00592620"/>
    <w:rsid w:val="005960CD"/>
    <w:rsid w:val="005966C6"/>
    <w:rsid w:val="00597CF1"/>
    <w:rsid w:val="00597F0D"/>
    <w:rsid w:val="005A12F4"/>
    <w:rsid w:val="005A1975"/>
    <w:rsid w:val="005A2A83"/>
    <w:rsid w:val="005A45DE"/>
    <w:rsid w:val="005A468D"/>
    <w:rsid w:val="005A4A81"/>
    <w:rsid w:val="005A503B"/>
    <w:rsid w:val="005B0E26"/>
    <w:rsid w:val="005B2DCC"/>
    <w:rsid w:val="005B3A98"/>
    <w:rsid w:val="005B3FD2"/>
    <w:rsid w:val="005B4A7B"/>
    <w:rsid w:val="005B5857"/>
    <w:rsid w:val="005B5B41"/>
    <w:rsid w:val="005B5D22"/>
    <w:rsid w:val="005B6015"/>
    <w:rsid w:val="005B66B3"/>
    <w:rsid w:val="005B7136"/>
    <w:rsid w:val="005B7F06"/>
    <w:rsid w:val="005C0037"/>
    <w:rsid w:val="005C0728"/>
    <w:rsid w:val="005C1466"/>
    <w:rsid w:val="005C1643"/>
    <w:rsid w:val="005C1B83"/>
    <w:rsid w:val="005C2492"/>
    <w:rsid w:val="005C346B"/>
    <w:rsid w:val="005C5A6A"/>
    <w:rsid w:val="005C63A8"/>
    <w:rsid w:val="005C66D8"/>
    <w:rsid w:val="005C7E88"/>
    <w:rsid w:val="005C7E91"/>
    <w:rsid w:val="005D09CA"/>
    <w:rsid w:val="005D1253"/>
    <w:rsid w:val="005D18AD"/>
    <w:rsid w:val="005D1939"/>
    <w:rsid w:val="005D2642"/>
    <w:rsid w:val="005D3589"/>
    <w:rsid w:val="005D55A1"/>
    <w:rsid w:val="005D66D5"/>
    <w:rsid w:val="005D7E3E"/>
    <w:rsid w:val="005E03A8"/>
    <w:rsid w:val="005E0764"/>
    <w:rsid w:val="005E1A95"/>
    <w:rsid w:val="005E1FE0"/>
    <w:rsid w:val="005E3A6D"/>
    <w:rsid w:val="005E4317"/>
    <w:rsid w:val="005E4346"/>
    <w:rsid w:val="005E5490"/>
    <w:rsid w:val="005E5767"/>
    <w:rsid w:val="005E63FF"/>
    <w:rsid w:val="005E68F7"/>
    <w:rsid w:val="005E7F98"/>
    <w:rsid w:val="005F19E8"/>
    <w:rsid w:val="005F2499"/>
    <w:rsid w:val="005F2706"/>
    <w:rsid w:val="005F33AF"/>
    <w:rsid w:val="005F3BAA"/>
    <w:rsid w:val="005F41E8"/>
    <w:rsid w:val="005F455F"/>
    <w:rsid w:val="005F5D8A"/>
    <w:rsid w:val="005F6A8F"/>
    <w:rsid w:val="006003EB"/>
    <w:rsid w:val="00600BB1"/>
    <w:rsid w:val="00602BFD"/>
    <w:rsid w:val="00602E12"/>
    <w:rsid w:val="00603181"/>
    <w:rsid w:val="00603F81"/>
    <w:rsid w:val="00604C54"/>
    <w:rsid w:val="00604CBF"/>
    <w:rsid w:val="0060526F"/>
    <w:rsid w:val="00606261"/>
    <w:rsid w:val="00607669"/>
    <w:rsid w:val="00607BF1"/>
    <w:rsid w:val="00607E92"/>
    <w:rsid w:val="0061169E"/>
    <w:rsid w:val="00612237"/>
    <w:rsid w:val="006129E1"/>
    <w:rsid w:val="00612F97"/>
    <w:rsid w:val="00613D35"/>
    <w:rsid w:val="00613D36"/>
    <w:rsid w:val="00613E0A"/>
    <w:rsid w:val="00614268"/>
    <w:rsid w:val="006152DA"/>
    <w:rsid w:val="00615A88"/>
    <w:rsid w:val="00616802"/>
    <w:rsid w:val="00616ABA"/>
    <w:rsid w:val="00616B37"/>
    <w:rsid w:val="00617E12"/>
    <w:rsid w:val="00620D6E"/>
    <w:rsid w:val="00620E4D"/>
    <w:rsid w:val="006212D9"/>
    <w:rsid w:val="00621477"/>
    <w:rsid w:val="00621975"/>
    <w:rsid w:val="00621A43"/>
    <w:rsid w:val="00621EA8"/>
    <w:rsid w:val="00622B68"/>
    <w:rsid w:val="00622ED9"/>
    <w:rsid w:val="006259EA"/>
    <w:rsid w:val="00626D47"/>
    <w:rsid w:val="00626ED1"/>
    <w:rsid w:val="006270BC"/>
    <w:rsid w:val="00627E93"/>
    <w:rsid w:val="00630904"/>
    <w:rsid w:val="00631D6B"/>
    <w:rsid w:val="006340E5"/>
    <w:rsid w:val="00634579"/>
    <w:rsid w:val="0063479F"/>
    <w:rsid w:val="00635D95"/>
    <w:rsid w:val="006364A1"/>
    <w:rsid w:val="0063789B"/>
    <w:rsid w:val="00637B74"/>
    <w:rsid w:val="00637BFD"/>
    <w:rsid w:val="00640414"/>
    <w:rsid w:val="00641554"/>
    <w:rsid w:val="00643495"/>
    <w:rsid w:val="006442B9"/>
    <w:rsid w:val="00646936"/>
    <w:rsid w:val="006471CC"/>
    <w:rsid w:val="006503DD"/>
    <w:rsid w:val="0065079F"/>
    <w:rsid w:val="00651072"/>
    <w:rsid w:val="006510D6"/>
    <w:rsid w:val="00651861"/>
    <w:rsid w:val="00651D0E"/>
    <w:rsid w:val="00652860"/>
    <w:rsid w:val="0065303B"/>
    <w:rsid w:val="006535E2"/>
    <w:rsid w:val="00653A21"/>
    <w:rsid w:val="00654284"/>
    <w:rsid w:val="00656CA7"/>
    <w:rsid w:val="006574A1"/>
    <w:rsid w:val="00657C2F"/>
    <w:rsid w:val="00660233"/>
    <w:rsid w:val="0066176D"/>
    <w:rsid w:val="006631A7"/>
    <w:rsid w:val="006634AF"/>
    <w:rsid w:val="006646EA"/>
    <w:rsid w:val="0066502E"/>
    <w:rsid w:val="0067257F"/>
    <w:rsid w:val="00672E66"/>
    <w:rsid w:val="0067351F"/>
    <w:rsid w:val="00674295"/>
    <w:rsid w:val="0067491F"/>
    <w:rsid w:val="00674E42"/>
    <w:rsid w:val="006758D1"/>
    <w:rsid w:val="006764DA"/>
    <w:rsid w:val="00677CFA"/>
    <w:rsid w:val="006806D5"/>
    <w:rsid w:val="006812FF"/>
    <w:rsid w:val="0068178B"/>
    <w:rsid w:val="00681B7D"/>
    <w:rsid w:val="00682112"/>
    <w:rsid w:val="006823BD"/>
    <w:rsid w:val="006826DF"/>
    <w:rsid w:val="00682810"/>
    <w:rsid w:val="006829F5"/>
    <w:rsid w:val="00682E57"/>
    <w:rsid w:val="00684FBA"/>
    <w:rsid w:val="00685424"/>
    <w:rsid w:val="00685434"/>
    <w:rsid w:val="006857A1"/>
    <w:rsid w:val="0068652D"/>
    <w:rsid w:val="00690F42"/>
    <w:rsid w:val="0069129A"/>
    <w:rsid w:val="00691D0A"/>
    <w:rsid w:val="0069208E"/>
    <w:rsid w:val="00693A0F"/>
    <w:rsid w:val="00693E36"/>
    <w:rsid w:val="00694F44"/>
    <w:rsid w:val="006966EF"/>
    <w:rsid w:val="0069731C"/>
    <w:rsid w:val="006979AE"/>
    <w:rsid w:val="00697ACB"/>
    <w:rsid w:val="00697C43"/>
    <w:rsid w:val="006A1260"/>
    <w:rsid w:val="006A2D77"/>
    <w:rsid w:val="006A44F1"/>
    <w:rsid w:val="006A4889"/>
    <w:rsid w:val="006A50E0"/>
    <w:rsid w:val="006A541D"/>
    <w:rsid w:val="006A5B43"/>
    <w:rsid w:val="006A7CB5"/>
    <w:rsid w:val="006B0E38"/>
    <w:rsid w:val="006B2D80"/>
    <w:rsid w:val="006B2E8B"/>
    <w:rsid w:val="006B31C9"/>
    <w:rsid w:val="006B7A93"/>
    <w:rsid w:val="006C12AD"/>
    <w:rsid w:val="006C2A8E"/>
    <w:rsid w:val="006C2C18"/>
    <w:rsid w:val="006C2EA0"/>
    <w:rsid w:val="006C3D61"/>
    <w:rsid w:val="006C451B"/>
    <w:rsid w:val="006C5523"/>
    <w:rsid w:val="006C5869"/>
    <w:rsid w:val="006C687E"/>
    <w:rsid w:val="006C77B4"/>
    <w:rsid w:val="006D052D"/>
    <w:rsid w:val="006D1F5D"/>
    <w:rsid w:val="006D3C7D"/>
    <w:rsid w:val="006D524E"/>
    <w:rsid w:val="006D67AD"/>
    <w:rsid w:val="006D784F"/>
    <w:rsid w:val="006D7A6C"/>
    <w:rsid w:val="006E04DA"/>
    <w:rsid w:val="006E095D"/>
    <w:rsid w:val="006E0CAD"/>
    <w:rsid w:val="006E0EF8"/>
    <w:rsid w:val="006E1B9B"/>
    <w:rsid w:val="006E265D"/>
    <w:rsid w:val="006F18D4"/>
    <w:rsid w:val="006F34D6"/>
    <w:rsid w:val="006F3F8A"/>
    <w:rsid w:val="006F459D"/>
    <w:rsid w:val="006F4E70"/>
    <w:rsid w:val="006F61B0"/>
    <w:rsid w:val="006F63A5"/>
    <w:rsid w:val="00700AA8"/>
    <w:rsid w:val="00702132"/>
    <w:rsid w:val="0070276E"/>
    <w:rsid w:val="00702F30"/>
    <w:rsid w:val="00703EE8"/>
    <w:rsid w:val="00704173"/>
    <w:rsid w:val="007046FF"/>
    <w:rsid w:val="00705630"/>
    <w:rsid w:val="00705BC4"/>
    <w:rsid w:val="007066E1"/>
    <w:rsid w:val="0070790B"/>
    <w:rsid w:val="00710E91"/>
    <w:rsid w:val="00711A36"/>
    <w:rsid w:val="00711D0B"/>
    <w:rsid w:val="00712C69"/>
    <w:rsid w:val="00712E26"/>
    <w:rsid w:val="0071390E"/>
    <w:rsid w:val="00714045"/>
    <w:rsid w:val="00714940"/>
    <w:rsid w:val="00715530"/>
    <w:rsid w:val="00715ADC"/>
    <w:rsid w:val="00716C84"/>
    <w:rsid w:val="00716FED"/>
    <w:rsid w:val="007172AD"/>
    <w:rsid w:val="007174D4"/>
    <w:rsid w:val="00720583"/>
    <w:rsid w:val="00720694"/>
    <w:rsid w:val="007214B0"/>
    <w:rsid w:val="00721614"/>
    <w:rsid w:val="00721685"/>
    <w:rsid w:val="0072254A"/>
    <w:rsid w:val="0072367E"/>
    <w:rsid w:val="00725136"/>
    <w:rsid w:val="00725CC2"/>
    <w:rsid w:val="007265FB"/>
    <w:rsid w:val="007269CF"/>
    <w:rsid w:val="00726FA5"/>
    <w:rsid w:val="0073006B"/>
    <w:rsid w:val="00732550"/>
    <w:rsid w:val="00732DA2"/>
    <w:rsid w:val="00732E28"/>
    <w:rsid w:val="00732F79"/>
    <w:rsid w:val="00733918"/>
    <w:rsid w:val="00733D14"/>
    <w:rsid w:val="00734DFC"/>
    <w:rsid w:val="00735328"/>
    <w:rsid w:val="007356F3"/>
    <w:rsid w:val="00735D84"/>
    <w:rsid w:val="0073685B"/>
    <w:rsid w:val="0073733B"/>
    <w:rsid w:val="00741B04"/>
    <w:rsid w:val="00741CF2"/>
    <w:rsid w:val="0074216D"/>
    <w:rsid w:val="007444D1"/>
    <w:rsid w:val="007456ED"/>
    <w:rsid w:val="00745C4E"/>
    <w:rsid w:val="00746B67"/>
    <w:rsid w:val="007474AD"/>
    <w:rsid w:val="00750E92"/>
    <w:rsid w:val="00750FAA"/>
    <w:rsid w:val="007510AD"/>
    <w:rsid w:val="007523A6"/>
    <w:rsid w:val="00753F2D"/>
    <w:rsid w:val="00754486"/>
    <w:rsid w:val="00756089"/>
    <w:rsid w:val="0075618F"/>
    <w:rsid w:val="0075630F"/>
    <w:rsid w:val="007575FE"/>
    <w:rsid w:val="00760671"/>
    <w:rsid w:val="007615AD"/>
    <w:rsid w:val="00764C30"/>
    <w:rsid w:val="0076528C"/>
    <w:rsid w:val="00766330"/>
    <w:rsid w:val="00766615"/>
    <w:rsid w:val="007675D2"/>
    <w:rsid w:val="00767D38"/>
    <w:rsid w:val="00767DEE"/>
    <w:rsid w:val="00772069"/>
    <w:rsid w:val="00772A68"/>
    <w:rsid w:val="007731B2"/>
    <w:rsid w:val="007731C7"/>
    <w:rsid w:val="00774595"/>
    <w:rsid w:val="00774CDC"/>
    <w:rsid w:val="00782C22"/>
    <w:rsid w:val="007840D2"/>
    <w:rsid w:val="0078520B"/>
    <w:rsid w:val="007855D7"/>
    <w:rsid w:val="00785944"/>
    <w:rsid w:val="00785AD7"/>
    <w:rsid w:val="00787487"/>
    <w:rsid w:val="00787A06"/>
    <w:rsid w:val="00787ACC"/>
    <w:rsid w:val="00791621"/>
    <w:rsid w:val="00793F34"/>
    <w:rsid w:val="00795041"/>
    <w:rsid w:val="0079610C"/>
    <w:rsid w:val="00796CA4"/>
    <w:rsid w:val="007A0558"/>
    <w:rsid w:val="007A09B8"/>
    <w:rsid w:val="007A173A"/>
    <w:rsid w:val="007A271B"/>
    <w:rsid w:val="007A288C"/>
    <w:rsid w:val="007A2DD1"/>
    <w:rsid w:val="007A30D5"/>
    <w:rsid w:val="007A5124"/>
    <w:rsid w:val="007A7D1F"/>
    <w:rsid w:val="007B1B87"/>
    <w:rsid w:val="007B21B4"/>
    <w:rsid w:val="007B251D"/>
    <w:rsid w:val="007B4405"/>
    <w:rsid w:val="007B46E4"/>
    <w:rsid w:val="007B5AD1"/>
    <w:rsid w:val="007B608C"/>
    <w:rsid w:val="007B75C9"/>
    <w:rsid w:val="007B77D1"/>
    <w:rsid w:val="007C06FB"/>
    <w:rsid w:val="007C08FA"/>
    <w:rsid w:val="007C09DC"/>
    <w:rsid w:val="007C19C7"/>
    <w:rsid w:val="007C1D6C"/>
    <w:rsid w:val="007C2E2D"/>
    <w:rsid w:val="007C2EE5"/>
    <w:rsid w:val="007C386B"/>
    <w:rsid w:val="007C3B21"/>
    <w:rsid w:val="007C4CF0"/>
    <w:rsid w:val="007C4E50"/>
    <w:rsid w:val="007C5052"/>
    <w:rsid w:val="007C7153"/>
    <w:rsid w:val="007C71DF"/>
    <w:rsid w:val="007C7335"/>
    <w:rsid w:val="007C77BA"/>
    <w:rsid w:val="007C77F3"/>
    <w:rsid w:val="007C7FF4"/>
    <w:rsid w:val="007D0056"/>
    <w:rsid w:val="007D0B38"/>
    <w:rsid w:val="007D251D"/>
    <w:rsid w:val="007D2566"/>
    <w:rsid w:val="007D2E49"/>
    <w:rsid w:val="007D2F80"/>
    <w:rsid w:val="007D3FE3"/>
    <w:rsid w:val="007D4361"/>
    <w:rsid w:val="007D4CB2"/>
    <w:rsid w:val="007D57A2"/>
    <w:rsid w:val="007D5B1C"/>
    <w:rsid w:val="007D6C9F"/>
    <w:rsid w:val="007E049E"/>
    <w:rsid w:val="007E0D19"/>
    <w:rsid w:val="007E1296"/>
    <w:rsid w:val="007E2D5B"/>
    <w:rsid w:val="007E4BC9"/>
    <w:rsid w:val="007E578B"/>
    <w:rsid w:val="007E57B8"/>
    <w:rsid w:val="007E77B7"/>
    <w:rsid w:val="007E7DC9"/>
    <w:rsid w:val="007F0226"/>
    <w:rsid w:val="007F0B46"/>
    <w:rsid w:val="007F1017"/>
    <w:rsid w:val="007F1CD9"/>
    <w:rsid w:val="007F1E2C"/>
    <w:rsid w:val="007F2D77"/>
    <w:rsid w:val="007F34DD"/>
    <w:rsid w:val="007F37E8"/>
    <w:rsid w:val="007F3F6B"/>
    <w:rsid w:val="007F4133"/>
    <w:rsid w:val="007F4A3F"/>
    <w:rsid w:val="007F4BE2"/>
    <w:rsid w:val="0080023F"/>
    <w:rsid w:val="008014B1"/>
    <w:rsid w:val="00801B9E"/>
    <w:rsid w:val="00801BA2"/>
    <w:rsid w:val="00801EF8"/>
    <w:rsid w:val="0080221B"/>
    <w:rsid w:val="00802923"/>
    <w:rsid w:val="00802C3B"/>
    <w:rsid w:val="00802C56"/>
    <w:rsid w:val="0080415C"/>
    <w:rsid w:val="00805142"/>
    <w:rsid w:val="0080525C"/>
    <w:rsid w:val="00806172"/>
    <w:rsid w:val="00806643"/>
    <w:rsid w:val="00807407"/>
    <w:rsid w:val="008079A4"/>
    <w:rsid w:val="00807A8B"/>
    <w:rsid w:val="008112AD"/>
    <w:rsid w:val="008116B5"/>
    <w:rsid w:val="00811864"/>
    <w:rsid w:val="00811F57"/>
    <w:rsid w:val="00812149"/>
    <w:rsid w:val="00813284"/>
    <w:rsid w:val="00814226"/>
    <w:rsid w:val="00815F85"/>
    <w:rsid w:val="008166EF"/>
    <w:rsid w:val="00816F9F"/>
    <w:rsid w:val="0081778E"/>
    <w:rsid w:val="00817D7A"/>
    <w:rsid w:val="00820688"/>
    <w:rsid w:val="00820F82"/>
    <w:rsid w:val="00821678"/>
    <w:rsid w:val="0082243F"/>
    <w:rsid w:val="00822BCA"/>
    <w:rsid w:val="00823FEB"/>
    <w:rsid w:val="00824B1F"/>
    <w:rsid w:val="00824ED7"/>
    <w:rsid w:val="0082550D"/>
    <w:rsid w:val="008264EB"/>
    <w:rsid w:val="008265B9"/>
    <w:rsid w:val="00826F57"/>
    <w:rsid w:val="00827A28"/>
    <w:rsid w:val="00827A4D"/>
    <w:rsid w:val="00831406"/>
    <w:rsid w:val="008323A8"/>
    <w:rsid w:val="00832AB6"/>
    <w:rsid w:val="00832F14"/>
    <w:rsid w:val="00833473"/>
    <w:rsid w:val="008343DC"/>
    <w:rsid w:val="00835318"/>
    <w:rsid w:val="00840492"/>
    <w:rsid w:val="00840BA4"/>
    <w:rsid w:val="00840CA2"/>
    <w:rsid w:val="0084149D"/>
    <w:rsid w:val="00842100"/>
    <w:rsid w:val="00842E7E"/>
    <w:rsid w:val="00843381"/>
    <w:rsid w:val="00843F09"/>
    <w:rsid w:val="008451A6"/>
    <w:rsid w:val="00845DC0"/>
    <w:rsid w:val="00847075"/>
    <w:rsid w:val="008507C5"/>
    <w:rsid w:val="008518AB"/>
    <w:rsid w:val="00851EE1"/>
    <w:rsid w:val="008526FE"/>
    <w:rsid w:val="00852937"/>
    <w:rsid w:val="00852A26"/>
    <w:rsid w:val="00853AB7"/>
    <w:rsid w:val="008547AF"/>
    <w:rsid w:val="00855CA5"/>
    <w:rsid w:val="008561C1"/>
    <w:rsid w:val="00856E9A"/>
    <w:rsid w:val="00860E1C"/>
    <w:rsid w:val="00862352"/>
    <w:rsid w:val="0086334C"/>
    <w:rsid w:val="00863CB8"/>
    <w:rsid w:val="008640A6"/>
    <w:rsid w:val="00865DA1"/>
    <w:rsid w:val="008664FB"/>
    <w:rsid w:val="0086690E"/>
    <w:rsid w:val="008675EA"/>
    <w:rsid w:val="00867B66"/>
    <w:rsid w:val="00867CA6"/>
    <w:rsid w:val="00870C5C"/>
    <w:rsid w:val="00870FE4"/>
    <w:rsid w:val="00871F9E"/>
    <w:rsid w:val="00872BA5"/>
    <w:rsid w:val="008730A9"/>
    <w:rsid w:val="00876770"/>
    <w:rsid w:val="0088058A"/>
    <w:rsid w:val="00880884"/>
    <w:rsid w:val="00882371"/>
    <w:rsid w:val="00882874"/>
    <w:rsid w:val="00883455"/>
    <w:rsid w:val="00883787"/>
    <w:rsid w:val="0088386A"/>
    <w:rsid w:val="00883D33"/>
    <w:rsid w:val="00884249"/>
    <w:rsid w:val="00884E1A"/>
    <w:rsid w:val="008852C7"/>
    <w:rsid w:val="0088550C"/>
    <w:rsid w:val="00885775"/>
    <w:rsid w:val="00885A29"/>
    <w:rsid w:val="00885BE7"/>
    <w:rsid w:val="00886398"/>
    <w:rsid w:val="0089052C"/>
    <w:rsid w:val="008909F0"/>
    <w:rsid w:val="008917B2"/>
    <w:rsid w:val="00891FF7"/>
    <w:rsid w:val="008929A2"/>
    <w:rsid w:val="008945D6"/>
    <w:rsid w:val="008957B3"/>
    <w:rsid w:val="008958F1"/>
    <w:rsid w:val="008963A5"/>
    <w:rsid w:val="00896B26"/>
    <w:rsid w:val="0089724E"/>
    <w:rsid w:val="008A0D47"/>
    <w:rsid w:val="008A0EB2"/>
    <w:rsid w:val="008A1DA3"/>
    <w:rsid w:val="008A3C3E"/>
    <w:rsid w:val="008A3CDF"/>
    <w:rsid w:val="008A3FC4"/>
    <w:rsid w:val="008A4E56"/>
    <w:rsid w:val="008A5E15"/>
    <w:rsid w:val="008A5FEA"/>
    <w:rsid w:val="008A69D5"/>
    <w:rsid w:val="008A6DEF"/>
    <w:rsid w:val="008A74A3"/>
    <w:rsid w:val="008A78DC"/>
    <w:rsid w:val="008A79DE"/>
    <w:rsid w:val="008A7D78"/>
    <w:rsid w:val="008B261F"/>
    <w:rsid w:val="008B2EE6"/>
    <w:rsid w:val="008B3730"/>
    <w:rsid w:val="008B4A0A"/>
    <w:rsid w:val="008B55AF"/>
    <w:rsid w:val="008B5F86"/>
    <w:rsid w:val="008B5FB2"/>
    <w:rsid w:val="008B6D7F"/>
    <w:rsid w:val="008B7D7E"/>
    <w:rsid w:val="008C0A69"/>
    <w:rsid w:val="008C1C4F"/>
    <w:rsid w:val="008C2D07"/>
    <w:rsid w:val="008C304B"/>
    <w:rsid w:val="008C32BD"/>
    <w:rsid w:val="008C3B6E"/>
    <w:rsid w:val="008C3CB8"/>
    <w:rsid w:val="008C417D"/>
    <w:rsid w:val="008C5C01"/>
    <w:rsid w:val="008C6046"/>
    <w:rsid w:val="008C6079"/>
    <w:rsid w:val="008C7ECB"/>
    <w:rsid w:val="008D0078"/>
    <w:rsid w:val="008D0238"/>
    <w:rsid w:val="008D04A3"/>
    <w:rsid w:val="008D0551"/>
    <w:rsid w:val="008D316D"/>
    <w:rsid w:val="008D3940"/>
    <w:rsid w:val="008D4B10"/>
    <w:rsid w:val="008D4FA0"/>
    <w:rsid w:val="008D565F"/>
    <w:rsid w:val="008D595A"/>
    <w:rsid w:val="008D6976"/>
    <w:rsid w:val="008D7A81"/>
    <w:rsid w:val="008D7EBA"/>
    <w:rsid w:val="008E1B9E"/>
    <w:rsid w:val="008E229A"/>
    <w:rsid w:val="008E24A7"/>
    <w:rsid w:val="008E2EAC"/>
    <w:rsid w:val="008E3067"/>
    <w:rsid w:val="008E4278"/>
    <w:rsid w:val="008E4944"/>
    <w:rsid w:val="008E4967"/>
    <w:rsid w:val="008E58D3"/>
    <w:rsid w:val="008E5D15"/>
    <w:rsid w:val="008F158B"/>
    <w:rsid w:val="008F462B"/>
    <w:rsid w:val="008F48EB"/>
    <w:rsid w:val="008F4F0B"/>
    <w:rsid w:val="008F6D2B"/>
    <w:rsid w:val="008F6E42"/>
    <w:rsid w:val="008F7C76"/>
    <w:rsid w:val="008F7F91"/>
    <w:rsid w:val="00901384"/>
    <w:rsid w:val="00902435"/>
    <w:rsid w:val="00903EEE"/>
    <w:rsid w:val="00905A71"/>
    <w:rsid w:val="00905C37"/>
    <w:rsid w:val="009062A5"/>
    <w:rsid w:val="00906464"/>
    <w:rsid w:val="009064CE"/>
    <w:rsid w:val="00906B69"/>
    <w:rsid w:val="009076AC"/>
    <w:rsid w:val="00907B8D"/>
    <w:rsid w:val="00907F7C"/>
    <w:rsid w:val="00911174"/>
    <w:rsid w:val="009111C9"/>
    <w:rsid w:val="00911272"/>
    <w:rsid w:val="00913970"/>
    <w:rsid w:val="00914E04"/>
    <w:rsid w:val="00915020"/>
    <w:rsid w:val="009158FE"/>
    <w:rsid w:val="0091693E"/>
    <w:rsid w:val="00916C9B"/>
    <w:rsid w:val="009204B6"/>
    <w:rsid w:val="00920C09"/>
    <w:rsid w:val="009214A8"/>
    <w:rsid w:val="00921CBA"/>
    <w:rsid w:val="0092251E"/>
    <w:rsid w:val="009231C5"/>
    <w:rsid w:val="00924107"/>
    <w:rsid w:val="009244D1"/>
    <w:rsid w:val="00924616"/>
    <w:rsid w:val="00927E71"/>
    <w:rsid w:val="009302D5"/>
    <w:rsid w:val="00930EA7"/>
    <w:rsid w:val="009347CA"/>
    <w:rsid w:val="0093584B"/>
    <w:rsid w:val="00935D5A"/>
    <w:rsid w:val="00940F3A"/>
    <w:rsid w:val="00941146"/>
    <w:rsid w:val="00941E6D"/>
    <w:rsid w:val="00942C6E"/>
    <w:rsid w:val="00942D66"/>
    <w:rsid w:val="00943F75"/>
    <w:rsid w:val="009444C1"/>
    <w:rsid w:val="00944904"/>
    <w:rsid w:val="00944ABD"/>
    <w:rsid w:val="00945756"/>
    <w:rsid w:val="00946683"/>
    <w:rsid w:val="00946B10"/>
    <w:rsid w:val="00946F66"/>
    <w:rsid w:val="009473CC"/>
    <w:rsid w:val="00947F86"/>
    <w:rsid w:val="00950961"/>
    <w:rsid w:val="00950B31"/>
    <w:rsid w:val="00950D4B"/>
    <w:rsid w:val="00950D81"/>
    <w:rsid w:val="00952124"/>
    <w:rsid w:val="00952403"/>
    <w:rsid w:val="00952537"/>
    <w:rsid w:val="00952E1B"/>
    <w:rsid w:val="0095303F"/>
    <w:rsid w:val="00953296"/>
    <w:rsid w:val="00953A2A"/>
    <w:rsid w:val="009551D5"/>
    <w:rsid w:val="00955515"/>
    <w:rsid w:val="00957149"/>
    <w:rsid w:val="009572B6"/>
    <w:rsid w:val="0095746D"/>
    <w:rsid w:val="00957EC8"/>
    <w:rsid w:val="009601EF"/>
    <w:rsid w:val="00960263"/>
    <w:rsid w:val="00960356"/>
    <w:rsid w:val="00960E73"/>
    <w:rsid w:val="009611CC"/>
    <w:rsid w:val="00961AF9"/>
    <w:rsid w:val="00962721"/>
    <w:rsid w:val="00962965"/>
    <w:rsid w:val="00962CB9"/>
    <w:rsid w:val="009637A2"/>
    <w:rsid w:val="00964312"/>
    <w:rsid w:val="0096587D"/>
    <w:rsid w:val="009673AF"/>
    <w:rsid w:val="00970BAD"/>
    <w:rsid w:val="00973E1C"/>
    <w:rsid w:val="009749D7"/>
    <w:rsid w:val="00975ED8"/>
    <w:rsid w:val="0097626C"/>
    <w:rsid w:val="0097672A"/>
    <w:rsid w:val="00977722"/>
    <w:rsid w:val="0097785D"/>
    <w:rsid w:val="0098002F"/>
    <w:rsid w:val="00980907"/>
    <w:rsid w:val="00981280"/>
    <w:rsid w:val="0098143F"/>
    <w:rsid w:val="00981793"/>
    <w:rsid w:val="00981884"/>
    <w:rsid w:val="00981D78"/>
    <w:rsid w:val="00983E57"/>
    <w:rsid w:val="009854D0"/>
    <w:rsid w:val="009863D1"/>
    <w:rsid w:val="00986804"/>
    <w:rsid w:val="009900CE"/>
    <w:rsid w:val="00991974"/>
    <w:rsid w:val="009929B7"/>
    <w:rsid w:val="00992EA0"/>
    <w:rsid w:val="009930B7"/>
    <w:rsid w:val="009934B4"/>
    <w:rsid w:val="00993A4B"/>
    <w:rsid w:val="00993C1A"/>
    <w:rsid w:val="009944DB"/>
    <w:rsid w:val="00994FEF"/>
    <w:rsid w:val="009955EB"/>
    <w:rsid w:val="0099608F"/>
    <w:rsid w:val="00996B1A"/>
    <w:rsid w:val="009A0163"/>
    <w:rsid w:val="009A026A"/>
    <w:rsid w:val="009A0415"/>
    <w:rsid w:val="009A0527"/>
    <w:rsid w:val="009A09D8"/>
    <w:rsid w:val="009A0C1E"/>
    <w:rsid w:val="009A2555"/>
    <w:rsid w:val="009A2BA2"/>
    <w:rsid w:val="009A46D2"/>
    <w:rsid w:val="009A60C0"/>
    <w:rsid w:val="009B09A4"/>
    <w:rsid w:val="009B0CD1"/>
    <w:rsid w:val="009B28B6"/>
    <w:rsid w:val="009B3085"/>
    <w:rsid w:val="009B3E26"/>
    <w:rsid w:val="009B418D"/>
    <w:rsid w:val="009B5536"/>
    <w:rsid w:val="009B579A"/>
    <w:rsid w:val="009B6BB3"/>
    <w:rsid w:val="009B6CDE"/>
    <w:rsid w:val="009B7A35"/>
    <w:rsid w:val="009C3CE5"/>
    <w:rsid w:val="009C488C"/>
    <w:rsid w:val="009C49A6"/>
    <w:rsid w:val="009C6C13"/>
    <w:rsid w:val="009C784C"/>
    <w:rsid w:val="009D0617"/>
    <w:rsid w:val="009D0B6A"/>
    <w:rsid w:val="009D13F2"/>
    <w:rsid w:val="009D17AC"/>
    <w:rsid w:val="009D183B"/>
    <w:rsid w:val="009D1CF8"/>
    <w:rsid w:val="009D247D"/>
    <w:rsid w:val="009D3063"/>
    <w:rsid w:val="009D44FC"/>
    <w:rsid w:val="009D494A"/>
    <w:rsid w:val="009D4ACA"/>
    <w:rsid w:val="009D5222"/>
    <w:rsid w:val="009D5B91"/>
    <w:rsid w:val="009D66BC"/>
    <w:rsid w:val="009D7989"/>
    <w:rsid w:val="009E0891"/>
    <w:rsid w:val="009E08D1"/>
    <w:rsid w:val="009E22B9"/>
    <w:rsid w:val="009E45D1"/>
    <w:rsid w:val="009E4C07"/>
    <w:rsid w:val="009E5ABE"/>
    <w:rsid w:val="009E676E"/>
    <w:rsid w:val="009E797F"/>
    <w:rsid w:val="009E7D6F"/>
    <w:rsid w:val="009E7F86"/>
    <w:rsid w:val="009F071D"/>
    <w:rsid w:val="009F2D3E"/>
    <w:rsid w:val="009F3D9C"/>
    <w:rsid w:val="009F4136"/>
    <w:rsid w:val="009F4137"/>
    <w:rsid w:val="009F4772"/>
    <w:rsid w:val="009F56DA"/>
    <w:rsid w:val="009F59DB"/>
    <w:rsid w:val="009F5F89"/>
    <w:rsid w:val="009F7057"/>
    <w:rsid w:val="00A0062F"/>
    <w:rsid w:val="00A00DEF"/>
    <w:rsid w:val="00A01E13"/>
    <w:rsid w:val="00A03BAB"/>
    <w:rsid w:val="00A03D43"/>
    <w:rsid w:val="00A04380"/>
    <w:rsid w:val="00A04B39"/>
    <w:rsid w:val="00A04FB8"/>
    <w:rsid w:val="00A05BB2"/>
    <w:rsid w:val="00A05E4B"/>
    <w:rsid w:val="00A05FEC"/>
    <w:rsid w:val="00A0626B"/>
    <w:rsid w:val="00A0717D"/>
    <w:rsid w:val="00A07BEC"/>
    <w:rsid w:val="00A07CE4"/>
    <w:rsid w:val="00A1019D"/>
    <w:rsid w:val="00A12805"/>
    <w:rsid w:val="00A12AA4"/>
    <w:rsid w:val="00A13948"/>
    <w:rsid w:val="00A143AA"/>
    <w:rsid w:val="00A14F55"/>
    <w:rsid w:val="00A156EE"/>
    <w:rsid w:val="00A169F2"/>
    <w:rsid w:val="00A179D0"/>
    <w:rsid w:val="00A2096E"/>
    <w:rsid w:val="00A217E6"/>
    <w:rsid w:val="00A21F3D"/>
    <w:rsid w:val="00A228A1"/>
    <w:rsid w:val="00A233B1"/>
    <w:rsid w:val="00A238A5"/>
    <w:rsid w:val="00A2435F"/>
    <w:rsid w:val="00A24B81"/>
    <w:rsid w:val="00A24BF6"/>
    <w:rsid w:val="00A257B0"/>
    <w:rsid w:val="00A27684"/>
    <w:rsid w:val="00A27AEC"/>
    <w:rsid w:val="00A30635"/>
    <w:rsid w:val="00A30669"/>
    <w:rsid w:val="00A30ED2"/>
    <w:rsid w:val="00A3216E"/>
    <w:rsid w:val="00A3320F"/>
    <w:rsid w:val="00A33828"/>
    <w:rsid w:val="00A34C4E"/>
    <w:rsid w:val="00A354D0"/>
    <w:rsid w:val="00A35D16"/>
    <w:rsid w:val="00A36729"/>
    <w:rsid w:val="00A376A0"/>
    <w:rsid w:val="00A40350"/>
    <w:rsid w:val="00A41636"/>
    <w:rsid w:val="00A4243B"/>
    <w:rsid w:val="00A42B97"/>
    <w:rsid w:val="00A43712"/>
    <w:rsid w:val="00A43C59"/>
    <w:rsid w:val="00A45720"/>
    <w:rsid w:val="00A4582F"/>
    <w:rsid w:val="00A45FF3"/>
    <w:rsid w:val="00A472A0"/>
    <w:rsid w:val="00A47F3B"/>
    <w:rsid w:val="00A500A9"/>
    <w:rsid w:val="00A50ECD"/>
    <w:rsid w:val="00A5126E"/>
    <w:rsid w:val="00A51AB9"/>
    <w:rsid w:val="00A51C3C"/>
    <w:rsid w:val="00A51F78"/>
    <w:rsid w:val="00A52141"/>
    <w:rsid w:val="00A52729"/>
    <w:rsid w:val="00A53675"/>
    <w:rsid w:val="00A53958"/>
    <w:rsid w:val="00A541EC"/>
    <w:rsid w:val="00A54394"/>
    <w:rsid w:val="00A54B94"/>
    <w:rsid w:val="00A56B6A"/>
    <w:rsid w:val="00A578DC"/>
    <w:rsid w:val="00A602DD"/>
    <w:rsid w:val="00A60F31"/>
    <w:rsid w:val="00A6147D"/>
    <w:rsid w:val="00A620C5"/>
    <w:rsid w:val="00A62F97"/>
    <w:rsid w:val="00A63210"/>
    <w:rsid w:val="00A65AB7"/>
    <w:rsid w:val="00A66827"/>
    <w:rsid w:val="00A6725B"/>
    <w:rsid w:val="00A673B3"/>
    <w:rsid w:val="00A676CD"/>
    <w:rsid w:val="00A67D78"/>
    <w:rsid w:val="00A71213"/>
    <w:rsid w:val="00A71A5D"/>
    <w:rsid w:val="00A71B4E"/>
    <w:rsid w:val="00A7221E"/>
    <w:rsid w:val="00A739C3"/>
    <w:rsid w:val="00A739E1"/>
    <w:rsid w:val="00A75362"/>
    <w:rsid w:val="00A75AEF"/>
    <w:rsid w:val="00A75D42"/>
    <w:rsid w:val="00A75E9C"/>
    <w:rsid w:val="00A76199"/>
    <w:rsid w:val="00A770ED"/>
    <w:rsid w:val="00A777FF"/>
    <w:rsid w:val="00A80186"/>
    <w:rsid w:val="00A81A43"/>
    <w:rsid w:val="00A82376"/>
    <w:rsid w:val="00A827FB"/>
    <w:rsid w:val="00A82967"/>
    <w:rsid w:val="00A82C99"/>
    <w:rsid w:val="00A82DFF"/>
    <w:rsid w:val="00A84BD1"/>
    <w:rsid w:val="00A84CDC"/>
    <w:rsid w:val="00A85D7A"/>
    <w:rsid w:val="00A8633B"/>
    <w:rsid w:val="00A8671C"/>
    <w:rsid w:val="00A86721"/>
    <w:rsid w:val="00A86781"/>
    <w:rsid w:val="00A86E8B"/>
    <w:rsid w:val="00A87737"/>
    <w:rsid w:val="00A911EC"/>
    <w:rsid w:val="00A91DCF"/>
    <w:rsid w:val="00A9274D"/>
    <w:rsid w:val="00A93072"/>
    <w:rsid w:val="00A9454E"/>
    <w:rsid w:val="00A9735F"/>
    <w:rsid w:val="00AA0A07"/>
    <w:rsid w:val="00AA10B1"/>
    <w:rsid w:val="00AA2A9D"/>
    <w:rsid w:val="00AA2B46"/>
    <w:rsid w:val="00AA3276"/>
    <w:rsid w:val="00AA53C7"/>
    <w:rsid w:val="00AA66E6"/>
    <w:rsid w:val="00AA711E"/>
    <w:rsid w:val="00AA7736"/>
    <w:rsid w:val="00AA7853"/>
    <w:rsid w:val="00AB042A"/>
    <w:rsid w:val="00AB05BB"/>
    <w:rsid w:val="00AB0F21"/>
    <w:rsid w:val="00AB2AD6"/>
    <w:rsid w:val="00AB2D52"/>
    <w:rsid w:val="00AB3430"/>
    <w:rsid w:val="00AB364C"/>
    <w:rsid w:val="00AB39D5"/>
    <w:rsid w:val="00AB3BFC"/>
    <w:rsid w:val="00AB4E43"/>
    <w:rsid w:val="00AB61C4"/>
    <w:rsid w:val="00AB7CFA"/>
    <w:rsid w:val="00AC0A01"/>
    <w:rsid w:val="00AC0EC7"/>
    <w:rsid w:val="00AC11BC"/>
    <w:rsid w:val="00AC1EBF"/>
    <w:rsid w:val="00AC2E5A"/>
    <w:rsid w:val="00AC328F"/>
    <w:rsid w:val="00AC37BB"/>
    <w:rsid w:val="00AC51DB"/>
    <w:rsid w:val="00AC6B87"/>
    <w:rsid w:val="00AC7A66"/>
    <w:rsid w:val="00AC7D99"/>
    <w:rsid w:val="00AD1907"/>
    <w:rsid w:val="00AD59D3"/>
    <w:rsid w:val="00AD6F73"/>
    <w:rsid w:val="00AE105E"/>
    <w:rsid w:val="00AE1AA6"/>
    <w:rsid w:val="00AE2614"/>
    <w:rsid w:val="00AE28B4"/>
    <w:rsid w:val="00AE4B6E"/>
    <w:rsid w:val="00AE4DFC"/>
    <w:rsid w:val="00AE6200"/>
    <w:rsid w:val="00AE6B0F"/>
    <w:rsid w:val="00AF03E4"/>
    <w:rsid w:val="00AF0B1C"/>
    <w:rsid w:val="00AF1596"/>
    <w:rsid w:val="00AF4472"/>
    <w:rsid w:val="00AF4B30"/>
    <w:rsid w:val="00AF5406"/>
    <w:rsid w:val="00AF5CBB"/>
    <w:rsid w:val="00AF6BBC"/>
    <w:rsid w:val="00B00E3E"/>
    <w:rsid w:val="00B01A2B"/>
    <w:rsid w:val="00B01AC4"/>
    <w:rsid w:val="00B038A5"/>
    <w:rsid w:val="00B04173"/>
    <w:rsid w:val="00B0438D"/>
    <w:rsid w:val="00B1010E"/>
    <w:rsid w:val="00B11130"/>
    <w:rsid w:val="00B111A1"/>
    <w:rsid w:val="00B11F6A"/>
    <w:rsid w:val="00B13150"/>
    <w:rsid w:val="00B13717"/>
    <w:rsid w:val="00B1585E"/>
    <w:rsid w:val="00B16536"/>
    <w:rsid w:val="00B167E7"/>
    <w:rsid w:val="00B16E87"/>
    <w:rsid w:val="00B170AF"/>
    <w:rsid w:val="00B21BC4"/>
    <w:rsid w:val="00B21FC2"/>
    <w:rsid w:val="00B2235E"/>
    <w:rsid w:val="00B23F25"/>
    <w:rsid w:val="00B25179"/>
    <w:rsid w:val="00B25592"/>
    <w:rsid w:val="00B2598C"/>
    <w:rsid w:val="00B25E00"/>
    <w:rsid w:val="00B2608F"/>
    <w:rsid w:val="00B26219"/>
    <w:rsid w:val="00B266B5"/>
    <w:rsid w:val="00B27B89"/>
    <w:rsid w:val="00B30B96"/>
    <w:rsid w:val="00B321DD"/>
    <w:rsid w:val="00B32325"/>
    <w:rsid w:val="00B329DB"/>
    <w:rsid w:val="00B34C2F"/>
    <w:rsid w:val="00B36FF5"/>
    <w:rsid w:val="00B372C3"/>
    <w:rsid w:val="00B37383"/>
    <w:rsid w:val="00B417D4"/>
    <w:rsid w:val="00B41DA9"/>
    <w:rsid w:val="00B423B9"/>
    <w:rsid w:val="00B42461"/>
    <w:rsid w:val="00B42851"/>
    <w:rsid w:val="00B42DB2"/>
    <w:rsid w:val="00B438EF"/>
    <w:rsid w:val="00B4450A"/>
    <w:rsid w:val="00B4493A"/>
    <w:rsid w:val="00B4540E"/>
    <w:rsid w:val="00B45504"/>
    <w:rsid w:val="00B45A89"/>
    <w:rsid w:val="00B46273"/>
    <w:rsid w:val="00B46589"/>
    <w:rsid w:val="00B4737C"/>
    <w:rsid w:val="00B478E9"/>
    <w:rsid w:val="00B50E01"/>
    <w:rsid w:val="00B51155"/>
    <w:rsid w:val="00B514D1"/>
    <w:rsid w:val="00B51DF1"/>
    <w:rsid w:val="00B53409"/>
    <w:rsid w:val="00B542D8"/>
    <w:rsid w:val="00B54B5B"/>
    <w:rsid w:val="00B54C30"/>
    <w:rsid w:val="00B54C38"/>
    <w:rsid w:val="00B5562E"/>
    <w:rsid w:val="00B55C31"/>
    <w:rsid w:val="00B57000"/>
    <w:rsid w:val="00B608CF"/>
    <w:rsid w:val="00B60939"/>
    <w:rsid w:val="00B60AFD"/>
    <w:rsid w:val="00B613E2"/>
    <w:rsid w:val="00B61524"/>
    <w:rsid w:val="00B61571"/>
    <w:rsid w:val="00B61986"/>
    <w:rsid w:val="00B6229A"/>
    <w:rsid w:val="00B62715"/>
    <w:rsid w:val="00B62B2A"/>
    <w:rsid w:val="00B631F1"/>
    <w:rsid w:val="00B63DAF"/>
    <w:rsid w:val="00B64A9F"/>
    <w:rsid w:val="00B64C39"/>
    <w:rsid w:val="00B66489"/>
    <w:rsid w:val="00B67B88"/>
    <w:rsid w:val="00B67C73"/>
    <w:rsid w:val="00B71D50"/>
    <w:rsid w:val="00B725F2"/>
    <w:rsid w:val="00B72D42"/>
    <w:rsid w:val="00B73CED"/>
    <w:rsid w:val="00B76360"/>
    <w:rsid w:val="00B76E87"/>
    <w:rsid w:val="00B77A3A"/>
    <w:rsid w:val="00B80A30"/>
    <w:rsid w:val="00B811FF"/>
    <w:rsid w:val="00B818A4"/>
    <w:rsid w:val="00B845B4"/>
    <w:rsid w:val="00B84897"/>
    <w:rsid w:val="00B854EA"/>
    <w:rsid w:val="00B85538"/>
    <w:rsid w:val="00B855BF"/>
    <w:rsid w:val="00B85961"/>
    <w:rsid w:val="00B863EE"/>
    <w:rsid w:val="00B8649C"/>
    <w:rsid w:val="00B86C44"/>
    <w:rsid w:val="00B86EA5"/>
    <w:rsid w:val="00B90387"/>
    <w:rsid w:val="00B9078A"/>
    <w:rsid w:val="00B90D43"/>
    <w:rsid w:val="00B92D0B"/>
    <w:rsid w:val="00B94945"/>
    <w:rsid w:val="00B94C32"/>
    <w:rsid w:val="00B94D93"/>
    <w:rsid w:val="00B9632B"/>
    <w:rsid w:val="00BA1214"/>
    <w:rsid w:val="00BA1BB3"/>
    <w:rsid w:val="00BA230A"/>
    <w:rsid w:val="00BA2C14"/>
    <w:rsid w:val="00BA2D13"/>
    <w:rsid w:val="00BA3574"/>
    <w:rsid w:val="00BA39FB"/>
    <w:rsid w:val="00BA3E25"/>
    <w:rsid w:val="00BA3E54"/>
    <w:rsid w:val="00BA4576"/>
    <w:rsid w:val="00BA4FC7"/>
    <w:rsid w:val="00BA67E0"/>
    <w:rsid w:val="00BA6F40"/>
    <w:rsid w:val="00BB12DF"/>
    <w:rsid w:val="00BB164B"/>
    <w:rsid w:val="00BB41B7"/>
    <w:rsid w:val="00BB628A"/>
    <w:rsid w:val="00BB6D17"/>
    <w:rsid w:val="00BC2129"/>
    <w:rsid w:val="00BC4B8A"/>
    <w:rsid w:val="00BC5ADF"/>
    <w:rsid w:val="00BC5DEC"/>
    <w:rsid w:val="00BC6F04"/>
    <w:rsid w:val="00BC759A"/>
    <w:rsid w:val="00BD12CC"/>
    <w:rsid w:val="00BD2F40"/>
    <w:rsid w:val="00BD3075"/>
    <w:rsid w:val="00BD3B87"/>
    <w:rsid w:val="00BD44EB"/>
    <w:rsid w:val="00BD45F3"/>
    <w:rsid w:val="00BD4BBA"/>
    <w:rsid w:val="00BD4C99"/>
    <w:rsid w:val="00BD55C9"/>
    <w:rsid w:val="00BD6348"/>
    <w:rsid w:val="00BD6DBE"/>
    <w:rsid w:val="00BD79AA"/>
    <w:rsid w:val="00BE0040"/>
    <w:rsid w:val="00BE035C"/>
    <w:rsid w:val="00BE1EEE"/>
    <w:rsid w:val="00BE2180"/>
    <w:rsid w:val="00BE3648"/>
    <w:rsid w:val="00BE4275"/>
    <w:rsid w:val="00BE48C5"/>
    <w:rsid w:val="00BE4DBC"/>
    <w:rsid w:val="00BE606C"/>
    <w:rsid w:val="00BE6BFC"/>
    <w:rsid w:val="00BE7985"/>
    <w:rsid w:val="00BF06C6"/>
    <w:rsid w:val="00BF0EA2"/>
    <w:rsid w:val="00BF181C"/>
    <w:rsid w:val="00BF1A05"/>
    <w:rsid w:val="00BF1B64"/>
    <w:rsid w:val="00BF23ED"/>
    <w:rsid w:val="00BF2433"/>
    <w:rsid w:val="00BF24A0"/>
    <w:rsid w:val="00BF343D"/>
    <w:rsid w:val="00BF4BDA"/>
    <w:rsid w:val="00BF61C9"/>
    <w:rsid w:val="00BF7473"/>
    <w:rsid w:val="00BF7E1A"/>
    <w:rsid w:val="00C000CB"/>
    <w:rsid w:val="00C01696"/>
    <w:rsid w:val="00C0197E"/>
    <w:rsid w:val="00C02474"/>
    <w:rsid w:val="00C0277B"/>
    <w:rsid w:val="00C03362"/>
    <w:rsid w:val="00C0592C"/>
    <w:rsid w:val="00C0603D"/>
    <w:rsid w:val="00C07DF7"/>
    <w:rsid w:val="00C10120"/>
    <w:rsid w:val="00C11E1B"/>
    <w:rsid w:val="00C129DC"/>
    <w:rsid w:val="00C13685"/>
    <w:rsid w:val="00C140ED"/>
    <w:rsid w:val="00C1522B"/>
    <w:rsid w:val="00C15508"/>
    <w:rsid w:val="00C16535"/>
    <w:rsid w:val="00C1726F"/>
    <w:rsid w:val="00C17677"/>
    <w:rsid w:val="00C2288C"/>
    <w:rsid w:val="00C22E09"/>
    <w:rsid w:val="00C2303B"/>
    <w:rsid w:val="00C23A30"/>
    <w:rsid w:val="00C25418"/>
    <w:rsid w:val="00C25D9C"/>
    <w:rsid w:val="00C30229"/>
    <w:rsid w:val="00C3041E"/>
    <w:rsid w:val="00C31649"/>
    <w:rsid w:val="00C31C6D"/>
    <w:rsid w:val="00C33238"/>
    <w:rsid w:val="00C3324A"/>
    <w:rsid w:val="00C33E1B"/>
    <w:rsid w:val="00C33EAF"/>
    <w:rsid w:val="00C3405A"/>
    <w:rsid w:val="00C34066"/>
    <w:rsid w:val="00C3596C"/>
    <w:rsid w:val="00C365A3"/>
    <w:rsid w:val="00C40385"/>
    <w:rsid w:val="00C40578"/>
    <w:rsid w:val="00C42A1E"/>
    <w:rsid w:val="00C43227"/>
    <w:rsid w:val="00C445F3"/>
    <w:rsid w:val="00C44FEA"/>
    <w:rsid w:val="00C45554"/>
    <w:rsid w:val="00C46A26"/>
    <w:rsid w:val="00C50050"/>
    <w:rsid w:val="00C50FCE"/>
    <w:rsid w:val="00C5137D"/>
    <w:rsid w:val="00C51D59"/>
    <w:rsid w:val="00C51EC5"/>
    <w:rsid w:val="00C51F84"/>
    <w:rsid w:val="00C52DA7"/>
    <w:rsid w:val="00C52EA3"/>
    <w:rsid w:val="00C5319A"/>
    <w:rsid w:val="00C533A2"/>
    <w:rsid w:val="00C54323"/>
    <w:rsid w:val="00C54BE9"/>
    <w:rsid w:val="00C54E0C"/>
    <w:rsid w:val="00C559D5"/>
    <w:rsid w:val="00C56C6A"/>
    <w:rsid w:val="00C57418"/>
    <w:rsid w:val="00C6041F"/>
    <w:rsid w:val="00C604FC"/>
    <w:rsid w:val="00C6058E"/>
    <w:rsid w:val="00C60E68"/>
    <w:rsid w:val="00C616BC"/>
    <w:rsid w:val="00C62B5A"/>
    <w:rsid w:val="00C6359E"/>
    <w:rsid w:val="00C637A4"/>
    <w:rsid w:val="00C64966"/>
    <w:rsid w:val="00C65576"/>
    <w:rsid w:val="00C66165"/>
    <w:rsid w:val="00C677E3"/>
    <w:rsid w:val="00C67B56"/>
    <w:rsid w:val="00C70449"/>
    <w:rsid w:val="00C71000"/>
    <w:rsid w:val="00C72305"/>
    <w:rsid w:val="00C729A5"/>
    <w:rsid w:val="00C74D04"/>
    <w:rsid w:val="00C74FA9"/>
    <w:rsid w:val="00C75000"/>
    <w:rsid w:val="00C7562D"/>
    <w:rsid w:val="00C75B77"/>
    <w:rsid w:val="00C76418"/>
    <w:rsid w:val="00C80023"/>
    <w:rsid w:val="00C80152"/>
    <w:rsid w:val="00C80390"/>
    <w:rsid w:val="00C80F97"/>
    <w:rsid w:val="00C8174E"/>
    <w:rsid w:val="00C8199D"/>
    <w:rsid w:val="00C8213F"/>
    <w:rsid w:val="00C834DC"/>
    <w:rsid w:val="00C840D2"/>
    <w:rsid w:val="00C847B1"/>
    <w:rsid w:val="00C8635A"/>
    <w:rsid w:val="00C866AB"/>
    <w:rsid w:val="00C867A1"/>
    <w:rsid w:val="00C8720D"/>
    <w:rsid w:val="00C8797A"/>
    <w:rsid w:val="00C9024C"/>
    <w:rsid w:val="00C902C5"/>
    <w:rsid w:val="00C90620"/>
    <w:rsid w:val="00C90BA4"/>
    <w:rsid w:val="00C921DA"/>
    <w:rsid w:val="00C9234A"/>
    <w:rsid w:val="00C92BE7"/>
    <w:rsid w:val="00C93855"/>
    <w:rsid w:val="00C938CF"/>
    <w:rsid w:val="00C94942"/>
    <w:rsid w:val="00C9633B"/>
    <w:rsid w:val="00C9729E"/>
    <w:rsid w:val="00C978B0"/>
    <w:rsid w:val="00CA0485"/>
    <w:rsid w:val="00CA07DC"/>
    <w:rsid w:val="00CA2696"/>
    <w:rsid w:val="00CA2962"/>
    <w:rsid w:val="00CA3671"/>
    <w:rsid w:val="00CA4908"/>
    <w:rsid w:val="00CA5245"/>
    <w:rsid w:val="00CA6BB7"/>
    <w:rsid w:val="00CA7AEB"/>
    <w:rsid w:val="00CA7B09"/>
    <w:rsid w:val="00CB0146"/>
    <w:rsid w:val="00CB0BB7"/>
    <w:rsid w:val="00CB2781"/>
    <w:rsid w:val="00CB2950"/>
    <w:rsid w:val="00CB3E6A"/>
    <w:rsid w:val="00CB52BB"/>
    <w:rsid w:val="00CB554B"/>
    <w:rsid w:val="00CB58AE"/>
    <w:rsid w:val="00CB5B1A"/>
    <w:rsid w:val="00CB63D6"/>
    <w:rsid w:val="00CB7337"/>
    <w:rsid w:val="00CB7EFA"/>
    <w:rsid w:val="00CC238E"/>
    <w:rsid w:val="00CC3454"/>
    <w:rsid w:val="00CC34BE"/>
    <w:rsid w:val="00CC4C4A"/>
    <w:rsid w:val="00CC6029"/>
    <w:rsid w:val="00CC696D"/>
    <w:rsid w:val="00CC766E"/>
    <w:rsid w:val="00CD02F5"/>
    <w:rsid w:val="00CD300B"/>
    <w:rsid w:val="00CD3D1B"/>
    <w:rsid w:val="00CD4F11"/>
    <w:rsid w:val="00CD5B06"/>
    <w:rsid w:val="00CD69B3"/>
    <w:rsid w:val="00CD6ADC"/>
    <w:rsid w:val="00CD7D75"/>
    <w:rsid w:val="00CD7DDD"/>
    <w:rsid w:val="00CE320D"/>
    <w:rsid w:val="00CE3562"/>
    <w:rsid w:val="00CE47C4"/>
    <w:rsid w:val="00CE4BE4"/>
    <w:rsid w:val="00CE6274"/>
    <w:rsid w:val="00CE687B"/>
    <w:rsid w:val="00CE7B7F"/>
    <w:rsid w:val="00CF08F6"/>
    <w:rsid w:val="00CF0A95"/>
    <w:rsid w:val="00CF1401"/>
    <w:rsid w:val="00CF179D"/>
    <w:rsid w:val="00CF22E9"/>
    <w:rsid w:val="00CF30D7"/>
    <w:rsid w:val="00CF31C5"/>
    <w:rsid w:val="00CF44A9"/>
    <w:rsid w:val="00CF456B"/>
    <w:rsid w:val="00CF58EB"/>
    <w:rsid w:val="00CF5A22"/>
    <w:rsid w:val="00CF5EA0"/>
    <w:rsid w:val="00CF7B5A"/>
    <w:rsid w:val="00D0262E"/>
    <w:rsid w:val="00D03C3C"/>
    <w:rsid w:val="00D04C42"/>
    <w:rsid w:val="00D0546F"/>
    <w:rsid w:val="00D06FD4"/>
    <w:rsid w:val="00D101A7"/>
    <w:rsid w:val="00D1066B"/>
    <w:rsid w:val="00D110BD"/>
    <w:rsid w:val="00D111EB"/>
    <w:rsid w:val="00D11A59"/>
    <w:rsid w:val="00D1241A"/>
    <w:rsid w:val="00D12AF5"/>
    <w:rsid w:val="00D14C84"/>
    <w:rsid w:val="00D15DE8"/>
    <w:rsid w:val="00D15E65"/>
    <w:rsid w:val="00D15FBB"/>
    <w:rsid w:val="00D16E3F"/>
    <w:rsid w:val="00D17D6C"/>
    <w:rsid w:val="00D20315"/>
    <w:rsid w:val="00D20385"/>
    <w:rsid w:val="00D21997"/>
    <w:rsid w:val="00D21F0A"/>
    <w:rsid w:val="00D22320"/>
    <w:rsid w:val="00D255CD"/>
    <w:rsid w:val="00D26272"/>
    <w:rsid w:val="00D2652B"/>
    <w:rsid w:val="00D2679C"/>
    <w:rsid w:val="00D3005E"/>
    <w:rsid w:val="00D316FB"/>
    <w:rsid w:val="00D33EDC"/>
    <w:rsid w:val="00D35196"/>
    <w:rsid w:val="00D35797"/>
    <w:rsid w:val="00D35F72"/>
    <w:rsid w:val="00D369CD"/>
    <w:rsid w:val="00D37202"/>
    <w:rsid w:val="00D3779B"/>
    <w:rsid w:val="00D37EF2"/>
    <w:rsid w:val="00D37FE3"/>
    <w:rsid w:val="00D40CFF"/>
    <w:rsid w:val="00D40DDB"/>
    <w:rsid w:val="00D418CE"/>
    <w:rsid w:val="00D41CA1"/>
    <w:rsid w:val="00D44626"/>
    <w:rsid w:val="00D446AA"/>
    <w:rsid w:val="00D466E3"/>
    <w:rsid w:val="00D469B4"/>
    <w:rsid w:val="00D46C38"/>
    <w:rsid w:val="00D504F0"/>
    <w:rsid w:val="00D508FA"/>
    <w:rsid w:val="00D50F57"/>
    <w:rsid w:val="00D537FF"/>
    <w:rsid w:val="00D53A6E"/>
    <w:rsid w:val="00D55687"/>
    <w:rsid w:val="00D55ED5"/>
    <w:rsid w:val="00D55FB9"/>
    <w:rsid w:val="00D56A52"/>
    <w:rsid w:val="00D60F8C"/>
    <w:rsid w:val="00D61424"/>
    <w:rsid w:val="00D631F6"/>
    <w:rsid w:val="00D63463"/>
    <w:rsid w:val="00D65178"/>
    <w:rsid w:val="00D654CC"/>
    <w:rsid w:val="00D6610A"/>
    <w:rsid w:val="00D67A78"/>
    <w:rsid w:val="00D735B7"/>
    <w:rsid w:val="00D73CDD"/>
    <w:rsid w:val="00D758FD"/>
    <w:rsid w:val="00D75B26"/>
    <w:rsid w:val="00D76A44"/>
    <w:rsid w:val="00D77E00"/>
    <w:rsid w:val="00D805D8"/>
    <w:rsid w:val="00D80F0E"/>
    <w:rsid w:val="00D81DC1"/>
    <w:rsid w:val="00D827D1"/>
    <w:rsid w:val="00D83091"/>
    <w:rsid w:val="00D83898"/>
    <w:rsid w:val="00D84A7F"/>
    <w:rsid w:val="00D84BB9"/>
    <w:rsid w:val="00D85F2A"/>
    <w:rsid w:val="00D86763"/>
    <w:rsid w:val="00D86B19"/>
    <w:rsid w:val="00D86F97"/>
    <w:rsid w:val="00D878CF"/>
    <w:rsid w:val="00D87A3B"/>
    <w:rsid w:val="00D907A5"/>
    <w:rsid w:val="00D9092F"/>
    <w:rsid w:val="00D90C1C"/>
    <w:rsid w:val="00D923C8"/>
    <w:rsid w:val="00D92A0E"/>
    <w:rsid w:val="00D92B71"/>
    <w:rsid w:val="00D92BAB"/>
    <w:rsid w:val="00D93753"/>
    <w:rsid w:val="00D94DC6"/>
    <w:rsid w:val="00D959D5"/>
    <w:rsid w:val="00D9600B"/>
    <w:rsid w:val="00DA0683"/>
    <w:rsid w:val="00DA11AC"/>
    <w:rsid w:val="00DA2285"/>
    <w:rsid w:val="00DA2530"/>
    <w:rsid w:val="00DA2B82"/>
    <w:rsid w:val="00DA2E7B"/>
    <w:rsid w:val="00DA4CB0"/>
    <w:rsid w:val="00DA4D6B"/>
    <w:rsid w:val="00DA5F95"/>
    <w:rsid w:val="00DA6F72"/>
    <w:rsid w:val="00DA76D7"/>
    <w:rsid w:val="00DA77A5"/>
    <w:rsid w:val="00DA7979"/>
    <w:rsid w:val="00DA7EE2"/>
    <w:rsid w:val="00DB22B4"/>
    <w:rsid w:val="00DB255E"/>
    <w:rsid w:val="00DB28F8"/>
    <w:rsid w:val="00DB30D9"/>
    <w:rsid w:val="00DB3538"/>
    <w:rsid w:val="00DB39C6"/>
    <w:rsid w:val="00DB4ACB"/>
    <w:rsid w:val="00DB4C45"/>
    <w:rsid w:val="00DB4C82"/>
    <w:rsid w:val="00DB4DC5"/>
    <w:rsid w:val="00DB58A7"/>
    <w:rsid w:val="00DB5F11"/>
    <w:rsid w:val="00DB5F4B"/>
    <w:rsid w:val="00DB7A1E"/>
    <w:rsid w:val="00DC01CC"/>
    <w:rsid w:val="00DC17A9"/>
    <w:rsid w:val="00DC2E67"/>
    <w:rsid w:val="00DC3D72"/>
    <w:rsid w:val="00DC4F8E"/>
    <w:rsid w:val="00DC5501"/>
    <w:rsid w:val="00DD00EE"/>
    <w:rsid w:val="00DD00F3"/>
    <w:rsid w:val="00DD183A"/>
    <w:rsid w:val="00DD2072"/>
    <w:rsid w:val="00DD3F28"/>
    <w:rsid w:val="00DD414A"/>
    <w:rsid w:val="00DD4537"/>
    <w:rsid w:val="00DD4988"/>
    <w:rsid w:val="00DD4BA6"/>
    <w:rsid w:val="00DD4E15"/>
    <w:rsid w:val="00DD50CE"/>
    <w:rsid w:val="00DD5B5C"/>
    <w:rsid w:val="00DE05EA"/>
    <w:rsid w:val="00DE0DC5"/>
    <w:rsid w:val="00DE0DD7"/>
    <w:rsid w:val="00DE1411"/>
    <w:rsid w:val="00DE19ED"/>
    <w:rsid w:val="00DE1E71"/>
    <w:rsid w:val="00DE201E"/>
    <w:rsid w:val="00DE2C22"/>
    <w:rsid w:val="00DE4345"/>
    <w:rsid w:val="00DE4744"/>
    <w:rsid w:val="00DE4D48"/>
    <w:rsid w:val="00DE4FCB"/>
    <w:rsid w:val="00DE561F"/>
    <w:rsid w:val="00DE5B54"/>
    <w:rsid w:val="00DE7164"/>
    <w:rsid w:val="00DE7F03"/>
    <w:rsid w:val="00DF0598"/>
    <w:rsid w:val="00DF05AD"/>
    <w:rsid w:val="00DF3200"/>
    <w:rsid w:val="00DF3D18"/>
    <w:rsid w:val="00DF4B4C"/>
    <w:rsid w:val="00DF4B52"/>
    <w:rsid w:val="00DF4B81"/>
    <w:rsid w:val="00DF50D9"/>
    <w:rsid w:val="00DF52A6"/>
    <w:rsid w:val="00DF52E7"/>
    <w:rsid w:val="00DF5F31"/>
    <w:rsid w:val="00DF61A9"/>
    <w:rsid w:val="00DF641B"/>
    <w:rsid w:val="00DF7BF9"/>
    <w:rsid w:val="00E016A4"/>
    <w:rsid w:val="00E0433C"/>
    <w:rsid w:val="00E043E5"/>
    <w:rsid w:val="00E044D4"/>
    <w:rsid w:val="00E05DC5"/>
    <w:rsid w:val="00E10149"/>
    <w:rsid w:val="00E1062B"/>
    <w:rsid w:val="00E10667"/>
    <w:rsid w:val="00E10893"/>
    <w:rsid w:val="00E12E25"/>
    <w:rsid w:val="00E154C6"/>
    <w:rsid w:val="00E16372"/>
    <w:rsid w:val="00E172B0"/>
    <w:rsid w:val="00E20634"/>
    <w:rsid w:val="00E20ED6"/>
    <w:rsid w:val="00E21109"/>
    <w:rsid w:val="00E21279"/>
    <w:rsid w:val="00E21358"/>
    <w:rsid w:val="00E21485"/>
    <w:rsid w:val="00E21CA5"/>
    <w:rsid w:val="00E221ED"/>
    <w:rsid w:val="00E2249B"/>
    <w:rsid w:val="00E23494"/>
    <w:rsid w:val="00E23880"/>
    <w:rsid w:val="00E24A0D"/>
    <w:rsid w:val="00E25CC8"/>
    <w:rsid w:val="00E26051"/>
    <w:rsid w:val="00E268A3"/>
    <w:rsid w:val="00E26951"/>
    <w:rsid w:val="00E2713A"/>
    <w:rsid w:val="00E2771E"/>
    <w:rsid w:val="00E27776"/>
    <w:rsid w:val="00E27A0B"/>
    <w:rsid w:val="00E30645"/>
    <w:rsid w:val="00E3129A"/>
    <w:rsid w:val="00E3157A"/>
    <w:rsid w:val="00E317CD"/>
    <w:rsid w:val="00E31CA5"/>
    <w:rsid w:val="00E33B10"/>
    <w:rsid w:val="00E33DCA"/>
    <w:rsid w:val="00E3566E"/>
    <w:rsid w:val="00E36048"/>
    <w:rsid w:val="00E37569"/>
    <w:rsid w:val="00E41818"/>
    <w:rsid w:val="00E41D87"/>
    <w:rsid w:val="00E41E30"/>
    <w:rsid w:val="00E42A05"/>
    <w:rsid w:val="00E43BD2"/>
    <w:rsid w:val="00E4503F"/>
    <w:rsid w:val="00E4553C"/>
    <w:rsid w:val="00E45866"/>
    <w:rsid w:val="00E458B7"/>
    <w:rsid w:val="00E45B23"/>
    <w:rsid w:val="00E469F4"/>
    <w:rsid w:val="00E473ED"/>
    <w:rsid w:val="00E47B2C"/>
    <w:rsid w:val="00E50189"/>
    <w:rsid w:val="00E50CCF"/>
    <w:rsid w:val="00E549F3"/>
    <w:rsid w:val="00E55424"/>
    <w:rsid w:val="00E55D49"/>
    <w:rsid w:val="00E5636A"/>
    <w:rsid w:val="00E570B1"/>
    <w:rsid w:val="00E57794"/>
    <w:rsid w:val="00E57D35"/>
    <w:rsid w:val="00E60535"/>
    <w:rsid w:val="00E60677"/>
    <w:rsid w:val="00E621D6"/>
    <w:rsid w:val="00E628E6"/>
    <w:rsid w:val="00E62FE0"/>
    <w:rsid w:val="00E63130"/>
    <w:rsid w:val="00E63246"/>
    <w:rsid w:val="00E635A4"/>
    <w:rsid w:val="00E64A69"/>
    <w:rsid w:val="00E64E6F"/>
    <w:rsid w:val="00E65A94"/>
    <w:rsid w:val="00E65BC1"/>
    <w:rsid w:val="00E65E79"/>
    <w:rsid w:val="00E67416"/>
    <w:rsid w:val="00E676F0"/>
    <w:rsid w:val="00E707A8"/>
    <w:rsid w:val="00E718B6"/>
    <w:rsid w:val="00E71D40"/>
    <w:rsid w:val="00E72B0D"/>
    <w:rsid w:val="00E73581"/>
    <w:rsid w:val="00E74196"/>
    <w:rsid w:val="00E75519"/>
    <w:rsid w:val="00E75E8F"/>
    <w:rsid w:val="00E7621B"/>
    <w:rsid w:val="00E770E1"/>
    <w:rsid w:val="00E774F4"/>
    <w:rsid w:val="00E81E77"/>
    <w:rsid w:val="00E82E37"/>
    <w:rsid w:val="00E83BDF"/>
    <w:rsid w:val="00E86203"/>
    <w:rsid w:val="00E87451"/>
    <w:rsid w:val="00E9117D"/>
    <w:rsid w:val="00E91FDA"/>
    <w:rsid w:val="00E929AB"/>
    <w:rsid w:val="00E94755"/>
    <w:rsid w:val="00E94845"/>
    <w:rsid w:val="00E95875"/>
    <w:rsid w:val="00E95A87"/>
    <w:rsid w:val="00E95D1D"/>
    <w:rsid w:val="00E964E1"/>
    <w:rsid w:val="00EA05D5"/>
    <w:rsid w:val="00EA166D"/>
    <w:rsid w:val="00EA3864"/>
    <w:rsid w:val="00EA3F7D"/>
    <w:rsid w:val="00EA4428"/>
    <w:rsid w:val="00EA4674"/>
    <w:rsid w:val="00EA6A1F"/>
    <w:rsid w:val="00EA6AAB"/>
    <w:rsid w:val="00EA7239"/>
    <w:rsid w:val="00EA74CD"/>
    <w:rsid w:val="00EB0624"/>
    <w:rsid w:val="00EB1334"/>
    <w:rsid w:val="00EB1384"/>
    <w:rsid w:val="00EB1B85"/>
    <w:rsid w:val="00EB1DB4"/>
    <w:rsid w:val="00EB3007"/>
    <w:rsid w:val="00EB4677"/>
    <w:rsid w:val="00EB53C3"/>
    <w:rsid w:val="00EC00C9"/>
    <w:rsid w:val="00EC08F4"/>
    <w:rsid w:val="00EC2DD8"/>
    <w:rsid w:val="00EC38D6"/>
    <w:rsid w:val="00EC3F97"/>
    <w:rsid w:val="00EC5158"/>
    <w:rsid w:val="00EC52B5"/>
    <w:rsid w:val="00EC60BB"/>
    <w:rsid w:val="00EC64C2"/>
    <w:rsid w:val="00EC69F7"/>
    <w:rsid w:val="00EC7C0B"/>
    <w:rsid w:val="00ED01B9"/>
    <w:rsid w:val="00ED09C9"/>
    <w:rsid w:val="00ED258C"/>
    <w:rsid w:val="00ED29FA"/>
    <w:rsid w:val="00ED2EE3"/>
    <w:rsid w:val="00ED33D5"/>
    <w:rsid w:val="00ED33DC"/>
    <w:rsid w:val="00ED4065"/>
    <w:rsid w:val="00ED409D"/>
    <w:rsid w:val="00ED4652"/>
    <w:rsid w:val="00ED5311"/>
    <w:rsid w:val="00ED70D4"/>
    <w:rsid w:val="00ED7D71"/>
    <w:rsid w:val="00ED7DE4"/>
    <w:rsid w:val="00EE032F"/>
    <w:rsid w:val="00EE0669"/>
    <w:rsid w:val="00EE06CC"/>
    <w:rsid w:val="00EE07D3"/>
    <w:rsid w:val="00EE1161"/>
    <w:rsid w:val="00EE20DD"/>
    <w:rsid w:val="00EE316E"/>
    <w:rsid w:val="00EE3D2D"/>
    <w:rsid w:val="00EE4A00"/>
    <w:rsid w:val="00EE4E74"/>
    <w:rsid w:val="00EE510B"/>
    <w:rsid w:val="00EE6A25"/>
    <w:rsid w:val="00EE70A9"/>
    <w:rsid w:val="00EE7193"/>
    <w:rsid w:val="00EE7250"/>
    <w:rsid w:val="00EF01FA"/>
    <w:rsid w:val="00EF2679"/>
    <w:rsid w:val="00EF2762"/>
    <w:rsid w:val="00EF31C8"/>
    <w:rsid w:val="00EF3541"/>
    <w:rsid w:val="00EF3F83"/>
    <w:rsid w:val="00EF65E2"/>
    <w:rsid w:val="00EF70E4"/>
    <w:rsid w:val="00EF71B4"/>
    <w:rsid w:val="00EF7459"/>
    <w:rsid w:val="00EF7536"/>
    <w:rsid w:val="00EF7A99"/>
    <w:rsid w:val="00F004FE"/>
    <w:rsid w:val="00F018A1"/>
    <w:rsid w:val="00F01BA3"/>
    <w:rsid w:val="00F025EA"/>
    <w:rsid w:val="00F026B8"/>
    <w:rsid w:val="00F02888"/>
    <w:rsid w:val="00F02930"/>
    <w:rsid w:val="00F042E2"/>
    <w:rsid w:val="00F058C9"/>
    <w:rsid w:val="00F067A2"/>
    <w:rsid w:val="00F10EE5"/>
    <w:rsid w:val="00F123BE"/>
    <w:rsid w:val="00F1308B"/>
    <w:rsid w:val="00F13517"/>
    <w:rsid w:val="00F15508"/>
    <w:rsid w:val="00F15C98"/>
    <w:rsid w:val="00F15D96"/>
    <w:rsid w:val="00F15F95"/>
    <w:rsid w:val="00F16352"/>
    <w:rsid w:val="00F16D59"/>
    <w:rsid w:val="00F16E00"/>
    <w:rsid w:val="00F1755B"/>
    <w:rsid w:val="00F179CE"/>
    <w:rsid w:val="00F20247"/>
    <w:rsid w:val="00F20434"/>
    <w:rsid w:val="00F207E4"/>
    <w:rsid w:val="00F216AE"/>
    <w:rsid w:val="00F219B0"/>
    <w:rsid w:val="00F21B47"/>
    <w:rsid w:val="00F21D91"/>
    <w:rsid w:val="00F22144"/>
    <w:rsid w:val="00F2281F"/>
    <w:rsid w:val="00F23DD8"/>
    <w:rsid w:val="00F24837"/>
    <w:rsid w:val="00F251FF"/>
    <w:rsid w:val="00F254F7"/>
    <w:rsid w:val="00F2575F"/>
    <w:rsid w:val="00F25E85"/>
    <w:rsid w:val="00F26B59"/>
    <w:rsid w:val="00F26D4F"/>
    <w:rsid w:val="00F27B55"/>
    <w:rsid w:val="00F31AD4"/>
    <w:rsid w:val="00F32067"/>
    <w:rsid w:val="00F328BA"/>
    <w:rsid w:val="00F33179"/>
    <w:rsid w:val="00F3381D"/>
    <w:rsid w:val="00F338FF"/>
    <w:rsid w:val="00F33977"/>
    <w:rsid w:val="00F33DDD"/>
    <w:rsid w:val="00F33DE9"/>
    <w:rsid w:val="00F3429E"/>
    <w:rsid w:val="00F34678"/>
    <w:rsid w:val="00F34B17"/>
    <w:rsid w:val="00F35D7F"/>
    <w:rsid w:val="00F3619A"/>
    <w:rsid w:val="00F36A72"/>
    <w:rsid w:val="00F37177"/>
    <w:rsid w:val="00F377A1"/>
    <w:rsid w:val="00F37935"/>
    <w:rsid w:val="00F379BB"/>
    <w:rsid w:val="00F40AF6"/>
    <w:rsid w:val="00F41E2F"/>
    <w:rsid w:val="00F42A4D"/>
    <w:rsid w:val="00F42C00"/>
    <w:rsid w:val="00F43EF7"/>
    <w:rsid w:val="00F458A7"/>
    <w:rsid w:val="00F45F6F"/>
    <w:rsid w:val="00F460DF"/>
    <w:rsid w:val="00F46120"/>
    <w:rsid w:val="00F46CB6"/>
    <w:rsid w:val="00F501C2"/>
    <w:rsid w:val="00F511E7"/>
    <w:rsid w:val="00F52AF7"/>
    <w:rsid w:val="00F5365F"/>
    <w:rsid w:val="00F5542E"/>
    <w:rsid w:val="00F55E73"/>
    <w:rsid w:val="00F6032D"/>
    <w:rsid w:val="00F60605"/>
    <w:rsid w:val="00F61587"/>
    <w:rsid w:val="00F62964"/>
    <w:rsid w:val="00F62EB1"/>
    <w:rsid w:val="00F6339A"/>
    <w:rsid w:val="00F633B1"/>
    <w:rsid w:val="00F64129"/>
    <w:rsid w:val="00F658C6"/>
    <w:rsid w:val="00F65AA0"/>
    <w:rsid w:val="00F65B90"/>
    <w:rsid w:val="00F66210"/>
    <w:rsid w:val="00F704EB"/>
    <w:rsid w:val="00F7159A"/>
    <w:rsid w:val="00F71A2C"/>
    <w:rsid w:val="00F72F3A"/>
    <w:rsid w:val="00F73520"/>
    <w:rsid w:val="00F77C18"/>
    <w:rsid w:val="00F808D4"/>
    <w:rsid w:val="00F80E5D"/>
    <w:rsid w:val="00F8145B"/>
    <w:rsid w:val="00F823A5"/>
    <w:rsid w:val="00F847B6"/>
    <w:rsid w:val="00F851CE"/>
    <w:rsid w:val="00F85574"/>
    <w:rsid w:val="00F8561E"/>
    <w:rsid w:val="00F86659"/>
    <w:rsid w:val="00F87FFE"/>
    <w:rsid w:val="00F9148E"/>
    <w:rsid w:val="00F91662"/>
    <w:rsid w:val="00F91BF5"/>
    <w:rsid w:val="00F938CD"/>
    <w:rsid w:val="00F953F2"/>
    <w:rsid w:val="00F9583F"/>
    <w:rsid w:val="00F95BB9"/>
    <w:rsid w:val="00F9756B"/>
    <w:rsid w:val="00F97918"/>
    <w:rsid w:val="00F97A78"/>
    <w:rsid w:val="00F97CA6"/>
    <w:rsid w:val="00F97DD7"/>
    <w:rsid w:val="00FA1E75"/>
    <w:rsid w:val="00FA21B8"/>
    <w:rsid w:val="00FA33C1"/>
    <w:rsid w:val="00FA3CDD"/>
    <w:rsid w:val="00FA3F03"/>
    <w:rsid w:val="00FA3F0C"/>
    <w:rsid w:val="00FA44DA"/>
    <w:rsid w:val="00FA5099"/>
    <w:rsid w:val="00FA516F"/>
    <w:rsid w:val="00FA57A7"/>
    <w:rsid w:val="00FA5AB6"/>
    <w:rsid w:val="00FA5FE4"/>
    <w:rsid w:val="00FA6645"/>
    <w:rsid w:val="00FA6912"/>
    <w:rsid w:val="00FA6A49"/>
    <w:rsid w:val="00FA6D64"/>
    <w:rsid w:val="00FB1385"/>
    <w:rsid w:val="00FB1533"/>
    <w:rsid w:val="00FB1C69"/>
    <w:rsid w:val="00FB23E0"/>
    <w:rsid w:val="00FB249C"/>
    <w:rsid w:val="00FB287F"/>
    <w:rsid w:val="00FB2A50"/>
    <w:rsid w:val="00FB2FCB"/>
    <w:rsid w:val="00FB528A"/>
    <w:rsid w:val="00FC0A6D"/>
    <w:rsid w:val="00FC1074"/>
    <w:rsid w:val="00FC10DE"/>
    <w:rsid w:val="00FC11FC"/>
    <w:rsid w:val="00FC13AA"/>
    <w:rsid w:val="00FC1884"/>
    <w:rsid w:val="00FC1F9A"/>
    <w:rsid w:val="00FC2841"/>
    <w:rsid w:val="00FC37E8"/>
    <w:rsid w:val="00FC3AAA"/>
    <w:rsid w:val="00FC3C3B"/>
    <w:rsid w:val="00FC3D4C"/>
    <w:rsid w:val="00FC5E63"/>
    <w:rsid w:val="00FD1237"/>
    <w:rsid w:val="00FD14C9"/>
    <w:rsid w:val="00FD1ED2"/>
    <w:rsid w:val="00FD2100"/>
    <w:rsid w:val="00FD347A"/>
    <w:rsid w:val="00FD36FB"/>
    <w:rsid w:val="00FD40D3"/>
    <w:rsid w:val="00FD4100"/>
    <w:rsid w:val="00FD446D"/>
    <w:rsid w:val="00FD4AF8"/>
    <w:rsid w:val="00FD4BC2"/>
    <w:rsid w:val="00FD56C0"/>
    <w:rsid w:val="00FD595C"/>
    <w:rsid w:val="00FD5F6A"/>
    <w:rsid w:val="00FD6244"/>
    <w:rsid w:val="00FD70DB"/>
    <w:rsid w:val="00FE08A6"/>
    <w:rsid w:val="00FE0AF5"/>
    <w:rsid w:val="00FE1489"/>
    <w:rsid w:val="00FE1566"/>
    <w:rsid w:val="00FE1AB9"/>
    <w:rsid w:val="00FE1B55"/>
    <w:rsid w:val="00FE2009"/>
    <w:rsid w:val="00FE21E5"/>
    <w:rsid w:val="00FE35DA"/>
    <w:rsid w:val="00FE4F38"/>
    <w:rsid w:val="00FE6B29"/>
    <w:rsid w:val="00FE70B2"/>
    <w:rsid w:val="00FE74E7"/>
    <w:rsid w:val="00FF0B0A"/>
    <w:rsid w:val="00FF1401"/>
    <w:rsid w:val="00FF1D98"/>
    <w:rsid w:val="00FF296E"/>
    <w:rsid w:val="00FF3DCF"/>
    <w:rsid w:val="00FF450A"/>
    <w:rsid w:val="00FF4618"/>
    <w:rsid w:val="00FF5AA3"/>
    <w:rsid w:val="00FF68E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BE6A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5" w:unhideWhenUsed="0" w:qFormat="1"/>
    <w:lsdException w:name="heading 5" w:semiHidden="0" w:uiPriority="7" w:unhideWhenUsed="0" w:qFormat="1"/>
    <w:lsdException w:name="heading 6" w:semiHidden="0" w:uiPriority="7" w:unhideWhenUsed="0" w:qFormat="1"/>
    <w:lsdException w:name="heading 7" w:uiPriority="7" w:qFormat="1"/>
    <w:lsdException w:name="heading 8" w:uiPriority="7" w:qFormat="1"/>
    <w:lsdException w:name="heading 9" w:uiPriority="7" w:qFormat="1"/>
    <w:lsdException w:name="toc 1" w:uiPriority="39" w:qFormat="1"/>
    <w:lsdException w:name="toc 2" w:uiPriority="39" w:qFormat="1"/>
    <w:lsdException w:name="toc 3" w:uiPriority="39" w:qFormat="1"/>
    <w:lsdException w:name="toc 4" w:uiPriority="9"/>
    <w:lsdException w:name="toc 5" w:uiPriority="9"/>
    <w:lsdException w:name="toc 6" w:uiPriority="9"/>
    <w:lsdException w:name="toc 7" w:uiPriority="9"/>
    <w:lsdException w:name="toc 8" w:uiPriority="9"/>
    <w:lsdException w:name="toc 9" w:uiPriority="9"/>
    <w:lsdException w:name="footnote text" w:uiPriority="99"/>
    <w:lsdException w:name="annotation text" w:uiPriority="99"/>
    <w:lsdException w:name="header" w:uiPriority="99"/>
    <w:lsdException w:name="footer" w:uiPriority="99"/>
    <w:lsdException w:name="caption" w:uiPriority="35" w:qFormat="1"/>
    <w:lsdException w:name="footnote reference" w:uiPriority="99"/>
    <w:lsdException w:name="annotation reference" w:qFormat="1"/>
    <w:lsdException w:name="List Number" w:semiHidden="0" w:unhideWhenUsed="0"/>
    <w:lsdException w:name="List 4" w:semiHidden="0" w:unhideWhenUsed="0"/>
    <w:lsdException w:name="List 5" w:semiHidden="0" w:unhideWhenUsed="0"/>
    <w:lsdException w:name="Title" w:semiHidden="0" w:uiPriority="7" w:unhideWhenUsed="0"/>
    <w:lsdException w:name="Body Text" w:qFormat="1"/>
    <w:lsdException w:name="Body Text Indent" w:uiPriority="9"/>
    <w:lsdException w:name="Subtitle" w:semiHidden="0" w:uiPriority="9" w:unhideWhenUsed="0" w:qFormat="1"/>
    <w:lsdException w:name="Salutation" w:semiHidden="0" w:unhideWhenUsed="0"/>
    <w:lsdException w:name="Date" w:semiHidden="0" w:unhideWhenUsed="0"/>
    <w:lsdException w:name="Body Text First Indent" w:semiHidden="0" w:unhideWhenUsed="0"/>
    <w:lsdException w:name="Body Text 2" w:uiPriority="9"/>
    <w:lsdException w:name="Body Text 3" w:uiPriority="9"/>
    <w:lsdException w:name="Hyperlink" w:uiPriority="99"/>
    <w:lsdException w:name="FollowedHyperlink" w:uiPriority="99"/>
    <w:lsdException w:name="Strong" w:semiHidden="0" w:unhideWhenUsed="0"/>
    <w:lsdException w:name="Emphasis" w:semiHidden="0" w:uiPriority="20" w:unhideWhenUsed="0" w:qFormat="1"/>
    <w:lsdException w:name="Normal (Web)" w:uiPriority="99"/>
    <w:lsdException w:name="annotation subject" w:uiPriority="9"/>
    <w:lsdException w:name="No List" w:uiPriority="99"/>
    <w:lsdException w:name="Balloon Text" w:uiPriority="9"/>
    <w:lsdException w:name="Table Grid" w:uiPriority="59"/>
    <w:lsdException w:name="Placeholder Text" w:uiPriority="99" w:unhideWhenUsed="0"/>
    <w:lsdException w:name="No Spacing" w:semiHidden="0" w:uiPriority="7"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025FE"/>
    <w:pPr>
      <w:widowControl w:val="0"/>
      <w:jc w:val="both"/>
    </w:pPr>
    <w:rPr>
      <w:rFonts w:ascii="Arial" w:hAnsi="Arial" w:cs="Arial"/>
      <w:snapToGrid w:val="0"/>
      <w:sz w:val="22"/>
      <w:lang w:eastAsia="en-US"/>
    </w:rPr>
  </w:style>
  <w:style w:type="paragraph" w:styleId="Heading1">
    <w:name w:val="heading 1"/>
    <w:basedOn w:val="Normal"/>
    <w:next w:val="Normal"/>
    <w:link w:val="Heading1Char"/>
    <w:uiPriority w:val="1"/>
    <w:qFormat/>
    <w:rsid w:val="00D76A44"/>
    <w:pPr>
      <w:ind w:left="720" w:hanging="720"/>
      <w:outlineLvl w:val="0"/>
    </w:pPr>
    <w:rPr>
      <w:rFonts w:ascii="Arial Bold" w:hAnsi="Arial Bold"/>
      <w:b/>
      <w:caps/>
    </w:rPr>
  </w:style>
  <w:style w:type="paragraph" w:styleId="Heading2">
    <w:name w:val="heading 2"/>
    <w:basedOn w:val="Normal"/>
    <w:next w:val="Normal"/>
    <w:link w:val="Heading2Char"/>
    <w:uiPriority w:val="1"/>
    <w:qFormat/>
    <w:rsid w:val="00815F85"/>
    <w:pPr>
      <w:keepNext/>
      <w:widowControl/>
      <w:numPr>
        <w:numId w:val="28"/>
      </w:numPr>
      <w:spacing w:before="240" w:after="120"/>
      <w:outlineLvl w:val="1"/>
    </w:pPr>
    <w:rPr>
      <w:rFonts w:asciiTheme="minorHAnsi" w:hAnsiTheme="minorHAnsi"/>
      <w:b/>
      <w:sz w:val="32"/>
      <w:szCs w:val="32"/>
    </w:rPr>
  </w:style>
  <w:style w:type="paragraph" w:styleId="Heading3">
    <w:name w:val="heading 3"/>
    <w:basedOn w:val="Heading2"/>
    <w:next w:val="Normal"/>
    <w:link w:val="Heading3Char"/>
    <w:uiPriority w:val="1"/>
    <w:qFormat/>
    <w:rsid w:val="00815F85"/>
    <w:pPr>
      <w:numPr>
        <w:numId w:val="0"/>
      </w:numPr>
      <w:outlineLvl w:val="2"/>
    </w:pPr>
    <w:rPr>
      <w:i/>
      <w:sz w:val="28"/>
      <w:szCs w:val="28"/>
    </w:rPr>
  </w:style>
  <w:style w:type="paragraph" w:styleId="Heading4">
    <w:name w:val="heading 4"/>
    <w:aliases w:val="Heading 1 - Body"/>
    <w:basedOn w:val="Normal"/>
    <w:next w:val="Normal"/>
    <w:link w:val="Heading4Char"/>
    <w:uiPriority w:val="5"/>
    <w:qFormat/>
    <w:rsid w:val="00124A51"/>
    <w:pPr>
      <w:keepNext/>
      <w:spacing w:before="240" w:after="60"/>
      <w:outlineLvl w:val="3"/>
    </w:pPr>
    <w:rPr>
      <w:b/>
      <w:bCs/>
      <w:i/>
      <w:sz w:val="26"/>
      <w:szCs w:val="28"/>
    </w:rPr>
  </w:style>
  <w:style w:type="paragraph" w:styleId="Heading5">
    <w:name w:val="heading 5"/>
    <w:aliases w:val="Heading 2 - Body"/>
    <w:basedOn w:val="Normal"/>
    <w:next w:val="Normal"/>
    <w:link w:val="Heading5Char"/>
    <w:uiPriority w:val="7"/>
    <w:qFormat/>
    <w:rsid w:val="00124A51"/>
    <w:pPr>
      <w:spacing w:before="240" w:after="60"/>
      <w:outlineLvl w:val="4"/>
    </w:pPr>
    <w:rPr>
      <w:b/>
      <w:bCs/>
      <w:iCs/>
      <w:sz w:val="26"/>
      <w:szCs w:val="26"/>
    </w:rPr>
  </w:style>
  <w:style w:type="paragraph" w:styleId="Heading6">
    <w:name w:val="heading 6"/>
    <w:aliases w:val="Heading 3 - Body"/>
    <w:basedOn w:val="Normal"/>
    <w:next w:val="Normal"/>
    <w:link w:val="Heading6Char"/>
    <w:uiPriority w:val="7"/>
    <w:qFormat/>
    <w:rsid w:val="00124A51"/>
    <w:pPr>
      <w:spacing w:before="240" w:after="60"/>
      <w:outlineLvl w:val="5"/>
    </w:pPr>
    <w:rPr>
      <w:b/>
      <w:bCs/>
      <w:i/>
      <w:szCs w:val="22"/>
    </w:rPr>
  </w:style>
  <w:style w:type="paragraph" w:styleId="Heading7">
    <w:name w:val="heading 7"/>
    <w:basedOn w:val="Normal"/>
    <w:next w:val="Normal"/>
    <w:link w:val="Heading7Char"/>
    <w:uiPriority w:val="7"/>
    <w:qFormat/>
    <w:rsid w:val="00124A51"/>
    <w:pPr>
      <w:keepNext/>
      <w:jc w:val="center"/>
      <w:outlineLvl w:val="6"/>
    </w:pPr>
    <w:rPr>
      <w:b/>
      <w:sz w:val="20"/>
    </w:rPr>
  </w:style>
  <w:style w:type="paragraph" w:styleId="Heading8">
    <w:name w:val="heading 8"/>
    <w:basedOn w:val="Normal"/>
    <w:next w:val="Normal"/>
    <w:link w:val="Heading8Char"/>
    <w:uiPriority w:val="7"/>
    <w:qFormat/>
    <w:rsid w:val="00124A51"/>
    <w:pPr>
      <w:keepNext/>
      <w:jc w:val="right"/>
      <w:outlineLvl w:val="7"/>
    </w:pPr>
    <w:rPr>
      <w:b/>
    </w:rPr>
  </w:style>
  <w:style w:type="paragraph" w:styleId="Heading9">
    <w:name w:val="heading 9"/>
    <w:aliases w:val="Section heading - Body"/>
    <w:basedOn w:val="Normal"/>
    <w:next w:val="Normal"/>
    <w:link w:val="Heading9Char"/>
    <w:uiPriority w:val="7"/>
    <w:qFormat/>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link w:val="TableFooterChar"/>
    <w:qFormat/>
    <w:rsid w:val="00E2771E"/>
    <w:rPr>
      <w:rFonts w:ascii="Arial Narrow" w:hAnsi="Arial Narrow"/>
      <w:sz w:val="18"/>
    </w:rPr>
  </w:style>
  <w:style w:type="paragraph" w:customStyle="1" w:styleId="TableHeader">
    <w:name w:val="Table Header"/>
    <w:basedOn w:val="Normal"/>
    <w:uiPriority w:val="3"/>
    <w:qFormat/>
    <w:rsid w:val="000D1BFC"/>
    <w:rPr>
      <w:b/>
      <w:sz w:val="20"/>
    </w:rPr>
  </w:style>
  <w:style w:type="character" w:customStyle="1" w:styleId="Heading2Char">
    <w:name w:val="Heading 2 Char"/>
    <w:link w:val="Heading2"/>
    <w:uiPriority w:val="1"/>
    <w:rsid w:val="00815F85"/>
    <w:rPr>
      <w:rFonts w:asciiTheme="minorHAnsi" w:hAnsiTheme="minorHAnsi" w:cs="Arial"/>
      <w:b/>
      <w:snapToGrid w:val="0"/>
      <w:sz w:val="32"/>
      <w:szCs w:val="32"/>
      <w:lang w:eastAsia="en-US"/>
    </w:rPr>
  </w:style>
  <w:style w:type="character" w:customStyle="1" w:styleId="Heading7Char">
    <w:name w:val="Heading 7 Char"/>
    <w:basedOn w:val="DefaultParagraphFont"/>
    <w:link w:val="Heading7"/>
    <w:uiPriority w:val="7"/>
    <w:rsid w:val="00124A51"/>
    <w:rPr>
      <w:rFonts w:ascii="Arial" w:hAnsi="Arial"/>
      <w:b/>
      <w:snapToGrid w:val="0"/>
      <w:lang w:eastAsia="en-US"/>
    </w:rPr>
  </w:style>
  <w:style w:type="character" w:customStyle="1" w:styleId="Heading8Char">
    <w:name w:val="Heading 8 Char"/>
    <w:basedOn w:val="DefaultParagraphFont"/>
    <w:link w:val="Heading8"/>
    <w:uiPriority w:val="7"/>
    <w:rsid w:val="00124A51"/>
    <w:rPr>
      <w:b/>
      <w:snapToGrid w:val="0"/>
      <w:sz w:val="24"/>
      <w:lang w:eastAsia="en-US"/>
    </w:rPr>
  </w:style>
  <w:style w:type="character" w:customStyle="1" w:styleId="Heading9Char">
    <w:name w:val="Heading 9 Char"/>
    <w:aliases w:val="Section heading - Body Char"/>
    <w:basedOn w:val="DefaultParagraphFont"/>
    <w:link w:val="Heading9"/>
    <w:uiPriority w:val="7"/>
    <w:rsid w:val="00124A51"/>
    <w:rPr>
      <w:rFonts w:ascii="Arial" w:hAnsi="Arial"/>
      <w:b/>
      <w:snapToGrid w:val="0"/>
      <w:color w:val="000000"/>
      <w:lang w:eastAsia="en-US"/>
    </w:rPr>
  </w:style>
  <w:style w:type="paragraph" w:styleId="Caption">
    <w:name w:val="caption"/>
    <w:aliases w:val="IB Caption,Medical Caption,Medical Caption Char,Caption Char1 Char Char,Caption Char Char Char Char,Caption Char1 Char,Caption Char Char Char Char Char,Caption Char Char,Caption Char Char Char Char1,Caption Char1 Char1,Tabellen-Tite,V5.0 Caption"/>
    <w:basedOn w:val="TableHeading"/>
    <w:next w:val="Normal"/>
    <w:link w:val="CaptionChar"/>
    <w:uiPriority w:val="35"/>
    <w:unhideWhenUsed/>
    <w:qFormat/>
    <w:rsid w:val="008A1DA3"/>
  </w:style>
  <w:style w:type="character" w:customStyle="1" w:styleId="CaptionChar">
    <w:name w:val="Caption Char"/>
    <w:aliases w:val="IB Caption Char,Medical Caption Char1,Medical Caption Char Char,Caption Char1 Char Char Char,Caption Char Char Char Char Char1,Caption Char1 Char Char1,Caption Char Char Char Char Char Char,Caption Char Char Char,Caption Char1 Char1 Char"/>
    <w:link w:val="Caption"/>
    <w:uiPriority w:val="35"/>
    <w:rsid w:val="008A1DA3"/>
    <w:rPr>
      <w:rFonts w:ascii="Arial Narrow" w:eastAsiaTheme="minorHAnsi" w:hAnsi="Arial Narrow" w:cstheme="minorBidi"/>
      <w:b/>
      <w:szCs w:val="22"/>
      <w:lang w:eastAsia="en-US"/>
    </w:rPr>
  </w:style>
  <w:style w:type="paragraph" w:styleId="Title">
    <w:name w:val="Title"/>
    <w:basedOn w:val="Normal"/>
    <w:next w:val="Normal"/>
    <w:link w:val="TitleChar"/>
    <w:uiPriority w:val="7"/>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7"/>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ulletPoints"/>
    <w:basedOn w:val="Normal"/>
    <w:link w:val="ListParagraphChar"/>
    <w:uiPriority w:val="34"/>
    <w:qFormat/>
    <w:rsid w:val="00124A51"/>
    <w:pPr>
      <w:ind w:left="720"/>
      <w:contextualSpacing/>
    </w:pPr>
  </w:style>
  <w:style w:type="paragraph" w:customStyle="1" w:styleId="RegularText">
    <w:name w:val="Regular Text"/>
    <w:basedOn w:val="BodyText"/>
    <w:link w:val="RegularTextChar"/>
    <w:uiPriority w:val="9"/>
    <w:rsid w:val="00124A51"/>
    <w:rPr>
      <w:b/>
    </w:rPr>
  </w:style>
  <w:style w:type="paragraph" w:styleId="NoSpacing">
    <w:name w:val="No Spacing"/>
    <w:uiPriority w:val="7"/>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uiPriority w:val="9"/>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new style"/>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qFormat/>
    <w:rsid w:val="00E2771E"/>
    <w:rPr>
      <w:rFonts w:ascii="Arial Narrow" w:hAnsi="Arial Narrow"/>
      <w:b/>
      <w:sz w:val="20"/>
      <w:szCs w:val="16"/>
    </w:rPr>
  </w:style>
  <w:style w:type="paragraph" w:customStyle="1" w:styleId="Tabletext">
    <w:name w:val="Table text"/>
    <w:basedOn w:val="Normal"/>
    <w:link w:val="TabletextChar"/>
    <w:qFormat/>
    <w:rsid w:val="00A56B6A"/>
    <w:pPr>
      <w:widowControl/>
      <w:spacing w:after="120"/>
      <w:jc w:val="left"/>
    </w:pPr>
    <w:rPr>
      <w:rFonts w:cs="Times New Roman"/>
      <w:snapToGrid/>
      <w:sz w:val="20"/>
    </w:rPr>
  </w:style>
  <w:style w:type="paragraph" w:customStyle="1" w:styleId="TableHeading0">
    <w:name w:val="TableHeading"/>
    <w:basedOn w:val="Normal"/>
    <w:link w:val="TableHeadingChar"/>
    <w:qFormat/>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qFormat/>
    <w:rsid w:val="00F71A2C"/>
    <w:pPr>
      <w:tabs>
        <w:tab w:val="left" w:pos="880"/>
        <w:tab w:val="right" w:leader="dot" w:pos="9016"/>
      </w:tabs>
      <w:spacing w:before="120"/>
      <w:ind w:left="810" w:hanging="590"/>
      <w:jc w:val="left"/>
    </w:pPr>
    <w:rPr>
      <w:iCs/>
      <w:sz w:val="20"/>
    </w:rPr>
  </w:style>
  <w:style w:type="paragraph" w:styleId="TOC1">
    <w:name w:val="toc 1"/>
    <w:basedOn w:val="Normal"/>
    <w:next w:val="Normal"/>
    <w:autoRedefine/>
    <w:uiPriority w:val="39"/>
    <w:qFormat/>
    <w:rsid w:val="000C70BB"/>
    <w:pPr>
      <w:tabs>
        <w:tab w:val="left" w:pos="440"/>
        <w:tab w:val="right" w:leader="dot" w:pos="9016"/>
      </w:tabs>
      <w:spacing w:before="240" w:after="120"/>
      <w:ind w:left="450" w:hanging="45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qFormat/>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qFormat/>
    <w:rsid w:val="00CE6274"/>
    <w:pPr>
      <w:ind w:left="440"/>
      <w:jc w:val="left"/>
    </w:pPr>
    <w:rPr>
      <w:rFonts w:asciiTheme="minorHAnsi" w:hAnsiTheme="minorHAnsi"/>
      <w:sz w:val="20"/>
    </w:rPr>
  </w:style>
  <w:style w:type="paragraph" w:styleId="BalloonText">
    <w:name w:val="Balloon Text"/>
    <w:basedOn w:val="Normal"/>
    <w:link w:val="BalloonTextChar"/>
    <w:uiPriority w:val="9"/>
    <w:rsid w:val="00CE6274"/>
    <w:rPr>
      <w:rFonts w:ascii="Tahoma" w:hAnsi="Tahoma" w:cs="Tahoma"/>
      <w:sz w:val="16"/>
      <w:szCs w:val="16"/>
    </w:rPr>
  </w:style>
  <w:style w:type="character" w:customStyle="1" w:styleId="BalloonTextChar">
    <w:name w:val="Balloon Text Char"/>
    <w:basedOn w:val="DefaultParagraphFont"/>
    <w:link w:val="BalloonText"/>
    <w:uiPriority w:val="9"/>
    <w:rsid w:val="00CE6274"/>
    <w:rPr>
      <w:rFonts w:ascii="Tahoma" w:hAnsi="Tahoma" w:cs="Tahoma"/>
      <w:snapToGrid w:val="0"/>
      <w:sz w:val="16"/>
      <w:szCs w:val="16"/>
      <w:lang w:eastAsia="en-US"/>
    </w:rPr>
  </w:style>
  <w:style w:type="paragraph" w:styleId="BodyText3">
    <w:name w:val="Body Text 3"/>
    <w:basedOn w:val="Normal"/>
    <w:link w:val="BodyText3Char"/>
    <w:uiPriority w:val="9"/>
    <w:rsid w:val="00CE6274"/>
    <w:pPr>
      <w:spacing w:after="120"/>
    </w:pPr>
    <w:rPr>
      <w:sz w:val="16"/>
      <w:szCs w:val="16"/>
    </w:rPr>
  </w:style>
  <w:style w:type="character" w:customStyle="1" w:styleId="BodyText3Char">
    <w:name w:val="Body Text 3 Char"/>
    <w:basedOn w:val="DefaultParagraphFont"/>
    <w:link w:val="BodyText3"/>
    <w:uiPriority w:val="9"/>
    <w:rsid w:val="00CE6274"/>
    <w:rPr>
      <w:rFonts w:ascii="Arial" w:hAnsi="Arial" w:cs="Arial"/>
      <w:snapToGrid w:val="0"/>
      <w:sz w:val="16"/>
      <w:szCs w:val="16"/>
      <w:lang w:eastAsia="en-US"/>
    </w:rPr>
  </w:style>
  <w:style w:type="paragraph" w:styleId="TOC4">
    <w:name w:val="toc 4"/>
    <w:basedOn w:val="Normal"/>
    <w:next w:val="Normal"/>
    <w:autoRedefine/>
    <w:uiPriority w:val="9"/>
    <w:rsid w:val="00D0262E"/>
    <w:pPr>
      <w:ind w:left="660"/>
      <w:jc w:val="left"/>
    </w:pPr>
    <w:rPr>
      <w:rFonts w:asciiTheme="minorHAnsi" w:hAnsiTheme="minorHAnsi"/>
      <w:sz w:val="20"/>
    </w:rPr>
  </w:style>
  <w:style w:type="paragraph" w:styleId="TOC5">
    <w:name w:val="toc 5"/>
    <w:basedOn w:val="Normal"/>
    <w:next w:val="Normal"/>
    <w:autoRedefine/>
    <w:uiPriority w:val="9"/>
    <w:rsid w:val="00D0262E"/>
    <w:pPr>
      <w:ind w:left="880"/>
      <w:jc w:val="left"/>
    </w:pPr>
    <w:rPr>
      <w:rFonts w:asciiTheme="minorHAnsi" w:hAnsiTheme="minorHAnsi"/>
      <w:sz w:val="20"/>
    </w:rPr>
  </w:style>
  <w:style w:type="paragraph" w:styleId="TOC6">
    <w:name w:val="toc 6"/>
    <w:basedOn w:val="Normal"/>
    <w:next w:val="Normal"/>
    <w:autoRedefine/>
    <w:uiPriority w:val="9"/>
    <w:rsid w:val="00D0262E"/>
    <w:pPr>
      <w:ind w:left="1100"/>
      <w:jc w:val="left"/>
    </w:pPr>
    <w:rPr>
      <w:rFonts w:asciiTheme="minorHAnsi" w:hAnsiTheme="minorHAnsi"/>
      <w:sz w:val="20"/>
    </w:rPr>
  </w:style>
  <w:style w:type="paragraph" w:styleId="TOC7">
    <w:name w:val="toc 7"/>
    <w:basedOn w:val="Normal"/>
    <w:next w:val="Normal"/>
    <w:autoRedefine/>
    <w:uiPriority w:val="9"/>
    <w:rsid w:val="00D0262E"/>
    <w:pPr>
      <w:ind w:left="1320"/>
      <w:jc w:val="left"/>
    </w:pPr>
    <w:rPr>
      <w:rFonts w:asciiTheme="minorHAnsi" w:hAnsiTheme="minorHAnsi"/>
      <w:sz w:val="20"/>
    </w:rPr>
  </w:style>
  <w:style w:type="paragraph" w:styleId="TOC8">
    <w:name w:val="toc 8"/>
    <w:basedOn w:val="Normal"/>
    <w:next w:val="Normal"/>
    <w:autoRedefine/>
    <w:uiPriority w:val="9"/>
    <w:rsid w:val="00D0262E"/>
    <w:pPr>
      <w:ind w:left="1540"/>
      <w:jc w:val="left"/>
    </w:pPr>
    <w:rPr>
      <w:rFonts w:asciiTheme="minorHAnsi" w:hAnsiTheme="minorHAnsi"/>
      <w:sz w:val="20"/>
    </w:rPr>
  </w:style>
  <w:style w:type="paragraph" w:styleId="TOC9">
    <w:name w:val="toc 9"/>
    <w:basedOn w:val="Normal"/>
    <w:next w:val="Normal"/>
    <w:autoRedefine/>
    <w:uiPriority w:val="9"/>
    <w:rsid w:val="00D0262E"/>
    <w:pPr>
      <w:ind w:left="1760"/>
      <w:jc w:val="left"/>
    </w:pPr>
    <w:rPr>
      <w:rFonts w:asciiTheme="minorHAnsi" w:hAnsiTheme="minorHAnsi"/>
      <w:sz w:val="20"/>
    </w:rPr>
  </w:style>
  <w:style w:type="paragraph" w:styleId="BodyText2">
    <w:name w:val="Body Text 2"/>
    <w:basedOn w:val="Normal"/>
    <w:link w:val="BodyText2Char"/>
    <w:uiPriority w:val="9"/>
    <w:rsid w:val="00D17D6C"/>
    <w:pPr>
      <w:spacing w:after="120" w:line="480" w:lineRule="auto"/>
    </w:pPr>
  </w:style>
  <w:style w:type="character" w:customStyle="1" w:styleId="BodyText2Char">
    <w:name w:val="Body Text 2 Char"/>
    <w:basedOn w:val="DefaultParagraphFont"/>
    <w:link w:val="BodyText2"/>
    <w:uiPriority w:val="9"/>
    <w:rsid w:val="00D17D6C"/>
    <w:rPr>
      <w:rFonts w:ascii="Arial" w:hAnsi="Arial" w:cs="Arial"/>
      <w:snapToGrid w:val="0"/>
      <w:sz w:val="22"/>
      <w:lang w:eastAsia="en-US"/>
    </w:rPr>
  </w:style>
  <w:style w:type="paragraph" w:styleId="CommentText">
    <w:name w:val="annotation text"/>
    <w:aliases w:val="- H19"/>
    <w:basedOn w:val="Normal"/>
    <w:link w:val="CommentTextChar"/>
    <w:uiPriority w:val="99"/>
    <w:rsid w:val="00FD2100"/>
    <w:rPr>
      <w:rFonts w:ascii="Times New Roman" w:hAnsi="Times New Roman" w:cs="Times New Roman"/>
      <w:sz w:val="20"/>
    </w:rPr>
  </w:style>
  <w:style w:type="character" w:customStyle="1" w:styleId="CommentTextChar">
    <w:name w:val="Comment Text Char"/>
    <w:aliases w:val="- H19 Char"/>
    <w:basedOn w:val="DefaultParagraphFont"/>
    <w:link w:val="CommentText"/>
    <w:uiPriority w:val="99"/>
    <w:rsid w:val="00FD2100"/>
    <w:rPr>
      <w:snapToGrid w:val="0"/>
      <w:lang w:eastAsia="en-US"/>
    </w:rPr>
  </w:style>
  <w:style w:type="paragraph" w:customStyle="1" w:styleId="TableText0">
    <w:name w:val="TableText"/>
    <w:basedOn w:val="Normal"/>
    <w:uiPriority w:val="9"/>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qFormat/>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uiPriority w:val="9"/>
    <w:rsid w:val="00CA7B09"/>
    <w:pPr>
      <w:keepNext w:val="0"/>
      <w:keepLines/>
      <w:spacing w:before="0" w:after="360"/>
      <w:ind w:left="720"/>
    </w:pPr>
    <w:rPr>
      <w:sz w:val="18"/>
      <w:szCs w:val="18"/>
    </w:rPr>
  </w:style>
  <w:style w:type="paragraph" w:customStyle="1" w:styleId="TableNotes0">
    <w:name w:val="TableNotes+0"/>
    <w:basedOn w:val="TableNotes18"/>
    <w:uiPriority w:val="9"/>
    <w:rsid w:val="00CA7B09"/>
    <w:pPr>
      <w:keepNext/>
      <w:spacing w:after="0"/>
    </w:pPr>
  </w:style>
  <w:style w:type="paragraph" w:styleId="CommentSubject">
    <w:name w:val="annotation subject"/>
    <w:basedOn w:val="CommentText"/>
    <w:next w:val="CommentText"/>
    <w:link w:val="CommentSubjectChar"/>
    <w:uiPriority w:val="9"/>
    <w:rsid w:val="004319F8"/>
    <w:rPr>
      <w:rFonts w:ascii="Arial" w:hAnsi="Arial" w:cs="Arial"/>
      <w:b/>
      <w:bCs/>
    </w:rPr>
  </w:style>
  <w:style w:type="character" w:customStyle="1" w:styleId="CommentSubjectChar">
    <w:name w:val="Comment Subject Char"/>
    <w:basedOn w:val="CommentTextChar"/>
    <w:link w:val="CommentSubject"/>
    <w:uiPriority w:val="9"/>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uiPriority w:val="9"/>
    <w:rsid w:val="00E41E30"/>
    <w:pPr>
      <w:spacing w:after="120"/>
      <w:ind w:left="283"/>
    </w:pPr>
  </w:style>
  <w:style w:type="character" w:customStyle="1" w:styleId="BodyTextIndentChar">
    <w:name w:val="Body Text Indent Char"/>
    <w:basedOn w:val="DefaultParagraphFont"/>
    <w:link w:val="BodyTextIndent"/>
    <w:uiPriority w:val="9"/>
    <w:rsid w:val="00E41E30"/>
    <w:rPr>
      <w:rFonts w:ascii="Arial" w:hAnsi="Arial" w:cs="Arial"/>
      <w:snapToGrid w:val="0"/>
      <w:sz w:val="22"/>
      <w:lang w:eastAsia="en-US"/>
    </w:rPr>
  </w:style>
  <w:style w:type="paragraph" w:customStyle="1" w:styleId="Char1CharCharChar">
    <w:name w:val="Char1 Char Char Char"/>
    <w:basedOn w:val="Normal"/>
    <w:uiPriority w:val="9"/>
    <w:rsid w:val="00B94945"/>
    <w:pPr>
      <w:widowControl/>
      <w:spacing w:after="160" w:line="240" w:lineRule="exact"/>
      <w:jc w:val="left"/>
    </w:pPr>
    <w:rPr>
      <w:rFonts w:ascii="Verdana" w:eastAsia="MS Mincho" w:hAnsi="Verdana" w:cs="Verdana"/>
      <w:snapToGrid/>
      <w:sz w:val="20"/>
      <w:lang w:val="en-US"/>
    </w:rPr>
  </w:style>
  <w:style w:type="paragraph" w:customStyle="1" w:styleId="PBACheading1">
    <w:name w:val="PBAC heading 1"/>
    <w:qFormat/>
    <w:rsid w:val="002025FE"/>
    <w:pPr>
      <w:numPr>
        <w:numId w:val="1"/>
      </w:numPr>
    </w:pPr>
    <w:rPr>
      <w:rFonts w:ascii="Arial" w:hAnsi="Arial" w:cs="Arial"/>
      <w:snapToGrid w:val="0"/>
      <w:sz w:val="22"/>
      <w:szCs w:val="22"/>
      <w:lang w:eastAsia="en-US"/>
    </w:rPr>
  </w:style>
  <w:style w:type="paragraph" w:customStyle="1" w:styleId="PBACHeading10">
    <w:name w:val="PBAC Heading 1"/>
    <w:qFormat/>
    <w:rsid w:val="003779C4"/>
    <w:pPr>
      <w:ind w:left="720" w:hanging="720"/>
      <w:outlineLvl w:val="0"/>
    </w:pPr>
    <w:rPr>
      <w:rFonts w:ascii="Arial" w:hAnsi="Arial" w:cs="Arial"/>
      <w:b/>
      <w:snapToGrid w:val="0"/>
      <w:sz w:val="22"/>
      <w:szCs w:val="22"/>
      <w:lang w:eastAsia="en-US"/>
    </w:rPr>
  </w:style>
  <w:style w:type="character" w:customStyle="1" w:styleId="ListParagraphChar">
    <w:name w:val="List Paragraph Char"/>
    <w:aliases w:val="BulletPoints Char"/>
    <w:link w:val="ListParagraph"/>
    <w:uiPriority w:val="72"/>
    <w:rsid w:val="003779C4"/>
    <w:rPr>
      <w:rFonts w:ascii="Arial" w:hAnsi="Arial" w:cs="Arial"/>
      <w:snapToGrid w:val="0"/>
      <w:sz w:val="22"/>
      <w:lang w:eastAsia="en-US"/>
    </w:rPr>
  </w:style>
  <w:style w:type="paragraph" w:styleId="FootnoteText">
    <w:name w:val="footnote text"/>
    <w:basedOn w:val="Normal"/>
    <w:link w:val="FootnoteTextChar"/>
    <w:uiPriority w:val="99"/>
    <w:unhideWhenUsed/>
    <w:rsid w:val="00EC2DD8"/>
    <w:rPr>
      <w:sz w:val="20"/>
    </w:rPr>
  </w:style>
  <w:style w:type="character" w:customStyle="1" w:styleId="FootnoteTextChar">
    <w:name w:val="Footnote Text Char"/>
    <w:basedOn w:val="DefaultParagraphFont"/>
    <w:link w:val="FootnoteText"/>
    <w:uiPriority w:val="99"/>
    <w:rsid w:val="00EC2DD8"/>
    <w:rPr>
      <w:rFonts w:ascii="Arial" w:hAnsi="Arial" w:cs="Arial"/>
      <w:snapToGrid w:val="0"/>
      <w:lang w:eastAsia="en-US"/>
    </w:rPr>
  </w:style>
  <w:style w:type="character" w:styleId="FootnoteReference">
    <w:name w:val="footnote reference"/>
    <w:basedOn w:val="DefaultParagraphFont"/>
    <w:uiPriority w:val="99"/>
    <w:unhideWhenUsed/>
    <w:rsid w:val="00EC2DD8"/>
    <w:rPr>
      <w:vertAlign w:val="superscript"/>
    </w:rPr>
  </w:style>
  <w:style w:type="table" w:customStyle="1" w:styleId="TableGridbeth41">
    <w:name w:val="Table Gridbeth41"/>
    <w:basedOn w:val="TableNormal"/>
    <w:next w:val="TableGrid"/>
    <w:uiPriority w:val="59"/>
    <w:rsid w:val="009D0617"/>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1">
    <w:name w:val="Table H1"/>
    <w:basedOn w:val="BodyText"/>
    <w:uiPriority w:val="4"/>
    <w:qFormat/>
    <w:rsid w:val="009D0617"/>
    <w:pPr>
      <w:keepNext/>
      <w:widowControl/>
      <w:tabs>
        <w:tab w:val="left" w:pos="416"/>
        <w:tab w:val="left" w:pos="582"/>
        <w:tab w:val="left" w:pos="1134"/>
      </w:tabs>
      <w:spacing w:after="240"/>
    </w:pPr>
    <w:rPr>
      <w:rFonts w:ascii="Calibri" w:hAnsi="Calibri" w:cs="Times New Roman"/>
      <w:b/>
      <w:snapToGrid/>
      <w:sz w:val="20"/>
      <w:lang w:val="en-US"/>
    </w:rPr>
  </w:style>
  <w:style w:type="character" w:customStyle="1" w:styleId="PBACTableTextChar">
    <w:name w:val="PBAC Table Text Char"/>
    <w:basedOn w:val="DefaultParagraphFont"/>
    <w:link w:val="PBACTableText"/>
    <w:locked/>
    <w:rsid w:val="00FC1F9A"/>
    <w:rPr>
      <w:rFonts w:ascii="News Gothic MT" w:eastAsia="Batang" w:hAnsi="News Gothic MT"/>
    </w:rPr>
  </w:style>
  <w:style w:type="paragraph" w:customStyle="1" w:styleId="PBACTableText">
    <w:name w:val="PBAC Table Text"/>
    <w:basedOn w:val="Normal"/>
    <w:link w:val="PBACTableTextChar"/>
    <w:qFormat/>
    <w:rsid w:val="00FC1F9A"/>
    <w:pPr>
      <w:widowControl/>
      <w:jc w:val="left"/>
    </w:pPr>
    <w:rPr>
      <w:rFonts w:ascii="News Gothic MT" w:eastAsia="Batang" w:hAnsi="News Gothic MT" w:cs="Times New Roman"/>
      <w:snapToGrid/>
      <w:sz w:val="20"/>
      <w:lang w:eastAsia="en-AU"/>
    </w:rPr>
  </w:style>
  <w:style w:type="paragraph" w:customStyle="1" w:styleId="Body">
    <w:name w:val="Body"/>
    <w:basedOn w:val="Normal"/>
    <w:link w:val="BodyChar1"/>
    <w:rsid w:val="00FC1F9A"/>
    <w:pPr>
      <w:widowControl/>
      <w:ind w:firstLine="288"/>
    </w:pPr>
    <w:rPr>
      <w:rFonts w:cs="Times New Roman"/>
      <w:snapToGrid/>
      <w:sz w:val="20"/>
      <w:lang w:val="en-US"/>
    </w:rPr>
  </w:style>
  <w:style w:type="character" w:customStyle="1" w:styleId="BodyChar1">
    <w:name w:val="Body Char1"/>
    <w:link w:val="Body"/>
    <w:rsid w:val="00FC1F9A"/>
    <w:rPr>
      <w:rFonts w:ascii="Arial" w:hAnsi="Arial"/>
      <w:lang w:val="en-US" w:eastAsia="en-US"/>
    </w:rPr>
  </w:style>
  <w:style w:type="paragraph" w:customStyle="1" w:styleId="Tablename0">
    <w:name w:val="Table name"/>
    <w:basedOn w:val="BodyText"/>
    <w:link w:val="TablenameChar"/>
    <w:uiPriority w:val="4"/>
    <w:qFormat/>
    <w:rsid w:val="00A05FEC"/>
    <w:pPr>
      <w:keepNext/>
      <w:widowControl/>
      <w:tabs>
        <w:tab w:val="left" w:pos="1418"/>
      </w:tabs>
      <w:spacing w:before="120" w:after="120"/>
      <w:ind w:left="1418" w:hanging="1418"/>
    </w:pPr>
    <w:rPr>
      <w:rFonts w:ascii="Calibri" w:hAnsi="Calibri" w:cs="Times New Roman"/>
      <w:b/>
      <w:bCs/>
      <w:snapToGrid/>
      <w:lang w:val="en-US"/>
    </w:rPr>
  </w:style>
  <w:style w:type="character" w:customStyle="1" w:styleId="TablenameChar">
    <w:name w:val="Table name Char"/>
    <w:basedOn w:val="DefaultParagraphFont"/>
    <w:link w:val="Tablename0"/>
    <w:rsid w:val="00A05FEC"/>
    <w:rPr>
      <w:rFonts w:ascii="Calibri" w:hAnsi="Calibri"/>
      <w:b/>
      <w:bCs/>
      <w:sz w:val="22"/>
      <w:lang w:val="en-US" w:eastAsia="en-US"/>
    </w:rPr>
  </w:style>
  <w:style w:type="paragraph" w:customStyle="1" w:styleId="Tabletextarialnarrow">
    <w:name w:val="Table text arial narrow"/>
    <w:basedOn w:val="Normal"/>
    <w:qFormat/>
    <w:rsid w:val="003D627F"/>
    <w:pPr>
      <w:keepNext/>
      <w:widowControl/>
    </w:pPr>
    <w:rPr>
      <w:rFonts w:ascii="Arial Narrow" w:hAnsi="Arial Narrow"/>
      <w:sz w:val="20"/>
    </w:rPr>
  </w:style>
  <w:style w:type="character" w:customStyle="1" w:styleId="Heading1Char">
    <w:name w:val="Heading 1 Char"/>
    <w:basedOn w:val="DefaultParagraphFont"/>
    <w:link w:val="Heading1"/>
    <w:uiPriority w:val="1"/>
    <w:rsid w:val="00FA5AB6"/>
    <w:rPr>
      <w:rFonts w:ascii="Arial Bold" w:hAnsi="Arial Bold" w:cs="Arial"/>
      <w:b/>
      <w:caps/>
      <w:snapToGrid w:val="0"/>
      <w:sz w:val="22"/>
      <w:lang w:eastAsia="en-US"/>
    </w:rPr>
  </w:style>
  <w:style w:type="table" w:customStyle="1" w:styleId="TableStyle">
    <w:name w:val="Table Style"/>
    <w:basedOn w:val="TableNormal"/>
    <w:rsid w:val="00E24A0D"/>
    <w:pPr>
      <w:spacing w:before="120"/>
    </w:pPr>
    <w:rPr>
      <w:rFonts w:ascii="Arial" w:hAnsi="Arial"/>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vAlign w:val="center"/>
    </w:tcPr>
    <w:tblStylePr w:type="firstRow">
      <w:pPr>
        <w:jc w:val="left"/>
      </w:pPr>
      <w:rPr>
        <w:b/>
        <w:bCs/>
        <w:color w:val="auto"/>
      </w:rPr>
      <w:tblPr/>
      <w:tcPr>
        <w:tcBorders>
          <w:tl2br w:val="none" w:sz="0" w:space="0" w:color="auto"/>
          <w:tr2bl w:val="none" w:sz="0" w:space="0" w:color="auto"/>
        </w:tcBorders>
        <w:shd w:val="clear" w:color="auto" w:fill="D9D9D9"/>
        <w:vAlign w:val="top"/>
      </w:tcPr>
    </w:tblStylePr>
  </w:style>
  <w:style w:type="table" w:customStyle="1" w:styleId="OPTUMTableNormal">
    <w:name w:val="OPTUM Table Normal"/>
    <w:basedOn w:val="TableNormal"/>
    <w:rsid w:val="00E24A0D"/>
    <w:pPr>
      <w:spacing w:before="40" w:after="20"/>
    </w:pPr>
    <w:rPr>
      <w:rFonts w:ascii="Calibri" w:hAnsi="Calibri"/>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val="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customStyle="1" w:styleId="Tablebullet">
    <w:name w:val="Table bullet"/>
    <w:basedOn w:val="Tabletext"/>
    <w:uiPriority w:val="4"/>
    <w:qFormat/>
    <w:rsid w:val="00E24A0D"/>
    <w:pPr>
      <w:keepNext/>
      <w:keepLines/>
      <w:numPr>
        <w:numId w:val="2"/>
      </w:numPr>
      <w:tabs>
        <w:tab w:val="left" w:pos="284"/>
      </w:tabs>
      <w:spacing w:before="20" w:after="20"/>
    </w:pPr>
    <w:rPr>
      <w:rFonts w:ascii="Calibri" w:hAnsi="Calibri"/>
      <w:sz w:val="18"/>
    </w:rPr>
  </w:style>
  <w:style w:type="table" w:customStyle="1" w:styleId="newstyle2">
    <w:name w:val="new style2"/>
    <w:basedOn w:val="TableNormal"/>
    <w:next w:val="TableGrid"/>
    <w:uiPriority w:val="59"/>
    <w:rsid w:val="00E24A0D"/>
    <w:pPr>
      <w:ind w:left="113" w:right="113"/>
    </w:pPr>
    <w:rPr>
      <w:rFonts w:ascii="Calibri" w:eastAsia="Calibri" w:hAnsi="Calibri"/>
      <w:sz w:val="16"/>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0" w:type="dxa"/>
        <w:bottom w:w="57" w:type="dxa"/>
        <w:right w:w="0" w:type="dxa"/>
      </w:tblCellMar>
    </w:tblPr>
    <w:trPr>
      <w:cantSplit/>
    </w:trPr>
    <w:tblStylePr w:type="firstRow">
      <w:rPr>
        <w:b/>
      </w:rPr>
      <w:tblPr/>
      <w:trPr>
        <w:cantSplit w:val="0"/>
        <w:tblHeader/>
      </w:trPr>
      <w:tcPr>
        <w:shd w:val="clear" w:color="auto" w:fill="BFBFBF" w:themeFill="background1" w:themeFillShade="BF"/>
      </w:tcPr>
    </w:tblStylePr>
  </w:style>
  <w:style w:type="table" w:customStyle="1" w:styleId="TableGridbeth2">
    <w:name w:val="Table Gridbeth2"/>
    <w:basedOn w:val="TableNormal"/>
    <w:next w:val="TableGrid"/>
    <w:rsid w:val="00E24A0D"/>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ewstyle3">
    <w:name w:val="new style3"/>
    <w:basedOn w:val="TableNormal"/>
    <w:next w:val="TableGrid"/>
    <w:uiPriority w:val="59"/>
    <w:rsid w:val="00E24A0D"/>
    <w:pPr>
      <w:ind w:left="113" w:right="113"/>
    </w:pPr>
    <w:rPr>
      <w:rFonts w:ascii="Calibri" w:eastAsia="Calibri" w:hAnsi="Calibri"/>
      <w:sz w:val="16"/>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0" w:type="dxa"/>
        <w:bottom w:w="57" w:type="dxa"/>
        <w:right w:w="0" w:type="dxa"/>
      </w:tblCellMar>
    </w:tblPr>
    <w:trPr>
      <w:cantSplit/>
    </w:trPr>
    <w:tblStylePr w:type="firstRow">
      <w:rPr>
        <w:b/>
      </w:rPr>
      <w:tblPr/>
      <w:trPr>
        <w:cantSplit w:val="0"/>
        <w:tblHeader/>
      </w:trPr>
      <w:tcPr>
        <w:shd w:val="clear" w:color="auto" w:fill="BFBFBF"/>
      </w:tcPr>
    </w:tblStylePr>
  </w:style>
  <w:style w:type="table" w:customStyle="1" w:styleId="newstyle31">
    <w:name w:val="new style31"/>
    <w:basedOn w:val="TableNormal"/>
    <w:next w:val="TableGrid"/>
    <w:uiPriority w:val="59"/>
    <w:rsid w:val="00E24A0D"/>
    <w:pPr>
      <w:ind w:left="113" w:right="113"/>
    </w:pPr>
    <w:rPr>
      <w:rFonts w:ascii="Calibri" w:eastAsia="Calibri" w:hAnsi="Calibri"/>
      <w:sz w:val="16"/>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0" w:type="dxa"/>
        <w:bottom w:w="57" w:type="dxa"/>
        <w:right w:w="0" w:type="dxa"/>
      </w:tblCellMar>
    </w:tblPr>
    <w:trPr>
      <w:cantSplit/>
    </w:trPr>
    <w:tblStylePr w:type="firstRow">
      <w:rPr>
        <w:b/>
      </w:rPr>
      <w:tblPr/>
      <w:trPr>
        <w:cantSplit w:val="0"/>
        <w:tblHeader/>
      </w:trPr>
      <w:tcPr>
        <w:shd w:val="clear" w:color="auto" w:fill="BFBFBF"/>
      </w:tcPr>
    </w:tblStylePr>
  </w:style>
  <w:style w:type="paragraph" w:customStyle="1" w:styleId="BoxHeading">
    <w:name w:val="BoxHeading"/>
    <w:basedOn w:val="BodyText"/>
    <w:link w:val="BoxHeadingChar"/>
    <w:uiPriority w:val="3"/>
    <w:rsid w:val="00E24A0D"/>
    <w:pPr>
      <w:widowControl/>
      <w:pBdr>
        <w:top w:val="single" w:sz="6" w:space="1" w:color="000000"/>
        <w:left w:val="single" w:sz="6" w:space="4" w:color="000000"/>
        <w:bottom w:val="single" w:sz="6" w:space="1" w:color="000000"/>
        <w:right w:val="single" w:sz="6" w:space="4" w:color="000000"/>
      </w:pBdr>
      <w:tabs>
        <w:tab w:val="left" w:pos="1418"/>
      </w:tabs>
      <w:spacing w:before="120" w:after="120"/>
    </w:pPr>
    <w:rPr>
      <w:rFonts w:ascii="Calibri" w:hAnsi="Calibri" w:cs="Times New Roman"/>
      <w:b/>
      <w:bCs/>
      <w:snapToGrid/>
      <w:lang w:val="en-US"/>
    </w:rPr>
  </w:style>
  <w:style w:type="numbering" w:customStyle="1" w:styleId="PBACstandardnumberstyle">
    <w:name w:val="PBAC standard number style"/>
    <w:uiPriority w:val="99"/>
    <w:rsid w:val="00E24A0D"/>
    <w:pPr>
      <w:numPr>
        <w:numId w:val="3"/>
      </w:numPr>
    </w:pPr>
  </w:style>
  <w:style w:type="character" w:customStyle="1" w:styleId="BoxHeadingChar">
    <w:name w:val="BoxHeading Char"/>
    <w:basedOn w:val="DefaultParagraphFont"/>
    <w:link w:val="BoxHeading"/>
    <w:uiPriority w:val="3"/>
    <w:rsid w:val="00E24A0D"/>
    <w:rPr>
      <w:rFonts w:ascii="Calibri" w:hAnsi="Calibri"/>
      <w:b/>
      <w:bCs/>
      <w:sz w:val="22"/>
      <w:lang w:val="en-US" w:eastAsia="en-US"/>
    </w:rPr>
  </w:style>
  <w:style w:type="paragraph" w:customStyle="1" w:styleId="Bulletpoint">
    <w:name w:val="Bulletpoint"/>
    <w:basedOn w:val="BodyText"/>
    <w:qFormat/>
    <w:rsid w:val="00E24A0D"/>
    <w:pPr>
      <w:numPr>
        <w:numId w:val="4"/>
      </w:numPr>
      <w:jc w:val="both"/>
    </w:pPr>
    <w:rPr>
      <w:rFonts w:ascii="Times New Roman" w:hAnsi="Times New Roman" w:cs="Times New Roman"/>
      <w:sz w:val="24"/>
    </w:rPr>
  </w:style>
  <w:style w:type="table" w:customStyle="1" w:styleId="newstyle1">
    <w:name w:val="new style1"/>
    <w:basedOn w:val="TableNormal"/>
    <w:next w:val="TableGrid"/>
    <w:uiPriority w:val="59"/>
    <w:rsid w:val="00E24A0D"/>
    <w:pPr>
      <w:spacing w:before="20" w:after="20"/>
    </w:pPr>
    <w:rPr>
      <w:rFonts w:ascii="Garamond" w:hAnsi="Garamond"/>
      <w:sz w:val="18"/>
    </w:rPr>
    <w:tblPr>
      <w:tblBorders>
        <w:top w:val="single" w:sz="2" w:space="0" w:color="auto"/>
        <w:left w:val="single" w:sz="2" w:space="0" w:color="auto"/>
        <w:bottom w:val="single" w:sz="2" w:space="0" w:color="auto"/>
        <w:right w:val="single" w:sz="2" w:space="0" w:color="auto"/>
      </w:tblBorders>
    </w:tblPr>
    <w:tcPr>
      <w:vAlign w:val="center"/>
    </w:tcPr>
    <w:tblStylePr w:type="firstRow">
      <w:pPr>
        <w:wordWrap/>
        <w:spacing w:beforeLines="40" w:beforeAutospacing="0" w:afterLines="20" w:afterAutospacing="0" w:line="360" w:lineRule="auto"/>
      </w:pPr>
      <w:rPr>
        <w:rFonts w:ascii="Arial Unicode MS" w:hAnsi="Arial Unicode MS"/>
        <w:b/>
        <w:i w:val="0"/>
        <w:sz w:val="22"/>
        <w:szCs w:val="22"/>
      </w:rPr>
      <w:tblPr/>
      <w:tcPr>
        <w:tcBorders>
          <w:top w:val="single" w:sz="2" w:space="0" w:color="auto"/>
          <w:left w:val="single" w:sz="2" w:space="0" w:color="auto"/>
          <w:bottom w:val="nil"/>
          <w:right w:val="single" w:sz="2" w:space="0" w:color="auto"/>
          <w:insideH w:val="nil"/>
          <w:insideV w:val="nil"/>
          <w:tl2br w:val="nil"/>
          <w:tr2bl w:val="nil"/>
        </w:tcBorders>
      </w:tcPr>
    </w:tblStylePr>
  </w:style>
  <w:style w:type="paragraph" w:customStyle="1" w:styleId="Tableleft">
    <w:name w:val="Table left"/>
    <w:basedOn w:val="TableText0"/>
    <w:link w:val="TableleftChar"/>
    <w:rsid w:val="00E24A0D"/>
    <w:pPr>
      <w:keepNext w:val="0"/>
    </w:pPr>
    <w:rPr>
      <w:rFonts w:ascii="Arial" w:hAnsi="Arial"/>
      <w:sz w:val="18"/>
    </w:rPr>
  </w:style>
  <w:style w:type="character" w:customStyle="1" w:styleId="TableleftChar">
    <w:name w:val="Table left Char"/>
    <w:basedOn w:val="DefaultParagraphFont"/>
    <w:link w:val="Tableleft"/>
    <w:rsid w:val="00E24A0D"/>
    <w:rPr>
      <w:rFonts w:ascii="Arial" w:hAnsi="Arial" w:cs="Arial Narrow"/>
      <w:sz w:val="18"/>
      <w:lang w:eastAsia="en-US"/>
    </w:rPr>
  </w:style>
  <w:style w:type="character" w:customStyle="1" w:styleId="TableHeadingChar">
    <w:name w:val="TableHeading Char"/>
    <w:link w:val="TableHeading0"/>
    <w:uiPriority w:val="99"/>
    <w:rsid w:val="00E24A0D"/>
    <w:rPr>
      <w:rFonts w:ascii="Arial Narrow" w:hAnsi="Arial Narrow" w:cs="Arial Narrow"/>
      <w:b/>
      <w:bCs/>
      <w:lang w:eastAsia="en-US"/>
    </w:rPr>
  </w:style>
  <w:style w:type="character" w:customStyle="1" w:styleId="SubtitleChar">
    <w:name w:val="Subtitle Char"/>
    <w:link w:val="Subtitle"/>
    <w:uiPriority w:val="9"/>
    <w:rsid w:val="003270B8"/>
    <w:rPr>
      <w:lang w:eastAsia="en-US"/>
    </w:rPr>
  </w:style>
  <w:style w:type="paragraph" w:styleId="Subtitle">
    <w:name w:val="Subtitle"/>
    <w:basedOn w:val="Normal"/>
    <w:link w:val="SubtitleChar"/>
    <w:uiPriority w:val="9"/>
    <w:qFormat/>
    <w:rsid w:val="003270B8"/>
    <w:pPr>
      <w:widowControl/>
    </w:pPr>
    <w:rPr>
      <w:rFonts w:ascii="Times New Roman" w:hAnsi="Times New Roman" w:cs="Times New Roman"/>
      <w:snapToGrid/>
      <w:sz w:val="20"/>
    </w:rPr>
  </w:style>
  <w:style w:type="character" w:customStyle="1" w:styleId="SubtitleChar1">
    <w:name w:val="Subtitle Char1"/>
    <w:basedOn w:val="DefaultParagraphFont"/>
    <w:uiPriority w:val="9"/>
    <w:rsid w:val="003270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KMC-Tabletext">
    <w:name w:val="KMC - Table text"/>
    <w:basedOn w:val="Normal"/>
    <w:qFormat/>
    <w:rsid w:val="003270B8"/>
    <w:pPr>
      <w:widowControl/>
      <w:spacing w:before="40" w:after="40"/>
      <w:jc w:val="left"/>
    </w:pPr>
    <w:rPr>
      <w:rFonts w:ascii="Arial Narrow" w:hAnsi="Arial Narrow"/>
      <w:bCs/>
      <w:snapToGrid/>
      <w:lang w:eastAsia="en-AU"/>
    </w:rPr>
  </w:style>
  <w:style w:type="paragraph" w:customStyle="1" w:styleId="Default">
    <w:name w:val="Default"/>
    <w:basedOn w:val="Normal"/>
    <w:rsid w:val="003270B8"/>
    <w:pPr>
      <w:widowControl/>
      <w:autoSpaceDE w:val="0"/>
      <w:autoSpaceDN w:val="0"/>
      <w:jc w:val="left"/>
    </w:pPr>
    <w:rPr>
      <w:rFonts w:ascii="Calibri" w:eastAsia="SimSun" w:hAnsi="Calibri" w:cs="SimSun"/>
      <w:snapToGrid/>
      <w:color w:val="000000"/>
      <w:sz w:val="24"/>
      <w:szCs w:val="24"/>
    </w:rPr>
  </w:style>
  <w:style w:type="paragraph" w:customStyle="1" w:styleId="labeltext">
    <w:name w:val="label text"/>
    <w:link w:val="labeltextChar"/>
    <w:rsid w:val="003270B8"/>
    <w:rPr>
      <w:sz w:val="22"/>
      <w:szCs w:val="22"/>
      <w:lang w:val="en-US" w:eastAsia="en-US"/>
    </w:rPr>
  </w:style>
  <w:style w:type="character" w:customStyle="1" w:styleId="labeltextChar">
    <w:name w:val="label text Char"/>
    <w:link w:val="labeltext"/>
    <w:locked/>
    <w:rsid w:val="003270B8"/>
    <w:rPr>
      <w:sz w:val="22"/>
      <w:szCs w:val="22"/>
      <w:lang w:val="en-US" w:eastAsia="en-US"/>
    </w:rPr>
  </w:style>
  <w:style w:type="table" w:customStyle="1" w:styleId="LightShading-Accent11">
    <w:name w:val="Light Shading - Accent 11"/>
    <w:basedOn w:val="TableNormal"/>
    <w:uiPriority w:val="60"/>
    <w:rsid w:val="003270B8"/>
    <w:rPr>
      <w:color w:val="365F91" w:themeColor="accent1" w:themeShade="BF"/>
      <w:lang w:val="en-US"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TableGrid1">
    <w:name w:val="Table Grid1"/>
    <w:basedOn w:val="TableNormal"/>
    <w:next w:val="TableGrid"/>
    <w:rsid w:val="003270B8"/>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Notes18">
    <w:name w:val="TableFigNotes+18"/>
    <w:basedOn w:val="BodyText"/>
    <w:next w:val="BodyText"/>
    <w:link w:val="TableFigNotes18Char"/>
    <w:uiPriority w:val="4"/>
    <w:qFormat/>
    <w:rsid w:val="003270B8"/>
    <w:pPr>
      <w:keepLines/>
      <w:widowControl/>
      <w:spacing w:after="360"/>
    </w:pPr>
    <w:rPr>
      <w:rFonts w:ascii="Calibri" w:hAnsi="Calibri" w:cs="Tahoma"/>
      <w:snapToGrid/>
      <w:color w:val="000000"/>
      <w:sz w:val="16"/>
      <w:szCs w:val="18"/>
      <w:lang w:val="en-US" w:eastAsia="en-AU"/>
    </w:rPr>
  </w:style>
  <w:style w:type="character" w:customStyle="1" w:styleId="TableFigNotes18Char">
    <w:name w:val="TableFigNotes+18 Char"/>
    <w:basedOn w:val="DefaultParagraphFont"/>
    <w:link w:val="TableFigNotes18"/>
    <w:uiPriority w:val="4"/>
    <w:rsid w:val="003270B8"/>
    <w:rPr>
      <w:rFonts w:ascii="Calibri" w:hAnsi="Calibri" w:cs="Tahoma"/>
      <w:color w:val="000000"/>
      <w:sz w:val="16"/>
      <w:szCs w:val="18"/>
      <w:lang w:val="en-US"/>
    </w:rPr>
  </w:style>
  <w:style w:type="paragraph" w:customStyle="1" w:styleId="Tabletextindent">
    <w:name w:val="Table text indent"/>
    <w:basedOn w:val="Tabletext"/>
    <w:uiPriority w:val="4"/>
    <w:qFormat/>
    <w:rsid w:val="003270B8"/>
    <w:pPr>
      <w:tabs>
        <w:tab w:val="left" w:pos="416"/>
        <w:tab w:val="left" w:pos="582"/>
      </w:tabs>
      <w:spacing w:before="20" w:after="20"/>
      <w:ind w:left="170"/>
    </w:pPr>
    <w:rPr>
      <w:rFonts w:ascii="Calibri" w:hAnsi="Calibri"/>
      <w:sz w:val="18"/>
      <w:szCs w:val="18"/>
      <w:lang w:eastAsia="en-GB"/>
    </w:rPr>
  </w:style>
  <w:style w:type="paragraph" w:customStyle="1" w:styleId="TableFigNotes0">
    <w:name w:val="TableFigNotes+0"/>
    <w:basedOn w:val="TableFigNotes18"/>
    <w:uiPriority w:val="4"/>
    <w:rsid w:val="003270B8"/>
    <w:pPr>
      <w:keepNext/>
      <w:spacing w:after="0"/>
    </w:pPr>
  </w:style>
  <w:style w:type="character" w:customStyle="1" w:styleId="apple-converted-space">
    <w:name w:val="apple-converted-space"/>
    <w:basedOn w:val="DefaultParagraphFont"/>
    <w:rsid w:val="003270B8"/>
  </w:style>
  <w:style w:type="paragraph" w:customStyle="1" w:styleId="HeadingLevel2">
    <w:name w:val="Heading Level 2"/>
    <w:basedOn w:val="Normal"/>
    <w:semiHidden/>
    <w:unhideWhenUsed/>
    <w:rsid w:val="003270B8"/>
    <w:pPr>
      <w:widowControl/>
      <w:numPr>
        <w:numId w:val="5"/>
      </w:numPr>
      <w:spacing w:after="240" w:line="360" w:lineRule="auto"/>
      <w:jc w:val="left"/>
    </w:pPr>
    <w:rPr>
      <w:rFonts w:ascii="Calibri" w:hAnsi="Calibri"/>
      <w:snapToGrid/>
      <w:color w:val="000000"/>
      <w:szCs w:val="24"/>
      <w:lang w:val="en-US"/>
    </w:rPr>
  </w:style>
  <w:style w:type="paragraph" w:customStyle="1" w:styleId="TableHeading">
    <w:name w:val="Table Heading"/>
    <w:basedOn w:val="Normal"/>
    <w:qFormat/>
    <w:rsid w:val="001830EE"/>
    <w:pPr>
      <w:keepNext/>
      <w:widowControl/>
      <w:spacing w:after="60"/>
      <w:jc w:val="left"/>
    </w:pPr>
    <w:rPr>
      <w:rFonts w:ascii="Arial Narrow" w:eastAsiaTheme="minorHAnsi" w:hAnsi="Arial Narrow" w:cstheme="minorBidi"/>
      <w:b/>
      <w:snapToGrid/>
      <w:sz w:val="20"/>
      <w:szCs w:val="22"/>
    </w:rPr>
  </w:style>
  <w:style w:type="character" w:customStyle="1" w:styleId="Heading3Char">
    <w:name w:val="Heading 3 Char"/>
    <w:basedOn w:val="DefaultParagraphFont"/>
    <w:link w:val="Heading3"/>
    <w:uiPriority w:val="1"/>
    <w:rsid w:val="00815F85"/>
    <w:rPr>
      <w:rFonts w:asciiTheme="minorHAnsi" w:hAnsiTheme="minorHAnsi" w:cs="Arial"/>
      <w:b/>
      <w:i/>
      <w:snapToGrid w:val="0"/>
      <w:sz w:val="28"/>
      <w:szCs w:val="28"/>
      <w:lang w:eastAsia="en-US"/>
    </w:rPr>
  </w:style>
  <w:style w:type="character" w:customStyle="1" w:styleId="Heading4Char">
    <w:name w:val="Heading 4 Char"/>
    <w:aliases w:val="Heading 1 - Body Char"/>
    <w:basedOn w:val="DefaultParagraphFont"/>
    <w:link w:val="Heading4"/>
    <w:uiPriority w:val="5"/>
    <w:rsid w:val="005706F7"/>
    <w:rPr>
      <w:rFonts w:ascii="Arial" w:hAnsi="Arial" w:cs="Arial"/>
      <w:b/>
      <w:bCs/>
      <w:i/>
      <w:snapToGrid w:val="0"/>
      <w:sz w:val="26"/>
      <w:szCs w:val="28"/>
      <w:lang w:eastAsia="en-US"/>
    </w:rPr>
  </w:style>
  <w:style w:type="character" w:customStyle="1" w:styleId="Heading5Char">
    <w:name w:val="Heading 5 Char"/>
    <w:aliases w:val="Heading 2 - Body Char"/>
    <w:basedOn w:val="DefaultParagraphFont"/>
    <w:link w:val="Heading5"/>
    <w:uiPriority w:val="7"/>
    <w:rsid w:val="005706F7"/>
    <w:rPr>
      <w:rFonts w:ascii="Arial" w:hAnsi="Arial" w:cs="Arial"/>
      <w:b/>
      <w:bCs/>
      <w:iCs/>
      <w:snapToGrid w:val="0"/>
      <w:sz w:val="26"/>
      <w:szCs w:val="26"/>
      <w:lang w:eastAsia="en-US"/>
    </w:rPr>
  </w:style>
  <w:style w:type="character" w:customStyle="1" w:styleId="Heading6Char">
    <w:name w:val="Heading 6 Char"/>
    <w:aliases w:val="Heading 3 - Body Char"/>
    <w:basedOn w:val="DefaultParagraphFont"/>
    <w:link w:val="Heading6"/>
    <w:uiPriority w:val="9"/>
    <w:rsid w:val="005706F7"/>
    <w:rPr>
      <w:rFonts w:ascii="Arial" w:hAnsi="Arial" w:cs="Arial"/>
      <w:b/>
      <w:bCs/>
      <w:i/>
      <w:snapToGrid w:val="0"/>
      <w:sz w:val="22"/>
      <w:szCs w:val="22"/>
      <w:lang w:eastAsia="en-US"/>
    </w:rPr>
  </w:style>
  <w:style w:type="numbering" w:customStyle="1" w:styleId="PBACstandardnumberstyle1">
    <w:name w:val="PBAC standard number style1"/>
    <w:uiPriority w:val="99"/>
    <w:rsid w:val="005706F7"/>
  </w:style>
  <w:style w:type="paragraph" w:customStyle="1" w:styleId="V50Heading2nonumbers">
    <w:name w:val="V5.0 Heading 2 no numbers"/>
    <w:basedOn w:val="Heading2"/>
    <w:qFormat/>
    <w:rsid w:val="0056703E"/>
    <w:pPr>
      <w:keepLines/>
      <w:ind w:left="578" w:hanging="578"/>
      <w:jc w:val="left"/>
    </w:pPr>
    <w:rPr>
      <w:rFonts w:eastAsiaTheme="majorEastAsia" w:cstheme="majorBidi"/>
      <w:i/>
      <w:snapToGrid/>
      <w:sz w:val="28"/>
      <w:szCs w:val="28"/>
    </w:rPr>
  </w:style>
  <w:style w:type="paragraph" w:customStyle="1" w:styleId="V50Instructions">
    <w:name w:val="V5.0 Instructions"/>
    <w:basedOn w:val="Normal"/>
    <w:link w:val="V50InstructionsChar"/>
    <w:qFormat/>
    <w:rsid w:val="0056703E"/>
    <w:pPr>
      <w:widowControl/>
      <w:spacing w:before="120" w:after="160"/>
      <w:jc w:val="left"/>
    </w:pPr>
    <w:rPr>
      <w:rFonts w:asciiTheme="minorHAnsi" w:eastAsiaTheme="minorHAnsi" w:hAnsiTheme="minorHAnsi" w:cstheme="minorBidi"/>
      <w:snapToGrid/>
      <w:color w:val="4BACC6" w:themeColor="accent5"/>
      <w:sz w:val="24"/>
      <w:szCs w:val="22"/>
    </w:rPr>
  </w:style>
  <w:style w:type="paragraph" w:customStyle="1" w:styleId="V50Heading1nonumbers">
    <w:name w:val="V5.0 Heading 1 no numbers"/>
    <w:basedOn w:val="Heading1"/>
    <w:qFormat/>
    <w:rsid w:val="0056703E"/>
    <w:pPr>
      <w:keepNext/>
      <w:keepLines/>
      <w:widowControl/>
      <w:spacing w:before="400" w:after="120"/>
      <w:ind w:left="0" w:firstLine="0"/>
      <w:jc w:val="left"/>
    </w:pPr>
    <w:rPr>
      <w:rFonts w:asciiTheme="minorHAnsi" w:eastAsiaTheme="majorEastAsia" w:hAnsiTheme="minorHAnsi" w:cstheme="majorBidi"/>
      <w:caps w:val="0"/>
      <w:snapToGrid/>
      <w:sz w:val="32"/>
      <w:szCs w:val="28"/>
    </w:rPr>
  </w:style>
  <w:style w:type="paragraph" w:customStyle="1" w:styleId="V50TableText">
    <w:name w:val="V5.0 TableText"/>
    <w:link w:val="V50TableTextChar"/>
    <w:qFormat/>
    <w:rsid w:val="0056703E"/>
    <w:rPr>
      <w:rFonts w:asciiTheme="minorHAnsi" w:eastAsiaTheme="minorHAnsi" w:hAnsiTheme="minorHAnsi" w:cstheme="minorBidi"/>
      <w:szCs w:val="24"/>
      <w:lang w:val="en-US" w:eastAsia="en-US"/>
    </w:rPr>
  </w:style>
  <w:style w:type="paragraph" w:customStyle="1" w:styleId="V50TableTextInstruction">
    <w:name w:val="V5.0 TableText Instruction"/>
    <w:basedOn w:val="V50TableText"/>
    <w:qFormat/>
    <w:rsid w:val="0056703E"/>
    <w:rPr>
      <w:b/>
      <w:color w:val="4BACC6" w:themeColor="accent5"/>
    </w:rPr>
  </w:style>
  <w:style w:type="paragraph" w:customStyle="1" w:styleId="V50InstructionsBullets">
    <w:name w:val="V5.0 Instructions Bullets"/>
    <w:basedOn w:val="V50Instructions"/>
    <w:qFormat/>
    <w:rsid w:val="0056703E"/>
    <w:pPr>
      <w:numPr>
        <w:numId w:val="6"/>
      </w:numPr>
      <w:spacing w:before="0" w:after="0"/>
      <w:ind w:left="714" w:hanging="357"/>
    </w:pPr>
  </w:style>
  <w:style w:type="table" w:customStyle="1" w:styleId="TableGridLight1">
    <w:name w:val="Table Grid Light1"/>
    <w:basedOn w:val="TableNormal"/>
    <w:uiPriority w:val="40"/>
    <w:rsid w:val="0056703E"/>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21">
    <w:name w:val="Plain Table 21"/>
    <w:basedOn w:val="TableNormal"/>
    <w:uiPriority w:val="42"/>
    <w:rsid w:val="0056703E"/>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eText1">
    <w:name w:val="Table Text"/>
    <w:basedOn w:val="Normal"/>
    <w:qFormat/>
    <w:rsid w:val="0056703E"/>
    <w:pPr>
      <w:keepNext/>
      <w:widowControl/>
      <w:spacing w:before="40" w:after="40"/>
      <w:jc w:val="left"/>
    </w:pPr>
    <w:rPr>
      <w:rFonts w:ascii="Arial Narrow" w:eastAsiaTheme="minorHAnsi" w:hAnsi="Arial Narrow" w:cstheme="minorBidi"/>
      <w:snapToGrid/>
      <w:sz w:val="20"/>
      <w:szCs w:val="22"/>
    </w:rPr>
  </w:style>
  <w:style w:type="paragraph" w:customStyle="1" w:styleId="TableFigNoteLast">
    <w:name w:val="TableFigNote Last"/>
    <w:basedOn w:val="Normal"/>
    <w:qFormat/>
    <w:rsid w:val="0056703E"/>
    <w:pPr>
      <w:widowControl/>
      <w:spacing w:after="360"/>
      <w:jc w:val="left"/>
    </w:pPr>
    <w:rPr>
      <w:rFonts w:asciiTheme="minorHAnsi" w:eastAsiaTheme="minorHAnsi" w:hAnsiTheme="minorHAnsi" w:cstheme="minorBidi"/>
      <w:snapToGrid/>
      <w:sz w:val="18"/>
      <w:szCs w:val="22"/>
    </w:rPr>
  </w:style>
  <w:style w:type="character" w:styleId="Emphasis">
    <w:name w:val="Emphasis"/>
    <w:basedOn w:val="DefaultParagraphFont"/>
    <w:uiPriority w:val="20"/>
    <w:qFormat/>
    <w:rsid w:val="0056703E"/>
    <w:rPr>
      <w:b w:val="0"/>
      <w:i/>
      <w:iCs/>
    </w:rPr>
  </w:style>
  <w:style w:type="character" w:customStyle="1" w:styleId="V50InstructionsChar">
    <w:name w:val="V5.0 Instructions Char"/>
    <w:basedOn w:val="DefaultParagraphFont"/>
    <w:link w:val="V50Instructions"/>
    <w:rsid w:val="0056703E"/>
    <w:rPr>
      <w:rFonts w:asciiTheme="minorHAnsi" w:eastAsiaTheme="minorHAnsi" w:hAnsiTheme="minorHAnsi" w:cstheme="minorBidi"/>
      <w:color w:val="4BACC6" w:themeColor="accent5"/>
      <w:sz w:val="24"/>
      <w:szCs w:val="22"/>
      <w:lang w:eastAsia="en-US"/>
    </w:rPr>
  </w:style>
  <w:style w:type="character" w:customStyle="1" w:styleId="V50TableTextChar">
    <w:name w:val="V5.0 TableText Char"/>
    <w:basedOn w:val="DefaultParagraphFont"/>
    <w:link w:val="V50TableText"/>
    <w:rsid w:val="0056703E"/>
    <w:rPr>
      <w:rFonts w:asciiTheme="minorHAnsi" w:eastAsiaTheme="minorHAnsi" w:hAnsiTheme="minorHAnsi" w:cstheme="minorBidi"/>
      <w:szCs w:val="24"/>
      <w:lang w:val="en-US" w:eastAsia="en-US"/>
    </w:rPr>
  </w:style>
  <w:style w:type="paragraph" w:customStyle="1" w:styleId="V50Tablename">
    <w:name w:val="V5.0 Table name"/>
    <w:basedOn w:val="V50TableText"/>
    <w:link w:val="V50TablenameChar"/>
    <w:qFormat/>
    <w:rsid w:val="0056703E"/>
    <w:pPr>
      <w:keepNext/>
    </w:pPr>
    <w:rPr>
      <w:b/>
    </w:rPr>
  </w:style>
  <w:style w:type="character" w:customStyle="1" w:styleId="V50TablenameChar">
    <w:name w:val="V5.0 Table name Char"/>
    <w:basedOn w:val="DefaultParagraphFont"/>
    <w:link w:val="V50Tablename"/>
    <w:rsid w:val="0056703E"/>
    <w:rPr>
      <w:rFonts w:asciiTheme="minorHAnsi" w:eastAsiaTheme="minorHAnsi" w:hAnsiTheme="minorHAnsi" w:cstheme="minorBidi"/>
      <w:b/>
      <w:szCs w:val="24"/>
      <w:lang w:val="en-US" w:eastAsia="en-US"/>
    </w:rPr>
  </w:style>
  <w:style w:type="paragraph" w:customStyle="1" w:styleId="V50Tablenote">
    <w:name w:val="V5.0 Tablenote"/>
    <w:basedOn w:val="V50TableText"/>
    <w:link w:val="V50TablenoteChar"/>
    <w:qFormat/>
    <w:rsid w:val="0056703E"/>
    <w:pPr>
      <w:spacing w:after="120"/>
      <w:contextualSpacing/>
      <w:jc w:val="both"/>
    </w:pPr>
    <w:rPr>
      <w:sz w:val="18"/>
      <w:szCs w:val="18"/>
    </w:rPr>
  </w:style>
  <w:style w:type="character" w:customStyle="1" w:styleId="V50TablenoteChar">
    <w:name w:val="V5.0 Tablenote Char"/>
    <w:basedOn w:val="DefaultParagraphFont"/>
    <w:link w:val="V50Tablenote"/>
    <w:rsid w:val="0056703E"/>
    <w:rPr>
      <w:rFonts w:asciiTheme="minorHAnsi" w:eastAsiaTheme="minorHAnsi" w:hAnsiTheme="minorHAnsi" w:cstheme="minorBidi"/>
      <w:sz w:val="18"/>
      <w:szCs w:val="18"/>
      <w:lang w:val="en-US" w:eastAsia="en-US"/>
    </w:rPr>
  </w:style>
  <w:style w:type="character" w:customStyle="1" w:styleId="TableFooterChar">
    <w:name w:val="Table Footer Char"/>
    <w:link w:val="TableFooter"/>
    <w:rsid w:val="0056703E"/>
    <w:rPr>
      <w:rFonts w:ascii="Arial Narrow" w:hAnsi="Arial Narrow" w:cs="Arial"/>
      <w:snapToGrid w:val="0"/>
      <w:sz w:val="18"/>
      <w:lang w:eastAsia="en-US"/>
    </w:rPr>
  </w:style>
  <w:style w:type="paragraph" w:customStyle="1" w:styleId="TableNotes">
    <w:name w:val="TableNotes"/>
    <w:basedOn w:val="Normal"/>
    <w:qFormat/>
    <w:rsid w:val="0056703E"/>
    <w:pPr>
      <w:widowControl/>
      <w:spacing w:after="60"/>
      <w:jc w:val="left"/>
    </w:pPr>
    <w:rPr>
      <w:rFonts w:asciiTheme="minorHAnsi" w:eastAsiaTheme="minorHAnsi" w:hAnsiTheme="minorHAnsi" w:cstheme="minorBidi"/>
      <w:snapToGrid/>
      <w:sz w:val="20"/>
      <w:szCs w:val="22"/>
    </w:rPr>
  </w:style>
  <w:style w:type="paragraph" w:customStyle="1" w:styleId="oldTablefooter">
    <w:name w:val="old Table footer"/>
    <w:basedOn w:val="Normal"/>
    <w:link w:val="oldTablefooterChar"/>
    <w:qFormat/>
    <w:rsid w:val="0056703E"/>
    <w:pPr>
      <w:widowControl/>
    </w:pPr>
    <w:rPr>
      <w:rFonts w:asciiTheme="minorHAnsi" w:eastAsiaTheme="minorHAnsi" w:hAnsiTheme="minorHAnsi"/>
      <w:snapToGrid/>
      <w:sz w:val="18"/>
      <w:szCs w:val="18"/>
      <w:lang w:val="en-US"/>
    </w:rPr>
  </w:style>
  <w:style w:type="character" w:customStyle="1" w:styleId="oldTablefooterChar">
    <w:name w:val="old Table footer Char"/>
    <w:basedOn w:val="V50TableTextChar"/>
    <w:link w:val="oldTablefooter"/>
    <w:rsid w:val="0056703E"/>
    <w:rPr>
      <w:rFonts w:asciiTheme="minorHAnsi" w:eastAsiaTheme="minorHAnsi" w:hAnsiTheme="minorHAnsi" w:cs="Arial"/>
      <w:sz w:val="18"/>
      <w:szCs w:val="18"/>
      <w:lang w:val="en-US" w:eastAsia="en-US"/>
    </w:rPr>
  </w:style>
  <w:style w:type="paragraph" w:customStyle="1" w:styleId="Style1">
    <w:name w:val="Style1"/>
    <w:basedOn w:val="Normal"/>
    <w:rsid w:val="0056703E"/>
  </w:style>
  <w:style w:type="numbering" w:customStyle="1" w:styleId="Headings">
    <w:name w:val="Headings"/>
    <w:uiPriority w:val="99"/>
    <w:rsid w:val="0056703E"/>
    <w:pPr>
      <w:numPr>
        <w:numId w:val="7"/>
      </w:numPr>
    </w:pPr>
  </w:style>
  <w:style w:type="character" w:styleId="FollowedHyperlink">
    <w:name w:val="FollowedHyperlink"/>
    <w:basedOn w:val="DefaultParagraphFont"/>
    <w:uiPriority w:val="99"/>
    <w:semiHidden/>
    <w:unhideWhenUsed/>
    <w:rsid w:val="0056703E"/>
    <w:rPr>
      <w:color w:val="800080" w:themeColor="followedHyperlink"/>
      <w:u w:val="single"/>
    </w:rPr>
  </w:style>
  <w:style w:type="paragraph" w:customStyle="1" w:styleId="BulletLast">
    <w:name w:val="Bullet Last"/>
    <w:basedOn w:val="Normal"/>
    <w:qFormat/>
    <w:rsid w:val="0056703E"/>
    <w:pPr>
      <w:widowControl/>
      <w:numPr>
        <w:numId w:val="8"/>
      </w:numPr>
      <w:spacing w:after="240"/>
      <w:ind w:left="357" w:hanging="357"/>
      <w:jc w:val="left"/>
    </w:pPr>
    <w:rPr>
      <w:rFonts w:asciiTheme="minorHAnsi" w:eastAsiaTheme="minorHAnsi" w:hAnsiTheme="minorHAnsi" w:cstheme="minorBidi"/>
      <w:snapToGrid/>
      <w:szCs w:val="22"/>
    </w:rPr>
  </w:style>
  <w:style w:type="paragraph" w:customStyle="1" w:styleId="TableFigNote">
    <w:name w:val="TableFigNote"/>
    <w:basedOn w:val="Normal"/>
    <w:qFormat/>
    <w:rsid w:val="0056703E"/>
    <w:pPr>
      <w:widowControl/>
      <w:jc w:val="left"/>
    </w:pPr>
    <w:rPr>
      <w:rFonts w:asciiTheme="minorHAnsi" w:eastAsiaTheme="minorHAnsi" w:hAnsiTheme="minorHAnsi" w:cstheme="minorBidi"/>
      <w:snapToGrid/>
      <w:sz w:val="18"/>
      <w:szCs w:val="22"/>
    </w:rPr>
  </w:style>
  <w:style w:type="character" w:customStyle="1" w:styleId="StyleArial11pt">
    <w:name w:val="Style Arial 11 pt"/>
    <w:basedOn w:val="DefaultParagraphFont"/>
    <w:rsid w:val="0056703E"/>
    <w:rPr>
      <w:rFonts w:ascii="Arial" w:hAnsi="Arial"/>
      <w:sz w:val="22"/>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56703E"/>
    <w:pPr>
      <w:widowControl/>
      <w:spacing w:after="160" w:line="240" w:lineRule="exact"/>
      <w:jc w:val="left"/>
    </w:pPr>
    <w:rPr>
      <w:rFonts w:ascii="Verdana" w:eastAsia="MS Mincho" w:hAnsi="Verdana" w:cs="Verdana"/>
      <w:snapToGrid/>
      <w:sz w:val="20"/>
      <w:lang w:val="en-US"/>
    </w:rPr>
  </w:style>
  <w:style w:type="paragraph" w:customStyle="1" w:styleId="tabletext00">
    <w:name w:val="tabletext0"/>
    <w:basedOn w:val="Normal"/>
    <w:rsid w:val="0056703E"/>
    <w:pPr>
      <w:widowControl/>
      <w:spacing w:before="100" w:beforeAutospacing="1" w:after="100" w:afterAutospacing="1"/>
      <w:jc w:val="left"/>
    </w:pPr>
    <w:rPr>
      <w:rFonts w:ascii="Times New Roman" w:hAnsi="Times New Roman" w:cs="Times New Roman"/>
      <w:snapToGrid/>
      <w:sz w:val="24"/>
      <w:szCs w:val="24"/>
      <w:lang w:eastAsia="en-AU"/>
    </w:rPr>
  </w:style>
  <w:style w:type="paragraph" w:customStyle="1" w:styleId="H2-nontoc">
    <w:name w:val="H2-nontoc"/>
    <w:basedOn w:val="Heading2"/>
    <w:next w:val="BodyText"/>
    <w:uiPriority w:val="1"/>
    <w:qFormat/>
    <w:rsid w:val="0056703E"/>
    <w:pPr>
      <w:spacing w:before="120" w:after="240"/>
      <w:jc w:val="left"/>
      <w:outlineLvl w:val="9"/>
    </w:pPr>
    <w:rPr>
      <w:rFonts w:ascii="Tahoma" w:hAnsi="Tahoma"/>
      <w:b w:val="0"/>
      <w:iCs/>
      <w:smallCaps/>
      <w:snapToGrid/>
      <w:kern w:val="32"/>
      <w:sz w:val="28"/>
      <w:szCs w:val="28"/>
      <w:lang w:val="en-GB" w:eastAsia="en-GB"/>
    </w:rPr>
  </w:style>
  <w:style w:type="table" w:customStyle="1" w:styleId="newstyle32">
    <w:name w:val="new style32"/>
    <w:basedOn w:val="TableNormal"/>
    <w:next w:val="TableGrid"/>
    <w:uiPriority w:val="59"/>
    <w:rsid w:val="0056703E"/>
    <w:pPr>
      <w:ind w:left="113" w:right="113"/>
    </w:pPr>
    <w:rPr>
      <w:rFonts w:ascii="Calibri" w:eastAsia="Calibri" w:hAnsi="Calibri"/>
      <w:sz w:val="16"/>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0" w:type="dxa"/>
        <w:bottom w:w="57" w:type="dxa"/>
        <w:right w:w="0" w:type="dxa"/>
      </w:tblCellMar>
    </w:tblPr>
    <w:trPr>
      <w:cantSplit/>
    </w:trPr>
    <w:tblStylePr w:type="firstRow">
      <w:rPr>
        <w:b/>
      </w:rPr>
      <w:tblPr/>
      <w:trPr>
        <w:cantSplit w:val="0"/>
        <w:tblHeader/>
      </w:trPr>
      <w:tcPr>
        <w:shd w:val="clear" w:color="auto" w:fill="BFBFBF"/>
      </w:tcPr>
    </w:tblStylePr>
  </w:style>
  <w:style w:type="table" w:customStyle="1" w:styleId="Summarybox1">
    <w:name w:val="Summary box1"/>
    <w:basedOn w:val="TableNormal"/>
    <w:next w:val="TableGrid"/>
    <w:uiPriority w:val="59"/>
    <w:rsid w:val="005670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ooter8pt">
    <w:name w:val="Table footer 8 pt"/>
    <w:basedOn w:val="Normal"/>
    <w:qFormat/>
    <w:rsid w:val="0056703E"/>
    <w:pPr>
      <w:keepNext/>
      <w:widowControl/>
      <w:jc w:val="left"/>
    </w:pPr>
    <w:rPr>
      <w:rFonts w:ascii="Arial Narrow" w:hAnsi="Arial Narrow"/>
      <w:sz w:val="16"/>
      <w:szCs w:val="16"/>
    </w:rPr>
  </w:style>
  <w:style w:type="numbering" w:customStyle="1" w:styleId="Style2">
    <w:name w:val="Style2"/>
    <w:uiPriority w:val="99"/>
    <w:rsid w:val="00FE1489"/>
    <w:pPr>
      <w:numPr>
        <w:numId w:val="17"/>
      </w:numPr>
    </w:pPr>
  </w:style>
  <w:style w:type="paragraph" w:styleId="ListBullet">
    <w:name w:val="List Bullet"/>
    <w:basedOn w:val="Normal"/>
    <w:autoRedefine/>
    <w:rsid w:val="002E6A32"/>
    <w:pPr>
      <w:widowControl/>
    </w:pPr>
    <w:rPr>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5" w:unhideWhenUsed="0" w:qFormat="1"/>
    <w:lsdException w:name="heading 5" w:semiHidden="0" w:uiPriority="7" w:unhideWhenUsed="0" w:qFormat="1"/>
    <w:lsdException w:name="heading 6" w:semiHidden="0" w:uiPriority="7" w:unhideWhenUsed="0" w:qFormat="1"/>
    <w:lsdException w:name="heading 7" w:uiPriority="7" w:qFormat="1"/>
    <w:lsdException w:name="heading 8" w:uiPriority="7" w:qFormat="1"/>
    <w:lsdException w:name="heading 9" w:uiPriority="7" w:qFormat="1"/>
    <w:lsdException w:name="toc 1" w:uiPriority="39" w:qFormat="1"/>
    <w:lsdException w:name="toc 2" w:uiPriority="39" w:qFormat="1"/>
    <w:lsdException w:name="toc 3" w:uiPriority="39" w:qFormat="1"/>
    <w:lsdException w:name="toc 4" w:uiPriority="9"/>
    <w:lsdException w:name="toc 5" w:uiPriority="9"/>
    <w:lsdException w:name="toc 6" w:uiPriority="9"/>
    <w:lsdException w:name="toc 7" w:uiPriority="9"/>
    <w:lsdException w:name="toc 8" w:uiPriority="9"/>
    <w:lsdException w:name="toc 9" w:uiPriority="9"/>
    <w:lsdException w:name="footnote text" w:uiPriority="99"/>
    <w:lsdException w:name="annotation text" w:uiPriority="99"/>
    <w:lsdException w:name="header" w:uiPriority="99"/>
    <w:lsdException w:name="footer" w:uiPriority="99"/>
    <w:lsdException w:name="caption" w:uiPriority="35" w:qFormat="1"/>
    <w:lsdException w:name="footnote reference" w:uiPriority="99"/>
    <w:lsdException w:name="annotation reference" w:qFormat="1"/>
    <w:lsdException w:name="List Number" w:semiHidden="0" w:unhideWhenUsed="0"/>
    <w:lsdException w:name="List 4" w:semiHidden="0" w:unhideWhenUsed="0"/>
    <w:lsdException w:name="List 5" w:semiHidden="0" w:unhideWhenUsed="0"/>
    <w:lsdException w:name="Title" w:semiHidden="0" w:uiPriority="7" w:unhideWhenUsed="0"/>
    <w:lsdException w:name="Body Text" w:qFormat="1"/>
    <w:lsdException w:name="Body Text Indent" w:uiPriority="9"/>
    <w:lsdException w:name="Subtitle" w:semiHidden="0" w:uiPriority="9" w:unhideWhenUsed="0" w:qFormat="1"/>
    <w:lsdException w:name="Salutation" w:semiHidden="0" w:unhideWhenUsed="0"/>
    <w:lsdException w:name="Date" w:semiHidden="0" w:unhideWhenUsed="0"/>
    <w:lsdException w:name="Body Text First Indent" w:semiHidden="0" w:unhideWhenUsed="0"/>
    <w:lsdException w:name="Body Text 2" w:uiPriority="9"/>
    <w:lsdException w:name="Body Text 3" w:uiPriority="9"/>
    <w:lsdException w:name="Hyperlink" w:uiPriority="99"/>
    <w:lsdException w:name="FollowedHyperlink" w:uiPriority="99"/>
    <w:lsdException w:name="Strong" w:semiHidden="0" w:unhideWhenUsed="0"/>
    <w:lsdException w:name="Emphasis" w:semiHidden="0" w:uiPriority="20" w:unhideWhenUsed="0" w:qFormat="1"/>
    <w:lsdException w:name="Normal (Web)" w:uiPriority="99"/>
    <w:lsdException w:name="annotation subject" w:uiPriority="9"/>
    <w:lsdException w:name="No List" w:uiPriority="99"/>
    <w:lsdException w:name="Balloon Text" w:uiPriority="9"/>
    <w:lsdException w:name="Table Grid" w:uiPriority="59"/>
    <w:lsdException w:name="Placeholder Text" w:uiPriority="99" w:unhideWhenUsed="0"/>
    <w:lsdException w:name="No Spacing" w:semiHidden="0" w:uiPriority="7"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025FE"/>
    <w:pPr>
      <w:widowControl w:val="0"/>
      <w:jc w:val="both"/>
    </w:pPr>
    <w:rPr>
      <w:rFonts w:ascii="Arial" w:hAnsi="Arial" w:cs="Arial"/>
      <w:snapToGrid w:val="0"/>
      <w:sz w:val="22"/>
      <w:lang w:eastAsia="en-US"/>
    </w:rPr>
  </w:style>
  <w:style w:type="paragraph" w:styleId="Heading1">
    <w:name w:val="heading 1"/>
    <w:basedOn w:val="Normal"/>
    <w:next w:val="Normal"/>
    <w:link w:val="Heading1Char"/>
    <w:uiPriority w:val="1"/>
    <w:qFormat/>
    <w:rsid w:val="00D76A44"/>
    <w:pPr>
      <w:ind w:left="720" w:hanging="720"/>
      <w:outlineLvl w:val="0"/>
    </w:pPr>
    <w:rPr>
      <w:rFonts w:ascii="Arial Bold" w:hAnsi="Arial Bold"/>
      <w:b/>
      <w:caps/>
    </w:rPr>
  </w:style>
  <w:style w:type="paragraph" w:styleId="Heading2">
    <w:name w:val="heading 2"/>
    <w:basedOn w:val="Normal"/>
    <w:next w:val="Normal"/>
    <w:link w:val="Heading2Char"/>
    <w:uiPriority w:val="1"/>
    <w:qFormat/>
    <w:rsid w:val="00815F85"/>
    <w:pPr>
      <w:keepNext/>
      <w:widowControl/>
      <w:numPr>
        <w:numId w:val="28"/>
      </w:numPr>
      <w:spacing w:before="240" w:after="120"/>
      <w:outlineLvl w:val="1"/>
    </w:pPr>
    <w:rPr>
      <w:rFonts w:asciiTheme="minorHAnsi" w:hAnsiTheme="minorHAnsi"/>
      <w:b/>
      <w:sz w:val="32"/>
      <w:szCs w:val="32"/>
    </w:rPr>
  </w:style>
  <w:style w:type="paragraph" w:styleId="Heading3">
    <w:name w:val="heading 3"/>
    <w:basedOn w:val="Heading2"/>
    <w:next w:val="Normal"/>
    <w:link w:val="Heading3Char"/>
    <w:uiPriority w:val="1"/>
    <w:qFormat/>
    <w:rsid w:val="00815F85"/>
    <w:pPr>
      <w:numPr>
        <w:numId w:val="0"/>
      </w:numPr>
      <w:outlineLvl w:val="2"/>
    </w:pPr>
    <w:rPr>
      <w:i/>
      <w:sz w:val="28"/>
      <w:szCs w:val="28"/>
    </w:rPr>
  </w:style>
  <w:style w:type="paragraph" w:styleId="Heading4">
    <w:name w:val="heading 4"/>
    <w:aliases w:val="Heading 1 - Body"/>
    <w:basedOn w:val="Normal"/>
    <w:next w:val="Normal"/>
    <w:link w:val="Heading4Char"/>
    <w:uiPriority w:val="5"/>
    <w:qFormat/>
    <w:rsid w:val="00124A51"/>
    <w:pPr>
      <w:keepNext/>
      <w:spacing w:before="240" w:after="60"/>
      <w:outlineLvl w:val="3"/>
    </w:pPr>
    <w:rPr>
      <w:b/>
      <w:bCs/>
      <w:i/>
      <w:sz w:val="26"/>
      <w:szCs w:val="28"/>
    </w:rPr>
  </w:style>
  <w:style w:type="paragraph" w:styleId="Heading5">
    <w:name w:val="heading 5"/>
    <w:aliases w:val="Heading 2 - Body"/>
    <w:basedOn w:val="Normal"/>
    <w:next w:val="Normal"/>
    <w:link w:val="Heading5Char"/>
    <w:uiPriority w:val="7"/>
    <w:qFormat/>
    <w:rsid w:val="00124A51"/>
    <w:pPr>
      <w:spacing w:before="240" w:after="60"/>
      <w:outlineLvl w:val="4"/>
    </w:pPr>
    <w:rPr>
      <w:b/>
      <w:bCs/>
      <w:iCs/>
      <w:sz w:val="26"/>
      <w:szCs w:val="26"/>
    </w:rPr>
  </w:style>
  <w:style w:type="paragraph" w:styleId="Heading6">
    <w:name w:val="heading 6"/>
    <w:aliases w:val="Heading 3 - Body"/>
    <w:basedOn w:val="Normal"/>
    <w:next w:val="Normal"/>
    <w:link w:val="Heading6Char"/>
    <w:uiPriority w:val="7"/>
    <w:qFormat/>
    <w:rsid w:val="00124A51"/>
    <w:pPr>
      <w:spacing w:before="240" w:after="60"/>
      <w:outlineLvl w:val="5"/>
    </w:pPr>
    <w:rPr>
      <w:b/>
      <w:bCs/>
      <w:i/>
      <w:szCs w:val="22"/>
    </w:rPr>
  </w:style>
  <w:style w:type="paragraph" w:styleId="Heading7">
    <w:name w:val="heading 7"/>
    <w:basedOn w:val="Normal"/>
    <w:next w:val="Normal"/>
    <w:link w:val="Heading7Char"/>
    <w:uiPriority w:val="7"/>
    <w:qFormat/>
    <w:rsid w:val="00124A51"/>
    <w:pPr>
      <w:keepNext/>
      <w:jc w:val="center"/>
      <w:outlineLvl w:val="6"/>
    </w:pPr>
    <w:rPr>
      <w:b/>
      <w:sz w:val="20"/>
    </w:rPr>
  </w:style>
  <w:style w:type="paragraph" w:styleId="Heading8">
    <w:name w:val="heading 8"/>
    <w:basedOn w:val="Normal"/>
    <w:next w:val="Normal"/>
    <w:link w:val="Heading8Char"/>
    <w:uiPriority w:val="7"/>
    <w:qFormat/>
    <w:rsid w:val="00124A51"/>
    <w:pPr>
      <w:keepNext/>
      <w:jc w:val="right"/>
      <w:outlineLvl w:val="7"/>
    </w:pPr>
    <w:rPr>
      <w:b/>
    </w:rPr>
  </w:style>
  <w:style w:type="paragraph" w:styleId="Heading9">
    <w:name w:val="heading 9"/>
    <w:aliases w:val="Section heading - Body"/>
    <w:basedOn w:val="Normal"/>
    <w:next w:val="Normal"/>
    <w:link w:val="Heading9Char"/>
    <w:uiPriority w:val="7"/>
    <w:qFormat/>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link w:val="TableFooterChar"/>
    <w:qFormat/>
    <w:rsid w:val="00E2771E"/>
    <w:rPr>
      <w:rFonts w:ascii="Arial Narrow" w:hAnsi="Arial Narrow"/>
      <w:sz w:val="18"/>
    </w:rPr>
  </w:style>
  <w:style w:type="paragraph" w:customStyle="1" w:styleId="TableHeader">
    <w:name w:val="Table Header"/>
    <w:basedOn w:val="Normal"/>
    <w:uiPriority w:val="3"/>
    <w:qFormat/>
    <w:rsid w:val="000D1BFC"/>
    <w:rPr>
      <w:b/>
      <w:sz w:val="20"/>
    </w:rPr>
  </w:style>
  <w:style w:type="character" w:customStyle="1" w:styleId="Heading2Char">
    <w:name w:val="Heading 2 Char"/>
    <w:link w:val="Heading2"/>
    <w:uiPriority w:val="1"/>
    <w:rsid w:val="00815F85"/>
    <w:rPr>
      <w:rFonts w:asciiTheme="minorHAnsi" w:hAnsiTheme="minorHAnsi" w:cs="Arial"/>
      <w:b/>
      <w:snapToGrid w:val="0"/>
      <w:sz w:val="32"/>
      <w:szCs w:val="32"/>
      <w:lang w:eastAsia="en-US"/>
    </w:rPr>
  </w:style>
  <w:style w:type="character" w:customStyle="1" w:styleId="Heading7Char">
    <w:name w:val="Heading 7 Char"/>
    <w:basedOn w:val="DefaultParagraphFont"/>
    <w:link w:val="Heading7"/>
    <w:uiPriority w:val="7"/>
    <w:rsid w:val="00124A51"/>
    <w:rPr>
      <w:rFonts w:ascii="Arial" w:hAnsi="Arial"/>
      <w:b/>
      <w:snapToGrid w:val="0"/>
      <w:lang w:eastAsia="en-US"/>
    </w:rPr>
  </w:style>
  <w:style w:type="character" w:customStyle="1" w:styleId="Heading8Char">
    <w:name w:val="Heading 8 Char"/>
    <w:basedOn w:val="DefaultParagraphFont"/>
    <w:link w:val="Heading8"/>
    <w:uiPriority w:val="7"/>
    <w:rsid w:val="00124A51"/>
    <w:rPr>
      <w:b/>
      <w:snapToGrid w:val="0"/>
      <w:sz w:val="24"/>
      <w:lang w:eastAsia="en-US"/>
    </w:rPr>
  </w:style>
  <w:style w:type="character" w:customStyle="1" w:styleId="Heading9Char">
    <w:name w:val="Heading 9 Char"/>
    <w:aliases w:val="Section heading - Body Char"/>
    <w:basedOn w:val="DefaultParagraphFont"/>
    <w:link w:val="Heading9"/>
    <w:uiPriority w:val="7"/>
    <w:rsid w:val="00124A51"/>
    <w:rPr>
      <w:rFonts w:ascii="Arial" w:hAnsi="Arial"/>
      <w:b/>
      <w:snapToGrid w:val="0"/>
      <w:color w:val="000000"/>
      <w:lang w:eastAsia="en-US"/>
    </w:rPr>
  </w:style>
  <w:style w:type="paragraph" w:styleId="Caption">
    <w:name w:val="caption"/>
    <w:aliases w:val="IB Caption,Medical Caption,Medical Caption Char,Caption Char1 Char Char,Caption Char Char Char Char,Caption Char1 Char,Caption Char Char Char Char Char,Caption Char Char,Caption Char Char Char Char1,Caption Char1 Char1,Tabellen-Tite,V5.0 Caption"/>
    <w:basedOn w:val="TableHeading"/>
    <w:next w:val="Normal"/>
    <w:link w:val="CaptionChar"/>
    <w:uiPriority w:val="35"/>
    <w:unhideWhenUsed/>
    <w:qFormat/>
    <w:rsid w:val="008A1DA3"/>
  </w:style>
  <w:style w:type="character" w:customStyle="1" w:styleId="CaptionChar">
    <w:name w:val="Caption Char"/>
    <w:aliases w:val="IB Caption Char,Medical Caption Char1,Medical Caption Char Char,Caption Char1 Char Char Char,Caption Char Char Char Char Char1,Caption Char1 Char Char1,Caption Char Char Char Char Char Char,Caption Char Char Char,Caption Char1 Char1 Char"/>
    <w:link w:val="Caption"/>
    <w:uiPriority w:val="35"/>
    <w:rsid w:val="008A1DA3"/>
    <w:rPr>
      <w:rFonts w:ascii="Arial Narrow" w:eastAsiaTheme="minorHAnsi" w:hAnsi="Arial Narrow" w:cstheme="minorBidi"/>
      <w:b/>
      <w:szCs w:val="22"/>
      <w:lang w:eastAsia="en-US"/>
    </w:rPr>
  </w:style>
  <w:style w:type="paragraph" w:styleId="Title">
    <w:name w:val="Title"/>
    <w:basedOn w:val="Normal"/>
    <w:next w:val="Normal"/>
    <w:link w:val="TitleChar"/>
    <w:uiPriority w:val="7"/>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7"/>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ulletPoints"/>
    <w:basedOn w:val="Normal"/>
    <w:link w:val="ListParagraphChar"/>
    <w:uiPriority w:val="34"/>
    <w:qFormat/>
    <w:rsid w:val="00124A51"/>
    <w:pPr>
      <w:ind w:left="720"/>
      <w:contextualSpacing/>
    </w:pPr>
  </w:style>
  <w:style w:type="paragraph" w:customStyle="1" w:styleId="RegularText">
    <w:name w:val="Regular Text"/>
    <w:basedOn w:val="BodyText"/>
    <w:link w:val="RegularTextChar"/>
    <w:uiPriority w:val="9"/>
    <w:rsid w:val="00124A51"/>
    <w:rPr>
      <w:b/>
    </w:rPr>
  </w:style>
  <w:style w:type="paragraph" w:styleId="NoSpacing">
    <w:name w:val="No Spacing"/>
    <w:uiPriority w:val="7"/>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uiPriority w:val="9"/>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new style"/>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qFormat/>
    <w:rsid w:val="00E2771E"/>
    <w:rPr>
      <w:rFonts w:ascii="Arial Narrow" w:hAnsi="Arial Narrow"/>
      <w:b/>
      <w:sz w:val="20"/>
      <w:szCs w:val="16"/>
    </w:rPr>
  </w:style>
  <w:style w:type="paragraph" w:customStyle="1" w:styleId="Tabletext">
    <w:name w:val="Table text"/>
    <w:basedOn w:val="Normal"/>
    <w:link w:val="TabletextChar"/>
    <w:qFormat/>
    <w:rsid w:val="00A56B6A"/>
    <w:pPr>
      <w:widowControl/>
      <w:spacing w:after="120"/>
      <w:jc w:val="left"/>
    </w:pPr>
    <w:rPr>
      <w:rFonts w:cs="Times New Roman"/>
      <w:snapToGrid/>
      <w:sz w:val="20"/>
    </w:rPr>
  </w:style>
  <w:style w:type="paragraph" w:customStyle="1" w:styleId="TableHeading0">
    <w:name w:val="TableHeading"/>
    <w:basedOn w:val="Normal"/>
    <w:link w:val="TableHeadingChar"/>
    <w:qFormat/>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qFormat/>
    <w:rsid w:val="00F71A2C"/>
    <w:pPr>
      <w:tabs>
        <w:tab w:val="left" w:pos="880"/>
        <w:tab w:val="right" w:leader="dot" w:pos="9016"/>
      </w:tabs>
      <w:spacing w:before="120"/>
      <w:ind w:left="810" w:hanging="590"/>
      <w:jc w:val="left"/>
    </w:pPr>
    <w:rPr>
      <w:iCs/>
      <w:sz w:val="20"/>
    </w:rPr>
  </w:style>
  <w:style w:type="paragraph" w:styleId="TOC1">
    <w:name w:val="toc 1"/>
    <w:basedOn w:val="Normal"/>
    <w:next w:val="Normal"/>
    <w:autoRedefine/>
    <w:uiPriority w:val="39"/>
    <w:qFormat/>
    <w:rsid w:val="000C70BB"/>
    <w:pPr>
      <w:tabs>
        <w:tab w:val="left" w:pos="440"/>
        <w:tab w:val="right" w:leader="dot" w:pos="9016"/>
      </w:tabs>
      <w:spacing w:before="240" w:after="120"/>
      <w:ind w:left="450" w:hanging="45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qFormat/>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qFormat/>
    <w:rsid w:val="00CE6274"/>
    <w:pPr>
      <w:ind w:left="440"/>
      <w:jc w:val="left"/>
    </w:pPr>
    <w:rPr>
      <w:rFonts w:asciiTheme="minorHAnsi" w:hAnsiTheme="minorHAnsi"/>
      <w:sz w:val="20"/>
    </w:rPr>
  </w:style>
  <w:style w:type="paragraph" w:styleId="BalloonText">
    <w:name w:val="Balloon Text"/>
    <w:basedOn w:val="Normal"/>
    <w:link w:val="BalloonTextChar"/>
    <w:uiPriority w:val="9"/>
    <w:rsid w:val="00CE6274"/>
    <w:rPr>
      <w:rFonts w:ascii="Tahoma" w:hAnsi="Tahoma" w:cs="Tahoma"/>
      <w:sz w:val="16"/>
      <w:szCs w:val="16"/>
    </w:rPr>
  </w:style>
  <w:style w:type="character" w:customStyle="1" w:styleId="BalloonTextChar">
    <w:name w:val="Balloon Text Char"/>
    <w:basedOn w:val="DefaultParagraphFont"/>
    <w:link w:val="BalloonText"/>
    <w:uiPriority w:val="9"/>
    <w:rsid w:val="00CE6274"/>
    <w:rPr>
      <w:rFonts w:ascii="Tahoma" w:hAnsi="Tahoma" w:cs="Tahoma"/>
      <w:snapToGrid w:val="0"/>
      <w:sz w:val="16"/>
      <w:szCs w:val="16"/>
      <w:lang w:eastAsia="en-US"/>
    </w:rPr>
  </w:style>
  <w:style w:type="paragraph" w:styleId="BodyText3">
    <w:name w:val="Body Text 3"/>
    <w:basedOn w:val="Normal"/>
    <w:link w:val="BodyText3Char"/>
    <w:uiPriority w:val="9"/>
    <w:rsid w:val="00CE6274"/>
    <w:pPr>
      <w:spacing w:after="120"/>
    </w:pPr>
    <w:rPr>
      <w:sz w:val="16"/>
      <w:szCs w:val="16"/>
    </w:rPr>
  </w:style>
  <w:style w:type="character" w:customStyle="1" w:styleId="BodyText3Char">
    <w:name w:val="Body Text 3 Char"/>
    <w:basedOn w:val="DefaultParagraphFont"/>
    <w:link w:val="BodyText3"/>
    <w:uiPriority w:val="9"/>
    <w:rsid w:val="00CE6274"/>
    <w:rPr>
      <w:rFonts w:ascii="Arial" w:hAnsi="Arial" w:cs="Arial"/>
      <w:snapToGrid w:val="0"/>
      <w:sz w:val="16"/>
      <w:szCs w:val="16"/>
      <w:lang w:eastAsia="en-US"/>
    </w:rPr>
  </w:style>
  <w:style w:type="paragraph" w:styleId="TOC4">
    <w:name w:val="toc 4"/>
    <w:basedOn w:val="Normal"/>
    <w:next w:val="Normal"/>
    <w:autoRedefine/>
    <w:uiPriority w:val="9"/>
    <w:rsid w:val="00D0262E"/>
    <w:pPr>
      <w:ind w:left="660"/>
      <w:jc w:val="left"/>
    </w:pPr>
    <w:rPr>
      <w:rFonts w:asciiTheme="minorHAnsi" w:hAnsiTheme="minorHAnsi"/>
      <w:sz w:val="20"/>
    </w:rPr>
  </w:style>
  <w:style w:type="paragraph" w:styleId="TOC5">
    <w:name w:val="toc 5"/>
    <w:basedOn w:val="Normal"/>
    <w:next w:val="Normal"/>
    <w:autoRedefine/>
    <w:uiPriority w:val="9"/>
    <w:rsid w:val="00D0262E"/>
    <w:pPr>
      <w:ind w:left="880"/>
      <w:jc w:val="left"/>
    </w:pPr>
    <w:rPr>
      <w:rFonts w:asciiTheme="minorHAnsi" w:hAnsiTheme="minorHAnsi"/>
      <w:sz w:val="20"/>
    </w:rPr>
  </w:style>
  <w:style w:type="paragraph" w:styleId="TOC6">
    <w:name w:val="toc 6"/>
    <w:basedOn w:val="Normal"/>
    <w:next w:val="Normal"/>
    <w:autoRedefine/>
    <w:uiPriority w:val="9"/>
    <w:rsid w:val="00D0262E"/>
    <w:pPr>
      <w:ind w:left="1100"/>
      <w:jc w:val="left"/>
    </w:pPr>
    <w:rPr>
      <w:rFonts w:asciiTheme="minorHAnsi" w:hAnsiTheme="minorHAnsi"/>
      <w:sz w:val="20"/>
    </w:rPr>
  </w:style>
  <w:style w:type="paragraph" w:styleId="TOC7">
    <w:name w:val="toc 7"/>
    <w:basedOn w:val="Normal"/>
    <w:next w:val="Normal"/>
    <w:autoRedefine/>
    <w:uiPriority w:val="9"/>
    <w:rsid w:val="00D0262E"/>
    <w:pPr>
      <w:ind w:left="1320"/>
      <w:jc w:val="left"/>
    </w:pPr>
    <w:rPr>
      <w:rFonts w:asciiTheme="minorHAnsi" w:hAnsiTheme="minorHAnsi"/>
      <w:sz w:val="20"/>
    </w:rPr>
  </w:style>
  <w:style w:type="paragraph" w:styleId="TOC8">
    <w:name w:val="toc 8"/>
    <w:basedOn w:val="Normal"/>
    <w:next w:val="Normal"/>
    <w:autoRedefine/>
    <w:uiPriority w:val="9"/>
    <w:rsid w:val="00D0262E"/>
    <w:pPr>
      <w:ind w:left="1540"/>
      <w:jc w:val="left"/>
    </w:pPr>
    <w:rPr>
      <w:rFonts w:asciiTheme="minorHAnsi" w:hAnsiTheme="minorHAnsi"/>
      <w:sz w:val="20"/>
    </w:rPr>
  </w:style>
  <w:style w:type="paragraph" w:styleId="TOC9">
    <w:name w:val="toc 9"/>
    <w:basedOn w:val="Normal"/>
    <w:next w:val="Normal"/>
    <w:autoRedefine/>
    <w:uiPriority w:val="9"/>
    <w:rsid w:val="00D0262E"/>
    <w:pPr>
      <w:ind w:left="1760"/>
      <w:jc w:val="left"/>
    </w:pPr>
    <w:rPr>
      <w:rFonts w:asciiTheme="minorHAnsi" w:hAnsiTheme="minorHAnsi"/>
      <w:sz w:val="20"/>
    </w:rPr>
  </w:style>
  <w:style w:type="paragraph" w:styleId="BodyText2">
    <w:name w:val="Body Text 2"/>
    <w:basedOn w:val="Normal"/>
    <w:link w:val="BodyText2Char"/>
    <w:uiPriority w:val="9"/>
    <w:rsid w:val="00D17D6C"/>
    <w:pPr>
      <w:spacing w:after="120" w:line="480" w:lineRule="auto"/>
    </w:pPr>
  </w:style>
  <w:style w:type="character" w:customStyle="1" w:styleId="BodyText2Char">
    <w:name w:val="Body Text 2 Char"/>
    <w:basedOn w:val="DefaultParagraphFont"/>
    <w:link w:val="BodyText2"/>
    <w:uiPriority w:val="9"/>
    <w:rsid w:val="00D17D6C"/>
    <w:rPr>
      <w:rFonts w:ascii="Arial" w:hAnsi="Arial" w:cs="Arial"/>
      <w:snapToGrid w:val="0"/>
      <w:sz w:val="22"/>
      <w:lang w:eastAsia="en-US"/>
    </w:rPr>
  </w:style>
  <w:style w:type="paragraph" w:styleId="CommentText">
    <w:name w:val="annotation text"/>
    <w:aliases w:val="- H19"/>
    <w:basedOn w:val="Normal"/>
    <w:link w:val="CommentTextChar"/>
    <w:uiPriority w:val="99"/>
    <w:rsid w:val="00FD2100"/>
    <w:rPr>
      <w:rFonts w:ascii="Times New Roman" w:hAnsi="Times New Roman" w:cs="Times New Roman"/>
      <w:sz w:val="20"/>
    </w:rPr>
  </w:style>
  <w:style w:type="character" w:customStyle="1" w:styleId="CommentTextChar">
    <w:name w:val="Comment Text Char"/>
    <w:aliases w:val="- H19 Char"/>
    <w:basedOn w:val="DefaultParagraphFont"/>
    <w:link w:val="CommentText"/>
    <w:uiPriority w:val="99"/>
    <w:rsid w:val="00FD2100"/>
    <w:rPr>
      <w:snapToGrid w:val="0"/>
      <w:lang w:eastAsia="en-US"/>
    </w:rPr>
  </w:style>
  <w:style w:type="paragraph" w:customStyle="1" w:styleId="TableText0">
    <w:name w:val="TableText"/>
    <w:basedOn w:val="Normal"/>
    <w:uiPriority w:val="9"/>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qFormat/>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uiPriority w:val="9"/>
    <w:rsid w:val="00CA7B09"/>
    <w:pPr>
      <w:keepNext w:val="0"/>
      <w:keepLines/>
      <w:spacing w:before="0" w:after="360"/>
      <w:ind w:left="720"/>
    </w:pPr>
    <w:rPr>
      <w:sz w:val="18"/>
      <w:szCs w:val="18"/>
    </w:rPr>
  </w:style>
  <w:style w:type="paragraph" w:customStyle="1" w:styleId="TableNotes0">
    <w:name w:val="TableNotes+0"/>
    <w:basedOn w:val="TableNotes18"/>
    <w:uiPriority w:val="9"/>
    <w:rsid w:val="00CA7B09"/>
    <w:pPr>
      <w:keepNext/>
      <w:spacing w:after="0"/>
    </w:pPr>
  </w:style>
  <w:style w:type="paragraph" w:styleId="CommentSubject">
    <w:name w:val="annotation subject"/>
    <w:basedOn w:val="CommentText"/>
    <w:next w:val="CommentText"/>
    <w:link w:val="CommentSubjectChar"/>
    <w:uiPriority w:val="9"/>
    <w:rsid w:val="004319F8"/>
    <w:rPr>
      <w:rFonts w:ascii="Arial" w:hAnsi="Arial" w:cs="Arial"/>
      <w:b/>
      <w:bCs/>
    </w:rPr>
  </w:style>
  <w:style w:type="character" w:customStyle="1" w:styleId="CommentSubjectChar">
    <w:name w:val="Comment Subject Char"/>
    <w:basedOn w:val="CommentTextChar"/>
    <w:link w:val="CommentSubject"/>
    <w:uiPriority w:val="9"/>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uiPriority w:val="9"/>
    <w:rsid w:val="00E41E30"/>
    <w:pPr>
      <w:spacing w:after="120"/>
      <w:ind w:left="283"/>
    </w:pPr>
  </w:style>
  <w:style w:type="character" w:customStyle="1" w:styleId="BodyTextIndentChar">
    <w:name w:val="Body Text Indent Char"/>
    <w:basedOn w:val="DefaultParagraphFont"/>
    <w:link w:val="BodyTextIndent"/>
    <w:uiPriority w:val="9"/>
    <w:rsid w:val="00E41E30"/>
    <w:rPr>
      <w:rFonts w:ascii="Arial" w:hAnsi="Arial" w:cs="Arial"/>
      <w:snapToGrid w:val="0"/>
      <w:sz w:val="22"/>
      <w:lang w:eastAsia="en-US"/>
    </w:rPr>
  </w:style>
  <w:style w:type="paragraph" w:customStyle="1" w:styleId="Char1CharCharChar">
    <w:name w:val="Char1 Char Char Char"/>
    <w:basedOn w:val="Normal"/>
    <w:uiPriority w:val="9"/>
    <w:rsid w:val="00B94945"/>
    <w:pPr>
      <w:widowControl/>
      <w:spacing w:after="160" w:line="240" w:lineRule="exact"/>
      <w:jc w:val="left"/>
    </w:pPr>
    <w:rPr>
      <w:rFonts w:ascii="Verdana" w:eastAsia="MS Mincho" w:hAnsi="Verdana" w:cs="Verdana"/>
      <w:snapToGrid/>
      <w:sz w:val="20"/>
      <w:lang w:val="en-US"/>
    </w:rPr>
  </w:style>
  <w:style w:type="paragraph" w:customStyle="1" w:styleId="PBACheading1">
    <w:name w:val="PBAC heading 1"/>
    <w:qFormat/>
    <w:rsid w:val="002025FE"/>
    <w:pPr>
      <w:numPr>
        <w:numId w:val="1"/>
      </w:numPr>
    </w:pPr>
    <w:rPr>
      <w:rFonts w:ascii="Arial" w:hAnsi="Arial" w:cs="Arial"/>
      <w:snapToGrid w:val="0"/>
      <w:sz w:val="22"/>
      <w:szCs w:val="22"/>
      <w:lang w:eastAsia="en-US"/>
    </w:rPr>
  </w:style>
  <w:style w:type="paragraph" w:customStyle="1" w:styleId="PBACHeading10">
    <w:name w:val="PBAC Heading 1"/>
    <w:qFormat/>
    <w:rsid w:val="003779C4"/>
    <w:pPr>
      <w:ind w:left="720" w:hanging="720"/>
      <w:outlineLvl w:val="0"/>
    </w:pPr>
    <w:rPr>
      <w:rFonts w:ascii="Arial" w:hAnsi="Arial" w:cs="Arial"/>
      <w:b/>
      <w:snapToGrid w:val="0"/>
      <w:sz w:val="22"/>
      <w:szCs w:val="22"/>
      <w:lang w:eastAsia="en-US"/>
    </w:rPr>
  </w:style>
  <w:style w:type="character" w:customStyle="1" w:styleId="ListParagraphChar">
    <w:name w:val="List Paragraph Char"/>
    <w:aliases w:val="BulletPoints Char"/>
    <w:link w:val="ListParagraph"/>
    <w:uiPriority w:val="72"/>
    <w:rsid w:val="003779C4"/>
    <w:rPr>
      <w:rFonts w:ascii="Arial" w:hAnsi="Arial" w:cs="Arial"/>
      <w:snapToGrid w:val="0"/>
      <w:sz w:val="22"/>
      <w:lang w:eastAsia="en-US"/>
    </w:rPr>
  </w:style>
  <w:style w:type="paragraph" w:styleId="FootnoteText">
    <w:name w:val="footnote text"/>
    <w:basedOn w:val="Normal"/>
    <w:link w:val="FootnoteTextChar"/>
    <w:uiPriority w:val="99"/>
    <w:unhideWhenUsed/>
    <w:rsid w:val="00EC2DD8"/>
    <w:rPr>
      <w:sz w:val="20"/>
    </w:rPr>
  </w:style>
  <w:style w:type="character" w:customStyle="1" w:styleId="FootnoteTextChar">
    <w:name w:val="Footnote Text Char"/>
    <w:basedOn w:val="DefaultParagraphFont"/>
    <w:link w:val="FootnoteText"/>
    <w:uiPriority w:val="99"/>
    <w:rsid w:val="00EC2DD8"/>
    <w:rPr>
      <w:rFonts w:ascii="Arial" w:hAnsi="Arial" w:cs="Arial"/>
      <w:snapToGrid w:val="0"/>
      <w:lang w:eastAsia="en-US"/>
    </w:rPr>
  </w:style>
  <w:style w:type="character" w:styleId="FootnoteReference">
    <w:name w:val="footnote reference"/>
    <w:basedOn w:val="DefaultParagraphFont"/>
    <w:uiPriority w:val="99"/>
    <w:unhideWhenUsed/>
    <w:rsid w:val="00EC2DD8"/>
    <w:rPr>
      <w:vertAlign w:val="superscript"/>
    </w:rPr>
  </w:style>
  <w:style w:type="table" w:customStyle="1" w:styleId="TableGridbeth41">
    <w:name w:val="Table Gridbeth41"/>
    <w:basedOn w:val="TableNormal"/>
    <w:next w:val="TableGrid"/>
    <w:uiPriority w:val="59"/>
    <w:rsid w:val="009D0617"/>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1">
    <w:name w:val="Table H1"/>
    <w:basedOn w:val="BodyText"/>
    <w:uiPriority w:val="4"/>
    <w:qFormat/>
    <w:rsid w:val="009D0617"/>
    <w:pPr>
      <w:keepNext/>
      <w:widowControl/>
      <w:tabs>
        <w:tab w:val="left" w:pos="416"/>
        <w:tab w:val="left" w:pos="582"/>
        <w:tab w:val="left" w:pos="1134"/>
      </w:tabs>
      <w:spacing w:after="240"/>
    </w:pPr>
    <w:rPr>
      <w:rFonts w:ascii="Calibri" w:hAnsi="Calibri" w:cs="Times New Roman"/>
      <w:b/>
      <w:snapToGrid/>
      <w:sz w:val="20"/>
      <w:lang w:val="en-US"/>
    </w:rPr>
  </w:style>
  <w:style w:type="character" w:customStyle="1" w:styleId="PBACTableTextChar">
    <w:name w:val="PBAC Table Text Char"/>
    <w:basedOn w:val="DefaultParagraphFont"/>
    <w:link w:val="PBACTableText"/>
    <w:locked/>
    <w:rsid w:val="00FC1F9A"/>
    <w:rPr>
      <w:rFonts w:ascii="News Gothic MT" w:eastAsia="Batang" w:hAnsi="News Gothic MT"/>
    </w:rPr>
  </w:style>
  <w:style w:type="paragraph" w:customStyle="1" w:styleId="PBACTableText">
    <w:name w:val="PBAC Table Text"/>
    <w:basedOn w:val="Normal"/>
    <w:link w:val="PBACTableTextChar"/>
    <w:qFormat/>
    <w:rsid w:val="00FC1F9A"/>
    <w:pPr>
      <w:widowControl/>
      <w:jc w:val="left"/>
    </w:pPr>
    <w:rPr>
      <w:rFonts w:ascii="News Gothic MT" w:eastAsia="Batang" w:hAnsi="News Gothic MT" w:cs="Times New Roman"/>
      <w:snapToGrid/>
      <w:sz w:val="20"/>
      <w:lang w:eastAsia="en-AU"/>
    </w:rPr>
  </w:style>
  <w:style w:type="paragraph" w:customStyle="1" w:styleId="Body">
    <w:name w:val="Body"/>
    <w:basedOn w:val="Normal"/>
    <w:link w:val="BodyChar1"/>
    <w:rsid w:val="00FC1F9A"/>
    <w:pPr>
      <w:widowControl/>
      <w:ind w:firstLine="288"/>
    </w:pPr>
    <w:rPr>
      <w:rFonts w:cs="Times New Roman"/>
      <w:snapToGrid/>
      <w:sz w:val="20"/>
      <w:lang w:val="en-US"/>
    </w:rPr>
  </w:style>
  <w:style w:type="character" w:customStyle="1" w:styleId="BodyChar1">
    <w:name w:val="Body Char1"/>
    <w:link w:val="Body"/>
    <w:rsid w:val="00FC1F9A"/>
    <w:rPr>
      <w:rFonts w:ascii="Arial" w:hAnsi="Arial"/>
      <w:lang w:val="en-US" w:eastAsia="en-US"/>
    </w:rPr>
  </w:style>
  <w:style w:type="paragraph" w:customStyle="1" w:styleId="Tablename0">
    <w:name w:val="Table name"/>
    <w:basedOn w:val="BodyText"/>
    <w:link w:val="TablenameChar"/>
    <w:uiPriority w:val="4"/>
    <w:qFormat/>
    <w:rsid w:val="00A05FEC"/>
    <w:pPr>
      <w:keepNext/>
      <w:widowControl/>
      <w:tabs>
        <w:tab w:val="left" w:pos="1418"/>
      </w:tabs>
      <w:spacing w:before="120" w:after="120"/>
      <w:ind w:left="1418" w:hanging="1418"/>
    </w:pPr>
    <w:rPr>
      <w:rFonts w:ascii="Calibri" w:hAnsi="Calibri" w:cs="Times New Roman"/>
      <w:b/>
      <w:bCs/>
      <w:snapToGrid/>
      <w:lang w:val="en-US"/>
    </w:rPr>
  </w:style>
  <w:style w:type="character" w:customStyle="1" w:styleId="TablenameChar">
    <w:name w:val="Table name Char"/>
    <w:basedOn w:val="DefaultParagraphFont"/>
    <w:link w:val="Tablename0"/>
    <w:rsid w:val="00A05FEC"/>
    <w:rPr>
      <w:rFonts w:ascii="Calibri" w:hAnsi="Calibri"/>
      <w:b/>
      <w:bCs/>
      <w:sz w:val="22"/>
      <w:lang w:val="en-US" w:eastAsia="en-US"/>
    </w:rPr>
  </w:style>
  <w:style w:type="paragraph" w:customStyle="1" w:styleId="Tabletextarialnarrow">
    <w:name w:val="Table text arial narrow"/>
    <w:basedOn w:val="Normal"/>
    <w:qFormat/>
    <w:rsid w:val="003D627F"/>
    <w:pPr>
      <w:keepNext/>
      <w:widowControl/>
    </w:pPr>
    <w:rPr>
      <w:rFonts w:ascii="Arial Narrow" w:hAnsi="Arial Narrow"/>
      <w:sz w:val="20"/>
    </w:rPr>
  </w:style>
  <w:style w:type="character" w:customStyle="1" w:styleId="Heading1Char">
    <w:name w:val="Heading 1 Char"/>
    <w:basedOn w:val="DefaultParagraphFont"/>
    <w:link w:val="Heading1"/>
    <w:uiPriority w:val="1"/>
    <w:rsid w:val="00FA5AB6"/>
    <w:rPr>
      <w:rFonts w:ascii="Arial Bold" w:hAnsi="Arial Bold" w:cs="Arial"/>
      <w:b/>
      <w:caps/>
      <w:snapToGrid w:val="0"/>
      <w:sz w:val="22"/>
      <w:lang w:eastAsia="en-US"/>
    </w:rPr>
  </w:style>
  <w:style w:type="table" w:customStyle="1" w:styleId="TableStyle">
    <w:name w:val="Table Style"/>
    <w:basedOn w:val="TableNormal"/>
    <w:rsid w:val="00E24A0D"/>
    <w:pPr>
      <w:spacing w:before="120"/>
    </w:pPr>
    <w:rPr>
      <w:rFonts w:ascii="Arial" w:hAnsi="Arial"/>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vAlign w:val="center"/>
    </w:tcPr>
    <w:tblStylePr w:type="firstRow">
      <w:pPr>
        <w:jc w:val="left"/>
      </w:pPr>
      <w:rPr>
        <w:b/>
        <w:bCs/>
        <w:color w:val="auto"/>
      </w:rPr>
      <w:tblPr/>
      <w:tcPr>
        <w:tcBorders>
          <w:tl2br w:val="none" w:sz="0" w:space="0" w:color="auto"/>
          <w:tr2bl w:val="none" w:sz="0" w:space="0" w:color="auto"/>
        </w:tcBorders>
        <w:shd w:val="clear" w:color="auto" w:fill="D9D9D9"/>
        <w:vAlign w:val="top"/>
      </w:tcPr>
    </w:tblStylePr>
  </w:style>
  <w:style w:type="table" w:customStyle="1" w:styleId="OPTUMTableNormal">
    <w:name w:val="OPTUM Table Normal"/>
    <w:basedOn w:val="TableNormal"/>
    <w:rsid w:val="00E24A0D"/>
    <w:pPr>
      <w:spacing w:before="40" w:after="20"/>
    </w:pPr>
    <w:rPr>
      <w:rFonts w:ascii="Calibri" w:hAnsi="Calibri"/>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val="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customStyle="1" w:styleId="Tablebullet">
    <w:name w:val="Table bullet"/>
    <w:basedOn w:val="Tabletext"/>
    <w:uiPriority w:val="4"/>
    <w:qFormat/>
    <w:rsid w:val="00E24A0D"/>
    <w:pPr>
      <w:keepNext/>
      <w:keepLines/>
      <w:numPr>
        <w:numId w:val="2"/>
      </w:numPr>
      <w:tabs>
        <w:tab w:val="left" w:pos="284"/>
      </w:tabs>
      <w:spacing w:before="20" w:after="20"/>
    </w:pPr>
    <w:rPr>
      <w:rFonts w:ascii="Calibri" w:hAnsi="Calibri"/>
      <w:sz w:val="18"/>
    </w:rPr>
  </w:style>
  <w:style w:type="table" w:customStyle="1" w:styleId="newstyle2">
    <w:name w:val="new style2"/>
    <w:basedOn w:val="TableNormal"/>
    <w:next w:val="TableGrid"/>
    <w:uiPriority w:val="59"/>
    <w:rsid w:val="00E24A0D"/>
    <w:pPr>
      <w:ind w:left="113" w:right="113"/>
    </w:pPr>
    <w:rPr>
      <w:rFonts w:ascii="Calibri" w:eastAsia="Calibri" w:hAnsi="Calibri"/>
      <w:sz w:val="16"/>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0" w:type="dxa"/>
        <w:bottom w:w="57" w:type="dxa"/>
        <w:right w:w="0" w:type="dxa"/>
      </w:tblCellMar>
    </w:tblPr>
    <w:trPr>
      <w:cantSplit/>
    </w:trPr>
    <w:tblStylePr w:type="firstRow">
      <w:rPr>
        <w:b/>
      </w:rPr>
      <w:tblPr/>
      <w:trPr>
        <w:cantSplit w:val="0"/>
        <w:tblHeader/>
      </w:trPr>
      <w:tcPr>
        <w:shd w:val="clear" w:color="auto" w:fill="BFBFBF" w:themeFill="background1" w:themeFillShade="BF"/>
      </w:tcPr>
    </w:tblStylePr>
  </w:style>
  <w:style w:type="table" w:customStyle="1" w:styleId="TableGridbeth2">
    <w:name w:val="Table Gridbeth2"/>
    <w:basedOn w:val="TableNormal"/>
    <w:next w:val="TableGrid"/>
    <w:rsid w:val="00E24A0D"/>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ewstyle3">
    <w:name w:val="new style3"/>
    <w:basedOn w:val="TableNormal"/>
    <w:next w:val="TableGrid"/>
    <w:uiPriority w:val="59"/>
    <w:rsid w:val="00E24A0D"/>
    <w:pPr>
      <w:ind w:left="113" w:right="113"/>
    </w:pPr>
    <w:rPr>
      <w:rFonts w:ascii="Calibri" w:eastAsia="Calibri" w:hAnsi="Calibri"/>
      <w:sz w:val="16"/>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0" w:type="dxa"/>
        <w:bottom w:w="57" w:type="dxa"/>
        <w:right w:w="0" w:type="dxa"/>
      </w:tblCellMar>
    </w:tblPr>
    <w:trPr>
      <w:cantSplit/>
    </w:trPr>
    <w:tblStylePr w:type="firstRow">
      <w:rPr>
        <w:b/>
      </w:rPr>
      <w:tblPr/>
      <w:trPr>
        <w:cantSplit w:val="0"/>
        <w:tblHeader/>
      </w:trPr>
      <w:tcPr>
        <w:shd w:val="clear" w:color="auto" w:fill="BFBFBF"/>
      </w:tcPr>
    </w:tblStylePr>
  </w:style>
  <w:style w:type="table" w:customStyle="1" w:styleId="newstyle31">
    <w:name w:val="new style31"/>
    <w:basedOn w:val="TableNormal"/>
    <w:next w:val="TableGrid"/>
    <w:uiPriority w:val="59"/>
    <w:rsid w:val="00E24A0D"/>
    <w:pPr>
      <w:ind w:left="113" w:right="113"/>
    </w:pPr>
    <w:rPr>
      <w:rFonts w:ascii="Calibri" w:eastAsia="Calibri" w:hAnsi="Calibri"/>
      <w:sz w:val="16"/>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0" w:type="dxa"/>
        <w:bottom w:w="57" w:type="dxa"/>
        <w:right w:w="0" w:type="dxa"/>
      </w:tblCellMar>
    </w:tblPr>
    <w:trPr>
      <w:cantSplit/>
    </w:trPr>
    <w:tblStylePr w:type="firstRow">
      <w:rPr>
        <w:b/>
      </w:rPr>
      <w:tblPr/>
      <w:trPr>
        <w:cantSplit w:val="0"/>
        <w:tblHeader/>
      </w:trPr>
      <w:tcPr>
        <w:shd w:val="clear" w:color="auto" w:fill="BFBFBF"/>
      </w:tcPr>
    </w:tblStylePr>
  </w:style>
  <w:style w:type="paragraph" w:customStyle="1" w:styleId="BoxHeading">
    <w:name w:val="BoxHeading"/>
    <w:basedOn w:val="BodyText"/>
    <w:link w:val="BoxHeadingChar"/>
    <w:uiPriority w:val="3"/>
    <w:rsid w:val="00E24A0D"/>
    <w:pPr>
      <w:widowControl/>
      <w:pBdr>
        <w:top w:val="single" w:sz="6" w:space="1" w:color="000000"/>
        <w:left w:val="single" w:sz="6" w:space="4" w:color="000000"/>
        <w:bottom w:val="single" w:sz="6" w:space="1" w:color="000000"/>
        <w:right w:val="single" w:sz="6" w:space="4" w:color="000000"/>
      </w:pBdr>
      <w:tabs>
        <w:tab w:val="left" w:pos="1418"/>
      </w:tabs>
      <w:spacing w:before="120" w:after="120"/>
    </w:pPr>
    <w:rPr>
      <w:rFonts w:ascii="Calibri" w:hAnsi="Calibri" w:cs="Times New Roman"/>
      <w:b/>
      <w:bCs/>
      <w:snapToGrid/>
      <w:lang w:val="en-US"/>
    </w:rPr>
  </w:style>
  <w:style w:type="numbering" w:customStyle="1" w:styleId="PBACstandardnumberstyle">
    <w:name w:val="PBAC standard number style"/>
    <w:uiPriority w:val="99"/>
    <w:rsid w:val="00E24A0D"/>
    <w:pPr>
      <w:numPr>
        <w:numId w:val="3"/>
      </w:numPr>
    </w:pPr>
  </w:style>
  <w:style w:type="character" w:customStyle="1" w:styleId="BoxHeadingChar">
    <w:name w:val="BoxHeading Char"/>
    <w:basedOn w:val="DefaultParagraphFont"/>
    <w:link w:val="BoxHeading"/>
    <w:uiPriority w:val="3"/>
    <w:rsid w:val="00E24A0D"/>
    <w:rPr>
      <w:rFonts w:ascii="Calibri" w:hAnsi="Calibri"/>
      <w:b/>
      <w:bCs/>
      <w:sz w:val="22"/>
      <w:lang w:val="en-US" w:eastAsia="en-US"/>
    </w:rPr>
  </w:style>
  <w:style w:type="paragraph" w:customStyle="1" w:styleId="Bulletpoint">
    <w:name w:val="Bulletpoint"/>
    <w:basedOn w:val="BodyText"/>
    <w:qFormat/>
    <w:rsid w:val="00E24A0D"/>
    <w:pPr>
      <w:numPr>
        <w:numId w:val="4"/>
      </w:numPr>
      <w:jc w:val="both"/>
    </w:pPr>
    <w:rPr>
      <w:rFonts w:ascii="Times New Roman" w:hAnsi="Times New Roman" w:cs="Times New Roman"/>
      <w:sz w:val="24"/>
    </w:rPr>
  </w:style>
  <w:style w:type="table" w:customStyle="1" w:styleId="newstyle1">
    <w:name w:val="new style1"/>
    <w:basedOn w:val="TableNormal"/>
    <w:next w:val="TableGrid"/>
    <w:uiPriority w:val="59"/>
    <w:rsid w:val="00E24A0D"/>
    <w:pPr>
      <w:spacing w:before="20" w:after="20"/>
    </w:pPr>
    <w:rPr>
      <w:rFonts w:ascii="Garamond" w:hAnsi="Garamond"/>
      <w:sz w:val="18"/>
    </w:rPr>
    <w:tblPr>
      <w:tblBorders>
        <w:top w:val="single" w:sz="2" w:space="0" w:color="auto"/>
        <w:left w:val="single" w:sz="2" w:space="0" w:color="auto"/>
        <w:bottom w:val="single" w:sz="2" w:space="0" w:color="auto"/>
        <w:right w:val="single" w:sz="2" w:space="0" w:color="auto"/>
      </w:tblBorders>
    </w:tblPr>
    <w:tcPr>
      <w:vAlign w:val="center"/>
    </w:tcPr>
    <w:tblStylePr w:type="firstRow">
      <w:pPr>
        <w:wordWrap/>
        <w:spacing w:beforeLines="40" w:beforeAutospacing="0" w:afterLines="20" w:afterAutospacing="0" w:line="360" w:lineRule="auto"/>
      </w:pPr>
      <w:rPr>
        <w:rFonts w:ascii="Arial Unicode MS" w:hAnsi="Arial Unicode MS"/>
        <w:b/>
        <w:i w:val="0"/>
        <w:sz w:val="22"/>
        <w:szCs w:val="22"/>
      </w:rPr>
      <w:tblPr/>
      <w:tcPr>
        <w:tcBorders>
          <w:top w:val="single" w:sz="2" w:space="0" w:color="auto"/>
          <w:left w:val="single" w:sz="2" w:space="0" w:color="auto"/>
          <w:bottom w:val="nil"/>
          <w:right w:val="single" w:sz="2" w:space="0" w:color="auto"/>
          <w:insideH w:val="nil"/>
          <w:insideV w:val="nil"/>
          <w:tl2br w:val="nil"/>
          <w:tr2bl w:val="nil"/>
        </w:tcBorders>
      </w:tcPr>
    </w:tblStylePr>
  </w:style>
  <w:style w:type="paragraph" w:customStyle="1" w:styleId="Tableleft">
    <w:name w:val="Table left"/>
    <w:basedOn w:val="TableText0"/>
    <w:link w:val="TableleftChar"/>
    <w:rsid w:val="00E24A0D"/>
    <w:pPr>
      <w:keepNext w:val="0"/>
    </w:pPr>
    <w:rPr>
      <w:rFonts w:ascii="Arial" w:hAnsi="Arial"/>
      <w:sz w:val="18"/>
    </w:rPr>
  </w:style>
  <w:style w:type="character" w:customStyle="1" w:styleId="TableleftChar">
    <w:name w:val="Table left Char"/>
    <w:basedOn w:val="DefaultParagraphFont"/>
    <w:link w:val="Tableleft"/>
    <w:rsid w:val="00E24A0D"/>
    <w:rPr>
      <w:rFonts w:ascii="Arial" w:hAnsi="Arial" w:cs="Arial Narrow"/>
      <w:sz w:val="18"/>
      <w:lang w:eastAsia="en-US"/>
    </w:rPr>
  </w:style>
  <w:style w:type="character" w:customStyle="1" w:styleId="TableHeadingChar">
    <w:name w:val="TableHeading Char"/>
    <w:link w:val="TableHeading0"/>
    <w:uiPriority w:val="99"/>
    <w:rsid w:val="00E24A0D"/>
    <w:rPr>
      <w:rFonts w:ascii="Arial Narrow" w:hAnsi="Arial Narrow" w:cs="Arial Narrow"/>
      <w:b/>
      <w:bCs/>
      <w:lang w:eastAsia="en-US"/>
    </w:rPr>
  </w:style>
  <w:style w:type="character" w:customStyle="1" w:styleId="SubtitleChar">
    <w:name w:val="Subtitle Char"/>
    <w:link w:val="Subtitle"/>
    <w:uiPriority w:val="9"/>
    <w:rsid w:val="003270B8"/>
    <w:rPr>
      <w:lang w:eastAsia="en-US"/>
    </w:rPr>
  </w:style>
  <w:style w:type="paragraph" w:styleId="Subtitle">
    <w:name w:val="Subtitle"/>
    <w:basedOn w:val="Normal"/>
    <w:link w:val="SubtitleChar"/>
    <w:uiPriority w:val="9"/>
    <w:qFormat/>
    <w:rsid w:val="003270B8"/>
    <w:pPr>
      <w:widowControl/>
    </w:pPr>
    <w:rPr>
      <w:rFonts w:ascii="Times New Roman" w:hAnsi="Times New Roman" w:cs="Times New Roman"/>
      <w:snapToGrid/>
      <w:sz w:val="20"/>
    </w:rPr>
  </w:style>
  <w:style w:type="character" w:customStyle="1" w:styleId="SubtitleChar1">
    <w:name w:val="Subtitle Char1"/>
    <w:basedOn w:val="DefaultParagraphFont"/>
    <w:uiPriority w:val="9"/>
    <w:rsid w:val="003270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KMC-Tabletext">
    <w:name w:val="KMC - Table text"/>
    <w:basedOn w:val="Normal"/>
    <w:qFormat/>
    <w:rsid w:val="003270B8"/>
    <w:pPr>
      <w:widowControl/>
      <w:spacing w:before="40" w:after="40"/>
      <w:jc w:val="left"/>
    </w:pPr>
    <w:rPr>
      <w:rFonts w:ascii="Arial Narrow" w:hAnsi="Arial Narrow"/>
      <w:bCs/>
      <w:snapToGrid/>
      <w:lang w:eastAsia="en-AU"/>
    </w:rPr>
  </w:style>
  <w:style w:type="paragraph" w:customStyle="1" w:styleId="Default">
    <w:name w:val="Default"/>
    <w:basedOn w:val="Normal"/>
    <w:rsid w:val="003270B8"/>
    <w:pPr>
      <w:widowControl/>
      <w:autoSpaceDE w:val="0"/>
      <w:autoSpaceDN w:val="0"/>
      <w:jc w:val="left"/>
    </w:pPr>
    <w:rPr>
      <w:rFonts w:ascii="Calibri" w:eastAsia="SimSun" w:hAnsi="Calibri" w:cs="SimSun"/>
      <w:snapToGrid/>
      <w:color w:val="000000"/>
      <w:sz w:val="24"/>
      <w:szCs w:val="24"/>
    </w:rPr>
  </w:style>
  <w:style w:type="paragraph" w:customStyle="1" w:styleId="labeltext">
    <w:name w:val="label text"/>
    <w:link w:val="labeltextChar"/>
    <w:rsid w:val="003270B8"/>
    <w:rPr>
      <w:sz w:val="22"/>
      <w:szCs w:val="22"/>
      <w:lang w:val="en-US" w:eastAsia="en-US"/>
    </w:rPr>
  </w:style>
  <w:style w:type="character" w:customStyle="1" w:styleId="labeltextChar">
    <w:name w:val="label text Char"/>
    <w:link w:val="labeltext"/>
    <w:locked/>
    <w:rsid w:val="003270B8"/>
    <w:rPr>
      <w:sz w:val="22"/>
      <w:szCs w:val="22"/>
      <w:lang w:val="en-US" w:eastAsia="en-US"/>
    </w:rPr>
  </w:style>
  <w:style w:type="table" w:customStyle="1" w:styleId="LightShading-Accent11">
    <w:name w:val="Light Shading - Accent 11"/>
    <w:basedOn w:val="TableNormal"/>
    <w:uiPriority w:val="60"/>
    <w:rsid w:val="003270B8"/>
    <w:rPr>
      <w:color w:val="365F91" w:themeColor="accent1" w:themeShade="BF"/>
      <w:lang w:val="en-US"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TableGrid1">
    <w:name w:val="Table Grid1"/>
    <w:basedOn w:val="TableNormal"/>
    <w:next w:val="TableGrid"/>
    <w:rsid w:val="003270B8"/>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Notes18">
    <w:name w:val="TableFigNotes+18"/>
    <w:basedOn w:val="BodyText"/>
    <w:next w:val="BodyText"/>
    <w:link w:val="TableFigNotes18Char"/>
    <w:uiPriority w:val="4"/>
    <w:qFormat/>
    <w:rsid w:val="003270B8"/>
    <w:pPr>
      <w:keepLines/>
      <w:widowControl/>
      <w:spacing w:after="360"/>
    </w:pPr>
    <w:rPr>
      <w:rFonts w:ascii="Calibri" w:hAnsi="Calibri" w:cs="Tahoma"/>
      <w:snapToGrid/>
      <w:color w:val="000000"/>
      <w:sz w:val="16"/>
      <w:szCs w:val="18"/>
      <w:lang w:val="en-US" w:eastAsia="en-AU"/>
    </w:rPr>
  </w:style>
  <w:style w:type="character" w:customStyle="1" w:styleId="TableFigNotes18Char">
    <w:name w:val="TableFigNotes+18 Char"/>
    <w:basedOn w:val="DefaultParagraphFont"/>
    <w:link w:val="TableFigNotes18"/>
    <w:uiPriority w:val="4"/>
    <w:rsid w:val="003270B8"/>
    <w:rPr>
      <w:rFonts w:ascii="Calibri" w:hAnsi="Calibri" w:cs="Tahoma"/>
      <w:color w:val="000000"/>
      <w:sz w:val="16"/>
      <w:szCs w:val="18"/>
      <w:lang w:val="en-US"/>
    </w:rPr>
  </w:style>
  <w:style w:type="paragraph" w:customStyle="1" w:styleId="Tabletextindent">
    <w:name w:val="Table text indent"/>
    <w:basedOn w:val="Tabletext"/>
    <w:uiPriority w:val="4"/>
    <w:qFormat/>
    <w:rsid w:val="003270B8"/>
    <w:pPr>
      <w:tabs>
        <w:tab w:val="left" w:pos="416"/>
        <w:tab w:val="left" w:pos="582"/>
      </w:tabs>
      <w:spacing w:before="20" w:after="20"/>
      <w:ind w:left="170"/>
    </w:pPr>
    <w:rPr>
      <w:rFonts w:ascii="Calibri" w:hAnsi="Calibri"/>
      <w:sz w:val="18"/>
      <w:szCs w:val="18"/>
      <w:lang w:eastAsia="en-GB"/>
    </w:rPr>
  </w:style>
  <w:style w:type="paragraph" w:customStyle="1" w:styleId="TableFigNotes0">
    <w:name w:val="TableFigNotes+0"/>
    <w:basedOn w:val="TableFigNotes18"/>
    <w:uiPriority w:val="4"/>
    <w:rsid w:val="003270B8"/>
    <w:pPr>
      <w:keepNext/>
      <w:spacing w:after="0"/>
    </w:pPr>
  </w:style>
  <w:style w:type="character" w:customStyle="1" w:styleId="apple-converted-space">
    <w:name w:val="apple-converted-space"/>
    <w:basedOn w:val="DefaultParagraphFont"/>
    <w:rsid w:val="003270B8"/>
  </w:style>
  <w:style w:type="paragraph" w:customStyle="1" w:styleId="HeadingLevel2">
    <w:name w:val="Heading Level 2"/>
    <w:basedOn w:val="Normal"/>
    <w:semiHidden/>
    <w:unhideWhenUsed/>
    <w:rsid w:val="003270B8"/>
    <w:pPr>
      <w:widowControl/>
      <w:numPr>
        <w:numId w:val="5"/>
      </w:numPr>
      <w:spacing w:after="240" w:line="360" w:lineRule="auto"/>
      <w:jc w:val="left"/>
    </w:pPr>
    <w:rPr>
      <w:rFonts w:ascii="Calibri" w:hAnsi="Calibri"/>
      <w:snapToGrid/>
      <w:color w:val="000000"/>
      <w:szCs w:val="24"/>
      <w:lang w:val="en-US"/>
    </w:rPr>
  </w:style>
  <w:style w:type="paragraph" w:customStyle="1" w:styleId="TableHeading">
    <w:name w:val="Table Heading"/>
    <w:basedOn w:val="Normal"/>
    <w:qFormat/>
    <w:rsid w:val="001830EE"/>
    <w:pPr>
      <w:keepNext/>
      <w:widowControl/>
      <w:spacing w:after="60"/>
      <w:jc w:val="left"/>
    </w:pPr>
    <w:rPr>
      <w:rFonts w:ascii="Arial Narrow" w:eastAsiaTheme="minorHAnsi" w:hAnsi="Arial Narrow" w:cstheme="minorBidi"/>
      <w:b/>
      <w:snapToGrid/>
      <w:sz w:val="20"/>
      <w:szCs w:val="22"/>
    </w:rPr>
  </w:style>
  <w:style w:type="character" w:customStyle="1" w:styleId="Heading3Char">
    <w:name w:val="Heading 3 Char"/>
    <w:basedOn w:val="DefaultParagraphFont"/>
    <w:link w:val="Heading3"/>
    <w:uiPriority w:val="1"/>
    <w:rsid w:val="00815F85"/>
    <w:rPr>
      <w:rFonts w:asciiTheme="minorHAnsi" w:hAnsiTheme="minorHAnsi" w:cs="Arial"/>
      <w:b/>
      <w:i/>
      <w:snapToGrid w:val="0"/>
      <w:sz w:val="28"/>
      <w:szCs w:val="28"/>
      <w:lang w:eastAsia="en-US"/>
    </w:rPr>
  </w:style>
  <w:style w:type="character" w:customStyle="1" w:styleId="Heading4Char">
    <w:name w:val="Heading 4 Char"/>
    <w:aliases w:val="Heading 1 - Body Char"/>
    <w:basedOn w:val="DefaultParagraphFont"/>
    <w:link w:val="Heading4"/>
    <w:uiPriority w:val="5"/>
    <w:rsid w:val="005706F7"/>
    <w:rPr>
      <w:rFonts w:ascii="Arial" w:hAnsi="Arial" w:cs="Arial"/>
      <w:b/>
      <w:bCs/>
      <w:i/>
      <w:snapToGrid w:val="0"/>
      <w:sz w:val="26"/>
      <w:szCs w:val="28"/>
      <w:lang w:eastAsia="en-US"/>
    </w:rPr>
  </w:style>
  <w:style w:type="character" w:customStyle="1" w:styleId="Heading5Char">
    <w:name w:val="Heading 5 Char"/>
    <w:aliases w:val="Heading 2 - Body Char"/>
    <w:basedOn w:val="DefaultParagraphFont"/>
    <w:link w:val="Heading5"/>
    <w:uiPriority w:val="7"/>
    <w:rsid w:val="005706F7"/>
    <w:rPr>
      <w:rFonts w:ascii="Arial" w:hAnsi="Arial" w:cs="Arial"/>
      <w:b/>
      <w:bCs/>
      <w:iCs/>
      <w:snapToGrid w:val="0"/>
      <w:sz w:val="26"/>
      <w:szCs w:val="26"/>
      <w:lang w:eastAsia="en-US"/>
    </w:rPr>
  </w:style>
  <w:style w:type="character" w:customStyle="1" w:styleId="Heading6Char">
    <w:name w:val="Heading 6 Char"/>
    <w:aliases w:val="Heading 3 - Body Char"/>
    <w:basedOn w:val="DefaultParagraphFont"/>
    <w:link w:val="Heading6"/>
    <w:uiPriority w:val="9"/>
    <w:rsid w:val="005706F7"/>
    <w:rPr>
      <w:rFonts w:ascii="Arial" w:hAnsi="Arial" w:cs="Arial"/>
      <w:b/>
      <w:bCs/>
      <w:i/>
      <w:snapToGrid w:val="0"/>
      <w:sz w:val="22"/>
      <w:szCs w:val="22"/>
      <w:lang w:eastAsia="en-US"/>
    </w:rPr>
  </w:style>
  <w:style w:type="numbering" w:customStyle="1" w:styleId="PBACstandardnumberstyle1">
    <w:name w:val="PBAC standard number style1"/>
    <w:uiPriority w:val="99"/>
    <w:rsid w:val="005706F7"/>
  </w:style>
  <w:style w:type="paragraph" w:customStyle="1" w:styleId="V50Heading2nonumbers">
    <w:name w:val="V5.0 Heading 2 no numbers"/>
    <w:basedOn w:val="Heading2"/>
    <w:qFormat/>
    <w:rsid w:val="0056703E"/>
    <w:pPr>
      <w:keepLines/>
      <w:ind w:left="578" w:hanging="578"/>
      <w:jc w:val="left"/>
    </w:pPr>
    <w:rPr>
      <w:rFonts w:eastAsiaTheme="majorEastAsia" w:cstheme="majorBidi"/>
      <w:i/>
      <w:snapToGrid/>
      <w:sz w:val="28"/>
      <w:szCs w:val="28"/>
    </w:rPr>
  </w:style>
  <w:style w:type="paragraph" w:customStyle="1" w:styleId="V50Instructions">
    <w:name w:val="V5.0 Instructions"/>
    <w:basedOn w:val="Normal"/>
    <w:link w:val="V50InstructionsChar"/>
    <w:qFormat/>
    <w:rsid w:val="0056703E"/>
    <w:pPr>
      <w:widowControl/>
      <w:spacing w:before="120" w:after="160"/>
      <w:jc w:val="left"/>
    </w:pPr>
    <w:rPr>
      <w:rFonts w:asciiTheme="minorHAnsi" w:eastAsiaTheme="minorHAnsi" w:hAnsiTheme="minorHAnsi" w:cstheme="minorBidi"/>
      <w:snapToGrid/>
      <w:color w:val="4BACC6" w:themeColor="accent5"/>
      <w:sz w:val="24"/>
      <w:szCs w:val="22"/>
    </w:rPr>
  </w:style>
  <w:style w:type="paragraph" w:customStyle="1" w:styleId="V50Heading1nonumbers">
    <w:name w:val="V5.0 Heading 1 no numbers"/>
    <w:basedOn w:val="Heading1"/>
    <w:qFormat/>
    <w:rsid w:val="0056703E"/>
    <w:pPr>
      <w:keepNext/>
      <w:keepLines/>
      <w:widowControl/>
      <w:spacing w:before="400" w:after="120"/>
      <w:ind w:left="0" w:firstLine="0"/>
      <w:jc w:val="left"/>
    </w:pPr>
    <w:rPr>
      <w:rFonts w:asciiTheme="minorHAnsi" w:eastAsiaTheme="majorEastAsia" w:hAnsiTheme="minorHAnsi" w:cstheme="majorBidi"/>
      <w:caps w:val="0"/>
      <w:snapToGrid/>
      <w:sz w:val="32"/>
      <w:szCs w:val="28"/>
    </w:rPr>
  </w:style>
  <w:style w:type="paragraph" w:customStyle="1" w:styleId="V50TableText">
    <w:name w:val="V5.0 TableText"/>
    <w:link w:val="V50TableTextChar"/>
    <w:qFormat/>
    <w:rsid w:val="0056703E"/>
    <w:rPr>
      <w:rFonts w:asciiTheme="minorHAnsi" w:eastAsiaTheme="minorHAnsi" w:hAnsiTheme="minorHAnsi" w:cstheme="minorBidi"/>
      <w:szCs w:val="24"/>
      <w:lang w:val="en-US" w:eastAsia="en-US"/>
    </w:rPr>
  </w:style>
  <w:style w:type="paragraph" w:customStyle="1" w:styleId="V50TableTextInstruction">
    <w:name w:val="V5.0 TableText Instruction"/>
    <w:basedOn w:val="V50TableText"/>
    <w:qFormat/>
    <w:rsid w:val="0056703E"/>
    <w:rPr>
      <w:b/>
      <w:color w:val="4BACC6" w:themeColor="accent5"/>
    </w:rPr>
  </w:style>
  <w:style w:type="paragraph" w:customStyle="1" w:styleId="V50InstructionsBullets">
    <w:name w:val="V5.0 Instructions Bullets"/>
    <w:basedOn w:val="V50Instructions"/>
    <w:qFormat/>
    <w:rsid w:val="0056703E"/>
    <w:pPr>
      <w:numPr>
        <w:numId w:val="6"/>
      </w:numPr>
      <w:spacing w:before="0" w:after="0"/>
      <w:ind w:left="714" w:hanging="357"/>
    </w:pPr>
  </w:style>
  <w:style w:type="table" w:customStyle="1" w:styleId="TableGridLight1">
    <w:name w:val="Table Grid Light1"/>
    <w:basedOn w:val="TableNormal"/>
    <w:uiPriority w:val="40"/>
    <w:rsid w:val="0056703E"/>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21">
    <w:name w:val="Plain Table 21"/>
    <w:basedOn w:val="TableNormal"/>
    <w:uiPriority w:val="42"/>
    <w:rsid w:val="0056703E"/>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eText1">
    <w:name w:val="Table Text"/>
    <w:basedOn w:val="Normal"/>
    <w:qFormat/>
    <w:rsid w:val="0056703E"/>
    <w:pPr>
      <w:keepNext/>
      <w:widowControl/>
      <w:spacing w:before="40" w:after="40"/>
      <w:jc w:val="left"/>
    </w:pPr>
    <w:rPr>
      <w:rFonts w:ascii="Arial Narrow" w:eastAsiaTheme="minorHAnsi" w:hAnsi="Arial Narrow" w:cstheme="minorBidi"/>
      <w:snapToGrid/>
      <w:sz w:val="20"/>
      <w:szCs w:val="22"/>
    </w:rPr>
  </w:style>
  <w:style w:type="paragraph" w:customStyle="1" w:styleId="TableFigNoteLast">
    <w:name w:val="TableFigNote Last"/>
    <w:basedOn w:val="Normal"/>
    <w:qFormat/>
    <w:rsid w:val="0056703E"/>
    <w:pPr>
      <w:widowControl/>
      <w:spacing w:after="360"/>
      <w:jc w:val="left"/>
    </w:pPr>
    <w:rPr>
      <w:rFonts w:asciiTheme="minorHAnsi" w:eastAsiaTheme="minorHAnsi" w:hAnsiTheme="minorHAnsi" w:cstheme="minorBidi"/>
      <w:snapToGrid/>
      <w:sz w:val="18"/>
      <w:szCs w:val="22"/>
    </w:rPr>
  </w:style>
  <w:style w:type="character" w:styleId="Emphasis">
    <w:name w:val="Emphasis"/>
    <w:basedOn w:val="DefaultParagraphFont"/>
    <w:uiPriority w:val="20"/>
    <w:qFormat/>
    <w:rsid w:val="0056703E"/>
    <w:rPr>
      <w:b w:val="0"/>
      <w:i/>
      <w:iCs/>
    </w:rPr>
  </w:style>
  <w:style w:type="character" w:customStyle="1" w:styleId="V50InstructionsChar">
    <w:name w:val="V5.0 Instructions Char"/>
    <w:basedOn w:val="DefaultParagraphFont"/>
    <w:link w:val="V50Instructions"/>
    <w:rsid w:val="0056703E"/>
    <w:rPr>
      <w:rFonts w:asciiTheme="minorHAnsi" w:eastAsiaTheme="minorHAnsi" w:hAnsiTheme="minorHAnsi" w:cstheme="minorBidi"/>
      <w:color w:val="4BACC6" w:themeColor="accent5"/>
      <w:sz w:val="24"/>
      <w:szCs w:val="22"/>
      <w:lang w:eastAsia="en-US"/>
    </w:rPr>
  </w:style>
  <w:style w:type="character" w:customStyle="1" w:styleId="V50TableTextChar">
    <w:name w:val="V5.0 TableText Char"/>
    <w:basedOn w:val="DefaultParagraphFont"/>
    <w:link w:val="V50TableText"/>
    <w:rsid w:val="0056703E"/>
    <w:rPr>
      <w:rFonts w:asciiTheme="minorHAnsi" w:eastAsiaTheme="minorHAnsi" w:hAnsiTheme="minorHAnsi" w:cstheme="minorBidi"/>
      <w:szCs w:val="24"/>
      <w:lang w:val="en-US" w:eastAsia="en-US"/>
    </w:rPr>
  </w:style>
  <w:style w:type="paragraph" w:customStyle="1" w:styleId="V50Tablename">
    <w:name w:val="V5.0 Table name"/>
    <w:basedOn w:val="V50TableText"/>
    <w:link w:val="V50TablenameChar"/>
    <w:qFormat/>
    <w:rsid w:val="0056703E"/>
    <w:pPr>
      <w:keepNext/>
    </w:pPr>
    <w:rPr>
      <w:b/>
    </w:rPr>
  </w:style>
  <w:style w:type="character" w:customStyle="1" w:styleId="V50TablenameChar">
    <w:name w:val="V5.0 Table name Char"/>
    <w:basedOn w:val="DefaultParagraphFont"/>
    <w:link w:val="V50Tablename"/>
    <w:rsid w:val="0056703E"/>
    <w:rPr>
      <w:rFonts w:asciiTheme="minorHAnsi" w:eastAsiaTheme="minorHAnsi" w:hAnsiTheme="minorHAnsi" w:cstheme="minorBidi"/>
      <w:b/>
      <w:szCs w:val="24"/>
      <w:lang w:val="en-US" w:eastAsia="en-US"/>
    </w:rPr>
  </w:style>
  <w:style w:type="paragraph" w:customStyle="1" w:styleId="V50Tablenote">
    <w:name w:val="V5.0 Tablenote"/>
    <w:basedOn w:val="V50TableText"/>
    <w:link w:val="V50TablenoteChar"/>
    <w:qFormat/>
    <w:rsid w:val="0056703E"/>
    <w:pPr>
      <w:spacing w:after="120"/>
      <w:contextualSpacing/>
      <w:jc w:val="both"/>
    </w:pPr>
    <w:rPr>
      <w:sz w:val="18"/>
      <w:szCs w:val="18"/>
    </w:rPr>
  </w:style>
  <w:style w:type="character" w:customStyle="1" w:styleId="V50TablenoteChar">
    <w:name w:val="V5.0 Tablenote Char"/>
    <w:basedOn w:val="DefaultParagraphFont"/>
    <w:link w:val="V50Tablenote"/>
    <w:rsid w:val="0056703E"/>
    <w:rPr>
      <w:rFonts w:asciiTheme="minorHAnsi" w:eastAsiaTheme="minorHAnsi" w:hAnsiTheme="minorHAnsi" w:cstheme="minorBidi"/>
      <w:sz w:val="18"/>
      <w:szCs w:val="18"/>
      <w:lang w:val="en-US" w:eastAsia="en-US"/>
    </w:rPr>
  </w:style>
  <w:style w:type="character" w:customStyle="1" w:styleId="TableFooterChar">
    <w:name w:val="Table Footer Char"/>
    <w:link w:val="TableFooter"/>
    <w:rsid w:val="0056703E"/>
    <w:rPr>
      <w:rFonts w:ascii="Arial Narrow" w:hAnsi="Arial Narrow" w:cs="Arial"/>
      <w:snapToGrid w:val="0"/>
      <w:sz w:val="18"/>
      <w:lang w:eastAsia="en-US"/>
    </w:rPr>
  </w:style>
  <w:style w:type="paragraph" w:customStyle="1" w:styleId="TableNotes">
    <w:name w:val="TableNotes"/>
    <w:basedOn w:val="Normal"/>
    <w:qFormat/>
    <w:rsid w:val="0056703E"/>
    <w:pPr>
      <w:widowControl/>
      <w:spacing w:after="60"/>
      <w:jc w:val="left"/>
    </w:pPr>
    <w:rPr>
      <w:rFonts w:asciiTheme="minorHAnsi" w:eastAsiaTheme="minorHAnsi" w:hAnsiTheme="minorHAnsi" w:cstheme="minorBidi"/>
      <w:snapToGrid/>
      <w:sz w:val="20"/>
      <w:szCs w:val="22"/>
    </w:rPr>
  </w:style>
  <w:style w:type="paragraph" w:customStyle="1" w:styleId="oldTablefooter">
    <w:name w:val="old Table footer"/>
    <w:basedOn w:val="Normal"/>
    <w:link w:val="oldTablefooterChar"/>
    <w:qFormat/>
    <w:rsid w:val="0056703E"/>
    <w:pPr>
      <w:widowControl/>
    </w:pPr>
    <w:rPr>
      <w:rFonts w:asciiTheme="minorHAnsi" w:eastAsiaTheme="minorHAnsi" w:hAnsiTheme="minorHAnsi"/>
      <w:snapToGrid/>
      <w:sz w:val="18"/>
      <w:szCs w:val="18"/>
      <w:lang w:val="en-US"/>
    </w:rPr>
  </w:style>
  <w:style w:type="character" w:customStyle="1" w:styleId="oldTablefooterChar">
    <w:name w:val="old Table footer Char"/>
    <w:basedOn w:val="V50TableTextChar"/>
    <w:link w:val="oldTablefooter"/>
    <w:rsid w:val="0056703E"/>
    <w:rPr>
      <w:rFonts w:asciiTheme="minorHAnsi" w:eastAsiaTheme="minorHAnsi" w:hAnsiTheme="minorHAnsi" w:cs="Arial"/>
      <w:sz w:val="18"/>
      <w:szCs w:val="18"/>
      <w:lang w:val="en-US" w:eastAsia="en-US"/>
    </w:rPr>
  </w:style>
  <w:style w:type="paragraph" w:customStyle="1" w:styleId="Style1">
    <w:name w:val="Style1"/>
    <w:basedOn w:val="Normal"/>
    <w:rsid w:val="0056703E"/>
  </w:style>
  <w:style w:type="numbering" w:customStyle="1" w:styleId="Headings">
    <w:name w:val="Headings"/>
    <w:uiPriority w:val="99"/>
    <w:rsid w:val="0056703E"/>
    <w:pPr>
      <w:numPr>
        <w:numId w:val="7"/>
      </w:numPr>
    </w:pPr>
  </w:style>
  <w:style w:type="character" w:styleId="FollowedHyperlink">
    <w:name w:val="FollowedHyperlink"/>
    <w:basedOn w:val="DefaultParagraphFont"/>
    <w:uiPriority w:val="99"/>
    <w:semiHidden/>
    <w:unhideWhenUsed/>
    <w:rsid w:val="0056703E"/>
    <w:rPr>
      <w:color w:val="800080" w:themeColor="followedHyperlink"/>
      <w:u w:val="single"/>
    </w:rPr>
  </w:style>
  <w:style w:type="paragraph" w:customStyle="1" w:styleId="BulletLast">
    <w:name w:val="Bullet Last"/>
    <w:basedOn w:val="Normal"/>
    <w:qFormat/>
    <w:rsid w:val="0056703E"/>
    <w:pPr>
      <w:widowControl/>
      <w:numPr>
        <w:numId w:val="8"/>
      </w:numPr>
      <w:spacing w:after="240"/>
      <w:ind w:left="357" w:hanging="357"/>
      <w:jc w:val="left"/>
    </w:pPr>
    <w:rPr>
      <w:rFonts w:asciiTheme="minorHAnsi" w:eastAsiaTheme="minorHAnsi" w:hAnsiTheme="minorHAnsi" w:cstheme="minorBidi"/>
      <w:snapToGrid/>
      <w:szCs w:val="22"/>
    </w:rPr>
  </w:style>
  <w:style w:type="paragraph" w:customStyle="1" w:styleId="TableFigNote">
    <w:name w:val="TableFigNote"/>
    <w:basedOn w:val="Normal"/>
    <w:qFormat/>
    <w:rsid w:val="0056703E"/>
    <w:pPr>
      <w:widowControl/>
      <w:jc w:val="left"/>
    </w:pPr>
    <w:rPr>
      <w:rFonts w:asciiTheme="minorHAnsi" w:eastAsiaTheme="minorHAnsi" w:hAnsiTheme="minorHAnsi" w:cstheme="minorBidi"/>
      <w:snapToGrid/>
      <w:sz w:val="18"/>
      <w:szCs w:val="22"/>
    </w:rPr>
  </w:style>
  <w:style w:type="character" w:customStyle="1" w:styleId="StyleArial11pt">
    <w:name w:val="Style Arial 11 pt"/>
    <w:basedOn w:val="DefaultParagraphFont"/>
    <w:rsid w:val="0056703E"/>
    <w:rPr>
      <w:rFonts w:ascii="Arial" w:hAnsi="Arial"/>
      <w:sz w:val="22"/>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56703E"/>
    <w:pPr>
      <w:widowControl/>
      <w:spacing w:after="160" w:line="240" w:lineRule="exact"/>
      <w:jc w:val="left"/>
    </w:pPr>
    <w:rPr>
      <w:rFonts w:ascii="Verdana" w:eastAsia="MS Mincho" w:hAnsi="Verdana" w:cs="Verdana"/>
      <w:snapToGrid/>
      <w:sz w:val="20"/>
      <w:lang w:val="en-US"/>
    </w:rPr>
  </w:style>
  <w:style w:type="paragraph" w:customStyle="1" w:styleId="tabletext00">
    <w:name w:val="tabletext0"/>
    <w:basedOn w:val="Normal"/>
    <w:rsid w:val="0056703E"/>
    <w:pPr>
      <w:widowControl/>
      <w:spacing w:before="100" w:beforeAutospacing="1" w:after="100" w:afterAutospacing="1"/>
      <w:jc w:val="left"/>
    </w:pPr>
    <w:rPr>
      <w:rFonts w:ascii="Times New Roman" w:hAnsi="Times New Roman" w:cs="Times New Roman"/>
      <w:snapToGrid/>
      <w:sz w:val="24"/>
      <w:szCs w:val="24"/>
      <w:lang w:eastAsia="en-AU"/>
    </w:rPr>
  </w:style>
  <w:style w:type="paragraph" w:customStyle="1" w:styleId="H2-nontoc">
    <w:name w:val="H2-nontoc"/>
    <w:basedOn w:val="Heading2"/>
    <w:next w:val="BodyText"/>
    <w:uiPriority w:val="1"/>
    <w:qFormat/>
    <w:rsid w:val="0056703E"/>
    <w:pPr>
      <w:spacing w:before="120" w:after="240"/>
      <w:jc w:val="left"/>
      <w:outlineLvl w:val="9"/>
    </w:pPr>
    <w:rPr>
      <w:rFonts w:ascii="Tahoma" w:hAnsi="Tahoma"/>
      <w:b w:val="0"/>
      <w:iCs/>
      <w:smallCaps/>
      <w:snapToGrid/>
      <w:kern w:val="32"/>
      <w:sz w:val="28"/>
      <w:szCs w:val="28"/>
      <w:lang w:val="en-GB" w:eastAsia="en-GB"/>
    </w:rPr>
  </w:style>
  <w:style w:type="table" w:customStyle="1" w:styleId="newstyle32">
    <w:name w:val="new style32"/>
    <w:basedOn w:val="TableNormal"/>
    <w:next w:val="TableGrid"/>
    <w:uiPriority w:val="59"/>
    <w:rsid w:val="0056703E"/>
    <w:pPr>
      <w:ind w:left="113" w:right="113"/>
    </w:pPr>
    <w:rPr>
      <w:rFonts w:ascii="Calibri" w:eastAsia="Calibri" w:hAnsi="Calibri"/>
      <w:sz w:val="16"/>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0" w:type="dxa"/>
        <w:bottom w:w="57" w:type="dxa"/>
        <w:right w:w="0" w:type="dxa"/>
      </w:tblCellMar>
    </w:tblPr>
    <w:trPr>
      <w:cantSplit/>
    </w:trPr>
    <w:tblStylePr w:type="firstRow">
      <w:rPr>
        <w:b/>
      </w:rPr>
      <w:tblPr/>
      <w:trPr>
        <w:cantSplit w:val="0"/>
        <w:tblHeader/>
      </w:trPr>
      <w:tcPr>
        <w:shd w:val="clear" w:color="auto" w:fill="BFBFBF"/>
      </w:tcPr>
    </w:tblStylePr>
  </w:style>
  <w:style w:type="table" w:customStyle="1" w:styleId="Summarybox1">
    <w:name w:val="Summary box1"/>
    <w:basedOn w:val="TableNormal"/>
    <w:next w:val="TableGrid"/>
    <w:uiPriority w:val="59"/>
    <w:rsid w:val="005670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ooter8pt">
    <w:name w:val="Table footer 8 pt"/>
    <w:basedOn w:val="Normal"/>
    <w:qFormat/>
    <w:rsid w:val="0056703E"/>
    <w:pPr>
      <w:keepNext/>
      <w:widowControl/>
      <w:jc w:val="left"/>
    </w:pPr>
    <w:rPr>
      <w:rFonts w:ascii="Arial Narrow" w:hAnsi="Arial Narrow"/>
      <w:sz w:val="16"/>
      <w:szCs w:val="16"/>
    </w:rPr>
  </w:style>
  <w:style w:type="numbering" w:customStyle="1" w:styleId="Style2">
    <w:name w:val="Style2"/>
    <w:uiPriority w:val="99"/>
    <w:rsid w:val="00FE1489"/>
    <w:pPr>
      <w:numPr>
        <w:numId w:val="17"/>
      </w:numPr>
    </w:pPr>
  </w:style>
  <w:style w:type="paragraph" w:styleId="ListBullet">
    <w:name w:val="List Bullet"/>
    <w:basedOn w:val="Normal"/>
    <w:autoRedefine/>
    <w:rsid w:val="002E6A32"/>
    <w:pPr>
      <w:widowControl/>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69302">
      <w:bodyDiv w:val="1"/>
      <w:marLeft w:val="0"/>
      <w:marRight w:val="0"/>
      <w:marTop w:val="0"/>
      <w:marBottom w:val="0"/>
      <w:divBdr>
        <w:top w:val="none" w:sz="0" w:space="0" w:color="auto"/>
        <w:left w:val="none" w:sz="0" w:space="0" w:color="auto"/>
        <w:bottom w:val="none" w:sz="0" w:space="0" w:color="auto"/>
        <w:right w:val="none" w:sz="0" w:space="0" w:color="auto"/>
      </w:divBdr>
    </w:div>
    <w:div w:id="288631263">
      <w:bodyDiv w:val="1"/>
      <w:marLeft w:val="0"/>
      <w:marRight w:val="0"/>
      <w:marTop w:val="0"/>
      <w:marBottom w:val="0"/>
      <w:divBdr>
        <w:top w:val="none" w:sz="0" w:space="0" w:color="auto"/>
        <w:left w:val="none" w:sz="0" w:space="0" w:color="auto"/>
        <w:bottom w:val="none" w:sz="0" w:space="0" w:color="auto"/>
        <w:right w:val="none" w:sz="0" w:space="0" w:color="auto"/>
      </w:divBdr>
    </w:div>
    <w:div w:id="482502122">
      <w:bodyDiv w:val="1"/>
      <w:marLeft w:val="0"/>
      <w:marRight w:val="0"/>
      <w:marTop w:val="0"/>
      <w:marBottom w:val="0"/>
      <w:divBdr>
        <w:top w:val="none" w:sz="0" w:space="0" w:color="auto"/>
        <w:left w:val="none" w:sz="0" w:space="0" w:color="auto"/>
        <w:bottom w:val="none" w:sz="0" w:space="0" w:color="auto"/>
        <w:right w:val="none" w:sz="0" w:space="0" w:color="auto"/>
      </w:divBdr>
    </w:div>
    <w:div w:id="507209470">
      <w:bodyDiv w:val="1"/>
      <w:marLeft w:val="0"/>
      <w:marRight w:val="0"/>
      <w:marTop w:val="0"/>
      <w:marBottom w:val="0"/>
      <w:divBdr>
        <w:top w:val="none" w:sz="0" w:space="0" w:color="auto"/>
        <w:left w:val="none" w:sz="0" w:space="0" w:color="auto"/>
        <w:bottom w:val="none" w:sz="0" w:space="0" w:color="auto"/>
        <w:right w:val="none" w:sz="0" w:space="0" w:color="auto"/>
      </w:divBdr>
    </w:div>
    <w:div w:id="830484820">
      <w:bodyDiv w:val="1"/>
      <w:marLeft w:val="0"/>
      <w:marRight w:val="0"/>
      <w:marTop w:val="0"/>
      <w:marBottom w:val="0"/>
      <w:divBdr>
        <w:top w:val="none" w:sz="0" w:space="0" w:color="auto"/>
        <w:left w:val="none" w:sz="0" w:space="0" w:color="auto"/>
        <w:bottom w:val="none" w:sz="0" w:space="0" w:color="auto"/>
        <w:right w:val="none" w:sz="0" w:space="0" w:color="auto"/>
      </w:divBdr>
    </w:div>
    <w:div w:id="851188717">
      <w:bodyDiv w:val="1"/>
      <w:marLeft w:val="0"/>
      <w:marRight w:val="0"/>
      <w:marTop w:val="0"/>
      <w:marBottom w:val="0"/>
      <w:divBdr>
        <w:top w:val="none" w:sz="0" w:space="0" w:color="auto"/>
        <w:left w:val="none" w:sz="0" w:space="0" w:color="auto"/>
        <w:bottom w:val="none" w:sz="0" w:space="0" w:color="auto"/>
        <w:right w:val="none" w:sz="0" w:space="0" w:color="auto"/>
      </w:divBdr>
    </w:div>
    <w:div w:id="861354990">
      <w:bodyDiv w:val="1"/>
      <w:marLeft w:val="0"/>
      <w:marRight w:val="0"/>
      <w:marTop w:val="0"/>
      <w:marBottom w:val="0"/>
      <w:divBdr>
        <w:top w:val="none" w:sz="0" w:space="0" w:color="auto"/>
        <w:left w:val="none" w:sz="0" w:space="0" w:color="auto"/>
        <w:bottom w:val="none" w:sz="0" w:space="0" w:color="auto"/>
        <w:right w:val="none" w:sz="0" w:space="0" w:color="auto"/>
      </w:divBdr>
    </w:div>
    <w:div w:id="915868794">
      <w:bodyDiv w:val="1"/>
      <w:marLeft w:val="0"/>
      <w:marRight w:val="0"/>
      <w:marTop w:val="0"/>
      <w:marBottom w:val="0"/>
      <w:divBdr>
        <w:top w:val="none" w:sz="0" w:space="0" w:color="auto"/>
        <w:left w:val="none" w:sz="0" w:space="0" w:color="auto"/>
        <w:bottom w:val="none" w:sz="0" w:space="0" w:color="auto"/>
        <w:right w:val="none" w:sz="0" w:space="0" w:color="auto"/>
      </w:divBdr>
    </w:div>
    <w:div w:id="924221395">
      <w:bodyDiv w:val="1"/>
      <w:marLeft w:val="0"/>
      <w:marRight w:val="0"/>
      <w:marTop w:val="0"/>
      <w:marBottom w:val="0"/>
      <w:divBdr>
        <w:top w:val="none" w:sz="0" w:space="0" w:color="auto"/>
        <w:left w:val="none" w:sz="0" w:space="0" w:color="auto"/>
        <w:bottom w:val="none" w:sz="0" w:space="0" w:color="auto"/>
        <w:right w:val="none" w:sz="0" w:space="0" w:color="auto"/>
      </w:divBdr>
    </w:div>
    <w:div w:id="1033963063">
      <w:bodyDiv w:val="1"/>
      <w:marLeft w:val="0"/>
      <w:marRight w:val="0"/>
      <w:marTop w:val="0"/>
      <w:marBottom w:val="0"/>
      <w:divBdr>
        <w:top w:val="none" w:sz="0" w:space="0" w:color="auto"/>
        <w:left w:val="none" w:sz="0" w:space="0" w:color="auto"/>
        <w:bottom w:val="none" w:sz="0" w:space="0" w:color="auto"/>
        <w:right w:val="none" w:sz="0" w:space="0" w:color="auto"/>
      </w:divBdr>
    </w:div>
    <w:div w:id="1402749408">
      <w:bodyDiv w:val="1"/>
      <w:marLeft w:val="0"/>
      <w:marRight w:val="0"/>
      <w:marTop w:val="0"/>
      <w:marBottom w:val="0"/>
      <w:divBdr>
        <w:top w:val="none" w:sz="0" w:space="0" w:color="auto"/>
        <w:left w:val="none" w:sz="0" w:space="0" w:color="auto"/>
        <w:bottom w:val="none" w:sz="0" w:space="0" w:color="auto"/>
        <w:right w:val="none" w:sz="0" w:space="0" w:color="auto"/>
      </w:divBdr>
    </w:div>
    <w:div w:id="1410301434">
      <w:bodyDiv w:val="1"/>
      <w:marLeft w:val="0"/>
      <w:marRight w:val="0"/>
      <w:marTop w:val="0"/>
      <w:marBottom w:val="0"/>
      <w:divBdr>
        <w:top w:val="none" w:sz="0" w:space="0" w:color="auto"/>
        <w:left w:val="none" w:sz="0" w:space="0" w:color="auto"/>
        <w:bottom w:val="none" w:sz="0" w:space="0" w:color="auto"/>
        <w:right w:val="none" w:sz="0" w:space="0" w:color="auto"/>
      </w:divBdr>
    </w:div>
    <w:div w:id="1440880068">
      <w:bodyDiv w:val="1"/>
      <w:marLeft w:val="0"/>
      <w:marRight w:val="0"/>
      <w:marTop w:val="0"/>
      <w:marBottom w:val="0"/>
      <w:divBdr>
        <w:top w:val="none" w:sz="0" w:space="0" w:color="auto"/>
        <w:left w:val="none" w:sz="0" w:space="0" w:color="auto"/>
        <w:bottom w:val="none" w:sz="0" w:space="0" w:color="auto"/>
        <w:right w:val="none" w:sz="0" w:space="0" w:color="auto"/>
      </w:divBdr>
    </w:div>
    <w:div w:id="1502357494">
      <w:bodyDiv w:val="1"/>
      <w:marLeft w:val="0"/>
      <w:marRight w:val="0"/>
      <w:marTop w:val="0"/>
      <w:marBottom w:val="0"/>
      <w:divBdr>
        <w:top w:val="none" w:sz="0" w:space="0" w:color="auto"/>
        <w:left w:val="none" w:sz="0" w:space="0" w:color="auto"/>
        <w:bottom w:val="none" w:sz="0" w:space="0" w:color="auto"/>
        <w:right w:val="none" w:sz="0" w:space="0" w:color="auto"/>
      </w:divBdr>
    </w:div>
    <w:div w:id="1520467879">
      <w:bodyDiv w:val="1"/>
      <w:marLeft w:val="0"/>
      <w:marRight w:val="0"/>
      <w:marTop w:val="0"/>
      <w:marBottom w:val="0"/>
      <w:divBdr>
        <w:top w:val="none" w:sz="0" w:space="0" w:color="auto"/>
        <w:left w:val="none" w:sz="0" w:space="0" w:color="auto"/>
        <w:bottom w:val="none" w:sz="0" w:space="0" w:color="auto"/>
        <w:right w:val="none" w:sz="0" w:space="0" w:color="auto"/>
      </w:divBdr>
    </w:div>
    <w:div w:id="1569681620">
      <w:bodyDiv w:val="1"/>
      <w:marLeft w:val="0"/>
      <w:marRight w:val="0"/>
      <w:marTop w:val="0"/>
      <w:marBottom w:val="0"/>
      <w:divBdr>
        <w:top w:val="none" w:sz="0" w:space="0" w:color="auto"/>
        <w:left w:val="none" w:sz="0" w:space="0" w:color="auto"/>
        <w:bottom w:val="none" w:sz="0" w:space="0" w:color="auto"/>
        <w:right w:val="none" w:sz="0" w:space="0" w:color="auto"/>
      </w:divBdr>
    </w:div>
    <w:div w:id="1583758212">
      <w:bodyDiv w:val="1"/>
      <w:marLeft w:val="0"/>
      <w:marRight w:val="0"/>
      <w:marTop w:val="0"/>
      <w:marBottom w:val="0"/>
      <w:divBdr>
        <w:top w:val="none" w:sz="0" w:space="0" w:color="auto"/>
        <w:left w:val="none" w:sz="0" w:space="0" w:color="auto"/>
        <w:bottom w:val="none" w:sz="0" w:space="0" w:color="auto"/>
        <w:right w:val="none" w:sz="0" w:space="0" w:color="auto"/>
      </w:divBdr>
    </w:div>
    <w:div w:id="1881284672">
      <w:bodyDiv w:val="1"/>
      <w:marLeft w:val="0"/>
      <w:marRight w:val="0"/>
      <w:marTop w:val="0"/>
      <w:marBottom w:val="0"/>
      <w:divBdr>
        <w:top w:val="none" w:sz="0" w:space="0" w:color="auto"/>
        <w:left w:val="none" w:sz="0" w:space="0" w:color="auto"/>
        <w:bottom w:val="none" w:sz="0" w:space="0" w:color="auto"/>
        <w:right w:val="none" w:sz="0" w:space="0" w:color="auto"/>
      </w:divBdr>
      <w:divsChild>
        <w:div w:id="9840512">
          <w:marLeft w:val="0"/>
          <w:marRight w:val="0"/>
          <w:marTop w:val="0"/>
          <w:marBottom w:val="0"/>
          <w:divBdr>
            <w:top w:val="none" w:sz="0" w:space="0" w:color="auto"/>
            <w:left w:val="none" w:sz="0" w:space="0" w:color="auto"/>
            <w:bottom w:val="none" w:sz="0" w:space="0" w:color="auto"/>
            <w:right w:val="none" w:sz="0" w:space="0" w:color="auto"/>
          </w:divBdr>
        </w:div>
        <w:div w:id="207567749">
          <w:marLeft w:val="0"/>
          <w:marRight w:val="0"/>
          <w:marTop w:val="0"/>
          <w:marBottom w:val="0"/>
          <w:divBdr>
            <w:top w:val="none" w:sz="0" w:space="0" w:color="auto"/>
            <w:left w:val="none" w:sz="0" w:space="0" w:color="auto"/>
            <w:bottom w:val="none" w:sz="0" w:space="0" w:color="auto"/>
            <w:right w:val="none" w:sz="0" w:space="0" w:color="auto"/>
          </w:divBdr>
        </w:div>
        <w:div w:id="850920478">
          <w:marLeft w:val="0"/>
          <w:marRight w:val="0"/>
          <w:marTop w:val="0"/>
          <w:marBottom w:val="0"/>
          <w:divBdr>
            <w:top w:val="none" w:sz="0" w:space="0" w:color="auto"/>
            <w:left w:val="none" w:sz="0" w:space="0" w:color="auto"/>
            <w:bottom w:val="none" w:sz="0" w:space="0" w:color="auto"/>
            <w:right w:val="none" w:sz="0" w:space="0" w:color="auto"/>
          </w:divBdr>
        </w:div>
        <w:div w:id="865799042">
          <w:marLeft w:val="0"/>
          <w:marRight w:val="0"/>
          <w:marTop w:val="0"/>
          <w:marBottom w:val="0"/>
          <w:divBdr>
            <w:top w:val="none" w:sz="0" w:space="0" w:color="auto"/>
            <w:left w:val="none" w:sz="0" w:space="0" w:color="auto"/>
            <w:bottom w:val="none" w:sz="0" w:space="0" w:color="auto"/>
            <w:right w:val="none" w:sz="0" w:space="0" w:color="auto"/>
          </w:divBdr>
        </w:div>
        <w:div w:id="1521624545">
          <w:marLeft w:val="0"/>
          <w:marRight w:val="0"/>
          <w:marTop w:val="0"/>
          <w:marBottom w:val="0"/>
          <w:divBdr>
            <w:top w:val="none" w:sz="0" w:space="0" w:color="auto"/>
            <w:left w:val="none" w:sz="0" w:space="0" w:color="auto"/>
            <w:bottom w:val="none" w:sz="0" w:space="0" w:color="auto"/>
            <w:right w:val="none" w:sz="0" w:space="0" w:color="auto"/>
          </w:divBdr>
        </w:div>
        <w:div w:id="1739203028">
          <w:marLeft w:val="0"/>
          <w:marRight w:val="0"/>
          <w:marTop w:val="0"/>
          <w:marBottom w:val="0"/>
          <w:divBdr>
            <w:top w:val="none" w:sz="0" w:space="0" w:color="auto"/>
            <w:left w:val="none" w:sz="0" w:space="0" w:color="auto"/>
            <w:bottom w:val="none" w:sz="0" w:space="0" w:color="auto"/>
            <w:right w:val="none" w:sz="0" w:space="0" w:color="auto"/>
          </w:divBdr>
        </w:div>
        <w:div w:id="2106219204">
          <w:marLeft w:val="0"/>
          <w:marRight w:val="0"/>
          <w:marTop w:val="0"/>
          <w:marBottom w:val="0"/>
          <w:divBdr>
            <w:top w:val="none" w:sz="0" w:space="0" w:color="auto"/>
            <w:left w:val="none" w:sz="0" w:space="0" w:color="auto"/>
            <w:bottom w:val="none" w:sz="0" w:space="0" w:color="auto"/>
            <w:right w:val="none" w:sz="0" w:space="0" w:color="auto"/>
          </w:divBdr>
        </w:div>
        <w:div w:id="2130126611">
          <w:marLeft w:val="0"/>
          <w:marRight w:val="0"/>
          <w:marTop w:val="0"/>
          <w:marBottom w:val="0"/>
          <w:divBdr>
            <w:top w:val="none" w:sz="0" w:space="0" w:color="auto"/>
            <w:left w:val="none" w:sz="0" w:space="0" w:color="auto"/>
            <w:bottom w:val="none" w:sz="0" w:space="0" w:color="auto"/>
            <w:right w:val="none" w:sz="0" w:space="0" w:color="auto"/>
          </w:divBdr>
        </w:div>
      </w:divsChild>
    </w:div>
    <w:div w:id="1920020157">
      <w:bodyDiv w:val="1"/>
      <w:marLeft w:val="0"/>
      <w:marRight w:val="0"/>
      <w:marTop w:val="0"/>
      <w:marBottom w:val="0"/>
      <w:divBdr>
        <w:top w:val="none" w:sz="0" w:space="0" w:color="auto"/>
        <w:left w:val="none" w:sz="0" w:space="0" w:color="auto"/>
        <w:bottom w:val="none" w:sz="0" w:space="0" w:color="auto"/>
        <w:right w:val="none" w:sz="0" w:space="0" w:color="auto"/>
      </w:divBdr>
    </w:div>
    <w:div w:id="1930699874">
      <w:bodyDiv w:val="1"/>
      <w:marLeft w:val="0"/>
      <w:marRight w:val="0"/>
      <w:marTop w:val="0"/>
      <w:marBottom w:val="0"/>
      <w:divBdr>
        <w:top w:val="none" w:sz="0" w:space="0" w:color="auto"/>
        <w:left w:val="none" w:sz="0" w:space="0" w:color="auto"/>
        <w:bottom w:val="none" w:sz="0" w:space="0" w:color="auto"/>
        <w:right w:val="none" w:sz="0" w:space="0" w:color="auto"/>
      </w:divBdr>
    </w:div>
    <w:div w:id="1991788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2.xml"/><Relationship Id="rId22" Type="http://schemas.microsoft.com/office/2011/relationships/commentsExtended" Target="commentsExtended.xml"/></Relationships>
</file>

<file path=word/_rels/footnotes.xml.rels><?xml version="1.0" encoding="UTF-8" standalone="yes"?>
<Relationships xmlns="http://schemas.openxmlformats.org/package/2006/relationships"><Relationship Id="rId3" Type="http://schemas.openxmlformats.org/officeDocument/2006/relationships/hyperlink" Target="http://investors.vrtx.com/releasedetail.cfm?releaseid=1019156" TargetMode="External"/><Relationship Id="rId2" Type="http://schemas.openxmlformats.org/officeDocument/2006/relationships/hyperlink" Target="http://investors.vrtx.com/releasedetail.cfm?releaseid=1019156" TargetMode="External"/><Relationship Id="rId1" Type="http://schemas.openxmlformats.org/officeDocument/2006/relationships/hyperlink" Target="https://www.cysticfibrosis.org.au/media/wysiwyg/CF-Australia/medical-documents/CFA_DataRegistryReport_2014_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0DDB65-3F0E-4BF8-AA17-88781EF84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13624</Words>
  <Characters>80531</Characters>
  <Application>Microsoft Office Word</Application>
  <DocSecurity>0</DocSecurity>
  <Lines>671</Lines>
  <Paragraphs>187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93968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2017-10-18T23:00:00Z</dcterms:created>
  <dcterms:modified xsi:type="dcterms:W3CDTF">2017-10-18T23:13:00Z</dcterms:modified>
</cp:coreProperties>
</file>