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8D" w:rsidRPr="00585AAB" w:rsidRDefault="00312EA5" w:rsidP="00950218">
      <w:pPr>
        <w:ind w:left="1418" w:hanging="1418"/>
        <w:jc w:val="left"/>
        <w:outlineLvl w:val="0"/>
        <w:rPr>
          <w:rFonts w:asciiTheme="minorHAnsi" w:hAnsiTheme="minorHAnsi"/>
          <w:b/>
          <w:sz w:val="36"/>
          <w:szCs w:val="36"/>
        </w:rPr>
      </w:pPr>
      <w:r w:rsidRPr="00585AAB">
        <w:rPr>
          <w:rFonts w:asciiTheme="minorHAnsi" w:hAnsiTheme="minorHAnsi"/>
          <w:b/>
          <w:sz w:val="36"/>
          <w:szCs w:val="36"/>
        </w:rPr>
        <w:t>5.10</w:t>
      </w:r>
      <w:r w:rsidR="00C96EB8" w:rsidRPr="00585AAB">
        <w:rPr>
          <w:rFonts w:asciiTheme="minorHAnsi" w:hAnsiTheme="minorHAnsi"/>
          <w:b/>
          <w:sz w:val="36"/>
          <w:szCs w:val="36"/>
        </w:rPr>
        <w:tab/>
        <w:t>OCRELIZUMAB</w:t>
      </w:r>
      <w:r w:rsidR="00137F8D" w:rsidRPr="00585AAB">
        <w:rPr>
          <w:rFonts w:asciiTheme="minorHAnsi" w:hAnsiTheme="minorHAnsi"/>
          <w:b/>
          <w:sz w:val="36"/>
          <w:szCs w:val="36"/>
        </w:rPr>
        <w:t>,</w:t>
      </w:r>
      <w:r w:rsidR="00137F8D" w:rsidRPr="00585AAB">
        <w:rPr>
          <w:rFonts w:asciiTheme="minorHAnsi" w:hAnsiTheme="minorHAnsi"/>
          <w:b/>
          <w:sz w:val="36"/>
          <w:szCs w:val="36"/>
        </w:rPr>
        <w:br/>
      </w:r>
      <w:r w:rsidR="000C2037" w:rsidRPr="00585AAB">
        <w:rPr>
          <w:rFonts w:asciiTheme="minorHAnsi" w:hAnsiTheme="minorHAnsi"/>
          <w:b/>
          <w:sz w:val="36"/>
          <w:szCs w:val="36"/>
        </w:rPr>
        <w:t>Solution concentrate for I.V. infusion 300 mg in 10</w:t>
      </w:r>
      <w:r w:rsidR="0074749B" w:rsidRPr="00585AAB">
        <w:rPr>
          <w:rFonts w:asciiTheme="minorHAnsi" w:hAnsiTheme="minorHAnsi"/>
          <w:b/>
          <w:sz w:val="36"/>
          <w:szCs w:val="36"/>
        </w:rPr>
        <w:t> </w:t>
      </w:r>
      <w:r w:rsidR="000C2037" w:rsidRPr="00585AAB">
        <w:rPr>
          <w:rFonts w:asciiTheme="minorHAnsi" w:hAnsiTheme="minorHAnsi"/>
          <w:b/>
          <w:sz w:val="36"/>
          <w:szCs w:val="36"/>
        </w:rPr>
        <w:t>mL</w:t>
      </w:r>
      <w:r w:rsidR="006A5BB0" w:rsidRPr="00585AAB">
        <w:rPr>
          <w:rFonts w:asciiTheme="minorHAnsi" w:hAnsiTheme="minorHAnsi"/>
          <w:b/>
          <w:sz w:val="36"/>
          <w:szCs w:val="36"/>
        </w:rPr>
        <w:t>,</w:t>
      </w:r>
      <w:r w:rsidR="00137F8D" w:rsidRPr="00585AAB">
        <w:rPr>
          <w:rFonts w:asciiTheme="minorHAnsi" w:hAnsiTheme="minorHAnsi"/>
          <w:b/>
          <w:sz w:val="36"/>
          <w:szCs w:val="36"/>
        </w:rPr>
        <w:br/>
      </w:r>
      <w:r w:rsidR="00C96EB8" w:rsidRPr="00585AAB">
        <w:rPr>
          <w:rFonts w:asciiTheme="minorHAnsi" w:hAnsiTheme="minorHAnsi"/>
          <w:b/>
          <w:sz w:val="36"/>
          <w:szCs w:val="36"/>
        </w:rPr>
        <w:t>Ocrevus</w:t>
      </w:r>
      <w:r w:rsidR="00137F8D" w:rsidRPr="00585AAB">
        <w:rPr>
          <w:rFonts w:asciiTheme="minorHAnsi" w:hAnsiTheme="minorHAnsi"/>
          <w:b/>
          <w:sz w:val="36"/>
          <w:szCs w:val="36"/>
          <w:vertAlign w:val="superscript"/>
        </w:rPr>
        <w:t>®</w:t>
      </w:r>
      <w:r w:rsidR="00C96EB8" w:rsidRPr="00585AAB">
        <w:rPr>
          <w:rFonts w:asciiTheme="minorHAnsi" w:hAnsiTheme="minorHAnsi"/>
          <w:b/>
          <w:sz w:val="36"/>
          <w:szCs w:val="36"/>
        </w:rPr>
        <w:t>, Roche</w:t>
      </w:r>
      <w:r w:rsidR="006A5BB0" w:rsidRPr="00585AAB">
        <w:rPr>
          <w:rFonts w:asciiTheme="minorHAnsi" w:hAnsiTheme="minorHAnsi"/>
          <w:b/>
          <w:sz w:val="36"/>
          <w:szCs w:val="36"/>
        </w:rPr>
        <w:t xml:space="preserve"> Products Pty Limited</w:t>
      </w:r>
    </w:p>
    <w:p w:rsidR="00137F8D" w:rsidRPr="00585AAB" w:rsidRDefault="00137F8D" w:rsidP="00DA1B8F">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bookmarkStart w:id="0" w:name="_Toc413139271"/>
      <w:bookmarkStart w:id="1" w:name="_Toc476306881"/>
      <w:bookmarkStart w:id="2" w:name="_Toc482796743"/>
      <w:r w:rsidRPr="00585AAB">
        <w:rPr>
          <w:rFonts w:asciiTheme="minorHAnsi" w:eastAsiaTheme="majorEastAsia" w:hAnsiTheme="minorHAnsi" w:cstheme="majorBidi"/>
          <w:caps w:val="0"/>
          <w:snapToGrid/>
          <w:sz w:val="32"/>
          <w:szCs w:val="28"/>
        </w:rPr>
        <w:t>Purpose of Application</w:t>
      </w:r>
      <w:bookmarkEnd w:id="0"/>
      <w:bookmarkEnd w:id="1"/>
      <w:bookmarkEnd w:id="2"/>
    </w:p>
    <w:p w:rsidR="00042FD4" w:rsidRPr="00585AAB" w:rsidRDefault="00042FD4" w:rsidP="00A54CB2">
      <w:pPr>
        <w:pStyle w:val="ESnumberedpara"/>
        <w:numPr>
          <w:ilvl w:val="1"/>
          <w:numId w:val="11"/>
        </w:numPr>
        <w:rPr>
          <w:rFonts w:asciiTheme="minorHAnsi" w:hAnsiTheme="minorHAnsi"/>
          <w:sz w:val="24"/>
        </w:rPr>
      </w:pPr>
      <w:r w:rsidRPr="00585AAB">
        <w:rPr>
          <w:rFonts w:asciiTheme="minorHAnsi" w:hAnsiTheme="minorHAnsi"/>
          <w:sz w:val="24"/>
        </w:rPr>
        <w:t>The submission requested a Section 100 (Highly Specialised Drugs Program) PBS listing for ocrelizumab for the treatment of relapsing-remitting multiple sclerosis</w:t>
      </w:r>
      <w:r w:rsidR="00B9067A" w:rsidRPr="00585AAB">
        <w:rPr>
          <w:rFonts w:asciiTheme="minorHAnsi" w:hAnsiTheme="minorHAnsi"/>
          <w:sz w:val="24"/>
        </w:rPr>
        <w:t xml:space="preserve"> (RRMS)</w:t>
      </w:r>
      <w:r w:rsidRPr="00585AAB">
        <w:rPr>
          <w:rFonts w:asciiTheme="minorHAnsi" w:hAnsiTheme="minorHAnsi"/>
          <w:sz w:val="24"/>
        </w:rPr>
        <w:t>.</w:t>
      </w:r>
      <w:bookmarkStart w:id="3" w:name="_GoBack"/>
      <w:bookmarkEnd w:id="3"/>
    </w:p>
    <w:p w:rsidR="00EE1047" w:rsidRPr="00585AAB" w:rsidRDefault="00EE1047" w:rsidP="00EE1047">
      <w:pPr>
        <w:pStyle w:val="ListParagraph"/>
        <w:spacing w:before="240" w:after="60"/>
        <w:ind w:left="0"/>
        <w:jc w:val="left"/>
        <w:rPr>
          <w:rStyle w:val="CommentReference"/>
        </w:rPr>
      </w:pPr>
      <w:r w:rsidRPr="00585AAB">
        <w:rPr>
          <w:rStyle w:val="CommentReference"/>
        </w:rPr>
        <w:t xml:space="preserve">Table </w:t>
      </w:r>
      <w:r w:rsidR="00921C12">
        <w:rPr>
          <w:rStyle w:val="CommentReference"/>
          <w:noProof/>
        </w:rPr>
        <w:t>1</w:t>
      </w:r>
      <w:r w:rsidRPr="00585AAB">
        <w:rPr>
          <w:rStyle w:val="CommentReference"/>
        </w:rPr>
        <w:t>: Key components of the clinical issue addressed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4"/>
        <w:gridCol w:w="7458"/>
      </w:tblGrid>
      <w:tr w:rsidR="00042FD4" w:rsidRPr="00585AAB" w:rsidTr="00042FD4">
        <w:tc>
          <w:tcPr>
            <w:tcW w:w="894" w:type="pct"/>
            <w:vAlign w:val="center"/>
          </w:tcPr>
          <w:p w:rsidR="00042FD4" w:rsidRPr="00585AAB" w:rsidRDefault="00042FD4" w:rsidP="00042FD4">
            <w:pPr>
              <w:jc w:val="left"/>
              <w:rPr>
                <w:rFonts w:ascii="Arial Narrow" w:hAnsi="Arial Narrow"/>
                <w:b/>
                <w:sz w:val="20"/>
              </w:rPr>
            </w:pPr>
            <w:r w:rsidRPr="00585AAB">
              <w:rPr>
                <w:rFonts w:ascii="Arial Narrow" w:hAnsi="Arial Narrow"/>
                <w:b/>
                <w:sz w:val="20"/>
              </w:rPr>
              <w:t>Component</w:t>
            </w:r>
          </w:p>
        </w:tc>
        <w:tc>
          <w:tcPr>
            <w:tcW w:w="4106" w:type="pct"/>
            <w:vAlign w:val="center"/>
          </w:tcPr>
          <w:p w:rsidR="00042FD4" w:rsidRPr="00585AAB" w:rsidRDefault="00042FD4" w:rsidP="00042FD4">
            <w:pPr>
              <w:jc w:val="center"/>
              <w:rPr>
                <w:rFonts w:ascii="Arial Narrow" w:hAnsi="Arial Narrow"/>
                <w:b/>
                <w:sz w:val="20"/>
              </w:rPr>
            </w:pPr>
            <w:r w:rsidRPr="00585AAB">
              <w:rPr>
                <w:rFonts w:ascii="Arial Narrow" w:hAnsi="Arial Narrow"/>
                <w:b/>
                <w:sz w:val="20"/>
              </w:rPr>
              <w:t>Description</w:t>
            </w:r>
          </w:p>
        </w:tc>
      </w:tr>
      <w:tr w:rsidR="00042FD4" w:rsidRPr="00585AAB" w:rsidTr="00042FD4">
        <w:trPr>
          <w:trHeight w:val="50"/>
        </w:trPr>
        <w:tc>
          <w:tcPr>
            <w:tcW w:w="894"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Population</w:t>
            </w:r>
          </w:p>
        </w:tc>
        <w:tc>
          <w:tcPr>
            <w:tcW w:w="4106"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Adult patients with relapsing-remitting multiple sclerosis</w:t>
            </w:r>
          </w:p>
        </w:tc>
      </w:tr>
      <w:tr w:rsidR="00042FD4" w:rsidRPr="00585AAB" w:rsidTr="00042FD4">
        <w:trPr>
          <w:trHeight w:val="50"/>
        </w:trPr>
        <w:tc>
          <w:tcPr>
            <w:tcW w:w="894"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Intervention</w:t>
            </w:r>
          </w:p>
        </w:tc>
        <w:tc>
          <w:tcPr>
            <w:tcW w:w="4106"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Ocrelizumab (600</w:t>
            </w:r>
            <w:r w:rsidR="0012446B" w:rsidRPr="00585AAB">
              <w:rPr>
                <w:rFonts w:ascii="Arial Narrow" w:hAnsi="Arial Narrow"/>
                <w:sz w:val="20"/>
              </w:rPr>
              <w:t xml:space="preserve"> </w:t>
            </w:r>
            <w:r w:rsidRPr="00585AAB">
              <w:rPr>
                <w:rFonts w:ascii="Arial Narrow" w:hAnsi="Arial Narrow"/>
                <w:sz w:val="20"/>
              </w:rPr>
              <w:t>mg IV infusion every 6 months)</w:t>
            </w:r>
          </w:p>
        </w:tc>
      </w:tr>
      <w:tr w:rsidR="00042FD4" w:rsidRPr="00585AAB" w:rsidTr="00042FD4">
        <w:trPr>
          <w:trHeight w:val="66"/>
        </w:trPr>
        <w:tc>
          <w:tcPr>
            <w:tcW w:w="894"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Comparator</w:t>
            </w:r>
            <w:r w:rsidR="000A502C" w:rsidRPr="00585AAB">
              <w:rPr>
                <w:rFonts w:ascii="Arial Narrow" w:hAnsi="Arial Narrow"/>
                <w:sz w:val="20"/>
              </w:rPr>
              <w:t>s</w:t>
            </w:r>
          </w:p>
        </w:tc>
        <w:tc>
          <w:tcPr>
            <w:tcW w:w="4106"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 xml:space="preserve">Alemtuzumab, natalizumab, fingolimod </w:t>
            </w:r>
          </w:p>
        </w:tc>
      </w:tr>
      <w:tr w:rsidR="00042FD4" w:rsidRPr="00585AAB" w:rsidTr="00042FD4">
        <w:trPr>
          <w:trHeight w:val="50"/>
        </w:trPr>
        <w:tc>
          <w:tcPr>
            <w:tcW w:w="894"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Outcomes</w:t>
            </w:r>
          </w:p>
        </w:tc>
        <w:tc>
          <w:tcPr>
            <w:tcW w:w="4106"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 xml:space="preserve">Suppress clinical relapses, delay disability progression, reduce subclinical measures (based on MRI) of disease activity </w:t>
            </w:r>
          </w:p>
        </w:tc>
      </w:tr>
      <w:tr w:rsidR="00042FD4" w:rsidRPr="00585AAB" w:rsidTr="00042FD4">
        <w:trPr>
          <w:trHeight w:val="50"/>
        </w:trPr>
        <w:tc>
          <w:tcPr>
            <w:tcW w:w="894" w:type="pct"/>
            <w:vAlign w:val="center"/>
          </w:tcPr>
          <w:p w:rsidR="00042FD4" w:rsidRPr="00585AAB" w:rsidRDefault="00042FD4" w:rsidP="00042FD4">
            <w:pPr>
              <w:jc w:val="left"/>
              <w:rPr>
                <w:rFonts w:ascii="Arial Narrow" w:hAnsi="Arial Narrow"/>
                <w:sz w:val="20"/>
              </w:rPr>
            </w:pPr>
            <w:r w:rsidRPr="00585AAB">
              <w:rPr>
                <w:rFonts w:ascii="Arial Narrow" w:hAnsi="Arial Narrow"/>
                <w:sz w:val="20"/>
              </w:rPr>
              <w:t>Clinical claim</w:t>
            </w:r>
          </w:p>
        </w:tc>
        <w:tc>
          <w:tcPr>
            <w:tcW w:w="4106" w:type="pct"/>
            <w:vAlign w:val="center"/>
          </w:tcPr>
          <w:p w:rsidR="00042FD4" w:rsidRPr="00585AAB" w:rsidRDefault="00042FD4" w:rsidP="00936727">
            <w:pPr>
              <w:jc w:val="left"/>
              <w:rPr>
                <w:rFonts w:ascii="Arial Narrow" w:hAnsi="Arial Narrow"/>
                <w:sz w:val="20"/>
              </w:rPr>
            </w:pPr>
            <w:r w:rsidRPr="00585AAB">
              <w:rPr>
                <w:rFonts w:ascii="Arial Narrow" w:hAnsi="Arial Narrow"/>
                <w:sz w:val="20"/>
              </w:rPr>
              <w:t xml:space="preserve">Ocrelizumab is </w:t>
            </w:r>
            <w:r w:rsidR="0081108D" w:rsidRPr="00585AAB">
              <w:rPr>
                <w:rFonts w:ascii="Arial Narrow" w:hAnsi="Arial Narrow"/>
                <w:sz w:val="20"/>
              </w:rPr>
              <w:t>non</w:t>
            </w:r>
            <w:r w:rsidR="00312EA5" w:rsidRPr="00585AAB">
              <w:rPr>
                <w:rFonts w:ascii="Arial Narrow" w:hAnsi="Arial Narrow"/>
                <w:sz w:val="20"/>
              </w:rPr>
              <w:t>-</w:t>
            </w:r>
            <w:r w:rsidR="0081108D" w:rsidRPr="00585AAB">
              <w:rPr>
                <w:rFonts w:ascii="Arial Narrow" w:hAnsi="Arial Narrow"/>
                <w:sz w:val="20"/>
              </w:rPr>
              <w:t>inferior</w:t>
            </w:r>
            <w:r w:rsidRPr="00585AAB">
              <w:rPr>
                <w:rFonts w:ascii="Arial Narrow" w:hAnsi="Arial Narrow"/>
                <w:sz w:val="20"/>
              </w:rPr>
              <w:t xml:space="preserve"> in terms of efficacy and similar (possibly superior) in terms of safety compared to alemtuzumab, natalizumab and fingolimod</w:t>
            </w:r>
          </w:p>
        </w:tc>
      </w:tr>
    </w:tbl>
    <w:p w:rsidR="00042FD4" w:rsidRPr="00585AAB" w:rsidRDefault="00042FD4" w:rsidP="00042FD4">
      <w:pPr>
        <w:pStyle w:val="TableFooter"/>
      </w:pPr>
      <w:r w:rsidRPr="00585AAB">
        <w:t>Abbreviations: IV, intravenous; MRI, magnetic resonance imaging</w:t>
      </w:r>
    </w:p>
    <w:p w:rsidR="00042FD4" w:rsidRPr="00585AAB" w:rsidRDefault="00042FD4" w:rsidP="00A54CB2">
      <w:pPr>
        <w:pStyle w:val="TableFooter"/>
      </w:pPr>
      <w:r w:rsidRPr="00585AAB">
        <w:t>Source: Constructed during the evaluation</w:t>
      </w:r>
    </w:p>
    <w:p w:rsidR="00137F8D" w:rsidRPr="00585AAB" w:rsidRDefault="00137F8D" w:rsidP="00DA1B8F">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bookmarkStart w:id="4" w:name="_Toc413139272"/>
      <w:bookmarkStart w:id="5" w:name="_Toc476306882"/>
      <w:bookmarkStart w:id="6" w:name="_Toc482796744"/>
      <w:r w:rsidRPr="00585AAB">
        <w:rPr>
          <w:rFonts w:asciiTheme="minorHAnsi" w:eastAsiaTheme="majorEastAsia" w:hAnsiTheme="minorHAnsi" w:cstheme="majorBidi"/>
          <w:caps w:val="0"/>
          <w:snapToGrid/>
          <w:sz w:val="32"/>
          <w:szCs w:val="28"/>
        </w:rPr>
        <w:t>Requested listing</w:t>
      </w:r>
      <w:bookmarkEnd w:id="4"/>
      <w:bookmarkEnd w:id="5"/>
      <w:bookmarkEnd w:id="6"/>
    </w:p>
    <w:p w:rsidR="00137F8D" w:rsidRPr="00585AAB" w:rsidRDefault="00137F8D" w:rsidP="00DA1B8F">
      <w:pPr>
        <w:widowControl/>
        <w:numPr>
          <w:ilvl w:val="0"/>
          <w:numId w:val="11"/>
        </w:numPr>
        <w:spacing w:before="200" w:after="120"/>
        <w:rPr>
          <w:vanish/>
        </w:rPr>
      </w:pPr>
    </w:p>
    <w:tbl>
      <w:tblPr>
        <w:tblW w:w="5010" w:type="pct"/>
        <w:tblCellMar>
          <w:left w:w="28" w:type="dxa"/>
          <w:right w:w="28" w:type="dxa"/>
        </w:tblCellMar>
        <w:tblLook w:val="0000" w:firstRow="0" w:lastRow="0" w:firstColumn="0" w:lastColumn="0" w:noHBand="0" w:noVBand="0"/>
      </w:tblPr>
      <w:tblGrid>
        <w:gridCol w:w="14"/>
        <w:gridCol w:w="1977"/>
        <w:gridCol w:w="808"/>
        <w:gridCol w:w="686"/>
        <w:gridCol w:w="632"/>
        <w:gridCol w:w="2572"/>
        <w:gridCol w:w="1203"/>
        <w:gridCol w:w="1208"/>
      </w:tblGrid>
      <w:tr w:rsidR="00137F8D" w:rsidRPr="00585AAB" w:rsidTr="00F97B27">
        <w:trPr>
          <w:cantSplit/>
          <w:trHeight w:val="463"/>
        </w:trPr>
        <w:tc>
          <w:tcPr>
            <w:tcW w:w="1538" w:type="pct"/>
            <w:gridSpan w:val="3"/>
            <w:tcBorders>
              <w:bottom w:val="single" w:sz="4" w:space="0" w:color="auto"/>
            </w:tcBorders>
            <w:vAlign w:val="center"/>
          </w:tcPr>
          <w:p w:rsidR="00137F8D" w:rsidRPr="00585AAB" w:rsidRDefault="00137F8D" w:rsidP="00F97B27">
            <w:pPr>
              <w:pStyle w:val="TableText1"/>
              <w:keepNext w:val="0"/>
              <w:rPr>
                <w:b/>
              </w:rPr>
            </w:pPr>
            <w:r w:rsidRPr="00585AAB">
              <w:rPr>
                <w:b/>
              </w:rPr>
              <w:t>Name, Restriction,</w:t>
            </w:r>
          </w:p>
          <w:p w:rsidR="00137F8D" w:rsidRPr="00585AAB" w:rsidRDefault="00137F8D" w:rsidP="00F97B27">
            <w:pPr>
              <w:pStyle w:val="TableText1"/>
              <w:keepNext w:val="0"/>
              <w:rPr>
                <w:b/>
              </w:rPr>
            </w:pPr>
            <w:r w:rsidRPr="00585AAB">
              <w:rPr>
                <w:b/>
              </w:rPr>
              <w:t>Manner of administration and form</w:t>
            </w:r>
          </w:p>
        </w:tc>
        <w:tc>
          <w:tcPr>
            <w:tcW w:w="377" w:type="pct"/>
            <w:tcBorders>
              <w:bottom w:val="single" w:sz="4" w:space="0" w:color="auto"/>
            </w:tcBorders>
            <w:vAlign w:val="center"/>
          </w:tcPr>
          <w:p w:rsidR="00137F8D" w:rsidRPr="00585AAB" w:rsidRDefault="00137F8D" w:rsidP="00F97B27">
            <w:pPr>
              <w:pStyle w:val="TableText1"/>
              <w:keepNext w:val="0"/>
              <w:jc w:val="center"/>
              <w:rPr>
                <w:b/>
              </w:rPr>
            </w:pPr>
            <w:r w:rsidRPr="00585AAB">
              <w:rPr>
                <w:b/>
              </w:rPr>
              <w:t>Max.</w:t>
            </w:r>
          </w:p>
          <w:p w:rsidR="00137F8D" w:rsidRPr="00585AAB" w:rsidRDefault="0013339C" w:rsidP="00F97B27">
            <w:pPr>
              <w:pStyle w:val="TableText1"/>
              <w:keepNext w:val="0"/>
              <w:jc w:val="center"/>
              <w:rPr>
                <w:b/>
              </w:rPr>
            </w:pPr>
            <w:r w:rsidRPr="00585AAB">
              <w:rPr>
                <w:b/>
              </w:rPr>
              <w:t>Qty</w:t>
            </w:r>
          </w:p>
        </w:tc>
        <w:tc>
          <w:tcPr>
            <w:tcW w:w="347" w:type="pct"/>
            <w:tcBorders>
              <w:bottom w:val="single" w:sz="4" w:space="0" w:color="auto"/>
            </w:tcBorders>
            <w:vAlign w:val="center"/>
          </w:tcPr>
          <w:p w:rsidR="00137F8D" w:rsidRPr="00585AAB" w:rsidRDefault="00137F8D" w:rsidP="00F97B27">
            <w:pPr>
              <w:pStyle w:val="TableText1"/>
              <w:keepNext w:val="0"/>
              <w:jc w:val="center"/>
              <w:rPr>
                <w:b/>
              </w:rPr>
            </w:pPr>
            <w:r w:rsidRPr="00585AAB">
              <w:rPr>
                <w:b/>
              </w:rPr>
              <w:t>№.of</w:t>
            </w:r>
          </w:p>
          <w:p w:rsidR="00137F8D" w:rsidRPr="00585AAB" w:rsidRDefault="00137F8D" w:rsidP="00F97B27">
            <w:pPr>
              <w:pStyle w:val="TableText1"/>
              <w:keepNext w:val="0"/>
              <w:jc w:val="center"/>
              <w:rPr>
                <w:b/>
              </w:rPr>
            </w:pPr>
            <w:r w:rsidRPr="00585AAB">
              <w:rPr>
                <w:b/>
              </w:rPr>
              <w:t>Rpts</w:t>
            </w:r>
          </w:p>
        </w:tc>
        <w:tc>
          <w:tcPr>
            <w:tcW w:w="1413" w:type="pct"/>
            <w:tcBorders>
              <w:bottom w:val="single" w:sz="4" w:space="0" w:color="auto"/>
            </w:tcBorders>
            <w:vAlign w:val="center"/>
          </w:tcPr>
          <w:p w:rsidR="00137F8D" w:rsidRPr="00585AAB" w:rsidRDefault="0013339C" w:rsidP="00F97B27">
            <w:pPr>
              <w:pStyle w:val="TableText1"/>
              <w:keepNext w:val="0"/>
              <w:jc w:val="center"/>
              <w:rPr>
                <w:b/>
              </w:rPr>
            </w:pPr>
            <w:r w:rsidRPr="00585AAB">
              <w:rPr>
                <w:b/>
              </w:rPr>
              <w:t>DPMQ</w:t>
            </w:r>
          </w:p>
        </w:tc>
        <w:tc>
          <w:tcPr>
            <w:tcW w:w="1325" w:type="pct"/>
            <w:gridSpan w:val="2"/>
            <w:tcBorders>
              <w:bottom w:val="single" w:sz="4" w:space="0" w:color="auto"/>
            </w:tcBorders>
            <w:vAlign w:val="center"/>
          </w:tcPr>
          <w:p w:rsidR="00137F8D" w:rsidRPr="00585AAB" w:rsidRDefault="00137F8D" w:rsidP="00F97B27">
            <w:pPr>
              <w:pStyle w:val="TableText1"/>
              <w:keepNext w:val="0"/>
              <w:jc w:val="center"/>
              <w:rPr>
                <w:b/>
              </w:rPr>
            </w:pPr>
            <w:r w:rsidRPr="00585AAB">
              <w:rPr>
                <w:b/>
              </w:rPr>
              <w:t>Proprietary Name and Manufacturer</w:t>
            </w:r>
          </w:p>
        </w:tc>
      </w:tr>
      <w:tr w:rsidR="00137F8D" w:rsidRPr="00585AAB" w:rsidTr="00F97B27">
        <w:trPr>
          <w:cantSplit/>
          <w:trHeight w:val="567"/>
        </w:trPr>
        <w:tc>
          <w:tcPr>
            <w:tcW w:w="1538" w:type="pct"/>
            <w:gridSpan w:val="3"/>
            <w:tcBorders>
              <w:top w:val="single" w:sz="4" w:space="0" w:color="auto"/>
            </w:tcBorders>
            <w:vAlign w:val="center"/>
          </w:tcPr>
          <w:p w:rsidR="0013339C" w:rsidRPr="00585AAB" w:rsidRDefault="0013339C" w:rsidP="00F97B27">
            <w:pPr>
              <w:pStyle w:val="TableText1"/>
              <w:keepNext w:val="0"/>
            </w:pPr>
            <w:r w:rsidRPr="00585AAB">
              <w:t>OCRELIZUMAB</w:t>
            </w:r>
          </w:p>
          <w:p w:rsidR="0013339C" w:rsidRPr="00585AAB" w:rsidRDefault="0013339C" w:rsidP="00F97B27">
            <w:pPr>
              <w:pStyle w:val="TableText1"/>
              <w:keepNext w:val="0"/>
            </w:pPr>
            <w:r w:rsidRPr="00585AAB">
              <w:t>300</w:t>
            </w:r>
            <w:r w:rsidR="0012446B" w:rsidRPr="00585AAB">
              <w:t xml:space="preserve"> </w:t>
            </w:r>
            <w:r w:rsidRPr="00585AAB">
              <w:t>mg/10</w:t>
            </w:r>
            <w:r w:rsidR="0012446B" w:rsidRPr="00585AAB">
              <w:t xml:space="preserve"> </w:t>
            </w:r>
            <w:r w:rsidRPr="00585AAB">
              <w:t xml:space="preserve">mL injection, </w:t>
            </w:r>
          </w:p>
          <w:p w:rsidR="00137F8D" w:rsidRPr="00585AAB" w:rsidRDefault="0013339C" w:rsidP="00F97B27">
            <w:pPr>
              <w:pStyle w:val="TableText1"/>
              <w:keepNext w:val="0"/>
            </w:pPr>
            <w:r w:rsidRPr="00585AAB">
              <w:t>1 x 10</w:t>
            </w:r>
            <w:r w:rsidR="0012446B" w:rsidRPr="00585AAB">
              <w:t xml:space="preserve"> </w:t>
            </w:r>
            <w:r w:rsidRPr="00585AAB">
              <w:t>mL vial</w:t>
            </w:r>
          </w:p>
        </w:tc>
        <w:tc>
          <w:tcPr>
            <w:tcW w:w="377" w:type="pct"/>
            <w:tcBorders>
              <w:top w:val="single" w:sz="4" w:space="0" w:color="auto"/>
            </w:tcBorders>
            <w:vAlign w:val="center"/>
          </w:tcPr>
          <w:p w:rsidR="00137F8D" w:rsidRPr="00585AAB" w:rsidRDefault="0013339C" w:rsidP="00F97B27">
            <w:pPr>
              <w:pStyle w:val="TableText1"/>
              <w:keepNext w:val="0"/>
              <w:jc w:val="center"/>
            </w:pPr>
            <w:r w:rsidRPr="00585AAB">
              <w:t>2</w:t>
            </w:r>
          </w:p>
        </w:tc>
        <w:tc>
          <w:tcPr>
            <w:tcW w:w="347" w:type="pct"/>
            <w:tcBorders>
              <w:top w:val="single" w:sz="4" w:space="0" w:color="auto"/>
            </w:tcBorders>
            <w:vAlign w:val="center"/>
          </w:tcPr>
          <w:p w:rsidR="00137F8D" w:rsidRPr="00585AAB" w:rsidRDefault="0013339C" w:rsidP="00F97B27">
            <w:pPr>
              <w:pStyle w:val="TableText1"/>
              <w:keepNext w:val="0"/>
              <w:jc w:val="center"/>
            </w:pPr>
            <w:r w:rsidRPr="00585AAB">
              <w:t>0</w:t>
            </w:r>
          </w:p>
        </w:tc>
        <w:tc>
          <w:tcPr>
            <w:tcW w:w="1413" w:type="pct"/>
            <w:tcBorders>
              <w:top w:val="single" w:sz="4" w:space="0" w:color="auto"/>
            </w:tcBorders>
            <w:vAlign w:val="center"/>
          </w:tcPr>
          <w:p w:rsidR="00137F8D" w:rsidRPr="00585AAB" w:rsidRDefault="00137F8D" w:rsidP="00F97B27">
            <w:pPr>
              <w:pStyle w:val="TableText1"/>
              <w:keepNext w:val="0"/>
              <w:jc w:val="center"/>
            </w:pPr>
          </w:p>
          <w:p w:rsidR="0013339C" w:rsidRPr="00585AAB" w:rsidRDefault="0013339C" w:rsidP="00F97B27">
            <w:pPr>
              <w:pStyle w:val="TableText1"/>
              <w:keepNext w:val="0"/>
              <w:jc w:val="center"/>
            </w:pPr>
            <w:r w:rsidRPr="00585AAB">
              <w:t>Public: $</w:t>
            </w:r>
            <w:r w:rsidR="00F17251">
              <w:rPr>
                <w:noProof/>
                <w:color w:val="000000"/>
                <w:highlight w:val="black"/>
              </w:rPr>
              <w:t>''''''''''''''''''''''</w:t>
            </w:r>
            <w:r w:rsidRPr="00585AAB">
              <w:t xml:space="preserve">  </w:t>
            </w:r>
          </w:p>
          <w:p w:rsidR="00137F8D" w:rsidRPr="00585AAB" w:rsidRDefault="0013339C" w:rsidP="00F97B27">
            <w:pPr>
              <w:pStyle w:val="TableText1"/>
              <w:keepNext w:val="0"/>
              <w:jc w:val="center"/>
            </w:pPr>
            <w:r w:rsidRPr="00585AAB">
              <w:t>Private: $</w:t>
            </w:r>
            <w:r w:rsidR="00F17251">
              <w:rPr>
                <w:noProof/>
                <w:color w:val="000000"/>
                <w:highlight w:val="black"/>
              </w:rPr>
              <w:t>'''''''''''''''''''''</w:t>
            </w:r>
            <w:r w:rsidRPr="00585AAB">
              <w:t xml:space="preserve"> </w:t>
            </w:r>
          </w:p>
        </w:tc>
        <w:tc>
          <w:tcPr>
            <w:tcW w:w="661" w:type="pct"/>
            <w:tcBorders>
              <w:top w:val="single" w:sz="4" w:space="0" w:color="auto"/>
            </w:tcBorders>
            <w:vAlign w:val="center"/>
          </w:tcPr>
          <w:p w:rsidR="00137F8D" w:rsidRPr="00585AAB" w:rsidRDefault="0013339C" w:rsidP="00F97B27">
            <w:pPr>
              <w:pStyle w:val="TableText1"/>
              <w:keepNext w:val="0"/>
              <w:jc w:val="center"/>
            </w:pPr>
            <w:r w:rsidRPr="00585AAB">
              <w:t>Ocrevus®</w:t>
            </w:r>
          </w:p>
        </w:tc>
        <w:tc>
          <w:tcPr>
            <w:tcW w:w="664" w:type="pct"/>
            <w:tcBorders>
              <w:top w:val="single" w:sz="4" w:space="0" w:color="auto"/>
            </w:tcBorders>
            <w:vAlign w:val="center"/>
          </w:tcPr>
          <w:p w:rsidR="00137F8D" w:rsidRPr="00585AAB" w:rsidRDefault="0013339C" w:rsidP="00F97B27">
            <w:pPr>
              <w:pStyle w:val="TableText1"/>
              <w:keepNext w:val="0"/>
              <w:jc w:val="center"/>
            </w:pPr>
            <w:r w:rsidRPr="00585AAB">
              <w:t>Roche</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pPr>
            <w:r w:rsidRPr="00585AAB">
              <w:t>Category / Program:</w:t>
            </w:r>
          </w:p>
        </w:tc>
        <w:tc>
          <w:tcPr>
            <w:tcW w:w="3906" w:type="pct"/>
            <w:gridSpan w:val="6"/>
            <w:tcBorders>
              <w:top w:val="single" w:sz="4" w:space="0" w:color="auto"/>
              <w:left w:val="single" w:sz="4" w:space="0" w:color="auto"/>
              <w:bottom w:val="single" w:sz="4" w:space="0" w:color="auto"/>
              <w:right w:val="single" w:sz="4" w:space="0" w:color="auto"/>
            </w:tcBorders>
          </w:tcPr>
          <w:p w:rsidR="00137F8D" w:rsidRPr="00585AAB" w:rsidRDefault="0013339C" w:rsidP="00F97B27">
            <w:pPr>
              <w:pStyle w:val="TableText1"/>
              <w:keepNext w:val="0"/>
            </w:pPr>
            <w:r w:rsidRPr="00585AAB">
              <w:t>Section 100 (Highly Specialised Drugs program)</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rPr>
                <w:rFonts w:ascii="Times" w:eastAsia="Times New Roman" w:hAnsi="Times" w:cs="Times New Roman"/>
                <w:szCs w:val="20"/>
              </w:rPr>
            </w:pPr>
            <w:r w:rsidRPr="00585AAB">
              <w:t>PBS Indication:</w:t>
            </w:r>
          </w:p>
        </w:tc>
        <w:tc>
          <w:tcPr>
            <w:tcW w:w="3906" w:type="pct"/>
            <w:gridSpan w:val="6"/>
            <w:tcBorders>
              <w:top w:val="single" w:sz="4" w:space="0" w:color="auto"/>
              <w:left w:val="single" w:sz="4" w:space="0" w:color="auto"/>
              <w:bottom w:val="single" w:sz="4" w:space="0" w:color="auto"/>
              <w:right w:val="single" w:sz="4" w:space="0" w:color="auto"/>
            </w:tcBorders>
          </w:tcPr>
          <w:p w:rsidR="00137F8D" w:rsidRPr="00585AAB" w:rsidRDefault="00B9067A" w:rsidP="00F97B27">
            <w:pPr>
              <w:pStyle w:val="TableText1"/>
              <w:keepNext w:val="0"/>
              <w:rPr>
                <w:vertAlign w:val="superscript"/>
              </w:rPr>
            </w:pPr>
            <w:r w:rsidRPr="00585AAB">
              <w:t>Relapsing-remitting m</w:t>
            </w:r>
            <w:r w:rsidR="0013339C" w:rsidRPr="00585AAB">
              <w:t>ultiple sclerosis</w:t>
            </w:r>
            <w:r w:rsidRPr="00585AAB">
              <w:rPr>
                <w:vertAlign w:val="superscript"/>
              </w:rPr>
              <w:t>a</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pPr>
            <w:r w:rsidRPr="00585AAB">
              <w:t>Treatment phase:</w:t>
            </w:r>
          </w:p>
        </w:tc>
        <w:tc>
          <w:tcPr>
            <w:tcW w:w="3906" w:type="pct"/>
            <w:gridSpan w:val="6"/>
            <w:tcBorders>
              <w:top w:val="single" w:sz="4" w:space="0" w:color="auto"/>
              <w:left w:val="single" w:sz="4" w:space="0" w:color="auto"/>
              <w:bottom w:val="single" w:sz="4" w:space="0" w:color="auto"/>
              <w:right w:val="single" w:sz="4" w:space="0" w:color="auto"/>
            </w:tcBorders>
          </w:tcPr>
          <w:p w:rsidR="00137F8D" w:rsidRPr="00585AAB" w:rsidRDefault="0013339C" w:rsidP="00F97B27">
            <w:pPr>
              <w:pStyle w:val="TableText1"/>
              <w:keepNext w:val="0"/>
            </w:pPr>
            <w:r w:rsidRPr="00585AAB">
              <w:t>Initial/Continuation</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pPr>
            <w:r w:rsidRPr="00585AAB">
              <w:t>Restriction:</w:t>
            </w:r>
          </w:p>
          <w:p w:rsidR="00137F8D" w:rsidRPr="00585AAB" w:rsidRDefault="00137F8D" w:rsidP="00F97B27">
            <w:pPr>
              <w:pStyle w:val="TableText1"/>
              <w:keepNext w:val="0"/>
            </w:pPr>
          </w:p>
        </w:tc>
        <w:tc>
          <w:tcPr>
            <w:tcW w:w="3906" w:type="pct"/>
            <w:gridSpan w:val="6"/>
            <w:tcBorders>
              <w:top w:val="single" w:sz="4" w:space="0" w:color="auto"/>
              <w:left w:val="single" w:sz="4" w:space="0" w:color="auto"/>
              <w:bottom w:val="single" w:sz="4" w:space="0" w:color="auto"/>
              <w:right w:val="single" w:sz="4" w:space="0" w:color="auto"/>
            </w:tcBorders>
          </w:tcPr>
          <w:p w:rsidR="0013339C" w:rsidRPr="00585AAB" w:rsidRDefault="0013339C" w:rsidP="00F97B27">
            <w:pPr>
              <w:pStyle w:val="TableText1"/>
              <w:keepNext w:val="0"/>
            </w:pPr>
            <w:r w:rsidRPr="00585AAB">
              <w:t>Public hospital Authority Required (Streamlined)</w:t>
            </w:r>
          </w:p>
          <w:p w:rsidR="00137F8D" w:rsidRPr="00585AAB" w:rsidRDefault="0013339C" w:rsidP="00F97B27">
            <w:pPr>
              <w:pStyle w:val="TableText1"/>
              <w:keepNext w:val="0"/>
            </w:pPr>
            <w:r w:rsidRPr="00585AAB">
              <w:t>Private hospital Authority Required</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rPr>
                <w:rFonts w:ascii="Times" w:eastAsia="Times New Roman" w:hAnsi="Times" w:cs="Times New Roman"/>
                <w:szCs w:val="20"/>
              </w:rPr>
            </w:pPr>
            <w:r w:rsidRPr="00585AAB">
              <w:t>Treatment criteria:</w:t>
            </w:r>
          </w:p>
        </w:tc>
        <w:tc>
          <w:tcPr>
            <w:tcW w:w="3906" w:type="pct"/>
            <w:gridSpan w:val="6"/>
            <w:tcBorders>
              <w:top w:val="single" w:sz="4" w:space="0" w:color="auto"/>
              <w:left w:val="single" w:sz="4" w:space="0" w:color="auto"/>
              <w:bottom w:val="single" w:sz="4" w:space="0" w:color="auto"/>
              <w:right w:val="single" w:sz="4" w:space="0" w:color="auto"/>
            </w:tcBorders>
          </w:tcPr>
          <w:p w:rsidR="0013339C" w:rsidRPr="00585AAB" w:rsidRDefault="0013339C" w:rsidP="00F97B27">
            <w:pPr>
              <w:pStyle w:val="TableText1"/>
              <w:keepNext w:val="0"/>
              <w:spacing w:before="60" w:after="60"/>
            </w:pPr>
            <w:r w:rsidRPr="00585AAB">
              <w:t>Must be treated by a neurologist.</w:t>
            </w:r>
          </w:p>
          <w:p w:rsidR="0013339C" w:rsidRPr="00585AAB" w:rsidRDefault="0013339C" w:rsidP="00F97B27">
            <w:pPr>
              <w:pStyle w:val="TableText1"/>
              <w:keepNext w:val="0"/>
              <w:spacing w:before="60" w:after="60"/>
            </w:pPr>
            <w:r w:rsidRPr="00585AAB">
              <w:t>Treatment with this drug must cease if there is continuing progression of disability whilst the patient is being treated with this drug.</w:t>
            </w:r>
          </w:p>
          <w:p w:rsidR="00137F8D" w:rsidRPr="00585AAB" w:rsidRDefault="0013339C" w:rsidP="00F97B27">
            <w:pPr>
              <w:pStyle w:val="TableText1"/>
              <w:keepNext w:val="0"/>
              <w:spacing w:before="60" w:after="60"/>
            </w:pPr>
            <w:r w:rsidRPr="00585AAB">
              <w:t>For continued treatment the patient must demonstrate compliance with, and an ability to tolerate, this drug.</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rPr>
                <w:rFonts w:ascii="Times" w:eastAsia="Times New Roman" w:hAnsi="Times" w:cs="Times New Roman"/>
                <w:szCs w:val="20"/>
              </w:rPr>
            </w:pPr>
            <w:r w:rsidRPr="00585AAB">
              <w:lastRenderedPageBreak/>
              <w:t>Clinical criteria:</w:t>
            </w:r>
          </w:p>
        </w:tc>
        <w:tc>
          <w:tcPr>
            <w:tcW w:w="3906" w:type="pct"/>
            <w:gridSpan w:val="6"/>
            <w:tcBorders>
              <w:top w:val="single" w:sz="4" w:space="0" w:color="auto"/>
              <w:left w:val="single" w:sz="4" w:space="0" w:color="auto"/>
              <w:bottom w:val="single" w:sz="4" w:space="0" w:color="auto"/>
              <w:right w:val="single" w:sz="4" w:space="0" w:color="auto"/>
            </w:tcBorders>
          </w:tcPr>
          <w:p w:rsidR="0013339C" w:rsidRPr="00585AAB" w:rsidRDefault="0013339C" w:rsidP="00F97B27">
            <w:pPr>
              <w:pStyle w:val="TableText1"/>
              <w:keepNext w:val="0"/>
              <w:spacing w:before="60" w:after="60"/>
            </w:pPr>
            <w:r w:rsidRPr="00585AAB">
              <w:t>The treatment must be as monotherapy,</w:t>
            </w:r>
          </w:p>
          <w:p w:rsidR="0013339C" w:rsidRPr="00585AAB" w:rsidRDefault="0013339C" w:rsidP="00F97B27">
            <w:pPr>
              <w:pStyle w:val="TableText1"/>
              <w:keepNext w:val="0"/>
              <w:spacing w:before="60" w:after="60"/>
            </w:pPr>
            <w:r w:rsidRPr="00585AAB">
              <w:t>AND</w:t>
            </w:r>
          </w:p>
          <w:p w:rsidR="0013339C" w:rsidRPr="00585AAB" w:rsidRDefault="0013339C" w:rsidP="00F97B27">
            <w:pPr>
              <w:pStyle w:val="TableText1"/>
              <w:keepNext w:val="0"/>
              <w:spacing w:before="60" w:after="60"/>
            </w:pPr>
            <w:r w:rsidRPr="00585AAB">
              <w:t>Patient must be ambulatory (without assistance or support),</w:t>
            </w:r>
          </w:p>
          <w:p w:rsidR="0013339C" w:rsidRPr="00585AAB" w:rsidRDefault="0013339C" w:rsidP="00F97B27">
            <w:pPr>
              <w:pStyle w:val="TableText1"/>
              <w:keepNext w:val="0"/>
              <w:spacing w:before="60" w:after="60"/>
            </w:pPr>
            <w:r w:rsidRPr="00585AAB">
              <w:t>AND</w:t>
            </w:r>
          </w:p>
          <w:p w:rsidR="0013339C" w:rsidRPr="00585AAB" w:rsidRDefault="0013339C" w:rsidP="00F97B27">
            <w:pPr>
              <w:pStyle w:val="TableText1"/>
              <w:keepNext w:val="0"/>
              <w:spacing w:before="60" w:after="60"/>
            </w:pPr>
            <w:r w:rsidRPr="00585AAB">
              <w:t>Patient must have experienced at least 2 documented attacks of neurological dysfunction, believed to be due to multiple sclerosis, in the preceding 2 years,</w:t>
            </w:r>
          </w:p>
          <w:p w:rsidR="0013339C" w:rsidRPr="00585AAB" w:rsidRDefault="0013339C" w:rsidP="00F97B27">
            <w:pPr>
              <w:pStyle w:val="TableText1"/>
              <w:keepNext w:val="0"/>
              <w:spacing w:before="60" w:after="60"/>
            </w:pPr>
            <w:r w:rsidRPr="00585AAB">
              <w:t>AND</w:t>
            </w:r>
          </w:p>
          <w:p w:rsidR="0013339C" w:rsidRPr="00585AAB" w:rsidRDefault="0013339C" w:rsidP="00F97B27">
            <w:pPr>
              <w:pStyle w:val="TableText1"/>
              <w:keepNext w:val="0"/>
              <w:spacing w:before="60" w:after="60"/>
            </w:pPr>
            <w:r w:rsidRPr="00585AAB">
              <w:t>The condition must be confirmed by magnetic resonance imaging of the brain and/or spinal cord; OR</w:t>
            </w:r>
          </w:p>
          <w:p w:rsidR="00137F8D" w:rsidRPr="00585AAB" w:rsidRDefault="0013339C" w:rsidP="00F97B27">
            <w:pPr>
              <w:pStyle w:val="TableText1"/>
              <w:keepNext w:val="0"/>
              <w:spacing w:before="60" w:after="60"/>
            </w:pPr>
            <w:r w:rsidRPr="00585AAB">
              <w:t>Patient must be deemed unsuitable for magnetic resonance imaging due to the risk of physical (not psychological) injury to the patient.</w:t>
            </w:r>
          </w:p>
        </w:tc>
      </w:tr>
      <w:tr w:rsidR="00137F8D" w:rsidRPr="00585AAB" w:rsidTr="0013339C">
        <w:tblPrEx>
          <w:tblCellMar>
            <w:left w:w="108" w:type="dxa"/>
            <w:right w:w="108" w:type="dxa"/>
          </w:tblCellMar>
        </w:tblPrEx>
        <w:trPr>
          <w:gridBefore w:val="1"/>
          <w:wBefore w:w="8" w:type="pct"/>
          <w:cantSplit/>
          <w:trHeight w:val="360"/>
        </w:trPr>
        <w:tc>
          <w:tcPr>
            <w:tcW w:w="1086" w:type="pct"/>
            <w:tcBorders>
              <w:top w:val="single" w:sz="4" w:space="0" w:color="auto"/>
              <w:left w:val="single" w:sz="4" w:space="0" w:color="auto"/>
              <w:bottom w:val="single" w:sz="4" w:space="0" w:color="auto"/>
              <w:right w:val="single" w:sz="4" w:space="0" w:color="auto"/>
            </w:tcBorders>
          </w:tcPr>
          <w:p w:rsidR="00137F8D" w:rsidRPr="00585AAB" w:rsidRDefault="00137F8D" w:rsidP="00F97B27">
            <w:pPr>
              <w:pStyle w:val="TableText1"/>
              <w:keepNext w:val="0"/>
              <w:rPr>
                <w:rFonts w:ascii="Times" w:eastAsia="Times New Roman" w:hAnsi="Times" w:cs="Times New Roman"/>
                <w:szCs w:val="20"/>
              </w:rPr>
            </w:pPr>
            <w:r w:rsidRPr="00585AAB">
              <w:t>Prescriber Instructions</w:t>
            </w:r>
          </w:p>
        </w:tc>
        <w:tc>
          <w:tcPr>
            <w:tcW w:w="3906" w:type="pct"/>
            <w:gridSpan w:val="6"/>
            <w:tcBorders>
              <w:top w:val="single" w:sz="4" w:space="0" w:color="auto"/>
              <w:left w:val="single" w:sz="4" w:space="0" w:color="auto"/>
              <w:bottom w:val="single" w:sz="4" w:space="0" w:color="auto"/>
              <w:right w:val="single" w:sz="4" w:space="0" w:color="auto"/>
            </w:tcBorders>
          </w:tcPr>
          <w:p w:rsidR="00137F8D" w:rsidRPr="00585AAB" w:rsidRDefault="00F97B27" w:rsidP="00F97B27">
            <w:pPr>
              <w:pStyle w:val="TableText1"/>
              <w:keepNext w:val="0"/>
              <w:spacing w:before="60" w:after="60"/>
            </w:pPr>
            <w:r w:rsidRPr="00585AAB">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tc>
      </w:tr>
    </w:tbl>
    <w:p w:rsidR="00F97B27" w:rsidRPr="00585AAB" w:rsidRDefault="00B9067A" w:rsidP="00B9067A">
      <w:pPr>
        <w:pStyle w:val="TableFooter"/>
        <w:rPr>
          <w:rFonts w:ascii="Arial" w:eastAsiaTheme="minorHAnsi" w:hAnsi="Arial"/>
          <w:snapToGrid/>
          <w:sz w:val="22"/>
        </w:rPr>
      </w:pPr>
      <w:r w:rsidRPr="00585AAB">
        <w:t xml:space="preserve">a The requested PBS listing in the submission was for “multiple sclerosis (MS)”, which was </w:t>
      </w:r>
      <w:r w:rsidR="00F97B27" w:rsidRPr="00585AAB">
        <w:rPr>
          <w:rFonts w:eastAsiaTheme="minorHAnsi"/>
          <w:snapToGrid/>
        </w:rPr>
        <w:t xml:space="preserve"> broader than current PBS listings for other multiple sclerosis treatments, which include a criterion that s</w:t>
      </w:r>
      <w:r w:rsidRPr="00585AAB">
        <w:t xml:space="preserve">pecifically limits treatment to </w:t>
      </w:r>
      <w:r w:rsidR="00F97B27" w:rsidRPr="00585AAB">
        <w:rPr>
          <w:rFonts w:eastAsiaTheme="minorHAnsi"/>
          <w:snapToGrid/>
        </w:rPr>
        <w:t>RRMS.</w:t>
      </w:r>
      <w:r w:rsidR="00783851" w:rsidRPr="00585AAB">
        <w:rPr>
          <w:rFonts w:eastAsiaTheme="minorHAnsi"/>
          <w:snapToGrid/>
        </w:rPr>
        <w:t xml:space="preserve"> The Pre-Sub-Committee Response (PSCR</w:t>
      </w:r>
      <w:r w:rsidR="00605EFC" w:rsidRPr="00585AAB">
        <w:rPr>
          <w:rFonts w:eastAsiaTheme="minorHAnsi"/>
          <w:snapToGrid/>
        </w:rPr>
        <w:t>, p 1</w:t>
      </w:r>
      <w:r w:rsidR="00783851" w:rsidRPr="00585AAB">
        <w:rPr>
          <w:rFonts w:eastAsiaTheme="minorHAnsi"/>
          <w:snapToGrid/>
        </w:rPr>
        <w:t>) agreed to align the restriction with existing listings</w:t>
      </w:r>
      <w:r w:rsidR="00914CA2" w:rsidRPr="00585AAB">
        <w:rPr>
          <w:rFonts w:eastAsiaTheme="minorHAnsi"/>
          <w:snapToGrid/>
        </w:rPr>
        <w:t xml:space="preserve"> and change</w:t>
      </w:r>
      <w:r w:rsidRPr="00585AAB">
        <w:t>d</w:t>
      </w:r>
      <w:r w:rsidR="00914CA2" w:rsidRPr="00585AAB">
        <w:rPr>
          <w:rFonts w:eastAsiaTheme="minorHAnsi"/>
          <w:snapToGrid/>
        </w:rPr>
        <w:t xml:space="preserve"> the proposed restriction criteria from MS to RRMS</w:t>
      </w:r>
      <w:r w:rsidR="00783851" w:rsidRPr="00585AAB">
        <w:rPr>
          <w:rFonts w:eastAsiaTheme="minorHAnsi"/>
          <w:snapToGrid/>
        </w:rPr>
        <w:t>.</w:t>
      </w:r>
    </w:p>
    <w:p w:rsidR="00F97B27" w:rsidRPr="00585AAB" w:rsidRDefault="00F97B27" w:rsidP="00F97B27">
      <w:pPr>
        <w:pStyle w:val="ListParagraph"/>
        <w:rPr>
          <w:rFonts w:asciiTheme="minorHAnsi" w:eastAsiaTheme="minorHAnsi" w:hAnsiTheme="minorHAnsi" w:cstheme="minorBidi"/>
          <w:snapToGrid/>
          <w:sz w:val="24"/>
          <w:szCs w:val="22"/>
        </w:rPr>
      </w:pPr>
    </w:p>
    <w:p w:rsidR="00F97B27" w:rsidRPr="00A712EE" w:rsidRDefault="00F97B27" w:rsidP="00F97B27">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The</w:t>
      </w:r>
      <w:r w:rsidR="000371B1">
        <w:rPr>
          <w:rFonts w:asciiTheme="minorHAnsi" w:eastAsiaTheme="minorHAnsi" w:hAnsiTheme="minorHAnsi" w:cstheme="minorBidi"/>
          <w:snapToGrid/>
          <w:sz w:val="24"/>
          <w:szCs w:val="22"/>
        </w:rPr>
        <w:t xml:space="preserve"> evaluation noted that the</w:t>
      </w:r>
      <w:r w:rsidRPr="00585AAB">
        <w:rPr>
          <w:rFonts w:asciiTheme="minorHAnsi" w:eastAsiaTheme="minorHAnsi" w:hAnsiTheme="minorHAnsi" w:cstheme="minorBidi"/>
          <w:snapToGrid/>
          <w:sz w:val="24"/>
          <w:szCs w:val="22"/>
        </w:rPr>
        <w:t xml:space="preserve">re </w:t>
      </w:r>
      <w:r w:rsidR="00281D8E" w:rsidRPr="00585AAB">
        <w:rPr>
          <w:rFonts w:asciiTheme="minorHAnsi" w:eastAsiaTheme="minorHAnsi" w:hAnsiTheme="minorHAnsi" w:cstheme="minorBidi"/>
          <w:snapToGrid/>
          <w:sz w:val="24"/>
          <w:szCs w:val="22"/>
        </w:rPr>
        <w:t>is</w:t>
      </w:r>
      <w:r w:rsidRPr="00585AAB">
        <w:rPr>
          <w:rFonts w:asciiTheme="minorHAnsi" w:eastAsiaTheme="minorHAnsi" w:hAnsiTheme="minorHAnsi" w:cstheme="minorBidi"/>
          <w:snapToGrid/>
          <w:sz w:val="24"/>
          <w:szCs w:val="22"/>
        </w:rPr>
        <w:t xml:space="preserve"> potential for leakage outside the restriction to patients with </w:t>
      </w:r>
      <w:r w:rsidR="00A069A9" w:rsidRPr="00585AAB">
        <w:rPr>
          <w:rFonts w:asciiTheme="minorHAnsi" w:eastAsiaTheme="minorHAnsi" w:hAnsiTheme="minorHAnsi" w:cstheme="minorBidi"/>
          <w:snapToGrid/>
          <w:sz w:val="24"/>
          <w:szCs w:val="22"/>
        </w:rPr>
        <w:t>primary progressive multiple sclerosis (</w:t>
      </w:r>
      <w:r w:rsidRPr="00585AAB">
        <w:rPr>
          <w:rFonts w:asciiTheme="minorHAnsi" w:eastAsiaTheme="minorHAnsi" w:hAnsiTheme="minorHAnsi" w:cstheme="minorBidi"/>
          <w:snapToGrid/>
          <w:sz w:val="24"/>
          <w:szCs w:val="22"/>
        </w:rPr>
        <w:t>PPMS</w:t>
      </w:r>
      <w:r w:rsidR="00A069A9" w:rsidRPr="00585AAB">
        <w:rPr>
          <w:rFonts w:asciiTheme="minorHAnsi" w:eastAsiaTheme="minorHAnsi" w:hAnsiTheme="minorHAnsi" w:cstheme="minorBidi"/>
          <w:snapToGrid/>
          <w:sz w:val="24"/>
          <w:szCs w:val="22"/>
        </w:rPr>
        <w:t>)</w:t>
      </w:r>
      <w:r w:rsidRPr="00585AAB">
        <w:rPr>
          <w:rFonts w:asciiTheme="minorHAnsi" w:eastAsiaTheme="minorHAnsi" w:hAnsiTheme="minorHAnsi" w:cstheme="minorBidi"/>
          <w:snapToGrid/>
          <w:sz w:val="24"/>
          <w:szCs w:val="22"/>
        </w:rPr>
        <w:t xml:space="preserve"> given the high clinical need for treatments in this population.</w:t>
      </w:r>
      <w:r w:rsidR="007B3238" w:rsidRPr="00585AAB">
        <w:rPr>
          <w:rFonts w:asciiTheme="minorHAnsi" w:eastAsiaTheme="minorHAnsi" w:hAnsiTheme="minorHAnsi" w:cstheme="minorBidi"/>
          <w:snapToGrid/>
          <w:sz w:val="24"/>
          <w:szCs w:val="22"/>
        </w:rPr>
        <w:t xml:space="preserve"> The PSCR (p4) states the sponsor is planning to submit an application for ocrelizumab for PPMS for consideration at the November 2017 PBAC meeting.</w:t>
      </w:r>
    </w:p>
    <w:p w:rsidR="00610122" w:rsidRPr="00585AAB" w:rsidRDefault="00610122" w:rsidP="00610122">
      <w:pPr>
        <w:pStyle w:val="ListParagraph"/>
        <w:rPr>
          <w:rFonts w:asciiTheme="minorHAnsi" w:eastAsiaTheme="minorHAnsi" w:hAnsiTheme="minorHAnsi" w:cstheme="minorBidi"/>
          <w:snapToGrid/>
          <w:sz w:val="24"/>
          <w:szCs w:val="22"/>
        </w:rPr>
      </w:pPr>
    </w:p>
    <w:p w:rsidR="00610122" w:rsidRPr="00585AAB" w:rsidRDefault="00610122" w:rsidP="00610122">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 xml:space="preserve">Ocrelizumab </w:t>
      </w:r>
      <w:r w:rsidR="00D41FE9" w:rsidRPr="00585AAB">
        <w:rPr>
          <w:rFonts w:asciiTheme="minorHAnsi" w:eastAsiaTheme="minorHAnsi" w:hAnsiTheme="minorHAnsi" w:cstheme="minorBidi"/>
          <w:snapToGrid/>
          <w:sz w:val="24"/>
          <w:szCs w:val="22"/>
        </w:rPr>
        <w:t>was</w:t>
      </w:r>
      <w:r w:rsidRPr="00585AAB">
        <w:rPr>
          <w:rFonts w:asciiTheme="minorHAnsi" w:eastAsiaTheme="minorHAnsi" w:hAnsiTheme="minorHAnsi" w:cstheme="minorBidi"/>
          <w:snapToGrid/>
          <w:sz w:val="24"/>
          <w:szCs w:val="22"/>
        </w:rPr>
        <w:t xml:space="preserve"> administered as a 600 mg IV infusion every </w:t>
      </w:r>
      <w:r w:rsidR="00A72219" w:rsidRPr="00585AAB">
        <w:rPr>
          <w:rFonts w:asciiTheme="minorHAnsi" w:eastAsiaTheme="minorHAnsi" w:hAnsiTheme="minorHAnsi" w:cstheme="minorBidi"/>
          <w:snapToGrid/>
          <w:sz w:val="24"/>
          <w:szCs w:val="22"/>
        </w:rPr>
        <w:t>24 weeks</w:t>
      </w:r>
      <w:r w:rsidRPr="00585AAB">
        <w:rPr>
          <w:rFonts w:asciiTheme="minorHAnsi" w:eastAsiaTheme="minorHAnsi" w:hAnsiTheme="minorHAnsi" w:cstheme="minorBidi"/>
          <w:snapToGrid/>
          <w:sz w:val="24"/>
          <w:szCs w:val="22"/>
        </w:rPr>
        <w:t xml:space="preserve"> </w:t>
      </w:r>
      <w:r w:rsidR="00D41FE9" w:rsidRPr="00585AAB">
        <w:rPr>
          <w:rFonts w:asciiTheme="minorHAnsi" w:eastAsiaTheme="minorHAnsi" w:hAnsiTheme="minorHAnsi" w:cstheme="minorBidi"/>
          <w:snapToGrid/>
          <w:sz w:val="24"/>
          <w:szCs w:val="22"/>
        </w:rPr>
        <w:t xml:space="preserve">in the trials. The TGA approved Product Information (PI) recommends a dosing interval of every 6 months, however specifies a minimum interval of 5 months between each dose. </w:t>
      </w:r>
      <w:r w:rsidRPr="00585AAB">
        <w:rPr>
          <w:rFonts w:asciiTheme="minorHAnsi" w:eastAsiaTheme="minorHAnsi" w:hAnsiTheme="minorHAnsi" w:cstheme="minorBidi"/>
          <w:snapToGrid/>
          <w:sz w:val="24"/>
          <w:szCs w:val="22"/>
        </w:rPr>
        <w:t>(</w:t>
      </w:r>
      <w:r w:rsidR="00D41FE9" w:rsidRPr="00585AAB">
        <w:rPr>
          <w:rFonts w:asciiTheme="minorHAnsi" w:eastAsiaTheme="minorHAnsi" w:hAnsiTheme="minorHAnsi" w:cstheme="minorBidi"/>
          <w:snapToGrid/>
          <w:sz w:val="24"/>
          <w:szCs w:val="22"/>
        </w:rPr>
        <w:t>T</w:t>
      </w:r>
      <w:r w:rsidRPr="00585AAB">
        <w:rPr>
          <w:rFonts w:asciiTheme="minorHAnsi" w:eastAsiaTheme="minorHAnsi" w:hAnsiTheme="minorHAnsi" w:cstheme="minorBidi"/>
          <w:snapToGrid/>
          <w:sz w:val="24"/>
          <w:szCs w:val="22"/>
        </w:rPr>
        <w:t xml:space="preserve">he initial dose is </w:t>
      </w:r>
      <w:r w:rsidR="00D41FE9" w:rsidRPr="00585AAB">
        <w:rPr>
          <w:rFonts w:asciiTheme="minorHAnsi" w:eastAsiaTheme="minorHAnsi" w:hAnsiTheme="minorHAnsi" w:cstheme="minorBidi"/>
          <w:snapToGrid/>
          <w:sz w:val="24"/>
          <w:szCs w:val="22"/>
        </w:rPr>
        <w:t>administered as</w:t>
      </w:r>
      <w:r w:rsidRPr="00585AAB">
        <w:rPr>
          <w:rFonts w:asciiTheme="minorHAnsi" w:eastAsiaTheme="minorHAnsi" w:hAnsiTheme="minorHAnsi" w:cstheme="minorBidi"/>
          <w:snapToGrid/>
          <w:sz w:val="24"/>
          <w:szCs w:val="22"/>
        </w:rPr>
        <w:t xml:space="preserve"> two separate 300 mg infusions two weeks apart</w:t>
      </w:r>
      <w:r w:rsidR="00D41FE9" w:rsidRPr="00585AAB">
        <w:rPr>
          <w:rFonts w:asciiTheme="minorHAnsi" w:eastAsiaTheme="minorHAnsi" w:hAnsiTheme="minorHAnsi" w:cstheme="minorBidi"/>
          <w:snapToGrid/>
          <w:sz w:val="24"/>
          <w:szCs w:val="22"/>
        </w:rPr>
        <w:t>; this is consistent between the ocrelizumab trials and the PI</w:t>
      </w:r>
      <w:r w:rsidRPr="00585AAB">
        <w:rPr>
          <w:rFonts w:asciiTheme="minorHAnsi" w:eastAsiaTheme="minorHAnsi" w:hAnsiTheme="minorHAnsi" w:cstheme="minorBidi"/>
          <w:snapToGrid/>
          <w:sz w:val="24"/>
          <w:szCs w:val="22"/>
        </w:rPr>
        <w:t>).</w:t>
      </w:r>
      <w:r w:rsidR="00F7785A" w:rsidRPr="00585AAB">
        <w:rPr>
          <w:rFonts w:asciiTheme="minorHAnsi" w:eastAsiaTheme="minorHAnsi" w:hAnsiTheme="minorHAnsi" w:cstheme="minorBidi"/>
          <w:snapToGrid/>
          <w:sz w:val="24"/>
          <w:szCs w:val="22"/>
        </w:rPr>
        <w:t xml:space="preserve"> Ocreli</w:t>
      </w:r>
      <w:r w:rsidRPr="00585AAB">
        <w:rPr>
          <w:rFonts w:asciiTheme="minorHAnsi" w:eastAsiaTheme="minorHAnsi" w:hAnsiTheme="minorHAnsi" w:cstheme="minorBidi"/>
          <w:snapToGrid/>
          <w:sz w:val="24"/>
          <w:szCs w:val="22"/>
        </w:rPr>
        <w:t>zumab is anticipated to be used as a chronic treatment for multiple sclerosis.</w:t>
      </w:r>
    </w:p>
    <w:p w:rsidR="00F97B27" w:rsidRPr="00585AAB" w:rsidRDefault="00F97B27" w:rsidP="00F97B27">
      <w:pPr>
        <w:pStyle w:val="ListParagraph"/>
        <w:rPr>
          <w:rFonts w:asciiTheme="minorHAnsi" w:hAnsiTheme="minorHAnsi"/>
          <w:sz w:val="24"/>
        </w:rPr>
      </w:pPr>
    </w:p>
    <w:p w:rsidR="006F1208" w:rsidRPr="00585AAB" w:rsidRDefault="00610122" w:rsidP="00132B4E">
      <w:pPr>
        <w:pStyle w:val="ESnumberedparablue"/>
        <w:spacing w:before="0" w:after="0"/>
      </w:pPr>
      <w:r w:rsidRPr="00585AAB">
        <w:t xml:space="preserve">The sponsor proposed a </w:t>
      </w:r>
      <w:r w:rsidR="009A754E">
        <w:t>S</w:t>
      </w:r>
      <w:r w:rsidR="009A754E" w:rsidRPr="00585AAB">
        <w:t xml:space="preserve">pecial </w:t>
      </w:r>
      <w:r w:rsidR="009A754E">
        <w:t>P</w:t>
      </w:r>
      <w:r w:rsidR="009A754E" w:rsidRPr="00585AAB">
        <w:t xml:space="preserve">ricing </w:t>
      </w:r>
      <w:r w:rsidR="009A754E">
        <w:t>A</w:t>
      </w:r>
      <w:r w:rsidR="009A754E" w:rsidRPr="00585AAB">
        <w:t xml:space="preserve">rrangement </w:t>
      </w:r>
      <w:r w:rsidR="00585AAB">
        <w:t xml:space="preserve">for the listing </w:t>
      </w:r>
      <w:r w:rsidRPr="00585AAB">
        <w:t>of ocrelizumab</w:t>
      </w:r>
      <w:r w:rsidR="00281D8E" w:rsidRPr="00585AAB">
        <w:t>.</w:t>
      </w:r>
      <w:r w:rsidR="0043763D" w:rsidRPr="00585AAB">
        <w:t xml:space="preserve"> Under usual practice, a </w:t>
      </w:r>
      <w:r w:rsidR="009A754E">
        <w:t>S</w:t>
      </w:r>
      <w:r w:rsidR="009A754E" w:rsidRPr="00585AAB">
        <w:t xml:space="preserve">pecial </w:t>
      </w:r>
      <w:r w:rsidR="009A754E">
        <w:t>P</w:t>
      </w:r>
      <w:r w:rsidR="009A754E" w:rsidRPr="00585AAB">
        <w:t xml:space="preserve">ricing </w:t>
      </w:r>
      <w:r w:rsidR="009A754E">
        <w:t>A</w:t>
      </w:r>
      <w:r w:rsidR="009A754E" w:rsidRPr="00585AAB">
        <w:t xml:space="preserve">rrangement </w:t>
      </w:r>
      <w:r w:rsidR="0043763D" w:rsidRPr="00585AAB">
        <w:t xml:space="preserve">can only apply to a cost-minimised drug when the drug to which it is cost-minimised also has a </w:t>
      </w:r>
      <w:r w:rsidR="009A754E">
        <w:t>S</w:t>
      </w:r>
      <w:r w:rsidR="009A754E" w:rsidRPr="00585AAB">
        <w:t xml:space="preserve">pecial </w:t>
      </w:r>
      <w:r w:rsidR="009A754E">
        <w:t>P</w:t>
      </w:r>
      <w:r w:rsidR="009A754E" w:rsidRPr="00585AAB">
        <w:t xml:space="preserve">ricing </w:t>
      </w:r>
      <w:r w:rsidR="009A754E">
        <w:t>A</w:t>
      </w:r>
      <w:r w:rsidR="009A754E" w:rsidRPr="00585AAB">
        <w:t>rrangement</w:t>
      </w:r>
      <w:r w:rsidR="0043763D" w:rsidRPr="00585AAB">
        <w:t xml:space="preserve">. Fingolimod and alemtuzumab have special pricing arrangements. Natalizumab does not have a </w:t>
      </w:r>
      <w:r w:rsidR="009A754E">
        <w:t>S</w:t>
      </w:r>
      <w:r w:rsidR="009A754E" w:rsidRPr="00585AAB">
        <w:t xml:space="preserve">pecial </w:t>
      </w:r>
      <w:r w:rsidR="009A754E">
        <w:t>P</w:t>
      </w:r>
      <w:r w:rsidR="009A754E" w:rsidRPr="00585AAB">
        <w:t xml:space="preserve">ricing </w:t>
      </w:r>
      <w:r w:rsidR="009A754E">
        <w:t>A</w:t>
      </w:r>
      <w:r w:rsidR="009A754E" w:rsidRPr="00585AAB">
        <w:t>rrangement</w:t>
      </w:r>
      <w:r w:rsidR="0043763D" w:rsidRPr="00585AAB">
        <w:t xml:space="preserve">. </w:t>
      </w:r>
    </w:p>
    <w:p w:rsidR="00132B4E" w:rsidRPr="00641310" w:rsidRDefault="006F1208" w:rsidP="006F1208">
      <w:pPr>
        <w:pStyle w:val="ESnumberedparablue"/>
        <w:numPr>
          <w:ilvl w:val="0"/>
          <w:numId w:val="0"/>
        </w:numPr>
        <w:rPr>
          <w:i/>
        </w:rPr>
      </w:pPr>
      <w:r w:rsidRPr="00641310">
        <w:rPr>
          <w:i/>
        </w:rPr>
        <w:t>For more detail on PBAC’s view, see section 7 “PBAC outcome”</w:t>
      </w:r>
    </w:p>
    <w:p w:rsidR="00137F8D" w:rsidRPr="00585AAB" w:rsidRDefault="00137F8D" w:rsidP="00DA1B8F">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bookmarkStart w:id="7" w:name="_Toc413139273"/>
      <w:bookmarkStart w:id="8" w:name="_Toc476306883"/>
      <w:bookmarkStart w:id="9" w:name="_Toc482796745"/>
      <w:r w:rsidRPr="00585AAB">
        <w:rPr>
          <w:rFonts w:asciiTheme="minorHAnsi" w:eastAsiaTheme="majorEastAsia" w:hAnsiTheme="minorHAnsi" w:cstheme="majorBidi"/>
          <w:caps w:val="0"/>
          <w:snapToGrid/>
          <w:sz w:val="32"/>
          <w:szCs w:val="28"/>
        </w:rPr>
        <w:t>Background</w:t>
      </w:r>
      <w:bookmarkEnd w:id="7"/>
      <w:bookmarkEnd w:id="8"/>
      <w:bookmarkEnd w:id="9"/>
    </w:p>
    <w:p w:rsidR="00137F8D" w:rsidRPr="00585AAB" w:rsidRDefault="00137F8D" w:rsidP="00DA1B8F">
      <w:pPr>
        <w:widowControl/>
        <w:numPr>
          <w:ilvl w:val="0"/>
          <w:numId w:val="11"/>
        </w:numPr>
        <w:spacing w:before="200" w:after="120"/>
        <w:rPr>
          <w:rFonts w:ascii="Arial Bold" w:hAnsi="Arial Bold"/>
          <w:b/>
          <w:vanish/>
        </w:rPr>
      </w:pPr>
    </w:p>
    <w:p w:rsidR="00B17706" w:rsidRPr="00585AAB" w:rsidRDefault="00B17706" w:rsidP="00B17706">
      <w:pPr>
        <w:pStyle w:val="ESnumberedpara"/>
        <w:numPr>
          <w:ilvl w:val="1"/>
          <w:numId w:val="15"/>
        </w:numPr>
        <w:rPr>
          <w:rFonts w:asciiTheme="minorHAnsi" w:hAnsiTheme="minorHAnsi"/>
          <w:sz w:val="24"/>
        </w:rPr>
      </w:pPr>
      <w:r w:rsidRPr="00585AAB">
        <w:rPr>
          <w:rFonts w:asciiTheme="minorHAnsi" w:hAnsiTheme="minorHAnsi"/>
          <w:sz w:val="24"/>
        </w:rPr>
        <w:t>Ocrelizumab was submitted under the TGA/PBAC parallel process. The proposed TGA indication is for:</w:t>
      </w:r>
    </w:p>
    <w:p w:rsidR="00B17706" w:rsidRPr="00585AAB" w:rsidRDefault="00B17706" w:rsidP="00281D8E">
      <w:pPr>
        <w:pStyle w:val="ESnumberedpara"/>
        <w:ind w:left="1134" w:firstLine="0"/>
        <w:rPr>
          <w:rFonts w:asciiTheme="minorHAnsi" w:hAnsiTheme="minorHAnsi"/>
          <w:sz w:val="24"/>
        </w:rPr>
      </w:pPr>
      <w:r w:rsidRPr="00585AAB">
        <w:rPr>
          <w:rFonts w:asciiTheme="minorHAnsi" w:hAnsiTheme="minorHAnsi"/>
          <w:sz w:val="24"/>
        </w:rPr>
        <w:lastRenderedPageBreak/>
        <w:t>The treatment of patients with relapsing forms of multiple sclerosis (RMS) to suppress relapses and disease progression (clinical and subclinical disease activity)</w:t>
      </w:r>
      <w:r w:rsidR="00F7785A" w:rsidRPr="00585AAB">
        <w:rPr>
          <w:rFonts w:asciiTheme="minorHAnsi" w:hAnsiTheme="minorHAnsi"/>
          <w:sz w:val="24"/>
        </w:rPr>
        <w:t>.</w:t>
      </w:r>
    </w:p>
    <w:p w:rsidR="00B17706" w:rsidRPr="00585AAB" w:rsidRDefault="00B17706" w:rsidP="00281D8E">
      <w:pPr>
        <w:pStyle w:val="ESnumberedpara"/>
        <w:ind w:left="1134" w:firstLine="0"/>
        <w:rPr>
          <w:rFonts w:asciiTheme="minorHAnsi" w:hAnsiTheme="minorHAnsi"/>
          <w:sz w:val="24"/>
        </w:rPr>
      </w:pPr>
      <w:r w:rsidRPr="00585AAB">
        <w:rPr>
          <w:rFonts w:asciiTheme="minorHAnsi" w:hAnsiTheme="minorHAnsi"/>
          <w:sz w:val="24"/>
        </w:rPr>
        <w:t xml:space="preserve">The treatment of patients with primary progressive multiple sclerosis (PPMS) to delay disease progression and reduce </w:t>
      </w:r>
      <w:r w:rsidR="00281D8E" w:rsidRPr="00585AAB">
        <w:rPr>
          <w:rFonts w:asciiTheme="minorHAnsi" w:hAnsiTheme="minorHAnsi"/>
          <w:sz w:val="24"/>
        </w:rPr>
        <w:t>deterioration in walking speed.</w:t>
      </w:r>
    </w:p>
    <w:p w:rsidR="007C7269" w:rsidRPr="00585AAB" w:rsidRDefault="002422C5" w:rsidP="007C7269">
      <w:pPr>
        <w:pStyle w:val="ESnumberedpara"/>
        <w:numPr>
          <w:ilvl w:val="1"/>
          <w:numId w:val="15"/>
        </w:numPr>
        <w:rPr>
          <w:rFonts w:asciiTheme="minorHAnsi" w:hAnsiTheme="minorHAnsi"/>
          <w:sz w:val="24"/>
        </w:rPr>
      </w:pPr>
      <w:r w:rsidRPr="00585AAB">
        <w:rPr>
          <w:rFonts w:asciiTheme="minorHAnsi" w:hAnsiTheme="minorHAnsi"/>
          <w:sz w:val="24"/>
        </w:rPr>
        <w:t xml:space="preserve">TGA Status at time of PBAC consideration: The second round TGA clinical evaluation report and Delegate’s Request for ACM advice were available at </w:t>
      </w:r>
      <w:r w:rsidR="00AB73D2" w:rsidRPr="00585AAB">
        <w:rPr>
          <w:rFonts w:asciiTheme="minorHAnsi" w:hAnsiTheme="minorHAnsi"/>
          <w:sz w:val="24"/>
        </w:rPr>
        <w:t xml:space="preserve">the </w:t>
      </w:r>
      <w:r w:rsidRPr="00585AAB">
        <w:rPr>
          <w:rFonts w:asciiTheme="minorHAnsi" w:hAnsiTheme="minorHAnsi"/>
          <w:sz w:val="24"/>
        </w:rPr>
        <w:t>time of PBAC consideration.</w:t>
      </w:r>
    </w:p>
    <w:p w:rsidR="00137F8D" w:rsidRPr="00585AAB" w:rsidRDefault="00B17706" w:rsidP="00281D8E">
      <w:pPr>
        <w:pStyle w:val="ESnumberedpara"/>
        <w:numPr>
          <w:ilvl w:val="1"/>
          <w:numId w:val="15"/>
        </w:numPr>
        <w:rPr>
          <w:rFonts w:asciiTheme="minorHAnsi" w:hAnsiTheme="minorHAnsi"/>
          <w:sz w:val="24"/>
        </w:rPr>
      </w:pPr>
      <w:r w:rsidRPr="00585AAB">
        <w:rPr>
          <w:rFonts w:asciiTheme="minorHAnsi" w:hAnsiTheme="minorHAnsi"/>
          <w:sz w:val="24"/>
        </w:rPr>
        <w:t>The PBAC has not previously considered ocrelizumab.</w:t>
      </w:r>
    </w:p>
    <w:p w:rsidR="00415825" w:rsidRPr="00585AAB" w:rsidRDefault="00415825" w:rsidP="00415825">
      <w:pPr>
        <w:pStyle w:val="ESnumberedpara"/>
        <w:numPr>
          <w:ilvl w:val="1"/>
          <w:numId w:val="15"/>
        </w:numPr>
        <w:rPr>
          <w:rFonts w:asciiTheme="minorHAnsi" w:hAnsiTheme="minorHAnsi"/>
          <w:sz w:val="24"/>
        </w:rPr>
      </w:pPr>
      <w:r w:rsidRPr="00585AAB">
        <w:rPr>
          <w:rFonts w:asciiTheme="minorHAnsi" w:hAnsiTheme="minorHAnsi"/>
          <w:sz w:val="24"/>
        </w:rPr>
        <w:t>Other PBS listed drugs for the treatment of RRMS include subcutaneous and intramuscular forms of interferon (IFN) β-1a, IFN β-1b, glatiramer acetate, pegylated IFN β 1a (Peg-IFN β-1a), dimethyl fumarate (DMF), teriflunomide, fingolimod, natalizumab and alemtuzumab and daclizumab. Older treatments for RRMS</w:t>
      </w:r>
      <w:r w:rsidR="00135550" w:rsidRPr="00585AAB">
        <w:rPr>
          <w:rFonts w:asciiTheme="minorHAnsi" w:hAnsiTheme="minorHAnsi"/>
          <w:sz w:val="24"/>
        </w:rPr>
        <w:t>, including both forms of IFN β-</w:t>
      </w:r>
      <w:r w:rsidRPr="00585AAB">
        <w:rPr>
          <w:rFonts w:asciiTheme="minorHAnsi" w:hAnsiTheme="minorHAnsi"/>
          <w:sz w:val="24"/>
        </w:rPr>
        <w:t xml:space="preserve">1a, IFN </w:t>
      </w:r>
      <w:r w:rsidR="00135550" w:rsidRPr="00585AAB">
        <w:rPr>
          <w:rFonts w:asciiTheme="minorHAnsi" w:hAnsiTheme="minorHAnsi"/>
          <w:sz w:val="24"/>
        </w:rPr>
        <w:t>β-</w:t>
      </w:r>
      <w:r w:rsidRPr="00585AAB">
        <w:rPr>
          <w:rFonts w:asciiTheme="minorHAnsi" w:hAnsiTheme="minorHAnsi"/>
          <w:sz w:val="24"/>
        </w:rPr>
        <w:t>1b and glatiramer acetate are often termed ‘ABCR’ or ‘BRACE’ therapies.</w:t>
      </w:r>
    </w:p>
    <w:p w:rsidR="00137F8D" w:rsidRPr="00585AAB" w:rsidRDefault="00137F8D" w:rsidP="00DA1B8F">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bookmarkStart w:id="10" w:name="_Toc476306884"/>
      <w:bookmarkStart w:id="11" w:name="_Toc482796746"/>
      <w:r w:rsidRPr="00585AAB">
        <w:rPr>
          <w:rFonts w:asciiTheme="minorHAnsi" w:eastAsiaTheme="majorEastAsia" w:hAnsiTheme="minorHAnsi" w:cstheme="majorBidi"/>
          <w:caps w:val="0"/>
          <w:snapToGrid/>
          <w:sz w:val="32"/>
          <w:szCs w:val="28"/>
        </w:rPr>
        <w:t>Population and disease</w:t>
      </w:r>
      <w:bookmarkEnd w:id="10"/>
      <w:bookmarkEnd w:id="11"/>
    </w:p>
    <w:p w:rsidR="00137F8D" w:rsidRPr="00585AAB" w:rsidRDefault="00137F8D" w:rsidP="00DA1B8F">
      <w:pPr>
        <w:widowControl/>
        <w:numPr>
          <w:ilvl w:val="0"/>
          <w:numId w:val="11"/>
        </w:numPr>
        <w:spacing w:before="200" w:after="120"/>
        <w:rPr>
          <w:b/>
          <w:vanish/>
        </w:rPr>
      </w:pPr>
    </w:p>
    <w:p w:rsidR="00137F8D" w:rsidRPr="00585AAB" w:rsidRDefault="00082ABB" w:rsidP="006F1208">
      <w:pPr>
        <w:pStyle w:val="ESnumberedparablue"/>
      </w:pPr>
      <w:r w:rsidRPr="00585AAB">
        <w:t>Multiple sclerosis is a progressive, chronic, autoimmune disease of the central nervous system in which the myelin sheath protecting axons is damaged resulting in distorted nerve signals and pathways. Multiple sclerosis is associated with a complex range of symptoms including visual disturbance, fatigue, pain, reduced mobility and coordination, cognitive impairment and mood changes.</w:t>
      </w:r>
    </w:p>
    <w:p w:rsidR="00137F8D" w:rsidRPr="00585AAB" w:rsidRDefault="00082ABB" w:rsidP="006F1208">
      <w:pPr>
        <w:pStyle w:val="ESnumberedparablue"/>
      </w:pPr>
      <w:r w:rsidRPr="00585AAB">
        <w:t>The submission position</w:t>
      </w:r>
      <w:r w:rsidR="00281D8E" w:rsidRPr="00585AAB">
        <w:t>s</w:t>
      </w:r>
      <w:r w:rsidRPr="00585AAB">
        <w:t xml:space="preserve"> ocrelizumab as a first-line alternative to fingolimod, natalizumab and alemtuzumab</w:t>
      </w:r>
      <w:r w:rsidR="00931696" w:rsidRPr="00585AAB">
        <w:t xml:space="preserve"> for RRMS </w:t>
      </w:r>
      <w:r w:rsidRPr="00585AAB">
        <w:t>in patients with moderate to high disease activity as well as a second-line alternative to these agents after failure of other disease modifying therapies in patients with mild disease activity</w:t>
      </w:r>
      <w:r w:rsidR="00281D8E" w:rsidRPr="00585AAB">
        <w:t>.</w:t>
      </w:r>
    </w:p>
    <w:p w:rsidR="00137F8D" w:rsidRPr="00585AAB" w:rsidRDefault="00137F8D" w:rsidP="00DA1B8F">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bookmarkStart w:id="12" w:name="_Toc413139275"/>
      <w:bookmarkStart w:id="13" w:name="_Toc476306885"/>
      <w:bookmarkStart w:id="14" w:name="_Toc482796747"/>
      <w:r w:rsidRPr="00585AAB">
        <w:rPr>
          <w:rFonts w:asciiTheme="minorHAnsi" w:eastAsiaTheme="majorEastAsia" w:hAnsiTheme="minorHAnsi" w:cstheme="majorBidi"/>
          <w:caps w:val="0"/>
          <w:snapToGrid/>
          <w:sz w:val="32"/>
          <w:szCs w:val="28"/>
        </w:rPr>
        <w:t>Comparator</w:t>
      </w:r>
      <w:bookmarkEnd w:id="12"/>
      <w:bookmarkEnd w:id="13"/>
      <w:bookmarkEnd w:id="14"/>
    </w:p>
    <w:p w:rsidR="00137F8D" w:rsidRPr="00585AAB" w:rsidRDefault="00137F8D" w:rsidP="00DA1B8F">
      <w:pPr>
        <w:widowControl/>
        <w:numPr>
          <w:ilvl w:val="0"/>
          <w:numId w:val="11"/>
        </w:numPr>
        <w:spacing w:before="200" w:after="120"/>
        <w:rPr>
          <w:b/>
          <w:vanish/>
        </w:rPr>
      </w:pPr>
    </w:p>
    <w:p w:rsidR="003B4CD3" w:rsidRPr="00585AAB" w:rsidRDefault="003B4CD3" w:rsidP="006F1208">
      <w:pPr>
        <w:pStyle w:val="ESnumberedparablue"/>
      </w:pPr>
      <w:r w:rsidRPr="00585AAB">
        <w:t xml:space="preserve">The submission nominated fingolimod, natalizumab and alemtuzumab as the main comparators. </w:t>
      </w:r>
      <w:r w:rsidR="00CF50EE" w:rsidRPr="00585AAB">
        <w:t xml:space="preserve">The main argument provided in support of this nomination is that ocrelizumab is a high efficacy treatment and is therefore most likely to replace other treatments used for patients with moderate to high disease activity. </w:t>
      </w:r>
    </w:p>
    <w:p w:rsidR="00891E27" w:rsidRPr="00585AAB" w:rsidRDefault="00137F8D" w:rsidP="006F1208">
      <w:pPr>
        <w:pStyle w:val="ESnumberedparablue"/>
      </w:pPr>
      <w:r w:rsidRPr="00585AAB">
        <w:t xml:space="preserve">For the requested population, </w:t>
      </w:r>
      <w:r w:rsidR="00FA1317" w:rsidRPr="00585AAB">
        <w:t xml:space="preserve">numerous PBS medicines </w:t>
      </w:r>
      <w:r w:rsidR="00585AAB">
        <w:t xml:space="preserve">could be displaced </w:t>
      </w:r>
      <w:r w:rsidR="00FA1317" w:rsidRPr="00585AAB">
        <w:t xml:space="preserve">in practice. </w:t>
      </w:r>
    </w:p>
    <w:p w:rsidR="00891E27" w:rsidRPr="00585AAB" w:rsidRDefault="00415825" w:rsidP="006F1208">
      <w:pPr>
        <w:pStyle w:val="ESnumberedparablue"/>
      </w:pPr>
      <w:r w:rsidRPr="00585AAB">
        <w:lastRenderedPageBreak/>
        <w:t>Interferon beta-1b has the lowest cost (as the result of a statutory price reduction), whilst the remaining ABCR/BRACE therapies, dimethyl fumarate and teriflunomide were all listed on a cost-minimisa</w:t>
      </w:r>
      <w:r w:rsidR="00D51F66" w:rsidRPr="00585AAB">
        <w:t>tion basis with interferon beta</w:t>
      </w:r>
      <w:r w:rsidRPr="00585AAB">
        <w:t xml:space="preserve">. </w:t>
      </w:r>
      <w:r w:rsidR="00891E27" w:rsidRPr="00585AAB">
        <w:t>Randomised head-to-head trials were presented in the submission demonstrating statistically significant reductions in relapse rate and progression of disability with ocrelizumab compared with SC interferon beta-1a</w:t>
      </w:r>
      <w:r w:rsidR="00857BF6" w:rsidRPr="00585AAB">
        <w:t xml:space="preserve"> (see section 6 below)</w:t>
      </w:r>
      <w:r w:rsidR="00891E27" w:rsidRPr="00585AAB">
        <w:t>.</w:t>
      </w:r>
    </w:p>
    <w:p w:rsidR="00891E27" w:rsidRPr="00585AAB" w:rsidRDefault="00A116D6" w:rsidP="006F1208">
      <w:pPr>
        <w:pStyle w:val="ESnumberedparablue"/>
      </w:pPr>
      <w:r w:rsidRPr="00585AAB">
        <w:t>Natalizumab</w:t>
      </w:r>
      <w:r w:rsidR="00891E27" w:rsidRPr="00585AAB">
        <w:t xml:space="preserve"> and fingolimod</w:t>
      </w:r>
      <w:r w:rsidRPr="00585AAB">
        <w:t xml:space="preserve"> </w:t>
      </w:r>
      <w:r w:rsidR="00891E27" w:rsidRPr="00585AAB">
        <w:t>were</w:t>
      </w:r>
      <w:r w:rsidR="0010143A" w:rsidRPr="00585AAB">
        <w:t xml:space="preserve"> listed on a cost-effectiveness basis with interferon beta. Alemtuzumab was listed on a cost-minimisation basis with fingolimod and natalizumab.</w:t>
      </w:r>
      <w:r w:rsidR="00857BF6" w:rsidRPr="00585AAB">
        <w:t xml:space="preserve"> Fingolimod and alemtuzumab have </w:t>
      </w:r>
      <w:r w:rsidR="009A754E">
        <w:t>S</w:t>
      </w:r>
      <w:r w:rsidR="009A754E" w:rsidRPr="00585AAB">
        <w:t xml:space="preserve">pecial </w:t>
      </w:r>
      <w:r w:rsidR="009A754E">
        <w:t>P</w:t>
      </w:r>
      <w:r w:rsidR="009A754E" w:rsidRPr="00585AAB">
        <w:t xml:space="preserve">ricing </w:t>
      </w:r>
      <w:r w:rsidR="009A754E">
        <w:t>A</w:t>
      </w:r>
      <w:r w:rsidR="009A754E" w:rsidRPr="00585AAB">
        <w:t>rrangements</w:t>
      </w:r>
      <w:r w:rsidR="00857BF6" w:rsidRPr="00585AAB">
        <w:t xml:space="preserve">. Natalizumab does not have a </w:t>
      </w:r>
      <w:r w:rsidR="009A754E">
        <w:t>S</w:t>
      </w:r>
      <w:r w:rsidR="009A754E" w:rsidRPr="00585AAB">
        <w:t xml:space="preserve">pecial </w:t>
      </w:r>
      <w:r w:rsidR="009A754E">
        <w:t>P</w:t>
      </w:r>
      <w:r w:rsidR="009A754E" w:rsidRPr="00585AAB">
        <w:t xml:space="preserve">ricing </w:t>
      </w:r>
      <w:r w:rsidR="009A754E">
        <w:t>A</w:t>
      </w:r>
      <w:r w:rsidR="009A754E" w:rsidRPr="00585AAB">
        <w:t>rrangement</w:t>
      </w:r>
      <w:r w:rsidR="00857BF6" w:rsidRPr="00585AAB">
        <w:t>.</w:t>
      </w:r>
      <w:r w:rsidR="0010143A" w:rsidRPr="00585AAB">
        <w:t xml:space="preserve"> </w:t>
      </w:r>
    </w:p>
    <w:p w:rsidR="008E65CA" w:rsidRPr="00585AAB" w:rsidRDefault="00857BF6" w:rsidP="006F1208">
      <w:pPr>
        <w:pStyle w:val="ESnumberedparablue"/>
      </w:pPr>
      <w:r w:rsidRPr="00585AAB">
        <w:t>The submission did not consider daclizumab as a potential comparator.</w:t>
      </w:r>
      <w:r w:rsidR="003D1C4C" w:rsidRPr="00585AAB">
        <w:t xml:space="preserve"> Daclizumab was listed on the PBS on 1 May 2017. The recommendation for listing was on the basis that the presented direct comparison of IM interferon β-1a and indirect comparisons of daclizumab and fingolimod supported a conclusion that daclizumab is likely to be superior to interferon beta-1a and may be non-inferior to fingolimod with regard to comparative efficacy, but may be inferior to interferon beta-1a with regard to comparative safety. </w:t>
      </w:r>
      <w:r w:rsidR="00A60B73" w:rsidRPr="00585AAB">
        <w:t>The PBAC recommended that although the superior comparative efficacy over IFN β-1a justified the cost of daclizumab per patient per course being higher than IFN β-1a, there were insufficient grounds for the cost per patient per course to be as high as fingolimod because of the substantial uncertainty about the indirect comparisons with fingolimod.</w:t>
      </w:r>
    </w:p>
    <w:p w:rsidR="00D41AE0" w:rsidRPr="00585AAB" w:rsidRDefault="00D41AE0" w:rsidP="006F1208">
      <w:pPr>
        <w:pStyle w:val="ESnumberedparablue"/>
      </w:pPr>
      <w:r w:rsidRPr="00585AAB">
        <w:t xml:space="preserve">The submission claimed early use of ocrelizumab and therefore significant substitution of low to moderate efficacy agents, will not occur until clinicians gain more experience and confidence with the product. The ESC </w:t>
      </w:r>
      <w:r w:rsidR="003922A4" w:rsidRPr="00585AAB">
        <w:t>considered given</w:t>
      </w:r>
      <w:r w:rsidR="00BE6AC7" w:rsidRPr="00585AAB">
        <w:t xml:space="preserve"> </w:t>
      </w:r>
      <w:r w:rsidR="003922A4" w:rsidRPr="00585AAB">
        <w:t xml:space="preserve">the </w:t>
      </w:r>
      <w:r w:rsidR="00BE6AC7" w:rsidRPr="00585AAB">
        <w:t>superior efficacy and similar overall incidence of adverse events</w:t>
      </w:r>
      <w:r w:rsidR="003922A4" w:rsidRPr="00585AAB">
        <w:t xml:space="preserve"> with ocrelizumab</w:t>
      </w:r>
      <w:r w:rsidR="00BE6AC7" w:rsidRPr="00585AAB">
        <w:t xml:space="preserve"> compared with SC interferon beta-1a</w:t>
      </w:r>
      <w:r w:rsidRPr="00585AAB">
        <w:t xml:space="preserve">, and convenience in administration (twice a year), it is likely that </w:t>
      </w:r>
      <w:r w:rsidR="003922A4" w:rsidRPr="00585AAB">
        <w:t>ocrelizumab</w:t>
      </w:r>
      <w:r w:rsidRPr="00585AAB">
        <w:t xml:space="preserve"> will replace </w:t>
      </w:r>
      <w:r w:rsidR="003922A4" w:rsidRPr="00585AAB">
        <w:t>ABCR/BRACE therapies in addition to high efficacy treatments</w:t>
      </w:r>
      <w:r w:rsidRPr="00585AAB">
        <w:t xml:space="preserve">. </w:t>
      </w:r>
    </w:p>
    <w:p w:rsidR="0010659A" w:rsidRPr="00585AAB" w:rsidRDefault="0010659A" w:rsidP="00240DF3">
      <w:pPr>
        <w:pStyle w:val="ESnumberedparablue"/>
      </w:pPr>
      <w:r w:rsidRPr="00585AAB">
        <w:t xml:space="preserve">The pre-PBAC response (p1) </w:t>
      </w:r>
      <w:r w:rsidR="00240DF3" w:rsidRPr="00585AAB">
        <w:t xml:space="preserve">stated that a small proportion (5%) of substitution of other RRMS therapies (glatiramer acetate, dimethyl </w:t>
      </w:r>
      <w:r w:rsidR="00CA200E" w:rsidRPr="00585AAB">
        <w:t>fumarate</w:t>
      </w:r>
      <w:r w:rsidR="00240DF3" w:rsidRPr="00585AAB">
        <w:t>, teriflunomide, pegylated interferon beta 1a) were included in the budget impact estimates. The pre-PBAC response (p1-2) argued that due to the decline in use of interferon beta 1a subcutaneous and intramuscular, and interferon beta 1b, no patients are projected to receive these therapies in the first five years of the ocrelizumab PBS listing.</w:t>
      </w:r>
    </w:p>
    <w:p w:rsidR="00240DF3" w:rsidRPr="00585AAB" w:rsidRDefault="00240DF3" w:rsidP="00240DF3">
      <w:pPr>
        <w:pStyle w:val="ESnumberedparablue"/>
      </w:pPr>
      <w:r w:rsidRPr="00585AAB">
        <w:t>The PBAC considered that the decline in use of the older ABCR/BRACE therapies may be in part attributed to the availability of newer higher efficacy therapies, of which ocrelizumab represents an additional treatment option.</w:t>
      </w:r>
      <w:r w:rsidR="006B03B0" w:rsidRPr="00585AAB">
        <w:t xml:space="preserve"> The PBAC therefore agreed with the ESC that ocrelizumab will likely replace ABCR/BRACE therapies in addition to high efficacy treatments.</w:t>
      </w:r>
    </w:p>
    <w:p w:rsidR="006F1208" w:rsidRPr="00641310" w:rsidRDefault="006F1208" w:rsidP="006F1208">
      <w:pPr>
        <w:pStyle w:val="ESnumberedparablue"/>
        <w:numPr>
          <w:ilvl w:val="0"/>
          <w:numId w:val="0"/>
        </w:numPr>
        <w:rPr>
          <w:i/>
        </w:rPr>
      </w:pPr>
      <w:r w:rsidRPr="00641310">
        <w:rPr>
          <w:i/>
        </w:rPr>
        <w:t>For more detail on PBAC’s view, see section 7 “PBAC outcome”</w:t>
      </w:r>
    </w:p>
    <w:p w:rsidR="00137F8D" w:rsidRPr="00585AAB" w:rsidRDefault="00137F8D" w:rsidP="00DA1B8F">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bookmarkStart w:id="15" w:name="_Toc413139276"/>
      <w:bookmarkStart w:id="16" w:name="_Toc476306886"/>
      <w:bookmarkStart w:id="17" w:name="_Toc482796748"/>
      <w:r w:rsidRPr="00585AAB">
        <w:rPr>
          <w:rFonts w:asciiTheme="minorHAnsi" w:eastAsiaTheme="majorEastAsia" w:hAnsiTheme="minorHAnsi" w:cstheme="majorBidi"/>
          <w:caps w:val="0"/>
          <w:snapToGrid/>
          <w:sz w:val="32"/>
          <w:szCs w:val="28"/>
        </w:rPr>
        <w:lastRenderedPageBreak/>
        <w:t>Consideration of the evidence</w:t>
      </w:r>
      <w:bookmarkEnd w:id="15"/>
      <w:bookmarkEnd w:id="16"/>
      <w:bookmarkEnd w:id="17"/>
    </w:p>
    <w:p w:rsidR="006F1208" w:rsidRPr="00585AAB" w:rsidRDefault="006F1208" w:rsidP="00EC05CE">
      <w:pPr>
        <w:pStyle w:val="Heading2"/>
        <w:keepNext/>
        <w:keepLines/>
        <w:widowControl/>
        <w:spacing w:before="240" w:after="120"/>
        <w:rPr>
          <w:rFonts w:asciiTheme="minorHAnsi" w:eastAsiaTheme="majorEastAsia" w:hAnsiTheme="minorHAnsi" w:cstheme="majorBidi"/>
          <w:i/>
          <w:snapToGrid/>
          <w:sz w:val="28"/>
          <w:szCs w:val="28"/>
        </w:rPr>
      </w:pPr>
      <w:bookmarkStart w:id="18" w:name="_Toc413139277"/>
      <w:bookmarkStart w:id="19" w:name="_Toc476306887"/>
      <w:bookmarkStart w:id="20" w:name="_Toc482796749"/>
      <w:r w:rsidRPr="00585AAB">
        <w:rPr>
          <w:rFonts w:asciiTheme="minorHAnsi" w:eastAsiaTheme="majorEastAsia" w:hAnsiTheme="minorHAnsi" w:cstheme="majorBidi"/>
          <w:i/>
          <w:snapToGrid/>
          <w:sz w:val="28"/>
          <w:szCs w:val="28"/>
        </w:rPr>
        <w:t>Sponsor hearing</w:t>
      </w:r>
    </w:p>
    <w:p w:rsidR="006F1208" w:rsidRPr="00585AAB" w:rsidRDefault="006F1208" w:rsidP="006F1208">
      <w:pPr>
        <w:pStyle w:val="ListParagraph"/>
        <w:widowControl/>
        <w:numPr>
          <w:ilvl w:val="0"/>
          <w:numId w:val="11"/>
        </w:numPr>
        <w:spacing w:before="120" w:after="160"/>
        <w:contextualSpacing w:val="0"/>
        <w:rPr>
          <w:rFonts w:asciiTheme="minorHAnsi" w:eastAsiaTheme="minorHAnsi" w:hAnsiTheme="minorHAnsi" w:cstheme="minorBidi"/>
          <w:snapToGrid/>
          <w:vanish/>
          <w:color w:val="000000" w:themeColor="text1"/>
          <w:sz w:val="24"/>
          <w:szCs w:val="24"/>
        </w:rPr>
      </w:pPr>
    </w:p>
    <w:p w:rsidR="006F1208" w:rsidRPr="00585AAB" w:rsidRDefault="00EC05CE" w:rsidP="006F1208">
      <w:pPr>
        <w:pStyle w:val="ESnumberedparablue"/>
      </w:pPr>
      <w:r w:rsidRPr="00585AAB">
        <w:t>There was no hearing for this item.</w:t>
      </w:r>
    </w:p>
    <w:p w:rsidR="006F1208" w:rsidRPr="00585AAB" w:rsidRDefault="006F1208" w:rsidP="00EC05CE">
      <w:pPr>
        <w:pStyle w:val="Heading2"/>
        <w:keepNext/>
        <w:keepLines/>
        <w:widowControl/>
        <w:spacing w:before="240" w:after="120"/>
        <w:rPr>
          <w:rFonts w:asciiTheme="minorHAnsi" w:eastAsiaTheme="majorEastAsia" w:hAnsiTheme="minorHAnsi" w:cstheme="majorBidi"/>
          <w:i/>
          <w:snapToGrid/>
          <w:sz w:val="28"/>
          <w:szCs w:val="28"/>
        </w:rPr>
      </w:pPr>
      <w:r w:rsidRPr="00585AAB">
        <w:rPr>
          <w:rFonts w:asciiTheme="minorHAnsi" w:eastAsiaTheme="majorEastAsia" w:hAnsiTheme="minorHAnsi" w:cstheme="majorBidi"/>
          <w:i/>
          <w:snapToGrid/>
          <w:sz w:val="28"/>
          <w:szCs w:val="28"/>
        </w:rPr>
        <w:t>Consumer comments</w:t>
      </w:r>
    </w:p>
    <w:p w:rsidR="006F1208" w:rsidRPr="00585AAB" w:rsidRDefault="006F1208" w:rsidP="006F1208">
      <w:pPr>
        <w:pStyle w:val="ESnumberedparablue"/>
      </w:pPr>
      <w:r w:rsidRPr="00585AAB">
        <w:t>The PBAC noted and welcomed the input from individuals (</w:t>
      </w:r>
      <w:r w:rsidR="00382579" w:rsidRPr="00585AAB">
        <w:t>10</w:t>
      </w:r>
      <w:r w:rsidRPr="00585AAB">
        <w:t>), and organisations (</w:t>
      </w:r>
      <w:r w:rsidR="00382579" w:rsidRPr="00585AAB">
        <w:t>2</w:t>
      </w:r>
      <w:r w:rsidRPr="00585AAB">
        <w:t xml:space="preserve">) via the Consumer Comments facility on the PBS website.  The comments described a range of benefits of treatment with </w:t>
      </w:r>
      <w:r w:rsidR="00382579" w:rsidRPr="00585AAB">
        <w:t>ocrelizumab, including the</w:t>
      </w:r>
      <w:r w:rsidR="00095ED1" w:rsidRPr="00585AAB">
        <w:t xml:space="preserve"> ability </w:t>
      </w:r>
      <w:r w:rsidR="001D14F7" w:rsidRPr="00585AAB">
        <w:t>to continue paid employment,</w:t>
      </w:r>
      <w:r w:rsidR="00095ED1" w:rsidRPr="00585AAB">
        <w:t xml:space="preserve"> </w:t>
      </w:r>
      <w:r w:rsidR="001D14F7" w:rsidRPr="00585AAB">
        <w:t xml:space="preserve">a reduction in disability progression and </w:t>
      </w:r>
      <w:r w:rsidR="00095ED1" w:rsidRPr="00585AAB">
        <w:t>the</w:t>
      </w:r>
      <w:r w:rsidR="00382579" w:rsidRPr="00585AAB">
        <w:t xml:space="preserve"> advantages of an effective new treatment</w:t>
      </w:r>
      <w:r w:rsidR="00854D21" w:rsidRPr="00585AAB">
        <w:t xml:space="preserve"> option for multiple sclerosis</w:t>
      </w:r>
      <w:r w:rsidR="00382579" w:rsidRPr="00585AAB">
        <w:t xml:space="preserve"> with fewer </w:t>
      </w:r>
      <w:r w:rsidR="001D14F7" w:rsidRPr="00585AAB">
        <w:t>side effects</w:t>
      </w:r>
      <w:r w:rsidR="00382579" w:rsidRPr="00585AAB">
        <w:t>.</w:t>
      </w:r>
      <w:r w:rsidRPr="00585AAB">
        <w:t xml:space="preserve"> </w:t>
      </w:r>
    </w:p>
    <w:p w:rsidR="006F1208" w:rsidRPr="00585AAB" w:rsidRDefault="006B5E61" w:rsidP="006B5E61">
      <w:pPr>
        <w:pStyle w:val="ESnumberedparablue"/>
      </w:pPr>
      <w:r w:rsidRPr="00585AAB">
        <w:t>The PBAC noted input</w:t>
      </w:r>
      <w:r w:rsidR="006F1208" w:rsidRPr="00585AAB">
        <w:t xml:space="preserve"> received from </w:t>
      </w:r>
      <w:r w:rsidR="001D14F7" w:rsidRPr="00585AAB">
        <w:t>M</w:t>
      </w:r>
      <w:r w:rsidR="0010659A" w:rsidRPr="00585AAB">
        <w:t>S</w:t>
      </w:r>
      <w:r w:rsidR="00382579" w:rsidRPr="00585AAB">
        <w:t xml:space="preserve"> Australia and MS Research Australia </w:t>
      </w:r>
      <w:r w:rsidRPr="00585AAB">
        <w:t xml:space="preserve">in support of </w:t>
      </w:r>
      <w:r w:rsidR="00CA200E" w:rsidRPr="00585AAB">
        <w:t>subsidi</w:t>
      </w:r>
      <w:r w:rsidR="00CA200E">
        <w:t>s</w:t>
      </w:r>
      <w:r w:rsidR="00CA200E" w:rsidRPr="00585AAB">
        <w:t xml:space="preserve">ing </w:t>
      </w:r>
      <w:r w:rsidR="00382579" w:rsidRPr="00585AAB">
        <w:t>ocrelizumab</w:t>
      </w:r>
      <w:r w:rsidR="006F1208" w:rsidRPr="00585AAB">
        <w:t xml:space="preserve"> </w:t>
      </w:r>
      <w:r w:rsidRPr="00585AAB">
        <w:t>through</w:t>
      </w:r>
      <w:r w:rsidR="001D14F7" w:rsidRPr="00585AAB">
        <w:t xml:space="preserve"> the PBS</w:t>
      </w:r>
      <w:r w:rsidR="006F1208" w:rsidRPr="00585AAB">
        <w:t xml:space="preserve">.  </w:t>
      </w:r>
      <w:r w:rsidRPr="00585AAB">
        <w:t xml:space="preserve">The organisations highlighted the significance of a new effective treatment option for multiple sclerosis, which will allow increased choice for patients and clinicians. </w:t>
      </w:r>
      <w:r w:rsidR="00382579" w:rsidRPr="00585AAB">
        <w:t>The organisations also noted the favourable</w:t>
      </w:r>
      <w:r w:rsidRPr="00585AAB">
        <w:t xml:space="preserve"> safety</w:t>
      </w:r>
      <w:r w:rsidR="00382579" w:rsidRPr="00585AAB">
        <w:t xml:space="preserve"> profile of ocreliz</w:t>
      </w:r>
      <w:r w:rsidRPr="00585AAB">
        <w:t>umab compared to some existing PBS medicines for multiple sclerosis</w:t>
      </w:r>
      <w:r w:rsidR="00382579" w:rsidRPr="00585AAB">
        <w:t xml:space="preserve">. </w:t>
      </w:r>
    </w:p>
    <w:p w:rsidR="006F20B6" w:rsidRPr="00585AAB" w:rsidRDefault="006F20B6" w:rsidP="006F20B6">
      <w:pPr>
        <w:pStyle w:val="ESnumberedparablue"/>
        <w:spacing w:before="0" w:after="0"/>
        <w:contextualSpacing/>
      </w:pPr>
      <w:r w:rsidRPr="00585AAB">
        <w:t xml:space="preserve">Representatives of the PBAC met with </w:t>
      </w:r>
      <w:r w:rsidR="0010659A" w:rsidRPr="00585AAB">
        <w:t>MS</w:t>
      </w:r>
      <w:r w:rsidRPr="00585AAB">
        <w:t xml:space="preserve"> Australia prior to the PBAC meeting. The following points provide a summary of the perspectives presented by </w:t>
      </w:r>
      <w:r w:rsidR="00452427" w:rsidRPr="00585AAB">
        <w:t>MS</w:t>
      </w:r>
      <w:r w:rsidRPr="00585AAB">
        <w:t xml:space="preserve"> Australia to the PBAC representatives:</w:t>
      </w:r>
    </w:p>
    <w:p w:rsidR="006F20B6" w:rsidRPr="00585AAB" w:rsidRDefault="006F20B6" w:rsidP="006F20B6">
      <w:pPr>
        <w:pStyle w:val="ESnumberedparablue"/>
        <w:numPr>
          <w:ilvl w:val="0"/>
          <w:numId w:val="43"/>
        </w:numPr>
        <w:spacing w:before="0" w:after="0"/>
        <w:contextualSpacing/>
      </w:pPr>
      <w:r w:rsidRPr="00585AAB">
        <w:t>Ocrelizumab represents an additional treatment option for patients with RRMS.</w:t>
      </w:r>
    </w:p>
    <w:p w:rsidR="006F20B6" w:rsidRPr="00585AAB" w:rsidRDefault="006F20B6" w:rsidP="006F20B6">
      <w:pPr>
        <w:pStyle w:val="ListParagraph"/>
        <w:widowControl/>
        <w:numPr>
          <w:ilvl w:val="0"/>
          <w:numId w:val="43"/>
        </w:numPr>
        <w:jc w:val="left"/>
      </w:pPr>
      <w:r w:rsidRPr="00585AAB">
        <w:rPr>
          <w:rFonts w:asciiTheme="minorHAnsi" w:eastAsiaTheme="minorHAnsi" w:hAnsiTheme="minorHAnsi" w:cstheme="minorBidi"/>
          <w:snapToGrid/>
          <w:color w:val="000000" w:themeColor="text1"/>
          <w:sz w:val="24"/>
          <w:szCs w:val="24"/>
        </w:rPr>
        <w:t xml:space="preserve">Patients and clinicians value the availability of multiple treatment options that are safe, effective, affordable and </w:t>
      </w:r>
      <w:r w:rsidR="001613FA">
        <w:rPr>
          <w:rFonts w:asciiTheme="minorHAnsi" w:eastAsiaTheme="minorHAnsi" w:hAnsiTheme="minorHAnsi" w:cstheme="minorBidi"/>
          <w:snapToGrid/>
          <w:color w:val="000000" w:themeColor="text1"/>
          <w:sz w:val="24"/>
          <w:szCs w:val="24"/>
        </w:rPr>
        <w:t>provide</w:t>
      </w:r>
      <w:r w:rsidR="001613FA" w:rsidRPr="00585AAB">
        <w:rPr>
          <w:rFonts w:asciiTheme="minorHAnsi" w:eastAsiaTheme="minorHAnsi" w:hAnsiTheme="minorHAnsi" w:cstheme="minorBidi"/>
          <w:snapToGrid/>
          <w:color w:val="000000" w:themeColor="text1"/>
          <w:sz w:val="24"/>
          <w:szCs w:val="24"/>
        </w:rPr>
        <w:t xml:space="preserve"> </w:t>
      </w:r>
      <w:r w:rsidRPr="00585AAB">
        <w:rPr>
          <w:rFonts w:asciiTheme="minorHAnsi" w:eastAsiaTheme="minorHAnsi" w:hAnsiTheme="minorHAnsi" w:cstheme="minorBidi"/>
          <w:snapToGrid/>
          <w:color w:val="000000" w:themeColor="text1"/>
          <w:sz w:val="24"/>
          <w:szCs w:val="24"/>
        </w:rPr>
        <w:t>equitable access across the spectrum of multiple sclerosis types and severities</w:t>
      </w:r>
      <w:r w:rsidRPr="00585AAB">
        <w:t>.</w:t>
      </w:r>
    </w:p>
    <w:p w:rsidR="00137F8D" w:rsidRPr="00585AAB"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r w:rsidRPr="00585AAB">
        <w:rPr>
          <w:rFonts w:asciiTheme="minorHAnsi" w:eastAsiaTheme="majorEastAsia" w:hAnsiTheme="minorHAnsi" w:cstheme="majorBidi"/>
          <w:i/>
          <w:snapToGrid/>
          <w:sz w:val="28"/>
          <w:szCs w:val="28"/>
        </w:rPr>
        <w:t>Clinical trials</w:t>
      </w:r>
      <w:bookmarkEnd w:id="18"/>
      <w:bookmarkEnd w:id="19"/>
      <w:bookmarkEnd w:id="20"/>
    </w:p>
    <w:p w:rsidR="00137F8D" w:rsidRPr="00585AAB" w:rsidRDefault="00985FF4" w:rsidP="006F1208">
      <w:pPr>
        <w:pStyle w:val="ESnumberedparablue"/>
        <w:rPr>
          <w:color w:val="4F81BD" w:themeColor="accent1"/>
        </w:rPr>
      </w:pPr>
      <w:r w:rsidRPr="00585AAB">
        <w:t>No head-to-head trials comparing ocrelizumab to fingolimod, natalizumab or alemtuzumab were available. The submission was based on a series of indirect comparisons against the nominated comparators:</w:t>
      </w:r>
    </w:p>
    <w:p w:rsidR="00985FF4" w:rsidRPr="00585AAB" w:rsidRDefault="00985FF4" w:rsidP="006F1208">
      <w:pPr>
        <w:pStyle w:val="ESnumberedparablue"/>
        <w:numPr>
          <w:ilvl w:val="0"/>
          <w:numId w:val="21"/>
        </w:numPr>
      </w:pPr>
      <w:r w:rsidRPr="00585AAB">
        <w:t>Indirect comparison of ocrelizumab vs. alemtuzumab</w:t>
      </w:r>
      <w:r w:rsidR="00281D8E" w:rsidRPr="00585AAB">
        <w:t>:</w:t>
      </w:r>
    </w:p>
    <w:p w:rsidR="00985FF4" w:rsidRPr="00585AAB" w:rsidRDefault="00985FF4" w:rsidP="006F1208">
      <w:pPr>
        <w:pStyle w:val="ESnumberedparablue"/>
        <w:numPr>
          <w:ilvl w:val="1"/>
          <w:numId w:val="21"/>
        </w:numPr>
      </w:pPr>
      <w:r w:rsidRPr="00585AAB">
        <w:t>Single step indirect analysis using SC interferon beta-1a as the common comparator (OPERA-I, OPERA-II, CAMMS223, CARE MS-I, CARE MS-II)</w:t>
      </w:r>
      <w:r w:rsidR="00281D8E" w:rsidRPr="00585AAB">
        <w:t>.</w:t>
      </w:r>
    </w:p>
    <w:p w:rsidR="00985FF4" w:rsidRPr="00585AAB" w:rsidRDefault="00985FF4" w:rsidP="006F1208">
      <w:pPr>
        <w:pStyle w:val="ESnumberedparablue"/>
        <w:numPr>
          <w:ilvl w:val="0"/>
          <w:numId w:val="21"/>
        </w:numPr>
      </w:pPr>
      <w:r w:rsidRPr="00585AAB">
        <w:t>Indirect comparison of ocrelizumab vs. fingolimod</w:t>
      </w:r>
      <w:r w:rsidR="00281D8E" w:rsidRPr="00585AAB">
        <w:t>:</w:t>
      </w:r>
    </w:p>
    <w:p w:rsidR="00985FF4" w:rsidRPr="00585AAB" w:rsidRDefault="00985FF4" w:rsidP="006F1208">
      <w:pPr>
        <w:pStyle w:val="ESnumberedparablue"/>
        <w:numPr>
          <w:ilvl w:val="1"/>
          <w:numId w:val="21"/>
        </w:numPr>
      </w:pPr>
      <w:r w:rsidRPr="00585AAB">
        <w:t>Indirect analysis of ocrelizumab vs. IM interferon beta-1a (OPERA-I, OPERA-II; EVIDENCE, Etemadifar 2006) linked to a meta-analysis of direct (TRANSFORMS) and indirect (BRAVO, MSCRG, FREEDOMS-I, FREEDOMS-II) comparisons of IM in</w:t>
      </w:r>
      <w:r w:rsidR="00281D8E" w:rsidRPr="00585AAB">
        <w:t>terferon beta-1a vs. fingolimod;</w:t>
      </w:r>
    </w:p>
    <w:p w:rsidR="00985FF4" w:rsidRPr="00585AAB" w:rsidRDefault="00985FF4" w:rsidP="006F1208">
      <w:pPr>
        <w:pStyle w:val="ESnumberedparablue"/>
        <w:numPr>
          <w:ilvl w:val="1"/>
          <w:numId w:val="21"/>
        </w:numPr>
      </w:pPr>
      <w:r w:rsidRPr="00585AAB">
        <w:lastRenderedPageBreak/>
        <w:t>Three step indirect analysis using SC interferon beta-1a/teriflunomide/placebo as bridging comparators (OPERA-I, OPERA-II, TENERE, TEMSO, TOWER, FREEDOMS-I, FREEDOMS-II)</w:t>
      </w:r>
      <w:r w:rsidR="00281D8E" w:rsidRPr="00585AAB">
        <w:t>.</w:t>
      </w:r>
    </w:p>
    <w:p w:rsidR="00985FF4" w:rsidRPr="00585AAB" w:rsidRDefault="00985FF4" w:rsidP="006F1208">
      <w:pPr>
        <w:pStyle w:val="ESnumberedparablue"/>
        <w:numPr>
          <w:ilvl w:val="0"/>
          <w:numId w:val="21"/>
        </w:numPr>
      </w:pPr>
      <w:r w:rsidRPr="00585AAB">
        <w:t>Indirect comparison of ocrelizumab vs. natalizumab</w:t>
      </w:r>
      <w:r w:rsidR="00281D8E" w:rsidRPr="00585AAB">
        <w:t>:</w:t>
      </w:r>
    </w:p>
    <w:p w:rsidR="00985FF4" w:rsidRPr="00585AAB" w:rsidRDefault="00985FF4" w:rsidP="006F1208">
      <w:pPr>
        <w:pStyle w:val="ESnumberedparablue"/>
        <w:numPr>
          <w:ilvl w:val="1"/>
          <w:numId w:val="21"/>
        </w:numPr>
      </w:pPr>
      <w:r w:rsidRPr="00585AAB">
        <w:t>Three step indirect analysis using SC interferon beta-1a/IM interferon beta-1a/placebo as bridging comparators (OPERA-I, OPERA-II, EVIDENCE, Etemadifar 2006, BRAVO, MSCRG, AFFIRM)</w:t>
      </w:r>
      <w:r w:rsidR="00281D8E" w:rsidRPr="00585AAB">
        <w:t>;</w:t>
      </w:r>
    </w:p>
    <w:p w:rsidR="00985FF4" w:rsidRPr="00585AAB" w:rsidRDefault="00985FF4" w:rsidP="006F1208">
      <w:pPr>
        <w:pStyle w:val="ESnumberedparablue"/>
        <w:numPr>
          <w:ilvl w:val="1"/>
          <w:numId w:val="21"/>
        </w:numPr>
      </w:pPr>
      <w:r w:rsidRPr="00585AAB">
        <w:t>Three step indirect analysis using SC interferon beta-1a/teriflunomide/placebo as bridging comparators (OPERA-I, OPERA-II, TENERE, TEMSO, TOWER, AFFIRM)</w:t>
      </w:r>
      <w:r w:rsidR="00281D8E" w:rsidRPr="00585AAB">
        <w:t>.</w:t>
      </w:r>
    </w:p>
    <w:p w:rsidR="00985FF4" w:rsidRPr="00585AAB" w:rsidRDefault="00985FF4" w:rsidP="006F1208">
      <w:pPr>
        <w:pStyle w:val="ESnumberedparablue"/>
        <w:numPr>
          <w:ilvl w:val="0"/>
          <w:numId w:val="21"/>
        </w:numPr>
      </w:pPr>
      <w:r w:rsidRPr="00585AAB">
        <w:t>Meta-regression of combined indirect analysis results of ocrelizumab vs. alemtuzumab, fingolimod and natalizumab.</w:t>
      </w:r>
    </w:p>
    <w:p w:rsidR="00985FF4" w:rsidRPr="00585AAB" w:rsidRDefault="00985FF4" w:rsidP="006F1208">
      <w:pPr>
        <w:pStyle w:val="ESnumberedparablue"/>
        <w:numPr>
          <w:ilvl w:val="0"/>
          <w:numId w:val="21"/>
        </w:numPr>
      </w:pPr>
      <w:r w:rsidRPr="00585AAB">
        <w:t>Supportive network meta-analysis of treatments for relapsing-remitting multiple sclerosis (McCool 2016, unpublished).</w:t>
      </w:r>
    </w:p>
    <w:p w:rsidR="002A1642" w:rsidRPr="00585AAB" w:rsidRDefault="00137F8D" w:rsidP="006F1208">
      <w:pPr>
        <w:pStyle w:val="ESnumberedparablue"/>
        <w:rPr>
          <w:color w:val="4F81BD" w:themeColor="accent1"/>
        </w:rPr>
      </w:pPr>
      <w:r w:rsidRPr="00585AAB">
        <w:t>Details of the trials presented in the submission are provided in the table below.</w:t>
      </w:r>
      <w:r w:rsidRPr="00585AAB">
        <w:rPr>
          <w:color w:val="4F81BD" w:themeColor="accent1"/>
        </w:rPr>
        <w:t xml:space="preserve"> </w:t>
      </w:r>
    </w:p>
    <w:p w:rsidR="00EE1047" w:rsidRPr="00585AAB" w:rsidRDefault="00EE1047" w:rsidP="00B967F8">
      <w:pPr>
        <w:pStyle w:val="Caption"/>
        <w:keepNext/>
        <w:spacing w:after="120"/>
        <w:rPr>
          <w:rStyle w:val="CommentReference"/>
          <w:b/>
          <w:bCs w:val="0"/>
          <w:color w:val="auto"/>
        </w:rPr>
      </w:pPr>
      <w:r w:rsidRPr="00585AAB">
        <w:rPr>
          <w:rStyle w:val="CommentReference"/>
          <w:b/>
          <w:bCs w:val="0"/>
          <w:color w:val="auto"/>
        </w:rPr>
        <w:t xml:space="preserve">Table </w:t>
      </w:r>
      <w:r w:rsidR="00921C12">
        <w:rPr>
          <w:rStyle w:val="CommentReference"/>
          <w:b/>
          <w:bCs w:val="0"/>
          <w:noProof/>
          <w:color w:val="auto"/>
        </w:rPr>
        <w:t>2</w:t>
      </w:r>
      <w:r w:rsidRPr="00585AAB">
        <w:rPr>
          <w:rStyle w:val="CommentReference"/>
          <w:b/>
          <w:bCs w:val="0"/>
          <w:color w:val="auto"/>
        </w:rPr>
        <w:t>: Trials and associated reports included in the submission</w:t>
      </w:r>
    </w:p>
    <w:tbl>
      <w:tblPr>
        <w:tblStyle w:val="TableGrid"/>
        <w:tblW w:w="0" w:type="auto"/>
        <w:tblInd w:w="108" w:type="dxa"/>
        <w:tblLook w:val="04A0" w:firstRow="1" w:lastRow="0" w:firstColumn="1" w:lastColumn="0" w:noHBand="0" w:noVBand="1"/>
        <w:tblCaption w:val="Trials and associated reports included in the submission"/>
      </w:tblPr>
      <w:tblGrid>
        <w:gridCol w:w="1364"/>
        <w:gridCol w:w="5440"/>
        <w:gridCol w:w="2267"/>
      </w:tblGrid>
      <w:tr w:rsidR="002A1642" w:rsidRPr="00585AAB" w:rsidTr="00365855">
        <w:trPr>
          <w:tblHeader/>
        </w:trPr>
        <w:tc>
          <w:tcPr>
            <w:tcW w:w="1364" w:type="dxa"/>
            <w:vAlign w:val="center"/>
          </w:tcPr>
          <w:p w:rsidR="002A1642" w:rsidRPr="00585AAB" w:rsidRDefault="002A1642" w:rsidP="00936727">
            <w:pPr>
              <w:spacing w:before="40" w:after="40"/>
              <w:rPr>
                <w:rFonts w:ascii="Arial Narrow" w:hAnsi="Arial Narrow"/>
                <w:b/>
                <w:sz w:val="20"/>
              </w:rPr>
            </w:pPr>
            <w:r w:rsidRPr="00585AAB">
              <w:rPr>
                <w:rFonts w:ascii="Arial Narrow" w:hAnsi="Arial Narrow"/>
                <w:b/>
                <w:sz w:val="20"/>
              </w:rPr>
              <w:t>Trial ID</w:t>
            </w:r>
          </w:p>
        </w:tc>
        <w:tc>
          <w:tcPr>
            <w:tcW w:w="5440" w:type="dxa"/>
            <w:vAlign w:val="center"/>
          </w:tcPr>
          <w:p w:rsidR="002A1642" w:rsidRPr="00585AAB" w:rsidRDefault="002A1642" w:rsidP="00936727">
            <w:pPr>
              <w:spacing w:before="40" w:after="40"/>
              <w:jc w:val="center"/>
              <w:rPr>
                <w:rFonts w:ascii="Arial Narrow" w:hAnsi="Arial Narrow"/>
                <w:b/>
                <w:sz w:val="20"/>
              </w:rPr>
            </w:pPr>
            <w:r w:rsidRPr="00585AAB">
              <w:rPr>
                <w:rFonts w:ascii="Arial Narrow" w:hAnsi="Arial Narrow"/>
                <w:b/>
                <w:sz w:val="20"/>
              </w:rPr>
              <w:t>Protocol title/ Publication title</w:t>
            </w:r>
          </w:p>
        </w:tc>
        <w:tc>
          <w:tcPr>
            <w:tcW w:w="2267" w:type="dxa"/>
            <w:vAlign w:val="center"/>
          </w:tcPr>
          <w:p w:rsidR="002A1642" w:rsidRPr="00585AAB" w:rsidRDefault="002A1642" w:rsidP="00936727">
            <w:pPr>
              <w:spacing w:before="40" w:after="40"/>
              <w:jc w:val="center"/>
              <w:rPr>
                <w:rFonts w:ascii="Arial Narrow" w:hAnsi="Arial Narrow"/>
                <w:b/>
                <w:sz w:val="20"/>
              </w:rPr>
            </w:pPr>
            <w:r w:rsidRPr="00585AAB">
              <w:rPr>
                <w:rFonts w:ascii="Arial Narrow" w:hAnsi="Arial Narrow"/>
                <w:b/>
                <w:sz w:val="20"/>
              </w:rPr>
              <w:t>Publication citation</w:t>
            </w:r>
          </w:p>
        </w:tc>
      </w:tr>
      <w:tr w:rsidR="002A1642" w:rsidRPr="00585AAB" w:rsidTr="008E4CD0">
        <w:tc>
          <w:tcPr>
            <w:tcW w:w="9071" w:type="dxa"/>
            <w:gridSpan w:val="3"/>
            <w:vAlign w:val="center"/>
          </w:tcPr>
          <w:p w:rsidR="002A1642" w:rsidRPr="00585AAB" w:rsidRDefault="002A1642" w:rsidP="00936727">
            <w:pPr>
              <w:spacing w:before="40" w:after="40"/>
              <w:jc w:val="left"/>
              <w:rPr>
                <w:rFonts w:ascii="Arial Narrow" w:hAnsi="Arial Narrow"/>
                <w:b/>
                <w:sz w:val="20"/>
              </w:rPr>
            </w:pPr>
            <w:r w:rsidRPr="00585AAB">
              <w:rPr>
                <w:rFonts w:ascii="Arial Narrow" w:hAnsi="Arial Narrow"/>
                <w:b/>
                <w:color w:val="000000"/>
                <w:sz w:val="20"/>
              </w:rPr>
              <w:t>Ocrelizumab trials</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color w:val="000000"/>
                <w:sz w:val="20"/>
              </w:rPr>
              <w:t>OPERA-I</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Roche Clinical Study Report (2016). A randomized, double-blind,</w:t>
            </w:r>
          </w:p>
          <w:p w:rsidR="002A1642" w:rsidRPr="00585AAB" w:rsidRDefault="002A1642" w:rsidP="00936727">
            <w:pPr>
              <w:spacing w:before="40" w:after="40"/>
              <w:rPr>
                <w:rFonts w:ascii="Arial Narrow" w:hAnsi="Arial Narrow"/>
                <w:sz w:val="20"/>
              </w:rPr>
            </w:pPr>
            <w:r w:rsidRPr="00585AAB">
              <w:rPr>
                <w:rFonts w:ascii="Arial Narrow" w:hAnsi="Arial Narrow"/>
                <w:sz w:val="20"/>
              </w:rPr>
              <w:t>double-dummy, parallel-group study to evaluate the efficacy and safety of ocrelizumab in comparison to interferon beta-1a (Rebif</w:t>
            </w:r>
            <w:r w:rsidRPr="00585AAB">
              <w:rPr>
                <w:rFonts w:ascii="Arial Narrow" w:hAnsi="Arial Narrow"/>
                <w:sz w:val="20"/>
                <w:vertAlign w:val="superscript"/>
              </w:rPr>
              <w:t>®</w:t>
            </w:r>
            <w:r w:rsidRPr="00585AAB">
              <w:rPr>
                <w:rFonts w:ascii="Arial Narrow" w:hAnsi="Arial Narrow"/>
                <w:sz w:val="20"/>
              </w:rPr>
              <w:t>) in patients with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Internal study report</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OPERA-II</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Roche Clinical Study Report (2016). A randomized, double-blind,</w:t>
            </w:r>
          </w:p>
          <w:p w:rsidR="002A1642" w:rsidRPr="00585AAB" w:rsidRDefault="002A1642" w:rsidP="00936727">
            <w:pPr>
              <w:spacing w:before="40" w:after="40"/>
              <w:rPr>
                <w:rFonts w:ascii="Arial Narrow" w:hAnsi="Arial Narrow"/>
                <w:sz w:val="20"/>
              </w:rPr>
            </w:pPr>
            <w:r w:rsidRPr="00585AAB">
              <w:rPr>
                <w:rFonts w:ascii="Arial Narrow" w:hAnsi="Arial Narrow"/>
                <w:sz w:val="20"/>
              </w:rPr>
              <w:t>double-dummy, parallel-group study to evaluate the efficacy and safety of ocrelizumab in comparison to interferon beta-1a (Rebif</w:t>
            </w:r>
            <w:r w:rsidRPr="00585AAB">
              <w:rPr>
                <w:rFonts w:ascii="Arial Narrow" w:hAnsi="Arial Narrow"/>
                <w:sz w:val="20"/>
                <w:vertAlign w:val="superscript"/>
              </w:rPr>
              <w:t>®</w:t>
            </w:r>
            <w:r w:rsidRPr="00585AAB">
              <w:rPr>
                <w:rFonts w:ascii="Arial Narrow" w:hAnsi="Arial Narrow"/>
                <w:sz w:val="20"/>
              </w:rPr>
              <w:t>) in patients with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Internal study report</w:t>
            </w:r>
          </w:p>
        </w:tc>
      </w:tr>
      <w:tr w:rsidR="002A1642" w:rsidRPr="00585AAB" w:rsidTr="008E4CD0">
        <w:tc>
          <w:tcPr>
            <w:tcW w:w="1364" w:type="dxa"/>
            <w:vMerge w:val="restart"/>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Pooled OPERA analysis</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Roche Clinical Study Report (2016). Randomized, double-blind,</w:t>
            </w:r>
          </w:p>
          <w:p w:rsidR="002A1642" w:rsidRPr="00585AAB" w:rsidRDefault="002A1642" w:rsidP="00936727">
            <w:pPr>
              <w:spacing w:before="40" w:after="40"/>
              <w:rPr>
                <w:rFonts w:ascii="Arial Narrow" w:hAnsi="Arial Narrow"/>
                <w:sz w:val="20"/>
              </w:rPr>
            </w:pPr>
            <w:r w:rsidRPr="00585AAB">
              <w:rPr>
                <w:rFonts w:ascii="Arial Narrow" w:hAnsi="Arial Narrow"/>
                <w:sz w:val="20"/>
              </w:rPr>
              <w:t>double-dummy, parallel-group studies to evaluate the efficacy and safety of ocrelizumab in comparison to interferon beta-1a (Rebif</w:t>
            </w:r>
            <w:r w:rsidRPr="00585AAB">
              <w:rPr>
                <w:rFonts w:ascii="Arial Narrow" w:hAnsi="Arial Narrow"/>
                <w:sz w:val="20"/>
                <w:vertAlign w:val="superscript"/>
              </w:rPr>
              <w:t>®</w:t>
            </w:r>
            <w:r w:rsidRPr="00585AAB">
              <w:rPr>
                <w:rFonts w:ascii="Arial Narrow" w:hAnsi="Arial Narrow"/>
                <w:sz w:val="20"/>
              </w:rPr>
              <w:t>) in patients with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Internal study report</w:t>
            </w:r>
          </w:p>
        </w:tc>
      </w:tr>
      <w:tr w:rsidR="002A1642" w:rsidRPr="00585AAB" w:rsidTr="008E4CD0">
        <w:tc>
          <w:tcPr>
            <w:tcW w:w="1364" w:type="dxa"/>
            <w:vMerge/>
            <w:vAlign w:val="center"/>
          </w:tcPr>
          <w:p w:rsidR="002A1642" w:rsidRPr="00585AAB" w:rsidRDefault="002A1642" w:rsidP="00936727">
            <w:pPr>
              <w:spacing w:before="40" w:after="40"/>
              <w:rPr>
                <w:rFonts w:ascii="Arial Narrow" w:hAnsi="Arial Narrow"/>
                <w:color w:val="000000"/>
                <w:sz w:val="20"/>
              </w:rPr>
            </w:pP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Hauser et al (2017). Ocrelizumab versus Interferon Beta-1a</w:t>
            </w:r>
          </w:p>
          <w:p w:rsidR="002A1642" w:rsidRPr="00585AAB" w:rsidRDefault="002A1642" w:rsidP="00936727">
            <w:pPr>
              <w:spacing w:before="40" w:after="40"/>
              <w:rPr>
                <w:rFonts w:ascii="Arial Narrow" w:hAnsi="Arial Narrow"/>
                <w:sz w:val="20"/>
              </w:rPr>
            </w:pPr>
            <w:r w:rsidRPr="00585AAB">
              <w:rPr>
                <w:rFonts w:ascii="Arial Narrow" w:hAnsi="Arial Narrow"/>
                <w:sz w:val="20"/>
              </w:rPr>
              <w:t>in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New England Journal of Medicine 376: 221-234</w:t>
            </w:r>
          </w:p>
        </w:tc>
      </w:tr>
      <w:tr w:rsidR="002A1642" w:rsidRPr="00585AAB" w:rsidTr="008E4CD0">
        <w:tc>
          <w:tcPr>
            <w:tcW w:w="9071" w:type="dxa"/>
            <w:gridSpan w:val="3"/>
            <w:vAlign w:val="center"/>
          </w:tcPr>
          <w:p w:rsidR="002A1642" w:rsidRPr="00585AAB" w:rsidRDefault="002A1642" w:rsidP="00936727">
            <w:pPr>
              <w:spacing w:before="40" w:after="40"/>
              <w:jc w:val="left"/>
              <w:rPr>
                <w:rFonts w:ascii="Arial Narrow" w:hAnsi="Arial Narrow"/>
                <w:b/>
                <w:sz w:val="20"/>
              </w:rPr>
            </w:pPr>
            <w:r w:rsidRPr="00585AAB">
              <w:rPr>
                <w:rFonts w:ascii="Arial Narrow" w:hAnsi="Arial Narrow"/>
                <w:b/>
                <w:sz w:val="20"/>
              </w:rPr>
              <w:t>Comparator trials</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CAMMS223</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Coles et al (2008). Alemtuzumab vs. Interferon Beta-1a in Early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New England Journal of Medicine 359: 1786-1801</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CARE MS-I</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 xml:space="preserve">Cohen et al (2012). Alemtuzumab </w:t>
            </w:r>
            <w:r w:rsidR="00F7785A" w:rsidRPr="00585AAB">
              <w:rPr>
                <w:rFonts w:ascii="Arial Narrow" w:hAnsi="Arial Narrow"/>
                <w:sz w:val="20"/>
              </w:rPr>
              <w:t>versus interferon beta 1a as fi</w:t>
            </w:r>
            <w:r w:rsidRPr="00585AAB">
              <w:rPr>
                <w:rFonts w:ascii="Arial Narrow" w:hAnsi="Arial Narrow"/>
                <w:sz w:val="20"/>
              </w:rPr>
              <w:t>rst-line</w:t>
            </w:r>
          </w:p>
          <w:p w:rsidR="002A1642" w:rsidRPr="00585AAB" w:rsidRDefault="002A1642" w:rsidP="00936727">
            <w:pPr>
              <w:spacing w:before="40" w:after="40"/>
              <w:rPr>
                <w:rFonts w:ascii="Arial Narrow" w:hAnsi="Arial Narrow"/>
                <w:sz w:val="20"/>
              </w:rPr>
            </w:pPr>
            <w:r w:rsidRPr="00585AAB">
              <w:rPr>
                <w:rFonts w:ascii="Arial Narrow" w:hAnsi="Arial Narrow"/>
                <w:sz w:val="20"/>
              </w:rPr>
              <w:t>treatment for patients with relapsing-remitting multiple sclerosis: a randomised controlled phase 3 trial</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Lancet 380: 1819-1828</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CARE MS-II</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Coles et al (2012). Alemtuzumab for patients with relapsing multiple sclerosis after disease-modifying therapy: a randomised controlled phase 3 trial</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Lancet 380: 1829-1839</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FREEDOMS-I</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 xml:space="preserve">Kappos et al (2010). A placebo-controlled trial of oral fingolimod in </w:t>
            </w:r>
            <w:r w:rsidRPr="00585AAB">
              <w:rPr>
                <w:rFonts w:ascii="Arial Narrow" w:hAnsi="Arial Narrow"/>
                <w:sz w:val="20"/>
              </w:rPr>
              <w:lastRenderedPageBreak/>
              <w:t>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lastRenderedPageBreak/>
              <w:t xml:space="preserve">New England Journal of </w:t>
            </w:r>
            <w:r w:rsidRPr="00585AAB">
              <w:rPr>
                <w:rFonts w:ascii="Arial Narrow" w:hAnsi="Arial Narrow"/>
                <w:sz w:val="20"/>
              </w:rPr>
              <w:lastRenderedPageBreak/>
              <w:t>Medicine 362: 387-401</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lastRenderedPageBreak/>
              <w:t>FREEDOMS-II</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Calabresi et al (2014). Safety and efficacy of fingolimod in patients with relapsing-remitting multiple sclerosis: a double-blind, randomised, placebo controlled, phase 3 trial</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Lancet Neurology 13: 545-56</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TRANSFORMS</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Cohen et al (2010). Oral fingolimod or intramuscular interferon for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New England Journal of Medicine 362:402-415</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AFFIRM</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Polman et al (2006). A Randomized, Placebo-Controlled Trial of Natalizumab for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New England Journal of Medicine 354: 899-910</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TENERE</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Vermersch et al (2014). Teriflunomide versus subcutaneous interferon beta-1a in patients with relapsing multiple sclerosis: a randomised, controlled phase 3 trial.</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Multiple Sclerosis 20: 705-716</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TEMSO</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O’Connor et al (2011). Randomized trial of oral teriflunomide for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New England Journal of Medicine 365: 1293-303</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TOWER</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Confavreux et al (2014). Oral teriflunomide for patients with relapsing multiple sclerosis (TOWER): a randomised, double-blind, placebo-controlled, phase 3 trial.</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Lancet Neurology 13: 247-256</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BRAVO</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 xml:space="preserve">Vollmer et al (2014). A randomized placebo-controlled phase III trial of oral laquinimod for multiple sclerosis </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Journal of Neurology 261: 773-783</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MSCRG</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Jacobs et al (1996). Intramuscular interferon beta-1a for disease progression in relapsing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Annals of Neurology 39: 285-294</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EVIDENCE</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Panitch et al (2002). Randomized, comparative study of interferon beta-1a treatment regimens in MS: The EVIDENCE Trial.</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Neurology 59: 1496-1506</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Etemadifar (2006)</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Etemadifar et al (2006). Comparison of Betaferon, Avonex, and Rebif in treatment of relapsing-remitting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Acta Neurologica Scandinavica 113: 283-287</w:t>
            </w:r>
          </w:p>
        </w:tc>
      </w:tr>
      <w:tr w:rsidR="002A1642" w:rsidRPr="00585AAB" w:rsidTr="008E4CD0">
        <w:tc>
          <w:tcPr>
            <w:tcW w:w="9071" w:type="dxa"/>
            <w:gridSpan w:val="3"/>
            <w:vAlign w:val="center"/>
          </w:tcPr>
          <w:p w:rsidR="002A1642" w:rsidRPr="00585AAB" w:rsidRDefault="002A1642" w:rsidP="00936727">
            <w:pPr>
              <w:spacing w:before="40" w:after="40"/>
              <w:jc w:val="left"/>
              <w:rPr>
                <w:rFonts w:ascii="Arial Narrow" w:hAnsi="Arial Narrow"/>
                <w:b/>
                <w:sz w:val="20"/>
              </w:rPr>
            </w:pPr>
            <w:r w:rsidRPr="00585AAB">
              <w:rPr>
                <w:rFonts w:ascii="Arial Narrow" w:hAnsi="Arial Narrow"/>
                <w:b/>
                <w:sz w:val="20"/>
              </w:rPr>
              <w:t>Network meta-analyses</w:t>
            </w:r>
          </w:p>
        </w:tc>
      </w:tr>
      <w:tr w:rsidR="002A1642" w:rsidRPr="00585AAB" w:rsidTr="008E4CD0">
        <w:tc>
          <w:tcPr>
            <w:tcW w:w="1364" w:type="dxa"/>
            <w:vAlign w:val="center"/>
          </w:tcPr>
          <w:p w:rsidR="002A1642" w:rsidRPr="00585AAB" w:rsidRDefault="002A1642" w:rsidP="00936727">
            <w:pPr>
              <w:spacing w:before="40" w:after="40"/>
              <w:rPr>
                <w:rFonts w:ascii="Arial Narrow" w:hAnsi="Arial Narrow"/>
                <w:color w:val="000000"/>
                <w:sz w:val="20"/>
              </w:rPr>
            </w:pPr>
            <w:r w:rsidRPr="00585AAB">
              <w:rPr>
                <w:rFonts w:ascii="Arial Narrow" w:hAnsi="Arial Narrow"/>
                <w:color w:val="000000"/>
                <w:sz w:val="20"/>
              </w:rPr>
              <w:t>McCool (2016)</w:t>
            </w:r>
          </w:p>
        </w:tc>
        <w:tc>
          <w:tcPr>
            <w:tcW w:w="5440" w:type="dxa"/>
            <w:vAlign w:val="center"/>
          </w:tcPr>
          <w:p w:rsidR="002A1642" w:rsidRPr="00585AAB" w:rsidRDefault="002A1642" w:rsidP="00936727">
            <w:pPr>
              <w:spacing w:before="40" w:after="40"/>
              <w:rPr>
                <w:rFonts w:ascii="Arial Narrow" w:hAnsi="Arial Narrow"/>
                <w:sz w:val="20"/>
              </w:rPr>
            </w:pPr>
            <w:r w:rsidRPr="00585AAB">
              <w:rPr>
                <w:rFonts w:ascii="Arial Narrow" w:hAnsi="Arial Narrow"/>
                <w:sz w:val="20"/>
              </w:rPr>
              <w:t>McCool et al (2016). Systematic review and network meta-analysis of treatments for relapsing-remitting multiple sclerosis</w:t>
            </w:r>
          </w:p>
        </w:tc>
        <w:tc>
          <w:tcPr>
            <w:tcW w:w="2267" w:type="dxa"/>
            <w:vAlign w:val="center"/>
          </w:tcPr>
          <w:p w:rsidR="002A1642" w:rsidRPr="00585AAB" w:rsidRDefault="002A1642" w:rsidP="00936727">
            <w:pPr>
              <w:spacing w:before="40" w:after="40"/>
              <w:jc w:val="left"/>
              <w:rPr>
                <w:rFonts w:ascii="Arial Narrow" w:hAnsi="Arial Narrow"/>
                <w:sz w:val="20"/>
              </w:rPr>
            </w:pPr>
            <w:r w:rsidRPr="00585AAB">
              <w:rPr>
                <w:rFonts w:ascii="Arial Narrow" w:hAnsi="Arial Narrow"/>
                <w:sz w:val="20"/>
              </w:rPr>
              <w:t>Unpublished report</w:t>
            </w:r>
          </w:p>
        </w:tc>
      </w:tr>
    </w:tbl>
    <w:p w:rsidR="002A1642" w:rsidRPr="00585AAB" w:rsidRDefault="002A1642" w:rsidP="002A1642">
      <w:pPr>
        <w:rPr>
          <w:rFonts w:ascii="Arial Narrow" w:hAnsi="Arial Narrow" w:cs="Times New Roman"/>
          <w:sz w:val="18"/>
          <w:szCs w:val="18"/>
        </w:rPr>
      </w:pPr>
      <w:r w:rsidRPr="00585AAB">
        <w:rPr>
          <w:rFonts w:ascii="Arial Narrow" w:hAnsi="Arial Narrow" w:cs="Times New Roman"/>
          <w:sz w:val="18"/>
          <w:szCs w:val="18"/>
        </w:rPr>
        <w:t xml:space="preserve">Source: Table B.2.6 (p 10-13) of the submission </w:t>
      </w:r>
    </w:p>
    <w:p w:rsidR="002A1642" w:rsidRPr="00585AAB" w:rsidRDefault="002A1642" w:rsidP="00281D8E">
      <w:pPr>
        <w:spacing w:after="240"/>
        <w:rPr>
          <w:rFonts w:ascii="Arial Narrow" w:hAnsi="Arial Narrow"/>
          <w:sz w:val="18"/>
          <w:szCs w:val="18"/>
        </w:rPr>
      </w:pPr>
      <w:r w:rsidRPr="00585AAB">
        <w:rPr>
          <w:rFonts w:ascii="Arial Narrow" w:hAnsi="Arial Narrow"/>
          <w:sz w:val="18"/>
          <w:szCs w:val="18"/>
        </w:rPr>
        <w:t>Note: Only includes the main publications for each trial</w:t>
      </w:r>
    </w:p>
    <w:p w:rsidR="00137F8D" w:rsidRPr="00585AAB" w:rsidRDefault="002A1642" w:rsidP="006F1208">
      <w:pPr>
        <w:pStyle w:val="ESnumberedparablue"/>
      </w:pPr>
      <w:r w:rsidRPr="00585AAB">
        <w:t>The</w:t>
      </w:r>
      <w:r w:rsidR="005734C0" w:rsidRPr="00585AAB">
        <w:t xml:space="preserve"> key features of the OPERA</w:t>
      </w:r>
      <w:r w:rsidRPr="00585AAB">
        <w:t xml:space="preserve"> trials</w:t>
      </w:r>
      <w:r w:rsidR="005734C0" w:rsidRPr="00585AAB">
        <w:t xml:space="preserve"> (ocrelizumab vs. SC interferon beta-1a)</w:t>
      </w:r>
      <w:r w:rsidR="00137F8D" w:rsidRPr="00585AAB">
        <w:t xml:space="preserve"> are summarised in the table below. </w:t>
      </w:r>
    </w:p>
    <w:p w:rsidR="00EE1047" w:rsidRPr="00585AAB" w:rsidRDefault="00EE1047" w:rsidP="00EE1047">
      <w:pPr>
        <w:pStyle w:val="ListParagraph"/>
        <w:keepNext/>
        <w:spacing w:before="240" w:after="60"/>
        <w:ind w:left="0"/>
        <w:jc w:val="left"/>
        <w:rPr>
          <w:rStyle w:val="CommentReference"/>
        </w:rPr>
      </w:pPr>
      <w:r w:rsidRPr="00585AAB">
        <w:rPr>
          <w:rStyle w:val="CommentReference"/>
        </w:rPr>
        <w:t xml:space="preserve">Table </w:t>
      </w:r>
      <w:r w:rsidR="00921C12">
        <w:rPr>
          <w:rStyle w:val="CommentReference"/>
          <w:noProof/>
        </w:rPr>
        <w:t>3</w:t>
      </w:r>
      <w:r w:rsidRPr="00585AAB">
        <w:rPr>
          <w:rStyle w:val="CommentReference"/>
        </w:rPr>
        <w:t>: Key features of the included evidence (ocrelizumab vs. SC interferon beta-1a)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2"/>
        <w:gridCol w:w="774"/>
        <w:gridCol w:w="2132"/>
        <w:gridCol w:w="852"/>
        <w:gridCol w:w="1700"/>
        <w:gridCol w:w="2392"/>
      </w:tblGrid>
      <w:tr w:rsidR="002A1642" w:rsidRPr="00585AAB" w:rsidTr="005734C0">
        <w:tc>
          <w:tcPr>
            <w:tcW w:w="678" w:type="pct"/>
            <w:shd w:val="clear" w:color="auto" w:fill="auto"/>
            <w:vAlign w:val="center"/>
          </w:tcPr>
          <w:p w:rsidR="002A1642" w:rsidRPr="00585AAB" w:rsidRDefault="002A1642" w:rsidP="00936727">
            <w:pPr>
              <w:pStyle w:val="TableText1"/>
              <w:rPr>
                <w:b/>
              </w:rPr>
            </w:pPr>
            <w:r w:rsidRPr="00585AAB">
              <w:rPr>
                <w:b/>
              </w:rPr>
              <w:t>Trial</w:t>
            </w:r>
          </w:p>
        </w:tc>
        <w:tc>
          <w:tcPr>
            <w:tcW w:w="426" w:type="pct"/>
            <w:shd w:val="clear" w:color="auto" w:fill="auto"/>
            <w:vAlign w:val="center"/>
          </w:tcPr>
          <w:p w:rsidR="002A1642" w:rsidRPr="00585AAB" w:rsidRDefault="002A1642" w:rsidP="00936727">
            <w:pPr>
              <w:pStyle w:val="TableText1"/>
              <w:jc w:val="center"/>
              <w:rPr>
                <w:b/>
              </w:rPr>
            </w:pPr>
            <w:r w:rsidRPr="00585AAB">
              <w:rPr>
                <w:b/>
              </w:rPr>
              <w:t>N</w:t>
            </w:r>
          </w:p>
        </w:tc>
        <w:tc>
          <w:tcPr>
            <w:tcW w:w="1174" w:type="pct"/>
            <w:shd w:val="clear" w:color="auto" w:fill="auto"/>
            <w:vAlign w:val="center"/>
          </w:tcPr>
          <w:p w:rsidR="002A1642" w:rsidRPr="00585AAB" w:rsidRDefault="002A1642" w:rsidP="00936727">
            <w:pPr>
              <w:pStyle w:val="TableText1"/>
              <w:jc w:val="center"/>
              <w:rPr>
                <w:b/>
              </w:rPr>
            </w:pPr>
            <w:r w:rsidRPr="00585AAB">
              <w:rPr>
                <w:b/>
              </w:rPr>
              <w:t xml:space="preserve">Design/ </w:t>
            </w:r>
            <w:r w:rsidRPr="00585AAB">
              <w:rPr>
                <w:b/>
              </w:rPr>
              <w:br/>
              <w:t>duration of follow-up</w:t>
            </w:r>
          </w:p>
        </w:tc>
        <w:tc>
          <w:tcPr>
            <w:tcW w:w="469" w:type="pct"/>
            <w:shd w:val="clear" w:color="auto" w:fill="auto"/>
            <w:vAlign w:val="center"/>
          </w:tcPr>
          <w:p w:rsidR="002A1642" w:rsidRPr="00585AAB" w:rsidRDefault="002A1642" w:rsidP="00936727">
            <w:pPr>
              <w:pStyle w:val="TableText1"/>
              <w:jc w:val="center"/>
              <w:rPr>
                <w:b/>
              </w:rPr>
            </w:pPr>
            <w:r w:rsidRPr="00585AAB">
              <w:rPr>
                <w:b/>
              </w:rPr>
              <w:t>Risk of bias</w:t>
            </w:r>
          </w:p>
        </w:tc>
        <w:tc>
          <w:tcPr>
            <w:tcW w:w="936" w:type="pct"/>
            <w:shd w:val="clear" w:color="auto" w:fill="auto"/>
            <w:vAlign w:val="center"/>
          </w:tcPr>
          <w:p w:rsidR="002A1642" w:rsidRPr="00585AAB" w:rsidRDefault="002A1642" w:rsidP="00936727">
            <w:pPr>
              <w:pStyle w:val="TableText1"/>
              <w:jc w:val="center"/>
              <w:rPr>
                <w:b/>
              </w:rPr>
            </w:pPr>
            <w:r w:rsidRPr="00585AAB">
              <w:rPr>
                <w:b/>
              </w:rPr>
              <w:t>Patient population</w:t>
            </w:r>
          </w:p>
        </w:tc>
        <w:tc>
          <w:tcPr>
            <w:tcW w:w="1317" w:type="pct"/>
            <w:shd w:val="clear" w:color="auto" w:fill="auto"/>
            <w:vAlign w:val="center"/>
          </w:tcPr>
          <w:p w:rsidR="002A1642" w:rsidRPr="00585AAB" w:rsidRDefault="005734C0" w:rsidP="00936727">
            <w:pPr>
              <w:pStyle w:val="TableText1"/>
              <w:jc w:val="center"/>
              <w:rPr>
                <w:b/>
              </w:rPr>
            </w:pPr>
            <w:r w:rsidRPr="00585AAB">
              <w:rPr>
                <w:b/>
              </w:rPr>
              <w:t>Outcome</w:t>
            </w:r>
            <w:r w:rsidR="002A1642" w:rsidRPr="00585AAB">
              <w:rPr>
                <w:b/>
              </w:rPr>
              <w:t>s</w:t>
            </w:r>
          </w:p>
        </w:tc>
      </w:tr>
      <w:tr w:rsidR="002A1642" w:rsidRPr="00585AAB" w:rsidTr="005734C0">
        <w:tc>
          <w:tcPr>
            <w:tcW w:w="678" w:type="pct"/>
            <w:shd w:val="clear" w:color="auto" w:fill="auto"/>
            <w:vAlign w:val="center"/>
          </w:tcPr>
          <w:p w:rsidR="002A1642" w:rsidRPr="00585AAB" w:rsidRDefault="002A1642" w:rsidP="00936727">
            <w:pPr>
              <w:pStyle w:val="TableText1"/>
              <w:rPr>
                <w:rFonts w:cs="Times New Roman"/>
              </w:rPr>
            </w:pPr>
            <w:r w:rsidRPr="00585AAB">
              <w:rPr>
                <w:rFonts w:cs="Times New Roman"/>
              </w:rPr>
              <w:t>OPERA-I</w:t>
            </w:r>
          </w:p>
        </w:tc>
        <w:tc>
          <w:tcPr>
            <w:tcW w:w="426" w:type="pct"/>
            <w:shd w:val="clear" w:color="auto" w:fill="auto"/>
            <w:vAlign w:val="center"/>
          </w:tcPr>
          <w:p w:rsidR="002A1642" w:rsidRPr="00585AAB" w:rsidRDefault="002A1642" w:rsidP="00936727">
            <w:pPr>
              <w:pStyle w:val="TableText1"/>
              <w:jc w:val="center"/>
              <w:rPr>
                <w:rFonts w:eastAsia="Times New Roman" w:cs="Times New Roman"/>
              </w:rPr>
            </w:pPr>
            <w:r w:rsidRPr="00585AAB">
              <w:rPr>
                <w:rFonts w:eastAsia="Times New Roman" w:cs="Times New Roman"/>
              </w:rPr>
              <w:t>821</w:t>
            </w:r>
          </w:p>
        </w:tc>
        <w:tc>
          <w:tcPr>
            <w:tcW w:w="1174" w:type="pct"/>
            <w:shd w:val="clear" w:color="auto" w:fill="auto"/>
            <w:vAlign w:val="center"/>
          </w:tcPr>
          <w:p w:rsidR="002A1642" w:rsidRPr="00585AAB" w:rsidRDefault="002A1642" w:rsidP="00936727">
            <w:pPr>
              <w:pStyle w:val="TableText1"/>
              <w:jc w:val="center"/>
              <w:rPr>
                <w:rFonts w:eastAsia="Times New Roman" w:cs="Times New Roman"/>
              </w:rPr>
            </w:pPr>
            <w:r w:rsidRPr="00585AAB">
              <w:rPr>
                <w:rFonts w:cs="Times New Roman"/>
              </w:rPr>
              <w:t>MC, R, DB, PG (96 weeks)</w:t>
            </w:r>
          </w:p>
        </w:tc>
        <w:tc>
          <w:tcPr>
            <w:tcW w:w="469" w:type="pct"/>
            <w:shd w:val="clear" w:color="auto" w:fill="auto"/>
            <w:vAlign w:val="center"/>
          </w:tcPr>
          <w:p w:rsidR="002A1642" w:rsidRPr="00585AAB" w:rsidRDefault="002A1642" w:rsidP="00936727">
            <w:pPr>
              <w:pStyle w:val="TableText1"/>
              <w:jc w:val="center"/>
              <w:rPr>
                <w:rFonts w:eastAsia="Times New Roman" w:cs="Times New Roman"/>
              </w:rPr>
            </w:pPr>
            <w:r w:rsidRPr="00585AAB">
              <w:rPr>
                <w:rFonts w:cs="Times New Roman"/>
              </w:rPr>
              <w:t>Low</w:t>
            </w:r>
          </w:p>
        </w:tc>
        <w:tc>
          <w:tcPr>
            <w:tcW w:w="936" w:type="pct"/>
            <w:shd w:val="clear" w:color="auto" w:fill="auto"/>
            <w:vAlign w:val="center"/>
          </w:tcPr>
          <w:p w:rsidR="002A1642" w:rsidRPr="00585AAB" w:rsidRDefault="002A1642" w:rsidP="00936727">
            <w:pPr>
              <w:pStyle w:val="TableText1"/>
              <w:jc w:val="center"/>
              <w:rPr>
                <w:rFonts w:eastAsia="Times New Roman" w:cs="Times New Roman"/>
              </w:rPr>
            </w:pPr>
            <w:r w:rsidRPr="00585AAB">
              <w:rPr>
                <w:rFonts w:cs="Times New Roman"/>
              </w:rPr>
              <w:t>RMS patients with active disease</w:t>
            </w:r>
          </w:p>
        </w:tc>
        <w:tc>
          <w:tcPr>
            <w:tcW w:w="1317" w:type="pct"/>
            <w:shd w:val="clear" w:color="auto" w:fill="auto"/>
            <w:vAlign w:val="center"/>
          </w:tcPr>
          <w:p w:rsidR="002A1642" w:rsidRPr="00585AAB" w:rsidRDefault="005734C0" w:rsidP="00936727">
            <w:pPr>
              <w:pStyle w:val="TableText1"/>
              <w:jc w:val="center"/>
              <w:rPr>
                <w:rFonts w:eastAsia="Times New Roman" w:cs="Times New Roman"/>
              </w:rPr>
            </w:pPr>
            <w:r w:rsidRPr="00585AAB">
              <w:rPr>
                <w:rFonts w:cs="Times New Roman"/>
              </w:rPr>
              <w:t>Relapse rates, disability progression, MRI measures</w:t>
            </w:r>
          </w:p>
        </w:tc>
      </w:tr>
      <w:tr w:rsidR="005734C0" w:rsidRPr="00585AAB" w:rsidTr="005734C0">
        <w:tc>
          <w:tcPr>
            <w:tcW w:w="678" w:type="pct"/>
            <w:shd w:val="clear" w:color="auto" w:fill="auto"/>
            <w:vAlign w:val="center"/>
          </w:tcPr>
          <w:p w:rsidR="005734C0" w:rsidRPr="00585AAB" w:rsidRDefault="005734C0" w:rsidP="00936727">
            <w:pPr>
              <w:pStyle w:val="TableText1"/>
              <w:rPr>
                <w:rFonts w:eastAsia="Times New Roman" w:cs="Times New Roman"/>
              </w:rPr>
            </w:pPr>
            <w:r w:rsidRPr="00585AAB">
              <w:rPr>
                <w:rFonts w:cs="Times New Roman"/>
              </w:rPr>
              <w:t>OPERA-II</w:t>
            </w:r>
          </w:p>
        </w:tc>
        <w:tc>
          <w:tcPr>
            <w:tcW w:w="426" w:type="pct"/>
            <w:shd w:val="clear" w:color="auto" w:fill="auto"/>
            <w:vAlign w:val="center"/>
          </w:tcPr>
          <w:p w:rsidR="005734C0" w:rsidRPr="00585AAB" w:rsidRDefault="005734C0" w:rsidP="00936727">
            <w:pPr>
              <w:pStyle w:val="TableText1"/>
              <w:jc w:val="center"/>
              <w:rPr>
                <w:rFonts w:eastAsia="Times New Roman" w:cs="Times New Roman"/>
              </w:rPr>
            </w:pPr>
            <w:r w:rsidRPr="00585AAB">
              <w:rPr>
                <w:rFonts w:eastAsia="Times New Roman" w:cs="Times New Roman"/>
              </w:rPr>
              <w:t>835</w:t>
            </w:r>
          </w:p>
        </w:tc>
        <w:tc>
          <w:tcPr>
            <w:tcW w:w="1174" w:type="pct"/>
            <w:shd w:val="clear" w:color="auto" w:fill="auto"/>
            <w:vAlign w:val="center"/>
          </w:tcPr>
          <w:p w:rsidR="005734C0" w:rsidRPr="00585AAB" w:rsidRDefault="005734C0" w:rsidP="00936727">
            <w:pPr>
              <w:pStyle w:val="TableText1"/>
              <w:jc w:val="center"/>
              <w:rPr>
                <w:rFonts w:eastAsia="Times New Roman" w:cs="Times New Roman"/>
              </w:rPr>
            </w:pPr>
            <w:r w:rsidRPr="00585AAB">
              <w:rPr>
                <w:rFonts w:cs="Times New Roman"/>
              </w:rPr>
              <w:t>MC, R, DB, PG (96 weeks)</w:t>
            </w:r>
          </w:p>
        </w:tc>
        <w:tc>
          <w:tcPr>
            <w:tcW w:w="469" w:type="pct"/>
            <w:shd w:val="clear" w:color="auto" w:fill="auto"/>
            <w:vAlign w:val="center"/>
          </w:tcPr>
          <w:p w:rsidR="005734C0" w:rsidRPr="00585AAB" w:rsidRDefault="005734C0" w:rsidP="00936727">
            <w:pPr>
              <w:pStyle w:val="TableText1"/>
              <w:jc w:val="center"/>
              <w:rPr>
                <w:rFonts w:eastAsia="Times New Roman" w:cs="Times New Roman"/>
              </w:rPr>
            </w:pPr>
            <w:r w:rsidRPr="00585AAB">
              <w:rPr>
                <w:rFonts w:cs="Times New Roman"/>
              </w:rPr>
              <w:t>Low</w:t>
            </w:r>
          </w:p>
        </w:tc>
        <w:tc>
          <w:tcPr>
            <w:tcW w:w="936" w:type="pct"/>
            <w:shd w:val="clear" w:color="auto" w:fill="auto"/>
            <w:vAlign w:val="center"/>
          </w:tcPr>
          <w:p w:rsidR="005734C0" w:rsidRPr="00585AAB" w:rsidRDefault="005734C0" w:rsidP="00936727">
            <w:pPr>
              <w:pStyle w:val="TableText1"/>
              <w:jc w:val="center"/>
              <w:rPr>
                <w:rFonts w:eastAsia="Times New Roman" w:cs="Times New Roman"/>
              </w:rPr>
            </w:pPr>
            <w:r w:rsidRPr="00585AAB">
              <w:rPr>
                <w:rFonts w:cs="Times New Roman"/>
              </w:rPr>
              <w:t>RMS patients with active disease</w:t>
            </w:r>
          </w:p>
        </w:tc>
        <w:tc>
          <w:tcPr>
            <w:tcW w:w="1317" w:type="pct"/>
            <w:shd w:val="clear" w:color="auto" w:fill="auto"/>
            <w:vAlign w:val="center"/>
          </w:tcPr>
          <w:p w:rsidR="005734C0" w:rsidRPr="00585AAB" w:rsidRDefault="005734C0" w:rsidP="00936727">
            <w:pPr>
              <w:pStyle w:val="TableText1"/>
              <w:jc w:val="center"/>
              <w:rPr>
                <w:rFonts w:eastAsia="Times New Roman" w:cs="Times New Roman"/>
              </w:rPr>
            </w:pPr>
            <w:r w:rsidRPr="00585AAB">
              <w:rPr>
                <w:rFonts w:cs="Times New Roman"/>
              </w:rPr>
              <w:t>Relapse rates, disability progression, MRI measures</w:t>
            </w:r>
          </w:p>
        </w:tc>
      </w:tr>
      <w:tr w:rsidR="002A1642" w:rsidRPr="00585AAB" w:rsidTr="002A1642">
        <w:tc>
          <w:tcPr>
            <w:tcW w:w="678" w:type="pct"/>
            <w:shd w:val="clear" w:color="auto" w:fill="auto"/>
            <w:vAlign w:val="center"/>
          </w:tcPr>
          <w:p w:rsidR="002A1642" w:rsidRPr="00585AAB" w:rsidRDefault="002A1642" w:rsidP="00936727">
            <w:pPr>
              <w:pStyle w:val="TableText1"/>
              <w:rPr>
                <w:rFonts w:eastAsia="Times New Roman" w:cs="Times New Roman"/>
              </w:rPr>
            </w:pPr>
            <w:r w:rsidRPr="00585AAB">
              <w:rPr>
                <w:rFonts w:cs="Times New Roman"/>
              </w:rPr>
              <w:t>Pooled OPERA analysis</w:t>
            </w:r>
          </w:p>
        </w:tc>
        <w:tc>
          <w:tcPr>
            <w:tcW w:w="426" w:type="pct"/>
            <w:shd w:val="clear" w:color="auto" w:fill="auto"/>
            <w:vAlign w:val="center"/>
          </w:tcPr>
          <w:p w:rsidR="002A1642" w:rsidRPr="00585AAB" w:rsidRDefault="002A1642" w:rsidP="00936727">
            <w:pPr>
              <w:pStyle w:val="TableText1"/>
              <w:jc w:val="center"/>
              <w:rPr>
                <w:rFonts w:eastAsia="Times New Roman" w:cs="Times New Roman"/>
              </w:rPr>
            </w:pPr>
            <w:r w:rsidRPr="00585AAB">
              <w:rPr>
                <w:rFonts w:eastAsia="Times New Roman" w:cs="Times New Roman"/>
              </w:rPr>
              <w:t>1,656</w:t>
            </w:r>
          </w:p>
        </w:tc>
        <w:tc>
          <w:tcPr>
            <w:tcW w:w="3896" w:type="pct"/>
            <w:gridSpan w:val="4"/>
            <w:shd w:val="clear" w:color="auto" w:fill="auto"/>
            <w:vAlign w:val="center"/>
          </w:tcPr>
          <w:p w:rsidR="002A1642" w:rsidRPr="00585AAB" w:rsidRDefault="002A1642" w:rsidP="00936727">
            <w:pPr>
              <w:pStyle w:val="TableText1"/>
              <w:rPr>
                <w:rFonts w:eastAsia="Times New Roman" w:cs="Times New Roman"/>
              </w:rPr>
            </w:pPr>
            <w:r w:rsidRPr="00585AAB">
              <w:rPr>
                <w:rFonts w:eastAsia="Times New Roman" w:cs="Times New Roman"/>
              </w:rPr>
              <w:t>Pooled analysis of individual patient data from the OPERA-I and OPERA-II trials</w:t>
            </w:r>
          </w:p>
        </w:tc>
      </w:tr>
    </w:tbl>
    <w:p w:rsidR="00137F8D" w:rsidRPr="00585AAB" w:rsidRDefault="0008703A" w:rsidP="00281D8E">
      <w:pPr>
        <w:pStyle w:val="TableFooter"/>
        <w:spacing w:after="240"/>
      </w:pPr>
      <w:r w:rsidRPr="00585AAB">
        <w:t>Abbreviations: DB, double blind; MC, multi-centre; MRI, magnetic resonance imaging; PG, parallel group; R, randomised; RMS, relapsing forms of multiple sclerosis.</w:t>
      </w:r>
    </w:p>
    <w:p w:rsidR="00137F8D" w:rsidRPr="00585AAB" w:rsidRDefault="00137F8D" w:rsidP="00281D8E">
      <w:pPr>
        <w:pStyle w:val="TableFooter"/>
        <w:spacing w:after="240"/>
      </w:pPr>
      <w:r w:rsidRPr="00585AAB">
        <w:t>Source: compiled during the evaluation</w:t>
      </w:r>
    </w:p>
    <w:p w:rsidR="00137F8D" w:rsidRPr="00585AAB" w:rsidRDefault="005734C0" w:rsidP="006F1208">
      <w:pPr>
        <w:pStyle w:val="ESnumberedparablue"/>
      </w:pPr>
      <w:r w:rsidRPr="00585AAB">
        <w:t xml:space="preserve">There were major exchangeability/transitivity issues between the OPERA trials and the other studies included in the indirect analyses and network meta-analyses. There </w:t>
      </w:r>
      <w:r w:rsidRPr="00585AAB">
        <w:lastRenderedPageBreak/>
        <w:t>were differences in study duration, disease type, diagnostic criteria, baseline disease activity, baseline disability, disease duration, use of prior therapies and outcome definitions.</w:t>
      </w:r>
    </w:p>
    <w:p w:rsidR="00137F8D" w:rsidRPr="00585AAB" w:rsidRDefault="00137F8D" w:rsidP="002B0D2A">
      <w:pPr>
        <w:pStyle w:val="Heading2"/>
        <w:keepNext/>
        <w:keepLines/>
        <w:widowControl/>
        <w:spacing w:before="240" w:after="120"/>
        <w:rPr>
          <w:rFonts w:asciiTheme="minorHAnsi" w:eastAsiaTheme="majorEastAsia" w:hAnsiTheme="minorHAnsi" w:cstheme="majorBidi"/>
          <w:i/>
          <w:snapToGrid/>
          <w:sz w:val="28"/>
          <w:szCs w:val="28"/>
        </w:rPr>
      </w:pPr>
      <w:bookmarkStart w:id="21" w:name="_Toc413139278"/>
      <w:bookmarkStart w:id="22" w:name="_Toc476306888"/>
      <w:bookmarkStart w:id="23" w:name="_Toc482796750"/>
      <w:r w:rsidRPr="00585AAB">
        <w:rPr>
          <w:rFonts w:asciiTheme="minorHAnsi" w:eastAsiaTheme="majorEastAsia" w:hAnsiTheme="minorHAnsi" w:cstheme="majorBidi"/>
          <w:i/>
          <w:snapToGrid/>
          <w:sz w:val="28"/>
          <w:szCs w:val="28"/>
        </w:rPr>
        <w:t>Comparative effectiveness</w:t>
      </w:r>
      <w:bookmarkEnd w:id="21"/>
      <w:bookmarkEnd w:id="22"/>
      <w:bookmarkEnd w:id="23"/>
      <w:r w:rsidRPr="00585AAB">
        <w:rPr>
          <w:rFonts w:asciiTheme="minorHAnsi" w:eastAsiaTheme="majorEastAsia" w:hAnsiTheme="minorHAnsi" w:cstheme="majorBidi"/>
          <w:i/>
          <w:snapToGrid/>
          <w:sz w:val="28"/>
          <w:szCs w:val="28"/>
        </w:rPr>
        <w:t xml:space="preserve"> </w:t>
      </w:r>
    </w:p>
    <w:p w:rsidR="00137F8D" w:rsidRPr="00585AAB" w:rsidRDefault="00F7785A" w:rsidP="006F1208">
      <w:pPr>
        <w:pStyle w:val="ESnumberedparablue"/>
      </w:pPr>
      <w:r w:rsidRPr="00585AAB">
        <w:t>The results of the d</w:t>
      </w:r>
      <w:r w:rsidR="002B0D2A" w:rsidRPr="00585AAB">
        <w:t>irect comparison of key relapse and disability outcomes between ocrelizumab and SC interferon beta-1a in the OPERA trials</w:t>
      </w:r>
      <w:r w:rsidRPr="00585AAB">
        <w:t xml:space="preserve"> are summarised in the table below</w:t>
      </w:r>
      <w:r w:rsidR="002B0D2A" w:rsidRPr="00585AAB">
        <w:t>.</w:t>
      </w:r>
    </w:p>
    <w:p w:rsidR="00EE1047" w:rsidRPr="00585AAB" w:rsidRDefault="00EE1047" w:rsidP="00EE1047">
      <w:pPr>
        <w:pStyle w:val="ListParagraph"/>
        <w:keepNext/>
        <w:keepLines/>
        <w:spacing w:before="240" w:after="60"/>
        <w:ind w:left="0"/>
        <w:jc w:val="left"/>
        <w:rPr>
          <w:rStyle w:val="CommentReference"/>
        </w:rPr>
      </w:pPr>
      <w:r w:rsidRPr="00585AAB">
        <w:rPr>
          <w:rStyle w:val="CommentReference"/>
        </w:rPr>
        <w:t xml:space="preserve">Table </w:t>
      </w:r>
      <w:r w:rsidR="00921C12">
        <w:rPr>
          <w:rStyle w:val="CommentReference"/>
          <w:noProof/>
        </w:rPr>
        <w:t>4</w:t>
      </w:r>
      <w:r w:rsidRPr="00585AAB">
        <w:rPr>
          <w:rStyle w:val="CommentReference"/>
        </w:rPr>
        <w:t>: Key relapse and disability outcomes between ocrelizumab and SC interferon beta-1a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21"/>
        <w:gridCol w:w="2221"/>
        <w:gridCol w:w="2221"/>
      </w:tblGrid>
      <w:tr w:rsidR="002B0D2A" w:rsidRPr="00585AAB" w:rsidTr="008E4CD0">
        <w:trPr>
          <w:trHeight w:val="132"/>
          <w:tblHeader/>
        </w:trPr>
        <w:tc>
          <w:tcPr>
            <w:tcW w:w="2410" w:type="dxa"/>
            <w:vAlign w:val="center"/>
          </w:tcPr>
          <w:p w:rsidR="002B0D2A" w:rsidRPr="00585AAB" w:rsidRDefault="002B0D2A" w:rsidP="00F24830">
            <w:pPr>
              <w:keepNext/>
              <w:keepLines/>
              <w:spacing w:before="40" w:after="40"/>
              <w:rPr>
                <w:rFonts w:ascii="Arial Narrow" w:hAnsi="Arial Narrow"/>
                <w:b/>
                <w:sz w:val="20"/>
              </w:rPr>
            </w:pPr>
            <w:r w:rsidRPr="00585AAB">
              <w:rPr>
                <w:rFonts w:ascii="Arial Narrow" w:hAnsi="Arial Narrow"/>
                <w:b/>
                <w:sz w:val="20"/>
              </w:rPr>
              <w:t>Trial</w:t>
            </w:r>
          </w:p>
        </w:tc>
        <w:tc>
          <w:tcPr>
            <w:tcW w:w="2221" w:type="dxa"/>
            <w:vAlign w:val="center"/>
          </w:tcPr>
          <w:p w:rsidR="002B0D2A" w:rsidRPr="00585AAB" w:rsidRDefault="002B0D2A" w:rsidP="00F24830">
            <w:pPr>
              <w:keepNext/>
              <w:keepLines/>
              <w:spacing w:before="40" w:after="40"/>
              <w:jc w:val="center"/>
              <w:rPr>
                <w:rFonts w:ascii="Arial Narrow" w:hAnsi="Arial Narrow"/>
                <w:b/>
                <w:sz w:val="20"/>
              </w:rPr>
            </w:pPr>
            <w:r w:rsidRPr="00585AAB">
              <w:rPr>
                <w:rFonts w:ascii="Arial Narrow" w:hAnsi="Arial Narrow"/>
                <w:b/>
                <w:sz w:val="20"/>
              </w:rPr>
              <w:t>Ocrelizumab</w:t>
            </w:r>
          </w:p>
        </w:tc>
        <w:tc>
          <w:tcPr>
            <w:tcW w:w="2221" w:type="dxa"/>
            <w:vAlign w:val="center"/>
          </w:tcPr>
          <w:p w:rsidR="002B0D2A" w:rsidRPr="00585AAB" w:rsidRDefault="002B0D2A" w:rsidP="00F24830">
            <w:pPr>
              <w:keepNext/>
              <w:keepLines/>
              <w:spacing w:before="40" w:after="40"/>
              <w:jc w:val="center"/>
              <w:rPr>
                <w:rFonts w:ascii="Arial Narrow" w:hAnsi="Arial Narrow"/>
                <w:b/>
                <w:sz w:val="20"/>
              </w:rPr>
            </w:pPr>
            <w:r w:rsidRPr="00585AAB">
              <w:rPr>
                <w:rFonts w:ascii="Arial Narrow" w:hAnsi="Arial Narrow"/>
                <w:b/>
                <w:sz w:val="20"/>
              </w:rPr>
              <w:t>SC interferon beta-1a</w:t>
            </w:r>
          </w:p>
        </w:tc>
        <w:tc>
          <w:tcPr>
            <w:tcW w:w="2221" w:type="dxa"/>
            <w:vAlign w:val="center"/>
          </w:tcPr>
          <w:p w:rsidR="002B0D2A" w:rsidRPr="00585AAB" w:rsidRDefault="002B0D2A" w:rsidP="00F24830">
            <w:pPr>
              <w:keepNext/>
              <w:keepLines/>
              <w:spacing w:before="40" w:after="40"/>
              <w:jc w:val="center"/>
              <w:rPr>
                <w:rFonts w:ascii="Arial Narrow" w:hAnsi="Arial Narrow"/>
                <w:b/>
                <w:sz w:val="20"/>
              </w:rPr>
            </w:pPr>
            <w:r w:rsidRPr="00585AAB">
              <w:rPr>
                <w:rFonts w:ascii="Arial Narrow" w:hAnsi="Arial Narrow"/>
                <w:b/>
                <w:sz w:val="20"/>
              </w:rPr>
              <w:t>Treatment difference (95% CI)</w:t>
            </w:r>
          </w:p>
        </w:tc>
      </w:tr>
      <w:tr w:rsidR="002B0D2A" w:rsidRPr="00585AAB" w:rsidTr="008E4CD0">
        <w:tc>
          <w:tcPr>
            <w:tcW w:w="9073" w:type="dxa"/>
            <w:gridSpan w:val="4"/>
            <w:vAlign w:val="center"/>
          </w:tcPr>
          <w:p w:rsidR="002B0D2A" w:rsidRPr="00585AAB" w:rsidRDefault="002B0D2A" w:rsidP="00F24830">
            <w:pPr>
              <w:keepNext/>
              <w:keepLines/>
              <w:spacing w:before="40" w:after="40"/>
              <w:jc w:val="left"/>
              <w:rPr>
                <w:rFonts w:ascii="Arial Narrow" w:hAnsi="Arial Narrow"/>
                <w:b/>
                <w:sz w:val="20"/>
                <w:vertAlign w:val="superscript"/>
              </w:rPr>
            </w:pPr>
            <w:r w:rsidRPr="00585AAB">
              <w:rPr>
                <w:rFonts w:ascii="Arial Narrow" w:hAnsi="Arial Narrow"/>
                <w:b/>
                <w:sz w:val="20"/>
              </w:rPr>
              <w:t>Protocol-defined annualised relapse rate (relapse rate, 95% CI)</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OPERA-I</w:t>
            </w:r>
          </w:p>
        </w:tc>
        <w:tc>
          <w:tcPr>
            <w:tcW w:w="2221" w:type="dxa"/>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0.156 (0.122, 0.200)</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N = 410</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0.292 (0.235, 0.361)</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N = 411</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Rate ratio: 0.536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(0.400, 0.719)</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OPERA-II</w:t>
            </w:r>
          </w:p>
        </w:tc>
        <w:tc>
          <w:tcPr>
            <w:tcW w:w="2221" w:type="dxa"/>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0.155 (0.121, 0.198)</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N = 417</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0.290 (0.234, 0.361)</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N = 418</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Rate ratio: 0.532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(0.397, 0.714)</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Pooled analysis</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0.156 (0.131, 0.186)</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N = 827</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0.291 (0.250, 0.339)</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N = 829</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Rate ratio: 0.535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(0.435, 0.659)</w:t>
            </w:r>
          </w:p>
        </w:tc>
      </w:tr>
      <w:tr w:rsidR="002B0D2A" w:rsidRPr="00585AAB" w:rsidTr="008E4CD0">
        <w:tc>
          <w:tcPr>
            <w:tcW w:w="9073" w:type="dxa"/>
            <w:gridSpan w:val="4"/>
            <w:vAlign w:val="center"/>
          </w:tcPr>
          <w:p w:rsidR="002B0D2A" w:rsidRPr="00585AAB" w:rsidRDefault="002B0D2A" w:rsidP="00F24830">
            <w:pPr>
              <w:keepNext/>
              <w:keepLines/>
              <w:spacing w:before="40" w:after="40"/>
              <w:jc w:val="left"/>
              <w:rPr>
                <w:rFonts w:ascii="Arial Narrow" w:hAnsi="Arial Narrow"/>
                <w:b/>
                <w:sz w:val="20"/>
              </w:rPr>
            </w:pPr>
            <w:r w:rsidRPr="00585AAB">
              <w:rPr>
                <w:rFonts w:ascii="Arial Narrow" w:hAnsi="Arial Narrow"/>
                <w:b/>
                <w:sz w:val="20"/>
              </w:rPr>
              <w:t>Confirmed 3-month disability progression (proportion with event, n/N)</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OPERA-I</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7.6%</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(31/410)</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12.2%</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(50/411)</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Hazard ratio: 0.57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(0.37, 0.90)</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OPERA-II</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10.6%</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(44/417)</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15.1%</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(63/418)</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Hazard ratio: 0.63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(0.42, 0.92)</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Pooled analysis</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9.1%</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(75/827)</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13.6%</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(113/829)</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Hazard ratio: 0.60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(0.45, 0.81)</w:t>
            </w:r>
          </w:p>
        </w:tc>
      </w:tr>
      <w:tr w:rsidR="002B0D2A" w:rsidRPr="00585AAB" w:rsidTr="008E4CD0">
        <w:tc>
          <w:tcPr>
            <w:tcW w:w="9073" w:type="dxa"/>
            <w:gridSpan w:val="4"/>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b/>
                <w:sz w:val="20"/>
              </w:rPr>
              <w:t>Confirmed 6-month disability progression (proportion with event, n/N)</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OPERA-I</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5.9%</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(24/410)</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9.5%</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(39/411)</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Hazard ratio: 0.57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(0.34, 0.95)</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OPERA-II</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7.9%</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(33/417)</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11.5%</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(48/418)</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Hazard ratio: 0.63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(0.40, 0.98)</w:t>
            </w:r>
          </w:p>
        </w:tc>
      </w:tr>
      <w:tr w:rsidR="002B0D2A" w:rsidRPr="00585AAB" w:rsidTr="008E4CD0">
        <w:tc>
          <w:tcPr>
            <w:tcW w:w="2410" w:type="dxa"/>
            <w:vAlign w:val="center"/>
          </w:tcPr>
          <w:p w:rsidR="002B0D2A" w:rsidRPr="00585AAB" w:rsidRDefault="002B0D2A" w:rsidP="00F24830">
            <w:pPr>
              <w:keepNext/>
              <w:keepLines/>
              <w:spacing w:before="40" w:after="40"/>
              <w:jc w:val="left"/>
              <w:rPr>
                <w:rFonts w:ascii="Arial Narrow" w:hAnsi="Arial Narrow"/>
                <w:sz w:val="20"/>
              </w:rPr>
            </w:pPr>
            <w:r w:rsidRPr="00585AAB">
              <w:rPr>
                <w:rFonts w:ascii="Arial Narrow" w:hAnsi="Arial Narrow"/>
                <w:sz w:val="20"/>
              </w:rPr>
              <w:t>Pooled analysis</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6.9%</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(57/827)</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10.5%</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(87/829)</w:t>
            </w:r>
          </w:p>
        </w:tc>
        <w:tc>
          <w:tcPr>
            <w:tcW w:w="2221" w:type="dxa"/>
            <w:vAlign w:val="center"/>
          </w:tcPr>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 xml:space="preserve">Hazard ratio: 0.60 </w:t>
            </w:r>
          </w:p>
          <w:p w:rsidR="002B0D2A" w:rsidRPr="00585AAB" w:rsidRDefault="002B0D2A" w:rsidP="00F24830">
            <w:pPr>
              <w:keepNext/>
              <w:keepLines/>
              <w:spacing w:before="40" w:after="40"/>
              <w:jc w:val="center"/>
              <w:rPr>
                <w:rFonts w:ascii="Arial Narrow" w:hAnsi="Arial Narrow"/>
                <w:sz w:val="20"/>
              </w:rPr>
            </w:pPr>
            <w:r w:rsidRPr="00585AAB">
              <w:rPr>
                <w:rFonts w:ascii="Arial Narrow" w:hAnsi="Arial Narrow"/>
                <w:sz w:val="20"/>
              </w:rPr>
              <w:t>(0.43, 0.84)</w:t>
            </w:r>
          </w:p>
        </w:tc>
      </w:tr>
    </w:tbl>
    <w:p w:rsidR="002B0D2A" w:rsidRPr="00585AAB" w:rsidRDefault="002B0D2A" w:rsidP="00F24830">
      <w:pPr>
        <w:pStyle w:val="ListParagraph"/>
        <w:keepNext/>
        <w:keepLines/>
        <w:ind w:left="0"/>
        <w:rPr>
          <w:rFonts w:ascii="Arial Narrow" w:hAnsi="Arial Narrow"/>
          <w:sz w:val="18"/>
          <w:szCs w:val="18"/>
        </w:rPr>
      </w:pPr>
      <w:r w:rsidRPr="00585AAB">
        <w:rPr>
          <w:rFonts w:ascii="Arial Narrow" w:hAnsi="Arial Narrow"/>
          <w:sz w:val="18"/>
          <w:szCs w:val="18"/>
        </w:rPr>
        <w:t>Abbreviations: CI, confidence interval; SC, subcutaneous</w:t>
      </w:r>
    </w:p>
    <w:p w:rsidR="002B0D2A" w:rsidRPr="00585AAB" w:rsidRDefault="002B0D2A" w:rsidP="00F24830">
      <w:pPr>
        <w:pStyle w:val="ListParagraph"/>
        <w:keepNext/>
        <w:keepLines/>
        <w:spacing w:after="240"/>
        <w:ind w:left="0"/>
        <w:rPr>
          <w:rFonts w:ascii="Arial Narrow" w:hAnsi="Arial Narrow"/>
          <w:sz w:val="18"/>
          <w:szCs w:val="18"/>
        </w:rPr>
      </w:pPr>
      <w:r w:rsidRPr="00585AAB">
        <w:rPr>
          <w:rFonts w:ascii="Arial Narrow" w:hAnsi="Arial Narrow"/>
          <w:sz w:val="18"/>
          <w:szCs w:val="18"/>
        </w:rPr>
        <w:t>Source: Table 17 (p 109-110), Table 22 (p 119), Table 24 (p 125) and p 903 of the OPERA-I trial report; Table 17 (p 108-109), Table 22 (p 118), Table 24 (p 125) and p 928 of the OPERA-II trial report; Table 7 (p 52-53), Table 10 (p 57), Table 12 (p 63) of the OPERA I &amp; II Pooled Analysis 2016</w:t>
      </w:r>
    </w:p>
    <w:p w:rsidR="002B0D2A" w:rsidRPr="00585AAB" w:rsidRDefault="002B0D2A" w:rsidP="006F1208">
      <w:pPr>
        <w:pStyle w:val="ESnumberedparablue"/>
      </w:pPr>
      <w:r w:rsidRPr="00585AAB">
        <w:t xml:space="preserve">Treatment with ocrelizumab was associated with a statistically significant reduction in relapses and was associated with a statistically significant delay in disability progression compared to SC interferon beta-1a. The </w:t>
      </w:r>
      <w:r w:rsidR="00F7785A" w:rsidRPr="00585AAB">
        <w:t xml:space="preserve">OPERA </w:t>
      </w:r>
      <w:r w:rsidRPr="00585AAB">
        <w:t>trial reports noted that there were some differences in treatment effects across patient subgroups with ocrelizumab associated with larger relapse reductions in young</w:t>
      </w:r>
      <w:r w:rsidR="00F7785A" w:rsidRPr="00585AAB">
        <w:t>er patients and patients with Gd</w:t>
      </w:r>
      <w:r w:rsidRPr="00585AAB">
        <w:t>-enhancing lesions</w:t>
      </w:r>
      <w:r w:rsidR="00CA200E">
        <w:t xml:space="preserve">. However, it </w:t>
      </w:r>
      <w:r w:rsidRPr="00585AAB">
        <w:t xml:space="preserve">was less effective in delaying relapses for patients with higher baseline weight and BMI (no </w:t>
      </w:r>
      <w:r w:rsidR="002D7567" w:rsidRPr="00585AAB">
        <w:t xml:space="preserve">apparent </w:t>
      </w:r>
      <w:r w:rsidRPr="00585AAB">
        <w:t xml:space="preserve">difference </w:t>
      </w:r>
      <w:r w:rsidRPr="00585AAB">
        <w:lastRenderedPageBreak/>
        <w:t>from SC interferon beta-1a).</w:t>
      </w:r>
      <w:r w:rsidR="00783851" w:rsidRPr="00585AAB">
        <w:t xml:space="preserve"> The PSCR</w:t>
      </w:r>
      <w:r w:rsidR="0079775D" w:rsidRPr="00585AAB">
        <w:t xml:space="preserve"> (p</w:t>
      </w:r>
      <w:r w:rsidR="00605EFC" w:rsidRPr="00585AAB">
        <w:t>1)</w:t>
      </w:r>
      <w:r w:rsidR="00783851" w:rsidRPr="00585AAB">
        <w:t xml:space="preserve"> argued </w:t>
      </w:r>
      <w:r w:rsidR="00914CA2" w:rsidRPr="00585AAB">
        <w:t xml:space="preserve">that </w:t>
      </w:r>
      <w:r w:rsidR="00783851" w:rsidRPr="00585AAB">
        <w:t xml:space="preserve">the subgroup analyses were exploratory and </w:t>
      </w:r>
      <w:r w:rsidR="00914CA2" w:rsidRPr="00585AAB">
        <w:t xml:space="preserve">that </w:t>
      </w:r>
      <w:r w:rsidR="00783851" w:rsidRPr="00585AAB">
        <w:t>there was no evidence to suggest that response to therapy was dependent on age, weight, or the presence of Gd-enhancing lesions.</w:t>
      </w:r>
    </w:p>
    <w:p w:rsidR="00B91167" w:rsidRPr="00585AAB" w:rsidRDefault="00F7785A" w:rsidP="00A54CB2">
      <w:pPr>
        <w:pStyle w:val="ListParagraph"/>
        <w:numPr>
          <w:ilvl w:val="1"/>
          <w:numId w:val="11"/>
        </w:numPr>
        <w:spacing w:before="120" w:after="160"/>
        <w:contextualSpacing w:val="0"/>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The results of the i</w:t>
      </w:r>
      <w:r w:rsidR="00B91167" w:rsidRPr="00585AAB">
        <w:rPr>
          <w:rFonts w:asciiTheme="minorHAnsi" w:eastAsiaTheme="minorHAnsi" w:hAnsiTheme="minorHAnsi" w:cstheme="minorBidi"/>
          <w:snapToGrid/>
          <w:sz w:val="24"/>
          <w:szCs w:val="22"/>
        </w:rPr>
        <w:t>ndirect comparison of key relapse and disability outcomes between ocrelizumab and nominated main comparators (alemtuzumab, fingolimod and natalizumab)</w:t>
      </w:r>
      <w:r w:rsidRPr="00585AAB">
        <w:rPr>
          <w:rFonts w:asciiTheme="minorHAnsi" w:eastAsiaTheme="minorHAnsi" w:hAnsiTheme="minorHAnsi" w:cstheme="minorBidi"/>
          <w:snapToGrid/>
          <w:sz w:val="24"/>
          <w:szCs w:val="22"/>
        </w:rPr>
        <w:t xml:space="preserve"> are summarised in the table below</w:t>
      </w:r>
      <w:r w:rsidR="00B91167" w:rsidRPr="00585AAB">
        <w:rPr>
          <w:rFonts w:asciiTheme="minorHAnsi" w:eastAsiaTheme="minorHAnsi" w:hAnsiTheme="minorHAnsi" w:cstheme="minorBidi"/>
          <w:snapToGrid/>
          <w:sz w:val="24"/>
          <w:szCs w:val="22"/>
        </w:rPr>
        <w:t>.</w:t>
      </w:r>
    </w:p>
    <w:p w:rsidR="00EE1047" w:rsidRPr="00585AAB" w:rsidRDefault="00EE1047" w:rsidP="00EE1047">
      <w:pPr>
        <w:pStyle w:val="ListParagraph"/>
        <w:keepNext/>
        <w:keepLines/>
        <w:spacing w:before="240" w:after="60"/>
        <w:ind w:left="0"/>
        <w:jc w:val="left"/>
        <w:rPr>
          <w:rStyle w:val="CommentReference"/>
        </w:rPr>
      </w:pPr>
      <w:r w:rsidRPr="00585AAB">
        <w:rPr>
          <w:rStyle w:val="CommentReference"/>
        </w:rPr>
        <w:t xml:space="preserve">Table </w:t>
      </w:r>
      <w:r w:rsidR="00921C12">
        <w:rPr>
          <w:rStyle w:val="CommentReference"/>
          <w:noProof/>
        </w:rPr>
        <w:t>5</w:t>
      </w:r>
      <w:r w:rsidRPr="00585AAB">
        <w:rPr>
          <w:rStyle w:val="CommentReference"/>
        </w:rPr>
        <w:t>: Key relapse and disability outcomes between ocrelizumab, alemtuzumab, fingolimod and natalizumab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21"/>
        <w:gridCol w:w="2221"/>
        <w:gridCol w:w="2221"/>
      </w:tblGrid>
      <w:tr w:rsidR="00B91167" w:rsidRPr="00585AAB" w:rsidTr="008E4CD0">
        <w:trPr>
          <w:trHeight w:val="132"/>
          <w:tblHeader/>
        </w:trPr>
        <w:tc>
          <w:tcPr>
            <w:tcW w:w="2410" w:type="dxa"/>
            <w:vAlign w:val="center"/>
          </w:tcPr>
          <w:p w:rsidR="00B91167" w:rsidRPr="00585AAB" w:rsidRDefault="00B91167" w:rsidP="00F24830">
            <w:pPr>
              <w:keepNext/>
              <w:keepLines/>
              <w:spacing w:before="40" w:after="40"/>
              <w:rPr>
                <w:rFonts w:ascii="Arial Narrow" w:hAnsi="Arial Narrow"/>
                <w:b/>
                <w:sz w:val="20"/>
              </w:rPr>
            </w:pPr>
            <w:r w:rsidRPr="00585AAB">
              <w:rPr>
                <w:rFonts w:ascii="Arial Narrow" w:hAnsi="Arial Narrow"/>
                <w:b/>
                <w:sz w:val="20"/>
              </w:rPr>
              <w:t>Trial</w:t>
            </w:r>
          </w:p>
        </w:tc>
        <w:tc>
          <w:tcPr>
            <w:tcW w:w="2221" w:type="dxa"/>
            <w:vAlign w:val="center"/>
          </w:tcPr>
          <w:p w:rsidR="00031EAD" w:rsidRPr="00585AAB" w:rsidRDefault="00031EAD" w:rsidP="00F24830">
            <w:pPr>
              <w:keepNext/>
              <w:keepLines/>
              <w:spacing w:before="40" w:after="40"/>
              <w:jc w:val="center"/>
              <w:rPr>
                <w:rFonts w:ascii="Arial Narrow" w:hAnsi="Arial Narrow"/>
                <w:b/>
                <w:sz w:val="20"/>
              </w:rPr>
            </w:pPr>
            <w:r w:rsidRPr="00585AAB">
              <w:rPr>
                <w:rFonts w:ascii="Arial Narrow" w:hAnsi="Arial Narrow"/>
                <w:b/>
                <w:sz w:val="20"/>
              </w:rPr>
              <w:t xml:space="preserve">Annualised </w:t>
            </w:r>
          </w:p>
          <w:p w:rsidR="00B91167" w:rsidRPr="00585AAB" w:rsidRDefault="00031EAD" w:rsidP="00F24830">
            <w:pPr>
              <w:keepNext/>
              <w:keepLines/>
              <w:spacing w:before="40" w:after="40"/>
              <w:jc w:val="center"/>
              <w:rPr>
                <w:rFonts w:ascii="Arial Narrow" w:hAnsi="Arial Narrow"/>
                <w:b/>
                <w:sz w:val="20"/>
              </w:rPr>
            </w:pPr>
            <w:r w:rsidRPr="00585AAB">
              <w:rPr>
                <w:rFonts w:ascii="Arial Narrow" w:hAnsi="Arial Narrow"/>
                <w:b/>
                <w:sz w:val="20"/>
              </w:rPr>
              <w:t>relapse rate</w:t>
            </w:r>
          </w:p>
        </w:tc>
        <w:tc>
          <w:tcPr>
            <w:tcW w:w="2221" w:type="dxa"/>
            <w:vAlign w:val="center"/>
          </w:tcPr>
          <w:p w:rsidR="00B91167" w:rsidRPr="00585AAB" w:rsidRDefault="00031EAD" w:rsidP="00F24830">
            <w:pPr>
              <w:keepNext/>
              <w:keepLines/>
              <w:spacing w:before="40" w:after="40"/>
              <w:jc w:val="center"/>
              <w:rPr>
                <w:rFonts w:ascii="Arial Narrow" w:hAnsi="Arial Narrow"/>
                <w:b/>
                <w:sz w:val="20"/>
              </w:rPr>
            </w:pPr>
            <w:r w:rsidRPr="00585AAB">
              <w:rPr>
                <w:rFonts w:ascii="Arial Narrow" w:hAnsi="Arial Narrow"/>
                <w:b/>
                <w:sz w:val="20"/>
              </w:rPr>
              <w:t>Confirmed 3-month disability progression</w:t>
            </w:r>
          </w:p>
        </w:tc>
        <w:tc>
          <w:tcPr>
            <w:tcW w:w="2221" w:type="dxa"/>
            <w:vAlign w:val="center"/>
          </w:tcPr>
          <w:p w:rsidR="00B91167" w:rsidRPr="00585AAB" w:rsidRDefault="00031EAD" w:rsidP="00F24830">
            <w:pPr>
              <w:keepNext/>
              <w:keepLines/>
              <w:spacing w:before="40" w:after="40"/>
              <w:jc w:val="center"/>
              <w:rPr>
                <w:rFonts w:ascii="Arial Narrow" w:hAnsi="Arial Narrow"/>
                <w:b/>
                <w:sz w:val="20"/>
              </w:rPr>
            </w:pPr>
            <w:r w:rsidRPr="00585AAB">
              <w:rPr>
                <w:rFonts w:ascii="Arial Narrow" w:hAnsi="Arial Narrow"/>
                <w:b/>
                <w:sz w:val="20"/>
              </w:rPr>
              <w:t>Confirmed 6-month disability progression</w:t>
            </w:r>
          </w:p>
        </w:tc>
      </w:tr>
      <w:tr w:rsidR="00B91167" w:rsidRPr="00585AAB" w:rsidTr="008E4CD0">
        <w:tc>
          <w:tcPr>
            <w:tcW w:w="9073" w:type="dxa"/>
            <w:gridSpan w:val="4"/>
            <w:vAlign w:val="center"/>
          </w:tcPr>
          <w:p w:rsidR="00B91167" w:rsidRPr="00585AAB" w:rsidRDefault="00031EAD" w:rsidP="00F24830">
            <w:pPr>
              <w:keepNext/>
              <w:keepLines/>
              <w:spacing w:before="40" w:after="40"/>
              <w:jc w:val="left"/>
              <w:rPr>
                <w:rFonts w:ascii="Arial Narrow" w:hAnsi="Arial Narrow"/>
                <w:b/>
                <w:sz w:val="20"/>
              </w:rPr>
            </w:pPr>
            <w:r w:rsidRPr="00585AAB">
              <w:rPr>
                <w:rFonts w:ascii="Arial Narrow" w:hAnsi="Arial Narrow"/>
                <w:b/>
                <w:sz w:val="20"/>
              </w:rPr>
              <w:t>Ocrelizumab vs</w:t>
            </w:r>
            <w:r w:rsidR="00C1063B" w:rsidRPr="00585AAB">
              <w:rPr>
                <w:rFonts w:ascii="Arial Narrow" w:hAnsi="Arial Narrow"/>
                <w:b/>
                <w:sz w:val="20"/>
              </w:rPr>
              <w:t>.</w:t>
            </w:r>
            <w:r w:rsidRPr="00585AAB">
              <w:rPr>
                <w:rFonts w:ascii="Arial Narrow" w:hAnsi="Arial Narrow"/>
                <w:b/>
                <w:sz w:val="20"/>
              </w:rPr>
              <w:t xml:space="preserve"> alemtuzumab</w:t>
            </w:r>
          </w:p>
        </w:tc>
      </w:tr>
      <w:tr w:rsidR="00B91167" w:rsidRPr="00585AAB" w:rsidTr="008E4CD0">
        <w:tc>
          <w:tcPr>
            <w:tcW w:w="2410" w:type="dxa"/>
            <w:vAlign w:val="center"/>
          </w:tcPr>
          <w:p w:rsidR="00B91167" w:rsidRPr="00585AAB" w:rsidRDefault="00031EAD" w:rsidP="00F24830">
            <w:pPr>
              <w:keepNext/>
              <w:keepLines/>
              <w:spacing w:before="40" w:after="40"/>
              <w:jc w:val="left"/>
              <w:rPr>
                <w:rFonts w:ascii="Arial Narrow" w:hAnsi="Arial Narrow"/>
                <w:sz w:val="20"/>
              </w:rPr>
            </w:pPr>
            <w:r w:rsidRPr="00585AAB">
              <w:rPr>
                <w:rFonts w:ascii="Arial Narrow" w:hAnsi="Arial Narrow"/>
                <w:sz w:val="20"/>
              </w:rPr>
              <w:t>Single-step indirect comparison</w:t>
            </w:r>
          </w:p>
        </w:tc>
        <w:tc>
          <w:tcPr>
            <w:tcW w:w="2221" w:type="dxa"/>
          </w:tcPr>
          <w:p w:rsidR="00B91167"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r>
              <w:rPr>
                <w:rFonts w:ascii="Arial Narrow" w:hAnsi="Arial Narrow"/>
                <w:noProof/>
                <w:color w:val="000000"/>
                <w:sz w:val="20"/>
                <w:highlight w:val="black"/>
              </w:rPr>
              <w:br/>
              <w:t>'''''''''''''' ''''''''''''</w:t>
            </w:r>
          </w:p>
        </w:tc>
        <w:tc>
          <w:tcPr>
            <w:tcW w:w="2221" w:type="dxa"/>
            <w:vAlign w:val="center"/>
          </w:tcPr>
          <w:p w:rsidR="00B91167"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r>
              <w:rPr>
                <w:rFonts w:ascii="Arial Narrow" w:hAnsi="Arial Narrow"/>
                <w:noProof/>
                <w:color w:val="000000"/>
                <w:sz w:val="20"/>
                <w:highlight w:val="black"/>
              </w:rPr>
              <w:br/>
              <w:t>''''''''''''' ''''''''''''</w:t>
            </w:r>
          </w:p>
        </w:tc>
        <w:tc>
          <w:tcPr>
            <w:tcW w:w="2221" w:type="dxa"/>
            <w:vAlign w:val="center"/>
          </w:tcPr>
          <w:p w:rsidR="00B91167"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w:t>
            </w:r>
            <w:r>
              <w:rPr>
                <w:rFonts w:ascii="Arial Narrow" w:hAnsi="Arial Narrow"/>
                <w:noProof/>
                <w:color w:val="000000"/>
                <w:sz w:val="20"/>
                <w:highlight w:val="black"/>
              </w:rPr>
              <w:br/>
              <w:t>''''''''''' ''''''''''''''' ''''''''''''</w:t>
            </w:r>
          </w:p>
        </w:tc>
      </w:tr>
      <w:tr w:rsidR="00B91167" w:rsidRPr="00585AAB" w:rsidTr="008E4CD0">
        <w:tc>
          <w:tcPr>
            <w:tcW w:w="9073" w:type="dxa"/>
            <w:gridSpan w:val="4"/>
            <w:vAlign w:val="center"/>
          </w:tcPr>
          <w:p w:rsidR="00B91167" w:rsidRPr="00585AAB" w:rsidRDefault="00C1063B" w:rsidP="00F24830">
            <w:pPr>
              <w:keepNext/>
              <w:keepLines/>
              <w:spacing w:before="40" w:after="40"/>
              <w:jc w:val="left"/>
              <w:rPr>
                <w:rFonts w:ascii="Arial Narrow" w:hAnsi="Arial Narrow"/>
                <w:b/>
                <w:sz w:val="20"/>
              </w:rPr>
            </w:pPr>
            <w:r w:rsidRPr="00585AAB">
              <w:rPr>
                <w:rFonts w:ascii="Arial Narrow" w:hAnsi="Arial Narrow"/>
                <w:b/>
                <w:sz w:val="20"/>
              </w:rPr>
              <w:t>Ocrelizumab vs. fingolimod</w:t>
            </w:r>
          </w:p>
        </w:tc>
      </w:tr>
      <w:tr w:rsidR="00B91167" w:rsidRPr="00585AAB" w:rsidTr="008E4CD0">
        <w:tc>
          <w:tcPr>
            <w:tcW w:w="2410" w:type="dxa"/>
            <w:vAlign w:val="center"/>
          </w:tcPr>
          <w:p w:rsidR="00B91167" w:rsidRPr="00585AAB" w:rsidRDefault="00C1063B" w:rsidP="00F24830">
            <w:pPr>
              <w:keepNext/>
              <w:keepLines/>
              <w:spacing w:before="40" w:after="40"/>
              <w:jc w:val="left"/>
              <w:rPr>
                <w:rFonts w:ascii="Arial Narrow" w:hAnsi="Arial Narrow"/>
                <w:sz w:val="20"/>
              </w:rPr>
            </w:pPr>
            <w:r w:rsidRPr="00585AAB">
              <w:rPr>
                <w:rFonts w:ascii="Arial Narrow" w:hAnsi="Arial Narrow"/>
                <w:sz w:val="20"/>
              </w:rPr>
              <w:t>Multi-step indirect comparison (IM interferon beta-1a bridge)</w:t>
            </w:r>
          </w:p>
        </w:tc>
        <w:tc>
          <w:tcPr>
            <w:tcW w:w="2221" w:type="dxa"/>
            <w:vAlign w:val="center"/>
          </w:tcPr>
          <w:p w:rsidR="00C1063B"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B91167"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C1063B"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B91167"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042E62" w:rsidRPr="00F17251" w:rsidRDefault="00F17251" w:rsidP="00F24830">
            <w:pPr>
              <w:keepNext/>
              <w:keepLines/>
              <w:spacing w:before="40" w:after="40"/>
              <w:jc w:val="center"/>
              <w:rPr>
                <w:rFonts w:ascii="Arial Narrow" w:hAnsi="Arial Narrow"/>
                <w:b/>
                <w:sz w:val="20"/>
                <w:highlight w:val="black"/>
              </w:rPr>
            </w:pPr>
            <w:r>
              <w:rPr>
                <w:rFonts w:ascii="Arial Narrow" w:hAnsi="Arial Narrow"/>
                <w:b/>
                <w:noProof/>
                <w:color w:val="000000"/>
                <w:sz w:val="20"/>
                <w:highlight w:val="black"/>
              </w:rPr>
              <w:t>''''''''''''''' '''''''''' '''''''''</w:t>
            </w:r>
          </w:p>
          <w:p w:rsidR="00B91167" w:rsidRPr="00F17251" w:rsidRDefault="00F17251" w:rsidP="00F24830">
            <w:pPr>
              <w:keepNext/>
              <w:keepLines/>
              <w:spacing w:before="40" w:after="40"/>
              <w:jc w:val="center"/>
              <w:rPr>
                <w:rFonts w:ascii="Arial Narrow" w:hAnsi="Arial Narrow"/>
                <w:b/>
                <w:sz w:val="20"/>
                <w:highlight w:val="black"/>
              </w:rPr>
            </w:pPr>
            <w:r>
              <w:rPr>
                <w:rFonts w:ascii="Arial Narrow" w:hAnsi="Arial Narrow"/>
                <w:b/>
                <w:noProof/>
                <w:color w:val="000000"/>
                <w:sz w:val="20"/>
                <w:highlight w:val="black"/>
              </w:rPr>
              <w:t>'''''''''''' ''''''''''</w:t>
            </w:r>
          </w:p>
        </w:tc>
      </w:tr>
      <w:tr w:rsidR="00B91167" w:rsidRPr="00585AAB" w:rsidTr="008E4CD0">
        <w:tc>
          <w:tcPr>
            <w:tcW w:w="2410" w:type="dxa"/>
            <w:vAlign w:val="center"/>
          </w:tcPr>
          <w:p w:rsidR="00B91167" w:rsidRPr="00585AAB" w:rsidRDefault="00042E62" w:rsidP="00F24830">
            <w:pPr>
              <w:keepNext/>
              <w:keepLines/>
              <w:spacing w:before="40" w:after="40"/>
              <w:jc w:val="left"/>
              <w:rPr>
                <w:rFonts w:ascii="Arial Narrow" w:hAnsi="Arial Narrow"/>
                <w:sz w:val="20"/>
              </w:rPr>
            </w:pPr>
            <w:r w:rsidRPr="00585AAB">
              <w:rPr>
                <w:rFonts w:ascii="Arial Narrow" w:hAnsi="Arial Narrow"/>
                <w:sz w:val="20"/>
              </w:rPr>
              <w:t>Multi-step indirect comparison (Teriflunomide bridge)</w:t>
            </w:r>
          </w:p>
        </w:tc>
        <w:tc>
          <w:tcPr>
            <w:tcW w:w="2221" w:type="dxa"/>
            <w:vAlign w:val="center"/>
          </w:tcPr>
          <w:p w:rsidR="00042E62"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B91167"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B91167" w:rsidRPr="00585AAB" w:rsidRDefault="00042E62" w:rsidP="00F24830">
            <w:pPr>
              <w:keepNext/>
              <w:keepLines/>
              <w:spacing w:before="40" w:after="40"/>
              <w:jc w:val="center"/>
              <w:rPr>
                <w:rFonts w:ascii="Arial Narrow" w:hAnsi="Arial Narrow"/>
                <w:sz w:val="20"/>
              </w:rPr>
            </w:pPr>
            <w:r w:rsidRPr="00585AAB">
              <w:rPr>
                <w:rFonts w:ascii="Arial Narrow" w:hAnsi="Arial Narrow"/>
                <w:sz w:val="20"/>
              </w:rPr>
              <w:t>-</w:t>
            </w:r>
          </w:p>
        </w:tc>
        <w:tc>
          <w:tcPr>
            <w:tcW w:w="2221" w:type="dxa"/>
            <w:vAlign w:val="center"/>
          </w:tcPr>
          <w:p w:rsidR="00B91167" w:rsidRPr="00585AAB" w:rsidRDefault="00042E62" w:rsidP="00F24830">
            <w:pPr>
              <w:keepNext/>
              <w:keepLines/>
              <w:spacing w:before="40" w:after="40"/>
              <w:jc w:val="center"/>
              <w:rPr>
                <w:rFonts w:ascii="Arial Narrow" w:hAnsi="Arial Narrow"/>
                <w:b/>
                <w:sz w:val="20"/>
              </w:rPr>
            </w:pPr>
            <w:r w:rsidRPr="00585AAB">
              <w:rPr>
                <w:rFonts w:ascii="Arial Narrow" w:hAnsi="Arial Narrow"/>
                <w:b/>
                <w:sz w:val="20"/>
              </w:rPr>
              <w:t>-</w:t>
            </w:r>
          </w:p>
        </w:tc>
      </w:tr>
      <w:tr w:rsidR="00B91167" w:rsidRPr="00585AAB" w:rsidTr="008E4CD0">
        <w:tc>
          <w:tcPr>
            <w:tcW w:w="9073" w:type="dxa"/>
            <w:gridSpan w:val="4"/>
            <w:vAlign w:val="center"/>
          </w:tcPr>
          <w:p w:rsidR="00B91167" w:rsidRPr="00585AAB" w:rsidRDefault="00F34F63" w:rsidP="00F24830">
            <w:pPr>
              <w:keepNext/>
              <w:keepLines/>
              <w:spacing w:before="40" w:after="40"/>
              <w:jc w:val="left"/>
              <w:rPr>
                <w:rFonts w:ascii="Arial Narrow" w:hAnsi="Arial Narrow"/>
                <w:sz w:val="20"/>
              </w:rPr>
            </w:pPr>
            <w:r w:rsidRPr="00585AAB">
              <w:rPr>
                <w:rFonts w:ascii="Arial Narrow" w:hAnsi="Arial Narrow"/>
                <w:b/>
                <w:sz w:val="20"/>
              </w:rPr>
              <w:t>Ocrelizumab vs. natalizumab</w:t>
            </w:r>
          </w:p>
        </w:tc>
      </w:tr>
      <w:tr w:rsidR="00F34F63" w:rsidRPr="00585AAB" w:rsidTr="008E4CD0">
        <w:tc>
          <w:tcPr>
            <w:tcW w:w="2410" w:type="dxa"/>
            <w:vAlign w:val="center"/>
          </w:tcPr>
          <w:p w:rsidR="00F34F63" w:rsidRPr="00585AAB" w:rsidRDefault="00F34F63" w:rsidP="00F24830">
            <w:pPr>
              <w:keepNext/>
              <w:keepLines/>
              <w:spacing w:before="40" w:after="40"/>
              <w:jc w:val="left"/>
              <w:rPr>
                <w:rFonts w:ascii="Arial Narrow" w:hAnsi="Arial Narrow"/>
                <w:sz w:val="20"/>
              </w:rPr>
            </w:pPr>
            <w:r w:rsidRPr="00585AAB">
              <w:rPr>
                <w:rFonts w:ascii="Arial Narrow" w:hAnsi="Arial Narrow"/>
                <w:sz w:val="20"/>
              </w:rPr>
              <w:t>Multi-step indirect comparison (IM interferon beta-1a bridge)</w:t>
            </w:r>
          </w:p>
        </w:tc>
        <w:tc>
          <w:tcPr>
            <w:tcW w:w="2221" w:type="dxa"/>
            <w:vAlign w:val="center"/>
          </w:tcPr>
          <w:p w:rsidR="00F34F63"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r>
              <w:rPr>
                <w:rFonts w:ascii="Arial Narrow" w:hAnsi="Arial Narrow"/>
                <w:noProof/>
                <w:color w:val="000000"/>
                <w:sz w:val="20"/>
                <w:highlight w:val="black"/>
              </w:rPr>
              <w:br/>
              <w:t>'''''''''''''' '''''''''''''</w:t>
            </w:r>
          </w:p>
        </w:tc>
        <w:tc>
          <w:tcPr>
            <w:tcW w:w="2221" w:type="dxa"/>
            <w:vAlign w:val="center"/>
          </w:tcPr>
          <w:p w:rsidR="00D16A5F"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F34F63"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F34F63"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r>
              <w:rPr>
                <w:rFonts w:ascii="Arial Narrow" w:hAnsi="Arial Narrow"/>
                <w:noProof/>
                <w:color w:val="000000"/>
                <w:sz w:val="20"/>
                <w:highlight w:val="black"/>
              </w:rPr>
              <w:br/>
              <w:t>'''''''''''''''' ''''''''''''</w:t>
            </w:r>
          </w:p>
        </w:tc>
      </w:tr>
      <w:tr w:rsidR="00F34F63" w:rsidRPr="00585AAB" w:rsidTr="008E4CD0">
        <w:tc>
          <w:tcPr>
            <w:tcW w:w="2410" w:type="dxa"/>
            <w:vAlign w:val="center"/>
          </w:tcPr>
          <w:p w:rsidR="00F34F63" w:rsidRPr="00585AAB" w:rsidRDefault="00F34F63" w:rsidP="00F24830">
            <w:pPr>
              <w:keepNext/>
              <w:keepLines/>
              <w:spacing w:before="40" w:after="40"/>
              <w:jc w:val="left"/>
              <w:rPr>
                <w:rFonts w:ascii="Arial Narrow" w:hAnsi="Arial Narrow"/>
                <w:sz w:val="20"/>
              </w:rPr>
            </w:pPr>
            <w:r w:rsidRPr="00585AAB">
              <w:rPr>
                <w:rFonts w:ascii="Arial Narrow" w:hAnsi="Arial Narrow"/>
                <w:sz w:val="20"/>
              </w:rPr>
              <w:t>Multi-step indirect comparison (Teriflunomide bridge)</w:t>
            </w:r>
          </w:p>
        </w:tc>
        <w:tc>
          <w:tcPr>
            <w:tcW w:w="2221" w:type="dxa"/>
            <w:vAlign w:val="center"/>
          </w:tcPr>
          <w:p w:rsidR="00D16A5F"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F34F63"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F34F63" w:rsidRPr="00585AAB" w:rsidRDefault="00D16A5F" w:rsidP="00F24830">
            <w:pPr>
              <w:keepNext/>
              <w:keepLines/>
              <w:spacing w:before="40" w:after="40"/>
              <w:jc w:val="center"/>
              <w:rPr>
                <w:rFonts w:ascii="Arial Narrow" w:hAnsi="Arial Narrow"/>
                <w:sz w:val="20"/>
              </w:rPr>
            </w:pPr>
            <w:r w:rsidRPr="00585AAB">
              <w:rPr>
                <w:rFonts w:ascii="Arial Narrow" w:hAnsi="Arial Narrow"/>
                <w:sz w:val="20"/>
              </w:rPr>
              <w:t>-</w:t>
            </w:r>
          </w:p>
        </w:tc>
        <w:tc>
          <w:tcPr>
            <w:tcW w:w="2221" w:type="dxa"/>
            <w:vAlign w:val="center"/>
          </w:tcPr>
          <w:p w:rsidR="00F34F63" w:rsidRPr="00585AAB" w:rsidRDefault="00D16A5F" w:rsidP="00F24830">
            <w:pPr>
              <w:keepNext/>
              <w:keepLines/>
              <w:spacing w:before="40" w:after="40"/>
              <w:jc w:val="center"/>
              <w:rPr>
                <w:rFonts w:ascii="Arial Narrow" w:hAnsi="Arial Narrow"/>
                <w:b/>
                <w:sz w:val="20"/>
              </w:rPr>
            </w:pPr>
            <w:r w:rsidRPr="00585AAB">
              <w:rPr>
                <w:rFonts w:ascii="Arial Narrow" w:hAnsi="Arial Narrow"/>
                <w:b/>
                <w:sz w:val="20"/>
              </w:rPr>
              <w:t>-</w:t>
            </w:r>
          </w:p>
        </w:tc>
      </w:tr>
      <w:tr w:rsidR="0078195C" w:rsidRPr="00585AAB" w:rsidTr="008E4CD0">
        <w:tc>
          <w:tcPr>
            <w:tcW w:w="9073" w:type="dxa"/>
            <w:gridSpan w:val="4"/>
            <w:vAlign w:val="center"/>
          </w:tcPr>
          <w:p w:rsidR="0078195C" w:rsidRPr="00585AAB" w:rsidRDefault="0078195C" w:rsidP="00F24830">
            <w:pPr>
              <w:keepNext/>
              <w:keepLines/>
              <w:spacing w:before="40" w:after="40"/>
              <w:jc w:val="left"/>
              <w:rPr>
                <w:rFonts w:ascii="Arial Narrow" w:hAnsi="Arial Narrow"/>
                <w:b/>
                <w:sz w:val="20"/>
              </w:rPr>
            </w:pPr>
            <w:r w:rsidRPr="00585AAB">
              <w:rPr>
                <w:rFonts w:ascii="Arial Narrow" w:hAnsi="Arial Narrow"/>
                <w:b/>
                <w:sz w:val="20"/>
              </w:rPr>
              <w:t xml:space="preserve">Ocrelizumab vs. </w:t>
            </w:r>
            <w:r w:rsidR="00D04A7C" w:rsidRPr="00585AAB">
              <w:rPr>
                <w:rFonts w:ascii="Arial Narrow" w:hAnsi="Arial Narrow"/>
                <w:b/>
                <w:sz w:val="20"/>
              </w:rPr>
              <w:t xml:space="preserve">combined </w:t>
            </w:r>
            <w:r w:rsidRPr="00585AAB">
              <w:rPr>
                <w:rFonts w:ascii="Arial Narrow" w:hAnsi="Arial Narrow"/>
                <w:b/>
                <w:sz w:val="20"/>
              </w:rPr>
              <w:t>main comparator</w:t>
            </w:r>
            <w:r w:rsidR="00D04A7C" w:rsidRPr="00585AAB">
              <w:rPr>
                <w:rFonts w:ascii="Arial Narrow" w:hAnsi="Arial Narrow"/>
                <w:b/>
                <w:sz w:val="20"/>
              </w:rPr>
              <w:t>s</w:t>
            </w:r>
          </w:p>
        </w:tc>
      </w:tr>
      <w:tr w:rsidR="0078195C" w:rsidRPr="00585AAB" w:rsidTr="008E4CD0">
        <w:tc>
          <w:tcPr>
            <w:tcW w:w="2410" w:type="dxa"/>
            <w:vAlign w:val="center"/>
          </w:tcPr>
          <w:p w:rsidR="0078195C" w:rsidRPr="00585AAB" w:rsidRDefault="0078195C" w:rsidP="00F24830">
            <w:pPr>
              <w:keepNext/>
              <w:keepLines/>
              <w:spacing w:before="40" w:after="40"/>
              <w:jc w:val="left"/>
              <w:rPr>
                <w:rFonts w:ascii="Arial Narrow" w:hAnsi="Arial Narrow"/>
                <w:sz w:val="20"/>
              </w:rPr>
            </w:pPr>
            <w:r w:rsidRPr="00585AAB">
              <w:rPr>
                <w:rFonts w:ascii="Arial Narrow" w:hAnsi="Arial Narrow"/>
                <w:sz w:val="20"/>
              </w:rPr>
              <w:t>Meta-regression assuming equal weight between comparators</w:t>
            </w:r>
          </w:p>
        </w:tc>
        <w:tc>
          <w:tcPr>
            <w:tcW w:w="2221" w:type="dxa"/>
            <w:vAlign w:val="center"/>
          </w:tcPr>
          <w:p w:rsidR="00D04A7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78195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D04A7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78195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D04A7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78195C" w:rsidRPr="00F17251" w:rsidRDefault="00F17251" w:rsidP="00F24830">
            <w:pPr>
              <w:keepNext/>
              <w:keepLines/>
              <w:spacing w:before="40" w:after="40"/>
              <w:jc w:val="center"/>
              <w:rPr>
                <w:rFonts w:ascii="Arial Narrow" w:hAnsi="Arial Narrow"/>
                <w:b/>
                <w:sz w:val="20"/>
                <w:highlight w:val="black"/>
              </w:rPr>
            </w:pPr>
            <w:r>
              <w:rPr>
                <w:rFonts w:ascii="Arial Narrow" w:hAnsi="Arial Narrow"/>
                <w:noProof/>
                <w:color w:val="000000"/>
                <w:sz w:val="20"/>
                <w:highlight w:val="black"/>
              </w:rPr>
              <w:t xml:space="preserve"> ''''''''''''''' '''''''''''</w:t>
            </w:r>
          </w:p>
        </w:tc>
      </w:tr>
      <w:tr w:rsidR="0078195C" w:rsidRPr="00585AAB" w:rsidTr="008E4CD0">
        <w:tc>
          <w:tcPr>
            <w:tcW w:w="2410" w:type="dxa"/>
            <w:vAlign w:val="center"/>
          </w:tcPr>
          <w:p w:rsidR="0078195C" w:rsidRPr="00585AAB" w:rsidRDefault="0078195C" w:rsidP="00F24830">
            <w:pPr>
              <w:keepNext/>
              <w:keepLines/>
              <w:spacing w:before="40" w:after="40"/>
              <w:jc w:val="left"/>
              <w:rPr>
                <w:rFonts w:ascii="Arial Narrow" w:hAnsi="Arial Narrow"/>
                <w:sz w:val="20"/>
              </w:rPr>
            </w:pPr>
            <w:r w:rsidRPr="00585AAB">
              <w:rPr>
                <w:rFonts w:ascii="Arial Narrow" w:hAnsi="Arial Narrow"/>
                <w:sz w:val="20"/>
              </w:rPr>
              <w:t>Meta-regression weighted based on predicted utilisation between comparators</w:t>
            </w:r>
          </w:p>
        </w:tc>
        <w:tc>
          <w:tcPr>
            <w:tcW w:w="2221" w:type="dxa"/>
            <w:vAlign w:val="center"/>
          </w:tcPr>
          <w:p w:rsidR="00D04A7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78195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D04A7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xml:space="preserve">'''''''''''''''''' '''''''''''' ''''''''''  </w:t>
            </w:r>
          </w:p>
          <w:p w:rsidR="0078195C" w:rsidRPr="00F17251" w:rsidRDefault="00F17251" w:rsidP="00F24830">
            <w:pPr>
              <w:keepNext/>
              <w:keepLines/>
              <w:spacing w:before="40" w:after="40"/>
              <w:jc w:val="center"/>
              <w:rPr>
                <w:rFonts w:ascii="Arial Narrow" w:hAnsi="Arial Narrow"/>
                <w:sz w:val="20"/>
                <w:highlight w:val="black"/>
              </w:rPr>
            </w:pPr>
            <w:r>
              <w:rPr>
                <w:rFonts w:ascii="Arial Narrow" w:hAnsi="Arial Narrow"/>
                <w:noProof/>
                <w:color w:val="000000"/>
                <w:sz w:val="20"/>
                <w:highlight w:val="black"/>
              </w:rPr>
              <w:t>''''''''''''''' ''''''''''''</w:t>
            </w:r>
          </w:p>
        </w:tc>
        <w:tc>
          <w:tcPr>
            <w:tcW w:w="2221" w:type="dxa"/>
            <w:vAlign w:val="center"/>
          </w:tcPr>
          <w:p w:rsidR="00D04A7C" w:rsidRPr="00F17251" w:rsidRDefault="00F17251" w:rsidP="00F24830">
            <w:pPr>
              <w:keepNext/>
              <w:keepLines/>
              <w:spacing w:before="40" w:after="40"/>
              <w:jc w:val="center"/>
              <w:rPr>
                <w:rFonts w:ascii="Arial Narrow" w:hAnsi="Arial Narrow"/>
                <w:b/>
                <w:sz w:val="20"/>
                <w:highlight w:val="black"/>
              </w:rPr>
            </w:pPr>
            <w:r>
              <w:rPr>
                <w:rFonts w:ascii="Arial Narrow" w:hAnsi="Arial Narrow"/>
                <w:b/>
                <w:noProof/>
                <w:color w:val="000000"/>
                <w:sz w:val="20"/>
                <w:highlight w:val="black"/>
              </w:rPr>
              <w:t xml:space="preserve">''''''''''''''' '''''''''' ''''''''  </w:t>
            </w:r>
          </w:p>
          <w:p w:rsidR="0078195C" w:rsidRPr="00F17251" w:rsidRDefault="00F17251" w:rsidP="00F24830">
            <w:pPr>
              <w:keepNext/>
              <w:keepLines/>
              <w:spacing w:before="40" w:after="40"/>
              <w:jc w:val="center"/>
              <w:rPr>
                <w:rFonts w:ascii="Arial Narrow" w:hAnsi="Arial Narrow"/>
                <w:b/>
                <w:sz w:val="20"/>
                <w:highlight w:val="black"/>
              </w:rPr>
            </w:pPr>
            <w:r>
              <w:rPr>
                <w:rFonts w:ascii="Arial Narrow" w:hAnsi="Arial Narrow"/>
                <w:b/>
                <w:noProof/>
                <w:color w:val="000000"/>
                <w:sz w:val="20"/>
                <w:highlight w:val="black"/>
              </w:rPr>
              <w:t>''''''''''' ''''''''''</w:t>
            </w:r>
          </w:p>
        </w:tc>
      </w:tr>
    </w:tbl>
    <w:p w:rsidR="00B91167" w:rsidRPr="00585AAB" w:rsidRDefault="00B91167" w:rsidP="00F24830">
      <w:pPr>
        <w:pStyle w:val="ListParagraph"/>
        <w:keepNext/>
        <w:keepLines/>
        <w:ind w:left="0"/>
        <w:rPr>
          <w:rFonts w:ascii="Arial Narrow" w:hAnsi="Arial Narrow"/>
          <w:sz w:val="18"/>
          <w:szCs w:val="18"/>
        </w:rPr>
      </w:pPr>
      <w:r w:rsidRPr="00585AAB">
        <w:rPr>
          <w:rFonts w:ascii="Arial Narrow" w:hAnsi="Arial Narrow"/>
          <w:sz w:val="18"/>
          <w:szCs w:val="18"/>
        </w:rPr>
        <w:t>Abbreviations: CI, confidence interval</w:t>
      </w:r>
      <w:r w:rsidR="00DB3AD9" w:rsidRPr="00585AAB">
        <w:rPr>
          <w:rFonts w:ascii="Arial Narrow" w:hAnsi="Arial Narrow"/>
          <w:sz w:val="18"/>
          <w:szCs w:val="18"/>
        </w:rPr>
        <w:t>; IM, intramuscular</w:t>
      </w:r>
    </w:p>
    <w:p w:rsidR="00B91167" w:rsidRPr="00585AAB" w:rsidRDefault="00B91167" w:rsidP="00F24830">
      <w:pPr>
        <w:pStyle w:val="ListParagraph"/>
        <w:keepNext/>
        <w:keepLines/>
        <w:ind w:left="0"/>
        <w:rPr>
          <w:rFonts w:ascii="Arial Narrow" w:hAnsi="Arial Narrow"/>
          <w:sz w:val="18"/>
          <w:szCs w:val="18"/>
        </w:rPr>
      </w:pPr>
      <w:r w:rsidRPr="00585AAB">
        <w:rPr>
          <w:rFonts w:ascii="Arial Narrow" w:hAnsi="Arial Narrow"/>
          <w:sz w:val="18"/>
          <w:szCs w:val="18"/>
        </w:rPr>
        <w:t xml:space="preserve">Source: </w:t>
      </w:r>
      <w:r w:rsidR="001967D8" w:rsidRPr="00585AAB">
        <w:rPr>
          <w:rFonts w:ascii="Arial Narrow" w:hAnsi="Arial Narrow"/>
          <w:sz w:val="18"/>
          <w:szCs w:val="18"/>
        </w:rPr>
        <w:t>Table B.8.1 (p 115-116)</w:t>
      </w:r>
      <w:r w:rsidR="00DB3AD9" w:rsidRPr="00585AAB">
        <w:rPr>
          <w:rFonts w:ascii="Arial Narrow" w:hAnsi="Arial Narrow"/>
          <w:sz w:val="18"/>
          <w:szCs w:val="18"/>
        </w:rPr>
        <w:t xml:space="preserve"> of the submission</w:t>
      </w:r>
    </w:p>
    <w:p w:rsidR="001967D8" w:rsidRPr="00585AAB" w:rsidRDefault="001613FA" w:rsidP="006F1208">
      <w:pPr>
        <w:pStyle w:val="ESnumberedparablue"/>
      </w:pPr>
      <w:r w:rsidRPr="00585AAB">
        <w:t>The</w:t>
      </w:r>
      <w:r>
        <w:t xml:space="preserve"> evaluation</w:t>
      </w:r>
      <w:r w:rsidR="00E47037">
        <w:t xml:space="preserve"> and the ESC</w:t>
      </w:r>
      <w:r>
        <w:t xml:space="preserve"> commented that these</w:t>
      </w:r>
      <w:r w:rsidRPr="00585AAB">
        <w:t xml:space="preserve"> </w:t>
      </w:r>
      <w:r w:rsidR="001967D8" w:rsidRPr="00585AAB">
        <w:t>comparisons should be interpreted with caution due to the inherent uncertainty of multi-step indirect comparisons as wel</w:t>
      </w:r>
      <w:r w:rsidR="00CD0376" w:rsidRPr="00585AAB">
        <w:t>l as substantial transitivity</w:t>
      </w:r>
      <w:r w:rsidR="001967D8" w:rsidRPr="00585AAB">
        <w:t xml:space="preserve"> issues between trials.</w:t>
      </w:r>
    </w:p>
    <w:p w:rsidR="00783851" w:rsidRPr="00585AAB" w:rsidRDefault="00783851" w:rsidP="006F1208">
      <w:pPr>
        <w:pStyle w:val="ESnumberedparablue"/>
      </w:pPr>
      <w:r w:rsidRPr="00585AAB">
        <w:t>The PSCR</w:t>
      </w:r>
      <w:r w:rsidR="00605EFC" w:rsidRPr="00585AAB">
        <w:t xml:space="preserve"> (p1)</w:t>
      </w:r>
      <w:r w:rsidRPr="00585AAB">
        <w:t xml:space="preserve"> argued that </w:t>
      </w:r>
      <w:r w:rsidR="00CD0376" w:rsidRPr="00585AAB">
        <w:t xml:space="preserve">in the absence of </w:t>
      </w:r>
      <w:r w:rsidR="00CA200E" w:rsidRPr="00585AAB">
        <w:t>head-to-head</w:t>
      </w:r>
      <w:r w:rsidR="00CD0376" w:rsidRPr="00585AAB">
        <w:t xml:space="preserve"> data, </w:t>
      </w:r>
      <w:r w:rsidR="00CA200E">
        <w:t xml:space="preserve">the PBAC has previously accepted </w:t>
      </w:r>
      <w:r w:rsidR="00CD0376" w:rsidRPr="00585AAB">
        <w:t xml:space="preserve">indirect comparisons to support positive recommendations for RRMS therapies, such as for alemtuzumab, </w:t>
      </w:r>
      <w:r w:rsidRPr="00585AAB">
        <w:t>wh</w:t>
      </w:r>
      <w:r w:rsidR="004428CA" w:rsidRPr="00585AAB">
        <w:t xml:space="preserve">ich was recommended </w:t>
      </w:r>
      <w:r w:rsidRPr="00585AAB">
        <w:t>in July 2014</w:t>
      </w:r>
      <w:r w:rsidR="00CD0376" w:rsidRPr="00585AAB">
        <w:t>.</w:t>
      </w:r>
      <w:r w:rsidRPr="00585AAB">
        <w:t xml:space="preserve"> </w:t>
      </w:r>
      <w:r w:rsidR="006B70BF" w:rsidRPr="00585AAB">
        <w:t xml:space="preserve">The ESC </w:t>
      </w:r>
      <w:r w:rsidR="008E2271" w:rsidRPr="00585AAB">
        <w:t>considered</w:t>
      </w:r>
      <w:r w:rsidR="006B70BF" w:rsidRPr="00585AAB">
        <w:t xml:space="preserve"> that </w:t>
      </w:r>
      <w:r w:rsidR="008E2271" w:rsidRPr="00585AAB">
        <w:t xml:space="preserve">although </w:t>
      </w:r>
      <w:r w:rsidR="006B70BF" w:rsidRPr="00585AAB">
        <w:t>multi-step</w:t>
      </w:r>
      <w:r w:rsidR="003930DC" w:rsidRPr="00585AAB">
        <w:t xml:space="preserve"> indirect comparisons had been </w:t>
      </w:r>
      <w:r w:rsidR="008E2271" w:rsidRPr="00585AAB">
        <w:t>used</w:t>
      </w:r>
      <w:r w:rsidR="003930DC" w:rsidRPr="00585AAB">
        <w:t xml:space="preserve"> the alemtuzumab submission, </w:t>
      </w:r>
      <w:r w:rsidR="004428CA" w:rsidRPr="00585AAB">
        <w:t>they</w:t>
      </w:r>
      <w:r w:rsidR="008E2271" w:rsidRPr="00585AAB">
        <w:t xml:space="preserve"> </w:t>
      </w:r>
      <w:r w:rsidR="003930DC" w:rsidRPr="00585AAB">
        <w:t xml:space="preserve">are inherently uncertain and </w:t>
      </w:r>
      <w:r w:rsidR="008E2271" w:rsidRPr="00585AAB">
        <w:t>remained</w:t>
      </w:r>
      <w:r w:rsidR="003930DC" w:rsidRPr="00585AAB">
        <w:t xml:space="preserve"> </w:t>
      </w:r>
      <w:r w:rsidR="004428CA" w:rsidRPr="00585AAB">
        <w:t>an issue</w:t>
      </w:r>
      <w:r w:rsidR="008E2271" w:rsidRPr="00585AAB">
        <w:t xml:space="preserve"> in this submission</w:t>
      </w:r>
      <w:r w:rsidR="003930DC" w:rsidRPr="00585AAB">
        <w:t>. The ESC noted that, for example, the analysi</w:t>
      </w:r>
      <w:r w:rsidR="0079775D" w:rsidRPr="00585AAB">
        <w:t xml:space="preserve">s of disability progression at six </w:t>
      </w:r>
      <w:r w:rsidR="003930DC" w:rsidRPr="00585AAB">
        <w:t xml:space="preserve">months between ocrelizumab and fingolimod </w:t>
      </w:r>
      <w:r w:rsidR="004428CA" w:rsidRPr="00585AAB">
        <w:t xml:space="preserve">was based on a three step indirect analysis and included </w:t>
      </w:r>
      <w:r w:rsidR="003930DC" w:rsidRPr="00585AAB">
        <w:t>trials spanning 21 years.</w:t>
      </w:r>
    </w:p>
    <w:p w:rsidR="00C1063B" w:rsidRPr="00585AAB" w:rsidRDefault="00C1063B" w:rsidP="006F1208">
      <w:pPr>
        <w:pStyle w:val="ESnumberedparablue"/>
      </w:pPr>
      <w:r w:rsidRPr="00585AAB">
        <w:lastRenderedPageBreak/>
        <w:t>There was no statistically significant difference in relapse outcomes between ocrelizumab and alemtuzumab (results favoured alemtuzumab). The indirect estimate of effect for annualised relapse rate did not me</w:t>
      </w:r>
      <w:r w:rsidR="00AC4897" w:rsidRPr="00585AAB">
        <w:t>e</w:t>
      </w:r>
      <w:r w:rsidRPr="00585AAB">
        <w:t xml:space="preserve">t the nominated </w:t>
      </w:r>
      <w:r w:rsidR="00936727" w:rsidRPr="00585AAB">
        <w:t>non</w:t>
      </w:r>
      <w:r w:rsidR="00312EA5" w:rsidRPr="00585AAB">
        <w:noBreakHyphen/>
      </w:r>
      <w:r w:rsidR="0081108D" w:rsidRPr="00585AAB">
        <w:t>inferiority</w:t>
      </w:r>
      <w:r w:rsidRPr="00585AAB">
        <w:t xml:space="preserve"> margin (the upper CI exceeded 1.23). There was no statistically significant difference in disability outcomes between treatments (results favoured alemtuzumab).</w:t>
      </w:r>
      <w:r w:rsidR="002422C5" w:rsidRPr="00585AAB">
        <w:t xml:space="preserve"> The PBAC noted the results of the single-step indirect comparison with alemtuzumab exceeded the nominated non-inferiority margin.</w:t>
      </w:r>
    </w:p>
    <w:p w:rsidR="003D3572" w:rsidRPr="00585AAB" w:rsidRDefault="003D3572" w:rsidP="006F1208">
      <w:pPr>
        <w:pStyle w:val="ESnumberedparablue"/>
      </w:pPr>
      <w:r w:rsidRPr="00585AAB">
        <w:t xml:space="preserve">There was no statistically significant difference in relapse outcomes between ocrelizumab and fingolimod (results favoured ocrelizumab). The indirect estimate of effect for annualised relapse rate met the nominated </w:t>
      </w:r>
      <w:r w:rsidR="00936727" w:rsidRPr="00585AAB">
        <w:t>non</w:t>
      </w:r>
      <w:r w:rsidR="00C02466" w:rsidRPr="00585AAB">
        <w:t>-</w:t>
      </w:r>
      <w:r w:rsidR="0081108D" w:rsidRPr="00585AAB">
        <w:t>inferiority</w:t>
      </w:r>
      <w:r w:rsidRPr="00585AAB">
        <w:t xml:space="preserve"> margin (the upper CI was less than 1.23) for one comparison but failed in the other comparison. Treatment with ocrelizumab was associated with a statistically significant delay in the time to six-month confirmed disability progression but not three-month confirmed disability progression compared to fingolimod.</w:t>
      </w:r>
    </w:p>
    <w:p w:rsidR="00F34F63" w:rsidRPr="00585AAB" w:rsidRDefault="00F34F63" w:rsidP="006F1208">
      <w:pPr>
        <w:pStyle w:val="ESnumberedparablue"/>
      </w:pPr>
      <w:r w:rsidRPr="00585AAB">
        <w:t>There was no statistically significant difference in relapse outcomes between ocrelizumab and natalizumab (results favoured ocrelizumab</w:t>
      </w:r>
      <w:r w:rsidR="00C8438D" w:rsidRPr="00585AAB">
        <w:t>)</w:t>
      </w:r>
      <w:r w:rsidRPr="00585AAB">
        <w:t>. The indirect estimate of effect for annualised relapse rate did not me</w:t>
      </w:r>
      <w:r w:rsidR="00AC4897" w:rsidRPr="00585AAB">
        <w:t>e</w:t>
      </w:r>
      <w:r w:rsidRPr="00585AAB">
        <w:t xml:space="preserve">t the nominated </w:t>
      </w:r>
      <w:r w:rsidR="0081108D" w:rsidRPr="00585AAB">
        <w:t>non</w:t>
      </w:r>
      <w:r w:rsidR="00C02466" w:rsidRPr="00585AAB">
        <w:t>-</w:t>
      </w:r>
      <w:r w:rsidR="0081108D" w:rsidRPr="00585AAB">
        <w:t>inferiority</w:t>
      </w:r>
      <w:r w:rsidRPr="00585AAB">
        <w:t xml:space="preserve"> margin (the upper CI exceeded 1.23). There was no statistically significant difference in disability outcomes between treatments (results favoured ocrelizumab).</w:t>
      </w:r>
    </w:p>
    <w:p w:rsidR="00042E62" w:rsidRPr="0077028C" w:rsidRDefault="007E34D2" w:rsidP="006F1208">
      <w:pPr>
        <w:pStyle w:val="ESnumberedparablue"/>
      </w:pPr>
      <w:r w:rsidRPr="0077028C">
        <w:t>The</w:t>
      </w:r>
      <w:r w:rsidR="00216933" w:rsidRPr="0077028C">
        <w:t xml:space="preserve"> evaluation contended that the</w:t>
      </w:r>
      <w:r w:rsidRPr="0077028C">
        <w:t xml:space="preserve"> combined analyses of all nominated main comparator</w:t>
      </w:r>
      <w:r w:rsidR="00D300A7" w:rsidRPr="0077028C">
        <w:t>s</w:t>
      </w:r>
      <w:r w:rsidRPr="0077028C">
        <w:t xml:space="preserve"> are largely non-informative as alemtuzumab, fingolimod and natalizumab are separate drugs with their own profiles (comparative efficacy needs to be demonstrated against each individually).</w:t>
      </w:r>
    </w:p>
    <w:p w:rsidR="00137F8D" w:rsidRPr="00585AAB" w:rsidRDefault="006954EF" w:rsidP="006F1208">
      <w:pPr>
        <w:pStyle w:val="ESnumberedparablue"/>
        <w:rPr>
          <w:rStyle w:val="CommentReference"/>
          <w:rFonts w:asciiTheme="minorHAnsi" w:hAnsiTheme="minorHAnsi"/>
          <w:b w:val="0"/>
          <w:color w:val="auto"/>
          <w:sz w:val="24"/>
          <w:szCs w:val="22"/>
        </w:rPr>
      </w:pPr>
      <w:r w:rsidRPr="00585AAB">
        <w:t xml:space="preserve">Network meta-analyses </w:t>
      </w:r>
      <w:r w:rsidR="0012446B" w:rsidRPr="00585AAB">
        <w:t xml:space="preserve">of key relapse and disability outcomes between ocrelizumab </w:t>
      </w:r>
      <w:r w:rsidRPr="00585AAB">
        <w:t>other multiple sclerosis treatments are summarised in the figures below</w:t>
      </w:r>
      <w:r w:rsidR="0012446B" w:rsidRPr="00585AAB">
        <w:t>.</w:t>
      </w:r>
    </w:p>
    <w:p w:rsidR="00EE1047" w:rsidRPr="00585AAB" w:rsidRDefault="00EE1047" w:rsidP="00EE1047">
      <w:pPr>
        <w:pStyle w:val="ListParagraph"/>
        <w:keepNext/>
        <w:spacing w:before="240" w:after="60"/>
        <w:ind w:left="0"/>
        <w:jc w:val="left"/>
        <w:rPr>
          <w:rStyle w:val="CommentReference"/>
        </w:rPr>
      </w:pPr>
      <w:r w:rsidRPr="00585AAB">
        <w:rPr>
          <w:rStyle w:val="CommentReference"/>
        </w:rPr>
        <w:lastRenderedPageBreak/>
        <w:t xml:space="preserve">Figure </w:t>
      </w:r>
      <w:r w:rsidR="00921C12">
        <w:rPr>
          <w:rStyle w:val="CommentReference"/>
          <w:noProof/>
        </w:rPr>
        <w:t>1</w:t>
      </w:r>
      <w:r w:rsidRPr="00585AAB">
        <w:rPr>
          <w:rStyle w:val="CommentReference"/>
        </w:rPr>
        <w:t>: Comparison of annualised relapse rate between ocrelizumab and other treatment for multiple sclerosis</w:t>
      </w:r>
    </w:p>
    <w:p w:rsidR="006954EF" w:rsidRPr="00585AAB" w:rsidRDefault="00F17251" w:rsidP="005C6E7E">
      <w:pPr>
        <w:pStyle w:val="ESnumberedparablue"/>
        <w:numPr>
          <w:ilvl w:val="0"/>
          <w:numId w:val="0"/>
        </w:numPr>
      </w:pPr>
      <w:r>
        <w:rPr>
          <w:noProof/>
          <w:lang w:eastAsia="en-AU"/>
        </w:rPr>
        <w:drawing>
          <wp:inline distT="0" distB="0" distL="0" distR="0">
            <wp:extent cx="5731510" cy="4658995"/>
            <wp:effectExtent l="0" t="0" r="2540" b="825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658995"/>
                    </a:xfrm>
                    <a:prstGeom prst="rect">
                      <a:avLst/>
                    </a:prstGeom>
                  </pic:spPr>
                </pic:pic>
              </a:graphicData>
            </a:graphic>
          </wp:inline>
        </w:drawing>
      </w:r>
    </w:p>
    <w:p w:rsidR="00E60D7D" w:rsidRPr="00585AAB" w:rsidRDefault="00E60D7D" w:rsidP="00E60D7D">
      <w:pPr>
        <w:pStyle w:val="TableFooter"/>
        <w:rPr>
          <w:rStyle w:val="CommentReference"/>
          <w:b w:val="0"/>
        </w:rPr>
      </w:pPr>
      <w:r w:rsidRPr="00585AAB">
        <w:rPr>
          <w:rStyle w:val="CommentReference"/>
          <w:b w:val="0"/>
        </w:rPr>
        <w:t>Source:  Figure G.18 (p 212) of the unpublished McCool 2016 report</w:t>
      </w:r>
    </w:p>
    <w:p w:rsidR="00E60D7D" w:rsidRPr="00585AAB" w:rsidRDefault="00E60D7D" w:rsidP="00A54CB2">
      <w:pPr>
        <w:pStyle w:val="TableFooter"/>
        <w:rPr>
          <w:rStyle w:val="CommentReference"/>
          <w:b w:val="0"/>
        </w:rPr>
      </w:pPr>
      <w:r w:rsidRPr="00585AAB">
        <w:rPr>
          <w:rStyle w:val="CommentReference"/>
          <w:b w:val="0"/>
        </w:rPr>
        <w:t>Note: Avonex is the brand name for IM interferon beta-1a, Rebif is the brand same of SC interferon beta-1a</w:t>
      </w:r>
    </w:p>
    <w:p w:rsidR="00C5767F" w:rsidRPr="00585AAB" w:rsidRDefault="00DD7A5E" w:rsidP="0027568F">
      <w:pPr>
        <w:pStyle w:val="ESnumberedparablue"/>
      </w:pPr>
      <w:r w:rsidRPr="00585AAB">
        <w:t xml:space="preserve">Based on the network meta-analysis, treatment with ocrelizumab was associated with a statistically significant decrease in relapses compared to interferon beta-1b, IM interferon beta-1a, SC interferon beta-1a, peginterferon beta-1a, glatiramer acetate and teriflunomide. There was no statistically significant difference between ocrelizumab and other treatments. Results were within the specified </w:t>
      </w:r>
      <w:r w:rsidR="00936727" w:rsidRPr="00585AAB">
        <w:t>non</w:t>
      </w:r>
      <w:r w:rsidR="00C02466" w:rsidRPr="00585AAB">
        <w:t>-</w:t>
      </w:r>
      <w:r w:rsidR="0081108D" w:rsidRPr="00585AAB">
        <w:t>inferiority</w:t>
      </w:r>
      <w:r w:rsidRPr="00585AAB">
        <w:t xml:space="preserve"> margin for comparisons with dimethyl fumarate, daclizumab and fingolimod but exceeded the margin for comparisons with natalizumab and alemtuzumab.</w:t>
      </w:r>
    </w:p>
    <w:p w:rsidR="003930DC" w:rsidRPr="00585AAB" w:rsidRDefault="003930DC" w:rsidP="006F1208">
      <w:pPr>
        <w:pStyle w:val="ESnumberedparablue"/>
        <w:rPr>
          <w:rStyle w:val="CommentReference"/>
          <w:rFonts w:asciiTheme="minorHAnsi" w:hAnsiTheme="minorHAnsi"/>
          <w:b w:val="0"/>
          <w:color w:val="auto"/>
          <w:sz w:val="24"/>
          <w:szCs w:val="22"/>
        </w:rPr>
      </w:pPr>
      <w:r w:rsidRPr="00585AAB">
        <w:t xml:space="preserve">The ESC </w:t>
      </w:r>
      <w:r w:rsidR="00E54636" w:rsidRPr="00585AAB">
        <w:t>considered that based on the</w:t>
      </w:r>
      <w:r w:rsidR="000D7864" w:rsidRPr="00585AAB">
        <w:t xml:space="preserve"> results of the</w:t>
      </w:r>
      <w:r w:rsidR="00E54636" w:rsidRPr="00585AAB">
        <w:t xml:space="preserve"> </w:t>
      </w:r>
      <w:r w:rsidR="00BA6439" w:rsidRPr="00585AAB">
        <w:t>head-to-</w:t>
      </w:r>
      <w:r w:rsidR="000D7864" w:rsidRPr="00585AAB">
        <w:t xml:space="preserve">head comparison of ocrelizumab and interferon beta-1a, that ocrelizumab was superior in terms of </w:t>
      </w:r>
      <w:r w:rsidR="003546A2" w:rsidRPr="00585AAB">
        <w:t>reduction in annualised relapse rate</w:t>
      </w:r>
      <w:r w:rsidR="000D7864" w:rsidRPr="00585AAB">
        <w:t xml:space="preserve"> over interferon beta-1a. </w:t>
      </w:r>
      <w:r w:rsidR="00E54636" w:rsidRPr="00585AAB">
        <w:t>The ESC also considered that based on the</w:t>
      </w:r>
      <w:r w:rsidR="006B70BF" w:rsidRPr="00585AAB">
        <w:t xml:space="preserve"> </w:t>
      </w:r>
      <w:r w:rsidR="00E54636" w:rsidRPr="00585AAB">
        <w:t xml:space="preserve">indirect comparisons presented, that ocrelizumab may also be superior </w:t>
      </w:r>
      <w:r w:rsidR="003546A2" w:rsidRPr="00585AAB">
        <w:t xml:space="preserve">for </w:t>
      </w:r>
      <w:r w:rsidR="00E360AE" w:rsidRPr="00585AAB">
        <w:t>annualised</w:t>
      </w:r>
      <w:r w:rsidR="003546A2" w:rsidRPr="00585AAB">
        <w:t xml:space="preserve"> relapse rate </w:t>
      </w:r>
      <w:r w:rsidR="00E54636" w:rsidRPr="00585AAB">
        <w:t>to teriflunomide.</w:t>
      </w:r>
      <w:r w:rsidR="00FA2B27" w:rsidRPr="00585AAB">
        <w:t xml:space="preserve"> The ESC noted that the indirect estimate of effect for annualised relapse rate did not meet the nominated non-inferiority margin of 1.23 for natalizumab or alemtuzumab. </w:t>
      </w:r>
    </w:p>
    <w:p w:rsidR="00EE1047" w:rsidRPr="00585AAB" w:rsidRDefault="00EE1047" w:rsidP="00EE1047">
      <w:pPr>
        <w:pStyle w:val="ListParagraph"/>
        <w:keepNext/>
        <w:spacing w:before="240" w:after="60"/>
        <w:ind w:left="0"/>
        <w:jc w:val="left"/>
        <w:rPr>
          <w:rStyle w:val="CommentReference"/>
        </w:rPr>
      </w:pPr>
      <w:r w:rsidRPr="00585AAB">
        <w:rPr>
          <w:rStyle w:val="CommentReference"/>
        </w:rPr>
        <w:lastRenderedPageBreak/>
        <w:t xml:space="preserve">Figure </w:t>
      </w:r>
      <w:r w:rsidR="00921C12">
        <w:rPr>
          <w:rStyle w:val="CommentReference"/>
          <w:noProof/>
        </w:rPr>
        <w:t>2</w:t>
      </w:r>
      <w:r w:rsidRPr="00585AAB">
        <w:rPr>
          <w:rStyle w:val="CommentReference"/>
        </w:rPr>
        <w:t>: Comparison of 3-month confirmed disability between ocrelizumab and other treatment for multiple sclerosis</w:t>
      </w:r>
    </w:p>
    <w:p w:rsidR="00DD7A5E" w:rsidRPr="00585AAB" w:rsidRDefault="00F17251" w:rsidP="005C6E7E">
      <w:pPr>
        <w:pStyle w:val="ESnumberedparablue"/>
        <w:numPr>
          <w:ilvl w:val="0"/>
          <w:numId w:val="0"/>
        </w:numPr>
        <w:ind w:left="720" w:hanging="720"/>
      </w:pPr>
      <w:r>
        <w:rPr>
          <w:noProof/>
          <w:lang w:eastAsia="en-AU"/>
        </w:rPr>
        <w:drawing>
          <wp:inline distT="0" distB="0" distL="0" distR="0">
            <wp:extent cx="5731510" cy="4765040"/>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765040"/>
                    </a:xfrm>
                    <a:prstGeom prst="rect">
                      <a:avLst/>
                    </a:prstGeom>
                  </pic:spPr>
                </pic:pic>
              </a:graphicData>
            </a:graphic>
          </wp:inline>
        </w:drawing>
      </w:r>
    </w:p>
    <w:p w:rsidR="00411BDB" w:rsidRPr="00585AAB" w:rsidRDefault="00411BDB" w:rsidP="00411BDB">
      <w:pPr>
        <w:pStyle w:val="TableFooter"/>
        <w:rPr>
          <w:rStyle w:val="CommentReference"/>
          <w:b w:val="0"/>
        </w:rPr>
      </w:pPr>
      <w:r w:rsidRPr="00585AAB">
        <w:rPr>
          <w:rStyle w:val="CommentReference"/>
          <w:b w:val="0"/>
        </w:rPr>
        <w:t xml:space="preserve">Source:  Figure </w:t>
      </w:r>
      <w:r w:rsidR="00F54E34" w:rsidRPr="00585AAB">
        <w:rPr>
          <w:rStyle w:val="CommentReference"/>
          <w:b w:val="0"/>
        </w:rPr>
        <w:t>G.52</w:t>
      </w:r>
      <w:r w:rsidRPr="00585AAB">
        <w:rPr>
          <w:rStyle w:val="CommentReference"/>
          <w:b w:val="0"/>
        </w:rPr>
        <w:t xml:space="preserve"> (p </w:t>
      </w:r>
      <w:r w:rsidR="00F54E34" w:rsidRPr="00585AAB">
        <w:rPr>
          <w:rStyle w:val="CommentReference"/>
          <w:b w:val="0"/>
        </w:rPr>
        <w:t>266</w:t>
      </w:r>
      <w:r w:rsidRPr="00585AAB">
        <w:rPr>
          <w:rStyle w:val="CommentReference"/>
          <w:b w:val="0"/>
        </w:rPr>
        <w:t>) of the unpublished McCool 2016 report</w:t>
      </w:r>
    </w:p>
    <w:p w:rsidR="00DD7A5E" w:rsidRPr="00585AAB" w:rsidRDefault="00411BDB" w:rsidP="00A54CB2">
      <w:pPr>
        <w:pStyle w:val="TableFooter"/>
        <w:rPr>
          <w:sz w:val="20"/>
          <w:szCs w:val="16"/>
        </w:rPr>
      </w:pPr>
      <w:r w:rsidRPr="00585AAB">
        <w:rPr>
          <w:rStyle w:val="CommentReference"/>
          <w:b w:val="0"/>
        </w:rPr>
        <w:t>Note: Avonex is the brand name for IM interferon beta-1a, Rebif is the brand same of SC interferon beta-1a</w:t>
      </w:r>
    </w:p>
    <w:p w:rsidR="00DD7A5E" w:rsidRPr="00585AAB" w:rsidRDefault="00F54E34" w:rsidP="006F1208">
      <w:pPr>
        <w:pStyle w:val="ESnumberedparablue"/>
      </w:pPr>
      <w:r w:rsidRPr="00585AAB">
        <w:t>Treatment with ocrelizumab was associated with a statistically significant delay in the time to 3-month confirmed disability progression compared to interferon beta-1b, IM interferon beta-1a, SC interferon beta-1a, glatiramer acetate, teriflunomide, dimethyl fumarate and fingolimod. There was no statistically significant difference between ocrelizumab and other treatments (alemtuzumab, daclizumab, natalizumab and peginterferon beta-1a).</w:t>
      </w:r>
    </w:p>
    <w:p w:rsidR="00EE1047" w:rsidRPr="00585AAB" w:rsidRDefault="00EE1047" w:rsidP="00EE1047">
      <w:pPr>
        <w:pStyle w:val="ListParagraph"/>
        <w:keepNext/>
        <w:spacing w:before="240" w:after="60"/>
        <w:ind w:left="0"/>
        <w:jc w:val="left"/>
        <w:rPr>
          <w:rStyle w:val="CommentReference"/>
        </w:rPr>
      </w:pPr>
      <w:r w:rsidRPr="00585AAB">
        <w:rPr>
          <w:rStyle w:val="CommentReference"/>
        </w:rPr>
        <w:lastRenderedPageBreak/>
        <w:t xml:space="preserve">Figure </w:t>
      </w:r>
      <w:r w:rsidR="00921C12">
        <w:rPr>
          <w:rStyle w:val="CommentReference"/>
          <w:noProof/>
        </w:rPr>
        <w:t>3</w:t>
      </w:r>
      <w:r w:rsidRPr="00585AAB">
        <w:rPr>
          <w:rStyle w:val="CommentReference"/>
        </w:rPr>
        <w:t>: Comparison of 6-month confirmed disability between ocrelizumab and other treatment for multiple sclerosis</w:t>
      </w:r>
    </w:p>
    <w:p w:rsidR="00E9636E" w:rsidRPr="00585AAB" w:rsidRDefault="00F17251" w:rsidP="005C6E7E">
      <w:pPr>
        <w:pStyle w:val="ESnumberedparablue"/>
        <w:numPr>
          <w:ilvl w:val="0"/>
          <w:numId w:val="0"/>
        </w:numPr>
      </w:pPr>
      <w:r>
        <w:rPr>
          <w:noProof/>
          <w:lang w:eastAsia="en-AU"/>
        </w:rPr>
        <w:drawing>
          <wp:inline distT="0" distB="0" distL="0" distR="0">
            <wp:extent cx="5731510" cy="477012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770120"/>
                    </a:xfrm>
                    <a:prstGeom prst="rect">
                      <a:avLst/>
                    </a:prstGeom>
                  </pic:spPr>
                </pic:pic>
              </a:graphicData>
            </a:graphic>
          </wp:inline>
        </w:drawing>
      </w:r>
    </w:p>
    <w:p w:rsidR="00E9636E" w:rsidRPr="00585AAB" w:rsidRDefault="00E9636E" w:rsidP="00E9636E">
      <w:pPr>
        <w:pStyle w:val="TableFooter"/>
        <w:rPr>
          <w:rStyle w:val="CommentReference"/>
          <w:b w:val="0"/>
        </w:rPr>
      </w:pPr>
      <w:r w:rsidRPr="00585AAB">
        <w:rPr>
          <w:rStyle w:val="CommentReference"/>
          <w:b w:val="0"/>
        </w:rPr>
        <w:t>Source:  Figure G.94 (p 334) of the unpublished McCool 2016 report</w:t>
      </w:r>
    </w:p>
    <w:p w:rsidR="00B83324" w:rsidRPr="00585AAB" w:rsidRDefault="00E9636E" w:rsidP="00A54CB2">
      <w:pPr>
        <w:pStyle w:val="TableFooter"/>
        <w:rPr>
          <w:sz w:val="20"/>
          <w:szCs w:val="16"/>
        </w:rPr>
      </w:pPr>
      <w:r w:rsidRPr="00585AAB">
        <w:rPr>
          <w:rStyle w:val="CommentReference"/>
          <w:b w:val="0"/>
        </w:rPr>
        <w:t>Note: Avonex is the brand name for IM interferon beta-1a, Rebif is the brand same of SC interferon beta-1a</w:t>
      </w:r>
    </w:p>
    <w:p w:rsidR="00B83324" w:rsidRPr="00585AAB" w:rsidRDefault="00E9636E" w:rsidP="006F1208">
      <w:pPr>
        <w:pStyle w:val="ESnumberedparablue"/>
      </w:pPr>
      <w:r w:rsidRPr="00585AAB">
        <w:t>Treatment with ocrelizumab was not associated with a statistically significant delay in the time to 6-month confirmed disability compared to most treatments (with the exception of SC interferon beta-1a).</w:t>
      </w:r>
    </w:p>
    <w:p w:rsidR="00D60610" w:rsidRPr="00585AAB" w:rsidRDefault="006525C2" w:rsidP="00D60610">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 xml:space="preserve">Overall, the indirect (single-step and multi-step) comparisons and network meta-analyses appear to support the </w:t>
      </w:r>
      <w:r w:rsidR="0081108D" w:rsidRPr="00585AAB">
        <w:rPr>
          <w:rFonts w:asciiTheme="minorHAnsi" w:eastAsiaTheme="minorHAnsi" w:hAnsiTheme="minorHAnsi" w:cstheme="minorBidi"/>
          <w:snapToGrid/>
          <w:sz w:val="24"/>
          <w:szCs w:val="22"/>
        </w:rPr>
        <w:t>non</w:t>
      </w:r>
      <w:r w:rsidR="00A54CB2" w:rsidRPr="00585AAB">
        <w:rPr>
          <w:rFonts w:asciiTheme="minorHAnsi" w:eastAsiaTheme="minorHAnsi" w:hAnsiTheme="minorHAnsi" w:cstheme="minorBidi"/>
          <w:snapToGrid/>
          <w:sz w:val="24"/>
          <w:szCs w:val="22"/>
        </w:rPr>
        <w:t>-</w:t>
      </w:r>
      <w:r w:rsidR="0081108D" w:rsidRPr="00585AAB">
        <w:rPr>
          <w:rFonts w:asciiTheme="minorHAnsi" w:eastAsiaTheme="minorHAnsi" w:hAnsiTheme="minorHAnsi" w:cstheme="minorBidi"/>
          <w:snapToGrid/>
          <w:sz w:val="24"/>
          <w:szCs w:val="22"/>
        </w:rPr>
        <w:t>inferiority</w:t>
      </w:r>
      <w:r w:rsidRPr="00585AAB">
        <w:rPr>
          <w:rFonts w:asciiTheme="minorHAnsi" w:eastAsiaTheme="minorHAnsi" w:hAnsiTheme="minorHAnsi" w:cstheme="minorBidi"/>
          <w:snapToGrid/>
          <w:sz w:val="24"/>
          <w:szCs w:val="22"/>
        </w:rPr>
        <w:t xml:space="preserve"> efficacy claim against fingolimod but due to inherent uncertainty associated with these analyses they cannot exclude the potential for ocrelizumab to be inferior to natalizumab and alemtuzumab.</w:t>
      </w:r>
    </w:p>
    <w:p w:rsidR="00AB162D" w:rsidRPr="00585AAB" w:rsidRDefault="00AB162D" w:rsidP="00AB162D">
      <w:pPr>
        <w:pStyle w:val="ListParagraph"/>
        <w:rPr>
          <w:rFonts w:asciiTheme="minorHAnsi" w:eastAsiaTheme="minorHAnsi" w:hAnsiTheme="minorHAnsi" w:cstheme="minorBidi"/>
          <w:snapToGrid/>
          <w:sz w:val="24"/>
          <w:szCs w:val="22"/>
        </w:rPr>
      </w:pPr>
    </w:p>
    <w:p w:rsidR="0027568F" w:rsidRPr="00585AAB" w:rsidRDefault="003930DC" w:rsidP="0027568F">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The PSCR</w:t>
      </w:r>
      <w:r w:rsidR="00961FFA" w:rsidRPr="00585AAB">
        <w:rPr>
          <w:rFonts w:asciiTheme="minorHAnsi" w:eastAsiaTheme="minorHAnsi" w:hAnsiTheme="minorHAnsi" w:cstheme="minorBidi"/>
          <w:snapToGrid/>
          <w:sz w:val="24"/>
          <w:szCs w:val="22"/>
        </w:rPr>
        <w:t xml:space="preserve"> (p 1)</w:t>
      </w:r>
      <w:r w:rsidRPr="00585AAB">
        <w:rPr>
          <w:rFonts w:asciiTheme="minorHAnsi" w:eastAsiaTheme="minorHAnsi" w:hAnsiTheme="minorHAnsi" w:cstheme="minorBidi"/>
          <w:snapToGrid/>
          <w:sz w:val="24"/>
          <w:szCs w:val="22"/>
        </w:rPr>
        <w:t xml:space="preserve"> argued that 9 of the 11 point estimates in the indirect comparisons favoured ocrelizumab, and that despite the upper limit of the 95% </w:t>
      </w:r>
      <w:r w:rsidR="0079775D" w:rsidRPr="00585AAB">
        <w:rPr>
          <w:rFonts w:asciiTheme="minorHAnsi" w:eastAsiaTheme="minorHAnsi" w:hAnsiTheme="minorHAnsi" w:cstheme="minorBidi"/>
          <w:snapToGrid/>
          <w:sz w:val="24"/>
          <w:szCs w:val="22"/>
        </w:rPr>
        <w:t>CI</w:t>
      </w:r>
      <w:r w:rsidRPr="00585AAB">
        <w:rPr>
          <w:rFonts w:asciiTheme="minorHAnsi" w:eastAsiaTheme="minorHAnsi" w:hAnsiTheme="minorHAnsi" w:cstheme="minorBidi"/>
          <w:snapToGrid/>
          <w:sz w:val="24"/>
          <w:szCs w:val="22"/>
        </w:rPr>
        <w:t xml:space="preserve"> exceeding the post-hoc non-inferiority margin in 8 of these</w:t>
      </w:r>
      <w:r w:rsidR="00D60610" w:rsidRPr="00585AAB">
        <w:rPr>
          <w:rFonts w:asciiTheme="minorHAnsi" w:eastAsiaTheme="minorHAnsi" w:hAnsiTheme="minorHAnsi" w:cstheme="minorBidi"/>
          <w:snapToGrid/>
          <w:sz w:val="24"/>
          <w:szCs w:val="22"/>
        </w:rPr>
        <w:t xml:space="preserve"> comparisons</w:t>
      </w:r>
      <w:r w:rsidRPr="00585AAB">
        <w:rPr>
          <w:rFonts w:asciiTheme="minorHAnsi" w:eastAsiaTheme="minorHAnsi" w:hAnsiTheme="minorHAnsi" w:cstheme="minorBidi"/>
          <w:snapToGrid/>
          <w:sz w:val="24"/>
          <w:szCs w:val="22"/>
        </w:rPr>
        <w:t xml:space="preserve">, the sample sizes were not calculated in order to satisfy non-inferiority criteria. </w:t>
      </w:r>
    </w:p>
    <w:p w:rsidR="00216933" w:rsidRPr="00216933" w:rsidRDefault="00216933" w:rsidP="00216933">
      <w:pPr>
        <w:pStyle w:val="ESnumberedparablue"/>
      </w:pPr>
      <w:r w:rsidRPr="00216933">
        <w:lastRenderedPageBreak/>
        <w:t>The PBAC considered there were transitivity issues with the trials, and uncertainty with the multi-step indirect comparisons presented in the submission. The PBAC noted the pooled results of the OPERA trials showed an approximately 46% reduction in annualised relapse rate and a 40% reduction in hazard of disability progression at 3 and 6 months.</w:t>
      </w:r>
    </w:p>
    <w:p w:rsidR="0027568F" w:rsidRPr="00585AAB" w:rsidRDefault="0027568F" w:rsidP="0027568F">
      <w:pPr>
        <w:pStyle w:val="ESnumberedparablue"/>
      </w:pPr>
      <w:r w:rsidRPr="00585AAB">
        <w:t>Based on the evidence presented in the submission, the PBAC was satisfied that ocrelizumab was superior to interferon beta-1a with regards to comparative efficacy. The PBAC accepted that ocrelizumab was likely to be non-inferior to fingolimod with regards to comparative efficacy, however considered that there were insufficient evidence to support a claim of non-inferiority of ocrelizumab to natalizumab or alemtuzumab.</w:t>
      </w:r>
    </w:p>
    <w:p w:rsidR="00137F8D" w:rsidRPr="00585AAB" w:rsidRDefault="00137F8D" w:rsidP="00605EFC">
      <w:pPr>
        <w:pStyle w:val="Heading2"/>
        <w:keepNext/>
        <w:keepLines/>
        <w:widowControl/>
        <w:tabs>
          <w:tab w:val="left" w:pos="2805"/>
        </w:tabs>
        <w:spacing w:before="240" w:after="120"/>
        <w:rPr>
          <w:rFonts w:asciiTheme="minorHAnsi" w:eastAsiaTheme="majorEastAsia" w:hAnsiTheme="minorHAnsi" w:cstheme="majorBidi"/>
          <w:i/>
          <w:snapToGrid/>
          <w:sz w:val="28"/>
          <w:szCs w:val="28"/>
        </w:rPr>
      </w:pPr>
      <w:bookmarkStart w:id="24" w:name="_Toc413139279"/>
      <w:bookmarkStart w:id="25" w:name="_Toc476306889"/>
      <w:bookmarkStart w:id="26" w:name="_Toc482796751"/>
      <w:r w:rsidRPr="00585AAB">
        <w:rPr>
          <w:rFonts w:asciiTheme="minorHAnsi" w:eastAsiaTheme="majorEastAsia" w:hAnsiTheme="minorHAnsi" w:cstheme="majorBidi"/>
          <w:i/>
          <w:snapToGrid/>
          <w:sz w:val="28"/>
          <w:szCs w:val="28"/>
        </w:rPr>
        <w:t>Comparative harms</w:t>
      </w:r>
      <w:bookmarkEnd w:id="24"/>
      <w:bookmarkEnd w:id="25"/>
      <w:bookmarkEnd w:id="26"/>
      <w:r w:rsidR="00605EFC" w:rsidRPr="00585AAB">
        <w:rPr>
          <w:rFonts w:asciiTheme="minorHAnsi" w:eastAsiaTheme="majorEastAsia" w:hAnsiTheme="minorHAnsi" w:cstheme="majorBidi"/>
          <w:i/>
          <w:snapToGrid/>
          <w:sz w:val="28"/>
          <w:szCs w:val="28"/>
        </w:rPr>
        <w:tab/>
      </w:r>
    </w:p>
    <w:p w:rsidR="00F67167" w:rsidRPr="00585AAB" w:rsidRDefault="00D9522F" w:rsidP="006F1208">
      <w:pPr>
        <w:pStyle w:val="ESnumberedparablue"/>
      </w:pPr>
      <w:r w:rsidRPr="00585AAB">
        <w:t xml:space="preserve">Based on data from the OPERA trials, treatment with ocrelizumab was associated with a similar overall incidence of adverse events compared to SC interferon beta-1a. </w:t>
      </w:r>
      <w:r w:rsidR="00F67167" w:rsidRPr="00585AAB">
        <w:t>The incidence of serious adverse events was relatively low in both treatment arms.</w:t>
      </w:r>
    </w:p>
    <w:p w:rsidR="00D9522F" w:rsidRPr="00585AAB" w:rsidRDefault="00D9522F" w:rsidP="006F1208">
      <w:pPr>
        <w:pStyle w:val="ESnumberedparablue"/>
      </w:pPr>
      <w:r w:rsidRPr="00585AAB">
        <w:t>The most frequently reported events associated with ocrelizumab treatment were mild-to-moderate infections a</w:t>
      </w:r>
      <w:r w:rsidR="00F67167" w:rsidRPr="00585AAB">
        <w:t>nd infusion-related reactions</w:t>
      </w:r>
      <w:r w:rsidRPr="00585AAB">
        <w:t>. Serious adverse events occurring in more than one patient in the ocrelizumab arm included appendicitis, cellulitis, pyelonephritis, gastritis, cholecystitis, cholelithiasis,  seizure, depression, invasive ductal breast carcinoma, thyroid adenoma and chest pain</w:t>
      </w:r>
      <w:r w:rsidR="00936727" w:rsidRPr="00585AAB">
        <w:t>.</w:t>
      </w:r>
    </w:p>
    <w:p w:rsidR="00D9522F" w:rsidRPr="00585AAB" w:rsidRDefault="00D9522F" w:rsidP="006F1208">
      <w:pPr>
        <w:pStyle w:val="ESnumberedparablue"/>
      </w:pPr>
      <w:r w:rsidRPr="00585AAB">
        <w:t>The submission presented a series of naïve indirect comparisons of common adverse events and serious adverse events associated with ocrelizumab, alemtuzumab, fingolimod and nat</w:t>
      </w:r>
      <w:r w:rsidR="00CC202F" w:rsidRPr="00585AAB">
        <w:t>alizumab. The submission noted</w:t>
      </w:r>
      <w:r w:rsidRPr="00585AAB">
        <w:t xml:space="preserve"> that</w:t>
      </w:r>
      <w:r w:rsidR="00CC202F" w:rsidRPr="00585AAB">
        <w:t xml:space="preserve"> ocrelizumab was associated with a numerically lower overall incidence of adverse events and serious adverse events compared to the other treatments. The naïve indirect comparisons do not account for between trial differences and are insufficient to adequately inform the comparative assessment of safety between treatments.</w:t>
      </w:r>
    </w:p>
    <w:p w:rsidR="00605EFC" w:rsidRPr="00585AAB" w:rsidRDefault="00605EFC" w:rsidP="006F1208">
      <w:pPr>
        <w:pStyle w:val="ESnumberedparablue"/>
      </w:pPr>
      <w:r w:rsidRPr="00585AAB">
        <w:t>The PSCR</w:t>
      </w:r>
      <w:r w:rsidR="00961FFA" w:rsidRPr="00585AAB">
        <w:t xml:space="preserve"> (p</w:t>
      </w:r>
      <w:r w:rsidR="008351F6" w:rsidRPr="00585AAB">
        <w:t>2</w:t>
      </w:r>
      <w:r w:rsidR="00961FFA" w:rsidRPr="00585AAB">
        <w:t>)</w:t>
      </w:r>
      <w:r w:rsidRPr="00585AAB">
        <w:t xml:space="preserve"> argued that in the absence of head-to-head data</w:t>
      </w:r>
      <w:r w:rsidR="005B43AE" w:rsidRPr="00585AAB">
        <w:t>,</w:t>
      </w:r>
      <w:r w:rsidRPr="00585AAB">
        <w:t xml:space="preserve"> the PBAC has previously accepted the results of naïve indirect comparisons to support listing decisions, and </w:t>
      </w:r>
      <w:r w:rsidR="0079775D" w:rsidRPr="00585AAB">
        <w:t>that the qualitative comparisons</w:t>
      </w:r>
      <w:r w:rsidRPr="00585AAB">
        <w:t xml:space="preserve"> between ocrelizumab and </w:t>
      </w:r>
      <w:r w:rsidR="008351F6" w:rsidRPr="00585AAB">
        <w:t>its</w:t>
      </w:r>
      <w:r w:rsidRPr="00585AAB">
        <w:t xml:space="preserve"> three nominated comparators showed lower rates of adverse events and </w:t>
      </w:r>
      <w:r w:rsidR="008351F6" w:rsidRPr="00585AAB">
        <w:t>less</w:t>
      </w:r>
      <w:r w:rsidRPr="00585AAB">
        <w:t xml:space="preserve"> monitoring requirements</w:t>
      </w:r>
      <w:r w:rsidR="008351F6" w:rsidRPr="00585AAB">
        <w:t xml:space="preserve"> for ocrelizumab</w:t>
      </w:r>
      <w:r w:rsidRPr="00585AAB">
        <w:t>.</w:t>
      </w:r>
    </w:p>
    <w:p w:rsidR="008351F6" w:rsidRPr="00585AAB" w:rsidRDefault="006525C2" w:rsidP="00FA4E83">
      <w:pPr>
        <w:pStyle w:val="ListParagraph"/>
        <w:numPr>
          <w:ilvl w:val="1"/>
          <w:numId w:val="11"/>
        </w:numPr>
        <w:spacing w:before="120" w:after="160"/>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There are limited long-term safety data on the use of ocrelizumab as a chronic treatment for multiple sclerosis.</w:t>
      </w:r>
      <w:r w:rsidR="00605EFC" w:rsidRPr="00585AAB">
        <w:rPr>
          <w:rFonts w:asciiTheme="minorHAnsi" w:eastAsiaTheme="minorHAnsi" w:hAnsiTheme="minorHAnsi" w:cstheme="minorBidi"/>
          <w:snapToGrid/>
          <w:sz w:val="24"/>
          <w:szCs w:val="22"/>
        </w:rPr>
        <w:t xml:space="preserve"> The PSCR</w:t>
      </w:r>
      <w:r w:rsidR="00961FFA" w:rsidRPr="00585AAB">
        <w:rPr>
          <w:rFonts w:asciiTheme="minorHAnsi" w:eastAsiaTheme="minorHAnsi" w:hAnsiTheme="minorHAnsi" w:cstheme="minorBidi"/>
          <w:snapToGrid/>
          <w:sz w:val="24"/>
          <w:szCs w:val="22"/>
        </w:rPr>
        <w:t xml:space="preserve"> (p 2) </w:t>
      </w:r>
      <w:r w:rsidR="008351F6" w:rsidRPr="00585AAB">
        <w:rPr>
          <w:rFonts w:asciiTheme="minorHAnsi" w:eastAsiaTheme="minorHAnsi" w:hAnsiTheme="minorHAnsi" w:cstheme="minorBidi"/>
          <w:snapToGrid/>
          <w:sz w:val="24"/>
          <w:szCs w:val="22"/>
        </w:rPr>
        <w:t>stated that</w:t>
      </w:r>
      <w:r w:rsidR="00605EFC" w:rsidRPr="00585AAB">
        <w:rPr>
          <w:rFonts w:asciiTheme="minorHAnsi" w:eastAsiaTheme="minorHAnsi" w:hAnsiTheme="minorHAnsi" w:cstheme="minorBidi"/>
          <w:snapToGrid/>
          <w:sz w:val="24"/>
          <w:szCs w:val="22"/>
        </w:rPr>
        <w:t xml:space="preserve"> the TGA Delegate’s Overview ha</w:t>
      </w:r>
      <w:r w:rsidR="008351F6" w:rsidRPr="00585AAB">
        <w:rPr>
          <w:rFonts w:asciiTheme="minorHAnsi" w:eastAsiaTheme="minorHAnsi" w:hAnsiTheme="minorHAnsi" w:cstheme="minorBidi"/>
          <w:snapToGrid/>
          <w:sz w:val="24"/>
          <w:szCs w:val="22"/>
        </w:rPr>
        <w:t>s</w:t>
      </w:r>
      <w:r w:rsidR="00605EFC" w:rsidRPr="00585AAB">
        <w:rPr>
          <w:rFonts w:asciiTheme="minorHAnsi" w:eastAsiaTheme="minorHAnsi" w:hAnsiTheme="minorHAnsi" w:cstheme="minorBidi"/>
          <w:snapToGrid/>
          <w:sz w:val="24"/>
          <w:szCs w:val="22"/>
        </w:rPr>
        <w:t xml:space="preserve"> not mandated any changes to the proposed risk management program</w:t>
      </w:r>
      <w:r w:rsidR="008351F6" w:rsidRPr="00585AAB">
        <w:rPr>
          <w:rFonts w:asciiTheme="minorHAnsi" w:eastAsiaTheme="minorHAnsi" w:hAnsiTheme="minorHAnsi" w:cstheme="minorBidi"/>
          <w:snapToGrid/>
          <w:sz w:val="24"/>
          <w:szCs w:val="22"/>
        </w:rPr>
        <w:t xml:space="preserve"> and that the risk of progressive multifocal leukoencephalopathy (PML) and malignancy with ocrelizumab remains unclear and will be monitored over time. </w:t>
      </w:r>
      <w:r w:rsidR="00C12EB8" w:rsidRPr="00585AAB">
        <w:rPr>
          <w:rFonts w:asciiTheme="minorHAnsi" w:eastAsiaTheme="minorHAnsi" w:hAnsiTheme="minorHAnsi" w:cstheme="minorBidi"/>
          <w:snapToGrid/>
          <w:sz w:val="24"/>
          <w:szCs w:val="22"/>
        </w:rPr>
        <w:t>The PBAC noted that the draft Product Information recommends that patients should be monitored for signs and symptoms of PML.</w:t>
      </w:r>
    </w:p>
    <w:p w:rsidR="00C12EB8" w:rsidRPr="00585AAB" w:rsidRDefault="00C12EB8" w:rsidP="00C12EB8">
      <w:pPr>
        <w:pStyle w:val="ListParagraph"/>
        <w:spacing w:before="120" w:after="160"/>
        <w:rPr>
          <w:rFonts w:asciiTheme="minorHAnsi" w:eastAsiaTheme="minorHAnsi" w:hAnsiTheme="minorHAnsi" w:cstheme="minorBidi"/>
          <w:snapToGrid/>
          <w:sz w:val="24"/>
          <w:szCs w:val="22"/>
        </w:rPr>
      </w:pPr>
    </w:p>
    <w:p w:rsidR="00FA4E83" w:rsidRPr="00585AAB" w:rsidRDefault="00FA4E83" w:rsidP="008351F6">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lastRenderedPageBreak/>
        <w:t>The PBAC</w:t>
      </w:r>
      <w:r w:rsidR="00132B4E" w:rsidRPr="00585AAB">
        <w:rPr>
          <w:rFonts w:asciiTheme="minorHAnsi" w:eastAsiaTheme="minorHAnsi" w:hAnsiTheme="minorHAnsi" w:cstheme="minorBidi"/>
          <w:snapToGrid/>
          <w:sz w:val="24"/>
          <w:szCs w:val="22"/>
        </w:rPr>
        <w:t xml:space="preserve"> considered</w:t>
      </w:r>
      <w:r w:rsidRPr="00585AAB">
        <w:rPr>
          <w:rFonts w:asciiTheme="minorHAnsi" w:eastAsiaTheme="minorHAnsi" w:hAnsiTheme="minorHAnsi" w:cstheme="minorBidi"/>
          <w:snapToGrid/>
          <w:sz w:val="24"/>
          <w:szCs w:val="22"/>
        </w:rPr>
        <w:t xml:space="preserve"> </w:t>
      </w:r>
      <w:r w:rsidR="00C12EB8" w:rsidRPr="00585AAB">
        <w:rPr>
          <w:rFonts w:asciiTheme="minorHAnsi" w:eastAsiaTheme="minorHAnsi" w:hAnsiTheme="minorHAnsi" w:cstheme="minorBidi"/>
          <w:snapToGrid/>
          <w:sz w:val="24"/>
          <w:szCs w:val="22"/>
        </w:rPr>
        <w:t xml:space="preserve">that the naïve </w:t>
      </w:r>
      <w:r w:rsidR="002422C5" w:rsidRPr="00585AAB">
        <w:rPr>
          <w:rFonts w:asciiTheme="minorHAnsi" w:eastAsiaTheme="minorHAnsi" w:hAnsiTheme="minorHAnsi" w:cstheme="minorBidi"/>
          <w:snapToGrid/>
          <w:sz w:val="24"/>
          <w:szCs w:val="22"/>
        </w:rPr>
        <w:t>indirect comparisons</w:t>
      </w:r>
      <w:r w:rsidR="00C12EB8" w:rsidRPr="00585AAB">
        <w:rPr>
          <w:rFonts w:asciiTheme="minorHAnsi" w:eastAsiaTheme="minorHAnsi" w:hAnsiTheme="minorHAnsi" w:cstheme="minorBidi"/>
          <w:snapToGrid/>
          <w:sz w:val="24"/>
          <w:szCs w:val="22"/>
        </w:rPr>
        <w:t xml:space="preserve"> presented in the submission provided insufficient evidence</w:t>
      </w:r>
      <w:r w:rsidR="002422C5" w:rsidRPr="00585AAB">
        <w:rPr>
          <w:rFonts w:asciiTheme="minorHAnsi" w:eastAsiaTheme="minorHAnsi" w:hAnsiTheme="minorHAnsi" w:cstheme="minorBidi"/>
          <w:snapToGrid/>
          <w:sz w:val="24"/>
          <w:szCs w:val="22"/>
        </w:rPr>
        <w:t xml:space="preserve"> to draw meaningful conclusions</w:t>
      </w:r>
      <w:r w:rsidR="00C12EB8" w:rsidRPr="00585AAB">
        <w:rPr>
          <w:rFonts w:asciiTheme="minorHAnsi" w:eastAsiaTheme="minorHAnsi" w:hAnsiTheme="minorHAnsi" w:cstheme="minorBidi"/>
          <w:snapToGrid/>
          <w:sz w:val="24"/>
          <w:szCs w:val="22"/>
        </w:rPr>
        <w:t xml:space="preserve"> on the comparative safety of</w:t>
      </w:r>
      <w:r w:rsidR="002422C5" w:rsidRPr="00585AAB">
        <w:rPr>
          <w:rFonts w:asciiTheme="minorHAnsi" w:eastAsiaTheme="minorHAnsi" w:hAnsiTheme="minorHAnsi" w:cstheme="minorBidi"/>
          <w:snapToGrid/>
          <w:sz w:val="24"/>
          <w:szCs w:val="22"/>
        </w:rPr>
        <w:t xml:space="preserve"> ocrelizumab with </w:t>
      </w:r>
      <w:r w:rsidR="00C12EB8" w:rsidRPr="00585AAB">
        <w:rPr>
          <w:rFonts w:asciiTheme="minorHAnsi" w:eastAsiaTheme="minorHAnsi" w:hAnsiTheme="minorHAnsi" w:cstheme="minorBidi"/>
          <w:snapToGrid/>
          <w:sz w:val="24"/>
          <w:szCs w:val="22"/>
        </w:rPr>
        <w:t>its</w:t>
      </w:r>
      <w:r w:rsidR="002422C5" w:rsidRPr="00585AAB">
        <w:rPr>
          <w:rFonts w:asciiTheme="minorHAnsi" w:eastAsiaTheme="minorHAnsi" w:hAnsiTheme="minorHAnsi" w:cstheme="minorBidi"/>
          <w:snapToGrid/>
          <w:sz w:val="24"/>
          <w:szCs w:val="22"/>
        </w:rPr>
        <w:t xml:space="preserve"> nominated comparators</w:t>
      </w:r>
      <w:r w:rsidR="00C12EB8" w:rsidRPr="00585AAB">
        <w:rPr>
          <w:rFonts w:asciiTheme="minorHAnsi" w:eastAsiaTheme="minorHAnsi" w:hAnsiTheme="minorHAnsi" w:cstheme="minorBidi"/>
          <w:snapToGrid/>
          <w:sz w:val="24"/>
          <w:szCs w:val="22"/>
        </w:rPr>
        <w:t>.</w:t>
      </w:r>
      <w:r w:rsidRPr="00585AAB">
        <w:rPr>
          <w:rFonts w:asciiTheme="minorHAnsi" w:eastAsiaTheme="minorHAnsi" w:hAnsiTheme="minorHAnsi" w:cstheme="minorBidi"/>
          <w:snapToGrid/>
          <w:sz w:val="24"/>
          <w:szCs w:val="22"/>
        </w:rPr>
        <w:t xml:space="preserve">  </w:t>
      </w:r>
      <w:r w:rsidR="00C12EB8" w:rsidRPr="00585AAB">
        <w:rPr>
          <w:rFonts w:asciiTheme="minorHAnsi" w:eastAsiaTheme="minorHAnsi" w:hAnsiTheme="minorHAnsi" w:cstheme="minorBidi"/>
          <w:snapToGrid/>
          <w:sz w:val="24"/>
          <w:szCs w:val="22"/>
        </w:rPr>
        <w:t xml:space="preserve"> </w:t>
      </w:r>
    </w:p>
    <w:p w:rsidR="00137F8D" w:rsidRPr="00585AAB"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7" w:name="_Toc413139281"/>
      <w:bookmarkStart w:id="28" w:name="_Toc476306891"/>
      <w:bookmarkStart w:id="29" w:name="_Toc482796752"/>
      <w:r w:rsidRPr="00585AAB">
        <w:rPr>
          <w:rFonts w:asciiTheme="minorHAnsi" w:eastAsiaTheme="majorEastAsia" w:hAnsiTheme="minorHAnsi" w:cstheme="majorBidi"/>
          <w:i/>
          <w:snapToGrid/>
          <w:sz w:val="28"/>
          <w:szCs w:val="28"/>
        </w:rPr>
        <w:t>Clinical claim</w:t>
      </w:r>
      <w:bookmarkEnd w:id="27"/>
      <w:bookmarkEnd w:id="28"/>
      <w:bookmarkEnd w:id="29"/>
    </w:p>
    <w:p w:rsidR="00137F8D" w:rsidRPr="00585AAB" w:rsidRDefault="002B0D2A" w:rsidP="006F1208">
      <w:pPr>
        <w:pStyle w:val="ESnumberedparablue"/>
      </w:pPr>
      <w:r w:rsidRPr="00585AAB">
        <w:t xml:space="preserve">The submission described ocrelizumab as </w:t>
      </w:r>
      <w:r w:rsidR="00A54CB2" w:rsidRPr="00585AAB">
        <w:t>non</w:t>
      </w:r>
      <w:r w:rsidR="004B0AEB">
        <w:t>-</w:t>
      </w:r>
      <w:r w:rsidR="0081108D" w:rsidRPr="00585AAB">
        <w:t>inferior</w:t>
      </w:r>
      <w:r w:rsidRPr="00585AAB">
        <w:t xml:space="preserve"> in terms of efficacy and </w:t>
      </w:r>
      <w:r w:rsidR="00A54CB2" w:rsidRPr="00585AAB">
        <w:t>non</w:t>
      </w:r>
      <w:r w:rsidR="004B0AEB">
        <w:noBreakHyphen/>
      </w:r>
      <w:r w:rsidR="0081108D" w:rsidRPr="00585AAB">
        <w:t>inferior</w:t>
      </w:r>
      <w:r w:rsidRPr="00585AAB">
        <w:t xml:space="preserve"> (possibly superior) in terms of safety compared to fingolimod. </w:t>
      </w:r>
    </w:p>
    <w:p w:rsidR="002B0D2A" w:rsidRPr="00585AAB" w:rsidRDefault="002B0D2A" w:rsidP="006F1208">
      <w:pPr>
        <w:pStyle w:val="ESnumberedparablue"/>
      </w:pPr>
      <w:r w:rsidRPr="00585AAB">
        <w:t xml:space="preserve">The submission described ocrelizumab as </w:t>
      </w:r>
      <w:r w:rsidR="0081108D" w:rsidRPr="00585AAB">
        <w:t>non</w:t>
      </w:r>
      <w:r w:rsidR="004B0AEB">
        <w:t>-</w:t>
      </w:r>
      <w:r w:rsidR="0081108D" w:rsidRPr="00585AAB">
        <w:t>inferior</w:t>
      </w:r>
      <w:r w:rsidRPr="00585AAB">
        <w:t xml:space="preserve"> in terms of efficacy and </w:t>
      </w:r>
      <w:r w:rsidR="00A54CB2" w:rsidRPr="00585AAB">
        <w:t>non</w:t>
      </w:r>
      <w:r w:rsidR="004B0AEB">
        <w:noBreakHyphen/>
      </w:r>
      <w:r w:rsidR="0081108D" w:rsidRPr="00585AAB">
        <w:t>inferior</w:t>
      </w:r>
      <w:r w:rsidRPr="00585AAB">
        <w:t xml:space="preserve"> (possibly superior) in terms of safety compared to natalizumab. </w:t>
      </w:r>
    </w:p>
    <w:p w:rsidR="002B0D2A" w:rsidRPr="00585AAB" w:rsidRDefault="002B0D2A" w:rsidP="006F1208">
      <w:pPr>
        <w:pStyle w:val="ESnumberedparablue"/>
      </w:pPr>
      <w:r w:rsidRPr="00585AAB">
        <w:t xml:space="preserve">The submission described ocrelizumab as </w:t>
      </w:r>
      <w:r w:rsidR="00A54CB2" w:rsidRPr="00585AAB">
        <w:t>non</w:t>
      </w:r>
      <w:r w:rsidR="004B0AEB">
        <w:t>-</w:t>
      </w:r>
      <w:r w:rsidR="0081108D" w:rsidRPr="00585AAB">
        <w:t>inferior</w:t>
      </w:r>
      <w:r w:rsidRPr="00585AAB">
        <w:t xml:space="preserve"> in terms of efficacy and </w:t>
      </w:r>
      <w:r w:rsidR="00A54CB2" w:rsidRPr="00585AAB">
        <w:t>non</w:t>
      </w:r>
      <w:r w:rsidR="004B0AEB">
        <w:noBreakHyphen/>
      </w:r>
      <w:r w:rsidR="0081108D" w:rsidRPr="00585AAB">
        <w:t>inferior</w:t>
      </w:r>
      <w:r w:rsidRPr="00585AAB">
        <w:t xml:space="preserve"> (possibly superior) in terms of safety compared to alemtuzumab. </w:t>
      </w:r>
    </w:p>
    <w:p w:rsidR="006F1208" w:rsidRPr="00585AAB" w:rsidRDefault="006F1208" w:rsidP="006F1208">
      <w:pPr>
        <w:pStyle w:val="ESnumberedparablue"/>
      </w:pPr>
      <w:r w:rsidRPr="00585AAB">
        <w:t xml:space="preserve">The PBAC considered that the claim of non-inferior comparative effectiveness </w:t>
      </w:r>
      <w:r w:rsidR="002422C5" w:rsidRPr="00585AAB">
        <w:t xml:space="preserve">may be reasonable for fingolimod but could not exclude the potential for ocrelizumab to be inferior to natalizumab and alemtuzumab. </w:t>
      </w:r>
    </w:p>
    <w:p w:rsidR="006F1208" w:rsidRPr="00585AAB" w:rsidRDefault="006F1208" w:rsidP="006F1208">
      <w:pPr>
        <w:pStyle w:val="ESnumberedparablue"/>
      </w:pPr>
      <w:r w:rsidRPr="00585AAB">
        <w:t>The PBAC considered that the claim of non-inferior comparative safety was not adequately supported by the data.</w:t>
      </w:r>
    </w:p>
    <w:p w:rsidR="00137F8D" w:rsidRPr="00585AAB"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0" w:name="_Toc413139282"/>
      <w:bookmarkStart w:id="31" w:name="_Toc476306892"/>
      <w:bookmarkStart w:id="32" w:name="_Toc482796753"/>
      <w:r w:rsidRPr="00585AAB">
        <w:rPr>
          <w:rFonts w:asciiTheme="minorHAnsi" w:eastAsiaTheme="majorEastAsia" w:hAnsiTheme="minorHAnsi" w:cstheme="majorBidi"/>
          <w:i/>
          <w:snapToGrid/>
          <w:sz w:val="28"/>
          <w:szCs w:val="28"/>
        </w:rPr>
        <w:t>Economic analysis</w:t>
      </w:r>
      <w:bookmarkEnd w:id="30"/>
      <w:bookmarkEnd w:id="31"/>
      <w:bookmarkEnd w:id="32"/>
    </w:p>
    <w:p w:rsidR="0043704E" w:rsidRPr="00D61BC7" w:rsidRDefault="0043704E" w:rsidP="00A712EE">
      <w:pPr>
        <w:pStyle w:val="ESnumberedparablue"/>
        <w:rPr>
          <w:szCs w:val="22"/>
        </w:rPr>
      </w:pPr>
      <w:r w:rsidRPr="00A712EE">
        <w:t>The</w:t>
      </w:r>
      <w:r w:rsidRPr="00A712EE">
        <w:rPr>
          <w:color w:val="auto"/>
          <w:szCs w:val="22"/>
        </w:rPr>
        <w:t xml:space="preserve"> </w:t>
      </w:r>
      <w:r w:rsidR="00E47037" w:rsidRPr="00A712EE">
        <w:rPr>
          <w:color w:val="auto"/>
          <w:szCs w:val="22"/>
        </w:rPr>
        <w:t xml:space="preserve">sponsor </w:t>
      </w:r>
      <w:r w:rsidR="00D61BC7" w:rsidRPr="00A712EE">
        <w:rPr>
          <w:color w:val="auto"/>
          <w:szCs w:val="22"/>
        </w:rPr>
        <w:t xml:space="preserve">proposed listing on </w:t>
      </w:r>
      <w:r w:rsidRPr="00A712EE">
        <w:rPr>
          <w:color w:val="auto"/>
          <w:szCs w:val="22"/>
        </w:rPr>
        <w:t xml:space="preserve">a cost-minimisation </w:t>
      </w:r>
      <w:r w:rsidR="00D61BC7" w:rsidRPr="00A712EE">
        <w:rPr>
          <w:color w:val="auto"/>
          <w:szCs w:val="22"/>
        </w:rPr>
        <w:t>basis</w:t>
      </w:r>
      <w:r w:rsidRPr="00A712EE">
        <w:rPr>
          <w:color w:val="auto"/>
          <w:szCs w:val="22"/>
        </w:rPr>
        <w:t xml:space="preserve"> versus natalizumab</w:t>
      </w:r>
      <w:r w:rsidR="00D61BC7" w:rsidRPr="00A712EE">
        <w:rPr>
          <w:color w:val="auto"/>
          <w:szCs w:val="22"/>
        </w:rPr>
        <w:t xml:space="preserve"> or fingolimod or alemtuzumab</w:t>
      </w:r>
      <w:r w:rsidR="00D61BC7" w:rsidRPr="00D61BC7">
        <w:rPr>
          <w:rFonts w:eastAsia="Times New Roman" w:cs="Arial"/>
          <w:snapToGrid w:val="0"/>
          <w:color w:val="auto"/>
          <w:szCs w:val="22"/>
        </w:rPr>
        <w:t>.</w:t>
      </w:r>
      <w:r w:rsidR="00D61BC7">
        <w:t xml:space="preserve"> </w:t>
      </w:r>
      <w:r w:rsidRPr="00585AAB">
        <w:t xml:space="preserve"> </w:t>
      </w:r>
    </w:p>
    <w:p w:rsidR="00B91167" w:rsidRPr="00585AAB" w:rsidRDefault="00260301" w:rsidP="00B91167">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 xml:space="preserve">The equi-effective doses </w:t>
      </w:r>
      <w:r w:rsidR="0069105E" w:rsidRPr="00585AAB">
        <w:rPr>
          <w:rFonts w:asciiTheme="minorHAnsi" w:eastAsiaTheme="minorHAnsi" w:hAnsiTheme="minorHAnsi" w:cstheme="minorBidi"/>
          <w:snapToGrid/>
          <w:sz w:val="24"/>
          <w:szCs w:val="22"/>
        </w:rPr>
        <w:t xml:space="preserve">in the submission </w:t>
      </w:r>
      <w:r w:rsidRPr="00585AAB">
        <w:rPr>
          <w:rFonts w:asciiTheme="minorHAnsi" w:eastAsiaTheme="minorHAnsi" w:hAnsiTheme="minorHAnsi" w:cstheme="minorBidi"/>
          <w:snapToGrid/>
          <w:sz w:val="24"/>
          <w:szCs w:val="22"/>
        </w:rPr>
        <w:t>were based on the recommended dosing regimens outlined in the relevant product information documents</w:t>
      </w:r>
      <w:r w:rsidR="00E47037">
        <w:rPr>
          <w:rFonts w:asciiTheme="minorHAnsi" w:eastAsiaTheme="minorHAnsi" w:hAnsiTheme="minorHAnsi" w:cstheme="minorBidi"/>
          <w:snapToGrid/>
          <w:sz w:val="24"/>
          <w:szCs w:val="22"/>
        </w:rPr>
        <w:t>.</w:t>
      </w:r>
      <w:r w:rsidRPr="00585AAB">
        <w:rPr>
          <w:rFonts w:asciiTheme="minorHAnsi" w:eastAsiaTheme="minorHAnsi" w:hAnsiTheme="minorHAnsi" w:cstheme="minorBidi"/>
          <w:snapToGrid/>
          <w:sz w:val="24"/>
          <w:szCs w:val="22"/>
        </w:rPr>
        <w:t xml:space="preserve"> </w:t>
      </w:r>
    </w:p>
    <w:p w:rsidR="00260301" w:rsidRPr="00585AAB" w:rsidRDefault="00260301" w:rsidP="006F1208">
      <w:pPr>
        <w:pStyle w:val="ESnumberedparablue"/>
      </w:pPr>
      <w:r w:rsidRPr="00585AAB">
        <w:t xml:space="preserve">The </w:t>
      </w:r>
      <w:r w:rsidR="00FD48DC" w:rsidRPr="00585AAB">
        <w:t xml:space="preserve">evaluation considered that </w:t>
      </w:r>
      <w:r w:rsidRPr="00585AAB">
        <w:t>estimated equi-effective doses may not be reasonable as the ocrelizumab trials used a dosage regimen of 600 mg every 24 weeks (simplified to every 6 months in the product information).</w:t>
      </w:r>
      <w:r w:rsidR="00263B0A" w:rsidRPr="00585AAB">
        <w:t xml:space="preserve"> The PSCR (p 3) </w:t>
      </w:r>
      <w:r w:rsidR="00312B49" w:rsidRPr="00585AAB">
        <w:t>stated that given that the product information proposes administration every six months it can be anticipated that clinicians will prescribe ocrelizumab in half yearly intervals, and that it is not expected that the clinical trial results would have been significantly different if ocrelizumab would have been administered every 6 months rather than every 24 weeks. The PSCR (p3) therefore argued that the equi-effective doses</w:t>
      </w:r>
      <w:r w:rsidR="009C29D0" w:rsidRPr="00585AAB">
        <w:t xml:space="preserve"> proposed in the submission are reflective of the anticipated utilisation of ocrelizumab in clinical practice and thus represent </w:t>
      </w:r>
      <w:r w:rsidR="00FA637E" w:rsidRPr="00585AAB">
        <w:t>an</w:t>
      </w:r>
      <w:r w:rsidR="009C29D0" w:rsidRPr="00585AAB">
        <w:t xml:space="preserve"> appropriate basis for the cost-minimisation analysis.</w:t>
      </w:r>
    </w:p>
    <w:p w:rsidR="00443F88" w:rsidRDefault="009E7736" w:rsidP="006F1208">
      <w:pPr>
        <w:pStyle w:val="ESnumberedparablue"/>
      </w:pPr>
      <w:r w:rsidRPr="00585AAB">
        <w:t>The PBAC</w:t>
      </w:r>
      <w:r w:rsidR="007F3B2C" w:rsidRPr="00585AAB">
        <w:t xml:space="preserve"> considered that</w:t>
      </w:r>
      <w:r w:rsidRPr="00585AAB">
        <w:t xml:space="preserve"> </w:t>
      </w:r>
      <w:r w:rsidR="001D4CF9" w:rsidRPr="00585AAB">
        <w:t>the evidence supported a claim of non-inferior compa</w:t>
      </w:r>
      <w:r w:rsidR="00F10925" w:rsidRPr="00585AAB">
        <w:t>rative efficacy with fingolimod,</w:t>
      </w:r>
      <w:r w:rsidR="007F3B2C" w:rsidRPr="00585AAB">
        <w:t xml:space="preserve"> and</w:t>
      </w:r>
      <w:r w:rsidR="00F10925" w:rsidRPr="00585AAB">
        <w:t xml:space="preserve"> </w:t>
      </w:r>
      <w:r w:rsidR="007F3B2C" w:rsidRPr="00585AAB">
        <w:t xml:space="preserve">therefore </w:t>
      </w:r>
      <w:r w:rsidR="00F10925" w:rsidRPr="00585AAB">
        <w:t xml:space="preserve">recommended that ocrelizumab be listed on a cost minimisation basis with fingolimod. </w:t>
      </w:r>
      <w:r w:rsidR="000C395C" w:rsidRPr="00585AAB">
        <w:t xml:space="preserve"> </w:t>
      </w:r>
    </w:p>
    <w:p w:rsidR="00474A83" w:rsidRDefault="00474A83" w:rsidP="00474A83">
      <w:pPr>
        <w:pStyle w:val="ESnumberedparablue"/>
        <w:numPr>
          <w:ilvl w:val="0"/>
          <w:numId w:val="0"/>
        </w:numPr>
        <w:ind w:left="720"/>
      </w:pPr>
    </w:p>
    <w:p w:rsidR="00474A83" w:rsidRDefault="00474A83" w:rsidP="00474A83">
      <w:pPr>
        <w:pStyle w:val="ESnumberedparablue"/>
        <w:numPr>
          <w:ilvl w:val="0"/>
          <w:numId w:val="0"/>
        </w:numPr>
        <w:ind w:left="720"/>
      </w:pPr>
    </w:p>
    <w:p w:rsidR="00216933" w:rsidRPr="00216933" w:rsidRDefault="00216933" w:rsidP="006F1208">
      <w:pPr>
        <w:pStyle w:val="ESnumberedparablue"/>
      </w:pPr>
      <w:r w:rsidRPr="00216933">
        <w:lastRenderedPageBreak/>
        <w:t>The</w:t>
      </w:r>
      <w:r>
        <w:t xml:space="preserve"> PBAC noted that</w:t>
      </w:r>
      <w:r w:rsidR="0077028C">
        <w:t xml:space="preserve"> the</w:t>
      </w:r>
      <w:r w:rsidRPr="00216933">
        <w:t xml:space="preserve"> TGA approved P</w:t>
      </w:r>
      <w:r>
        <w:t>I</w:t>
      </w:r>
      <w:r w:rsidRPr="00216933">
        <w:t xml:space="preserve"> recommends a dosing interval of every 6 months, however specifies a minimum interval of 5 months between each dose. </w:t>
      </w:r>
      <w:r>
        <w:t xml:space="preserve"> On this basis the PBAC considered it appropriate to use the clinical trial dosing interval of 24 weeks for establishing the equi-effective do</w:t>
      </w:r>
      <w:r w:rsidR="00F535E5">
        <w:t>ses of ocrelizumab and fingolimo</w:t>
      </w:r>
      <w:r>
        <w:t>d.</w:t>
      </w:r>
    </w:p>
    <w:p w:rsidR="00137F8D" w:rsidRPr="00585AAB" w:rsidRDefault="001C193A" w:rsidP="00CC0881">
      <w:pPr>
        <w:pStyle w:val="Heading2"/>
        <w:keepNext/>
        <w:keepLines/>
        <w:widowControl/>
        <w:spacing w:before="240" w:after="120"/>
        <w:rPr>
          <w:rFonts w:asciiTheme="minorHAnsi" w:eastAsiaTheme="majorEastAsia" w:hAnsiTheme="minorHAnsi" w:cstheme="majorBidi"/>
          <w:i/>
          <w:snapToGrid/>
          <w:sz w:val="28"/>
          <w:szCs w:val="28"/>
        </w:rPr>
      </w:pPr>
      <w:bookmarkStart w:id="33" w:name="_Toc413139283"/>
      <w:bookmarkStart w:id="34" w:name="_Toc476306893"/>
      <w:bookmarkStart w:id="35" w:name="_Toc482796754"/>
      <w:r w:rsidRPr="00585AAB">
        <w:rPr>
          <w:rFonts w:asciiTheme="minorHAnsi" w:eastAsiaTheme="majorEastAsia" w:hAnsiTheme="minorHAnsi" w:cstheme="majorBidi"/>
          <w:i/>
          <w:snapToGrid/>
          <w:sz w:val="28"/>
          <w:szCs w:val="28"/>
        </w:rPr>
        <w:t>Drug cost/patien</w:t>
      </w:r>
      <w:r w:rsidR="00105C32" w:rsidRPr="00585AAB">
        <w:rPr>
          <w:rFonts w:asciiTheme="minorHAnsi" w:eastAsiaTheme="majorEastAsia" w:hAnsiTheme="minorHAnsi" w:cstheme="majorBidi"/>
          <w:i/>
          <w:snapToGrid/>
          <w:sz w:val="28"/>
          <w:szCs w:val="28"/>
        </w:rPr>
        <w:t>t over 2 years</w:t>
      </w:r>
      <w:r w:rsidR="00137F8D" w:rsidRPr="00585AAB">
        <w:rPr>
          <w:rFonts w:asciiTheme="minorHAnsi" w:eastAsiaTheme="majorEastAsia" w:hAnsiTheme="minorHAnsi" w:cstheme="majorBidi"/>
          <w:i/>
          <w:snapToGrid/>
          <w:sz w:val="28"/>
          <w:szCs w:val="28"/>
        </w:rPr>
        <w:t xml:space="preserve">: </w:t>
      </w:r>
      <w:bookmarkEnd w:id="33"/>
      <w:bookmarkEnd w:id="34"/>
      <w:r w:rsidR="00105C32" w:rsidRPr="00585AAB">
        <w:rPr>
          <w:rFonts w:asciiTheme="minorHAnsi" w:eastAsiaTheme="majorEastAsia" w:hAnsiTheme="minorHAnsi" w:cstheme="majorBidi"/>
          <w:i/>
          <w:snapToGrid/>
          <w:sz w:val="28"/>
          <w:szCs w:val="28"/>
        </w:rPr>
        <w:t>$</w:t>
      </w:r>
      <w:r w:rsidR="00F17251">
        <w:rPr>
          <w:rFonts w:asciiTheme="minorHAnsi" w:eastAsiaTheme="majorEastAsia" w:hAnsiTheme="minorHAnsi" w:cstheme="majorBidi"/>
          <w:i/>
          <w:noProof/>
          <w:snapToGrid/>
          <w:color w:val="000000"/>
          <w:sz w:val="28"/>
          <w:szCs w:val="28"/>
          <w:highlight w:val="black"/>
        </w:rPr>
        <w:t>''''''''''''</w:t>
      </w:r>
      <w:r w:rsidR="00105C32" w:rsidRPr="00585AAB">
        <w:rPr>
          <w:rFonts w:asciiTheme="minorHAnsi" w:eastAsiaTheme="majorEastAsia" w:hAnsiTheme="minorHAnsi" w:cstheme="majorBidi"/>
          <w:i/>
          <w:snapToGrid/>
          <w:sz w:val="28"/>
          <w:szCs w:val="28"/>
        </w:rPr>
        <w:t xml:space="preserve"> </w:t>
      </w:r>
      <w:bookmarkEnd w:id="35"/>
    </w:p>
    <w:p w:rsidR="00A03E89" w:rsidRPr="00585AAB" w:rsidRDefault="00DB000A" w:rsidP="006F1208">
      <w:pPr>
        <w:pStyle w:val="ESnumberedparablue"/>
      </w:pPr>
      <w:r w:rsidRPr="00585AAB">
        <w:t>The</w:t>
      </w:r>
      <w:r w:rsidR="00105C32" w:rsidRPr="00585AAB">
        <w:t xml:space="preserve"> above cost per patient </w:t>
      </w:r>
      <w:r w:rsidR="00A03E89" w:rsidRPr="00585AAB">
        <w:t>is based on two years of treatment at the dispensed price for maximum quantity</w:t>
      </w:r>
      <w:r w:rsidR="00105C32" w:rsidRPr="00585AAB">
        <w:t xml:space="preserve"> (DPMQ) </w:t>
      </w:r>
      <w:r w:rsidR="00EB4E4C" w:rsidRPr="00585AAB">
        <w:t>for public hospitals</w:t>
      </w:r>
      <w:r w:rsidR="00A03E89" w:rsidRPr="00585AAB">
        <w:t>, with one infusion of 600</w:t>
      </w:r>
      <w:r w:rsidR="00EB4E4C" w:rsidRPr="00585AAB">
        <w:t> </w:t>
      </w:r>
      <w:r w:rsidR="00A03E89" w:rsidRPr="00585AAB">
        <w:t>mg ocrelizumab every 6 months.</w:t>
      </w:r>
      <w:r w:rsidR="009E7736" w:rsidRPr="00585AAB">
        <w:t xml:space="preserve">  </w:t>
      </w:r>
    </w:p>
    <w:p w:rsidR="00137F8D" w:rsidRPr="00585AAB"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6" w:name="_Toc413139284"/>
      <w:bookmarkStart w:id="37" w:name="_Toc476306894"/>
      <w:bookmarkStart w:id="38" w:name="_Toc482796755"/>
      <w:r w:rsidRPr="00585AAB">
        <w:rPr>
          <w:rFonts w:asciiTheme="minorHAnsi" w:eastAsiaTheme="majorEastAsia" w:hAnsiTheme="minorHAnsi" w:cstheme="majorBidi"/>
          <w:i/>
          <w:snapToGrid/>
          <w:sz w:val="28"/>
          <w:szCs w:val="28"/>
        </w:rPr>
        <w:t>Estimated PBS usage &amp; financial implications</w:t>
      </w:r>
      <w:bookmarkEnd w:id="36"/>
      <w:bookmarkEnd w:id="37"/>
      <w:bookmarkEnd w:id="38"/>
    </w:p>
    <w:p w:rsidR="00137F8D" w:rsidRPr="00585AAB" w:rsidRDefault="001F0F69" w:rsidP="006F1208">
      <w:pPr>
        <w:pStyle w:val="ESnumberedparablue"/>
        <w:rPr>
          <w:color w:val="4F81BD" w:themeColor="accent1"/>
        </w:rPr>
      </w:pPr>
      <w:r w:rsidRPr="00585AAB">
        <w:t xml:space="preserve">This submission </w:t>
      </w:r>
      <w:r w:rsidR="00365855" w:rsidRPr="00585AAB">
        <w:t xml:space="preserve">was not </w:t>
      </w:r>
      <w:r w:rsidR="00137F8D" w:rsidRPr="00585AAB">
        <w:t>considered by DUSC.</w:t>
      </w:r>
    </w:p>
    <w:p w:rsidR="005E558F" w:rsidRPr="00585AAB" w:rsidRDefault="008E4CD0" w:rsidP="005E558F">
      <w:pPr>
        <w:pStyle w:val="ListParagraph"/>
        <w:numPr>
          <w:ilvl w:val="1"/>
          <w:numId w:val="11"/>
        </w:numPr>
        <w:spacing w:after="120"/>
        <w:contextualSpacing w:val="0"/>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The submission used a market share to estimate the utilisation/financial implications associated with the PBS listing of ocrelizumab.</w:t>
      </w:r>
    </w:p>
    <w:p w:rsidR="008E4CD0" w:rsidRPr="00585AAB" w:rsidRDefault="005E558F" w:rsidP="008E4CD0">
      <w:pPr>
        <w:pStyle w:val="ListParagraph"/>
        <w:numPr>
          <w:ilvl w:val="1"/>
          <w:numId w:val="11"/>
        </w:numPr>
        <w:spacing w:after="120"/>
        <w:contextualSpacing w:val="0"/>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 xml:space="preserve">There were a number of calculation errors in the </w:t>
      </w:r>
      <w:r w:rsidR="001A339D" w:rsidRPr="00585AAB">
        <w:rPr>
          <w:rFonts w:asciiTheme="minorHAnsi" w:eastAsiaTheme="minorHAnsi" w:hAnsiTheme="minorHAnsi" w:cstheme="minorBidi"/>
          <w:snapToGrid/>
          <w:sz w:val="24"/>
          <w:szCs w:val="22"/>
        </w:rPr>
        <w:t>submission that</w:t>
      </w:r>
      <w:r w:rsidRPr="00585AAB">
        <w:rPr>
          <w:rFonts w:asciiTheme="minorHAnsi" w:eastAsiaTheme="minorHAnsi" w:hAnsiTheme="minorHAnsi" w:cstheme="minorBidi"/>
          <w:snapToGrid/>
          <w:sz w:val="24"/>
          <w:szCs w:val="22"/>
        </w:rPr>
        <w:t xml:space="preserve"> were corrected during the evaluation (e.g. the submission incorrectly estimated the average monthly patient number rather than the annual patient number for alemtuzumab</w:t>
      </w:r>
      <w:r w:rsidR="009C29D0" w:rsidRPr="00585AAB">
        <w:rPr>
          <w:rFonts w:asciiTheme="minorHAnsi" w:eastAsiaTheme="minorHAnsi" w:hAnsiTheme="minorHAnsi" w:cstheme="minorBidi"/>
          <w:snapToGrid/>
          <w:sz w:val="24"/>
          <w:szCs w:val="22"/>
        </w:rPr>
        <w:t xml:space="preserve">. </w:t>
      </w:r>
      <w:r w:rsidR="00D0517A" w:rsidRPr="00585AAB">
        <w:rPr>
          <w:rFonts w:asciiTheme="minorHAnsi" w:eastAsiaTheme="minorHAnsi" w:hAnsiTheme="minorHAnsi" w:cstheme="minorBidi"/>
          <w:snapToGrid/>
          <w:sz w:val="24"/>
          <w:szCs w:val="22"/>
        </w:rPr>
        <w:t xml:space="preserve">The PSCR </w:t>
      </w:r>
      <w:r w:rsidR="009C29D0" w:rsidRPr="00585AAB">
        <w:rPr>
          <w:rFonts w:asciiTheme="minorHAnsi" w:eastAsiaTheme="minorHAnsi" w:hAnsiTheme="minorHAnsi" w:cstheme="minorBidi"/>
          <w:snapToGrid/>
          <w:sz w:val="24"/>
          <w:szCs w:val="22"/>
        </w:rPr>
        <w:t xml:space="preserve">(p5) </w:t>
      </w:r>
      <w:r w:rsidR="00D0517A" w:rsidRPr="00585AAB">
        <w:rPr>
          <w:rFonts w:asciiTheme="minorHAnsi" w:eastAsiaTheme="minorHAnsi" w:hAnsiTheme="minorHAnsi" w:cstheme="minorBidi"/>
          <w:snapToGrid/>
          <w:sz w:val="24"/>
          <w:szCs w:val="22"/>
        </w:rPr>
        <w:t xml:space="preserve">presented revised financial </w:t>
      </w:r>
      <w:r w:rsidR="001A339D" w:rsidRPr="00585AAB">
        <w:rPr>
          <w:rFonts w:asciiTheme="minorHAnsi" w:eastAsiaTheme="minorHAnsi" w:hAnsiTheme="minorHAnsi" w:cstheme="minorBidi"/>
          <w:snapToGrid/>
          <w:sz w:val="24"/>
          <w:szCs w:val="22"/>
        </w:rPr>
        <w:t>estimates that</w:t>
      </w:r>
      <w:r w:rsidR="00D0517A" w:rsidRPr="00585AAB">
        <w:rPr>
          <w:rFonts w:asciiTheme="minorHAnsi" w:eastAsiaTheme="minorHAnsi" w:hAnsiTheme="minorHAnsi" w:cstheme="minorBidi"/>
          <w:snapToGrid/>
          <w:sz w:val="24"/>
          <w:szCs w:val="22"/>
        </w:rPr>
        <w:t xml:space="preserve"> accounted for these calculation errors</w:t>
      </w:r>
      <w:r w:rsidR="00FA2B27" w:rsidRPr="00585AAB">
        <w:rPr>
          <w:rFonts w:asciiTheme="minorHAnsi" w:eastAsiaTheme="minorHAnsi" w:hAnsiTheme="minorHAnsi" w:cstheme="minorBidi"/>
          <w:snapToGrid/>
          <w:sz w:val="24"/>
          <w:szCs w:val="22"/>
        </w:rPr>
        <w:t xml:space="preserve"> and applied further updated PBS items data (to March 2017)</w:t>
      </w:r>
      <w:r w:rsidR="009C29D0" w:rsidRPr="00585AAB">
        <w:rPr>
          <w:rFonts w:asciiTheme="minorHAnsi" w:eastAsiaTheme="minorHAnsi" w:hAnsiTheme="minorHAnsi" w:cstheme="minorBidi"/>
          <w:snapToGrid/>
          <w:sz w:val="24"/>
          <w:szCs w:val="22"/>
        </w:rPr>
        <w:t xml:space="preserve">. </w:t>
      </w:r>
      <w:r w:rsidR="00FA2B27" w:rsidRPr="00585AAB">
        <w:rPr>
          <w:rFonts w:asciiTheme="minorHAnsi" w:eastAsiaTheme="minorHAnsi" w:hAnsiTheme="minorHAnsi" w:cstheme="minorBidi"/>
          <w:snapToGrid/>
          <w:sz w:val="24"/>
          <w:szCs w:val="22"/>
        </w:rPr>
        <w:t>The calculation errors appear to have been corrected; however, the updated data has not been evaluated.</w:t>
      </w:r>
      <w:r w:rsidR="00F10925" w:rsidRPr="00585AAB">
        <w:rPr>
          <w:rFonts w:asciiTheme="minorHAnsi" w:eastAsiaTheme="minorHAnsi" w:hAnsiTheme="minorHAnsi" w:cstheme="minorBidi"/>
          <w:snapToGrid/>
          <w:sz w:val="24"/>
          <w:szCs w:val="22"/>
        </w:rPr>
        <w:t xml:space="preserve"> The pre-PBAC response (p4) corrected some of the financial figures presented in the ESC Advice, which are incorporated below.</w:t>
      </w:r>
      <w:r w:rsidR="00FA2B27" w:rsidRPr="00585AAB">
        <w:rPr>
          <w:rFonts w:asciiTheme="minorHAnsi" w:eastAsiaTheme="minorHAnsi" w:hAnsiTheme="minorHAnsi" w:cstheme="minorBidi"/>
          <w:snapToGrid/>
          <w:sz w:val="24"/>
          <w:szCs w:val="22"/>
        </w:rPr>
        <w:t xml:space="preserve"> </w:t>
      </w:r>
      <w:r w:rsidR="009C29D0" w:rsidRPr="00585AAB">
        <w:rPr>
          <w:rFonts w:asciiTheme="minorHAnsi" w:eastAsiaTheme="minorHAnsi" w:hAnsiTheme="minorHAnsi" w:cstheme="minorBidi"/>
          <w:snapToGrid/>
          <w:sz w:val="24"/>
          <w:szCs w:val="22"/>
        </w:rPr>
        <w:t xml:space="preserve">The financial estimates </w:t>
      </w:r>
      <w:r w:rsidR="00D0517A" w:rsidRPr="00585AAB">
        <w:rPr>
          <w:rFonts w:asciiTheme="minorHAnsi" w:eastAsiaTheme="minorHAnsi" w:hAnsiTheme="minorHAnsi" w:cstheme="minorBidi"/>
          <w:snapToGrid/>
          <w:sz w:val="24"/>
          <w:szCs w:val="22"/>
        </w:rPr>
        <w:t xml:space="preserve">based on the </w:t>
      </w:r>
      <w:r w:rsidR="00465112">
        <w:rPr>
          <w:rFonts w:asciiTheme="minorHAnsi" w:eastAsiaTheme="minorHAnsi" w:hAnsiTheme="minorHAnsi" w:cstheme="minorBidi"/>
          <w:snapToGrid/>
          <w:sz w:val="24"/>
          <w:szCs w:val="22"/>
        </w:rPr>
        <w:t xml:space="preserve">proposed </w:t>
      </w:r>
      <w:r w:rsidR="00D0517A" w:rsidRPr="0077028C">
        <w:rPr>
          <w:rFonts w:asciiTheme="minorHAnsi" w:eastAsiaTheme="minorHAnsi" w:hAnsiTheme="minorHAnsi" w:cstheme="minorBidi"/>
          <w:snapToGrid/>
          <w:sz w:val="24"/>
          <w:szCs w:val="22"/>
        </w:rPr>
        <w:t>published price</w:t>
      </w:r>
      <w:r w:rsidR="00D0517A" w:rsidRPr="00585AAB">
        <w:rPr>
          <w:rFonts w:asciiTheme="minorHAnsi" w:eastAsiaTheme="minorHAnsi" w:hAnsiTheme="minorHAnsi" w:cstheme="minorBidi"/>
          <w:snapToGrid/>
          <w:sz w:val="24"/>
          <w:szCs w:val="22"/>
        </w:rPr>
        <w:t xml:space="preserve"> of ocr</w:t>
      </w:r>
      <w:r w:rsidR="0077028C">
        <w:rPr>
          <w:rFonts w:asciiTheme="minorHAnsi" w:eastAsiaTheme="minorHAnsi" w:hAnsiTheme="minorHAnsi" w:cstheme="minorBidi"/>
          <w:snapToGrid/>
          <w:sz w:val="24"/>
          <w:szCs w:val="22"/>
        </w:rPr>
        <w:t>elizumab are presented in the table</w:t>
      </w:r>
      <w:r w:rsidR="00D0517A" w:rsidRPr="00585AAB">
        <w:rPr>
          <w:rFonts w:asciiTheme="minorHAnsi" w:eastAsiaTheme="minorHAnsi" w:hAnsiTheme="minorHAnsi" w:cstheme="minorBidi"/>
          <w:snapToGrid/>
          <w:sz w:val="24"/>
          <w:szCs w:val="22"/>
        </w:rPr>
        <w:t xml:space="preserve"> below.</w:t>
      </w:r>
    </w:p>
    <w:p w:rsidR="00EE1047" w:rsidRPr="00585AAB" w:rsidRDefault="00EE1047" w:rsidP="00EE1047">
      <w:pPr>
        <w:pStyle w:val="ListParagraph"/>
        <w:spacing w:before="240" w:after="60"/>
        <w:ind w:left="0"/>
        <w:contextualSpacing w:val="0"/>
        <w:jc w:val="left"/>
        <w:rPr>
          <w:rStyle w:val="CommentReference"/>
        </w:rPr>
      </w:pPr>
      <w:r w:rsidRPr="00585AAB">
        <w:rPr>
          <w:rStyle w:val="CommentReference"/>
        </w:rPr>
        <w:t xml:space="preserve">Table </w:t>
      </w:r>
      <w:r w:rsidR="00921C12">
        <w:rPr>
          <w:rStyle w:val="CommentReference"/>
          <w:noProof/>
        </w:rPr>
        <w:t>6</w:t>
      </w:r>
      <w:r w:rsidRPr="00585AAB">
        <w:rPr>
          <w:rStyle w:val="CommentReference"/>
        </w:rPr>
        <w:t>: Estimated utilisation and cost to the PBS in the first five years of listing</w:t>
      </w:r>
    </w:p>
    <w:tbl>
      <w:tblPr>
        <w:tblW w:w="496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7"/>
        <w:gridCol w:w="1159"/>
        <w:gridCol w:w="1159"/>
        <w:gridCol w:w="1161"/>
        <w:gridCol w:w="1159"/>
        <w:gridCol w:w="1159"/>
        <w:gridCol w:w="1159"/>
      </w:tblGrid>
      <w:tr w:rsidR="00D0517A" w:rsidRPr="00585AAB" w:rsidTr="00914CA2">
        <w:trPr>
          <w:tblHeader/>
        </w:trPr>
        <w:tc>
          <w:tcPr>
            <w:tcW w:w="1171" w:type="pct"/>
            <w:tcBorders>
              <w:left w:val="single" w:sz="4" w:space="0" w:color="auto"/>
              <w:bottom w:val="single" w:sz="4" w:space="0" w:color="auto"/>
            </w:tcBorders>
            <w:shd w:val="clear" w:color="auto" w:fill="auto"/>
            <w:vAlign w:val="bottom"/>
            <w:hideMark/>
          </w:tcPr>
          <w:p w:rsidR="00D0517A" w:rsidRPr="00585AAB" w:rsidRDefault="00D0517A" w:rsidP="00914CA2">
            <w:pPr>
              <w:widowControl/>
              <w:spacing w:before="40" w:after="40"/>
              <w:rPr>
                <w:rFonts w:ascii="Arial Narrow" w:hAnsi="Arial Narrow"/>
                <w:sz w:val="20"/>
                <w:lang w:eastAsia="en-AU"/>
              </w:rPr>
            </w:pPr>
          </w:p>
        </w:tc>
        <w:tc>
          <w:tcPr>
            <w:tcW w:w="638" w:type="pct"/>
            <w:tcBorders>
              <w:bottom w:val="single" w:sz="4" w:space="0" w:color="auto"/>
            </w:tcBorders>
            <w:shd w:val="clear" w:color="auto" w:fill="auto"/>
            <w:vAlign w:val="bottom"/>
            <w:hideMark/>
          </w:tcPr>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Year 1</w:t>
            </w:r>
          </w:p>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(2018)</w:t>
            </w:r>
          </w:p>
        </w:tc>
        <w:tc>
          <w:tcPr>
            <w:tcW w:w="638" w:type="pct"/>
            <w:tcBorders>
              <w:bottom w:val="single" w:sz="4" w:space="0" w:color="auto"/>
            </w:tcBorders>
            <w:shd w:val="clear" w:color="auto" w:fill="auto"/>
            <w:vAlign w:val="bottom"/>
            <w:hideMark/>
          </w:tcPr>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Year 2</w:t>
            </w:r>
          </w:p>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(2019)</w:t>
            </w:r>
          </w:p>
        </w:tc>
        <w:tc>
          <w:tcPr>
            <w:tcW w:w="639" w:type="pct"/>
            <w:tcBorders>
              <w:bottom w:val="single" w:sz="4" w:space="0" w:color="auto"/>
            </w:tcBorders>
            <w:shd w:val="clear" w:color="auto" w:fill="auto"/>
            <w:vAlign w:val="bottom"/>
            <w:hideMark/>
          </w:tcPr>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Year 3</w:t>
            </w:r>
            <w:r w:rsidRPr="00585AAB">
              <w:rPr>
                <w:rFonts w:ascii="Arial Narrow" w:hAnsi="Arial Narrow"/>
                <w:b/>
                <w:bCs/>
                <w:sz w:val="20"/>
                <w:lang w:eastAsia="en-AU"/>
              </w:rPr>
              <w:br/>
              <w:t>(2020)</w:t>
            </w:r>
          </w:p>
        </w:tc>
        <w:tc>
          <w:tcPr>
            <w:tcW w:w="638" w:type="pct"/>
            <w:tcBorders>
              <w:bottom w:val="single" w:sz="4" w:space="0" w:color="auto"/>
            </w:tcBorders>
            <w:shd w:val="clear" w:color="auto" w:fill="auto"/>
            <w:vAlign w:val="bottom"/>
            <w:hideMark/>
          </w:tcPr>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Year 4</w:t>
            </w:r>
          </w:p>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(2021)</w:t>
            </w:r>
          </w:p>
        </w:tc>
        <w:tc>
          <w:tcPr>
            <w:tcW w:w="638" w:type="pct"/>
            <w:tcBorders>
              <w:bottom w:val="single" w:sz="4" w:space="0" w:color="auto"/>
              <w:right w:val="single" w:sz="4" w:space="0" w:color="auto"/>
            </w:tcBorders>
            <w:shd w:val="clear" w:color="auto" w:fill="auto"/>
            <w:vAlign w:val="bottom"/>
            <w:hideMark/>
          </w:tcPr>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Year 5</w:t>
            </w:r>
          </w:p>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(2022)</w:t>
            </w:r>
          </w:p>
        </w:tc>
        <w:tc>
          <w:tcPr>
            <w:tcW w:w="638" w:type="pct"/>
            <w:tcBorders>
              <w:bottom w:val="single" w:sz="4" w:space="0" w:color="auto"/>
              <w:right w:val="single" w:sz="4" w:space="0" w:color="auto"/>
            </w:tcBorders>
          </w:tcPr>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Year 6</w:t>
            </w:r>
          </w:p>
          <w:p w:rsidR="00D0517A" w:rsidRPr="00585AAB" w:rsidRDefault="00D0517A" w:rsidP="00914CA2">
            <w:pPr>
              <w:widowControl/>
              <w:spacing w:before="40" w:after="40"/>
              <w:jc w:val="center"/>
              <w:rPr>
                <w:rFonts w:ascii="Arial Narrow" w:hAnsi="Arial Narrow"/>
                <w:b/>
                <w:bCs/>
                <w:sz w:val="20"/>
                <w:lang w:eastAsia="en-AU"/>
              </w:rPr>
            </w:pPr>
            <w:r w:rsidRPr="00585AAB">
              <w:rPr>
                <w:rFonts w:ascii="Arial Narrow" w:hAnsi="Arial Narrow"/>
                <w:b/>
                <w:bCs/>
                <w:sz w:val="20"/>
                <w:lang w:eastAsia="en-AU"/>
              </w:rPr>
              <w:t>(2023)</w:t>
            </w:r>
          </w:p>
        </w:tc>
      </w:tr>
      <w:tr w:rsidR="00D0517A" w:rsidRPr="00585AAB" w:rsidTr="00914CA2">
        <w:tc>
          <w:tcPr>
            <w:tcW w:w="5000" w:type="pct"/>
            <w:gridSpan w:val="7"/>
            <w:tcBorders>
              <w:left w:val="single" w:sz="4" w:space="0" w:color="auto"/>
              <w:right w:val="single" w:sz="4" w:space="0" w:color="auto"/>
            </w:tcBorders>
            <w:shd w:val="clear" w:color="auto" w:fill="auto"/>
            <w:noWrap/>
            <w:vAlign w:val="bottom"/>
          </w:tcPr>
          <w:p w:rsidR="00D0517A" w:rsidRPr="00585AAB" w:rsidRDefault="00D0517A" w:rsidP="00914CA2">
            <w:pPr>
              <w:widowControl/>
              <w:spacing w:before="40" w:after="40"/>
              <w:jc w:val="left"/>
              <w:rPr>
                <w:rFonts w:ascii="Arial Narrow" w:hAnsi="Arial Narrow"/>
                <w:b/>
                <w:iCs/>
                <w:sz w:val="20"/>
              </w:rPr>
            </w:pPr>
            <w:r w:rsidRPr="00585AAB">
              <w:rPr>
                <w:rFonts w:ascii="Arial Narrow" w:hAnsi="Arial Narrow"/>
                <w:b/>
                <w:iCs/>
                <w:sz w:val="20"/>
              </w:rPr>
              <w:t>Total ocrelizumab market</w:t>
            </w:r>
          </w:p>
        </w:tc>
      </w:tr>
      <w:tr w:rsidR="00B725F1" w:rsidRPr="00585AAB" w:rsidTr="00B725F1">
        <w:tc>
          <w:tcPr>
            <w:tcW w:w="1171" w:type="pct"/>
            <w:tcBorders>
              <w:left w:val="single" w:sz="4" w:space="0" w:color="auto"/>
            </w:tcBorders>
            <w:shd w:val="clear" w:color="auto" w:fill="auto"/>
            <w:noWrap/>
            <w:vAlign w:val="bottom"/>
          </w:tcPr>
          <w:p w:rsidR="00B725F1" w:rsidRPr="00585AAB" w:rsidRDefault="00B725F1" w:rsidP="00914CA2">
            <w:pPr>
              <w:widowControl/>
              <w:spacing w:before="40" w:after="40"/>
              <w:jc w:val="left"/>
              <w:rPr>
                <w:rFonts w:ascii="Arial Narrow" w:hAnsi="Arial Narrow"/>
                <w:sz w:val="20"/>
                <w:lang w:eastAsia="en-AU"/>
              </w:rPr>
            </w:pPr>
            <w:r w:rsidRPr="00585AAB">
              <w:rPr>
                <w:rFonts w:ascii="Arial Narrow" w:hAnsi="Arial Narrow"/>
                <w:sz w:val="20"/>
                <w:lang w:eastAsia="en-AU"/>
              </w:rPr>
              <w:t>Patients treated with ocrelizumab</w:t>
            </w:r>
          </w:p>
        </w:tc>
        <w:tc>
          <w:tcPr>
            <w:tcW w:w="638" w:type="pct"/>
            <w:shd w:val="clear" w:color="auto" w:fill="auto"/>
            <w:vAlign w:val="center"/>
          </w:tcPr>
          <w:p w:rsidR="00B725F1"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shd w:val="clear" w:color="auto" w:fill="auto"/>
            <w:vAlign w:val="center"/>
          </w:tcPr>
          <w:p w:rsidR="00B725F1"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9" w:type="pct"/>
            <w:shd w:val="clear" w:color="auto" w:fill="auto"/>
            <w:vAlign w:val="center"/>
          </w:tcPr>
          <w:p w:rsidR="00B725F1"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shd w:val="clear" w:color="auto" w:fill="auto"/>
            <w:vAlign w:val="center"/>
          </w:tcPr>
          <w:p w:rsidR="00B725F1"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725F1"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tcBorders>
              <w:right w:val="single" w:sz="4" w:space="0" w:color="auto"/>
            </w:tcBorders>
            <w:vAlign w:val="center"/>
          </w:tcPr>
          <w:p w:rsidR="00B725F1"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r>
      <w:tr w:rsidR="00D0517A" w:rsidRPr="00585AAB" w:rsidTr="00B725F1">
        <w:tc>
          <w:tcPr>
            <w:tcW w:w="1171" w:type="pct"/>
            <w:tcBorders>
              <w:left w:val="single" w:sz="4" w:space="0" w:color="auto"/>
            </w:tcBorders>
            <w:shd w:val="clear" w:color="auto" w:fill="auto"/>
            <w:noWrap/>
            <w:vAlign w:val="bottom"/>
          </w:tcPr>
          <w:p w:rsidR="00D0517A" w:rsidRPr="00585AAB" w:rsidRDefault="00D0517A" w:rsidP="00914CA2">
            <w:pPr>
              <w:widowControl/>
              <w:spacing w:before="40" w:after="40"/>
              <w:jc w:val="left"/>
              <w:rPr>
                <w:rFonts w:ascii="Arial Narrow" w:hAnsi="Arial Narrow"/>
                <w:sz w:val="20"/>
                <w:lang w:eastAsia="en-AU"/>
              </w:rPr>
            </w:pPr>
            <w:r w:rsidRPr="00585AAB">
              <w:rPr>
                <w:rFonts w:ascii="Arial Narrow" w:hAnsi="Arial Narrow"/>
                <w:sz w:val="20"/>
                <w:lang w:eastAsia="en-AU"/>
              </w:rPr>
              <w:t xml:space="preserve">Estimated scripts </w:t>
            </w:r>
          </w:p>
        </w:tc>
        <w:tc>
          <w:tcPr>
            <w:tcW w:w="638" w:type="pct"/>
            <w:shd w:val="clear" w:color="auto" w:fill="auto"/>
            <w:vAlign w:val="center"/>
          </w:tcPr>
          <w:p w:rsidR="00D0517A"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shd w:val="clear" w:color="auto" w:fill="auto"/>
            <w:vAlign w:val="center"/>
          </w:tcPr>
          <w:p w:rsidR="00D0517A"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9" w:type="pct"/>
            <w:shd w:val="clear" w:color="auto" w:fill="auto"/>
            <w:vAlign w:val="center"/>
          </w:tcPr>
          <w:p w:rsidR="00D0517A"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shd w:val="clear" w:color="auto" w:fill="auto"/>
            <w:vAlign w:val="center"/>
          </w:tcPr>
          <w:p w:rsidR="00D0517A"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D0517A"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c>
          <w:tcPr>
            <w:tcW w:w="638" w:type="pct"/>
            <w:tcBorders>
              <w:right w:val="single" w:sz="4" w:space="0" w:color="auto"/>
            </w:tcBorders>
            <w:vAlign w:val="center"/>
          </w:tcPr>
          <w:p w:rsidR="00D0517A" w:rsidRPr="00F17251" w:rsidRDefault="00F17251" w:rsidP="00B725F1">
            <w:pPr>
              <w:widowControl/>
              <w:spacing w:before="40" w:after="40"/>
              <w:jc w:val="center"/>
              <w:rPr>
                <w:rFonts w:ascii="Arial Narrow" w:hAnsi="Arial Narrow"/>
                <w:iCs/>
                <w:sz w:val="20"/>
                <w:highlight w:val="black"/>
              </w:rPr>
            </w:pPr>
            <w:r>
              <w:rPr>
                <w:rFonts w:ascii="Arial Narrow" w:hAnsi="Arial Narrow"/>
                <w:noProof/>
                <w:color w:val="000000"/>
                <w:sz w:val="20"/>
                <w:highlight w:val="black"/>
              </w:rPr>
              <w:t>'''''''''''''''''</w:t>
            </w:r>
          </w:p>
        </w:tc>
      </w:tr>
      <w:tr w:rsidR="00E369AD" w:rsidRPr="00585AAB" w:rsidTr="00B725F1">
        <w:tc>
          <w:tcPr>
            <w:tcW w:w="1171" w:type="pct"/>
            <w:tcBorders>
              <w:left w:val="single" w:sz="4" w:space="0" w:color="auto"/>
            </w:tcBorders>
            <w:shd w:val="clear" w:color="auto" w:fill="auto"/>
            <w:noWrap/>
            <w:vAlign w:val="bottom"/>
          </w:tcPr>
          <w:p w:rsidR="00E369AD" w:rsidRPr="00585AAB" w:rsidRDefault="00E369AD" w:rsidP="00914CA2">
            <w:pPr>
              <w:widowControl/>
              <w:spacing w:before="40" w:after="40"/>
              <w:jc w:val="left"/>
              <w:rPr>
                <w:rFonts w:ascii="Arial Narrow" w:hAnsi="Arial Narrow"/>
                <w:sz w:val="20"/>
                <w:lang w:eastAsia="en-AU"/>
              </w:rPr>
            </w:pPr>
            <w:r w:rsidRPr="00585AAB">
              <w:rPr>
                <w:rFonts w:ascii="Arial Narrow" w:hAnsi="Arial Narrow"/>
                <w:sz w:val="20"/>
                <w:lang w:eastAsia="en-AU"/>
              </w:rPr>
              <w:t xml:space="preserve">Cost of ocrelizumab – published PBS/RPBS </w:t>
            </w:r>
          </w:p>
        </w:tc>
        <w:tc>
          <w:tcPr>
            <w:tcW w:w="638"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9"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tcBorders>
              <w:right w:val="single" w:sz="4" w:space="0" w:color="auto"/>
            </w:tcBorders>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tcBorders>
              <w:right w:val="single" w:sz="4" w:space="0" w:color="auto"/>
            </w:tcBorders>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r>
      <w:tr w:rsidR="00E369AD" w:rsidRPr="00585AAB" w:rsidTr="00452427">
        <w:tc>
          <w:tcPr>
            <w:tcW w:w="1171" w:type="pct"/>
            <w:tcBorders>
              <w:left w:val="single" w:sz="4" w:space="0" w:color="auto"/>
            </w:tcBorders>
            <w:shd w:val="clear" w:color="auto" w:fill="auto"/>
            <w:noWrap/>
            <w:vAlign w:val="bottom"/>
          </w:tcPr>
          <w:p w:rsidR="00E369AD" w:rsidRPr="00585AAB" w:rsidRDefault="00E369AD" w:rsidP="00914CA2">
            <w:pPr>
              <w:widowControl/>
              <w:spacing w:before="40" w:after="40"/>
              <w:jc w:val="left"/>
              <w:rPr>
                <w:rFonts w:ascii="Arial Narrow" w:hAnsi="Arial Narrow"/>
                <w:sz w:val="20"/>
                <w:vertAlign w:val="superscript"/>
                <w:lang w:eastAsia="en-AU"/>
              </w:rPr>
            </w:pPr>
            <w:r w:rsidRPr="00585AAB">
              <w:rPr>
                <w:rFonts w:ascii="Arial Narrow" w:hAnsi="Arial Narrow"/>
                <w:sz w:val="20"/>
                <w:lang w:eastAsia="en-AU"/>
              </w:rPr>
              <w:t>Patient co-payments</w:t>
            </w:r>
          </w:p>
        </w:tc>
        <w:tc>
          <w:tcPr>
            <w:tcW w:w="638" w:type="pct"/>
            <w:shd w:val="clear" w:color="auto" w:fill="auto"/>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shd w:val="clear" w:color="auto" w:fill="auto"/>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9" w:type="pct"/>
            <w:shd w:val="clear" w:color="auto" w:fill="auto"/>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shd w:val="clear" w:color="auto" w:fill="auto"/>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right w:val="single" w:sz="4" w:space="0" w:color="auto"/>
            </w:tcBorders>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sz w:val="20"/>
              </w:rPr>
              <w:t>$</w:t>
            </w:r>
            <w:r w:rsidR="00F17251">
              <w:rPr>
                <w:rFonts w:ascii="Arial Narrow" w:hAnsi="Arial Narrow"/>
                <w:noProof/>
                <w:color w:val="000000"/>
                <w:sz w:val="20"/>
                <w:highlight w:val="black"/>
              </w:rPr>
              <w:t>'''''''''''''''''''</w:t>
            </w:r>
          </w:p>
        </w:tc>
      </w:tr>
      <w:tr w:rsidR="00E369AD" w:rsidRPr="00585AAB" w:rsidTr="00452427">
        <w:tc>
          <w:tcPr>
            <w:tcW w:w="1171" w:type="pct"/>
            <w:tcBorders>
              <w:left w:val="single" w:sz="4" w:space="0" w:color="auto"/>
            </w:tcBorders>
            <w:shd w:val="clear" w:color="auto" w:fill="auto"/>
            <w:noWrap/>
            <w:vAlign w:val="bottom"/>
          </w:tcPr>
          <w:p w:rsidR="00E369AD" w:rsidRPr="00585AAB" w:rsidRDefault="00E369AD" w:rsidP="00914CA2">
            <w:pPr>
              <w:widowControl/>
              <w:spacing w:before="40" w:after="40"/>
              <w:jc w:val="left"/>
              <w:rPr>
                <w:rFonts w:ascii="Arial Narrow" w:hAnsi="Arial Narrow"/>
                <w:sz w:val="20"/>
                <w:lang w:eastAsia="en-AU"/>
              </w:rPr>
            </w:pPr>
            <w:r w:rsidRPr="00585AAB">
              <w:rPr>
                <w:rFonts w:ascii="Arial Narrow" w:hAnsi="Arial Narrow"/>
                <w:sz w:val="20"/>
                <w:lang w:eastAsia="en-AU"/>
              </w:rPr>
              <w:t xml:space="preserve">Total published cost to PBS/RPBS </w:t>
            </w:r>
          </w:p>
        </w:tc>
        <w:tc>
          <w:tcPr>
            <w:tcW w:w="638"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9"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tcBorders>
              <w:right w:val="single" w:sz="4" w:space="0" w:color="auto"/>
            </w:tcBorders>
            <w:shd w:val="clear" w:color="auto" w:fill="auto"/>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c>
          <w:tcPr>
            <w:tcW w:w="638" w:type="pct"/>
            <w:tcBorders>
              <w:right w:val="single" w:sz="4" w:space="0" w:color="auto"/>
            </w:tcBorders>
            <w:vAlign w:val="center"/>
          </w:tcPr>
          <w:p w:rsidR="00E369AD" w:rsidRPr="00585AAB" w:rsidRDefault="00E369AD" w:rsidP="00B725F1">
            <w:pPr>
              <w:widowControl/>
              <w:spacing w:before="40" w:after="40"/>
              <w:jc w:val="center"/>
              <w:rPr>
                <w:rFonts w:ascii="Arial Narrow" w:hAnsi="Arial Narrow"/>
                <w:sz w:val="20"/>
              </w:rPr>
            </w:pPr>
            <w:r w:rsidRPr="00585AAB">
              <w:rPr>
                <w:rFonts w:ascii="Arial Narrow" w:hAnsi="Arial Narrow"/>
                <w:iCs/>
                <w:sz w:val="20"/>
              </w:rPr>
              <w:t>$</w:t>
            </w:r>
            <w:r w:rsidR="00F17251">
              <w:rPr>
                <w:rFonts w:ascii="Arial Narrow" w:hAnsi="Arial Narrow"/>
                <w:iCs/>
                <w:noProof/>
                <w:color w:val="000000"/>
                <w:sz w:val="20"/>
                <w:highlight w:val="black"/>
              </w:rPr>
              <w:t>'''''''''''''''''''''''''''''</w:t>
            </w:r>
          </w:p>
        </w:tc>
      </w:tr>
      <w:tr w:rsidR="00D0517A" w:rsidRPr="00585AAB" w:rsidTr="00914CA2">
        <w:tc>
          <w:tcPr>
            <w:tcW w:w="5000" w:type="pct"/>
            <w:gridSpan w:val="7"/>
            <w:tcBorders>
              <w:top w:val="single" w:sz="4" w:space="0" w:color="auto"/>
              <w:left w:val="single" w:sz="4" w:space="0" w:color="auto"/>
              <w:right w:val="single" w:sz="4" w:space="0" w:color="auto"/>
            </w:tcBorders>
            <w:shd w:val="clear" w:color="auto" w:fill="auto"/>
            <w:noWrap/>
            <w:vAlign w:val="bottom"/>
          </w:tcPr>
          <w:p w:rsidR="00D0517A" w:rsidRPr="00585AAB" w:rsidRDefault="00D0517A" w:rsidP="00914CA2">
            <w:pPr>
              <w:widowControl/>
              <w:spacing w:before="40" w:after="40"/>
              <w:jc w:val="left"/>
              <w:rPr>
                <w:rFonts w:ascii="Arial Narrow" w:hAnsi="Arial Narrow"/>
                <w:b/>
                <w:iCs/>
                <w:sz w:val="20"/>
              </w:rPr>
            </w:pPr>
            <w:r w:rsidRPr="00585AAB">
              <w:rPr>
                <w:rFonts w:ascii="Arial Narrow" w:hAnsi="Arial Narrow"/>
                <w:b/>
                <w:iCs/>
                <w:sz w:val="20"/>
              </w:rPr>
              <w:t>Cost offsets (drug costs based on published DPMQ less patient co-payment)</w:t>
            </w:r>
          </w:p>
        </w:tc>
      </w:tr>
      <w:tr w:rsidR="00BE36CB" w:rsidRPr="00585AAB" w:rsidTr="00914CA2">
        <w:tc>
          <w:tcPr>
            <w:tcW w:w="1171" w:type="pct"/>
            <w:tcBorders>
              <w:left w:val="single" w:sz="4" w:space="0" w:color="auto"/>
            </w:tcBorders>
            <w:shd w:val="clear" w:color="auto" w:fill="auto"/>
            <w:noWrap/>
            <w:vAlign w:val="bottom"/>
          </w:tcPr>
          <w:p w:rsidR="00BE36CB" w:rsidRPr="00585AAB" w:rsidRDefault="00BE36CB" w:rsidP="00914CA2">
            <w:pPr>
              <w:widowControl/>
              <w:spacing w:before="40" w:after="40"/>
              <w:jc w:val="left"/>
              <w:rPr>
                <w:rFonts w:ascii="Arial Narrow" w:hAnsi="Arial Narrow"/>
                <w:sz w:val="20"/>
                <w:lang w:eastAsia="en-AU"/>
              </w:rPr>
            </w:pPr>
            <w:r w:rsidRPr="00585AAB">
              <w:rPr>
                <w:rFonts w:ascii="Arial Narrow" w:hAnsi="Arial Narrow"/>
                <w:sz w:val="20"/>
                <w:lang w:eastAsia="en-AU"/>
              </w:rPr>
              <w:t>Alemtuzumab substitution</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9"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r>
      <w:tr w:rsidR="00BE36CB" w:rsidRPr="00585AAB" w:rsidTr="00914CA2">
        <w:tc>
          <w:tcPr>
            <w:tcW w:w="1171" w:type="pct"/>
            <w:tcBorders>
              <w:left w:val="single" w:sz="4" w:space="0" w:color="auto"/>
            </w:tcBorders>
            <w:shd w:val="clear" w:color="auto" w:fill="auto"/>
            <w:noWrap/>
            <w:vAlign w:val="bottom"/>
          </w:tcPr>
          <w:p w:rsidR="00BE36CB" w:rsidRPr="00585AAB" w:rsidRDefault="00BE36CB" w:rsidP="00914CA2">
            <w:pPr>
              <w:widowControl/>
              <w:spacing w:before="40" w:after="40"/>
              <w:jc w:val="left"/>
              <w:rPr>
                <w:rFonts w:ascii="Arial Narrow" w:hAnsi="Arial Narrow"/>
                <w:sz w:val="20"/>
                <w:lang w:eastAsia="en-AU"/>
              </w:rPr>
            </w:pPr>
            <w:r w:rsidRPr="00585AAB">
              <w:rPr>
                <w:rFonts w:ascii="Arial Narrow" w:hAnsi="Arial Narrow"/>
                <w:sz w:val="20"/>
                <w:lang w:eastAsia="en-AU"/>
              </w:rPr>
              <w:t xml:space="preserve">Fingolimod substitution </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9"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r>
      <w:tr w:rsidR="00BE36CB" w:rsidRPr="00585AAB" w:rsidTr="00914CA2">
        <w:tc>
          <w:tcPr>
            <w:tcW w:w="1171" w:type="pct"/>
            <w:tcBorders>
              <w:left w:val="single" w:sz="4" w:space="0" w:color="auto"/>
            </w:tcBorders>
            <w:shd w:val="clear" w:color="auto" w:fill="auto"/>
            <w:noWrap/>
            <w:vAlign w:val="bottom"/>
          </w:tcPr>
          <w:p w:rsidR="00BE36CB" w:rsidRPr="00585AAB" w:rsidRDefault="00BE36CB" w:rsidP="00914CA2">
            <w:pPr>
              <w:widowControl/>
              <w:spacing w:before="40" w:after="40"/>
              <w:jc w:val="left"/>
              <w:rPr>
                <w:rFonts w:ascii="Arial Narrow" w:hAnsi="Arial Narrow"/>
                <w:sz w:val="20"/>
                <w:lang w:eastAsia="en-AU"/>
              </w:rPr>
            </w:pPr>
            <w:r w:rsidRPr="00585AAB">
              <w:rPr>
                <w:rFonts w:ascii="Arial Narrow" w:hAnsi="Arial Narrow"/>
                <w:sz w:val="20"/>
                <w:lang w:eastAsia="en-AU"/>
              </w:rPr>
              <w:t xml:space="preserve">Natalizumab substitution </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9"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r>
      <w:tr w:rsidR="00BE36CB" w:rsidRPr="00585AAB" w:rsidTr="00914CA2">
        <w:tc>
          <w:tcPr>
            <w:tcW w:w="1171" w:type="pct"/>
            <w:tcBorders>
              <w:left w:val="single" w:sz="4" w:space="0" w:color="auto"/>
            </w:tcBorders>
            <w:shd w:val="clear" w:color="auto" w:fill="auto"/>
            <w:noWrap/>
            <w:vAlign w:val="bottom"/>
          </w:tcPr>
          <w:p w:rsidR="00BE36CB" w:rsidRPr="00585AAB" w:rsidRDefault="00BE36CB" w:rsidP="00914CA2">
            <w:pPr>
              <w:widowControl/>
              <w:spacing w:before="40" w:after="40"/>
              <w:jc w:val="left"/>
              <w:rPr>
                <w:rFonts w:ascii="Arial Narrow" w:hAnsi="Arial Narrow"/>
                <w:sz w:val="20"/>
                <w:lang w:eastAsia="en-AU"/>
              </w:rPr>
            </w:pPr>
            <w:r w:rsidRPr="00585AAB">
              <w:rPr>
                <w:rFonts w:ascii="Arial Narrow" w:hAnsi="Arial Narrow"/>
                <w:sz w:val="20"/>
                <w:lang w:eastAsia="en-AU"/>
              </w:rPr>
              <w:lastRenderedPageBreak/>
              <w:t>Other substitution</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9"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c>
          <w:tcPr>
            <w:tcW w:w="638" w:type="pct"/>
            <w:tcBorders>
              <w:right w:val="single" w:sz="4" w:space="0" w:color="auto"/>
            </w:tcBorders>
            <w:vAlign w:val="center"/>
          </w:tcPr>
          <w:p w:rsidR="00BE36CB" w:rsidRPr="00585AAB" w:rsidRDefault="00BE36CB" w:rsidP="00914CA2">
            <w:pPr>
              <w:widowControl/>
              <w:spacing w:before="40" w:after="40"/>
              <w:jc w:val="center"/>
              <w:rPr>
                <w:rFonts w:ascii="Arial Narrow" w:hAnsi="Arial Narrow"/>
                <w:iCs/>
                <w:color w:val="000000" w:themeColor="text1"/>
                <w:sz w:val="20"/>
              </w:rPr>
            </w:pPr>
            <w:r w:rsidRPr="00585AAB">
              <w:rPr>
                <w:rFonts w:ascii="Arial Narrow" w:hAnsi="Arial Narrow"/>
                <w:color w:val="000000" w:themeColor="text1"/>
                <w:sz w:val="20"/>
              </w:rPr>
              <w:t>-$</w:t>
            </w:r>
            <w:r w:rsidR="00F17251">
              <w:rPr>
                <w:rFonts w:ascii="Arial Narrow" w:hAnsi="Arial Narrow"/>
                <w:noProof/>
                <w:color w:val="000000"/>
                <w:sz w:val="20"/>
                <w:highlight w:val="black"/>
              </w:rPr>
              <w:t>'''''''''''''''''''''''</w:t>
            </w:r>
          </w:p>
        </w:tc>
      </w:tr>
      <w:tr w:rsidR="00BE36CB" w:rsidRPr="00585AAB" w:rsidTr="00263139">
        <w:tc>
          <w:tcPr>
            <w:tcW w:w="1171" w:type="pct"/>
            <w:tcBorders>
              <w:left w:val="single" w:sz="4" w:space="0" w:color="auto"/>
            </w:tcBorders>
            <w:shd w:val="clear" w:color="auto" w:fill="auto"/>
            <w:noWrap/>
            <w:vAlign w:val="bottom"/>
          </w:tcPr>
          <w:p w:rsidR="00BE36CB" w:rsidRPr="00585AAB" w:rsidRDefault="00BE36CB" w:rsidP="00BE36CB">
            <w:pPr>
              <w:widowControl/>
              <w:spacing w:before="40" w:after="40"/>
              <w:jc w:val="left"/>
              <w:rPr>
                <w:rFonts w:ascii="Arial Narrow" w:hAnsi="Arial Narrow"/>
                <w:sz w:val="20"/>
                <w:vertAlign w:val="superscript"/>
                <w:lang w:eastAsia="en-AU"/>
              </w:rPr>
            </w:pPr>
            <w:r w:rsidRPr="00585AAB">
              <w:rPr>
                <w:rFonts w:ascii="Arial Narrow" w:hAnsi="Arial Narrow"/>
                <w:sz w:val="20"/>
                <w:lang w:eastAsia="en-AU"/>
              </w:rPr>
              <w:t>Cost of hospital treatment (reduced IV infusion costs)</w:t>
            </w:r>
          </w:p>
        </w:tc>
        <w:tc>
          <w:tcPr>
            <w:tcW w:w="638"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9"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right w:val="single" w:sz="4" w:space="0" w:color="auto"/>
            </w:tcBorders>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r>
      <w:tr w:rsidR="00BE36CB" w:rsidRPr="00585AAB" w:rsidTr="00263139">
        <w:tc>
          <w:tcPr>
            <w:tcW w:w="1171" w:type="pct"/>
            <w:tcBorders>
              <w:left w:val="single" w:sz="4" w:space="0" w:color="auto"/>
            </w:tcBorders>
            <w:shd w:val="clear" w:color="auto" w:fill="auto"/>
            <w:noWrap/>
            <w:vAlign w:val="bottom"/>
          </w:tcPr>
          <w:p w:rsidR="00BE36CB" w:rsidRPr="00585AAB" w:rsidRDefault="00BE36CB" w:rsidP="00914CA2">
            <w:pPr>
              <w:widowControl/>
              <w:spacing w:before="40" w:after="40"/>
              <w:jc w:val="left"/>
              <w:rPr>
                <w:rFonts w:ascii="Arial Narrow" w:hAnsi="Arial Narrow"/>
                <w:sz w:val="20"/>
                <w:vertAlign w:val="superscript"/>
                <w:lang w:eastAsia="en-AU"/>
              </w:rPr>
            </w:pPr>
            <w:r w:rsidRPr="00585AAB">
              <w:rPr>
                <w:rFonts w:ascii="Arial Narrow" w:hAnsi="Arial Narrow"/>
                <w:sz w:val="20"/>
                <w:lang w:eastAsia="en-AU"/>
              </w:rPr>
              <w:t>Cost of other medical resources (MBS)</w:t>
            </w:r>
          </w:p>
        </w:tc>
        <w:tc>
          <w:tcPr>
            <w:tcW w:w="638"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9"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right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right w:val="single" w:sz="4" w:space="0" w:color="auto"/>
            </w:tcBorders>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r>
      <w:tr w:rsidR="00D0517A" w:rsidRPr="00585AAB" w:rsidTr="00914CA2">
        <w:tc>
          <w:tcPr>
            <w:tcW w:w="5000" w:type="pct"/>
            <w:gridSpan w:val="7"/>
            <w:tcBorders>
              <w:left w:val="single" w:sz="4" w:space="0" w:color="auto"/>
              <w:right w:val="single" w:sz="4" w:space="0" w:color="auto"/>
            </w:tcBorders>
            <w:shd w:val="clear" w:color="auto" w:fill="auto"/>
            <w:noWrap/>
            <w:vAlign w:val="bottom"/>
          </w:tcPr>
          <w:p w:rsidR="00D0517A" w:rsidRPr="00585AAB" w:rsidRDefault="00D0517A" w:rsidP="00914CA2">
            <w:pPr>
              <w:widowControl/>
              <w:spacing w:before="40" w:after="40"/>
              <w:jc w:val="left"/>
              <w:rPr>
                <w:rFonts w:ascii="Arial Narrow" w:hAnsi="Arial Narrow"/>
                <w:b/>
                <w:iCs/>
                <w:sz w:val="20"/>
              </w:rPr>
            </w:pPr>
            <w:r w:rsidRPr="00585AAB">
              <w:rPr>
                <w:rFonts w:ascii="Arial Narrow" w:hAnsi="Arial Narrow"/>
                <w:b/>
                <w:iCs/>
                <w:sz w:val="20"/>
              </w:rPr>
              <w:t>Total costs</w:t>
            </w:r>
          </w:p>
        </w:tc>
      </w:tr>
      <w:tr w:rsidR="00BE36CB" w:rsidRPr="00585AAB" w:rsidTr="00263139">
        <w:tc>
          <w:tcPr>
            <w:tcW w:w="1171" w:type="pct"/>
            <w:tcBorders>
              <w:left w:val="single" w:sz="4" w:space="0" w:color="auto"/>
            </w:tcBorders>
            <w:shd w:val="clear" w:color="auto" w:fill="auto"/>
            <w:noWrap/>
            <w:vAlign w:val="bottom"/>
          </w:tcPr>
          <w:p w:rsidR="00BE36CB" w:rsidRPr="00585AAB" w:rsidRDefault="00E369AD" w:rsidP="00914CA2">
            <w:pPr>
              <w:widowControl/>
              <w:spacing w:before="40" w:after="40"/>
              <w:jc w:val="left"/>
              <w:rPr>
                <w:rFonts w:ascii="Arial Narrow" w:hAnsi="Arial Narrow"/>
                <w:sz w:val="20"/>
                <w:lang w:eastAsia="en-AU"/>
              </w:rPr>
            </w:pPr>
            <w:r w:rsidRPr="00585AAB">
              <w:rPr>
                <w:rFonts w:ascii="Arial Narrow" w:hAnsi="Arial Narrow"/>
                <w:sz w:val="20"/>
                <w:lang w:eastAsia="en-AU"/>
              </w:rPr>
              <w:t>Net published cost to PBS/RPBS</w:t>
            </w:r>
          </w:p>
        </w:tc>
        <w:tc>
          <w:tcPr>
            <w:tcW w:w="638" w:type="pct"/>
            <w:shd w:val="clear" w:color="auto" w:fill="auto"/>
            <w:vAlign w:val="bottom"/>
          </w:tcPr>
          <w:p w:rsidR="00BE36CB" w:rsidRPr="00585AAB" w:rsidRDefault="00BE36CB" w:rsidP="00914CA2">
            <w:pPr>
              <w:widowControl/>
              <w:spacing w:before="40" w:after="40"/>
              <w:jc w:val="center"/>
              <w:rPr>
                <w:rFonts w:ascii="Arial Narrow" w:hAnsi="Arial Narrow"/>
                <w:iCs/>
                <w:sz w:val="20"/>
              </w:rPr>
            </w:pPr>
            <w:r w:rsidRPr="00585AAB">
              <w:rPr>
                <w:rFonts w:ascii="Arial Narrow" w:hAnsi="Arial Narrow"/>
                <w:sz w:val="20"/>
              </w:rPr>
              <w:t xml:space="preserve"> $</w:t>
            </w:r>
            <w:r w:rsidR="00F17251">
              <w:rPr>
                <w:rFonts w:ascii="Arial Narrow" w:hAnsi="Arial Narrow"/>
                <w:noProof/>
                <w:color w:val="000000"/>
                <w:sz w:val="20"/>
                <w:highlight w:val="black"/>
              </w:rPr>
              <w:t>''''''''''''''''''''''''''</w:t>
            </w:r>
            <w:r w:rsidRPr="00585AAB">
              <w:rPr>
                <w:rFonts w:ascii="Arial Narrow" w:hAnsi="Arial Narrow"/>
                <w:sz w:val="20"/>
              </w:rPr>
              <w:t xml:space="preserve"> </w:t>
            </w:r>
          </w:p>
        </w:tc>
        <w:tc>
          <w:tcPr>
            <w:tcW w:w="638" w:type="pct"/>
            <w:shd w:val="clear" w:color="auto" w:fill="auto"/>
            <w:vAlign w:val="bottom"/>
          </w:tcPr>
          <w:p w:rsidR="00BE36CB" w:rsidRPr="00585AAB" w:rsidRDefault="00BE36CB" w:rsidP="00914CA2">
            <w:pPr>
              <w:widowControl/>
              <w:spacing w:before="40" w:after="40"/>
              <w:jc w:val="center"/>
              <w:rPr>
                <w:rFonts w:ascii="Arial Narrow" w:hAnsi="Arial Narrow"/>
                <w:iCs/>
                <w:sz w:val="20"/>
              </w:rPr>
            </w:pPr>
            <w:r w:rsidRPr="00585AAB">
              <w:rPr>
                <w:rFonts w:ascii="Arial Narrow" w:hAnsi="Arial Narrow"/>
                <w:sz w:val="20"/>
              </w:rPr>
              <w:t xml:space="preserve"> $</w:t>
            </w:r>
            <w:r w:rsidR="00F17251">
              <w:rPr>
                <w:rFonts w:ascii="Arial Narrow" w:hAnsi="Arial Narrow"/>
                <w:noProof/>
                <w:color w:val="000000"/>
                <w:sz w:val="20"/>
                <w:highlight w:val="black"/>
              </w:rPr>
              <w:t>'''''''''''''''''''''''''''</w:t>
            </w:r>
            <w:r w:rsidRPr="00585AAB">
              <w:rPr>
                <w:rFonts w:ascii="Arial Narrow" w:hAnsi="Arial Narrow"/>
                <w:sz w:val="20"/>
              </w:rPr>
              <w:t xml:space="preserve"> </w:t>
            </w:r>
          </w:p>
        </w:tc>
        <w:tc>
          <w:tcPr>
            <w:tcW w:w="639" w:type="pct"/>
            <w:shd w:val="clear" w:color="auto" w:fill="auto"/>
            <w:vAlign w:val="bottom"/>
          </w:tcPr>
          <w:p w:rsidR="00BE36CB" w:rsidRPr="00585AAB" w:rsidRDefault="00BE36CB" w:rsidP="00914CA2">
            <w:pPr>
              <w:widowControl/>
              <w:spacing w:before="40" w:after="40"/>
              <w:jc w:val="center"/>
              <w:rPr>
                <w:rFonts w:ascii="Arial Narrow" w:hAnsi="Arial Narrow"/>
                <w:iCs/>
                <w:sz w:val="20"/>
              </w:rPr>
            </w:pPr>
            <w:r w:rsidRPr="00585AAB">
              <w:rPr>
                <w:rFonts w:ascii="Arial Narrow" w:hAnsi="Arial Narrow"/>
                <w:sz w:val="20"/>
              </w:rPr>
              <w:t xml:space="preserve"> $</w:t>
            </w:r>
            <w:r w:rsidR="00F17251">
              <w:rPr>
                <w:rFonts w:ascii="Arial Narrow" w:hAnsi="Arial Narrow"/>
                <w:noProof/>
                <w:color w:val="000000"/>
                <w:sz w:val="20"/>
                <w:highlight w:val="black"/>
              </w:rPr>
              <w:t>''''''''''''''''''''''''''</w:t>
            </w:r>
            <w:r w:rsidRPr="00585AAB">
              <w:rPr>
                <w:rFonts w:ascii="Arial Narrow" w:hAnsi="Arial Narrow"/>
                <w:sz w:val="20"/>
              </w:rPr>
              <w:t xml:space="preserve"> </w:t>
            </w:r>
          </w:p>
        </w:tc>
        <w:tc>
          <w:tcPr>
            <w:tcW w:w="638" w:type="pct"/>
            <w:shd w:val="clear" w:color="auto" w:fill="auto"/>
            <w:vAlign w:val="bottom"/>
          </w:tcPr>
          <w:p w:rsidR="00BE36CB" w:rsidRPr="00585AAB" w:rsidRDefault="00BE36CB" w:rsidP="00914CA2">
            <w:pPr>
              <w:widowControl/>
              <w:spacing w:before="40" w:after="40"/>
              <w:jc w:val="center"/>
              <w:rPr>
                <w:rFonts w:ascii="Arial Narrow" w:hAnsi="Arial Narrow"/>
                <w:iCs/>
                <w:sz w:val="20"/>
              </w:rPr>
            </w:pPr>
            <w:r w:rsidRPr="00585AAB">
              <w:rPr>
                <w:rFonts w:ascii="Arial Narrow" w:hAnsi="Arial Narrow"/>
                <w:sz w:val="20"/>
              </w:rPr>
              <w:t xml:space="preserve"> $</w:t>
            </w:r>
            <w:r w:rsidR="00F17251">
              <w:rPr>
                <w:rFonts w:ascii="Arial Narrow" w:hAnsi="Arial Narrow"/>
                <w:noProof/>
                <w:color w:val="000000"/>
                <w:sz w:val="20"/>
                <w:highlight w:val="black"/>
              </w:rPr>
              <w:t>'''''''''''''''''''''''''''''</w:t>
            </w:r>
            <w:r w:rsidRPr="00585AAB">
              <w:rPr>
                <w:rFonts w:ascii="Arial Narrow" w:hAnsi="Arial Narrow"/>
                <w:sz w:val="20"/>
              </w:rPr>
              <w:t xml:space="preserve"> </w:t>
            </w:r>
          </w:p>
        </w:tc>
        <w:tc>
          <w:tcPr>
            <w:tcW w:w="638" w:type="pct"/>
            <w:tcBorders>
              <w:right w:val="single" w:sz="4" w:space="0" w:color="auto"/>
            </w:tcBorders>
            <w:shd w:val="clear" w:color="auto" w:fill="auto"/>
            <w:vAlign w:val="bottom"/>
          </w:tcPr>
          <w:p w:rsidR="00BE36CB" w:rsidRPr="00585AAB" w:rsidRDefault="00BE36CB" w:rsidP="00914CA2">
            <w:pPr>
              <w:widowControl/>
              <w:spacing w:before="40" w:after="40"/>
              <w:jc w:val="center"/>
              <w:rPr>
                <w:rFonts w:ascii="Arial Narrow" w:hAnsi="Arial Narrow"/>
                <w:iCs/>
                <w:sz w:val="20"/>
              </w:rPr>
            </w:pPr>
            <w:r w:rsidRPr="00585AAB">
              <w:rPr>
                <w:rFonts w:ascii="Arial Narrow" w:hAnsi="Arial Narrow"/>
                <w:sz w:val="20"/>
              </w:rPr>
              <w:t xml:space="preserve"> $</w:t>
            </w:r>
            <w:r w:rsidR="00F17251">
              <w:rPr>
                <w:rFonts w:ascii="Arial Narrow" w:hAnsi="Arial Narrow"/>
                <w:noProof/>
                <w:color w:val="000000"/>
                <w:sz w:val="20"/>
                <w:highlight w:val="black"/>
              </w:rPr>
              <w:t>'''''''''''''''''''''''''''</w:t>
            </w:r>
            <w:r w:rsidRPr="00585AAB">
              <w:rPr>
                <w:rFonts w:ascii="Arial Narrow" w:hAnsi="Arial Narrow"/>
                <w:sz w:val="20"/>
              </w:rPr>
              <w:t xml:space="preserve"> </w:t>
            </w:r>
          </w:p>
        </w:tc>
        <w:tc>
          <w:tcPr>
            <w:tcW w:w="638" w:type="pct"/>
            <w:tcBorders>
              <w:right w:val="single" w:sz="4" w:space="0" w:color="auto"/>
            </w:tcBorders>
            <w:vAlign w:val="bottom"/>
          </w:tcPr>
          <w:p w:rsidR="00BE36CB" w:rsidRPr="00585AAB" w:rsidRDefault="00BE36CB" w:rsidP="00914CA2">
            <w:pPr>
              <w:widowControl/>
              <w:spacing w:before="40" w:after="40"/>
              <w:jc w:val="center"/>
              <w:rPr>
                <w:rFonts w:ascii="Arial Narrow" w:hAnsi="Arial Narrow"/>
                <w:iCs/>
                <w:sz w:val="20"/>
              </w:rPr>
            </w:pPr>
            <w:r w:rsidRPr="00585AAB">
              <w:rPr>
                <w:rFonts w:ascii="Arial Narrow" w:hAnsi="Arial Narrow"/>
                <w:sz w:val="20"/>
              </w:rPr>
              <w:t xml:space="preserve"> $</w:t>
            </w:r>
            <w:r w:rsidR="00F17251">
              <w:rPr>
                <w:rFonts w:ascii="Arial Narrow" w:hAnsi="Arial Narrow"/>
                <w:noProof/>
                <w:color w:val="000000"/>
                <w:sz w:val="20"/>
                <w:highlight w:val="black"/>
              </w:rPr>
              <w:t>''''''''''''''''''''''''''</w:t>
            </w:r>
            <w:r w:rsidRPr="00585AAB">
              <w:rPr>
                <w:rFonts w:ascii="Arial Narrow" w:hAnsi="Arial Narrow"/>
                <w:sz w:val="20"/>
              </w:rPr>
              <w:t xml:space="preserve"> </w:t>
            </w:r>
          </w:p>
        </w:tc>
      </w:tr>
      <w:tr w:rsidR="00BE36CB" w:rsidRPr="00585AAB" w:rsidTr="00263139">
        <w:tc>
          <w:tcPr>
            <w:tcW w:w="1171" w:type="pct"/>
            <w:tcBorders>
              <w:left w:val="single" w:sz="4" w:space="0" w:color="auto"/>
              <w:bottom w:val="single" w:sz="4" w:space="0" w:color="auto"/>
            </w:tcBorders>
            <w:shd w:val="clear" w:color="auto" w:fill="auto"/>
            <w:noWrap/>
            <w:vAlign w:val="bottom"/>
          </w:tcPr>
          <w:p w:rsidR="00BE36CB" w:rsidRPr="00585AAB" w:rsidRDefault="00BE36CB" w:rsidP="00914CA2">
            <w:pPr>
              <w:widowControl/>
              <w:spacing w:before="40" w:after="40"/>
              <w:jc w:val="left"/>
              <w:rPr>
                <w:rFonts w:ascii="Arial Narrow" w:hAnsi="Arial Narrow"/>
                <w:sz w:val="20"/>
                <w:lang w:eastAsia="en-AU"/>
              </w:rPr>
            </w:pPr>
            <w:r w:rsidRPr="00585AAB">
              <w:rPr>
                <w:rFonts w:ascii="Arial Narrow" w:hAnsi="Arial Narrow"/>
                <w:sz w:val="20"/>
                <w:lang w:eastAsia="en-AU"/>
              </w:rPr>
              <w:t xml:space="preserve">Net </w:t>
            </w:r>
            <w:r w:rsidR="00E369AD" w:rsidRPr="00585AAB">
              <w:rPr>
                <w:rFonts w:ascii="Arial Narrow" w:hAnsi="Arial Narrow"/>
                <w:sz w:val="20"/>
                <w:lang w:eastAsia="en-AU"/>
              </w:rPr>
              <w:t xml:space="preserve">published </w:t>
            </w:r>
            <w:r w:rsidRPr="00585AAB">
              <w:rPr>
                <w:rFonts w:ascii="Arial Narrow" w:hAnsi="Arial Narrow"/>
                <w:sz w:val="20"/>
                <w:lang w:eastAsia="en-AU"/>
              </w:rPr>
              <w:t xml:space="preserve">cost to government </w:t>
            </w:r>
          </w:p>
          <w:p w:rsidR="00BE36CB" w:rsidRPr="00585AAB" w:rsidRDefault="00BE36CB" w:rsidP="00914CA2">
            <w:pPr>
              <w:widowControl/>
              <w:spacing w:before="40" w:after="40"/>
              <w:jc w:val="left"/>
              <w:rPr>
                <w:rFonts w:ascii="Arial Narrow" w:hAnsi="Arial Narrow"/>
                <w:sz w:val="20"/>
                <w:lang w:eastAsia="en-AU"/>
              </w:rPr>
            </w:pPr>
            <w:r w:rsidRPr="00585AAB">
              <w:rPr>
                <w:rFonts w:ascii="Arial Narrow" w:hAnsi="Arial Narrow"/>
                <w:sz w:val="20"/>
                <w:lang w:eastAsia="en-AU"/>
              </w:rPr>
              <w:t>(PBS/RPBS/MBS)</w:t>
            </w:r>
          </w:p>
        </w:tc>
        <w:tc>
          <w:tcPr>
            <w:tcW w:w="638" w:type="pct"/>
            <w:tcBorders>
              <w:bottom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bottom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9" w:type="pct"/>
            <w:tcBorders>
              <w:bottom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bottom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bottom w:val="single" w:sz="4" w:space="0" w:color="auto"/>
              <w:right w:val="single" w:sz="4" w:space="0" w:color="auto"/>
            </w:tcBorders>
            <w:shd w:val="clear" w:color="auto" w:fill="auto"/>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c>
          <w:tcPr>
            <w:tcW w:w="638" w:type="pct"/>
            <w:tcBorders>
              <w:bottom w:val="single" w:sz="4" w:space="0" w:color="auto"/>
              <w:right w:val="single" w:sz="4" w:space="0" w:color="auto"/>
            </w:tcBorders>
            <w:vAlign w:val="center"/>
          </w:tcPr>
          <w:p w:rsidR="00BE36CB" w:rsidRPr="00585AAB" w:rsidRDefault="00BE36CB" w:rsidP="00BE36CB">
            <w:pPr>
              <w:widowControl/>
              <w:spacing w:before="40" w:after="40"/>
              <w:jc w:val="center"/>
              <w:rPr>
                <w:rFonts w:ascii="Arial Narrow" w:hAnsi="Arial Narrow"/>
                <w:iCs/>
                <w:sz w:val="20"/>
              </w:rPr>
            </w:pPr>
            <w:r w:rsidRPr="00585AAB">
              <w:rPr>
                <w:rFonts w:ascii="Arial Narrow" w:hAnsi="Arial Narrow"/>
                <w:sz w:val="20"/>
              </w:rPr>
              <w:t>$</w:t>
            </w:r>
            <w:r w:rsidR="00F17251">
              <w:rPr>
                <w:rFonts w:ascii="Arial Narrow" w:hAnsi="Arial Narrow"/>
                <w:noProof/>
                <w:color w:val="000000"/>
                <w:sz w:val="20"/>
                <w:highlight w:val="black"/>
              </w:rPr>
              <w:t>'''''''''''''''''''''''''</w:t>
            </w:r>
          </w:p>
        </w:tc>
      </w:tr>
    </w:tbl>
    <w:p w:rsidR="008E4CD0" w:rsidRPr="00585AAB" w:rsidRDefault="008E4CD0" w:rsidP="000A554C">
      <w:pPr>
        <w:rPr>
          <w:rFonts w:ascii="Arial Narrow" w:hAnsi="Arial Narrow"/>
          <w:sz w:val="18"/>
          <w:szCs w:val="18"/>
        </w:rPr>
      </w:pPr>
      <w:r w:rsidRPr="00585AAB">
        <w:rPr>
          <w:rFonts w:ascii="Arial Narrow" w:hAnsi="Arial Narrow"/>
          <w:sz w:val="18"/>
          <w:szCs w:val="18"/>
        </w:rPr>
        <w:t>Abbreviations: DPMQ, dispensed price for maximum quantity; MBS, Medicare Benefits Schedule; MS, multiple sclerosis; PBS, Pharmaceutical Benefits Scheme; RPBS Repatriation Pharmaceutical Benefits Scheme</w:t>
      </w:r>
    </w:p>
    <w:p w:rsidR="008E4CD0" w:rsidRPr="00585AAB" w:rsidRDefault="008E4CD0" w:rsidP="000A554C">
      <w:pPr>
        <w:pStyle w:val="COMBody"/>
        <w:rPr>
          <w:rFonts w:ascii="Arial Narrow" w:hAnsi="Arial Narrow"/>
          <w:sz w:val="18"/>
        </w:rPr>
      </w:pPr>
      <w:r w:rsidRPr="00585AAB">
        <w:rPr>
          <w:rFonts w:ascii="Arial Narrow" w:hAnsi="Arial Narrow"/>
          <w:sz w:val="18"/>
        </w:rPr>
        <w:t xml:space="preserve">Source: ‘Financial cost to the PBS’ Excel spreadsheet </w:t>
      </w:r>
    </w:p>
    <w:p w:rsidR="00EB6228" w:rsidRPr="00585AAB" w:rsidRDefault="00EB6228" w:rsidP="00AB162D">
      <w:pPr>
        <w:rPr>
          <w:rFonts w:asciiTheme="minorHAnsi" w:eastAsiaTheme="minorHAnsi" w:hAnsiTheme="minorHAnsi" w:cstheme="minorBidi"/>
          <w:snapToGrid/>
          <w:sz w:val="24"/>
          <w:szCs w:val="22"/>
        </w:rPr>
      </w:pPr>
    </w:p>
    <w:p w:rsidR="00EF05A6" w:rsidRDefault="00EB6228" w:rsidP="005E558F">
      <w:pPr>
        <w:pStyle w:val="ListParagraph"/>
        <w:numPr>
          <w:ilvl w:val="1"/>
          <w:numId w:val="11"/>
        </w:numPr>
        <w:rPr>
          <w:rFonts w:asciiTheme="minorHAnsi" w:eastAsiaTheme="minorHAnsi" w:hAnsiTheme="minorHAnsi" w:cstheme="minorBidi"/>
          <w:snapToGrid/>
          <w:sz w:val="24"/>
          <w:szCs w:val="22"/>
        </w:rPr>
      </w:pPr>
      <w:r w:rsidRPr="00585AAB">
        <w:rPr>
          <w:rFonts w:asciiTheme="minorHAnsi" w:eastAsiaTheme="minorHAnsi" w:hAnsiTheme="minorHAnsi" w:cstheme="minorBidi"/>
          <w:snapToGrid/>
          <w:sz w:val="24"/>
          <w:szCs w:val="22"/>
        </w:rPr>
        <w:t>The</w:t>
      </w:r>
      <w:r w:rsidR="00EF05A6">
        <w:rPr>
          <w:rFonts w:asciiTheme="minorHAnsi" w:eastAsiaTheme="minorHAnsi" w:hAnsiTheme="minorHAnsi" w:cstheme="minorBidi"/>
          <w:snapToGrid/>
          <w:sz w:val="24"/>
          <w:szCs w:val="22"/>
        </w:rPr>
        <w:t xml:space="preserve"> redacted table shows that at year 6, the estimated number of patients was less than 10,000, and the net cost to the PBS would be $30 - $60 million per year.</w:t>
      </w:r>
    </w:p>
    <w:p w:rsidR="00EF05A6" w:rsidRPr="00EF05A6" w:rsidRDefault="00EF05A6" w:rsidP="00EF05A6">
      <w:pPr>
        <w:rPr>
          <w:rFonts w:asciiTheme="minorHAnsi" w:eastAsiaTheme="minorHAnsi" w:hAnsiTheme="minorHAnsi" w:cstheme="minorBidi"/>
          <w:snapToGrid/>
          <w:sz w:val="24"/>
          <w:szCs w:val="22"/>
        </w:rPr>
      </w:pPr>
    </w:p>
    <w:p w:rsidR="00A03E89" w:rsidRPr="00585AAB" w:rsidRDefault="00EF05A6" w:rsidP="005E558F">
      <w:pPr>
        <w:pStyle w:val="ListParagraph"/>
        <w:numPr>
          <w:ilvl w:val="1"/>
          <w:numId w:val="11"/>
        </w:numPr>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39402D" w:rsidRPr="00585AAB">
        <w:rPr>
          <w:rFonts w:asciiTheme="minorHAnsi" w:eastAsiaTheme="minorHAnsi" w:hAnsiTheme="minorHAnsi" w:cstheme="minorBidi"/>
          <w:snapToGrid/>
          <w:sz w:val="24"/>
          <w:szCs w:val="22"/>
        </w:rPr>
        <w:t xml:space="preserve"> </w:t>
      </w:r>
      <w:r w:rsidR="00FD48DC" w:rsidRPr="00585AAB">
        <w:rPr>
          <w:rFonts w:asciiTheme="minorHAnsi" w:eastAsiaTheme="minorHAnsi" w:hAnsiTheme="minorHAnsi" w:cstheme="minorBidi"/>
          <w:snapToGrid/>
          <w:sz w:val="24"/>
          <w:szCs w:val="22"/>
        </w:rPr>
        <w:t xml:space="preserve">evaluation considered that the </w:t>
      </w:r>
      <w:r w:rsidR="0039402D" w:rsidRPr="00585AAB">
        <w:rPr>
          <w:rFonts w:asciiTheme="minorHAnsi" w:eastAsiaTheme="minorHAnsi" w:hAnsiTheme="minorHAnsi" w:cstheme="minorBidi"/>
          <w:snapToGrid/>
          <w:sz w:val="24"/>
          <w:szCs w:val="22"/>
        </w:rPr>
        <w:t>budget impact estimate was highly uncertain due to the rapidly changing dynamics of th</w:t>
      </w:r>
      <w:r w:rsidR="005E558F" w:rsidRPr="00585AAB">
        <w:rPr>
          <w:rFonts w:asciiTheme="minorHAnsi" w:eastAsiaTheme="minorHAnsi" w:hAnsiTheme="minorHAnsi" w:cstheme="minorBidi"/>
          <w:snapToGrid/>
          <w:sz w:val="24"/>
          <w:szCs w:val="22"/>
        </w:rPr>
        <w:t xml:space="preserve">e PBS multiple sclerosis market and the </w:t>
      </w:r>
      <w:r w:rsidR="00E9582C" w:rsidRPr="00585AAB">
        <w:rPr>
          <w:rFonts w:asciiTheme="minorHAnsi" w:eastAsiaTheme="minorHAnsi" w:hAnsiTheme="minorHAnsi" w:cstheme="minorBidi"/>
          <w:snapToGrid/>
          <w:sz w:val="24"/>
          <w:szCs w:val="22"/>
        </w:rPr>
        <w:t xml:space="preserve">use of </w:t>
      </w:r>
      <w:r w:rsidR="005E558F" w:rsidRPr="00585AAB">
        <w:rPr>
          <w:rFonts w:asciiTheme="minorHAnsi" w:eastAsiaTheme="minorHAnsi" w:hAnsiTheme="minorHAnsi" w:cstheme="minorBidi"/>
          <w:snapToGrid/>
          <w:sz w:val="24"/>
          <w:szCs w:val="22"/>
        </w:rPr>
        <w:t>published rather than effective prices</w:t>
      </w:r>
      <w:r w:rsidR="00E9582C" w:rsidRPr="00585AAB">
        <w:rPr>
          <w:rFonts w:asciiTheme="minorHAnsi" w:eastAsiaTheme="minorHAnsi" w:hAnsiTheme="minorHAnsi" w:cstheme="minorBidi"/>
          <w:snapToGrid/>
          <w:sz w:val="24"/>
          <w:szCs w:val="22"/>
        </w:rPr>
        <w:t xml:space="preserve"> (due to the presence of Special Pricing Arrangements for a number of multiple sclerosis therapies)</w:t>
      </w:r>
      <w:r w:rsidR="0039402D" w:rsidRPr="00585AAB">
        <w:rPr>
          <w:rFonts w:asciiTheme="minorHAnsi" w:eastAsiaTheme="minorHAnsi" w:hAnsiTheme="minorHAnsi" w:cstheme="minorBidi"/>
          <w:snapToGrid/>
          <w:sz w:val="24"/>
          <w:szCs w:val="22"/>
        </w:rPr>
        <w:t>.</w:t>
      </w:r>
      <w:r w:rsidR="00A03E89" w:rsidRPr="00585AAB">
        <w:rPr>
          <w:rFonts w:asciiTheme="minorHAnsi" w:eastAsiaTheme="minorHAnsi" w:hAnsiTheme="minorHAnsi" w:cstheme="minorBidi"/>
          <w:snapToGrid/>
          <w:sz w:val="24"/>
          <w:szCs w:val="22"/>
        </w:rPr>
        <w:t xml:space="preserve"> Some of the reasons for the high uncertainty </w:t>
      </w:r>
      <w:r w:rsidR="00465112" w:rsidRPr="00585AAB">
        <w:rPr>
          <w:rFonts w:asciiTheme="minorHAnsi" w:eastAsiaTheme="minorHAnsi" w:hAnsiTheme="minorHAnsi" w:cstheme="minorBidi"/>
          <w:snapToGrid/>
          <w:sz w:val="24"/>
          <w:szCs w:val="22"/>
        </w:rPr>
        <w:t>w</w:t>
      </w:r>
      <w:r w:rsidR="00465112">
        <w:rPr>
          <w:rFonts w:asciiTheme="minorHAnsi" w:eastAsiaTheme="minorHAnsi" w:hAnsiTheme="minorHAnsi" w:cstheme="minorBidi"/>
          <w:snapToGrid/>
          <w:sz w:val="24"/>
          <w:szCs w:val="22"/>
        </w:rPr>
        <w:t>ere</w:t>
      </w:r>
      <w:r w:rsidR="00A03E89" w:rsidRPr="00585AAB">
        <w:rPr>
          <w:rFonts w:asciiTheme="minorHAnsi" w:eastAsiaTheme="minorHAnsi" w:hAnsiTheme="minorHAnsi" w:cstheme="minorBidi"/>
          <w:snapToGrid/>
          <w:sz w:val="24"/>
          <w:szCs w:val="22"/>
        </w:rPr>
        <w:t>:</w:t>
      </w:r>
    </w:p>
    <w:p w:rsidR="00A03E89" w:rsidRPr="00585AAB" w:rsidRDefault="00A03E89" w:rsidP="00370FA6">
      <w:pPr>
        <w:pStyle w:val="ListParagraph"/>
        <w:keepNext/>
        <w:keepLines/>
        <w:numPr>
          <w:ilvl w:val="0"/>
          <w:numId w:val="34"/>
        </w:numPr>
        <w:rPr>
          <w:rFonts w:asciiTheme="minorHAnsi" w:hAnsiTheme="minorHAnsi"/>
          <w:sz w:val="24"/>
        </w:rPr>
      </w:pPr>
      <w:r w:rsidRPr="00585AAB">
        <w:rPr>
          <w:rFonts w:asciiTheme="minorHAnsi" w:hAnsiTheme="minorHAnsi"/>
          <w:sz w:val="24"/>
        </w:rPr>
        <w:t xml:space="preserve">The submission assumed that ocrelizumab will not grow the market (i.e. through capture of previously untreated patients or through providing an additional line of therapy) as the submission argued there is already a wide range of treatment options available to patients with multiple sclerosis. The assumption may not be reasonable given the substantial growth in the market that has been associated with other recent listings for multiple sclerosis treatments. </w:t>
      </w:r>
      <w:r w:rsidR="00767C86" w:rsidRPr="00585AAB">
        <w:rPr>
          <w:rFonts w:asciiTheme="minorHAnsi" w:hAnsiTheme="minorHAnsi"/>
          <w:sz w:val="24"/>
        </w:rPr>
        <w:t>The PSCR (p3) referred to the 2015 DUSC review that found expenditure on RRMS medicines continued to grow, but that this “was mainly driven by an increasing utilisation of the oral therapies fingolimod and dimethyl fumarate with a decline in the use of injectable therapy.”</w:t>
      </w:r>
      <w:r w:rsidR="006A62B5" w:rsidRPr="00585AAB">
        <w:rPr>
          <w:rFonts w:asciiTheme="minorHAnsi" w:hAnsiTheme="minorHAnsi"/>
          <w:sz w:val="24"/>
        </w:rPr>
        <w:t xml:space="preserve"> The PSCR stated that newer RRMS therapies have become less burdensome for patients </w:t>
      </w:r>
      <w:r w:rsidR="009A754E">
        <w:rPr>
          <w:rFonts w:asciiTheme="minorHAnsi" w:hAnsiTheme="minorHAnsi"/>
          <w:sz w:val="24"/>
        </w:rPr>
        <w:t xml:space="preserve">through </w:t>
      </w:r>
      <w:r w:rsidR="006A62B5" w:rsidRPr="00585AAB">
        <w:rPr>
          <w:rFonts w:asciiTheme="minorHAnsi" w:hAnsiTheme="minorHAnsi"/>
          <w:sz w:val="24"/>
        </w:rPr>
        <w:t>more convenient administration, which has meant that patients are more likely to commence treatment earlier, leading to a growth in the overall market. The PSCR argued that this shift in the RRMS treatment paradigm is historical and the impact is unlikely to continue specifically with the listing of IV ocrelizumab.</w:t>
      </w:r>
    </w:p>
    <w:p w:rsidR="00A03E89" w:rsidRPr="00585AAB" w:rsidRDefault="00A03E89" w:rsidP="00A03E89">
      <w:pPr>
        <w:pStyle w:val="ListParagraph"/>
        <w:numPr>
          <w:ilvl w:val="0"/>
          <w:numId w:val="34"/>
        </w:numPr>
        <w:rPr>
          <w:rFonts w:asciiTheme="minorHAnsi" w:hAnsiTheme="minorHAnsi"/>
          <w:sz w:val="24"/>
        </w:rPr>
      </w:pPr>
      <w:r w:rsidRPr="00585AAB">
        <w:rPr>
          <w:rFonts w:asciiTheme="minorHAnsi" w:hAnsiTheme="minorHAnsi"/>
          <w:sz w:val="24"/>
        </w:rPr>
        <w:t xml:space="preserve">The forecast utilisation of alemtuzumab and peginterferon beta-1a indicated rapid growth in the use of these treatments on the PBS but estimates were based on limited actual data (alemtuzumab was listed in April 2015; peginterferon beta-1a was listed in March 2015) and it was unclear whether </w:t>
      </w:r>
      <w:r w:rsidRPr="00585AAB">
        <w:rPr>
          <w:rFonts w:asciiTheme="minorHAnsi" w:hAnsiTheme="minorHAnsi"/>
          <w:sz w:val="24"/>
        </w:rPr>
        <w:lastRenderedPageBreak/>
        <w:t xml:space="preserve">these growth rates will continue over the longer term. </w:t>
      </w:r>
      <w:r w:rsidR="007A6857" w:rsidRPr="00585AAB">
        <w:rPr>
          <w:rFonts w:asciiTheme="minorHAnsi" w:hAnsiTheme="minorHAnsi"/>
          <w:sz w:val="24"/>
        </w:rPr>
        <w:t xml:space="preserve">The PSCR (p4) stated that the more recent listings resulted in an unavoidable use of limited data, but that </w:t>
      </w:r>
      <w:r w:rsidR="007A6857" w:rsidRPr="00585AAB">
        <w:rPr>
          <w:rFonts w:asciiTheme="minorHAnsi" w:hAnsiTheme="minorHAnsi"/>
          <w:bCs/>
          <w:sz w:val="24"/>
        </w:rPr>
        <w:t xml:space="preserve">the forecast was updated in the revised model provided with the PSCR, which utilised the latest available PBS data (up to March 2017). </w:t>
      </w:r>
      <w:r w:rsidR="00D70594" w:rsidRPr="00585AAB">
        <w:rPr>
          <w:rFonts w:asciiTheme="minorHAnsi" w:hAnsiTheme="minorHAnsi"/>
          <w:bCs/>
          <w:sz w:val="24"/>
        </w:rPr>
        <w:t xml:space="preserve">The updated forecast has not been evaluated. </w:t>
      </w:r>
    </w:p>
    <w:p w:rsidR="00A03E89" w:rsidRPr="00585AAB" w:rsidRDefault="00A03E89" w:rsidP="007A6857">
      <w:pPr>
        <w:pStyle w:val="ListParagraph"/>
        <w:numPr>
          <w:ilvl w:val="0"/>
          <w:numId w:val="34"/>
        </w:numPr>
        <w:rPr>
          <w:rFonts w:asciiTheme="minorHAnsi" w:hAnsiTheme="minorHAnsi"/>
          <w:sz w:val="24"/>
        </w:rPr>
      </w:pPr>
      <w:r w:rsidRPr="00585AAB">
        <w:rPr>
          <w:rFonts w:asciiTheme="minorHAnsi" w:hAnsiTheme="minorHAnsi"/>
          <w:sz w:val="24"/>
        </w:rPr>
        <w:t xml:space="preserve">The estimated uptake rates for ocrelizumab were based on expert advice from the Sponsor’s advisory panel. No documentation of the expert advice was provided with the submission. </w:t>
      </w:r>
      <w:r w:rsidR="007A6857" w:rsidRPr="00585AAB">
        <w:rPr>
          <w:rFonts w:asciiTheme="minorHAnsi" w:hAnsiTheme="minorHAnsi"/>
          <w:sz w:val="24"/>
        </w:rPr>
        <w:t>The PSCR (p4) stated that the sponsor’s Multiple Sclerosis Advisory Board meeting convened on 4th April 2016. Attendees were invited based on neurologists’ recommendations of Australian MS thought leaders. In total, 12 clinicians were invited and 11 attended including three from VIC, four from NSW, two from WA, and one each from QLD and NZ. The estimated uptake rates used in the submission</w:t>
      </w:r>
      <w:r w:rsidR="001F41D7" w:rsidRPr="00585AAB">
        <w:rPr>
          <w:rFonts w:asciiTheme="minorHAnsi" w:hAnsiTheme="minorHAnsi"/>
          <w:sz w:val="24"/>
        </w:rPr>
        <w:t xml:space="preserve"> were based on consensus from the advisors</w:t>
      </w:r>
      <w:r w:rsidR="007A6857" w:rsidRPr="00585AAB">
        <w:rPr>
          <w:rFonts w:asciiTheme="minorHAnsi" w:hAnsiTheme="minorHAnsi"/>
          <w:sz w:val="24"/>
        </w:rPr>
        <w:t>.</w:t>
      </w:r>
    </w:p>
    <w:p w:rsidR="008A3751" w:rsidRPr="00585AAB" w:rsidRDefault="00A03E89" w:rsidP="008A3751">
      <w:pPr>
        <w:pStyle w:val="ListParagraph"/>
        <w:numPr>
          <w:ilvl w:val="0"/>
          <w:numId w:val="34"/>
        </w:numPr>
        <w:rPr>
          <w:rFonts w:asciiTheme="minorHAnsi" w:hAnsiTheme="minorHAnsi"/>
          <w:sz w:val="24"/>
        </w:rPr>
      </w:pPr>
      <w:r w:rsidRPr="00585AAB">
        <w:rPr>
          <w:rFonts w:asciiTheme="minorHAnsi" w:hAnsiTheme="minorHAnsi"/>
          <w:sz w:val="24"/>
        </w:rPr>
        <w:t>The submission claimed that there would be no substitution of older interferon therapies (intramuscular interferon beta-1a, subcutaneous interferon beta-1a, interferon beta-1b) in clinical practice. It was unclear whether this claim was reasonable.</w:t>
      </w:r>
      <w:r w:rsidR="001F41D7" w:rsidRPr="00585AAB">
        <w:rPr>
          <w:rFonts w:asciiTheme="minorHAnsi" w:hAnsiTheme="minorHAnsi"/>
          <w:sz w:val="24"/>
        </w:rPr>
        <w:t xml:space="preserve"> The PSCR (p4) stated that there is a downward trend in the number of prescriptions for the older interferon therapies as there is a shift in the RRMS treatment paradigm due to the availability of newer, more efficacious and convenient therapies. The PSCR (p4) argued that therefore these older therapies are unlikely to be prescribed into the future. </w:t>
      </w:r>
      <w:r w:rsidR="00354926" w:rsidRPr="00585AAB">
        <w:rPr>
          <w:rFonts w:asciiTheme="minorHAnsi" w:hAnsiTheme="minorHAnsi"/>
          <w:sz w:val="24"/>
        </w:rPr>
        <w:t>The ESC considered given the superior efficacy and similar overall incidence of adverse events with ocrelizumab compared with SC interferon beta-1a, and convenience in administration (twice a year), it is likely that ocrelizumab will substitute older therapies in addition to the newer, higher efficacy treatments.</w:t>
      </w:r>
    </w:p>
    <w:p w:rsidR="00385598" w:rsidRPr="00585AAB" w:rsidRDefault="00A03E89" w:rsidP="00385598">
      <w:pPr>
        <w:pStyle w:val="ESnumberedparablue"/>
      </w:pPr>
      <w:r w:rsidRPr="00585AAB">
        <w:t>The submission did not consider substitution of daclizumab (recently PBS-listed for multiple sclerosis) or rituximab (identified as a possible off-label therapy in treatment guidelines) in the utilisation estimates.</w:t>
      </w:r>
      <w:r w:rsidR="001F41D7" w:rsidRPr="00585AAB">
        <w:t xml:space="preserve"> The PSCR (p4) argued that</w:t>
      </w:r>
      <w:r w:rsidR="008A3751" w:rsidRPr="00585AAB">
        <w:t xml:space="preserve"> </w:t>
      </w:r>
      <w:r w:rsidR="001F41D7" w:rsidRPr="00585AAB">
        <w:t xml:space="preserve">ocrelizumab is unlikely to significantly displace the use of daclizumab </w:t>
      </w:r>
      <w:r w:rsidR="008A3751" w:rsidRPr="00585AAB">
        <w:t>as daclizumab is</w:t>
      </w:r>
      <w:r w:rsidR="001F41D7" w:rsidRPr="00585AAB">
        <w:t xml:space="preserve"> </w:t>
      </w:r>
      <w:r w:rsidR="008A3751" w:rsidRPr="00585AAB">
        <w:t>comparable to that of</w:t>
      </w:r>
      <w:r w:rsidR="001F41D7" w:rsidRPr="00585AAB">
        <w:t xml:space="preserve"> older</w:t>
      </w:r>
      <w:r w:rsidR="008A3751" w:rsidRPr="00585AAB">
        <w:t>,</w:t>
      </w:r>
      <w:r w:rsidR="001F41D7" w:rsidRPr="00585AAB">
        <w:t xml:space="preserve"> less efficacious agents (e.g. dimethyl fumarate) and it is therefore not con</w:t>
      </w:r>
      <w:r w:rsidR="008A3751" w:rsidRPr="00585AAB">
        <w:t>sidered a comparator. The PSCR (p4) stated that</w:t>
      </w:r>
      <w:r w:rsidR="001F41D7" w:rsidRPr="00585AAB">
        <w:t xml:space="preserve"> rituximab (which is not PBS listed for the treatment of RRMS) was not considered a therapy ocrelizumab would substitute</w:t>
      </w:r>
      <w:r w:rsidR="008A3751" w:rsidRPr="00585AAB">
        <w:t xml:space="preserve"> and that it is not possible to estimate off-label use of rituximab for RRMS. </w:t>
      </w:r>
      <w:r w:rsidR="00FD7C56" w:rsidRPr="00585AAB">
        <w:t xml:space="preserve"> </w:t>
      </w:r>
    </w:p>
    <w:p w:rsidR="00385598" w:rsidRPr="00585AAB" w:rsidRDefault="004E559F" w:rsidP="00385598">
      <w:pPr>
        <w:pStyle w:val="ESnumberedparablue"/>
      </w:pPr>
      <w:r w:rsidRPr="00585AAB">
        <w:t xml:space="preserve">The PBAC considered that the estimated financial impact was highly uncertain due to the rapidly changing market for multiple sclerosis medicines. </w:t>
      </w:r>
      <w:r w:rsidR="006F3082" w:rsidRPr="00585AAB">
        <w:t xml:space="preserve">The PBAC </w:t>
      </w:r>
      <w:r w:rsidR="00FD48DC" w:rsidRPr="00585AAB">
        <w:t xml:space="preserve">noted </w:t>
      </w:r>
      <w:r w:rsidR="006F3082" w:rsidRPr="00585AAB">
        <w:t xml:space="preserve">that the financial estimates </w:t>
      </w:r>
      <w:r w:rsidR="00FD48DC" w:rsidRPr="00585AAB">
        <w:t xml:space="preserve">would also need to </w:t>
      </w:r>
      <w:r w:rsidR="006F3082" w:rsidRPr="00585AAB">
        <w:t>be recalculated based on its recommendation that ocrelizumab be cost-minimised to fingolimod, and</w:t>
      </w:r>
      <w:r w:rsidR="00FD48DC" w:rsidRPr="00585AAB">
        <w:t xml:space="preserve"> taking into account</w:t>
      </w:r>
      <w:r w:rsidR="006F3082" w:rsidRPr="00585AAB">
        <w:t xml:space="preserve"> that ocrelizumab is anticipated to substitute for all currently PBS listed medicines for RRMS. </w:t>
      </w:r>
      <w:bookmarkStart w:id="39" w:name="_Toc413139285"/>
      <w:bookmarkStart w:id="40" w:name="_Toc476306895"/>
      <w:bookmarkStart w:id="41" w:name="_Toc482796756"/>
    </w:p>
    <w:p w:rsidR="006E3A76" w:rsidRDefault="006E3A76" w:rsidP="00385598">
      <w:pPr>
        <w:pStyle w:val="ESnumberedparablue"/>
        <w:numPr>
          <w:ilvl w:val="0"/>
          <w:numId w:val="0"/>
        </w:numPr>
        <w:rPr>
          <w:rFonts w:eastAsiaTheme="majorEastAsia" w:cstheme="majorBidi"/>
          <w:b/>
          <w:i/>
          <w:sz w:val="28"/>
          <w:szCs w:val="28"/>
        </w:rPr>
      </w:pPr>
    </w:p>
    <w:p w:rsidR="00137F8D" w:rsidRPr="00585AAB" w:rsidRDefault="00137F8D" w:rsidP="00385598">
      <w:pPr>
        <w:pStyle w:val="ESnumberedparablue"/>
        <w:numPr>
          <w:ilvl w:val="0"/>
          <w:numId w:val="0"/>
        </w:numPr>
      </w:pPr>
      <w:r w:rsidRPr="00585AAB">
        <w:rPr>
          <w:rFonts w:eastAsiaTheme="majorEastAsia" w:cstheme="majorBidi"/>
          <w:b/>
          <w:i/>
          <w:sz w:val="28"/>
          <w:szCs w:val="28"/>
        </w:rPr>
        <w:t>Quality Use of Medicines</w:t>
      </w:r>
      <w:bookmarkEnd w:id="39"/>
      <w:bookmarkEnd w:id="40"/>
      <w:bookmarkEnd w:id="41"/>
    </w:p>
    <w:p w:rsidR="00137F8D" w:rsidRPr="00585AAB" w:rsidRDefault="00981849" w:rsidP="006F1208">
      <w:pPr>
        <w:pStyle w:val="ESnumberedparablue"/>
      </w:pPr>
      <w:r w:rsidRPr="00585AAB">
        <w:t>The submission state</w:t>
      </w:r>
      <w:r w:rsidR="00FD48DC" w:rsidRPr="00585AAB">
        <w:t>d</w:t>
      </w:r>
      <w:r w:rsidRPr="00585AAB">
        <w:t xml:space="preserve"> that the availability of ocrelizumab for the treatment of patients with RRMS addresses an unmet clinical need where despite the availability of current treatments, patients continue to experience disease progression and suffer relapses</w:t>
      </w:r>
      <w:r w:rsidR="00E22B43" w:rsidRPr="00585AAB">
        <w:t>.</w:t>
      </w:r>
    </w:p>
    <w:p w:rsidR="00137F8D" w:rsidRPr="00585AAB"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42" w:name="_Toc413139286"/>
      <w:bookmarkStart w:id="43" w:name="_Toc476306896"/>
      <w:bookmarkStart w:id="44" w:name="_Toc482796757"/>
      <w:r w:rsidRPr="00585AAB">
        <w:rPr>
          <w:rFonts w:asciiTheme="minorHAnsi" w:eastAsiaTheme="majorEastAsia" w:hAnsiTheme="minorHAnsi" w:cstheme="majorBidi"/>
          <w:i/>
          <w:snapToGrid/>
          <w:sz w:val="28"/>
          <w:szCs w:val="28"/>
        </w:rPr>
        <w:t>Financial Management – Risk Sharing Arrangements</w:t>
      </w:r>
      <w:bookmarkEnd w:id="42"/>
      <w:bookmarkEnd w:id="43"/>
      <w:bookmarkEnd w:id="44"/>
    </w:p>
    <w:p w:rsidR="00137F8D" w:rsidRPr="00585AAB" w:rsidRDefault="00F17251" w:rsidP="006F1208">
      <w:pPr>
        <w:pStyle w:val="ESnumberedparablue"/>
      </w:pPr>
      <w:r>
        <w:rPr>
          <w:noProof/>
          <w:color w:val="000000"/>
          <w:highlight w:val="black"/>
        </w:rPr>
        <w:t xml:space="preserve">''''''' ''''''''''''''''''' '''''''''''' '''''''' '''''' '''''''''''''''' ''' '''''''''''' ''''' '''''''''''' '''''' ''''''''''''''''''' '''''''''' ''''' ''''''''''''''''''''''''' '''''' '''' '''''''''''''''''''''''' ''''''''''''' ''''''''''''''''''' </w:t>
      </w:r>
      <w:r w:rsidR="00981849" w:rsidRPr="0015424D">
        <w:t>However</w:t>
      </w:r>
      <w:r w:rsidR="00981849" w:rsidRPr="00585AAB">
        <w:t xml:space="preserve">, the sponsor proposed </w:t>
      </w:r>
      <w:r>
        <w:rPr>
          <w:noProof/>
          <w:color w:val="000000"/>
          <w:highlight w:val="black"/>
        </w:rPr>
        <w:t>''</w:t>
      </w:r>
      <w:r w:rsidR="00F701B7">
        <w:rPr>
          <w:noProof/>
          <w:color w:val="000000"/>
          <w:highlight w:val="black"/>
        </w:rPr>
        <w:t xml:space="preserve">' </w:t>
      </w:r>
      <w:r>
        <w:rPr>
          <w:noProof/>
          <w:color w:val="000000"/>
          <w:highlight w:val="black"/>
        </w:rPr>
        <w:t xml:space="preserve">'''''''''''' '''''''''''''' ''''''''''''''''''''''''''' '''''''''''''''''''' '''' ''' '''''''''''''''''''''' '''''''''''' '''''' '''''' '''''''''''''''''' ''''''''''''''''''''''''''''''' '''''''''' '''' '''''''''''''''''''''' ''''' '''''''''''''''' ''''' ''''''''''''''''' '''''''''' </w:t>
      </w:r>
      <w:r w:rsidR="00981849" w:rsidRPr="00807344">
        <w:t>consistent with the cost-minimisation analysis.</w:t>
      </w:r>
    </w:p>
    <w:p w:rsidR="005B43AE" w:rsidRPr="00585AAB" w:rsidRDefault="00981849" w:rsidP="006F1208">
      <w:pPr>
        <w:pStyle w:val="ESnumberedparablue"/>
      </w:pPr>
      <w:r w:rsidRPr="00585AAB">
        <w:t xml:space="preserve">The submission stated that the sponsor is willing to enter into negotiations regarding a risk-sharing agreement </w:t>
      </w:r>
      <w:r w:rsidRPr="00807344">
        <w:t>(annual expenditure caps)</w:t>
      </w:r>
      <w:r w:rsidRPr="00585AAB">
        <w:t>.</w:t>
      </w:r>
    </w:p>
    <w:p w:rsidR="006F1208" w:rsidRPr="00641310" w:rsidRDefault="006F1208" w:rsidP="006F1208">
      <w:pPr>
        <w:pStyle w:val="ESnumberedparablue"/>
        <w:numPr>
          <w:ilvl w:val="0"/>
          <w:numId w:val="0"/>
        </w:numPr>
        <w:rPr>
          <w:i/>
        </w:rPr>
      </w:pPr>
      <w:r w:rsidRPr="00641310">
        <w:rPr>
          <w:i/>
        </w:rPr>
        <w:t>For more detail on PBAC’s view, see section 7 “PBAC outcome”</w:t>
      </w:r>
    </w:p>
    <w:p w:rsidR="006F1208" w:rsidRPr="00585AAB" w:rsidRDefault="006F1208" w:rsidP="006F1208">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r w:rsidRPr="00585AAB">
        <w:rPr>
          <w:rFonts w:asciiTheme="minorHAnsi" w:eastAsiaTheme="majorEastAsia" w:hAnsiTheme="minorHAnsi" w:cstheme="majorBidi"/>
          <w:caps w:val="0"/>
          <w:snapToGrid/>
          <w:sz w:val="32"/>
          <w:szCs w:val="28"/>
        </w:rPr>
        <w:t>PBAC Outcome</w:t>
      </w:r>
    </w:p>
    <w:p w:rsidR="002E6A88" w:rsidRPr="00585AAB" w:rsidRDefault="00095ED1" w:rsidP="006F1208">
      <w:pPr>
        <w:widowControl/>
        <w:numPr>
          <w:ilvl w:val="1"/>
          <w:numId w:val="12"/>
        </w:numPr>
        <w:spacing w:after="120"/>
        <w:rPr>
          <w:rFonts w:asciiTheme="minorHAnsi" w:hAnsiTheme="minorHAnsi"/>
          <w:sz w:val="24"/>
        </w:rPr>
      </w:pPr>
      <w:r w:rsidRPr="00585AAB">
        <w:rPr>
          <w:rFonts w:asciiTheme="minorHAnsi" w:hAnsiTheme="minorHAnsi"/>
          <w:sz w:val="24"/>
        </w:rPr>
        <w:t>The PBAC recommended the listing of ocrelizumab for the treatment of relapsing-remitti</w:t>
      </w:r>
      <w:r w:rsidR="00A5204E" w:rsidRPr="00585AAB">
        <w:rPr>
          <w:rFonts w:asciiTheme="minorHAnsi" w:hAnsiTheme="minorHAnsi"/>
          <w:sz w:val="24"/>
        </w:rPr>
        <w:t>ng multiple sclerosis on a cost-</w:t>
      </w:r>
      <w:r w:rsidRPr="00585AAB">
        <w:rPr>
          <w:rFonts w:asciiTheme="minorHAnsi" w:hAnsiTheme="minorHAnsi"/>
          <w:sz w:val="24"/>
        </w:rPr>
        <w:t xml:space="preserve">minimisation basis with fingolimod. The PBAC recommended </w:t>
      </w:r>
      <w:r w:rsidR="002E6A88" w:rsidRPr="00585AAB">
        <w:rPr>
          <w:rFonts w:asciiTheme="minorHAnsi" w:hAnsiTheme="minorHAnsi"/>
          <w:sz w:val="24"/>
        </w:rPr>
        <w:t>ocrelizumab on the</w:t>
      </w:r>
      <w:r w:rsidRPr="00585AAB">
        <w:rPr>
          <w:rFonts w:asciiTheme="minorHAnsi" w:hAnsiTheme="minorHAnsi"/>
          <w:sz w:val="24"/>
        </w:rPr>
        <w:t xml:space="preserve"> basis that it should be available only under special arrangements under Section 100 (Highly Specialised Drugs Program – public and private hospital).</w:t>
      </w:r>
      <w:r w:rsidR="002E6A88" w:rsidRPr="00585AAB">
        <w:rPr>
          <w:rFonts w:asciiTheme="minorHAnsi" w:hAnsiTheme="minorHAnsi"/>
          <w:sz w:val="24"/>
        </w:rPr>
        <w:t xml:space="preserve"> </w:t>
      </w:r>
    </w:p>
    <w:p w:rsidR="006F1208" w:rsidRPr="00585AAB" w:rsidRDefault="002E6A88" w:rsidP="006F1208">
      <w:pPr>
        <w:widowControl/>
        <w:numPr>
          <w:ilvl w:val="1"/>
          <w:numId w:val="12"/>
        </w:numPr>
        <w:spacing w:after="120"/>
        <w:rPr>
          <w:rFonts w:asciiTheme="minorHAnsi" w:hAnsiTheme="minorHAnsi"/>
          <w:sz w:val="24"/>
        </w:rPr>
      </w:pPr>
      <w:r w:rsidRPr="00585AAB">
        <w:rPr>
          <w:rFonts w:asciiTheme="minorHAnsi" w:hAnsiTheme="minorHAnsi"/>
          <w:sz w:val="24"/>
        </w:rPr>
        <w:t xml:space="preserve">The PBAC noted that ocrelizumab is a first-in-class medicine among currently PBS-subsidised treatments for multiple sclerosis. The PBAC noted the input from consumer comments and the consumer hearing that additional treatment options for multiple sclerosis are valued by patients and clinicians. </w:t>
      </w:r>
    </w:p>
    <w:p w:rsidR="00103D7F" w:rsidRPr="00585AAB" w:rsidRDefault="00095ED1" w:rsidP="00103D7F">
      <w:pPr>
        <w:pStyle w:val="ListParagraph"/>
        <w:numPr>
          <w:ilvl w:val="1"/>
          <w:numId w:val="12"/>
        </w:numPr>
        <w:rPr>
          <w:rFonts w:asciiTheme="minorHAnsi" w:hAnsiTheme="minorHAnsi"/>
          <w:sz w:val="24"/>
        </w:rPr>
      </w:pPr>
      <w:r w:rsidRPr="00585AAB">
        <w:rPr>
          <w:rFonts w:asciiTheme="minorHAnsi" w:hAnsiTheme="minorHAnsi"/>
          <w:sz w:val="24"/>
        </w:rPr>
        <w:t>The PBAC accepted cost-minimisation on the basis</w:t>
      </w:r>
      <w:r w:rsidR="00A72219" w:rsidRPr="00585AAB">
        <w:rPr>
          <w:rFonts w:asciiTheme="minorHAnsi" w:hAnsiTheme="minorHAnsi"/>
          <w:sz w:val="24"/>
        </w:rPr>
        <w:t xml:space="preserve"> that the annual treatment costs</w:t>
      </w:r>
      <w:r w:rsidRPr="00585AAB">
        <w:rPr>
          <w:rFonts w:asciiTheme="minorHAnsi" w:hAnsiTheme="minorHAnsi"/>
          <w:sz w:val="24"/>
        </w:rPr>
        <w:t xml:space="preserve"> of</w:t>
      </w:r>
      <w:r w:rsidR="00A72219" w:rsidRPr="00585AAB">
        <w:rPr>
          <w:rFonts w:asciiTheme="minorHAnsi" w:hAnsiTheme="minorHAnsi"/>
          <w:sz w:val="24"/>
        </w:rPr>
        <w:t xml:space="preserve"> ocrelizumab</w:t>
      </w:r>
      <w:r w:rsidR="00FD48DC" w:rsidRPr="00585AAB">
        <w:rPr>
          <w:rFonts w:asciiTheme="minorHAnsi" w:hAnsiTheme="minorHAnsi"/>
          <w:sz w:val="24"/>
        </w:rPr>
        <w:t xml:space="preserve"> </w:t>
      </w:r>
      <w:r w:rsidR="00A72219" w:rsidRPr="00585AAB">
        <w:rPr>
          <w:rFonts w:asciiTheme="minorHAnsi" w:hAnsiTheme="minorHAnsi"/>
          <w:sz w:val="24"/>
        </w:rPr>
        <w:t xml:space="preserve">and </w:t>
      </w:r>
      <w:r w:rsidR="00432D63" w:rsidRPr="00585AAB">
        <w:rPr>
          <w:rFonts w:asciiTheme="minorHAnsi" w:hAnsiTheme="minorHAnsi"/>
          <w:sz w:val="24"/>
        </w:rPr>
        <w:t>fingolimod</w:t>
      </w:r>
      <w:r w:rsidR="00A72219" w:rsidRPr="00585AAB">
        <w:rPr>
          <w:rFonts w:asciiTheme="minorHAnsi" w:hAnsiTheme="minorHAnsi"/>
          <w:sz w:val="24"/>
        </w:rPr>
        <w:t xml:space="preserve"> should be the same</w:t>
      </w:r>
      <w:r w:rsidR="00FD48DC" w:rsidRPr="00585AAB">
        <w:rPr>
          <w:rFonts w:asciiTheme="minorHAnsi" w:hAnsiTheme="minorHAnsi"/>
          <w:sz w:val="24"/>
        </w:rPr>
        <w:t>,</w:t>
      </w:r>
      <w:r w:rsidR="00A72219" w:rsidRPr="00585AAB">
        <w:rPr>
          <w:rFonts w:asciiTheme="minorHAnsi" w:hAnsiTheme="minorHAnsi"/>
          <w:sz w:val="24"/>
        </w:rPr>
        <w:t xml:space="preserve"> at</w:t>
      </w:r>
      <w:r w:rsidRPr="00585AAB">
        <w:rPr>
          <w:rFonts w:asciiTheme="minorHAnsi" w:hAnsiTheme="minorHAnsi"/>
          <w:sz w:val="24"/>
        </w:rPr>
        <w:t xml:space="preserve"> equi-effective doses of ocrelizumab 600 mg once every 24 weeks </w:t>
      </w:r>
      <w:r w:rsidR="00FD48DC" w:rsidRPr="00585AAB">
        <w:rPr>
          <w:rFonts w:asciiTheme="minorHAnsi" w:hAnsiTheme="minorHAnsi"/>
          <w:sz w:val="24"/>
        </w:rPr>
        <w:t xml:space="preserve">and </w:t>
      </w:r>
      <w:r w:rsidRPr="00585AAB">
        <w:rPr>
          <w:rFonts w:asciiTheme="minorHAnsi" w:hAnsiTheme="minorHAnsi"/>
          <w:sz w:val="24"/>
        </w:rPr>
        <w:t>fingolimod 500 micrograms daily</w:t>
      </w:r>
      <w:r w:rsidR="00A72219" w:rsidRPr="00585AAB">
        <w:rPr>
          <w:rFonts w:asciiTheme="minorHAnsi" w:hAnsiTheme="minorHAnsi"/>
          <w:sz w:val="24"/>
        </w:rPr>
        <w:t xml:space="preserve"> and </w:t>
      </w:r>
      <w:r w:rsidR="00FD48DC" w:rsidRPr="00585AAB">
        <w:rPr>
          <w:rFonts w:asciiTheme="minorHAnsi" w:hAnsiTheme="minorHAnsi"/>
          <w:sz w:val="24"/>
        </w:rPr>
        <w:t>taking into account the cost of infusions for ocrelizumab</w:t>
      </w:r>
      <w:r w:rsidR="007E4E41">
        <w:rPr>
          <w:rFonts w:asciiTheme="minorHAnsi" w:hAnsiTheme="minorHAnsi"/>
          <w:sz w:val="24"/>
        </w:rPr>
        <w:t xml:space="preserve">. </w:t>
      </w:r>
      <w:r w:rsidR="00103D7F" w:rsidRPr="00585AAB">
        <w:t xml:space="preserve"> </w:t>
      </w:r>
    </w:p>
    <w:p w:rsidR="00103D7F" w:rsidRPr="00585AAB" w:rsidRDefault="00103D7F" w:rsidP="00103D7F">
      <w:pPr>
        <w:pStyle w:val="ListParagraph"/>
        <w:ind w:left="576"/>
        <w:rPr>
          <w:rFonts w:asciiTheme="minorHAnsi" w:hAnsiTheme="minorHAnsi"/>
          <w:sz w:val="24"/>
        </w:rPr>
      </w:pPr>
    </w:p>
    <w:p w:rsidR="006E47C6" w:rsidRDefault="00103D7F" w:rsidP="00095ED1">
      <w:pPr>
        <w:pStyle w:val="ListParagraph"/>
        <w:widowControl/>
        <w:numPr>
          <w:ilvl w:val="1"/>
          <w:numId w:val="12"/>
        </w:numPr>
        <w:spacing w:after="120"/>
        <w:rPr>
          <w:rFonts w:asciiTheme="minorHAnsi" w:hAnsiTheme="minorHAnsi"/>
          <w:sz w:val="24"/>
        </w:rPr>
      </w:pPr>
      <w:r w:rsidRPr="007E4E41">
        <w:rPr>
          <w:rFonts w:asciiTheme="minorHAnsi" w:hAnsiTheme="minorHAnsi"/>
          <w:sz w:val="24"/>
        </w:rPr>
        <w:t xml:space="preserve">The PBAC agreed that the nominated comparators of fingolimod, natalizumab and alemtuzumab were appropriate clinical </w:t>
      </w:r>
      <w:r w:rsidR="00432D63" w:rsidRPr="007E4E41">
        <w:rPr>
          <w:rFonts w:asciiTheme="minorHAnsi" w:hAnsiTheme="minorHAnsi"/>
          <w:sz w:val="24"/>
        </w:rPr>
        <w:t>comparators;</w:t>
      </w:r>
      <w:r w:rsidRPr="007E4E41">
        <w:rPr>
          <w:rFonts w:asciiTheme="minorHAnsi" w:hAnsiTheme="minorHAnsi"/>
          <w:sz w:val="24"/>
        </w:rPr>
        <w:t xml:space="preserve"> however, considered that in practice, ocrelizumab would substitute for all PBS subsidised medicines for RRMS.</w:t>
      </w:r>
      <w:r w:rsidR="005F17E6" w:rsidRPr="007E4E41">
        <w:rPr>
          <w:rFonts w:asciiTheme="minorHAnsi" w:hAnsiTheme="minorHAnsi"/>
          <w:sz w:val="24"/>
        </w:rPr>
        <w:t xml:space="preserve">  </w:t>
      </w:r>
    </w:p>
    <w:p w:rsidR="006E47C6" w:rsidRPr="006E47C6" w:rsidRDefault="006E47C6" w:rsidP="006E47C6">
      <w:pPr>
        <w:pStyle w:val="ListParagraph"/>
        <w:rPr>
          <w:rFonts w:asciiTheme="minorHAnsi" w:hAnsiTheme="minorHAnsi"/>
          <w:sz w:val="24"/>
        </w:rPr>
      </w:pPr>
    </w:p>
    <w:p w:rsidR="009E7CD8" w:rsidRPr="007E4E41" w:rsidRDefault="009E7CD8" w:rsidP="00095ED1">
      <w:pPr>
        <w:pStyle w:val="ListParagraph"/>
        <w:widowControl/>
        <w:numPr>
          <w:ilvl w:val="1"/>
          <w:numId w:val="12"/>
        </w:numPr>
        <w:spacing w:after="120"/>
        <w:rPr>
          <w:rFonts w:asciiTheme="minorHAnsi" w:hAnsiTheme="minorHAnsi"/>
          <w:sz w:val="24"/>
        </w:rPr>
      </w:pPr>
      <w:r w:rsidRPr="007E4E41">
        <w:rPr>
          <w:rFonts w:asciiTheme="minorHAnsi" w:hAnsiTheme="minorHAnsi"/>
          <w:sz w:val="24"/>
        </w:rPr>
        <w:t>Based on the results of the direct, randomised head-to-head trials (OPERA-I, OPERA-II) of ocrelizumab and subcutaneous interferon beta-1a, the PBAC was satisfied that ocrelizumab is superior</w:t>
      </w:r>
      <w:r w:rsidR="006E47C6">
        <w:rPr>
          <w:rFonts w:asciiTheme="minorHAnsi" w:hAnsiTheme="minorHAnsi"/>
          <w:sz w:val="24"/>
        </w:rPr>
        <w:t xml:space="preserve"> in</w:t>
      </w:r>
      <w:r w:rsidRPr="007E4E41">
        <w:rPr>
          <w:rFonts w:asciiTheme="minorHAnsi" w:hAnsiTheme="minorHAnsi"/>
          <w:sz w:val="24"/>
        </w:rPr>
        <w:t xml:space="preserve"> </w:t>
      </w:r>
      <w:r w:rsidR="00432D63" w:rsidRPr="007E4E41">
        <w:rPr>
          <w:rFonts w:asciiTheme="minorHAnsi" w:hAnsiTheme="minorHAnsi"/>
          <w:sz w:val="24"/>
        </w:rPr>
        <w:t xml:space="preserve">comparative efficacy </w:t>
      </w:r>
      <w:r w:rsidRPr="007E4E41">
        <w:rPr>
          <w:rFonts w:asciiTheme="minorHAnsi" w:hAnsiTheme="minorHAnsi"/>
          <w:sz w:val="24"/>
        </w:rPr>
        <w:t xml:space="preserve">to interferon beta-1a. Based on the </w:t>
      </w:r>
      <w:r w:rsidRPr="007E4E41">
        <w:rPr>
          <w:rFonts w:asciiTheme="minorHAnsi" w:hAnsiTheme="minorHAnsi"/>
          <w:sz w:val="24"/>
        </w:rPr>
        <w:lastRenderedPageBreak/>
        <w:t xml:space="preserve">results of the pivotal trials and the network meta-analysis presented, the PBAC was satisfied that ocrelizumab </w:t>
      </w:r>
      <w:r w:rsidR="00432D63" w:rsidRPr="007E4E41">
        <w:rPr>
          <w:rFonts w:asciiTheme="minorHAnsi" w:hAnsiTheme="minorHAnsi"/>
          <w:sz w:val="24"/>
        </w:rPr>
        <w:t xml:space="preserve">has </w:t>
      </w:r>
      <w:r w:rsidRPr="007E4E41">
        <w:rPr>
          <w:rFonts w:asciiTheme="minorHAnsi" w:hAnsiTheme="minorHAnsi"/>
          <w:sz w:val="24"/>
        </w:rPr>
        <w:t>superior</w:t>
      </w:r>
      <w:r w:rsidR="00432D63" w:rsidRPr="007E4E41">
        <w:rPr>
          <w:rFonts w:asciiTheme="minorHAnsi" w:hAnsiTheme="minorHAnsi"/>
          <w:sz w:val="24"/>
        </w:rPr>
        <w:t xml:space="preserve"> comparative efficacy</w:t>
      </w:r>
      <w:r w:rsidR="0080468A" w:rsidRPr="007E4E41">
        <w:rPr>
          <w:rFonts w:asciiTheme="minorHAnsi" w:hAnsiTheme="minorHAnsi"/>
          <w:sz w:val="24"/>
        </w:rPr>
        <w:t xml:space="preserve"> </w:t>
      </w:r>
      <w:r w:rsidRPr="007E4E41">
        <w:rPr>
          <w:rFonts w:asciiTheme="minorHAnsi" w:hAnsiTheme="minorHAnsi"/>
          <w:sz w:val="24"/>
        </w:rPr>
        <w:t>to interferon beta-1b, peginterferon beta-1a, glatiramer acetate, teriflunomide and dimethyl fumarate, for the purposes of Section 101(3B)</w:t>
      </w:r>
      <w:r w:rsidR="0080468A" w:rsidRPr="007E4E41">
        <w:rPr>
          <w:rFonts w:asciiTheme="minorHAnsi" w:hAnsiTheme="minorHAnsi"/>
          <w:sz w:val="24"/>
        </w:rPr>
        <w:t xml:space="preserve"> of the </w:t>
      </w:r>
      <w:r w:rsidR="0080468A" w:rsidRPr="007E4E41">
        <w:rPr>
          <w:rFonts w:asciiTheme="minorHAnsi" w:hAnsiTheme="minorHAnsi"/>
          <w:i/>
          <w:sz w:val="24"/>
        </w:rPr>
        <w:t>National Health Act 1953</w:t>
      </w:r>
      <w:r w:rsidR="005F17E6" w:rsidRPr="007E4E41">
        <w:rPr>
          <w:rFonts w:asciiTheme="minorHAnsi" w:hAnsiTheme="minorHAnsi"/>
          <w:i/>
          <w:sz w:val="24"/>
        </w:rPr>
        <w:t xml:space="preserve"> </w:t>
      </w:r>
      <w:r w:rsidR="005F17E6" w:rsidRPr="007E4E41">
        <w:rPr>
          <w:rFonts w:asciiTheme="minorHAnsi" w:hAnsiTheme="minorHAnsi"/>
          <w:sz w:val="24"/>
        </w:rPr>
        <w:t>(the Act)</w:t>
      </w:r>
      <w:r w:rsidR="0080468A" w:rsidRPr="007E4E41">
        <w:rPr>
          <w:rFonts w:asciiTheme="minorHAnsi" w:hAnsiTheme="minorHAnsi"/>
          <w:sz w:val="24"/>
        </w:rPr>
        <w:t>.</w:t>
      </w:r>
    </w:p>
    <w:p w:rsidR="009E7CD8" w:rsidRPr="00585AAB" w:rsidRDefault="00996A5D" w:rsidP="00095ED1">
      <w:pPr>
        <w:widowControl/>
        <w:numPr>
          <w:ilvl w:val="1"/>
          <w:numId w:val="12"/>
        </w:numPr>
        <w:spacing w:after="120"/>
        <w:rPr>
          <w:rFonts w:asciiTheme="minorHAnsi" w:hAnsiTheme="minorHAnsi"/>
          <w:sz w:val="24"/>
        </w:rPr>
      </w:pPr>
      <w:r w:rsidRPr="00585AAB">
        <w:rPr>
          <w:rFonts w:asciiTheme="minorHAnsi" w:hAnsiTheme="minorHAnsi"/>
          <w:sz w:val="24"/>
        </w:rPr>
        <w:t>The PBAC</w:t>
      </w:r>
      <w:r w:rsidR="009E7CD8" w:rsidRPr="00585AAB">
        <w:rPr>
          <w:rFonts w:asciiTheme="minorHAnsi" w:hAnsiTheme="minorHAnsi"/>
          <w:sz w:val="24"/>
        </w:rPr>
        <w:t xml:space="preserve"> considered </w:t>
      </w:r>
      <w:r w:rsidR="001005D0" w:rsidRPr="00585AAB">
        <w:rPr>
          <w:rFonts w:asciiTheme="minorHAnsi" w:hAnsiTheme="minorHAnsi"/>
          <w:sz w:val="24"/>
        </w:rPr>
        <w:t xml:space="preserve">that based on the </w:t>
      </w:r>
      <w:r w:rsidR="00F03C43" w:rsidRPr="00585AAB">
        <w:rPr>
          <w:rFonts w:asciiTheme="minorHAnsi" w:hAnsiTheme="minorHAnsi"/>
          <w:sz w:val="24"/>
        </w:rPr>
        <w:t xml:space="preserve">evidence presented, </w:t>
      </w:r>
      <w:r w:rsidR="001005D0" w:rsidRPr="00585AAB">
        <w:rPr>
          <w:rFonts w:asciiTheme="minorHAnsi" w:hAnsiTheme="minorHAnsi"/>
          <w:sz w:val="24"/>
        </w:rPr>
        <w:t xml:space="preserve">the clinical claim that ocrelizumab </w:t>
      </w:r>
      <w:r w:rsidR="00432D63">
        <w:rPr>
          <w:rFonts w:asciiTheme="minorHAnsi" w:hAnsiTheme="minorHAnsi"/>
          <w:sz w:val="24"/>
        </w:rPr>
        <w:t xml:space="preserve">has </w:t>
      </w:r>
      <w:r w:rsidR="001005D0" w:rsidRPr="00585AAB">
        <w:rPr>
          <w:rFonts w:asciiTheme="minorHAnsi" w:hAnsiTheme="minorHAnsi"/>
          <w:sz w:val="24"/>
        </w:rPr>
        <w:t xml:space="preserve">non-inferior </w:t>
      </w:r>
      <w:r w:rsidR="00432D63" w:rsidRPr="00585AAB">
        <w:rPr>
          <w:rFonts w:asciiTheme="minorHAnsi" w:hAnsiTheme="minorHAnsi"/>
          <w:sz w:val="24"/>
        </w:rPr>
        <w:t xml:space="preserve">comparative efficacy </w:t>
      </w:r>
      <w:r w:rsidR="001005D0" w:rsidRPr="00585AAB">
        <w:rPr>
          <w:rFonts w:asciiTheme="minorHAnsi" w:hAnsiTheme="minorHAnsi"/>
          <w:sz w:val="24"/>
        </w:rPr>
        <w:t>to fingolimod was adequately supp</w:t>
      </w:r>
      <w:r w:rsidR="009426F3" w:rsidRPr="00585AAB">
        <w:rPr>
          <w:rFonts w:asciiTheme="minorHAnsi" w:hAnsiTheme="minorHAnsi"/>
          <w:sz w:val="24"/>
        </w:rPr>
        <w:t xml:space="preserve">orted. However, the PBAC considered </w:t>
      </w:r>
      <w:r w:rsidR="001005D0" w:rsidRPr="00585AAB">
        <w:rPr>
          <w:rFonts w:asciiTheme="minorHAnsi" w:hAnsiTheme="minorHAnsi"/>
          <w:sz w:val="24"/>
        </w:rPr>
        <w:t>there</w:t>
      </w:r>
      <w:r w:rsidR="00950218" w:rsidRPr="00585AAB">
        <w:rPr>
          <w:rFonts w:asciiTheme="minorHAnsi" w:hAnsiTheme="minorHAnsi"/>
          <w:sz w:val="24"/>
        </w:rPr>
        <w:t xml:space="preserve"> were transitivity</w:t>
      </w:r>
      <w:r w:rsidR="00A5204E" w:rsidRPr="00585AAB">
        <w:rPr>
          <w:rFonts w:asciiTheme="minorHAnsi" w:hAnsiTheme="minorHAnsi"/>
          <w:sz w:val="24"/>
        </w:rPr>
        <w:t xml:space="preserve"> issues with the trials used in the </w:t>
      </w:r>
      <w:r w:rsidR="001005D0" w:rsidRPr="00585AAB">
        <w:rPr>
          <w:rFonts w:asciiTheme="minorHAnsi" w:hAnsiTheme="minorHAnsi"/>
          <w:sz w:val="24"/>
        </w:rPr>
        <w:t>multi-step indirect comparison,</w:t>
      </w:r>
      <w:r w:rsidR="009426F3" w:rsidRPr="00585AAB">
        <w:rPr>
          <w:rFonts w:asciiTheme="minorHAnsi" w:hAnsiTheme="minorHAnsi"/>
          <w:sz w:val="24"/>
        </w:rPr>
        <w:t xml:space="preserve"> and that</w:t>
      </w:r>
      <w:r w:rsidR="00A5204E" w:rsidRPr="00585AAB">
        <w:rPr>
          <w:rFonts w:asciiTheme="minorHAnsi" w:hAnsiTheme="minorHAnsi"/>
          <w:sz w:val="24"/>
        </w:rPr>
        <w:t xml:space="preserve"> there was substantial uncertainty with the multi-step indirect comparisons presented.</w:t>
      </w:r>
      <w:r w:rsidR="001005D0" w:rsidRPr="00585AAB">
        <w:rPr>
          <w:rFonts w:asciiTheme="minorHAnsi" w:hAnsiTheme="minorHAnsi"/>
          <w:sz w:val="24"/>
        </w:rPr>
        <w:t xml:space="preserve"> </w:t>
      </w:r>
      <w:r w:rsidR="00A5204E" w:rsidRPr="00585AAB">
        <w:rPr>
          <w:rFonts w:asciiTheme="minorHAnsi" w:hAnsiTheme="minorHAnsi"/>
          <w:sz w:val="24"/>
        </w:rPr>
        <w:t>The PBAC also</w:t>
      </w:r>
      <w:r w:rsidR="001005D0" w:rsidRPr="00585AAB">
        <w:rPr>
          <w:rFonts w:asciiTheme="minorHAnsi" w:hAnsiTheme="minorHAnsi"/>
          <w:sz w:val="24"/>
        </w:rPr>
        <w:t xml:space="preserve"> noted the </w:t>
      </w:r>
      <w:r w:rsidR="0068427B">
        <w:rPr>
          <w:rFonts w:asciiTheme="minorHAnsi" w:hAnsiTheme="minorHAnsi"/>
          <w:sz w:val="24"/>
        </w:rPr>
        <w:t>upper limits of the confidence intervals</w:t>
      </w:r>
      <w:r w:rsidR="0068427B" w:rsidRPr="00585AAB">
        <w:rPr>
          <w:rFonts w:asciiTheme="minorHAnsi" w:hAnsiTheme="minorHAnsi"/>
          <w:sz w:val="24"/>
        </w:rPr>
        <w:t xml:space="preserve"> </w:t>
      </w:r>
      <w:r w:rsidR="001005D0" w:rsidRPr="00585AAB">
        <w:rPr>
          <w:rFonts w:asciiTheme="minorHAnsi" w:hAnsiTheme="minorHAnsi"/>
          <w:sz w:val="24"/>
        </w:rPr>
        <w:t xml:space="preserve">versus natalizumab and alemtuzumab in the network meta-analysis exceeded the </w:t>
      </w:r>
      <w:r w:rsidR="001A7AC0" w:rsidRPr="00585AAB">
        <w:rPr>
          <w:rFonts w:asciiTheme="minorHAnsi" w:hAnsiTheme="minorHAnsi"/>
          <w:sz w:val="24"/>
        </w:rPr>
        <w:t xml:space="preserve">specified non-inferiority margin (1.23) </w:t>
      </w:r>
      <w:r w:rsidR="006553EC" w:rsidRPr="00585AAB">
        <w:rPr>
          <w:rFonts w:asciiTheme="minorHAnsi" w:hAnsiTheme="minorHAnsi"/>
          <w:sz w:val="24"/>
        </w:rPr>
        <w:t>for</w:t>
      </w:r>
      <w:r w:rsidR="00A5204E" w:rsidRPr="00585AAB">
        <w:rPr>
          <w:rFonts w:asciiTheme="minorHAnsi" w:hAnsiTheme="minorHAnsi"/>
          <w:sz w:val="24"/>
        </w:rPr>
        <w:t xml:space="preserve"> annualised</w:t>
      </w:r>
      <w:r w:rsidR="006553EC" w:rsidRPr="00585AAB">
        <w:rPr>
          <w:rFonts w:asciiTheme="minorHAnsi" w:hAnsiTheme="minorHAnsi"/>
          <w:sz w:val="24"/>
        </w:rPr>
        <w:t xml:space="preserve"> relapse rate. Based on the evidence presented, the Committee concluded the clinical claim of non-inferior comparative efficacy to natalizumab and alemtuzumab was not adequately supported.</w:t>
      </w:r>
    </w:p>
    <w:p w:rsidR="00F03C43" w:rsidRPr="00585AAB" w:rsidRDefault="00F03C43" w:rsidP="00F03C43">
      <w:pPr>
        <w:widowControl/>
        <w:numPr>
          <w:ilvl w:val="1"/>
          <w:numId w:val="12"/>
        </w:numPr>
        <w:spacing w:after="120"/>
        <w:rPr>
          <w:rFonts w:asciiTheme="minorHAnsi" w:hAnsiTheme="minorHAnsi"/>
          <w:sz w:val="24"/>
        </w:rPr>
      </w:pPr>
      <w:r w:rsidRPr="00585AAB">
        <w:rPr>
          <w:rFonts w:asciiTheme="minorHAnsi" w:hAnsiTheme="minorHAnsi"/>
          <w:sz w:val="24"/>
        </w:rPr>
        <w:t>The PBAC noted that the series of naïve indirect comparisons of adverse events associated with ocrelizumab, fingolimod, alemtuzumab and natalizumab did not account for between trial differences and considered that the evidence was insufficient to adequately inform the comparative safety of ocrelizumab and its nominated comparators.</w:t>
      </w:r>
    </w:p>
    <w:p w:rsidR="006F1208" w:rsidRPr="00585AAB" w:rsidRDefault="007901C3" w:rsidP="006F1208">
      <w:pPr>
        <w:widowControl/>
        <w:numPr>
          <w:ilvl w:val="1"/>
          <w:numId w:val="12"/>
        </w:numPr>
        <w:spacing w:after="120"/>
        <w:rPr>
          <w:rFonts w:asciiTheme="minorHAnsi" w:hAnsiTheme="minorHAnsi"/>
          <w:sz w:val="24"/>
        </w:rPr>
      </w:pPr>
      <w:r w:rsidRPr="00585AAB">
        <w:rPr>
          <w:rFonts w:asciiTheme="minorHAnsi" w:hAnsiTheme="minorHAnsi"/>
          <w:sz w:val="24"/>
        </w:rPr>
        <w:t xml:space="preserve">The PBAC recommended the </w:t>
      </w:r>
      <w:r w:rsidR="00DE5134">
        <w:rPr>
          <w:rFonts w:asciiTheme="minorHAnsi" w:hAnsiTheme="minorHAnsi"/>
          <w:sz w:val="24"/>
        </w:rPr>
        <w:t xml:space="preserve">alignment of the </w:t>
      </w:r>
      <w:r w:rsidRPr="00585AAB">
        <w:rPr>
          <w:rFonts w:asciiTheme="minorHAnsi" w:hAnsiTheme="minorHAnsi"/>
          <w:sz w:val="24"/>
        </w:rPr>
        <w:t>listing of ocrelizumab with current listings for RRMS therapies, and that the restriction be based on existing restrictions for other infusible therapies for RRMS (alemtuzumab and natalizumab).</w:t>
      </w:r>
    </w:p>
    <w:p w:rsidR="006F1208" w:rsidRPr="00585AAB" w:rsidRDefault="00FD7C56" w:rsidP="006F1208">
      <w:pPr>
        <w:widowControl/>
        <w:numPr>
          <w:ilvl w:val="1"/>
          <w:numId w:val="12"/>
        </w:numPr>
        <w:spacing w:after="120"/>
        <w:rPr>
          <w:rFonts w:asciiTheme="minorHAnsi" w:hAnsiTheme="minorHAnsi"/>
          <w:sz w:val="24"/>
        </w:rPr>
      </w:pPr>
      <w:r w:rsidRPr="00585AAB">
        <w:rPr>
          <w:rFonts w:asciiTheme="minorHAnsi" w:hAnsiTheme="minorHAnsi"/>
          <w:sz w:val="24"/>
        </w:rPr>
        <w:t xml:space="preserve">The </w:t>
      </w:r>
      <w:r w:rsidR="007B7BDF" w:rsidRPr="00585AAB">
        <w:rPr>
          <w:rFonts w:asciiTheme="minorHAnsi" w:hAnsiTheme="minorHAnsi"/>
          <w:sz w:val="24"/>
        </w:rPr>
        <w:t>PBAC considered that the estimated PBS usage and financial implications presented in the submission and revised in the PSCR and pre-PBAC response were highly uncertain due to:</w:t>
      </w:r>
    </w:p>
    <w:p w:rsidR="007B7BDF" w:rsidRPr="00585AAB" w:rsidRDefault="007B7BDF" w:rsidP="007B7BDF">
      <w:pPr>
        <w:pStyle w:val="ListParagraph"/>
        <w:widowControl/>
        <w:numPr>
          <w:ilvl w:val="0"/>
          <w:numId w:val="45"/>
        </w:numPr>
        <w:spacing w:after="120"/>
        <w:rPr>
          <w:rFonts w:asciiTheme="minorHAnsi" w:hAnsiTheme="minorHAnsi"/>
          <w:sz w:val="24"/>
        </w:rPr>
      </w:pPr>
      <w:r w:rsidRPr="00585AAB">
        <w:rPr>
          <w:rFonts w:asciiTheme="minorHAnsi" w:hAnsiTheme="minorHAnsi"/>
          <w:sz w:val="24"/>
        </w:rPr>
        <w:t>The submission assumed no overall growth in the multiple sclerosis market, which may not be reasonable as improvements in MRI technology allow earlier diagnosis of multiple sclerosis;</w:t>
      </w:r>
    </w:p>
    <w:p w:rsidR="007B7BDF" w:rsidRPr="00585AAB" w:rsidRDefault="007B7BDF" w:rsidP="007B7BDF">
      <w:pPr>
        <w:pStyle w:val="ListParagraph"/>
        <w:widowControl/>
        <w:numPr>
          <w:ilvl w:val="0"/>
          <w:numId w:val="45"/>
        </w:numPr>
        <w:spacing w:after="120"/>
        <w:rPr>
          <w:rFonts w:asciiTheme="minorHAnsi" w:hAnsiTheme="minorHAnsi"/>
          <w:sz w:val="24"/>
        </w:rPr>
      </w:pPr>
      <w:r w:rsidRPr="00585AAB">
        <w:rPr>
          <w:rFonts w:asciiTheme="minorHAnsi" w:hAnsiTheme="minorHAnsi"/>
          <w:sz w:val="24"/>
        </w:rPr>
        <w:t>The rapidly changing market for multiple sclerosis and uncertainty regarding the extent to which ocrelizumab may substitute for currently PBS listed medicines for RRMS;</w:t>
      </w:r>
    </w:p>
    <w:p w:rsidR="007B7BDF" w:rsidRPr="00585AAB" w:rsidRDefault="007B7BDF" w:rsidP="007B7BDF">
      <w:pPr>
        <w:pStyle w:val="ListParagraph"/>
        <w:widowControl/>
        <w:numPr>
          <w:ilvl w:val="0"/>
          <w:numId w:val="45"/>
        </w:numPr>
        <w:spacing w:after="120"/>
        <w:rPr>
          <w:rFonts w:asciiTheme="minorHAnsi" w:hAnsiTheme="minorHAnsi"/>
          <w:sz w:val="24"/>
        </w:rPr>
      </w:pPr>
      <w:r w:rsidRPr="00585AAB">
        <w:rPr>
          <w:rFonts w:asciiTheme="minorHAnsi" w:hAnsiTheme="minorHAnsi"/>
          <w:sz w:val="24"/>
        </w:rPr>
        <w:t>The potential that there may be leakage of use for</w:t>
      </w:r>
      <w:r w:rsidRPr="00585AAB">
        <w:rPr>
          <w:rFonts w:asciiTheme="minorHAnsi" w:eastAsiaTheme="minorHAnsi" w:hAnsiTheme="minorHAnsi" w:cstheme="minorBidi"/>
          <w:snapToGrid/>
          <w:sz w:val="24"/>
          <w:szCs w:val="22"/>
        </w:rPr>
        <w:t xml:space="preserve"> primary progressive and secondary progressive multiple sclerosis</w:t>
      </w:r>
      <w:r w:rsidRPr="00585AAB">
        <w:rPr>
          <w:rFonts w:asciiTheme="minorHAnsi" w:hAnsiTheme="minorHAnsi"/>
          <w:sz w:val="24"/>
        </w:rPr>
        <w:t>.</w:t>
      </w:r>
    </w:p>
    <w:p w:rsidR="007B7BDF" w:rsidRPr="00585AAB" w:rsidRDefault="007B7BDF" w:rsidP="007B7BDF">
      <w:pPr>
        <w:widowControl/>
        <w:numPr>
          <w:ilvl w:val="1"/>
          <w:numId w:val="12"/>
        </w:numPr>
        <w:spacing w:after="120"/>
        <w:rPr>
          <w:rFonts w:asciiTheme="minorHAnsi" w:hAnsiTheme="minorHAnsi"/>
          <w:sz w:val="24"/>
        </w:rPr>
      </w:pPr>
      <w:r w:rsidRPr="00585AAB">
        <w:rPr>
          <w:rFonts w:asciiTheme="minorHAnsi" w:hAnsiTheme="minorHAnsi"/>
          <w:sz w:val="24"/>
        </w:rPr>
        <w:t xml:space="preserve">The PBAC </w:t>
      </w:r>
      <w:r w:rsidR="008613BB" w:rsidRPr="00585AAB">
        <w:rPr>
          <w:rFonts w:asciiTheme="minorHAnsi" w:hAnsiTheme="minorHAnsi"/>
          <w:sz w:val="24"/>
        </w:rPr>
        <w:t>noted</w:t>
      </w:r>
      <w:r w:rsidRPr="00585AAB">
        <w:rPr>
          <w:rFonts w:asciiTheme="minorHAnsi" w:hAnsiTheme="minorHAnsi"/>
          <w:sz w:val="24"/>
        </w:rPr>
        <w:t xml:space="preserve"> that the financial estimates would need to be revised </w:t>
      </w:r>
      <w:r w:rsidR="00103D7F" w:rsidRPr="00585AAB">
        <w:rPr>
          <w:rFonts w:asciiTheme="minorHAnsi" w:hAnsiTheme="minorHAnsi"/>
          <w:sz w:val="24"/>
        </w:rPr>
        <w:t xml:space="preserve">to take into account the basis on which ocrelizumab was recommended for listing. </w:t>
      </w:r>
    </w:p>
    <w:p w:rsidR="00103D7F" w:rsidRPr="00585AAB" w:rsidRDefault="00103D7F" w:rsidP="00D706A8">
      <w:pPr>
        <w:pStyle w:val="ListParagraph"/>
        <w:numPr>
          <w:ilvl w:val="1"/>
          <w:numId w:val="12"/>
        </w:numPr>
        <w:rPr>
          <w:rFonts w:asciiTheme="minorHAnsi" w:hAnsiTheme="minorHAnsi"/>
          <w:sz w:val="24"/>
        </w:rPr>
      </w:pPr>
      <w:r w:rsidRPr="00585AAB">
        <w:rPr>
          <w:rFonts w:asciiTheme="minorHAnsi" w:hAnsiTheme="minorHAnsi"/>
          <w:sz w:val="24"/>
        </w:rPr>
        <w:t xml:space="preserve">The PBAC advised that a </w:t>
      </w:r>
      <w:r w:rsidR="00DE5134">
        <w:rPr>
          <w:rFonts w:asciiTheme="minorHAnsi" w:hAnsiTheme="minorHAnsi"/>
          <w:sz w:val="24"/>
        </w:rPr>
        <w:t>R</w:t>
      </w:r>
      <w:r w:rsidR="00DE5134" w:rsidRPr="00585AAB">
        <w:rPr>
          <w:rFonts w:asciiTheme="minorHAnsi" w:hAnsiTheme="minorHAnsi"/>
          <w:sz w:val="24"/>
        </w:rPr>
        <w:t xml:space="preserve">isk </w:t>
      </w:r>
      <w:r w:rsidR="00DE5134">
        <w:rPr>
          <w:rFonts w:asciiTheme="minorHAnsi" w:hAnsiTheme="minorHAnsi"/>
          <w:sz w:val="24"/>
        </w:rPr>
        <w:t>S</w:t>
      </w:r>
      <w:r w:rsidR="00DE5134" w:rsidRPr="00585AAB">
        <w:rPr>
          <w:rFonts w:asciiTheme="minorHAnsi" w:hAnsiTheme="minorHAnsi"/>
          <w:sz w:val="24"/>
        </w:rPr>
        <w:t xml:space="preserve">hare </w:t>
      </w:r>
      <w:r w:rsidR="00DE5134">
        <w:rPr>
          <w:rFonts w:asciiTheme="minorHAnsi" w:hAnsiTheme="minorHAnsi"/>
          <w:sz w:val="24"/>
        </w:rPr>
        <w:t>A</w:t>
      </w:r>
      <w:r w:rsidR="00DE5134" w:rsidRPr="00585AAB">
        <w:rPr>
          <w:rFonts w:asciiTheme="minorHAnsi" w:hAnsiTheme="minorHAnsi"/>
          <w:sz w:val="24"/>
        </w:rPr>
        <w:t xml:space="preserve">rrangement </w:t>
      </w:r>
      <w:r w:rsidRPr="00585AAB">
        <w:rPr>
          <w:rFonts w:asciiTheme="minorHAnsi" w:hAnsiTheme="minorHAnsi"/>
          <w:sz w:val="24"/>
        </w:rPr>
        <w:t>with annual expenditure caps was appropriate to mitigate the uncertainty in the utilisation and financial estimates.</w:t>
      </w:r>
    </w:p>
    <w:p w:rsidR="00D706A8" w:rsidRPr="00585AAB" w:rsidRDefault="00D706A8" w:rsidP="00D706A8">
      <w:pPr>
        <w:pStyle w:val="ListParagraph"/>
        <w:ind w:left="576"/>
        <w:rPr>
          <w:rFonts w:asciiTheme="minorHAnsi" w:hAnsiTheme="minorHAnsi"/>
          <w:sz w:val="24"/>
        </w:rPr>
      </w:pPr>
    </w:p>
    <w:p w:rsidR="006F1208" w:rsidRPr="00585AAB" w:rsidRDefault="006F1208" w:rsidP="006F1208">
      <w:pPr>
        <w:widowControl/>
        <w:numPr>
          <w:ilvl w:val="1"/>
          <w:numId w:val="12"/>
        </w:numPr>
        <w:spacing w:after="120"/>
        <w:rPr>
          <w:rFonts w:asciiTheme="minorHAnsi" w:hAnsiTheme="minorHAnsi"/>
          <w:sz w:val="24"/>
        </w:rPr>
      </w:pPr>
      <w:r w:rsidRPr="00585AAB">
        <w:rPr>
          <w:rFonts w:asciiTheme="minorHAnsi" w:hAnsiTheme="minorHAnsi"/>
          <w:sz w:val="24"/>
        </w:rPr>
        <w:t xml:space="preserve">The PBAC advised that </w:t>
      </w:r>
      <w:r w:rsidR="00FD7C56" w:rsidRPr="00585AAB">
        <w:rPr>
          <w:rFonts w:asciiTheme="minorHAnsi" w:hAnsiTheme="minorHAnsi"/>
          <w:sz w:val="24"/>
        </w:rPr>
        <w:t xml:space="preserve">ocrelizumab </w:t>
      </w:r>
      <w:r w:rsidRPr="00585AAB">
        <w:rPr>
          <w:rFonts w:asciiTheme="minorHAnsi" w:hAnsiTheme="minorHAnsi"/>
          <w:sz w:val="24"/>
        </w:rPr>
        <w:t>is not suitable for prescribing by nurse practitioners</w:t>
      </w:r>
      <w:r w:rsidR="00FD7C56" w:rsidRPr="00585AAB">
        <w:rPr>
          <w:rFonts w:asciiTheme="minorHAnsi" w:hAnsiTheme="minorHAnsi"/>
          <w:sz w:val="24"/>
        </w:rPr>
        <w:t>, similar to other therapies listed on the PBS for RRMS</w:t>
      </w:r>
      <w:r w:rsidRPr="00585AAB">
        <w:rPr>
          <w:rFonts w:asciiTheme="minorHAnsi" w:hAnsiTheme="minorHAnsi"/>
          <w:sz w:val="24"/>
        </w:rPr>
        <w:t xml:space="preserve">.  </w:t>
      </w:r>
    </w:p>
    <w:p w:rsidR="006F1208" w:rsidRPr="00585AAB" w:rsidRDefault="006F1208" w:rsidP="006F1208">
      <w:pPr>
        <w:widowControl/>
        <w:numPr>
          <w:ilvl w:val="1"/>
          <w:numId w:val="12"/>
        </w:numPr>
        <w:spacing w:after="120"/>
        <w:rPr>
          <w:rFonts w:asciiTheme="minorHAnsi" w:hAnsiTheme="minorHAnsi"/>
          <w:sz w:val="24"/>
        </w:rPr>
      </w:pPr>
      <w:r w:rsidRPr="00585AAB">
        <w:rPr>
          <w:rFonts w:asciiTheme="minorHAnsi" w:hAnsiTheme="minorHAnsi"/>
          <w:sz w:val="24"/>
        </w:rPr>
        <w:t xml:space="preserve">The PBAC recommended that the Early Supply Rule should not apply. </w:t>
      </w:r>
    </w:p>
    <w:p w:rsidR="006F1208" w:rsidRPr="00585AAB" w:rsidRDefault="006F1208" w:rsidP="006F1208">
      <w:pPr>
        <w:widowControl/>
        <w:numPr>
          <w:ilvl w:val="1"/>
          <w:numId w:val="12"/>
        </w:numPr>
        <w:spacing w:after="120"/>
        <w:rPr>
          <w:rFonts w:asciiTheme="minorHAnsi" w:hAnsiTheme="minorHAnsi"/>
          <w:sz w:val="24"/>
        </w:rPr>
      </w:pPr>
      <w:r w:rsidRPr="00585AAB">
        <w:rPr>
          <w:rFonts w:asciiTheme="minorHAnsi" w:hAnsiTheme="minorHAnsi"/>
          <w:sz w:val="24"/>
        </w:rPr>
        <w:lastRenderedPageBreak/>
        <w:t xml:space="preserve">The </w:t>
      </w:r>
      <w:r w:rsidR="00F16982" w:rsidRPr="00585AAB">
        <w:rPr>
          <w:rFonts w:asciiTheme="minorHAnsi" w:hAnsiTheme="minorHAnsi"/>
          <w:sz w:val="24"/>
        </w:rPr>
        <w:t xml:space="preserve">PBAC </w:t>
      </w:r>
      <w:r w:rsidR="00FD7C56" w:rsidRPr="00585AAB">
        <w:rPr>
          <w:rFonts w:asciiTheme="minorHAnsi" w:hAnsiTheme="minorHAnsi"/>
          <w:sz w:val="24"/>
        </w:rPr>
        <w:t>advised the ocrelizumab should not be treated as interchangeable</w:t>
      </w:r>
      <w:r w:rsidR="00103D7F" w:rsidRPr="00585AAB">
        <w:rPr>
          <w:rFonts w:asciiTheme="minorHAnsi" w:hAnsiTheme="minorHAnsi"/>
          <w:sz w:val="24"/>
        </w:rPr>
        <w:t xml:space="preserve"> on an individual patient basis</w:t>
      </w:r>
      <w:r w:rsidR="00FD7C56" w:rsidRPr="00585AAB">
        <w:rPr>
          <w:rFonts w:asciiTheme="minorHAnsi" w:hAnsiTheme="minorHAnsi"/>
          <w:sz w:val="24"/>
        </w:rPr>
        <w:t xml:space="preserve"> with any other drugs for the</w:t>
      </w:r>
      <w:r w:rsidR="00103D7F" w:rsidRPr="00585AAB">
        <w:rPr>
          <w:rFonts w:asciiTheme="minorHAnsi" w:hAnsiTheme="minorHAnsi"/>
          <w:sz w:val="24"/>
        </w:rPr>
        <w:t xml:space="preserve"> purposes of section 101 (3BA) of the Act.</w:t>
      </w:r>
    </w:p>
    <w:p w:rsidR="006F1208" w:rsidRPr="00585AAB" w:rsidRDefault="006F1208" w:rsidP="006F1208">
      <w:pPr>
        <w:widowControl/>
        <w:numPr>
          <w:ilvl w:val="1"/>
          <w:numId w:val="12"/>
        </w:numPr>
        <w:spacing w:after="120"/>
        <w:rPr>
          <w:rFonts w:asciiTheme="minorHAnsi" w:hAnsiTheme="minorHAnsi"/>
          <w:sz w:val="24"/>
        </w:rPr>
      </w:pPr>
      <w:r w:rsidRPr="00585AAB">
        <w:rPr>
          <w:rFonts w:asciiTheme="minorHAnsi" w:hAnsiTheme="minorHAnsi"/>
          <w:sz w:val="24"/>
        </w:rPr>
        <w:t xml:space="preserve">The PBAC noted that this </w:t>
      </w:r>
      <w:r w:rsidR="0068192B" w:rsidRPr="00585AAB">
        <w:rPr>
          <w:rFonts w:asciiTheme="minorHAnsi" w:hAnsiTheme="minorHAnsi"/>
          <w:sz w:val="24"/>
        </w:rPr>
        <w:t xml:space="preserve">submission </w:t>
      </w:r>
      <w:r w:rsidRPr="00585AAB">
        <w:rPr>
          <w:rFonts w:asciiTheme="minorHAnsi" w:hAnsiTheme="minorHAnsi"/>
          <w:sz w:val="24"/>
        </w:rPr>
        <w:t>is not eligible for an Independent Revie</w:t>
      </w:r>
      <w:r w:rsidR="00FD7C56" w:rsidRPr="00585AAB">
        <w:rPr>
          <w:rFonts w:asciiTheme="minorHAnsi" w:hAnsiTheme="minorHAnsi"/>
          <w:sz w:val="24"/>
        </w:rPr>
        <w:t>w as it received a positive recommendation.</w:t>
      </w:r>
      <w:r w:rsidRPr="00585AAB">
        <w:rPr>
          <w:rFonts w:asciiTheme="minorHAnsi" w:hAnsiTheme="minorHAnsi"/>
          <w:sz w:val="24"/>
        </w:rPr>
        <w:t xml:space="preserve"> </w:t>
      </w:r>
    </w:p>
    <w:p w:rsidR="006F1208" w:rsidRPr="00585AAB" w:rsidRDefault="006F1208" w:rsidP="006F1208">
      <w:pPr>
        <w:rPr>
          <w:rFonts w:asciiTheme="minorHAnsi" w:hAnsiTheme="minorHAnsi"/>
          <w:b/>
          <w:bCs/>
          <w:sz w:val="24"/>
          <w:szCs w:val="24"/>
          <w:highlight w:val="yellow"/>
        </w:rPr>
      </w:pPr>
    </w:p>
    <w:p w:rsidR="00AD4713" w:rsidRDefault="00AD4713" w:rsidP="00B37CEC">
      <w:pPr>
        <w:widowControl/>
        <w:spacing w:before="240" w:after="120"/>
        <w:rPr>
          <w:rFonts w:ascii="Calibri" w:hAnsi="Calibri"/>
          <w:b/>
          <w:sz w:val="28"/>
        </w:rPr>
      </w:pPr>
    </w:p>
    <w:p w:rsidR="006F1208" w:rsidRPr="00B37CEC" w:rsidRDefault="006F1208" w:rsidP="00B37CEC">
      <w:pPr>
        <w:widowControl/>
        <w:spacing w:before="240" w:after="120"/>
        <w:outlineLvl w:val="1"/>
        <w:rPr>
          <w:rFonts w:ascii="Calibri" w:hAnsi="Calibri"/>
          <w:b/>
          <w:sz w:val="28"/>
        </w:rPr>
      </w:pPr>
      <w:r w:rsidRPr="00585AAB">
        <w:rPr>
          <w:rFonts w:ascii="Calibri" w:hAnsi="Calibri"/>
          <w:b/>
          <w:sz w:val="28"/>
        </w:rPr>
        <w:t>Outcome:</w:t>
      </w:r>
      <w:r w:rsidR="00B37CEC">
        <w:rPr>
          <w:rFonts w:ascii="Calibri" w:hAnsi="Calibri"/>
          <w:b/>
          <w:sz w:val="28"/>
        </w:rPr>
        <w:br/>
      </w:r>
      <w:r w:rsidRPr="00585AAB">
        <w:rPr>
          <w:rFonts w:asciiTheme="minorHAnsi" w:hAnsiTheme="minorHAnsi"/>
          <w:bCs/>
          <w:sz w:val="24"/>
          <w:szCs w:val="24"/>
        </w:rPr>
        <w:t xml:space="preserve">Recommended </w:t>
      </w:r>
    </w:p>
    <w:p w:rsidR="006F1208" w:rsidRPr="00585AAB" w:rsidRDefault="006F1208" w:rsidP="006F1208">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r w:rsidRPr="00585AAB">
        <w:rPr>
          <w:rFonts w:asciiTheme="minorHAnsi" w:eastAsiaTheme="majorEastAsia" w:hAnsiTheme="minorHAnsi" w:cstheme="majorBidi"/>
          <w:caps w:val="0"/>
          <w:snapToGrid/>
          <w:sz w:val="32"/>
          <w:szCs w:val="28"/>
        </w:rPr>
        <w:t>Recommended listing</w:t>
      </w:r>
    </w:p>
    <w:p w:rsidR="006F1208" w:rsidRPr="00585AAB" w:rsidRDefault="006F1208" w:rsidP="006F1208">
      <w:pPr>
        <w:rPr>
          <w:rFonts w:asciiTheme="minorHAnsi" w:hAnsiTheme="minorHAnsi"/>
          <w:b/>
          <w:bCs/>
          <w:sz w:val="24"/>
          <w:szCs w:val="24"/>
          <w:highlight w:val="yellow"/>
        </w:rPr>
      </w:pPr>
    </w:p>
    <w:p w:rsidR="006F1208" w:rsidRPr="00585AAB" w:rsidRDefault="006F1208" w:rsidP="005E112E">
      <w:pPr>
        <w:widowControl/>
        <w:numPr>
          <w:ilvl w:val="1"/>
          <w:numId w:val="12"/>
        </w:numPr>
        <w:spacing w:after="120"/>
        <w:rPr>
          <w:rFonts w:asciiTheme="minorHAnsi" w:hAnsiTheme="minorHAnsi"/>
          <w:b/>
          <w:bCs/>
          <w:sz w:val="24"/>
          <w:szCs w:val="24"/>
        </w:rPr>
      </w:pPr>
      <w:r w:rsidRPr="00585AAB">
        <w:rPr>
          <w:rFonts w:asciiTheme="minorHAnsi" w:hAnsiTheme="minorHAnsi"/>
          <w:bCs/>
          <w:sz w:val="24"/>
          <w:szCs w:val="24"/>
        </w:rPr>
        <w:t>Add new item:</w:t>
      </w:r>
    </w:p>
    <w:tbl>
      <w:tblPr>
        <w:tblW w:w="5296" w:type="pct"/>
        <w:tblCellMar>
          <w:left w:w="28" w:type="dxa"/>
          <w:right w:w="28" w:type="dxa"/>
        </w:tblCellMar>
        <w:tblLook w:val="0000" w:firstRow="0" w:lastRow="0" w:firstColumn="0" w:lastColumn="0" w:noHBand="0" w:noVBand="0"/>
      </w:tblPr>
      <w:tblGrid>
        <w:gridCol w:w="31"/>
        <w:gridCol w:w="2509"/>
        <w:gridCol w:w="933"/>
        <w:gridCol w:w="602"/>
        <w:gridCol w:w="904"/>
        <w:gridCol w:w="2138"/>
        <w:gridCol w:w="2503"/>
      </w:tblGrid>
      <w:tr w:rsidR="005E112E" w:rsidRPr="00585AAB" w:rsidTr="005E112E">
        <w:trPr>
          <w:cantSplit/>
          <w:trHeight w:val="471"/>
        </w:trPr>
        <w:tc>
          <w:tcPr>
            <w:tcW w:w="1805" w:type="pct"/>
            <w:gridSpan w:val="3"/>
            <w:tcBorders>
              <w:bottom w:val="single" w:sz="4" w:space="0" w:color="auto"/>
            </w:tcBorders>
          </w:tcPr>
          <w:p w:rsidR="005E112E" w:rsidRPr="00585AAB" w:rsidRDefault="005E112E" w:rsidP="00EC05CE">
            <w:pPr>
              <w:keepNext/>
              <w:rPr>
                <w:sz w:val="20"/>
              </w:rPr>
            </w:pPr>
            <w:r w:rsidRPr="00585AAB">
              <w:rPr>
                <w:sz w:val="20"/>
              </w:rPr>
              <w:t>Name, Restriction,</w:t>
            </w:r>
          </w:p>
          <w:p w:rsidR="005E112E" w:rsidRPr="00585AAB" w:rsidRDefault="005E112E" w:rsidP="00EC05CE">
            <w:pPr>
              <w:keepNext/>
              <w:rPr>
                <w:sz w:val="20"/>
              </w:rPr>
            </w:pPr>
            <w:r w:rsidRPr="00585AAB">
              <w:rPr>
                <w:sz w:val="20"/>
              </w:rPr>
              <w:t>Manner of administration and form</w:t>
            </w:r>
          </w:p>
        </w:tc>
        <w:tc>
          <w:tcPr>
            <w:tcW w:w="313" w:type="pct"/>
            <w:tcBorders>
              <w:bottom w:val="single" w:sz="4" w:space="0" w:color="auto"/>
            </w:tcBorders>
          </w:tcPr>
          <w:p w:rsidR="005E112E" w:rsidRPr="00585AAB" w:rsidRDefault="005E112E" w:rsidP="00EC05CE">
            <w:pPr>
              <w:keepNext/>
              <w:jc w:val="center"/>
              <w:rPr>
                <w:sz w:val="20"/>
              </w:rPr>
            </w:pPr>
            <w:r w:rsidRPr="00585AAB">
              <w:rPr>
                <w:sz w:val="20"/>
              </w:rPr>
              <w:t>Max.</w:t>
            </w:r>
          </w:p>
          <w:p w:rsidR="005E112E" w:rsidRPr="00585AAB" w:rsidRDefault="005E112E" w:rsidP="00EC05CE">
            <w:pPr>
              <w:keepNext/>
              <w:jc w:val="center"/>
              <w:rPr>
                <w:sz w:val="20"/>
              </w:rPr>
            </w:pPr>
            <w:r w:rsidRPr="00585AAB">
              <w:rPr>
                <w:sz w:val="20"/>
              </w:rPr>
              <w:t>Qty</w:t>
            </w:r>
          </w:p>
        </w:tc>
        <w:tc>
          <w:tcPr>
            <w:tcW w:w="470" w:type="pct"/>
            <w:tcBorders>
              <w:bottom w:val="single" w:sz="4" w:space="0" w:color="auto"/>
            </w:tcBorders>
          </w:tcPr>
          <w:p w:rsidR="005E112E" w:rsidRPr="00585AAB" w:rsidRDefault="005E112E" w:rsidP="00EC05CE">
            <w:pPr>
              <w:keepNext/>
              <w:jc w:val="center"/>
              <w:rPr>
                <w:sz w:val="20"/>
              </w:rPr>
            </w:pPr>
            <w:r w:rsidRPr="00585AAB">
              <w:rPr>
                <w:sz w:val="20"/>
              </w:rPr>
              <w:t>№.of</w:t>
            </w:r>
          </w:p>
          <w:p w:rsidR="005E112E" w:rsidRPr="00585AAB" w:rsidRDefault="005E112E" w:rsidP="00EC05CE">
            <w:pPr>
              <w:keepNext/>
              <w:jc w:val="center"/>
              <w:rPr>
                <w:sz w:val="20"/>
              </w:rPr>
            </w:pPr>
            <w:r w:rsidRPr="00585AAB">
              <w:rPr>
                <w:sz w:val="20"/>
              </w:rPr>
              <w:t>Rpts</w:t>
            </w:r>
          </w:p>
        </w:tc>
        <w:tc>
          <w:tcPr>
            <w:tcW w:w="2412" w:type="pct"/>
            <w:gridSpan w:val="2"/>
            <w:tcBorders>
              <w:bottom w:val="single" w:sz="4" w:space="0" w:color="auto"/>
            </w:tcBorders>
          </w:tcPr>
          <w:p w:rsidR="005E112E" w:rsidRPr="00585AAB" w:rsidRDefault="005E112E" w:rsidP="00EC05CE">
            <w:pPr>
              <w:keepNext/>
              <w:jc w:val="center"/>
              <w:rPr>
                <w:sz w:val="20"/>
              </w:rPr>
            </w:pPr>
            <w:r w:rsidRPr="00585AAB">
              <w:rPr>
                <w:sz w:val="20"/>
              </w:rPr>
              <w:t>Proprietary Name and Manufacturer</w:t>
            </w:r>
          </w:p>
        </w:tc>
      </w:tr>
      <w:tr w:rsidR="005E112E" w:rsidRPr="00585AAB" w:rsidTr="005E112E">
        <w:trPr>
          <w:cantSplit/>
          <w:trHeight w:val="577"/>
        </w:trPr>
        <w:tc>
          <w:tcPr>
            <w:tcW w:w="1805" w:type="pct"/>
            <w:gridSpan w:val="3"/>
          </w:tcPr>
          <w:p w:rsidR="005E112E" w:rsidRPr="00585AAB" w:rsidRDefault="005E112E" w:rsidP="00EC05CE">
            <w:pPr>
              <w:keepNext/>
              <w:rPr>
                <w:sz w:val="20"/>
              </w:rPr>
            </w:pPr>
            <w:r w:rsidRPr="00585AAB">
              <w:rPr>
                <w:smallCaps/>
                <w:sz w:val="20"/>
              </w:rPr>
              <w:t>OCRELIZUMAB</w:t>
            </w:r>
          </w:p>
          <w:p w:rsidR="005E112E" w:rsidRPr="00585AAB" w:rsidRDefault="005E112E" w:rsidP="00EC05CE">
            <w:pPr>
              <w:keepNext/>
              <w:rPr>
                <w:sz w:val="20"/>
              </w:rPr>
            </w:pPr>
            <w:r w:rsidRPr="00585AAB">
              <w:rPr>
                <w:sz w:val="20"/>
              </w:rPr>
              <w:t>Solution concentrate for I.V. infusion 300 mg in 10 mL</w:t>
            </w:r>
          </w:p>
        </w:tc>
        <w:tc>
          <w:tcPr>
            <w:tcW w:w="313" w:type="pct"/>
          </w:tcPr>
          <w:p w:rsidR="005E112E" w:rsidRPr="00585AAB" w:rsidRDefault="005E112E" w:rsidP="00EC05CE">
            <w:pPr>
              <w:keepNext/>
              <w:jc w:val="center"/>
              <w:rPr>
                <w:sz w:val="20"/>
              </w:rPr>
            </w:pPr>
          </w:p>
          <w:p w:rsidR="005E112E" w:rsidRPr="00585AAB" w:rsidRDefault="005E112E" w:rsidP="00EC05CE">
            <w:pPr>
              <w:keepNext/>
              <w:jc w:val="center"/>
              <w:rPr>
                <w:sz w:val="20"/>
              </w:rPr>
            </w:pPr>
            <w:r w:rsidRPr="00585AAB">
              <w:rPr>
                <w:sz w:val="20"/>
              </w:rPr>
              <w:t>2</w:t>
            </w:r>
          </w:p>
        </w:tc>
        <w:tc>
          <w:tcPr>
            <w:tcW w:w="470" w:type="pct"/>
          </w:tcPr>
          <w:p w:rsidR="005E112E" w:rsidRPr="00585AAB" w:rsidRDefault="005E112E" w:rsidP="00EC05CE">
            <w:pPr>
              <w:keepNext/>
              <w:jc w:val="center"/>
              <w:rPr>
                <w:sz w:val="20"/>
              </w:rPr>
            </w:pPr>
          </w:p>
          <w:p w:rsidR="005E112E" w:rsidRPr="00585AAB" w:rsidRDefault="005E112E" w:rsidP="00EC05CE">
            <w:pPr>
              <w:keepNext/>
              <w:jc w:val="center"/>
              <w:rPr>
                <w:sz w:val="20"/>
              </w:rPr>
            </w:pPr>
            <w:r w:rsidRPr="00585AAB">
              <w:rPr>
                <w:sz w:val="20"/>
              </w:rPr>
              <w:t>0</w:t>
            </w:r>
          </w:p>
        </w:tc>
        <w:tc>
          <w:tcPr>
            <w:tcW w:w="1111" w:type="pct"/>
          </w:tcPr>
          <w:p w:rsidR="005E112E" w:rsidRPr="00585AAB" w:rsidRDefault="005E112E" w:rsidP="00EC05CE">
            <w:pPr>
              <w:keepNext/>
              <w:jc w:val="center"/>
              <w:rPr>
                <w:sz w:val="20"/>
              </w:rPr>
            </w:pPr>
          </w:p>
          <w:p w:rsidR="005E112E" w:rsidRPr="00585AAB" w:rsidRDefault="005E112E" w:rsidP="00EC05CE">
            <w:pPr>
              <w:keepNext/>
              <w:jc w:val="center"/>
              <w:rPr>
                <w:sz w:val="20"/>
              </w:rPr>
            </w:pPr>
            <w:r w:rsidRPr="00585AAB">
              <w:rPr>
                <w:sz w:val="20"/>
              </w:rPr>
              <w:t>Ocrevus</w:t>
            </w:r>
            <w:r w:rsidRPr="00585AAB">
              <w:rPr>
                <w:sz w:val="20"/>
                <w:vertAlign w:val="superscript"/>
              </w:rPr>
              <w:t>®</w:t>
            </w:r>
          </w:p>
          <w:p w:rsidR="005E112E" w:rsidRPr="00585AAB" w:rsidRDefault="005E112E" w:rsidP="00EC05CE">
            <w:pPr>
              <w:keepNext/>
              <w:jc w:val="center"/>
              <w:rPr>
                <w:sz w:val="20"/>
              </w:rPr>
            </w:pPr>
          </w:p>
        </w:tc>
        <w:tc>
          <w:tcPr>
            <w:tcW w:w="1301" w:type="pct"/>
          </w:tcPr>
          <w:p w:rsidR="005E112E" w:rsidRPr="00585AAB" w:rsidRDefault="005E112E" w:rsidP="00EC05CE">
            <w:pPr>
              <w:keepNext/>
              <w:jc w:val="center"/>
              <w:rPr>
                <w:sz w:val="20"/>
              </w:rPr>
            </w:pPr>
          </w:p>
          <w:p w:rsidR="005E112E" w:rsidRPr="00585AAB" w:rsidRDefault="005E112E" w:rsidP="00EC05CE">
            <w:pPr>
              <w:keepNext/>
              <w:jc w:val="center"/>
              <w:rPr>
                <w:sz w:val="20"/>
              </w:rPr>
            </w:pPr>
            <w:r w:rsidRPr="00585AAB">
              <w:rPr>
                <w:sz w:val="20"/>
              </w:rPr>
              <w:t>Roche Products Pty Ltd</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Category / Program</w:t>
            </w: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Section 100 – Highly Specialised Drugs Program – Public and Private Hospitals</w:t>
            </w:r>
          </w:p>
        </w:tc>
      </w:tr>
      <w:tr w:rsidR="005E112E" w:rsidRPr="00585AAB" w:rsidTr="005E112E">
        <w:tblPrEx>
          <w:tblCellMar>
            <w:left w:w="108" w:type="dxa"/>
            <w:right w:w="108" w:type="dxa"/>
          </w:tblCellMar>
        </w:tblPrEx>
        <w:trPr>
          <w:gridBefore w:val="1"/>
          <w:wBefore w:w="16" w:type="pct"/>
          <w:cantSplit/>
          <w:trHeight w:val="205"/>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Prescriber type:</w:t>
            </w: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1"/>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Dental  </w:t>
            </w:r>
            <w:r w:rsidRPr="00585AAB">
              <w:rPr>
                <w:rFonts w:ascii="Arial Narrow" w:hAnsi="Arial Narrow"/>
                <w:sz w:val="20"/>
              </w:rPr>
              <w:fldChar w:fldCharType="begin">
                <w:ffData>
                  <w:name w:val=""/>
                  <w:enabled/>
                  <w:calcOnExit w:val="0"/>
                  <w:checkBox>
                    <w:sizeAuto/>
                    <w:default w:val="1"/>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Medical Practitioners  </w:t>
            </w:r>
            <w:r w:rsidRPr="00585AAB">
              <w:rPr>
                <w:rFonts w:ascii="Arial Narrow" w:hAnsi="Arial Narrow"/>
                <w:sz w:val="20"/>
              </w:rPr>
              <w:fldChar w:fldCharType="begin">
                <w:ffData>
                  <w:name w:val="Check3"/>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Nurse practitioners  </w:t>
            </w: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Optometrists </w:t>
            </w:r>
            <w:r w:rsidRPr="00585AAB">
              <w:rPr>
                <w:rFonts w:ascii="Arial Narrow" w:hAnsi="Arial Narrow"/>
                <w:sz w:val="20"/>
              </w:rPr>
              <w:fldChar w:fldCharType="begin">
                <w:ffData>
                  <w:name w:val="Check5"/>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Midwives</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Condition:</w:t>
            </w: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Multiple sclerosis</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PBS Indication:</w:t>
            </w: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Multiple sclerosis</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Restriction Level / Method:</w:t>
            </w:r>
          </w:p>
          <w:p w:rsidR="005E112E" w:rsidRPr="00585AAB" w:rsidRDefault="005E112E" w:rsidP="00EC05CE">
            <w:pPr>
              <w:rPr>
                <w:rFonts w:ascii="Arial Narrow" w:hAnsi="Arial Narrow"/>
                <w:i/>
                <w:sz w:val="20"/>
              </w:rPr>
            </w:pPr>
          </w:p>
          <w:p w:rsidR="005E112E" w:rsidRPr="00585AAB" w:rsidRDefault="005E112E" w:rsidP="00EC05CE">
            <w:pPr>
              <w:rPr>
                <w:rFonts w:ascii="Arial Narrow" w:hAnsi="Arial Narrow"/>
                <w:i/>
                <w:sz w:val="20"/>
              </w:rPr>
            </w:pP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1"/>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Restricted benefit</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In Writing</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3"/>
                  <w:enabled/>
                  <w:calcOnExit w:val="0"/>
                  <w:checkBox>
                    <w:sizeAuto/>
                    <w:default w:val="1"/>
                  </w:checkBox>
                </w:ffData>
              </w:fldChar>
            </w:r>
            <w:bookmarkStart w:id="45" w:name="Check3"/>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bookmarkEnd w:id="45"/>
            <w:r w:rsidRPr="00585AAB">
              <w:rPr>
                <w:rFonts w:ascii="Arial Narrow" w:hAnsi="Arial Narrow"/>
                <w:sz w:val="20"/>
              </w:rPr>
              <w:t>Authority Required – Telephone (Private Hospital)</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Emergency</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5"/>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Electronic</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5"/>
                  <w:enabled/>
                  <w:calcOnExit w:val="0"/>
                  <w:checkBox>
                    <w:sizeAuto/>
                    <w:default w:val="1"/>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Streamlined (Public Hospital)</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Treatment phase:</w:t>
            </w: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Initial treatment</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Treatment criteria:</w:t>
            </w: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Must be treated by a neurologist.</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Clinical criteria:</w:t>
            </w:r>
          </w:p>
          <w:p w:rsidR="005E112E" w:rsidRPr="00585AAB" w:rsidRDefault="005E112E" w:rsidP="00EC05CE">
            <w:pPr>
              <w:rPr>
                <w:rFonts w:ascii="Arial Narrow" w:hAnsi="Arial Narrow"/>
                <w:sz w:val="20"/>
              </w:rPr>
            </w:pP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The treatment must be a sole PBS-subsidised therapy for this condition.</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AND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Patient must be ambulatory (without assistance or support),</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AND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Patient must have experienced at least 2 documented attacks of neurological dysfunction, believed to be due to multiple sclerosis, in the preceding 2 years,</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AND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The condition must be diagnosed as clinically definite relapsing-remitting multiple sclerosis by magnetic resonance imaging of the brain and/or spinal cord; OR</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Prescriber Instructions</w:t>
            </w:r>
          </w:p>
          <w:p w:rsidR="005E112E" w:rsidRPr="00585AAB" w:rsidRDefault="005E112E" w:rsidP="00EC05CE">
            <w:pPr>
              <w:rPr>
                <w:rFonts w:ascii="Arial Narrow" w:hAnsi="Arial Narrow"/>
                <w:sz w:val="20"/>
              </w:rPr>
            </w:pP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Where applicable, the date of the magnetic resonance imaging scan must be recorded in the patient's medical records.</w:t>
            </w:r>
          </w:p>
        </w:tc>
      </w:tr>
      <w:tr w:rsidR="005E112E" w:rsidRPr="00585AAB" w:rsidTr="005E112E">
        <w:tblPrEx>
          <w:tblCellMar>
            <w:left w:w="108" w:type="dxa"/>
            <w:right w:w="108" w:type="dxa"/>
          </w:tblCellMar>
        </w:tblPrEx>
        <w:trPr>
          <w:gridBefore w:val="1"/>
          <w:wBefore w:w="16" w:type="pct"/>
          <w:cantSplit/>
          <w:trHeight w:val="360"/>
        </w:trPr>
        <w:tc>
          <w:tcPr>
            <w:tcW w:w="1304"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Administrative Advice</w:t>
            </w:r>
          </w:p>
          <w:p w:rsidR="005E112E" w:rsidRPr="00585AAB" w:rsidRDefault="005E112E" w:rsidP="00EC05CE">
            <w:pPr>
              <w:rPr>
                <w:rFonts w:ascii="Arial Narrow" w:hAnsi="Arial Narrow"/>
                <w:i/>
                <w:sz w:val="20"/>
              </w:rPr>
            </w:pPr>
          </w:p>
        </w:tc>
        <w:tc>
          <w:tcPr>
            <w:tcW w:w="3680" w:type="pct"/>
            <w:gridSpan w:val="5"/>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Special Pricing Arrangements apply.</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No increase in the maximum quantity or number of units may be authorised.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No increase in the maximum number of repeats may be authorised.</w:t>
            </w:r>
          </w:p>
        </w:tc>
      </w:tr>
    </w:tbl>
    <w:p w:rsidR="006F1208" w:rsidRPr="00585AAB" w:rsidRDefault="006F1208" w:rsidP="006F1208">
      <w:pPr>
        <w:rPr>
          <w:rFonts w:asciiTheme="minorHAnsi" w:hAnsiTheme="minorHAnsi"/>
          <w:b/>
          <w:bCs/>
          <w:sz w:val="24"/>
          <w:szCs w:val="24"/>
          <w:highlight w:val="yellow"/>
        </w:rPr>
      </w:pPr>
    </w:p>
    <w:p w:rsidR="00C75F81" w:rsidRPr="00585AAB" w:rsidRDefault="00C75F81" w:rsidP="006F1208">
      <w:pPr>
        <w:rPr>
          <w:rFonts w:asciiTheme="minorHAnsi" w:hAnsiTheme="minorHAnsi"/>
          <w:b/>
          <w:bCs/>
          <w:sz w:val="24"/>
          <w:szCs w:val="24"/>
          <w:highlight w:val="yellow"/>
        </w:rPr>
      </w:pPr>
    </w:p>
    <w:tbl>
      <w:tblPr>
        <w:tblW w:w="5185" w:type="pct"/>
        <w:tblInd w:w="108" w:type="dxa"/>
        <w:tblLook w:val="0000" w:firstRow="0" w:lastRow="0" w:firstColumn="0" w:lastColumn="0" w:noHBand="0" w:noVBand="0"/>
      </w:tblPr>
      <w:tblGrid>
        <w:gridCol w:w="2507"/>
        <w:gridCol w:w="7077"/>
      </w:tblGrid>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Category / Program</w:t>
            </w: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Section 100 – Highly Specialised Drugs Program – Public and Private Hospitals</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Prescriber type:</w:t>
            </w: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1"/>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Dental  </w:t>
            </w:r>
            <w:r w:rsidRPr="00585AAB">
              <w:rPr>
                <w:rFonts w:ascii="Arial Narrow" w:hAnsi="Arial Narrow"/>
                <w:sz w:val="20"/>
              </w:rPr>
              <w:fldChar w:fldCharType="begin">
                <w:ffData>
                  <w:name w:val=""/>
                  <w:enabled/>
                  <w:calcOnExit w:val="0"/>
                  <w:checkBox>
                    <w:sizeAuto/>
                    <w:default w:val="1"/>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Medical Practitioners  </w:t>
            </w:r>
            <w:r w:rsidRPr="00585AAB">
              <w:rPr>
                <w:rFonts w:ascii="Arial Narrow" w:hAnsi="Arial Narrow"/>
                <w:sz w:val="20"/>
              </w:rPr>
              <w:fldChar w:fldCharType="begin">
                <w:ffData>
                  <w:name w:val="Check3"/>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Nurse practitioners  </w:t>
            </w: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 xml:space="preserve">Optometrists </w:t>
            </w:r>
            <w:r w:rsidRPr="00585AAB">
              <w:rPr>
                <w:rFonts w:ascii="Arial Narrow" w:hAnsi="Arial Narrow"/>
                <w:sz w:val="20"/>
              </w:rPr>
              <w:fldChar w:fldCharType="begin">
                <w:ffData>
                  <w:name w:val="Check5"/>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Midwives</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Condition:</w:t>
            </w: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Multiple sclerosis</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PBS Indication:</w:t>
            </w: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Multiple sclerosis</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Treatment phase:</w:t>
            </w: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Continuing treatment</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Restriction Level / Method:</w:t>
            </w:r>
          </w:p>
          <w:p w:rsidR="005E112E" w:rsidRPr="00585AAB" w:rsidRDefault="005E112E" w:rsidP="00EC05CE">
            <w:pPr>
              <w:rPr>
                <w:rFonts w:ascii="Arial Narrow" w:hAnsi="Arial Narrow"/>
                <w:i/>
                <w:sz w:val="20"/>
              </w:rPr>
            </w:pPr>
          </w:p>
          <w:p w:rsidR="005E112E" w:rsidRPr="00585AAB" w:rsidRDefault="005E112E" w:rsidP="00EC05CE">
            <w:pPr>
              <w:rPr>
                <w:rFonts w:ascii="Arial Narrow" w:hAnsi="Arial Narrow"/>
                <w:i/>
                <w:sz w:val="20"/>
              </w:rPr>
            </w:pP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Check1"/>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Restricted benefit</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In Writing</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1"/>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Telephone (Private Hospital)</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Emergency</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0"/>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Authority Required - Electronic</w:t>
            </w:r>
          </w:p>
          <w:p w:rsidR="005E112E" w:rsidRPr="00585AAB" w:rsidRDefault="005E112E" w:rsidP="00EC05CE">
            <w:pPr>
              <w:rPr>
                <w:rFonts w:ascii="Arial Narrow" w:hAnsi="Arial Narrow"/>
                <w:sz w:val="20"/>
              </w:rPr>
            </w:pPr>
            <w:r w:rsidRPr="00585AAB">
              <w:rPr>
                <w:rFonts w:ascii="Arial Narrow" w:hAnsi="Arial Narrow"/>
                <w:sz w:val="20"/>
              </w:rPr>
              <w:fldChar w:fldCharType="begin">
                <w:ffData>
                  <w:name w:val=""/>
                  <w:enabled/>
                  <w:calcOnExit w:val="0"/>
                  <w:checkBox>
                    <w:sizeAuto/>
                    <w:default w:val="1"/>
                  </w:checkBox>
                </w:ffData>
              </w:fldChar>
            </w:r>
            <w:r w:rsidRPr="00585AAB">
              <w:rPr>
                <w:rFonts w:ascii="Arial Narrow" w:hAnsi="Arial Narrow"/>
                <w:sz w:val="20"/>
              </w:rPr>
              <w:instrText xml:space="preserve"> FORMCHECKBOX </w:instrText>
            </w:r>
            <w:r w:rsidR="00F701B7">
              <w:rPr>
                <w:rFonts w:ascii="Arial Narrow" w:hAnsi="Arial Narrow"/>
                <w:sz w:val="20"/>
              </w:rPr>
            </w:r>
            <w:r w:rsidR="00F701B7">
              <w:rPr>
                <w:rFonts w:ascii="Arial Narrow" w:hAnsi="Arial Narrow"/>
                <w:sz w:val="20"/>
              </w:rPr>
              <w:fldChar w:fldCharType="separate"/>
            </w:r>
            <w:r w:rsidRPr="00585AAB">
              <w:rPr>
                <w:rFonts w:ascii="Arial Narrow" w:hAnsi="Arial Narrow"/>
                <w:sz w:val="20"/>
              </w:rPr>
              <w:fldChar w:fldCharType="end"/>
            </w:r>
            <w:r w:rsidRPr="00585AAB">
              <w:rPr>
                <w:rFonts w:ascii="Arial Narrow" w:hAnsi="Arial Narrow"/>
                <w:sz w:val="20"/>
              </w:rPr>
              <w:t>Streamlined (Public Hospital)</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Treatment criteria:</w:t>
            </w: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Must be treated by a neurologist.</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Clinical criteria:</w:t>
            </w:r>
          </w:p>
          <w:p w:rsidR="005E112E" w:rsidRPr="00585AAB" w:rsidRDefault="005E112E" w:rsidP="00EC05CE">
            <w:pPr>
              <w:rPr>
                <w:rFonts w:ascii="Arial Narrow" w:hAnsi="Arial Narrow"/>
                <w:sz w:val="20"/>
              </w:rPr>
            </w:pP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The treatment must be a sole PBS-subsidised disease modifying therapy for this condition.</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AND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i/>
                <w:sz w:val="20"/>
              </w:rPr>
            </w:pPr>
            <w:r w:rsidRPr="00585AAB">
              <w:rPr>
                <w:rFonts w:ascii="Arial Narrow" w:hAnsi="Arial Narrow"/>
                <w:sz w:val="20"/>
              </w:rPr>
              <w:t>Patient must have previously received PBS-subsidised treatment with this drug for this condition,</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AND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Patient must not show continuing progression of disability while on treatment with this drug,</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AND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Patient must have demonstrated compliance w</w:t>
            </w:r>
            <w:r w:rsidR="00415FED" w:rsidRPr="00585AAB">
              <w:rPr>
                <w:rFonts w:ascii="Arial Narrow" w:hAnsi="Arial Narrow"/>
                <w:sz w:val="20"/>
              </w:rPr>
              <w:t>ith, and an ability to tolerate</w:t>
            </w:r>
            <w:r w:rsidRPr="00585AAB">
              <w:rPr>
                <w:rFonts w:ascii="Arial Narrow" w:hAnsi="Arial Narrow"/>
                <w:sz w:val="20"/>
              </w:rPr>
              <w:t xml:space="preserve"> this therapy.</w:t>
            </w:r>
          </w:p>
        </w:tc>
      </w:tr>
      <w:tr w:rsidR="005E112E" w:rsidRPr="00585AAB" w:rsidTr="00EC05CE">
        <w:trPr>
          <w:cantSplit/>
          <w:trHeight w:val="360"/>
        </w:trPr>
        <w:tc>
          <w:tcPr>
            <w:tcW w:w="1308"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b/>
                <w:sz w:val="20"/>
              </w:rPr>
            </w:pPr>
            <w:r w:rsidRPr="00585AAB">
              <w:rPr>
                <w:rFonts w:ascii="Arial Narrow" w:hAnsi="Arial Narrow"/>
                <w:b/>
                <w:sz w:val="20"/>
              </w:rPr>
              <w:t>Administrative Advice</w:t>
            </w:r>
          </w:p>
          <w:p w:rsidR="005E112E" w:rsidRPr="00585AAB" w:rsidRDefault="005E112E" w:rsidP="00EC05CE">
            <w:pPr>
              <w:rPr>
                <w:rFonts w:ascii="Arial Narrow" w:hAnsi="Arial Narrow"/>
                <w:i/>
                <w:sz w:val="20"/>
              </w:rPr>
            </w:pPr>
          </w:p>
        </w:tc>
        <w:tc>
          <w:tcPr>
            <w:tcW w:w="3692" w:type="pct"/>
            <w:tcBorders>
              <w:top w:val="single" w:sz="4" w:space="0" w:color="auto"/>
              <w:left w:val="single" w:sz="4" w:space="0" w:color="auto"/>
              <w:bottom w:val="single" w:sz="4" w:space="0" w:color="auto"/>
              <w:right w:val="single" w:sz="4" w:space="0" w:color="auto"/>
            </w:tcBorders>
          </w:tcPr>
          <w:p w:rsidR="005E112E" w:rsidRPr="00585AAB" w:rsidRDefault="005E112E" w:rsidP="00EC05CE">
            <w:pPr>
              <w:rPr>
                <w:rFonts w:ascii="Arial Narrow" w:hAnsi="Arial Narrow"/>
                <w:sz w:val="20"/>
              </w:rPr>
            </w:pPr>
            <w:r w:rsidRPr="00585AAB">
              <w:rPr>
                <w:rFonts w:ascii="Arial Narrow" w:hAnsi="Arial Narrow"/>
                <w:sz w:val="20"/>
              </w:rPr>
              <w:t>Special Pricing Arrangements apply.</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No increase in the maximum quantity or number of units may be authorised.</w:t>
            </w:r>
          </w:p>
          <w:p w:rsidR="005E112E" w:rsidRPr="00585AAB" w:rsidRDefault="005E112E" w:rsidP="00EC05CE">
            <w:pPr>
              <w:rPr>
                <w:rFonts w:ascii="Arial Narrow" w:hAnsi="Arial Narrow"/>
                <w:sz w:val="20"/>
              </w:rPr>
            </w:pPr>
          </w:p>
          <w:p w:rsidR="005E112E" w:rsidRPr="00585AAB" w:rsidRDefault="005E112E" w:rsidP="00EC05CE">
            <w:pPr>
              <w:rPr>
                <w:rFonts w:ascii="Arial Narrow" w:hAnsi="Arial Narrow"/>
                <w:sz w:val="20"/>
              </w:rPr>
            </w:pPr>
            <w:r w:rsidRPr="00585AAB">
              <w:rPr>
                <w:rFonts w:ascii="Arial Narrow" w:hAnsi="Arial Narrow"/>
                <w:sz w:val="20"/>
              </w:rPr>
              <w:t>No increase in the maximum number of repeats may be authorised.</w:t>
            </w:r>
          </w:p>
        </w:tc>
      </w:tr>
    </w:tbl>
    <w:p w:rsidR="005E112E" w:rsidRPr="00585AAB" w:rsidRDefault="005E112E" w:rsidP="006F1208">
      <w:pPr>
        <w:rPr>
          <w:rFonts w:asciiTheme="minorHAnsi" w:hAnsiTheme="minorHAnsi"/>
          <w:b/>
          <w:bCs/>
          <w:sz w:val="24"/>
          <w:szCs w:val="24"/>
          <w:highlight w:val="yellow"/>
        </w:rPr>
      </w:pPr>
    </w:p>
    <w:p w:rsidR="00F47668" w:rsidRPr="00F47668" w:rsidRDefault="00F47668" w:rsidP="00F47668">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r w:rsidRPr="00F47668">
        <w:rPr>
          <w:rFonts w:asciiTheme="minorHAnsi" w:eastAsiaTheme="majorEastAsia" w:hAnsiTheme="minorHAnsi" w:cstheme="majorBidi"/>
          <w:caps w:val="0"/>
          <w:snapToGrid/>
          <w:sz w:val="32"/>
          <w:szCs w:val="28"/>
        </w:rPr>
        <w:tab/>
        <w:t>Context for Decision</w:t>
      </w:r>
    </w:p>
    <w:p w:rsidR="00F47668" w:rsidRPr="00440A84" w:rsidRDefault="00F47668" w:rsidP="00F47668">
      <w:pPr>
        <w:ind w:left="426"/>
        <w:rPr>
          <w:rFonts w:asciiTheme="minorHAnsi" w:hAnsiTheme="minorHAnsi"/>
          <w:sz w:val="24"/>
          <w:szCs w:val="24"/>
        </w:rPr>
      </w:pPr>
    </w:p>
    <w:p w:rsidR="00F47668" w:rsidRPr="00440A84" w:rsidRDefault="00F47668" w:rsidP="003E053D">
      <w:pPr>
        <w:rPr>
          <w:rFonts w:asciiTheme="minorHAnsi" w:hAnsiTheme="minorHAnsi"/>
          <w:sz w:val="24"/>
          <w:szCs w:val="24"/>
        </w:rPr>
      </w:pPr>
      <w:r w:rsidRPr="00440A84">
        <w:rPr>
          <w:rFonts w:ascii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47668" w:rsidRPr="003E053D" w:rsidRDefault="00F47668" w:rsidP="003E053D">
      <w:pPr>
        <w:pStyle w:val="Heading1"/>
        <w:keepNext/>
        <w:keepLines/>
        <w:widowControl/>
        <w:numPr>
          <w:ilvl w:val="0"/>
          <w:numId w:val="12"/>
        </w:numPr>
        <w:spacing w:before="400" w:after="120"/>
        <w:ind w:left="709" w:hanging="709"/>
        <w:rPr>
          <w:rFonts w:asciiTheme="minorHAnsi" w:eastAsiaTheme="majorEastAsia" w:hAnsiTheme="minorHAnsi" w:cstheme="majorBidi"/>
          <w:caps w:val="0"/>
          <w:snapToGrid/>
          <w:sz w:val="32"/>
          <w:szCs w:val="28"/>
        </w:rPr>
      </w:pPr>
      <w:r w:rsidRPr="003E053D">
        <w:rPr>
          <w:rFonts w:asciiTheme="minorHAnsi" w:eastAsiaTheme="majorEastAsia" w:hAnsiTheme="minorHAnsi" w:cstheme="majorBidi"/>
          <w:caps w:val="0"/>
          <w:snapToGrid/>
          <w:sz w:val="32"/>
          <w:szCs w:val="28"/>
        </w:rPr>
        <w:t>Sponsor’s Comment</w:t>
      </w:r>
    </w:p>
    <w:p w:rsidR="00F47668" w:rsidRPr="00440A84" w:rsidRDefault="00F47668" w:rsidP="00F47668">
      <w:pPr>
        <w:ind w:left="426"/>
        <w:rPr>
          <w:rFonts w:asciiTheme="minorHAnsi" w:hAnsiTheme="minorHAnsi"/>
          <w:bCs/>
          <w:sz w:val="24"/>
          <w:szCs w:val="24"/>
          <w:highlight w:val="yellow"/>
          <w:lang w:val="en-GB"/>
        </w:rPr>
      </w:pPr>
    </w:p>
    <w:p w:rsidR="00F47668" w:rsidRPr="003E053D" w:rsidRDefault="00F47668" w:rsidP="003E053D">
      <w:pPr>
        <w:rPr>
          <w:rFonts w:asciiTheme="minorHAnsi" w:hAnsiTheme="minorHAnsi"/>
          <w:sz w:val="24"/>
          <w:szCs w:val="24"/>
        </w:rPr>
      </w:pPr>
      <w:r w:rsidRPr="003E053D">
        <w:rPr>
          <w:rFonts w:asciiTheme="minorHAnsi" w:hAnsiTheme="minorHAnsi"/>
          <w:sz w:val="24"/>
          <w:szCs w:val="24"/>
        </w:rPr>
        <w:t>The sponsor had no comment.</w:t>
      </w:r>
    </w:p>
    <w:p w:rsidR="005E112E" w:rsidRPr="00585AAB" w:rsidRDefault="005E112E" w:rsidP="006F1208">
      <w:pPr>
        <w:rPr>
          <w:rFonts w:asciiTheme="minorHAnsi" w:hAnsiTheme="minorHAnsi"/>
          <w:b/>
          <w:bCs/>
          <w:sz w:val="24"/>
          <w:szCs w:val="24"/>
          <w:highlight w:val="yellow"/>
        </w:rPr>
      </w:pPr>
    </w:p>
    <w:sectPr w:rsidR="005E112E" w:rsidRPr="00585AAB" w:rsidSect="00AD471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B7" w:rsidRDefault="00F701B7" w:rsidP="00124A51">
      <w:r>
        <w:separator/>
      </w:r>
    </w:p>
    <w:p w:rsidR="00F701B7" w:rsidRDefault="00F701B7"/>
  </w:endnote>
  <w:endnote w:type="continuationSeparator" w:id="0">
    <w:p w:rsidR="00F701B7" w:rsidRDefault="00F701B7" w:rsidP="00124A51">
      <w:r>
        <w:continuationSeparator/>
      </w:r>
    </w:p>
    <w:p w:rsidR="00F701B7" w:rsidRDefault="00F7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51" w:rsidRDefault="00F17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473F41" w:rsidRPr="00541A0D" w:rsidRDefault="00473F41" w:rsidP="00BF7A02">
        <w:pPr>
          <w:pStyle w:val="Footer"/>
          <w:ind w:left="360"/>
          <w:jc w:val="center"/>
          <w:rPr>
            <w:sz w:val="20"/>
          </w:rPr>
        </w:pPr>
      </w:p>
      <w:p w:rsidR="00473F41" w:rsidRDefault="00473F41" w:rsidP="00BF7A02">
        <w:pPr>
          <w:pStyle w:val="Footer"/>
          <w:ind w:left="360"/>
          <w:jc w:val="center"/>
          <w:rPr>
            <w:b/>
            <w:noProof/>
            <w:sz w:val="20"/>
          </w:rPr>
        </w:pPr>
        <w:r w:rsidRPr="000C0267">
          <w:rPr>
            <w:rFonts w:asciiTheme="minorHAnsi" w:hAnsiTheme="minorHAnsi"/>
            <w:sz w:val="20"/>
          </w:rPr>
          <w:fldChar w:fldCharType="begin"/>
        </w:r>
        <w:r w:rsidRPr="000C0267">
          <w:rPr>
            <w:rFonts w:asciiTheme="minorHAnsi" w:hAnsiTheme="minorHAnsi"/>
            <w:sz w:val="20"/>
          </w:rPr>
          <w:instrText xml:space="preserve"> PAGE   \* MERGEFORMAT </w:instrText>
        </w:r>
        <w:r w:rsidRPr="000C0267">
          <w:rPr>
            <w:rFonts w:asciiTheme="minorHAnsi" w:hAnsiTheme="minorHAnsi"/>
            <w:sz w:val="20"/>
          </w:rPr>
          <w:fldChar w:fldCharType="separate"/>
        </w:r>
        <w:r w:rsidR="00F701B7">
          <w:rPr>
            <w:rFonts w:asciiTheme="minorHAnsi" w:hAnsiTheme="minorHAnsi"/>
            <w:noProof/>
            <w:sz w:val="20"/>
          </w:rPr>
          <w:t>2</w:t>
        </w:r>
        <w:r w:rsidRPr="000C0267">
          <w:rPr>
            <w:rFonts w:asciiTheme="minorHAnsi" w:hAnsiTheme="minorHAnsi"/>
            <w:noProof/>
            <w:sz w:val="20"/>
          </w:rPr>
          <w:fldChar w:fldCharType="end"/>
        </w:r>
      </w:p>
    </w:sdtContent>
  </w:sdt>
  <w:p w:rsidR="00473F41" w:rsidRDefault="00473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51" w:rsidRDefault="00F1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B7" w:rsidRDefault="00F701B7" w:rsidP="00124A51">
      <w:r>
        <w:separator/>
      </w:r>
    </w:p>
    <w:p w:rsidR="00F701B7" w:rsidRDefault="00F701B7"/>
  </w:footnote>
  <w:footnote w:type="continuationSeparator" w:id="0">
    <w:p w:rsidR="00F701B7" w:rsidRDefault="00F701B7" w:rsidP="00124A51">
      <w:r>
        <w:continuationSeparator/>
      </w:r>
    </w:p>
    <w:p w:rsidR="00F701B7" w:rsidRDefault="00F701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51" w:rsidRDefault="00F17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1" w:rsidRDefault="00473F41" w:rsidP="00BF7A02">
    <w:pPr>
      <w:pStyle w:val="Header"/>
      <w:ind w:left="360"/>
      <w:jc w:val="center"/>
      <w:rPr>
        <w:rFonts w:asciiTheme="minorHAnsi" w:hAnsiTheme="minorHAnsi"/>
        <w:i/>
        <w:color w:val="808080"/>
        <w:sz w:val="24"/>
        <w:szCs w:val="24"/>
      </w:rPr>
    </w:pPr>
    <w:r>
      <w:rPr>
        <w:rFonts w:asciiTheme="minorHAnsi" w:hAnsiTheme="minorHAnsi"/>
        <w:i/>
        <w:color w:val="808080"/>
        <w:sz w:val="24"/>
        <w:szCs w:val="24"/>
      </w:rPr>
      <w:t>Public Summary Document</w:t>
    </w:r>
    <w:r w:rsidRPr="00AD4713">
      <w:rPr>
        <w:rFonts w:asciiTheme="minorHAnsi" w:hAnsiTheme="minorHAnsi"/>
        <w:i/>
        <w:color w:val="808080"/>
        <w:sz w:val="24"/>
        <w:szCs w:val="24"/>
      </w:rPr>
      <w:t xml:space="preserve"> – July 2017 PBAC Meeting</w:t>
    </w:r>
  </w:p>
  <w:p w:rsidR="00473F41" w:rsidRPr="00AD4713" w:rsidRDefault="00473F41" w:rsidP="00BF7A02">
    <w:pPr>
      <w:pStyle w:val="Header"/>
      <w:ind w:left="360"/>
      <w:jc w:val="center"/>
      <w:rPr>
        <w:rFonts w:asciiTheme="minorHAnsi" w:hAnsiTheme="minorHAnsi"/>
        <w:i/>
        <w:color w:val="808080"/>
        <w:sz w:val="24"/>
        <w:szCs w:val="24"/>
      </w:rPr>
    </w:pPr>
  </w:p>
  <w:p w:rsidR="00473F41" w:rsidRDefault="00473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51" w:rsidRDefault="00F17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287"/>
    <w:multiLevelType w:val="hybridMultilevel"/>
    <w:tmpl w:val="3718E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B13708"/>
    <w:multiLevelType w:val="hybridMultilevel"/>
    <w:tmpl w:val="DA94E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AF24BD"/>
    <w:multiLevelType w:val="hybridMultilevel"/>
    <w:tmpl w:val="664E2602"/>
    <w:lvl w:ilvl="0" w:tplc="60424C94">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E85154"/>
    <w:multiLevelType w:val="hybridMultilevel"/>
    <w:tmpl w:val="02A01FC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35A1C64"/>
    <w:multiLevelType w:val="hybridMultilevel"/>
    <w:tmpl w:val="A3601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63E75B0"/>
    <w:multiLevelType w:val="hybridMultilevel"/>
    <w:tmpl w:val="78803A8C"/>
    <w:lvl w:ilvl="0" w:tplc="7C74FCA8">
      <w:start w:val="1"/>
      <w:numFmt w:val="bullet"/>
      <w:pStyle w:val="ESnon-numbere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17455610"/>
    <w:multiLevelType w:val="hybridMultilevel"/>
    <w:tmpl w:val="C86E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58329E"/>
    <w:multiLevelType w:val="hybridMultilevel"/>
    <w:tmpl w:val="0C300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C8418D"/>
    <w:multiLevelType w:val="hybridMultilevel"/>
    <w:tmpl w:val="F9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3">
    <w:nsid w:val="284E6825"/>
    <w:multiLevelType w:val="multilevel"/>
    <w:tmpl w:val="C3F65C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5">
    <w:nsid w:val="28BB440B"/>
    <w:multiLevelType w:val="hybridMultilevel"/>
    <w:tmpl w:val="746E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DE7EEC"/>
    <w:multiLevelType w:val="hybridMultilevel"/>
    <w:tmpl w:val="02E20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674904"/>
    <w:multiLevelType w:val="hybridMultilevel"/>
    <w:tmpl w:val="D8106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E25CC5"/>
    <w:multiLevelType w:val="hybridMultilevel"/>
    <w:tmpl w:val="EED2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46AB40B1"/>
    <w:multiLevelType w:val="hybridMultilevel"/>
    <w:tmpl w:val="CC103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B2875A5"/>
    <w:multiLevelType w:val="hybridMultilevel"/>
    <w:tmpl w:val="4D8C6658"/>
    <w:lvl w:ilvl="0" w:tplc="CF184C6A">
      <w:start w:val="1"/>
      <w:numFmt w:val="bullet"/>
      <w:pStyle w:val="V50Instructions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3406E5"/>
    <w:multiLevelType w:val="multilevel"/>
    <w:tmpl w:val="6F84AAFA"/>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3B0C8A"/>
    <w:multiLevelType w:val="hybridMultilevel"/>
    <w:tmpl w:val="0A00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876004"/>
    <w:multiLevelType w:val="hybridMultilevel"/>
    <w:tmpl w:val="98628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D338B7"/>
    <w:multiLevelType w:val="hybridMultilevel"/>
    <w:tmpl w:val="106C45E0"/>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1">
    <w:nsid w:val="6A3C4C29"/>
    <w:multiLevelType w:val="hybridMultilevel"/>
    <w:tmpl w:val="316099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1355FA6"/>
    <w:multiLevelType w:val="hybridMultilevel"/>
    <w:tmpl w:val="F490F8A6"/>
    <w:lvl w:ilvl="0" w:tplc="79B44D5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55209D8"/>
    <w:multiLevelType w:val="hybridMultilevel"/>
    <w:tmpl w:val="A9A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B514458E"/>
    <w:lvl w:ilvl="0">
      <w:start w:val="1"/>
      <w:numFmt w:val="decimal"/>
      <w:lvlText w:val="%1"/>
      <w:lvlJc w:val="left"/>
      <w:pPr>
        <w:ind w:left="720" w:hanging="720"/>
      </w:pPr>
      <w:rPr>
        <w:rFonts w:hint="default"/>
        <w:b/>
      </w:rPr>
    </w:lvl>
    <w:lvl w:ilvl="1">
      <w:start w:val="1"/>
      <w:numFmt w:val="decimal"/>
      <w:pStyle w:val="ESnumberedparablue"/>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AC4DEF"/>
    <w:multiLevelType w:val="hybridMultilevel"/>
    <w:tmpl w:val="F8C0764C"/>
    <w:lvl w:ilvl="0" w:tplc="D442A5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8"/>
  </w:num>
  <w:num w:numId="4">
    <w:abstractNumId w:val="34"/>
  </w:num>
  <w:num w:numId="5">
    <w:abstractNumId w:val="14"/>
  </w:num>
  <w:num w:numId="6">
    <w:abstractNumId w:val="12"/>
  </w:num>
  <w:num w:numId="7">
    <w:abstractNumId w:val="6"/>
  </w:num>
  <w:num w:numId="8">
    <w:abstractNumId w:val="37"/>
  </w:num>
  <w:num w:numId="9">
    <w:abstractNumId w:val="24"/>
  </w:num>
  <w:num w:numId="10">
    <w:abstractNumId w:val="21"/>
  </w:num>
  <w:num w:numId="11">
    <w:abstractNumId w:val="35"/>
  </w:num>
  <w:num w:numId="12">
    <w:abstractNumId w:val="13"/>
  </w:num>
  <w:num w:numId="13">
    <w:abstractNumId w:val="25"/>
  </w:num>
  <w:num w:numId="14">
    <w:abstractNumId w:val="17"/>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6"/>
  </w:num>
  <w:num w:numId="18">
    <w:abstractNumId w:val="20"/>
  </w:num>
  <w:num w:numId="19">
    <w:abstractNumId w:val="22"/>
  </w:num>
  <w:num w:numId="20">
    <w:abstractNumId w:val="0"/>
  </w:num>
  <w:num w:numId="21">
    <w:abstractNumId w:val="4"/>
  </w:num>
  <w:num w:numId="22">
    <w:abstractNumId w:val="19"/>
  </w:num>
  <w:num w:numId="23">
    <w:abstractNumId w:val="31"/>
  </w:num>
  <w:num w:numId="24">
    <w:abstractNumId w:val="11"/>
  </w:num>
  <w:num w:numId="25">
    <w:abstractNumId w:val="15"/>
  </w:num>
  <w:num w:numId="26">
    <w:abstractNumId w:val="10"/>
  </w:num>
  <w:num w:numId="27">
    <w:abstractNumId w:val="2"/>
  </w:num>
  <w:num w:numId="28">
    <w:abstractNumId w:val="33"/>
  </w:num>
  <w:num w:numId="29">
    <w:abstractNumId w:val="28"/>
  </w:num>
  <w:num w:numId="30">
    <w:abstractNumId w:val="16"/>
  </w:num>
  <w:num w:numId="31">
    <w:abstractNumId w:val="3"/>
  </w:num>
  <w:num w:numId="32">
    <w:abstractNumId w:val="32"/>
  </w:num>
  <w:num w:numId="33">
    <w:abstractNumId w:val="29"/>
  </w:num>
  <w:num w:numId="34">
    <w:abstractNumId w:val="26"/>
  </w:num>
  <w:num w:numId="35">
    <w:abstractNumId w:val="27"/>
  </w:num>
  <w:num w:numId="36">
    <w:abstractNumId w:val="1"/>
  </w:num>
  <w:num w:numId="37">
    <w:abstractNumId w:val="35"/>
  </w:num>
  <w:num w:numId="38">
    <w:abstractNumId w:val="35"/>
  </w:num>
  <w:num w:numId="39">
    <w:abstractNumId w:val="35"/>
  </w:num>
  <w:num w:numId="40">
    <w:abstractNumId w:val="35"/>
  </w:num>
  <w:num w:numId="41">
    <w:abstractNumId w:val="35"/>
  </w:num>
  <w:num w:numId="42">
    <w:abstractNumId w:val="35"/>
  </w:num>
  <w:num w:numId="43">
    <w:abstractNumId w:val="5"/>
  </w:num>
  <w:num w:numId="44">
    <w:abstractNumId w:val="9"/>
  </w:num>
  <w:num w:numId="45">
    <w:abstractNumId w:val="30"/>
  </w:num>
  <w:num w:numId="46">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A09"/>
    <w:rsid w:val="00003499"/>
    <w:rsid w:val="00005661"/>
    <w:rsid w:val="00007A01"/>
    <w:rsid w:val="0001089A"/>
    <w:rsid w:val="00010ADC"/>
    <w:rsid w:val="0001114A"/>
    <w:rsid w:val="000113AC"/>
    <w:rsid w:val="0001275C"/>
    <w:rsid w:val="00013013"/>
    <w:rsid w:val="00013114"/>
    <w:rsid w:val="00013247"/>
    <w:rsid w:val="00013307"/>
    <w:rsid w:val="00014516"/>
    <w:rsid w:val="0001496F"/>
    <w:rsid w:val="00014CC4"/>
    <w:rsid w:val="00015196"/>
    <w:rsid w:val="000151BC"/>
    <w:rsid w:val="00015886"/>
    <w:rsid w:val="00015C1C"/>
    <w:rsid w:val="000162EF"/>
    <w:rsid w:val="00020311"/>
    <w:rsid w:val="0002225F"/>
    <w:rsid w:val="000224F4"/>
    <w:rsid w:val="000225F6"/>
    <w:rsid w:val="00022C20"/>
    <w:rsid w:val="00023763"/>
    <w:rsid w:val="00026244"/>
    <w:rsid w:val="00026AA3"/>
    <w:rsid w:val="00027107"/>
    <w:rsid w:val="000317AF"/>
    <w:rsid w:val="0003195B"/>
    <w:rsid w:val="00031EAD"/>
    <w:rsid w:val="00032023"/>
    <w:rsid w:val="000325E5"/>
    <w:rsid w:val="000331AC"/>
    <w:rsid w:val="000331B1"/>
    <w:rsid w:val="000333A4"/>
    <w:rsid w:val="000335DC"/>
    <w:rsid w:val="00034A7E"/>
    <w:rsid w:val="000352E7"/>
    <w:rsid w:val="000363EA"/>
    <w:rsid w:val="000371B1"/>
    <w:rsid w:val="00037314"/>
    <w:rsid w:val="000377D5"/>
    <w:rsid w:val="000379BD"/>
    <w:rsid w:val="0004082E"/>
    <w:rsid w:val="00040895"/>
    <w:rsid w:val="00041CFD"/>
    <w:rsid w:val="00042E62"/>
    <w:rsid w:val="00042FD4"/>
    <w:rsid w:val="00043947"/>
    <w:rsid w:val="00043C37"/>
    <w:rsid w:val="00045711"/>
    <w:rsid w:val="0004681E"/>
    <w:rsid w:val="00047020"/>
    <w:rsid w:val="00047F19"/>
    <w:rsid w:val="00050EEB"/>
    <w:rsid w:val="00051AE9"/>
    <w:rsid w:val="000537E1"/>
    <w:rsid w:val="000546D7"/>
    <w:rsid w:val="00055378"/>
    <w:rsid w:val="00055C59"/>
    <w:rsid w:val="000561F5"/>
    <w:rsid w:val="00056552"/>
    <w:rsid w:val="00061378"/>
    <w:rsid w:val="000629C3"/>
    <w:rsid w:val="0006441E"/>
    <w:rsid w:val="00065E6B"/>
    <w:rsid w:val="00066203"/>
    <w:rsid w:val="0006675E"/>
    <w:rsid w:val="00067AD8"/>
    <w:rsid w:val="00071036"/>
    <w:rsid w:val="00071248"/>
    <w:rsid w:val="00071E70"/>
    <w:rsid w:val="000720B9"/>
    <w:rsid w:val="000735F4"/>
    <w:rsid w:val="000738C5"/>
    <w:rsid w:val="00077075"/>
    <w:rsid w:val="00080512"/>
    <w:rsid w:val="00081296"/>
    <w:rsid w:val="000812CA"/>
    <w:rsid w:val="000821D6"/>
    <w:rsid w:val="000823E5"/>
    <w:rsid w:val="00082ABB"/>
    <w:rsid w:val="00082B24"/>
    <w:rsid w:val="000830D2"/>
    <w:rsid w:val="00084FD6"/>
    <w:rsid w:val="000851BB"/>
    <w:rsid w:val="0008703A"/>
    <w:rsid w:val="00090C7E"/>
    <w:rsid w:val="000910E2"/>
    <w:rsid w:val="00091419"/>
    <w:rsid w:val="00092076"/>
    <w:rsid w:val="00093857"/>
    <w:rsid w:val="0009519B"/>
    <w:rsid w:val="00095504"/>
    <w:rsid w:val="00095ED1"/>
    <w:rsid w:val="00097A3C"/>
    <w:rsid w:val="000A2021"/>
    <w:rsid w:val="000A39F1"/>
    <w:rsid w:val="000A502C"/>
    <w:rsid w:val="000A5401"/>
    <w:rsid w:val="000A554C"/>
    <w:rsid w:val="000A6802"/>
    <w:rsid w:val="000A69D0"/>
    <w:rsid w:val="000A6AC0"/>
    <w:rsid w:val="000A6C8C"/>
    <w:rsid w:val="000A7B37"/>
    <w:rsid w:val="000B2B54"/>
    <w:rsid w:val="000B2E19"/>
    <w:rsid w:val="000B2E5E"/>
    <w:rsid w:val="000C0267"/>
    <w:rsid w:val="000C1D97"/>
    <w:rsid w:val="000C2037"/>
    <w:rsid w:val="000C21E7"/>
    <w:rsid w:val="000C2986"/>
    <w:rsid w:val="000C2A4D"/>
    <w:rsid w:val="000C2BA9"/>
    <w:rsid w:val="000C31D9"/>
    <w:rsid w:val="000C395C"/>
    <w:rsid w:val="000C45B0"/>
    <w:rsid w:val="000C664A"/>
    <w:rsid w:val="000C7026"/>
    <w:rsid w:val="000D1763"/>
    <w:rsid w:val="000D1BFC"/>
    <w:rsid w:val="000D3EAE"/>
    <w:rsid w:val="000D4713"/>
    <w:rsid w:val="000D4BF8"/>
    <w:rsid w:val="000D6238"/>
    <w:rsid w:val="000D70D0"/>
    <w:rsid w:val="000D7864"/>
    <w:rsid w:val="000E11F9"/>
    <w:rsid w:val="000E7596"/>
    <w:rsid w:val="000E795F"/>
    <w:rsid w:val="000F09BD"/>
    <w:rsid w:val="000F266F"/>
    <w:rsid w:val="000F33F5"/>
    <w:rsid w:val="000F380D"/>
    <w:rsid w:val="000F434B"/>
    <w:rsid w:val="000F4BB8"/>
    <w:rsid w:val="000F7127"/>
    <w:rsid w:val="001005D0"/>
    <w:rsid w:val="00100A83"/>
    <w:rsid w:val="00100F8A"/>
    <w:rsid w:val="0010143A"/>
    <w:rsid w:val="0010184A"/>
    <w:rsid w:val="00102A22"/>
    <w:rsid w:val="00103493"/>
    <w:rsid w:val="00103D7F"/>
    <w:rsid w:val="00103DC4"/>
    <w:rsid w:val="0010463B"/>
    <w:rsid w:val="00105C32"/>
    <w:rsid w:val="0010602D"/>
    <w:rsid w:val="001061FC"/>
    <w:rsid w:val="0010659A"/>
    <w:rsid w:val="00106A21"/>
    <w:rsid w:val="001101AD"/>
    <w:rsid w:val="0011032E"/>
    <w:rsid w:val="001105B5"/>
    <w:rsid w:val="001112A5"/>
    <w:rsid w:val="0011348B"/>
    <w:rsid w:val="001159C1"/>
    <w:rsid w:val="00116119"/>
    <w:rsid w:val="00116AB6"/>
    <w:rsid w:val="0011745F"/>
    <w:rsid w:val="001203CD"/>
    <w:rsid w:val="00120CC2"/>
    <w:rsid w:val="00121799"/>
    <w:rsid w:val="0012198B"/>
    <w:rsid w:val="001222FC"/>
    <w:rsid w:val="00122D9B"/>
    <w:rsid w:val="0012446B"/>
    <w:rsid w:val="00124A51"/>
    <w:rsid w:val="00124AD1"/>
    <w:rsid w:val="00126621"/>
    <w:rsid w:val="00126EC3"/>
    <w:rsid w:val="001301E9"/>
    <w:rsid w:val="00130686"/>
    <w:rsid w:val="0013112E"/>
    <w:rsid w:val="00132B4E"/>
    <w:rsid w:val="0013339C"/>
    <w:rsid w:val="00133786"/>
    <w:rsid w:val="00134004"/>
    <w:rsid w:val="001345F5"/>
    <w:rsid w:val="00135550"/>
    <w:rsid w:val="00136048"/>
    <w:rsid w:val="00137441"/>
    <w:rsid w:val="00137645"/>
    <w:rsid w:val="00137F8D"/>
    <w:rsid w:val="0014015A"/>
    <w:rsid w:val="00140E99"/>
    <w:rsid w:val="00141CDA"/>
    <w:rsid w:val="00143B2C"/>
    <w:rsid w:val="0014416B"/>
    <w:rsid w:val="00144873"/>
    <w:rsid w:val="00145540"/>
    <w:rsid w:val="001456B0"/>
    <w:rsid w:val="001460D7"/>
    <w:rsid w:val="00147B63"/>
    <w:rsid w:val="00151F8C"/>
    <w:rsid w:val="00151FEE"/>
    <w:rsid w:val="00152F89"/>
    <w:rsid w:val="00153068"/>
    <w:rsid w:val="0015424D"/>
    <w:rsid w:val="00157130"/>
    <w:rsid w:val="00160ACA"/>
    <w:rsid w:val="001613FA"/>
    <w:rsid w:val="00162913"/>
    <w:rsid w:val="00163EFF"/>
    <w:rsid w:val="001648B3"/>
    <w:rsid w:val="00165670"/>
    <w:rsid w:val="001661FB"/>
    <w:rsid w:val="0016653F"/>
    <w:rsid w:val="001668E3"/>
    <w:rsid w:val="00170838"/>
    <w:rsid w:val="00170F84"/>
    <w:rsid w:val="0017185A"/>
    <w:rsid w:val="0017196D"/>
    <w:rsid w:val="001726F2"/>
    <w:rsid w:val="00176A3E"/>
    <w:rsid w:val="001808E7"/>
    <w:rsid w:val="001810CA"/>
    <w:rsid w:val="00181583"/>
    <w:rsid w:val="001840FC"/>
    <w:rsid w:val="001865AB"/>
    <w:rsid w:val="00186E66"/>
    <w:rsid w:val="001873BB"/>
    <w:rsid w:val="0018752F"/>
    <w:rsid w:val="00187D8C"/>
    <w:rsid w:val="001907C4"/>
    <w:rsid w:val="0019137C"/>
    <w:rsid w:val="001914BB"/>
    <w:rsid w:val="00195222"/>
    <w:rsid w:val="00195CE1"/>
    <w:rsid w:val="001967D8"/>
    <w:rsid w:val="00196958"/>
    <w:rsid w:val="001975D8"/>
    <w:rsid w:val="001A2479"/>
    <w:rsid w:val="001A2982"/>
    <w:rsid w:val="001A3075"/>
    <w:rsid w:val="001A3236"/>
    <w:rsid w:val="001A339D"/>
    <w:rsid w:val="001A35ED"/>
    <w:rsid w:val="001A64AD"/>
    <w:rsid w:val="001A6B40"/>
    <w:rsid w:val="001A7AC0"/>
    <w:rsid w:val="001B0A6E"/>
    <w:rsid w:val="001B1E18"/>
    <w:rsid w:val="001B2AD1"/>
    <w:rsid w:val="001B3443"/>
    <w:rsid w:val="001B3A25"/>
    <w:rsid w:val="001B623F"/>
    <w:rsid w:val="001B7C16"/>
    <w:rsid w:val="001C07B9"/>
    <w:rsid w:val="001C0DFA"/>
    <w:rsid w:val="001C193A"/>
    <w:rsid w:val="001C2721"/>
    <w:rsid w:val="001C4404"/>
    <w:rsid w:val="001C4AA7"/>
    <w:rsid w:val="001C6E66"/>
    <w:rsid w:val="001C738E"/>
    <w:rsid w:val="001C7639"/>
    <w:rsid w:val="001D071A"/>
    <w:rsid w:val="001D0C78"/>
    <w:rsid w:val="001D0FB6"/>
    <w:rsid w:val="001D14F7"/>
    <w:rsid w:val="001D2218"/>
    <w:rsid w:val="001D2AB6"/>
    <w:rsid w:val="001D43CE"/>
    <w:rsid w:val="001D45EB"/>
    <w:rsid w:val="001D4CF9"/>
    <w:rsid w:val="001D5EB2"/>
    <w:rsid w:val="001D7AED"/>
    <w:rsid w:val="001E0ABE"/>
    <w:rsid w:val="001E1926"/>
    <w:rsid w:val="001E238E"/>
    <w:rsid w:val="001E2B1E"/>
    <w:rsid w:val="001E379E"/>
    <w:rsid w:val="001E48B2"/>
    <w:rsid w:val="001E52EB"/>
    <w:rsid w:val="001E69E6"/>
    <w:rsid w:val="001E740C"/>
    <w:rsid w:val="001F0F69"/>
    <w:rsid w:val="001F1235"/>
    <w:rsid w:val="001F1CB3"/>
    <w:rsid w:val="001F240E"/>
    <w:rsid w:val="001F30D3"/>
    <w:rsid w:val="001F377C"/>
    <w:rsid w:val="001F41D7"/>
    <w:rsid w:val="001F59BA"/>
    <w:rsid w:val="001F5B4B"/>
    <w:rsid w:val="001F5D39"/>
    <w:rsid w:val="001F60B6"/>
    <w:rsid w:val="001F7361"/>
    <w:rsid w:val="00201D31"/>
    <w:rsid w:val="0020385F"/>
    <w:rsid w:val="00204FA1"/>
    <w:rsid w:val="00205571"/>
    <w:rsid w:val="00206AC5"/>
    <w:rsid w:val="00206E8C"/>
    <w:rsid w:val="00207021"/>
    <w:rsid w:val="00207D00"/>
    <w:rsid w:val="002105C1"/>
    <w:rsid w:val="00211DCF"/>
    <w:rsid w:val="00213B05"/>
    <w:rsid w:val="00213E8C"/>
    <w:rsid w:val="00216933"/>
    <w:rsid w:val="00216966"/>
    <w:rsid w:val="0022088D"/>
    <w:rsid w:val="00222FF3"/>
    <w:rsid w:val="00223B49"/>
    <w:rsid w:val="00224DD4"/>
    <w:rsid w:val="0022565F"/>
    <w:rsid w:val="00225B9B"/>
    <w:rsid w:val="002309CC"/>
    <w:rsid w:val="0023114B"/>
    <w:rsid w:val="00231583"/>
    <w:rsid w:val="00231592"/>
    <w:rsid w:val="00233155"/>
    <w:rsid w:val="00233B72"/>
    <w:rsid w:val="00234CEC"/>
    <w:rsid w:val="00237B8F"/>
    <w:rsid w:val="00240DF3"/>
    <w:rsid w:val="002414D2"/>
    <w:rsid w:val="002422C5"/>
    <w:rsid w:val="0024249B"/>
    <w:rsid w:val="00244641"/>
    <w:rsid w:val="00244BAE"/>
    <w:rsid w:val="00244C4F"/>
    <w:rsid w:val="00244EBE"/>
    <w:rsid w:val="00245BD5"/>
    <w:rsid w:val="00246A12"/>
    <w:rsid w:val="00247936"/>
    <w:rsid w:val="002547EE"/>
    <w:rsid w:val="00254DCF"/>
    <w:rsid w:val="0025534B"/>
    <w:rsid w:val="0025564B"/>
    <w:rsid w:val="002559EE"/>
    <w:rsid w:val="00255BB7"/>
    <w:rsid w:val="0025684A"/>
    <w:rsid w:val="002575FE"/>
    <w:rsid w:val="00260301"/>
    <w:rsid w:val="00260310"/>
    <w:rsid w:val="002606BF"/>
    <w:rsid w:val="002608EE"/>
    <w:rsid w:val="00261A87"/>
    <w:rsid w:val="00262A87"/>
    <w:rsid w:val="00262E7C"/>
    <w:rsid w:val="00263139"/>
    <w:rsid w:val="00263678"/>
    <w:rsid w:val="00263B0A"/>
    <w:rsid w:val="002646DE"/>
    <w:rsid w:val="002655E0"/>
    <w:rsid w:val="0026700E"/>
    <w:rsid w:val="002671BE"/>
    <w:rsid w:val="00270411"/>
    <w:rsid w:val="0027123D"/>
    <w:rsid w:val="00271D42"/>
    <w:rsid w:val="00271F8C"/>
    <w:rsid w:val="00272619"/>
    <w:rsid w:val="002735BD"/>
    <w:rsid w:val="00274662"/>
    <w:rsid w:val="0027568F"/>
    <w:rsid w:val="00275C5A"/>
    <w:rsid w:val="00276E14"/>
    <w:rsid w:val="00277504"/>
    <w:rsid w:val="00277691"/>
    <w:rsid w:val="00280C6F"/>
    <w:rsid w:val="00280E01"/>
    <w:rsid w:val="00281014"/>
    <w:rsid w:val="00281D8E"/>
    <w:rsid w:val="00286BB0"/>
    <w:rsid w:val="00286DE3"/>
    <w:rsid w:val="00290A6D"/>
    <w:rsid w:val="00290C38"/>
    <w:rsid w:val="002915EC"/>
    <w:rsid w:val="00291CA4"/>
    <w:rsid w:val="00292B7A"/>
    <w:rsid w:val="002932A2"/>
    <w:rsid w:val="00296524"/>
    <w:rsid w:val="00297509"/>
    <w:rsid w:val="00297BB8"/>
    <w:rsid w:val="00297FA7"/>
    <w:rsid w:val="002A14AB"/>
    <w:rsid w:val="002A1642"/>
    <w:rsid w:val="002A2913"/>
    <w:rsid w:val="002A57E4"/>
    <w:rsid w:val="002A5DAC"/>
    <w:rsid w:val="002A603C"/>
    <w:rsid w:val="002A6F78"/>
    <w:rsid w:val="002B0D2A"/>
    <w:rsid w:val="002B1C1F"/>
    <w:rsid w:val="002B1EF0"/>
    <w:rsid w:val="002B2D7F"/>
    <w:rsid w:val="002B432F"/>
    <w:rsid w:val="002B6CCE"/>
    <w:rsid w:val="002B7781"/>
    <w:rsid w:val="002C0C9D"/>
    <w:rsid w:val="002C2775"/>
    <w:rsid w:val="002C27C1"/>
    <w:rsid w:val="002C408C"/>
    <w:rsid w:val="002C65AE"/>
    <w:rsid w:val="002C7044"/>
    <w:rsid w:val="002D08F7"/>
    <w:rsid w:val="002D20F9"/>
    <w:rsid w:val="002D211B"/>
    <w:rsid w:val="002D2A35"/>
    <w:rsid w:val="002D6157"/>
    <w:rsid w:val="002D643A"/>
    <w:rsid w:val="002D6740"/>
    <w:rsid w:val="002D6C02"/>
    <w:rsid w:val="002D7567"/>
    <w:rsid w:val="002D7B54"/>
    <w:rsid w:val="002E13FE"/>
    <w:rsid w:val="002E195A"/>
    <w:rsid w:val="002E4CA5"/>
    <w:rsid w:val="002E6A88"/>
    <w:rsid w:val="002F0590"/>
    <w:rsid w:val="002F08DF"/>
    <w:rsid w:val="002F1A99"/>
    <w:rsid w:val="002F5F69"/>
    <w:rsid w:val="002F6CAB"/>
    <w:rsid w:val="002F6E50"/>
    <w:rsid w:val="002F78E6"/>
    <w:rsid w:val="002F7AF0"/>
    <w:rsid w:val="0030041E"/>
    <w:rsid w:val="00301017"/>
    <w:rsid w:val="00302A00"/>
    <w:rsid w:val="00303863"/>
    <w:rsid w:val="003068E2"/>
    <w:rsid w:val="00306904"/>
    <w:rsid w:val="00307102"/>
    <w:rsid w:val="0030786C"/>
    <w:rsid w:val="0031031A"/>
    <w:rsid w:val="00310981"/>
    <w:rsid w:val="0031117B"/>
    <w:rsid w:val="003111F0"/>
    <w:rsid w:val="00311740"/>
    <w:rsid w:val="00312B49"/>
    <w:rsid w:val="00312EA5"/>
    <w:rsid w:val="00314870"/>
    <w:rsid w:val="00315498"/>
    <w:rsid w:val="00317BA2"/>
    <w:rsid w:val="003238AC"/>
    <w:rsid w:val="003239A3"/>
    <w:rsid w:val="003254E9"/>
    <w:rsid w:val="0032564C"/>
    <w:rsid w:val="00326416"/>
    <w:rsid w:val="0032659E"/>
    <w:rsid w:val="0033040F"/>
    <w:rsid w:val="00333665"/>
    <w:rsid w:val="00333FB4"/>
    <w:rsid w:val="003366C9"/>
    <w:rsid w:val="003371B0"/>
    <w:rsid w:val="00341389"/>
    <w:rsid w:val="00344681"/>
    <w:rsid w:val="00345E95"/>
    <w:rsid w:val="00346B54"/>
    <w:rsid w:val="00347081"/>
    <w:rsid w:val="00350402"/>
    <w:rsid w:val="003510AC"/>
    <w:rsid w:val="00354083"/>
    <w:rsid w:val="003546A2"/>
    <w:rsid w:val="003548B9"/>
    <w:rsid w:val="0035491A"/>
    <w:rsid w:val="00354926"/>
    <w:rsid w:val="00355B44"/>
    <w:rsid w:val="0035620E"/>
    <w:rsid w:val="003562FC"/>
    <w:rsid w:val="003576AD"/>
    <w:rsid w:val="003611F5"/>
    <w:rsid w:val="0036493B"/>
    <w:rsid w:val="003649C4"/>
    <w:rsid w:val="00365855"/>
    <w:rsid w:val="00365A76"/>
    <w:rsid w:val="003672B6"/>
    <w:rsid w:val="0036776C"/>
    <w:rsid w:val="003703B4"/>
    <w:rsid w:val="00370605"/>
    <w:rsid w:val="00370B09"/>
    <w:rsid w:val="00370FA6"/>
    <w:rsid w:val="00372209"/>
    <w:rsid w:val="00372226"/>
    <w:rsid w:val="00374033"/>
    <w:rsid w:val="00374216"/>
    <w:rsid w:val="0037518B"/>
    <w:rsid w:val="0037560E"/>
    <w:rsid w:val="00376B1F"/>
    <w:rsid w:val="00376B87"/>
    <w:rsid w:val="00376CB3"/>
    <w:rsid w:val="00380B17"/>
    <w:rsid w:val="00382579"/>
    <w:rsid w:val="0038261E"/>
    <w:rsid w:val="00382F0E"/>
    <w:rsid w:val="0038342C"/>
    <w:rsid w:val="003834BC"/>
    <w:rsid w:val="0038365C"/>
    <w:rsid w:val="00384D12"/>
    <w:rsid w:val="00384E6F"/>
    <w:rsid w:val="00385598"/>
    <w:rsid w:val="00387F66"/>
    <w:rsid w:val="00390615"/>
    <w:rsid w:val="00391C15"/>
    <w:rsid w:val="003922A4"/>
    <w:rsid w:val="003930DC"/>
    <w:rsid w:val="0039402D"/>
    <w:rsid w:val="003943CA"/>
    <w:rsid w:val="00394EA0"/>
    <w:rsid w:val="00395247"/>
    <w:rsid w:val="00395587"/>
    <w:rsid w:val="00396AC1"/>
    <w:rsid w:val="00396FD0"/>
    <w:rsid w:val="003A0358"/>
    <w:rsid w:val="003A1A7A"/>
    <w:rsid w:val="003A5F4A"/>
    <w:rsid w:val="003A70C3"/>
    <w:rsid w:val="003B1542"/>
    <w:rsid w:val="003B3435"/>
    <w:rsid w:val="003B4061"/>
    <w:rsid w:val="003B4CD3"/>
    <w:rsid w:val="003B6F84"/>
    <w:rsid w:val="003C2D2C"/>
    <w:rsid w:val="003C586D"/>
    <w:rsid w:val="003C7469"/>
    <w:rsid w:val="003C7977"/>
    <w:rsid w:val="003C7A27"/>
    <w:rsid w:val="003C7B04"/>
    <w:rsid w:val="003D0087"/>
    <w:rsid w:val="003D0D5B"/>
    <w:rsid w:val="003D1828"/>
    <w:rsid w:val="003D1C4C"/>
    <w:rsid w:val="003D20F0"/>
    <w:rsid w:val="003D2422"/>
    <w:rsid w:val="003D28AD"/>
    <w:rsid w:val="003D2FE7"/>
    <w:rsid w:val="003D3572"/>
    <w:rsid w:val="003D5E37"/>
    <w:rsid w:val="003D6D70"/>
    <w:rsid w:val="003E053D"/>
    <w:rsid w:val="003E11CD"/>
    <w:rsid w:val="003E14B5"/>
    <w:rsid w:val="003E21D3"/>
    <w:rsid w:val="003E3072"/>
    <w:rsid w:val="003E452F"/>
    <w:rsid w:val="003E64F8"/>
    <w:rsid w:val="003E79A3"/>
    <w:rsid w:val="003F05C4"/>
    <w:rsid w:val="003F29D8"/>
    <w:rsid w:val="003F2B7D"/>
    <w:rsid w:val="003F4156"/>
    <w:rsid w:val="003F4C60"/>
    <w:rsid w:val="003F5220"/>
    <w:rsid w:val="003F63F1"/>
    <w:rsid w:val="003F704F"/>
    <w:rsid w:val="00400F9D"/>
    <w:rsid w:val="004015C9"/>
    <w:rsid w:val="004034C6"/>
    <w:rsid w:val="0040394E"/>
    <w:rsid w:val="00405770"/>
    <w:rsid w:val="004065BC"/>
    <w:rsid w:val="00410708"/>
    <w:rsid w:val="004107D8"/>
    <w:rsid w:val="00410EC7"/>
    <w:rsid w:val="00411BDB"/>
    <w:rsid w:val="00413DFE"/>
    <w:rsid w:val="00413FD9"/>
    <w:rsid w:val="0041407F"/>
    <w:rsid w:val="00414476"/>
    <w:rsid w:val="00415825"/>
    <w:rsid w:val="00415FDC"/>
    <w:rsid w:val="00415FED"/>
    <w:rsid w:val="0041727B"/>
    <w:rsid w:val="00417F0D"/>
    <w:rsid w:val="0042051D"/>
    <w:rsid w:val="00420B9F"/>
    <w:rsid w:val="004211E9"/>
    <w:rsid w:val="00421658"/>
    <w:rsid w:val="004228A1"/>
    <w:rsid w:val="00423669"/>
    <w:rsid w:val="004246B0"/>
    <w:rsid w:val="0042493A"/>
    <w:rsid w:val="0042555B"/>
    <w:rsid w:val="0042659F"/>
    <w:rsid w:val="004306F0"/>
    <w:rsid w:val="004312B7"/>
    <w:rsid w:val="004319F8"/>
    <w:rsid w:val="0043251C"/>
    <w:rsid w:val="00432D63"/>
    <w:rsid w:val="00433044"/>
    <w:rsid w:val="0043348E"/>
    <w:rsid w:val="004342A1"/>
    <w:rsid w:val="0043704E"/>
    <w:rsid w:val="0043763D"/>
    <w:rsid w:val="0044159F"/>
    <w:rsid w:val="0044190F"/>
    <w:rsid w:val="004428CA"/>
    <w:rsid w:val="0044388F"/>
    <w:rsid w:val="00443F88"/>
    <w:rsid w:val="004443A7"/>
    <w:rsid w:val="00444D12"/>
    <w:rsid w:val="004464EB"/>
    <w:rsid w:val="00446AEF"/>
    <w:rsid w:val="00451E68"/>
    <w:rsid w:val="00452427"/>
    <w:rsid w:val="00452C8A"/>
    <w:rsid w:val="00454F96"/>
    <w:rsid w:val="00455446"/>
    <w:rsid w:val="00455D45"/>
    <w:rsid w:val="00456FFF"/>
    <w:rsid w:val="004577F0"/>
    <w:rsid w:val="004610AF"/>
    <w:rsid w:val="00461E03"/>
    <w:rsid w:val="00462ABB"/>
    <w:rsid w:val="004638CA"/>
    <w:rsid w:val="00463CBB"/>
    <w:rsid w:val="00464595"/>
    <w:rsid w:val="00465112"/>
    <w:rsid w:val="004661C7"/>
    <w:rsid w:val="00466FC6"/>
    <w:rsid w:val="00470DD2"/>
    <w:rsid w:val="00473422"/>
    <w:rsid w:val="004735B2"/>
    <w:rsid w:val="00473F41"/>
    <w:rsid w:val="004744CB"/>
    <w:rsid w:val="00474A83"/>
    <w:rsid w:val="0047514D"/>
    <w:rsid w:val="00475947"/>
    <w:rsid w:val="00480CD6"/>
    <w:rsid w:val="0048168E"/>
    <w:rsid w:val="00483CD9"/>
    <w:rsid w:val="00484425"/>
    <w:rsid w:val="004867E2"/>
    <w:rsid w:val="00487570"/>
    <w:rsid w:val="0048787B"/>
    <w:rsid w:val="004904DE"/>
    <w:rsid w:val="00491B3A"/>
    <w:rsid w:val="00492CFD"/>
    <w:rsid w:val="00494DF1"/>
    <w:rsid w:val="00496299"/>
    <w:rsid w:val="004962D2"/>
    <w:rsid w:val="00497A7C"/>
    <w:rsid w:val="00497A87"/>
    <w:rsid w:val="004A0173"/>
    <w:rsid w:val="004A08D4"/>
    <w:rsid w:val="004A0DA1"/>
    <w:rsid w:val="004A1011"/>
    <w:rsid w:val="004A133A"/>
    <w:rsid w:val="004A1B4D"/>
    <w:rsid w:val="004A2C2D"/>
    <w:rsid w:val="004A4026"/>
    <w:rsid w:val="004A473A"/>
    <w:rsid w:val="004A4B1D"/>
    <w:rsid w:val="004A5945"/>
    <w:rsid w:val="004A6597"/>
    <w:rsid w:val="004A6CB9"/>
    <w:rsid w:val="004A7FBC"/>
    <w:rsid w:val="004B05A2"/>
    <w:rsid w:val="004B0AEB"/>
    <w:rsid w:val="004B1CB4"/>
    <w:rsid w:val="004B1DC5"/>
    <w:rsid w:val="004B293B"/>
    <w:rsid w:val="004B2C78"/>
    <w:rsid w:val="004B2F18"/>
    <w:rsid w:val="004B3DDB"/>
    <w:rsid w:val="004B44FD"/>
    <w:rsid w:val="004B54F2"/>
    <w:rsid w:val="004B5B02"/>
    <w:rsid w:val="004B5BB5"/>
    <w:rsid w:val="004B5CFC"/>
    <w:rsid w:val="004B690B"/>
    <w:rsid w:val="004B6AF4"/>
    <w:rsid w:val="004B7242"/>
    <w:rsid w:val="004B72A5"/>
    <w:rsid w:val="004B7C20"/>
    <w:rsid w:val="004B7ED2"/>
    <w:rsid w:val="004C0AA7"/>
    <w:rsid w:val="004C0E59"/>
    <w:rsid w:val="004C171C"/>
    <w:rsid w:val="004C2096"/>
    <w:rsid w:val="004C302F"/>
    <w:rsid w:val="004C3E99"/>
    <w:rsid w:val="004C472D"/>
    <w:rsid w:val="004C48D8"/>
    <w:rsid w:val="004C4AED"/>
    <w:rsid w:val="004C64DC"/>
    <w:rsid w:val="004D0190"/>
    <w:rsid w:val="004D0DD1"/>
    <w:rsid w:val="004D1238"/>
    <w:rsid w:val="004D19D8"/>
    <w:rsid w:val="004D3A3D"/>
    <w:rsid w:val="004D414A"/>
    <w:rsid w:val="004D5AEA"/>
    <w:rsid w:val="004D6D70"/>
    <w:rsid w:val="004D74FE"/>
    <w:rsid w:val="004E0EB8"/>
    <w:rsid w:val="004E2ADC"/>
    <w:rsid w:val="004E43B2"/>
    <w:rsid w:val="004E4F20"/>
    <w:rsid w:val="004E559F"/>
    <w:rsid w:val="004E6DF7"/>
    <w:rsid w:val="004E7375"/>
    <w:rsid w:val="004E7A84"/>
    <w:rsid w:val="004E7C6C"/>
    <w:rsid w:val="004E7F91"/>
    <w:rsid w:val="004F0474"/>
    <w:rsid w:val="004F1460"/>
    <w:rsid w:val="004F1D02"/>
    <w:rsid w:val="004F2679"/>
    <w:rsid w:val="004F3380"/>
    <w:rsid w:val="004F344B"/>
    <w:rsid w:val="004F4E46"/>
    <w:rsid w:val="004F7865"/>
    <w:rsid w:val="00503EDF"/>
    <w:rsid w:val="00504979"/>
    <w:rsid w:val="0050533C"/>
    <w:rsid w:val="00505A0A"/>
    <w:rsid w:val="005061DD"/>
    <w:rsid w:val="00506928"/>
    <w:rsid w:val="0051049B"/>
    <w:rsid w:val="00510E8D"/>
    <w:rsid w:val="005110E8"/>
    <w:rsid w:val="005112D6"/>
    <w:rsid w:val="005114AE"/>
    <w:rsid w:val="00512EA8"/>
    <w:rsid w:val="0051518B"/>
    <w:rsid w:val="005152B5"/>
    <w:rsid w:val="0051638D"/>
    <w:rsid w:val="005170D8"/>
    <w:rsid w:val="00517984"/>
    <w:rsid w:val="00521319"/>
    <w:rsid w:val="00523C28"/>
    <w:rsid w:val="005242B1"/>
    <w:rsid w:val="00525CDD"/>
    <w:rsid w:val="005268B6"/>
    <w:rsid w:val="00526BDD"/>
    <w:rsid w:val="0053344F"/>
    <w:rsid w:val="00533F0A"/>
    <w:rsid w:val="00534476"/>
    <w:rsid w:val="005370C2"/>
    <w:rsid w:val="00540C12"/>
    <w:rsid w:val="00541023"/>
    <w:rsid w:val="005415CA"/>
    <w:rsid w:val="00542270"/>
    <w:rsid w:val="00542495"/>
    <w:rsid w:val="0054339E"/>
    <w:rsid w:val="00544EAC"/>
    <w:rsid w:val="00547790"/>
    <w:rsid w:val="00552177"/>
    <w:rsid w:val="00552BD3"/>
    <w:rsid w:val="00553204"/>
    <w:rsid w:val="005538F9"/>
    <w:rsid w:val="005540D1"/>
    <w:rsid w:val="00554154"/>
    <w:rsid w:val="00555109"/>
    <w:rsid w:val="00555785"/>
    <w:rsid w:val="00557C18"/>
    <w:rsid w:val="0056000A"/>
    <w:rsid w:val="00560F9F"/>
    <w:rsid w:val="0056200E"/>
    <w:rsid w:val="00562491"/>
    <w:rsid w:val="00562D4D"/>
    <w:rsid w:val="005637E6"/>
    <w:rsid w:val="00564ED4"/>
    <w:rsid w:val="00565CA7"/>
    <w:rsid w:val="0056627A"/>
    <w:rsid w:val="0056696F"/>
    <w:rsid w:val="00566F61"/>
    <w:rsid w:val="00570B9C"/>
    <w:rsid w:val="00570F63"/>
    <w:rsid w:val="00571B84"/>
    <w:rsid w:val="00572A14"/>
    <w:rsid w:val="005734C0"/>
    <w:rsid w:val="00575894"/>
    <w:rsid w:val="00575D8D"/>
    <w:rsid w:val="00576972"/>
    <w:rsid w:val="005769EB"/>
    <w:rsid w:val="00576A1B"/>
    <w:rsid w:val="00581616"/>
    <w:rsid w:val="005825C6"/>
    <w:rsid w:val="00582E13"/>
    <w:rsid w:val="00583699"/>
    <w:rsid w:val="00584D1A"/>
    <w:rsid w:val="00585AAB"/>
    <w:rsid w:val="005870F7"/>
    <w:rsid w:val="00587B75"/>
    <w:rsid w:val="00590439"/>
    <w:rsid w:val="00591904"/>
    <w:rsid w:val="005919EE"/>
    <w:rsid w:val="00591A20"/>
    <w:rsid w:val="00592424"/>
    <w:rsid w:val="005924B2"/>
    <w:rsid w:val="005940E8"/>
    <w:rsid w:val="005956BC"/>
    <w:rsid w:val="00596436"/>
    <w:rsid w:val="00597542"/>
    <w:rsid w:val="005A0FDD"/>
    <w:rsid w:val="005A17E9"/>
    <w:rsid w:val="005A1DE9"/>
    <w:rsid w:val="005A2242"/>
    <w:rsid w:val="005A2459"/>
    <w:rsid w:val="005A79A4"/>
    <w:rsid w:val="005B050F"/>
    <w:rsid w:val="005B1C84"/>
    <w:rsid w:val="005B38A0"/>
    <w:rsid w:val="005B39CB"/>
    <w:rsid w:val="005B43AE"/>
    <w:rsid w:val="005B4F6F"/>
    <w:rsid w:val="005B5857"/>
    <w:rsid w:val="005B59F8"/>
    <w:rsid w:val="005B6418"/>
    <w:rsid w:val="005B6863"/>
    <w:rsid w:val="005C0DAC"/>
    <w:rsid w:val="005C1B83"/>
    <w:rsid w:val="005C346B"/>
    <w:rsid w:val="005C504F"/>
    <w:rsid w:val="005C6E7E"/>
    <w:rsid w:val="005C7395"/>
    <w:rsid w:val="005C7EC9"/>
    <w:rsid w:val="005D044D"/>
    <w:rsid w:val="005D18AD"/>
    <w:rsid w:val="005D3BA5"/>
    <w:rsid w:val="005D5078"/>
    <w:rsid w:val="005D54C7"/>
    <w:rsid w:val="005D5784"/>
    <w:rsid w:val="005D6287"/>
    <w:rsid w:val="005E016A"/>
    <w:rsid w:val="005E112E"/>
    <w:rsid w:val="005E125B"/>
    <w:rsid w:val="005E3F57"/>
    <w:rsid w:val="005E558F"/>
    <w:rsid w:val="005E6B07"/>
    <w:rsid w:val="005E73C0"/>
    <w:rsid w:val="005F17E6"/>
    <w:rsid w:val="005F1A37"/>
    <w:rsid w:val="005F2706"/>
    <w:rsid w:val="005F4406"/>
    <w:rsid w:val="005F4D55"/>
    <w:rsid w:val="005F5E70"/>
    <w:rsid w:val="005F6A8F"/>
    <w:rsid w:val="005F700B"/>
    <w:rsid w:val="00600A87"/>
    <w:rsid w:val="00601F80"/>
    <w:rsid w:val="0060232E"/>
    <w:rsid w:val="00602D75"/>
    <w:rsid w:val="006041DF"/>
    <w:rsid w:val="006046B5"/>
    <w:rsid w:val="00605AB8"/>
    <w:rsid w:val="00605EFC"/>
    <w:rsid w:val="00606466"/>
    <w:rsid w:val="00606C43"/>
    <w:rsid w:val="00607669"/>
    <w:rsid w:val="00610122"/>
    <w:rsid w:val="00610616"/>
    <w:rsid w:val="00611139"/>
    <w:rsid w:val="00611BDF"/>
    <w:rsid w:val="00611F5C"/>
    <w:rsid w:val="0061208C"/>
    <w:rsid w:val="00612F97"/>
    <w:rsid w:val="006133D5"/>
    <w:rsid w:val="0061481C"/>
    <w:rsid w:val="00614F07"/>
    <w:rsid w:val="00615AD2"/>
    <w:rsid w:val="00615CBB"/>
    <w:rsid w:val="00616802"/>
    <w:rsid w:val="00617E12"/>
    <w:rsid w:val="006204D3"/>
    <w:rsid w:val="00621477"/>
    <w:rsid w:val="00621B91"/>
    <w:rsid w:val="00621C05"/>
    <w:rsid w:val="0062379A"/>
    <w:rsid w:val="0062433E"/>
    <w:rsid w:val="00625DEF"/>
    <w:rsid w:val="00626164"/>
    <w:rsid w:val="00626E1A"/>
    <w:rsid w:val="00630A72"/>
    <w:rsid w:val="00631D6B"/>
    <w:rsid w:val="00631DB7"/>
    <w:rsid w:val="00632CF7"/>
    <w:rsid w:val="006340B3"/>
    <w:rsid w:val="006342E5"/>
    <w:rsid w:val="0063479F"/>
    <w:rsid w:val="00634FEC"/>
    <w:rsid w:val="00635413"/>
    <w:rsid w:val="006364A1"/>
    <w:rsid w:val="00637022"/>
    <w:rsid w:val="00637427"/>
    <w:rsid w:val="006379FE"/>
    <w:rsid w:val="00637BFD"/>
    <w:rsid w:val="00640391"/>
    <w:rsid w:val="00640B90"/>
    <w:rsid w:val="0064100B"/>
    <w:rsid w:val="00641310"/>
    <w:rsid w:val="006414C9"/>
    <w:rsid w:val="00643F8F"/>
    <w:rsid w:val="00644353"/>
    <w:rsid w:val="006454BA"/>
    <w:rsid w:val="0064678C"/>
    <w:rsid w:val="006471CC"/>
    <w:rsid w:val="0064729C"/>
    <w:rsid w:val="006503A3"/>
    <w:rsid w:val="0065079F"/>
    <w:rsid w:val="0065108B"/>
    <w:rsid w:val="0065127A"/>
    <w:rsid w:val="006523AB"/>
    <w:rsid w:val="006525C2"/>
    <w:rsid w:val="00652830"/>
    <w:rsid w:val="006533EA"/>
    <w:rsid w:val="006553EC"/>
    <w:rsid w:val="0065699C"/>
    <w:rsid w:val="00661278"/>
    <w:rsid w:val="00661729"/>
    <w:rsid w:val="00662193"/>
    <w:rsid w:val="0066380C"/>
    <w:rsid w:val="00663BCB"/>
    <w:rsid w:val="00665890"/>
    <w:rsid w:val="006659CA"/>
    <w:rsid w:val="006660E8"/>
    <w:rsid w:val="00667184"/>
    <w:rsid w:val="006700C1"/>
    <w:rsid w:val="00670D7D"/>
    <w:rsid w:val="00673E89"/>
    <w:rsid w:val="00674E42"/>
    <w:rsid w:val="0067530A"/>
    <w:rsid w:val="0067541A"/>
    <w:rsid w:val="0067741B"/>
    <w:rsid w:val="006774AC"/>
    <w:rsid w:val="006806EA"/>
    <w:rsid w:val="00680B1A"/>
    <w:rsid w:val="0068192B"/>
    <w:rsid w:val="00682112"/>
    <w:rsid w:val="0068218E"/>
    <w:rsid w:val="00682FE8"/>
    <w:rsid w:val="0068427B"/>
    <w:rsid w:val="00684E2A"/>
    <w:rsid w:val="006854D6"/>
    <w:rsid w:val="00685B84"/>
    <w:rsid w:val="006872BA"/>
    <w:rsid w:val="00690049"/>
    <w:rsid w:val="006901E1"/>
    <w:rsid w:val="0069105E"/>
    <w:rsid w:val="0069179B"/>
    <w:rsid w:val="006917D7"/>
    <w:rsid w:val="00691D56"/>
    <w:rsid w:val="00693375"/>
    <w:rsid w:val="00694F44"/>
    <w:rsid w:val="006954EF"/>
    <w:rsid w:val="00695C1C"/>
    <w:rsid w:val="0069686D"/>
    <w:rsid w:val="006978CB"/>
    <w:rsid w:val="006A1798"/>
    <w:rsid w:val="006A1949"/>
    <w:rsid w:val="006A49D5"/>
    <w:rsid w:val="006A5BB0"/>
    <w:rsid w:val="006A62B5"/>
    <w:rsid w:val="006B03B0"/>
    <w:rsid w:val="006B047A"/>
    <w:rsid w:val="006B1A40"/>
    <w:rsid w:val="006B240E"/>
    <w:rsid w:val="006B2EDA"/>
    <w:rsid w:val="006B557B"/>
    <w:rsid w:val="006B5634"/>
    <w:rsid w:val="006B5919"/>
    <w:rsid w:val="006B5E61"/>
    <w:rsid w:val="006B6118"/>
    <w:rsid w:val="006B709E"/>
    <w:rsid w:val="006B70BF"/>
    <w:rsid w:val="006C041A"/>
    <w:rsid w:val="006C20FC"/>
    <w:rsid w:val="006C2625"/>
    <w:rsid w:val="006C2A8E"/>
    <w:rsid w:val="006C601A"/>
    <w:rsid w:val="006C6F3D"/>
    <w:rsid w:val="006C7200"/>
    <w:rsid w:val="006C7506"/>
    <w:rsid w:val="006D1F63"/>
    <w:rsid w:val="006D2192"/>
    <w:rsid w:val="006D2EE8"/>
    <w:rsid w:val="006D3165"/>
    <w:rsid w:val="006D3C7D"/>
    <w:rsid w:val="006D5714"/>
    <w:rsid w:val="006D5D5F"/>
    <w:rsid w:val="006D77BE"/>
    <w:rsid w:val="006E0063"/>
    <w:rsid w:val="006E1EE6"/>
    <w:rsid w:val="006E3A76"/>
    <w:rsid w:val="006E44DF"/>
    <w:rsid w:val="006E47C6"/>
    <w:rsid w:val="006F0668"/>
    <w:rsid w:val="006F08C6"/>
    <w:rsid w:val="006F1208"/>
    <w:rsid w:val="006F20B6"/>
    <w:rsid w:val="006F21C9"/>
    <w:rsid w:val="006F256C"/>
    <w:rsid w:val="006F2B64"/>
    <w:rsid w:val="006F3082"/>
    <w:rsid w:val="006F6374"/>
    <w:rsid w:val="006F63A5"/>
    <w:rsid w:val="006F755D"/>
    <w:rsid w:val="006F7A56"/>
    <w:rsid w:val="0070140D"/>
    <w:rsid w:val="0070150B"/>
    <w:rsid w:val="0070176B"/>
    <w:rsid w:val="007022B1"/>
    <w:rsid w:val="0070276E"/>
    <w:rsid w:val="007027B2"/>
    <w:rsid w:val="00702A26"/>
    <w:rsid w:val="00702DC9"/>
    <w:rsid w:val="00702F8F"/>
    <w:rsid w:val="00703298"/>
    <w:rsid w:val="00703B12"/>
    <w:rsid w:val="00705A5F"/>
    <w:rsid w:val="0071155A"/>
    <w:rsid w:val="00711A36"/>
    <w:rsid w:val="00712042"/>
    <w:rsid w:val="00712ABF"/>
    <w:rsid w:val="0071382B"/>
    <w:rsid w:val="00713BCE"/>
    <w:rsid w:val="00713BDD"/>
    <w:rsid w:val="00714A5E"/>
    <w:rsid w:val="00715271"/>
    <w:rsid w:val="007158FC"/>
    <w:rsid w:val="00715EBB"/>
    <w:rsid w:val="00716E68"/>
    <w:rsid w:val="00717018"/>
    <w:rsid w:val="007172AD"/>
    <w:rsid w:val="007214BC"/>
    <w:rsid w:val="007228F1"/>
    <w:rsid w:val="00722F56"/>
    <w:rsid w:val="007232C5"/>
    <w:rsid w:val="00723808"/>
    <w:rsid w:val="00723D9F"/>
    <w:rsid w:val="0072416F"/>
    <w:rsid w:val="00724208"/>
    <w:rsid w:val="007248A4"/>
    <w:rsid w:val="0072507C"/>
    <w:rsid w:val="00725D8E"/>
    <w:rsid w:val="007266AA"/>
    <w:rsid w:val="00727051"/>
    <w:rsid w:val="007277A0"/>
    <w:rsid w:val="00727927"/>
    <w:rsid w:val="00730FD3"/>
    <w:rsid w:val="0073105C"/>
    <w:rsid w:val="007310EA"/>
    <w:rsid w:val="0073126C"/>
    <w:rsid w:val="00731F87"/>
    <w:rsid w:val="007331A6"/>
    <w:rsid w:val="00733D75"/>
    <w:rsid w:val="007348C0"/>
    <w:rsid w:val="00735328"/>
    <w:rsid w:val="007353DB"/>
    <w:rsid w:val="007357C4"/>
    <w:rsid w:val="0073685B"/>
    <w:rsid w:val="00736904"/>
    <w:rsid w:val="00736CEE"/>
    <w:rsid w:val="007403E1"/>
    <w:rsid w:val="007415E4"/>
    <w:rsid w:val="007430BB"/>
    <w:rsid w:val="00743D4B"/>
    <w:rsid w:val="007446E3"/>
    <w:rsid w:val="00744D9F"/>
    <w:rsid w:val="007450CD"/>
    <w:rsid w:val="0074749B"/>
    <w:rsid w:val="007502FE"/>
    <w:rsid w:val="00750833"/>
    <w:rsid w:val="00755BB3"/>
    <w:rsid w:val="00756EB8"/>
    <w:rsid w:val="00757954"/>
    <w:rsid w:val="0076039F"/>
    <w:rsid w:val="00762821"/>
    <w:rsid w:val="00763FA9"/>
    <w:rsid w:val="007648E2"/>
    <w:rsid w:val="0076516F"/>
    <w:rsid w:val="00766D2D"/>
    <w:rsid w:val="00766F9F"/>
    <w:rsid w:val="007673D6"/>
    <w:rsid w:val="00767C86"/>
    <w:rsid w:val="0077028C"/>
    <w:rsid w:val="00772097"/>
    <w:rsid w:val="00773035"/>
    <w:rsid w:val="007737B3"/>
    <w:rsid w:val="007769DF"/>
    <w:rsid w:val="00777487"/>
    <w:rsid w:val="00777A0E"/>
    <w:rsid w:val="00780041"/>
    <w:rsid w:val="007800AB"/>
    <w:rsid w:val="007806AF"/>
    <w:rsid w:val="0078195C"/>
    <w:rsid w:val="007820C5"/>
    <w:rsid w:val="00783851"/>
    <w:rsid w:val="00783AA5"/>
    <w:rsid w:val="00783C46"/>
    <w:rsid w:val="0078408D"/>
    <w:rsid w:val="007854E2"/>
    <w:rsid w:val="007856D7"/>
    <w:rsid w:val="007857F4"/>
    <w:rsid w:val="007901C3"/>
    <w:rsid w:val="00792015"/>
    <w:rsid w:val="00793F04"/>
    <w:rsid w:val="00796AD6"/>
    <w:rsid w:val="00796F52"/>
    <w:rsid w:val="00797623"/>
    <w:rsid w:val="0079775D"/>
    <w:rsid w:val="00797FA6"/>
    <w:rsid w:val="007A070F"/>
    <w:rsid w:val="007A0A12"/>
    <w:rsid w:val="007A1FD2"/>
    <w:rsid w:val="007A20CC"/>
    <w:rsid w:val="007A2A84"/>
    <w:rsid w:val="007A3EAC"/>
    <w:rsid w:val="007A55AB"/>
    <w:rsid w:val="007A6857"/>
    <w:rsid w:val="007A68E0"/>
    <w:rsid w:val="007A6A01"/>
    <w:rsid w:val="007A6BDA"/>
    <w:rsid w:val="007A73E7"/>
    <w:rsid w:val="007A753A"/>
    <w:rsid w:val="007B1D95"/>
    <w:rsid w:val="007B251D"/>
    <w:rsid w:val="007B27A0"/>
    <w:rsid w:val="007B3238"/>
    <w:rsid w:val="007B3429"/>
    <w:rsid w:val="007B41CD"/>
    <w:rsid w:val="007B4F6C"/>
    <w:rsid w:val="007B7025"/>
    <w:rsid w:val="007B7269"/>
    <w:rsid w:val="007B77D1"/>
    <w:rsid w:val="007B7AA2"/>
    <w:rsid w:val="007B7BDF"/>
    <w:rsid w:val="007C0B8C"/>
    <w:rsid w:val="007C361D"/>
    <w:rsid w:val="007C410A"/>
    <w:rsid w:val="007C5359"/>
    <w:rsid w:val="007C712F"/>
    <w:rsid w:val="007C7269"/>
    <w:rsid w:val="007D0B38"/>
    <w:rsid w:val="007D18D7"/>
    <w:rsid w:val="007D2555"/>
    <w:rsid w:val="007D3558"/>
    <w:rsid w:val="007D57E8"/>
    <w:rsid w:val="007D75AF"/>
    <w:rsid w:val="007D7667"/>
    <w:rsid w:val="007E1993"/>
    <w:rsid w:val="007E336C"/>
    <w:rsid w:val="007E34D2"/>
    <w:rsid w:val="007E4E41"/>
    <w:rsid w:val="007E7E61"/>
    <w:rsid w:val="007F0A90"/>
    <w:rsid w:val="007F1017"/>
    <w:rsid w:val="007F2CBE"/>
    <w:rsid w:val="007F3B2C"/>
    <w:rsid w:val="007F4A3F"/>
    <w:rsid w:val="007F53EB"/>
    <w:rsid w:val="007F61C2"/>
    <w:rsid w:val="00801797"/>
    <w:rsid w:val="00802876"/>
    <w:rsid w:val="0080468A"/>
    <w:rsid w:val="00805142"/>
    <w:rsid w:val="00806030"/>
    <w:rsid w:val="00807344"/>
    <w:rsid w:val="008073D2"/>
    <w:rsid w:val="008078B7"/>
    <w:rsid w:val="00807A8B"/>
    <w:rsid w:val="0081108D"/>
    <w:rsid w:val="008111E8"/>
    <w:rsid w:val="00811F3D"/>
    <w:rsid w:val="00812149"/>
    <w:rsid w:val="00813891"/>
    <w:rsid w:val="00814983"/>
    <w:rsid w:val="00814C60"/>
    <w:rsid w:val="00814D4E"/>
    <w:rsid w:val="008155C0"/>
    <w:rsid w:val="008159B9"/>
    <w:rsid w:val="008164DC"/>
    <w:rsid w:val="008166EF"/>
    <w:rsid w:val="008264EB"/>
    <w:rsid w:val="00832563"/>
    <w:rsid w:val="00833505"/>
    <w:rsid w:val="00833B05"/>
    <w:rsid w:val="00833B43"/>
    <w:rsid w:val="00834FAF"/>
    <w:rsid w:val="008351F6"/>
    <w:rsid w:val="00836FFA"/>
    <w:rsid w:val="00840CA2"/>
    <w:rsid w:val="00841FDB"/>
    <w:rsid w:val="00842B4D"/>
    <w:rsid w:val="0084454C"/>
    <w:rsid w:val="00850769"/>
    <w:rsid w:val="0085096F"/>
    <w:rsid w:val="00852019"/>
    <w:rsid w:val="00853D9F"/>
    <w:rsid w:val="0085435F"/>
    <w:rsid w:val="00854815"/>
    <w:rsid w:val="00854D21"/>
    <w:rsid w:val="0085594D"/>
    <w:rsid w:val="00856E9A"/>
    <w:rsid w:val="00857443"/>
    <w:rsid w:val="0085778E"/>
    <w:rsid w:val="00857BF6"/>
    <w:rsid w:val="00857D91"/>
    <w:rsid w:val="008604BA"/>
    <w:rsid w:val="008613BB"/>
    <w:rsid w:val="00861CA4"/>
    <w:rsid w:val="00861DF6"/>
    <w:rsid w:val="00861E95"/>
    <w:rsid w:val="00862502"/>
    <w:rsid w:val="00866D33"/>
    <w:rsid w:val="0087002A"/>
    <w:rsid w:val="00870A33"/>
    <w:rsid w:val="00872328"/>
    <w:rsid w:val="008723F2"/>
    <w:rsid w:val="00873F8C"/>
    <w:rsid w:val="008743B0"/>
    <w:rsid w:val="008775B1"/>
    <w:rsid w:val="00880123"/>
    <w:rsid w:val="00882874"/>
    <w:rsid w:val="00883587"/>
    <w:rsid w:val="00883787"/>
    <w:rsid w:val="00883E49"/>
    <w:rsid w:val="00884171"/>
    <w:rsid w:val="00884FFE"/>
    <w:rsid w:val="00885E35"/>
    <w:rsid w:val="00885F17"/>
    <w:rsid w:val="008863EA"/>
    <w:rsid w:val="008866D3"/>
    <w:rsid w:val="0089068E"/>
    <w:rsid w:val="00891104"/>
    <w:rsid w:val="008918DF"/>
    <w:rsid w:val="00891E27"/>
    <w:rsid w:val="008920C8"/>
    <w:rsid w:val="008942F0"/>
    <w:rsid w:val="00894489"/>
    <w:rsid w:val="00895584"/>
    <w:rsid w:val="0089563C"/>
    <w:rsid w:val="0089596F"/>
    <w:rsid w:val="00896294"/>
    <w:rsid w:val="008963A5"/>
    <w:rsid w:val="00897594"/>
    <w:rsid w:val="008A1FA6"/>
    <w:rsid w:val="008A3573"/>
    <w:rsid w:val="008A3751"/>
    <w:rsid w:val="008A3C3E"/>
    <w:rsid w:val="008A3C6F"/>
    <w:rsid w:val="008A5665"/>
    <w:rsid w:val="008A7441"/>
    <w:rsid w:val="008A79DE"/>
    <w:rsid w:val="008B049C"/>
    <w:rsid w:val="008B3C70"/>
    <w:rsid w:val="008B4207"/>
    <w:rsid w:val="008B5FC7"/>
    <w:rsid w:val="008B6D6F"/>
    <w:rsid w:val="008B7D7E"/>
    <w:rsid w:val="008C059A"/>
    <w:rsid w:val="008C1E24"/>
    <w:rsid w:val="008C298A"/>
    <w:rsid w:val="008C3815"/>
    <w:rsid w:val="008C49DC"/>
    <w:rsid w:val="008C4FA3"/>
    <w:rsid w:val="008C5273"/>
    <w:rsid w:val="008C5725"/>
    <w:rsid w:val="008C6A2F"/>
    <w:rsid w:val="008C6D46"/>
    <w:rsid w:val="008C7ECB"/>
    <w:rsid w:val="008D036D"/>
    <w:rsid w:val="008D0877"/>
    <w:rsid w:val="008D0B93"/>
    <w:rsid w:val="008D0CB1"/>
    <w:rsid w:val="008D20D2"/>
    <w:rsid w:val="008D2AF7"/>
    <w:rsid w:val="008D3CDB"/>
    <w:rsid w:val="008D71E1"/>
    <w:rsid w:val="008D79EE"/>
    <w:rsid w:val="008E00EB"/>
    <w:rsid w:val="008E0613"/>
    <w:rsid w:val="008E1B9E"/>
    <w:rsid w:val="008E208F"/>
    <w:rsid w:val="008E2271"/>
    <w:rsid w:val="008E4CD0"/>
    <w:rsid w:val="008E50B8"/>
    <w:rsid w:val="008E5B3A"/>
    <w:rsid w:val="008E65CA"/>
    <w:rsid w:val="008E73B7"/>
    <w:rsid w:val="008E7835"/>
    <w:rsid w:val="008E7EF7"/>
    <w:rsid w:val="008F0FE5"/>
    <w:rsid w:val="008F120A"/>
    <w:rsid w:val="008F2AC7"/>
    <w:rsid w:val="008F48EB"/>
    <w:rsid w:val="008F4ACF"/>
    <w:rsid w:val="008F4F0B"/>
    <w:rsid w:val="008F4FAC"/>
    <w:rsid w:val="008F5723"/>
    <w:rsid w:val="008F67EF"/>
    <w:rsid w:val="008F6E72"/>
    <w:rsid w:val="00900F89"/>
    <w:rsid w:val="009023C7"/>
    <w:rsid w:val="00902F47"/>
    <w:rsid w:val="0090530C"/>
    <w:rsid w:val="009062A5"/>
    <w:rsid w:val="0090631B"/>
    <w:rsid w:val="00910A89"/>
    <w:rsid w:val="00911272"/>
    <w:rsid w:val="0091158E"/>
    <w:rsid w:val="00912007"/>
    <w:rsid w:val="0091294C"/>
    <w:rsid w:val="00913341"/>
    <w:rsid w:val="00914180"/>
    <w:rsid w:val="00914CA2"/>
    <w:rsid w:val="00915790"/>
    <w:rsid w:val="0091581B"/>
    <w:rsid w:val="0091597F"/>
    <w:rsid w:val="0091688A"/>
    <w:rsid w:val="009173CA"/>
    <w:rsid w:val="00917795"/>
    <w:rsid w:val="00917CA5"/>
    <w:rsid w:val="00921C12"/>
    <w:rsid w:val="0092221A"/>
    <w:rsid w:val="00923812"/>
    <w:rsid w:val="0092386C"/>
    <w:rsid w:val="00924B18"/>
    <w:rsid w:val="0092504B"/>
    <w:rsid w:val="0092563C"/>
    <w:rsid w:val="00925688"/>
    <w:rsid w:val="00925DB6"/>
    <w:rsid w:val="00925ECA"/>
    <w:rsid w:val="0093079B"/>
    <w:rsid w:val="00930CF5"/>
    <w:rsid w:val="00931419"/>
    <w:rsid w:val="0093168D"/>
    <w:rsid w:val="00931696"/>
    <w:rsid w:val="00931986"/>
    <w:rsid w:val="009327B5"/>
    <w:rsid w:val="00932FAF"/>
    <w:rsid w:val="0093369E"/>
    <w:rsid w:val="00935480"/>
    <w:rsid w:val="00935C9B"/>
    <w:rsid w:val="00936727"/>
    <w:rsid w:val="00940A62"/>
    <w:rsid w:val="00940B2D"/>
    <w:rsid w:val="00942083"/>
    <w:rsid w:val="009426F3"/>
    <w:rsid w:val="00943A4C"/>
    <w:rsid w:val="00947B4D"/>
    <w:rsid w:val="0095004A"/>
    <w:rsid w:val="00950218"/>
    <w:rsid w:val="00954D2C"/>
    <w:rsid w:val="00956092"/>
    <w:rsid w:val="009560EB"/>
    <w:rsid w:val="00956BC5"/>
    <w:rsid w:val="00960EFC"/>
    <w:rsid w:val="00961C0D"/>
    <w:rsid w:val="00961FFA"/>
    <w:rsid w:val="00962CB9"/>
    <w:rsid w:val="00963500"/>
    <w:rsid w:val="009639EE"/>
    <w:rsid w:val="0096412C"/>
    <w:rsid w:val="00964312"/>
    <w:rsid w:val="00964A9D"/>
    <w:rsid w:val="00964FCE"/>
    <w:rsid w:val="009655AA"/>
    <w:rsid w:val="00965BFA"/>
    <w:rsid w:val="00970B6F"/>
    <w:rsid w:val="00970E46"/>
    <w:rsid w:val="00970F12"/>
    <w:rsid w:val="0097129D"/>
    <w:rsid w:val="009714EF"/>
    <w:rsid w:val="00973CA6"/>
    <w:rsid w:val="009748C0"/>
    <w:rsid w:val="009775AC"/>
    <w:rsid w:val="009806E4"/>
    <w:rsid w:val="00981283"/>
    <w:rsid w:val="00981567"/>
    <w:rsid w:val="009816DE"/>
    <w:rsid w:val="00981849"/>
    <w:rsid w:val="009830F1"/>
    <w:rsid w:val="00983618"/>
    <w:rsid w:val="00983E57"/>
    <w:rsid w:val="00985FD9"/>
    <w:rsid w:val="00985FF4"/>
    <w:rsid w:val="0098663C"/>
    <w:rsid w:val="009902E8"/>
    <w:rsid w:val="00990BFE"/>
    <w:rsid w:val="00992074"/>
    <w:rsid w:val="00996A5D"/>
    <w:rsid w:val="00996B1A"/>
    <w:rsid w:val="0099792F"/>
    <w:rsid w:val="00997C4C"/>
    <w:rsid w:val="009A02E2"/>
    <w:rsid w:val="009A07FC"/>
    <w:rsid w:val="009A0AA8"/>
    <w:rsid w:val="009A46F3"/>
    <w:rsid w:val="009A6458"/>
    <w:rsid w:val="009A754E"/>
    <w:rsid w:val="009B061E"/>
    <w:rsid w:val="009B0A88"/>
    <w:rsid w:val="009B1A80"/>
    <w:rsid w:val="009B3E26"/>
    <w:rsid w:val="009C29D0"/>
    <w:rsid w:val="009C481A"/>
    <w:rsid w:val="009C4976"/>
    <w:rsid w:val="009C4D2F"/>
    <w:rsid w:val="009C61CB"/>
    <w:rsid w:val="009C6B33"/>
    <w:rsid w:val="009C7051"/>
    <w:rsid w:val="009C761B"/>
    <w:rsid w:val="009D0572"/>
    <w:rsid w:val="009D0857"/>
    <w:rsid w:val="009D0E81"/>
    <w:rsid w:val="009D1911"/>
    <w:rsid w:val="009D343D"/>
    <w:rsid w:val="009D513D"/>
    <w:rsid w:val="009D5B91"/>
    <w:rsid w:val="009D7DEF"/>
    <w:rsid w:val="009E006D"/>
    <w:rsid w:val="009E1A2C"/>
    <w:rsid w:val="009E3255"/>
    <w:rsid w:val="009E38E1"/>
    <w:rsid w:val="009E49A3"/>
    <w:rsid w:val="009E4C07"/>
    <w:rsid w:val="009E680D"/>
    <w:rsid w:val="009E7736"/>
    <w:rsid w:val="009E7CD8"/>
    <w:rsid w:val="009F175E"/>
    <w:rsid w:val="009F2758"/>
    <w:rsid w:val="009F4A4B"/>
    <w:rsid w:val="009F4D09"/>
    <w:rsid w:val="009F605E"/>
    <w:rsid w:val="00A013DC"/>
    <w:rsid w:val="00A01657"/>
    <w:rsid w:val="00A02F42"/>
    <w:rsid w:val="00A0322E"/>
    <w:rsid w:val="00A03D43"/>
    <w:rsid w:val="00A03E89"/>
    <w:rsid w:val="00A04380"/>
    <w:rsid w:val="00A04C01"/>
    <w:rsid w:val="00A0565F"/>
    <w:rsid w:val="00A0596D"/>
    <w:rsid w:val="00A069A9"/>
    <w:rsid w:val="00A07160"/>
    <w:rsid w:val="00A11578"/>
    <w:rsid w:val="00A116D6"/>
    <w:rsid w:val="00A11EA5"/>
    <w:rsid w:val="00A12AAA"/>
    <w:rsid w:val="00A12CE3"/>
    <w:rsid w:val="00A12F23"/>
    <w:rsid w:val="00A13948"/>
    <w:rsid w:val="00A14134"/>
    <w:rsid w:val="00A147D3"/>
    <w:rsid w:val="00A14A40"/>
    <w:rsid w:val="00A16350"/>
    <w:rsid w:val="00A16B07"/>
    <w:rsid w:val="00A16BA9"/>
    <w:rsid w:val="00A16DC2"/>
    <w:rsid w:val="00A1720A"/>
    <w:rsid w:val="00A204FF"/>
    <w:rsid w:val="00A21D67"/>
    <w:rsid w:val="00A2456A"/>
    <w:rsid w:val="00A245DC"/>
    <w:rsid w:val="00A24C54"/>
    <w:rsid w:val="00A25507"/>
    <w:rsid w:val="00A255C3"/>
    <w:rsid w:val="00A260A6"/>
    <w:rsid w:val="00A262CF"/>
    <w:rsid w:val="00A266C2"/>
    <w:rsid w:val="00A27367"/>
    <w:rsid w:val="00A27AEC"/>
    <w:rsid w:val="00A3270B"/>
    <w:rsid w:val="00A333D2"/>
    <w:rsid w:val="00A33752"/>
    <w:rsid w:val="00A33FCF"/>
    <w:rsid w:val="00A34290"/>
    <w:rsid w:val="00A35B5A"/>
    <w:rsid w:val="00A35D16"/>
    <w:rsid w:val="00A42391"/>
    <w:rsid w:val="00A427C4"/>
    <w:rsid w:val="00A432FE"/>
    <w:rsid w:val="00A43C59"/>
    <w:rsid w:val="00A43CF7"/>
    <w:rsid w:val="00A44E1D"/>
    <w:rsid w:val="00A4699B"/>
    <w:rsid w:val="00A469BF"/>
    <w:rsid w:val="00A46D49"/>
    <w:rsid w:val="00A4788E"/>
    <w:rsid w:val="00A47C2C"/>
    <w:rsid w:val="00A50ECD"/>
    <w:rsid w:val="00A5204E"/>
    <w:rsid w:val="00A520DF"/>
    <w:rsid w:val="00A521D9"/>
    <w:rsid w:val="00A52729"/>
    <w:rsid w:val="00A52F4C"/>
    <w:rsid w:val="00A53501"/>
    <w:rsid w:val="00A53675"/>
    <w:rsid w:val="00A54415"/>
    <w:rsid w:val="00A54CB2"/>
    <w:rsid w:val="00A55FC0"/>
    <w:rsid w:val="00A56B6A"/>
    <w:rsid w:val="00A56E3F"/>
    <w:rsid w:val="00A56F5C"/>
    <w:rsid w:val="00A578DC"/>
    <w:rsid w:val="00A57FCB"/>
    <w:rsid w:val="00A608E5"/>
    <w:rsid w:val="00A60B73"/>
    <w:rsid w:val="00A6312A"/>
    <w:rsid w:val="00A66D0F"/>
    <w:rsid w:val="00A6725B"/>
    <w:rsid w:val="00A67A11"/>
    <w:rsid w:val="00A70EEF"/>
    <w:rsid w:val="00A712EE"/>
    <w:rsid w:val="00A71848"/>
    <w:rsid w:val="00A72219"/>
    <w:rsid w:val="00A724C1"/>
    <w:rsid w:val="00A76375"/>
    <w:rsid w:val="00A77830"/>
    <w:rsid w:val="00A77B01"/>
    <w:rsid w:val="00A806BE"/>
    <w:rsid w:val="00A81B1A"/>
    <w:rsid w:val="00A82010"/>
    <w:rsid w:val="00A83BE5"/>
    <w:rsid w:val="00A84DFE"/>
    <w:rsid w:val="00A8682E"/>
    <w:rsid w:val="00A86E8B"/>
    <w:rsid w:val="00A87276"/>
    <w:rsid w:val="00A91DDB"/>
    <w:rsid w:val="00A93072"/>
    <w:rsid w:val="00A934F6"/>
    <w:rsid w:val="00A94158"/>
    <w:rsid w:val="00A9431E"/>
    <w:rsid w:val="00A94436"/>
    <w:rsid w:val="00A9495D"/>
    <w:rsid w:val="00A94BDA"/>
    <w:rsid w:val="00A94E1D"/>
    <w:rsid w:val="00A94E2F"/>
    <w:rsid w:val="00A959D8"/>
    <w:rsid w:val="00A96C2A"/>
    <w:rsid w:val="00AA0183"/>
    <w:rsid w:val="00AA0296"/>
    <w:rsid w:val="00AA09FE"/>
    <w:rsid w:val="00AA30E4"/>
    <w:rsid w:val="00AA3401"/>
    <w:rsid w:val="00AA38C1"/>
    <w:rsid w:val="00AA462D"/>
    <w:rsid w:val="00AA79B6"/>
    <w:rsid w:val="00AB02F1"/>
    <w:rsid w:val="00AB042A"/>
    <w:rsid w:val="00AB0D74"/>
    <w:rsid w:val="00AB162D"/>
    <w:rsid w:val="00AB2D34"/>
    <w:rsid w:val="00AB3430"/>
    <w:rsid w:val="00AB368E"/>
    <w:rsid w:val="00AB52F9"/>
    <w:rsid w:val="00AB5429"/>
    <w:rsid w:val="00AB6839"/>
    <w:rsid w:val="00AB6A50"/>
    <w:rsid w:val="00AB6C44"/>
    <w:rsid w:val="00AB73D2"/>
    <w:rsid w:val="00AB7472"/>
    <w:rsid w:val="00AB7CFA"/>
    <w:rsid w:val="00AC04B8"/>
    <w:rsid w:val="00AC205E"/>
    <w:rsid w:val="00AC3685"/>
    <w:rsid w:val="00AC4897"/>
    <w:rsid w:val="00AC4FAF"/>
    <w:rsid w:val="00AC64C8"/>
    <w:rsid w:val="00AC7287"/>
    <w:rsid w:val="00AC7539"/>
    <w:rsid w:val="00AD1A75"/>
    <w:rsid w:val="00AD30C8"/>
    <w:rsid w:val="00AD3D9D"/>
    <w:rsid w:val="00AD4521"/>
    <w:rsid w:val="00AD468B"/>
    <w:rsid w:val="00AD4713"/>
    <w:rsid w:val="00AD4A6A"/>
    <w:rsid w:val="00AD7688"/>
    <w:rsid w:val="00AD7C1C"/>
    <w:rsid w:val="00AE0179"/>
    <w:rsid w:val="00AE2340"/>
    <w:rsid w:val="00AE3638"/>
    <w:rsid w:val="00AE3A6D"/>
    <w:rsid w:val="00AE40BF"/>
    <w:rsid w:val="00AE50CC"/>
    <w:rsid w:val="00AE5DBA"/>
    <w:rsid w:val="00AE63F6"/>
    <w:rsid w:val="00AF04E9"/>
    <w:rsid w:val="00AF148F"/>
    <w:rsid w:val="00AF33CE"/>
    <w:rsid w:val="00AF56E7"/>
    <w:rsid w:val="00AF7E30"/>
    <w:rsid w:val="00B00623"/>
    <w:rsid w:val="00B0084B"/>
    <w:rsid w:val="00B0147D"/>
    <w:rsid w:val="00B01509"/>
    <w:rsid w:val="00B01E64"/>
    <w:rsid w:val="00B03618"/>
    <w:rsid w:val="00B03DE1"/>
    <w:rsid w:val="00B04721"/>
    <w:rsid w:val="00B06292"/>
    <w:rsid w:val="00B113CB"/>
    <w:rsid w:val="00B1293F"/>
    <w:rsid w:val="00B12F73"/>
    <w:rsid w:val="00B14873"/>
    <w:rsid w:val="00B14F53"/>
    <w:rsid w:val="00B1542C"/>
    <w:rsid w:val="00B15DF3"/>
    <w:rsid w:val="00B16156"/>
    <w:rsid w:val="00B1694E"/>
    <w:rsid w:val="00B17448"/>
    <w:rsid w:val="00B1745E"/>
    <w:rsid w:val="00B176CA"/>
    <w:rsid w:val="00B17706"/>
    <w:rsid w:val="00B219FF"/>
    <w:rsid w:val="00B2263D"/>
    <w:rsid w:val="00B2350D"/>
    <w:rsid w:val="00B2564B"/>
    <w:rsid w:val="00B26181"/>
    <w:rsid w:val="00B2676C"/>
    <w:rsid w:val="00B27009"/>
    <w:rsid w:val="00B3096B"/>
    <w:rsid w:val="00B3132C"/>
    <w:rsid w:val="00B3275F"/>
    <w:rsid w:val="00B32EC9"/>
    <w:rsid w:val="00B32EE4"/>
    <w:rsid w:val="00B35AFD"/>
    <w:rsid w:val="00B37CEC"/>
    <w:rsid w:val="00B37D42"/>
    <w:rsid w:val="00B423AA"/>
    <w:rsid w:val="00B426EB"/>
    <w:rsid w:val="00B42851"/>
    <w:rsid w:val="00B4290F"/>
    <w:rsid w:val="00B44ECB"/>
    <w:rsid w:val="00B45EDA"/>
    <w:rsid w:val="00B50DB8"/>
    <w:rsid w:val="00B51425"/>
    <w:rsid w:val="00B514A9"/>
    <w:rsid w:val="00B53905"/>
    <w:rsid w:val="00B54118"/>
    <w:rsid w:val="00B54411"/>
    <w:rsid w:val="00B5484A"/>
    <w:rsid w:val="00B54B5B"/>
    <w:rsid w:val="00B551FD"/>
    <w:rsid w:val="00B5562E"/>
    <w:rsid w:val="00B57000"/>
    <w:rsid w:val="00B60939"/>
    <w:rsid w:val="00B60AFD"/>
    <w:rsid w:val="00B61306"/>
    <w:rsid w:val="00B62715"/>
    <w:rsid w:val="00B63006"/>
    <w:rsid w:val="00B63744"/>
    <w:rsid w:val="00B665A3"/>
    <w:rsid w:val="00B66DDD"/>
    <w:rsid w:val="00B67C43"/>
    <w:rsid w:val="00B70CD3"/>
    <w:rsid w:val="00B7104D"/>
    <w:rsid w:val="00B725F1"/>
    <w:rsid w:val="00B735D5"/>
    <w:rsid w:val="00B73FD2"/>
    <w:rsid w:val="00B7767E"/>
    <w:rsid w:val="00B818A4"/>
    <w:rsid w:val="00B82F66"/>
    <w:rsid w:val="00B83324"/>
    <w:rsid w:val="00B8363E"/>
    <w:rsid w:val="00B8649C"/>
    <w:rsid w:val="00B9067A"/>
    <w:rsid w:val="00B90B19"/>
    <w:rsid w:val="00B90DB9"/>
    <w:rsid w:val="00B910C3"/>
    <w:rsid w:val="00B91167"/>
    <w:rsid w:val="00B92D0B"/>
    <w:rsid w:val="00B93E3D"/>
    <w:rsid w:val="00B9406D"/>
    <w:rsid w:val="00B94945"/>
    <w:rsid w:val="00B95A3B"/>
    <w:rsid w:val="00B967F8"/>
    <w:rsid w:val="00BA36C1"/>
    <w:rsid w:val="00BA477B"/>
    <w:rsid w:val="00BA47D7"/>
    <w:rsid w:val="00BA4C7A"/>
    <w:rsid w:val="00BA6439"/>
    <w:rsid w:val="00BA707D"/>
    <w:rsid w:val="00BA73F4"/>
    <w:rsid w:val="00BA77FE"/>
    <w:rsid w:val="00BA7D48"/>
    <w:rsid w:val="00BB1374"/>
    <w:rsid w:val="00BB42E8"/>
    <w:rsid w:val="00BB442B"/>
    <w:rsid w:val="00BB4833"/>
    <w:rsid w:val="00BB483B"/>
    <w:rsid w:val="00BB6B16"/>
    <w:rsid w:val="00BB7405"/>
    <w:rsid w:val="00BC17E4"/>
    <w:rsid w:val="00BC3F40"/>
    <w:rsid w:val="00BC553E"/>
    <w:rsid w:val="00BC5A2E"/>
    <w:rsid w:val="00BC5AD1"/>
    <w:rsid w:val="00BC6BCE"/>
    <w:rsid w:val="00BC7152"/>
    <w:rsid w:val="00BD2552"/>
    <w:rsid w:val="00BD30F3"/>
    <w:rsid w:val="00BD40B3"/>
    <w:rsid w:val="00BD468C"/>
    <w:rsid w:val="00BD4D51"/>
    <w:rsid w:val="00BD65AF"/>
    <w:rsid w:val="00BD6CF3"/>
    <w:rsid w:val="00BD7539"/>
    <w:rsid w:val="00BE14D6"/>
    <w:rsid w:val="00BE1BD4"/>
    <w:rsid w:val="00BE1CF7"/>
    <w:rsid w:val="00BE2180"/>
    <w:rsid w:val="00BE230C"/>
    <w:rsid w:val="00BE36CB"/>
    <w:rsid w:val="00BE4275"/>
    <w:rsid w:val="00BE4BB2"/>
    <w:rsid w:val="00BE5F48"/>
    <w:rsid w:val="00BE6AC7"/>
    <w:rsid w:val="00BF2433"/>
    <w:rsid w:val="00BF2B3E"/>
    <w:rsid w:val="00BF3042"/>
    <w:rsid w:val="00BF3B7E"/>
    <w:rsid w:val="00BF587B"/>
    <w:rsid w:val="00BF5CA9"/>
    <w:rsid w:val="00BF61C9"/>
    <w:rsid w:val="00BF7A02"/>
    <w:rsid w:val="00C00084"/>
    <w:rsid w:val="00C01CCB"/>
    <w:rsid w:val="00C02466"/>
    <w:rsid w:val="00C05835"/>
    <w:rsid w:val="00C07BAD"/>
    <w:rsid w:val="00C1063B"/>
    <w:rsid w:val="00C1080F"/>
    <w:rsid w:val="00C10B4E"/>
    <w:rsid w:val="00C11454"/>
    <w:rsid w:val="00C114B2"/>
    <w:rsid w:val="00C11B84"/>
    <w:rsid w:val="00C12EB8"/>
    <w:rsid w:val="00C12F96"/>
    <w:rsid w:val="00C13C6E"/>
    <w:rsid w:val="00C141DF"/>
    <w:rsid w:val="00C146B0"/>
    <w:rsid w:val="00C14D2B"/>
    <w:rsid w:val="00C15A52"/>
    <w:rsid w:val="00C16AF7"/>
    <w:rsid w:val="00C17769"/>
    <w:rsid w:val="00C202BA"/>
    <w:rsid w:val="00C2182C"/>
    <w:rsid w:val="00C21A40"/>
    <w:rsid w:val="00C231BD"/>
    <w:rsid w:val="00C23964"/>
    <w:rsid w:val="00C24653"/>
    <w:rsid w:val="00C24E4F"/>
    <w:rsid w:val="00C25418"/>
    <w:rsid w:val="00C25D9C"/>
    <w:rsid w:val="00C305B8"/>
    <w:rsid w:val="00C31040"/>
    <w:rsid w:val="00C31649"/>
    <w:rsid w:val="00C3278F"/>
    <w:rsid w:val="00C33F58"/>
    <w:rsid w:val="00C341FB"/>
    <w:rsid w:val="00C350ED"/>
    <w:rsid w:val="00C35777"/>
    <w:rsid w:val="00C35B6D"/>
    <w:rsid w:val="00C35DDD"/>
    <w:rsid w:val="00C36243"/>
    <w:rsid w:val="00C40385"/>
    <w:rsid w:val="00C4122B"/>
    <w:rsid w:val="00C413C9"/>
    <w:rsid w:val="00C42525"/>
    <w:rsid w:val="00C452E7"/>
    <w:rsid w:val="00C45E1F"/>
    <w:rsid w:val="00C46508"/>
    <w:rsid w:val="00C5040C"/>
    <w:rsid w:val="00C50B22"/>
    <w:rsid w:val="00C52D52"/>
    <w:rsid w:val="00C5531B"/>
    <w:rsid w:val="00C55EA0"/>
    <w:rsid w:val="00C5767F"/>
    <w:rsid w:val="00C610BE"/>
    <w:rsid w:val="00C65436"/>
    <w:rsid w:val="00C65576"/>
    <w:rsid w:val="00C65659"/>
    <w:rsid w:val="00C66165"/>
    <w:rsid w:val="00C70DA6"/>
    <w:rsid w:val="00C744D5"/>
    <w:rsid w:val="00C750C8"/>
    <w:rsid w:val="00C75105"/>
    <w:rsid w:val="00C75780"/>
    <w:rsid w:val="00C75F81"/>
    <w:rsid w:val="00C77ABC"/>
    <w:rsid w:val="00C77C2E"/>
    <w:rsid w:val="00C81963"/>
    <w:rsid w:val="00C8213F"/>
    <w:rsid w:val="00C8438D"/>
    <w:rsid w:val="00C8530A"/>
    <w:rsid w:val="00C8797A"/>
    <w:rsid w:val="00C90B92"/>
    <w:rsid w:val="00C91234"/>
    <w:rsid w:val="00C91497"/>
    <w:rsid w:val="00C92FCA"/>
    <w:rsid w:val="00C93153"/>
    <w:rsid w:val="00C938CF"/>
    <w:rsid w:val="00C959F2"/>
    <w:rsid w:val="00C95A13"/>
    <w:rsid w:val="00C96EB8"/>
    <w:rsid w:val="00C97A3A"/>
    <w:rsid w:val="00C97BE0"/>
    <w:rsid w:val="00CA200E"/>
    <w:rsid w:val="00CA29FB"/>
    <w:rsid w:val="00CA3124"/>
    <w:rsid w:val="00CA3D22"/>
    <w:rsid w:val="00CA5245"/>
    <w:rsid w:val="00CA7B09"/>
    <w:rsid w:val="00CB0E9B"/>
    <w:rsid w:val="00CB10B6"/>
    <w:rsid w:val="00CB1381"/>
    <w:rsid w:val="00CB19A5"/>
    <w:rsid w:val="00CB2014"/>
    <w:rsid w:val="00CB3694"/>
    <w:rsid w:val="00CB3BCD"/>
    <w:rsid w:val="00CB5B1A"/>
    <w:rsid w:val="00CB72E6"/>
    <w:rsid w:val="00CB74F0"/>
    <w:rsid w:val="00CB7826"/>
    <w:rsid w:val="00CC0881"/>
    <w:rsid w:val="00CC202F"/>
    <w:rsid w:val="00CC2914"/>
    <w:rsid w:val="00CC36ED"/>
    <w:rsid w:val="00CC4790"/>
    <w:rsid w:val="00CC5AFB"/>
    <w:rsid w:val="00CC5EED"/>
    <w:rsid w:val="00CC7B57"/>
    <w:rsid w:val="00CD0376"/>
    <w:rsid w:val="00CD08F6"/>
    <w:rsid w:val="00CD18B1"/>
    <w:rsid w:val="00CD1EBA"/>
    <w:rsid w:val="00CD26BD"/>
    <w:rsid w:val="00CD4674"/>
    <w:rsid w:val="00CD4BF2"/>
    <w:rsid w:val="00CD64FD"/>
    <w:rsid w:val="00CD6ADC"/>
    <w:rsid w:val="00CD74CD"/>
    <w:rsid w:val="00CE0F29"/>
    <w:rsid w:val="00CE548F"/>
    <w:rsid w:val="00CE5746"/>
    <w:rsid w:val="00CE5FEE"/>
    <w:rsid w:val="00CE6274"/>
    <w:rsid w:val="00CE6904"/>
    <w:rsid w:val="00CE6A4E"/>
    <w:rsid w:val="00CE7794"/>
    <w:rsid w:val="00CE7DD6"/>
    <w:rsid w:val="00CF0080"/>
    <w:rsid w:val="00CF1F0C"/>
    <w:rsid w:val="00CF3AD6"/>
    <w:rsid w:val="00CF4537"/>
    <w:rsid w:val="00CF456B"/>
    <w:rsid w:val="00CF50EE"/>
    <w:rsid w:val="00CF5A22"/>
    <w:rsid w:val="00CF7D1F"/>
    <w:rsid w:val="00D007F8"/>
    <w:rsid w:val="00D00B36"/>
    <w:rsid w:val="00D0262E"/>
    <w:rsid w:val="00D02C28"/>
    <w:rsid w:val="00D03024"/>
    <w:rsid w:val="00D04752"/>
    <w:rsid w:val="00D04832"/>
    <w:rsid w:val="00D049B5"/>
    <w:rsid w:val="00D04A7C"/>
    <w:rsid w:val="00D0517A"/>
    <w:rsid w:val="00D05DEE"/>
    <w:rsid w:val="00D0703C"/>
    <w:rsid w:val="00D0735A"/>
    <w:rsid w:val="00D07581"/>
    <w:rsid w:val="00D110BD"/>
    <w:rsid w:val="00D1468F"/>
    <w:rsid w:val="00D1557A"/>
    <w:rsid w:val="00D16A5F"/>
    <w:rsid w:val="00D17D6C"/>
    <w:rsid w:val="00D20469"/>
    <w:rsid w:val="00D21412"/>
    <w:rsid w:val="00D25E03"/>
    <w:rsid w:val="00D26DB8"/>
    <w:rsid w:val="00D300A7"/>
    <w:rsid w:val="00D309A5"/>
    <w:rsid w:val="00D340A5"/>
    <w:rsid w:val="00D3521D"/>
    <w:rsid w:val="00D357FF"/>
    <w:rsid w:val="00D358C2"/>
    <w:rsid w:val="00D3782B"/>
    <w:rsid w:val="00D41584"/>
    <w:rsid w:val="00D41ABC"/>
    <w:rsid w:val="00D41AE0"/>
    <w:rsid w:val="00D41C12"/>
    <w:rsid w:val="00D41FE9"/>
    <w:rsid w:val="00D43A55"/>
    <w:rsid w:val="00D43F31"/>
    <w:rsid w:val="00D44419"/>
    <w:rsid w:val="00D46CE7"/>
    <w:rsid w:val="00D470C1"/>
    <w:rsid w:val="00D47994"/>
    <w:rsid w:val="00D51313"/>
    <w:rsid w:val="00D51F66"/>
    <w:rsid w:val="00D5309B"/>
    <w:rsid w:val="00D55022"/>
    <w:rsid w:val="00D5573A"/>
    <w:rsid w:val="00D559A3"/>
    <w:rsid w:val="00D5700C"/>
    <w:rsid w:val="00D5785C"/>
    <w:rsid w:val="00D57D07"/>
    <w:rsid w:val="00D57FC3"/>
    <w:rsid w:val="00D60610"/>
    <w:rsid w:val="00D60690"/>
    <w:rsid w:val="00D610E2"/>
    <w:rsid w:val="00D61BC7"/>
    <w:rsid w:val="00D61D25"/>
    <w:rsid w:val="00D62F50"/>
    <w:rsid w:val="00D64578"/>
    <w:rsid w:val="00D64F46"/>
    <w:rsid w:val="00D652AF"/>
    <w:rsid w:val="00D65E51"/>
    <w:rsid w:val="00D66F4A"/>
    <w:rsid w:val="00D670F4"/>
    <w:rsid w:val="00D676DC"/>
    <w:rsid w:val="00D70594"/>
    <w:rsid w:val="00D706A8"/>
    <w:rsid w:val="00D7162B"/>
    <w:rsid w:val="00D736EE"/>
    <w:rsid w:val="00D7441F"/>
    <w:rsid w:val="00D746EF"/>
    <w:rsid w:val="00D747DE"/>
    <w:rsid w:val="00D76A44"/>
    <w:rsid w:val="00D76C23"/>
    <w:rsid w:val="00D76D33"/>
    <w:rsid w:val="00D82C61"/>
    <w:rsid w:val="00D832E2"/>
    <w:rsid w:val="00D84D0B"/>
    <w:rsid w:val="00D850AF"/>
    <w:rsid w:val="00D87F7F"/>
    <w:rsid w:val="00D90188"/>
    <w:rsid w:val="00D92A8A"/>
    <w:rsid w:val="00D93753"/>
    <w:rsid w:val="00D948FF"/>
    <w:rsid w:val="00D950D2"/>
    <w:rsid w:val="00D9522F"/>
    <w:rsid w:val="00D96645"/>
    <w:rsid w:val="00D9685E"/>
    <w:rsid w:val="00D96D9E"/>
    <w:rsid w:val="00DA0DC5"/>
    <w:rsid w:val="00DA0EB7"/>
    <w:rsid w:val="00DA1A6D"/>
    <w:rsid w:val="00DA1B8F"/>
    <w:rsid w:val="00DA77A5"/>
    <w:rsid w:val="00DB000A"/>
    <w:rsid w:val="00DB300C"/>
    <w:rsid w:val="00DB3AD9"/>
    <w:rsid w:val="00DB6902"/>
    <w:rsid w:val="00DB6AD8"/>
    <w:rsid w:val="00DB78E9"/>
    <w:rsid w:val="00DC013C"/>
    <w:rsid w:val="00DC07F7"/>
    <w:rsid w:val="00DC267B"/>
    <w:rsid w:val="00DC2866"/>
    <w:rsid w:val="00DC4B4F"/>
    <w:rsid w:val="00DC5501"/>
    <w:rsid w:val="00DC5795"/>
    <w:rsid w:val="00DC69A1"/>
    <w:rsid w:val="00DD20F9"/>
    <w:rsid w:val="00DD3A5E"/>
    <w:rsid w:val="00DD3F28"/>
    <w:rsid w:val="00DD4537"/>
    <w:rsid w:val="00DD4E15"/>
    <w:rsid w:val="00DD51F3"/>
    <w:rsid w:val="00DD59D8"/>
    <w:rsid w:val="00DD5C48"/>
    <w:rsid w:val="00DD5EC4"/>
    <w:rsid w:val="00DD5F20"/>
    <w:rsid w:val="00DD6270"/>
    <w:rsid w:val="00DD67CE"/>
    <w:rsid w:val="00DD78C2"/>
    <w:rsid w:val="00DD7A5E"/>
    <w:rsid w:val="00DD7FF9"/>
    <w:rsid w:val="00DE1754"/>
    <w:rsid w:val="00DE1DFF"/>
    <w:rsid w:val="00DE1ED0"/>
    <w:rsid w:val="00DE22FF"/>
    <w:rsid w:val="00DE3B7F"/>
    <w:rsid w:val="00DE424B"/>
    <w:rsid w:val="00DE4FCB"/>
    <w:rsid w:val="00DE5134"/>
    <w:rsid w:val="00DE51D4"/>
    <w:rsid w:val="00DE580D"/>
    <w:rsid w:val="00DE5B1E"/>
    <w:rsid w:val="00DE655E"/>
    <w:rsid w:val="00DF160C"/>
    <w:rsid w:val="00DF18BB"/>
    <w:rsid w:val="00DF39CA"/>
    <w:rsid w:val="00DF496B"/>
    <w:rsid w:val="00DF5D2B"/>
    <w:rsid w:val="00DF6D86"/>
    <w:rsid w:val="00E0093E"/>
    <w:rsid w:val="00E00E37"/>
    <w:rsid w:val="00E013C9"/>
    <w:rsid w:val="00E018CF"/>
    <w:rsid w:val="00E02011"/>
    <w:rsid w:val="00E031B8"/>
    <w:rsid w:val="00E0372C"/>
    <w:rsid w:val="00E04D4C"/>
    <w:rsid w:val="00E056D3"/>
    <w:rsid w:val="00E10149"/>
    <w:rsid w:val="00E103BD"/>
    <w:rsid w:val="00E111C9"/>
    <w:rsid w:val="00E1207C"/>
    <w:rsid w:val="00E14632"/>
    <w:rsid w:val="00E16372"/>
    <w:rsid w:val="00E2018B"/>
    <w:rsid w:val="00E2025E"/>
    <w:rsid w:val="00E20A31"/>
    <w:rsid w:val="00E20ED6"/>
    <w:rsid w:val="00E21358"/>
    <w:rsid w:val="00E22384"/>
    <w:rsid w:val="00E2249B"/>
    <w:rsid w:val="00E22776"/>
    <w:rsid w:val="00E22A0D"/>
    <w:rsid w:val="00E22B43"/>
    <w:rsid w:val="00E24B6F"/>
    <w:rsid w:val="00E25A2C"/>
    <w:rsid w:val="00E26DC3"/>
    <w:rsid w:val="00E2771E"/>
    <w:rsid w:val="00E338DD"/>
    <w:rsid w:val="00E33C01"/>
    <w:rsid w:val="00E3467C"/>
    <w:rsid w:val="00E360AE"/>
    <w:rsid w:val="00E369AD"/>
    <w:rsid w:val="00E3743B"/>
    <w:rsid w:val="00E37569"/>
    <w:rsid w:val="00E37BEB"/>
    <w:rsid w:val="00E40B95"/>
    <w:rsid w:val="00E41DB9"/>
    <w:rsid w:val="00E41E30"/>
    <w:rsid w:val="00E43D70"/>
    <w:rsid w:val="00E44C3A"/>
    <w:rsid w:val="00E47037"/>
    <w:rsid w:val="00E47934"/>
    <w:rsid w:val="00E47B2C"/>
    <w:rsid w:val="00E47FB6"/>
    <w:rsid w:val="00E5021D"/>
    <w:rsid w:val="00E50BD5"/>
    <w:rsid w:val="00E51468"/>
    <w:rsid w:val="00E51560"/>
    <w:rsid w:val="00E525C0"/>
    <w:rsid w:val="00E52CDC"/>
    <w:rsid w:val="00E52F95"/>
    <w:rsid w:val="00E5322D"/>
    <w:rsid w:val="00E53A50"/>
    <w:rsid w:val="00E54636"/>
    <w:rsid w:val="00E54932"/>
    <w:rsid w:val="00E54EA2"/>
    <w:rsid w:val="00E55424"/>
    <w:rsid w:val="00E556EA"/>
    <w:rsid w:val="00E55BB5"/>
    <w:rsid w:val="00E60852"/>
    <w:rsid w:val="00E60D7D"/>
    <w:rsid w:val="00E62877"/>
    <w:rsid w:val="00E64FF3"/>
    <w:rsid w:val="00E65086"/>
    <w:rsid w:val="00E654AE"/>
    <w:rsid w:val="00E65E79"/>
    <w:rsid w:val="00E66BC4"/>
    <w:rsid w:val="00E66F03"/>
    <w:rsid w:val="00E67416"/>
    <w:rsid w:val="00E718B6"/>
    <w:rsid w:val="00E72A32"/>
    <w:rsid w:val="00E73581"/>
    <w:rsid w:val="00E75F69"/>
    <w:rsid w:val="00E76CE1"/>
    <w:rsid w:val="00E76FB7"/>
    <w:rsid w:val="00E778B1"/>
    <w:rsid w:val="00E819C2"/>
    <w:rsid w:val="00E820F5"/>
    <w:rsid w:val="00E82C04"/>
    <w:rsid w:val="00E83BDF"/>
    <w:rsid w:val="00E84A98"/>
    <w:rsid w:val="00E84F13"/>
    <w:rsid w:val="00E875CD"/>
    <w:rsid w:val="00E901C7"/>
    <w:rsid w:val="00E918F2"/>
    <w:rsid w:val="00E94275"/>
    <w:rsid w:val="00E94FB6"/>
    <w:rsid w:val="00E9582C"/>
    <w:rsid w:val="00E95A1E"/>
    <w:rsid w:val="00E961BC"/>
    <w:rsid w:val="00E9636E"/>
    <w:rsid w:val="00E96746"/>
    <w:rsid w:val="00E96D7A"/>
    <w:rsid w:val="00E97206"/>
    <w:rsid w:val="00E975BF"/>
    <w:rsid w:val="00E97CF7"/>
    <w:rsid w:val="00EA0336"/>
    <w:rsid w:val="00EA10F5"/>
    <w:rsid w:val="00EA1411"/>
    <w:rsid w:val="00EA1423"/>
    <w:rsid w:val="00EA3265"/>
    <w:rsid w:val="00EA3775"/>
    <w:rsid w:val="00EA3864"/>
    <w:rsid w:val="00EA3CD0"/>
    <w:rsid w:val="00EA4038"/>
    <w:rsid w:val="00EA5BB4"/>
    <w:rsid w:val="00EA7B85"/>
    <w:rsid w:val="00EB0705"/>
    <w:rsid w:val="00EB0E26"/>
    <w:rsid w:val="00EB104E"/>
    <w:rsid w:val="00EB15B6"/>
    <w:rsid w:val="00EB19C4"/>
    <w:rsid w:val="00EB3389"/>
    <w:rsid w:val="00EB3DCD"/>
    <w:rsid w:val="00EB3F44"/>
    <w:rsid w:val="00EB4436"/>
    <w:rsid w:val="00EB4916"/>
    <w:rsid w:val="00EB4E4C"/>
    <w:rsid w:val="00EB6228"/>
    <w:rsid w:val="00EB6B54"/>
    <w:rsid w:val="00EB7F80"/>
    <w:rsid w:val="00EC00C9"/>
    <w:rsid w:val="00EC05CE"/>
    <w:rsid w:val="00EC0981"/>
    <w:rsid w:val="00EC115C"/>
    <w:rsid w:val="00EC1DBD"/>
    <w:rsid w:val="00EC2EE8"/>
    <w:rsid w:val="00EC32FE"/>
    <w:rsid w:val="00EC4055"/>
    <w:rsid w:val="00EC46EE"/>
    <w:rsid w:val="00EC4DFC"/>
    <w:rsid w:val="00EC5286"/>
    <w:rsid w:val="00EC5DAE"/>
    <w:rsid w:val="00EC7022"/>
    <w:rsid w:val="00ED4E46"/>
    <w:rsid w:val="00ED6F20"/>
    <w:rsid w:val="00ED727D"/>
    <w:rsid w:val="00ED7E49"/>
    <w:rsid w:val="00EE0200"/>
    <w:rsid w:val="00EE07D3"/>
    <w:rsid w:val="00EE0E07"/>
    <w:rsid w:val="00EE1047"/>
    <w:rsid w:val="00EE1CF5"/>
    <w:rsid w:val="00EE22CC"/>
    <w:rsid w:val="00EE5FDB"/>
    <w:rsid w:val="00EE6BB7"/>
    <w:rsid w:val="00EE737D"/>
    <w:rsid w:val="00EE77F0"/>
    <w:rsid w:val="00EF05A6"/>
    <w:rsid w:val="00EF13D0"/>
    <w:rsid w:val="00EF1887"/>
    <w:rsid w:val="00EF1CC7"/>
    <w:rsid w:val="00EF2AF5"/>
    <w:rsid w:val="00EF30AA"/>
    <w:rsid w:val="00EF540E"/>
    <w:rsid w:val="00EF7376"/>
    <w:rsid w:val="00EF762A"/>
    <w:rsid w:val="00F000BD"/>
    <w:rsid w:val="00F00949"/>
    <w:rsid w:val="00F037BA"/>
    <w:rsid w:val="00F03992"/>
    <w:rsid w:val="00F03C43"/>
    <w:rsid w:val="00F04718"/>
    <w:rsid w:val="00F052BB"/>
    <w:rsid w:val="00F0563E"/>
    <w:rsid w:val="00F059A9"/>
    <w:rsid w:val="00F067A2"/>
    <w:rsid w:val="00F07055"/>
    <w:rsid w:val="00F10925"/>
    <w:rsid w:val="00F11B8C"/>
    <w:rsid w:val="00F1202C"/>
    <w:rsid w:val="00F16982"/>
    <w:rsid w:val="00F17251"/>
    <w:rsid w:val="00F1729C"/>
    <w:rsid w:val="00F17B5D"/>
    <w:rsid w:val="00F203A5"/>
    <w:rsid w:val="00F21C7B"/>
    <w:rsid w:val="00F23B06"/>
    <w:rsid w:val="00F24830"/>
    <w:rsid w:val="00F24837"/>
    <w:rsid w:val="00F248C9"/>
    <w:rsid w:val="00F24FF4"/>
    <w:rsid w:val="00F25366"/>
    <w:rsid w:val="00F2575F"/>
    <w:rsid w:val="00F26E82"/>
    <w:rsid w:val="00F31728"/>
    <w:rsid w:val="00F323A1"/>
    <w:rsid w:val="00F32DFC"/>
    <w:rsid w:val="00F339D1"/>
    <w:rsid w:val="00F33DE9"/>
    <w:rsid w:val="00F34F63"/>
    <w:rsid w:val="00F3567D"/>
    <w:rsid w:val="00F35BB6"/>
    <w:rsid w:val="00F360E6"/>
    <w:rsid w:val="00F3619A"/>
    <w:rsid w:val="00F3757E"/>
    <w:rsid w:val="00F40B3E"/>
    <w:rsid w:val="00F4265A"/>
    <w:rsid w:val="00F43C9C"/>
    <w:rsid w:val="00F4504B"/>
    <w:rsid w:val="00F46CB6"/>
    <w:rsid w:val="00F47668"/>
    <w:rsid w:val="00F50BF0"/>
    <w:rsid w:val="00F5182F"/>
    <w:rsid w:val="00F53504"/>
    <w:rsid w:val="00F535E5"/>
    <w:rsid w:val="00F543B8"/>
    <w:rsid w:val="00F54E34"/>
    <w:rsid w:val="00F55E73"/>
    <w:rsid w:val="00F56134"/>
    <w:rsid w:val="00F56906"/>
    <w:rsid w:val="00F60092"/>
    <w:rsid w:val="00F60D41"/>
    <w:rsid w:val="00F61705"/>
    <w:rsid w:val="00F64184"/>
    <w:rsid w:val="00F64EC2"/>
    <w:rsid w:val="00F656F6"/>
    <w:rsid w:val="00F6573F"/>
    <w:rsid w:val="00F66A5A"/>
    <w:rsid w:val="00F67167"/>
    <w:rsid w:val="00F67A5A"/>
    <w:rsid w:val="00F701B7"/>
    <w:rsid w:val="00F70497"/>
    <w:rsid w:val="00F70A84"/>
    <w:rsid w:val="00F742FD"/>
    <w:rsid w:val="00F7501C"/>
    <w:rsid w:val="00F750A8"/>
    <w:rsid w:val="00F75D10"/>
    <w:rsid w:val="00F7747B"/>
    <w:rsid w:val="00F7785A"/>
    <w:rsid w:val="00F80389"/>
    <w:rsid w:val="00F80E5D"/>
    <w:rsid w:val="00F827A0"/>
    <w:rsid w:val="00F82A1C"/>
    <w:rsid w:val="00F83961"/>
    <w:rsid w:val="00F85105"/>
    <w:rsid w:val="00F851CE"/>
    <w:rsid w:val="00F85F5A"/>
    <w:rsid w:val="00F866B3"/>
    <w:rsid w:val="00F869BA"/>
    <w:rsid w:val="00F86A8E"/>
    <w:rsid w:val="00F8723E"/>
    <w:rsid w:val="00F87AA3"/>
    <w:rsid w:val="00F90E6D"/>
    <w:rsid w:val="00F93622"/>
    <w:rsid w:val="00F93F2A"/>
    <w:rsid w:val="00F942F6"/>
    <w:rsid w:val="00F94AAA"/>
    <w:rsid w:val="00F96899"/>
    <w:rsid w:val="00F978F2"/>
    <w:rsid w:val="00F97A78"/>
    <w:rsid w:val="00F97B27"/>
    <w:rsid w:val="00FA1317"/>
    <w:rsid w:val="00FA1867"/>
    <w:rsid w:val="00FA24E7"/>
    <w:rsid w:val="00FA2B27"/>
    <w:rsid w:val="00FA2B47"/>
    <w:rsid w:val="00FA3806"/>
    <w:rsid w:val="00FA4E83"/>
    <w:rsid w:val="00FA637E"/>
    <w:rsid w:val="00FA64C1"/>
    <w:rsid w:val="00FA6731"/>
    <w:rsid w:val="00FB1A00"/>
    <w:rsid w:val="00FB2FCB"/>
    <w:rsid w:val="00FB3033"/>
    <w:rsid w:val="00FB71E0"/>
    <w:rsid w:val="00FB74D9"/>
    <w:rsid w:val="00FC0424"/>
    <w:rsid w:val="00FC04A8"/>
    <w:rsid w:val="00FC09F3"/>
    <w:rsid w:val="00FC1074"/>
    <w:rsid w:val="00FC1884"/>
    <w:rsid w:val="00FD088A"/>
    <w:rsid w:val="00FD0AAD"/>
    <w:rsid w:val="00FD1224"/>
    <w:rsid w:val="00FD1E26"/>
    <w:rsid w:val="00FD2100"/>
    <w:rsid w:val="00FD25C6"/>
    <w:rsid w:val="00FD446D"/>
    <w:rsid w:val="00FD48DC"/>
    <w:rsid w:val="00FD54E4"/>
    <w:rsid w:val="00FD5C52"/>
    <w:rsid w:val="00FD5E0A"/>
    <w:rsid w:val="00FD7A40"/>
    <w:rsid w:val="00FD7C56"/>
    <w:rsid w:val="00FE062B"/>
    <w:rsid w:val="00FE215F"/>
    <w:rsid w:val="00FE4031"/>
    <w:rsid w:val="00FF0AEF"/>
    <w:rsid w:val="00FF13DD"/>
    <w:rsid w:val="00FF14E0"/>
    <w:rsid w:val="00FF162E"/>
    <w:rsid w:val="00FF26E7"/>
    <w:rsid w:val="00FF28D6"/>
    <w:rsid w:val="00FF3251"/>
    <w:rsid w:val="00FF32B5"/>
    <w:rsid w:val="00FF3DCF"/>
    <w:rsid w:val="00FF3FE7"/>
    <w:rsid w:val="00FF4908"/>
    <w:rsid w:val="00FF5721"/>
    <w:rsid w:val="00FF5AA3"/>
    <w:rsid w:val="00FF6464"/>
    <w:rsid w:val="00FF7B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76A44"/>
    <w:pPr>
      <w:outlineLvl w:val="0"/>
    </w:pPr>
    <w:rPr>
      <w:rFonts w:ascii="Arial Bold" w:hAnsi="Arial Bold"/>
      <w:b/>
      <w:caps/>
    </w:rPr>
  </w:style>
  <w:style w:type="paragraph" w:styleId="Heading2">
    <w:name w:val="heading 2"/>
    <w:aliases w:val="ESHeading 2"/>
    <w:basedOn w:val="Normal"/>
    <w:next w:val="Normal"/>
    <w:link w:val="Heading2Char"/>
    <w:uiPriority w:val="1"/>
    <w:qFormat/>
    <w:rsid w:val="004B3DDB"/>
    <w:pPr>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A54CB2"/>
    <w:pPr>
      <w:spacing w:after="120"/>
      <w:contextualSpacing/>
    </w:pPr>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E1047"/>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137F8D"/>
    <w:rPr>
      <w:rFonts w:ascii="Arial Bold" w:hAnsi="Arial Bold" w:cs="Arial"/>
      <w:b/>
      <w:caps/>
      <w:snapToGrid w:val="0"/>
      <w:sz w:val="22"/>
      <w:lang w:eastAsia="en-US"/>
    </w:rPr>
  </w:style>
  <w:style w:type="character" w:customStyle="1" w:styleId="Heading3Char">
    <w:name w:val="Heading 3 Char"/>
    <w:aliases w:val="ESHeading 3 Char"/>
    <w:basedOn w:val="DefaultParagraphFont"/>
    <w:link w:val="Heading3"/>
    <w:uiPriority w:val="1"/>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 w:val="32"/>
      <w:szCs w:val="28"/>
    </w:rPr>
  </w:style>
  <w:style w:type="paragraph" w:customStyle="1" w:styleId="V50InstructionsBullets">
    <w:name w:val="V5.0 Instructions Bullets"/>
    <w:basedOn w:val="V50Instructions"/>
    <w:qFormat/>
    <w:rsid w:val="00137F8D"/>
    <w:pPr>
      <w:numPr>
        <w:numId w:val="13"/>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0">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A54CB2"/>
    <w:rPr>
      <w:rFonts w:ascii="Arial Narrow" w:hAnsi="Arial Narrow" w:cs="Arial"/>
      <w:snapToGrid w:val="0"/>
      <w:sz w:val="18"/>
      <w:lang w:eastAsia="en-US"/>
    </w:rPr>
  </w:style>
  <w:style w:type="numbering" w:customStyle="1" w:styleId="Headings">
    <w:name w:val="Headings"/>
    <w:uiPriority w:val="99"/>
    <w:rsid w:val="00137F8D"/>
    <w:pPr>
      <w:numPr>
        <w:numId w:val="14"/>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281D8E"/>
    <w:pPr>
      <w:widowControl/>
      <w:spacing w:before="120" w:after="16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281D8E"/>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6F1208"/>
    <w:pPr>
      <w:numPr>
        <w:ilvl w:val="1"/>
        <w:numId w:val="11"/>
      </w:numPr>
    </w:pPr>
    <w:rPr>
      <w:rFonts w:asciiTheme="minorHAnsi" w:hAnsiTheme="minorHAnsi"/>
      <w:color w:val="000000" w:themeColor="text1"/>
      <w:sz w:val="24"/>
      <w:szCs w:val="24"/>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16"/>
      </w:numPr>
      <w:spacing w:after="240"/>
      <w:ind w:left="993" w:hanging="284"/>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paragraph" w:customStyle="1" w:styleId="COMBody">
    <w:name w:val="COMBody"/>
    <w:basedOn w:val="Normal"/>
    <w:link w:val="COMBodyChar"/>
    <w:qFormat/>
    <w:rsid w:val="009E49A3"/>
  </w:style>
  <w:style w:type="character" w:customStyle="1" w:styleId="COMBodyChar">
    <w:name w:val="COMBody Char"/>
    <w:basedOn w:val="DefaultParagraphFont"/>
    <w:link w:val="COMBody"/>
    <w:rsid w:val="009E49A3"/>
    <w:rPr>
      <w:rFonts w:ascii="Arial" w:hAnsi="Arial" w:cs="Arial"/>
      <w:snapToGrid w:val="0"/>
      <w:sz w:val="22"/>
      <w:lang w:eastAsia="en-US"/>
    </w:rPr>
  </w:style>
  <w:style w:type="paragraph" w:styleId="EndnoteText">
    <w:name w:val="endnote text"/>
    <w:basedOn w:val="Normal"/>
    <w:link w:val="EndnoteTextChar"/>
    <w:semiHidden/>
    <w:unhideWhenUsed/>
    <w:rsid w:val="0056200E"/>
    <w:rPr>
      <w:sz w:val="20"/>
    </w:rPr>
  </w:style>
  <w:style w:type="character" w:customStyle="1" w:styleId="EndnoteTextChar">
    <w:name w:val="Endnote Text Char"/>
    <w:basedOn w:val="DefaultParagraphFont"/>
    <w:link w:val="EndnoteText"/>
    <w:semiHidden/>
    <w:rsid w:val="0056200E"/>
    <w:rPr>
      <w:rFonts w:ascii="Arial" w:hAnsi="Arial" w:cs="Arial"/>
      <w:snapToGrid w:val="0"/>
      <w:lang w:eastAsia="en-US"/>
    </w:rPr>
  </w:style>
  <w:style w:type="character" w:styleId="EndnoteReference">
    <w:name w:val="endnote reference"/>
    <w:basedOn w:val="DefaultParagraphFont"/>
    <w:semiHidden/>
    <w:unhideWhenUsed/>
    <w:rsid w:val="0056200E"/>
    <w:rPr>
      <w:vertAlign w:val="superscript"/>
    </w:rPr>
  </w:style>
  <w:style w:type="paragraph" w:styleId="FootnoteText">
    <w:name w:val="footnote text"/>
    <w:basedOn w:val="Normal"/>
    <w:link w:val="FootnoteTextChar"/>
    <w:semiHidden/>
    <w:unhideWhenUsed/>
    <w:rsid w:val="0056200E"/>
    <w:rPr>
      <w:sz w:val="20"/>
    </w:rPr>
  </w:style>
  <w:style w:type="character" w:customStyle="1" w:styleId="FootnoteTextChar">
    <w:name w:val="Footnote Text Char"/>
    <w:basedOn w:val="DefaultParagraphFont"/>
    <w:link w:val="FootnoteText"/>
    <w:semiHidden/>
    <w:rsid w:val="0056200E"/>
    <w:rPr>
      <w:rFonts w:ascii="Arial" w:hAnsi="Arial" w:cs="Arial"/>
      <w:snapToGrid w:val="0"/>
      <w:lang w:eastAsia="en-US"/>
    </w:rPr>
  </w:style>
  <w:style w:type="character" w:customStyle="1" w:styleId="TableHeadingChar">
    <w:name w:val="TableHeading Char"/>
    <w:link w:val="TableHeading"/>
    <w:rsid w:val="00F24FF4"/>
    <w:rPr>
      <w:rFonts w:ascii="Arial Narrow" w:hAnsi="Arial Narrow" w:cs="Arial Narrow"/>
      <w:b/>
      <w:bCs/>
      <w:lang w:eastAsia="en-US"/>
    </w:rPr>
  </w:style>
  <w:style w:type="character" w:customStyle="1" w:styleId="TableTextChar0">
    <w:name w:val="TableText Char"/>
    <w:link w:val="TableText0"/>
    <w:rsid w:val="00F24FF4"/>
    <w:rPr>
      <w:rFonts w:ascii="Arial Narrow" w:hAnsi="Arial Narrow" w:cs="Arial Narrow"/>
      <w:lang w:eastAsia="en-US"/>
    </w:rPr>
  </w:style>
  <w:style w:type="paragraph" w:customStyle="1" w:styleId="COMtbl-HEADLeftAligned">
    <w:name w:val="COMtbl-HEAD Left Aligned"/>
    <w:basedOn w:val="Normal"/>
    <w:qFormat/>
    <w:rsid w:val="00925DB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25DB6"/>
    <w:pPr>
      <w:jc w:val="center"/>
    </w:pPr>
  </w:style>
  <w:style w:type="paragraph" w:customStyle="1" w:styleId="COMtbl-textLeftAligned">
    <w:name w:val="COMtbl-text Left Aligned"/>
    <w:basedOn w:val="COMtbl-HEADLeftAligned"/>
    <w:qFormat/>
    <w:rsid w:val="00925DB6"/>
    <w:rPr>
      <w:b w:val="0"/>
    </w:rPr>
  </w:style>
  <w:style w:type="paragraph" w:customStyle="1" w:styleId="COMtbl-textCentred">
    <w:name w:val="COMtbl-text Centred"/>
    <w:basedOn w:val="COMtbl-HEADCentred"/>
    <w:qFormat/>
    <w:rsid w:val="00925DB6"/>
    <w:rPr>
      <w:b w:val="0"/>
    </w:rPr>
  </w:style>
  <w:style w:type="paragraph" w:customStyle="1" w:styleId="Default">
    <w:name w:val="Default"/>
    <w:rsid w:val="00065E6B"/>
    <w:pPr>
      <w:autoSpaceDE w:val="0"/>
      <w:autoSpaceDN w:val="0"/>
      <w:adjustRightInd w:val="0"/>
    </w:pPr>
    <w:rPr>
      <w:rFonts w:ascii="Arial" w:hAnsi="Arial" w:cs="Arial"/>
      <w:color w:val="000000"/>
      <w:sz w:val="24"/>
      <w:szCs w:val="24"/>
    </w:rPr>
  </w:style>
  <w:style w:type="paragraph" w:customStyle="1" w:styleId="COMTbl-foot">
    <w:name w:val="COMTbl-foot"/>
    <w:basedOn w:val="Normal"/>
    <w:link w:val="COMTbl-footChar"/>
    <w:qFormat/>
    <w:rsid w:val="00702DC9"/>
    <w:rPr>
      <w:sz w:val="18"/>
    </w:rPr>
  </w:style>
  <w:style w:type="character" w:customStyle="1" w:styleId="COMTbl-footChar">
    <w:name w:val="COMTbl-foot Char"/>
    <w:basedOn w:val="DefaultParagraphFont"/>
    <w:link w:val="COMTbl-foot"/>
    <w:rsid w:val="00702DC9"/>
    <w:rPr>
      <w:rFonts w:ascii="Arial" w:hAnsi="Arial" w:cs="Arial"/>
      <w:snapToGrid w:val="0"/>
      <w:sz w:val="18"/>
      <w:lang w:eastAsia="en-US"/>
    </w:rPr>
  </w:style>
  <w:style w:type="paragraph" w:customStyle="1" w:styleId="COMH2">
    <w:name w:val="COMH2"/>
    <w:basedOn w:val="Heading2"/>
    <w:link w:val="COMH2Char"/>
    <w:qFormat/>
    <w:rsid w:val="00A8682E"/>
    <w:pPr>
      <w:keepNext/>
      <w:spacing w:after="220"/>
    </w:pPr>
  </w:style>
  <w:style w:type="character" w:customStyle="1" w:styleId="COMH2Char">
    <w:name w:val="COMH2 Char"/>
    <w:basedOn w:val="Heading2Char"/>
    <w:link w:val="COMH2"/>
    <w:rsid w:val="00A8682E"/>
    <w:rPr>
      <w:rFonts w:ascii="Arial" w:hAnsi="Arial" w:cs="Arial"/>
      <w:b/>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700C1"/>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basedOn w:val="DefaultParagraphFont"/>
    <w:link w:val="ListParagraph"/>
    <w:uiPriority w:val="72"/>
    <w:locked/>
    <w:rsid w:val="006F1208"/>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76A44"/>
    <w:pPr>
      <w:outlineLvl w:val="0"/>
    </w:pPr>
    <w:rPr>
      <w:rFonts w:ascii="Arial Bold" w:hAnsi="Arial Bold"/>
      <w:b/>
      <w:caps/>
    </w:rPr>
  </w:style>
  <w:style w:type="paragraph" w:styleId="Heading2">
    <w:name w:val="heading 2"/>
    <w:aliases w:val="ESHeading 2"/>
    <w:basedOn w:val="Normal"/>
    <w:next w:val="Normal"/>
    <w:link w:val="Heading2Char"/>
    <w:uiPriority w:val="1"/>
    <w:qFormat/>
    <w:rsid w:val="004B3DDB"/>
    <w:pPr>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A54CB2"/>
    <w:pPr>
      <w:spacing w:after="120"/>
      <w:contextualSpacing/>
    </w:pPr>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E1047"/>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137F8D"/>
    <w:rPr>
      <w:rFonts w:ascii="Arial Bold" w:hAnsi="Arial Bold" w:cs="Arial"/>
      <w:b/>
      <w:caps/>
      <w:snapToGrid w:val="0"/>
      <w:sz w:val="22"/>
      <w:lang w:eastAsia="en-US"/>
    </w:rPr>
  </w:style>
  <w:style w:type="character" w:customStyle="1" w:styleId="Heading3Char">
    <w:name w:val="Heading 3 Char"/>
    <w:aliases w:val="ESHeading 3 Char"/>
    <w:basedOn w:val="DefaultParagraphFont"/>
    <w:link w:val="Heading3"/>
    <w:uiPriority w:val="1"/>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 w:val="32"/>
      <w:szCs w:val="28"/>
    </w:rPr>
  </w:style>
  <w:style w:type="paragraph" w:customStyle="1" w:styleId="V50InstructionsBullets">
    <w:name w:val="V5.0 Instructions Bullets"/>
    <w:basedOn w:val="V50Instructions"/>
    <w:qFormat/>
    <w:rsid w:val="00137F8D"/>
    <w:pPr>
      <w:numPr>
        <w:numId w:val="13"/>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0">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A54CB2"/>
    <w:rPr>
      <w:rFonts w:ascii="Arial Narrow" w:hAnsi="Arial Narrow" w:cs="Arial"/>
      <w:snapToGrid w:val="0"/>
      <w:sz w:val="18"/>
      <w:lang w:eastAsia="en-US"/>
    </w:rPr>
  </w:style>
  <w:style w:type="numbering" w:customStyle="1" w:styleId="Headings">
    <w:name w:val="Headings"/>
    <w:uiPriority w:val="99"/>
    <w:rsid w:val="00137F8D"/>
    <w:pPr>
      <w:numPr>
        <w:numId w:val="14"/>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281D8E"/>
    <w:pPr>
      <w:widowControl/>
      <w:spacing w:before="120" w:after="16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281D8E"/>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6F1208"/>
    <w:pPr>
      <w:numPr>
        <w:ilvl w:val="1"/>
        <w:numId w:val="11"/>
      </w:numPr>
    </w:pPr>
    <w:rPr>
      <w:rFonts w:asciiTheme="minorHAnsi" w:hAnsiTheme="minorHAnsi"/>
      <w:color w:val="000000" w:themeColor="text1"/>
      <w:sz w:val="24"/>
      <w:szCs w:val="24"/>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16"/>
      </w:numPr>
      <w:spacing w:after="240"/>
      <w:ind w:left="993" w:hanging="284"/>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paragraph" w:customStyle="1" w:styleId="COMBody">
    <w:name w:val="COMBody"/>
    <w:basedOn w:val="Normal"/>
    <w:link w:val="COMBodyChar"/>
    <w:qFormat/>
    <w:rsid w:val="009E49A3"/>
  </w:style>
  <w:style w:type="character" w:customStyle="1" w:styleId="COMBodyChar">
    <w:name w:val="COMBody Char"/>
    <w:basedOn w:val="DefaultParagraphFont"/>
    <w:link w:val="COMBody"/>
    <w:rsid w:val="009E49A3"/>
    <w:rPr>
      <w:rFonts w:ascii="Arial" w:hAnsi="Arial" w:cs="Arial"/>
      <w:snapToGrid w:val="0"/>
      <w:sz w:val="22"/>
      <w:lang w:eastAsia="en-US"/>
    </w:rPr>
  </w:style>
  <w:style w:type="paragraph" w:styleId="EndnoteText">
    <w:name w:val="endnote text"/>
    <w:basedOn w:val="Normal"/>
    <w:link w:val="EndnoteTextChar"/>
    <w:semiHidden/>
    <w:unhideWhenUsed/>
    <w:rsid w:val="0056200E"/>
    <w:rPr>
      <w:sz w:val="20"/>
    </w:rPr>
  </w:style>
  <w:style w:type="character" w:customStyle="1" w:styleId="EndnoteTextChar">
    <w:name w:val="Endnote Text Char"/>
    <w:basedOn w:val="DefaultParagraphFont"/>
    <w:link w:val="EndnoteText"/>
    <w:semiHidden/>
    <w:rsid w:val="0056200E"/>
    <w:rPr>
      <w:rFonts w:ascii="Arial" w:hAnsi="Arial" w:cs="Arial"/>
      <w:snapToGrid w:val="0"/>
      <w:lang w:eastAsia="en-US"/>
    </w:rPr>
  </w:style>
  <w:style w:type="character" w:styleId="EndnoteReference">
    <w:name w:val="endnote reference"/>
    <w:basedOn w:val="DefaultParagraphFont"/>
    <w:semiHidden/>
    <w:unhideWhenUsed/>
    <w:rsid w:val="0056200E"/>
    <w:rPr>
      <w:vertAlign w:val="superscript"/>
    </w:rPr>
  </w:style>
  <w:style w:type="paragraph" w:styleId="FootnoteText">
    <w:name w:val="footnote text"/>
    <w:basedOn w:val="Normal"/>
    <w:link w:val="FootnoteTextChar"/>
    <w:semiHidden/>
    <w:unhideWhenUsed/>
    <w:rsid w:val="0056200E"/>
    <w:rPr>
      <w:sz w:val="20"/>
    </w:rPr>
  </w:style>
  <w:style w:type="character" w:customStyle="1" w:styleId="FootnoteTextChar">
    <w:name w:val="Footnote Text Char"/>
    <w:basedOn w:val="DefaultParagraphFont"/>
    <w:link w:val="FootnoteText"/>
    <w:semiHidden/>
    <w:rsid w:val="0056200E"/>
    <w:rPr>
      <w:rFonts w:ascii="Arial" w:hAnsi="Arial" w:cs="Arial"/>
      <w:snapToGrid w:val="0"/>
      <w:lang w:eastAsia="en-US"/>
    </w:rPr>
  </w:style>
  <w:style w:type="character" w:customStyle="1" w:styleId="TableHeadingChar">
    <w:name w:val="TableHeading Char"/>
    <w:link w:val="TableHeading"/>
    <w:rsid w:val="00F24FF4"/>
    <w:rPr>
      <w:rFonts w:ascii="Arial Narrow" w:hAnsi="Arial Narrow" w:cs="Arial Narrow"/>
      <w:b/>
      <w:bCs/>
      <w:lang w:eastAsia="en-US"/>
    </w:rPr>
  </w:style>
  <w:style w:type="character" w:customStyle="1" w:styleId="TableTextChar0">
    <w:name w:val="TableText Char"/>
    <w:link w:val="TableText0"/>
    <w:rsid w:val="00F24FF4"/>
    <w:rPr>
      <w:rFonts w:ascii="Arial Narrow" w:hAnsi="Arial Narrow" w:cs="Arial Narrow"/>
      <w:lang w:eastAsia="en-US"/>
    </w:rPr>
  </w:style>
  <w:style w:type="paragraph" w:customStyle="1" w:styleId="COMtbl-HEADLeftAligned">
    <w:name w:val="COMtbl-HEAD Left Aligned"/>
    <w:basedOn w:val="Normal"/>
    <w:qFormat/>
    <w:rsid w:val="00925DB6"/>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25DB6"/>
    <w:pPr>
      <w:jc w:val="center"/>
    </w:pPr>
  </w:style>
  <w:style w:type="paragraph" w:customStyle="1" w:styleId="COMtbl-textLeftAligned">
    <w:name w:val="COMtbl-text Left Aligned"/>
    <w:basedOn w:val="COMtbl-HEADLeftAligned"/>
    <w:qFormat/>
    <w:rsid w:val="00925DB6"/>
    <w:rPr>
      <w:b w:val="0"/>
    </w:rPr>
  </w:style>
  <w:style w:type="paragraph" w:customStyle="1" w:styleId="COMtbl-textCentred">
    <w:name w:val="COMtbl-text Centred"/>
    <w:basedOn w:val="COMtbl-HEADCentred"/>
    <w:qFormat/>
    <w:rsid w:val="00925DB6"/>
    <w:rPr>
      <w:b w:val="0"/>
    </w:rPr>
  </w:style>
  <w:style w:type="paragraph" w:customStyle="1" w:styleId="Default">
    <w:name w:val="Default"/>
    <w:rsid w:val="00065E6B"/>
    <w:pPr>
      <w:autoSpaceDE w:val="0"/>
      <w:autoSpaceDN w:val="0"/>
      <w:adjustRightInd w:val="0"/>
    </w:pPr>
    <w:rPr>
      <w:rFonts w:ascii="Arial" w:hAnsi="Arial" w:cs="Arial"/>
      <w:color w:val="000000"/>
      <w:sz w:val="24"/>
      <w:szCs w:val="24"/>
    </w:rPr>
  </w:style>
  <w:style w:type="paragraph" w:customStyle="1" w:styleId="COMTbl-foot">
    <w:name w:val="COMTbl-foot"/>
    <w:basedOn w:val="Normal"/>
    <w:link w:val="COMTbl-footChar"/>
    <w:qFormat/>
    <w:rsid w:val="00702DC9"/>
    <w:rPr>
      <w:sz w:val="18"/>
    </w:rPr>
  </w:style>
  <w:style w:type="character" w:customStyle="1" w:styleId="COMTbl-footChar">
    <w:name w:val="COMTbl-foot Char"/>
    <w:basedOn w:val="DefaultParagraphFont"/>
    <w:link w:val="COMTbl-foot"/>
    <w:rsid w:val="00702DC9"/>
    <w:rPr>
      <w:rFonts w:ascii="Arial" w:hAnsi="Arial" w:cs="Arial"/>
      <w:snapToGrid w:val="0"/>
      <w:sz w:val="18"/>
      <w:lang w:eastAsia="en-US"/>
    </w:rPr>
  </w:style>
  <w:style w:type="paragraph" w:customStyle="1" w:styleId="COMH2">
    <w:name w:val="COMH2"/>
    <w:basedOn w:val="Heading2"/>
    <w:link w:val="COMH2Char"/>
    <w:qFormat/>
    <w:rsid w:val="00A8682E"/>
    <w:pPr>
      <w:keepNext/>
      <w:spacing w:after="220"/>
    </w:pPr>
  </w:style>
  <w:style w:type="character" w:customStyle="1" w:styleId="COMH2Char">
    <w:name w:val="COMH2 Char"/>
    <w:basedOn w:val="Heading2Char"/>
    <w:link w:val="COMH2"/>
    <w:rsid w:val="00A8682E"/>
    <w:rPr>
      <w:rFonts w:ascii="Arial" w:hAnsi="Arial" w:cs="Arial"/>
      <w:b/>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700C1"/>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basedOn w:val="DefaultParagraphFont"/>
    <w:link w:val="ListParagraph"/>
    <w:uiPriority w:val="72"/>
    <w:locked/>
    <w:rsid w:val="006F1208"/>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90869">
      <w:bodyDiv w:val="1"/>
      <w:marLeft w:val="0"/>
      <w:marRight w:val="0"/>
      <w:marTop w:val="0"/>
      <w:marBottom w:val="0"/>
      <w:divBdr>
        <w:top w:val="none" w:sz="0" w:space="0" w:color="auto"/>
        <w:left w:val="none" w:sz="0" w:space="0" w:color="auto"/>
        <w:bottom w:val="none" w:sz="0" w:space="0" w:color="auto"/>
        <w:right w:val="none" w:sz="0" w:space="0" w:color="auto"/>
      </w:divBdr>
    </w:div>
    <w:div w:id="1091508411">
      <w:bodyDiv w:val="1"/>
      <w:marLeft w:val="0"/>
      <w:marRight w:val="0"/>
      <w:marTop w:val="0"/>
      <w:marBottom w:val="0"/>
      <w:divBdr>
        <w:top w:val="none" w:sz="0" w:space="0" w:color="auto"/>
        <w:left w:val="none" w:sz="0" w:space="0" w:color="auto"/>
        <w:bottom w:val="none" w:sz="0" w:space="0" w:color="auto"/>
        <w:right w:val="none" w:sz="0" w:space="0" w:color="auto"/>
      </w:divBdr>
    </w:div>
    <w:div w:id="1883133895">
      <w:bodyDiv w:val="1"/>
      <w:marLeft w:val="0"/>
      <w:marRight w:val="0"/>
      <w:marTop w:val="0"/>
      <w:marBottom w:val="0"/>
      <w:divBdr>
        <w:top w:val="none" w:sz="0" w:space="0" w:color="auto"/>
        <w:left w:val="none" w:sz="0" w:space="0" w:color="auto"/>
        <w:bottom w:val="none" w:sz="0" w:space="0" w:color="auto"/>
        <w:right w:val="none" w:sz="0" w:space="0" w:color="auto"/>
      </w:divBdr>
    </w:div>
    <w:div w:id="19320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2D62-D889-4919-9D32-A1277B96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7201</Words>
  <Characters>45573</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2017-10-12T22:45:00Z</dcterms:created>
  <dcterms:modified xsi:type="dcterms:W3CDTF">2017-10-12T22:55:00Z</dcterms:modified>
</cp:coreProperties>
</file>