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7B58" w:rsidRPr="00BE7EA2" w:rsidRDefault="00AD732F" w:rsidP="008E1F30">
      <w:pPr>
        <w:pStyle w:val="Title"/>
        <w:ind w:left="720" w:hanging="720"/>
        <w:rPr>
          <w:rFonts w:asciiTheme="minorHAnsi" w:hAnsiTheme="minorHAnsi"/>
          <w:sz w:val="36"/>
          <w:szCs w:val="36"/>
        </w:rPr>
      </w:pPr>
      <w:r w:rsidRPr="00BE7EA2">
        <w:rPr>
          <w:rFonts w:asciiTheme="minorHAnsi" w:hAnsiTheme="minorHAnsi"/>
          <w:sz w:val="36"/>
          <w:szCs w:val="36"/>
        </w:rPr>
        <w:t>6.13</w:t>
      </w:r>
      <w:r w:rsidR="007C0F57" w:rsidRPr="00BE7EA2">
        <w:rPr>
          <w:rFonts w:asciiTheme="minorHAnsi" w:hAnsiTheme="minorHAnsi"/>
          <w:sz w:val="36"/>
          <w:szCs w:val="36"/>
        </w:rPr>
        <w:tab/>
      </w:r>
      <w:r w:rsidR="00BE7EA2" w:rsidRPr="00BE7EA2">
        <w:rPr>
          <w:rFonts w:asciiTheme="minorHAnsi" w:hAnsiTheme="minorHAnsi"/>
          <w:sz w:val="36"/>
          <w:szCs w:val="36"/>
        </w:rPr>
        <w:t>PEGFILGRASTIM</w:t>
      </w:r>
      <w:r w:rsidR="008A50F1" w:rsidRPr="00BE7EA2">
        <w:rPr>
          <w:rFonts w:asciiTheme="minorHAnsi" w:hAnsiTheme="minorHAnsi"/>
          <w:sz w:val="36"/>
          <w:szCs w:val="36"/>
        </w:rPr>
        <w:br/>
      </w:r>
      <w:r w:rsidRPr="00BE7EA2">
        <w:rPr>
          <w:rFonts w:asciiTheme="minorHAnsi" w:hAnsiTheme="minorHAnsi"/>
          <w:sz w:val="36"/>
          <w:szCs w:val="36"/>
        </w:rPr>
        <w:t>injection 6 mg in 0.6 mL, single use pre-filled syringe</w:t>
      </w:r>
      <w:r w:rsidR="008A50F1" w:rsidRPr="00BE7EA2">
        <w:rPr>
          <w:rFonts w:asciiTheme="minorHAnsi" w:hAnsiTheme="minorHAnsi"/>
          <w:sz w:val="36"/>
          <w:szCs w:val="36"/>
        </w:rPr>
        <w:br/>
      </w:r>
      <w:r w:rsidRPr="00BE7EA2">
        <w:rPr>
          <w:rFonts w:asciiTheme="minorHAnsi" w:hAnsiTheme="minorHAnsi"/>
          <w:sz w:val="36"/>
          <w:szCs w:val="36"/>
        </w:rPr>
        <w:t>Neulasta</w:t>
      </w:r>
      <w:r w:rsidR="0004240E" w:rsidRPr="00BE7EA2">
        <w:rPr>
          <w:rFonts w:asciiTheme="minorHAnsi" w:hAnsiTheme="minorHAnsi"/>
          <w:sz w:val="36"/>
          <w:szCs w:val="36"/>
          <w:vertAlign w:val="superscript"/>
        </w:rPr>
        <w:t>®</w:t>
      </w:r>
      <w:r w:rsidR="00EF44A0" w:rsidRPr="00BE7EA2">
        <w:rPr>
          <w:rFonts w:asciiTheme="minorHAnsi" w:hAnsiTheme="minorHAnsi"/>
          <w:sz w:val="36"/>
          <w:szCs w:val="36"/>
        </w:rPr>
        <w:t xml:space="preserve">, </w:t>
      </w:r>
      <w:r w:rsidRPr="00BE7EA2">
        <w:rPr>
          <w:rFonts w:asciiTheme="minorHAnsi" w:hAnsiTheme="minorHAnsi"/>
          <w:sz w:val="36"/>
          <w:szCs w:val="36"/>
        </w:rPr>
        <w:t>Amgen Australia Pty Limited</w:t>
      </w:r>
      <w:bookmarkStart w:id="0" w:name="_GoBack"/>
      <w:bookmarkEnd w:id="0"/>
    </w:p>
    <w:p w:rsidR="00E15627" w:rsidRPr="00F36CCB" w:rsidRDefault="00CE10C4" w:rsidP="00A66CFF">
      <w:pPr>
        <w:pStyle w:val="PBACHeading1"/>
      </w:pPr>
      <w:r w:rsidRPr="00F36CCB">
        <w:t xml:space="preserve">Purpose of </w:t>
      </w:r>
      <w:r w:rsidR="0004240E" w:rsidRPr="00F36CCB">
        <w:t>Application</w:t>
      </w:r>
    </w:p>
    <w:p w:rsidR="008A50F1" w:rsidRPr="00F36CCB" w:rsidRDefault="008A50F1" w:rsidP="00E15627">
      <w:pPr>
        <w:rPr>
          <w:rFonts w:asciiTheme="minorHAnsi" w:hAnsiTheme="minorHAnsi"/>
        </w:rPr>
      </w:pPr>
    </w:p>
    <w:p w:rsidR="00EF44A0" w:rsidRPr="00F36CCB" w:rsidRDefault="00EF44A0" w:rsidP="00AD732F">
      <w:pPr>
        <w:pStyle w:val="ListParagraph"/>
        <w:numPr>
          <w:ilvl w:val="1"/>
          <w:numId w:val="5"/>
        </w:numPr>
        <w:rPr>
          <w:szCs w:val="22"/>
        </w:rPr>
      </w:pPr>
      <w:r w:rsidRPr="00F36CCB">
        <w:rPr>
          <w:szCs w:val="22"/>
        </w:rPr>
        <w:t>The mi</w:t>
      </w:r>
      <w:r w:rsidR="00FF2801" w:rsidRPr="00F36CCB">
        <w:rPr>
          <w:szCs w:val="22"/>
        </w:rPr>
        <w:t>nor submission</w:t>
      </w:r>
      <w:r w:rsidR="00AD732F">
        <w:rPr>
          <w:szCs w:val="22"/>
        </w:rPr>
        <w:t xml:space="preserve"> requested the listing of pegfilgrastim for primary prophylaxis for febrile neutropenia in patients with early stage breast cancer being treated with docetaxel and cyclophosphamide.</w:t>
      </w:r>
    </w:p>
    <w:p w:rsidR="00B703C6" w:rsidRPr="00F36CCB" w:rsidRDefault="00B703C6" w:rsidP="00C27B58">
      <w:pPr>
        <w:pStyle w:val="NoSpacing"/>
        <w:rPr>
          <w:rFonts w:asciiTheme="minorHAnsi" w:hAnsiTheme="minorHAnsi"/>
        </w:rPr>
      </w:pPr>
    </w:p>
    <w:p w:rsidR="00962223" w:rsidRPr="00F36CCB" w:rsidRDefault="006A12A5" w:rsidP="00A66CFF">
      <w:pPr>
        <w:pStyle w:val="PBACHeading1"/>
      </w:pPr>
      <w:r w:rsidRPr="00F36CCB">
        <w:t>Requested listing</w:t>
      </w:r>
    </w:p>
    <w:p w:rsidR="006A12A5" w:rsidRPr="00F36CCB" w:rsidRDefault="006A12A5" w:rsidP="00882085">
      <w:pPr>
        <w:jc w:val="both"/>
        <w:rPr>
          <w:rFonts w:asciiTheme="minorHAnsi" w:hAnsiTheme="minorHAnsi"/>
          <w:b/>
          <w:sz w:val="22"/>
          <w:szCs w:val="22"/>
        </w:rPr>
      </w:pPr>
    </w:p>
    <w:p w:rsidR="00826F6D" w:rsidRPr="00F36CCB" w:rsidRDefault="00EF44A0" w:rsidP="008A50F1">
      <w:pPr>
        <w:pStyle w:val="ListParagraph"/>
        <w:numPr>
          <w:ilvl w:val="1"/>
          <w:numId w:val="5"/>
        </w:numPr>
        <w:rPr>
          <w:szCs w:val="22"/>
        </w:rPr>
      </w:pPr>
      <w:r w:rsidRPr="00F36CCB">
        <w:rPr>
          <w:szCs w:val="22"/>
        </w:rPr>
        <w:t xml:space="preserve">The submission </w:t>
      </w:r>
      <w:r w:rsidR="0065572B">
        <w:rPr>
          <w:szCs w:val="22"/>
        </w:rPr>
        <w:t>proposed</w:t>
      </w:r>
      <w:r w:rsidR="00360030">
        <w:rPr>
          <w:szCs w:val="22"/>
        </w:rPr>
        <w:t xml:space="preserve"> the following</w:t>
      </w:r>
      <w:r w:rsidR="0065572B">
        <w:rPr>
          <w:szCs w:val="22"/>
        </w:rPr>
        <w:t xml:space="preserve"> listing. The secretariat has proposed wording based on the request outlined in the submission</w:t>
      </w:r>
      <w:r w:rsidR="00F4764B">
        <w:rPr>
          <w:szCs w:val="22"/>
        </w:rPr>
        <w:t xml:space="preserve"> and the relevant existing listing.</w:t>
      </w:r>
    </w:p>
    <w:p w:rsidR="00A66CFF" w:rsidRDefault="00A66CFF" w:rsidP="00C27B58">
      <w:pPr>
        <w:pStyle w:val="NoSpacing"/>
        <w:rPr>
          <w:rFonts w:asciiTheme="minorHAnsi" w:hAnsiTheme="minorHAnsi"/>
        </w:rPr>
      </w:pPr>
    </w:p>
    <w:p w:rsidR="00A66CFF" w:rsidRDefault="00A66CFF" w:rsidP="00C27B58">
      <w:pPr>
        <w:pStyle w:val="NoSpacing"/>
        <w:rPr>
          <w:rFonts w:asciiTheme="minorHAnsi" w:hAnsiTheme="minorHAnsi"/>
        </w:rPr>
      </w:pPr>
    </w:p>
    <w:p w:rsidR="00A66CFF" w:rsidRPr="00F36CCB" w:rsidRDefault="00A66CFF" w:rsidP="00C27B58">
      <w:pPr>
        <w:pStyle w:val="NoSpacing"/>
        <w:rPr>
          <w:rFonts w:asciiTheme="minorHAnsi" w:hAnsiTheme="minorHAnsi"/>
        </w:rPr>
      </w:pPr>
    </w:p>
    <w:tbl>
      <w:tblPr>
        <w:tblW w:w="8363" w:type="dxa"/>
        <w:tblInd w:w="817" w:type="dxa"/>
        <w:tblLayout w:type="fixed"/>
        <w:tblLook w:val="0000" w:firstRow="0" w:lastRow="0" w:firstColumn="0" w:lastColumn="0" w:noHBand="0" w:noVBand="0"/>
      </w:tblPr>
      <w:tblGrid>
        <w:gridCol w:w="1985"/>
        <w:gridCol w:w="1134"/>
        <w:gridCol w:w="850"/>
        <w:gridCol w:w="709"/>
        <w:gridCol w:w="1276"/>
        <w:gridCol w:w="1275"/>
        <w:gridCol w:w="1134"/>
      </w:tblGrid>
      <w:tr w:rsidR="00826F6D" w:rsidRPr="0039782C" w:rsidTr="00C27B58">
        <w:trPr>
          <w:cantSplit/>
          <w:trHeight w:val="471"/>
        </w:trPr>
        <w:tc>
          <w:tcPr>
            <w:tcW w:w="3119" w:type="dxa"/>
            <w:gridSpan w:val="2"/>
            <w:tcBorders>
              <w:bottom w:val="single" w:sz="4" w:space="0" w:color="auto"/>
            </w:tcBorders>
          </w:tcPr>
          <w:p w:rsidR="00826F6D" w:rsidRPr="0039782C" w:rsidRDefault="00826F6D" w:rsidP="00C27B58">
            <w:pPr>
              <w:keepNext/>
              <w:ind w:left="-108"/>
              <w:jc w:val="both"/>
              <w:rPr>
                <w:rFonts w:ascii="Arial Narrow" w:hAnsi="Arial Narrow" w:cs="Arial"/>
                <w:b/>
                <w:sz w:val="20"/>
                <w:szCs w:val="20"/>
              </w:rPr>
            </w:pPr>
            <w:r w:rsidRPr="0039782C">
              <w:rPr>
                <w:rFonts w:ascii="Arial Narrow" w:hAnsi="Arial Narrow" w:cs="Arial"/>
                <w:b/>
                <w:sz w:val="20"/>
                <w:szCs w:val="20"/>
              </w:rPr>
              <w:t>Name, Restriction,</w:t>
            </w:r>
          </w:p>
          <w:p w:rsidR="00826F6D" w:rsidRPr="0039782C" w:rsidRDefault="00826F6D" w:rsidP="00C27B58">
            <w:pPr>
              <w:keepNext/>
              <w:ind w:left="-108"/>
              <w:jc w:val="both"/>
              <w:rPr>
                <w:rFonts w:ascii="Arial Narrow" w:hAnsi="Arial Narrow" w:cs="Arial"/>
                <w:b/>
                <w:sz w:val="20"/>
                <w:szCs w:val="20"/>
              </w:rPr>
            </w:pPr>
            <w:r w:rsidRPr="0039782C">
              <w:rPr>
                <w:rFonts w:ascii="Arial Narrow" w:hAnsi="Arial Narrow" w:cs="Arial"/>
                <w:b/>
                <w:sz w:val="20"/>
                <w:szCs w:val="20"/>
              </w:rPr>
              <w:t>Manner of administration and form</w:t>
            </w:r>
          </w:p>
        </w:tc>
        <w:tc>
          <w:tcPr>
            <w:tcW w:w="850" w:type="dxa"/>
            <w:tcBorders>
              <w:bottom w:val="single" w:sz="4" w:space="0" w:color="auto"/>
            </w:tcBorders>
          </w:tcPr>
          <w:p w:rsidR="00826F6D" w:rsidRPr="0039782C" w:rsidRDefault="00826F6D" w:rsidP="00C27B58">
            <w:pPr>
              <w:keepNext/>
              <w:ind w:left="-108"/>
              <w:jc w:val="both"/>
              <w:rPr>
                <w:rFonts w:ascii="Arial Narrow" w:hAnsi="Arial Narrow" w:cs="Arial"/>
                <w:b/>
                <w:sz w:val="20"/>
                <w:szCs w:val="20"/>
              </w:rPr>
            </w:pPr>
            <w:r w:rsidRPr="0039782C">
              <w:rPr>
                <w:rFonts w:ascii="Arial Narrow" w:hAnsi="Arial Narrow" w:cs="Arial"/>
                <w:b/>
                <w:sz w:val="20"/>
                <w:szCs w:val="20"/>
              </w:rPr>
              <w:t>Max.</w:t>
            </w:r>
          </w:p>
          <w:p w:rsidR="00826F6D" w:rsidRPr="0039782C" w:rsidRDefault="00826F6D" w:rsidP="00C27B58">
            <w:pPr>
              <w:keepNext/>
              <w:ind w:left="-108"/>
              <w:jc w:val="both"/>
              <w:rPr>
                <w:rFonts w:ascii="Arial Narrow" w:hAnsi="Arial Narrow" w:cs="Arial"/>
                <w:b/>
                <w:sz w:val="20"/>
                <w:szCs w:val="20"/>
              </w:rPr>
            </w:pPr>
            <w:r w:rsidRPr="0039782C">
              <w:rPr>
                <w:rFonts w:ascii="Arial Narrow" w:hAnsi="Arial Narrow" w:cs="Arial"/>
                <w:b/>
                <w:sz w:val="20"/>
                <w:szCs w:val="20"/>
              </w:rPr>
              <w:t>Qty</w:t>
            </w:r>
          </w:p>
        </w:tc>
        <w:tc>
          <w:tcPr>
            <w:tcW w:w="709" w:type="dxa"/>
            <w:tcBorders>
              <w:bottom w:val="single" w:sz="4" w:space="0" w:color="auto"/>
            </w:tcBorders>
          </w:tcPr>
          <w:p w:rsidR="00826F6D" w:rsidRPr="0039782C" w:rsidRDefault="00826F6D" w:rsidP="00C27B58">
            <w:pPr>
              <w:keepNext/>
              <w:ind w:left="-108"/>
              <w:jc w:val="both"/>
              <w:rPr>
                <w:rFonts w:ascii="Arial Narrow" w:hAnsi="Arial Narrow" w:cs="Arial"/>
                <w:b/>
                <w:sz w:val="20"/>
                <w:szCs w:val="20"/>
              </w:rPr>
            </w:pPr>
            <w:r w:rsidRPr="0039782C">
              <w:rPr>
                <w:rFonts w:ascii="Arial Narrow" w:hAnsi="Arial Narrow" w:cs="Arial"/>
                <w:b/>
                <w:sz w:val="20"/>
                <w:szCs w:val="20"/>
              </w:rPr>
              <w:t>№.of</w:t>
            </w:r>
          </w:p>
          <w:p w:rsidR="00826F6D" w:rsidRPr="0039782C" w:rsidRDefault="00826F6D" w:rsidP="00C27B58">
            <w:pPr>
              <w:keepNext/>
              <w:ind w:left="-108"/>
              <w:jc w:val="both"/>
              <w:rPr>
                <w:rFonts w:ascii="Arial Narrow" w:hAnsi="Arial Narrow" w:cs="Arial"/>
                <w:b/>
                <w:sz w:val="20"/>
                <w:szCs w:val="20"/>
              </w:rPr>
            </w:pPr>
            <w:r w:rsidRPr="0039782C">
              <w:rPr>
                <w:rFonts w:ascii="Arial Narrow" w:hAnsi="Arial Narrow" w:cs="Arial"/>
                <w:b/>
                <w:sz w:val="20"/>
                <w:szCs w:val="20"/>
              </w:rPr>
              <w:t>Rpts</w:t>
            </w:r>
          </w:p>
        </w:tc>
        <w:tc>
          <w:tcPr>
            <w:tcW w:w="1276" w:type="dxa"/>
            <w:tcBorders>
              <w:bottom w:val="single" w:sz="4" w:space="0" w:color="auto"/>
            </w:tcBorders>
          </w:tcPr>
          <w:p w:rsidR="00826F6D" w:rsidRPr="0039782C" w:rsidRDefault="00826F6D" w:rsidP="00C27B58">
            <w:pPr>
              <w:keepNext/>
              <w:ind w:left="-108"/>
              <w:jc w:val="both"/>
              <w:rPr>
                <w:rFonts w:ascii="Arial Narrow" w:hAnsi="Arial Narrow" w:cs="Arial"/>
                <w:b/>
                <w:sz w:val="20"/>
                <w:szCs w:val="20"/>
              </w:rPr>
            </w:pPr>
            <w:r w:rsidRPr="0039782C">
              <w:rPr>
                <w:rFonts w:ascii="Arial Narrow" w:hAnsi="Arial Narrow" w:cs="Arial"/>
                <w:b/>
                <w:sz w:val="20"/>
                <w:szCs w:val="20"/>
              </w:rPr>
              <w:t>Dispensed Price for Max. Qty</w:t>
            </w:r>
          </w:p>
        </w:tc>
        <w:tc>
          <w:tcPr>
            <w:tcW w:w="2409" w:type="dxa"/>
            <w:gridSpan w:val="2"/>
            <w:tcBorders>
              <w:bottom w:val="single" w:sz="4" w:space="0" w:color="auto"/>
            </w:tcBorders>
          </w:tcPr>
          <w:p w:rsidR="00826F6D" w:rsidRPr="0039782C" w:rsidRDefault="00826F6D" w:rsidP="00C27B58">
            <w:pPr>
              <w:keepNext/>
              <w:jc w:val="both"/>
              <w:rPr>
                <w:rFonts w:ascii="Arial Narrow" w:hAnsi="Arial Narrow" w:cs="Arial"/>
                <w:b/>
                <w:sz w:val="20"/>
                <w:szCs w:val="20"/>
                <w:lang w:val="fr-FR"/>
              </w:rPr>
            </w:pPr>
            <w:r w:rsidRPr="0039782C">
              <w:rPr>
                <w:rFonts w:ascii="Arial Narrow" w:hAnsi="Arial Narrow" w:cs="Arial"/>
                <w:b/>
                <w:sz w:val="20"/>
                <w:szCs w:val="20"/>
              </w:rPr>
              <w:t>Proprietary Name and Manufacturer</w:t>
            </w:r>
          </w:p>
        </w:tc>
      </w:tr>
      <w:tr w:rsidR="00826F6D" w:rsidRPr="00260CE3" w:rsidTr="00C27B58">
        <w:trPr>
          <w:cantSplit/>
          <w:trHeight w:val="577"/>
        </w:trPr>
        <w:tc>
          <w:tcPr>
            <w:tcW w:w="3119" w:type="dxa"/>
            <w:gridSpan w:val="2"/>
          </w:tcPr>
          <w:p w:rsidR="00826F6D" w:rsidRDefault="00F4764B" w:rsidP="00C27B58">
            <w:pPr>
              <w:keepNext/>
              <w:ind w:left="-108"/>
              <w:jc w:val="both"/>
              <w:rPr>
                <w:rFonts w:ascii="Arial Narrow" w:hAnsi="Arial Narrow" w:cs="Arial"/>
                <w:smallCaps/>
                <w:sz w:val="20"/>
                <w:szCs w:val="20"/>
              </w:rPr>
            </w:pPr>
            <w:r>
              <w:rPr>
                <w:rFonts w:ascii="Arial Narrow" w:hAnsi="Arial Narrow" w:cs="Arial"/>
                <w:smallCaps/>
                <w:sz w:val="20"/>
                <w:szCs w:val="20"/>
              </w:rPr>
              <w:t>PEGFILGRASTIM</w:t>
            </w:r>
          </w:p>
          <w:p w:rsidR="00F4764B" w:rsidRPr="00260CE3" w:rsidRDefault="00F4764B" w:rsidP="00C27B58">
            <w:pPr>
              <w:keepNext/>
              <w:ind w:left="-108"/>
              <w:jc w:val="both"/>
              <w:rPr>
                <w:rFonts w:ascii="Arial Narrow" w:hAnsi="Arial Narrow" w:cs="Arial"/>
                <w:sz w:val="20"/>
                <w:szCs w:val="20"/>
              </w:rPr>
            </w:pPr>
            <w:r w:rsidRPr="00F4764B">
              <w:rPr>
                <w:rFonts w:ascii="Arial Narrow" w:hAnsi="Arial Narrow"/>
                <w:smallCaps/>
                <w:sz w:val="20"/>
                <w:szCs w:val="20"/>
              </w:rPr>
              <w:t>6 mg/0.6 mL injection, 0.6 mL syringe</w:t>
            </w:r>
          </w:p>
        </w:tc>
        <w:tc>
          <w:tcPr>
            <w:tcW w:w="850" w:type="dxa"/>
          </w:tcPr>
          <w:p w:rsidR="00826F6D" w:rsidRPr="00260CE3" w:rsidRDefault="00826F6D" w:rsidP="00C27B58">
            <w:pPr>
              <w:keepNext/>
              <w:ind w:left="-108"/>
              <w:jc w:val="both"/>
              <w:rPr>
                <w:rFonts w:ascii="Arial Narrow" w:hAnsi="Arial Narrow" w:cs="Arial"/>
                <w:sz w:val="20"/>
                <w:szCs w:val="20"/>
              </w:rPr>
            </w:pPr>
          </w:p>
          <w:p w:rsidR="00826F6D" w:rsidRPr="00260CE3" w:rsidRDefault="00F4764B" w:rsidP="00C27B58">
            <w:pPr>
              <w:keepNext/>
              <w:ind w:left="-108"/>
              <w:jc w:val="both"/>
              <w:rPr>
                <w:rFonts w:ascii="Arial Narrow" w:hAnsi="Arial Narrow" w:cs="Arial"/>
                <w:sz w:val="20"/>
                <w:szCs w:val="20"/>
              </w:rPr>
            </w:pPr>
            <w:r>
              <w:rPr>
                <w:rFonts w:ascii="Arial Narrow" w:hAnsi="Arial Narrow" w:cs="Arial"/>
                <w:sz w:val="20"/>
                <w:szCs w:val="20"/>
              </w:rPr>
              <w:t>1</w:t>
            </w:r>
          </w:p>
        </w:tc>
        <w:tc>
          <w:tcPr>
            <w:tcW w:w="709" w:type="dxa"/>
          </w:tcPr>
          <w:p w:rsidR="00826F6D" w:rsidRPr="00260CE3" w:rsidRDefault="00826F6D" w:rsidP="00C27B58">
            <w:pPr>
              <w:keepNext/>
              <w:ind w:left="-108"/>
              <w:jc w:val="both"/>
              <w:rPr>
                <w:rFonts w:ascii="Arial Narrow" w:hAnsi="Arial Narrow" w:cs="Arial"/>
                <w:sz w:val="20"/>
                <w:szCs w:val="20"/>
              </w:rPr>
            </w:pPr>
          </w:p>
          <w:p w:rsidR="00826F6D" w:rsidRPr="00260CE3" w:rsidRDefault="00F4764B" w:rsidP="00C27B58">
            <w:pPr>
              <w:keepNext/>
              <w:ind w:left="-108"/>
              <w:jc w:val="both"/>
              <w:rPr>
                <w:rFonts w:ascii="Arial Narrow" w:hAnsi="Arial Narrow" w:cs="Arial"/>
                <w:sz w:val="20"/>
                <w:szCs w:val="20"/>
              </w:rPr>
            </w:pPr>
            <w:r>
              <w:rPr>
                <w:rFonts w:ascii="Arial Narrow" w:hAnsi="Arial Narrow" w:cs="Arial"/>
                <w:sz w:val="20"/>
                <w:szCs w:val="20"/>
              </w:rPr>
              <w:t>11</w:t>
            </w:r>
          </w:p>
        </w:tc>
        <w:tc>
          <w:tcPr>
            <w:tcW w:w="1276" w:type="dxa"/>
          </w:tcPr>
          <w:p w:rsidR="00826F6D" w:rsidRPr="00260CE3" w:rsidRDefault="00826F6D" w:rsidP="00C27B58">
            <w:pPr>
              <w:keepNext/>
              <w:ind w:left="-108"/>
              <w:jc w:val="both"/>
              <w:rPr>
                <w:rFonts w:ascii="Arial Narrow" w:hAnsi="Arial Narrow" w:cs="Arial"/>
                <w:sz w:val="20"/>
                <w:szCs w:val="20"/>
              </w:rPr>
            </w:pPr>
          </w:p>
          <w:p w:rsidR="00826F6D" w:rsidRDefault="00F4764B" w:rsidP="00C27B58">
            <w:pPr>
              <w:keepNext/>
              <w:ind w:left="-108"/>
              <w:jc w:val="both"/>
              <w:rPr>
                <w:rFonts w:ascii="Arial Narrow" w:hAnsi="Arial Narrow" w:cs="Arial"/>
                <w:sz w:val="20"/>
                <w:szCs w:val="20"/>
              </w:rPr>
            </w:pPr>
            <w:r>
              <w:rPr>
                <w:rFonts w:ascii="Arial Narrow" w:hAnsi="Arial Narrow" w:cs="Arial"/>
                <w:sz w:val="20"/>
                <w:szCs w:val="20"/>
              </w:rPr>
              <w:t>$1297.02 (private)</w:t>
            </w:r>
          </w:p>
          <w:p w:rsidR="00F4764B" w:rsidRPr="00260CE3" w:rsidRDefault="00F4764B" w:rsidP="00C27B58">
            <w:pPr>
              <w:keepNext/>
              <w:ind w:left="-108"/>
              <w:jc w:val="both"/>
              <w:rPr>
                <w:rFonts w:ascii="Arial Narrow" w:hAnsi="Arial Narrow" w:cs="Arial"/>
                <w:sz w:val="20"/>
                <w:szCs w:val="20"/>
              </w:rPr>
            </w:pPr>
            <w:r>
              <w:rPr>
                <w:rFonts w:ascii="Arial Narrow" w:hAnsi="Arial Narrow" w:cs="Arial"/>
                <w:sz w:val="20"/>
                <w:szCs w:val="20"/>
              </w:rPr>
              <w:t>$1250.00 (public)</w:t>
            </w:r>
          </w:p>
        </w:tc>
        <w:tc>
          <w:tcPr>
            <w:tcW w:w="1275" w:type="dxa"/>
          </w:tcPr>
          <w:p w:rsidR="00C27B58" w:rsidRDefault="00C27B58" w:rsidP="00C27B58">
            <w:pPr>
              <w:keepNext/>
              <w:jc w:val="both"/>
              <w:rPr>
                <w:rFonts w:ascii="Arial Narrow" w:hAnsi="Arial Narrow" w:cs="Arial"/>
                <w:sz w:val="20"/>
                <w:szCs w:val="20"/>
              </w:rPr>
            </w:pPr>
          </w:p>
          <w:p w:rsidR="00826F6D" w:rsidRPr="00260CE3" w:rsidRDefault="00F4764B" w:rsidP="00C27B58">
            <w:pPr>
              <w:keepNext/>
              <w:jc w:val="both"/>
              <w:rPr>
                <w:rFonts w:ascii="Arial Narrow" w:hAnsi="Arial Narrow" w:cs="Arial"/>
                <w:sz w:val="20"/>
                <w:szCs w:val="20"/>
              </w:rPr>
            </w:pPr>
            <w:r>
              <w:rPr>
                <w:rFonts w:ascii="Arial Narrow" w:hAnsi="Arial Narrow" w:cs="Arial"/>
                <w:sz w:val="20"/>
                <w:szCs w:val="20"/>
              </w:rPr>
              <w:t>Neulasta</w:t>
            </w:r>
          </w:p>
        </w:tc>
        <w:tc>
          <w:tcPr>
            <w:tcW w:w="1134" w:type="dxa"/>
          </w:tcPr>
          <w:p w:rsidR="00C27B58" w:rsidRDefault="00C27B58" w:rsidP="00C27B58">
            <w:pPr>
              <w:keepNext/>
              <w:jc w:val="both"/>
              <w:rPr>
                <w:rFonts w:ascii="Arial Narrow" w:hAnsi="Arial Narrow" w:cs="Arial"/>
                <w:sz w:val="20"/>
                <w:szCs w:val="20"/>
              </w:rPr>
            </w:pPr>
          </w:p>
          <w:p w:rsidR="00826F6D" w:rsidRPr="00260CE3" w:rsidRDefault="00F4764B" w:rsidP="00C27B58">
            <w:pPr>
              <w:keepNext/>
              <w:jc w:val="both"/>
              <w:rPr>
                <w:rFonts w:ascii="Arial Narrow" w:hAnsi="Arial Narrow" w:cs="Arial"/>
                <w:sz w:val="20"/>
                <w:szCs w:val="20"/>
              </w:rPr>
            </w:pPr>
            <w:r>
              <w:rPr>
                <w:rFonts w:ascii="Arial Narrow" w:hAnsi="Arial Narrow" w:cs="Arial"/>
                <w:sz w:val="20"/>
                <w:szCs w:val="20"/>
              </w:rPr>
              <w:t>Amgen Australia</w:t>
            </w:r>
          </w:p>
        </w:tc>
      </w:tr>
      <w:tr w:rsidR="00826F6D" w:rsidRPr="00260CE3" w:rsidTr="00C27B58">
        <w:trPr>
          <w:cantSplit/>
          <w:trHeight w:val="360"/>
        </w:trPr>
        <w:tc>
          <w:tcPr>
            <w:tcW w:w="1985" w:type="dxa"/>
            <w:tcBorders>
              <w:top w:val="single" w:sz="4" w:space="0" w:color="auto"/>
              <w:left w:val="single" w:sz="4" w:space="0" w:color="auto"/>
              <w:bottom w:val="single" w:sz="4" w:space="0" w:color="auto"/>
              <w:right w:val="single" w:sz="4" w:space="0" w:color="auto"/>
            </w:tcBorders>
          </w:tcPr>
          <w:p w:rsidR="00826F6D" w:rsidRPr="00260CE3" w:rsidRDefault="00826F6D" w:rsidP="00C27B58">
            <w:pPr>
              <w:jc w:val="both"/>
              <w:rPr>
                <w:rFonts w:ascii="Arial Narrow" w:hAnsi="Arial Narrow" w:cs="Arial"/>
                <w:b/>
                <w:sz w:val="20"/>
                <w:szCs w:val="20"/>
              </w:rPr>
            </w:pPr>
            <w:r w:rsidRPr="00260CE3">
              <w:rPr>
                <w:rFonts w:ascii="Arial Narrow" w:hAnsi="Arial Narrow" w:cs="Arial"/>
                <w:b/>
                <w:sz w:val="20"/>
                <w:szCs w:val="20"/>
              </w:rPr>
              <w:t xml:space="preserve">Category / </w:t>
            </w:r>
          </w:p>
          <w:p w:rsidR="00826F6D" w:rsidRPr="00260CE3" w:rsidRDefault="00826F6D" w:rsidP="00C27B58">
            <w:pPr>
              <w:jc w:val="both"/>
              <w:rPr>
                <w:rFonts w:ascii="Arial Narrow" w:hAnsi="Arial Narrow" w:cs="Arial"/>
                <w:b/>
                <w:sz w:val="20"/>
                <w:szCs w:val="20"/>
              </w:rPr>
            </w:pPr>
            <w:r w:rsidRPr="00260CE3">
              <w:rPr>
                <w:rFonts w:ascii="Arial Narrow" w:hAnsi="Arial Narrow" w:cs="Arial"/>
                <w:b/>
                <w:sz w:val="20"/>
                <w:szCs w:val="20"/>
              </w:rPr>
              <w:t>Program</w:t>
            </w:r>
          </w:p>
        </w:tc>
        <w:tc>
          <w:tcPr>
            <w:tcW w:w="6378" w:type="dxa"/>
            <w:gridSpan w:val="6"/>
            <w:tcBorders>
              <w:top w:val="single" w:sz="4" w:space="0" w:color="auto"/>
              <w:left w:val="single" w:sz="4" w:space="0" w:color="auto"/>
              <w:bottom w:val="single" w:sz="4" w:space="0" w:color="auto"/>
              <w:right w:val="single" w:sz="4" w:space="0" w:color="auto"/>
            </w:tcBorders>
          </w:tcPr>
          <w:p w:rsidR="00826F6D" w:rsidRPr="00260CE3" w:rsidRDefault="00826F6D" w:rsidP="00F4764B">
            <w:pPr>
              <w:rPr>
                <w:rFonts w:ascii="Arial Narrow" w:hAnsi="Arial Narrow" w:cs="Arial"/>
                <w:sz w:val="20"/>
                <w:szCs w:val="20"/>
              </w:rPr>
            </w:pPr>
            <w:r w:rsidRPr="00260CE3">
              <w:rPr>
                <w:rFonts w:ascii="Arial Narrow" w:hAnsi="Arial Narrow" w:cs="Arial"/>
                <w:sz w:val="20"/>
                <w:szCs w:val="20"/>
              </w:rPr>
              <w:t xml:space="preserve">Section 100 – </w:t>
            </w:r>
            <w:r w:rsidR="00F4764B">
              <w:rPr>
                <w:rFonts w:ascii="Arial Narrow" w:hAnsi="Arial Narrow" w:cs="Arial"/>
                <w:sz w:val="20"/>
                <w:szCs w:val="20"/>
              </w:rPr>
              <w:t>HSD</w:t>
            </w:r>
          </w:p>
        </w:tc>
      </w:tr>
      <w:tr w:rsidR="00826F6D" w:rsidRPr="00260CE3" w:rsidTr="00C27B58">
        <w:trPr>
          <w:cantSplit/>
          <w:trHeight w:val="360"/>
        </w:trPr>
        <w:tc>
          <w:tcPr>
            <w:tcW w:w="1985" w:type="dxa"/>
            <w:tcBorders>
              <w:top w:val="single" w:sz="4" w:space="0" w:color="auto"/>
              <w:left w:val="single" w:sz="4" w:space="0" w:color="auto"/>
              <w:bottom w:val="single" w:sz="4" w:space="0" w:color="auto"/>
              <w:right w:val="single" w:sz="4" w:space="0" w:color="auto"/>
            </w:tcBorders>
          </w:tcPr>
          <w:p w:rsidR="00826F6D" w:rsidRPr="00260CE3" w:rsidRDefault="00826F6D" w:rsidP="00C27B58">
            <w:pPr>
              <w:jc w:val="both"/>
              <w:rPr>
                <w:rFonts w:ascii="Arial Narrow" w:hAnsi="Arial Narrow" w:cs="Arial"/>
                <w:b/>
                <w:sz w:val="20"/>
                <w:szCs w:val="20"/>
              </w:rPr>
            </w:pPr>
            <w:r w:rsidRPr="00260CE3">
              <w:rPr>
                <w:rFonts w:ascii="Arial Narrow" w:hAnsi="Arial Narrow" w:cs="Arial"/>
                <w:b/>
                <w:sz w:val="20"/>
                <w:szCs w:val="20"/>
              </w:rPr>
              <w:t>Prescriber type:</w:t>
            </w:r>
          </w:p>
        </w:tc>
        <w:tc>
          <w:tcPr>
            <w:tcW w:w="6378" w:type="dxa"/>
            <w:gridSpan w:val="6"/>
            <w:tcBorders>
              <w:top w:val="single" w:sz="4" w:space="0" w:color="auto"/>
              <w:left w:val="single" w:sz="4" w:space="0" w:color="auto"/>
              <w:bottom w:val="single" w:sz="4" w:space="0" w:color="auto"/>
              <w:right w:val="single" w:sz="4" w:space="0" w:color="auto"/>
            </w:tcBorders>
          </w:tcPr>
          <w:p w:rsidR="00826F6D" w:rsidRPr="00260CE3" w:rsidRDefault="00826F6D" w:rsidP="00C27B58">
            <w:pPr>
              <w:rPr>
                <w:rFonts w:ascii="Arial Narrow" w:hAnsi="Arial Narrow" w:cs="Arial"/>
                <w:sz w:val="20"/>
                <w:szCs w:val="20"/>
              </w:rPr>
            </w:pPr>
            <w:r w:rsidRPr="00260CE3">
              <w:rPr>
                <w:rFonts w:ascii="Arial Narrow" w:hAnsi="Arial Narrow" w:cs="Arial"/>
                <w:sz w:val="20"/>
                <w:szCs w:val="20"/>
              </w:rPr>
              <w:fldChar w:fldCharType="begin">
                <w:ffData>
                  <w:name w:val="Check1"/>
                  <w:enabled/>
                  <w:calcOnExit w:val="0"/>
                  <w:checkBox>
                    <w:sizeAuto/>
                    <w:default w:val="0"/>
                  </w:checkBox>
                </w:ffData>
              </w:fldChar>
            </w:r>
            <w:r w:rsidRPr="00260CE3">
              <w:rPr>
                <w:rFonts w:ascii="Arial Narrow" w:hAnsi="Arial Narrow" w:cs="Arial"/>
                <w:sz w:val="20"/>
                <w:szCs w:val="20"/>
              </w:rPr>
              <w:instrText xml:space="preserve"> FORMCHECKBOX </w:instrText>
            </w:r>
            <w:r w:rsidR="00853769">
              <w:rPr>
                <w:rFonts w:ascii="Arial Narrow" w:hAnsi="Arial Narrow" w:cs="Arial"/>
                <w:sz w:val="20"/>
                <w:szCs w:val="20"/>
              </w:rPr>
            </w:r>
            <w:r w:rsidR="00853769">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 xml:space="preserve">Dental  </w:t>
            </w:r>
            <w:r w:rsidR="00F4764B">
              <w:rPr>
                <w:rFonts w:ascii="Arial Narrow" w:hAnsi="Arial Narrow" w:cs="Arial"/>
                <w:sz w:val="20"/>
                <w:szCs w:val="20"/>
              </w:rPr>
              <w:fldChar w:fldCharType="begin">
                <w:ffData>
                  <w:name w:val=""/>
                  <w:enabled/>
                  <w:calcOnExit w:val="0"/>
                  <w:checkBox>
                    <w:sizeAuto/>
                    <w:default w:val="1"/>
                  </w:checkBox>
                </w:ffData>
              </w:fldChar>
            </w:r>
            <w:r w:rsidR="00F4764B">
              <w:rPr>
                <w:rFonts w:ascii="Arial Narrow" w:hAnsi="Arial Narrow" w:cs="Arial"/>
                <w:sz w:val="20"/>
                <w:szCs w:val="20"/>
              </w:rPr>
              <w:instrText xml:space="preserve"> FORMCHECKBOX </w:instrText>
            </w:r>
            <w:r w:rsidR="00853769">
              <w:rPr>
                <w:rFonts w:ascii="Arial Narrow" w:hAnsi="Arial Narrow" w:cs="Arial"/>
                <w:sz w:val="20"/>
                <w:szCs w:val="20"/>
              </w:rPr>
            </w:r>
            <w:r w:rsidR="00853769">
              <w:rPr>
                <w:rFonts w:ascii="Arial Narrow" w:hAnsi="Arial Narrow" w:cs="Arial"/>
                <w:sz w:val="20"/>
                <w:szCs w:val="20"/>
              </w:rPr>
              <w:fldChar w:fldCharType="separate"/>
            </w:r>
            <w:r w:rsidR="00F4764B">
              <w:rPr>
                <w:rFonts w:ascii="Arial Narrow" w:hAnsi="Arial Narrow" w:cs="Arial"/>
                <w:sz w:val="20"/>
                <w:szCs w:val="20"/>
              </w:rPr>
              <w:fldChar w:fldCharType="end"/>
            </w:r>
            <w:r w:rsidRPr="00260CE3">
              <w:rPr>
                <w:rFonts w:ascii="Arial Narrow" w:hAnsi="Arial Narrow" w:cs="Arial"/>
                <w:sz w:val="20"/>
                <w:szCs w:val="20"/>
              </w:rPr>
              <w:t xml:space="preserve">Medical Practitioners  </w:t>
            </w:r>
            <w:r w:rsidRPr="00260CE3">
              <w:rPr>
                <w:rFonts w:ascii="Arial Narrow" w:hAnsi="Arial Narrow" w:cs="Arial"/>
                <w:sz w:val="20"/>
                <w:szCs w:val="20"/>
              </w:rPr>
              <w:fldChar w:fldCharType="begin">
                <w:ffData>
                  <w:name w:val="Check3"/>
                  <w:enabled/>
                  <w:calcOnExit w:val="0"/>
                  <w:checkBox>
                    <w:sizeAuto/>
                    <w:default w:val="0"/>
                  </w:checkBox>
                </w:ffData>
              </w:fldChar>
            </w:r>
            <w:r w:rsidRPr="00260CE3">
              <w:rPr>
                <w:rFonts w:ascii="Arial Narrow" w:hAnsi="Arial Narrow" w:cs="Arial"/>
                <w:sz w:val="20"/>
                <w:szCs w:val="20"/>
              </w:rPr>
              <w:instrText xml:space="preserve"> FORMCHECKBOX </w:instrText>
            </w:r>
            <w:r w:rsidR="00853769">
              <w:rPr>
                <w:rFonts w:ascii="Arial Narrow" w:hAnsi="Arial Narrow" w:cs="Arial"/>
                <w:sz w:val="20"/>
                <w:szCs w:val="20"/>
              </w:rPr>
            </w:r>
            <w:r w:rsidR="00853769">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 xml:space="preserve">Nurse practitioners  </w:t>
            </w:r>
            <w:r w:rsidRPr="00260CE3">
              <w:rPr>
                <w:rFonts w:ascii="Arial Narrow" w:hAnsi="Arial Narrow" w:cs="Arial"/>
                <w:sz w:val="20"/>
                <w:szCs w:val="20"/>
              </w:rPr>
              <w:fldChar w:fldCharType="begin">
                <w:ffData>
                  <w:name w:val=""/>
                  <w:enabled/>
                  <w:calcOnExit w:val="0"/>
                  <w:checkBox>
                    <w:sizeAuto/>
                    <w:default w:val="0"/>
                  </w:checkBox>
                </w:ffData>
              </w:fldChar>
            </w:r>
            <w:r w:rsidRPr="00260CE3">
              <w:rPr>
                <w:rFonts w:ascii="Arial Narrow" w:hAnsi="Arial Narrow" w:cs="Arial"/>
                <w:sz w:val="20"/>
                <w:szCs w:val="20"/>
              </w:rPr>
              <w:instrText xml:space="preserve"> FORMCHECKBOX </w:instrText>
            </w:r>
            <w:r w:rsidR="00853769">
              <w:rPr>
                <w:rFonts w:ascii="Arial Narrow" w:hAnsi="Arial Narrow" w:cs="Arial"/>
                <w:sz w:val="20"/>
                <w:szCs w:val="20"/>
              </w:rPr>
            </w:r>
            <w:r w:rsidR="00853769">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Optometrists</w:t>
            </w:r>
          </w:p>
          <w:p w:rsidR="00826F6D" w:rsidRPr="00260CE3" w:rsidRDefault="00826F6D" w:rsidP="00C27B58">
            <w:pPr>
              <w:rPr>
                <w:rFonts w:ascii="Arial Narrow" w:hAnsi="Arial Narrow" w:cs="Arial"/>
                <w:sz w:val="20"/>
                <w:szCs w:val="20"/>
              </w:rPr>
            </w:pPr>
            <w:r w:rsidRPr="00260CE3">
              <w:rPr>
                <w:rFonts w:ascii="Arial Narrow" w:hAnsi="Arial Narrow" w:cs="Arial"/>
                <w:sz w:val="20"/>
                <w:szCs w:val="20"/>
              </w:rPr>
              <w:fldChar w:fldCharType="begin">
                <w:ffData>
                  <w:name w:val="Check5"/>
                  <w:enabled/>
                  <w:calcOnExit w:val="0"/>
                  <w:checkBox>
                    <w:sizeAuto/>
                    <w:default w:val="0"/>
                  </w:checkBox>
                </w:ffData>
              </w:fldChar>
            </w:r>
            <w:r w:rsidRPr="00260CE3">
              <w:rPr>
                <w:rFonts w:ascii="Arial Narrow" w:hAnsi="Arial Narrow" w:cs="Arial"/>
                <w:sz w:val="20"/>
                <w:szCs w:val="20"/>
              </w:rPr>
              <w:instrText xml:space="preserve"> FORMCHECKBOX </w:instrText>
            </w:r>
            <w:r w:rsidR="00853769">
              <w:rPr>
                <w:rFonts w:ascii="Arial Narrow" w:hAnsi="Arial Narrow" w:cs="Arial"/>
                <w:sz w:val="20"/>
                <w:szCs w:val="20"/>
              </w:rPr>
            </w:r>
            <w:r w:rsidR="00853769">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Midwives</w:t>
            </w:r>
          </w:p>
        </w:tc>
      </w:tr>
      <w:tr w:rsidR="00826F6D" w:rsidRPr="00260CE3" w:rsidTr="00C27B58">
        <w:trPr>
          <w:cantSplit/>
          <w:trHeight w:val="360"/>
        </w:trPr>
        <w:tc>
          <w:tcPr>
            <w:tcW w:w="1985" w:type="dxa"/>
            <w:tcBorders>
              <w:top w:val="single" w:sz="4" w:space="0" w:color="auto"/>
              <w:left w:val="single" w:sz="4" w:space="0" w:color="auto"/>
              <w:bottom w:val="single" w:sz="4" w:space="0" w:color="auto"/>
              <w:right w:val="single" w:sz="4" w:space="0" w:color="auto"/>
            </w:tcBorders>
          </w:tcPr>
          <w:p w:rsidR="00826F6D" w:rsidRPr="00260CE3" w:rsidRDefault="00826F6D" w:rsidP="00C27B58">
            <w:pPr>
              <w:jc w:val="both"/>
              <w:rPr>
                <w:rFonts w:ascii="Arial Narrow" w:hAnsi="Arial Narrow" w:cs="Arial"/>
                <w:b/>
                <w:sz w:val="20"/>
                <w:szCs w:val="20"/>
              </w:rPr>
            </w:pPr>
            <w:r w:rsidRPr="00260CE3">
              <w:rPr>
                <w:rFonts w:ascii="Arial Narrow" w:hAnsi="Arial Narrow" w:cs="Arial"/>
                <w:b/>
                <w:sz w:val="20"/>
                <w:szCs w:val="20"/>
              </w:rPr>
              <w:t>PBS Indication:</w:t>
            </w:r>
          </w:p>
        </w:tc>
        <w:tc>
          <w:tcPr>
            <w:tcW w:w="6378" w:type="dxa"/>
            <w:gridSpan w:val="6"/>
            <w:tcBorders>
              <w:top w:val="single" w:sz="4" w:space="0" w:color="auto"/>
              <w:left w:val="single" w:sz="4" w:space="0" w:color="auto"/>
              <w:bottom w:val="single" w:sz="4" w:space="0" w:color="auto"/>
              <w:right w:val="single" w:sz="4" w:space="0" w:color="auto"/>
            </w:tcBorders>
          </w:tcPr>
          <w:p w:rsidR="00826F6D" w:rsidRPr="00493D74" w:rsidRDefault="00F4764B" w:rsidP="00360030">
            <w:pPr>
              <w:rPr>
                <w:rFonts w:ascii="Arial" w:hAnsi="Arial" w:cs="Arial"/>
                <w:i/>
                <w:sz w:val="21"/>
                <w:szCs w:val="21"/>
              </w:rPr>
            </w:pPr>
            <w:r w:rsidRPr="00493D74">
              <w:rPr>
                <w:rFonts w:ascii="Arial Narrow" w:hAnsi="Arial Narrow" w:cs="Arial"/>
                <w:i/>
                <w:sz w:val="20"/>
                <w:szCs w:val="20"/>
              </w:rPr>
              <w:t>Chemotherapy-induced neutropenia</w:t>
            </w:r>
          </w:p>
        </w:tc>
      </w:tr>
      <w:tr w:rsidR="00826F6D" w:rsidRPr="00260CE3" w:rsidTr="00C27B58">
        <w:trPr>
          <w:cantSplit/>
          <w:trHeight w:val="360"/>
        </w:trPr>
        <w:tc>
          <w:tcPr>
            <w:tcW w:w="1985" w:type="dxa"/>
            <w:tcBorders>
              <w:top w:val="single" w:sz="4" w:space="0" w:color="auto"/>
              <w:left w:val="single" w:sz="4" w:space="0" w:color="auto"/>
              <w:bottom w:val="single" w:sz="4" w:space="0" w:color="auto"/>
              <w:right w:val="single" w:sz="4" w:space="0" w:color="auto"/>
            </w:tcBorders>
          </w:tcPr>
          <w:p w:rsidR="00826F6D" w:rsidRPr="00260CE3" w:rsidRDefault="00826F6D" w:rsidP="00C27B58">
            <w:pPr>
              <w:jc w:val="both"/>
              <w:rPr>
                <w:rFonts w:ascii="Arial Narrow" w:hAnsi="Arial Narrow" w:cs="Arial"/>
                <w:b/>
                <w:sz w:val="20"/>
                <w:szCs w:val="20"/>
              </w:rPr>
            </w:pPr>
            <w:r w:rsidRPr="00260CE3">
              <w:rPr>
                <w:rFonts w:ascii="Arial Narrow" w:hAnsi="Arial Narrow" w:cs="Arial"/>
                <w:b/>
                <w:sz w:val="20"/>
                <w:szCs w:val="20"/>
              </w:rPr>
              <w:t>Restriction</w:t>
            </w:r>
            <w:r>
              <w:rPr>
                <w:rFonts w:ascii="Arial Narrow" w:hAnsi="Arial Narrow" w:cs="Arial"/>
                <w:b/>
                <w:sz w:val="20"/>
                <w:szCs w:val="20"/>
              </w:rPr>
              <w:t xml:space="preserve"> Level / Method</w:t>
            </w:r>
            <w:r w:rsidRPr="00260CE3">
              <w:rPr>
                <w:rFonts w:ascii="Arial Narrow" w:hAnsi="Arial Narrow" w:cs="Arial"/>
                <w:b/>
                <w:sz w:val="20"/>
                <w:szCs w:val="20"/>
              </w:rPr>
              <w:t>:</w:t>
            </w:r>
          </w:p>
          <w:p w:rsidR="00826F6D" w:rsidRPr="00260CE3" w:rsidRDefault="00826F6D" w:rsidP="00C27B58">
            <w:pPr>
              <w:rPr>
                <w:rFonts w:ascii="Arial Narrow" w:hAnsi="Arial Narrow" w:cs="Arial"/>
                <w:sz w:val="20"/>
                <w:szCs w:val="20"/>
              </w:rPr>
            </w:pPr>
          </w:p>
        </w:tc>
        <w:tc>
          <w:tcPr>
            <w:tcW w:w="6378" w:type="dxa"/>
            <w:gridSpan w:val="6"/>
            <w:tcBorders>
              <w:top w:val="single" w:sz="4" w:space="0" w:color="auto"/>
              <w:left w:val="single" w:sz="4" w:space="0" w:color="auto"/>
              <w:bottom w:val="single" w:sz="4" w:space="0" w:color="auto"/>
              <w:right w:val="single" w:sz="4" w:space="0" w:color="auto"/>
            </w:tcBorders>
          </w:tcPr>
          <w:p w:rsidR="00826F6D" w:rsidRPr="00106BCF" w:rsidRDefault="00826F6D" w:rsidP="00C27B58">
            <w:pPr>
              <w:rPr>
                <w:rFonts w:ascii="Arial Narrow" w:hAnsi="Arial Narrow" w:cs="Arial"/>
                <w:sz w:val="20"/>
                <w:szCs w:val="20"/>
              </w:rPr>
            </w:pPr>
            <w:r w:rsidRPr="00106BCF">
              <w:rPr>
                <w:rFonts w:ascii="Arial Narrow" w:hAnsi="Arial Narrow" w:cs="Arial"/>
                <w:sz w:val="20"/>
                <w:szCs w:val="20"/>
              </w:rPr>
              <w:fldChar w:fldCharType="begin">
                <w:ffData>
                  <w:name w:val="Check1"/>
                  <w:enabled/>
                  <w:calcOnExit w:val="0"/>
                  <w:checkBox>
                    <w:sizeAuto/>
                    <w:default w:val="0"/>
                  </w:checkBox>
                </w:ffData>
              </w:fldChar>
            </w:r>
            <w:r w:rsidRPr="00106BCF">
              <w:rPr>
                <w:rFonts w:ascii="Arial Narrow" w:hAnsi="Arial Narrow" w:cs="Arial"/>
                <w:sz w:val="20"/>
                <w:szCs w:val="20"/>
              </w:rPr>
              <w:instrText xml:space="preserve"> FORMCHECKBOX </w:instrText>
            </w:r>
            <w:r w:rsidR="00853769">
              <w:rPr>
                <w:rFonts w:ascii="Arial Narrow" w:hAnsi="Arial Narrow" w:cs="Arial"/>
                <w:sz w:val="20"/>
                <w:szCs w:val="20"/>
              </w:rPr>
            </w:r>
            <w:r w:rsidR="00853769">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Restricted benefit</w:t>
            </w:r>
          </w:p>
          <w:p w:rsidR="00826F6D" w:rsidRPr="00106BCF" w:rsidRDefault="00F4764B" w:rsidP="00C27B58">
            <w:pP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853769">
              <w:rPr>
                <w:rFonts w:ascii="Arial Narrow" w:hAnsi="Arial Narrow" w:cs="Arial"/>
                <w:sz w:val="20"/>
                <w:szCs w:val="20"/>
              </w:rPr>
            </w:r>
            <w:r w:rsidR="00853769">
              <w:rPr>
                <w:rFonts w:ascii="Arial Narrow" w:hAnsi="Arial Narrow" w:cs="Arial"/>
                <w:sz w:val="20"/>
                <w:szCs w:val="20"/>
              </w:rPr>
              <w:fldChar w:fldCharType="separate"/>
            </w:r>
            <w:r>
              <w:rPr>
                <w:rFonts w:ascii="Arial Narrow" w:hAnsi="Arial Narrow" w:cs="Arial"/>
                <w:sz w:val="20"/>
                <w:szCs w:val="20"/>
              </w:rPr>
              <w:fldChar w:fldCharType="end"/>
            </w:r>
            <w:r w:rsidR="00826F6D" w:rsidRPr="00106BCF">
              <w:rPr>
                <w:rFonts w:ascii="Arial Narrow" w:hAnsi="Arial Narrow" w:cs="Arial"/>
                <w:sz w:val="20"/>
                <w:szCs w:val="20"/>
              </w:rPr>
              <w:t>Authority Required - In Writing</w:t>
            </w:r>
            <w:r>
              <w:rPr>
                <w:rFonts w:ascii="Arial Narrow" w:hAnsi="Arial Narrow" w:cs="Arial"/>
                <w:sz w:val="20"/>
                <w:szCs w:val="20"/>
              </w:rPr>
              <w:t xml:space="preserve"> (Private)</w:t>
            </w:r>
          </w:p>
          <w:p w:rsidR="00826F6D" w:rsidRPr="00106BCF" w:rsidRDefault="00F4764B" w:rsidP="00C27B58">
            <w:pPr>
              <w:rPr>
                <w:rFonts w:ascii="Arial Narrow" w:hAnsi="Arial Narrow" w:cs="Arial"/>
                <w:sz w:val="20"/>
                <w:szCs w:val="20"/>
              </w:rPr>
            </w:pPr>
            <w:r>
              <w:rPr>
                <w:rFonts w:ascii="Arial Narrow" w:hAnsi="Arial Narrow" w:cs="Arial"/>
                <w:sz w:val="20"/>
                <w:szCs w:val="20"/>
              </w:rPr>
              <w:fldChar w:fldCharType="begin">
                <w:ffData>
                  <w:name w:val="Check3"/>
                  <w:enabled/>
                  <w:calcOnExit w:val="0"/>
                  <w:checkBox>
                    <w:sizeAuto/>
                    <w:default w:val="1"/>
                  </w:checkBox>
                </w:ffData>
              </w:fldChar>
            </w:r>
            <w:bookmarkStart w:id="1" w:name="Check3"/>
            <w:r>
              <w:rPr>
                <w:rFonts w:ascii="Arial Narrow" w:hAnsi="Arial Narrow" w:cs="Arial"/>
                <w:sz w:val="20"/>
                <w:szCs w:val="20"/>
              </w:rPr>
              <w:instrText xml:space="preserve"> FORMCHECKBOX </w:instrText>
            </w:r>
            <w:r w:rsidR="00853769">
              <w:rPr>
                <w:rFonts w:ascii="Arial Narrow" w:hAnsi="Arial Narrow" w:cs="Arial"/>
                <w:sz w:val="20"/>
                <w:szCs w:val="20"/>
              </w:rPr>
            </w:r>
            <w:r w:rsidR="00853769">
              <w:rPr>
                <w:rFonts w:ascii="Arial Narrow" w:hAnsi="Arial Narrow" w:cs="Arial"/>
                <w:sz w:val="20"/>
                <w:szCs w:val="20"/>
              </w:rPr>
              <w:fldChar w:fldCharType="separate"/>
            </w:r>
            <w:r>
              <w:rPr>
                <w:rFonts w:ascii="Arial Narrow" w:hAnsi="Arial Narrow" w:cs="Arial"/>
                <w:sz w:val="20"/>
                <w:szCs w:val="20"/>
              </w:rPr>
              <w:fldChar w:fldCharType="end"/>
            </w:r>
            <w:bookmarkEnd w:id="1"/>
            <w:r w:rsidR="00826F6D" w:rsidRPr="00106BCF">
              <w:rPr>
                <w:rFonts w:ascii="Arial Narrow" w:hAnsi="Arial Narrow" w:cs="Arial"/>
                <w:sz w:val="20"/>
                <w:szCs w:val="20"/>
              </w:rPr>
              <w:t xml:space="preserve">Authority Required </w:t>
            </w:r>
            <w:r>
              <w:rPr>
                <w:rFonts w:ascii="Arial Narrow" w:hAnsi="Arial Narrow" w:cs="Arial"/>
                <w:sz w:val="20"/>
                <w:szCs w:val="20"/>
              </w:rPr>
              <w:t>–</w:t>
            </w:r>
            <w:r w:rsidR="00826F6D" w:rsidRPr="00106BCF">
              <w:rPr>
                <w:rFonts w:ascii="Arial Narrow" w:hAnsi="Arial Narrow" w:cs="Arial"/>
                <w:sz w:val="20"/>
                <w:szCs w:val="20"/>
              </w:rPr>
              <w:t xml:space="preserve"> Telephone</w:t>
            </w:r>
            <w:r>
              <w:rPr>
                <w:rFonts w:ascii="Arial Narrow" w:hAnsi="Arial Narrow" w:cs="Arial"/>
                <w:sz w:val="20"/>
                <w:szCs w:val="20"/>
              </w:rPr>
              <w:t xml:space="preserve"> (Private)</w:t>
            </w:r>
          </w:p>
          <w:p w:rsidR="00826F6D" w:rsidRPr="00106BCF" w:rsidRDefault="00826F6D" w:rsidP="00C27B58">
            <w:pPr>
              <w:rPr>
                <w:rFonts w:ascii="Arial Narrow" w:hAnsi="Arial Narrow" w:cs="Arial"/>
                <w:sz w:val="20"/>
                <w:szCs w:val="20"/>
              </w:rPr>
            </w:pPr>
            <w:r w:rsidRPr="00106BCF">
              <w:rPr>
                <w:rFonts w:ascii="Arial Narrow" w:hAnsi="Arial Narrow" w:cs="Arial"/>
                <w:sz w:val="20"/>
                <w:szCs w:val="20"/>
              </w:rPr>
              <w:fldChar w:fldCharType="begin">
                <w:ffData>
                  <w:name w:val=""/>
                  <w:enabled/>
                  <w:calcOnExit w:val="0"/>
                  <w:checkBox>
                    <w:sizeAuto/>
                    <w:default w:val="0"/>
                  </w:checkBox>
                </w:ffData>
              </w:fldChar>
            </w:r>
            <w:r w:rsidRPr="00106BCF">
              <w:rPr>
                <w:rFonts w:ascii="Arial Narrow" w:hAnsi="Arial Narrow" w:cs="Arial"/>
                <w:sz w:val="20"/>
                <w:szCs w:val="20"/>
              </w:rPr>
              <w:instrText xml:space="preserve"> FORMCHECKBOX </w:instrText>
            </w:r>
            <w:r w:rsidR="00853769">
              <w:rPr>
                <w:rFonts w:ascii="Arial Narrow" w:hAnsi="Arial Narrow" w:cs="Arial"/>
                <w:sz w:val="20"/>
                <w:szCs w:val="20"/>
              </w:rPr>
            </w:r>
            <w:r w:rsidR="00853769">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Emergency</w:t>
            </w:r>
          </w:p>
          <w:p w:rsidR="00826F6D" w:rsidRPr="00106BCF" w:rsidRDefault="00826F6D" w:rsidP="00C27B58">
            <w:pPr>
              <w:rPr>
                <w:rFonts w:ascii="Arial Narrow" w:hAnsi="Arial Narrow" w:cs="Arial"/>
                <w:sz w:val="20"/>
                <w:szCs w:val="20"/>
              </w:rPr>
            </w:pPr>
            <w:r w:rsidRPr="00106BCF">
              <w:rPr>
                <w:rFonts w:ascii="Arial Narrow" w:hAnsi="Arial Narrow" w:cs="Arial"/>
                <w:sz w:val="20"/>
                <w:szCs w:val="20"/>
              </w:rPr>
              <w:fldChar w:fldCharType="begin">
                <w:ffData>
                  <w:name w:val="Check5"/>
                  <w:enabled/>
                  <w:calcOnExit w:val="0"/>
                  <w:checkBox>
                    <w:sizeAuto/>
                    <w:default w:val="0"/>
                  </w:checkBox>
                </w:ffData>
              </w:fldChar>
            </w:r>
            <w:r w:rsidRPr="00106BCF">
              <w:rPr>
                <w:rFonts w:ascii="Arial Narrow" w:hAnsi="Arial Narrow" w:cs="Arial"/>
                <w:sz w:val="20"/>
                <w:szCs w:val="20"/>
              </w:rPr>
              <w:instrText xml:space="preserve"> FORMCHECKBOX </w:instrText>
            </w:r>
            <w:r w:rsidR="00853769">
              <w:rPr>
                <w:rFonts w:ascii="Arial Narrow" w:hAnsi="Arial Narrow" w:cs="Arial"/>
                <w:sz w:val="20"/>
                <w:szCs w:val="20"/>
              </w:rPr>
            </w:r>
            <w:r w:rsidR="00853769">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Electronic</w:t>
            </w:r>
          </w:p>
          <w:p w:rsidR="00826F6D" w:rsidRPr="00260CE3" w:rsidRDefault="00F4764B" w:rsidP="00C27B58">
            <w:pPr>
              <w:rPr>
                <w:rFonts w:ascii="Arial Narrow" w:hAnsi="Arial Narrow" w:cs="Arial"/>
                <w:sz w:val="20"/>
                <w:szCs w:val="20"/>
              </w:rPr>
            </w:pPr>
            <w:r>
              <w:rPr>
                <w:rFonts w:ascii="Arial Narrow" w:hAnsi="Arial Narrow" w:cs="Arial"/>
                <w:sz w:val="20"/>
                <w:szCs w:val="20"/>
              </w:rPr>
              <w:fldChar w:fldCharType="begin">
                <w:ffData>
                  <w:name w:val="Check5"/>
                  <w:enabled/>
                  <w:calcOnExit w:val="0"/>
                  <w:checkBox>
                    <w:sizeAuto/>
                    <w:default w:val="1"/>
                  </w:checkBox>
                </w:ffData>
              </w:fldChar>
            </w:r>
            <w:bookmarkStart w:id="2" w:name="Check5"/>
            <w:r>
              <w:rPr>
                <w:rFonts w:ascii="Arial Narrow" w:hAnsi="Arial Narrow" w:cs="Arial"/>
                <w:sz w:val="20"/>
                <w:szCs w:val="20"/>
              </w:rPr>
              <w:instrText xml:space="preserve"> FORMCHECKBOX </w:instrText>
            </w:r>
            <w:r w:rsidR="00853769">
              <w:rPr>
                <w:rFonts w:ascii="Arial Narrow" w:hAnsi="Arial Narrow" w:cs="Arial"/>
                <w:sz w:val="20"/>
                <w:szCs w:val="20"/>
              </w:rPr>
            </w:r>
            <w:r w:rsidR="00853769">
              <w:rPr>
                <w:rFonts w:ascii="Arial Narrow" w:hAnsi="Arial Narrow" w:cs="Arial"/>
                <w:sz w:val="20"/>
                <w:szCs w:val="20"/>
              </w:rPr>
              <w:fldChar w:fldCharType="separate"/>
            </w:r>
            <w:r>
              <w:rPr>
                <w:rFonts w:ascii="Arial Narrow" w:hAnsi="Arial Narrow" w:cs="Arial"/>
                <w:sz w:val="20"/>
                <w:szCs w:val="20"/>
              </w:rPr>
              <w:fldChar w:fldCharType="end"/>
            </w:r>
            <w:bookmarkEnd w:id="2"/>
            <w:r w:rsidR="00826F6D" w:rsidRPr="00106BCF">
              <w:rPr>
                <w:rFonts w:ascii="Arial Narrow" w:hAnsi="Arial Narrow" w:cs="Arial"/>
                <w:sz w:val="20"/>
                <w:szCs w:val="20"/>
              </w:rPr>
              <w:t>Streamlined</w:t>
            </w:r>
            <w:r>
              <w:rPr>
                <w:rFonts w:ascii="Arial Narrow" w:hAnsi="Arial Narrow" w:cs="Arial"/>
                <w:sz w:val="20"/>
                <w:szCs w:val="20"/>
              </w:rPr>
              <w:t xml:space="preserve"> (Public)</w:t>
            </w:r>
          </w:p>
        </w:tc>
      </w:tr>
      <w:tr w:rsidR="00826F6D" w:rsidRPr="00260CE3" w:rsidTr="00C27B58">
        <w:trPr>
          <w:cantSplit/>
          <w:trHeight w:val="360"/>
        </w:trPr>
        <w:tc>
          <w:tcPr>
            <w:tcW w:w="1985" w:type="dxa"/>
            <w:tcBorders>
              <w:top w:val="single" w:sz="4" w:space="0" w:color="auto"/>
              <w:left w:val="single" w:sz="4" w:space="0" w:color="auto"/>
              <w:bottom w:val="single" w:sz="4" w:space="0" w:color="auto"/>
              <w:right w:val="single" w:sz="4" w:space="0" w:color="auto"/>
            </w:tcBorders>
          </w:tcPr>
          <w:p w:rsidR="00826F6D" w:rsidRPr="00F4764B" w:rsidRDefault="00826F6D" w:rsidP="00F4764B">
            <w:pPr>
              <w:jc w:val="both"/>
              <w:rPr>
                <w:rFonts w:ascii="Arial Narrow" w:hAnsi="Arial Narrow" w:cs="Arial"/>
                <w:b/>
                <w:sz w:val="20"/>
                <w:szCs w:val="20"/>
              </w:rPr>
            </w:pPr>
            <w:r w:rsidRPr="00260CE3">
              <w:rPr>
                <w:rFonts w:ascii="Arial Narrow" w:hAnsi="Arial Narrow" w:cs="Arial"/>
                <w:b/>
                <w:sz w:val="20"/>
                <w:szCs w:val="20"/>
              </w:rPr>
              <w:t>Clinical criteria:</w:t>
            </w:r>
          </w:p>
        </w:tc>
        <w:tc>
          <w:tcPr>
            <w:tcW w:w="6378" w:type="dxa"/>
            <w:gridSpan w:val="6"/>
            <w:tcBorders>
              <w:top w:val="single" w:sz="4" w:space="0" w:color="auto"/>
              <w:left w:val="single" w:sz="4" w:space="0" w:color="auto"/>
              <w:bottom w:val="single" w:sz="4" w:space="0" w:color="auto"/>
              <w:right w:val="single" w:sz="4" w:space="0" w:color="auto"/>
            </w:tcBorders>
          </w:tcPr>
          <w:p w:rsidR="00826F6D" w:rsidRPr="00493D74" w:rsidRDefault="00360030" w:rsidP="00493D74">
            <w:pPr>
              <w:rPr>
                <w:rFonts w:ascii="Arial Narrow" w:hAnsi="Arial Narrow" w:cs="Arial"/>
                <w:i/>
                <w:sz w:val="22"/>
                <w:szCs w:val="22"/>
              </w:rPr>
            </w:pPr>
            <w:r w:rsidRPr="00493D74">
              <w:rPr>
                <w:rFonts w:ascii="Arial Narrow" w:hAnsi="Arial Narrow" w:cs="Arial"/>
                <w:i/>
                <w:sz w:val="20"/>
                <w:szCs w:val="20"/>
              </w:rPr>
              <w:t>Patient must be receiving treatment with aggressive chemotherapy (adjuvant chemotherapy with docetaxel in combination with cyclophosphamide) with the intention of achieving a cure or substantial remission in breast cancer.</w:t>
            </w:r>
          </w:p>
        </w:tc>
      </w:tr>
    </w:tbl>
    <w:p w:rsidR="00826F6D" w:rsidRPr="00826F6D" w:rsidRDefault="00826F6D" w:rsidP="00826F6D">
      <w:pPr>
        <w:pStyle w:val="ListParagraph"/>
        <w:rPr>
          <w:szCs w:val="22"/>
        </w:rPr>
      </w:pPr>
    </w:p>
    <w:p w:rsidR="00B703C6" w:rsidRPr="00755983" w:rsidRDefault="00050421" w:rsidP="00DA38E5">
      <w:pPr>
        <w:pStyle w:val="ListParagraph"/>
        <w:rPr>
          <w:szCs w:val="22"/>
        </w:rPr>
      </w:pPr>
      <w:r w:rsidRPr="00755983">
        <w:rPr>
          <w:szCs w:val="22"/>
        </w:rPr>
        <w:t>For more detail on PBAC’s view, see section 7 “PBAC outcome.”</w:t>
      </w:r>
    </w:p>
    <w:p w:rsidR="00050421" w:rsidRDefault="00050421" w:rsidP="00050421">
      <w:pPr>
        <w:ind w:left="720"/>
        <w:jc w:val="both"/>
        <w:rPr>
          <w:rFonts w:asciiTheme="minorHAnsi" w:hAnsiTheme="minorHAnsi"/>
          <w:b/>
          <w:sz w:val="22"/>
          <w:szCs w:val="22"/>
        </w:rPr>
      </w:pPr>
    </w:p>
    <w:p w:rsidR="00853769" w:rsidRDefault="00853769" w:rsidP="00050421">
      <w:pPr>
        <w:ind w:left="720"/>
        <w:jc w:val="both"/>
        <w:rPr>
          <w:rFonts w:asciiTheme="minorHAnsi" w:hAnsiTheme="minorHAnsi"/>
          <w:b/>
          <w:sz w:val="22"/>
          <w:szCs w:val="22"/>
        </w:rPr>
      </w:pPr>
    </w:p>
    <w:p w:rsidR="00853769" w:rsidRPr="00F36CCB" w:rsidRDefault="00853769" w:rsidP="00050421">
      <w:pPr>
        <w:ind w:left="720"/>
        <w:jc w:val="both"/>
        <w:rPr>
          <w:rFonts w:asciiTheme="minorHAnsi" w:hAnsiTheme="minorHAnsi"/>
          <w:b/>
          <w:sz w:val="22"/>
          <w:szCs w:val="22"/>
        </w:rPr>
      </w:pPr>
    </w:p>
    <w:p w:rsidR="00CE10C4" w:rsidRPr="00A66CFF" w:rsidRDefault="00CE10C4" w:rsidP="00A66CFF">
      <w:pPr>
        <w:pStyle w:val="PBACHeading1"/>
      </w:pPr>
      <w:r w:rsidRPr="00A66CFF">
        <w:lastRenderedPageBreak/>
        <w:t>Background</w:t>
      </w:r>
    </w:p>
    <w:p w:rsidR="00C603D4" w:rsidRPr="00F36CCB" w:rsidRDefault="00C603D4" w:rsidP="00C603D4">
      <w:pPr>
        <w:pStyle w:val="ListParagraph"/>
        <w:rPr>
          <w:i/>
          <w:szCs w:val="22"/>
        </w:rPr>
      </w:pPr>
    </w:p>
    <w:p w:rsidR="00E86210" w:rsidRDefault="00E86210" w:rsidP="00E86210">
      <w:pPr>
        <w:pStyle w:val="ListParagraph"/>
        <w:numPr>
          <w:ilvl w:val="1"/>
          <w:numId w:val="5"/>
        </w:numPr>
        <w:rPr>
          <w:bCs/>
          <w:szCs w:val="22"/>
          <w:lang w:val="en-GB"/>
        </w:rPr>
      </w:pPr>
      <w:r w:rsidRPr="00E86210">
        <w:rPr>
          <w:bCs/>
          <w:szCs w:val="22"/>
          <w:lang w:val="en-GB"/>
        </w:rPr>
        <w:t xml:space="preserve">At the September 2002 meeting, the PBAC recommended a section 100 listing for pegfilgrastim </w:t>
      </w:r>
      <w:r w:rsidR="00E32599" w:rsidRPr="00E86210">
        <w:rPr>
          <w:bCs/>
          <w:szCs w:val="22"/>
          <w:lang w:val="en-GB"/>
        </w:rPr>
        <w:t xml:space="preserve">on a cost-minimisation basis </w:t>
      </w:r>
      <w:r w:rsidR="00E32599">
        <w:rPr>
          <w:bCs/>
          <w:szCs w:val="22"/>
          <w:lang w:val="en-GB"/>
        </w:rPr>
        <w:t xml:space="preserve">to </w:t>
      </w:r>
      <w:r w:rsidR="00E32599" w:rsidRPr="00E86210">
        <w:rPr>
          <w:bCs/>
          <w:szCs w:val="22"/>
          <w:lang w:val="en-GB"/>
        </w:rPr>
        <w:t>filgrastim</w:t>
      </w:r>
      <w:r w:rsidR="00E32599">
        <w:rPr>
          <w:bCs/>
          <w:szCs w:val="22"/>
          <w:lang w:val="en-GB"/>
        </w:rPr>
        <w:t xml:space="preserve"> with</w:t>
      </w:r>
      <w:r w:rsidRPr="00E86210">
        <w:rPr>
          <w:bCs/>
          <w:szCs w:val="22"/>
          <w:lang w:val="en-GB"/>
        </w:rPr>
        <w:t xml:space="preserve"> the same indications. </w:t>
      </w:r>
    </w:p>
    <w:p w:rsidR="00E86210" w:rsidRPr="00E86210" w:rsidRDefault="00E86210" w:rsidP="00E86210">
      <w:pPr>
        <w:pStyle w:val="ListParagraph"/>
        <w:rPr>
          <w:bCs/>
          <w:szCs w:val="22"/>
          <w:lang w:val="en-GB"/>
        </w:rPr>
      </w:pPr>
    </w:p>
    <w:p w:rsidR="00BB7EC3" w:rsidRPr="00E86210" w:rsidRDefault="00E86210" w:rsidP="00E86210">
      <w:pPr>
        <w:pStyle w:val="ListParagraph"/>
        <w:numPr>
          <w:ilvl w:val="1"/>
          <w:numId w:val="5"/>
        </w:numPr>
        <w:rPr>
          <w:szCs w:val="22"/>
        </w:rPr>
      </w:pPr>
      <w:r w:rsidRPr="00E86210">
        <w:rPr>
          <w:bCs/>
          <w:szCs w:val="22"/>
          <w:lang w:val="en-GB"/>
        </w:rPr>
        <w:t>At its November 2006 meeting the PBAC recommended extending the pegfilgrastim listing to include t</w:t>
      </w:r>
      <w:r w:rsidRPr="00E86210">
        <w:rPr>
          <w:szCs w:val="22"/>
        </w:rPr>
        <w:t xml:space="preserve">he prophylaxis of chemotherapy induced neutropenia in patients with breast cancer who are undergoing adjuvant chemotherapy with docetaxel in combination with an anthracycline and cyclophosphamide.  </w:t>
      </w:r>
    </w:p>
    <w:p w:rsidR="00E86210" w:rsidRPr="00E86210" w:rsidRDefault="00E86210" w:rsidP="00E86210">
      <w:pPr>
        <w:pStyle w:val="ListParagraph"/>
        <w:rPr>
          <w:szCs w:val="22"/>
        </w:rPr>
      </w:pPr>
    </w:p>
    <w:p w:rsidR="00E86210" w:rsidRDefault="00E86210" w:rsidP="00E86210">
      <w:pPr>
        <w:pStyle w:val="ListParagraph"/>
        <w:numPr>
          <w:ilvl w:val="1"/>
          <w:numId w:val="5"/>
        </w:numPr>
        <w:rPr>
          <w:szCs w:val="22"/>
        </w:rPr>
      </w:pPr>
      <w:r w:rsidRPr="00E86210">
        <w:rPr>
          <w:szCs w:val="22"/>
        </w:rPr>
        <w:t>At the March 2008 meeting, the PBAC did not recommend the request to list pegfilgrastim for primary prophylaxis of febrile neutropenia in patients with breast cancer treated with docetaxel on the basis of uncertain clinical benefit and uncertain cost-effectiveness.</w:t>
      </w:r>
    </w:p>
    <w:p w:rsidR="00A66CFF" w:rsidRPr="008F159D" w:rsidRDefault="00A66CFF" w:rsidP="008F159D">
      <w:pPr>
        <w:rPr>
          <w:rFonts w:asciiTheme="minorHAnsi" w:hAnsiTheme="minorHAnsi"/>
          <w:szCs w:val="22"/>
        </w:rPr>
      </w:pPr>
    </w:p>
    <w:p w:rsidR="00E32599" w:rsidRPr="00E86210" w:rsidRDefault="00E32599" w:rsidP="00E86210">
      <w:pPr>
        <w:pStyle w:val="ListParagraph"/>
        <w:numPr>
          <w:ilvl w:val="1"/>
          <w:numId w:val="5"/>
        </w:numPr>
        <w:rPr>
          <w:szCs w:val="22"/>
        </w:rPr>
      </w:pPr>
      <w:r>
        <w:rPr>
          <w:szCs w:val="22"/>
        </w:rPr>
        <w:t xml:space="preserve">Currently, pegfilgrastim is available as </w:t>
      </w:r>
      <w:r w:rsidR="002109A6">
        <w:rPr>
          <w:szCs w:val="22"/>
        </w:rPr>
        <w:t xml:space="preserve">for breast cancer patients as </w:t>
      </w:r>
      <w:r>
        <w:rPr>
          <w:szCs w:val="22"/>
        </w:rPr>
        <w:t>primary prophylaxis for patients undergoing a chemotherapy regimen with docetaxel, an</w:t>
      </w:r>
      <w:r w:rsidR="00050421">
        <w:rPr>
          <w:szCs w:val="22"/>
        </w:rPr>
        <w:t>thracycline, and cyclophosphami</w:t>
      </w:r>
      <w:r>
        <w:rPr>
          <w:szCs w:val="22"/>
        </w:rPr>
        <w:t>de; or as secondary prophylaxis for patients undergoing dose adjuvant chemotherapy who have had a prior episode of febrile neutropenia or prolonged neutropenia.</w:t>
      </w:r>
    </w:p>
    <w:p w:rsidR="008A1956" w:rsidRDefault="008A1956" w:rsidP="00882085">
      <w:pPr>
        <w:jc w:val="both"/>
        <w:rPr>
          <w:rFonts w:asciiTheme="minorHAnsi" w:hAnsiTheme="minorHAnsi"/>
          <w:b/>
          <w:sz w:val="22"/>
          <w:szCs w:val="22"/>
        </w:rPr>
      </w:pPr>
    </w:p>
    <w:p w:rsidR="00B703C6" w:rsidRPr="00A66CFF" w:rsidRDefault="00050421" w:rsidP="00050421">
      <w:pPr>
        <w:ind w:left="720"/>
        <w:jc w:val="both"/>
        <w:rPr>
          <w:rFonts w:asciiTheme="minorHAnsi" w:hAnsiTheme="minorHAnsi" w:cs="Arial"/>
          <w:i/>
          <w:snapToGrid w:val="0"/>
          <w:sz w:val="22"/>
          <w:szCs w:val="22"/>
          <w:lang w:eastAsia="en-US"/>
        </w:rPr>
      </w:pPr>
      <w:r w:rsidRPr="00A66CFF">
        <w:rPr>
          <w:rFonts w:asciiTheme="minorHAnsi" w:hAnsiTheme="minorHAnsi" w:cs="Arial"/>
          <w:i/>
          <w:snapToGrid w:val="0"/>
          <w:sz w:val="22"/>
          <w:szCs w:val="22"/>
          <w:lang w:eastAsia="en-US"/>
        </w:rPr>
        <w:t>For more detail on PBAC’s view, see section 7 “PBAC outcome.”</w:t>
      </w:r>
    </w:p>
    <w:p w:rsidR="00050421" w:rsidRDefault="00050421" w:rsidP="00050421">
      <w:pPr>
        <w:ind w:left="720"/>
        <w:jc w:val="both"/>
        <w:rPr>
          <w:rFonts w:asciiTheme="minorHAnsi" w:hAnsiTheme="minorHAnsi"/>
          <w:b/>
          <w:sz w:val="22"/>
          <w:szCs w:val="22"/>
        </w:rPr>
      </w:pPr>
    </w:p>
    <w:p w:rsidR="00853769" w:rsidRPr="00D41051" w:rsidRDefault="00853769" w:rsidP="00050421">
      <w:pPr>
        <w:ind w:left="720"/>
        <w:jc w:val="both"/>
        <w:rPr>
          <w:rFonts w:asciiTheme="minorHAnsi" w:hAnsiTheme="minorHAnsi"/>
          <w:b/>
          <w:sz w:val="22"/>
          <w:szCs w:val="22"/>
        </w:rPr>
      </w:pPr>
    </w:p>
    <w:p w:rsidR="00CE10C4" w:rsidRPr="00D41051" w:rsidRDefault="006436CD" w:rsidP="00A66CFF">
      <w:pPr>
        <w:pStyle w:val="PBACHeading1"/>
      </w:pPr>
      <w:r w:rsidRPr="00847195">
        <w:t xml:space="preserve">Population and disease </w:t>
      </w:r>
    </w:p>
    <w:p w:rsidR="00CE10C4" w:rsidRPr="00D41051" w:rsidRDefault="00CE10C4" w:rsidP="00FC2251">
      <w:pPr>
        <w:keepNext/>
        <w:jc w:val="both"/>
        <w:rPr>
          <w:rFonts w:asciiTheme="minorHAnsi" w:hAnsiTheme="minorHAnsi"/>
          <w:sz w:val="22"/>
          <w:szCs w:val="22"/>
        </w:rPr>
      </w:pPr>
    </w:p>
    <w:p w:rsidR="00BB7EC3" w:rsidRPr="00D41051" w:rsidRDefault="00360030" w:rsidP="00882085">
      <w:pPr>
        <w:pStyle w:val="ListParagraph"/>
        <w:keepNext/>
        <w:numPr>
          <w:ilvl w:val="1"/>
          <w:numId w:val="5"/>
        </w:numPr>
        <w:rPr>
          <w:szCs w:val="22"/>
        </w:rPr>
      </w:pPr>
      <w:r w:rsidRPr="00D41051">
        <w:rPr>
          <w:szCs w:val="22"/>
        </w:rPr>
        <w:t>The submission stated that</w:t>
      </w:r>
      <w:r w:rsidR="002109A6" w:rsidRPr="00D41051">
        <w:rPr>
          <w:szCs w:val="22"/>
        </w:rPr>
        <w:t xml:space="preserve"> anthracycline based treatments are associated with long term cardiac and bone marrow toxicity, which has led to the clinical preference for anthracycline-free treatments</w:t>
      </w:r>
      <w:r w:rsidRPr="00D41051">
        <w:rPr>
          <w:szCs w:val="22"/>
        </w:rPr>
        <w:t>.</w:t>
      </w:r>
      <w:r w:rsidR="00E32599" w:rsidRPr="00D41051">
        <w:rPr>
          <w:szCs w:val="22"/>
        </w:rPr>
        <w:t xml:space="preserve"> In addition, </w:t>
      </w:r>
      <w:r w:rsidR="002109A6" w:rsidRPr="00D41051">
        <w:rPr>
          <w:szCs w:val="22"/>
        </w:rPr>
        <w:t>the newer, more aggressive chemotherapy regimens have improved survival, but that this comes at the expense of myelotoxicity</w:t>
      </w:r>
      <w:r w:rsidR="00E32599" w:rsidRPr="00D41051">
        <w:rPr>
          <w:szCs w:val="22"/>
        </w:rPr>
        <w:t>.</w:t>
      </w:r>
      <w:r w:rsidR="00E6379A" w:rsidRPr="00D41051">
        <w:rPr>
          <w:szCs w:val="22"/>
        </w:rPr>
        <w:t xml:space="preserve"> The submission claims that the lack of subsidy of G-CSF for primary prophylaxis is a considerable deterrent to using some of these more aggressive regimens, and that there is a clinical need for primary prophylaxis for regimens with docetaxel and cyclophosphamide.</w:t>
      </w:r>
    </w:p>
    <w:p w:rsidR="008A1956" w:rsidRPr="00D41051" w:rsidRDefault="008A1956" w:rsidP="00882085">
      <w:pPr>
        <w:pStyle w:val="Header"/>
        <w:tabs>
          <w:tab w:val="clear" w:pos="4153"/>
          <w:tab w:val="clear" w:pos="8306"/>
        </w:tabs>
        <w:jc w:val="both"/>
        <w:rPr>
          <w:rFonts w:asciiTheme="minorHAnsi" w:hAnsiTheme="minorHAnsi"/>
          <w:sz w:val="22"/>
          <w:szCs w:val="22"/>
        </w:rPr>
      </w:pPr>
    </w:p>
    <w:p w:rsidR="00B703C6" w:rsidRPr="00A66CFF" w:rsidRDefault="00050421" w:rsidP="000C7003">
      <w:pPr>
        <w:pStyle w:val="ListParagraph"/>
        <w:keepNext/>
        <w:rPr>
          <w:i/>
          <w:szCs w:val="22"/>
        </w:rPr>
      </w:pPr>
      <w:r w:rsidRPr="00A66CFF">
        <w:rPr>
          <w:i/>
          <w:szCs w:val="22"/>
        </w:rPr>
        <w:t>For more detail on PBAC’s view, see section 7 “PBAC outcome.”</w:t>
      </w:r>
    </w:p>
    <w:p w:rsidR="00050421" w:rsidRDefault="00050421" w:rsidP="00050421">
      <w:pPr>
        <w:pStyle w:val="Header"/>
        <w:tabs>
          <w:tab w:val="clear" w:pos="4153"/>
          <w:tab w:val="clear" w:pos="8306"/>
        </w:tabs>
        <w:ind w:left="720"/>
        <w:jc w:val="both"/>
        <w:rPr>
          <w:rFonts w:asciiTheme="minorHAnsi" w:hAnsiTheme="minorHAnsi"/>
          <w:sz w:val="22"/>
          <w:szCs w:val="22"/>
        </w:rPr>
      </w:pPr>
    </w:p>
    <w:p w:rsidR="00853769" w:rsidRDefault="00853769" w:rsidP="00050421">
      <w:pPr>
        <w:pStyle w:val="Header"/>
        <w:tabs>
          <w:tab w:val="clear" w:pos="4153"/>
          <w:tab w:val="clear" w:pos="8306"/>
        </w:tabs>
        <w:ind w:left="720"/>
        <w:jc w:val="both"/>
        <w:rPr>
          <w:rFonts w:asciiTheme="minorHAnsi" w:hAnsiTheme="minorHAnsi"/>
          <w:sz w:val="22"/>
          <w:szCs w:val="22"/>
        </w:rPr>
      </w:pPr>
    </w:p>
    <w:p w:rsidR="00853769" w:rsidRDefault="00853769" w:rsidP="00050421">
      <w:pPr>
        <w:pStyle w:val="Header"/>
        <w:tabs>
          <w:tab w:val="clear" w:pos="4153"/>
          <w:tab w:val="clear" w:pos="8306"/>
        </w:tabs>
        <w:ind w:left="720"/>
        <w:jc w:val="both"/>
        <w:rPr>
          <w:rFonts w:asciiTheme="minorHAnsi" w:hAnsiTheme="minorHAnsi"/>
          <w:sz w:val="22"/>
          <w:szCs w:val="22"/>
        </w:rPr>
      </w:pPr>
    </w:p>
    <w:p w:rsidR="00853769" w:rsidRDefault="00853769" w:rsidP="00050421">
      <w:pPr>
        <w:pStyle w:val="Header"/>
        <w:tabs>
          <w:tab w:val="clear" w:pos="4153"/>
          <w:tab w:val="clear" w:pos="8306"/>
        </w:tabs>
        <w:ind w:left="720"/>
        <w:jc w:val="both"/>
        <w:rPr>
          <w:rFonts w:asciiTheme="minorHAnsi" w:hAnsiTheme="minorHAnsi"/>
          <w:sz w:val="22"/>
          <w:szCs w:val="22"/>
        </w:rPr>
      </w:pPr>
    </w:p>
    <w:p w:rsidR="00853769" w:rsidRDefault="00853769" w:rsidP="00050421">
      <w:pPr>
        <w:pStyle w:val="Header"/>
        <w:tabs>
          <w:tab w:val="clear" w:pos="4153"/>
          <w:tab w:val="clear" w:pos="8306"/>
        </w:tabs>
        <w:ind w:left="720"/>
        <w:jc w:val="both"/>
        <w:rPr>
          <w:rFonts w:asciiTheme="minorHAnsi" w:hAnsiTheme="minorHAnsi"/>
          <w:sz w:val="22"/>
          <w:szCs w:val="22"/>
        </w:rPr>
      </w:pPr>
    </w:p>
    <w:p w:rsidR="00853769" w:rsidRPr="00D41051" w:rsidRDefault="00853769" w:rsidP="00050421">
      <w:pPr>
        <w:pStyle w:val="Header"/>
        <w:tabs>
          <w:tab w:val="clear" w:pos="4153"/>
          <w:tab w:val="clear" w:pos="8306"/>
        </w:tabs>
        <w:ind w:left="720"/>
        <w:jc w:val="both"/>
        <w:rPr>
          <w:rFonts w:asciiTheme="minorHAnsi" w:hAnsiTheme="minorHAnsi"/>
          <w:sz w:val="22"/>
          <w:szCs w:val="22"/>
        </w:rPr>
      </w:pPr>
    </w:p>
    <w:p w:rsidR="005A3173" w:rsidRPr="00847195" w:rsidRDefault="005A3173" w:rsidP="00A66CFF">
      <w:pPr>
        <w:pStyle w:val="PBACHeading1"/>
      </w:pPr>
      <w:r w:rsidRPr="00847195">
        <w:t>Comparator</w:t>
      </w:r>
    </w:p>
    <w:p w:rsidR="005A3173" w:rsidRPr="00D41051" w:rsidRDefault="005A3173" w:rsidP="00882085">
      <w:pPr>
        <w:pStyle w:val="Header"/>
        <w:tabs>
          <w:tab w:val="clear" w:pos="4153"/>
          <w:tab w:val="clear" w:pos="8306"/>
        </w:tabs>
        <w:jc w:val="both"/>
        <w:rPr>
          <w:rFonts w:asciiTheme="minorHAnsi" w:hAnsiTheme="minorHAnsi"/>
          <w:b/>
          <w:sz w:val="22"/>
          <w:szCs w:val="22"/>
        </w:rPr>
      </w:pPr>
    </w:p>
    <w:p w:rsidR="00DF26A7" w:rsidRPr="00D41051" w:rsidRDefault="00FF2801" w:rsidP="00E6379A">
      <w:pPr>
        <w:pStyle w:val="ListParagraph"/>
        <w:numPr>
          <w:ilvl w:val="1"/>
          <w:numId w:val="5"/>
        </w:numPr>
        <w:rPr>
          <w:szCs w:val="22"/>
        </w:rPr>
      </w:pPr>
      <w:r w:rsidRPr="00D41051">
        <w:rPr>
          <w:szCs w:val="22"/>
        </w:rPr>
        <w:t>The minor submission nominated</w:t>
      </w:r>
      <w:r w:rsidR="00E6379A" w:rsidRPr="00D41051">
        <w:rPr>
          <w:szCs w:val="22"/>
        </w:rPr>
        <w:t xml:space="preserve"> secondary prophylaxis as the comparator, on the basis that this is what is currently PBS-subsidised for these patients.</w:t>
      </w:r>
    </w:p>
    <w:p w:rsidR="008A1956" w:rsidRPr="00D41051" w:rsidRDefault="008A1956" w:rsidP="00476245">
      <w:pPr>
        <w:jc w:val="both"/>
        <w:rPr>
          <w:rFonts w:asciiTheme="minorHAnsi" w:hAnsiTheme="minorHAnsi"/>
          <w:sz w:val="22"/>
          <w:szCs w:val="22"/>
        </w:rPr>
      </w:pPr>
    </w:p>
    <w:p w:rsidR="00B703C6" w:rsidRPr="00A66CFF" w:rsidRDefault="00050421" w:rsidP="000C7003">
      <w:pPr>
        <w:pStyle w:val="ListParagraph"/>
        <w:keepNext/>
        <w:rPr>
          <w:i/>
          <w:szCs w:val="22"/>
        </w:rPr>
      </w:pPr>
      <w:r w:rsidRPr="00A66CFF">
        <w:rPr>
          <w:i/>
          <w:szCs w:val="22"/>
        </w:rPr>
        <w:lastRenderedPageBreak/>
        <w:t>For more detail on PBAC’s view, see section 7 “PBAC outcome.”</w:t>
      </w:r>
    </w:p>
    <w:p w:rsidR="00050421" w:rsidRDefault="00050421" w:rsidP="00050421">
      <w:pPr>
        <w:ind w:left="720"/>
        <w:jc w:val="both"/>
        <w:rPr>
          <w:rFonts w:asciiTheme="minorHAnsi" w:hAnsiTheme="minorHAnsi"/>
          <w:sz w:val="22"/>
          <w:szCs w:val="22"/>
        </w:rPr>
      </w:pPr>
    </w:p>
    <w:p w:rsidR="00853769" w:rsidRPr="00F36CCB" w:rsidRDefault="00853769" w:rsidP="00050421">
      <w:pPr>
        <w:ind w:left="720"/>
        <w:jc w:val="both"/>
        <w:rPr>
          <w:rFonts w:asciiTheme="minorHAnsi" w:hAnsiTheme="minorHAnsi"/>
          <w:sz w:val="22"/>
          <w:szCs w:val="22"/>
        </w:rPr>
      </w:pPr>
    </w:p>
    <w:p w:rsidR="000B558D" w:rsidRDefault="008D7A41" w:rsidP="00A66CFF">
      <w:pPr>
        <w:pStyle w:val="PBACHeading1"/>
      </w:pPr>
      <w:r w:rsidRPr="00F36CCB">
        <w:t>C</w:t>
      </w:r>
      <w:r w:rsidR="00D84934" w:rsidRPr="00F36CCB">
        <w:t>onsideration of the evidence</w:t>
      </w:r>
    </w:p>
    <w:p w:rsidR="00050421" w:rsidRPr="00F36CCB" w:rsidRDefault="00050421" w:rsidP="00050421"/>
    <w:p w:rsidR="00050421" w:rsidRDefault="00050421" w:rsidP="00050421">
      <w:pPr>
        <w:pStyle w:val="Heading2"/>
      </w:pPr>
      <w:r>
        <w:t xml:space="preserve">Sponsor hearing </w:t>
      </w:r>
    </w:p>
    <w:p w:rsidR="00050421" w:rsidRPr="00050421" w:rsidRDefault="00050421" w:rsidP="00050421"/>
    <w:p w:rsidR="00BB7EC3" w:rsidRDefault="00050421" w:rsidP="00F9629A">
      <w:pPr>
        <w:pStyle w:val="ListParagraph"/>
        <w:numPr>
          <w:ilvl w:val="1"/>
          <w:numId w:val="14"/>
        </w:numPr>
        <w:rPr>
          <w:szCs w:val="22"/>
        </w:rPr>
      </w:pPr>
      <w:r w:rsidRPr="00050421">
        <w:rPr>
          <w:szCs w:val="22"/>
        </w:rPr>
        <w:t>The</w:t>
      </w:r>
      <w:r>
        <w:rPr>
          <w:szCs w:val="22"/>
        </w:rPr>
        <w:t>re was no hearing for this item.</w:t>
      </w:r>
    </w:p>
    <w:p w:rsidR="00050421" w:rsidRDefault="00050421" w:rsidP="00050421">
      <w:pPr>
        <w:pStyle w:val="ListParagraph"/>
        <w:rPr>
          <w:szCs w:val="22"/>
        </w:rPr>
      </w:pPr>
    </w:p>
    <w:p w:rsidR="00050421" w:rsidRDefault="00050421" w:rsidP="00050421">
      <w:pPr>
        <w:pStyle w:val="Heading2"/>
      </w:pPr>
      <w:r>
        <w:t>Consumer comments</w:t>
      </w:r>
    </w:p>
    <w:p w:rsidR="00050421" w:rsidRDefault="00050421" w:rsidP="00050421">
      <w:r>
        <w:t xml:space="preserve"> </w:t>
      </w:r>
    </w:p>
    <w:p w:rsidR="0090353B" w:rsidRPr="0090353B" w:rsidRDefault="0090353B" w:rsidP="0090353B">
      <w:pPr>
        <w:pStyle w:val="ListParagraph"/>
        <w:numPr>
          <w:ilvl w:val="1"/>
          <w:numId w:val="14"/>
        </w:numPr>
        <w:rPr>
          <w:szCs w:val="22"/>
        </w:rPr>
      </w:pPr>
      <w:r w:rsidRPr="00240F4D">
        <w:rPr>
          <w:bCs/>
          <w:szCs w:val="22"/>
        </w:rPr>
        <w:t>The PBAC noted and welcomed the input from health care professionals (1) and organisations (1) via the Consumer Comments facility on the PBS website. The comments indicated that treatment with pegfilgrastim as primary prophylaxis for febrile neutropenia could improve outcomes by enabling more aggressive treatment.</w:t>
      </w:r>
    </w:p>
    <w:p w:rsidR="008F159D" w:rsidRPr="00954420" w:rsidRDefault="008F159D" w:rsidP="00954420">
      <w:pPr>
        <w:rPr>
          <w:szCs w:val="22"/>
        </w:rPr>
      </w:pPr>
    </w:p>
    <w:p w:rsidR="0090353B" w:rsidRPr="00240F4D" w:rsidRDefault="0090353B" w:rsidP="0090353B">
      <w:pPr>
        <w:pStyle w:val="ListParagraph"/>
        <w:numPr>
          <w:ilvl w:val="1"/>
          <w:numId w:val="14"/>
        </w:numPr>
        <w:rPr>
          <w:szCs w:val="22"/>
        </w:rPr>
      </w:pPr>
      <w:r w:rsidRPr="00240F4D">
        <w:rPr>
          <w:bCs/>
          <w:szCs w:val="22"/>
        </w:rPr>
        <w:t xml:space="preserve">The PBAC also noted the advice received from the Medical Oncology Group of Australia (MOGA), which indicated that there were additional patient groups, such as </w:t>
      </w:r>
      <w:proofErr w:type="gramStart"/>
      <w:r w:rsidRPr="00240F4D">
        <w:rPr>
          <w:bCs/>
          <w:szCs w:val="22"/>
        </w:rPr>
        <w:t>those</w:t>
      </w:r>
      <w:proofErr w:type="gramEnd"/>
      <w:r w:rsidRPr="00240F4D">
        <w:rPr>
          <w:bCs/>
          <w:szCs w:val="22"/>
        </w:rPr>
        <w:t xml:space="preserve"> undergoing dose dense chemotherapy with anthracycline and cyclophosphamide, or treatment with paclitaxel, who would also benefit from this therapy.</w:t>
      </w:r>
      <w:r w:rsidR="00240F4D">
        <w:rPr>
          <w:bCs/>
          <w:szCs w:val="22"/>
        </w:rPr>
        <w:t xml:space="preserve"> The PBAC noted the pre-PBAC response (p2) supports the proposal from MOGA and suggested an amendment to the PBS listing to combine the requests, as follows:</w:t>
      </w:r>
    </w:p>
    <w:p w:rsidR="00240F4D" w:rsidRDefault="00240F4D" w:rsidP="00AD3887">
      <w:pPr>
        <w:pStyle w:val="ListParagraph"/>
        <w:rPr>
          <w:i/>
          <w:szCs w:val="22"/>
        </w:rPr>
      </w:pPr>
    </w:p>
    <w:p w:rsidR="00240F4D" w:rsidRPr="00AD3887" w:rsidRDefault="00240F4D" w:rsidP="00AD3887">
      <w:pPr>
        <w:pStyle w:val="ListParagraph"/>
        <w:rPr>
          <w:i/>
          <w:szCs w:val="22"/>
        </w:rPr>
      </w:pPr>
      <w:r w:rsidRPr="00AD3887">
        <w:rPr>
          <w:i/>
          <w:szCs w:val="22"/>
        </w:rPr>
        <w:t xml:space="preserve">Patient must be receiving treatment with aggressive chemotherapy (adjuvant chemotherapy with docetaxel </w:t>
      </w:r>
      <w:r w:rsidRPr="00AD3887">
        <w:rPr>
          <w:b/>
          <w:i/>
          <w:szCs w:val="22"/>
        </w:rPr>
        <w:t>or an anthracycline</w:t>
      </w:r>
      <w:r w:rsidRPr="00AD3887">
        <w:rPr>
          <w:i/>
          <w:szCs w:val="22"/>
        </w:rPr>
        <w:t xml:space="preserve"> in combination with cyclophosphamide) with the intention of achieving a cure or substantial remission in breast cancer.</w:t>
      </w:r>
    </w:p>
    <w:p w:rsidR="00050421" w:rsidRPr="00050421" w:rsidRDefault="00050421" w:rsidP="00050421">
      <w:pPr>
        <w:pStyle w:val="ListParagraph"/>
        <w:rPr>
          <w:szCs w:val="22"/>
        </w:rPr>
      </w:pPr>
    </w:p>
    <w:p w:rsidR="00D84934" w:rsidRPr="00F36CCB" w:rsidRDefault="00D84934" w:rsidP="00B1059E">
      <w:pPr>
        <w:pStyle w:val="Heading2"/>
      </w:pPr>
      <w:r w:rsidRPr="00F36CCB">
        <w:t>Clinical trials</w:t>
      </w:r>
    </w:p>
    <w:p w:rsidR="00D84934" w:rsidRPr="00F36CCB" w:rsidRDefault="00D84934" w:rsidP="00F9629A">
      <w:pPr>
        <w:jc w:val="both"/>
        <w:rPr>
          <w:rFonts w:asciiTheme="minorHAnsi" w:hAnsiTheme="minorHAnsi"/>
          <w:sz w:val="22"/>
          <w:szCs w:val="22"/>
        </w:rPr>
      </w:pPr>
    </w:p>
    <w:p w:rsidR="0076420C" w:rsidRDefault="00E6379A" w:rsidP="00050421">
      <w:pPr>
        <w:pStyle w:val="ListParagraph"/>
        <w:numPr>
          <w:ilvl w:val="1"/>
          <w:numId w:val="14"/>
        </w:numPr>
        <w:rPr>
          <w:szCs w:val="22"/>
        </w:rPr>
      </w:pPr>
      <w:r>
        <w:rPr>
          <w:szCs w:val="22"/>
        </w:rPr>
        <w:t>The</w:t>
      </w:r>
      <w:r w:rsidR="0076420C" w:rsidRPr="00F36CCB">
        <w:rPr>
          <w:szCs w:val="22"/>
        </w:rPr>
        <w:t xml:space="preserve"> minor submission</w:t>
      </w:r>
      <w:r>
        <w:rPr>
          <w:szCs w:val="22"/>
        </w:rPr>
        <w:t xml:space="preserve"> identified 32 studies of breast cancer treated with docetaxel and cyclophosphamide where rates of neutropenia were reported. </w:t>
      </w:r>
      <w:r w:rsidR="002109A6">
        <w:rPr>
          <w:szCs w:val="22"/>
        </w:rPr>
        <w:t xml:space="preserve">A summary of these trials is at </w:t>
      </w:r>
      <w:r w:rsidR="002109A6" w:rsidRPr="00FC2251">
        <w:rPr>
          <w:szCs w:val="22"/>
        </w:rPr>
        <w:t>A</w:t>
      </w:r>
      <w:r w:rsidR="00FC2251">
        <w:rPr>
          <w:szCs w:val="22"/>
        </w:rPr>
        <w:t>ppendix 2 of the submission</w:t>
      </w:r>
      <w:r w:rsidR="002109A6">
        <w:rPr>
          <w:szCs w:val="22"/>
        </w:rPr>
        <w:t>.</w:t>
      </w:r>
    </w:p>
    <w:p w:rsidR="00FC2251" w:rsidRDefault="00FC2251" w:rsidP="00FC2251">
      <w:pPr>
        <w:pStyle w:val="ListParagraph"/>
        <w:rPr>
          <w:szCs w:val="22"/>
        </w:rPr>
      </w:pPr>
    </w:p>
    <w:p w:rsidR="00853769" w:rsidRDefault="00853769" w:rsidP="00FC2251">
      <w:pPr>
        <w:pStyle w:val="ListParagraph"/>
        <w:rPr>
          <w:szCs w:val="22"/>
        </w:rPr>
      </w:pPr>
    </w:p>
    <w:p w:rsidR="002109A6" w:rsidRDefault="002109A6" w:rsidP="00050421">
      <w:pPr>
        <w:pStyle w:val="ListParagraph"/>
        <w:numPr>
          <w:ilvl w:val="1"/>
          <w:numId w:val="14"/>
        </w:numPr>
        <w:rPr>
          <w:szCs w:val="22"/>
        </w:rPr>
      </w:pPr>
      <w:r w:rsidRPr="00FC2251">
        <w:rPr>
          <w:szCs w:val="22"/>
        </w:rPr>
        <w:t>In the pivotal trial</w:t>
      </w:r>
      <w:r w:rsidR="00C85F8E">
        <w:rPr>
          <w:szCs w:val="22"/>
        </w:rPr>
        <w:t xml:space="preserve"> of docetaxel with cyclophosphamide for treatment of breast cancer</w:t>
      </w:r>
      <w:r w:rsidRPr="00FC2251">
        <w:rPr>
          <w:szCs w:val="22"/>
        </w:rPr>
        <w:t>, where primary prophylaxis with GSCF was not used (Jones et al. 2006), the incidence of FN was 4.9% (25/506) and the incidence of severe neutropenia was 61% (10% grade 3 and 51% grade 4). The submission claimed that most FN episodes occurred in Cycle 1 on the basis that eight studies reported more than 70% of F</w:t>
      </w:r>
      <w:r w:rsidR="00FC2251">
        <w:rPr>
          <w:szCs w:val="22"/>
        </w:rPr>
        <w:t>N episodes occurred in cycle 1</w:t>
      </w:r>
      <w:r w:rsidRPr="00FC2251">
        <w:rPr>
          <w:szCs w:val="22"/>
        </w:rPr>
        <w:t>.</w:t>
      </w:r>
      <w:r w:rsidR="00FC2251">
        <w:rPr>
          <w:rStyle w:val="FootnoteReference"/>
          <w:szCs w:val="22"/>
        </w:rPr>
        <w:footnoteReference w:id="1"/>
      </w:r>
      <w:r w:rsidRPr="00FC2251">
        <w:rPr>
          <w:szCs w:val="22"/>
        </w:rPr>
        <w:t xml:space="preserve"> The remaining five studies reported between 50.0% and 66.7% of FN</w:t>
      </w:r>
      <w:r w:rsidR="00FC2251">
        <w:rPr>
          <w:szCs w:val="22"/>
        </w:rPr>
        <w:t xml:space="preserve"> episodes occurring in Cycle</w:t>
      </w:r>
      <w:r w:rsidR="00327D33">
        <w:rPr>
          <w:szCs w:val="22"/>
        </w:rPr>
        <w:t> </w:t>
      </w:r>
      <w:r w:rsidR="00FC2251">
        <w:rPr>
          <w:szCs w:val="22"/>
        </w:rPr>
        <w:t>1</w:t>
      </w:r>
      <w:r w:rsidRPr="00FC2251">
        <w:rPr>
          <w:szCs w:val="22"/>
        </w:rPr>
        <w:t>.</w:t>
      </w:r>
      <w:r w:rsidR="00FC2251">
        <w:rPr>
          <w:rStyle w:val="FootnoteReference"/>
          <w:szCs w:val="22"/>
        </w:rPr>
        <w:footnoteReference w:id="2"/>
      </w:r>
    </w:p>
    <w:p w:rsidR="00FC2251" w:rsidRPr="00C14C15" w:rsidRDefault="00FC2251" w:rsidP="00FC2251">
      <w:pPr>
        <w:pStyle w:val="ListParagraph"/>
        <w:ind w:left="0"/>
        <w:rPr>
          <w:szCs w:val="22"/>
        </w:rPr>
      </w:pPr>
    </w:p>
    <w:p w:rsidR="00C14C15" w:rsidRDefault="00C14C15" w:rsidP="00050421">
      <w:pPr>
        <w:pStyle w:val="ListParagraph"/>
        <w:numPr>
          <w:ilvl w:val="1"/>
          <w:numId w:val="14"/>
        </w:numPr>
        <w:rPr>
          <w:szCs w:val="22"/>
        </w:rPr>
      </w:pPr>
      <w:r w:rsidRPr="00FC2251">
        <w:rPr>
          <w:szCs w:val="22"/>
        </w:rPr>
        <w:t>A meta-analysis of the studies reporting the incidence of FN gave an overall FN rate of 12.1%, 95% CI: 9.8%-14.4%. However, there was significant heterogene</w:t>
      </w:r>
      <w:r w:rsidR="00395A71">
        <w:rPr>
          <w:szCs w:val="22"/>
        </w:rPr>
        <w:t>i</w:t>
      </w:r>
      <w:r w:rsidRPr="00FC2251">
        <w:rPr>
          <w:szCs w:val="22"/>
        </w:rPr>
        <w:t>ty between the studies (I</w:t>
      </w:r>
      <w:r w:rsidRPr="008E1F30">
        <w:rPr>
          <w:szCs w:val="22"/>
          <w:vertAlign w:val="superscript"/>
        </w:rPr>
        <w:t>2</w:t>
      </w:r>
      <w:r w:rsidRPr="00FC2251">
        <w:rPr>
          <w:szCs w:val="22"/>
        </w:rPr>
        <w:t xml:space="preserve"> = 90.0%). The meta-analysis of the subgroups of patients reported not to have received G-CSF or antibiotics demonstrated an FN rate of 28.6% (95% CI 22.5%-34.8%) with low heterogeneity (I</w:t>
      </w:r>
      <w:r w:rsidRPr="008E1F30">
        <w:rPr>
          <w:szCs w:val="22"/>
          <w:vertAlign w:val="superscript"/>
        </w:rPr>
        <w:t>2</w:t>
      </w:r>
      <w:r w:rsidR="00C85F8E">
        <w:rPr>
          <w:szCs w:val="22"/>
          <w:vertAlign w:val="superscript"/>
        </w:rPr>
        <w:t xml:space="preserve"> </w:t>
      </w:r>
      <w:r w:rsidRPr="00FC2251">
        <w:rPr>
          <w:szCs w:val="22"/>
        </w:rPr>
        <w:t>=</w:t>
      </w:r>
      <w:r w:rsidR="00C85F8E">
        <w:rPr>
          <w:szCs w:val="22"/>
        </w:rPr>
        <w:t xml:space="preserve"> </w:t>
      </w:r>
      <w:r w:rsidRPr="00FC2251">
        <w:rPr>
          <w:szCs w:val="22"/>
        </w:rPr>
        <w:t>0%). However, the applicability of excluding patients who could take prophylactic antibiotics to the PBS population was not justified.</w:t>
      </w:r>
    </w:p>
    <w:p w:rsidR="00FC2251" w:rsidRPr="00C14C15" w:rsidRDefault="00FC2251" w:rsidP="00FC2251">
      <w:pPr>
        <w:pStyle w:val="ListParagraph"/>
        <w:ind w:left="0"/>
        <w:rPr>
          <w:szCs w:val="22"/>
        </w:rPr>
      </w:pPr>
    </w:p>
    <w:p w:rsidR="00C14C15" w:rsidRDefault="00C14C15" w:rsidP="00050421">
      <w:pPr>
        <w:pStyle w:val="ListParagraph"/>
        <w:numPr>
          <w:ilvl w:val="1"/>
          <w:numId w:val="14"/>
        </w:numPr>
        <w:rPr>
          <w:szCs w:val="22"/>
        </w:rPr>
      </w:pPr>
      <w:r w:rsidRPr="00FC2251">
        <w:rPr>
          <w:szCs w:val="22"/>
        </w:rPr>
        <w:t>When stratified by G-CSF use, the FN rate was lower for the primary prophylaxis subgroup (4.1%; 95% CI 2.4%-5.7% I</w:t>
      </w:r>
      <w:r w:rsidRPr="008E1F30">
        <w:rPr>
          <w:szCs w:val="22"/>
          <w:vertAlign w:val="superscript"/>
        </w:rPr>
        <w:t>2</w:t>
      </w:r>
      <w:r w:rsidRPr="00FC2251">
        <w:rPr>
          <w:szCs w:val="22"/>
        </w:rPr>
        <w:t xml:space="preserve"> = 44.2%) than in the no primary prophylaxis subgroup (20.9%; 95% CI 15.6%-26.2% I</w:t>
      </w:r>
      <w:r w:rsidRPr="008E1F30">
        <w:rPr>
          <w:szCs w:val="22"/>
          <w:vertAlign w:val="superscript"/>
        </w:rPr>
        <w:t>2</w:t>
      </w:r>
      <w:r w:rsidRPr="00FC2251">
        <w:rPr>
          <w:szCs w:val="22"/>
        </w:rPr>
        <w:t xml:space="preserve"> = 90.0%). </w:t>
      </w:r>
    </w:p>
    <w:p w:rsidR="00D41051" w:rsidRDefault="00D41051" w:rsidP="00D41051">
      <w:pPr>
        <w:pStyle w:val="ListParagraph"/>
        <w:rPr>
          <w:szCs w:val="22"/>
        </w:rPr>
      </w:pPr>
    </w:p>
    <w:p w:rsidR="00D41051" w:rsidRDefault="00D41051" w:rsidP="00D41051">
      <w:pPr>
        <w:pStyle w:val="ListParagraph"/>
        <w:numPr>
          <w:ilvl w:val="1"/>
          <w:numId w:val="14"/>
        </w:numPr>
        <w:rPr>
          <w:szCs w:val="22"/>
        </w:rPr>
      </w:pPr>
      <w:r>
        <w:rPr>
          <w:szCs w:val="22"/>
        </w:rPr>
        <w:t>The PBAC noted the</w:t>
      </w:r>
      <w:r w:rsidR="00D45ADF">
        <w:rPr>
          <w:szCs w:val="22"/>
        </w:rPr>
        <w:t>re was considerable</w:t>
      </w:r>
      <w:r>
        <w:rPr>
          <w:szCs w:val="22"/>
        </w:rPr>
        <w:t xml:space="preserve"> heterogeneity between </w:t>
      </w:r>
      <w:r w:rsidR="00D45ADF">
        <w:rPr>
          <w:szCs w:val="22"/>
        </w:rPr>
        <w:t xml:space="preserve">the presented </w:t>
      </w:r>
      <w:r>
        <w:rPr>
          <w:szCs w:val="22"/>
        </w:rPr>
        <w:t xml:space="preserve">studies in terms of both trial design and results. However, the PBAC agreed with the submission that the rates of febrile neutropenia observed in the pivotal trial </w:t>
      </w:r>
      <w:r w:rsidRPr="00FC2251">
        <w:rPr>
          <w:szCs w:val="22"/>
        </w:rPr>
        <w:t>(Jones et al. 2006)</w:t>
      </w:r>
      <w:r>
        <w:rPr>
          <w:szCs w:val="22"/>
        </w:rPr>
        <w:t xml:space="preserve"> was lower than most of the other studies, and that the actual rate of neutropenia </w:t>
      </w:r>
      <w:r w:rsidR="00DA38E5">
        <w:rPr>
          <w:szCs w:val="22"/>
        </w:rPr>
        <w:t xml:space="preserve">in practice </w:t>
      </w:r>
      <w:r>
        <w:rPr>
          <w:szCs w:val="22"/>
        </w:rPr>
        <w:t>was likely to be higher than the 4.9% observed in this study.</w:t>
      </w:r>
      <w:r w:rsidR="003D7C73">
        <w:rPr>
          <w:szCs w:val="22"/>
        </w:rPr>
        <w:t xml:space="preserve"> However, the PBAC also noted that even at the higher estimate </w:t>
      </w:r>
      <w:r w:rsidR="00D45ADF">
        <w:rPr>
          <w:szCs w:val="22"/>
        </w:rPr>
        <w:t xml:space="preserve">of 20.9% </w:t>
      </w:r>
      <w:r w:rsidR="003D7C73">
        <w:rPr>
          <w:szCs w:val="22"/>
        </w:rPr>
        <w:t xml:space="preserve">presented in this submission this meant that four in five </w:t>
      </w:r>
      <w:r w:rsidR="00D45ADF">
        <w:rPr>
          <w:szCs w:val="22"/>
        </w:rPr>
        <w:t xml:space="preserve">patients </w:t>
      </w:r>
      <w:r w:rsidR="003D7C73">
        <w:rPr>
          <w:szCs w:val="22"/>
        </w:rPr>
        <w:t xml:space="preserve">would be </w:t>
      </w:r>
      <w:r w:rsidR="00D45ADF">
        <w:rPr>
          <w:szCs w:val="22"/>
        </w:rPr>
        <w:t>receiving primary prophylaxis</w:t>
      </w:r>
      <w:r w:rsidR="003D7C73">
        <w:rPr>
          <w:szCs w:val="22"/>
        </w:rPr>
        <w:t xml:space="preserve"> with no </w:t>
      </w:r>
      <w:r w:rsidR="00D45ADF">
        <w:rPr>
          <w:szCs w:val="22"/>
        </w:rPr>
        <w:t>expected</w:t>
      </w:r>
      <w:r w:rsidR="003D7C73">
        <w:rPr>
          <w:szCs w:val="22"/>
        </w:rPr>
        <w:t xml:space="preserve"> benefit</w:t>
      </w:r>
      <w:r w:rsidR="00D45ADF">
        <w:rPr>
          <w:szCs w:val="22"/>
        </w:rPr>
        <w:t>,</w:t>
      </w:r>
      <w:r w:rsidR="003D7C73">
        <w:rPr>
          <w:szCs w:val="22"/>
        </w:rPr>
        <w:t xml:space="preserve"> and </w:t>
      </w:r>
      <w:r w:rsidR="00D45ADF">
        <w:rPr>
          <w:szCs w:val="22"/>
        </w:rPr>
        <w:t>with the risk</w:t>
      </w:r>
      <w:r w:rsidR="003D7C73">
        <w:rPr>
          <w:szCs w:val="22"/>
        </w:rPr>
        <w:t xml:space="preserve"> of potential </w:t>
      </w:r>
      <w:r w:rsidR="00AD55EB">
        <w:rPr>
          <w:szCs w:val="22"/>
        </w:rPr>
        <w:t xml:space="preserve">acute and long-term </w:t>
      </w:r>
      <w:r w:rsidR="003D7C73">
        <w:rPr>
          <w:szCs w:val="22"/>
        </w:rPr>
        <w:t>adverse events</w:t>
      </w:r>
      <w:r w:rsidR="00327D33">
        <w:rPr>
          <w:szCs w:val="22"/>
        </w:rPr>
        <w:t>,</w:t>
      </w:r>
      <w:r w:rsidR="00AD55EB">
        <w:rPr>
          <w:szCs w:val="22"/>
        </w:rPr>
        <w:t xml:space="preserve"> including haematological malignancy</w:t>
      </w:r>
      <w:r w:rsidR="003D7C73">
        <w:rPr>
          <w:szCs w:val="22"/>
        </w:rPr>
        <w:t xml:space="preserve">. </w:t>
      </w:r>
    </w:p>
    <w:p w:rsidR="00847195" w:rsidRDefault="00847195" w:rsidP="007516C2">
      <w:pPr>
        <w:pStyle w:val="ListParagraph"/>
        <w:rPr>
          <w:szCs w:val="22"/>
        </w:rPr>
      </w:pPr>
    </w:p>
    <w:p w:rsidR="00847195" w:rsidRPr="007516C2" w:rsidRDefault="00847195" w:rsidP="00847195">
      <w:pPr>
        <w:pStyle w:val="ListParagraph"/>
        <w:numPr>
          <w:ilvl w:val="1"/>
          <w:numId w:val="14"/>
        </w:numPr>
        <w:rPr>
          <w:bCs/>
          <w:szCs w:val="22"/>
          <w:lang w:val="en-GB"/>
        </w:rPr>
      </w:pPr>
      <w:r w:rsidRPr="002B287C">
        <w:rPr>
          <w:bCs/>
          <w:szCs w:val="22"/>
          <w:lang w:val="en-GB"/>
        </w:rPr>
        <w:t xml:space="preserve">The PBAC noted that the </w:t>
      </w:r>
      <w:r w:rsidR="00D45ADF">
        <w:rPr>
          <w:bCs/>
          <w:szCs w:val="22"/>
          <w:lang w:val="en-GB"/>
        </w:rPr>
        <w:t>pre-PBAC response indicated that the sponsor was willing to include</w:t>
      </w:r>
      <w:r w:rsidR="00D45ADF" w:rsidRPr="002B287C">
        <w:rPr>
          <w:bCs/>
          <w:szCs w:val="22"/>
          <w:lang w:val="en-GB"/>
        </w:rPr>
        <w:t xml:space="preserve"> </w:t>
      </w:r>
      <w:r w:rsidRPr="002B287C">
        <w:rPr>
          <w:bCs/>
          <w:szCs w:val="22"/>
          <w:lang w:val="en-GB"/>
        </w:rPr>
        <w:t>the additional patient groups suggested by MOGA</w:t>
      </w:r>
      <w:r w:rsidR="00D45ADF">
        <w:rPr>
          <w:bCs/>
          <w:szCs w:val="22"/>
          <w:lang w:val="en-GB"/>
        </w:rPr>
        <w:t xml:space="preserve"> in the restriction. However, t</w:t>
      </w:r>
      <w:r w:rsidR="00DA38E5">
        <w:rPr>
          <w:bCs/>
          <w:szCs w:val="22"/>
          <w:lang w:val="en-GB"/>
        </w:rPr>
        <w:t>he PBAC considered that there w</w:t>
      </w:r>
      <w:r w:rsidR="00D45ADF">
        <w:rPr>
          <w:bCs/>
          <w:szCs w:val="22"/>
          <w:lang w:val="en-GB"/>
        </w:rPr>
        <w:t xml:space="preserve">ere additional </w:t>
      </w:r>
      <w:r w:rsidR="00DA38E5">
        <w:rPr>
          <w:bCs/>
          <w:szCs w:val="22"/>
          <w:lang w:val="en-GB"/>
        </w:rPr>
        <w:t>patients receiving other chemotherapy regimens</w:t>
      </w:r>
      <w:r w:rsidR="00D45ADF" w:rsidRPr="00D45ADF">
        <w:rPr>
          <w:bCs/>
          <w:szCs w:val="22"/>
          <w:lang w:val="en-GB"/>
        </w:rPr>
        <w:t xml:space="preserve"> </w:t>
      </w:r>
      <w:r w:rsidR="00D45ADF">
        <w:rPr>
          <w:bCs/>
          <w:szCs w:val="22"/>
          <w:lang w:val="en-GB"/>
        </w:rPr>
        <w:t>with similar potential myelotoxicity as the regimens</w:t>
      </w:r>
      <w:r w:rsidR="00D45ADF" w:rsidRPr="00DA38E5">
        <w:rPr>
          <w:bCs/>
          <w:szCs w:val="22"/>
          <w:lang w:val="en-GB"/>
        </w:rPr>
        <w:t xml:space="preserve"> </w:t>
      </w:r>
      <w:r w:rsidR="00D45ADF">
        <w:rPr>
          <w:bCs/>
          <w:szCs w:val="22"/>
          <w:lang w:val="en-GB"/>
        </w:rPr>
        <w:t>requested</w:t>
      </w:r>
      <w:r w:rsidR="00DA38E5">
        <w:rPr>
          <w:bCs/>
          <w:szCs w:val="22"/>
          <w:lang w:val="en-GB"/>
        </w:rPr>
        <w:t xml:space="preserve">, such as </w:t>
      </w:r>
      <w:r w:rsidR="00AD55EB">
        <w:rPr>
          <w:bCs/>
          <w:szCs w:val="22"/>
          <w:lang w:val="en-GB"/>
        </w:rPr>
        <w:t xml:space="preserve">docetaxel with </w:t>
      </w:r>
      <w:r w:rsidR="00E2364C">
        <w:rPr>
          <w:bCs/>
          <w:szCs w:val="22"/>
          <w:lang w:val="en-GB"/>
        </w:rPr>
        <w:t xml:space="preserve">carboplatin </w:t>
      </w:r>
      <w:r w:rsidR="00AD55EB">
        <w:rPr>
          <w:bCs/>
          <w:szCs w:val="22"/>
          <w:lang w:val="en-GB"/>
        </w:rPr>
        <w:t>and trastuzumab</w:t>
      </w:r>
      <w:r w:rsidR="00DA38E5">
        <w:rPr>
          <w:bCs/>
          <w:szCs w:val="22"/>
          <w:lang w:val="en-GB"/>
        </w:rPr>
        <w:t>.</w:t>
      </w:r>
      <w:r w:rsidRPr="002B287C">
        <w:rPr>
          <w:bCs/>
          <w:szCs w:val="22"/>
          <w:lang w:val="en-GB"/>
        </w:rPr>
        <w:t xml:space="preserve"> </w:t>
      </w:r>
      <w:r>
        <w:rPr>
          <w:bCs/>
          <w:szCs w:val="22"/>
          <w:lang w:val="en-GB"/>
        </w:rPr>
        <w:t xml:space="preserve">The PBAC </w:t>
      </w:r>
      <w:r w:rsidR="00E2364C">
        <w:rPr>
          <w:bCs/>
          <w:szCs w:val="22"/>
          <w:lang w:val="en-GB"/>
        </w:rPr>
        <w:t>was of the view</w:t>
      </w:r>
      <w:r>
        <w:rPr>
          <w:bCs/>
          <w:szCs w:val="22"/>
          <w:lang w:val="en-GB"/>
        </w:rPr>
        <w:t xml:space="preserve"> that the need for, and effectiveness of, primary prophylaxis </w:t>
      </w:r>
      <w:r w:rsidR="00DA38E5">
        <w:rPr>
          <w:bCs/>
          <w:szCs w:val="22"/>
          <w:lang w:val="en-GB"/>
        </w:rPr>
        <w:t xml:space="preserve">with GCSF </w:t>
      </w:r>
      <w:r>
        <w:rPr>
          <w:bCs/>
          <w:szCs w:val="22"/>
          <w:lang w:val="en-GB"/>
        </w:rPr>
        <w:t xml:space="preserve">was more </w:t>
      </w:r>
      <w:r w:rsidR="00DA38E5">
        <w:rPr>
          <w:bCs/>
          <w:szCs w:val="22"/>
          <w:lang w:val="en-GB"/>
        </w:rPr>
        <w:t>dependent on the potential myelotoxicity of the chemotherapy used, rather than the type of tumour it was treating.</w:t>
      </w:r>
      <w:r w:rsidR="00DA38E5" w:rsidRPr="00DA38E5">
        <w:rPr>
          <w:bCs/>
          <w:szCs w:val="22"/>
          <w:lang w:val="en-GB"/>
        </w:rPr>
        <w:t xml:space="preserve"> </w:t>
      </w:r>
      <w:r w:rsidR="00E2364C">
        <w:rPr>
          <w:bCs/>
          <w:szCs w:val="22"/>
          <w:lang w:val="en-GB"/>
        </w:rPr>
        <w:t xml:space="preserve">In addition, the PBAC noted </w:t>
      </w:r>
      <w:r w:rsidR="00DA38E5" w:rsidRPr="002B287C">
        <w:rPr>
          <w:bCs/>
          <w:szCs w:val="22"/>
          <w:lang w:val="en-GB"/>
        </w:rPr>
        <w:t xml:space="preserve">that </w:t>
      </w:r>
      <w:r w:rsidR="00D45ADF">
        <w:rPr>
          <w:bCs/>
          <w:szCs w:val="22"/>
          <w:lang w:val="en-GB"/>
        </w:rPr>
        <w:t>pegfilgrastim has</w:t>
      </w:r>
      <w:r w:rsidR="00DA38E5" w:rsidRPr="002B287C">
        <w:rPr>
          <w:bCs/>
          <w:szCs w:val="22"/>
          <w:lang w:val="en-GB"/>
        </w:rPr>
        <w:t xml:space="preserve"> a large number of restrictions for prophylaxis in different cancer types</w:t>
      </w:r>
      <w:r w:rsidR="00D45ADF">
        <w:rPr>
          <w:bCs/>
          <w:szCs w:val="22"/>
          <w:lang w:val="en-GB"/>
        </w:rPr>
        <w:t>,</w:t>
      </w:r>
      <w:r w:rsidR="00E2364C">
        <w:rPr>
          <w:bCs/>
          <w:szCs w:val="22"/>
          <w:lang w:val="en-GB"/>
        </w:rPr>
        <w:t xml:space="preserve"> and that it may </w:t>
      </w:r>
      <w:r w:rsidR="00E67153">
        <w:rPr>
          <w:bCs/>
          <w:szCs w:val="22"/>
          <w:lang w:val="en-GB"/>
        </w:rPr>
        <w:t>be beneficial to streamline these restrictions</w:t>
      </w:r>
      <w:r w:rsidR="00E2364C">
        <w:rPr>
          <w:bCs/>
          <w:szCs w:val="22"/>
          <w:lang w:val="en-GB"/>
        </w:rPr>
        <w:t xml:space="preserve"> to reduce confusion and ensure equity of access where treatment is appropriate</w:t>
      </w:r>
      <w:r w:rsidR="00DA38E5">
        <w:rPr>
          <w:bCs/>
          <w:szCs w:val="22"/>
          <w:lang w:val="en-GB"/>
        </w:rPr>
        <w:t>.</w:t>
      </w:r>
    </w:p>
    <w:p w:rsidR="006436CD" w:rsidRPr="00F36CCB" w:rsidRDefault="006436CD" w:rsidP="008E1F30">
      <w:pPr>
        <w:pStyle w:val="ListParagraph"/>
        <w:ind w:left="709"/>
        <w:rPr>
          <w:szCs w:val="22"/>
        </w:rPr>
      </w:pPr>
    </w:p>
    <w:p w:rsidR="005A3173" w:rsidRPr="00F36CCB" w:rsidRDefault="005A3173" w:rsidP="00B1059E">
      <w:pPr>
        <w:pStyle w:val="Heading2"/>
      </w:pPr>
      <w:r w:rsidRPr="00F36CCB">
        <w:t>Clinical claim</w:t>
      </w:r>
    </w:p>
    <w:p w:rsidR="005A3173" w:rsidRPr="00F36CCB" w:rsidRDefault="005A3173" w:rsidP="00882085">
      <w:pPr>
        <w:ind w:left="720" w:hanging="720"/>
        <w:jc w:val="both"/>
        <w:rPr>
          <w:rFonts w:asciiTheme="minorHAnsi" w:hAnsiTheme="minorHAnsi"/>
          <w:sz w:val="22"/>
          <w:szCs w:val="22"/>
        </w:rPr>
      </w:pPr>
    </w:p>
    <w:p w:rsidR="00F57A6D" w:rsidRDefault="00C14C15" w:rsidP="00050421">
      <w:pPr>
        <w:pStyle w:val="ListParagraph"/>
        <w:numPr>
          <w:ilvl w:val="1"/>
          <w:numId w:val="14"/>
        </w:numPr>
        <w:rPr>
          <w:szCs w:val="22"/>
        </w:rPr>
      </w:pPr>
      <w:r w:rsidRPr="00FC2251">
        <w:rPr>
          <w:szCs w:val="22"/>
        </w:rPr>
        <w:t xml:space="preserve">The </w:t>
      </w:r>
      <w:r w:rsidR="00D41051">
        <w:rPr>
          <w:szCs w:val="22"/>
        </w:rPr>
        <w:t xml:space="preserve">PBAC considered that the claim made by the </w:t>
      </w:r>
      <w:r w:rsidRPr="00FC2251">
        <w:rPr>
          <w:szCs w:val="22"/>
        </w:rPr>
        <w:t>submission that primary prophylaxis with GSCF reduced the incidence of febrile neutropenia and severe neutropenia in breast cancer patients treated with docetaxel and cyclophosphamide</w:t>
      </w:r>
      <w:r w:rsidR="00D41051">
        <w:rPr>
          <w:szCs w:val="22"/>
        </w:rPr>
        <w:t xml:space="preserve"> was reasonable</w:t>
      </w:r>
      <w:r w:rsidRPr="00FC2251">
        <w:rPr>
          <w:szCs w:val="22"/>
        </w:rPr>
        <w:t xml:space="preserve">. </w:t>
      </w:r>
    </w:p>
    <w:p w:rsidR="00050421" w:rsidRDefault="00050421" w:rsidP="00050421">
      <w:pPr>
        <w:pStyle w:val="ListParagraph"/>
        <w:rPr>
          <w:szCs w:val="22"/>
        </w:rPr>
      </w:pPr>
    </w:p>
    <w:p w:rsidR="005A3173" w:rsidRPr="00F36CCB" w:rsidRDefault="005A3173" w:rsidP="00B1059E">
      <w:pPr>
        <w:pStyle w:val="Heading2"/>
      </w:pPr>
      <w:r w:rsidRPr="00F36CCB">
        <w:t>Economic analysis</w:t>
      </w:r>
    </w:p>
    <w:p w:rsidR="005A3173" w:rsidRPr="00F36CCB" w:rsidRDefault="005A3173" w:rsidP="00D84934">
      <w:pPr>
        <w:pStyle w:val="NoSpacing"/>
        <w:rPr>
          <w:rFonts w:asciiTheme="minorHAnsi" w:hAnsiTheme="minorHAnsi"/>
        </w:rPr>
      </w:pPr>
    </w:p>
    <w:p w:rsidR="00A66CFF" w:rsidRPr="00954420" w:rsidRDefault="00C14C15" w:rsidP="00954420">
      <w:pPr>
        <w:pStyle w:val="ListParagraph"/>
        <w:numPr>
          <w:ilvl w:val="1"/>
          <w:numId w:val="14"/>
        </w:numPr>
        <w:rPr>
          <w:szCs w:val="22"/>
        </w:rPr>
      </w:pPr>
      <w:r w:rsidRPr="00FC2251">
        <w:rPr>
          <w:szCs w:val="22"/>
        </w:rPr>
        <w:t>The submission presented an economic analysis of the cost per FN event avoided</w:t>
      </w:r>
      <w:r w:rsidR="00D34CE1" w:rsidRPr="00FC2251">
        <w:rPr>
          <w:szCs w:val="22"/>
        </w:rPr>
        <w:t>, which is summarised in the table below</w:t>
      </w:r>
      <w:r w:rsidRPr="00FC2251">
        <w:rPr>
          <w:szCs w:val="22"/>
        </w:rPr>
        <w:t xml:space="preserve">. </w:t>
      </w:r>
    </w:p>
    <w:p w:rsidR="00A66CFF" w:rsidRDefault="00A66CFF" w:rsidP="004D5073">
      <w:pPr>
        <w:pStyle w:val="ListParagraph"/>
        <w:rPr>
          <w:szCs w:val="22"/>
        </w:rPr>
      </w:pPr>
    </w:p>
    <w:p w:rsidR="00853769" w:rsidRDefault="00853769" w:rsidP="00853769">
      <w:pPr>
        <w:pStyle w:val="Caption"/>
        <w:keepNext/>
        <w:ind w:left="709"/>
      </w:pPr>
      <w:r>
        <w:t xml:space="preserve">Table </w:t>
      </w:r>
      <w:fldSimple w:instr=" SEQ Table \* ARABIC ">
        <w:r>
          <w:rPr>
            <w:noProof/>
          </w:rPr>
          <w:t>1</w:t>
        </w:r>
      </w:fldSimple>
      <w:r w:rsidRPr="000A019D">
        <w:t>: Economic analysis of cost per febrile neutropenia event avoided</w:t>
      </w:r>
    </w:p>
    <w:tbl>
      <w:tblPr>
        <w:tblStyle w:val="TableGrid"/>
        <w:tblW w:w="0" w:type="auto"/>
        <w:tblInd w:w="817" w:type="dxa"/>
        <w:tblLook w:val="04A0" w:firstRow="1" w:lastRow="0" w:firstColumn="1" w:lastColumn="0" w:noHBand="0" w:noVBand="1"/>
        <w:tblCaption w:val="Economic analysis of cost per febrile neutropenia event avoided"/>
      </w:tblPr>
      <w:tblGrid>
        <w:gridCol w:w="2130"/>
        <w:gridCol w:w="1806"/>
        <w:gridCol w:w="2126"/>
        <w:gridCol w:w="1984"/>
      </w:tblGrid>
      <w:tr w:rsidR="00ED564B" w:rsidRPr="00544C36" w:rsidTr="002B5A18">
        <w:trPr>
          <w:tblHeader/>
        </w:trPr>
        <w:tc>
          <w:tcPr>
            <w:tcW w:w="2130" w:type="dxa"/>
          </w:tcPr>
          <w:p w:rsidR="00ED564B" w:rsidRPr="00544C36" w:rsidRDefault="00ED564B" w:rsidP="00D41051">
            <w:pPr>
              <w:rPr>
                <w:rFonts w:ascii="Arial Narrow" w:hAnsi="Arial Narrow"/>
                <w:sz w:val="20"/>
                <w:szCs w:val="20"/>
              </w:rPr>
            </w:pPr>
          </w:p>
        </w:tc>
        <w:tc>
          <w:tcPr>
            <w:tcW w:w="1806" w:type="dxa"/>
          </w:tcPr>
          <w:p w:rsidR="00ED564B" w:rsidRPr="00544C36" w:rsidRDefault="00ED564B" w:rsidP="00D41051">
            <w:pPr>
              <w:rPr>
                <w:rFonts w:ascii="Arial Narrow" w:hAnsi="Arial Narrow"/>
                <w:b/>
                <w:sz w:val="20"/>
                <w:szCs w:val="20"/>
              </w:rPr>
            </w:pPr>
            <w:r w:rsidRPr="00544C36">
              <w:rPr>
                <w:rFonts w:ascii="Arial Narrow" w:hAnsi="Arial Narrow"/>
                <w:b/>
                <w:sz w:val="20"/>
                <w:szCs w:val="20"/>
              </w:rPr>
              <w:t>Primary Prophylaxis</w:t>
            </w:r>
          </w:p>
        </w:tc>
        <w:tc>
          <w:tcPr>
            <w:tcW w:w="2126" w:type="dxa"/>
          </w:tcPr>
          <w:p w:rsidR="00ED564B" w:rsidRPr="00544C36" w:rsidRDefault="00ED564B" w:rsidP="00D41051">
            <w:pPr>
              <w:rPr>
                <w:rFonts w:ascii="Arial Narrow" w:hAnsi="Arial Narrow"/>
                <w:b/>
                <w:sz w:val="20"/>
                <w:szCs w:val="20"/>
              </w:rPr>
            </w:pPr>
            <w:r w:rsidRPr="00544C36">
              <w:rPr>
                <w:rFonts w:ascii="Arial Narrow" w:hAnsi="Arial Narrow"/>
                <w:b/>
                <w:sz w:val="20"/>
                <w:szCs w:val="20"/>
              </w:rPr>
              <w:t>Secondary Prophylaxis</w:t>
            </w:r>
          </w:p>
        </w:tc>
        <w:tc>
          <w:tcPr>
            <w:tcW w:w="1984" w:type="dxa"/>
          </w:tcPr>
          <w:p w:rsidR="00ED564B" w:rsidRPr="00544C36" w:rsidRDefault="00ED564B" w:rsidP="00D41051">
            <w:pPr>
              <w:rPr>
                <w:rFonts w:ascii="Arial Narrow" w:hAnsi="Arial Narrow"/>
                <w:b/>
                <w:sz w:val="20"/>
                <w:szCs w:val="20"/>
              </w:rPr>
            </w:pPr>
            <w:r w:rsidRPr="00544C36">
              <w:rPr>
                <w:rFonts w:ascii="Arial Narrow" w:hAnsi="Arial Narrow"/>
                <w:b/>
                <w:sz w:val="20"/>
                <w:szCs w:val="20"/>
              </w:rPr>
              <w:t>Incremental difference</w:t>
            </w:r>
          </w:p>
        </w:tc>
      </w:tr>
      <w:tr w:rsidR="00ED564B" w:rsidRPr="00544C36" w:rsidTr="00FC2251">
        <w:tc>
          <w:tcPr>
            <w:tcW w:w="2130" w:type="dxa"/>
          </w:tcPr>
          <w:p w:rsidR="00ED564B" w:rsidRPr="00544C36" w:rsidRDefault="00ED564B" w:rsidP="00D41051">
            <w:pPr>
              <w:rPr>
                <w:rFonts w:ascii="Arial Narrow" w:hAnsi="Arial Narrow"/>
                <w:sz w:val="20"/>
                <w:szCs w:val="20"/>
              </w:rPr>
            </w:pPr>
            <w:r w:rsidRPr="00544C36">
              <w:rPr>
                <w:rFonts w:ascii="Arial Narrow" w:hAnsi="Arial Narrow" w:cs="Arial"/>
                <w:sz w:val="20"/>
                <w:szCs w:val="20"/>
              </w:rPr>
              <w:t>Number cycles chemotherapy per patient</w:t>
            </w:r>
          </w:p>
        </w:tc>
        <w:tc>
          <w:tcPr>
            <w:tcW w:w="1806" w:type="dxa"/>
            <w:vAlign w:val="center"/>
          </w:tcPr>
          <w:p w:rsidR="00ED564B" w:rsidRPr="00544C36" w:rsidRDefault="00ED564B" w:rsidP="00D34CE1">
            <w:pPr>
              <w:rPr>
                <w:rFonts w:ascii="Arial Narrow" w:hAnsi="Arial Narrow"/>
                <w:sz w:val="20"/>
                <w:szCs w:val="20"/>
              </w:rPr>
            </w:pPr>
            <w:r w:rsidRPr="00544C36">
              <w:rPr>
                <w:rFonts w:ascii="Arial Narrow" w:hAnsi="Arial Narrow"/>
                <w:sz w:val="20"/>
                <w:szCs w:val="20"/>
              </w:rPr>
              <w:t>4</w:t>
            </w:r>
          </w:p>
        </w:tc>
        <w:tc>
          <w:tcPr>
            <w:tcW w:w="2126" w:type="dxa"/>
            <w:vAlign w:val="center"/>
          </w:tcPr>
          <w:p w:rsidR="00ED564B" w:rsidRPr="00544C36" w:rsidRDefault="00ED564B" w:rsidP="00D34CE1">
            <w:pPr>
              <w:rPr>
                <w:rFonts w:ascii="Arial Narrow" w:hAnsi="Arial Narrow"/>
                <w:sz w:val="20"/>
                <w:szCs w:val="20"/>
              </w:rPr>
            </w:pPr>
            <w:r w:rsidRPr="00544C36">
              <w:rPr>
                <w:rFonts w:ascii="Arial Narrow" w:hAnsi="Arial Narrow"/>
                <w:sz w:val="20"/>
                <w:szCs w:val="20"/>
              </w:rPr>
              <w:t>4</w:t>
            </w:r>
          </w:p>
        </w:tc>
        <w:tc>
          <w:tcPr>
            <w:tcW w:w="1984" w:type="dxa"/>
            <w:shd w:val="clear" w:color="auto" w:fill="F2F2F2" w:themeFill="background1" w:themeFillShade="F2"/>
            <w:vAlign w:val="center"/>
          </w:tcPr>
          <w:p w:rsidR="00ED564B" w:rsidRPr="00544C36" w:rsidRDefault="00ED564B" w:rsidP="00D34CE1">
            <w:pPr>
              <w:rPr>
                <w:rFonts w:ascii="Arial Narrow" w:hAnsi="Arial Narrow"/>
                <w:sz w:val="20"/>
                <w:szCs w:val="20"/>
              </w:rPr>
            </w:pPr>
          </w:p>
        </w:tc>
      </w:tr>
      <w:tr w:rsidR="00ED564B" w:rsidRPr="00544C36" w:rsidTr="00FC2251">
        <w:tc>
          <w:tcPr>
            <w:tcW w:w="2130" w:type="dxa"/>
          </w:tcPr>
          <w:p w:rsidR="00ED564B" w:rsidRPr="00544C36" w:rsidRDefault="00ED564B" w:rsidP="00D41051">
            <w:pPr>
              <w:rPr>
                <w:rFonts w:ascii="Arial Narrow" w:hAnsi="Arial Narrow" w:cs="Arial"/>
                <w:sz w:val="20"/>
                <w:szCs w:val="20"/>
              </w:rPr>
            </w:pPr>
            <w:r w:rsidRPr="00544C36">
              <w:rPr>
                <w:rFonts w:ascii="Arial Narrow" w:hAnsi="Arial Narrow" w:cs="Arial"/>
                <w:sz w:val="20"/>
                <w:szCs w:val="20"/>
              </w:rPr>
              <w:t>Mean number of cycles with pegfilgrastim</w:t>
            </w:r>
          </w:p>
        </w:tc>
        <w:tc>
          <w:tcPr>
            <w:tcW w:w="1806" w:type="dxa"/>
            <w:vAlign w:val="center"/>
          </w:tcPr>
          <w:p w:rsidR="00ED564B" w:rsidRPr="00853769" w:rsidRDefault="00853769" w:rsidP="00D34CE1">
            <w:pPr>
              <w:rPr>
                <w:rFonts w:ascii="Arial Narrow" w:hAnsi="Arial Narrow"/>
                <w:sz w:val="20"/>
                <w:szCs w:val="20"/>
                <w:highlight w:val="black"/>
              </w:rPr>
            </w:pPr>
            <w:r>
              <w:rPr>
                <w:rFonts w:ascii="Arial Narrow" w:hAnsi="Arial Narrow"/>
                <w:noProof/>
                <w:color w:val="000000"/>
                <w:sz w:val="20"/>
                <w:szCs w:val="20"/>
                <w:highlight w:val="black"/>
              </w:rPr>
              <w:t>''''</w:t>
            </w:r>
          </w:p>
        </w:tc>
        <w:tc>
          <w:tcPr>
            <w:tcW w:w="2126" w:type="dxa"/>
            <w:vAlign w:val="center"/>
          </w:tcPr>
          <w:p w:rsidR="00ED564B" w:rsidRPr="00853769" w:rsidRDefault="00853769" w:rsidP="00D34CE1">
            <w:pPr>
              <w:rPr>
                <w:rFonts w:ascii="Arial Narrow" w:hAnsi="Arial Narrow"/>
                <w:sz w:val="20"/>
                <w:szCs w:val="20"/>
                <w:highlight w:val="black"/>
              </w:rPr>
            </w:pPr>
            <w:r>
              <w:rPr>
                <w:rFonts w:ascii="Arial Narrow" w:hAnsi="Arial Narrow"/>
                <w:noProof/>
                <w:color w:val="000000"/>
                <w:sz w:val="20"/>
                <w:szCs w:val="20"/>
                <w:highlight w:val="black"/>
              </w:rPr>
              <w:t>''''''''''</w:t>
            </w:r>
          </w:p>
        </w:tc>
        <w:tc>
          <w:tcPr>
            <w:tcW w:w="1984" w:type="dxa"/>
            <w:shd w:val="clear" w:color="auto" w:fill="F2F2F2" w:themeFill="background1" w:themeFillShade="F2"/>
            <w:vAlign w:val="center"/>
          </w:tcPr>
          <w:p w:rsidR="00ED564B" w:rsidRPr="00544C36" w:rsidRDefault="00ED564B" w:rsidP="00D34CE1">
            <w:pPr>
              <w:rPr>
                <w:rFonts w:ascii="Arial Narrow" w:hAnsi="Arial Narrow"/>
                <w:sz w:val="20"/>
                <w:szCs w:val="20"/>
              </w:rPr>
            </w:pPr>
          </w:p>
        </w:tc>
      </w:tr>
      <w:tr w:rsidR="00ED564B" w:rsidRPr="00544C36" w:rsidTr="00FC2251">
        <w:tc>
          <w:tcPr>
            <w:tcW w:w="2130" w:type="dxa"/>
          </w:tcPr>
          <w:p w:rsidR="00ED564B" w:rsidRPr="00544C36" w:rsidRDefault="00ED564B" w:rsidP="00D41051">
            <w:pPr>
              <w:rPr>
                <w:rFonts w:ascii="Arial Narrow" w:hAnsi="Arial Narrow" w:cs="Arial"/>
                <w:sz w:val="20"/>
                <w:szCs w:val="20"/>
              </w:rPr>
            </w:pPr>
            <w:r w:rsidRPr="00544C36">
              <w:rPr>
                <w:rFonts w:ascii="Arial Narrow" w:hAnsi="Arial Narrow" w:cs="Arial"/>
                <w:sz w:val="20"/>
                <w:szCs w:val="20"/>
              </w:rPr>
              <w:t>% of patients taking pegfilgrastim</w:t>
            </w:r>
          </w:p>
        </w:tc>
        <w:tc>
          <w:tcPr>
            <w:tcW w:w="1806" w:type="dxa"/>
            <w:vAlign w:val="center"/>
          </w:tcPr>
          <w:p w:rsidR="00ED564B" w:rsidRPr="00544C36" w:rsidRDefault="00ED564B" w:rsidP="00D34CE1">
            <w:pPr>
              <w:rPr>
                <w:rFonts w:ascii="Arial Narrow" w:hAnsi="Arial Narrow"/>
                <w:sz w:val="20"/>
                <w:szCs w:val="20"/>
              </w:rPr>
            </w:pPr>
            <w:r>
              <w:rPr>
                <w:rFonts w:ascii="Arial Narrow" w:hAnsi="Arial Narrow"/>
                <w:sz w:val="20"/>
                <w:szCs w:val="20"/>
              </w:rPr>
              <w:t>75%</w:t>
            </w:r>
          </w:p>
        </w:tc>
        <w:tc>
          <w:tcPr>
            <w:tcW w:w="2126" w:type="dxa"/>
            <w:vAlign w:val="center"/>
          </w:tcPr>
          <w:p w:rsidR="00ED564B" w:rsidRPr="00544C36" w:rsidRDefault="00ED564B" w:rsidP="00D34CE1">
            <w:pPr>
              <w:rPr>
                <w:rFonts w:ascii="Arial Narrow" w:hAnsi="Arial Narrow"/>
                <w:sz w:val="20"/>
                <w:szCs w:val="20"/>
              </w:rPr>
            </w:pPr>
            <w:r>
              <w:rPr>
                <w:rFonts w:ascii="Arial Narrow" w:hAnsi="Arial Narrow"/>
                <w:sz w:val="20"/>
                <w:szCs w:val="20"/>
              </w:rPr>
              <w:t>30.64%</w:t>
            </w:r>
          </w:p>
        </w:tc>
        <w:tc>
          <w:tcPr>
            <w:tcW w:w="1984" w:type="dxa"/>
            <w:shd w:val="clear" w:color="auto" w:fill="F2F2F2" w:themeFill="background1" w:themeFillShade="F2"/>
            <w:vAlign w:val="center"/>
          </w:tcPr>
          <w:p w:rsidR="00ED564B" w:rsidRPr="00544C36" w:rsidRDefault="00ED564B" w:rsidP="00D34CE1">
            <w:pPr>
              <w:rPr>
                <w:rFonts w:ascii="Arial Narrow" w:hAnsi="Arial Narrow"/>
                <w:sz w:val="20"/>
                <w:szCs w:val="20"/>
              </w:rPr>
            </w:pPr>
          </w:p>
        </w:tc>
      </w:tr>
      <w:tr w:rsidR="00ED564B" w:rsidRPr="00544C36" w:rsidTr="00FC2251">
        <w:tc>
          <w:tcPr>
            <w:tcW w:w="2130" w:type="dxa"/>
          </w:tcPr>
          <w:p w:rsidR="00ED564B" w:rsidRDefault="00ED564B" w:rsidP="00D41051">
            <w:pPr>
              <w:rPr>
                <w:rFonts w:ascii="Arial Narrow" w:hAnsi="Arial Narrow" w:cs="Arial"/>
                <w:sz w:val="20"/>
                <w:szCs w:val="20"/>
              </w:rPr>
            </w:pPr>
            <w:r w:rsidRPr="00544C36">
              <w:rPr>
                <w:rFonts w:ascii="Arial Narrow" w:hAnsi="Arial Narrow" w:cs="Arial"/>
                <w:sz w:val="20"/>
                <w:szCs w:val="20"/>
              </w:rPr>
              <w:t>% cycles with pegfilgrastim</w:t>
            </w:r>
            <w:r w:rsidR="008E1F30">
              <w:rPr>
                <w:rFonts w:ascii="Arial Narrow" w:hAnsi="Arial Narrow" w:cs="Arial"/>
                <w:sz w:val="20"/>
                <w:szCs w:val="20"/>
              </w:rPr>
              <w:t>*</w:t>
            </w:r>
          </w:p>
          <w:p w:rsidR="00ED564B" w:rsidRPr="00544C36" w:rsidRDefault="00ED564B" w:rsidP="00D41051">
            <w:pPr>
              <w:rPr>
                <w:rFonts w:ascii="Arial Narrow" w:hAnsi="Arial Narrow"/>
                <w:sz w:val="20"/>
                <w:szCs w:val="20"/>
              </w:rPr>
            </w:pPr>
          </w:p>
        </w:tc>
        <w:tc>
          <w:tcPr>
            <w:tcW w:w="1806" w:type="dxa"/>
            <w:vAlign w:val="center"/>
          </w:tcPr>
          <w:p w:rsidR="00ED564B" w:rsidRPr="00544C36" w:rsidRDefault="00ED564B" w:rsidP="00D34CE1">
            <w:pPr>
              <w:rPr>
                <w:rFonts w:ascii="Arial Narrow" w:hAnsi="Arial Narrow"/>
                <w:sz w:val="20"/>
                <w:szCs w:val="20"/>
              </w:rPr>
            </w:pPr>
            <w:r w:rsidRPr="00544C36">
              <w:rPr>
                <w:rFonts w:ascii="Arial Narrow" w:hAnsi="Arial Narrow"/>
                <w:sz w:val="20"/>
                <w:szCs w:val="20"/>
              </w:rPr>
              <w:t>75%</w:t>
            </w:r>
          </w:p>
        </w:tc>
        <w:tc>
          <w:tcPr>
            <w:tcW w:w="2126" w:type="dxa"/>
            <w:vAlign w:val="center"/>
          </w:tcPr>
          <w:p w:rsidR="00ED564B" w:rsidRPr="00544C36" w:rsidRDefault="00ED564B" w:rsidP="00D34CE1">
            <w:pPr>
              <w:rPr>
                <w:rFonts w:ascii="Arial Narrow" w:hAnsi="Arial Narrow"/>
                <w:sz w:val="20"/>
                <w:szCs w:val="20"/>
              </w:rPr>
            </w:pPr>
            <w:r w:rsidRPr="00544C36">
              <w:rPr>
                <w:rFonts w:ascii="Arial Narrow" w:hAnsi="Arial Narrow"/>
                <w:sz w:val="20"/>
                <w:szCs w:val="20"/>
              </w:rPr>
              <w:t>25.66%</w:t>
            </w:r>
          </w:p>
        </w:tc>
        <w:tc>
          <w:tcPr>
            <w:tcW w:w="1984" w:type="dxa"/>
            <w:shd w:val="clear" w:color="auto" w:fill="F2F2F2" w:themeFill="background1" w:themeFillShade="F2"/>
            <w:vAlign w:val="center"/>
          </w:tcPr>
          <w:p w:rsidR="00ED564B" w:rsidRPr="00544C36" w:rsidRDefault="00ED564B" w:rsidP="00D34CE1">
            <w:pPr>
              <w:rPr>
                <w:rFonts w:ascii="Arial Narrow" w:hAnsi="Arial Narrow"/>
                <w:sz w:val="20"/>
                <w:szCs w:val="20"/>
              </w:rPr>
            </w:pPr>
          </w:p>
        </w:tc>
      </w:tr>
      <w:tr w:rsidR="00ED564B" w:rsidRPr="00544C36" w:rsidTr="00FC2251">
        <w:tc>
          <w:tcPr>
            <w:tcW w:w="2130" w:type="dxa"/>
          </w:tcPr>
          <w:p w:rsidR="00ED564B" w:rsidRPr="00544C36" w:rsidRDefault="00ED564B" w:rsidP="00D41051">
            <w:pPr>
              <w:rPr>
                <w:rFonts w:ascii="Arial Narrow" w:hAnsi="Arial Narrow"/>
                <w:sz w:val="20"/>
                <w:szCs w:val="20"/>
              </w:rPr>
            </w:pPr>
            <w:r w:rsidRPr="00544C36">
              <w:rPr>
                <w:rFonts w:ascii="Arial Narrow" w:hAnsi="Arial Narrow" w:cs="Arial"/>
                <w:sz w:val="20"/>
                <w:szCs w:val="20"/>
              </w:rPr>
              <w:t>Pegfilgrastim cost per cycle</w:t>
            </w:r>
          </w:p>
        </w:tc>
        <w:tc>
          <w:tcPr>
            <w:tcW w:w="1806" w:type="dxa"/>
            <w:vAlign w:val="center"/>
          </w:tcPr>
          <w:p w:rsidR="00ED564B" w:rsidRPr="00544C36" w:rsidRDefault="00ED564B" w:rsidP="00D34CE1">
            <w:pPr>
              <w:rPr>
                <w:rFonts w:ascii="Arial Narrow" w:hAnsi="Arial Narrow"/>
                <w:sz w:val="20"/>
                <w:szCs w:val="20"/>
              </w:rPr>
            </w:pPr>
            <w:r w:rsidRPr="00544C36">
              <w:rPr>
                <w:rFonts w:ascii="Arial Narrow" w:hAnsi="Arial Narrow"/>
                <w:sz w:val="20"/>
                <w:szCs w:val="20"/>
              </w:rPr>
              <w:t>$</w:t>
            </w:r>
            <w:r w:rsidR="00853769">
              <w:rPr>
                <w:rFonts w:ascii="Arial Narrow" w:hAnsi="Arial Narrow"/>
                <w:noProof/>
                <w:color w:val="000000"/>
                <w:sz w:val="20"/>
                <w:szCs w:val="20"/>
                <w:highlight w:val="black"/>
              </w:rPr>
              <w:t>'''''''''''''''''''</w:t>
            </w:r>
          </w:p>
        </w:tc>
        <w:tc>
          <w:tcPr>
            <w:tcW w:w="2126" w:type="dxa"/>
            <w:vAlign w:val="center"/>
          </w:tcPr>
          <w:p w:rsidR="00ED564B" w:rsidRPr="00544C36" w:rsidRDefault="00ED564B" w:rsidP="00D34CE1">
            <w:pPr>
              <w:rPr>
                <w:rFonts w:ascii="Arial Narrow" w:hAnsi="Arial Narrow"/>
                <w:sz w:val="20"/>
                <w:szCs w:val="20"/>
              </w:rPr>
            </w:pPr>
            <w:r w:rsidRPr="00544C36">
              <w:rPr>
                <w:rFonts w:ascii="Arial Narrow" w:hAnsi="Arial Narrow"/>
                <w:sz w:val="20"/>
                <w:szCs w:val="20"/>
              </w:rPr>
              <w:t>$</w:t>
            </w:r>
            <w:r w:rsidR="00853769">
              <w:rPr>
                <w:rFonts w:ascii="Arial Narrow" w:hAnsi="Arial Narrow"/>
                <w:noProof/>
                <w:color w:val="000000"/>
                <w:sz w:val="20"/>
                <w:szCs w:val="20"/>
                <w:highlight w:val="black"/>
              </w:rPr>
              <w:t>''''''''''''''''''''''</w:t>
            </w:r>
          </w:p>
        </w:tc>
        <w:tc>
          <w:tcPr>
            <w:tcW w:w="1984" w:type="dxa"/>
            <w:shd w:val="clear" w:color="auto" w:fill="F2F2F2" w:themeFill="background1" w:themeFillShade="F2"/>
            <w:vAlign w:val="center"/>
          </w:tcPr>
          <w:p w:rsidR="00ED564B" w:rsidRPr="00544C36" w:rsidRDefault="00ED564B" w:rsidP="00D34CE1">
            <w:pPr>
              <w:rPr>
                <w:rFonts w:ascii="Arial Narrow" w:hAnsi="Arial Narrow"/>
                <w:sz w:val="20"/>
                <w:szCs w:val="20"/>
              </w:rPr>
            </w:pPr>
          </w:p>
        </w:tc>
      </w:tr>
      <w:tr w:rsidR="00ED564B" w:rsidRPr="00544C36" w:rsidTr="00D34CE1">
        <w:tc>
          <w:tcPr>
            <w:tcW w:w="2130" w:type="dxa"/>
          </w:tcPr>
          <w:p w:rsidR="00ED564B" w:rsidRPr="00544C36" w:rsidRDefault="00ED564B" w:rsidP="00D41051">
            <w:pPr>
              <w:rPr>
                <w:rFonts w:ascii="Arial Narrow" w:hAnsi="Arial Narrow"/>
                <w:sz w:val="20"/>
                <w:szCs w:val="20"/>
              </w:rPr>
            </w:pPr>
            <w:r w:rsidRPr="00544C36">
              <w:rPr>
                <w:rFonts w:ascii="Arial Narrow" w:hAnsi="Arial Narrow" w:cs="Arial"/>
                <w:sz w:val="20"/>
                <w:szCs w:val="20"/>
              </w:rPr>
              <w:t>Pegfilgrastim total cost</w:t>
            </w:r>
          </w:p>
        </w:tc>
        <w:tc>
          <w:tcPr>
            <w:tcW w:w="1806" w:type="dxa"/>
            <w:vAlign w:val="center"/>
          </w:tcPr>
          <w:p w:rsidR="00ED564B" w:rsidRPr="00544C36" w:rsidRDefault="00ED564B" w:rsidP="00D34CE1">
            <w:pPr>
              <w:rPr>
                <w:rFonts w:ascii="Arial Narrow" w:hAnsi="Arial Narrow"/>
                <w:sz w:val="20"/>
                <w:szCs w:val="20"/>
              </w:rPr>
            </w:pPr>
            <w:r w:rsidRPr="00544C36">
              <w:rPr>
                <w:rFonts w:ascii="Arial Narrow" w:hAnsi="Arial Narrow"/>
                <w:sz w:val="20"/>
                <w:szCs w:val="20"/>
              </w:rPr>
              <w:t>$</w:t>
            </w:r>
            <w:r w:rsidR="00853769">
              <w:rPr>
                <w:rFonts w:ascii="Arial Narrow" w:hAnsi="Arial Narrow"/>
                <w:noProof/>
                <w:color w:val="000000"/>
                <w:sz w:val="20"/>
                <w:szCs w:val="20"/>
                <w:highlight w:val="black"/>
              </w:rPr>
              <w:t>'''''''''''''''</w:t>
            </w:r>
          </w:p>
        </w:tc>
        <w:tc>
          <w:tcPr>
            <w:tcW w:w="2126" w:type="dxa"/>
            <w:vAlign w:val="center"/>
          </w:tcPr>
          <w:p w:rsidR="00ED564B" w:rsidRPr="00544C36" w:rsidRDefault="00ED564B" w:rsidP="00D34CE1">
            <w:pPr>
              <w:rPr>
                <w:rFonts w:ascii="Arial Narrow" w:hAnsi="Arial Narrow"/>
                <w:sz w:val="20"/>
                <w:szCs w:val="20"/>
              </w:rPr>
            </w:pPr>
            <w:r w:rsidRPr="00544C36">
              <w:rPr>
                <w:rFonts w:ascii="Arial Narrow" w:hAnsi="Arial Narrow"/>
                <w:sz w:val="20"/>
                <w:szCs w:val="20"/>
              </w:rPr>
              <w:t>$</w:t>
            </w:r>
            <w:r w:rsidR="00853769">
              <w:rPr>
                <w:rFonts w:ascii="Arial Narrow" w:hAnsi="Arial Narrow"/>
                <w:noProof/>
                <w:color w:val="000000"/>
                <w:sz w:val="20"/>
                <w:szCs w:val="20"/>
                <w:highlight w:val="black"/>
              </w:rPr>
              <w:t>'''''''''''''</w:t>
            </w:r>
          </w:p>
        </w:tc>
        <w:tc>
          <w:tcPr>
            <w:tcW w:w="1984" w:type="dxa"/>
            <w:vAlign w:val="center"/>
          </w:tcPr>
          <w:p w:rsidR="00ED564B" w:rsidRPr="00544C36" w:rsidRDefault="00ED564B" w:rsidP="00D34CE1">
            <w:pPr>
              <w:rPr>
                <w:rFonts w:ascii="Arial Narrow" w:hAnsi="Arial Narrow"/>
                <w:sz w:val="20"/>
                <w:szCs w:val="20"/>
              </w:rPr>
            </w:pPr>
            <w:r w:rsidRPr="00544C36">
              <w:rPr>
                <w:rFonts w:ascii="Arial Narrow" w:hAnsi="Arial Narrow"/>
                <w:sz w:val="20"/>
                <w:szCs w:val="20"/>
              </w:rPr>
              <w:t>$</w:t>
            </w:r>
            <w:r w:rsidR="00853769">
              <w:rPr>
                <w:rFonts w:ascii="Arial Narrow" w:hAnsi="Arial Narrow"/>
                <w:noProof/>
                <w:color w:val="000000"/>
                <w:sz w:val="20"/>
                <w:szCs w:val="20"/>
                <w:highlight w:val="black"/>
              </w:rPr>
              <w:t>''''''''''''</w:t>
            </w:r>
          </w:p>
        </w:tc>
      </w:tr>
      <w:tr w:rsidR="00ED564B" w:rsidRPr="00544C36" w:rsidTr="00D34CE1">
        <w:tc>
          <w:tcPr>
            <w:tcW w:w="2130" w:type="dxa"/>
          </w:tcPr>
          <w:p w:rsidR="00ED564B" w:rsidRPr="00544C36" w:rsidRDefault="00ED564B" w:rsidP="00D41051">
            <w:pPr>
              <w:rPr>
                <w:rFonts w:ascii="Arial Narrow" w:hAnsi="Arial Narrow"/>
                <w:sz w:val="20"/>
                <w:szCs w:val="20"/>
              </w:rPr>
            </w:pPr>
            <w:r w:rsidRPr="00544C36">
              <w:rPr>
                <w:rFonts w:ascii="Arial Narrow" w:hAnsi="Arial Narrow" w:cs="Arial"/>
                <w:sz w:val="20"/>
                <w:szCs w:val="20"/>
              </w:rPr>
              <w:t>Risk of FN</w:t>
            </w:r>
          </w:p>
        </w:tc>
        <w:tc>
          <w:tcPr>
            <w:tcW w:w="1806" w:type="dxa"/>
            <w:vAlign w:val="center"/>
          </w:tcPr>
          <w:p w:rsidR="00ED564B" w:rsidRPr="00544C36" w:rsidRDefault="00ED564B" w:rsidP="00D34CE1">
            <w:pPr>
              <w:rPr>
                <w:rFonts w:ascii="Arial Narrow" w:hAnsi="Arial Narrow"/>
                <w:sz w:val="20"/>
                <w:szCs w:val="20"/>
              </w:rPr>
            </w:pPr>
            <w:r w:rsidRPr="00544C36">
              <w:rPr>
                <w:rFonts w:ascii="Arial Narrow" w:hAnsi="Arial Narrow"/>
                <w:sz w:val="20"/>
                <w:szCs w:val="20"/>
              </w:rPr>
              <w:t>6.9%</w:t>
            </w:r>
          </w:p>
        </w:tc>
        <w:tc>
          <w:tcPr>
            <w:tcW w:w="2126" w:type="dxa"/>
            <w:vAlign w:val="center"/>
          </w:tcPr>
          <w:p w:rsidR="00ED564B" w:rsidRPr="00544C36" w:rsidRDefault="00ED564B" w:rsidP="00D34CE1">
            <w:pPr>
              <w:rPr>
                <w:rFonts w:ascii="Arial Narrow" w:hAnsi="Arial Narrow"/>
                <w:sz w:val="20"/>
                <w:szCs w:val="20"/>
              </w:rPr>
            </w:pPr>
            <w:r w:rsidRPr="00544C36">
              <w:rPr>
                <w:rFonts w:ascii="Arial Narrow" w:hAnsi="Arial Narrow"/>
                <w:sz w:val="20"/>
                <w:szCs w:val="20"/>
              </w:rPr>
              <w:t>28.6%</w:t>
            </w:r>
          </w:p>
        </w:tc>
        <w:tc>
          <w:tcPr>
            <w:tcW w:w="1984" w:type="dxa"/>
            <w:vAlign w:val="center"/>
          </w:tcPr>
          <w:p w:rsidR="00ED564B" w:rsidRPr="00544C36" w:rsidRDefault="00ED564B" w:rsidP="00D34CE1">
            <w:pPr>
              <w:rPr>
                <w:rFonts w:ascii="Arial Narrow" w:hAnsi="Arial Narrow"/>
                <w:sz w:val="20"/>
                <w:szCs w:val="20"/>
              </w:rPr>
            </w:pPr>
            <w:r w:rsidRPr="00544C36">
              <w:rPr>
                <w:rFonts w:ascii="Arial Narrow" w:hAnsi="Arial Narrow"/>
                <w:sz w:val="20"/>
                <w:szCs w:val="20"/>
              </w:rPr>
              <w:t>-21.7%</w:t>
            </w:r>
          </w:p>
        </w:tc>
      </w:tr>
      <w:tr w:rsidR="00ED564B" w:rsidRPr="00544C36" w:rsidTr="00D34CE1">
        <w:tc>
          <w:tcPr>
            <w:tcW w:w="2130" w:type="dxa"/>
          </w:tcPr>
          <w:p w:rsidR="00ED564B" w:rsidRPr="00544C36" w:rsidRDefault="00ED564B" w:rsidP="00D41051">
            <w:pPr>
              <w:rPr>
                <w:rFonts w:ascii="Arial Narrow" w:hAnsi="Arial Narrow"/>
                <w:sz w:val="20"/>
                <w:szCs w:val="20"/>
              </w:rPr>
            </w:pPr>
            <w:r w:rsidRPr="00544C36">
              <w:rPr>
                <w:rFonts w:ascii="Arial Narrow" w:hAnsi="Arial Narrow" w:cs="Arial"/>
                <w:sz w:val="20"/>
                <w:szCs w:val="20"/>
              </w:rPr>
              <w:t>Hospital costs per FN event</w:t>
            </w:r>
          </w:p>
        </w:tc>
        <w:tc>
          <w:tcPr>
            <w:tcW w:w="1806" w:type="dxa"/>
            <w:vAlign w:val="center"/>
          </w:tcPr>
          <w:p w:rsidR="00ED564B" w:rsidRPr="00544C36" w:rsidRDefault="00ED564B" w:rsidP="00D34CE1">
            <w:pPr>
              <w:rPr>
                <w:rFonts w:ascii="Arial Narrow" w:hAnsi="Arial Narrow"/>
                <w:sz w:val="20"/>
                <w:szCs w:val="20"/>
              </w:rPr>
            </w:pPr>
            <w:r w:rsidRPr="00544C36">
              <w:rPr>
                <w:rFonts w:ascii="Arial Narrow" w:hAnsi="Arial Narrow"/>
                <w:sz w:val="20"/>
                <w:szCs w:val="20"/>
              </w:rPr>
              <w:t>$11,435.29</w:t>
            </w:r>
          </w:p>
        </w:tc>
        <w:tc>
          <w:tcPr>
            <w:tcW w:w="2126" w:type="dxa"/>
            <w:vAlign w:val="center"/>
          </w:tcPr>
          <w:p w:rsidR="00ED564B" w:rsidRPr="00544C36" w:rsidRDefault="00ED564B" w:rsidP="00D34CE1">
            <w:pPr>
              <w:rPr>
                <w:rFonts w:ascii="Arial Narrow" w:hAnsi="Arial Narrow"/>
                <w:sz w:val="20"/>
                <w:szCs w:val="20"/>
              </w:rPr>
            </w:pPr>
            <w:r w:rsidRPr="00544C36">
              <w:rPr>
                <w:rFonts w:ascii="Arial Narrow" w:hAnsi="Arial Narrow"/>
                <w:sz w:val="20"/>
                <w:szCs w:val="20"/>
              </w:rPr>
              <w:t>$11,435.29</w:t>
            </w:r>
          </w:p>
        </w:tc>
        <w:tc>
          <w:tcPr>
            <w:tcW w:w="1984" w:type="dxa"/>
            <w:vAlign w:val="center"/>
          </w:tcPr>
          <w:p w:rsidR="00ED564B" w:rsidRPr="00544C36" w:rsidRDefault="00ED564B" w:rsidP="00D34CE1">
            <w:pPr>
              <w:rPr>
                <w:rFonts w:ascii="Arial Narrow" w:hAnsi="Arial Narrow"/>
                <w:sz w:val="20"/>
                <w:szCs w:val="20"/>
              </w:rPr>
            </w:pPr>
          </w:p>
        </w:tc>
      </w:tr>
      <w:tr w:rsidR="00ED564B" w:rsidRPr="00544C36" w:rsidTr="00D34CE1">
        <w:tc>
          <w:tcPr>
            <w:tcW w:w="2130" w:type="dxa"/>
          </w:tcPr>
          <w:p w:rsidR="00ED564B" w:rsidRPr="00544C36" w:rsidRDefault="00ED564B" w:rsidP="00D41051">
            <w:pPr>
              <w:rPr>
                <w:rFonts w:ascii="Arial Narrow" w:hAnsi="Arial Narrow"/>
                <w:sz w:val="20"/>
                <w:szCs w:val="20"/>
              </w:rPr>
            </w:pPr>
            <w:r w:rsidRPr="00544C36">
              <w:rPr>
                <w:rFonts w:ascii="Arial Narrow" w:hAnsi="Arial Narrow" w:cs="Arial"/>
                <w:sz w:val="20"/>
                <w:szCs w:val="20"/>
              </w:rPr>
              <w:t>Total hospital costs</w:t>
            </w:r>
          </w:p>
        </w:tc>
        <w:tc>
          <w:tcPr>
            <w:tcW w:w="1806" w:type="dxa"/>
            <w:vAlign w:val="center"/>
          </w:tcPr>
          <w:p w:rsidR="00ED564B" w:rsidRPr="00544C36" w:rsidRDefault="00ED564B" w:rsidP="00D34CE1">
            <w:pPr>
              <w:rPr>
                <w:rFonts w:ascii="Arial Narrow" w:hAnsi="Arial Narrow"/>
                <w:sz w:val="20"/>
                <w:szCs w:val="20"/>
              </w:rPr>
            </w:pPr>
            <w:r w:rsidRPr="00544C36">
              <w:rPr>
                <w:rFonts w:ascii="Arial Narrow" w:hAnsi="Arial Narrow"/>
                <w:sz w:val="20"/>
                <w:szCs w:val="20"/>
              </w:rPr>
              <w:t>$785</w:t>
            </w:r>
          </w:p>
        </w:tc>
        <w:tc>
          <w:tcPr>
            <w:tcW w:w="2126" w:type="dxa"/>
            <w:vAlign w:val="center"/>
          </w:tcPr>
          <w:p w:rsidR="00ED564B" w:rsidRPr="00544C36" w:rsidRDefault="00ED564B" w:rsidP="00D34CE1">
            <w:pPr>
              <w:rPr>
                <w:rFonts w:ascii="Arial Narrow" w:hAnsi="Arial Narrow"/>
                <w:sz w:val="20"/>
                <w:szCs w:val="20"/>
              </w:rPr>
            </w:pPr>
            <w:r w:rsidRPr="00544C36">
              <w:rPr>
                <w:rFonts w:ascii="Arial Narrow" w:hAnsi="Arial Narrow"/>
                <w:sz w:val="20"/>
                <w:szCs w:val="20"/>
              </w:rPr>
              <w:t>$3,270.49</w:t>
            </w:r>
          </w:p>
        </w:tc>
        <w:tc>
          <w:tcPr>
            <w:tcW w:w="1984" w:type="dxa"/>
            <w:vAlign w:val="center"/>
          </w:tcPr>
          <w:p w:rsidR="00ED564B" w:rsidRPr="00544C36" w:rsidRDefault="00ED564B" w:rsidP="00D34CE1">
            <w:pPr>
              <w:rPr>
                <w:rFonts w:ascii="Arial Narrow" w:hAnsi="Arial Narrow"/>
                <w:sz w:val="20"/>
                <w:szCs w:val="20"/>
              </w:rPr>
            </w:pPr>
            <w:r w:rsidRPr="00544C36">
              <w:rPr>
                <w:rFonts w:ascii="Arial Narrow" w:hAnsi="Arial Narrow"/>
                <w:sz w:val="20"/>
                <w:szCs w:val="20"/>
              </w:rPr>
              <w:t>-$2,486</w:t>
            </w:r>
          </w:p>
        </w:tc>
      </w:tr>
      <w:tr w:rsidR="00ED564B" w:rsidRPr="00544C36" w:rsidTr="00D34CE1">
        <w:tc>
          <w:tcPr>
            <w:tcW w:w="2130" w:type="dxa"/>
          </w:tcPr>
          <w:p w:rsidR="00ED564B" w:rsidRPr="00544C36" w:rsidRDefault="00ED564B" w:rsidP="00D41051">
            <w:pPr>
              <w:rPr>
                <w:rFonts w:ascii="Arial Narrow" w:hAnsi="Arial Narrow" w:cs="Arial"/>
                <w:sz w:val="20"/>
                <w:szCs w:val="20"/>
              </w:rPr>
            </w:pPr>
            <w:r w:rsidRPr="00544C36">
              <w:rPr>
                <w:rFonts w:ascii="Arial Narrow" w:hAnsi="Arial Narrow" w:cs="Arial"/>
                <w:sz w:val="20"/>
                <w:szCs w:val="20"/>
              </w:rPr>
              <w:t>Total cost</w:t>
            </w:r>
          </w:p>
        </w:tc>
        <w:tc>
          <w:tcPr>
            <w:tcW w:w="1806" w:type="dxa"/>
            <w:vAlign w:val="center"/>
          </w:tcPr>
          <w:p w:rsidR="00ED564B" w:rsidRPr="00544C36" w:rsidRDefault="00ED564B" w:rsidP="00D34CE1">
            <w:pPr>
              <w:rPr>
                <w:rFonts w:ascii="Arial Narrow" w:hAnsi="Arial Narrow"/>
                <w:sz w:val="20"/>
                <w:szCs w:val="20"/>
              </w:rPr>
            </w:pPr>
            <w:r w:rsidRPr="00544C36">
              <w:rPr>
                <w:rFonts w:ascii="Arial Narrow" w:hAnsi="Arial Narrow"/>
                <w:sz w:val="20"/>
                <w:szCs w:val="20"/>
              </w:rPr>
              <w:t>$</w:t>
            </w:r>
            <w:r w:rsidR="00853769">
              <w:rPr>
                <w:rFonts w:ascii="Arial Narrow" w:hAnsi="Arial Narrow"/>
                <w:noProof/>
                <w:color w:val="000000"/>
                <w:sz w:val="20"/>
                <w:szCs w:val="20"/>
                <w:highlight w:val="black"/>
              </w:rPr>
              <w:t>'''''''''''''''</w:t>
            </w:r>
          </w:p>
        </w:tc>
        <w:tc>
          <w:tcPr>
            <w:tcW w:w="2126" w:type="dxa"/>
            <w:vAlign w:val="center"/>
          </w:tcPr>
          <w:p w:rsidR="00ED564B" w:rsidRPr="00544C36" w:rsidRDefault="00ED564B" w:rsidP="00D34CE1">
            <w:pPr>
              <w:rPr>
                <w:rFonts w:ascii="Arial Narrow" w:hAnsi="Arial Narrow"/>
                <w:sz w:val="20"/>
                <w:szCs w:val="20"/>
              </w:rPr>
            </w:pPr>
            <w:r w:rsidRPr="00544C36">
              <w:rPr>
                <w:rFonts w:ascii="Arial Narrow" w:hAnsi="Arial Narrow"/>
                <w:sz w:val="20"/>
                <w:szCs w:val="20"/>
              </w:rPr>
              <w:t>$</w:t>
            </w:r>
            <w:r w:rsidR="00853769">
              <w:rPr>
                <w:rFonts w:ascii="Arial Narrow" w:hAnsi="Arial Narrow"/>
                <w:noProof/>
                <w:color w:val="000000"/>
                <w:sz w:val="20"/>
                <w:szCs w:val="20"/>
                <w:highlight w:val="black"/>
              </w:rPr>
              <w:t>''''''''''''</w:t>
            </w:r>
          </w:p>
        </w:tc>
        <w:tc>
          <w:tcPr>
            <w:tcW w:w="1984" w:type="dxa"/>
            <w:vAlign w:val="center"/>
          </w:tcPr>
          <w:p w:rsidR="00ED564B" w:rsidRPr="00544C36" w:rsidRDefault="00ED564B" w:rsidP="00D34CE1">
            <w:pPr>
              <w:rPr>
                <w:rFonts w:ascii="Arial Narrow" w:hAnsi="Arial Narrow"/>
                <w:sz w:val="20"/>
                <w:szCs w:val="20"/>
              </w:rPr>
            </w:pPr>
            <w:r w:rsidRPr="00544C36">
              <w:rPr>
                <w:rFonts w:ascii="Arial Narrow" w:hAnsi="Arial Narrow"/>
                <w:sz w:val="20"/>
                <w:szCs w:val="20"/>
              </w:rPr>
              <w:t>$</w:t>
            </w:r>
            <w:r w:rsidR="00853769">
              <w:rPr>
                <w:rFonts w:ascii="Arial Narrow" w:hAnsi="Arial Narrow"/>
                <w:noProof/>
                <w:color w:val="000000"/>
                <w:sz w:val="20"/>
                <w:szCs w:val="20"/>
                <w:highlight w:val="black"/>
              </w:rPr>
              <w:t>''''''</w:t>
            </w:r>
          </w:p>
        </w:tc>
      </w:tr>
      <w:tr w:rsidR="00ED564B" w:rsidRPr="00544C36" w:rsidTr="00D34CE1">
        <w:tc>
          <w:tcPr>
            <w:tcW w:w="2130" w:type="dxa"/>
          </w:tcPr>
          <w:p w:rsidR="00ED564B" w:rsidRPr="00544C36" w:rsidRDefault="00ED564B" w:rsidP="00D41051">
            <w:pPr>
              <w:rPr>
                <w:rFonts w:ascii="Arial Narrow" w:hAnsi="Arial Narrow" w:cs="Arial"/>
                <w:sz w:val="20"/>
                <w:szCs w:val="20"/>
              </w:rPr>
            </w:pPr>
            <w:r w:rsidRPr="00544C36">
              <w:rPr>
                <w:rFonts w:ascii="Arial Narrow" w:hAnsi="Arial Narrow" w:cs="Arial"/>
                <w:sz w:val="20"/>
                <w:szCs w:val="20"/>
              </w:rPr>
              <w:t>Cost per FN event avoided</w:t>
            </w:r>
          </w:p>
        </w:tc>
        <w:tc>
          <w:tcPr>
            <w:tcW w:w="1806" w:type="dxa"/>
            <w:vAlign w:val="center"/>
          </w:tcPr>
          <w:p w:rsidR="00ED564B" w:rsidRPr="00544C36" w:rsidRDefault="00ED564B" w:rsidP="00D34CE1">
            <w:pPr>
              <w:rPr>
                <w:rFonts w:ascii="Arial Narrow" w:hAnsi="Arial Narrow"/>
                <w:sz w:val="20"/>
                <w:szCs w:val="20"/>
              </w:rPr>
            </w:pPr>
          </w:p>
        </w:tc>
        <w:tc>
          <w:tcPr>
            <w:tcW w:w="2126" w:type="dxa"/>
            <w:vAlign w:val="center"/>
          </w:tcPr>
          <w:p w:rsidR="00ED564B" w:rsidRPr="00544C36" w:rsidRDefault="00ED564B" w:rsidP="00D34CE1">
            <w:pPr>
              <w:rPr>
                <w:rFonts w:ascii="Arial Narrow" w:hAnsi="Arial Narrow"/>
                <w:sz w:val="20"/>
                <w:szCs w:val="20"/>
              </w:rPr>
            </w:pPr>
          </w:p>
        </w:tc>
        <w:tc>
          <w:tcPr>
            <w:tcW w:w="1984" w:type="dxa"/>
            <w:vAlign w:val="center"/>
          </w:tcPr>
          <w:p w:rsidR="00ED564B" w:rsidRPr="00544C36" w:rsidRDefault="00ED564B" w:rsidP="00D34CE1">
            <w:pPr>
              <w:rPr>
                <w:rFonts w:ascii="Arial Narrow" w:hAnsi="Arial Narrow"/>
                <w:sz w:val="20"/>
                <w:szCs w:val="20"/>
              </w:rPr>
            </w:pPr>
            <w:r w:rsidRPr="00544C36">
              <w:rPr>
                <w:rFonts w:ascii="Arial Narrow" w:hAnsi="Arial Narrow"/>
                <w:sz w:val="20"/>
                <w:szCs w:val="20"/>
              </w:rPr>
              <w:t>$</w:t>
            </w:r>
            <w:r w:rsidR="00853769">
              <w:rPr>
                <w:rFonts w:ascii="Arial Narrow" w:hAnsi="Arial Narrow"/>
                <w:noProof/>
                <w:color w:val="000000"/>
                <w:sz w:val="20"/>
                <w:szCs w:val="20"/>
                <w:highlight w:val="black"/>
              </w:rPr>
              <w:t>'''''''''</w:t>
            </w:r>
          </w:p>
        </w:tc>
      </w:tr>
    </w:tbl>
    <w:p w:rsidR="004D5073" w:rsidRDefault="00300D34" w:rsidP="004D5073">
      <w:pPr>
        <w:pStyle w:val="ListParagraph"/>
        <w:rPr>
          <w:i/>
          <w:sz w:val="16"/>
          <w:szCs w:val="22"/>
        </w:rPr>
      </w:pPr>
      <w:r w:rsidRPr="00300D34">
        <w:rPr>
          <w:i/>
          <w:sz w:val="16"/>
          <w:szCs w:val="22"/>
        </w:rPr>
        <w:t>Source: ICERs and financials spreadsheet</w:t>
      </w:r>
      <w:r w:rsidR="008E1F30">
        <w:rPr>
          <w:i/>
          <w:sz w:val="16"/>
          <w:szCs w:val="22"/>
        </w:rPr>
        <w:t>; *</w:t>
      </w:r>
      <w:r w:rsidR="008E1F30" w:rsidRPr="008E1F30">
        <w:rPr>
          <w:i/>
          <w:sz w:val="16"/>
          <w:szCs w:val="22"/>
        </w:rPr>
        <w:t>mean number of cycles x % of patients using pegfilgrastim</w:t>
      </w:r>
    </w:p>
    <w:p w:rsidR="00300D34" w:rsidRPr="00300D34" w:rsidRDefault="00300D34" w:rsidP="004D5073">
      <w:pPr>
        <w:pStyle w:val="ListParagraph"/>
        <w:rPr>
          <w:i/>
          <w:sz w:val="16"/>
          <w:szCs w:val="22"/>
        </w:rPr>
      </w:pPr>
    </w:p>
    <w:p w:rsidR="00C81F8B" w:rsidRDefault="00D34CE1" w:rsidP="00050421">
      <w:pPr>
        <w:pStyle w:val="ListParagraph"/>
        <w:numPr>
          <w:ilvl w:val="1"/>
          <w:numId w:val="14"/>
        </w:numPr>
        <w:rPr>
          <w:szCs w:val="22"/>
        </w:rPr>
      </w:pPr>
      <w:r>
        <w:rPr>
          <w:szCs w:val="22"/>
        </w:rPr>
        <w:t>The</w:t>
      </w:r>
      <w:r w:rsidR="00C81F8B">
        <w:rPr>
          <w:szCs w:val="22"/>
        </w:rPr>
        <w:t>re were a number of issues with the model presented:</w:t>
      </w:r>
    </w:p>
    <w:p w:rsidR="00D95164" w:rsidRPr="000A016B" w:rsidRDefault="00D95164" w:rsidP="00D95164">
      <w:pPr>
        <w:pStyle w:val="ListParagraph"/>
        <w:numPr>
          <w:ilvl w:val="1"/>
          <w:numId w:val="16"/>
        </w:numPr>
        <w:ind w:left="1276" w:hanging="425"/>
        <w:rPr>
          <w:szCs w:val="22"/>
        </w:rPr>
      </w:pPr>
      <w:r w:rsidRPr="000A016B">
        <w:rPr>
          <w:szCs w:val="22"/>
        </w:rPr>
        <w:t xml:space="preserve">The model nominated the mean number of pegfilgrastim cycles in secondary prophylaxis as </w:t>
      </w:r>
      <w:r w:rsidR="00853769">
        <w:rPr>
          <w:noProof/>
          <w:color w:val="000000"/>
          <w:szCs w:val="22"/>
          <w:highlight w:val="black"/>
        </w:rPr>
        <w:t>''''''''</w:t>
      </w:r>
      <w:r w:rsidRPr="00AC2FFC">
        <w:rPr>
          <w:szCs w:val="22"/>
        </w:rPr>
        <w:t xml:space="preserve">. </w:t>
      </w:r>
      <w:r w:rsidRPr="000A016B">
        <w:rPr>
          <w:szCs w:val="22"/>
        </w:rPr>
        <w:t xml:space="preserve">However, if patients only receive </w:t>
      </w:r>
      <w:r w:rsidR="00853769">
        <w:rPr>
          <w:noProof/>
          <w:color w:val="000000"/>
          <w:szCs w:val="22"/>
          <w:highlight w:val="black"/>
        </w:rPr>
        <w:t>'''</w:t>
      </w:r>
      <w:r w:rsidRPr="000A016B">
        <w:rPr>
          <w:szCs w:val="22"/>
        </w:rPr>
        <w:t xml:space="preserve"> cycles of chemotherapy, it is not possible for the mean number of doses to exceed </w:t>
      </w:r>
      <w:r w:rsidR="00853769">
        <w:rPr>
          <w:noProof/>
          <w:color w:val="000000"/>
          <w:szCs w:val="22"/>
          <w:highlight w:val="black"/>
        </w:rPr>
        <w:t>'''</w:t>
      </w:r>
      <w:r w:rsidRPr="000A016B">
        <w:rPr>
          <w:szCs w:val="22"/>
        </w:rPr>
        <w:t xml:space="preserve">. The submission </w:t>
      </w:r>
      <w:r w:rsidR="00D41051">
        <w:rPr>
          <w:szCs w:val="22"/>
        </w:rPr>
        <w:t xml:space="preserve">also </w:t>
      </w:r>
      <w:r w:rsidRPr="000A016B">
        <w:rPr>
          <w:szCs w:val="22"/>
        </w:rPr>
        <w:t>did not justify why only 75% of patients would use primary prophylaxis, rather than 100%. Therefore, this model appears to underestimate the cost per FN event avoided. Adjusting these parameters results in an ICER of</w:t>
      </w:r>
      <w:r w:rsidR="0055657B">
        <w:rPr>
          <w:szCs w:val="22"/>
        </w:rPr>
        <w:t xml:space="preserve"> </w:t>
      </w:r>
      <w:r w:rsidR="005607D4">
        <w:rPr>
          <w:szCs w:val="22"/>
        </w:rPr>
        <w:t>less than $15,000</w:t>
      </w:r>
      <w:r w:rsidRPr="000A016B">
        <w:rPr>
          <w:szCs w:val="22"/>
        </w:rPr>
        <w:t>.</w:t>
      </w:r>
    </w:p>
    <w:p w:rsidR="00D41051" w:rsidRPr="007516C2" w:rsidRDefault="00C81F8B" w:rsidP="007516C2">
      <w:pPr>
        <w:pStyle w:val="ListParagraph"/>
        <w:numPr>
          <w:ilvl w:val="1"/>
          <w:numId w:val="16"/>
        </w:numPr>
        <w:ind w:left="1276" w:hanging="425"/>
        <w:rPr>
          <w:szCs w:val="22"/>
        </w:rPr>
      </w:pPr>
      <w:r w:rsidRPr="007516C2">
        <w:rPr>
          <w:szCs w:val="22"/>
        </w:rPr>
        <w:t>The</w:t>
      </w:r>
      <w:r w:rsidR="00D34CE1" w:rsidRPr="007516C2">
        <w:rPr>
          <w:szCs w:val="22"/>
        </w:rPr>
        <w:t xml:space="preserve"> model used an estimated rate of FN in secondary prophylaxis of 28.6% based on the meta-analysis of patients receiving </w:t>
      </w:r>
      <w:r w:rsidRPr="007516C2">
        <w:rPr>
          <w:szCs w:val="22"/>
        </w:rPr>
        <w:t>no GCSF or</w:t>
      </w:r>
      <w:r w:rsidR="00D34CE1" w:rsidRPr="007516C2">
        <w:rPr>
          <w:szCs w:val="22"/>
        </w:rPr>
        <w:t xml:space="preserve"> antibiotics.</w:t>
      </w:r>
      <w:r w:rsidRPr="007516C2">
        <w:rPr>
          <w:szCs w:val="22"/>
        </w:rPr>
        <w:t xml:space="preserve"> However, this has not been evaluated, and based on the information on the studies provided, it was unclear if adjustment for the distribution of events across cycles was required. </w:t>
      </w:r>
      <w:r w:rsidR="00D34CE1" w:rsidRPr="007516C2">
        <w:rPr>
          <w:szCs w:val="22"/>
        </w:rPr>
        <w:t xml:space="preserve"> </w:t>
      </w:r>
      <w:r w:rsidRPr="007516C2">
        <w:rPr>
          <w:szCs w:val="22"/>
        </w:rPr>
        <w:t>This is also much higher than previously considered by the PBAC.</w:t>
      </w:r>
      <w:r w:rsidR="00D95164" w:rsidRPr="007516C2">
        <w:rPr>
          <w:szCs w:val="22"/>
        </w:rPr>
        <w:t xml:space="preserve"> Applying the FN rates presented in the March 2008 submission </w:t>
      </w:r>
      <w:r w:rsidR="008E1F30" w:rsidRPr="007516C2">
        <w:rPr>
          <w:szCs w:val="22"/>
        </w:rPr>
        <w:t xml:space="preserve">for early breast cancer </w:t>
      </w:r>
      <w:r w:rsidR="008C64BB" w:rsidRPr="007516C2">
        <w:rPr>
          <w:szCs w:val="22"/>
        </w:rPr>
        <w:t xml:space="preserve">with the number of cycles adjusted as above </w:t>
      </w:r>
      <w:r w:rsidR="00D95164" w:rsidRPr="007516C2">
        <w:rPr>
          <w:szCs w:val="22"/>
        </w:rPr>
        <w:t>result</w:t>
      </w:r>
      <w:r w:rsidR="008C64BB" w:rsidRPr="007516C2">
        <w:rPr>
          <w:szCs w:val="22"/>
        </w:rPr>
        <w:t>s</w:t>
      </w:r>
      <w:r w:rsidR="00D95164" w:rsidRPr="007516C2">
        <w:rPr>
          <w:szCs w:val="22"/>
        </w:rPr>
        <w:t xml:space="preserve"> in an ICER of $</w:t>
      </w:r>
      <w:r w:rsidR="005607D4">
        <w:rPr>
          <w:szCs w:val="22"/>
        </w:rPr>
        <w:t>15,000 - $45,000</w:t>
      </w:r>
      <w:r w:rsidR="00D95164" w:rsidRPr="007516C2">
        <w:rPr>
          <w:szCs w:val="22"/>
        </w:rPr>
        <w:t>.</w:t>
      </w:r>
    </w:p>
    <w:p w:rsidR="00D41051" w:rsidRPr="000A016B" w:rsidRDefault="00D41051" w:rsidP="007516C2">
      <w:pPr>
        <w:pStyle w:val="ListParagraph"/>
        <w:numPr>
          <w:ilvl w:val="1"/>
          <w:numId w:val="16"/>
        </w:numPr>
        <w:ind w:left="1276" w:hanging="425"/>
        <w:rPr>
          <w:szCs w:val="22"/>
        </w:rPr>
      </w:pPr>
      <w:r>
        <w:rPr>
          <w:szCs w:val="22"/>
        </w:rPr>
        <w:t>The PBAC considered that in addition to the issues raised above, patients may also receive up to six cycles of</w:t>
      </w:r>
      <w:r w:rsidR="00DA38E5">
        <w:rPr>
          <w:szCs w:val="22"/>
        </w:rPr>
        <w:t xml:space="preserve"> chemotherapy (and therefore GCS</w:t>
      </w:r>
      <w:r>
        <w:rPr>
          <w:szCs w:val="22"/>
        </w:rPr>
        <w:t>F prophylaxis), which</w:t>
      </w:r>
      <w:r w:rsidR="00DA38E5">
        <w:rPr>
          <w:szCs w:val="22"/>
        </w:rPr>
        <w:t xml:space="preserve"> </w:t>
      </w:r>
      <w:r>
        <w:rPr>
          <w:szCs w:val="22"/>
        </w:rPr>
        <w:t xml:space="preserve"> would increase costs. The PBAC also considered that the cost of FN was overestimated as not all patients with FN would be hospitalised.</w:t>
      </w:r>
      <w:r w:rsidR="00DA38E5">
        <w:rPr>
          <w:szCs w:val="22"/>
        </w:rPr>
        <w:t xml:space="preserve"> The PBAC </w:t>
      </w:r>
      <w:r w:rsidR="00E67153">
        <w:rPr>
          <w:szCs w:val="22"/>
        </w:rPr>
        <w:t xml:space="preserve">therefore </w:t>
      </w:r>
      <w:r w:rsidR="007516C2">
        <w:rPr>
          <w:szCs w:val="22"/>
        </w:rPr>
        <w:t>determin</w:t>
      </w:r>
      <w:r w:rsidR="00DA38E5">
        <w:rPr>
          <w:szCs w:val="22"/>
        </w:rPr>
        <w:t xml:space="preserve">ed that the </w:t>
      </w:r>
      <w:r w:rsidR="00DA38E5" w:rsidRPr="00261B9D">
        <w:rPr>
          <w:szCs w:val="22"/>
        </w:rPr>
        <w:t xml:space="preserve">model presented </w:t>
      </w:r>
      <w:r w:rsidR="00DA38E5">
        <w:rPr>
          <w:szCs w:val="22"/>
        </w:rPr>
        <w:t xml:space="preserve">in the submission </w:t>
      </w:r>
      <w:r w:rsidR="00DA38E5" w:rsidRPr="00261B9D">
        <w:rPr>
          <w:szCs w:val="22"/>
        </w:rPr>
        <w:t>was overly optimistic</w:t>
      </w:r>
      <w:r w:rsidR="00DA38E5">
        <w:rPr>
          <w:szCs w:val="22"/>
        </w:rPr>
        <w:t>.</w:t>
      </w:r>
    </w:p>
    <w:p w:rsidR="00A66CFF" w:rsidRPr="00954420" w:rsidRDefault="00A66CFF" w:rsidP="00954420">
      <w:pPr>
        <w:rPr>
          <w:szCs w:val="22"/>
        </w:rPr>
      </w:pPr>
    </w:p>
    <w:p w:rsidR="00D34CE1" w:rsidRPr="000A016B" w:rsidRDefault="00D34CE1" w:rsidP="00050421">
      <w:pPr>
        <w:pStyle w:val="ListParagraph"/>
        <w:numPr>
          <w:ilvl w:val="1"/>
          <w:numId w:val="14"/>
        </w:numPr>
        <w:rPr>
          <w:szCs w:val="22"/>
        </w:rPr>
      </w:pPr>
      <w:r w:rsidRPr="000A016B">
        <w:rPr>
          <w:szCs w:val="22"/>
        </w:rPr>
        <w:t xml:space="preserve">The </w:t>
      </w:r>
      <w:r w:rsidR="00DA38E5">
        <w:rPr>
          <w:szCs w:val="22"/>
        </w:rPr>
        <w:t xml:space="preserve">PBAC noted that the </w:t>
      </w:r>
      <w:r w:rsidRPr="000A016B">
        <w:rPr>
          <w:szCs w:val="22"/>
        </w:rPr>
        <w:t xml:space="preserve">structure of the model was similar to that previously considered by the PBAC for pegfilgrastim in breast cancer treated with docetaxel, presented in March 2008. The key differences between this model and the model presented in 2008 were: </w:t>
      </w:r>
      <w:r w:rsidR="002316BE" w:rsidRPr="000A016B">
        <w:rPr>
          <w:szCs w:val="22"/>
        </w:rPr>
        <w:t>the model was based on docetaxel monotherapy</w:t>
      </w:r>
      <w:r w:rsidR="008E1F30" w:rsidRPr="000A016B">
        <w:rPr>
          <w:szCs w:val="22"/>
        </w:rPr>
        <w:t xml:space="preserve"> (100mg/m</w:t>
      </w:r>
      <w:r w:rsidR="008E1F30" w:rsidRPr="000A016B">
        <w:rPr>
          <w:szCs w:val="22"/>
          <w:vertAlign w:val="superscript"/>
        </w:rPr>
        <w:t>2</w:t>
      </w:r>
      <w:r w:rsidR="008E1F30" w:rsidRPr="000A016B">
        <w:rPr>
          <w:szCs w:val="22"/>
        </w:rPr>
        <w:t>; current submission 75mg/m</w:t>
      </w:r>
      <w:r w:rsidR="008E1F30" w:rsidRPr="000A016B">
        <w:rPr>
          <w:szCs w:val="22"/>
          <w:vertAlign w:val="superscript"/>
        </w:rPr>
        <w:t>2</w:t>
      </w:r>
      <w:r w:rsidR="008E1F30" w:rsidRPr="000A016B">
        <w:rPr>
          <w:szCs w:val="22"/>
        </w:rPr>
        <w:t xml:space="preserve"> docetaxel plus 600mg/m</w:t>
      </w:r>
      <w:r w:rsidR="008E1F30" w:rsidRPr="000A016B">
        <w:rPr>
          <w:szCs w:val="22"/>
          <w:vertAlign w:val="superscript"/>
        </w:rPr>
        <w:t>2</w:t>
      </w:r>
      <w:r w:rsidR="008E1F30" w:rsidRPr="000A016B">
        <w:rPr>
          <w:szCs w:val="22"/>
        </w:rPr>
        <w:t xml:space="preserve"> cyclophosphamide)</w:t>
      </w:r>
      <w:r w:rsidR="002316BE" w:rsidRPr="000A016B">
        <w:rPr>
          <w:szCs w:val="22"/>
        </w:rPr>
        <w:t xml:space="preserve">, </w:t>
      </w:r>
      <w:r w:rsidRPr="000A016B">
        <w:rPr>
          <w:szCs w:val="22"/>
        </w:rPr>
        <w:t xml:space="preserve">the cost of pegfilgrastim was higher (price reductions have been applied), the average number of cycles and % of cycles with pegfilgrastim were lower, the risk of FN was lower (3.9% for primary prophylaxis and 15.2% for secondary prophylaxis), and the hospital costs were lower. </w:t>
      </w:r>
      <w:r w:rsidR="008C64BB" w:rsidRPr="000A016B">
        <w:rPr>
          <w:szCs w:val="22"/>
        </w:rPr>
        <w:t>Using th</w:t>
      </w:r>
      <w:r w:rsidR="00395A71" w:rsidRPr="000A016B">
        <w:rPr>
          <w:szCs w:val="22"/>
        </w:rPr>
        <w:t xml:space="preserve">e March 2008 </w:t>
      </w:r>
      <w:r w:rsidR="008C64BB" w:rsidRPr="000A016B">
        <w:rPr>
          <w:szCs w:val="22"/>
        </w:rPr>
        <w:t xml:space="preserve">model with the </w:t>
      </w:r>
      <w:r w:rsidR="008E1F30" w:rsidRPr="000A016B">
        <w:rPr>
          <w:szCs w:val="22"/>
        </w:rPr>
        <w:t xml:space="preserve">costs </w:t>
      </w:r>
      <w:r w:rsidR="008C64BB" w:rsidRPr="000A016B">
        <w:rPr>
          <w:szCs w:val="22"/>
        </w:rPr>
        <w:t xml:space="preserve">updated </w:t>
      </w:r>
      <w:r w:rsidR="008E1F30" w:rsidRPr="000A016B">
        <w:rPr>
          <w:szCs w:val="22"/>
        </w:rPr>
        <w:t xml:space="preserve">to reflect the current situation </w:t>
      </w:r>
      <w:r w:rsidR="00C81F8B" w:rsidRPr="000A016B">
        <w:rPr>
          <w:szCs w:val="22"/>
        </w:rPr>
        <w:t xml:space="preserve">results in a cost per FN avoided of </w:t>
      </w:r>
      <w:r w:rsidR="00D95164" w:rsidRPr="000A016B">
        <w:rPr>
          <w:szCs w:val="22"/>
        </w:rPr>
        <w:t>$</w:t>
      </w:r>
      <w:r w:rsidR="005607D4">
        <w:rPr>
          <w:szCs w:val="22"/>
        </w:rPr>
        <w:t>15,000 - $45,000</w:t>
      </w:r>
      <w:r w:rsidR="00D95164" w:rsidRPr="000A016B">
        <w:rPr>
          <w:szCs w:val="22"/>
        </w:rPr>
        <w:t>.</w:t>
      </w:r>
    </w:p>
    <w:p w:rsidR="000A3E4D" w:rsidRDefault="000A3E4D" w:rsidP="00F176A8"/>
    <w:p w:rsidR="00853769" w:rsidRDefault="00853769" w:rsidP="00853769">
      <w:pPr>
        <w:pStyle w:val="Caption"/>
        <w:keepNext/>
        <w:ind w:left="709"/>
      </w:pPr>
      <w:r>
        <w:t xml:space="preserve">Table </w:t>
      </w:r>
      <w:fldSimple w:instr=" SEQ Table \* ARABIC ">
        <w:r>
          <w:rPr>
            <w:noProof/>
          </w:rPr>
          <w:t>2</w:t>
        </w:r>
      </w:fldSimple>
      <w:r w:rsidRPr="00933420">
        <w:t xml:space="preserve">: Summary of March 2008 model with current </w:t>
      </w:r>
      <w:proofErr w:type="spellStart"/>
      <w:r w:rsidRPr="00933420">
        <w:t>pegfilgrastim</w:t>
      </w:r>
      <w:proofErr w:type="spellEnd"/>
      <w:r w:rsidRPr="00933420">
        <w:t xml:space="preserve"> reimbursement situation</w:t>
      </w:r>
    </w:p>
    <w:tbl>
      <w:tblPr>
        <w:tblW w:w="8425" w:type="dxa"/>
        <w:jc w:val="right"/>
        <w:tblLook w:val="04A0" w:firstRow="1" w:lastRow="0" w:firstColumn="1" w:lastColumn="0" w:noHBand="0" w:noVBand="1"/>
      </w:tblPr>
      <w:tblGrid>
        <w:gridCol w:w="2552"/>
        <w:gridCol w:w="1874"/>
        <w:gridCol w:w="2095"/>
        <w:gridCol w:w="1904"/>
      </w:tblGrid>
      <w:tr w:rsidR="008E1F30" w:rsidTr="008E1F30">
        <w:trPr>
          <w:trHeight w:val="510"/>
          <w:jc w:val="right"/>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3E4D" w:rsidRPr="008E1F30" w:rsidRDefault="000A3E4D">
            <w:pPr>
              <w:rPr>
                <w:rFonts w:ascii="Arial Narrow" w:hAnsi="Arial Narrow" w:cs="Arial"/>
                <w:sz w:val="20"/>
                <w:szCs w:val="20"/>
              </w:rPr>
            </w:pPr>
          </w:p>
        </w:tc>
        <w:tc>
          <w:tcPr>
            <w:tcW w:w="1874" w:type="dxa"/>
            <w:tcBorders>
              <w:top w:val="single" w:sz="4" w:space="0" w:color="auto"/>
              <w:left w:val="nil"/>
              <w:bottom w:val="single" w:sz="4" w:space="0" w:color="auto"/>
              <w:right w:val="single" w:sz="4" w:space="0" w:color="auto"/>
            </w:tcBorders>
            <w:shd w:val="clear" w:color="auto" w:fill="auto"/>
            <w:vAlign w:val="bottom"/>
            <w:hideMark/>
          </w:tcPr>
          <w:p w:rsidR="000A3E4D" w:rsidRPr="008E1F30" w:rsidRDefault="000A3E4D">
            <w:pPr>
              <w:jc w:val="center"/>
              <w:rPr>
                <w:rFonts w:ascii="Arial Narrow" w:hAnsi="Arial Narrow" w:cs="Arial"/>
                <w:b/>
                <w:sz w:val="20"/>
                <w:szCs w:val="20"/>
              </w:rPr>
            </w:pPr>
            <w:r w:rsidRPr="008E1F30">
              <w:rPr>
                <w:rFonts w:ascii="Arial Narrow" w:hAnsi="Arial Narrow" w:cs="Arial"/>
                <w:b/>
                <w:sz w:val="20"/>
                <w:szCs w:val="20"/>
              </w:rPr>
              <w:t>Primary prophylaxis</w:t>
            </w:r>
          </w:p>
        </w:tc>
        <w:tc>
          <w:tcPr>
            <w:tcW w:w="2095" w:type="dxa"/>
            <w:tcBorders>
              <w:top w:val="single" w:sz="4" w:space="0" w:color="auto"/>
              <w:left w:val="nil"/>
              <w:bottom w:val="single" w:sz="4" w:space="0" w:color="auto"/>
              <w:right w:val="single" w:sz="4" w:space="0" w:color="auto"/>
            </w:tcBorders>
            <w:shd w:val="clear" w:color="auto" w:fill="auto"/>
            <w:vAlign w:val="bottom"/>
            <w:hideMark/>
          </w:tcPr>
          <w:p w:rsidR="000A3E4D" w:rsidRPr="008E1F30" w:rsidRDefault="000A3E4D">
            <w:pPr>
              <w:jc w:val="center"/>
              <w:rPr>
                <w:rFonts w:ascii="Arial Narrow" w:hAnsi="Arial Narrow" w:cs="Arial"/>
                <w:b/>
                <w:sz w:val="20"/>
                <w:szCs w:val="20"/>
              </w:rPr>
            </w:pPr>
            <w:r w:rsidRPr="008E1F30">
              <w:rPr>
                <w:rFonts w:ascii="Arial Narrow" w:hAnsi="Arial Narrow" w:cs="Arial"/>
                <w:b/>
                <w:sz w:val="20"/>
                <w:szCs w:val="20"/>
              </w:rPr>
              <w:t>Secondary prophylaxis</w:t>
            </w:r>
          </w:p>
        </w:tc>
        <w:tc>
          <w:tcPr>
            <w:tcW w:w="1904" w:type="dxa"/>
            <w:tcBorders>
              <w:top w:val="single" w:sz="4" w:space="0" w:color="auto"/>
              <w:left w:val="nil"/>
              <w:bottom w:val="single" w:sz="4" w:space="0" w:color="auto"/>
              <w:right w:val="single" w:sz="4" w:space="0" w:color="auto"/>
            </w:tcBorders>
            <w:shd w:val="clear" w:color="auto" w:fill="auto"/>
            <w:noWrap/>
            <w:vAlign w:val="bottom"/>
            <w:hideMark/>
          </w:tcPr>
          <w:p w:rsidR="000A3E4D" w:rsidRPr="008E1F30" w:rsidRDefault="008E1F30">
            <w:pPr>
              <w:jc w:val="center"/>
              <w:rPr>
                <w:rFonts w:ascii="Arial Narrow" w:hAnsi="Arial Narrow" w:cs="Arial"/>
                <w:b/>
                <w:sz w:val="20"/>
                <w:szCs w:val="20"/>
              </w:rPr>
            </w:pPr>
            <w:r>
              <w:rPr>
                <w:rFonts w:ascii="Arial Narrow" w:hAnsi="Arial Narrow" w:cs="Arial"/>
                <w:b/>
                <w:sz w:val="20"/>
                <w:szCs w:val="20"/>
              </w:rPr>
              <w:t xml:space="preserve">Incremental </w:t>
            </w:r>
            <w:r w:rsidR="000A3E4D" w:rsidRPr="008E1F30">
              <w:rPr>
                <w:rFonts w:ascii="Arial Narrow" w:hAnsi="Arial Narrow" w:cs="Arial"/>
                <w:b/>
                <w:sz w:val="20"/>
                <w:szCs w:val="20"/>
              </w:rPr>
              <w:t>Difference</w:t>
            </w:r>
          </w:p>
        </w:tc>
      </w:tr>
      <w:tr w:rsidR="008E1F30" w:rsidTr="008E1F30">
        <w:trPr>
          <w:trHeight w:val="255"/>
          <w:jc w:val="right"/>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3E4D" w:rsidRPr="008E1F30" w:rsidRDefault="000A3E4D" w:rsidP="002316BE">
            <w:pPr>
              <w:rPr>
                <w:rFonts w:ascii="Arial Narrow" w:hAnsi="Arial Narrow" w:cs="Arial"/>
                <w:sz w:val="20"/>
                <w:szCs w:val="20"/>
              </w:rPr>
            </w:pPr>
            <w:r w:rsidRPr="008E1F30">
              <w:rPr>
                <w:rFonts w:ascii="Arial Narrow" w:hAnsi="Arial Narrow" w:cs="Arial"/>
                <w:sz w:val="20"/>
                <w:szCs w:val="20"/>
              </w:rPr>
              <w:t>Average cycles per patient</w:t>
            </w:r>
          </w:p>
        </w:tc>
        <w:tc>
          <w:tcPr>
            <w:tcW w:w="1874" w:type="dxa"/>
            <w:tcBorders>
              <w:top w:val="single" w:sz="4" w:space="0" w:color="auto"/>
              <w:left w:val="nil"/>
              <w:bottom w:val="single" w:sz="4" w:space="0" w:color="auto"/>
              <w:right w:val="single" w:sz="4" w:space="0" w:color="auto"/>
            </w:tcBorders>
            <w:shd w:val="clear" w:color="auto" w:fill="auto"/>
            <w:noWrap/>
            <w:vAlign w:val="bottom"/>
            <w:hideMark/>
          </w:tcPr>
          <w:p w:rsidR="000A3E4D" w:rsidRPr="00853769" w:rsidRDefault="00853769">
            <w:pPr>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2095" w:type="dxa"/>
            <w:tcBorders>
              <w:top w:val="single" w:sz="4" w:space="0" w:color="auto"/>
              <w:left w:val="nil"/>
              <w:bottom w:val="single" w:sz="4" w:space="0" w:color="auto"/>
              <w:right w:val="single" w:sz="4" w:space="0" w:color="auto"/>
            </w:tcBorders>
            <w:shd w:val="clear" w:color="auto" w:fill="auto"/>
            <w:noWrap/>
            <w:vAlign w:val="bottom"/>
            <w:hideMark/>
          </w:tcPr>
          <w:p w:rsidR="000A3E4D" w:rsidRPr="00853769" w:rsidRDefault="00853769">
            <w:pPr>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1904" w:type="dxa"/>
            <w:tcBorders>
              <w:top w:val="single" w:sz="4" w:space="0" w:color="auto"/>
              <w:left w:val="nil"/>
              <w:bottom w:val="single" w:sz="4" w:space="0" w:color="auto"/>
              <w:right w:val="single" w:sz="4" w:space="0" w:color="auto"/>
            </w:tcBorders>
            <w:shd w:val="clear" w:color="auto" w:fill="auto"/>
            <w:noWrap/>
            <w:vAlign w:val="bottom"/>
          </w:tcPr>
          <w:p w:rsidR="000A3E4D" w:rsidRPr="00AC2FFC" w:rsidRDefault="000A3E4D">
            <w:pPr>
              <w:jc w:val="center"/>
              <w:rPr>
                <w:rFonts w:ascii="Arial Narrow" w:hAnsi="Arial Narrow" w:cs="Arial"/>
                <w:sz w:val="20"/>
                <w:szCs w:val="20"/>
              </w:rPr>
            </w:pPr>
          </w:p>
        </w:tc>
      </w:tr>
      <w:tr w:rsidR="008E1F30" w:rsidTr="008E1F30">
        <w:trPr>
          <w:trHeight w:val="255"/>
          <w:jc w:val="right"/>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3E4D" w:rsidRPr="008E1F30" w:rsidRDefault="000A3E4D" w:rsidP="002316BE">
            <w:pPr>
              <w:rPr>
                <w:rFonts w:ascii="Arial Narrow" w:hAnsi="Arial Narrow" w:cs="Arial"/>
                <w:sz w:val="20"/>
                <w:szCs w:val="20"/>
              </w:rPr>
            </w:pPr>
            <w:r w:rsidRPr="008E1F30">
              <w:rPr>
                <w:rFonts w:ascii="Arial Narrow" w:hAnsi="Arial Narrow" w:cs="Arial"/>
                <w:sz w:val="20"/>
                <w:szCs w:val="20"/>
              </w:rPr>
              <w:t>% cycles with pegfilgrastim</w:t>
            </w:r>
          </w:p>
        </w:tc>
        <w:tc>
          <w:tcPr>
            <w:tcW w:w="1874" w:type="dxa"/>
            <w:tcBorders>
              <w:top w:val="single" w:sz="4" w:space="0" w:color="auto"/>
              <w:left w:val="nil"/>
              <w:bottom w:val="single" w:sz="4" w:space="0" w:color="auto"/>
              <w:right w:val="single" w:sz="4" w:space="0" w:color="auto"/>
            </w:tcBorders>
            <w:shd w:val="clear" w:color="auto" w:fill="auto"/>
            <w:noWrap/>
            <w:vAlign w:val="bottom"/>
            <w:hideMark/>
          </w:tcPr>
          <w:p w:rsidR="000A3E4D" w:rsidRPr="00AC2FFC" w:rsidRDefault="000A3E4D">
            <w:pPr>
              <w:jc w:val="center"/>
              <w:rPr>
                <w:rFonts w:ascii="Arial Narrow" w:hAnsi="Arial Narrow" w:cs="Arial"/>
                <w:sz w:val="20"/>
                <w:szCs w:val="20"/>
              </w:rPr>
            </w:pPr>
            <w:r w:rsidRPr="00AC2FFC">
              <w:rPr>
                <w:rFonts w:ascii="Arial Narrow" w:hAnsi="Arial Narrow" w:cs="Arial"/>
                <w:sz w:val="20"/>
                <w:szCs w:val="20"/>
              </w:rPr>
              <w:t>100%</w:t>
            </w:r>
          </w:p>
        </w:tc>
        <w:tc>
          <w:tcPr>
            <w:tcW w:w="2095" w:type="dxa"/>
            <w:tcBorders>
              <w:top w:val="single" w:sz="4" w:space="0" w:color="auto"/>
              <w:left w:val="nil"/>
              <w:bottom w:val="single" w:sz="4" w:space="0" w:color="auto"/>
              <w:right w:val="single" w:sz="4" w:space="0" w:color="auto"/>
            </w:tcBorders>
            <w:shd w:val="clear" w:color="auto" w:fill="auto"/>
            <w:noWrap/>
            <w:vAlign w:val="bottom"/>
            <w:hideMark/>
          </w:tcPr>
          <w:p w:rsidR="000A3E4D" w:rsidRPr="00853769" w:rsidRDefault="00853769">
            <w:pPr>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1904" w:type="dxa"/>
            <w:tcBorders>
              <w:top w:val="single" w:sz="4" w:space="0" w:color="auto"/>
              <w:left w:val="nil"/>
              <w:bottom w:val="single" w:sz="4" w:space="0" w:color="auto"/>
              <w:right w:val="single" w:sz="4" w:space="0" w:color="auto"/>
            </w:tcBorders>
            <w:shd w:val="clear" w:color="auto" w:fill="auto"/>
            <w:noWrap/>
            <w:vAlign w:val="bottom"/>
          </w:tcPr>
          <w:p w:rsidR="000A3E4D" w:rsidRPr="00AC2FFC" w:rsidRDefault="000A3E4D">
            <w:pPr>
              <w:jc w:val="center"/>
              <w:rPr>
                <w:rFonts w:ascii="Arial Narrow" w:hAnsi="Arial Narrow" w:cs="Arial"/>
                <w:sz w:val="20"/>
                <w:szCs w:val="20"/>
              </w:rPr>
            </w:pPr>
          </w:p>
        </w:tc>
      </w:tr>
      <w:tr w:rsidR="008E1F30" w:rsidTr="008E1F30">
        <w:trPr>
          <w:trHeight w:val="255"/>
          <w:jc w:val="right"/>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3E4D" w:rsidRPr="008E1F30" w:rsidRDefault="000A3E4D" w:rsidP="002316BE">
            <w:pPr>
              <w:rPr>
                <w:rFonts w:ascii="Arial Narrow" w:hAnsi="Arial Narrow" w:cs="Arial"/>
                <w:sz w:val="20"/>
                <w:szCs w:val="20"/>
              </w:rPr>
            </w:pPr>
            <w:r w:rsidRPr="008E1F30">
              <w:rPr>
                <w:rFonts w:ascii="Arial Narrow" w:hAnsi="Arial Narrow" w:cs="Arial"/>
                <w:sz w:val="20"/>
                <w:szCs w:val="20"/>
              </w:rPr>
              <w:t>Pegfilgrastim cost per cycle</w:t>
            </w:r>
          </w:p>
        </w:tc>
        <w:tc>
          <w:tcPr>
            <w:tcW w:w="1874" w:type="dxa"/>
            <w:tcBorders>
              <w:top w:val="single" w:sz="4" w:space="0" w:color="auto"/>
              <w:left w:val="nil"/>
              <w:bottom w:val="single" w:sz="4" w:space="0" w:color="auto"/>
              <w:right w:val="single" w:sz="4" w:space="0" w:color="auto"/>
            </w:tcBorders>
            <w:shd w:val="clear" w:color="auto" w:fill="auto"/>
            <w:noWrap/>
            <w:vAlign w:val="bottom"/>
            <w:hideMark/>
          </w:tcPr>
          <w:p w:rsidR="000A3E4D" w:rsidRPr="00AC2FFC" w:rsidRDefault="000A3E4D">
            <w:pPr>
              <w:jc w:val="center"/>
              <w:rPr>
                <w:rFonts w:ascii="Arial Narrow" w:hAnsi="Arial Narrow" w:cs="Arial"/>
                <w:sz w:val="20"/>
                <w:szCs w:val="20"/>
              </w:rPr>
            </w:pPr>
            <w:r w:rsidRPr="00AC2FFC">
              <w:rPr>
                <w:rFonts w:ascii="Arial Narrow" w:hAnsi="Arial Narrow" w:cs="Arial"/>
                <w:sz w:val="20"/>
                <w:szCs w:val="20"/>
              </w:rPr>
              <w:t>$</w:t>
            </w:r>
            <w:r w:rsidR="00853769">
              <w:rPr>
                <w:rFonts w:ascii="Arial Narrow" w:hAnsi="Arial Narrow" w:cs="Arial"/>
                <w:noProof/>
                <w:color w:val="000000"/>
                <w:sz w:val="20"/>
                <w:szCs w:val="20"/>
                <w:highlight w:val="black"/>
              </w:rPr>
              <w:t>'''''''''''''''''''''''</w:t>
            </w:r>
          </w:p>
        </w:tc>
        <w:tc>
          <w:tcPr>
            <w:tcW w:w="2095" w:type="dxa"/>
            <w:tcBorders>
              <w:top w:val="single" w:sz="4" w:space="0" w:color="auto"/>
              <w:left w:val="nil"/>
              <w:bottom w:val="single" w:sz="4" w:space="0" w:color="auto"/>
              <w:right w:val="single" w:sz="4" w:space="0" w:color="auto"/>
            </w:tcBorders>
            <w:shd w:val="clear" w:color="auto" w:fill="auto"/>
            <w:noWrap/>
            <w:vAlign w:val="bottom"/>
            <w:hideMark/>
          </w:tcPr>
          <w:p w:rsidR="000A3E4D" w:rsidRPr="00AC2FFC" w:rsidRDefault="000A3E4D">
            <w:pPr>
              <w:jc w:val="center"/>
              <w:rPr>
                <w:rFonts w:ascii="Arial Narrow" w:hAnsi="Arial Narrow" w:cs="Arial"/>
                <w:sz w:val="20"/>
                <w:szCs w:val="20"/>
              </w:rPr>
            </w:pPr>
            <w:r w:rsidRPr="00AC2FFC">
              <w:rPr>
                <w:rFonts w:ascii="Arial Narrow" w:hAnsi="Arial Narrow" w:cs="Arial"/>
                <w:sz w:val="20"/>
                <w:szCs w:val="20"/>
              </w:rPr>
              <w:t>$</w:t>
            </w:r>
            <w:r w:rsidR="00853769">
              <w:rPr>
                <w:rFonts w:ascii="Arial Narrow" w:hAnsi="Arial Narrow" w:cs="Arial"/>
                <w:noProof/>
                <w:color w:val="000000"/>
                <w:sz w:val="20"/>
                <w:szCs w:val="20"/>
                <w:highlight w:val="black"/>
              </w:rPr>
              <w:t>'''''''''''''''''''</w:t>
            </w:r>
          </w:p>
        </w:tc>
        <w:tc>
          <w:tcPr>
            <w:tcW w:w="1904" w:type="dxa"/>
            <w:tcBorders>
              <w:top w:val="single" w:sz="4" w:space="0" w:color="auto"/>
              <w:left w:val="nil"/>
              <w:bottom w:val="single" w:sz="4" w:space="0" w:color="auto"/>
              <w:right w:val="single" w:sz="4" w:space="0" w:color="auto"/>
            </w:tcBorders>
            <w:shd w:val="clear" w:color="auto" w:fill="auto"/>
            <w:noWrap/>
            <w:vAlign w:val="bottom"/>
          </w:tcPr>
          <w:p w:rsidR="000A3E4D" w:rsidRPr="00AC2FFC" w:rsidRDefault="000A3E4D">
            <w:pPr>
              <w:jc w:val="center"/>
              <w:rPr>
                <w:rFonts w:ascii="Arial Narrow" w:hAnsi="Arial Narrow" w:cs="Arial"/>
                <w:sz w:val="20"/>
                <w:szCs w:val="20"/>
              </w:rPr>
            </w:pPr>
          </w:p>
        </w:tc>
      </w:tr>
      <w:tr w:rsidR="008E1F30" w:rsidTr="008E1F30">
        <w:trPr>
          <w:trHeight w:val="255"/>
          <w:jc w:val="right"/>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3E4D" w:rsidRPr="008E1F30" w:rsidRDefault="000A3E4D" w:rsidP="002316BE">
            <w:pPr>
              <w:rPr>
                <w:rFonts w:ascii="Arial Narrow" w:hAnsi="Arial Narrow" w:cs="Arial"/>
                <w:sz w:val="20"/>
                <w:szCs w:val="20"/>
              </w:rPr>
            </w:pPr>
            <w:r w:rsidRPr="008E1F30">
              <w:rPr>
                <w:rFonts w:ascii="Arial Narrow" w:hAnsi="Arial Narrow" w:cs="Arial"/>
                <w:sz w:val="20"/>
                <w:szCs w:val="20"/>
              </w:rPr>
              <w:t>Pegfilgrastim total cost</w:t>
            </w:r>
          </w:p>
        </w:tc>
        <w:tc>
          <w:tcPr>
            <w:tcW w:w="1874" w:type="dxa"/>
            <w:tcBorders>
              <w:top w:val="single" w:sz="4" w:space="0" w:color="auto"/>
              <w:left w:val="nil"/>
              <w:bottom w:val="single" w:sz="4" w:space="0" w:color="auto"/>
              <w:right w:val="single" w:sz="4" w:space="0" w:color="auto"/>
            </w:tcBorders>
            <w:shd w:val="clear" w:color="auto" w:fill="auto"/>
            <w:noWrap/>
            <w:vAlign w:val="bottom"/>
            <w:hideMark/>
          </w:tcPr>
          <w:p w:rsidR="000A3E4D" w:rsidRPr="00AC2FFC" w:rsidRDefault="000A3E4D">
            <w:pPr>
              <w:jc w:val="center"/>
              <w:rPr>
                <w:rFonts w:ascii="Arial Narrow" w:hAnsi="Arial Narrow" w:cs="Arial"/>
                <w:sz w:val="20"/>
                <w:szCs w:val="20"/>
              </w:rPr>
            </w:pPr>
            <w:r w:rsidRPr="00AC2FFC">
              <w:rPr>
                <w:rFonts w:ascii="Arial Narrow" w:hAnsi="Arial Narrow" w:cs="Arial"/>
                <w:sz w:val="20"/>
                <w:szCs w:val="20"/>
              </w:rPr>
              <w:t>$</w:t>
            </w:r>
            <w:r w:rsidR="00853769">
              <w:rPr>
                <w:rFonts w:ascii="Arial Narrow" w:hAnsi="Arial Narrow" w:cs="Arial"/>
                <w:noProof/>
                <w:color w:val="000000"/>
                <w:sz w:val="20"/>
                <w:szCs w:val="20"/>
                <w:highlight w:val="black"/>
              </w:rPr>
              <w:t>''''''''''''''</w:t>
            </w:r>
          </w:p>
        </w:tc>
        <w:tc>
          <w:tcPr>
            <w:tcW w:w="2095" w:type="dxa"/>
            <w:tcBorders>
              <w:top w:val="single" w:sz="4" w:space="0" w:color="auto"/>
              <w:left w:val="nil"/>
              <w:bottom w:val="single" w:sz="4" w:space="0" w:color="auto"/>
              <w:right w:val="single" w:sz="4" w:space="0" w:color="auto"/>
            </w:tcBorders>
            <w:shd w:val="clear" w:color="auto" w:fill="auto"/>
            <w:noWrap/>
            <w:vAlign w:val="bottom"/>
            <w:hideMark/>
          </w:tcPr>
          <w:p w:rsidR="000A3E4D" w:rsidRPr="00AC2FFC" w:rsidRDefault="000A3E4D">
            <w:pPr>
              <w:jc w:val="center"/>
              <w:rPr>
                <w:rFonts w:ascii="Arial Narrow" w:hAnsi="Arial Narrow" w:cs="Arial"/>
                <w:sz w:val="20"/>
                <w:szCs w:val="20"/>
              </w:rPr>
            </w:pPr>
            <w:r w:rsidRPr="00AC2FFC">
              <w:rPr>
                <w:rFonts w:ascii="Arial Narrow" w:hAnsi="Arial Narrow" w:cs="Arial"/>
                <w:sz w:val="20"/>
                <w:szCs w:val="20"/>
              </w:rPr>
              <w:t>$</w:t>
            </w:r>
            <w:r w:rsidR="00853769">
              <w:rPr>
                <w:rFonts w:ascii="Arial Narrow" w:hAnsi="Arial Narrow" w:cs="Arial"/>
                <w:noProof/>
                <w:color w:val="000000"/>
                <w:sz w:val="20"/>
                <w:szCs w:val="20"/>
                <w:highlight w:val="black"/>
              </w:rPr>
              <w:t>''''''''''</w:t>
            </w:r>
          </w:p>
        </w:tc>
        <w:tc>
          <w:tcPr>
            <w:tcW w:w="1904" w:type="dxa"/>
            <w:tcBorders>
              <w:top w:val="single" w:sz="4" w:space="0" w:color="auto"/>
              <w:left w:val="nil"/>
              <w:bottom w:val="single" w:sz="4" w:space="0" w:color="auto"/>
              <w:right w:val="single" w:sz="4" w:space="0" w:color="auto"/>
            </w:tcBorders>
            <w:shd w:val="clear" w:color="auto" w:fill="auto"/>
            <w:noWrap/>
            <w:vAlign w:val="bottom"/>
          </w:tcPr>
          <w:p w:rsidR="000A3E4D" w:rsidRPr="00AC2FFC" w:rsidRDefault="000A3E4D">
            <w:pPr>
              <w:jc w:val="center"/>
              <w:rPr>
                <w:rFonts w:ascii="Arial Narrow" w:hAnsi="Arial Narrow" w:cs="Arial"/>
                <w:sz w:val="20"/>
                <w:szCs w:val="20"/>
              </w:rPr>
            </w:pPr>
            <w:r w:rsidRPr="00AC2FFC">
              <w:rPr>
                <w:rFonts w:ascii="Arial Narrow" w:hAnsi="Arial Narrow" w:cs="Arial"/>
                <w:sz w:val="20"/>
                <w:szCs w:val="20"/>
              </w:rPr>
              <w:t>$</w:t>
            </w:r>
            <w:r w:rsidR="00853769">
              <w:rPr>
                <w:rFonts w:ascii="Arial Narrow" w:hAnsi="Arial Narrow" w:cs="Arial"/>
                <w:noProof/>
                <w:color w:val="000000"/>
                <w:sz w:val="20"/>
                <w:szCs w:val="20"/>
                <w:highlight w:val="black"/>
              </w:rPr>
              <w:t>'''''''''''''</w:t>
            </w:r>
          </w:p>
        </w:tc>
      </w:tr>
      <w:tr w:rsidR="008E1F30" w:rsidTr="008E1F30">
        <w:trPr>
          <w:trHeight w:val="510"/>
          <w:jc w:val="right"/>
        </w:trPr>
        <w:tc>
          <w:tcPr>
            <w:tcW w:w="255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A3E4D" w:rsidRPr="008E1F30" w:rsidRDefault="000A3E4D" w:rsidP="002316BE">
            <w:pPr>
              <w:rPr>
                <w:rFonts w:ascii="Arial Narrow" w:hAnsi="Arial Narrow" w:cs="Arial"/>
                <w:sz w:val="20"/>
                <w:szCs w:val="20"/>
              </w:rPr>
            </w:pPr>
            <w:r w:rsidRPr="008E1F30">
              <w:rPr>
                <w:rFonts w:ascii="Arial Narrow" w:hAnsi="Arial Narrow" w:cs="Arial"/>
                <w:sz w:val="20"/>
                <w:szCs w:val="20"/>
              </w:rPr>
              <w:t xml:space="preserve">Average FN events per patient </w:t>
            </w:r>
            <w:r w:rsidRPr="008E1F30">
              <w:rPr>
                <w:rFonts w:ascii="Arial Narrow" w:hAnsi="Arial Narrow" w:cs="Arial"/>
                <w:sz w:val="20"/>
                <w:szCs w:val="20"/>
              </w:rPr>
              <w:br/>
              <w:t>across all cycles</w:t>
            </w:r>
          </w:p>
        </w:tc>
        <w:tc>
          <w:tcPr>
            <w:tcW w:w="1874" w:type="dxa"/>
            <w:tcBorders>
              <w:top w:val="single" w:sz="4" w:space="0" w:color="auto"/>
              <w:left w:val="nil"/>
              <w:bottom w:val="single" w:sz="4" w:space="0" w:color="auto"/>
              <w:right w:val="single" w:sz="4" w:space="0" w:color="auto"/>
            </w:tcBorders>
            <w:shd w:val="clear" w:color="auto" w:fill="auto"/>
            <w:noWrap/>
            <w:vAlign w:val="bottom"/>
            <w:hideMark/>
          </w:tcPr>
          <w:p w:rsidR="000A3E4D" w:rsidRPr="00853769" w:rsidRDefault="00853769">
            <w:pPr>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2095" w:type="dxa"/>
            <w:tcBorders>
              <w:top w:val="single" w:sz="4" w:space="0" w:color="auto"/>
              <w:left w:val="nil"/>
              <w:bottom w:val="single" w:sz="4" w:space="0" w:color="auto"/>
              <w:right w:val="single" w:sz="4" w:space="0" w:color="auto"/>
            </w:tcBorders>
            <w:shd w:val="clear" w:color="auto" w:fill="auto"/>
            <w:noWrap/>
            <w:vAlign w:val="bottom"/>
            <w:hideMark/>
          </w:tcPr>
          <w:p w:rsidR="000A3E4D" w:rsidRPr="00853769" w:rsidRDefault="00853769">
            <w:pPr>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1904" w:type="dxa"/>
            <w:tcBorders>
              <w:top w:val="single" w:sz="4" w:space="0" w:color="auto"/>
              <w:left w:val="nil"/>
              <w:bottom w:val="single" w:sz="4" w:space="0" w:color="auto"/>
              <w:right w:val="single" w:sz="4" w:space="0" w:color="auto"/>
            </w:tcBorders>
            <w:shd w:val="clear" w:color="auto" w:fill="auto"/>
            <w:noWrap/>
            <w:vAlign w:val="bottom"/>
            <w:hideMark/>
          </w:tcPr>
          <w:p w:rsidR="000A3E4D" w:rsidRPr="00853769" w:rsidRDefault="00853769">
            <w:pPr>
              <w:jc w:val="center"/>
              <w:rPr>
                <w:rFonts w:ascii="Arial Narrow" w:hAnsi="Arial Narrow" w:cs="Arial"/>
                <w:sz w:val="20"/>
                <w:szCs w:val="20"/>
                <w:highlight w:val="black"/>
              </w:rPr>
            </w:pPr>
            <w:r>
              <w:rPr>
                <w:rFonts w:ascii="Arial Narrow" w:hAnsi="Arial Narrow" w:cs="Arial"/>
                <w:noProof/>
                <w:color w:val="000000"/>
                <w:sz w:val="20"/>
                <w:szCs w:val="20"/>
                <w:highlight w:val="black"/>
              </w:rPr>
              <w:t>''''''''''''</w:t>
            </w:r>
          </w:p>
        </w:tc>
      </w:tr>
      <w:tr w:rsidR="008E1F30" w:rsidTr="008E1F30">
        <w:trPr>
          <w:trHeight w:val="255"/>
          <w:jc w:val="right"/>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3E4D" w:rsidRPr="008E1F30" w:rsidRDefault="000A3E4D" w:rsidP="002316BE">
            <w:pPr>
              <w:rPr>
                <w:rFonts w:ascii="Arial Narrow" w:hAnsi="Arial Narrow" w:cs="Arial"/>
                <w:sz w:val="20"/>
                <w:szCs w:val="20"/>
              </w:rPr>
            </w:pPr>
            <w:r w:rsidRPr="008E1F30">
              <w:rPr>
                <w:rFonts w:ascii="Arial Narrow" w:hAnsi="Arial Narrow" w:cs="Arial"/>
                <w:sz w:val="20"/>
                <w:szCs w:val="20"/>
              </w:rPr>
              <w:t>Hospital costs per FN event</w:t>
            </w:r>
          </w:p>
        </w:tc>
        <w:tc>
          <w:tcPr>
            <w:tcW w:w="1874" w:type="dxa"/>
            <w:tcBorders>
              <w:top w:val="single" w:sz="4" w:space="0" w:color="auto"/>
              <w:left w:val="nil"/>
              <w:bottom w:val="single" w:sz="4" w:space="0" w:color="auto"/>
              <w:right w:val="single" w:sz="4" w:space="0" w:color="auto"/>
            </w:tcBorders>
            <w:shd w:val="clear" w:color="auto" w:fill="auto"/>
            <w:noWrap/>
            <w:vAlign w:val="bottom"/>
            <w:hideMark/>
          </w:tcPr>
          <w:p w:rsidR="000A3E4D" w:rsidRPr="00AC2FFC" w:rsidRDefault="000A3E4D">
            <w:pPr>
              <w:jc w:val="center"/>
              <w:rPr>
                <w:rFonts w:ascii="Arial Narrow" w:hAnsi="Arial Narrow" w:cs="Arial"/>
                <w:sz w:val="20"/>
                <w:szCs w:val="20"/>
              </w:rPr>
            </w:pPr>
            <w:r w:rsidRPr="00AC2FFC">
              <w:rPr>
                <w:rFonts w:ascii="Arial Narrow" w:hAnsi="Arial Narrow" w:cs="Arial"/>
                <w:sz w:val="20"/>
                <w:szCs w:val="20"/>
              </w:rPr>
              <w:t>$</w:t>
            </w:r>
            <w:r w:rsidR="00853769">
              <w:rPr>
                <w:rFonts w:ascii="Arial Narrow" w:hAnsi="Arial Narrow" w:cs="Arial"/>
                <w:noProof/>
                <w:color w:val="000000"/>
                <w:sz w:val="20"/>
                <w:szCs w:val="20"/>
                <w:highlight w:val="black"/>
              </w:rPr>
              <w:t>'''''''''''''''''</w:t>
            </w:r>
          </w:p>
        </w:tc>
        <w:tc>
          <w:tcPr>
            <w:tcW w:w="2095" w:type="dxa"/>
            <w:tcBorders>
              <w:top w:val="single" w:sz="4" w:space="0" w:color="auto"/>
              <w:left w:val="nil"/>
              <w:bottom w:val="single" w:sz="4" w:space="0" w:color="auto"/>
              <w:right w:val="single" w:sz="4" w:space="0" w:color="auto"/>
            </w:tcBorders>
            <w:shd w:val="clear" w:color="auto" w:fill="auto"/>
            <w:noWrap/>
            <w:vAlign w:val="bottom"/>
            <w:hideMark/>
          </w:tcPr>
          <w:p w:rsidR="000A3E4D" w:rsidRPr="00AC2FFC" w:rsidRDefault="000A3E4D">
            <w:pPr>
              <w:jc w:val="center"/>
              <w:rPr>
                <w:rFonts w:ascii="Arial Narrow" w:hAnsi="Arial Narrow" w:cs="Arial"/>
                <w:sz w:val="20"/>
                <w:szCs w:val="20"/>
              </w:rPr>
            </w:pPr>
            <w:r w:rsidRPr="00AC2FFC">
              <w:rPr>
                <w:rFonts w:ascii="Arial Narrow" w:hAnsi="Arial Narrow" w:cs="Arial"/>
                <w:sz w:val="20"/>
                <w:szCs w:val="20"/>
              </w:rPr>
              <w:t>$</w:t>
            </w:r>
            <w:r w:rsidR="00853769">
              <w:rPr>
                <w:rFonts w:ascii="Arial Narrow" w:hAnsi="Arial Narrow" w:cs="Arial"/>
                <w:noProof/>
                <w:color w:val="000000"/>
                <w:sz w:val="20"/>
                <w:szCs w:val="20"/>
                <w:highlight w:val="black"/>
              </w:rPr>
              <w:t>''''''''''''''''</w:t>
            </w:r>
          </w:p>
        </w:tc>
        <w:tc>
          <w:tcPr>
            <w:tcW w:w="1904" w:type="dxa"/>
            <w:tcBorders>
              <w:top w:val="single" w:sz="4" w:space="0" w:color="auto"/>
              <w:left w:val="nil"/>
              <w:bottom w:val="single" w:sz="4" w:space="0" w:color="auto"/>
              <w:right w:val="single" w:sz="4" w:space="0" w:color="auto"/>
            </w:tcBorders>
            <w:shd w:val="clear" w:color="auto" w:fill="auto"/>
            <w:noWrap/>
            <w:vAlign w:val="bottom"/>
          </w:tcPr>
          <w:p w:rsidR="000A3E4D" w:rsidRPr="00AC2FFC" w:rsidRDefault="000A3E4D">
            <w:pPr>
              <w:jc w:val="center"/>
              <w:rPr>
                <w:rFonts w:ascii="Arial Narrow" w:hAnsi="Arial Narrow" w:cs="Arial"/>
                <w:sz w:val="20"/>
                <w:szCs w:val="20"/>
              </w:rPr>
            </w:pPr>
          </w:p>
        </w:tc>
      </w:tr>
      <w:tr w:rsidR="008E1F30" w:rsidTr="008E1F30">
        <w:trPr>
          <w:trHeight w:val="255"/>
          <w:jc w:val="right"/>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3E4D" w:rsidRPr="008E1F30" w:rsidRDefault="000A3E4D" w:rsidP="002316BE">
            <w:pPr>
              <w:rPr>
                <w:rFonts w:ascii="Arial Narrow" w:hAnsi="Arial Narrow" w:cs="Arial"/>
                <w:sz w:val="20"/>
                <w:szCs w:val="20"/>
              </w:rPr>
            </w:pPr>
            <w:r w:rsidRPr="008E1F30">
              <w:rPr>
                <w:rFonts w:ascii="Arial Narrow" w:hAnsi="Arial Narrow" w:cs="Arial"/>
                <w:sz w:val="20"/>
                <w:szCs w:val="20"/>
              </w:rPr>
              <w:t>Total hospital costs</w:t>
            </w:r>
          </w:p>
        </w:tc>
        <w:tc>
          <w:tcPr>
            <w:tcW w:w="1874" w:type="dxa"/>
            <w:tcBorders>
              <w:top w:val="single" w:sz="4" w:space="0" w:color="auto"/>
              <w:left w:val="nil"/>
              <w:bottom w:val="single" w:sz="4" w:space="0" w:color="auto"/>
              <w:right w:val="single" w:sz="4" w:space="0" w:color="auto"/>
            </w:tcBorders>
            <w:shd w:val="clear" w:color="auto" w:fill="auto"/>
            <w:noWrap/>
            <w:vAlign w:val="bottom"/>
            <w:hideMark/>
          </w:tcPr>
          <w:p w:rsidR="000A3E4D" w:rsidRPr="00AC2FFC" w:rsidRDefault="000A3E4D">
            <w:pPr>
              <w:jc w:val="center"/>
              <w:rPr>
                <w:rFonts w:ascii="Arial Narrow" w:hAnsi="Arial Narrow" w:cs="Arial"/>
                <w:sz w:val="20"/>
                <w:szCs w:val="20"/>
              </w:rPr>
            </w:pPr>
            <w:r w:rsidRPr="00AC2FFC">
              <w:rPr>
                <w:rFonts w:ascii="Arial Narrow" w:hAnsi="Arial Narrow" w:cs="Arial"/>
                <w:sz w:val="20"/>
                <w:szCs w:val="20"/>
              </w:rPr>
              <w:t>$</w:t>
            </w:r>
            <w:r w:rsidR="00853769">
              <w:rPr>
                <w:rFonts w:ascii="Arial Narrow" w:hAnsi="Arial Narrow" w:cs="Arial"/>
                <w:noProof/>
                <w:color w:val="000000"/>
                <w:sz w:val="20"/>
                <w:szCs w:val="20"/>
                <w:highlight w:val="black"/>
              </w:rPr>
              <w:t>''''''''''</w:t>
            </w:r>
          </w:p>
        </w:tc>
        <w:tc>
          <w:tcPr>
            <w:tcW w:w="2095" w:type="dxa"/>
            <w:tcBorders>
              <w:top w:val="single" w:sz="4" w:space="0" w:color="auto"/>
              <w:left w:val="nil"/>
              <w:bottom w:val="single" w:sz="4" w:space="0" w:color="auto"/>
              <w:right w:val="single" w:sz="4" w:space="0" w:color="auto"/>
            </w:tcBorders>
            <w:shd w:val="clear" w:color="auto" w:fill="auto"/>
            <w:noWrap/>
            <w:vAlign w:val="bottom"/>
            <w:hideMark/>
          </w:tcPr>
          <w:p w:rsidR="000A3E4D" w:rsidRPr="00AC2FFC" w:rsidRDefault="000A3E4D">
            <w:pPr>
              <w:jc w:val="center"/>
              <w:rPr>
                <w:rFonts w:ascii="Arial Narrow" w:hAnsi="Arial Narrow" w:cs="Arial"/>
                <w:sz w:val="20"/>
                <w:szCs w:val="20"/>
              </w:rPr>
            </w:pPr>
            <w:r w:rsidRPr="00AC2FFC">
              <w:rPr>
                <w:rFonts w:ascii="Arial Narrow" w:hAnsi="Arial Narrow" w:cs="Arial"/>
                <w:sz w:val="20"/>
                <w:szCs w:val="20"/>
              </w:rPr>
              <w:t>$</w:t>
            </w:r>
            <w:r w:rsidR="00853769">
              <w:rPr>
                <w:rFonts w:ascii="Arial Narrow" w:hAnsi="Arial Narrow" w:cs="Arial"/>
                <w:noProof/>
                <w:color w:val="000000"/>
                <w:sz w:val="20"/>
                <w:szCs w:val="20"/>
                <w:highlight w:val="black"/>
              </w:rPr>
              <w:t>''''''''''''</w:t>
            </w:r>
          </w:p>
        </w:tc>
        <w:tc>
          <w:tcPr>
            <w:tcW w:w="1904" w:type="dxa"/>
            <w:tcBorders>
              <w:top w:val="single" w:sz="4" w:space="0" w:color="auto"/>
              <w:left w:val="nil"/>
              <w:bottom w:val="single" w:sz="4" w:space="0" w:color="auto"/>
              <w:right w:val="single" w:sz="4" w:space="0" w:color="auto"/>
            </w:tcBorders>
            <w:shd w:val="clear" w:color="auto" w:fill="auto"/>
            <w:noWrap/>
            <w:vAlign w:val="bottom"/>
          </w:tcPr>
          <w:p w:rsidR="000A3E4D" w:rsidRPr="00AC2FFC" w:rsidRDefault="000A3E4D">
            <w:pPr>
              <w:jc w:val="center"/>
              <w:rPr>
                <w:rFonts w:ascii="Arial Narrow" w:hAnsi="Arial Narrow" w:cs="Arial"/>
                <w:sz w:val="20"/>
                <w:szCs w:val="20"/>
              </w:rPr>
            </w:pPr>
            <w:r w:rsidRPr="00AC2FFC">
              <w:rPr>
                <w:rFonts w:ascii="Arial Narrow" w:hAnsi="Arial Narrow" w:cs="Arial"/>
                <w:sz w:val="20"/>
                <w:szCs w:val="20"/>
              </w:rPr>
              <w:t>-$</w:t>
            </w:r>
            <w:r w:rsidR="00853769">
              <w:rPr>
                <w:rFonts w:ascii="Arial Narrow" w:hAnsi="Arial Narrow" w:cs="Arial"/>
                <w:noProof/>
                <w:color w:val="000000"/>
                <w:sz w:val="20"/>
                <w:szCs w:val="20"/>
                <w:highlight w:val="black"/>
              </w:rPr>
              <w:t>'''''''''''''</w:t>
            </w:r>
          </w:p>
        </w:tc>
      </w:tr>
      <w:tr w:rsidR="008E1F30" w:rsidTr="008E1F30">
        <w:trPr>
          <w:trHeight w:val="255"/>
          <w:jc w:val="right"/>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3E4D" w:rsidRPr="008E1F30" w:rsidRDefault="000A3E4D" w:rsidP="002316BE">
            <w:pPr>
              <w:rPr>
                <w:rFonts w:ascii="Arial Narrow" w:hAnsi="Arial Narrow" w:cs="Arial"/>
                <w:sz w:val="20"/>
                <w:szCs w:val="20"/>
              </w:rPr>
            </w:pPr>
            <w:r w:rsidRPr="008E1F30">
              <w:rPr>
                <w:rFonts w:ascii="Arial Narrow" w:hAnsi="Arial Narrow" w:cs="Arial"/>
                <w:sz w:val="20"/>
                <w:szCs w:val="20"/>
              </w:rPr>
              <w:t>Total cost</w:t>
            </w:r>
          </w:p>
        </w:tc>
        <w:tc>
          <w:tcPr>
            <w:tcW w:w="1874" w:type="dxa"/>
            <w:tcBorders>
              <w:top w:val="single" w:sz="4" w:space="0" w:color="auto"/>
              <w:left w:val="nil"/>
              <w:bottom w:val="single" w:sz="4" w:space="0" w:color="auto"/>
              <w:right w:val="single" w:sz="4" w:space="0" w:color="auto"/>
            </w:tcBorders>
            <w:shd w:val="clear" w:color="auto" w:fill="auto"/>
            <w:noWrap/>
            <w:vAlign w:val="bottom"/>
            <w:hideMark/>
          </w:tcPr>
          <w:p w:rsidR="000A3E4D" w:rsidRPr="008E1F30" w:rsidRDefault="000A3E4D">
            <w:pPr>
              <w:jc w:val="center"/>
              <w:rPr>
                <w:rFonts w:ascii="Arial Narrow" w:hAnsi="Arial Narrow" w:cs="Arial"/>
                <w:sz w:val="20"/>
                <w:szCs w:val="20"/>
              </w:rPr>
            </w:pPr>
            <w:r w:rsidRPr="008E1F30">
              <w:rPr>
                <w:rFonts w:ascii="Arial Narrow" w:hAnsi="Arial Narrow" w:cs="Arial"/>
                <w:sz w:val="20"/>
                <w:szCs w:val="20"/>
              </w:rPr>
              <w:t>$</w:t>
            </w:r>
            <w:r w:rsidR="00853769">
              <w:rPr>
                <w:rFonts w:ascii="Arial Narrow" w:hAnsi="Arial Narrow" w:cs="Arial"/>
                <w:noProof/>
                <w:color w:val="000000"/>
                <w:sz w:val="20"/>
                <w:szCs w:val="20"/>
                <w:highlight w:val="black"/>
              </w:rPr>
              <w:t>''''''''''''''</w:t>
            </w:r>
          </w:p>
        </w:tc>
        <w:tc>
          <w:tcPr>
            <w:tcW w:w="2095" w:type="dxa"/>
            <w:tcBorders>
              <w:top w:val="single" w:sz="4" w:space="0" w:color="auto"/>
              <w:left w:val="nil"/>
              <w:bottom w:val="single" w:sz="4" w:space="0" w:color="auto"/>
              <w:right w:val="single" w:sz="4" w:space="0" w:color="auto"/>
            </w:tcBorders>
            <w:shd w:val="clear" w:color="auto" w:fill="auto"/>
            <w:noWrap/>
            <w:vAlign w:val="bottom"/>
            <w:hideMark/>
          </w:tcPr>
          <w:p w:rsidR="000A3E4D" w:rsidRPr="008E1F30" w:rsidRDefault="000A3E4D">
            <w:pPr>
              <w:jc w:val="center"/>
              <w:rPr>
                <w:rFonts w:ascii="Arial Narrow" w:hAnsi="Arial Narrow" w:cs="Arial"/>
                <w:sz w:val="20"/>
                <w:szCs w:val="20"/>
              </w:rPr>
            </w:pPr>
            <w:r w:rsidRPr="008E1F30">
              <w:rPr>
                <w:rFonts w:ascii="Arial Narrow" w:hAnsi="Arial Narrow" w:cs="Arial"/>
                <w:sz w:val="20"/>
                <w:szCs w:val="20"/>
              </w:rPr>
              <w:t>$</w:t>
            </w:r>
            <w:r w:rsidR="00853769">
              <w:rPr>
                <w:rFonts w:ascii="Arial Narrow" w:hAnsi="Arial Narrow" w:cs="Arial"/>
                <w:noProof/>
                <w:color w:val="000000"/>
                <w:sz w:val="20"/>
                <w:szCs w:val="20"/>
                <w:highlight w:val="black"/>
              </w:rPr>
              <w:t>''''''''''''''</w:t>
            </w:r>
          </w:p>
        </w:tc>
        <w:tc>
          <w:tcPr>
            <w:tcW w:w="1904" w:type="dxa"/>
            <w:tcBorders>
              <w:top w:val="single" w:sz="4" w:space="0" w:color="auto"/>
              <w:left w:val="nil"/>
              <w:bottom w:val="single" w:sz="4" w:space="0" w:color="auto"/>
              <w:right w:val="single" w:sz="4" w:space="0" w:color="auto"/>
            </w:tcBorders>
            <w:shd w:val="clear" w:color="auto" w:fill="auto"/>
            <w:noWrap/>
            <w:vAlign w:val="bottom"/>
            <w:hideMark/>
          </w:tcPr>
          <w:p w:rsidR="000A3E4D" w:rsidRPr="008E1F30" w:rsidRDefault="000A3E4D">
            <w:pPr>
              <w:jc w:val="center"/>
              <w:rPr>
                <w:rFonts w:ascii="Arial Narrow" w:hAnsi="Arial Narrow" w:cs="Arial"/>
                <w:sz w:val="20"/>
                <w:szCs w:val="20"/>
              </w:rPr>
            </w:pPr>
            <w:r w:rsidRPr="008E1F30">
              <w:rPr>
                <w:rFonts w:ascii="Arial Narrow" w:hAnsi="Arial Narrow" w:cs="Arial"/>
                <w:sz w:val="20"/>
                <w:szCs w:val="20"/>
              </w:rPr>
              <w:t>$</w:t>
            </w:r>
            <w:r w:rsidR="00853769">
              <w:rPr>
                <w:rFonts w:ascii="Arial Narrow" w:hAnsi="Arial Narrow" w:cs="Arial"/>
                <w:noProof/>
                <w:color w:val="000000"/>
                <w:sz w:val="20"/>
                <w:szCs w:val="20"/>
                <w:highlight w:val="black"/>
              </w:rPr>
              <w:t>''''''''''''''</w:t>
            </w:r>
          </w:p>
        </w:tc>
      </w:tr>
      <w:tr w:rsidR="008E1F30" w:rsidTr="008E1F30">
        <w:trPr>
          <w:trHeight w:val="255"/>
          <w:jc w:val="right"/>
        </w:trPr>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3E4D" w:rsidRPr="008E1F30" w:rsidRDefault="000A3E4D" w:rsidP="002316BE">
            <w:pPr>
              <w:rPr>
                <w:rFonts w:ascii="Arial Narrow" w:hAnsi="Arial Narrow" w:cs="Arial"/>
                <w:sz w:val="20"/>
                <w:szCs w:val="20"/>
              </w:rPr>
            </w:pPr>
            <w:r w:rsidRPr="008E1F30">
              <w:rPr>
                <w:rFonts w:ascii="Arial Narrow" w:hAnsi="Arial Narrow" w:cs="Arial"/>
                <w:sz w:val="20"/>
                <w:szCs w:val="20"/>
              </w:rPr>
              <w:t>Cost per FN event avoided</w:t>
            </w:r>
          </w:p>
        </w:tc>
        <w:tc>
          <w:tcPr>
            <w:tcW w:w="1874" w:type="dxa"/>
            <w:tcBorders>
              <w:top w:val="single" w:sz="4" w:space="0" w:color="auto"/>
              <w:left w:val="nil"/>
              <w:bottom w:val="single" w:sz="4" w:space="0" w:color="auto"/>
              <w:right w:val="single" w:sz="4" w:space="0" w:color="auto"/>
            </w:tcBorders>
            <w:shd w:val="clear" w:color="auto" w:fill="auto"/>
            <w:noWrap/>
            <w:vAlign w:val="bottom"/>
          </w:tcPr>
          <w:p w:rsidR="000A3E4D" w:rsidRPr="008E1F30" w:rsidRDefault="000A3E4D">
            <w:pPr>
              <w:jc w:val="center"/>
              <w:rPr>
                <w:rFonts w:ascii="Arial Narrow" w:hAnsi="Arial Narrow" w:cs="Arial"/>
                <w:sz w:val="20"/>
                <w:szCs w:val="20"/>
              </w:rPr>
            </w:pPr>
          </w:p>
        </w:tc>
        <w:tc>
          <w:tcPr>
            <w:tcW w:w="2095" w:type="dxa"/>
            <w:tcBorders>
              <w:top w:val="single" w:sz="4" w:space="0" w:color="auto"/>
              <w:left w:val="nil"/>
              <w:bottom w:val="single" w:sz="4" w:space="0" w:color="auto"/>
              <w:right w:val="single" w:sz="4" w:space="0" w:color="auto"/>
            </w:tcBorders>
            <w:shd w:val="clear" w:color="auto" w:fill="auto"/>
            <w:noWrap/>
            <w:vAlign w:val="bottom"/>
          </w:tcPr>
          <w:p w:rsidR="000A3E4D" w:rsidRPr="008E1F30" w:rsidRDefault="000A3E4D">
            <w:pPr>
              <w:jc w:val="center"/>
              <w:rPr>
                <w:rFonts w:ascii="Arial Narrow" w:hAnsi="Arial Narrow" w:cs="Arial"/>
                <w:sz w:val="20"/>
                <w:szCs w:val="20"/>
              </w:rPr>
            </w:pPr>
          </w:p>
        </w:tc>
        <w:tc>
          <w:tcPr>
            <w:tcW w:w="1904" w:type="dxa"/>
            <w:tcBorders>
              <w:top w:val="single" w:sz="4" w:space="0" w:color="auto"/>
              <w:left w:val="nil"/>
              <w:bottom w:val="single" w:sz="4" w:space="0" w:color="auto"/>
              <w:right w:val="single" w:sz="4" w:space="0" w:color="auto"/>
            </w:tcBorders>
            <w:shd w:val="clear" w:color="auto" w:fill="auto"/>
            <w:noWrap/>
            <w:vAlign w:val="bottom"/>
            <w:hideMark/>
          </w:tcPr>
          <w:p w:rsidR="000A3E4D" w:rsidRPr="008E1F30" w:rsidRDefault="000A3E4D">
            <w:pPr>
              <w:jc w:val="center"/>
              <w:rPr>
                <w:rFonts w:ascii="Arial Narrow" w:hAnsi="Arial Narrow" w:cs="Arial"/>
                <w:sz w:val="20"/>
                <w:szCs w:val="20"/>
              </w:rPr>
            </w:pPr>
            <w:r w:rsidRPr="008E1F30">
              <w:rPr>
                <w:rFonts w:ascii="Arial Narrow" w:hAnsi="Arial Narrow" w:cs="Arial"/>
                <w:sz w:val="20"/>
                <w:szCs w:val="20"/>
              </w:rPr>
              <w:t>$</w:t>
            </w:r>
            <w:r w:rsidR="00853769">
              <w:rPr>
                <w:rFonts w:ascii="Arial Narrow" w:hAnsi="Arial Narrow" w:cs="Arial"/>
                <w:noProof/>
                <w:color w:val="000000"/>
                <w:sz w:val="20"/>
                <w:szCs w:val="20"/>
                <w:highlight w:val="black"/>
              </w:rPr>
              <w:t>''''''''''''''''</w:t>
            </w:r>
          </w:p>
        </w:tc>
      </w:tr>
    </w:tbl>
    <w:p w:rsidR="00D41051" w:rsidRDefault="00D41051" w:rsidP="00F176A8"/>
    <w:p w:rsidR="00853769" w:rsidRDefault="00853769" w:rsidP="00F176A8"/>
    <w:p w:rsidR="00D41051" w:rsidRPr="009F175B" w:rsidRDefault="00D41051" w:rsidP="009F175B">
      <w:pPr>
        <w:pStyle w:val="ListParagraph"/>
        <w:numPr>
          <w:ilvl w:val="1"/>
          <w:numId w:val="14"/>
        </w:numPr>
        <w:rPr>
          <w:szCs w:val="22"/>
        </w:rPr>
      </w:pPr>
      <w:r w:rsidRPr="009F175B">
        <w:rPr>
          <w:szCs w:val="22"/>
        </w:rPr>
        <w:t xml:space="preserve">The PBAC noted that the sensitivity analyses </w:t>
      </w:r>
      <w:r w:rsidR="00DA38E5">
        <w:rPr>
          <w:szCs w:val="22"/>
        </w:rPr>
        <w:t>all</w:t>
      </w:r>
      <w:r w:rsidRPr="009F175B">
        <w:rPr>
          <w:szCs w:val="22"/>
        </w:rPr>
        <w:t xml:space="preserve"> resulted in an ICER that was below the previously accepted cost-effectiveness threshold </w:t>
      </w:r>
      <w:r w:rsidR="00DA38E5" w:rsidRPr="00DA38E5">
        <w:rPr>
          <w:szCs w:val="22"/>
        </w:rPr>
        <w:t>of $</w:t>
      </w:r>
      <w:r w:rsidR="006E4590">
        <w:rPr>
          <w:szCs w:val="22"/>
        </w:rPr>
        <w:t>15,000 - $45,000</w:t>
      </w:r>
      <w:r w:rsidR="00DA38E5" w:rsidRPr="00DA38E5">
        <w:rPr>
          <w:szCs w:val="22"/>
        </w:rPr>
        <w:t xml:space="preserve"> per FN event avoided</w:t>
      </w:r>
      <w:r w:rsidR="00DA38E5">
        <w:rPr>
          <w:szCs w:val="22"/>
        </w:rPr>
        <w:t>.</w:t>
      </w:r>
    </w:p>
    <w:p w:rsidR="008C64BB" w:rsidRPr="008C64BB" w:rsidRDefault="008C64BB" w:rsidP="008C64BB">
      <w:pPr>
        <w:pStyle w:val="ListParagraph"/>
        <w:rPr>
          <w:i/>
          <w:szCs w:val="22"/>
        </w:rPr>
      </w:pPr>
    </w:p>
    <w:p w:rsidR="00A55FEE" w:rsidRPr="00F36CCB" w:rsidRDefault="008C64BB" w:rsidP="00B1059E">
      <w:pPr>
        <w:pStyle w:val="Heading2"/>
      </w:pPr>
      <w:proofErr w:type="gramStart"/>
      <w:r>
        <w:t>Drug cost/patient/</w:t>
      </w:r>
      <w:r w:rsidR="00A55FEE" w:rsidRPr="00F36CCB">
        <w:t>course</w:t>
      </w:r>
      <w:r>
        <w:t>: $</w:t>
      </w:r>
      <w:r w:rsidR="00853769">
        <w:rPr>
          <w:noProof/>
          <w:color w:val="000000"/>
          <w:highlight w:val="black"/>
        </w:rPr>
        <w:t>'''''''''''''''''</w:t>
      </w:r>
      <w:r w:rsidR="00A55FEE" w:rsidRPr="00F36CCB">
        <w:t>.</w:t>
      </w:r>
      <w:proofErr w:type="gramEnd"/>
    </w:p>
    <w:p w:rsidR="00A55FEE" w:rsidRPr="00F36CCB" w:rsidRDefault="00A55FEE" w:rsidP="00A55FEE">
      <w:pPr>
        <w:ind w:left="720" w:hanging="720"/>
        <w:jc w:val="both"/>
        <w:rPr>
          <w:rFonts w:asciiTheme="minorHAnsi" w:hAnsiTheme="minorHAnsi"/>
          <w:b/>
          <w:i/>
          <w:sz w:val="22"/>
          <w:szCs w:val="22"/>
        </w:rPr>
      </w:pPr>
    </w:p>
    <w:p w:rsidR="00A55FEE" w:rsidRPr="00F36CCB" w:rsidRDefault="008C64BB" w:rsidP="00050421">
      <w:pPr>
        <w:pStyle w:val="ListParagraph"/>
        <w:numPr>
          <w:ilvl w:val="1"/>
          <w:numId w:val="14"/>
        </w:numPr>
        <w:rPr>
          <w:szCs w:val="22"/>
        </w:rPr>
      </w:pPr>
      <w:r>
        <w:rPr>
          <w:szCs w:val="22"/>
        </w:rPr>
        <w:t>This is a weighted cost between private and public hospital u</w:t>
      </w:r>
      <w:r w:rsidR="008E1F30">
        <w:rPr>
          <w:szCs w:val="22"/>
        </w:rPr>
        <w:t>se. Patients typically receive four</w:t>
      </w:r>
      <w:r>
        <w:rPr>
          <w:szCs w:val="22"/>
        </w:rPr>
        <w:t xml:space="preserve"> cycles of chemotherapy for which they may be eligible for pegfilgrastim.</w:t>
      </w:r>
    </w:p>
    <w:p w:rsidR="00A55FEE" w:rsidRPr="00F36CCB" w:rsidRDefault="00A55FEE" w:rsidP="00A55FEE">
      <w:pPr>
        <w:ind w:left="720" w:hanging="720"/>
        <w:jc w:val="both"/>
        <w:rPr>
          <w:rFonts w:asciiTheme="minorHAnsi" w:hAnsiTheme="minorHAnsi"/>
          <w:b/>
          <w:i/>
          <w:sz w:val="22"/>
          <w:szCs w:val="22"/>
        </w:rPr>
      </w:pPr>
    </w:p>
    <w:p w:rsidR="005A3173" w:rsidRPr="00F36CCB" w:rsidRDefault="005A3173" w:rsidP="00B1059E">
      <w:pPr>
        <w:pStyle w:val="Heading2"/>
      </w:pPr>
      <w:r w:rsidRPr="00F36CCB">
        <w:t>Estimated PBS usage &amp; financial implications</w:t>
      </w:r>
    </w:p>
    <w:p w:rsidR="005A3173" w:rsidRPr="00F36CCB" w:rsidRDefault="005A3173" w:rsidP="00882085">
      <w:pPr>
        <w:ind w:left="720" w:hanging="720"/>
        <w:jc w:val="both"/>
        <w:rPr>
          <w:rFonts w:asciiTheme="minorHAnsi" w:hAnsiTheme="minorHAnsi"/>
          <w:b/>
          <w:i/>
          <w:sz w:val="22"/>
          <w:szCs w:val="22"/>
        </w:rPr>
      </w:pPr>
    </w:p>
    <w:p w:rsidR="00BB7EC3" w:rsidRPr="000A016B" w:rsidRDefault="008C64BB" w:rsidP="00050421">
      <w:pPr>
        <w:pStyle w:val="ListParagraph"/>
        <w:numPr>
          <w:ilvl w:val="1"/>
          <w:numId w:val="14"/>
        </w:numPr>
        <w:rPr>
          <w:szCs w:val="22"/>
        </w:rPr>
      </w:pPr>
      <w:r w:rsidRPr="000A016B">
        <w:rPr>
          <w:szCs w:val="22"/>
        </w:rPr>
        <w:t xml:space="preserve">The submission estimates the cost of amending this listing to be </w:t>
      </w:r>
      <w:r w:rsidR="0055657B">
        <w:rPr>
          <w:szCs w:val="22"/>
        </w:rPr>
        <w:t>$20 million - $30 </w:t>
      </w:r>
      <w:r w:rsidR="006E4590">
        <w:rPr>
          <w:szCs w:val="22"/>
        </w:rPr>
        <w:t xml:space="preserve">million </w:t>
      </w:r>
      <w:r w:rsidRPr="000A016B">
        <w:rPr>
          <w:szCs w:val="22"/>
        </w:rPr>
        <w:t xml:space="preserve">over the first five years of listing, with a cost of </w:t>
      </w:r>
      <w:r w:rsidR="006E4590">
        <w:rPr>
          <w:szCs w:val="22"/>
        </w:rPr>
        <w:t>less than $10 million</w:t>
      </w:r>
      <w:r w:rsidRPr="000A016B">
        <w:rPr>
          <w:szCs w:val="22"/>
        </w:rPr>
        <w:t xml:space="preserve"> in year 5 of listing.</w:t>
      </w:r>
      <w:r w:rsidR="00166A7A">
        <w:rPr>
          <w:szCs w:val="22"/>
        </w:rPr>
        <w:t xml:space="preserve"> The redacted table below shows the number of new </w:t>
      </w:r>
      <w:proofErr w:type="spellStart"/>
      <w:r w:rsidR="00166A7A">
        <w:rPr>
          <w:szCs w:val="22"/>
        </w:rPr>
        <w:t>pegfilgrastim</w:t>
      </w:r>
      <w:proofErr w:type="spellEnd"/>
      <w:r w:rsidR="00166A7A">
        <w:rPr>
          <w:szCs w:val="22"/>
        </w:rPr>
        <w:t xml:space="preserve"> patients at year 5 was less than 10,000.</w:t>
      </w:r>
      <w:r w:rsidR="00B850B6" w:rsidRPr="000A016B">
        <w:rPr>
          <w:szCs w:val="22"/>
        </w:rPr>
        <w:t xml:space="preserve"> In line with usual practice for minor submissions, these estimates have not been evaluated. If uptake is higher than assumed then the cost to the PBS is likely to be underestimated. However</w:t>
      </w:r>
      <w:r w:rsidR="00E438B5" w:rsidRPr="000A016B">
        <w:rPr>
          <w:szCs w:val="22"/>
        </w:rPr>
        <w:t>,</w:t>
      </w:r>
      <w:r w:rsidR="00B850B6" w:rsidRPr="000A016B">
        <w:rPr>
          <w:szCs w:val="22"/>
        </w:rPr>
        <w:t xml:space="preserve"> if doctors are already </w:t>
      </w:r>
      <w:r w:rsidR="008E1F30" w:rsidRPr="000A016B">
        <w:rPr>
          <w:szCs w:val="22"/>
        </w:rPr>
        <w:t>prescribing</w:t>
      </w:r>
      <w:r w:rsidR="00B850B6" w:rsidRPr="000A016B">
        <w:rPr>
          <w:szCs w:val="22"/>
        </w:rPr>
        <w:t xml:space="preserve"> pegfilgrastim as primary prophylaxis in this setting, then the cost to the PBS could be overestimated. </w:t>
      </w:r>
      <w:r w:rsidR="00D41051">
        <w:rPr>
          <w:szCs w:val="22"/>
        </w:rPr>
        <w:t>The PBAC considered that this was possible</w:t>
      </w:r>
      <w:r w:rsidR="00E67153">
        <w:rPr>
          <w:szCs w:val="22"/>
        </w:rPr>
        <w:t xml:space="preserve"> but that in light of the additional patient groups identified by MOGA and the committee, that the current utilisation estimates were an underestimate</w:t>
      </w:r>
      <w:r w:rsidR="00D41051">
        <w:rPr>
          <w:szCs w:val="22"/>
        </w:rPr>
        <w:t>.</w:t>
      </w:r>
      <w:r w:rsidR="00E2364C">
        <w:rPr>
          <w:szCs w:val="22"/>
        </w:rPr>
        <w:t xml:space="preserve"> </w:t>
      </w:r>
    </w:p>
    <w:p w:rsidR="000A016B" w:rsidRDefault="000A016B" w:rsidP="000A016B">
      <w:pPr>
        <w:pStyle w:val="ListParagraph"/>
        <w:rPr>
          <w:szCs w:val="22"/>
        </w:rPr>
      </w:pPr>
    </w:p>
    <w:p w:rsidR="00853769" w:rsidRDefault="00853769" w:rsidP="00853769">
      <w:pPr>
        <w:pStyle w:val="Caption"/>
        <w:keepNext/>
        <w:ind w:left="284"/>
      </w:pPr>
      <w:r>
        <w:t xml:space="preserve">Table </w:t>
      </w:r>
      <w:fldSimple w:instr=" SEQ Table \* ARABIC ">
        <w:r>
          <w:rPr>
            <w:noProof/>
          </w:rPr>
          <w:t>3</w:t>
        </w:r>
      </w:fldSimple>
      <w:r w:rsidRPr="00EE18CC">
        <w:t>: Utilisation and financial estimates</w:t>
      </w:r>
    </w:p>
    <w:tbl>
      <w:tblPr>
        <w:tblStyle w:val="TableGrid"/>
        <w:tblW w:w="8331" w:type="dxa"/>
        <w:jc w:val="center"/>
        <w:tblLook w:val="04A0" w:firstRow="1" w:lastRow="0" w:firstColumn="1" w:lastColumn="0" w:noHBand="0" w:noVBand="1"/>
        <w:tblCaption w:val="Utilisation and financial estimates"/>
      </w:tblPr>
      <w:tblGrid>
        <w:gridCol w:w="2689"/>
        <w:gridCol w:w="1113"/>
        <w:gridCol w:w="1113"/>
        <w:gridCol w:w="1148"/>
        <w:gridCol w:w="1134"/>
        <w:gridCol w:w="1134"/>
      </w:tblGrid>
      <w:tr w:rsidR="008C64BB" w:rsidRPr="00FC2251" w:rsidTr="002B5A18">
        <w:trPr>
          <w:tblHeader/>
          <w:jc w:val="center"/>
        </w:trPr>
        <w:tc>
          <w:tcPr>
            <w:tcW w:w="2689" w:type="dxa"/>
            <w:shd w:val="clear" w:color="auto" w:fill="F2F2F2" w:themeFill="background1" w:themeFillShade="F2"/>
            <w:vAlign w:val="center"/>
          </w:tcPr>
          <w:p w:rsidR="008C64BB" w:rsidRPr="00FC2251" w:rsidRDefault="008C64BB" w:rsidP="00D41051">
            <w:pPr>
              <w:keepNext/>
              <w:keepLines/>
              <w:spacing w:before="20" w:afterLines="20" w:after="48"/>
              <w:rPr>
                <w:rFonts w:ascii="Arial Narrow" w:hAnsi="Arial Narrow"/>
                <w:b/>
                <w:sz w:val="20"/>
                <w:szCs w:val="20"/>
                <w:lang w:eastAsia="ja-JP"/>
              </w:rPr>
            </w:pPr>
          </w:p>
        </w:tc>
        <w:tc>
          <w:tcPr>
            <w:tcW w:w="1113" w:type="dxa"/>
            <w:shd w:val="clear" w:color="auto" w:fill="F2F2F2" w:themeFill="background1" w:themeFillShade="F2"/>
            <w:vAlign w:val="center"/>
          </w:tcPr>
          <w:p w:rsidR="008C64BB" w:rsidRPr="00FC2251" w:rsidRDefault="008C64BB" w:rsidP="00D41051">
            <w:pPr>
              <w:keepNext/>
              <w:keepLines/>
              <w:spacing w:before="20" w:afterLines="20" w:after="48"/>
              <w:jc w:val="center"/>
              <w:rPr>
                <w:rFonts w:ascii="Arial Narrow" w:hAnsi="Arial Narrow"/>
                <w:b/>
                <w:sz w:val="20"/>
                <w:szCs w:val="20"/>
                <w:lang w:eastAsia="ja-JP"/>
              </w:rPr>
            </w:pPr>
            <w:r w:rsidRPr="00FC2251">
              <w:rPr>
                <w:rFonts w:ascii="Arial Narrow" w:hAnsi="Arial Narrow"/>
                <w:b/>
                <w:sz w:val="20"/>
                <w:szCs w:val="20"/>
                <w:lang w:eastAsia="ja-JP"/>
              </w:rPr>
              <w:t>2017</w:t>
            </w:r>
          </w:p>
        </w:tc>
        <w:tc>
          <w:tcPr>
            <w:tcW w:w="1113" w:type="dxa"/>
            <w:shd w:val="clear" w:color="auto" w:fill="F2F2F2" w:themeFill="background1" w:themeFillShade="F2"/>
            <w:vAlign w:val="center"/>
          </w:tcPr>
          <w:p w:rsidR="008C64BB" w:rsidRPr="00FC2251" w:rsidRDefault="008C64BB" w:rsidP="00D41051">
            <w:pPr>
              <w:keepNext/>
              <w:keepLines/>
              <w:spacing w:before="20" w:afterLines="20" w:after="48"/>
              <w:jc w:val="center"/>
              <w:rPr>
                <w:rFonts w:ascii="Arial Narrow" w:hAnsi="Arial Narrow"/>
                <w:b/>
                <w:sz w:val="20"/>
                <w:szCs w:val="20"/>
                <w:lang w:eastAsia="ja-JP"/>
              </w:rPr>
            </w:pPr>
            <w:r w:rsidRPr="00FC2251">
              <w:rPr>
                <w:rFonts w:ascii="Arial Narrow" w:hAnsi="Arial Narrow"/>
                <w:b/>
                <w:sz w:val="20"/>
                <w:szCs w:val="20"/>
                <w:lang w:eastAsia="ja-JP"/>
              </w:rPr>
              <w:t>2018</w:t>
            </w:r>
          </w:p>
        </w:tc>
        <w:tc>
          <w:tcPr>
            <w:tcW w:w="1148" w:type="dxa"/>
            <w:shd w:val="clear" w:color="auto" w:fill="F2F2F2" w:themeFill="background1" w:themeFillShade="F2"/>
            <w:vAlign w:val="center"/>
          </w:tcPr>
          <w:p w:rsidR="008C64BB" w:rsidRPr="00FC2251" w:rsidRDefault="008C64BB" w:rsidP="00D41051">
            <w:pPr>
              <w:keepNext/>
              <w:keepLines/>
              <w:spacing w:before="20" w:afterLines="20" w:after="48"/>
              <w:jc w:val="center"/>
              <w:rPr>
                <w:rFonts w:ascii="Arial Narrow" w:hAnsi="Arial Narrow"/>
                <w:b/>
                <w:sz w:val="20"/>
                <w:szCs w:val="20"/>
                <w:lang w:eastAsia="ja-JP"/>
              </w:rPr>
            </w:pPr>
            <w:r w:rsidRPr="00FC2251">
              <w:rPr>
                <w:rFonts w:ascii="Arial Narrow" w:hAnsi="Arial Narrow"/>
                <w:b/>
                <w:sz w:val="20"/>
                <w:szCs w:val="20"/>
                <w:lang w:eastAsia="ja-JP"/>
              </w:rPr>
              <w:t>2019</w:t>
            </w:r>
          </w:p>
        </w:tc>
        <w:tc>
          <w:tcPr>
            <w:tcW w:w="1134" w:type="dxa"/>
            <w:shd w:val="clear" w:color="auto" w:fill="F2F2F2" w:themeFill="background1" w:themeFillShade="F2"/>
            <w:vAlign w:val="center"/>
          </w:tcPr>
          <w:p w:rsidR="008C64BB" w:rsidRPr="00FC2251" w:rsidRDefault="008C64BB" w:rsidP="00D41051">
            <w:pPr>
              <w:keepNext/>
              <w:keepLines/>
              <w:spacing w:before="20" w:afterLines="20" w:after="48"/>
              <w:jc w:val="center"/>
              <w:rPr>
                <w:rFonts w:ascii="Arial Narrow" w:hAnsi="Arial Narrow"/>
                <w:b/>
                <w:sz w:val="20"/>
                <w:szCs w:val="20"/>
                <w:lang w:eastAsia="ja-JP"/>
              </w:rPr>
            </w:pPr>
            <w:r w:rsidRPr="00FC2251">
              <w:rPr>
                <w:rFonts w:ascii="Arial Narrow" w:hAnsi="Arial Narrow"/>
                <w:b/>
                <w:sz w:val="20"/>
                <w:szCs w:val="20"/>
                <w:lang w:eastAsia="ja-JP"/>
              </w:rPr>
              <w:t>2020</w:t>
            </w:r>
          </w:p>
        </w:tc>
        <w:tc>
          <w:tcPr>
            <w:tcW w:w="1134" w:type="dxa"/>
            <w:shd w:val="clear" w:color="auto" w:fill="F2F2F2" w:themeFill="background1" w:themeFillShade="F2"/>
            <w:vAlign w:val="center"/>
          </w:tcPr>
          <w:p w:rsidR="008C64BB" w:rsidRPr="00FC2251" w:rsidRDefault="008C64BB" w:rsidP="00D41051">
            <w:pPr>
              <w:keepNext/>
              <w:keepLines/>
              <w:spacing w:before="20" w:afterLines="20" w:after="48"/>
              <w:jc w:val="center"/>
              <w:rPr>
                <w:rFonts w:ascii="Arial Narrow" w:hAnsi="Arial Narrow"/>
                <w:b/>
                <w:sz w:val="20"/>
                <w:szCs w:val="20"/>
                <w:lang w:eastAsia="ja-JP"/>
              </w:rPr>
            </w:pPr>
            <w:r w:rsidRPr="00FC2251">
              <w:rPr>
                <w:rFonts w:ascii="Arial Narrow" w:hAnsi="Arial Narrow"/>
                <w:b/>
                <w:sz w:val="20"/>
                <w:szCs w:val="20"/>
                <w:lang w:eastAsia="ja-JP"/>
              </w:rPr>
              <w:t>2021</w:t>
            </w:r>
          </w:p>
        </w:tc>
      </w:tr>
      <w:tr w:rsidR="008C64BB" w:rsidRPr="00FC2251" w:rsidTr="00300D34">
        <w:trPr>
          <w:jc w:val="center"/>
        </w:trPr>
        <w:tc>
          <w:tcPr>
            <w:tcW w:w="2689" w:type="dxa"/>
            <w:vAlign w:val="center"/>
          </w:tcPr>
          <w:p w:rsidR="008C64BB" w:rsidRPr="00FC2251" w:rsidRDefault="008C64BB" w:rsidP="00D41051">
            <w:pPr>
              <w:keepNext/>
              <w:keepLines/>
              <w:spacing w:before="20" w:afterLines="20" w:after="48"/>
              <w:rPr>
                <w:rFonts w:ascii="Arial Narrow" w:hAnsi="Arial Narrow"/>
                <w:sz w:val="20"/>
                <w:szCs w:val="20"/>
                <w:lang w:eastAsia="ja-JP"/>
              </w:rPr>
            </w:pPr>
            <w:r w:rsidRPr="00FC2251">
              <w:rPr>
                <w:rFonts w:ascii="Arial Narrow" w:hAnsi="Arial Narrow"/>
                <w:sz w:val="20"/>
                <w:szCs w:val="20"/>
                <w:lang w:eastAsia="ja-JP"/>
              </w:rPr>
              <w:t>No. ESBC of patients treated with TC</w:t>
            </w:r>
          </w:p>
        </w:tc>
        <w:tc>
          <w:tcPr>
            <w:tcW w:w="1113" w:type="dxa"/>
            <w:shd w:val="clear" w:color="auto" w:fill="auto"/>
            <w:vAlign w:val="center"/>
          </w:tcPr>
          <w:p w:rsidR="008C64BB" w:rsidRPr="00853769" w:rsidRDefault="00853769" w:rsidP="00D41051">
            <w:pPr>
              <w:keepNext/>
              <w:keepLines/>
              <w:spacing w:before="20" w:afterLines="20" w:after="48"/>
              <w:jc w:val="center"/>
              <w:rPr>
                <w:rFonts w:ascii="Arial Narrow" w:hAnsi="Arial Narrow"/>
                <w:sz w:val="20"/>
                <w:szCs w:val="20"/>
                <w:highlight w:val="black"/>
                <w:lang w:eastAsia="ja-JP"/>
              </w:rPr>
            </w:pPr>
            <w:r>
              <w:rPr>
                <w:rFonts w:ascii="Arial Narrow" w:hAnsi="Arial Narrow"/>
                <w:noProof/>
                <w:color w:val="000000"/>
                <w:sz w:val="20"/>
                <w:szCs w:val="20"/>
                <w:highlight w:val="black"/>
                <w:lang w:eastAsia="ja-JP"/>
              </w:rPr>
              <w:t>''''''''''''</w:t>
            </w:r>
          </w:p>
        </w:tc>
        <w:tc>
          <w:tcPr>
            <w:tcW w:w="1113" w:type="dxa"/>
            <w:shd w:val="clear" w:color="auto" w:fill="auto"/>
            <w:vAlign w:val="center"/>
          </w:tcPr>
          <w:p w:rsidR="008C64BB" w:rsidRPr="00853769" w:rsidRDefault="00853769" w:rsidP="00D41051">
            <w:pPr>
              <w:keepNext/>
              <w:keepLines/>
              <w:spacing w:before="20" w:afterLines="20" w:after="48"/>
              <w:jc w:val="center"/>
              <w:rPr>
                <w:rFonts w:ascii="Arial Narrow" w:hAnsi="Arial Narrow"/>
                <w:sz w:val="20"/>
                <w:szCs w:val="20"/>
                <w:highlight w:val="black"/>
                <w:lang w:eastAsia="ja-JP"/>
              </w:rPr>
            </w:pPr>
            <w:r>
              <w:rPr>
                <w:rFonts w:ascii="Arial Narrow" w:hAnsi="Arial Narrow"/>
                <w:noProof/>
                <w:color w:val="000000"/>
                <w:sz w:val="20"/>
                <w:szCs w:val="20"/>
                <w:highlight w:val="black"/>
                <w:lang w:eastAsia="ja-JP"/>
              </w:rPr>
              <w:t>'''''''''''''</w:t>
            </w:r>
          </w:p>
        </w:tc>
        <w:tc>
          <w:tcPr>
            <w:tcW w:w="1148" w:type="dxa"/>
            <w:shd w:val="clear" w:color="auto" w:fill="auto"/>
            <w:vAlign w:val="center"/>
          </w:tcPr>
          <w:p w:rsidR="008C64BB" w:rsidRPr="00853769" w:rsidRDefault="00853769" w:rsidP="00D41051">
            <w:pPr>
              <w:keepNext/>
              <w:keepLines/>
              <w:spacing w:before="20" w:afterLines="20" w:after="48"/>
              <w:jc w:val="center"/>
              <w:rPr>
                <w:rFonts w:ascii="Arial Narrow" w:hAnsi="Arial Narrow"/>
                <w:sz w:val="20"/>
                <w:szCs w:val="20"/>
                <w:highlight w:val="black"/>
                <w:lang w:eastAsia="ja-JP"/>
              </w:rPr>
            </w:pPr>
            <w:r>
              <w:rPr>
                <w:rFonts w:ascii="Arial Narrow" w:hAnsi="Arial Narrow"/>
                <w:noProof/>
                <w:color w:val="000000"/>
                <w:sz w:val="20"/>
                <w:szCs w:val="20"/>
                <w:highlight w:val="black"/>
                <w:lang w:eastAsia="ja-JP"/>
              </w:rPr>
              <w:t>''''''''''''</w:t>
            </w:r>
          </w:p>
        </w:tc>
        <w:tc>
          <w:tcPr>
            <w:tcW w:w="1134" w:type="dxa"/>
            <w:shd w:val="clear" w:color="auto" w:fill="auto"/>
            <w:vAlign w:val="center"/>
          </w:tcPr>
          <w:p w:rsidR="008C64BB" w:rsidRPr="00853769" w:rsidRDefault="00853769" w:rsidP="00D41051">
            <w:pPr>
              <w:keepNext/>
              <w:keepLines/>
              <w:spacing w:before="20" w:afterLines="20" w:after="48"/>
              <w:jc w:val="center"/>
              <w:rPr>
                <w:rFonts w:ascii="Arial Narrow" w:hAnsi="Arial Narrow"/>
                <w:sz w:val="20"/>
                <w:szCs w:val="20"/>
                <w:highlight w:val="black"/>
                <w:lang w:eastAsia="ja-JP"/>
              </w:rPr>
            </w:pPr>
            <w:r>
              <w:rPr>
                <w:rFonts w:ascii="Arial Narrow" w:hAnsi="Arial Narrow"/>
                <w:noProof/>
                <w:color w:val="000000"/>
                <w:sz w:val="20"/>
                <w:szCs w:val="20"/>
                <w:highlight w:val="black"/>
                <w:lang w:eastAsia="ja-JP"/>
              </w:rPr>
              <w:t>'''''''''''</w:t>
            </w:r>
          </w:p>
        </w:tc>
        <w:tc>
          <w:tcPr>
            <w:tcW w:w="1134" w:type="dxa"/>
            <w:shd w:val="clear" w:color="auto" w:fill="auto"/>
            <w:vAlign w:val="center"/>
          </w:tcPr>
          <w:p w:rsidR="008C64BB" w:rsidRPr="00853769" w:rsidRDefault="00853769" w:rsidP="00D41051">
            <w:pPr>
              <w:keepNext/>
              <w:keepLines/>
              <w:spacing w:before="20" w:afterLines="20" w:after="48"/>
              <w:jc w:val="center"/>
              <w:rPr>
                <w:rFonts w:ascii="Arial Narrow" w:hAnsi="Arial Narrow"/>
                <w:sz w:val="20"/>
                <w:szCs w:val="20"/>
                <w:highlight w:val="black"/>
                <w:lang w:eastAsia="ja-JP"/>
              </w:rPr>
            </w:pPr>
            <w:r>
              <w:rPr>
                <w:rFonts w:ascii="Arial Narrow" w:hAnsi="Arial Narrow"/>
                <w:noProof/>
                <w:color w:val="000000"/>
                <w:sz w:val="20"/>
                <w:szCs w:val="20"/>
                <w:highlight w:val="black"/>
                <w:lang w:eastAsia="ja-JP"/>
              </w:rPr>
              <w:t>'''''''''''''</w:t>
            </w:r>
          </w:p>
        </w:tc>
      </w:tr>
      <w:tr w:rsidR="008C64BB" w:rsidRPr="00FC2251" w:rsidTr="00300D34">
        <w:trPr>
          <w:jc w:val="center"/>
        </w:trPr>
        <w:tc>
          <w:tcPr>
            <w:tcW w:w="2689" w:type="dxa"/>
            <w:vAlign w:val="center"/>
          </w:tcPr>
          <w:p w:rsidR="008C64BB" w:rsidRPr="00FC2251" w:rsidRDefault="008C64BB" w:rsidP="00D41051">
            <w:pPr>
              <w:keepNext/>
              <w:keepLines/>
              <w:spacing w:before="20" w:afterLines="20" w:after="48"/>
              <w:rPr>
                <w:rFonts w:ascii="Arial Narrow" w:hAnsi="Arial Narrow"/>
                <w:sz w:val="20"/>
                <w:szCs w:val="20"/>
                <w:lang w:eastAsia="ja-JP"/>
              </w:rPr>
            </w:pPr>
            <w:r w:rsidRPr="00FC2251">
              <w:rPr>
                <w:rFonts w:ascii="Arial Narrow" w:hAnsi="Arial Narrow"/>
                <w:sz w:val="20"/>
                <w:szCs w:val="20"/>
                <w:lang w:eastAsia="ja-JP"/>
              </w:rPr>
              <w:t>No. of TC patients currently receiving G-CSF</w:t>
            </w:r>
          </w:p>
        </w:tc>
        <w:tc>
          <w:tcPr>
            <w:tcW w:w="1113" w:type="dxa"/>
            <w:shd w:val="clear" w:color="auto" w:fill="auto"/>
            <w:vAlign w:val="center"/>
          </w:tcPr>
          <w:p w:rsidR="008C64BB" w:rsidRPr="00853769" w:rsidRDefault="00853769" w:rsidP="00D41051">
            <w:pPr>
              <w:keepNext/>
              <w:keepLines/>
              <w:spacing w:before="20" w:afterLines="20" w:after="48"/>
              <w:jc w:val="center"/>
              <w:rPr>
                <w:rFonts w:ascii="Arial Narrow" w:hAnsi="Arial Narrow"/>
                <w:sz w:val="20"/>
                <w:szCs w:val="20"/>
                <w:highlight w:val="black"/>
                <w:lang w:eastAsia="ja-JP"/>
              </w:rPr>
            </w:pPr>
            <w:r>
              <w:rPr>
                <w:rFonts w:ascii="Arial Narrow" w:hAnsi="Arial Narrow"/>
                <w:noProof/>
                <w:color w:val="000000"/>
                <w:sz w:val="20"/>
                <w:szCs w:val="20"/>
                <w:highlight w:val="black"/>
                <w:lang w:eastAsia="ja-JP"/>
              </w:rPr>
              <w:t>'''''''''</w:t>
            </w:r>
          </w:p>
        </w:tc>
        <w:tc>
          <w:tcPr>
            <w:tcW w:w="1113" w:type="dxa"/>
            <w:shd w:val="clear" w:color="auto" w:fill="auto"/>
            <w:vAlign w:val="center"/>
          </w:tcPr>
          <w:p w:rsidR="008C64BB" w:rsidRPr="00853769" w:rsidRDefault="00853769" w:rsidP="00D41051">
            <w:pPr>
              <w:keepNext/>
              <w:keepLines/>
              <w:spacing w:before="20" w:afterLines="20" w:after="48"/>
              <w:jc w:val="center"/>
              <w:rPr>
                <w:rFonts w:ascii="Arial Narrow" w:hAnsi="Arial Narrow"/>
                <w:sz w:val="20"/>
                <w:szCs w:val="20"/>
                <w:highlight w:val="black"/>
                <w:lang w:eastAsia="ja-JP"/>
              </w:rPr>
            </w:pPr>
            <w:r>
              <w:rPr>
                <w:rFonts w:ascii="Arial Narrow" w:hAnsi="Arial Narrow"/>
                <w:noProof/>
                <w:color w:val="000000"/>
                <w:sz w:val="20"/>
                <w:szCs w:val="20"/>
                <w:highlight w:val="black"/>
                <w:lang w:eastAsia="ja-JP"/>
              </w:rPr>
              <w:t>'''''''''</w:t>
            </w:r>
          </w:p>
        </w:tc>
        <w:tc>
          <w:tcPr>
            <w:tcW w:w="1148" w:type="dxa"/>
            <w:shd w:val="clear" w:color="auto" w:fill="auto"/>
            <w:vAlign w:val="center"/>
          </w:tcPr>
          <w:p w:rsidR="008C64BB" w:rsidRPr="00853769" w:rsidRDefault="00853769" w:rsidP="00D41051">
            <w:pPr>
              <w:keepNext/>
              <w:keepLines/>
              <w:spacing w:before="20" w:afterLines="20" w:after="48"/>
              <w:jc w:val="center"/>
              <w:rPr>
                <w:rFonts w:ascii="Arial Narrow" w:hAnsi="Arial Narrow"/>
                <w:sz w:val="20"/>
                <w:szCs w:val="20"/>
                <w:highlight w:val="black"/>
                <w:lang w:eastAsia="ja-JP"/>
              </w:rPr>
            </w:pPr>
            <w:r>
              <w:rPr>
                <w:rFonts w:ascii="Arial Narrow" w:hAnsi="Arial Narrow"/>
                <w:noProof/>
                <w:color w:val="000000"/>
                <w:sz w:val="20"/>
                <w:szCs w:val="20"/>
                <w:highlight w:val="black"/>
                <w:lang w:eastAsia="ja-JP"/>
              </w:rPr>
              <w:t>''''''''''</w:t>
            </w:r>
          </w:p>
        </w:tc>
        <w:tc>
          <w:tcPr>
            <w:tcW w:w="1134" w:type="dxa"/>
            <w:shd w:val="clear" w:color="auto" w:fill="auto"/>
            <w:vAlign w:val="center"/>
          </w:tcPr>
          <w:p w:rsidR="008C64BB" w:rsidRPr="00853769" w:rsidRDefault="00853769" w:rsidP="00D41051">
            <w:pPr>
              <w:keepNext/>
              <w:keepLines/>
              <w:spacing w:before="20" w:afterLines="20" w:after="48"/>
              <w:jc w:val="center"/>
              <w:rPr>
                <w:rFonts w:ascii="Arial Narrow" w:hAnsi="Arial Narrow"/>
                <w:sz w:val="20"/>
                <w:szCs w:val="20"/>
                <w:highlight w:val="black"/>
                <w:lang w:eastAsia="ja-JP"/>
              </w:rPr>
            </w:pPr>
            <w:r>
              <w:rPr>
                <w:rFonts w:ascii="Arial Narrow" w:hAnsi="Arial Narrow"/>
                <w:noProof/>
                <w:color w:val="000000"/>
                <w:sz w:val="20"/>
                <w:szCs w:val="20"/>
                <w:highlight w:val="black"/>
                <w:lang w:eastAsia="ja-JP"/>
              </w:rPr>
              <w:t>'''''''''</w:t>
            </w:r>
          </w:p>
        </w:tc>
        <w:tc>
          <w:tcPr>
            <w:tcW w:w="1134" w:type="dxa"/>
            <w:shd w:val="clear" w:color="auto" w:fill="auto"/>
            <w:vAlign w:val="center"/>
          </w:tcPr>
          <w:p w:rsidR="008C64BB" w:rsidRPr="00853769" w:rsidRDefault="00853769" w:rsidP="00D41051">
            <w:pPr>
              <w:keepNext/>
              <w:keepLines/>
              <w:spacing w:before="20" w:afterLines="20" w:after="48"/>
              <w:jc w:val="center"/>
              <w:rPr>
                <w:rFonts w:ascii="Arial Narrow" w:hAnsi="Arial Narrow"/>
                <w:sz w:val="20"/>
                <w:szCs w:val="20"/>
                <w:highlight w:val="black"/>
                <w:lang w:eastAsia="ja-JP"/>
              </w:rPr>
            </w:pPr>
            <w:r>
              <w:rPr>
                <w:rFonts w:ascii="Arial Narrow" w:hAnsi="Arial Narrow"/>
                <w:noProof/>
                <w:color w:val="000000"/>
                <w:sz w:val="20"/>
                <w:szCs w:val="20"/>
                <w:highlight w:val="black"/>
                <w:lang w:eastAsia="ja-JP"/>
              </w:rPr>
              <w:t>'''''''''</w:t>
            </w:r>
          </w:p>
        </w:tc>
      </w:tr>
      <w:tr w:rsidR="008C64BB" w:rsidRPr="00FC2251" w:rsidTr="00300D34">
        <w:trPr>
          <w:jc w:val="center"/>
        </w:trPr>
        <w:tc>
          <w:tcPr>
            <w:tcW w:w="2689" w:type="dxa"/>
            <w:vAlign w:val="center"/>
          </w:tcPr>
          <w:p w:rsidR="008C64BB" w:rsidRPr="00FC2251" w:rsidRDefault="008C64BB" w:rsidP="00D41051">
            <w:pPr>
              <w:keepNext/>
              <w:keepLines/>
              <w:spacing w:before="20" w:afterLines="20" w:after="48"/>
              <w:rPr>
                <w:rFonts w:ascii="Arial Narrow" w:hAnsi="Arial Narrow"/>
                <w:sz w:val="20"/>
                <w:szCs w:val="20"/>
                <w:lang w:eastAsia="ja-JP"/>
              </w:rPr>
            </w:pPr>
            <w:r w:rsidRPr="00FC2251">
              <w:rPr>
                <w:rFonts w:ascii="Arial Narrow" w:hAnsi="Arial Narrow"/>
                <w:sz w:val="20"/>
                <w:szCs w:val="20"/>
                <w:lang w:eastAsia="ja-JP"/>
              </w:rPr>
              <w:t>Current no. of services of pegfilgrastim</w:t>
            </w:r>
          </w:p>
        </w:tc>
        <w:tc>
          <w:tcPr>
            <w:tcW w:w="1113" w:type="dxa"/>
            <w:shd w:val="clear" w:color="auto" w:fill="auto"/>
            <w:vAlign w:val="center"/>
          </w:tcPr>
          <w:p w:rsidR="008C64BB" w:rsidRPr="00853769" w:rsidRDefault="00853769" w:rsidP="00D41051">
            <w:pPr>
              <w:keepNext/>
              <w:keepLines/>
              <w:spacing w:before="20" w:afterLines="20" w:after="48"/>
              <w:jc w:val="center"/>
              <w:rPr>
                <w:rFonts w:ascii="Arial Narrow" w:hAnsi="Arial Narrow"/>
                <w:sz w:val="20"/>
                <w:szCs w:val="20"/>
                <w:highlight w:val="black"/>
                <w:lang w:eastAsia="ja-JP"/>
              </w:rPr>
            </w:pPr>
            <w:r>
              <w:rPr>
                <w:rFonts w:ascii="Arial Narrow" w:hAnsi="Arial Narrow"/>
                <w:noProof/>
                <w:color w:val="000000"/>
                <w:sz w:val="20"/>
                <w:szCs w:val="20"/>
                <w:highlight w:val="black"/>
                <w:lang w:eastAsia="ja-JP"/>
              </w:rPr>
              <w:t>''''''''''''</w:t>
            </w:r>
          </w:p>
        </w:tc>
        <w:tc>
          <w:tcPr>
            <w:tcW w:w="1113" w:type="dxa"/>
            <w:shd w:val="clear" w:color="auto" w:fill="auto"/>
            <w:vAlign w:val="center"/>
          </w:tcPr>
          <w:p w:rsidR="008C64BB" w:rsidRPr="00853769" w:rsidRDefault="00853769" w:rsidP="00D41051">
            <w:pPr>
              <w:keepNext/>
              <w:keepLines/>
              <w:spacing w:before="20" w:afterLines="20" w:after="48"/>
              <w:jc w:val="center"/>
              <w:rPr>
                <w:rFonts w:ascii="Arial Narrow" w:hAnsi="Arial Narrow"/>
                <w:sz w:val="20"/>
                <w:szCs w:val="20"/>
                <w:highlight w:val="black"/>
                <w:lang w:eastAsia="ja-JP"/>
              </w:rPr>
            </w:pPr>
            <w:r>
              <w:rPr>
                <w:rFonts w:ascii="Arial Narrow" w:hAnsi="Arial Narrow"/>
                <w:noProof/>
                <w:color w:val="000000"/>
                <w:sz w:val="20"/>
                <w:szCs w:val="20"/>
                <w:highlight w:val="black"/>
                <w:lang w:eastAsia="ja-JP"/>
              </w:rPr>
              <w:t>'''''''''''''</w:t>
            </w:r>
          </w:p>
        </w:tc>
        <w:tc>
          <w:tcPr>
            <w:tcW w:w="1148" w:type="dxa"/>
            <w:shd w:val="clear" w:color="auto" w:fill="auto"/>
            <w:vAlign w:val="center"/>
          </w:tcPr>
          <w:p w:rsidR="008C64BB" w:rsidRPr="00853769" w:rsidRDefault="00853769" w:rsidP="00D41051">
            <w:pPr>
              <w:keepNext/>
              <w:keepLines/>
              <w:spacing w:before="20" w:afterLines="20" w:after="48"/>
              <w:jc w:val="center"/>
              <w:rPr>
                <w:rFonts w:ascii="Arial Narrow" w:hAnsi="Arial Narrow"/>
                <w:sz w:val="20"/>
                <w:szCs w:val="20"/>
                <w:highlight w:val="black"/>
                <w:lang w:eastAsia="ja-JP"/>
              </w:rPr>
            </w:pPr>
            <w:r>
              <w:rPr>
                <w:rFonts w:ascii="Arial Narrow" w:hAnsi="Arial Narrow"/>
                <w:noProof/>
                <w:color w:val="000000"/>
                <w:sz w:val="20"/>
                <w:szCs w:val="20"/>
                <w:highlight w:val="black"/>
                <w:lang w:eastAsia="ja-JP"/>
              </w:rPr>
              <w:t>''''''''''''</w:t>
            </w:r>
          </w:p>
        </w:tc>
        <w:tc>
          <w:tcPr>
            <w:tcW w:w="1134" w:type="dxa"/>
            <w:shd w:val="clear" w:color="auto" w:fill="auto"/>
            <w:vAlign w:val="center"/>
          </w:tcPr>
          <w:p w:rsidR="008C64BB" w:rsidRPr="00853769" w:rsidRDefault="00853769" w:rsidP="00D41051">
            <w:pPr>
              <w:keepNext/>
              <w:keepLines/>
              <w:spacing w:before="20" w:afterLines="20" w:after="48"/>
              <w:jc w:val="center"/>
              <w:rPr>
                <w:rFonts w:ascii="Arial Narrow" w:hAnsi="Arial Narrow"/>
                <w:sz w:val="20"/>
                <w:szCs w:val="20"/>
                <w:highlight w:val="black"/>
                <w:lang w:eastAsia="ja-JP"/>
              </w:rPr>
            </w:pPr>
            <w:r>
              <w:rPr>
                <w:rFonts w:ascii="Arial Narrow" w:hAnsi="Arial Narrow"/>
                <w:noProof/>
                <w:color w:val="000000"/>
                <w:sz w:val="20"/>
                <w:szCs w:val="20"/>
                <w:highlight w:val="black"/>
                <w:lang w:eastAsia="ja-JP"/>
              </w:rPr>
              <w:t>''''''''''''</w:t>
            </w:r>
          </w:p>
        </w:tc>
        <w:tc>
          <w:tcPr>
            <w:tcW w:w="1134" w:type="dxa"/>
            <w:shd w:val="clear" w:color="auto" w:fill="auto"/>
            <w:vAlign w:val="center"/>
          </w:tcPr>
          <w:p w:rsidR="008C64BB" w:rsidRPr="00853769" w:rsidRDefault="00853769" w:rsidP="00D41051">
            <w:pPr>
              <w:keepNext/>
              <w:keepLines/>
              <w:spacing w:before="20" w:afterLines="20" w:after="48"/>
              <w:jc w:val="center"/>
              <w:rPr>
                <w:rFonts w:ascii="Arial Narrow" w:hAnsi="Arial Narrow"/>
                <w:sz w:val="20"/>
                <w:szCs w:val="20"/>
                <w:highlight w:val="black"/>
                <w:lang w:eastAsia="ja-JP"/>
              </w:rPr>
            </w:pPr>
            <w:r>
              <w:rPr>
                <w:rFonts w:ascii="Arial Narrow" w:hAnsi="Arial Narrow"/>
                <w:noProof/>
                <w:color w:val="000000"/>
                <w:sz w:val="20"/>
                <w:szCs w:val="20"/>
                <w:highlight w:val="black"/>
                <w:lang w:eastAsia="ja-JP"/>
              </w:rPr>
              <w:t>'''''''''''</w:t>
            </w:r>
          </w:p>
        </w:tc>
      </w:tr>
      <w:tr w:rsidR="008C64BB" w:rsidRPr="00FC2251" w:rsidTr="00300D34">
        <w:trPr>
          <w:jc w:val="center"/>
        </w:trPr>
        <w:tc>
          <w:tcPr>
            <w:tcW w:w="2689" w:type="dxa"/>
            <w:vAlign w:val="center"/>
          </w:tcPr>
          <w:p w:rsidR="008C64BB" w:rsidRPr="00FC2251" w:rsidRDefault="008C64BB" w:rsidP="008C64BB">
            <w:pPr>
              <w:keepNext/>
              <w:keepLines/>
              <w:spacing w:before="20" w:afterLines="20" w:after="48"/>
              <w:rPr>
                <w:rFonts w:ascii="Arial Narrow" w:hAnsi="Arial Narrow"/>
                <w:sz w:val="20"/>
                <w:szCs w:val="20"/>
                <w:vertAlign w:val="superscript"/>
                <w:lang w:eastAsia="ja-JP"/>
              </w:rPr>
            </w:pPr>
            <w:r w:rsidRPr="00FC2251">
              <w:rPr>
                <w:rFonts w:ascii="Arial Narrow" w:hAnsi="Arial Narrow"/>
                <w:sz w:val="20"/>
                <w:szCs w:val="20"/>
                <w:lang w:eastAsia="ja-JP"/>
              </w:rPr>
              <w:t xml:space="preserve">Current expenditure </w:t>
            </w:r>
          </w:p>
        </w:tc>
        <w:tc>
          <w:tcPr>
            <w:tcW w:w="1113" w:type="dxa"/>
            <w:shd w:val="clear" w:color="auto" w:fill="auto"/>
            <w:vAlign w:val="center"/>
          </w:tcPr>
          <w:p w:rsidR="008C64BB" w:rsidRPr="00FC2251" w:rsidRDefault="008C64BB" w:rsidP="00D41051">
            <w:pPr>
              <w:keepNext/>
              <w:keepLines/>
              <w:spacing w:before="20" w:afterLines="20" w:after="48"/>
              <w:jc w:val="center"/>
              <w:rPr>
                <w:rFonts w:ascii="Arial Narrow" w:hAnsi="Arial Narrow"/>
                <w:sz w:val="20"/>
                <w:szCs w:val="20"/>
                <w:lang w:eastAsia="ja-JP"/>
              </w:rPr>
            </w:pPr>
            <w:r w:rsidRPr="00FC2251">
              <w:rPr>
                <w:rFonts w:ascii="Arial Narrow" w:hAnsi="Arial Narrow"/>
                <w:sz w:val="20"/>
                <w:szCs w:val="20"/>
                <w:lang w:eastAsia="ja-JP"/>
              </w:rPr>
              <w:t>$</w:t>
            </w:r>
            <w:r w:rsidR="00853769">
              <w:rPr>
                <w:rFonts w:ascii="Arial Narrow" w:hAnsi="Arial Narrow"/>
                <w:noProof/>
                <w:color w:val="000000"/>
                <w:sz w:val="20"/>
                <w:szCs w:val="20"/>
                <w:highlight w:val="black"/>
                <w:lang w:eastAsia="ja-JP"/>
              </w:rPr>
              <w:t>''''''''''''''''''''''</w:t>
            </w:r>
          </w:p>
        </w:tc>
        <w:tc>
          <w:tcPr>
            <w:tcW w:w="1113" w:type="dxa"/>
            <w:shd w:val="clear" w:color="auto" w:fill="auto"/>
            <w:vAlign w:val="center"/>
          </w:tcPr>
          <w:p w:rsidR="008C64BB" w:rsidRPr="00FC2251" w:rsidRDefault="008C64BB" w:rsidP="00D41051">
            <w:pPr>
              <w:keepNext/>
              <w:keepLines/>
              <w:spacing w:before="20" w:afterLines="20" w:after="48"/>
              <w:jc w:val="center"/>
              <w:rPr>
                <w:rFonts w:ascii="Arial Narrow" w:hAnsi="Arial Narrow"/>
                <w:sz w:val="20"/>
                <w:szCs w:val="20"/>
                <w:lang w:eastAsia="ja-JP"/>
              </w:rPr>
            </w:pPr>
            <w:r w:rsidRPr="00FC2251">
              <w:rPr>
                <w:rFonts w:ascii="Arial Narrow" w:hAnsi="Arial Narrow"/>
                <w:sz w:val="20"/>
                <w:szCs w:val="20"/>
                <w:lang w:eastAsia="ja-JP"/>
              </w:rPr>
              <w:t>$</w:t>
            </w:r>
            <w:r w:rsidR="00853769">
              <w:rPr>
                <w:rFonts w:ascii="Arial Narrow" w:hAnsi="Arial Narrow"/>
                <w:noProof/>
                <w:color w:val="000000"/>
                <w:sz w:val="20"/>
                <w:szCs w:val="20"/>
                <w:highlight w:val="black"/>
                <w:lang w:eastAsia="ja-JP"/>
              </w:rPr>
              <w:t>''''''''''''''''''''''''</w:t>
            </w:r>
          </w:p>
        </w:tc>
        <w:tc>
          <w:tcPr>
            <w:tcW w:w="1148" w:type="dxa"/>
            <w:shd w:val="clear" w:color="auto" w:fill="auto"/>
            <w:vAlign w:val="center"/>
          </w:tcPr>
          <w:p w:rsidR="008C64BB" w:rsidRPr="00FC2251" w:rsidRDefault="008C64BB" w:rsidP="00D41051">
            <w:pPr>
              <w:keepNext/>
              <w:keepLines/>
              <w:spacing w:before="20" w:afterLines="20" w:after="48"/>
              <w:jc w:val="center"/>
              <w:rPr>
                <w:rFonts w:ascii="Arial Narrow" w:hAnsi="Arial Narrow"/>
                <w:sz w:val="20"/>
                <w:szCs w:val="20"/>
                <w:lang w:eastAsia="ja-JP"/>
              </w:rPr>
            </w:pPr>
            <w:r w:rsidRPr="00FC2251">
              <w:rPr>
                <w:rFonts w:ascii="Arial Narrow" w:hAnsi="Arial Narrow"/>
                <w:sz w:val="20"/>
                <w:szCs w:val="20"/>
                <w:lang w:eastAsia="ja-JP"/>
              </w:rPr>
              <w:t>$</w:t>
            </w:r>
            <w:r w:rsidR="00853769">
              <w:rPr>
                <w:rFonts w:ascii="Arial Narrow" w:hAnsi="Arial Narrow"/>
                <w:noProof/>
                <w:color w:val="000000"/>
                <w:sz w:val="20"/>
                <w:szCs w:val="20"/>
                <w:highlight w:val="black"/>
                <w:lang w:eastAsia="ja-JP"/>
              </w:rPr>
              <w:t>'''''''''''''''''''''''''</w:t>
            </w:r>
          </w:p>
        </w:tc>
        <w:tc>
          <w:tcPr>
            <w:tcW w:w="1134" w:type="dxa"/>
            <w:shd w:val="clear" w:color="auto" w:fill="auto"/>
            <w:vAlign w:val="center"/>
          </w:tcPr>
          <w:p w:rsidR="008C64BB" w:rsidRPr="00FC2251" w:rsidRDefault="008C64BB" w:rsidP="00D41051">
            <w:pPr>
              <w:keepNext/>
              <w:keepLines/>
              <w:spacing w:before="20" w:afterLines="20" w:after="48"/>
              <w:jc w:val="center"/>
              <w:rPr>
                <w:rFonts w:ascii="Arial Narrow" w:hAnsi="Arial Narrow"/>
                <w:sz w:val="20"/>
                <w:szCs w:val="20"/>
                <w:lang w:eastAsia="ja-JP"/>
              </w:rPr>
            </w:pPr>
            <w:r w:rsidRPr="00FC2251">
              <w:rPr>
                <w:rFonts w:ascii="Arial Narrow" w:hAnsi="Arial Narrow"/>
                <w:sz w:val="20"/>
                <w:szCs w:val="20"/>
                <w:lang w:eastAsia="ja-JP"/>
              </w:rPr>
              <w:t>$</w:t>
            </w:r>
            <w:r w:rsidR="00853769">
              <w:rPr>
                <w:rFonts w:ascii="Arial Narrow" w:hAnsi="Arial Narrow"/>
                <w:noProof/>
                <w:color w:val="000000"/>
                <w:sz w:val="20"/>
                <w:szCs w:val="20"/>
                <w:highlight w:val="black"/>
                <w:lang w:eastAsia="ja-JP"/>
              </w:rPr>
              <w:t>'''''''''''''''''''''''</w:t>
            </w:r>
          </w:p>
        </w:tc>
        <w:tc>
          <w:tcPr>
            <w:tcW w:w="1134" w:type="dxa"/>
            <w:shd w:val="clear" w:color="auto" w:fill="auto"/>
            <w:vAlign w:val="center"/>
          </w:tcPr>
          <w:p w:rsidR="008C64BB" w:rsidRPr="00FC2251" w:rsidRDefault="008C64BB" w:rsidP="00D41051">
            <w:pPr>
              <w:keepNext/>
              <w:keepLines/>
              <w:spacing w:before="20" w:afterLines="20" w:after="48"/>
              <w:jc w:val="center"/>
              <w:rPr>
                <w:rFonts w:ascii="Arial Narrow" w:hAnsi="Arial Narrow"/>
                <w:sz w:val="20"/>
                <w:szCs w:val="20"/>
                <w:lang w:eastAsia="ja-JP"/>
              </w:rPr>
            </w:pPr>
            <w:r w:rsidRPr="00FC2251">
              <w:rPr>
                <w:rFonts w:ascii="Arial Narrow" w:hAnsi="Arial Narrow"/>
                <w:sz w:val="20"/>
                <w:szCs w:val="20"/>
                <w:lang w:eastAsia="ja-JP"/>
              </w:rPr>
              <w:t>$</w:t>
            </w:r>
            <w:r w:rsidR="00853769">
              <w:rPr>
                <w:rFonts w:ascii="Arial Narrow" w:hAnsi="Arial Narrow"/>
                <w:noProof/>
                <w:color w:val="000000"/>
                <w:sz w:val="20"/>
                <w:szCs w:val="20"/>
                <w:highlight w:val="black"/>
                <w:lang w:eastAsia="ja-JP"/>
              </w:rPr>
              <w:t>''''''''''''''''''''''</w:t>
            </w:r>
          </w:p>
        </w:tc>
      </w:tr>
      <w:tr w:rsidR="008C64BB" w:rsidRPr="00FC2251" w:rsidTr="00300D34">
        <w:trPr>
          <w:jc w:val="center"/>
        </w:trPr>
        <w:tc>
          <w:tcPr>
            <w:tcW w:w="2689" w:type="dxa"/>
            <w:vAlign w:val="center"/>
          </w:tcPr>
          <w:p w:rsidR="008C64BB" w:rsidRPr="00FC2251" w:rsidRDefault="008C64BB" w:rsidP="00D41051">
            <w:pPr>
              <w:keepNext/>
              <w:keepLines/>
              <w:spacing w:before="20" w:afterLines="20" w:after="48"/>
              <w:rPr>
                <w:rFonts w:ascii="Arial Narrow" w:hAnsi="Arial Narrow"/>
                <w:sz w:val="20"/>
                <w:szCs w:val="20"/>
                <w:lang w:eastAsia="ja-JP"/>
              </w:rPr>
            </w:pPr>
            <w:r w:rsidRPr="00FC2251">
              <w:rPr>
                <w:rFonts w:ascii="Arial Narrow" w:hAnsi="Arial Narrow"/>
                <w:sz w:val="20"/>
                <w:szCs w:val="20"/>
                <w:lang w:eastAsia="ja-JP"/>
              </w:rPr>
              <w:t>No. of TC patients estimated to receive pegfilgrastim under new listing</w:t>
            </w:r>
          </w:p>
        </w:tc>
        <w:tc>
          <w:tcPr>
            <w:tcW w:w="1113" w:type="dxa"/>
            <w:shd w:val="clear" w:color="auto" w:fill="auto"/>
            <w:vAlign w:val="center"/>
          </w:tcPr>
          <w:p w:rsidR="008C64BB" w:rsidRPr="00853769" w:rsidRDefault="00853769" w:rsidP="00D41051">
            <w:pPr>
              <w:keepNext/>
              <w:keepLines/>
              <w:spacing w:before="20" w:afterLines="20" w:after="48"/>
              <w:jc w:val="center"/>
              <w:rPr>
                <w:rFonts w:ascii="Arial Narrow" w:hAnsi="Arial Narrow"/>
                <w:sz w:val="20"/>
                <w:szCs w:val="20"/>
                <w:highlight w:val="black"/>
                <w:lang w:eastAsia="ja-JP"/>
              </w:rPr>
            </w:pPr>
            <w:r>
              <w:rPr>
                <w:rFonts w:ascii="Arial Narrow" w:hAnsi="Arial Narrow"/>
                <w:noProof/>
                <w:color w:val="000000"/>
                <w:sz w:val="20"/>
                <w:szCs w:val="20"/>
                <w:highlight w:val="black"/>
                <w:lang w:eastAsia="ja-JP"/>
              </w:rPr>
              <w:t>'''''''''''</w:t>
            </w:r>
          </w:p>
        </w:tc>
        <w:tc>
          <w:tcPr>
            <w:tcW w:w="1113" w:type="dxa"/>
            <w:shd w:val="clear" w:color="auto" w:fill="auto"/>
            <w:vAlign w:val="center"/>
          </w:tcPr>
          <w:p w:rsidR="008C64BB" w:rsidRPr="00853769" w:rsidRDefault="00853769" w:rsidP="00D41051">
            <w:pPr>
              <w:keepNext/>
              <w:keepLines/>
              <w:spacing w:before="20" w:afterLines="20" w:after="48"/>
              <w:jc w:val="center"/>
              <w:rPr>
                <w:rFonts w:ascii="Arial Narrow" w:hAnsi="Arial Narrow"/>
                <w:sz w:val="20"/>
                <w:szCs w:val="20"/>
                <w:highlight w:val="black"/>
                <w:lang w:eastAsia="ja-JP"/>
              </w:rPr>
            </w:pPr>
            <w:r>
              <w:rPr>
                <w:rFonts w:ascii="Arial Narrow" w:hAnsi="Arial Narrow"/>
                <w:noProof/>
                <w:color w:val="000000"/>
                <w:sz w:val="20"/>
                <w:szCs w:val="20"/>
                <w:highlight w:val="black"/>
                <w:lang w:eastAsia="ja-JP"/>
              </w:rPr>
              <w:t>'''''''''''''</w:t>
            </w:r>
          </w:p>
        </w:tc>
        <w:tc>
          <w:tcPr>
            <w:tcW w:w="1148" w:type="dxa"/>
            <w:shd w:val="clear" w:color="auto" w:fill="auto"/>
            <w:vAlign w:val="center"/>
          </w:tcPr>
          <w:p w:rsidR="008C64BB" w:rsidRPr="00853769" w:rsidRDefault="00853769" w:rsidP="00D41051">
            <w:pPr>
              <w:keepNext/>
              <w:keepLines/>
              <w:spacing w:before="20" w:afterLines="20" w:after="48"/>
              <w:jc w:val="center"/>
              <w:rPr>
                <w:rFonts w:ascii="Arial Narrow" w:hAnsi="Arial Narrow"/>
                <w:sz w:val="20"/>
                <w:szCs w:val="20"/>
                <w:highlight w:val="black"/>
                <w:lang w:eastAsia="ja-JP"/>
              </w:rPr>
            </w:pPr>
            <w:r>
              <w:rPr>
                <w:rFonts w:ascii="Arial Narrow" w:hAnsi="Arial Narrow"/>
                <w:noProof/>
                <w:color w:val="000000"/>
                <w:sz w:val="20"/>
                <w:szCs w:val="20"/>
                <w:highlight w:val="black"/>
                <w:lang w:eastAsia="ja-JP"/>
              </w:rPr>
              <w:t>'''''''''''</w:t>
            </w:r>
          </w:p>
        </w:tc>
        <w:tc>
          <w:tcPr>
            <w:tcW w:w="1134" w:type="dxa"/>
            <w:shd w:val="clear" w:color="auto" w:fill="auto"/>
            <w:vAlign w:val="center"/>
          </w:tcPr>
          <w:p w:rsidR="008C64BB" w:rsidRPr="00853769" w:rsidRDefault="00853769" w:rsidP="00D41051">
            <w:pPr>
              <w:keepNext/>
              <w:keepLines/>
              <w:spacing w:before="20" w:afterLines="20" w:after="48"/>
              <w:jc w:val="center"/>
              <w:rPr>
                <w:rFonts w:ascii="Arial Narrow" w:hAnsi="Arial Narrow"/>
                <w:sz w:val="20"/>
                <w:szCs w:val="20"/>
                <w:highlight w:val="black"/>
                <w:lang w:eastAsia="ja-JP"/>
              </w:rPr>
            </w:pPr>
            <w:r>
              <w:rPr>
                <w:rFonts w:ascii="Arial Narrow" w:hAnsi="Arial Narrow"/>
                <w:noProof/>
                <w:color w:val="000000"/>
                <w:sz w:val="20"/>
                <w:szCs w:val="20"/>
                <w:highlight w:val="black"/>
                <w:lang w:eastAsia="ja-JP"/>
              </w:rPr>
              <w:t>''''''''''''</w:t>
            </w:r>
          </w:p>
        </w:tc>
        <w:tc>
          <w:tcPr>
            <w:tcW w:w="1134" w:type="dxa"/>
            <w:shd w:val="clear" w:color="auto" w:fill="auto"/>
            <w:vAlign w:val="center"/>
          </w:tcPr>
          <w:p w:rsidR="008C64BB" w:rsidRPr="00853769" w:rsidRDefault="00853769" w:rsidP="00D41051">
            <w:pPr>
              <w:keepNext/>
              <w:keepLines/>
              <w:spacing w:before="20" w:afterLines="20" w:after="48"/>
              <w:jc w:val="center"/>
              <w:rPr>
                <w:rFonts w:ascii="Arial Narrow" w:hAnsi="Arial Narrow"/>
                <w:sz w:val="20"/>
                <w:szCs w:val="20"/>
                <w:highlight w:val="black"/>
                <w:lang w:eastAsia="ja-JP"/>
              </w:rPr>
            </w:pPr>
            <w:r>
              <w:rPr>
                <w:rFonts w:ascii="Arial Narrow" w:hAnsi="Arial Narrow"/>
                <w:noProof/>
                <w:color w:val="000000"/>
                <w:sz w:val="20"/>
                <w:szCs w:val="20"/>
                <w:highlight w:val="black"/>
                <w:lang w:eastAsia="ja-JP"/>
              </w:rPr>
              <w:t>''''''''''''</w:t>
            </w:r>
          </w:p>
        </w:tc>
      </w:tr>
      <w:tr w:rsidR="008C64BB" w:rsidRPr="00FC2251" w:rsidTr="00300D34">
        <w:trPr>
          <w:jc w:val="center"/>
        </w:trPr>
        <w:tc>
          <w:tcPr>
            <w:tcW w:w="2689" w:type="dxa"/>
            <w:vAlign w:val="center"/>
          </w:tcPr>
          <w:p w:rsidR="008C64BB" w:rsidRPr="00FC2251" w:rsidRDefault="008C64BB" w:rsidP="00D41051">
            <w:pPr>
              <w:keepNext/>
              <w:keepLines/>
              <w:spacing w:before="20" w:afterLines="20" w:after="48"/>
              <w:rPr>
                <w:rFonts w:ascii="Arial Narrow" w:hAnsi="Arial Narrow"/>
                <w:sz w:val="20"/>
                <w:szCs w:val="20"/>
                <w:lang w:eastAsia="ja-JP"/>
              </w:rPr>
            </w:pPr>
            <w:r w:rsidRPr="00FC2251">
              <w:rPr>
                <w:rFonts w:ascii="Arial Narrow" w:hAnsi="Arial Narrow"/>
                <w:sz w:val="20"/>
                <w:szCs w:val="20"/>
                <w:lang w:eastAsia="ja-JP"/>
              </w:rPr>
              <w:t>Estimated no. of services of pegfilgrastim</w:t>
            </w:r>
          </w:p>
        </w:tc>
        <w:tc>
          <w:tcPr>
            <w:tcW w:w="1113" w:type="dxa"/>
            <w:shd w:val="clear" w:color="auto" w:fill="auto"/>
            <w:vAlign w:val="center"/>
          </w:tcPr>
          <w:p w:rsidR="008C64BB" w:rsidRPr="00853769" w:rsidRDefault="00853769" w:rsidP="00D41051">
            <w:pPr>
              <w:keepNext/>
              <w:keepLines/>
              <w:spacing w:before="20" w:afterLines="20" w:after="48"/>
              <w:jc w:val="center"/>
              <w:rPr>
                <w:rFonts w:ascii="Arial Narrow" w:hAnsi="Arial Narrow"/>
                <w:sz w:val="20"/>
                <w:szCs w:val="20"/>
                <w:highlight w:val="black"/>
                <w:lang w:eastAsia="ja-JP"/>
              </w:rPr>
            </w:pPr>
            <w:r>
              <w:rPr>
                <w:rFonts w:ascii="Arial Narrow" w:hAnsi="Arial Narrow"/>
                <w:noProof/>
                <w:color w:val="000000"/>
                <w:sz w:val="20"/>
                <w:szCs w:val="20"/>
                <w:highlight w:val="black"/>
                <w:lang w:eastAsia="ja-JP"/>
              </w:rPr>
              <w:t>'''''''''''</w:t>
            </w:r>
          </w:p>
        </w:tc>
        <w:tc>
          <w:tcPr>
            <w:tcW w:w="1113" w:type="dxa"/>
            <w:shd w:val="clear" w:color="auto" w:fill="auto"/>
            <w:vAlign w:val="center"/>
          </w:tcPr>
          <w:p w:rsidR="008C64BB" w:rsidRPr="00853769" w:rsidRDefault="00853769" w:rsidP="00D41051">
            <w:pPr>
              <w:keepNext/>
              <w:keepLines/>
              <w:spacing w:before="20" w:afterLines="20" w:after="48"/>
              <w:jc w:val="center"/>
              <w:rPr>
                <w:rFonts w:ascii="Arial Narrow" w:hAnsi="Arial Narrow"/>
                <w:sz w:val="20"/>
                <w:szCs w:val="20"/>
                <w:highlight w:val="black"/>
                <w:lang w:eastAsia="ja-JP"/>
              </w:rPr>
            </w:pPr>
            <w:r>
              <w:rPr>
                <w:rFonts w:ascii="Arial Narrow" w:hAnsi="Arial Narrow"/>
                <w:noProof/>
                <w:color w:val="000000"/>
                <w:sz w:val="20"/>
                <w:szCs w:val="20"/>
                <w:highlight w:val="black"/>
                <w:lang w:eastAsia="ja-JP"/>
              </w:rPr>
              <w:t>''''''''''''</w:t>
            </w:r>
          </w:p>
        </w:tc>
        <w:tc>
          <w:tcPr>
            <w:tcW w:w="1148" w:type="dxa"/>
            <w:shd w:val="clear" w:color="auto" w:fill="auto"/>
            <w:vAlign w:val="center"/>
          </w:tcPr>
          <w:p w:rsidR="008C64BB" w:rsidRPr="00853769" w:rsidRDefault="00853769" w:rsidP="00D41051">
            <w:pPr>
              <w:keepNext/>
              <w:keepLines/>
              <w:spacing w:before="20" w:afterLines="20" w:after="48"/>
              <w:jc w:val="center"/>
              <w:rPr>
                <w:rFonts w:ascii="Arial Narrow" w:hAnsi="Arial Narrow"/>
                <w:sz w:val="20"/>
                <w:szCs w:val="20"/>
                <w:highlight w:val="black"/>
                <w:lang w:eastAsia="ja-JP"/>
              </w:rPr>
            </w:pPr>
            <w:r>
              <w:rPr>
                <w:rFonts w:ascii="Arial Narrow" w:hAnsi="Arial Narrow"/>
                <w:noProof/>
                <w:color w:val="000000"/>
                <w:sz w:val="20"/>
                <w:szCs w:val="20"/>
                <w:highlight w:val="black"/>
                <w:lang w:eastAsia="ja-JP"/>
              </w:rPr>
              <w:t>''''''''''</w:t>
            </w:r>
          </w:p>
        </w:tc>
        <w:tc>
          <w:tcPr>
            <w:tcW w:w="1134" w:type="dxa"/>
            <w:shd w:val="clear" w:color="auto" w:fill="auto"/>
            <w:vAlign w:val="center"/>
          </w:tcPr>
          <w:p w:rsidR="008C64BB" w:rsidRPr="00853769" w:rsidRDefault="00853769" w:rsidP="00D41051">
            <w:pPr>
              <w:keepNext/>
              <w:keepLines/>
              <w:spacing w:before="20" w:afterLines="20" w:after="48"/>
              <w:jc w:val="center"/>
              <w:rPr>
                <w:rFonts w:ascii="Arial Narrow" w:hAnsi="Arial Narrow"/>
                <w:sz w:val="20"/>
                <w:szCs w:val="20"/>
                <w:highlight w:val="black"/>
                <w:lang w:eastAsia="ja-JP"/>
              </w:rPr>
            </w:pPr>
            <w:r>
              <w:rPr>
                <w:rFonts w:ascii="Arial Narrow" w:hAnsi="Arial Narrow"/>
                <w:noProof/>
                <w:color w:val="000000"/>
                <w:sz w:val="20"/>
                <w:szCs w:val="20"/>
                <w:highlight w:val="black"/>
                <w:lang w:eastAsia="ja-JP"/>
              </w:rPr>
              <w:t>''''''''''''</w:t>
            </w:r>
          </w:p>
        </w:tc>
        <w:tc>
          <w:tcPr>
            <w:tcW w:w="1134" w:type="dxa"/>
            <w:shd w:val="clear" w:color="auto" w:fill="auto"/>
            <w:vAlign w:val="center"/>
          </w:tcPr>
          <w:p w:rsidR="008C64BB" w:rsidRPr="00853769" w:rsidRDefault="00853769" w:rsidP="00D41051">
            <w:pPr>
              <w:keepNext/>
              <w:keepLines/>
              <w:spacing w:before="20" w:afterLines="20" w:after="48"/>
              <w:jc w:val="center"/>
              <w:rPr>
                <w:rFonts w:ascii="Arial Narrow" w:hAnsi="Arial Narrow"/>
                <w:sz w:val="20"/>
                <w:szCs w:val="20"/>
                <w:highlight w:val="black"/>
                <w:lang w:eastAsia="ja-JP"/>
              </w:rPr>
            </w:pPr>
            <w:r>
              <w:rPr>
                <w:rFonts w:ascii="Arial Narrow" w:hAnsi="Arial Narrow"/>
                <w:noProof/>
                <w:color w:val="000000"/>
                <w:sz w:val="20"/>
                <w:szCs w:val="20"/>
                <w:highlight w:val="black"/>
                <w:lang w:eastAsia="ja-JP"/>
              </w:rPr>
              <w:t>'''''''''''''</w:t>
            </w:r>
          </w:p>
        </w:tc>
      </w:tr>
      <w:tr w:rsidR="008C64BB" w:rsidRPr="00FC2251" w:rsidTr="00300D34">
        <w:trPr>
          <w:jc w:val="center"/>
        </w:trPr>
        <w:tc>
          <w:tcPr>
            <w:tcW w:w="2689" w:type="dxa"/>
            <w:vAlign w:val="center"/>
          </w:tcPr>
          <w:p w:rsidR="008C64BB" w:rsidRPr="00FC2251" w:rsidRDefault="008C64BB" w:rsidP="00D41051">
            <w:pPr>
              <w:keepNext/>
              <w:keepLines/>
              <w:spacing w:before="20" w:afterLines="20" w:after="48"/>
              <w:rPr>
                <w:rFonts w:ascii="Arial Narrow" w:hAnsi="Arial Narrow"/>
                <w:sz w:val="20"/>
                <w:szCs w:val="20"/>
                <w:lang w:eastAsia="ja-JP"/>
              </w:rPr>
            </w:pPr>
            <w:r w:rsidRPr="00FC2251">
              <w:rPr>
                <w:rFonts w:ascii="Arial Narrow" w:hAnsi="Arial Narrow"/>
                <w:sz w:val="20"/>
                <w:szCs w:val="20"/>
                <w:lang w:eastAsia="ja-JP"/>
              </w:rPr>
              <w:t>Predicted cost of pegfilgrastim use under new listing</w:t>
            </w:r>
          </w:p>
        </w:tc>
        <w:tc>
          <w:tcPr>
            <w:tcW w:w="1113" w:type="dxa"/>
            <w:shd w:val="clear" w:color="auto" w:fill="auto"/>
            <w:vAlign w:val="center"/>
          </w:tcPr>
          <w:p w:rsidR="008C64BB" w:rsidRPr="00FC2251" w:rsidRDefault="008C64BB" w:rsidP="00D41051">
            <w:pPr>
              <w:keepNext/>
              <w:keepLines/>
              <w:spacing w:before="20" w:afterLines="20" w:after="48"/>
              <w:jc w:val="center"/>
              <w:rPr>
                <w:rFonts w:ascii="Arial Narrow" w:hAnsi="Arial Narrow"/>
                <w:sz w:val="20"/>
                <w:szCs w:val="20"/>
                <w:lang w:eastAsia="ja-JP"/>
              </w:rPr>
            </w:pPr>
            <w:r w:rsidRPr="00FC2251">
              <w:rPr>
                <w:rFonts w:ascii="Arial Narrow" w:hAnsi="Arial Narrow"/>
                <w:sz w:val="20"/>
                <w:szCs w:val="20"/>
                <w:lang w:eastAsia="ja-JP"/>
              </w:rPr>
              <w:t>$</w:t>
            </w:r>
            <w:r w:rsidR="00853769">
              <w:rPr>
                <w:rFonts w:ascii="Arial Narrow" w:hAnsi="Arial Narrow"/>
                <w:noProof/>
                <w:color w:val="000000"/>
                <w:sz w:val="20"/>
                <w:szCs w:val="20"/>
                <w:highlight w:val="black"/>
                <w:lang w:eastAsia="ja-JP"/>
              </w:rPr>
              <w:t>''''''''''''''''''''''''</w:t>
            </w:r>
          </w:p>
        </w:tc>
        <w:tc>
          <w:tcPr>
            <w:tcW w:w="1113" w:type="dxa"/>
            <w:shd w:val="clear" w:color="auto" w:fill="auto"/>
            <w:vAlign w:val="center"/>
          </w:tcPr>
          <w:p w:rsidR="008C64BB" w:rsidRPr="00FC2251" w:rsidRDefault="008C64BB" w:rsidP="00D41051">
            <w:pPr>
              <w:keepNext/>
              <w:keepLines/>
              <w:spacing w:before="20" w:afterLines="20" w:after="48"/>
              <w:jc w:val="center"/>
              <w:rPr>
                <w:rFonts w:ascii="Arial Narrow" w:hAnsi="Arial Narrow"/>
                <w:sz w:val="20"/>
                <w:szCs w:val="20"/>
                <w:lang w:eastAsia="ja-JP"/>
              </w:rPr>
            </w:pPr>
            <w:r w:rsidRPr="00FC2251">
              <w:rPr>
                <w:rFonts w:ascii="Arial Narrow" w:hAnsi="Arial Narrow"/>
                <w:sz w:val="20"/>
                <w:szCs w:val="20"/>
                <w:lang w:eastAsia="ja-JP"/>
              </w:rPr>
              <w:t>$</w:t>
            </w:r>
            <w:r w:rsidR="00853769">
              <w:rPr>
                <w:rFonts w:ascii="Arial Narrow" w:hAnsi="Arial Narrow"/>
                <w:noProof/>
                <w:color w:val="000000"/>
                <w:sz w:val="20"/>
                <w:szCs w:val="20"/>
                <w:highlight w:val="black"/>
                <w:lang w:eastAsia="ja-JP"/>
              </w:rPr>
              <w:t>'''''''''''''''''''''''''</w:t>
            </w:r>
          </w:p>
        </w:tc>
        <w:tc>
          <w:tcPr>
            <w:tcW w:w="1148" w:type="dxa"/>
            <w:shd w:val="clear" w:color="auto" w:fill="auto"/>
            <w:vAlign w:val="center"/>
          </w:tcPr>
          <w:p w:rsidR="008C64BB" w:rsidRPr="00FC2251" w:rsidRDefault="008C64BB" w:rsidP="00D41051">
            <w:pPr>
              <w:keepNext/>
              <w:keepLines/>
              <w:spacing w:before="20" w:afterLines="20" w:after="48"/>
              <w:jc w:val="center"/>
              <w:rPr>
                <w:rFonts w:ascii="Arial Narrow" w:hAnsi="Arial Narrow"/>
                <w:sz w:val="20"/>
                <w:szCs w:val="20"/>
                <w:lang w:eastAsia="ja-JP"/>
              </w:rPr>
            </w:pPr>
            <w:r w:rsidRPr="00FC2251">
              <w:rPr>
                <w:rFonts w:ascii="Arial Narrow" w:hAnsi="Arial Narrow"/>
                <w:sz w:val="20"/>
                <w:szCs w:val="20"/>
                <w:lang w:eastAsia="ja-JP"/>
              </w:rPr>
              <w:t>$</w:t>
            </w:r>
            <w:r w:rsidR="00853769">
              <w:rPr>
                <w:rFonts w:ascii="Arial Narrow" w:hAnsi="Arial Narrow"/>
                <w:noProof/>
                <w:color w:val="000000"/>
                <w:sz w:val="20"/>
                <w:szCs w:val="20"/>
                <w:highlight w:val="black"/>
                <w:lang w:eastAsia="ja-JP"/>
              </w:rPr>
              <w:t>''''''''''''''''''''''</w:t>
            </w:r>
          </w:p>
        </w:tc>
        <w:tc>
          <w:tcPr>
            <w:tcW w:w="1134" w:type="dxa"/>
            <w:shd w:val="clear" w:color="auto" w:fill="auto"/>
            <w:vAlign w:val="center"/>
          </w:tcPr>
          <w:p w:rsidR="008C64BB" w:rsidRPr="00FC2251" w:rsidRDefault="008C64BB" w:rsidP="00D41051">
            <w:pPr>
              <w:keepNext/>
              <w:keepLines/>
              <w:spacing w:before="20" w:afterLines="20" w:after="48"/>
              <w:jc w:val="center"/>
              <w:rPr>
                <w:rFonts w:ascii="Arial Narrow" w:hAnsi="Arial Narrow"/>
                <w:sz w:val="20"/>
                <w:szCs w:val="20"/>
                <w:lang w:eastAsia="ja-JP"/>
              </w:rPr>
            </w:pPr>
            <w:r w:rsidRPr="00FC2251">
              <w:rPr>
                <w:rFonts w:ascii="Arial Narrow" w:hAnsi="Arial Narrow"/>
                <w:sz w:val="20"/>
                <w:szCs w:val="20"/>
                <w:lang w:eastAsia="ja-JP"/>
              </w:rPr>
              <w:t>$</w:t>
            </w:r>
            <w:r w:rsidR="00853769">
              <w:rPr>
                <w:rFonts w:ascii="Arial Narrow" w:hAnsi="Arial Narrow"/>
                <w:noProof/>
                <w:color w:val="000000"/>
                <w:sz w:val="20"/>
                <w:szCs w:val="20"/>
                <w:highlight w:val="black"/>
                <w:lang w:eastAsia="ja-JP"/>
              </w:rPr>
              <w:t>'''''''''''''''''''''''''</w:t>
            </w:r>
          </w:p>
        </w:tc>
        <w:tc>
          <w:tcPr>
            <w:tcW w:w="1134" w:type="dxa"/>
            <w:shd w:val="clear" w:color="auto" w:fill="auto"/>
            <w:vAlign w:val="center"/>
          </w:tcPr>
          <w:p w:rsidR="008C64BB" w:rsidRPr="00FC2251" w:rsidRDefault="008C64BB" w:rsidP="00D41051">
            <w:pPr>
              <w:keepNext/>
              <w:keepLines/>
              <w:spacing w:before="20" w:afterLines="20" w:after="48"/>
              <w:jc w:val="center"/>
              <w:rPr>
                <w:rFonts w:ascii="Arial Narrow" w:hAnsi="Arial Narrow"/>
                <w:sz w:val="20"/>
                <w:szCs w:val="20"/>
                <w:lang w:eastAsia="ja-JP"/>
              </w:rPr>
            </w:pPr>
            <w:r w:rsidRPr="00FC2251">
              <w:rPr>
                <w:rFonts w:ascii="Arial Narrow" w:hAnsi="Arial Narrow"/>
                <w:sz w:val="20"/>
                <w:szCs w:val="20"/>
                <w:lang w:eastAsia="ja-JP"/>
              </w:rPr>
              <w:t>$</w:t>
            </w:r>
            <w:r w:rsidR="00853769">
              <w:rPr>
                <w:rFonts w:ascii="Arial Narrow" w:hAnsi="Arial Narrow"/>
                <w:noProof/>
                <w:color w:val="000000"/>
                <w:sz w:val="20"/>
                <w:szCs w:val="20"/>
                <w:highlight w:val="black"/>
                <w:lang w:eastAsia="ja-JP"/>
              </w:rPr>
              <w:t>'''''''''''''''''''''''''</w:t>
            </w:r>
          </w:p>
        </w:tc>
      </w:tr>
      <w:tr w:rsidR="008C64BB" w:rsidRPr="00FC2251" w:rsidTr="00300D34">
        <w:trPr>
          <w:trHeight w:val="512"/>
          <w:jc w:val="center"/>
        </w:trPr>
        <w:tc>
          <w:tcPr>
            <w:tcW w:w="2689" w:type="dxa"/>
            <w:vAlign w:val="center"/>
          </w:tcPr>
          <w:p w:rsidR="008C64BB" w:rsidRPr="00FC2251" w:rsidRDefault="008C64BB" w:rsidP="00D41051">
            <w:pPr>
              <w:keepNext/>
              <w:keepLines/>
              <w:spacing w:before="20" w:afterLines="20" w:after="48"/>
              <w:rPr>
                <w:rFonts w:ascii="Arial Narrow" w:hAnsi="Arial Narrow"/>
                <w:sz w:val="20"/>
                <w:szCs w:val="20"/>
                <w:vertAlign w:val="superscript"/>
                <w:lang w:eastAsia="ja-JP"/>
              </w:rPr>
            </w:pPr>
            <w:r w:rsidRPr="00FC2251">
              <w:rPr>
                <w:rFonts w:ascii="Arial Narrow" w:hAnsi="Arial Narrow"/>
                <w:sz w:val="20"/>
                <w:szCs w:val="20"/>
                <w:lang w:eastAsia="ja-JP"/>
              </w:rPr>
              <w:t>Incremental cost to PBS/RPBS</w:t>
            </w:r>
          </w:p>
        </w:tc>
        <w:tc>
          <w:tcPr>
            <w:tcW w:w="1113" w:type="dxa"/>
            <w:shd w:val="clear" w:color="auto" w:fill="auto"/>
            <w:vAlign w:val="center"/>
          </w:tcPr>
          <w:p w:rsidR="008C64BB" w:rsidRPr="00FC2251" w:rsidRDefault="008C64BB" w:rsidP="00D41051">
            <w:pPr>
              <w:keepNext/>
              <w:keepLines/>
              <w:spacing w:before="20" w:afterLines="20" w:after="48"/>
              <w:jc w:val="center"/>
              <w:rPr>
                <w:rFonts w:ascii="Arial Narrow" w:hAnsi="Arial Narrow"/>
                <w:b/>
                <w:sz w:val="20"/>
                <w:szCs w:val="20"/>
                <w:lang w:eastAsia="ja-JP"/>
              </w:rPr>
            </w:pPr>
            <w:r w:rsidRPr="00FC2251">
              <w:rPr>
                <w:rFonts w:ascii="Arial Narrow" w:hAnsi="Arial Narrow"/>
                <w:b/>
                <w:sz w:val="20"/>
                <w:szCs w:val="20"/>
                <w:lang w:eastAsia="ja-JP"/>
              </w:rPr>
              <w:t>$</w:t>
            </w:r>
            <w:r w:rsidR="00853769">
              <w:rPr>
                <w:rFonts w:ascii="Arial Narrow" w:hAnsi="Arial Narrow"/>
                <w:b/>
                <w:noProof/>
                <w:color w:val="000000"/>
                <w:sz w:val="20"/>
                <w:szCs w:val="20"/>
                <w:highlight w:val="black"/>
                <w:lang w:eastAsia="ja-JP"/>
              </w:rPr>
              <w:t>''''''''''''''''''</w:t>
            </w:r>
          </w:p>
        </w:tc>
        <w:tc>
          <w:tcPr>
            <w:tcW w:w="1113" w:type="dxa"/>
            <w:shd w:val="clear" w:color="auto" w:fill="auto"/>
            <w:vAlign w:val="center"/>
          </w:tcPr>
          <w:p w:rsidR="008C64BB" w:rsidRPr="00FC2251" w:rsidRDefault="008C64BB" w:rsidP="00D41051">
            <w:pPr>
              <w:keepNext/>
              <w:keepLines/>
              <w:spacing w:before="20" w:afterLines="20" w:after="48"/>
              <w:jc w:val="center"/>
              <w:rPr>
                <w:rFonts w:ascii="Arial Narrow" w:hAnsi="Arial Narrow"/>
                <w:b/>
                <w:sz w:val="20"/>
                <w:szCs w:val="20"/>
                <w:lang w:eastAsia="ja-JP"/>
              </w:rPr>
            </w:pPr>
            <w:r w:rsidRPr="00FC2251">
              <w:rPr>
                <w:rFonts w:ascii="Arial Narrow" w:hAnsi="Arial Narrow"/>
                <w:b/>
                <w:sz w:val="20"/>
                <w:szCs w:val="20"/>
                <w:lang w:eastAsia="ja-JP"/>
              </w:rPr>
              <w:t>$</w:t>
            </w:r>
            <w:r w:rsidR="00853769">
              <w:rPr>
                <w:rFonts w:ascii="Arial Narrow" w:hAnsi="Arial Narrow"/>
                <w:b/>
                <w:noProof/>
                <w:color w:val="000000"/>
                <w:sz w:val="20"/>
                <w:szCs w:val="20"/>
                <w:highlight w:val="black"/>
                <w:lang w:eastAsia="ja-JP"/>
              </w:rPr>
              <w:t>''''''''''''''''''</w:t>
            </w:r>
          </w:p>
        </w:tc>
        <w:tc>
          <w:tcPr>
            <w:tcW w:w="1148" w:type="dxa"/>
            <w:shd w:val="clear" w:color="auto" w:fill="auto"/>
            <w:vAlign w:val="center"/>
          </w:tcPr>
          <w:p w:rsidR="008C64BB" w:rsidRPr="00FC2251" w:rsidRDefault="008C64BB" w:rsidP="00D41051">
            <w:pPr>
              <w:keepNext/>
              <w:keepLines/>
              <w:spacing w:before="20" w:afterLines="20" w:after="48"/>
              <w:jc w:val="center"/>
              <w:rPr>
                <w:rFonts w:ascii="Arial Narrow" w:hAnsi="Arial Narrow"/>
                <w:b/>
                <w:sz w:val="20"/>
                <w:szCs w:val="20"/>
                <w:lang w:eastAsia="ja-JP"/>
              </w:rPr>
            </w:pPr>
            <w:r w:rsidRPr="00FC2251">
              <w:rPr>
                <w:rFonts w:ascii="Arial Narrow" w:hAnsi="Arial Narrow"/>
                <w:b/>
                <w:sz w:val="20"/>
                <w:szCs w:val="20"/>
                <w:lang w:eastAsia="ja-JP"/>
              </w:rPr>
              <w:t>$</w:t>
            </w:r>
            <w:r w:rsidR="00853769">
              <w:rPr>
                <w:rFonts w:ascii="Arial Narrow" w:hAnsi="Arial Narrow"/>
                <w:b/>
                <w:noProof/>
                <w:color w:val="000000"/>
                <w:sz w:val="20"/>
                <w:szCs w:val="20"/>
                <w:highlight w:val="black"/>
                <w:lang w:eastAsia="ja-JP"/>
              </w:rPr>
              <w:t>''''''''''''''''''</w:t>
            </w:r>
          </w:p>
        </w:tc>
        <w:tc>
          <w:tcPr>
            <w:tcW w:w="1134" w:type="dxa"/>
            <w:shd w:val="clear" w:color="auto" w:fill="auto"/>
            <w:vAlign w:val="center"/>
          </w:tcPr>
          <w:p w:rsidR="008C64BB" w:rsidRPr="00FC2251" w:rsidRDefault="008C64BB" w:rsidP="00D41051">
            <w:pPr>
              <w:keepNext/>
              <w:keepLines/>
              <w:spacing w:before="20" w:afterLines="20" w:after="48"/>
              <w:jc w:val="center"/>
              <w:rPr>
                <w:rFonts w:ascii="Arial Narrow" w:hAnsi="Arial Narrow"/>
                <w:b/>
                <w:sz w:val="20"/>
                <w:szCs w:val="20"/>
                <w:lang w:eastAsia="ja-JP"/>
              </w:rPr>
            </w:pPr>
            <w:r w:rsidRPr="00FC2251">
              <w:rPr>
                <w:rFonts w:ascii="Arial Narrow" w:hAnsi="Arial Narrow"/>
                <w:b/>
                <w:sz w:val="20"/>
                <w:szCs w:val="20"/>
                <w:lang w:eastAsia="ja-JP"/>
              </w:rPr>
              <w:t>$</w:t>
            </w:r>
            <w:r w:rsidR="00853769">
              <w:rPr>
                <w:rFonts w:ascii="Arial Narrow" w:hAnsi="Arial Narrow"/>
                <w:b/>
                <w:noProof/>
                <w:color w:val="000000"/>
                <w:sz w:val="20"/>
                <w:szCs w:val="20"/>
                <w:highlight w:val="black"/>
                <w:lang w:eastAsia="ja-JP"/>
              </w:rPr>
              <w:t>''''''''''''''''''''</w:t>
            </w:r>
          </w:p>
        </w:tc>
        <w:tc>
          <w:tcPr>
            <w:tcW w:w="1134" w:type="dxa"/>
            <w:shd w:val="clear" w:color="auto" w:fill="auto"/>
            <w:vAlign w:val="center"/>
          </w:tcPr>
          <w:p w:rsidR="008C64BB" w:rsidRPr="00FC2251" w:rsidRDefault="008C64BB" w:rsidP="00D41051">
            <w:pPr>
              <w:keepNext/>
              <w:keepLines/>
              <w:spacing w:before="20" w:afterLines="20" w:after="48"/>
              <w:jc w:val="center"/>
              <w:rPr>
                <w:rFonts w:ascii="Arial Narrow" w:hAnsi="Arial Narrow"/>
                <w:b/>
                <w:sz w:val="20"/>
                <w:szCs w:val="20"/>
                <w:lang w:eastAsia="ja-JP"/>
              </w:rPr>
            </w:pPr>
            <w:r w:rsidRPr="00FC2251">
              <w:rPr>
                <w:rFonts w:ascii="Arial Narrow" w:hAnsi="Arial Narrow"/>
                <w:b/>
                <w:sz w:val="20"/>
                <w:szCs w:val="20"/>
                <w:lang w:eastAsia="ja-JP"/>
              </w:rPr>
              <w:t>$</w:t>
            </w:r>
            <w:r w:rsidR="00853769">
              <w:rPr>
                <w:rFonts w:ascii="Arial Narrow" w:hAnsi="Arial Narrow"/>
                <w:b/>
                <w:noProof/>
                <w:color w:val="000000"/>
                <w:sz w:val="20"/>
                <w:szCs w:val="20"/>
                <w:highlight w:val="black"/>
                <w:lang w:eastAsia="ja-JP"/>
              </w:rPr>
              <w:t>'''''''''''''''''''</w:t>
            </w:r>
          </w:p>
        </w:tc>
      </w:tr>
    </w:tbl>
    <w:p w:rsidR="008C64BB" w:rsidRDefault="00300D34" w:rsidP="008C64BB">
      <w:pPr>
        <w:pStyle w:val="ListParagraph"/>
        <w:rPr>
          <w:i/>
          <w:sz w:val="16"/>
          <w:szCs w:val="22"/>
        </w:rPr>
      </w:pPr>
      <w:r w:rsidRPr="00300D34">
        <w:rPr>
          <w:i/>
          <w:sz w:val="16"/>
          <w:szCs w:val="22"/>
        </w:rPr>
        <w:t>Source: adapted from the submission</w:t>
      </w:r>
    </w:p>
    <w:p w:rsidR="00050421" w:rsidRPr="00300D34" w:rsidRDefault="00050421" w:rsidP="008C64BB">
      <w:pPr>
        <w:pStyle w:val="ListParagraph"/>
        <w:rPr>
          <w:i/>
          <w:sz w:val="16"/>
          <w:szCs w:val="22"/>
        </w:rPr>
      </w:pPr>
    </w:p>
    <w:p w:rsidR="003872CF" w:rsidRPr="008F159D" w:rsidRDefault="00050421" w:rsidP="003D7C73">
      <w:pPr>
        <w:pStyle w:val="ListParagraph"/>
        <w:ind w:left="0"/>
        <w:rPr>
          <w:i/>
          <w:szCs w:val="22"/>
        </w:rPr>
      </w:pPr>
      <w:r w:rsidRPr="008F159D">
        <w:rPr>
          <w:i/>
          <w:szCs w:val="22"/>
        </w:rPr>
        <w:t>For more detail on PBAC’s view, see section 7 “PBAC outcome.”</w:t>
      </w:r>
    </w:p>
    <w:p w:rsidR="003872CF" w:rsidRPr="00F36CCB" w:rsidRDefault="003872CF" w:rsidP="00D84934">
      <w:pPr>
        <w:jc w:val="both"/>
        <w:rPr>
          <w:rFonts w:asciiTheme="minorHAnsi" w:hAnsiTheme="minorHAnsi"/>
          <w:sz w:val="22"/>
          <w:szCs w:val="22"/>
        </w:rPr>
      </w:pPr>
    </w:p>
    <w:p w:rsidR="00A72CAD" w:rsidRDefault="00A72CAD" w:rsidP="00A66CFF">
      <w:pPr>
        <w:pStyle w:val="PBACHeading1"/>
      </w:pPr>
      <w:r>
        <w:t xml:space="preserve">PBAC Outcome </w:t>
      </w:r>
    </w:p>
    <w:p w:rsidR="00A66CFF" w:rsidRPr="00A72CAD" w:rsidRDefault="00A66CFF" w:rsidP="008F159D"/>
    <w:p w:rsidR="00A72CAD" w:rsidRDefault="00A72CAD" w:rsidP="003D7C73">
      <w:pPr>
        <w:pStyle w:val="ListParagraph"/>
        <w:numPr>
          <w:ilvl w:val="1"/>
          <w:numId w:val="14"/>
        </w:numPr>
        <w:rPr>
          <w:szCs w:val="22"/>
        </w:rPr>
      </w:pPr>
      <w:r w:rsidRPr="003D7C73">
        <w:rPr>
          <w:szCs w:val="22"/>
        </w:rPr>
        <w:t xml:space="preserve">The PBAC </w:t>
      </w:r>
      <w:r w:rsidR="00DA38E5" w:rsidRPr="003D7C73">
        <w:rPr>
          <w:szCs w:val="22"/>
        </w:rPr>
        <w:t>deferred making a decision regarding</w:t>
      </w:r>
      <w:r w:rsidRPr="003D7C73">
        <w:rPr>
          <w:szCs w:val="22"/>
        </w:rPr>
        <w:t xml:space="preserve"> </w:t>
      </w:r>
      <w:r w:rsidR="00E67153">
        <w:rPr>
          <w:szCs w:val="22"/>
        </w:rPr>
        <w:t xml:space="preserve">extending </w:t>
      </w:r>
      <w:r w:rsidRPr="003D7C73">
        <w:rPr>
          <w:szCs w:val="22"/>
        </w:rPr>
        <w:t xml:space="preserve">the listing of </w:t>
      </w:r>
      <w:r w:rsidR="00D41051" w:rsidRPr="003D7C73">
        <w:rPr>
          <w:szCs w:val="22"/>
        </w:rPr>
        <w:t>pegfilgrastim</w:t>
      </w:r>
      <w:r w:rsidR="00E67153">
        <w:rPr>
          <w:szCs w:val="22"/>
        </w:rPr>
        <w:t>,</w:t>
      </w:r>
      <w:r w:rsidR="00DA38E5" w:rsidRPr="003D7C73">
        <w:rPr>
          <w:szCs w:val="22"/>
        </w:rPr>
        <w:t xml:space="preserve"> to allow further negotiation between the sponsor and the Department on the proposed restriction</w:t>
      </w:r>
      <w:r w:rsidR="00E2364C" w:rsidRPr="003D7C73">
        <w:rPr>
          <w:szCs w:val="22"/>
        </w:rPr>
        <w:t xml:space="preserve"> and impact on the PBS</w:t>
      </w:r>
      <w:r w:rsidRPr="003D7C73">
        <w:rPr>
          <w:szCs w:val="22"/>
        </w:rPr>
        <w:t>.</w:t>
      </w:r>
    </w:p>
    <w:p w:rsidR="003D7C73" w:rsidRPr="003D7C73" w:rsidRDefault="003D7C73" w:rsidP="003D7C73">
      <w:pPr>
        <w:pStyle w:val="ListParagraph"/>
        <w:rPr>
          <w:szCs w:val="22"/>
        </w:rPr>
      </w:pPr>
    </w:p>
    <w:p w:rsidR="00DA38E5" w:rsidRDefault="00DA38E5" w:rsidP="003D7C73">
      <w:pPr>
        <w:pStyle w:val="ListParagraph"/>
        <w:numPr>
          <w:ilvl w:val="1"/>
          <w:numId w:val="14"/>
        </w:numPr>
        <w:rPr>
          <w:szCs w:val="22"/>
        </w:rPr>
      </w:pPr>
      <w:r w:rsidRPr="003D7C73">
        <w:rPr>
          <w:szCs w:val="22"/>
        </w:rPr>
        <w:t xml:space="preserve">The PBAC </w:t>
      </w:r>
      <w:r w:rsidR="00E2364C" w:rsidRPr="003D7C73">
        <w:rPr>
          <w:szCs w:val="22"/>
        </w:rPr>
        <w:t>noted</w:t>
      </w:r>
      <w:r w:rsidRPr="003D7C73">
        <w:rPr>
          <w:szCs w:val="22"/>
        </w:rPr>
        <w:t xml:space="preserve"> that the evidence presented </w:t>
      </w:r>
      <w:r w:rsidR="00E2364C" w:rsidRPr="003D7C73">
        <w:rPr>
          <w:szCs w:val="22"/>
        </w:rPr>
        <w:t xml:space="preserve">in the submission </w:t>
      </w:r>
      <w:r w:rsidRPr="003D7C73">
        <w:rPr>
          <w:szCs w:val="22"/>
        </w:rPr>
        <w:t xml:space="preserve">indicated that the rate of febrile neutropenia in patients treated with cyclophosphamide and </w:t>
      </w:r>
      <w:r w:rsidR="00E2364C" w:rsidRPr="003D7C73">
        <w:rPr>
          <w:szCs w:val="22"/>
        </w:rPr>
        <w:t xml:space="preserve">docetaxel </w:t>
      </w:r>
      <w:r w:rsidR="00327D33">
        <w:rPr>
          <w:szCs w:val="22"/>
        </w:rPr>
        <w:t>may be</w:t>
      </w:r>
      <w:r w:rsidR="00327D33" w:rsidRPr="003D7C73">
        <w:rPr>
          <w:szCs w:val="22"/>
        </w:rPr>
        <w:t xml:space="preserve"> </w:t>
      </w:r>
      <w:r w:rsidR="00E2364C" w:rsidRPr="003D7C73">
        <w:rPr>
          <w:szCs w:val="22"/>
        </w:rPr>
        <w:t>higher in practice than the pivotal trial indicated at the time of previous consideration.</w:t>
      </w:r>
    </w:p>
    <w:p w:rsidR="003D7C73" w:rsidRPr="003D7C73" w:rsidRDefault="003D7C73" w:rsidP="003D7C73">
      <w:pPr>
        <w:pStyle w:val="ListParagraph"/>
        <w:ind w:left="0"/>
        <w:rPr>
          <w:szCs w:val="22"/>
        </w:rPr>
      </w:pPr>
    </w:p>
    <w:p w:rsidR="00E2364C" w:rsidRDefault="00E2364C" w:rsidP="003D7C73">
      <w:pPr>
        <w:pStyle w:val="ListParagraph"/>
        <w:numPr>
          <w:ilvl w:val="1"/>
          <w:numId w:val="14"/>
        </w:numPr>
        <w:rPr>
          <w:szCs w:val="22"/>
        </w:rPr>
      </w:pPr>
      <w:r w:rsidRPr="003D7C73">
        <w:rPr>
          <w:szCs w:val="22"/>
        </w:rPr>
        <w:t xml:space="preserve">The PBAC also noted advice from </w:t>
      </w:r>
      <w:r w:rsidR="00327D33">
        <w:rPr>
          <w:szCs w:val="22"/>
        </w:rPr>
        <w:t>the Medical Oncology Group of Australia</w:t>
      </w:r>
      <w:r w:rsidR="00327D33" w:rsidRPr="003D7C73">
        <w:rPr>
          <w:szCs w:val="22"/>
        </w:rPr>
        <w:t xml:space="preserve"> </w:t>
      </w:r>
      <w:r w:rsidRPr="003D7C73">
        <w:rPr>
          <w:szCs w:val="22"/>
        </w:rPr>
        <w:t xml:space="preserve">that primary prophylaxis would be beneficial for patients undergoing dose dense chemotherapy with an anthracycline and cyclophosphamide. In addition, the PBAC considered that there would be other treatment regimens where primary prophylaxis </w:t>
      </w:r>
      <w:r w:rsidR="00327D33">
        <w:rPr>
          <w:szCs w:val="22"/>
        </w:rPr>
        <w:t>may</w:t>
      </w:r>
      <w:r w:rsidR="00327D33" w:rsidRPr="003D7C73">
        <w:rPr>
          <w:szCs w:val="22"/>
        </w:rPr>
        <w:t xml:space="preserve"> </w:t>
      </w:r>
      <w:r w:rsidRPr="003D7C73">
        <w:rPr>
          <w:szCs w:val="22"/>
        </w:rPr>
        <w:t>be beneficial. Further, the PBAC was of the view that the need for, and effectiveness of</w:t>
      </w:r>
      <w:r w:rsidR="00E67153">
        <w:rPr>
          <w:szCs w:val="22"/>
        </w:rPr>
        <w:t>,</w:t>
      </w:r>
      <w:r w:rsidRPr="003D7C73">
        <w:rPr>
          <w:szCs w:val="22"/>
        </w:rPr>
        <w:t xml:space="preserve"> primary prophylaxis was more dependent on the type of chemotherapy than the tumour type.</w:t>
      </w:r>
    </w:p>
    <w:p w:rsidR="003D7C73" w:rsidRPr="003D7C73" w:rsidRDefault="003D7C73" w:rsidP="003D7C73">
      <w:pPr>
        <w:pStyle w:val="ListParagraph"/>
        <w:ind w:left="0"/>
        <w:rPr>
          <w:szCs w:val="22"/>
        </w:rPr>
      </w:pPr>
    </w:p>
    <w:p w:rsidR="00E2364C" w:rsidRDefault="00E2364C" w:rsidP="003D7C73">
      <w:pPr>
        <w:pStyle w:val="ListParagraph"/>
        <w:numPr>
          <w:ilvl w:val="1"/>
          <w:numId w:val="14"/>
        </w:numPr>
        <w:rPr>
          <w:szCs w:val="22"/>
        </w:rPr>
      </w:pPr>
      <w:r w:rsidRPr="003D7C73">
        <w:rPr>
          <w:szCs w:val="22"/>
        </w:rPr>
        <w:t xml:space="preserve">The PBAC noted that the economic </w:t>
      </w:r>
      <w:r w:rsidR="00B619F0">
        <w:rPr>
          <w:szCs w:val="22"/>
        </w:rPr>
        <w:t xml:space="preserve">model </w:t>
      </w:r>
      <w:r w:rsidRPr="003D7C73">
        <w:rPr>
          <w:szCs w:val="22"/>
        </w:rPr>
        <w:t>presented in the submission and additional sensitivity analyses indicated that the use of pegfilgrastim for primary prophylaxis met the threshold previously defined by the PBAC as cost</w:t>
      </w:r>
      <w:r w:rsidRPr="003D7C73">
        <w:rPr>
          <w:szCs w:val="22"/>
        </w:rPr>
        <w:noBreakHyphen/>
        <w:t>effective in this setting</w:t>
      </w:r>
      <w:r w:rsidR="00B619F0">
        <w:rPr>
          <w:szCs w:val="22"/>
        </w:rPr>
        <w:t>, however that the inputs were optimistic in favour of primary prophylaxis</w:t>
      </w:r>
      <w:r w:rsidRPr="003D7C73">
        <w:rPr>
          <w:szCs w:val="22"/>
        </w:rPr>
        <w:t xml:space="preserve">. The PBAC noted that the cost-effectiveness of primary prophylaxis was </w:t>
      </w:r>
      <w:r w:rsidR="00ED6BFB">
        <w:rPr>
          <w:szCs w:val="22"/>
        </w:rPr>
        <w:t xml:space="preserve">highly </w:t>
      </w:r>
      <w:r w:rsidRPr="003D7C73">
        <w:rPr>
          <w:szCs w:val="22"/>
        </w:rPr>
        <w:t xml:space="preserve">dependent on the </w:t>
      </w:r>
      <w:r w:rsidR="00E67153">
        <w:rPr>
          <w:szCs w:val="22"/>
        </w:rPr>
        <w:t xml:space="preserve">assumed </w:t>
      </w:r>
      <w:r w:rsidRPr="003D7C73">
        <w:rPr>
          <w:szCs w:val="22"/>
        </w:rPr>
        <w:t>rates of febrile neutropenia in the untreat</w:t>
      </w:r>
      <w:r w:rsidR="003D7C73">
        <w:rPr>
          <w:szCs w:val="22"/>
        </w:rPr>
        <w:t>ed population</w:t>
      </w:r>
      <w:r w:rsidR="00B619F0">
        <w:rPr>
          <w:szCs w:val="22"/>
        </w:rPr>
        <w:t>, and the drug cost</w:t>
      </w:r>
      <w:r w:rsidR="00B619F0" w:rsidRPr="00AC2FFC">
        <w:rPr>
          <w:szCs w:val="22"/>
        </w:rPr>
        <w:t xml:space="preserve">. The PBAC considered </w:t>
      </w:r>
      <w:r w:rsidR="003D7C73" w:rsidRPr="00AC2FFC">
        <w:rPr>
          <w:szCs w:val="22"/>
        </w:rPr>
        <w:t xml:space="preserve">that regardless of tumour type it may be reasonable to </w:t>
      </w:r>
      <w:r w:rsidR="00B619F0" w:rsidRPr="00AC2FFC">
        <w:rPr>
          <w:szCs w:val="22"/>
        </w:rPr>
        <w:t xml:space="preserve">list pegfilgrastim for </w:t>
      </w:r>
      <w:r w:rsidR="003D7C73" w:rsidRPr="004E6D2E">
        <w:rPr>
          <w:szCs w:val="22"/>
        </w:rPr>
        <w:t xml:space="preserve">primary prophylaxis in any chemotherapy treatment where </w:t>
      </w:r>
      <w:r w:rsidR="00853769">
        <w:rPr>
          <w:noProof/>
          <w:color w:val="000000"/>
          <w:szCs w:val="22"/>
          <w:highlight w:val="black"/>
        </w:rPr>
        <w:t>'''''' '''''' ''''' ''''' '''''''' ''''''''''''''' ''''''''' '''''''' ''''''''''''' ''''''''' ''''''''''''''''''''' ''' ''' '''''''''' '''''''''''''''''''</w:t>
      </w:r>
      <w:r w:rsidR="00B619F0" w:rsidRPr="00AC2FFC">
        <w:rPr>
          <w:szCs w:val="22"/>
        </w:rPr>
        <w:t xml:space="preserve"> to achieve a cost-effective price with </w:t>
      </w:r>
      <w:r w:rsidR="00853769">
        <w:rPr>
          <w:noProof/>
          <w:color w:val="000000"/>
          <w:szCs w:val="22"/>
          <w:highlight w:val="black"/>
        </w:rPr>
        <w:t>'''''' ''''''''''''''''''' ''''''''''''</w:t>
      </w:r>
      <w:r w:rsidR="00B619F0" w:rsidRPr="00AC2FFC">
        <w:rPr>
          <w:szCs w:val="22"/>
        </w:rPr>
        <w:t xml:space="preserve"> could be agreed with the sponsor</w:t>
      </w:r>
      <w:r w:rsidR="003D7C73" w:rsidRPr="00AC2FFC">
        <w:rPr>
          <w:szCs w:val="22"/>
        </w:rPr>
        <w:t>.</w:t>
      </w:r>
      <w:r w:rsidR="004703A4" w:rsidRPr="00AC2FFC">
        <w:rPr>
          <w:szCs w:val="22"/>
        </w:rPr>
        <w:t xml:space="preserve"> </w:t>
      </w:r>
      <w:r w:rsidR="00ED6BFB">
        <w:rPr>
          <w:szCs w:val="22"/>
        </w:rPr>
        <w:t xml:space="preserve">The PBAC considered that it may also be reasonable to apply this to filgrastim and lipegfilgrastim. </w:t>
      </w:r>
      <w:r w:rsidR="004703A4">
        <w:rPr>
          <w:szCs w:val="22"/>
        </w:rPr>
        <w:t>The PBAC noted that there remained some uncertainty in the assessment of cost-effectiveness due to the potential difference in</w:t>
      </w:r>
      <w:r w:rsidR="00ED6BFB">
        <w:rPr>
          <w:szCs w:val="22"/>
        </w:rPr>
        <w:t xml:space="preserve"> the</w:t>
      </w:r>
      <w:r w:rsidR="004703A4">
        <w:rPr>
          <w:szCs w:val="22"/>
        </w:rPr>
        <w:t xml:space="preserve"> risk of FN </w:t>
      </w:r>
      <w:r w:rsidR="00ED6BFB">
        <w:rPr>
          <w:szCs w:val="22"/>
        </w:rPr>
        <w:t xml:space="preserve">between </w:t>
      </w:r>
      <w:r w:rsidR="004703A4">
        <w:rPr>
          <w:szCs w:val="22"/>
        </w:rPr>
        <w:t>different treatments, but considered that this could be managed through a price reduction.</w:t>
      </w:r>
      <w:r w:rsidR="00ED6BFB">
        <w:rPr>
          <w:szCs w:val="22"/>
        </w:rPr>
        <w:t xml:space="preserve"> </w:t>
      </w:r>
    </w:p>
    <w:p w:rsidR="003D7C73" w:rsidRDefault="003D7C73" w:rsidP="003D7C73">
      <w:pPr>
        <w:pStyle w:val="ListParagraph"/>
        <w:rPr>
          <w:szCs w:val="22"/>
        </w:rPr>
      </w:pPr>
    </w:p>
    <w:p w:rsidR="003D7C73" w:rsidRDefault="003D7C73" w:rsidP="003D7C73">
      <w:pPr>
        <w:pStyle w:val="ListParagraph"/>
        <w:numPr>
          <w:ilvl w:val="1"/>
          <w:numId w:val="14"/>
        </w:numPr>
        <w:rPr>
          <w:szCs w:val="22"/>
        </w:rPr>
      </w:pPr>
      <w:r>
        <w:rPr>
          <w:szCs w:val="22"/>
        </w:rPr>
        <w:t>The PBAC also noted that there were currently a large number of restrictions for pegfilgrastim prophylaxis based on tumour type with or without requirements for specific treatment regimens. The PBAC considered that this was potentially confusi</w:t>
      </w:r>
      <w:r w:rsidR="0008208E">
        <w:rPr>
          <w:szCs w:val="22"/>
        </w:rPr>
        <w:t xml:space="preserve">ng for prescribers and patients. Further, the PBAC considered </w:t>
      </w:r>
      <w:r>
        <w:rPr>
          <w:szCs w:val="22"/>
        </w:rPr>
        <w:t>that in the context of the effectiveness of primary</w:t>
      </w:r>
      <w:r w:rsidR="0008208E">
        <w:rPr>
          <w:szCs w:val="22"/>
        </w:rPr>
        <w:t xml:space="preserve"> prophylaxis being </w:t>
      </w:r>
      <w:r w:rsidR="000067A3">
        <w:rPr>
          <w:szCs w:val="22"/>
        </w:rPr>
        <w:t xml:space="preserve">largely </w:t>
      </w:r>
      <w:r w:rsidR="0008208E">
        <w:rPr>
          <w:szCs w:val="22"/>
        </w:rPr>
        <w:t xml:space="preserve">related to the chemotherapy used, the current restrictions may be inequitable. The PBAC therefore considered that it may be more appropriate to simplify the restrictions to allow primary prophylaxis for all patients where the chemotherapy treatment </w:t>
      </w:r>
      <w:r w:rsidR="000067A3">
        <w:rPr>
          <w:szCs w:val="22"/>
        </w:rPr>
        <w:t>carries</w:t>
      </w:r>
      <w:r w:rsidR="0008208E">
        <w:rPr>
          <w:szCs w:val="22"/>
        </w:rPr>
        <w:t xml:space="preserve"> a risk of FN or prolonged severe neutropenia greater than 20%</w:t>
      </w:r>
      <w:r w:rsidR="000067A3" w:rsidRPr="000067A3">
        <w:rPr>
          <w:szCs w:val="22"/>
        </w:rPr>
        <w:t xml:space="preserve"> </w:t>
      </w:r>
      <w:r w:rsidR="000067A3">
        <w:rPr>
          <w:szCs w:val="22"/>
        </w:rPr>
        <w:t>and</w:t>
      </w:r>
      <w:r w:rsidR="000067A3" w:rsidRPr="000067A3">
        <w:rPr>
          <w:szCs w:val="22"/>
        </w:rPr>
        <w:t xml:space="preserve"> </w:t>
      </w:r>
      <w:r w:rsidR="000067A3">
        <w:rPr>
          <w:szCs w:val="22"/>
        </w:rPr>
        <w:t>is with curative intent</w:t>
      </w:r>
      <w:r w:rsidR="0008208E">
        <w:rPr>
          <w:szCs w:val="22"/>
        </w:rPr>
        <w:t>, and to allow secondary prophylaxis for all patients who have had an episode of FN or prolonged severe neutropenia where there is clinical justification for continued therapy and an expected good response.</w:t>
      </w:r>
    </w:p>
    <w:p w:rsidR="0008208E" w:rsidRDefault="0008208E" w:rsidP="0008208E">
      <w:pPr>
        <w:pStyle w:val="ListParagraph"/>
        <w:rPr>
          <w:szCs w:val="22"/>
        </w:rPr>
      </w:pPr>
    </w:p>
    <w:p w:rsidR="0008208E" w:rsidRDefault="004703A4" w:rsidP="003D7C73">
      <w:pPr>
        <w:pStyle w:val="ListParagraph"/>
        <w:numPr>
          <w:ilvl w:val="1"/>
          <w:numId w:val="14"/>
        </w:numPr>
        <w:rPr>
          <w:szCs w:val="22"/>
        </w:rPr>
      </w:pPr>
      <w:r>
        <w:rPr>
          <w:szCs w:val="22"/>
        </w:rPr>
        <w:t xml:space="preserve">The PBAC noted that this was a much larger population than requested, and that </w:t>
      </w:r>
      <w:r w:rsidR="00AD3887">
        <w:rPr>
          <w:szCs w:val="22"/>
        </w:rPr>
        <w:t xml:space="preserve">a price reduction would be required and </w:t>
      </w:r>
      <w:r w:rsidR="00ED6BFB">
        <w:rPr>
          <w:szCs w:val="22"/>
        </w:rPr>
        <w:t>the PBS utilisation estimates would also need to be updated.</w:t>
      </w:r>
    </w:p>
    <w:p w:rsidR="00ED6BFB" w:rsidRDefault="00ED6BFB" w:rsidP="00ED6BFB">
      <w:pPr>
        <w:pStyle w:val="ListParagraph"/>
        <w:rPr>
          <w:szCs w:val="22"/>
        </w:rPr>
      </w:pPr>
    </w:p>
    <w:p w:rsidR="00ED6BFB" w:rsidRPr="00AC2FFC" w:rsidRDefault="00ED6BFB" w:rsidP="003D7C73">
      <w:pPr>
        <w:pStyle w:val="ListParagraph"/>
        <w:numPr>
          <w:ilvl w:val="1"/>
          <w:numId w:val="14"/>
        </w:numPr>
        <w:rPr>
          <w:szCs w:val="22"/>
        </w:rPr>
      </w:pPr>
      <w:r w:rsidRPr="00AC2FFC">
        <w:rPr>
          <w:szCs w:val="22"/>
        </w:rPr>
        <w:t>The PBAC therefore requested that the Department work with the sponsor on the proposed restrictions, price, and estimated of PBS impact.</w:t>
      </w:r>
    </w:p>
    <w:p w:rsidR="00ED6BFB" w:rsidRDefault="00ED6BFB" w:rsidP="00ED6BFB">
      <w:pPr>
        <w:pStyle w:val="ListParagraph"/>
        <w:ind w:left="0"/>
        <w:rPr>
          <w:szCs w:val="22"/>
        </w:rPr>
      </w:pPr>
    </w:p>
    <w:p w:rsidR="00ED6BFB" w:rsidRPr="00ED6BFB" w:rsidRDefault="00A72CAD" w:rsidP="00ED6BFB">
      <w:pPr>
        <w:pStyle w:val="ListParagraph"/>
        <w:numPr>
          <w:ilvl w:val="1"/>
          <w:numId w:val="14"/>
        </w:numPr>
        <w:rPr>
          <w:szCs w:val="22"/>
        </w:rPr>
      </w:pPr>
      <w:r w:rsidRPr="00ED6BFB">
        <w:rPr>
          <w:szCs w:val="22"/>
        </w:rPr>
        <w:t xml:space="preserve">The PBAC noted that this submission is eligible for an Independent Review. </w:t>
      </w:r>
    </w:p>
    <w:p w:rsidR="00ED6BFB" w:rsidRDefault="00ED6BFB" w:rsidP="00ED6BFB">
      <w:pPr>
        <w:widowControl w:val="0"/>
        <w:spacing w:after="120"/>
        <w:jc w:val="both"/>
        <w:rPr>
          <w:rFonts w:asciiTheme="minorHAnsi" w:hAnsiTheme="minorHAnsi" w:cs="Arial"/>
          <w:bCs/>
          <w:snapToGrid w:val="0"/>
          <w:lang w:val="en-GB" w:eastAsia="en-US"/>
        </w:rPr>
      </w:pPr>
    </w:p>
    <w:p w:rsidR="008F159D" w:rsidRPr="00ED6BFB" w:rsidRDefault="008F159D" w:rsidP="00ED6BFB">
      <w:pPr>
        <w:widowControl w:val="0"/>
        <w:spacing w:after="120"/>
        <w:jc w:val="both"/>
        <w:rPr>
          <w:rFonts w:asciiTheme="minorHAnsi" w:hAnsiTheme="minorHAnsi" w:cs="Arial"/>
          <w:bCs/>
          <w:snapToGrid w:val="0"/>
          <w:lang w:val="en-GB" w:eastAsia="en-US"/>
        </w:rPr>
      </w:pPr>
    </w:p>
    <w:p w:rsidR="00A72CAD" w:rsidRPr="008F159D" w:rsidRDefault="00A72CAD" w:rsidP="008F159D">
      <w:pPr>
        <w:widowControl w:val="0"/>
        <w:spacing w:after="120"/>
        <w:jc w:val="both"/>
        <w:outlineLvl w:val="1"/>
        <w:rPr>
          <w:rFonts w:asciiTheme="minorHAnsi" w:hAnsiTheme="minorHAnsi" w:cs="Arial"/>
          <w:b/>
          <w:bCs/>
          <w:snapToGrid w:val="0"/>
          <w:lang w:val="en-GB" w:eastAsia="en-US"/>
        </w:rPr>
      </w:pPr>
      <w:r w:rsidRPr="00ED6BFB">
        <w:rPr>
          <w:rFonts w:asciiTheme="minorHAnsi" w:hAnsiTheme="minorHAnsi" w:cs="Arial"/>
          <w:b/>
          <w:bCs/>
          <w:snapToGrid w:val="0"/>
          <w:lang w:val="en-GB" w:eastAsia="en-US"/>
        </w:rPr>
        <w:t>Outcome:</w:t>
      </w:r>
      <w:r w:rsidR="008F159D">
        <w:rPr>
          <w:rFonts w:asciiTheme="minorHAnsi" w:hAnsiTheme="minorHAnsi" w:cs="Arial"/>
          <w:b/>
          <w:bCs/>
          <w:snapToGrid w:val="0"/>
          <w:lang w:val="en-GB" w:eastAsia="en-US"/>
        </w:rPr>
        <w:br/>
      </w:r>
      <w:r w:rsidRPr="00ED6BFB">
        <w:rPr>
          <w:rFonts w:asciiTheme="minorHAnsi" w:hAnsiTheme="minorHAnsi" w:cs="Arial"/>
          <w:bCs/>
          <w:snapToGrid w:val="0"/>
          <w:lang w:val="en-GB" w:eastAsia="en-US"/>
        </w:rPr>
        <w:t>Deferred</w:t>
      </w:r>
    </w:p>
    <w:p w:rsidR="00ED6BFB" w:rsidRDefault="00ED6BFB" w:rsidP="00A72CAD">
      <w:pPr>
        <w:rPr>
          <w:rFonts w:asciiTheme="minorHAnsi" w:hAnsiTheme="minorHAnsi" w:cs="Arial"/>
          <w:snapToGrid w:val="0"/>
          <w:szCs w:val="22"/>
          <w:lang w:eastAsia="en-US"/>
        </w:rPr>
      </w:pPr>
    </w:p>
    <w:p w:rsidR="00645DF5" w:rsidRDefault="00645DF5" w:rsidP="00A72CAD">
      <w:pPr>
        <w:rPr>
          <w:rFonts w:asciiTheme="minorHAnsi" w:hAnsiTheme="minorHAnsi" w:cs="Arial"/>
          <w:snapToGrid w:val="0"/>
          <w:szCs w:val="22"/>
          <w:lang w:eastAsia="en-US"/>
        </w:rPr>
      </w:pPr>
    </w:p>
    <w:p w:rsidR="00645DF5" w:rsidRPr="00645DF5" w:rsidRDefault="00645DF5" w:rsidP="00645DF5">
      <w:pPr>
        <w:pStyle w:val="PBACHeading1"/>
      </w:pPr>
      <w:r w:rsidRPr="00645DF5">
        <w:t>Context for Decision</w:t>
      </w:r>
    </w:p>
    <w:p w:rsidR="00645DF5" w:rsidRPr="00440A84" w:rsidRDefault="00645DF5" w:rsidP="00645DF5">
      <w:pPr>
        <w:ind w:left="426"/>
        <w:jc w:val="both"/>
        <w:rPr>
          <w:rFonts w:asciiTheme="minorHAnsi" w:hAnsiTheme="minorHAnsi" w:cs="Arial"/>
        </w:rPr>
      </w:pPr>
    </w:p>
    <w:p w:rsidR="00645DF5" w:rsidRPr="00440A84" w:rsidRDefault="00645DF5" w:rsidP="00645DF5">
      <w:pPr>
        <w:jc w:val="both"/>
        <w:rPr>
          <w:rFonts w:asciiTheme="minorHAnsi" w:hAnsiTheme="minorHAnsi" w:cs="Arial"/>
        </w:rPr>
      </w:pPr>
      <w:r w:rsidRPr="00440A84">
        <w:rPr>
          <w:rFonts w:asciiTheme="minorHAnsi" w:hAnsiTheme="minorHAnsi" w:cs="Arial"/>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645DF5" w:rsidRPr="00440A84" w:rsidRDefault="00645DF5" w:rsidP="00645DF5">
      <w:pPr>
        <w:ind w:left="426"/>
        <w:jc w:val="both"/>
        <w:rPr>
          <w:rFonts w:asciiTheme="minorHAnsi" w:hAnsiTheme="minorHAnsi" w:cs="Arial"/>
        </w:rPr>
      </w:pPr>
    </w:p>
    <w:p w:rsidR="00645DF5" w:rsidRPr="00645DF5" w:rsidRDefault="00645DF5" w:rsidP="00645DF5">
      <w:pPr>
        <w:pStyle w:val="PBACHeading1"/>
      </w:pPr>
      <w:r w:rsidRPr="00645DF5">
        <w:t>Sponsor’s Comment</w:t>
      </w:r>
    </w:p>
    <w:p w:rsidR="00645DF5" w:rsidRPr="00440A84" w:rsidRDefault="00645DF5" w:rsidP="00645DF5">
      <w:pPr>
        <w:ind w:left="426"/>
        <w:jc w:val="both"/>
        <w:rPr>
          <w:rFonts w:asciiTheme="minorHAnsi" w:hAnsiTheme="minorHAnsi" w:cs="Arial"/>
          <w:bCs/>
          <w:highlight w:val="yellow"/>
          <w:lang w:val="en-GB"/>
        </w:rPr>
      </w:pPr>
    </w:p>
    <w:p w:rsidR="00645DF5" w:rsidRPr="00440A84" w:rsidRDefault="00645DF5" w:rsidP="00645DF5">
      <w:pPr>
        <w:spacing w:after="120"/>
        <w:jc w:val="both"/>
        <w:rPr>
          <w:rFonts w:asciiTheme="minorHAnsi" w:hAnsiTheme="minorHAnsi" w:cs="Arial"/>
          <w:bCs/>
        </w:rPr>
      </w:pPr>
      <w:r w:rsidRPr="00440A84">
        <w:rPr>
          <w:rFonts w:asciiTheme="minorHAnsi" w:hAnsiTheme="minorHAnsi" w:cs="Arial"/>
          <w:bCs/>
        </w:rPr>
        <w:t>The sponsor had no comment.</w:t>
      </w:r>
    </w:p>
    <w:p w:rsidR="00ED6BFB" w:rsidRDefault="00ED6BFB" w:rsidP="00A72CAD">
      <w:pPr>
        <w:rPr>
          <w:rFonts w:ascii="Arial" w:hAnsi="Arial"/>
          <w:sz w:val="22"/>
          <w:szCs w:val="22"/>
        </w:rPr>
      </w:pPr>
    </w:p>
    <w:p w:rsidR="00F64CC1" w:rsidRPr="00A72CAD" w:rsidRDefault="00F64CC1" w:rsidP="00A72CAD">
      <w:pPr>
        <w:rPr>
          <w:rFonts w:ascii="Arial" w:hAnsi="Arial"/>
          <w:sz w:val="22"/>
          <w:szCs w:val="22"/>
        </w:rPr>
      </w:pPr>
    </w:p>
    <w:sectPr w:rsidR="00F64CC1" w:rsidRPr="00A72CAD" w:rsidSect="00C27B58">
      <w:headerReference w:type="even" r:id="rId9"/>
      <w:headerReference w:type="default" r:id="rId10"/>
      <w:footerReference w:type="even" r:id="rId11"/>
      <w:footerReference w:type="default" r:id="rId12"/>
      <w:headerReference w:type="first" r:id="rId13"/>
      <w:footerReference w:type="first" r:id="rId14"/>
      <w:pgSz w:w="11906" w:h="16838" w:code="9"/>
      <w:pgMar w:top="1440" w:right="1440" w:bottom="1440" w:left="1440" w:header="1440" w:footer="1440" w:gutter="0"/>
      <w:pgNumType w:start="1"/>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8C9FAEF" w15:done="0"/>
  <w15:commentEx w15:paraId="67AC6A4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3769" w:rsidRDefault="00853769">
      <w:r>
        <w:separator/>
      </w:r>
    </w:p>
    <w:p w:rsidR="00853769" w:rsidRDefault="00853769"/>
  </w:endnote>
  <w:endnote w:type="continuationSeparator" w:id="0">
    <w:p w:rsidR="00853769" w:rsidRDefault="00853769">
      <w:r>
        <w:continuationSeparator/>
      </w:r>
    </w:p>
    <w:p w:rsidR="00853769" w:rsidRDefault="008537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Arial Bold">
    <w:panose1 w:val="020B0704020202020204"/>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DA38E5" w:rsidTr="005A3173">
      <w:trPr>
        <w:trHeight w:val="151"/>
      </w:trPr>
      <w:tc>
        <w:tcPr>
          <w:tcW w:w="2250" w:type="pct"/>
          <w:tcBorders>
            <w:top w:val="nil"/>
            <w:left w:val="nil"/>
            <w:bottom w:val="single" w:sz="4" w:space="0" w:color="4F81BD"/>
            <w:right w:val="nil"/>
          </w:tcBorders>
        </w:tcPr>
        <w:p w:rsidR="00DA38E5" w:rsidRPr="005A3173" w:rsidRDefault="00DA38E5" w:rsidP="005A3173">
          <w:pPr>
            <w:pStyle w:val="Header"/>
            <w:spacing w:line="276" w:lineRule="auto"/>
            <w:rPr>
              <w:rFonts w:ascii="Calibri" w:eastAsia="MS Gothic" w:hAnsi="Calibri"/>
              <w:b/>
              <w:bCs/>
              <w:color w:val="4F81BD"/>
            </w:rPr>
          </w:pPr>
        </w:p>
      </w:tc>
      <w:tc>
        <w:tcPr>
          <w:tcW w:w="500" w:type="pct"/>
          <w:vMerge w:val="restart"/>
          <w:noWrap/>
          <w:vAlign w:val="center"/>
          <w:hideMark/>
        </w:tcPr>
        <w:p w:rsidR="00DA38E5" w:rsidRPr="005A3173" w:rsidRDefault="00DA38E5"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DA38E5" w:rsidRPr="005A3173" w:rsidRDefault="00DA38E5" w:rsidP="005A3173">
          <w:pPr>
            <w:pStyle w:val="Header"/>
            <w:spacing w:line="276" w:lineRule="auto"/>
            <w:rPr>
              <w:rFonts w:ascii="Calibri" w:eastAsia="MS Gothic" w:hAnsi="Calibri"/>
              <w:b/>
              <w:bCs/>
              <w:color w:val="4F81BD"/>
            </w:rPr>
          </w:pPr>
        </w:p>
      </w:tc>
    </w:tr>
    <w:tr w:rsidR="00DA38E5" w:rsidTr="005A3173">
      <w:trPr>
        <w:trHeight w:val="150"/>
      </w:trPr>
      <w:tc>
        <w:tcPr>
          <w:tcW w:w="2250" w:type="pct"/>
          <w:tcBorders>
            <w:top w:val="single" w:sz="4" w:space="0" w:color="4F81BD"/>
            <w:left w:val="nil"/>
            <w:bottom w:val="nil"/>
            <w:right w:val="nil"/>
          </w:tcBorders>
        </w:tcPr>
        <w:p w:rsidR="00DA38E5" w:rsidRPr="005A3173" w:rsidRDefault="00DA38E5" w:rsidP="005A3173">
          <w:pPr>
            <w:pStyle w:val="Header"/>
            <w:spacing w:line="276" w:lineRule="auto"/>
            <w:rPr>
              <w:rFonts w:ascii="Calibri" w:eastAsia="MS Gothic" w:hAnsi="Calibri"/>
              <w:b/>
              <w:bCs/>
              <w:color w:val="4F81BD"/>
            </w:rPr>
          </w:pPr>
        </w:p>
      </w:tc>
      <w:tc>
        <w:tcPr>
          <w:tcW w:w="0" w:type="auto"/>
          <w:vMerge/>
          <w:vAlign w:val="center"/>
          <w:hideMark/>
        </w:tcPr>
        <w:p w:rsidR="00DA38E5" w:rsidRPr="005A3173" w:rsidRDefault="00DA38E5" w:rsidP="005A3173">
          <w:pPr>
            <w:rPr>
              <w:rFonts w:ascii="Calibri" w:hAnsi="Calibri"/>
              <w:color w:val="365F91"/>
              <w:sz w:val="22"/>
              <w:szCs w:val="22"/>
            </w:rPr>
          </w:pPr>
        </w:p>
      </w:tc>
      <w:tc>
        <w:tcPr>
          <w:tcW w:w="2250" w:type="pct"/>
          <w:tcBorders>
            <w:top w:val="single" w:sz="4" w:space="0" w:color="4F81BD"/>
            <w:left w:val="nil"/>
            <w:bottom w:val="nil"/>
            <w:right w:val="nil"/>
          </w:tcBorders>
        </w:tcPr>
        <w:p w:rsidR="00DA38E5" w:rsidRPr="005A3173" w:rsidRDefault="00DA38E5" w:rsidP="005A3173">
          <w:pPr>
            <w:pStyle w:val="Header"/>
            <w:spacing w:line="276" w:lineRule="auto"/>
            <w:rPr>
              <w:rFonts w:ascii="Calibri" w:eastAsia="MS Gothic" w:hAnsi="Calibri"/>
              <w:b/>
              <w:bCs/>
              <w:color w:val="4F81BD"/>
            </w:rPr>
          </w:pPr>
        </w:p>
      </w:tc>
    </w:tr>
  </w:tbl>
  <w:p w:rsidR="00DA38E5" w:rsidRDefault="00DA38E5"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A38E5" w:rsidRDefault="00DA38E5">
    <w:pPr>
      <w:pStyle w:val="Footer"/>
    </w:pPr>
  </w:p>
  <w:p w:rsidR="00DA38E5" w:rsidRDefault="00DA38E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8E5" w:rsidRDefault="00DA38E5" w:rsidP="00EF44A0">
    <w:pPr>
      <w:pStyle w:val="Footer"/>
      <w:jc w:val="center"/>
      <w:rPr>
        <w:rFonts w:ascii="Arial" w:hAnsi="Arial" w:cs="Arial"/>
        <w:b/>
        <w:sz w:val="20"/>
        <w:szCs w:val="20"/>
      </w:rPr>
    </w:pPr>
  </w:p>
  <w:p w:rsidR="00DA38E5" w:rsidRDefault="00DA38E5" w:rsidP="00F176A8">
    <w:pPr>
      <w:pStyle w:val="Footer"/>
      <w:jc w:val="center"/>
      <w:rPr>
        <w:rFonts w:ascii="Arial" w:hAnsi="Arial" w:cs="Arial"/>
        <w:b/>
        <w:sz w:val="20"/>
        <w:szCs w:val="20"/>
      </w:rPr>
    </w:pPr>
    <w:r w:rsidRPr="00693685">
      <w:rPr>
        <w:rFonts w:asciiTheme="minorHAnsi" w:hAnsiTheme="minorHAnsi" w:cs="Arial"/>
      </w:rPr>
      <w:fldChar w:fldCharType="begin"/>
    </w:r>
    <w:r w:rsidRPr="00693685">
      <w:rPr>
        <w:rFonts w:asciiTheme="minorHAnsi" w:hAnsiTheme="minorHAnsi" w:cs="Arial"/>
      </w:rPr>
      <w:instrText xml:space="preserve"> PAGE   \* MERGEFORMAT </w:instrText>
    </w:r>
    <w:r w:rsidRPr="00693685">
      <w:rPr>
        <w:rFonts w:asciiTheme="minorHAnsi" w:hAnsiTheme="minorHAnsi" w:cs="Arial"/>
      </w:rPr>
      <w:fldChar w:fldCharType="separate"/>
    </w:r>
    <w:r w:rsidR="00853769">
      <w:rPr>
        <w:rFonts w:asciiTheme="minorHAnsi" w:hAnsiTheme="minorHAnsi" w:cs="Arial"/>
        <w:noProof/>
      </w:rPr>
      <w:t>1</w:t>
    </w:r>
    <w:r w:rsidRPr="00693685">
      <w:rPr>
        <w:rFonts w:asciiTheme="minorHAnsi" w:hAnsiTheme="minorHAnsi" w:cs="Arial"/>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4A0" w:firstRow="1" w:lastRow="0" w:firstColumn="1" w:lastColumn="0" w:noHBand="0" w:noVBand="1"/>
    </w:tblPr>
    <w:tblGrid>
      <w:gridCol w:w="3995"/>
      <w:gridCol w:w="1252"/>
      <w:gridCol w:w="3995"/>
    </w:tblGrid>
    <w:tr w:rsidR="00DA38E5" w:rsidTr="005A3173">
      <w:trPr>
        <w:trHeight w:val="151"/>
      </w:trPr>
      <w:tc>
        <w:tcPr>
          <w:tcW w:w="2250" w:type="pct"/>
          <w:tcBorders>
            <w:top w:val="nil"/>
            <w:left w:val="nil"/>
            <w:bottom w:val="single" w:sz="4" w:space="0" w:color="4F81BD"/>
            <w:right w:val="nil"/>
          </w:tcBorders>
        </w:tcPr>
        <w:p w:rsidR="00DA38E5" w:rsidRPr="005A3173" w:rsidRDefault="00DA38E5" w:rsidP="005A3173">
          <w:pPr>
            <w:pStyle w:val="Header"/>
            <w:spacing w:line="276" w:lineRule="auto"/>
            <w:rPr>
              <w:rFonts w:ascii="Calibri" w:eastAsia="MS Gothic" w:hAnsi="Calibri"/>
              <w:b/>
              <w:bCs/>
              <w:color w:val="4F81BD"/>
            </w:rPr>
          </w:pPr>
        </w:p>
      </w:tc>
      <w:tc>
        <w:tcPr>
          <w:tcW w:w="500" w:type="pct"/>
          <w:vMerge w:val="restart"/>
          <w:noWrap/>
          <w:vAlign w:val="center"/>
          <w:hideMark/>
        </w:tcPr>
        <w:p w:rsidR="00DA38E5" w:rsidRPr="005A3173" w:rsidRDefault="00DA38E5"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DA38E5" w:rsidRPr="005A3173" w:rsidRDefault="00DA38E5" w:rsidP="005A3173">
          <w:pPr>
            <w:pStyle w:val="Header"/>
            <w:spacing w:line="276" w:lineRule="auto"/>
            <w:rPr>
              <w:rFonts w:ascii="Calibri" w:eastAsia="MS Gothic" w:hAnsi="Calibri"/>
              <w:b/>
              <w:bCs/>
              <w:color w:val="4F81BD"/>
            </w:rPr>
          </w:pPr>
        </w:p>
      </w:tc>
    </w:tr>
    <w:tr w:rsidR="00DA38E5" w:rsidTr="005A3173">
      <w:trPr>
        <w:trHeight w:val="150"/>
      </w:trPr>
      <w:tc>
        <w:tcPr>
          <w:tcW w:w="2250" w:type="pct"/>
          <w:tcBorders>
            <w:top w:val="single" w:sz="4" w:space="0" w:color="4F81BD"/>
            <w:left w:val="nil"/>
            <w:bottom w:val="nil"/>
            <w:right w:val="nil"/>
          </w:tcBorders>
        </w:tcPr>
        <w:p w:rsidR="00DA38E5" w:rsidRPr="005A3173" w:rsidRDefault="00DA38E5" w:rsidP="005A3173">
          <w:pPr>
            <w:pStyle w:val="Header"/>
            <w:spacing w:line="276" w:lineRule="auto"/>
            <w:rPr>
              <w:rFonts w:ascii="Calibri" w:eastAsia="MS Gothic" w:hAnsi="Calibri"/>
              <w:b/>
              <w:bCs/>
              <w:color w:val="4F81BD"/>
            </w:rPr>
          </w:pPr>
        </w:p>
      </w:tc>
      <w:tc>
        <w:tcPr>
          <w:tcW w:w="0" w:type="auto"/>
          <w:vMerge/>
          <w:vAlign w:val="center"/>
          <w:hideMark/>
        </w:tcPr>
        <w:p w:rsidR="00DA38E5" w:rsidRPr="005A3173" w:rsidRDefault="00DA38E5" w:rsidP="005A3173">
          <w:pPr>
            <w:rPr>
              <w:rFonts w:ascii="Calibri" w:hAnsi="Calibri"/>
              <w:color w:val="365F91"/>
              <w:sz w:val="22"/>
              <w:szCs w:val="22"/>
            </w:rPr>
          </w:pPr>
        </w:p>
      </w:tc>
      <w:tc>
        <w:tcPr>
          <w:tcW w:w="2250" w:type="pct"/>
          <w:tcBorders>
            <w:top w:val="single" w:sz="4" w:space="0" w:color="4F81BD"/>
            <w:left w:val="nil"/>
            <w:bottom w:val="nil"/>
            <w:right w:val="nil"/>
          </w:tcBorders>
        </w:tcPr>
        <w:p w:rsidR="00DA38E5" w:rsidRPr="005A3173" w:rsidRDefault="00DA38E5" w:rsidP="005A3173">
          <w:pPr>
            <w:pStyle w:val="Header"/>
            <w:spacing w:line="276" w:lineRule="auto"/>
            <w:rPr>
              <w:rFonts w:ascii="Calibri" w:eastAsia="MS Gothic" w:hAnsi="Calibri"/>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DA38E5" w:rsidTr="005A3173">
      <w:trPr>
        <w:trHeight w:val="151"/>
      </w:trPr>
      <w:tc>
        <w:tcPr>
          <w:tcW w:w="2250" w:type="pct"/>
          <w:tcBorders>
            <w:top w:val="nil"/>
            <w:left w:val="nil"/>
            <w:bottom w:val="single" w:sz="4" w:space="0" w:color="4F81BD"/>
            <w:right w:val="nil"/>
          </w:tcBorders>
        </w:tcPr>
        <w:p w:rsidR="00DA38E5" w:rsidRPr="005A3173" w:rsidRDefault="00DA38E5" w:rsidP="005A3173">
          <w:pPr>
            <w:pStyle w:val="Header"/>
            <w:spacing w:line="276" w:lineRule="auto"/>
            <w:rPr>
              <w:rFonts w:ascii="Calibri" w:eastAsia="MS Gothic" w:hAnsi="Calibri"/>
              <w:b/>
              <w:bCs/>
              <w:color w:val="4F81BD"/>
            </w:rPr>
          </w:pPr>
        </w:p>
      </w:tc>
      <w:tc>
        <w:tcPr>
          <w:tcW w:w="500" w:type="pct"/>
          <w:vMerge w:val="restart"/>
          <w:noWrap/>
          <w:vAlign w:val="center"/>
          <w:hideMark/>
        </w:tcPr>
        <w:p w:rsidR="00DA38E5" w:rsidRPr="005A3173" w:rsidRDefault="00DA38E5"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DA38E5" w:rsidRPr="005A3173" w:rsidRDefault="00DA38E5" w:rsidP="005A3173">
          <w:pPr>
            <w:pStyle w:val="Header"/>
            <w:spacing w:line="276" w:lineRule="auto"/>
            <w:rPr>
              <w:rFonts w:ascii="Calibri" w:eastAsia="MS Gothic" w:hAnsi="Calibri"/>
              <w:b/>
              <w:bCs/>
              <w:color w:val="4F81BD"/>
            </w:rPr>
          </w:pPr>
        </w:p>
      </w:tc>
    </w:tr>
    <w:tr w:rsidR="00DA38E5" w:rsidTr="005A3173">
      <w:trPr>
        <w:trHeight w:val="150"/>
      </w:trPr>
      <w:tc>
        <w:tcPr>
          <w:tcW w:w="2250" w:type="pct"/>
          <w:tcBorders>
            <w:top w:val="single" w:sz="4" w:space="0" w:color="4F81BD"/>
            <w:left w:val="nil"/>
            <w:bottom w:val="nil"/>
            <w:right w:val="nil"/>
          </w:tcBorders>
        </w:tcPr>
        <w:p w:rsidR="00DA38E5" w:rsidRPr="005A3173" w:rsidRDefault="00DA38E5" w:rsidP="005A3173">
          <w:pPr>
            <w:pStyle w:val="Header"/>
            <w:spacing w:line="276" w:lineRule="auto"/>
            <w:rPr>
              <w:rFonts w:ascii="Calibri" w:eastAsia="MS Gothic" w:hAnsi="Calibri"/>
              <w:b/>
              <w:bCs/>
              <w:color w:val="4F81BD"/>
            </w:rPr>
          </w:pPr>
        </w:p>
      </w:tc>
      <w:tc>
        <w:tcPr>
          <w:tcW w:w="0" w:type="auto"/>
          <w:vMerge/>
          <w:vAlign w:val="center"/>
          <w:hideMark/>
        </w:tcPr>
        <w:p w:rsidR="00DA38E5" w:rsidRPr="005A3173" w:rsidRDefault="00DA38E5" w:rsidP="005A3173">
          <w:pPr>
            <w:rPr>
              <w:rFonts w:ascii="Calibri" w:hAnsi="Calibri"/>
              <w:color w:val="365F91"/>
              <w:sz w:val="22"/>
              <w:szCs w:val="22"/>
            </w:rPr>
          </w:pPr>
        </w:p>
      </w:tc>
      <w:tc>
        <w:tcPr>
          <w:tcW w:w="2250" w:type="pct"/>
          <w:tcBorders>
            <w:top w:val="single" w:sz="4" w:space="0" w:color="4F81BD"/>
            <w:left w:val="nil"/>
            <w:bottom w:val="nil"/>
            <w:right w:val="nil"/>
          </w:tcBorders>
        </w:tcPr>
        <w:p w:rsidR="00DA38E5" w:rsidRPr="005A3173" w:rsidRDefault="00DA38E5" w:rsidP="005A3173">
          <w:pPr>
            <w:pStyle w:val="Header"/>
            <w:spacing w:line="276" w:lineRule="auto"/>
            <w:rPr>
              <w:rFonts w:ascii="Calibri" w:eastAsia="MS Gothic" w:hAnsi="Calibri"/>
              <w:b/>
              <w:bCs/>
              <w:color w:val="4F81BD"/>
            </w:rPr>
          </w:pPr>
        </w:p>
      </w:tc>
    </w:tr>
  </w:tbl>
  <w:p w:rsidR="00DA38E5" w:rsidRPr="007C0F57" w:rsidRDefault="00DA38E5"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sidRPr="007C0F57">
      <w:rPr>
        <w:b/>
        <w:i/>
        <w:sz w:val="20"/>
        <w:szCs w:val="20"/>
      </w:rPr>
      <w:t>BAC Meeting</w:t>
    </w:r>
  </w:p>
  <w:p w:rsidR="00DA38E5" w:rsidRPr="007C0F57" w:rsidRDefault="00DA38E5" w:rsidP="007C0F57">
    <w:pPr>
      <w:pStyle w:val="Footer"/>
      <w:jc w:val="center"/>
      <w:rPr>
        <w:b/>
        <w:i/>
        <w:sz w:val="20"/>
        <w:szCs w:val="20"/>
      </w:rPr>
    </w:pPr>
    <w:r w:rsidRPr="007C0F57">
      <w:rPr>
        <w:b/>
        <w:i/>
        <w:sz w:val="20"/>
        <w:szCs w:val="20"/>
      </w:rPr>
      <w:t>Commercial-in-Confidence</w:t>
    </w:r>
  </w:p>
  <w:p w:rsidR="00DA38E5" w:rsidRDefault="00DA38E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3769" w:rsidRDefault="00853769">
      <w:r>
        <w:separator/>
      </w:r>
    </w:p>
    <w:p w:rsidR="00853769" w:rsidRDefault="00853769"/>
  </w:footnote>
  <w:footnote w:type="continuationSeparator" w:id="0">
    <w:p w:rsidR="00853769" w:rsidRDefault="00853769">
      <w:r>
        <w:continuationSeparator/>
      </w:r>
    </w:p>
    <w:p w:rsidR="00853769" w:rsidRDefault="00853769"/>
  </w:footnote>
  <w:footnote w:id="1">
    <w:p w:rsidR="00DA38E5" w:rsidRDefault="00DA38E5">
      <w:pPr>
        <w:pStyle w:val="FootnoteText"/>
      </w:pPr>
      <w:r>
        <w:rPr>
          <w:rStyle w:val="FootnoteReference"/>
        </w:rPr>
        <w:footnoteRef/>
      </w:r>
      <w:r>
        <w:t xml:space="preserve"> </w:t>
      </w:r>
      <w:r w:rsidRPr="00FC2251">
        <w:rPr>
          <w:rFonts w:asciiTheme="minorHAnsi" w:hAnsiTheme="minorHAnsi"/>
          <w:sz w:val="14"/>
          <w:szCs w:val="22"/>
        </w:rPr>
        <w:t>Bordoni et al. 2011; Chan et al. 2010; Hamilton et al. 2013; Harris et al. 2014; Jones et al. 2011; Lakhanpal et al. 2013; Myers et al. 2009; Ngamphaiboon et al. 2012</w:t>
      </w:r>
    </w:p>
  </w:footnote>
  <w:footnote w:id="2">
    <w:p w:rsidR="00DA38E5" w:rsidRDefault="00DA38E5">
      <w:pPr>
        <w:pStyle w:val="FootnoteText"/>
      </w:pPr>
      <w:r>
        <w:rPr>
          <w:rStyle w:val="FootnoteReference"/>
        </w:rPr>
        <w:footnoteRef/>
      </w:r>
      <w:r>
        <w:t xml:space="preserve"> </w:t>
      </w:r>
      <w:r w:rsidRPr="00FC2251">
        <w:rPr>
          <w:rFonts w:asciiTheme="minorHAnsi" w:hAnsiTheme="minorHAnsi"/>
          <w:sz w:val="14"/>
          <w:szCs w:val="22"/>
        </w:rPr>
        <w:t>Freyer et al. 2011; Quinn et al. 2013; Rayson et al. 2012; Yersushalmi et al. 2014; Yu et al. 2015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4937" w:type="pct"/>
      <w:tblLook w:val="04A0" w:firstRow="1" w:lastRow="0" w:firstColumn="1" w:lastColumn="0" w:noHBand="0" w:noVBand="1"/>
    </w:tblPr>
    <w:tblGrid>
      <w:gridCol w:w="4038"/>
      <w:gridCol w:w="1252"/>
      <w:gridCol w:w="3836"/>
    </w:tblGrid>
    <w:tr w:rsidR="00DA38E5" w:rsidRPr="008E0D90" w:rsidTr="00A06225">
      <w:trPr>
        <w:trHeight w:val="151"/>
      </w:trPr>
      <w:tc>
        <w:tcPr>
          <w:tcW w:w="2389" w:type="pct"/>
          <w:tcBorders>
            <w:top w:val="nil"/>
            <w:left w:val="nil"/>
            <w:bottom w:val="single" w:sz="4" w:space="0" w:color="4F81BD"/>
            <w:right w:val="nil"/>
          </w:tcBorders>
        </w:tcPr>
        <w:p w:rsidR="00DA38E5" w:rsidRPr="00A06225" w:rsidRDefault="00DA38E5">
          <w:pPr>
            <w:pStyle w:val="Header"/>
            <w:spacing w:line="276" w:lineRule="auto"/>
            <w:rPr>
              <w:rFonts w:ascii="Cambria" w:eastAsia="MS Gothic" w:hAnsi="Cambria"/>
              <w:b/>
              <w:bCs/>
              <w:color w:val="4F81BD"/>
            </w:rPr>
          </w:pPr>
        </w:p>
      </w:tc>
      <w:tc>
        <w:tcPr>
          <w:tcW w:w="333" w:type="pct"/>
          <w:vMerge w:val="restart"/>
          <w:noWrap/>
          <w:vAlign w:val="center"/>
          <w:hideMark/>
        </w:tcPr>
        <w:p w:rsidR="00DA38E5" w:rsidRPr="00A06225" w:rsidRDefault="00DA38E5"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rsidR="00DA38E5" w:rsidRPr="00A06225" w:rsidRDefault="00DA38E5">
          <w:pPr>
            <w:pStyle w:val="Header"/>
            <w:spacing w:line="276" w:lineRule="auto"/>
            <w:rPr>
              <w:rFonts w:ascii="Cambria" w:eastAsia="MS Gothic" w:hAnsi="Cambria"/>
              <w:b/>
              <w:bCs/>
              <w:color w:val="4F81BD"/>
            </w:rPr>
          </w:pPr>
        </w:p>
      </w:tc>
    </w:tr>
    <w:tr w:rsidR="00DA38E5" w:rsidRPr="008E0D90" w:rsidTr="00A06225">
      <w:trPr>
        <w:trHeight w:val="150"/>
      </w:trPr>
      <w:tc>
        <w:tcPr>
          <w:tcW w:w="2389" w:type="pct"/>
          <w:tcBorders>
            <w:top w:val="single" w:sz="4" w:space="0" w:color="4F81BD"/>
            <w:left w:val="nil"/>
            <w:bottom w:val="nil"/>
            <w:right w:val="nil"/>
          </w:tcBorders>
        </w:tcPr>
        <w:p w:rsidR="00DA38E5" w:rsidRPr="00A06225" w:rsidRDefault="00DA38E5">
          <w:pPr>
            <w:pStyle w:val="Header"/>
            <w:spacing w:line="276" w:lineRule="auto"/>
            <w:rPr>
              <w:rFonts w:ascii="Cambria" w:eastAsia="MS Gothic" w:hAnsi="Cambria"/>
              <w:b/>
              <w:bCs/>
              <w:color w:val="4F81BD"/>
            </w:rPr>
          </w:pPr>
        </w:p>
      </w:tc>
      <w:tc>
        <w:tcPr>
          <w:tcW w:w="0" w:type="auto"/>
          <w:vMerge/>
          <w:vAlign w:val="center"/>
          <w:hideMark/>
        </w:tcPr>
        <w:p w:rsidR="00DA38E5" w:rsidRPr="00A06225" w:rsidRDefault="00DA38E5">
          <w:pPr>
            <w:rPr>
              <w:rFonts w:ascii="Cambria" w:hAnsi="Cambria"/>
              <w:color w:val="4F81BD"/>
              <w:sz w:val="22"/>
              <w:szCs w:val="22"/>
            </w:rPr>
          </w:pPr>
        </w:p>
      </w:tc>
      <w:tc>
        <w:tcPr>
          <w:tcW w:w="2278" w:type="pct"/>
          <w:tcBorders>
            <w:top w:val="single" w:sz="4" w:space="0" w:color="4F81BD"/>
            <w:left w:val="nil"/>
            <w:bottom w:val="nil"/>
            <w:right w:val="nil"/>
          </w:tcBorders>
        </w:tcPr>
        <w:p w:rsidR="00DA38E5" w:rsidRPr="00A06225" w:rsidRDefault="00DA38E5">
          <w:pPr>
            <w:pStyle w:val="Header"/>
            <w:spacing w:line="276" w:lineRule="auto"/>
            <w:rPr>
              <w:rFonts w:ascii="Cambria" w:eastAsia="MS Gothic" w:hAnsi="Cambria"/>
              <w:b/>
              <w:bCs/>
              <w:color w:val="4F81BD"/>
            </w:rPr>
          </w:pPr>
        </w:p>
      </w:tc>
    </w:tr>
  </w:tbl>
  <w:p w:rsidR="00DA38E5" w:rsidRDefault="00DA38E5">
    <w:pPr>
      <w:pStyle w:val="Header"/>
    </w:pPr>
  </w:p>
  <w:p w:rsidR="00DA38E5" w:rsidRDefault="00DA38E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38E5" w:rsidRPr="006267BA" w:rsidRDefault="00645DF5" w:rsidP="00F176A8">
    <w:pPr>
      <w:tabs>
        <w:tab w:val="center" w:pos="4153"/>
        <w:tab w:val="right" w:pos="8306"/>
      </w:tabs>
      <w:spacing w:after="120"/>
      <w:ind w:left="360"/>
      <w:jc w:val="center"/>
      <w:rPr>
        <w:rFonts w:asciiTheme="minorHAnsi" w:hAnsiTheme="minorHAnsi" w:cs="Arial"/>
        <w:i/>
        <w:color w:val="808080"/>
        <w:lang w:eastAsia="en-US"/>
      </w:rPr>
    </w:pPr>
    <w:r>
      <w:rPr>
        <w:rFonts w:asciiTheme="minorHAnsi" w:hAnsiTheme="minorHAnsi" w:cs="Arial"/>
        <w:i/>
        <w:color w:val="808080"/>
        <w:lang w:eastAsia="en-US"/>
      </w:rPr>
      <w:t>Public Summary Document</w:t>
    </w:r>
    <w:r w:rsidR="00DA38E5" w:rsidRPr="006267BA">
      <w:rPr>
        <w:rFonts w:asciiTheme="minorHAnsi" w:hAnsiTheme="minorHAnsi" w:cs="Arial"/>
        <w:i/>
        <w:color w:val="808080"/>
        <w:lang w:eastAsia="en-US"/>
      </w:rPr>
      <w:t xml:space="preserve"> – July 2017 PBAC Meeting</w:t>
    </w:r>
  </w:p>
  <w:p w:rsidR="00DA38E5" w:rsidRPr="006267BA" w:rsidRDefault="00DA38E5" w:rsidP="00F176A8">
    <w:pPr>
      <w:tabs>
        <w:tab w:val="center" w:pos="4153"/>
        <w:tab w:val="right" w:pos="8306"/>
      </w:tabs>
      <w:spacing w:after="120"/>
      <w:ind w:left="360"/>
      <w:jc w:val="center"/>
      <w:rPr>
        <w:rFonts w:asciiTheme="minorHAnsi" w:hAnsiTheme="minorHAnsi" w:cs="Arial"/>
        <w:i/>
        <w:color w:val="808080"/>
        <w:lang w:eastAsia="en-US"/>
      </w:rPr>
    </w:pPr>
  </w:p>
  <w:p w:rsidR="00DA38E5" w:rsidRDefault="00DA38E5" w:rsidP="00A128E6">
    <w:pPr>
      <w:pStyle w:val="NoSpacing"/>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3769" w:rsidRDefault="0085376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0B200EBA"/>
    <w:lvl w:ilvl="0">
      <w:start w:val="1"/>
      <w:numFmt w:val="decimal"/>
      <w:pStyle w:val="Heading1"/>
      <w:lvlText w:val="%1"/>
      <w:lvlJc w:val="left"/>
      <w:pPr>
        <w:tabs>
          <w:tab w:val="num" w:pos="643"/>
        </w:tabs>
        <w:ind w:left="643" w:hanging="360"/>
      </w:pPr>
      <w:rPr>
        <w:rFonts w:hint="default"/>
      </w:rPr>
    </w:lvl>
  </w:abstractNum>
  <w:abstractNum w:abstractNumId="1">
    <w:nsid w:val="FFFFFF88"/>
    <w:multiLevelType w:val="singleLevel"/>
    <w:tmpl w:val="EE52495A"/>
    <w:lvl w:ilvl="0">
      <w:start w:val="1"/>
      <w:numFmt w:val="decimal"/>
      <w:pStyle w:val="ListNumber"/>
      <w:lvlText w:val="%1."/>
      <w:lvlJc w:val="left"/>
      <w:pPr>
        <w:tabs>
          <w:tab w:val="num" w:pos="360"/>
        </w:tabs>
        <w:ind w:left="360" w:hanging="360"/>
      </w:pPr>
    </w:lvl>
  </w:abstractNum>
  <w:abstractNum w:abstractNumId="2">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0AC0811"/>
    <w:multiLevelType w:val="hybridMultilevel"/>
    <w:tmpl w:val="9E3E2776"/>
    <w:lvl w:ilvl="0" w:tplc="369A0A56">
      <w:start w:val="1"/>
      <w:numFmt w:val="bullet"/>
      <w:lvlText w:val=""/>
      <w:lvlJc w:val="left"/>
      <w:pPr>
        <w:tabs>
          <w:tab w:val="num" w:pos="720"/>
        </w:tabs>
        <w:ind w:left="720" w:hanging="360"/>
      </w:pPr>
      <w:rPr>
        <w:rFonts w:ascii="Symbol" w:hAnsi="Symbol" w:hint="default"/>
      </w:rPr>
    </w:lvl>
    <w:lvl w:ilvl="1" w:tplc="E4321262">
      <w:start w:val="1"/>
      <w:numFmt w:val="bullet"/>
      <w:lvlText w:val="o"/>
      <w:lvlJc w:val="left"/>
      <w:pPr>
        <w:tabs>
          <w:tab w:val="num" w:pos="1440"/>
        </w:tabs>
        <w:ind w:left="1440" w:hanging="360"/>
      </w:pPr>
      <w:rPr>
        <w:rFonts w:ascii="Courier New" w:hAnsi="Courier New" w:cs="Courier New" w:hint="default"/>
      </w:rPr>
    </w:lvl>
    <w:lvl w:ilvl="2" w:tplc="8E7CC4D4">
      <w:start w:val="1"/>
      <w:numFmt w:val="bullet"/>
      <w:lvlText w:val=""/>
      <w:lvlJc w:val="left"/>
      <w:pPr>
        <w:tabs>
          <w:tab w:val="num" w:pos="2160"/>
        </w:tabs>
        <w:ind w:left="2160" w:hanging="360"/>
      </w:pPr>
      <w:rPr>
        <w:rFonts w:ascii="Wingdings" w:hAnsi="Wingdings" w:hint="default"/>
      </w:rPr>
    </w:lvl>
    <w:lvl w:ilvl="3" w:tplc="B172EB80" w:tentative="1">
      <w:start w:val="1"/>
      <w:numFmt w:val="bullet"/>
      <w:lvlText w:val=""/>
      <w:lvlJc w:val="left"/>
      <w:pPr>
        <w:tabs>
          <w:tab w:val="num" w:pos="2880"/>
        </w:tabs>
        <w:ind w:left="2880" w:hanging="360"/>
      </w:pPr>
      <w:rPr>
        <w:rFonts w:ascii="Symbol" w:hAnsi="Symbol" w:hint="default"/>
      </w:rPr>
    </w:lvl>
    <w:lvl w:ilvl="4" w:tplc="1F10EB0A" w:tentative="1">
      <w:start w:val="1"/>
      <w:numFmt w:val="bullet"/>
      <w:lvlText w:val="o"/>
      <w:lvlJc w:val="left"/>
      <w:pPr>
        <w:tabs>
          <w:tab w:val="num" w:pos="3600"/>
        </w:tabs>
        <w:ind w:left="3600" w:hanging="360"/>
      </w:pPr>
      <w:rPr>
        <w:rFonts w:ascii="Courier New" w:hAnsi="Courier New" w:cs="Courier New" w:hint="default"/>
      </w:rPr>
    </w:lvl>
    <w:lvl w:ilvl="5" w:tplc="7D4EB088" w:tentative="1">
      <w:start w:val="1"/>
      <w:numFmt w:val="bullet"/>
      <w:lvlText w:val=""/>
      <w:lvlJc w:val="left"/>
      <w:pPr>
        <w:tabs>
          <w:tab w:val="num" w:pos="4320"/>
        </w:tabs>
        <w:ind w:left="4320" w:hanging="360"/>
      </w:pPr>
      <w:rPr>
        <w:rFonts w:ascii="Wingdings" w:hAnsi="Wingdings" w:hint="default"/>
      </w:rPr>
    </w:lvl>
    <w:lvl w:ilvl="6" w:tplc="EF8EA542" w:tentative="1">
      <w:start w:val="1"/>
      <w:numFmt w:val="bullet"/>
      <w:lvlText w:val=""/>
      <w:lvlJc w:val="left"/>
      <w:pPr>
        <w:tabs>
          <w:tab w:val="num" w:pos="5040"/>
        </w:tabs>
        <w:ind w:left="5040" w:hanging="360"/>
      </w:pPr>
      <w:rPr>
        <w:rFonts w:ascii="Symbol" w:hAnsi="Symbol" w:hint="default"/>
      </w:rPr>
    </w:lvl>
    <w:lvl w:ilvl="7" w:tplc="5A12F5AE" w:tentative="1">
      <w:start w:val="1"/>
      <w:numFmt w:val="bullet"/>
      <w:lvlText w:val="o"/>
      <w:lvlJc w:val="left"/>
      <w:pPr>
        <w:tabs>
          <w:tab w:val="num" w:pos="5760"/>
        </w:tabs>
        <w:ind w:left="5760" w:hanging="360"/>
      </w:pPr>
      <w:rPr>
        <w:rFonts w:ascii="Courier New" w:hAnsi="Courier New" w:cs="Courier New" w:hint="default"/>
      </w:rPr>
    </w:lvl>
    <w:lvl w:ilvl="8" w:tplc="D292A61E" w:tentative="1">
      <w:start w:val="1"/>
      <w:numFmt w:val="bullet"/>
      <w:lvlText w:val=""/>
      <w:lvlJc w:val="left"/>
      <w:pPr>
        <w:tabs>
          <w:tab w:val="num" w:pos="6480"/>
        </w:tabs>
        <w:ind w:left="6480" w:hanging="360"/>
      </w:pPr>
      <w:rPr>
        <w:rFonts w:ascii="Wingdings" w:hAnsi="Wingdings" w:hint="default"/>
      </w:rPr>
    </w:lvl>
  </w:abstractNum>
  <w:abstractNum w:abstractNumId="4">
    <w:nsid w:val="06C9011D"/>
    <w:multiLevelType w:val="hybridMultilevel"/>
    <w:tmpl w:val="54025948"/>
    <w:lvl w:ilvl="0" w:tplc="48F662A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0F0015B3"/>
    <w:multiLevelType w:val="hybridMultilevel"/>
    <w:tmpl w:val="67C6A6E6"/>
    <w:lvl w:ilvl="0" w:tplc="18143B82">
      <w:start w:val="1"/>
      <w:numFmt w:val="bullet"/>
      <w:lvlText w:val=""/>
      <w:lvlJc w:val="left"/>
      <w:pPr>
        <w:tabs>
          <w:tab w:val="num" w:pos="720"/>
        </w:tabs>
        <w:ind w:left="720" w:hanging="360"/>
      </w:pPr>
      <w:rPr>
        <w:rFonts w:ascii="Symbol" w:hAnsi="Symbol" w:hint="default"/>
      </w:rPr>
    </w:lvl>
    <w:lvl w:ilvl="1" w:tplc="3BB87880" w:tentative="1">
      <w:start w:val="1"/>
      <w:numFmt w:val="bullet"/>
      <w:lvlText w:val="o"/>
      <w:lvlJc w:val="left"/>
      <w:pPr>
        <w:tabs>
          <w:tab w:val="num" w:pos="1440"/>
        </w:tabs>
        <w:ind w:left="1440" w:hanging="360"/>
      </w:pPr>
      <w:rPr>
        <w:rFonts w:ascii="Courier New" w:hAnsi="Courier New" w:cs="Courier New" w:hint="default"/>
      </w:rPr>
    </w:lvl>
    <w:lvl w:ilvl="2" w:tplc="32008766" w:tentative="1">
      <w:start w:val="1"/>
      <w:numFmt w:val="bullet"/>
      <w:lvlText w:val=""/>
      <w:lvlJc w:val="left"/>
      <w:pPr>
        <w:tabs>
          <w:tab w:val="num" w:pos="2160"/>
        </w:tabs>
        <w:ind w:left="2160" w:hanging="360"/>
      </w:pPr>
      <w:rPr>
        <w:rFonts w:ascii="Wingdings" w:hAnsi="Wingdings" w:hint="default"/>
      </w:rPr>
    </w:lvl>
    <w:lvl w:ilvl="3" w:tplc="E45AFFCC" w:tentative="1">
      <w:start w:val="1"/>
      <w:numFmt w:val="bullet"/>
      <w:lvlText w:val=""/>
      <w:lvlJc w:val="left"/>
      <w:pPr>
        <w:tabs>
          <w:tab w:val="num" w:pos="2880"/>
        </w:tabs>
        <w:ind w:left="2880" w:hanging="360"/>
      </w:pPr>
      <w:rPr>
        <w:rFonts w:ascii="Symbol" w:hAnsi="Symbol" w:hint="default"/>
      </w:rPr>
    </w:lvl>
    <w:lvl w:ilvl="4" w:tplc="E9C82456" w:tentative="1">
      <w:start w:val="1"/>
      <w:numFmt w:val="bullet"/>
      <w:lvlText w:val="o"/>
      <w:lvlJc w:val="left"/>
      <w:pPr>
        <w:tabs>
          <w:tab w:val="num" w:pos="3600"/>
        </w:tabs>
        <w:ind w:left="3600" w:hanging="360"/>
      </w:pPr>
      <w:rPr>
        <w:rFonts w:ascii="Courier New" w:hAnsi="Courier New" w:cs="Courier New" w:hint="default"/>
      </w:rPr>
    </w:lvl>
    <w:lvl w:ilvl="5" w:tplc="7640D61A" w:tentative="1">
      <w:start w:val="1"/>
      <w:numFmt w:val="bullet"/>
      <w:lvlText w:val=""/>
      <w:lvlJc w:val="left"/>
      <w:pPr>
        <w:tabs>
          <w:tab w:val="num" w:pos="4320"/>
        </w:tabs>
        <w:ind w:left="4320" w:hanging="360"/>
      </w:pPr>
      <w:rPr>
        <w:rFonts w:ascii="Wingdings" w:hAnsi="Wingdings" w:hint="default"/>
      </w:rPr>
    </w:lvl>
    <w:lvl w:ilvl="6" w:tplc="591CF4A6" w:tentative="1">
      <w:start w:val="1"/>
      <w:numFmt w:val="bullet"/>
      <w:lvlText w:val=""/>
      <w:lvlJc w:val="left"/>
      <w:pPr>
        <w:tabs>
          <w:tab w:val="num" w:pos="5040"/>
        </w:tabs>
        <w:ind w:left="5040" w:hanging="360"/>
      </w:pPr>
      <w:rPr>
        <w:rFonts w:ascii="Symbol" w:hAnsi="Symbol" w:hint="default"/>
      </w:rPr>
    </w:lvl>
    <w:lvl w:ilvl="7" w:tplc="0C2E83BC" w:tentative="1">
      <w:start w:val="1"/>
      <w:numFmt w:val="bullet"/>
      <w:lvlText w:val="o"/>
      <w:lvlJc w:val="left"/>
      <w:pPr>
        <w:tabs>
          <w:tab w:val="num" w:pos="5760"/>
        </w:tabs>
        <w:ind w:left="5760" w:hanging="360"/>
      </w:pPr>
      <w:rPr>
        <w:rFonts w:ascii="Courier New" w:hAnsi="Courier New" w:cs="Courier New" w:hint="default"/>
      </w:rPr>
    </w:lvl>
    <w:lvl w:ilvl="8" w:tplc="55C6FBAE" w:tentative="1">
      <w:start w:val="1"/>
      <w:numFmt w:val="bullet"/>
      <w:lvlText w:val=""/>
      <w:lvlJc w:val="left"/>
      <w:pPr>
        <w:tabs>
          <w:tab w:val="num" w:pos="6480"/>
        </w:tabs>
        <w:ind w:left="6480" w:hanging="360"/>
      </w:pPr>
      <w:rPr>
        <w:rFonts w:ascii="Wingdings" w:hAnsi="Wingdings" w:hint="default"/>
      </w:rPr>
    </w:lvl>
  </w:abstractNum>
  <w:abstractNum w:abstractNumId="7">
    <w:nsid w:val="197F422C"/>
    <w:multiLevelType w:val="hybridMultilevel"/>
    <w:tmpl w:val="BCDA96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E821623"/>
    <w:multiLevelType w:val="hybridMultilevel"/>
    <w:tmpl w:val="DFFEA42C"/>
    <w:lvl w:ilvl="0" w:tplc="27E62F28">
      <w:start w:val="1"/>
      <w:numFmt w:val="bullet"/>
      <w:lvlText w:val=""/>
      <w:lvlJc w:val="left"/>
      <w:pPr>
        <w:tabs>
          <w:tab w:val="num" w:pos="720"/>
        </w:tabs>
        <w:ind w:left="720" w:hanging="360"/>
      </w:pPr>
      <w:rPr>
        <w:rFonts w:ascii="Symbol" w:hAnsi="Symbol" w:hint="default"/>
      </w:rPr>
    </w:lvl>
    <w:lvl w:ilvl="1" w:tplc="869C860E" w:tentative="1">
      <w:start w:val="1"/>
      <w:numFmt w:val="bullet"/>
      <w:lvlText w:val="o"/>
      <w:lvlJc w:val="left"/>
      <w:pPr>
        <w:tabs>
          <w:tab w:val="num" w:pos="1440"/>
        </w:tabs>
        <w:ind w:left="1440" w:hanging="360"/>
      </w:pPr>
      <w:rPr>
        <w:rFonts w:ascii="Courier New" w:hAnsi="Courier New" w:cs="Courier New" w:hint="default"/>
      </w:rPr>
    </w:lvl>
    <w:lvl w:ilvl="2" w:tplc="41EE92A0" w:tentative="1">
      <w:start w:val="1"/>
      <w:numFmt w:val="bullet"/>
      <w:lvlText w:val=""/>
      <w:lvlJc w:val="left"/>
      <w:pPr>
        <w:tabs>
          <w:tab w:val="num" w:pos="2160"/>
        </w:tabs>
        <w:ind w:left="2160" w:hanging="360"/>
      </w:pPr>
      <w:rPr>
        <w:rFonts w:ascii="Wingdings" w:hAnsi="Wingdings" w:hint="default"/>
      </w:rPr>
    </w:lvl>
    <w:lvl w:ilvl="3" w:tplc="7BE80782" w:tentative="1">
      <w:start w:val="1"/>
      <w:numFmt w:val="bullet"/>
      <w:lvlText w:val=""/>
      <w:lvlJc w:val="left"/>
      <w:pPr>
        <w:tabs>
          <w:tab w:val="num" w:pos="2880"/>
        </w:tabs>
        <w:ind w:left="2880" w:hanging="360"/>
      </w:pPr>
      <w:rPr>
        <w:rFonts w:ascii="Symbol" w:hAnsi="Symbol" w:hint="default"/>
      </w:rPr>
    </w:lvl>
    <w:lvl w:ilvl="4" w:tplc="66BCBC84" w:tentative="1">
      <w:start w:val="1"/>
      <w:numFmt w:val="bullet"/>
      <w:lvlText w:val="o"/>
      <w:lvlJc w:val="left"/>
      <w:pPr>
        <w:tabs>
          <w:tab w:val="num" w:pos="3600"/>
        </w:tabs>
        <w:ind w:left="3600" w:hanging="360"/>
      </w:pPr>
      <w:rPr>
        <w:rFonts w:ascii="Courier New" w:hAnsi="Courier New" w:cs="Courier New" w:hint="default"/>
      </w:rPr>
    </w:lvl>
    <w:lvl w:ilvl="5" w:tplc="B920B2C2" w:tentative="1">
      <w:start w:val="1"/>
      <w:numFmt w:val="bullet"/>
      <w:lvlText w:val=""/>
      <w:lvlJc w:val="left"/>
      <w:pPr>
        <w:tabs>
          <w:tab w:val="num" w:pos="4320"/>
        </w:tabs>
        <w:ind w:left="4320" w:hanging="360"/>
      </w:pPr>
      <w:rPr>
        <w:rFonts w:ascii="Wingdings" w:hAnsi="Wingdings" w:hint="default"/>
      </w:rPr>
    </w:lvl>
    <w:lvl w:ilvl="6" w:tplc="59EE8322" w:tentative="1">
      <w:start w:val="1"/>
      <w:numFmt w:val="bullet"/>
      <w:lvlText w:val=""/>
      <w:lvlJc w:val="left"/>
      <w:pPr>
        <w:tabs>
          <w:tab w:val="num" w:pos="5040"/>
        </w:tabs>
        <w:ind w:left="5040" w:hanging="360"/>
      </w:pPr>
      <w:rPr>
        <w:rFonts w:ascii="Symbol" w:hAnsi="Symbol" w:hint="default"/>
      </w:rPr>
    </w:lvl>
    <w:lvl w:ilvl="7" w:tplc="52D41B08" w:tentative="1">
      <w:start w:val="1"/>
      <w:numFmt w:val="bullet"/>
      <w:lvlText w:val="o"/>
      <w:lvlJc w:val="left"/>
      <w:pPr>
        <w:tabs>
          <w:tab w:val="num" w:pos="5760"/>
        </w:tabs>
        <w:ind w:left="5760" w:hanging="360"/>
      </w:pPr>
      <w:rPr>
        <w:rFonts w:ascii="Courier New" w:hAnsi="Courier New" w:cs="Courier New" w:hint="default"/>
      </w:rPr>
    </w:lvl>
    <w:lvl w:ilvl="8" w:tplc="4ADC39B2" w:tentative="1">
      <w:start w:val="1"/>
      <w:numFmt w:val="bullet"/>
      <w:lvlText w:val=""/>
      <w:lvlJc w:val="left"/>
      <w:pPr>
        <w:tabs>
          <w:tab w:val="num" w:pos="6480"/>
        </w:tabs>
        <w:ind w:left="6480" w:hanging="360"/>
      </w:pPr>
      <w:rPr>
        <w:rFonts w:ascii="Wingdings" w:hAnsi="Wingdings" w:hint="default"/>
      </w:rPr>
    </w:lvl>
  </w:abstractNum>
  <w:abstractNum w:abstractNumId="9">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425697F"/>
    <w:multiLevelType w:val="multilevel"/>
    <w:tmpl w:val="10865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C0459B2"/>
    <w:multiLevelType w:val="hybridMultilevel"/>
    <w:tmpl w:val="75D4E64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nsid w:val="317E6951"/>
    <w:multiLevelType w:val="hybridMultilevel"/>
    <w:tmpl w:val="10389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4E904E0"/>
    <w:multiLevelType w:val="hybridMultilevel"/>
    <w:tmpl w:val="B4FCD872"/>
    <w:lvl w:ilvl="0" w:tplc="21D66824">
      <w:start w:val="1"/>
      <w:numFmt w:val="lowerLetter"/>
      <w:lvlText w:val="(%1)"/>
      <w:lvlJc w:val="left"/>
      <w:pPr>
        <w:ind w:left="720" w:hanging="360"/>
      </w:pPr>
      <w:rPr>
        <w:rFonts w:hint="default"/>
        <w:i/>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37D703EF"/>
    <w:multiLevelType w:val="hybridMultilevel"/>
    <w:tmpl w:val="52B2F7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A2B0988"/>
    <w:multiLevelType w:val="hybridMultilevel"/>
    <w:tmpl w:val="90AA54FC"/>
    <w:lvl w:ilvl="0" w:tplc="FFFFFFF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nsid w:val="4B5D60E2"/>
    <w:multiLevelType w:val="multilevel"/>
    <w:tmpl w:val="F4CE0ED2"/>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784D033C"/>
    <w:multiLevelType w:val="multilevel"/>
    <w:tmpl w:val="F4F8523E"/>
    <w:lvl w:ilvl="0">
      <w:start w:val="1"/>
      <w:numFmt w:val="decimal"/>
      <w:pStyle w:val="PBACHeading1"/>
      <w:lvlText w:val="%1"/>
      <w:lvlJc w:val="left"/>
      <w:pPr>
        <w:ind w:left="720" w:hanging="720"/>
      </w:pPr>
      <w:rPr>
        <w:rFonts w:hint="default"/>
        <w:b/>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8"/>
  </w:num>
  <w:num w:numId="2">
    <w:abstractNumId w:val="3"/>
  </w:num>
  <w:num w:numId="3">
    <w:abstractNumId w:val="6"/>
  </w:num>
  <w:num w:numId="4">
    <w:abstractNumId w:val="15"/>
  </w:num>
  <w:num w:numId="5">
    <w:abstractNumId w:val="18"/>
  </w:num>
  <w:num w:numId="6">
    <w:abstractNumId w:val="7"/>
  </w:num>
  <w:num w:numId="7">
    <w:abstractNumId w:val="14"/>
  </w:num>
  <w:num w:numId="8">
    <w:abstractNumId w:val="4"/>
  </w:num>
  <w:num w:numId="9">
    <w:abstractNumId w:val="13"/>
  </w:num>
  <w:num w:numId="10">
    <w:abstractNumId w:val="12"/>
  </w:num>
  <w:num w:numId="11">
    <w:abstractNumId w:val="11"/>
  </w:num>
  <w:num w:numId="12">
    <w:abstractNumId w:val="1"/>
  </w:num>
  <w:num w:numId="13">
    <w:abstractNumId w:val="0"/>
  </w:num>
  <w:num w:numId="14">
    <w:abstractNumId w:val="18"/>
  </w:num>
  <w:num w:numId="15">
    <w:abstractNumId w:val="10"/>
  </w:num>
  <w:num w:numId="16">
    <w:abstractNumId w:val="16"/>
  </w:num>
  <w:num w:numId="17">
    <w:abstractNumId w:val="17"/>
  </w:num>
  <w:num w:numId="18">
    <w:abstractNumId w:val="5"/>
  </w:num>
  <w:num w:numId="19">
    <w:abstractNumId w:val="2"/>
  </w:num>
  <w:num w:numId="20">
    <w:abstractNumId w:val="9"/>
  </w:num>
  <w:num w:numId="21">
    <w:abstractNumId w:val="18"/>
  </w:num>
  <w:num w:numId="22">
    <w:abstractNumId w:val="18"/>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eter Grimison">
    <w15:presenceInfo w15:providerId="AD" w15:userId="S-1-5-21-4175918418-1886762679-246317849-554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40E"/>
    <w:rsid w:val="000025AD"/>
    <w:rsid w:val="000067A3"/>
    <w:rsid w:val="0002464A"/>
    <w:rsid w:val="0003106B"/>
    <w:rsid w:val="000421A1"/>
    <w:rsid w:val="0004240E"/>
    <w:rsid w:val="00045E26"/>
    <w:rsid w:val="00050421"/>
    <w:rsid w:val="000514B5"/>
    <w:rsid w:val="00060E64"/>
    <w:rsid w:val="00066755"/>
    <w:rsid w:val="00077143"/>
    <w:rsid w:val="0008208E"/>
    <w:rsid w:val="000969AD"/>
    <w:rsid w:val="000A016B"/>
    <w:rsid w:val="000A3E4D"/>
    <w:rsid w:val="000B558D"/>
    <w:rsid w:val="000C6996"/>
    <w:rsid w:val="000C7003"/>
    <w:rsid w:val="000D23BA"/>
    <w:rsid w:val="000E681E"/>
    <w:rsid w:val="000F4E6A"/>
    <w:rsid w:val="001107BF"/>
    <w:rsid w:val="0011490D"/>
    <w:rsid w:val="0012417C"/>
    <w:rsid w:val="00142395"/>
    <w:rsid w:val="00142714"/>
    <w:rsid w:val="00143746"/>
    <w:rsid w:val="001452ED"/>
    <w:rsid w:val="00153C82"/>
    <w:rsid w:val="00156C0B"/>
    <w:rsid w:val="00166A7A"/>
    <w:rsid w:val="001830CE"/>
    <w:rsid w:val="0018643B"/>
    <w:rsid w:val="00196307"/>
    <w:rsid w:val="001A33EA"/>
    <w:rsid w:val="001B017F"/>
    <w:rsid w:val="001B5129"/>
    <w:rsid w:val="001C1195"/>
    <w:rsid w:val="002109A6"/>
    <w:rsid w:val="00213CFB"/>
    <w:rsid w:val="002316BE"/>
    <w:rsid w:val="00240F4D"/>
    <w:rsid w:val="00246D03"/>
    <w:rsid w:val="00271BA1"/>
    <w:rsid w:val="002762FA"/>
    <w:rsid w:val="00277505"/>
    <w:rsid w:val="00281DBC"/>
    <w:rsid w:val="0029458F"/>
    <w:rsid w:val="002A104C"/>
    <w:rsid w:val="002A4960"/>
    <w:rsid w:val="002B1AE6"/>
    <w:rsid w:val="002B30F8"/>
    <w:rsid w:val="002B5A18"/>
    <w:rsid w:val="002C212F"/>
    <w:rsid w:val="002D5DA0"/>
    <w:rsid w:val="002E3153"/>
    <w:rsid w:val="002E72CA"/>
    <w:rsid w:val="00300AD6"/>
    <w:rsid w:val="00300D34"/>
    <w:rsid w:val="00304870"/>
    <w:rsid w:val="00326E79"/>
    <w:rsid w:val="00327D33"/>
    <w:rsid w:val="003367EF"/>
    <w:rsid w:val="0034182C"/>
    <w:rsid w:val="00341AE4"/>
    <w:rsid w:val="00360030"/>
    <w:rsid w:val="003872CF"/>
    <w:rsid w:val="00395A71"/>
    <w:rsid w:val="0039782C"/>
    <w:rsid w:val="003A5B4A"/>
    <w:rsid w:val="003B23C5"/>
    <w:rsid w:val="003B2A75"/>
    <w:rsid w:val="003D4AC4"/>
    <w:rsid w:val="003D63B7"/>
    <w:rsid w:val="003D7C73"/>
    <w:rsid w:val="003E468B"/>
    <w:rsid w:val="003F5C8C"/>
    <w:rsid w:val="0041718F"/>
    <w:rsid w:val="004465BD"/>
    <w:rsid w:val="00466ADA"/>
    <w:rsid w:val="004703A4"/>
    <w:rsid w:val="00476245"/>
    <w:rsid w:val="0047794D"/>
    <w:rsid w:val="00485940"/>
    <w:rsid w:val="00493D74"/>
    <w:rsid w:val="004A2484"/>
    <w:rsid w:val="004A5A85"/>
    <w:rsid w:val="004B5640"/>
    <w:rsid w:val="004C1BD7"/>
    <w:rsid w:val="004C691D"/>
    <w:rsid w:val="004D5073"/>
    <w:rsid w:val="004E692D"/>
    <w:rsid w:val="004E6D2E"/>
    <w:rsid w:val="00501554"/>
    <w:rsid w:val="00514CD7"/>
    <w:rsid w:val="005319B2"/>
    <w:rsid w:val="00532C74"/>
    <w:rsid w:val="00534E2E"/>
    <w:rsid w:val="00544552"/>
    <w:rsid w:val="0055657B"/>
    <w:rsid w:val="005606A0"/>
    <w:rsid w:val="005607D4"/>
    <w:rsid w:val="00581932"/>
    <w:rsid w:val="005963BB"/>
    <w:rsid w:val="005A3173"/>
    <w:rsid w:val="005A3223"/>
    <w:rsid w:val="005A3DA3"/>
    <w:rsid w:val="005A52C4"/>
    <w:rsid w:val="005D03AB"/>
    <w:rsid w:val="005D5017"/>
    <w:rsid w:val="00601A91"/>
    <w:rsid w:val="00602BA3"/>
    <w:rsid w:val="00614159"/>
    <w:rsid w:val="006156DC"/>
    <w:rsid w:val="00617C00"/>
    <w:rsid w:val="006263BF"/>
    <w:rsid w:val="006267BA"/>
    <w:rsid w:val="0062748A"/>
    <w:rsid w:val="00630A2C"/>
    <w:rsid w:val="006436CD"/>
    <w:rsid w:val="00645DF5"/>
    <w:rsid w:val="00651169"/>
    <w:rsid w:val="00653D69"/>
    <w:rsid w:val="0065572B"/>
    <w:rsid w:val="00670A76"/>
    <w:rsid w:val="006711AA"/>
    <w:rsid w:val="00672B57"/>
    <w:rsid w:val="00675622"/>
    <w:rsid w:val="00690609"/>
    <w:rsid w:val="006906DB"/>
    <w:rsid w:val="006A12A5"/>
    <w:rsid w:val="006B0B24"/>
    <w:rsid w:val="006B0D94"/>
    <w:rsid w:val="006B485D"/>
    <w:rsid w:val="006C708E"/>
    <w:rsid w:val="006D6EC7"/>
    <w:rsid w:val="006E4590"/>
    <w:rsid w:val="006F5125"/>
    <w:rsid w:val="007174BB"/>
    <w:rsid w:val="007516C2"/>
    <w:rsid w:val="00755983"/>
    <w:rsid w:val="0076420C"/>
    <w:rsid w:val="00774444"/>
    <w:rsid w:val="007753C2"/>
    <w:rsid w:val="007838B8"/>
    <w:rsid w:val="007C0F57"/>
    <w:rsid w:val="007C40B6"/>
    <w:rsid w:val="007C6B6C"/>
    <w:rsid w:val="007C729F"/>
    <w:rsid w:val="007E1D28"/>
    <w:rsid w:val="007E5616"/>
    <w:rsid w:val="007F2641"/>
    <w:rsid w:val="007F7C36"/>
    <w:rsid w:val="00806796"/>
    <w:rsid w:val="008151D6"/>
    <w:rsid w:val="00826F6D"/>
    <w:rsid w:val="00847195"/>
    <w:rsid w:val="00853769"/>
    <w:rsid w:val="00856DDD"/>
    <w:rsid w:val="00863E68"/>
    <w:rsid w:val="00880EE7"/>
    <w:rsid w:val="00882085"/>
    <w:rsid w:val="00883188"/>
    <w:rsid w:val="00890131"/>
    <w:rsid w:val="00897D58"/>
    <w:rsid w:val="008A1956"/>
    <w:rsid w:val="008A4937"/>
    <w:rsid w:val="008A50F1"/>
    <w:rsid w:val="008C64BB"/>
    <w:rsid w:val="008D1B5C"/>
    <w:rsid w:val="008D3C82"/>
    <w:rsid w:val="008D447E"/>
    <w:rsid w:val="008D7A41"/>
    <w:rsid w:val="008D7F51"/>
    <w:rsid w:val="008E1F30"/>
    <w:rsid w:val="008E3680"/>
    <w:rsid w:val="008E5870"/>
    <w:rsid w:val="008F1434"/>
    <w:rsid w:val="008F159D"/>
    <w:rsid w:val="008F7355"/>
    <w:rsid w:val="0090353B"/>
    <w:rsid w:val="009067B7"/>
    <w:rsid w:val="00930937"/>
    <w:rsid w:val="00933E6C"/>
    <w:rsid w:val="00942160"/>
    <w:rsid w:val="0095146F"/>
    <w:rsid w:val="00954420"/>
    <w:rsid w:val="009602C5"/>
    <w:rsid w:val="00962223"/>
    <w:rsid w:val="00974C21"/>
    <w:rsid w:val="009B0F67"/>
    <w:rsid w:val="009C703C"/>
    <w:rsid w:val="009D3CAA"/>
    <w:rsid w:val="009F175B"/>
    <w:rsid w:val="009F4E46"/>
    <w:rsid w:val="009F5B65"/>
    <w:rsid w:val="009F5F2E"/>
    <w:rsid w:val="00A06225"/>
    <w:rsid w:val="00A128E6"/>
    <w:rsid w:val="00A37C8D"/>
    <w:rsid w:val="00A40AE0"/>
    <w:rsid w:val="00A5273B"/>
    <w:rsid w:val="00A53A9D"/>
    <w:rsid w:val="00A55FEE"/>
    <w:rsid w:val="00A62C1A"/>
    <w:rsid w:val="00A6426D"/>
    <w:rsid w:val="00A66CFF"/>
    <w:rsid w:val="00A70622"/>
    <w:rsid w:val="00A70977"/>
    <w:rsid w:val="00A72CAD"/>
    <w:rsid w:val="00A77613"/>
    <w:rsid w:val="00A8390C"/>
    <w:rsid w:val="00A928BD"/>
    <w:rsid w:val="00AA4D1C"/>
    <w:rsid w:val="00AC193C"/>
    <w:rsid w:val="00AC2A9A"/>
    <w:rsid w:val="00AC2FFC"/>
    <w:rsid w:val="00AC5206"/>
    <w:rsid w:val="00AD3887"/>
    <w:rsid w:val="00AD55EB"/>
    <w:rsid w:val="00AD732F"/>
    <w:rsid w:val="00AE11A5"/>
    <w:rsid w:val="00AE13E2"/>
    <w:rsid w:val="00AF68CC"/>
    <w:rsid w:val="00B1059E"/>
    <w:rsid w:val="00B205AA"/>
    <w:rsid w:val="00B22E84"/>
    <w:rsid w:val="00B25F75"/>
    <w:rsid w:val="00B43E90"/>
    <w:rsid w:val="00B467DC"/>
    <w:rsid w:val="00B56118"/>
    <w:rsid w:val="00B619F0"/>
    <w:rsid w:val="00B6773F"/>
    <w:rsid w:val="00B703C6"/>
    <w:rsid w:val="00B801BA"/>
    <w:rsid w:val="00B850B6"/>
    <w:rsid w:val="00BB69F5"/>
    <w:rsid w:val="00BB7EC3"/>
    <w:rsid w:val="00BC4B9A"/>
    <w:rsid w:val="00BD784C"/>
    <w:rsid w:val="00BE7EA2"/>
    <w:rsid w:val="00BF0F21"/>
    <w:rsid w:val="00BF4CB6"/>
    <w:rsid w:val="00C00DA7"/>
    <w:rsid w:val="00C12768"/>
    <w:rsid w:val="00C14C15"/>
    <w:rsid w:val="00C27B58"/>
    <w:rsid w:val="00C35996"/>
    <w:rsid w:val="00C4575E"/>
    <w:rsid w:val="00C5342C"/>
    <w:rsid w:val="00C603D4"/>
    <w:rsid w:val="00C6256A"/>
    <w:rsid w:val="00C81F8B"/>
    <w:rsid w:val="00C85F8E"/>
    <w:rsid w:val="00C91449"/>
    <w:rsid w:val="00C92D10"/>
    <w:rsid w:val="00CE10C4"/>
    <w:rsid w:val="00CE27B5"/>
    <w:rsid w:val="00D0321E"/>
    <w:rsid w:val="00D1455A"/>
    <w:rsid w:val="00D3138B"/>
    <w:rsid w:val="00D3280C"/>
    <w:rsid w:val="00D3406A"/>
    <w:rsid w:val="00D34CE1"/>
    <w:rsid w:val="00D41051"/>
    <w:rsid w:val="00D45ADF"/>
    <w:rsid w:val="00D469B2"/>
    <w:rsid w:val="00D741EB"/>
    <w:rsid w:val="00D83605"/>
    <w:rsid w:val="00D84934"/>
    <w:rsid w:val="00D91271"/>
    <w:rsid w:val="00D95164"/>
    <w:rsid w:val="00DA2CB5"/>
    <w:rsid w:val="00DA38E5"/>
    <w:rsid w:val="00DA4BAC"/>
    <w:rsid w:val="00DE0455"/>
    <w:rsid w:val="00DE6D27"/>
    <w:rsid w:val="00DF217D"/>
    <w:rsid w:val="00DF26A7"/>
    <w:rsid w:val="00E15627"/>
    <w:rsid w:val="00E164B3"/>
    <w:rsid w:val="00E16910"/>
    <w:rsid w:val="00E2364C"/>
    <w:rsid w:val="00E32599"/>
    <w:rsid w:val="00E33915"/>
    <w:rsid w:val="00E438B5"/>
    <w:rsid w:val="00E6379A"/>
    <w:rsid w:val="00E65E54"/>
    <w:rsid w:val="00E67153"/>
    <w:rsid w:val="00E80155"/>
    <w:rsid w:val="00E848C0"/>
    <w:rsid w:val="00E86210"/>
    <w:rsid w:val="00E91B96"/>
    <w:rsid w:val="00E941A1"/>
    <w:rsid w:val="00E95CE3"/>
    <w:rsid w:val="00EA2825"/>
    <w:rsid w:val="00EB5088"/>
    <w:rsid w:val="00ED1644"/>
    <w:rsid w:val="00ED2593"/>
    <w:rsid w:val="00ED564B"/>
    <w:rsid w:val="00ED6BFB"/>
    <w:rsid w:val="00EF44A0"/>
    <w:rsid w:val="00EF4FED"/>
    <w:rsid w:val="00F050BD"/>
    <w:rsid w:val="00F05657"/>
    <w:rsid w:val="00F176A8"/>
    <w:rsid w:val="00F2480D"/>
    <w:rsid w:val="00F25578"/>
    <w:rsid w:val="00F258E5"/>
    <w:rsid w:val="00F300BC"/>
    <w:rsid w:val="00F3334E"/>
    <w:rsid w:val="00F36CCB"/>
    <w:rsid w:val="00F4764B"/>
    <w:rsid w:val="00F50EC4"/>
    <w:rsid w:val="00F57A6D"/>
    <w:rsid w:val="00F638CC"/>
    <w:rsid w:val="00F64CC1"/>
    <w:rsid w:val="00F8247A"/>
    <w:rsid w:val="00F9629A"/>
    <w:rsid w:val="00FA5883"/>
    <w:rsid w:val="00FA6055"/>
    <w:rsid w:val="00FB322F"/>
    <w:rsid w:val="00FB442F"/>
    <w:rsid w:val="00FC1929"/>
    <w:rsid w:val="00FC2251"/>
    <w:rsid w:val="00FC5B46"/>
    <w:rsid w:val="00FC7828"/>
    <w:rsid w:val="00FE0E94"/>
    <w:rsid w:val="00FF00BD"/>
    <w:rsid w:val="00FF1ED4"/>
    <w:rsid w:val="00FF28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E501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annotation reference" w:uiPriority="99" w:qFormat="1"/>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lsdException w:name="No Spacing" w:semiHidden="0" w:uiPriority="99"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99"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Normal">
    <w:name w:val="Normal"/>
    <w:qFormat/>
    <w:rPr>
      <w:sz w:val="24"/>
      <w:szCs w:val="24"/>
    </w:rPr>
  </w:style>
  <w:style w:type="paragraph" w:styleId="Heading1">
    <w:name w:val="heading 1"/>
    <w:basedOn w:val="ListParagraph"/>
    <w:next w:val="Normal"/>
    <w:qFormat/>
    <w:rsid w:val="00C603D4"/>
    <w:pPr>
      <w:numPr>
        <w:numId w:val="13"/>
      </w:numPr>
      <w:tabs>
        <w:tab w:val="clear" w:pos="643"/>
      </w:tabs>
      <w:ind w:left="720" w:hanging="720"/>
      <w:outlineLvl w:val="0"/>
    </w:pPr>
    <w:rPr>
      <w:b/>
      <w:szCs w:val="22"/>
    </w:rPr>
  </w:style>
  <w:style w:type="paragraph" w:styleId="Heading2">
    <w:name w:val="heading 2"/>
    <w:basedOn w:val="Normal"/>
    <w:next w:val="Normal"/>
    <w:qFormat/>
    <w:rsid w:val="00A66CFF"/>
    <w:pPr>
      <w:keepNext/>
      <w:outlineLvl w:val="1"/>
    </w:pPr>
    <w:rPr>
      <w:rFonts w:asciiTheme="minorHAnsi" w:hAnsiTheme="minorHAnsi"/>
      <w:b/>
      <w:i/>
      <w:sz w:val="28"/>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aliases w:val="CMA Table Template"/>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basedOn w:val="Normal"/>
    <w:link w:val="ListParagraphChar"/>
    <w:uiPriority w:val="72"/>
    <w:qFormat/>
    <w:rsid w:val="00A66CFF"/>
    <w:pPr>
      <w:widowControl w:val="0"/>
      <w:ind w:left="720"/>
      <w:contextualSpacing/>
      <w:jc w:val="both"/>
    </w:pPr>
    <w:rPr>
      <w:rFonts w:asciiTheme="minorHAnsi" w:hAnsiTheme="minorHAnsi" w:cs="Arial"/>
      <w:snapToGrid w:val="0"/>
      <w:szCs w:val="20"/>
      <w:lang w:eastAsia="en-US"/>
    </w:r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99"/>
    <w:qFormat/>
    <w:rsid w:val="00C27B58"/>
    <w:pPr>
      <w:jc w:val="both"/>
    </w:pPr>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qFormat/>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numPr>
        <w:numId w:val="12"/>
      </w:numPr>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basedOn w:val="DefaultParagraphFont"/>
    <w:link w:val="ListParagraph"/>
    <w:uiPriority w:val="72"/>
    <w:rsid w:val="00A66CFF"/>
    <w:rPr>
      <w:rFonts w:asciiTheme="minorHAnsi" w:hAnsiTheme="minorHAnsi" w:cs="Arial"/>
      <w:snapToGrid w:val="0"/>
      <w:sz w:val="24"/>
      <w:lang w:eastAsia="en-US"/>
    </w:rPr>
  </w:style>
  <w:style w:type="paragraph" w:customStyle="1" w:styleId="PBACHeading1">
    <w:name w:val="PBAC Heading 1"/>
    <w:qFormat/>
    <w:rsid w:val="00A66CFF"/>
    <w:pPr>
      <w:numPr>
        <w:numId w:val="14"/>
      </w:numPr>
      <w:outlineLvl w:val="0"/>
    </w:pPr>
    <w:rPr>
      <w:rFonts w:asciiTheme="minorHAnsi" w:hAnsiTheme="minorHAnsi" w:cs="Arial"/>
      <w:b/>
      <w:snapToGrid w:val="0"/>
      <w:sz w:val="32"/>
      <w:szCs w:val="22"/>
      <w:lang w:eastAsia="en-US"/>
    </w:rPr>
  </w:style>
  <w:style w:type="paragraph" w:styleId="NormalWeb">
    <w:name w:val="Normal (Web)"/>
    <w:basedOn w:val="Normal"/>
    <w:uiPriority w:val="99"/>
    <w:unhideWhenUsed/>
    <w:rsid w:val="00F4764B"/>
    <w:pPr>
      <w:spacing w:after="150"/>
    </w:pPr>
    <w:rPr>
      <w:color w:val="222222"/>
    </w:rPr>
  </w:style>
  <w:style w:type="character" w:customStyle="1" w:styleId="form-strength">
    <w:name w:val="form-strength"/>
    <w:basedOn w:val="DefaultParagraphFont"/>
    <w:rsid w:val="00F4764B"/>
  </w:style>
  <w:style w:type="paragraph" w:styleId="FootnoteText">
    <w:name w:val="footnote text"/>
    <w:basedOn w:val="Normal"/>
    <w:link w:val="FootnoteTextChar"/>
    <w:rsid w:val="00FC2251"/>
    <w:rPr>
      <w:sz w:val="20"/>
      <w:szCs w:val="20"/>
    </w:rPr>
  </w:style>
  <w:style w:type="character" w:customStyle="1" w:styleId="FootnoteTextChar">
    <w:name w:val="Footnote Text Char"/>
    <w:basedOn w:val="DefaultParagraphFont"/>
    <w:link w:val="FootnoteText"/>
    <w:rsid w:val="00FC2251"/>
  </w:style>
  <w:style w:type="character" w:styleId="FootnoteReference">
    <w:name w:val="footnote reference"/>
    <w:basedOn w:val="DefaultParagraphFont"/>
    <w:rsid w:val="00FC2251"/>
    <w:rPr>
      <w:vertAlign w:val="superscript"/>
    </w:rPr>
  </w:style>
  <w:style w:type="paragraph" w:styleId="Caption">
    <w:name w:val="caption"/>
    <w:basedOn w:val="Normal"/>
    <w:next w:val="Normal"/>
    <w:unhideWhenUsed/>
    <w:qFormat/>
    <w:rsid w:val="00A66CFF"/>
    <w:rPr>
      <w:rFonts w:ascii="Arial Narrow" w:hAnsi="Arial Narrow"/>
      <w:b/>
      <w:bCs/>
      <w:color w:val="000000" w:themeColor="text1"/>
      <w:sz w:val="20"/>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annotation reference" w:uiPriority="99" w:qFormat="1"/>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lsdException w:name="No Spacing" w:semiHidden="0" w:uiPriority="99"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99"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Normal">
    <w:name w:val="Normal"/>
    <w:qFormat/>
    <w:rPr>
      <w:sz w:val="24"/>
      <w:szCs w:val="24"/>
    </w:rPr>
  </w:style>
  <w:style w:type="paragraph" w:styleId="Heading1">
    <w:name w:val="heading 1"/>
    <w:basedOn w:val="ListParagraph"/>
    <w:next w:val="Normal"/>
    <w:qFormat/>
    <w:rsid w:val="00C603D4"/>
    <w:pPr>
      <w:numPr>
        <w:numId w:val="13"/>
      </w:numPr>
      <w:tabs>
        <w:tab w:val="clear" w:pos="643"/>
      </w:tabs>
      <w:ind w:left="720" w:hanging="720"/>
      <w:outlineLvl w:val="0"/>
    </w:pPr>
    <w:rPr>
      <w:b/>
      <w:szCs w:val="22"/>
    </w:rPr>
  </w:style>
  <w:style w:type="paragraph" w:styleId="Heading2">
    <w:name w:val="heading 2"/>
    <w:basedOn w:val="Normal"/>
    <w:next w:val="Normal"/>
    <w:qFormat/>
    <w:rsid w:val="00A66CFF"/>
    <w:pPr>
      <w:keepNext/>
      <w:outlineLvl w:val="1"/>
    </w:pPr>
    <w:rPr>
      <w:rFonts w:asciiTheme="minorHAnsi" w:hAnsiTheme="minorHAnsi"/>
      <w:b/>
      <w:i/>
      <w:sz w:val="28"/>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aliases w:val="CMA Table Template"/>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basedOn w:val="Normal"/>
    <w:link w:val="ListParagraphChar"/>
    <w:uiPriority w:val="72"/>
    <w:qFormat/>
    <w:rsid w:val="00A66CFF"/>
    <w:pPr>
      <w:widowControl w:val="0"/>
      <w:ind w:left="720"/>
      <w:contextualSpacing/>
      <w:jc w:val="both"/>
    </w:pPr>
    <w:rPr>
      <w:rFonts w:asciiTheme="minorHAnsi" w:hAnsiTheme="minorHAnsi" w:cs="Arial"/>
      <w:snapToGrid w:val="0"/>
      <w:szCs w:val="20"/>
      <w:lang w:eastAsia="en-US"/>
    </w:r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99"/>
    <w:qFormat/>
    <w:rsid w:val="00C27B58"/>
    <w:pPr>
      <w:jc w:val="both"/>
    </w:pPr>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qFormat/>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numPr>
        <w:numId w:val="12"/>
      </w:numPr>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basedOn w:val="DefaultParagraphFont"/>
    <w:link w:val="ListParagraph"/>
    <w:uiPriority w:val="72"/>
    <w:rsid w:val="00A66CFF"/>
    <w:rPr>
      <w:rFonts w:asciiTheme="minorHAnsi" w:hAnsiTheme="minorHAnsi" w:cs="Arial"/>
      <w:snapToGrid w:val="0"/>
      <w:sz w:val="24"/>
      <w:lang w:eastAsia="en-US"/>
    </w:rPr>
  </w:style>
  <w:style w:type="paragraph" w:customStyle="1" w:styleId="PBACHeading1">
    <w:name w:val="PBAC Heading 1"/>
    <w:qFormat/>
    <w:rsid w:val="00A66CFF"/>
    <w:pPr>
      <w:numPr>
        <w:numId w:val="14"/>
      </w:numPr>
      <w:outlineLvl w:val="0"/>
    </w:pPr>
    <w:rPr>
      <w:rFonts w:asciiTheme="minorHAnsi" w:hAnsiTheme="minorHAnsi" w:cs="Arial"/>
      <w:b/>
      <w:snapToGrid w:val="0"/>
      <w:sz w:val="32"/>
      <w:szCs w:val="22"/>
      <w:lang w:eastAsia="en-US"/>
    </w:rPr>
  </w:style>
  <w:style w:type="paragraph" w:styleId="NormalWeb">
    <w:name w:val="Normal (Web)"/>
    <w:basedOn w:val="Normal"/>
    <w:uiPriority w:val="99"/>
    <w:unhideWhenUsed/>
    <w:rsid w:val="00F4764B"/>
    <w:pPr>
      <w:spacing w:after="150"/>
    </w:pPr>
    <w:rPr>
      <w:color w:val="222222"/>
    </w:rPr>
  </w:style>
  <w:style w:type="character" w:customStyle="1" w:styleId="form-strength">
    <w:name w:val="form-strength"/>
    <w:basedOn w:val="DefaultParagraphFont"/>
    <w:rsid w:val="00F4764B"/>
  </w:style>
  <w:style w:type="paragraph" w:styleId="FootnoteText">
    <w:name w:val="footnote text"/>
    <w:basedOn w:val="Normal"/>
    <w:link w:val="FootnoteTextChar"/>
    <w:rsid w:val="00FC2251"/>
    <w:rPr>
      <w:sz w:val="20"/>
      <w:szCs w:val="20"/>
    </w:rPr>
  </w:style>
  <w:style w:type="character" w:customStyle="1" w:styleId="FootnoteTextChar">
    <w:name w:val="Footnote Text Char"/>
    <w:basedOn w:val="DefaultParagraphFont"/>
    <w:link w:val="FootnoteText"/>
    <w:rsid w:val="00FC2251"/>
  </w:style>
  <w:style w:type="character" w:styleId="FootnoteReference">
    <w:name w:val="footnote reference"/>
    <w:basedOn w:val="DefaultParagraphFont"/>
    <w:rsid w:val="00FC2251"/>
    <w:rPr>
      <w:vertAlign w:val="superscript"/>
    </w:rPr>
  </w:style>
  <w:style w:type="paragraph" w:styleId="Caption">
    <w:name w:val="caption"/>
    <w:basedOn w:val="Normal"/>
    <w:next w:val="Normal"/>
    <w:unhideWhenUsed/>
    <w:qFormat/>
    <w:rsid w:val="00A66CFF"/>
    <w:rPr>
      <w:rFonts w:ascii="Arial Narrow" w:hAnsi="Arial Narrow"/>
      <w:b/>
      <w:bCs/>
      <w:color w:val="000000" w:themeColor="text1"/>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611713747">
      <w:bodyDiv w:val="1"/>
      <w:marLeft w:val="0"/>
      <w:marRight w:val="0"/>
      <w:marTop w:val="0"/>
      <w:marBottom w:val="0"/>
      <w:divBdr>
        <w:top w:val="none" w:sz="0" w:space="0" w:color="auto"/>
        <w:left w:val="none" w:sz="0" w:space="0" w:color="auto"/>
        <w:bottom w:val="none" w:sz="0" w:space="0" w:color="auto"/>
        <w:right w:val="none" w:sz="0" w:space="0" w:color="auto"/>
      </w:divBdr>
      <w:divsChild>
        <w:div w:id="1560703065">
          <w:marLeft w:val="0"/>
          <w:marRight w:val="0"/>
          <w:marTop w:val="0"/>
          <w:marBottom w:val="0"/>
          <w:divBdr>
            <w:top w:val="none" w:sz="0" w:space="0" w:color="auto"/>
            <w:left w:val="none" w:sz="0" w:space="0" w:color="auto"/>
            <w:bottom w:val="none" w:sz="0" w:space="0" w:color="auto"/>
            <w:right w:val="none" w:sz="0" w:space="0" w:color="auto"/>
          </w:divBdr>
          <w:divsChild>
            <w:div w:id="655960926">
              <w:marLeft w:val="0"/>
              <w:marRight w:val="0"/>
              <w:marTop w:val="0"/>
              <w:marBottom w:val="0"/>
              <w:divBdr>
                <w:top w:val="none" w:sz="0" w:space="0" w:color="auto"/>
                <w:left w:val="none" w:sz="0" w:space="0" w:color="auto"/>
                <w:bottom w:val="none" w:sz="0" w:space="0" w:color="auto"/>
                <w:right w:val="none" w:sz="0" w:space="0" w:color="auto"/>
              </w:divBdr>
              <w:divsChild>
                <w:div w:id="1349403334">
                  <w:marLeft w:val="0"/>
                  <w:marRight w:val="0"/>
                  <w:marTop w:val="0"/>
                  <w:marBottom w:val="0"/>
                  <w:divBdr>
                    <w:top w:val="none" w:sz="0" w:space="0" w:color="auto"/>
                    <w:left w:val="none" w:sz="0" w:space="0" w:color="auto"/>
                    <w:bottom w:val="none" w:sz="0" w:space="0" w:color="auto"/>
                    <w:right w:val="none" w:sz="0" w:space="0" w:color="auto"/>
                  </w:divBdr>
                  <w:divsChild>
                    <w:div w:id="254946025">
                      <w:marLeft w:val="0"/>
                      <w:marRight w:val="0"/>
                      <w:marTop w:val="0"/>
                      <w:marBottom w:val="0"/>
                      <w:divBdr>
                        <w:top w:val="none" w:sz="0" w:space="0" w:color="auto"/>
                        <w:left w:val="none" w:sz="0" w:space="0" w:color="auto"/>
                        <w:bottom w:val="none" w:sz="0" w:space="0" w:color="auto"/>
                        <w:right w:val="none" w:sz="0" w:space="0" w:color="auto"/>
                      </w:divBdr>
                      <w:divsChild>
                        <w:div w:id="2097750269">
                          <w:marLeft w:val="0"/>
                          <w:marRight w:val="0"/>
                          <w:marTop w:val="0"/>
                          <w:marBottom w:val="0"/>
                          <w:divBdr>
                            <w:top w:val="none" w:sz="0" w:space="0" w:color="auto"/>
                            <w:left w:val="none" w:sz="0" w:space="0" w:color="auto"/>
                            <w:bottom w:val="none" w:sz="0" w:space="0" w:color="auto"/>
                            <w:right w:val="none" w:sz="0" w:space="0" w:color="auto"/>
                          </w:divBdr>
                          <w:divsChild>
                            <w:div w:id="190325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961493667">
      <w:bodyDiv w:val="1"/>
      <w:marLeft w:val="0"/>
      <w:marRight w:val="0"/>
      <w:marTop w:val="0"/>
      <w:marBottom w:val="0"/>
      <w:divBdr>
        <w:top w:val="none" w:sz="0" w:space="0" w:color="auto"/>
        <w:left w:val="none" w:sz="0" w:space="0" w:color="auto"/>
        <w:bottom w:val="none" w:sz="0" w:space="0" w:color="auto"/>
        <w:right w:val="none" w:sz="0" w:space="0" w:color="auto"/>
      </w:divBdr>
    </w:div>
    <w:div w:id="1345982161">
      <w:bodyDiv w:val="1"/>
      <w:marLeft w:val="0"/>
      <w:marRight w:val="0"/>
      <w:marTop w:val="0"/>
      <w:marBottom w:val="0"/>
      <w:divBdr>
        <w:top w:val="none" w:sz="0" w:space="0" w:color="auto"/>
        <w:left w:val="none" w:sz="0" w:space="0" w:color="auto"/>
        <w:bottom w:val="none" w:sz="0" w:space="0" w:color="auto"/>
        <w:right w:val="none" w:sz="0" w:space="0" w:color="auto"/>
      </w:divBdr>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7CA863-FFA6-4199-A485-366408E82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2720</Words>
  <Characters>16079</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2017-10-16T01:06:00Z</dcterms:created>
  <dcterms:modified xsi:type="dcterms:W3CDTF">2017-10-16T01:12:00Z</dcterms:modified>
</cp:coreProperties>
</file>