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3E7C50" w:rsidRDefault="003651F5" w:rsidP="00762A23">
      <w:pPr>
        <w:ind w:left="1134" w:hanging="1134"/>
        <w:outlineLvl w:val="0"/>
        <w:rPr>
          <w:b/>
          <w:sz w:val="36"/>
          <w:szCs w:val="36"/>
        </w:rPr>
      </w:pPr>
      <w:r w:rsidRPr="003E7C50">
        <w:rPr>
          <w:b/>
          <w:sz w:val="36"/>
          <w:szCs w:val="36"/>
        </w:rPr>
        <w:t>5.12</w:t>
      </w:r>
      <w:r w:rsidR="00C317F3" w:rsidRPr="003E7C50">
        <w:rPr>
          <w:b/>
          <w:sz w:val="36"/>
          <w:szCs w:val="36"/>
        </w:rPr>
        <w:tab/>
      </w:r>
      <w:r w:rsidR="00765A39" w:rsidRPr="003E7C50">
        <w:rPr>
          <w:b/>
          <w:sz w:val="36"/>
          <w:szCs w:val="36"/>
        </w:rPr>
        <w:t>RIBOCICLIB</w:t>
      </w:r>
      <w:proofErr w:type="gramStart"/>
      <w:r w:rsidR="00C317F3" w:rsidRPr="003E7C50">
        <w:rPr>
          <w:b/>
          <w:sz w:val="36"/>
          <w:szCs w:val="36"/>
        </w:rPr>
        <w:t>,</w:t>
      </w:r>
      <w:proofErr w:type="gramEnd"/>
      <w:r w:rsidR="009D4C2A" w:rsidRPr="003E7C50">
        <w:rPr>
          <w:b/>
          <w:sz w:val="36"/>
          <w:szCs w:val="36"/>
        </w:rPr>
        <w:br/>
      </w:r>
      <w:r w:rsidR="00765A39" w:rsidRPr="003E7C50">
        <w:rPr>
          <w:b/>
          <w:sz w:val="36"/>
          <w:szCs w:val="36"/>
        </w:rPr>
        <w:t>200 mg tablet</w:t>
      </w:r>
      <w:r w:rsidR="00C317F3" w:rsidRPr="003E7C50">
        <w:rPr>
          <w:b/>
          <w:sz w:val="36"/>
          <w:szCs w:val="36"/>
        </w:rPr>
        <w:t xml:space="preserve">, </w:t>
      </w:r>
      <w:r w:rsidR="009D4C2A" w:rsidRPr="003E7C50">
        <w:rPr>
          <w:b/>
          <w:sz w:val="36"/>
          <w:szCs w:val="36"/>
        </w:rPr>
        <w:br/>
      </w:r>
      <w:proofErr w:type="spellStart"/>
      <w:r w:rsidR="00765A39" w:rsidRPr="003E7C50">
        <w:rPr>
          <w:b/>
          <w:sz w:val="36"/>
          <w:szCs w:val="36"/>
        </w:rPr>
        <w:t>Kisqali</w:t>
      </w:r>
      <w:proofErr w:type="spellEnd"/>
      <w:r w:rsidR="00C317F3" w:rsidRPr="003E7C50">
        <w:rPr>
          <w:b/>
          <w:sz w:val="36"/>
          <w:szCs w:val="36"/>
        </w:rPr>
        <w:t xml:space="preserve">®, </w:t>
      </w:r>
      <w:r w:rsidR="00765A39" w:rsidRPr="003E7C50">
        <w:rPr>
          <w:b/>
          <w:sz w:val="36"/>
          <w:szCs w:val="36"/>
        </w:rPr>
        <w:t>Novartis</w:t>
      </w:r>
      <w:r w:rsidR="00E10EA6" w:rsidRPr="003E7C50">
        <w:rPr>
          <w:b/>
          <w:sz w:val="36"/>
          <w:szCs w:val="36"/>
        </w:rPr>
        <w:t xml:space="preserve"> Pty Ltd.</w:t>
      </w:r>
    </w:p>
    <w:p w:rsidR="00C317F3" w:rsidRPr="003E7C50" w:rsidRDefault="00C317F3" w:rsidP="003C639E">
      <w:pPr>
        <w:pStyle w:val="Heading1"/>
        <w:numPr>
          <w:ilvl w:val="0"/>
          <w:numId w:val="1"/>
        </w:numPr>
        <w:ind w:left="709" w:hanging="709"/>
      </w:pPr>
      <w:bookmarkStart w:id="0" w:name="_Toc413139271"/>
      <w:bookmarkStart w:id="1" w:name="_Toc482023177"/>
      <w:r w:rsidRPr="003E7C50">
        <w:t>Purpose of Application</w:t>
      </w:r>
      <w:bookmarkEnd w:id="0"/>
      <w:bookmarkEnd w:id="1"/>
    </w:p>
    <w:p w:rsidR="00CB4D4F" w:rsidRPr="003E7C50" w:rsidRDefault="003651F5" w:rsidP="00316E09">
      <w:pPr>
        <w:pStyle w:val="ListParagraph"/>
      </w:pPr>
      <w:r w:rsidRPr="003E7C50">
        <w:t xml:space="preserve">The submission requested an </w:t>
      </w:r>
      <w:r w:rsidR="00C317F3" w:rsidRPr="003E7C50">
        <w:t xml:space="preserve">Authority </w:t>
      </w:r>
      <w:proofErr w:type="gramStart"/>
      <w:r w:rsidR="00C317F3" w:rsidRPr="003E7C50">
        <w:t>Required</w:t>
      </w:r>
      <w:proofErr w:type="gramEnd"/>
      <w:r w:rsidR="00C317F3" w:rsidRPr="003E7C50">
        <w:t xml:space="preserve"> listing for </w:t>
      </w:r>
      <w:proofErr w:type="spellStart"/>
      <w:r w:rsidR="00765A39" w:rsidRPr="003E7C50">
        <w:t>ribociclib</w:t>
      </w:r>
      <w:proofErr w:type="spellEnd"/>
      <w:r w:rsidR="00C317F3" w:rsidRPr="003E7C50">
        <w:t xml:space="preserve"> </w:t>
      </w:r>
      <w:r w:rsidR="00CB4D4F" w:rsidRPr="003E7C50">
        <w:t xml:space="preserve">in combination </w:t>
      </w:r>
      <w:r w:rsidR="00E14C37" w:rsidRPr="003E7C50">
        <w:t xml:space="preserve">with </w:t>
      </w:r>
      <w:proofErr w:type="spellStart"/>
      <w:r w:rsidR="00CB4D4F" w:rsidRPr="003E7C50">
        <w:t>letrozole</w:t>
      </w:r>
      <w:proofErr w:type="spellEnd"/>
      <w:r w:rsidR="00CB4D4F" w:rsidRPr="003E7C50">
        <w:t xml:space="preserve"> </w:t>
      </w:r>
      <w:r w:rsidR="00C317F3" w:rsidRPr="003E7C50">
        <w:t xml:space="preserve">for </w:t>
      </w:r>
      <w:r w:rsidR="00CB4D4F" w:rsidRPr="003E7C50">
        <w:t xml:space="preserve">first-line endocrine based </w:t>
      </w:r>
      <w:r w:rsidR="00C317F3" w:rsidRPr="003E7C50">
        <w:t xml:space="preserve">treatment of </w:t>
      </w:r>
      <w:r w:rsidR="00650009" w:rsidRPr="003E7C50">
        <w:t>patients with non</w:t>
      </w:r>
      <w:r w:rsidR="00650009" w:rsidRPr="003E7C50">
        <w:noBreakHyphen/>
      </w:r>
      <w:r w:rsidR="003B753E" w:rsidRPr="003E7C50">
        <w:t xml:space="preserve">premenopausal, </w:t>
      </w:r>
      <w:r w:rsidR="0031770F" w:rsidRPr="003E7C50">
        <w:t xml:space="preserve">hormone receptor positive (HR+) and human epidermal growth factor receptor 2 negative (HER2-) </w:t>
      </w:r>
      <w:r w:rsidR="00765A39" w:rsidRPr="003E7C50">
        <w:t>advanced breast cancer</w:t>
      </w:r>
      <w:r w:rsidR="00B92874" w:rsidRPr="003E7C50">
        <w:t xml:space="preserve"> (ABC)</w:t>
      </w:r>
      <w:r w:rsidR="00CB4D4F" w:rsidRPr="003E7C50">
        <w:t>.</w:t>
      </w:r>
    </w:p>
    <w:p w:rsidR="00762A23" w:rsidRDefault="00762A23" w:rsidP="00762A23">
      <w:pPr>
        <w:pStyle w:val="Caption"/>
      </w:pPr>
      <w:r>
        <w:t xml:space="preserve">Table </w:t>
      </w:r>
      <w:r>
        <w:rPr>
          <w:noProof/>
        </w:rPr>
        <w:t>1</w:t>
      </w:r>
      <w:r w:rsidRPr="00AF7879">
        <w:t>: Key components of the clinical issue addressed by the submission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170"/>
        <w:gridCol w:w="8072"/>
      </w:tblGrid>
      <w:tr w:rsidR="0017720E" w:rsidRPr="003E7C50" w:rsidTr="003C639E">
        <w:trPr>
          <w:cnfStyle w:val="100000000000" w:firstRow="1" w:lastRow="0" w:firstColumn="0" w:lastColumn="0" w:oddVBand="0" w:evenVBand="0" w:oddHBand="0" w:evenHBand="0" w:firstRowFirstColumn="0" w:firstRowLastColumn="0" w:lastRowFirstColumn="0" w:lastRowLastColumn="0"/>
          <w:cantSplit/>
          <w:tblHeader/>
        </w:trPr>
        <w:tc>
          <w:tcPr>
            <w:tcW w:w="633" w:type="pct"/>
            <w:shd w:val="clear" w:color="auto" w:fill="auto"/>
          </w:tcPr>
          <w:p w:rsidR="0017720E" w:rsidRPr="003E7C50" w:rsidRDefault="0017720E" w:rsidP="00B34042">
            <w:pPr>
              <w:pStyle w:val="TableText"/>
              <w:rPr>
                <w:lang w:val="en-AU"/>
              </w:rPr>
            </w:pPr>
            <w:r w:rsidRPr="003E7C50">
              <w:rPr>
                <w:lang w:val="en-AU"/>
              </w:rPr>
              <w:t>Component</w:t>
            </w:r>
          </w:p>
        </w:tc>
        <w:tc>
          <w:tcPr>
            <w:tcW w:w="4367" w:type="pct"/>
            <w:shd w:val="clear" w:color="auto" w:fill="auto"/>
          </w:tcPr>
          <w:p w:rsidR="0017720E" w:rsidRPr="003E7C50" w:rsidRDefault="0017720E" w:rsidP="00B34042">
            <w:pPr>
              <w:pStyle w:val="TableText"/>
              <w:rPr>
                <w:lang w:val="en-AU"/>
              </w:rPr>
            </w:pPr>
            <w:r w:rsidRPr="003E7C50">
              <w:rPr>
                <w:lang w:val="en-AU"/>
              </w:rPr>
              <w:t>Description</w:t>
            </w:r>
          </w:p>
        </w:tc>
      </w:tr>
      <w:tr w:rsidR="00CB4D4F" w:rsidRPr="003E7C50" w:rsidTr="003C639E">
        <w:trPr>
          <w:cantSplit/>
        </w:trPr>
        <w:tc>
          <w:tcPr>
            <w:tcW w:w="633" w:type="pct"/>
            <w:shd w:val="clear" w:color="auto" w:fill="auto"/>
          </w:tcPr>
          <w:p w:rsidR="00CB4D4F" w:rsidRPr="003E7C50" w:rsidRDefault="00CB4D4F" w:rsidP="00B34042">
            <w:pPr>
              <w:pStyle w:val="TableText"/>
              <w:keepNext w:val="0"/>
              <w:rPr>
                <w:lang w:val="en-AU"/>
              </w:rPr>
            </w:pPr>
            <w:r w:rsidRPr="003E7C50">
              <w:rPr>
                <w:lang w:val="en-AU"/>
              </w:rPr>
              <w:t>Population</w:t>
            </w:r>
          </w:p>
        </w:tc>
        <w:tc>
          <w:tcPr>
            <w:tcW w:w="4367" w:type="pct"/>
            <w:shd w:val="clear" w:color="auto" w:fill="auto"/>
          </w:tcPr>
          <w:p w:rsidR="00CB4D4F" w:rsidRPr="003E7C50" w:rsidRDefault="003B753E" w:rsidP="003B753E">
            <w:pPr>
              <w:pStyle w:val="TableText"/>
              <w:keepNext w:val="0"/>
              <w:rPr>
                <w:lang w:val="en-AU"/>
              </w:rPr>
            </w:pPr>
            <w:r w:rsidRPr="003E7C50">
              <w:rPr>
                <w:lang w:val="en-AU"/>
              </w:rPr>
              <w:t>Non pre-</w:t>
            </w:r>
            <w:r w:rsidR="00CB4D4F" w:rsidRPr="003E7C50">
              <w:rPr>
                <w:lang w:val="en-AU"/>
              </w:rPr>
              <w:t>menopausal patients with hormone receptor positive (HR+)/ human epidermal growth factor receptor 2 negative (HER2-) advanced or metastatic breast cancer</w:t>
            </w:r>
          </w:p>
        </w:tc>
      </w:tr>
      <w:tr w:rsidR="00CB4D4F" w:rsidRPr="003E7C50" w:rsidTr="003C639E">
        <w:trPr>
          <w:cantSplit/>
        </w:trPr>
        <w:tc>
          <w:tcPr>
            <w:tcW w:w="633" w:type="pct"/>
            <w:shd w:val="clear" w:color="auto" w:fill="auto"/>
          </w:tcPr>
          <w:p w:rsidR="00CB4D4F" w:rsidRPr="003E7C50" w:rsidRDefault="00CB4D4F" w:rsidP="00B34042">
            <w:pPr>
              <w:pStyle w:val="TableText"/>
              <w:keepNext w:val="0"/>
              <w:rPr>
                <w:lang w:val="en-AU"/>
              </w:rPr>
            </w:pPr>
            <w:r w:rsidRPr="003E7C50">
              <w:rPr>
                <w:lang w:val="en-AU"/>
              </w:rPr>
              <w:t>Intervention</w:t>
            </w:r>
          </w:p>
        </w:tc>
        <w:tc>
          <w:tcPr>
            <w:tcW w:w="4367" w:type="pct"/>
            <w:shd w:val="clear" w:color="auto" w:fill="auto"/>
          </w:tcPr>
          <w:p w:rsidR="00CB4D4F" w:rsidRPr="003E7C50" w:rsidRDefault="00CB4D4F" w:rsidP="00B34042">
            <w:pPr>
              <w:pStyle w:val="TableText"/>
              <w:keepNext w:val="0"/>
              <w:rPr>
                <w:lang w:val="en-AU"/>
              </w:rPr>
            </w:pPr>
            <w:proofErr w:type="spellStart"/>
            <w:r w:rsidRPr="003E7C50">
              <w:rPr>
                <w:lang w:val="en-AU"/>
              </w:rPr>
              <w:t>Ribociclib</w:t>
            </w:r>
            <w:proofErr w:type="spellEnd"/>
            <w:r w:rsidRPr="003E7C50">
              <w:rPr>
                <w:lang w:val="en-AU"/>
              </w:rPr>
              <w:t xml:space="preserve"> (600 mg on days 1-21 of a 28-day cycle) + </w:t>
            </w:r>
            <w:proofErr w:type="spellStart"/>
            <w:r w:rsidRPr="003E7C50">
              <w:rPr>
                <w:lang w:val="en-AU"/>
              </w:rPr>
              <w:t>letrozole</w:t>
            </w:r>
            <w:proofErr w:type="spellEnd"/>
            <w:r w:rsidRPr="003E7C50">
              <w:rPr>
                <w:lang w:val="en-AU"/>
              </w:rPr>
              <w:t xml:space="preserve"> (2.5 mg on days 1-28 of a 28-day cycle)</w:t>
            </w:r>
          </w:p>
        </w:tc>
      </w:tr>
      <w:tr w:rsidR="00CB4D4F" w:rsidRPr="003E7C50" w:rsidTr="003C639E">
        <w:trPr>
          <w:cantSplit/>
        </w:trPr>
        <w:tc>
          <w:tcPr>
            <w:tcW w:w="633" w:type="pct"/>
            <w:shd w:val="clear" w:color="auto" w:fill="auto"/>
          </w:tcPr>
          <w:p w:rsidR="00CB4D4F" w:rsidRPr="003E7C50" w:rsidRDefault="00CB4D4F" w:rsidP="00B34042">
            <w:pPr>
              <w:pStyle w:val="TableText"/>
              <w:keepNext w:val="0"/>
              <w:rPr>
                <w:lang w:val="en-AU"/>
              </w:rPr>
            </w:pPr>
            <w:r w:rsidRPr="003E7C50">
              <w:rPr>
                <w:lang w:val="en-AU"/>
              </w:rPr>
              <w:t>Comparator</w:t>
            </w:r>
          </w:p>
        </w:tc>
        <w:tc>
          <w:tcPr>
            <w:tcW w:w="4367" w:type="pct"/>
            <w:shd w:val="clear" w:color="auto" w:fill="auto"/>
          </w:tcPr>
          <w:p w:rsidR="00CB4D4F" w:rsidRPr="003E7C50" w:rsidRDefault="00CB4D4F" w:rsidP="008D683B">
            <w:pPr>
              <w:pStyle w:val="TableLeft"/>
              <w:numPr>
                <w:ilvl w:val="0"/>
                <w:numId w:val="6"/>
              </w:numPr>
              <w:rPr>
                <w:szCs w:val="20"/>
                <w:lang w:val="en-AU"/>
              </w:rPr>
            </w:pPr>
            <w:r w:rsidRPr="003E7C50">
              <w:rPr>
                <w:szCs w:val="20"/>
                <w:lang w:val="en-AU"/>
              </w:rPr>
              <w:t xml:space="preserve">Placebo + </w:t>
            </w:r>
            <w:proofErr w:type="spellStart"/>
            <w:r w:rsidRPr="003E7C50">
              <w:rPr>
                <w:szCs w:val="20"/>
                <w:lang w:val="en-AU"/>
              </w:rPr>
              <w:t>letrozole</w:t>
            </w:r>
            <w:proofErr w:type="spellEnd"/>
            <w:r w:rsidRPr="003E7C50">
              <w:rPr>
                <w:szCs w:val="20"/>
                <w:lang w:val="en-AU"/>
              </w:rPr>
              <w:t xml:space="preserve"> (2.5 mg on days 1-28 of a 28-day cycle); </w:t>
            </w:r>
            <w:r w:rsidR="00DE0811" w:rsidRPr="003E7C50">
              <w:rPr>
                <w:szCs w:val="20"/>
                <w:lang w:val="en-AU"/>
              </w:rPr>
              <w:t>or</w:t>
            </w:r>
            <w:r w:rsidRPr="003E7C50">
              <w:rPr>
                <w:szCs w:val="20"/>
                <w:lang w:val="en-AU"/>
              </w:rPr>
              <w:t xml:space="preserve"> </w:t>
            </w:r>
          </w:p>
          <w:p w:rsidR="00CB4D4F" w:rsidRPr="003E7C50" w:rsidRDefault="00CB4D4F" w:rsidP="008D683B">
            <w:pPr>
              <w:pStyle w:val="TableText"/>
              <w:keepNext w:val="0"/>
              <w:numPr>
                <w:ilvl w:val="0"/>
                <w:numId w:val="6"/>
              </w:numPr>
              <w:rPr>
                <w:lang w:val="en-AU"/>
              </w:rPr>
            </w:pPr>
            <w:proofErr w:type="spellStart"/>
            <w:r w:rsidRPr="003E7C50">
              <w:rPr>
                <w:szCs w:val="20"/>
                <w:lang w:val="en-AU"/>
              </w:rPr>
              <w:t>Palbociclib</w:t>
            </w:r>
            <w:proofErr w:type="spellEnd"/>
            <w:r w:rsidRPr="003E7C50">
              <w:rPr>
                <w:szCs w:val="20"/>
                <w:lang w:val="en-AU"/>
              </w:rPr>
              <w:t xml:space="preserve"> (125 mg on days 1-21 of a 28-day cycle) + </w:t>
            </w:r>
            <w:proofErr w:type="spellStart"/>
            <w:r w:rsidRPr="003E7C50">
              <w:rPr>
                <w:szCs w:val="20"/>
                <w:lang w:val="en-AU"/>
              </w:rPr>
              <w:t>letrozole</w:t>
            </w:r>
            <w:proofErr w:type="spellEnd"/>
            <w:r w:rsidRPr="003E7C50">
              <w:rPr>
                <w:szCs w:val="20"/>
                <w:lang w:val="en-AU"/>
              </w:rPr>
              <w:t xml:space="preserve"> (2.5 mg on days 1-28 of a 28-day cycle)</w:t>
            </w:r>
          </w:p>
        </w:tc>
      </w:tr>
      <w:tr w:rsidR="00CB4D4F" w:rsidRPr="003E7C50" w:rsidTr="003C639E">
        <w:trPr>
          <w:cantSplit/>
        </w:trPr>
        <w:tc>
          <w:tcPr>
            <w:tcW w:w="633" w:type="pct"/>
            <w:shd w:val="clear" w:color="auto" w:fill="auto"/>
          </w:tcPr>
          <w:p w:rsidR="00CB4D4F" w:rsidRPr="003E7C50" w:rsidRDefault="00CB4D4F" w:rsidP="00B34042">
            <w:pPr>
              <w:pStyle w:val="TableText"/>
              <w:keepNext w:val="0"/>
              <w:rPr>
                <w:lang w:val="en-AU"/>
              </w:rPr>
            </w:pPr>
            <w:r w:rsidRPr="003E7C50">
              <w:rPr>
                <w:lang w:val="en-AU"/>
              </w:rPr>
              <w:t>Outcomes</w:t>
            </w:r>
          </w:p>
        </w:tc>
        <w:tc>
          <w:tcPr>
            <w:tcW w:w="4367" w:type="pct"/>
            <w:shd w:val="clear" w:color="auto" w:fill="auto"/>
          </w:tcPr>
          <w:p w:rsidR="00CB4D4F" w:rsidRPr="003E7C50" w:rsidRDefault="003651F5" w:rsidP="00B34042">
            <w:pPr>
              <w:pStyle w:val="TableLeft"/>
              <w:rPr>
                <w:lang w:val="en-AU"/>
              </w:rPr>
            </w:pPr>
            <w:r w:rsidRPr="003E7C50">
              <w:rPr>
                <w:lang w:val="en-AU"/>
              </w:rPr>
              <w:t>P</w:t>
            </w:r>
            <w:r w:rsidR="00CB4D4F" w:rsidRPr="003E7C50">
              <w:rPr>
                <w:lang w:val="en-AU"/>
              </w:rPr>
              <w:t xml:space="preserve">rogression free survival (PFS) </w:t>
            </w:r>
          </w:p>
          <w:p w:rsidR="00CB4D4F" w:rsidRPr="003E7C50" w:rsidRDefault="00CB4D4F" w:rsidP="00B34042">
            <w:pPr>
              <w:pStyle w:val="TableLeft"/>
              <w:rPr>
                <w:lang w:val="en-AU"/>
              </w:rPr>
            </w:pPr>
            <w:r w:rsidRPr="003E7C50">
              <w:rPr>
                <w:lang w:val="en-AU"/>
              </w:rPr>
              <w:t xml:space="preserve">Overall survival (OS) </w:t>
            </w:r>
          </w:p>
          <w:p w:rsidR="00CB4D4F" w:rsidRPr="003E7C50" w:rsidRDefault="00CB4D4F" w:rsidP="00B34042">
            <w:pPr>
              <w:pStyle w:val="TableLeft"/>
              <w:rPr>
                <w:lang w:val="en-AU"/>
              </w:rPr>
            </w:pPr>
            <w:r w:rsidRPr="003E7C50">
              <w:rPr>
                <w:lang w:val="en-AU"/>
              </w:rPr>
              <w:t>Overall response rate (ORR)</w:t>
            </w:r>
          </w:p>
          <w:p w:rsidR="00CB4D4F" w:rsidRPr="003E7C50" w:rsidRDefault="00CB4D4F" w:rsidP="00B34042">
            <w:pPr>
              <w:pStyle w:val="TableLeft"/>
              <w:rPr>
                <w:lang w:val="en-AU"/>
              </w:rPr>
            </w:pPr>
            <w:r w:rsidRPr="003E7C50">
              <w:rPr>
                <w:lang w:val="en-AU"/>
              </w:rPr>
              <w:t xml:space="preserve">Health related quality of life </w:t>
            </w:r>
          </w:p>
          <w:p w:rsidR="00CB4D4F" w:rsidRPr="003E7C50" w:rsidRDefault="00CB4D4F" w:rsidP="00B34042">
            <w:pPr>
              <w:pStyle w:val="TableLeft"/>
              <w:rPr>
                <w:lang w:val="en-AU"/>
              </w:rPr>
            </w:pPr>
            <w:r w:rsidRPr="003E7C50">
              <w:rPr>
                <w:lang w:val="en-AU"/>
              </w:rPr>
              <w:t>Serious adverse events (SAE)</w:t>
            </w:r>
          </w:p>
        </w:tc>
      </w:tr>
      <w:tr w:rsidR="00CB4D4F" w:rsidRPr="003E7C50" w:rsidTr="003C639E">
        <w:trPr>
          <w:cantSplit/>
        </w:trPr>
        <w:tc>
          <w:tcPr>
            <w:tcW w:w="633" w:type="pct"/>
            <w:shd w:val="clear" w:color="auto" w:fill="auto"/>
          </w:tcPr>
          <w:p w:rsidR="00CB4D4F" w:rsidRPr="003E7C50" w:rsidRDefault="00CB4D4F" w:rsidP="00B34042">
            <w:pPr>
              <w:pStyle w:val="TableText"/>
              <w:keepNext w:val="0"/>
              <w:rPr>
                <w:lang w:val="en-AU"/>
              </w:rPr>
            </w:pPr>
            <w:r w:rsidRPr="003E7C50">
              <w:rPr>
                <w:lang w:val="en-AU"/>
              </w:rPr>
              <w:t>Clinical claim</w:t>
            </w:r>
          </w:p>
        </w:tc>
        <w:tc>
          <w:tcPr>
            <w:tcW w:w="4367" w:type="pct"/>
            <w:shd w:val="clear" w:color="auto" w:fill="auto"/>
          </w:tcPr>
          <w:p w:rsidR="00CB4D4F" w:rsidRPr="003E7C50" w:rsidRDefault="00CB4D4F" w:rsidP="008D683B">
            <w:pPr>
              <w:pStyle w:val="TableBullets"/>
              <w:numPr>
                <w:ilvl w:val="0"/>
                <w:numId w:val="8"/>
              </w:numPr>
              <w:rPr>
                <w:lang w:val="en-AU"/>
              </w:rPr>
            </w:pPr>
            <w:proofErr w:type="spellStart"/>
            <w:r w:rsidRPr="003E7C50">
              <w:rPr>
                <w:lang w:val="en-AU"/>
              </w:rPr>
              <w:t>Ribociclib</w:t>
            </w:r>
            <w:proofErr w:type="spellEnd"/>
            <w:r w:rsidRPr="003E7C50">
              <w:rPr>
                <w:lang w:val="en-AU"/>
              </w:rPr>
              <w:t xml:space="preserve"> + </w:t>
            </w:r>
            <w:proofErr w:type="spellStart"/>
            <w:r w:rsidRPr="003E7C50">
              <w:rPr>
                <w:lang w:val="en-AU"/>
              </w:rPr>
              <w:t>letrozole</w:t>
            </w:r>
            <w:proofErr w:type="spellEnd"/>
            <w:r w:rsidRPr="003E7C50">
              <w:rPr>
                <w:lang w:val="en-AU"/>
              </w:rPr>
              <w:t xml:space="preserve"> provides superior effectiveness and inferior safety to </w:t>
            </w:r>
            <w:proofErr w:type="spellStart"/>
            <w:r w:rsidRPr="003E7C50">
              <w:rPr>
                <w:lang w:val="en-AU"/>
              </w:rPr>
              <w:t>letrozole</w:t>
            </w:r>
            <w:proofErr w:type="spellEnd"/>
            <w:r w:rsidRPr="003E7C50">
              <w:rPr>
                <w:lang w:val="en-AU"/>
              </w:rPr>
              <w:t xml:space="preserve"> alone; </w:t>
            </w:r>
            <w:r w:rsidR="00DE0811" w:rsidRPr="003E7C50">
              <w:rPr>
                <w:lang w:val="en-AU"/>
              </w:rPr>
              <w:t>and</w:t>
            </w:r>
            <w:r w:rsidRPr="003E7C50">
              <w:rPr>
                <w:lang w:val="en-AU"/>
              </w:rPr>
              <w:t xml:space="preserve"> </w:t>
            </w:r>
          </w:p>
          <w:p w:rsidR="00CB4D4F" w:rsidRPr="003E7C50" w:rsidRDefault="00CB4D4F" w:rsidP="008D683B">
            <w:pPr>
              <w:pStyle w:val="TableText"/>
              <w:keepNext w:val="0"/>
              <w:numPr>
                <w:ilvl w:val="0"/>
                <w:numId w:val="8"/>
              </w:numPr>
              <w:rPr>
                <w:lang w:val="en-AU"/>
              </w:rPr>
            </w:pPr>
            <w:proofErr w:type="spellStart"/>
            <w:r w:rsidRPr="003E7C50">
              <w:rPr>
                <w:lang w:val="en-AU"/>
              </w:rPr>
              <w:t>Ribociclib</w:t>
            </w:r>
            <w:proofErr w:type="spellEnd"/>
            <w:r w:rsidRPr="003E7C50">
              <w:rPr>
                <w:lang w:val="en-AU"/>
              </w:rPr>
              <w:t xml:space="preserve"> + </w:t>
            </w:r>
            <w:proofErr w:type="spellStart"/>
            <w:r w:rsidRPr="003E7C50">
              <w:rPr>
                <w:lang w:val="en-AU"/>
              </w:rPr>
              <w:t>letrozole</w:t>
            </w:r>
            <w:proofErr w:type="spellEnd"/>
            <w:r w:rsidRPr="003E7C50">
              <w:rPr>
                <w:lang w:val="en-AU"/>
              </w:rPr>
              <w:t xml:space="preserve"> provides non-inferior effectiveness and safety to </w:t>
            </w:r>
            <w:proofErr w:type="spellStart"/>
            <w:r w:rsidRPr="003E7C50">
              <w:rPr>
                <w:lang w:val="en-AU"/>
              </w:rPr>
              <w:t>palbociclib</w:t>
            </w:r>
            <w:proofErr w:type="spellEnd"/>
            <w:r w:rsidRPr="003E7C50">
              <w:rPr>
                <w:lang w:val="en-AU"/>
              </w:rPr>
              <w:t xml:space="preserve"> + </w:t>
            </w:r>
            <w:proofErr w:type="spellStart"/>
            <w:r w:rsidRPr="003E7C50">
              <w:rPr>
                <w:lang w:val="en-AU"/>
              </w:rPr>
              <w:t>letrozole</w:t>
            </w:r>
            <w:proofErr w:type="spellEnd"/>
          </w:p>
        </w:tc>
      </w:tr>
    </w:tbl>
    <w:p w:rsidR="00CB4D4F" w:rsidRPr="003E7C50" w:rsidRDefault="00CB4D4F" w:rsidP="001729A6">
      <w:pPr>
        <w:pStyle w:val="TableFooter"/>
      </w:pPr>
      <w:r w:rsidRPr="003E7C50">
        <w:t>Source: Table 1.1, p28 of the submission</w:t>
      </w:r>
      <w:r w:rsidR="00C97D59" w:rsidRPr="003E7C50">
        <w:rPr>
          <w:i/>
        </w:rPr>
        <w:t>.</w:t>
      </w:r>
    </w:p>
    <w:p w:rsidR="00C317F3" w:rsidRPr="003E7C50" w:rsidRDefault="00C317F3" w:rsidP="00AE6BD7">
      <w:pPr>
        <w:pStyle w:val="Heading1"/>
        <w:numPr>
          <w:ilvl w:val="0"/>
          <w:numId w:val="1"/>
        </w:numPr>
        <w:ind w:left="709" w:hanging="709"/>
      </w:pPr>
      <w:bookmarkStart w:id="2" w:name="_Toc413139272"/>
      <w:bookmarkStart w:id="3" w:name="_Toc482023178"/>
      <w:r w:rsidRPr="003E7C50">
        <w:t>Requested listing</w:t>
      </w:r>
      <w:bookmarkEnd w:id="2"/>
      <w:bookmarkEnd w:id="3"/>
    </w:p>
    <w:p w:rsidR="00F172F6" w:rsidRPr="003E7C50" w:rsidRDefault="00F172F6" w:rsidP="00F172F6">
      <w:pPr>
        <w:pStyle w:val="ListParagraph"/>
        <w:numPr>
          <w:ilvl w:val="0"/>
          <w:numId w:val="3"/>
        </w:numPr>
        <w:spacing w:before="200"/>
        <w:jc w:val="left"/>
        <w:rPr>
          <w:rFonts w:ascii="Arial" w:eastAsia="Times New Roman" w:hAnsi="Arial" w:cs="Arial"/>
          <w:b/>
          <w:snapToGrid w:val="0"/>
          <w:vanish/>
          <w:sz w:val="22"/>
          <w:szCs w:val="22"/>
        </w:rPr>
      </w:pPr>
    </w:p>
    <w:p w:rsidR="00190639" w:rsidRPr="003E7C50" w:rsidRDefault="00190639" w:rsidP="00F172F6">
      <w:pPr>
        <w:pStyle w:val="ListParagraph"/>
      </w:pPr>
      <w:r w:rsidRPr="003E7C50">
        <w:t>Suggested additions are in italics and suggested deletions are in strikethrough.</w:t>
      </w:r>
    </w:p>
    <w:tbl>
      <w:tblPr>
        <w:tblW w:w="8364" w:type="dxa"/>
        <w:tblInd w:w="108" w:type="dxa"/>
        <w:tblLayout w:type="fixed"/>
        <w:tblLook w:val="0000" w:firstRow="0" w:lastRow="0" w:firstColumn="0" w:lastColumn="0" w:noHBand="0" w:noVBand="0"/>
      </w:tblPr>
      <w:tblGrid>
        <w:gridCol w:w="1560"/>
        <w:gridCol w:w="850"/>
        <w:gridCol w:w="709"/>
        <w:gridCol w:w="709"/>
        <w:gridCol w:w="1842"/>
        <w:gridCol w:w="993"/>
        <w:gridCol w:w="1701"/>
      </w:tblGrid>
      <w:tr w:rsidR="00190639" w:rsidRPr="003E7C50" w:rsidTr="00E176FE">
        <w:trPr>
          <w:cantSplit/>
          <w:trHeight w:val="471"/>
        </w:trPr>
        <w:tc>
          <w:tcPr>
            <w:tcW w:w="2410" w:type="dxa"/>
            <w:gridSpan w:val="2"/>
            <w:tcBorders>
              <w:bottom w:val="single" w:sz="4" w:space="0" w:color="auto"/>
            </w:tcBorders>
            <w:vAlign w:val="center"/>
          </w:tcPr>
          <w:p w:rsidR="00190639" w:rsidRPr="003E7C50" w:rsidRDefault="00190639" w:rsidP="00E176FE">
            <w:pPr>
              <w:keepNext/>
              <w:spacing w:before="0" w:after="0"/>
              <w:ind w:left="-108"/>
              <w:rPr>
                <w:rFonts w:ascii="Arial Narrow" w:hAnsi="Arial Narrow"/>
                <w:b/>
                <w:sz w:val="20"/>
              </w:rPr>
            </w:pPr>
            <w:r w:rsidRPr="003E7C50">
              <w:rPr>
                <w:rFonts w:ascii="Arial Narrow" w:hAnsi="Arial Narrow"/>
                <w:b/>
                <w:sz w:val="20"/>
              </w:rPr>
              <w:t>Name, Restriction,</w:t>
            </w:r>
          </w:p>
          <w:p w:rsidR="00190639" w:rsidRPr="003E7C50" w:rsidRDefault="00190639" w:rsidP="00E176FE">
            <w:pPr>
              <w:keepNext/>
              <w:spacing w:before="0" w:after="0"/>
              <w:ind w:left="-108"/>
              <w:rPr>
                <w:rFonts w:ascii="Arial Narrow" w:hAnsi="Arial Narrow"/>
                <w:b/>
                <w:sz w:val="20"/>
              </w:rPr>
            </w:pPr>
            <w:r w:rsidRPr="003E7C50">
              <w:rPr>
                <w:rFonts w:ascii="Arial Narrow" w:hAnsi="Arial Narrow"/>
                <w:b/>
                <w:sz w:val="20"/>
              </w:rPr>
              <w:t>Manner of administration and form</w:t>
            </w:r>
          </w:p>
        </w:tc>
        <w:tc>
          <w:tcPr>
            <w:tcW w:w="709" w:type="dxa"/>
            <w:tcBorders>
              <w:bottom w:val="single" w:sz="4" w:space="0" w:color="auto"/>
            </w:tcBorders>
            <w:vAlign w:val="center"/>
          </w:tcPr>
          <w:p w:rsidR="00190639" w:rsidRPr="003E7C50" w:rsidRDefault="00190639" w:rsidP="00190639">
            <w:pPr>
              <w:keepNext/>
              <w:spacing w:before="0" w:after="0"/>
              <w:ind w:left="-108"/>
              <w:jc w:val="center"/>
              <w:rPr>
                <w:rFonts w:ascii="Arial Narrow" w:hAnsi="Arial Narrow"/>
                <w:b/>
                <w:sz w:val="20"/>
              </w:rPr>
            </w:pPr>
            <w:r w:rsidRPr="003E7C50">
              <w:rPr>
                <w:rFonts w:ascii="Arial Narrow" w:hAnsi="Arial Narrow"/>
                <w:b/>
                <w:sz w:val="20"/>
              </w:rPr>
              <w:t>Max.</w:t>
            </w:r>
          </w:p>
          <w:p w:rsidR="00190639" w:rsidRPr="003E7C50" w:rsidRDefault="00190639" w:rsidP="00190639">
            <w:pPr>
              <w:keepNext/>
              <w:spacing w:before="0" w:after="0"/>
              <w:ind w:left="-108"/>
              <w:jc w:val="center"/>
              <w:rPr>
                <w:rFonts w:ascii="Arial Narrow" w:hAnsi="Arial Narrow"/>
                <w:b/>
                <w:sz w:val="20"/>
              </w:rPr>
            </w:pPr>
            <w:proofErr w:type="spellStart"/>
            <w:r w:rsidRPr="003E7C50">
              <w:rPr>
                <w:rFonts w:ascii="Arial Narrow" w:hAnsi="Arial Narrow"/>
                <w:b/>
                <w:sz w:val="20"/>
              </w:rPr>
              <w:t>Qty</w:t>
            </w:r>
            <w:proofErr w:type="spellEnd"/>
            <w:r w:rsidRPr="003E7C50">
              <w:rPr>
                <w:rFonts w:ascii="Arial Narrow" w:hAnsi="Arial Narrow"/>
                <w:b/>
                <w:sz w:val="20"/>
              </w:rPr>
              <w:t xml:space="preserve"> (packs)</w:t>
            </w:r>
          </w:p>
        </w:tc>
        <w:tc>
          <w:tcPr>
            <w:tcW w:w="709" w:type="dxa"/>
            <w:tcBorders>
              <w:bottom w:val="single" w:sz="4" w:space="0" w:color="auto"/>
            </w:tcBorders>
          </w:tcPr>
          <w:p w:rsidR="00190639" w:rsidRPr="003E7C50" w:rsidRDefault="00190639" w:rsidP="00190639">
            <w:pPr>
              <w:keepNext/>
              <w:spacing w:before="0" w:after="0"/>
              <w:ind w:left="-108"/>
              <w:jc w:val="center"/>
              <w:rPr>
                <w:rFonts w:ascii="Arial Narrow" w:hAnsi="Arial Narrow"/>
                <w:b/>
                <w:sz w:val="20"/>
              </w:rPr>
            </w:pPr>
            <w:r w:rsidRPr="003E7C50">
              <w:rPr>
                <w:rFonts w:ascii="Arial Narrow" w:hAnsi="Arial Narrow"/>
                <w:b/>
                <w:sz w:val="20"/>
              </w:rPr>
              <w:t xml:space="preserve">№.of </w:t>
            </w:r>
            <w:proofErr w:type="spellStart"/>
            <w:r w:rsidRPr="003E7C50">
              <w:rPr>
                <w:rFonts w:ascii="Arial Narrow" w:hAnsi="Arial Narrow"/>
                <w:b/>
                <w:sz w:val="20"/>
              </w:rPr>
              <w:t>Rpts</w:t>
            </w:r>
            <w:proofErr w:type="spellEnd"/>
          </w:p>
        </w:tc>
        <w:tc>
          <w:tcPr>
            <w:tcW w:w="1842" w:type="dxa"/>
            <w:tcBorders>
              <w:bottom w:val="single" w:sz="4" w:space="0" w:color="auto"/>
            </w:tcBorders>
          </w:tcPr>
          <w:p w:rsidR="00190639" w:rsidRPr="003E7C50" w:rsidRDefault="00190639" w:rsidP="00190639">
            <w:pPr>
              <w:keepNext/>
              <w:spacing w:before="0" w:after="0"/>
              <w:ind w:left="-108"/>
              <w:jc w:val="center"/>
              <w:rPr>
                <w:rFonts w:ascii="Arial Narrow" w:hAnsi="Arial Narrow"/>
                <w:b/>
                <w:sz w:val="20"/>
              </w:rPr>
            </w:pPr>
            <w:r w:rsidRPr="003E7C50">
              <w:rPr>
                <w:rFonts w:ascii="Arial Narrow" w:hAnsi="Arial Narrow"/>
                <w:b/>
                <w:sz w:val="20"/>
              </w:rPr>
              <w:t>Dispensed price for maximum quantity (DPMQ)</w:t>
            </w:r>
          </w:p>
        </w:tc>
        <w:tc>
          <w:tcPr>
            <w:tcW w:w="2694" w:type="dxa"/>
            <w:gridSpan w:val="2"/>
            <w:tcBorders>
              <w:bottom w:val="single" w:sz="4" w:space="0" w:color="auto"/>
            </w:tcBorders>
          </w:tcPr>
          <w:p w:rsidR="00190639" w:rsidRPr="003E7C50" w:rsidRDefault="00190639" w:rsidP="00190639">
            <w:pPr>
              <w:keepNext/>
              <w:spacing w:before="0" w:after="0"/>
              <w:jc w:val="center"/>
              <w:rPr>
                <w:rFonts w:ascii="Arial Narrow" w:hAnsi="Arial Narrow"/>
                <w:b/>
                <w:sz w:val="20"/>
              </w:rPr>
            </w:pPr>
            <w:r w:rsidRPr="003E7C50">
              <w:rPr>
                <w:rFonts w:ascii="Arial Narrow" w:hAnsi="Arial Narrow"/>
                <w:b/>
                <w:sz w:val="20"/>
              </w:rPr>
              <w:t>Proprietary Name and Manufacturer</w:t>
            </w:r>
          </w:p>
        </w:tc>
      </w:tr>
      <w:tr w:rsidR="00E176FE" w:rsidRPr="003E7C50" w:rsidTr="00E176FE">
        <w:trPr>
          <w:cantSplit/>
          <w:trHeight w:val="190"/>
        </w:trPr>
        <w:tc>
          <w:tcPr>
            <w:tcW w:w="2410" w:type="dxa"/>
            <w:gridSpan w:val="2"/>
            <w:tcBorders>
              <w:top w:val="single" w:sz="4" w:space="0" w:color="auto"/>
            </w:tcBorders>
          </w:tcPr>
          <w:p w:rsidR="00190639" w:rsidRPr="003E7C50" w:rsidRDefault="00E176FE" w:rsidP="00E176FE">
            <w:pPr>
              <w:keepNext/>
              <w:spacing w:before="0" w:after="0"/>
              <w:ind w:left="-108"/>
              <w:rPr>
                <w:rFonts w:ascii="Arial Narrow" w:hAnsi="Arial Narrow"/>
                <w:sz w:val="20"/>
              </w:rPr>
            </w:pPr>
            <w:r w:rsidRPr="003E7C50">
              <w:rPr>
                <w:rFonts w:ascii="Arial Narrow" w:hAnsi="Arial Narrow"/>
                <w:smallCaps/>
                <w:sz w:val="20"/>
                <w:szCs w:val="20"/>
              </w:rPr>
              <w:t>RIBOCICLIB</w:t>
            </w:r>
          </w:p>
        </w:tc>
        <w:tc>
          <w:tcPr>
            <w:tcW w:w="709" w:type="dxa"/>
            <w:vMerge w:val="restart"/>
            <w:tcBorders>
              <w:top w:val="single" w:sz="4" w:space="0" w:color="auto"/>
            </w:tcBorders>
          </w:tcPr>
          <w:p w:rsidR="00190639" w:rsidRPr="003E7C50" w:rsidRDefault="00190639" w:rsidP="00E176FE">
            <w:pPr>
              <w:keepNext/>
              <w:spacing w:before="0" w:after="0"/>
              <w:rPr>
                <w:rFonts w:ascii="Arial Narrow" w:hAnsi="Arial Narrow"/>
                <w:sz w:val="20"/>
              </w:rPr>
            </w:pPr>
            <w:r w:rsidRPr="003E7C50">
              <w:rPr>
                <w:rFonts w:ascii="Arial Narrow" w:hAnsi="Arial Narrow"/>
                <w:sz w:val="20"/>
              </w:rPr>
              <w:t>1</w:t>
            </w:r>
          </w:p>
        </w:tc>
        <w:tc>
          <w:tcPr>
            <w:tcW w:w="709" w:type="dxa"/>
            <w:vMerge w:val="restart"/>
            <w:tcBorders>
              <w:top w:val="single" w:sz="4" w:space="0" w:color="auto"/>
            </w:tcBorders>
          </w:tcPr>
          <w:p w:rsidR="00190639" w:rsidRPr="003E7C50" w:rsidRDefault="00190639" w:rsidP="00E176FE">
            <w:pPr>
              <w:keepNext/>
              <w:spacing w:before="0" w:after="0"/>
              <w:rPr>
                <w:rFonts w:ascii="Arial Narrow" w:hAnsi="Arial Narrow"/>
                <w:sz w:val="20"/>
              </w:rPr>
            </w:pPr>
            <w:r w:rsidRPr="00F317AD">
              <w:rPr>
                <w:rFonts w:ascii="Arial Narrow" w:hAnsi="Arial Narrow"/>
                <w:sz w:val="20"/>
              </w:rPr>
              <w:t>5</w:t>
            </w:r>
          </w:p>
        </w:tc>
        <w:tc>
          <w:tcPr>
            <w:tcW w:w="1842" w:type="dxa"/>
            <w:tcBorders>
              <w:top w:val="single" w:sz="4" w:space="0" w:color="auto"/>
            </w:tcBorders>
          </w:tcPr>
          <w:p w:rsidR="00190639" w:rsidRPr="003E7C50" w:rsidRDefault="00190639" w:rsidP="00E176FE">
            <w:pPr>
              <w:keepNext/>
              <w:spacing w:before="0" w:after="0"/>
              <w:rPr>
                <w:rFonts w:ascii="Arial Narrow" w:hAnsi="Arial Narrow"/>
                <w:sz w:val="20"/>
              </w:rPr>
            </w:pPr>
          </w:p>
        </w:tc>
        <w:tc>
          <w:tcPr>
            <w:tcW w:w="993" w:type="dxa"/>
            <w:vMerge w:val="restart"/>
            <w:tcBorders>
              <w:top w:val="single" w:sz="4" w:space="0" w:color="auto"/>
            </w:tcBorders>
          </w:tcPr>
          <w:p w:rsidR="00190639" w:rsidRPr="003E7C50" w:rsidRDefault="00190639" w:rsidP="00E176FE">
            <w:pPr>
              <w:pStyle w:val="TableLeft"/>
            </w:pPr>
            <w:proofErr w:type="spellStart"/>
            <w:r w:rsidRPr="003E7C50">
              <w:t>Kisqali</w:t>
            </w:r>
            <w:proofErr w:type="spellEnd"/>
            <w:r w:rsidRPr="003E7C50">
              <w:rPr>
                <w:rFonts w:ascii="Cambria" w:hAnsi="Cambria"/>
              </w:rPr>
              <w:t>®</w:t>
            </w:r>
          </w:p>
          <w:p w:rsidR="00190639" w:rsidRPr="003E7C50" w:rsidRDefault="00190639" w:rsidP="00E176FE">
            <w:pPr>
              <w:keepNext/>
              <w:spacing w:before="0" w:after="0"/>
              <w:rPr>
                <w:rFonts w:ascii="Arial Narrow" w:hAnsi="Arial Narrow"/>
                <w:sz w:val="20"/>
              </w:rPr>
            </w:pPr>
          </w:p>
        </w:tc>
        <w:tc>
          <w:tcPr>
            <w:tcW w:w="1701" w:type="dxa"/>
            <w:vMerge w:val="restart"/>
            <w:tcBorders>
              <w:top w:val="single" w:sz="4" w:space="0" w:color="auto"/>
            </w:tcBorders>
          </w:tcPr>
          <w:p w:rsidR="00190639" w:rsidRPr="003E7C50" w:rsidRDefault="00190639" w:rsidP="00E176FE">
            <w:pPr>
              <w:keepNext/>
              <w:spacing w:before="0" w:after="0"/>
              <w:rPr>
                <w:rFonts w:ascii="Arial Narrow" w:hAnsi="Arial Narrow"/>
                <w:sz w:val="20"/>
              </w:rPr>
            </w:pPr>
            <w:r w:rsidRPr="003E7C50">
              <w:rPr>
                <w:rFonts w:ascii="Arial Narrow" w:eastAsiaTheme="majorEastAsia" w:hAnsi="Arial Narrow" w:cstheme="majorBidi"/>
                <w:sz w:val="20"/>
                <w:lang w:bidi="en-US"/>
              </w:rPr>
              <w:t>Novartis Pharmaceuticals Australia Pty Ltd</w:t>
            </w:r>
          </w:p>
        </w:tc>
      </w:tr>
      <w:tr w:rsidR="00E176FE" w:rsidRPr="003E7C50" w:rsidTr="00E176FE">
        <w:trPr>
          <w:cantSplit/>
          <w:trHeight w:val="190"/>
        </w:trPr>
        <w:tc>
          <w:tcPr>
            <w:tcW w:w="2410" w:type="dxa"/>
            <w:gridSpan w:val="2"/>
          </w:tcPr>
          <w:p w:rsidR="00E176FE" w:rsidRPr="003E7C50" w:rsidDel="00E176FE" w:rsidRDefault="00E176FE" w:rsidP="00E176FE">
            <w:pPr>
              <w:keepNext/>
              <w:spacing w:before="0" w:after="0"/>
              <w:ind w:left="-108"/>
              <w:rPr>
                <w:rFonts w:ascii="Arial Narrow" w:hAnsi="Arial Narrow"/>
                <w:smallCaps/>
                <w:sz w:val="20"/>
                <w:szCs w:val="20"/>
              </w:rPr>
            </w:pPr>
            <w:r w:rsidRPr="003E7C50">
              <w:rPr>
                <w:rFonts w:ascii="Arial Narrow" w:hAnsi="Arial Narrow"/>
                <w:sz w:val="20"/>
              </w:rPr>
              <w:t>Tablet 200 mg, 63</w:t>
            </w:r>
          </w:p>
        </w:tc>
        <w:tc>
          <w:tcPr>
            <w:tcW w:w="709" w:type="dxa"/>
            <w:vMerge/>
            <w:vAlign w:val="center"/>
          </w:tcPr>
          <w:p w:rsidR="00E176FE" w:rsidRPr="003E7C50" w:rsidRDefault="00E176FE" w:rsidP="00190639">
            <w:pPr>
              <w:keepNext/>
              <w:spacing w:before="0" w:after="0"/>
              <w:rPr>
                <w:rFonts w:ascii="Arial Narrow" w:hAnsi="Arial Narrow"/>
                <w:sz w:val="20"/>
              </w:rPr>
            </w:pPr>
          </w:p>
        </w:tc>
        <w:tc>
          <w:tcPr>
            <w:tcW w:w="709" w:type="dxa"/>
            <w:vMerge/>
            <w:vAlign w:val="center"/>
          </w:tcPr>
          <w:p w:rsidR="00E176FE" w:rsidRPr="003E7C50" w:rsidRDefault="00E176FE" w:rsidP="00190639">
            <w:pPr>
              <w:keepNext/>
              <w:spacing w:before="0" w:after="0"/>
              <w:rPr>
                <w:rFonts w:ascii="Arial Narrow" w:hAnsi="Arial Narrow"/>
                <w:sz w:val="20"/>
              </w:rPr>
            </w:pPr>
          </w:p>
        </w:tc>
        <w:tc>
          <w:tcPr>
            <w:tcW w:w="1842" w:type="dxa"/>
            <w:vAlign w:val="center"/>
          </w:tcPr>
          <w:p w:rsidR="00E176FE" w:rsidRPr="003E7C50" w:rsidRDefault="00E176FE" w:rsidP="00E176FE">
            <w:pPr>
              <w:keepNext/>
              <w:spacing w:before="0" w:after="0"/>
              <w:rPr>
                <w:rFonts w:ascii="Arial Narrow" w:hAnsi="Arial Narrow"/>
                <w:sz w:val="20"/>
              </w:rPr>
            </w:pPr>
            <w:r w:rsidRPr="003E7C50">
              <w:rPr>
                <w:rFonts w:ascii="Arial Narrow" w:hAnsi="Arial Narrow"/>
                <w:sz w:val="20"/>
              </w:rPr>
              <w:t>$</w:t>
            </w:r>
            <w:r w:rsidR="00B235DF">
              <w:rPr>
                <w:rFonts w:ascii="Arial Narrow" w:hAnsi="Arial Narrow"/>
                <w:noProof/>
                <w:color w:val="000000"/>
                <w:sz w:val="20"/>
                <w:highlight w:val="black"/>
              </w:rPr>
              <w:t xml:space="preserve">'''''''''''''''''''' </w:t>
            </w:r>
            <w:r w:rsidRPr="001F20BE">
              <w:rPr>
                <w:rFonts w:ascii="Arial Narrow" w:hAnsi="Arial Narrow"/>
                <w:sz w:val="20"/>
              </w:rPr>
              <w:t>(published)</w:t>
            </w:r>
          </w:p>
          <w:p w:rsidR="00E176FE" w:rsidRPr="003E7C50" w:rsidDel="00E176FE" w:rsidRDefault="00E176FE" w:rsidP="00E176FE">
            <w:pPr>
              <w:keepNext/>
              <w:spacing w:before="0" w:after="0"/>
              <w:rPr>
                <w:rFonts w:ascii="Arial Narrow" w:hAnsi="Arial Narrow"/>
                <w:sz w:val="20"/>
              </w:rPr>
            </w:pPr>
            <w:r w:rsidRPr="003E7C50">
              <w:rPr>
                <w:rFonts w:ascii="Arial Narrow" w:hAnsi="Arial Narrow"/>
                <w:sz w:val="20"/>
              </w:rPr>
              <w:t>$</w:t>
            </w:r>
            <w:r w:rsidR="00B235DF">
              <w:rPr>
                <w:rFonts w:ascii="Arial Narrow" w:hAnsi="Arial Narrow"/>
                <w:noProof/>
                <w:color w:val="000000"/>
                <w:sz w:val="20"/>
                <w:highlight w:val="black"/>
              </w:rPr>
              <w:t xml:space="preserve">''''''''''''''''''''' </w:t>
            </w:r>
            <w:r w:rsidRPr="001F20BE">
              <w:rPr>
                <w:rFonts w:ascii="Arial Narrow" w:hAnsi="Arial Narrow"/>
                <w:sz w:val="20"/>
              </w:rPr>
              <w:t xml:space="preserve"> (effective</w:t>
            </w:r>
            <w:r w:rsidRPr="003E7C50">
              <w:rPr>
                <w:rFonts w:ascii="Arial Narrow" w:hAnsi="Arial Narrow"/>
                <w:sz w:val="20"/>
              </w:rPr>
              <w:t>)</w:t>
            </w:r>
          </w:p>
        </w:tc>
        <w:tc>
          <w:tcPr>
            <w:tcW w:w="993" w:type="dxa"/>
            <w:vMerge/>
            <w:vAlign w:val="center"/>
          </w:tcPr>
          <w:p w:rsidR="00E176FE" w:rsidRPr="003E7C50" w:rsidRDefault="00E176FE" w:rsidP="00190639">
            <w:pPr>
              <w:pStyle w:val="TableLeft"/>
            </w:pPr>
          </w:p>
        </w:tc>
        <w:tc>
          <w:tcPr>
            <w:tcW w:w="1701" w:type="dxa"/>
            <w:vMerge/>
            <w:vAlign w:val="center"/>
          </w:tcPr>
          <w:p w:rsidR="00E176FE" w:rsidRPr="003E7C50" w:rsidRDefault="00E176FE" w:rsidP="00190639">
            <w:pPr>
              <w:keepNext/>
              <w:spacing w:before="0" w:after="0"/>
              <w:jc w:val="center"/>
              <w:rPr>
                <w:rFonts w:ascii="Arial Narrow" w:eastAsiaTheme="majorEastAsia" w:hAnsi="Arial Narrow" w:cstheme="majorBidi"/>
                <w:sz w:val="20"/>
                <w:lang w:bidi="en-US"/>
              </w:rPr>
            </w:pPr>
          </w:p>
        </w:tc>
      </w:tr>
      <w:tr w:rsidR="00E176FE" w:rsidRPr="003E7C50" w:rsidTr="00E176FE">
        <w:trPr>
          <w:cantSplit/>
          <w:trHeight w:val="407"/>
        </w:trPr>
        <w:tc>
          <w:tcPr>
            <w:tcW w:w="2410" w:type="dxa"/>
            <w:gridSpan w:val="2"/>
          </w:tcPr>
          <w:p w:rsidR="00190639" w:rsidRPr="003E7C50" w:rsidRDefault="00190639" w:rsidP="00E176FE">
            <w:pPr>
              <w:keepNext/>
              <w:spacing w:before="0" w:after="0"/>
              <w:ind w:left="-108"/>
              <w:rPr>
                <w:rFonts w:ascii="Arial Narrow" w:hAnsi="Arial Narrow"/>
                <w:smallCaps/>
                <w:sz w:val="20"/>
              </w:rPr>
            </w:pPr>
            <w:r w:rsidRPr="003E7C50">
              <w:rPr>
                <w:rFonts w:ascii="Arial Narrow" w:hAnsi="Arial Narrow"/>
                <w:sz w:val="20"/>
              </w:rPr>
              <w:t>Tablet 200 mg, 42</w:t>
            </w:r>
          </w:p>
        </w:tc>
        <w:tc>
          <w:tcPr>
            <w:tcW w:w="709" w:type="dxa"/>
            <w:vMerge/>
            <w:vAlign w:val="center"/>
          </w:tcPr>
          <w:p w:rsidR="00190639" w:rsidRPr="003E7C50" w:rsidRDefault="00190639" w:rsidP="00190639">
            <w:pPr>
              <w:keepNext/>
              <w:spacing w:before="0" w:after="0"/>
              <w:rPr>
                <w:rFonts w:ascii="Arial Narrow" w:hAnsi="Arial Narrow"/>
                <w:sz w:val="20"/>
              </w:rPr>
            </w:pPr>
          </w:p>
        </w:tc>
        <w:tc>
          <w:tcPr>
            <w:tcW w:w="709" w:type="dxa"/>
            <w:vMerge/>
            <w:vAlign w:val="center"/>
          </w:tcPr>
          <w:p w:rsidR="00190639" w:rsidRPr="003E7C50" w:rsidRDefault="00190639" w:rsidP="00190639">
            <w:pPr>
              <w:keepNext/>
              <w:spacing w:before="0" w:after="0"/>
              <w:rPr>
                <w:rFonts w:ascii="Arial Narrow" w:hAnsi="Arial Narrow"/>
                <w:sz w:val="20"/>
              </w:rPr>
            </w:pPr>
          </w:p>
        </w:tc>
        <w:tc>
          <w:tcPr>
            <w:tcW w:w="1842" w:type="dxa"/>
          </w:tcPr>
          <w:p w:rsidR="00190639" w:rsidRPr="003E7C50" w:rsidRDefault="00190639" w:rsidP="00E176FE">
            <w:pPr>
              <w:keepNext/>
              <w:spacing w:before="0" w:after="0"/>
              <w:rPr>
                <w:rFonts w:ascii="Arial Narrow" w:hAnsi="Arial Narrow"/>
                <w:sz w:val="20"/>
              </w:rPr>
            </w:pPr>
            <w:r w:rsidRPr="003E7C50">
              <w:rPr>
                <w:rFonts w:ascii="Arial Narrow" w:hAnsi="Arial Narrow"/>
                <w:sz w:val="20"/>
              </w:rPr>
              <w:t>$</w:t>
            </w:r>
            <w:r w:rsidR="00B235DF">
              <w:rPr>
                <w:rFonts w:ascii="Arial Narrow" w:hAnsi="Arial Narrow"/>
                <w:noProof/>
                <w:color w:val="000000"/>
                <w:sz w:val="20"/>
                <w:highlight w:val="black"/>
              </w:rPr>
              <w:t xml:space="preserve">''''''''''''''''''''' </w:t>
            </w:r>
            <w:r w:rsidRPr="001F20BE">
              <w:rPr>
                <w:rFonts w:ascii="Arial Narrow" w:hAnsi="Arial Narrow"/>
                <w:sz w:val="20"/>
              </w:rPr>
              <w:t>(published)</w:t>
            </w:r>
          </w:p>
          <w:p w:rsidR="00190639" w:rsidRPr="003E7C50" w:rsidRDefault="00190639" w:rsidP="00E176FE">
            <w:pPr>
              <w:keepNext/>
              <w:spacing w:before="0" w:after="0"/>
              <w:rPr>
                <w:rFonts w:ascii="Arial Narrow" w:hAnsi="Arial Narrow"/>
                <w:sz w:val="20"/>
              </w:rPr>
            </w:pPr>
            <w:r w:rsidRPr="003E7C50">
              <w:rPr>
                <w:rFonts w:ascii="Arial Narrow" w:hAnsi="Arial Narrow"/>
                <w:sz w:val="20"/>
              </w:rPr>
              <w:t>$</w:t>
            </w:r>
            <w:r w:rsidR="00B235DF">
              <w:rPr>
                <w:rFonts w:ascii="Arial Narrow" w:hAnsi="Arial Narrow"/>
                <w:noProof/>
                <w:color w:val="000000"/>
                <w:sz w:val="20"/>
                <w:highlight w:val="black"/>
              </w:rPr>
              <w:t xml:space="preserve">''''''''''''''''''''' </w:t>
            </w:r>
            <w:r w:rsidRPr="001F20BE">
              <w:rPr>
                <w:rFonts w:ascii="Arial Narrow" w:hAnsi="Arial Narrow"/>
                <w:sz w:val="20"/>
              </w:rPr>
              <w:t>(effective)</w:t>
            </w:r>
          </w:p>
        </w:tc>
        <w:tc>
          <w:tcPr>
            <w:tcW w:w="993" w:type="dxa"/>
            <w:vMerge/>
            <w:vAlign w:val="center"/>
          </w:tcPr>
          <w:p w:rsidR="00190639" w:rsidRPr="003E7C50" w:rsidRDefault="00190639" w:rsidP="00190639">
            <w:pPr>
              <w:pStyle w:val="TableLeft"/>
            </w:pPr>
          </w:p>
        </w:tc>
        <w:tc>
          <w:tcPr>
            <w:tcW w:w="1701" w:type="dxa"/>
            <w:vMerge/>
            <w:vAlign w:val="center"/>
          </w:tcPr>
          <w:p w:rsidR="00190639" w:rsidRPr="003E7C50" w:rsidRDefault="00190639" w:rsidP="00190639">
            <w:pPr>
              <w:keepNext/>
              <w:spacing w:before="0" w:after="0"/>
              <w:jc w:val="center"/>
              <w:rPr>
                <w:rFonts w:ascii="Arial Narrow" w:eastAsiaTheme="majorEastAsia" w:hAnsi="Arial Narrow" w:cstheme="majorBidi"/>
                <w:sz w:val="20"/>
                <w:lang w:bidi="en-US"/>
              </w:rPr>
            </w:pPr>
          </w:p>
        </w:tc>
      </w:tr>
      <w:tr w:rsidR="00E176FE" w:rsidRPr="003E7C50" w:rsidTr="00E176FE">
        <w:trPr>
          <w:cantSplit/>
          <w:trHeight w:val="513"/>
        </w:trPr>
        <w:tc>
          <w:tcPr>
            <w:tcW w:w="2410" w:type="dxa"/>
            <w:gridSpan w:val="2"/>
          </w:tcPr>
          <w:p w:rsidR="00190639" w:rsidRPr="003E7C50" w:rsidRDefault="00190639" w:rsidP="00E176FE">
            <w:pPr>
              <w:keepNext/>
              <w:spacing w:before="0" w:after="0"/>
              <w:ind w:left="-108"/>
              <w:rPr>
                <w:rFonts w:ascii="Arial Narrow" w:hAnsi="Arial Narrow"/>
                <w:smallCaps/>
                <w:sz w:val="20"/>
              </w:rPr>
            </w:pPr>
            <w:r w:rsidRPr="003E7C50">
              <w:rPr>
                <w:rFonts w:ascii="Arial Narrow" w:hAnsi="Arial Narrow"/>
                <w:sz w:val="20"/>
              </w:rPr>
              <w:t>Tablet 200 mg, 21</w:t>
            </w:r>
          </w:p>
        </w:tc>
        <w:tc>
          <w:tcPr>
            <w:tcW w:w="709" w:type="dxa"/>
            <w:vMerge/>
            <w:vAlign w:val="center"/>
          </w:tcPr>
          <w:p w:rsidR="00190639" w:rsidRPr="003E7C50" w:rsidRDefault="00190639" w:rsidP="00190639">
            <w:pPr>
              <w:keepNext/>
              <w:spacing w:before="0" w:after="0"/>
              <w:rPr>
                <w:rFonts w:ascii="Arial Narrow" w:hAnsi="Arial Narrow"/>
                <w:sz w:val="20"/>
              </w:rPr>
            </w:pPr>
          </w:p>
        </w:tc>
        <w:tc>
          <w:tcPr>
            <w:tcW w:w="709" w:type="dxa"/>
            <w:vMerge/>
            <w:vAlign w:val="center"/>
          </w:tcPr>
          <w:p w:rsidR="00190639" w:rsidRPr="003E7C50" w:rsidRDefault="00190639" w:rsidP="00190639">
            <w:pPr>
              <w:keepNext/>
              <w:spacing w:before="0" w:after="0"/>
              <w:rPr>
                <w:rFonts w:ascii="Arial Narrow" w:hAnsi="Arial Narrow"/>
                <w:sz w:val="20"/>
              </w:rPr>
            </w:pPr>
          </w:p>
        </w:tc>
        <w:tc>
          <w:tcPr>
            <w:tcW w:w="1842" w:type="dxa"/>
          </w:tcPr>
          <w:p w:rsidR="00190639" w:rsidRPr="00B235DF" w:rsidRDefault="00190639" w:rsidP="00E176FE">
            <w:pPr>
              <w:keepNext/>
              <w:spacing w:before="0" w:after="0"/>
              <w:rPr>
                <w:rFonts w:ascii="Arial Narrow" w:hAnsi="Arial Narrow"/>
                <w:sz w:val="20"/>
              </w:rPr>
            </w:pPr>
            <w:r w:rsidRPr="003E7C50">
              <w:rPr>
                <w:rFonts w:ascii="Arial Narrow" w:hAnsi="Arial Narrow"/>
                <w:sz w:val="20"/>
              </w:rPr>
              <w:t>$</w:t>
            </w:r>
            <w:r w:rsidR="00B235DF">
              <w:rPr>
                <w:rFonts w:ascii="Arial Narrow" w:hAnsi="Arial Narrow"/>
                <w:noProof/>
                <w:color w:val="000000"/>
                <w:sz w:val="20"/>
                <w:highlight w:val="black"/>
              </w:rPr>
              <w:t xml:space="preserve">''''''''''''''''''' </w:t>
            </w:r>
            <w:r w:rsidRPr="001F20BE">
              <w:rPr>
                <w:rFonts w:ascii="Arial Narrow" w:hAnsi="Arial Narrow"/>
                <w:sz w:val="20"/>
              </w:rPr>
              <w:t>(published)</w:t>
            </w:r>
          </w:p>
          <w:p w:rsidR="00190639" w:rsidRPr="003E7C50" w:rsidRDefault="00190639" w:rsidP="00E176FE">
            <w:pPr>
              <w:keepNext/>
              <w:spacing w:before="0" w:after="0"/>
              <w:rPr>
                <w:rFonts w:ascii="Arial Narrow" w:hAnsi="Arial Narrow"/>
                <w:sz w:val="20"/>
              </w:rPr>
            </w:pPr>
            <w:r w:rsidRPr="003E7C50">
              <w:rPr>
                <w:rFonts w:ascii="Arial Narrow" w:hAnsi="Arial Narrow"/>
                <w:sz w:val="20"/>
              </w:rPr>
              <w:t>$</w:t>
            </w:r>
            <w:r w:rsidR="00B235DF">
              <w:rPr>
                <w:rFonts w:ascii="Arial Narrow" w:hAnsi="Arial Narrow"/>
                <w:noProof/>
                <w:color w:val="000000"/>
                <w:sz w:val="20"/>
                <w:highlight w:val="black"/>
              </w:rPr>
              <w:t xml:space="preserve">''''''''''''''''''''''' </w:t>
            </w:r>
            <w:r w:rsidRPr="001F20BE">
              <w:rPr>
                <w:rFonts w:ascii="Arial Narrow" w:hAnsi="Arial Narrow"/>
                <w:sz w:val="20"/>
              </w:rPr>
              <w:t>(effective)</w:t>
            </w:r>
          </w:p>
        </w:tc>
        <w:tc>
          <w:tcPr>
            <w:tcW w:w="993" w:type="dxa"/>
            <w:vMerge/>
            <w:vAlign w:val="center"/>
          </w:tcPr>
          <w:p w:rsidR="00190639" w:rsidRPr="003E7C50" w:rsidRDefault="00190639" w:rsidP="00190639">
            <w:pPr>
              <w:pStyle w:val="TableLeft"/>
            </w:pPr>
          </w:p>
        </w:tc>
        <w:tc>
          <w:tcPr>
            <w:tcW w:w="1701" w:type="dxa"/>
            <w:vMerge/>
            <w:vAlign w:val="center"/>
          </w:tcPr>
          <w:p w:rsidR="00190639" w:rsidRPr="003E7C50" w:rsidRDefault="00190639" w:rsidP="00190639">
            <w:pPr>
              <w:keepNext/>
              <w:spacing w:before="0" w:after="0"/>
              <w:jc w:val="center"/>
              <w:rPr>
                <w:rFonts w:ascii="Arial Narrow" w:eastAsiaTheme="majorEastAsia" w:hAnsi="Arial Narrow" w:cstheme="majorBidi"/>
                <w:sz w:val="20"/>
                <w:lang w:bidi="en-US"/>
              </w:rPr>
            </w:pP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Category /</w:t>
            </w:r>
          </w:p>
          <w:p w:rsidR="00190639" w:rsidRPr="003E7C50" w:rsidRDefault="00190639" w:rsidP="00E176FE">
            <w:pPr>
              <w:spacing w:before="0" w:after="0"/>
              <w:rPr>
                <w:rFonts w:ascii="Arial Narrow" w:hAnsi="Arial Narrow"/>
                <w:b/>
                <w:sz w:val="20"/>
              </w:rPr>
            </w:pPr>
            <w:r w:rsidRPr="003E7C50">
              <w:rPr>
                <w:rFonts w:ascii="Arial Narrow" w:hAnsi="Arial Narrow"/>
                <w:b/>
                <w:sz w:val="20"/>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z w:val="20"/>
              </w:rPr>
              <w:t>GENERAL – General Schedule (Code GE)</w:t>
            </w:r>
          </w:p>
          <w:p w:rsidR="00190639" w:rsidRPr="003E7C50" w:rsidRDefault="00190639" w:rsidP="00E176FE">
            <w:pPr>
              <w:spacing w:before="0" w:after="0"/>
              <w:rPr>
                <w:rFonts w:ascii="Arial Narrow" w:hAnsi="Arial Narrow"/>
                <w:sz w:val="20"/>
              </w:rPr>
            </w:pP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Prescriber type:</w:t>
            </w:r>
          </w:p>
          <w:p w:rsidR="00190639" w:rsidRPr="003E7C50" w:rsidRDefault="00190639" w:rsidP="00E176FE">
            <w:pPr>
              <w:spacing w:before="0" w:after="0"/>
              <w:rPr>
                <w:rFonts w:ascii="Arial Narrow" w:hAnsi="Arial Narrow"/>
                <w:b/>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1"/>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 xml:space="preserve">Dental  </w:t>
            </w:r>
            <w:r w:rsidRPr="003E7C50">
              <w:rPr>
                <w:rFonts w:ascii="Arial Narrow" w:hAnsi="Arial Narrow"/>
                <w:sz w:val="20"/>
              </w:rPr>
              <w:fldChar w:fldCharType="begin">
                <w:ffData>
                  <w:name w:val=""/>
                  <w:enabled/>
                  <w:calcOnExit w:val="0"/>
                  <w:checkBox>
                    <w:sizeAuto/>
                    <w:default w:val="1"/>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 xml:space="preserve">Medical Practitioners  </w:t>
            </w:r>
            <w:r w:rsidRPr="003E7C50">
              <w:rPr>
                <w:rFonts w:ascii="Arial Narrow" w:hAnsi="Arial Narrow"/>
                <w:i/>
                <w:sz w:val="20"/>
              </w:rPr>
              <w:fldChar w:fldCharType="begin">
                <w:ffData>
                  <w:name w:val="Check3"/>
                  <w:enabled/>
                  <w:calcOnExit w:val="0"/>
                  <w:checkBox>
                    <w:sizeAuto/>
                    <w:default w:val="0"/>
                  </w:checkBox>
                </w:ffData>
              </w:fldChar>
            </w:r>
            <w:r w:rsidRPr="003E7C50">
              <w:rPr>
                <w:rFonts w:ascii="Arial Narrow" w:hAnsi="Arial Narrow"/>
                <w:i/>
                <w:sz w:val="20"/>
              </w:rPr>
              <w:instrText xml:space="preserve"> FORMCHECKBOX </w:instrText>
            </w:r>
            <w:r w:rsidR="004B47D6">
              <w:rPr>
                <w:rFonts w:ascii="Arial Narrow" w:hAnsi="Arial Narrow"/>
                <w:i/>
                <w:sz w:val="20"/>
              </w:rPr>
            </w:r>
            <w:r w:rsidR="004B47D6">
              <w:rPr>
                <w:rFonts w:ascii="Arial Narrow" w:hAnsi="Arial Narrow"/>
                <w:i/>
                <w:sz w:val="20"/>
              </w:rPr>
              <w:fldChar w:fldCharType="separate"/>
            </w:r>
            <w:r w:rsidRPr="003E7C50">
              <w:rPr>
                <w:rFonts w:ascii="Arial Narrow" w:hAnsi="Arial Narrow"/>
                <w:i/>
                <w:sz w:val="20"/>
              </w:rPr>
              <w:fldChar w:fldCharType="end"/>
            </w:r>
            <w:r w:rsidRPr="003E7C50">
              <w:rPr>
                <w:rFonts w:ascii="Arial Narrow" w:hAnsi="Arial Narrow"/>
                <w:sz w:val="20"/>
              </w:rPr>
              <w:t xml:space="preserve">Nurse practitioners  </w:t>
            </w:r>
            <w:r w:rsidRPr="003E7C50">
              <w:rPr>
                <w:rFonts w:ascii="Arial Narrow" w:hAnsi="Arial Narrow"/>
                <w:sz w:val="20"/>
              </w:rPr>
              <w:fldChar w:fldCharType="begin">
                <w:ffData>
                  <w:name w:val=""/>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Optometrists</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5"/>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Midwives</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lastRenderedPageBreak/>
              <w:t>Severity:</w:t>
            </w: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trike/>
                <w:sz w:val="20"/>
              </w:rPr>
              <w:t>Advanced or metastatic</w:t>
            </w:r>
            <w:r w:rsidRPr="003E7C50">
              <w:rPr>
                <w:i/>
              </w:rPr>
              <w:t xml:space="preserve"> </w:t>
            </w:r>
            <w:r w:rsidRPr="003E7C50">
              <w:rPr>
                <w:rFonts w:ascii="Arial Narrow" w:hAnsi="Arial Narrow"/>
                <w:i/>
                <w:sz w:val="20"/>
              </w:rPr>
              <w:t xml:space="preserve">Locally advanced inoperable and metastatic </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trike/>
                <w:sz w:val="20"/>
              </w:rPr>
              <w:t>Advanced or metastatic</w:t>
            </w:r>
            <w:r w:rsidRPr="003E7C50">
              <w:rPr>
                <w:rFonts w:ascii="Arial Narrow" w:hAnsi="Arial Narrow"/>
                <w:sz w:val="20"/>
              </w:rPr>
              <w:t xml:space="preserve"> breast cancer</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PBS Indication:</w:t>
            </w:r>
          </w:p>
          <w:p w:rsidR="00190639" w:rsidRPr="003E7C50" w:rsidRDefault="00190639" w:rsidP="00E176FE">
            <w:pPr>
              <w:spacing w:before="0" w:after="0"/>
              <w:rPr>
                <w:rFonts w:ascii="Arial Narrow" w:hAnsi="Arial Narrow"/>
                <w:i/>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trike/>
                <w:sz w:val="20"/>
              </w:rPr>
              <w:t>Advanced or metastatic</w:t>
            </w:r>
            <w:r w:rsidRPr="003E7C50">
              <w:rPr>
                <w:rFonts w:ascii="Arial Narrow" w:hAnsi="Arial Narrow"/>
                <w:sz w:val="20"/>
              </w:rPr>
              <w:t xml:space="preserve"> </w:t>
            </w:r>
            <w:r w:rsidRPr="003E7C50">
              <w:rPr>
                <w:rFonts w:ascii="Arial Narrow" w:hAnsi="Arial Narrow"/>
                <w:i/>
                <w:sz w:val="20"/>
              </w:rPr>
              <w:t xml:space="preserve">Locally advanced inoperable and metastatic </w:t>
            </w:r>
            <w:r w:rsidRPr="003E7C50">
              <w:rPr>
                <w:rFonts w:ascii="Arial Narrow" w:hAnsi="Arial Narrow"/>
                <w:sz w:val="20"/>
              </w:rPr>
              <w:t>breast cancer</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b/>
                <w:sz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trike/>
                <w:sz w:val="20"/>
              </w:rPr>
            </w:pPr>
            <w:r w:rsidRPr="003E7C50">
              <w:rPr>
                <w:rFonts w:ascii="Arial Narrow" w:hAnsi="Arial Narrow"/>
                <w:sz w:val="20"/>
              </w:rPr>
              <w:t>Initial</w:t>
            </w:r>
            <w:r w:rsidRPr="003E7C50">
              <w:rPr>
                <w:rFonts w:ascii="Arial Narrow" w:hAnsi="Arial Narrow"/>
                <w:strike/>
                <w:sz w:val="20"/>
              </w:rPr>
              <w:t xml:space="preserve"> and continuing</w:t>
            </w:r>
            <w:r w:rsidRPr="003E7C50">
              <w:rPr>
                <w:rFonts w:ascii="Arial Narrow" w:hAnsi="Arial Narrow"/>
                <w:i/>
                <w:sz w:val="20"/>
              </w:rPr>
              <w:t xml:space="preserve"> treatment</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Restriction Level / Method:</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i/>
                <w:sz w:val="20"/>
              </w:rPr>
              <w:fldChar w:fldCharType="begin">
                <w:ffData>
                  <w:name w:val=""/>
                  <w:enabled/>
                  <w:calcOnExit w:val="0"/>
                  <w:checkBox>
                    <w:sizeAuto/>
                    <w:default w:val="1"/>
                  </w:checkBox>
                </w:ffData>
              </w:fldChar>
            </w:r>
            <w:r w:rsidRPr="003E7C50">
              <w:rPr>
                <w:rFonts w:ascii="Arial Narrow" w:hAnsi="Arial Narrow"/>
                <w:i/>
                <w:sz w:val="20"/>
              </w:rPr>
              <w:instrText xml:space="preserve"> FORMCHECKBOX </w:instrText>
            </w:r>
            <w:r w:rsidR="004B47D6">
              <w:rPr>
                <w:rFonts w:ascii="Arial Narrow" w:hAnsi="Arial Narrow"/>
                <w:i/>
                <w:sz w:val="20"/>
              </w:rPr>
            </w:r>
            <w:r w:rsidR="004B47D6">
              <w:rPr>
                <w:rFonts w:ascii="Arial Narrow" w:hAnsi="Arial Narrow"/>
                <w:i/>
                <w:sz w:val="20"/>
              </w:rPr>
              <w:fldChar w:fldCharType="separate"/>
            </w:r>
            <w:r w:rsidRPr="003E7C50">
              <w:rPr>
                <w:rFonts w:ascii="Arial Narrow" w:hAnsi="Arial Narrow"/>
                <w:i/>
                <w:sz w:val="20"/>
              </w:rPr>
              <w:fldChar w:fldCharType="end"/>
            </w:r>
            <w:r w:rsidRPr="003E7C50">
              <w:rPr>
                <w:rFonts w:ascii="Arial Narrow" w:hAnsi="Arial Narrow"/>
                <w:i/>
                <w:sz w:val="20"/>
              </w:rPr>
              <w:t>Authority Required - In Writing</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3"/>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Authority Required - Telephone</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Authority Required - Emergency</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5"/>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Authority Required - Electronic</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5"/>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Streamlined</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strike/>
                <w:sz w:val="20"/>
              </w:rPr>
              <w:t>The patient must not have received any prior endocrine therapy for advanced breast cancer</w:t>
            </w:r>
            <w:r w:rsidRPr="003E7C50">
              <w:rPr>
                <w:rFonts w:ascii="Arial Narrow" w:hAnsi="Arial Narrow"/>
                <w:i/>
                <w:sz w:val="20"/>
              </w:rPr>
              <w:t xml:space="preserve"> The treatment must be an initial endocrine-based therapy for this indication</w:t>
            </w:r>
          </w:p>
          <w:p w:rsidR="00190639" w:rsidRPr="003E7C50" w:rsidRDefault="00190639" w:rsidP="00E176FE">
            <w:pPr>
              <w:spacing w:before="0" w:after="0"/>
              <w:rPr>
                <w:rFonts w:ascii="Arial Narrow" w:hAnsi="Arial Narrow"/>
                <w:i/>
                <w:sz w:val="20"/>
              </w:rPr>
            </w:pPr>
            <w:r w:rsidRPr="003E7C50">
              <w:rPr>
                <w:rFonts w:ascii="Arial Narrow" w:hAnsi="Arial Narrow"/>
                <w:i/>
                <w:sz w:val="20"/>
              </w:rPr>
              <w:t>AND</w:t>
            </w:r>
          </w:p>
          <w:p w:rsidR="00190639" w:rsidRPr="003E7C50" w:rsidRDefault="00190639" w:rsidP="00E64301">
            <w:pPr>
              <w:spacing w:before="0" w:after="0"/>
              <w:rPr>
                <w:rFonts w:ascii="Arial Narrow" w:hAnsi="Arial Narrow"/>
                <w:i/>
                <w:sz w:val="20"/>
              </w:rPr>
            </w:pPr>
            <w:r w:rsidRPr="003E7C50">
              <w:rPr>
                <w:rFonts w:ascii="Arial Narrow" w:hAnsi="Arial Narrow"/>
                <w:sz w:val="20"/>
              </w:rPr>
              <w:t xml:space="preserve">The treatment must be in combination with </w:t>
            </w:r>
            <w:proofErr w:type="spellStart"/>
            <w:r w:rsidRPr="003E7C50">
              <w:rPr>
                <w:rFonts w:ascii="Arial Narrow" w:hAnsi="Arial Narrow"/>
                <w:strike/>
                <w:sz w:val="20"/>
              </w:rPr>
              <w:t>letrozole</w:t>
            </w:r>
            <w:proofErr w:type="spellEnd"/>
            <w:r w:rsidRPr="003E7C50">
              <w:rPr>
                <w:rFonts w:ascii="Arial Narrow" w:hAnsi="Arial Narrow"/>
                <w:strike/>
                <w:sz w:val="20"/>
              </w:rPr>
              <w:t xml:space="preserve"> </w:t>
            </w:r>
            <w:r w:rsidR="00E64301" w:rsidRPr="003E7C50">
              <w:rPr>
                <w:rFonts w:ascii="Arial Narrow" w:hAnsi="Arial Narrow"/>
                <w:i/>
                <w:sz w:val="20"/>
              </w:rPr>
              <w:t>a</w:t>
            </w:r>
            <w:r w:rsidR="00E64301" w:rsidRPr="003E7C50">
              <w:rPr>
                <w:rFonts w:ascii="Arial Narrow" w:hAnsi="Arial Narrow"/>
                <w:sz w:val="20"/>
              </w:rPr>
              <w:t xml:space="preserve"> </w:t>
            </w:r>
            <w:r w:rsidR="00E64301" w:rsidRPr="003E7C50">
              <w:rPr>
                <w:rFonts w:ascii="Arial Narrow" w:hAnsi="Arial Narrow"/>
                <w:i/>
                <w:sz w:val="20"/>
              </w:rPr>
              <w:t>non-steroidal aromatase inhibitor</w:t>
            </w:r>
            <w:r w:rsidRPr="003E7C50">
              <w:rPr>
                <w:rFonts w:ascii="Arial Narrow" w:hAnsi="Arial Narrow"/>
                <w:i/>
                <w:sz w:val="20"/>
              </w:rPr>
              <w:t xml:space="preserve"> (NSAI)</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Clinical criteria:</w:t>
            </w:r>
          </w:p>
          <w:p w:rsidR="00190639" w:rsidRPr="003E7C50" w:rsidRDefault="00190639" w:rsidP="00E176FE">
            <w:pPr>
              <w:spacing w:before="0" w:after="0"/>
              <w:rPr>
                <w:rFonts w:ascii="Arial Narrow" w:hAnsi="Arial Narrow"/>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z w:val="20"/>
              </w:rPr>
              <w:t>The condition must be hormone receptor positive,</w:t>
            </w:r>
          </w:p>
          <w:p w:rsidR="00190639" w:rsidRPr="003E7C50" w:rsidRDefault="00190639" w:rsidP="00E176FE">
            <w:pPr>
              <w:spacing w:before="0" w:after="0"/>
              <w:rPr>
                <w:rFonts w:ascii="Arial Narrow" w:hAnsi="Arial Narrow"/>
                <w:sz w:val="20"/>
              </w:rPr>
            </w:pPr>
            <w:r w:rsidRPr="003E7C50">
              <w:rPr>
                <w:rFonts w:ascii="Arial Narrow" w:hAnsi="Arial Narrow"/>
                <w:sz w:val="20"/>
              </w:rPr>
              <w:t>AND</w:t>
            </w:r>
          </w:p>
          <w:p w:rsidR="002349D5" w:rsidRPr="003E7C50" w:rsidRDefault="00190639" w:rsidP="00E176FE">
            <w:pPr>
              <w:spacing w:before="0" w:after="0"/>
              <w:rPr>
                <w:rFonts w:ascii="Arial Narrow" w:hAnsi="Arial Narrow"/>
                <w:i/>
                <w:sz w:val="20"/>
              </w:rPr>
            </w:pPr>
            <w:r w:rsidRPr="003E7C50">
              <w:rPr>
                <w:rFonts w:ascii="Arial Narrow" w:hAnsi="Arial Narrow"/>
                <w:sz w:val="20"/>
              </w:rPr>
              <w:t xml:space="preserve">The condition must be human epidermal growth factor receptor 2 (HER2) </w:t>
            </w:r>
            <w:r w:rsidR="008E07B1" w:rsidRPr="003E7C50">
              <w:rPr>
                <w:rFonts w:ascii="Arial Narrow" w:hAnsi="Arial Narrow"/>
                <w:sz w:val="20"/>
              </w:rPr>
              <w:t>negative.</w:t>
            </w:r>
            <w:r w:rsidR="008E07B1" w:rsidRPr="003E7C50">
              <w:rPr>
                <w:rFonts w:ascii="Arial Narrow" w:hAnsi="Arial Narrow"/>
                <w:i/>
                <w:sz w:val="20"/>
              </w:rPr>
              <w:t xml:space="preserve"> AND</w:t>
            </w:r>
          </w:p>
          <w:p w:rsidR="00190639" w:rsidRPr="003E7C50" w:rsidRDefault="002349D5" w:rsidP="00E176FE">
            <w:pPr>
              <w:spacing w:before="0" w:after="0"/>
              <w:rPr>
                <w:rFonts w:ascii="Arial Narrow" w:hAnsi="Arial Narrow"/>
                <w:sz w:val="20"/>
              </w:rPr>
            </w:pPr>
            <w:r w:rsidRPr="003E7C50">
              <w:rPr>
                <w:rFonts w:ascii="Arial Narrow" w:hAnsi="Arial Narrow"/>
                <w:i/>
                <w:sz w:val="20"/>
              </w:rPr>
              <w:t>Patient must have a World Health Organisation (WHO) Eastern Cooperative Oncology Group (ECOG) performance status score of 1 or less.</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b/>
                <w:sz w:val="20"/>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trike/>
                <w:sz w:val="20"/>
              </w:rPr>
              <w:t xml:space="preserve">The </w:t>
            </w:r>
            <w:r w:rsidRPr="003E7C50">
              <w:rPr>
                <w:rFonts w:ascii="Arial Narrow" w:hAnsi="Arial Narrow"/>
                <w:sz w:val="20"/>
              </w:rPr>
              <w:t>Patient must not be premenopausal</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Prescriber Instructions</w:t>
            </w:r>
          </w:p>
          <w:p w:rsidR="00190639" w:rsidRPr="003E7C50" w:rsidRDefault="00190639" w:rsidP="00E176FE">
            <w:pPr>
              <w:spacing w:before="0" w:after="0"/>
              <w:rPr>
                <w:rFonts w:ascii="Arial Narrow" w:hAnsi="Arial Narrow"/>
                <w:b/>
                <w:sz w:val="20"/>
              </w:rPr>
            </w:pP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i/>
                <w:sz w:val="20"/>
              </w:rPr>
              <w:t>A patient who has progressive disease when treated with this drug is no longer eligible for PBS-subsidised treatment with this drug</w:t>
            </w:r>
          </w:p>
          <w:p w:rsidR="00190639" w:rsidRPr="003E7C50" w:rsidRDefault="00190639" w:rsidP="00E176FE">
            <w:pPr>
              <w:pStyle w:val="Default"/>
              <w:rPr>
                <w:rFonts w:ascii="Arial Narrow" w:hAnsi="Arial Narrow"/>
                <w:i/>
                <w:sz w:val="20"/>
                <w:szCs w:val="20"/>
              </w:rPr>
            </w:pPr>
          </w:p>
          <w:p w:rsidR="00190639" w:rsidRPr="003E7C50" w:rsidRDefault="00190639" w:rsidP="00E176FE">
            <w:pPr>
              <w:pStyle w:val="Default"/>
              <w:rPr>
                <w:rFonts w:ascii="Arial Narrow" w:hAnsi="Arial Narrow"/>
                <w:i/>
                <w:sz w:val="20"/>
                <w:szCs w:val="20"/>
              </w:rPr>
            </w:pPr>
            <w:r w:rsidRPr="003E7C50">
              <w:rPr>
                <w:rFonts w:ascii="Arial Narrow" w:hAnsi="Arial Narrow"/>
                <w:i/>
                <w:sz w:val="20"/>
                <w:szCs w:val="20"/>
              </w:rPr>
              <w:t>Authority applications for treatment must be made in writing and must include:</w:t>
            </w:r>
          </w:p>
          <w:p w:rsidR="00190639" w:rsidRPr="003E7C50" w:rsidRDefault="00190639" w:rsidP="00E176FE">
            <w:pPr>
              <w:pStyle w:val="Default"/>
              <w:rPr>
                <w:rFonts w:ascii="Arial Narrow" w:hAnsi="Arial Narrow"/>
                <w:i/>
                <w:sz w:val="20"/>
                <w:szCs w:val="20"/>
              </w:rPr>
            </w:pPr>
            <w:r w:rsidRPr="003E7C50">
              <w:rPr>
                <w:rFonts w:ascii="Arial Narrow" w:hAnsi="Arial Narrow"/>
                <w:i/>
                <w:sz w:val="20"/>
                <w:szCs w:val="20"/>
              </w:rPr>
              <w:t>(a) a completed authority prescription form; and</w:t>
            </w:r>
          </w:p>
          <w:p w:rsidR="00190639" w:rsidRPr="003E7C50" w:rsidRDefault="00190639" w:rsidP="00E176FE">
            <w:pPr>
              <w:pStyle w:val="Default"/>
              <w:rPr>
                <w:rFonts w:ascii="Arial Narrow" w:hAnsi="Arial Narrow"/>
                <w:i/>
                <w:sz w:val="20"/>
                <w:szCs w:val="20"/>
              </w:rPr>
            </w:pPr>
            <w:r w:rsidRPr="003E7C50">
              <w:rPr>
                <w:rFonts w:ascii="Arial Narrow" w:hAnsi="Arial Narrow"/>
                <w:i/>
                <w:sz w:val="20"/>
                <w:szCs w:val="20"/>
              </w:rPr>
              <w:t>(b) a completed PBS Supporting Information Form which includes:</w:t>
            </w:r>
          </w:p>
          <w:p w:rsidR="00190639" w:rsidRPr="003E7C50" w:rsidRDefault="00190639" w:rsidP="00E176FE">
            <w:pPr>
              <w:pStyle w:val="Default"/>
              <w:rPr>
                <w:rFonts w:ascii="Arial Narrow" w:hAnsi="Arial Narrow"/>
                <w:i/>
                <w:sz w:val="20"/>
                <w:szCs w:val="20"/>
              </w:rPr>
            </w:pPr>
            <w:r w:rsidRPr="003E7C50">
              <w:rPr>
                <w:rFonts w:ascii="Arial Narrow" w:hAnsi="Arial Narrow"/>
                <w:i/>
                <w:sz w:val="20"/>
                <w:szCs w:val="20"/>
              </w:rPr>
              <w:t>(</w:t>
            </w:r>
            <w:proofErr w:type="spellStart"/>
            <w:r w:rsidRPr="003E7C50">
              <w:rPr>
                <w:rFonts w:ascii="Arial Narrow" w:hAnsi="Arial Narrow"/>
                <w:i/>
                <w:sz w:val="20"/>
                <w:szCs w:val="20"/>
              </w:rPr>
              <w:t>i</w:t>
            </w:r>
            <w:proofErr w:type="spellEnd"/>
            <w:r w:rsidRPr="003E7C50">
              <w:rPr>
                <w:rFonts w:ascii="Arial Narrow" w:hAnsi="Arial Narrow"/>
                <w:i/>
                <w:sz w:val="20"/>
                <w:szCs w:val="20"/>
              </w:rPr>
              <w:t>) a copy of the pathology reports from an Approved Pathology Authority confirming the presence of hormone receptor and lack of presence of HER2 gene amplification by in situ hybridisation (ISH); and</w:t>
            </w:r>
          </w:p>
          <w:p w:rsidR="00190639" w:rsidRPr="003E7C50" w:rsidRDefault="00190639" w:rsidP="00E176FE">
            <w:pPr>
              <w:spacing w:before="0" w:after="0"/>
              <w:rPr>
                <w:rFonts w:ascii="Arial Narrow" w:hAnsi="Arial Narrow"/>
                <w:i/>
                <w:sz w:val="20"/>
              </w:rPr>
            </w:pPr>
            <w:r w:rsidRPr="003E7C50">
              <w:rPr>
                <w:rFonts w:ascii="Arial Narrow" w:hAnsi="Arial Narrow"/>
                <w:i/>
                <w:sz w:val="20"/>
              </w:rPr>
              <w:t xml:space="preserve">(ii) </w:t>
            </w:r>
            <w:proofErr w:type="gramStart"/>
            <w:r w:rsidRPr="003E7C50">
              <w:rPr>
                <w:rFonts w:ascii="Arial Narrow" w:hAnsi="Arial Narrow"/>
                <w:i/>
                <w:sz w:val="20"/>
              </w:rPr>
              <w:t>a</w:t>
            </w:r>
            <w:proofErr w:type="gramEnd"/>
            <w:r w:rsidRPr="003E7C50">
              <w:rPr>
                <w:rFonts w:ascii="Arial Narrow" w:hAnsi="Arial Narrow"/>
                <w:i/>
                <w:sz w:val="20"/>
              </w:rPr>
              <w:t xml:space="preserve"> copy of the signed patient acknowledgement form.</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Administrative Advice</w:t>
            </w:r>
          </w:p>
        </w:tc>
        <w:tc>
          <w:tcPr>
            <w:tcW w:w="6804" w:type="dxa"/>
            <w:gridSpan w:val="6"/>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trike/>
                <w:sz w:val="20"/>
              </w:rPr>
            </w:pPr>
            <w:r w:rsidRPr="003E7C50">
              <w:rPr>
                <w:rFonts w:ascii="Arial Narrow" w:hAnsi="Arial Narrow"/>
                <w:strike/>
                <w:sz w:val="20"/>
              </w:rPr>
              <w:t xml:space="preserve">Patients with progressive disease with </w:t>
            </w:r>
            <w:proofErr w:type="spellStart"/>
            <w:r w:rsidRPr="003E7C50">
              <w:rPr>
                <w:rFonts w:ascii="Arial Narrow" w:hAnsi="Arial Narrow"/>
                <w:strike/>
                <w:sz w:val="20"/>
              </w:rPr>
              <w:t>ribociclib</w:t>
            </w:r>
            <w:proofErr w:type="spellEnd"/>
            <w:r w:rsidRPr="003E7C50">
              <w:rPr>
                <w:rFonts w:ascii="Arial Narrow" w:hAnsi="Arial Narrow"/>
                <w:strike/>
                <w:sz w:val="20"/>
              </w:rPr>
              <w:t xml:space="preserve"> are no longer eligible for PBS-subsidised </w:t>
            </w:r>
            <w:proofErr w:type="spellStart"/>
            <w:r w:rsidRPr="003E7C50">
              <w:rPr>
                <w:rFonts w:ascii="Arial Narrow" w:hAnsi="Arial Narrow"/>
                <w:strike/>
                <w:sz w:val="20"/>
              </w:rPr>
              <w:t>ribociclib</w:t>
            </w:r>
            <w:proofErr w:type="spellEnd"/>
            <w:r w:rsidRPr="003E7C50">
              <w:rPr>
                <w:rFonts w:ascii="Arial Narrow" w:hAnsi="Arial Narrow"/>
                <w:strike/>
                <w:sz w:val="20"/>
              </w:rPr>
              <w:t>.</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No increase in the maximum quantity or number of units may be authorised.</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No increase in the maximum number of repeats may be authorised.</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Special Pricing Arrangements apply.</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Any queries concerning the arrangements to prescribe may be directed to the Department of Human Services on 1800 700 270 (hours of operation 8 a.m. to 5 p.m. EST Monday to Friday).</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Prescribing information (including Authority Application forms and other relevant documentation as applicable) is available on the Department of Human Services website at www.humanservices.gov.au</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Applications for authority to prescribe should be forwarded to:</w:t>
            </w:r>
          </w:p>
          <w:p w:rsidR="00190639" w:rsidRPr="003E7C50" w:rsidRDefault="00190639" w:rsidP="00E176FE">
            <w:pPr>
              <w:spacing w:before="0" w:after="0"/>
              <w:rPr>
                <w:rFonts w:ascii="Arial Narrow" w:hAnsi="Arial Narrow"/>
                <w:i/>
                <w:sz w:val="20"/>
              </w:rPr>
            </w:pPr>
            <w:r w:rsidRPr="003E7C50">
              <w:rPr>
                <w:rFonts w:ascii="Arial Narrow" w:hAnsi="Arial Narrow"/>
                <w:i/>
                <w:sz w:val="20"/>
              </w:rPr>
              <w:t>Department of Human Services</w:t>
            </w:r>
          </w:p>
          <w:p w:rsidR="00190639" w:rsidRPr="003E7C50" w:rsidRDefault="00190639" w:rsidP="00E176FE">
            <w:pPr>
              <w:spacing w:before="0" w:after="0"/>
              <w:rPr>
                <w:rFonts w:ascii="Arial Narrow" w:hAnsi="Arial Narrow"/>
                <w:i/>
                <w:sz w:val="20"/>
              </w:rPr>
            </w:pPr>
            <w:r w:rsidRPr="003E7C50">
              <w:rPr>
                <w:rFonts w:ascii="Arial Narrow" w:hAnsi="Arial Narrow"/>
                <w:i/>
                <w:sz w:val="20"/>
              </w:rPr>
              <w:t>Complex Drugs</w:t>
            </w:r>
          </w:p>
          <w:p w:rsidR="00190639" w:rsidRPr="003E7C50" w:rsidRDefault="00190639" w:rsidP="00E176FE">
            <w:pPr>
              <w:spacing w:before="0" w:after="0"/>
              <w:rPr>
                <w:rFonts w:ascii="Arial Narrow" w:hAnsi="Arial Narrow"/>
                <w:i/>
                <w:sz w:val="20"/>
              </w:rPr>
            </w:pPr>
            <w:r w:rsidRPr="003E7C50">
              <w:rPr>
                <w:rFonts w:ascii="Arial Narrow" w:hAnsi="Arial Narrow"/>
                <w:i/>
                <w:sz w:val="20"/>
              </w:rPr>
              <w:t>Reply Paid 9826</w:t>
            </w:r>
          </w:p>
          <w:p w:rsidR="00190639" w:rsidRPr="003E7C50" w:rsidRDefault="00190639" w:rsidP="00E176FE">
            <w:pPr>
              <w:spacing w:before="0" w:after="0"/>
              <w:rPr>
                <w:rFonts w:ascii="Arial Narrow" w:hAnsi="Arial Narrow"/>
                <w:i/>
                <w:sz w:val="20"/>
              </w:rPr>
            </w:pPr>
            <w:r w:rsidRPr="003E7C50">
              <w:rPr>
                <w:rFonts w:ascii="Arial Narrow" w:hAnsi="Arial Narrow"/>
                <w:i/>
                <w:sz w:val="20"/>
              </w:rPr>
              <w:t>HOBART TAS 7001</w:t>
            </w:r>
          </w:p>
        </w:tc>
      </w:tr>
    </w:tbl>
    <w:p w:rsidR="00190639" w:rsidRPr="003E7C50" w:rsidRDefault="00190639" w:rsidP="00E176FE">
      <w:pPr>
        <w:pStyle w:val="ListParagraph"/>
        <w:numPr>
          <w:ilvl w:val="0"/>
          <w:numId w:val="0"/>
        </w:numPr>
        <w:ind w:left="432"/>
        <w:jc w:val="left"/>
        <w:rPr>
          <w:sz w:val="6"/>
        </w:rPr>
      </w:pPr>
    </w:p>
    <w:tbl>
      <w:tblPr>
        <w:tblW w:w="8459" w:type="dxa"/>
        <w:tblInd w:w="108" w:type="dxa"/>
        <w:tblLayout w:type="fixed"/>
        <w:tblLook w:val="0000" w:firstRow="0" w:lastRow="0" w:firstColumn="0" w:lastColumn="0" w:noHBand="0" w:noVBand="0"/>
      </w:tblPr>
      <w:tblGrid>
        <w:gridCol w:w="1560"/>
        <w:gridCol w:w="6899"/>
      </w:tblGrid>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b/>
                <w:sz w:val="20"/>
              </w:rPr>
              <w:lastRenderedPageBreak/>
              <w:t>Treatment phase:</w:t>
            </w:r>
          </w:p>
        </w:tc>
        <w:tc>
          <w:tcPr>
            <w:tcW w:w="6899"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trike/>
                <w:sz w:val="20"/>
              </w:rPr>
            </w:pPr>
            <w:r w:rsidRPr="003E7C50">
              <w:rPr>
                <w:rFonts w:ascii="Arial Narrow" w:hAnsi="Arial Narrow"/>
                <w:strike/>
                <w:sz w:val="20"/>
              </w:rPr>
              <w:t xml:space="preserve">Initial and </w:t>
            </w:r>
            <w:proofErr w:type="spellStart"/>
            <w:r w:rsidRPr="003E7C50">
              <w:rPr>
                <w:rFonts w:ascii="Arial Narrow" w:hAnsi="Arial Narrow"/>
                <w:strike/>
                <w:sz w:val="20"/>
              </w:rPr>
              <w:t>c</w:t>
            </w:r>
            <w:r w:rsidRPr="003E7C50">
              <w:rPr>
                <w:rFonts w:ascii="Arial Narrow" w:hAnsi="Arial Narrow"/>
                <w:i/>
                <w:sz w:val="20"/>
              </w:rPr>
              <w:t>C</w:t>
            </w:r>
            <w:r w:rsidRPr="003E7C50">
              <w:rPr>
                <w:rFonts w:ascii="Arial Narrow" w:hAnsi="Arial Narrow"/>
                <w:sz w:val="20"/>
              </w:rPr>
              <w:t>ontinuing</w:t>
            </w:r>
            <w:proofErr w:type="spellEnd"/>
            <w:r w:rsidRPr="003E7C50">
              <w:rPr>
                <w:rFonts w:ascii="Arial Narrow" w:hAnsi="Arial Narrow"/>
                <w:sz w:val="20"/>
              </w:rPr>
              <w:t xml:space="preserve"> </w:t>
            </w:r>
            <w:r w:rsidRPr="003E7C50">
              <w:rPr>
                <w:rFonts w:ascii="Arial Narrow" w:hAnsi="Arial Narrow"/>
                <w:i/>
                <w:sz w:val="20"/>
              </w:rPr>
              <w:t>treatment</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Restriction Level / Method:</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p>
        </w:tc>
        <w:tc>
          <w:tcPr>
            <w:tcW w:w="6899"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i/>
                <w:sz w:val="20"/>
              </w:rPr>
              <w:fldChar w:fldCharType="begin">
                <w:ffData>
                  <w:name w:val=""/>
                  <w:enabled/>
                  <w:calcOnExit w:val="0"/>
                  <w:checkBox>
                    <w:sizeAuto/>
                    <w:default w:val="0"/>
                  </w:checkBox>
                </w:ffData>
              </w:fldChar>
            </w:r>
            <w:r w:rsidRPr="003E7C50">
              <w:rPr>
                <w:rFonts w:ascii="Arial Narrow" w:hAnsi="Arial Narrow"/>
                <w:i/>
                <w:sz w:val="20"/>
              </w:rPr>
              <w:instrText xml:space="preserve"> FORMCHECKBOX </w:instrText>
            </w:r>
            <w:r w:rsidR="004B47D6">
              <w:rPr>
                <w:rFonts w:ascii="Arial Narrow" w:hAnsi="Arial Narrow"/>
                <w:i/>
                <w:sz w:val="20"/>
              </w:rPr>
            </w:r>
            <w:r w:rsidR="004B47D6">
              <w:rPr>
                <w:rFonts w:ascii="Arial Narrow" w:hAnsi="Arial Narrow"/>
                <w:i/>
                <w:sz w:val="20"/>
              </w:rPr>
              <w:fldChar w:fldCharType="separate"/>
            </w:r>
            <w:r w:rsidRPr="003E7C50">
              <w:rPr>
                <w:rFonts w:ascii="Arial Narrow" w:hAnsi="Arial Narrow"/>
                <w:i/>
                <w:sz w:val="20"/>
              </w:rPr>
              <w:fldChar w:fldCharType="end"/>
            </w:r>
            <w:r w:rsidRPr="003E7C50">
              <w:rPr>
                <w:rFonts w:ascii="Arial Narrow" w:hAnsi="Arial Narrow"/>
                <w:sz w:val="20"/>
              </w:rPr>
              <w:t>Authority Required - In Writing</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
                  <w:enabled/>
                  <w:calcOnExit w:val="0"/>
                  <w:checkBox>
                    <w:sizeAuto/>
                    <w:default w:val="1"/>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i/>
                <w:sz w:val="20"/>
              </w:rPr>
              <w:t>Authority Required - Telephone</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Authority Required - Emergency</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5"/>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Authority Required - Electronic</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5"/>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Streamlined</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Treatment criteria:</w:t>
            </w:r>
          </w:p>
        </w:tc>
        <w:tc>
          <w:tcPr>
            <w:tcW w:w="6899"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strike/>
                <w:sz w:val="20"/>
              </w:rPr>
              <w:t>The patient must not have received any prior endocrine therapy for advanced breast cancer</w:t>
            </w:r>
            <w:r w:rsidRPr="003E7C50">
              <w:rPr>
                <w:rFonts w:ascii="Arial Narrow" w:hAnsi="Arial Narrow"/>
                <w:i/>
                <w:sz w:val="20"/>
              </w:rPr>
              <w:t xml:space="preserve"> Patient must have previously been issued with an authority prescription for this drug for this indication,</w:t>
            </w:r>
          </w:p>
          <w:p w:rsidR="00190639" w:rsidRPr="003E7C50" w:rsidRDefault="00190639" w:rsidP="00E176FE">
            <w:pPr>
              <w:spacing w:before="0" w:after="0"/>
              <w:rPr>
                <w:rFonts w:ascii="Arial Narrow" w:hAnsi="Arial Narrow"/>
                <w:i/>
                <w:sz w:val="20"/>
              </w:rPr>
            </w:pPr>
            <w:r w:rsidRPr="003E7C50">
              <w:rPr>
                <w:rFonts w:ascii="Arial Narrow" w:hAnsi="Arial Narrow"/>
                <w:i/>
                <w:sz w:val="20"/>
              </w:rPr>
              <w:t>AND</w:t>
            </w:r>
          </w:p>
          <w:p w:rsidR="00190639" w:rsidRPr="003E7C50" w:rsidRDefault="00190639" w:rsidP="00E176FE">
            <w:pPr>
              <w:spacing w:before="0" w:after="0"/>
              <w:rPr>
                <w:rFonts w:ascii="Arial Narrow" w:hAnsi="Arial Narrow"/>
                <w:i/>
                <w:sz w:val="20"/>
              </w:rPr>
            </w:pPr>
            <w:r w:rsidRPr="003E7C50">
              <w:rPr>
                <w:rFonts w:ascii="Arial Narrow" w:hAnsi="Arial Narrow"/>
                <w:sz w:val="20"/>
              </w:rPr>
              <w:t xml:space="preserve">The treatment must be in combination with </w:t>
            </w:r>
            <w:proofErr w:type="spellStart"/>
            <w:r w:rsidRPr="003E7C50">
              <w:rPr>
                <w:rFonts w:ascii="Arial Narrow" w:hAnsi="Arial Narrow"/>
                <w:strike/>
                <w:sz w:val="20"/>
              </w:rPr>
              <w:t>letrozole</w:t>
            </w:r>
            <w:proofErr w:type="spellEnd"/>
            <w:r w:rsidRPr="003E7C50">
              <w:rPr>
                <w:rFonts w:ascii="Arial Narrow" w:hAnsi="Arial Narrow"/>
                <w:strike/>
                <w:sz w:val="20"/>
              </w:rPr>
              <w:t xml:space="preserve"> </w:t>
            </w:r>
            <w:r w:rsidR="00E64301" w:rsidRPr="003E7C50">
              <w:rPr>
                <w:rFonts w:ascii="Arial Narrow" w:hAnsi="Arial Narrow"/>
                <w:i/>
                <w:sz w:val="20"/>
              </w:rPr>
              <w:t>a</w:t>
            </w:r>
            <w:r w:rsidR="00E64301" w:rsidRPr="003E7C50">
              <w:rPr>
                <w:rFonts w:ascii="Arial Narrow" w:hAnsi="Arial Narrow"/>
                <w:sz w:val="20"/>
              </w:rPr>
              <w:t xml:space="preserve"> </w:t>
            </w:r>
            <w:r w:rsidR="00E64301" w:rsidRPr="003E7C50">
              <w:rPr>
                <w:rFonts w:ascii="Arial Narrow" w:hAnsi="Arial Narrow"/>
                <w:i/>
                <w:sz w:val="20"/>
              </w:rPr>
              <w:t>non-steroidal aromatase inhibitor (NSAI</w:t>
            </w:r>
            <w:r w:rsidRPr="003E7C50">
              <w:rPr>
                <w:rFonts w:ascii="Arial Narrow" w:hAnsi="Arial Narrow"/>
                <w:i/>
                <w:sz w:val="20"/>
              </w:rPr>
              <w:t>)</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Clinical criteria:</w:t>
            </w:r>
          </w:p>
          <w:p w:rsidR="00190639" w:rsidRPr="003E7C50" w:rsidRDefault="00190639" w:rsidP="00E176FE">
            <w:pPr>
              <w:spacing w:before="0" w:after="0"/>
              <w:rPr>
                <w:rFonts w:ascii="Arial Narrow" w:hAnsi="Arial Narrow"/>
                <w:sz w:val="20"/>
              </w:rPr>
            </w:pPr>
          </w:p>
        </w:tc>
        <w:tc>
          <w:tcPr>
            <w:tcW w:w="6899"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z w:val="20"/>
              </w:rPr>
              <w:t>Patient must not receive PBS-subsidised treatment with this drug if progressive disease develops while on this drug,</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b/>
                <w:sz w:val="20"/>
              </w:rPr>
              <w:t>Population criteria:</w:t>
            </w:r>
          </w:p>
        </w:tc>
        <w:tc>
          <w:tcPr>
            <w:tcW w:w="6899"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trike/>
                <w:sz w:val="20"/>
              </w:rPr>
              <w:t xml:space="preserve">The </w:t>
            </w:r>
            <w:r w:rsidRPr="003E7C50">
              <w:rPr>
                <w:rFonts w:ascii="Arial Narrow" w:hAnsi="Arial Narrow"/>
                <w:sz w:val="20"/>
              </w:rPr>
              <w:t>Patient must not be premenopausal</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Prescriber Instructions</w:t>
            </w:r>
          </w:p>
        </w:tc>
        <w:tc>
          <w:tcPr>
            <w:tcW w:w="6899"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i/>
                <w:sz w:val="20"/>
              </w:rPr>
              <w:t>A patient who has progressive disease when treated with this drug is no longer eligible for PBS-subsidised treatment with this drug</w:t>
            </w:r>
          </w:p>
        </w:tc>
      </w:tr>
      <w:tr w:rsidR="00190639" w:rsidRPr="003E7C50" w:rsidTr="00E176FE">
        <w:trPr>
          <w:cantSplit/>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Administrative Advice</w:t>
            </w:r>
          </w:p>
        </w:tc>
        <w:tc>
          <w:tcPr>
            <w:tcW w:w="6899"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trike/>
                <w:sz w:val="20"/>
              </w:rPr>
            </w:pPr>
            <w:r w:rsidRPr="003E7C50">
              <w:rPr>
                <w:rFonts w:ascii="Arial Narrow" w:hAnsi="Arial Narrow"/>
                <w:strike/>
                <w:sz w:val="20"/>
              </w:rPr>
              <w:t xml:space="preserve">Patients with progressive disease with </w:t>
            </w:r>
            <w:proofErr w:type="spellStart"/>
            <w:r w:rsidRPr="003E7C50">
              <w:rPr>
                <w:rFonts w:ascii="Arial Narrow" w:hAnsi="Arial Narrow"/>
                <w:strike/>
                <w:sz w:val="20"/>
              </w:rPr>
              <w:t>ribociclib</w:t>
            </w:r>
            <w:proofErr w:type="spellEnd"/>
            <w:r w:rsidRPr="003E7C50">
              <w:rPr>
                <w:rFonts w:ascii="Arial Narrow" w:hAnsi="Arial Narrow"/>
                <w:strike/>
                <w:sz w:val="20"/>
              </w:rPr>
              <w:t xml:space="preserve"> are no longer eligible for PBS-subsidised </w:t>
            </w:r>
            <w:proofErr w:type="spellStart"/>
            <w:r w:rsidRPr="003E7C50">
              <w:rPr>
                <w:rFonts w:ascii="Arial Narrow" w:hAnsi="Arial Narrow"/>
                <w:strike/>
                <w:sz w:val="20"/>
              </w:rPr>
              <w:t>ribociclib</w:t>
            </w:r>
            <w:proofErr w:type="spellEnd"/>
            <w:r w:rsidRPr="003E7C50">
              <w:rPr>
                <w:rFonts w:ascii="Arial Narrow" w:hAnsi="Arial Narrow"/>
                <w:strike/>
                <w:sz w:val="20"/>
              </w:rPr>
              <w:t>.</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No increase in the maximum quantity or number of units may be authorised.</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No increase in the maximum number of repeats may be authorised.</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Special Pricing Arrangements apply.</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Any queries concerning the arrangements to prescribe may be directed to the Department of Human Services on 1800 700 270 (hours of operation 8 a.m. to 5 p.m. EST Monday to Friday).</w:t>
            </w:r>
          </w:p>
        </w:tc>
      </w:tr>
    </w:tbl>
    <w:p w:rsidR="00190639" w:rsidRPr="003E7C50" w:rsidRDefault="00190639" w:rsidP="00E176FE">
      <w:pPr>
        <w:pStyle w:val="ListParagraph"/>
        <w:numPr>
          <w:ilvl w:val="0"/>
          <w:numId w:val="0"/>
        </w:numPr>
        <w:ind w:left="432"/>
        <w:jc w:val="left"/>
        <w:rPr>
          <w:sz w:val="8"/>
          <w:szCs w:val="20"/>
        </w:rPr>
      </w:pPr>
    </w:p>
    <w:tbl>
      <w:tblPr>
        <w:tblW w:w="8364" w:type="dxa"/>
        <w:tblInd w:w="108" w:type="dxa"/>
        <w:tblLayout w:type="fixed"/>
        <w:tblLook w:val="0000" w:firstRow="0" w:lastRow="0" w:firstColumn="0" w:lastColumn="0" w:noHBand="0" w:noVBand="0"/>
      </w:tblPr>
      <w:tblGrid>
        <w:gridCol w:w="1560"/>
        <w:gridCol w:w="6804"/>
      </w:tblGrid>
      <w:tr w:rsidR="00190639" w:rsidRPr="003E7C50" w:rsidTr="00E176FE">
        <w:trPr>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b/>
                <w:sz w:val="20"/>
              </w:rPr>
              <w:t>Treatment phase:</w:t>
            </w:r>
          </w:p>
        </w:tc>
        <w:tc>
          <w:tcPr>
            <w:tcW w:w="6804"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trike/>
                <w:sz w:val="20"/>
              </w:rPr>
            </w:pPr>
            <w:r w:rsidRPr="003E7C50">
              <w:rPr>
                <w:rFonts w:ascii="Arial Narrow" w:hAnsi="Arial Narrow"/>
                <w:strike/>
                <w:sz w:val="20"/>
              </w:rPr>
              <w:t xml:space="preserve">Initial </w:t>
            </w:r>
            <w:r w:rsidRPr="003E7C50">
              <w:rPr>
                <w:rFonts w:ascii="Arial Narrow" w:hAnsi="Arial Narrow"/>
                <w:i/>
                <w:sz w:val="20"/>
              </w:rPr>
              <w:t>Grandfathering treatment</w:t>
            </w:r>
          </w:p>
        </w:tc>
      </w:tr>
      <w:tr w:rsidR="00190639" w:rsidRPr="003E7C50" w:rsidTr="00E176FE">
        <w:trPr>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Restriction Level / Method:</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p>
        </w:tc>
        <w:tc>
          <w:tcPr>
            <w:tcW w:w="6804"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i/>
                <w:sz w:val="20"/>
              </w:rPr>
              <w:fldChar w:fldCharType="begin">
                <w:ffData>
                  <w:name w:val=""/>
                  <w:enabled/>
                  <w:calcOnExit w:val="0"/>
                  <w:checkBox>
                    <w:sizeAuto/>
                    <w:default w:val="1"/>
                  </w:checkBox>
                </w:ffData>
              </w:fldChar>
            </w:r>
            <w:r w:rsidRPr="003E7C50">
              <w:rPr>
                <w:rFonts w:ascii="Arial Narrow" w:hAnsi="Arial Narrow"/>
                <w:i/>
                <w:sz w:val="20"/>
              </w:rPr>
              <w:instrText xml:space="preserve"> FORMCHECKBOX </w:instrText>
            </w:r>
            <w:r w:rsidR="004B47D6">
              <w:rPr>
                <w:rFonts w:ascii="Arial Narrow" w:hAnsi="Arial Narrow"/>
                <w:i/>
                <w:sz w:val="20"/>
              </w:rPr>
            </w:r>
            <w:r w:rsidR="004B47D6">
              <w:rPr>
                <w:rFonts w:ascii="Arial Narrow" w:hAnsi="Arial Narrow"/>
                <w:i/>
                <w:sz w:val="20"/>
              </w:rPr>
              <w:fldChar w:fldCharType="separate"/>
            </w:r>
            <w:r w:rsidRPr="003E7C50">
              <w:rPr>
                <w:rFonts w:ascii="Arial Narrow" w:hAnsi="Arial Narrow"/>
                <w:i/>
                <w:sz w:val="20"/>
              </w:rPr>
              <w:fldChar w:fldCharType="end"/>
            </w:r>
            <w:r w:rsidRPr="003E7C50">
              <w:rPr>
                <w:rFonts w:ascii="Arial Narrow" w:hAnsi="Arial Narrow"/>
                <w:i/>
                <w:sz w:val="20"/>
              </w:rPr>
              <w:t>Authority Required - In Writing</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3"/>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Authority Required - Telephone</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Authority Required - Emergency</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5"/>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Authority Required - Electronic</w:t>
            </w:r>
          </w:p>
          <w:p w:rsidR="00190639" w:rsidRPr="003E7C50" w:rsidRDefault="00190639" w:rsidP="00E176FE">
            <w:pPr>
              <w:spacing w:before="0" w:after="0"/>
              <w:rPr>
                <w:rFonts w:ascii="Arial Narrow" w:hAnsi="Arial Narrow"/>
                <w:sz w:val="20"/>
              </w:rPr>
            </w:pPr>
            <w:r w:rsidRPr="003E7C50">
              <w:rPr>
                <w:rFonts w:ascii="Arial Narrow" w:hAnsi="Arial Narrow"/>
                <w:sz w:val="20"/>
              </w:rPr>
              <w:fldChar w:fldCharType="begin">
                <w:ffData>
                  <w:name w:val="Check5"/>
                  <w:enabled/>
                  <w:calcOnExit w:val="0"/>
                  <w:checkBox>
                    <w:sizeAuto/>
                    <w:default w:val="0"/>
                  </w:checkBox>
                </w:ffData>
              </w:fldChar>
            </w:r>
            <w:r w:rsidRPr="003E7C50">
              <w:rPr>
                <w:rFonts w:ascii="Arial Narrow" w:hAnsi="Arial Narrow"/>
                <w:sz w:val="20"/>
              </w:rPr>
              <w:instrText xml:space="preserve"> FORMCHECKBOX </w:instrText>
            </w:r>
            <w:r w:rsidR="004B47D6">
              <w:rPr>
                <w:rFonts w:ascii="Arial Narrow" w:hAnsi="Arial Narrow"/>
                <w:sz w:val="20"/>
              </w:rPr>
            </w:r>
            <w:r w:rsidR="004B47D6">
              <w:rPr>
                <w:rFonts w:ascii="Arial Narrow" w:hAnsi="Arial Narrow"/>
                <w:sz w:val="20"/>
              </w:rPr>
              <w:fldChar w:fldCharType="separate"/>
            </w:r>
            <w:r w:rsidRPr="003E7C50">
              <w:rPr>
                <w:rFonts w:ascii="Arial Narrow" w:hAnsi="Arial Narrow"/>
                <w:sz w:val="20"/>
              </w:rPr>
              <w:fldChar w:fldCharType="end"/>
            </w:r>
            <w:r w:rsidRPr="003E7C50">
              <w:rPr>
                <w:rFonts w:ascii="Arial Narrow" w:hAnsi="Arial Narrow"/>
                <w:sz w:val="20"/>
              </w:rPr>
              <w:t>Streamlined</w:t>
            </w:r>
          </w:p>
        </w:tc>
      </w:tr>
      <w:tr w:rsidR="00190639" w:rsidRPr="003E7C50" w:rsidTr="00E176FE">
        <w:trPr>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Treatment criteria:</w:t>
            </w:r>
          </w:p>
        </w:tc>
        <w:tc>
          <w:tcPr>
            <w:tcW w:w="6804"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pStyle w:val="TableLeft"/>
              <w:rPr>
                <w:rFonts w:eastAsia="Times New Roman" w:cs="Arial"/>
                <w:snapToGrid w:val="0"/>
                <w:szCs w:val="20"/>
                <w:lang w:bidi="ar-SA"/>
              </w:rPr>
            </w:pPr>
            <w:r w:rsidRPr="003E7C50">
              <w:rPr>
                <w:rFonts w:eastAsia="Times New Roman" w:cs="Arial"/>
                <w:strike/>
                <w:snapToGrid w:val="0"/>
                <w:szCs w:val="20"/>
                <w:lang w:bidi="ar-SA"/>
              </w:rPr>
              <w:t xml:space="preserve">The patient must be currently receiving </w:t>
            </w:r>
            <w:proofErr w:type="spellStart"/>
            <w:r w:rsidRPr="003E7C50">
              <w:rPr>
                <w:rFonts w:eastAsia="Times New Roman" w:cs="Arial"/>
                <w:strike/>
                <w:snapToGrid w:val="0"/>
                <w:szCs w:val="20"/>
                <w:lang w:bidi="ar-SA"/>
              </w:rPr>
              <w:t>ribociclib</w:t>
            </w:r>
            <w:proofErr w:type="spellEnd"/>
            <w:r w:rsidRPr="003E7C50">
              <w:rPr>
                <w:rFonts w:eastAsia="Times New Roman" w:cs="Arial"/>
                <w:strike/>
                <w:snapToGrid w:val="0"/>
                <w:szCs w:val="20"/>
                <w:lang w:bidi="ar-SA"/>
              </w:rPr>
              <w:t xml:space="preserve"> via an approved patient access program</w:t>
            </w:r>
            <w:r w:rsidRPr="003E7C50">
              <w:rPr>
                <w:rFonts w:eastAsia="Times New Roman" w:cs="Arial"/>
                <w:snapToGrid w:val="0"/>
                <w:szCs w:val="20"/>
                <w:lang w:bidi="ar-SA"/>
              </w:rPr>
              <w:t xml:space="preserve"> </w:t>
            </w:r>
            <w:r w:rsidRPr="003E7C50">
              <w:rPr>
                <w:rFonts w:eastAsia="Times New Roman" w:cs="Arial"/>
                <w:i/>
                <w:snapToGrid w:val="0"/>
                <w:szCs w:val="20"/>
                <w:lang w:bidi="ar-SA"/>
              </w:rPr>
              <w:t>Patient must have previously received non-PBS-subsidised treatment with this drug for this indication prior to [listing date];</w:t>
            </w:r>
            <w:r w:rsidRPr="003E7C50">
              <w:rPr>
                <w:rFonts w:eastAsia="Times New Roman" w:cs="Arial"/>
                <w:snapToGrid w:val="0"/>
                <w:szCs w:val="20"/>
                <w:lang w:bidi="ar-SA"/>
              </w:rPr>
              <w:t xml:space="preserve"> OR</w:t>
            </w:r>
          </w:p>
          <w:p w:rsidR="00190639" w:rsidRPr="003E7C50" w:rsidRDefault="00190639" w:rsidP="00E176FE">
            <w:pPr>
              <w:spacing w:before="0" w:after="0"/>
              <w:rPr>
                <w:rFonts w:ascii="Arial Narrow" w:hAnsi="Arial Narrow"/>
                <w:sz w:val="20"/>
              </w:rPr>
            </w:pPr>
            <w:r w:rsidRPr="003E7C50">
              <w:rPr>
                <w:rFonts w:ascii="Arial Narrow" w:hAnsi="Arial Narrow"/>
                <w:sz w:val="20"/>
              </w:rPr>
              <w:t xml:space="preserve">The patient must be receiving their first endocrine-based therapy for </w:t>
            </w:r>
            <w:r w:rsidRPr="003E7C50">
              <w:rPr>
                <w:rFonts w:ascii="Arial Narrow" w:hAnsi="Arial Narrow"/>
                <w:strike/>
                <w:sz w:val="20"/>
              </w:rPr>
              <w:t>advanced breast cancer</w:t>
            </w:r>
            <w:r w:rsidRPr="003E7C50">
              <w:rPr>
                <w:rFonts w:ascii="Arial Narrow" w:hAnsi="Arial Narrow"/>
                <w:i/>
                <w:sz w:val="20"/>
              </w:rPr>
              <w:t xml:space="preserve"> this indication</w:t>
            </w:r>
            <w:r w:rsidRPr="003E7C50">
              <w:rPr>
                <w:rFonts w:ascii="Arial Narrow" w:hAnsi="Arial Narrow"/>
                <w:sz w:val="20"/>
              </w:rPr>
              <w:t xml:space="preserve">; </w:t>
            </w:r>
          </w:p>
          <w:p w:rsidR="00190639" w:rsidRPr="003E7C50" w:rsidRDefault="00190639" w:rsidP="00E176FE">
            <w:pPr>
              <w:spacing w:before="0" w:after="0"/>
              <w:rPr>
                <w:rFonts w:ascii="Arial Narrow" w:hAnsi="Arial Narrow"/>
                <w:sz w:val="20"/>
              </w:rPr>
            </w:pPr>
            <w:r w:rsidRPr="003E7C50">
              <w:rPr>
                <w:rFonts w:ascii="Arial Narrow" w:hAnsi="Arial Narrow"/>
                <w:sz w:val="20"/>
              </w:rPr>
              <w:t>AND</w:t>
            </w:r>
          </w:p>
          <w:p w:rsidR="00190639" w:rsidRPr="003E7C50" w:rsidRDefault="00190639" w:rsidP="00E176FE">
            <w:pPr>
              <w:spacing w:before="0" w:after="0"/>
              <w:rPr>
                <w:rFonts w:ascii="Arial Narrow" w:hAnsi="Arial Narrow"/>
                <w:i/>
                <w:sz w:val="20"/>
              </w:rPr>
            </w:pPr>
            <w:r w:rsidRPr="003E7C50">
              <w:rPr>
                <w:rFonts w:ascii="Arial Narrow" w:hAnsi="Arial Narrow"/>
                <w:sz w:val="20"/>
              </w:rPr>
              <w:t>The treatment must be in combination with</w:t>
            </w:r>
            <w:r w:rsidR="00E64301" w:rsidRPr="003E7C50">
              <w:rPr>
                <w:rFonts w:ascii="Arial Narrow" w:hAnsi="Arial Narrow"/>
                <w:sz w:val="20"/>
              </w:rPr>
              <w:t xml:space="preserve"> </w:t>
            </w:r>
            <w:r w:rsidRPr="003E7C50">
              <w:rPr>
                <w:rFonts w:ascii="Arial Narrow" w:hAnsi="Arial Narrow"/>
                <w:sz w:val="20"/>
              </w:rPr>
              <w:t xml:space="preserve"> </w:t>
            </w:r>
            <w:proofErr w:type="spellStart"/>
            <w:r w:rsidRPr="003E7C50">
              <w:rPr>
                <w:rFonts w:ascii="Arial Narrow" w:hAnsi="Arial Narrow"/>
                <w:strike/>
                <w:sz w:val="20"/>
              </w:rPr>
              <w:t>letrozole</w:t>
            </w:r>
            <w:proofErr w:type="spellEnd"/>
            <w:r w:rsidRPr="003E7C50">
              <w:rPr>
                <w:rFonts w:ascii="Arial Narrow" w:hAnsi="Arial Narrow"/>
                <w:strike/>
                <w:sz w:val="20"/>
              </w:rPr>
              <w:t xml:space="preserve"> </w:t>
            </w:r>
            <w:r w:rsidR="00E64301" w:rsidRPr="003E7C50">
              <w:rPr>
                <w:rFonts w:ascii="Arial Narrow" w:hAnsi="Arial Narrow"/>
                <w:strike/>
                <w:sz w:val="20"/>
              </w:rPr>
              <w:t xml:space="preserve"> </w:t>
            </w:r>
            <w:r w:rsidR="00E64301" w:rsidRPr="003E7C50">
              <w:rPr>
                <w:rFonts w:ascii="Arial Narrow" w:hAnsi="Arial Narrow"/>
                <w:i/>
                <w:sz w:val="20"/>
              </w:rPr>
              <w:t>a</w:t>
            </w:r>
            <w:r w:rsidR="00E64301" w:rsidRPr="003E7C50">
              <w:rPr>
                <w:rFonts w:ascii="Arial Narrow" w:hAnsi="Arial Narrow"/>
                <w:sz w:val="20"/>
              </w:rPr>
              <w:t xml:space="preserve"> </w:t>
            </w:r>
            <w:r w:rsidRPr="003E7C50">
              <w:rPr>
                <w:rFonts w:ascii="Arial Narrow" w:hAnsi="Arial Narrow"/>
                <w:i/>
                <w:sz w:val="20"/>
              </w:rPr>
              <w:t>no</w:t>
            </w:r>
            <w:r w:rsidR="00E64301" w:rsidRPr="003E7C50">
              <w:rPr>
                <w:rFonts w:ascii="Arial Narrow" w:hAnsi="Arial Narrow"/>
                <w:i/>
                <w:sz w:val="20"/>
              </w:rPr>
              <w:t>n-steroidal aromatase inhibitor (NSAI</w:t>
            </w:r>
            <w:r w:rsidRPr="003E7C50">
              <w:rPr>
                <w:rFonts w:ascii="Arial Narrow" w:hAnsi="Arial Narrow"/>
                <w:i/>
                <w:sz w:val="20"/>
              </w:rPr>
              <w:t>)</w:t>
            </w:r>
          </w:p>
        </w:tc>
      </w:tr>
      <w:tr w:rsidR="00190639" w:rsidRPr="003E7C50" w:rsidTr="00E176FE">
        <w:trPr>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Clinical criteria:</w:t>
            </w:r>
          </w:p>
          <w:p w:rsidR="00190639" w:rsidRPr="003E7C50" w:rsidRDefault="00190639" w:rsidP="00E176FE">
            <w:pPr>
              <w:spacing w:before="0" w:after="0"/>
              <w:rPr>
                <w:rFonts w:ascii="Arial Narrow" w:hAnsi="Arial Narrow"/>
                <w:sz w:val="20"/>
              </w:rPr>
            </w:pPr>
          </w:p>
        </w:tc>
        <w:tc>
          <w:tcPr>
            <w:tcW w:w="6804"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z w:val="20"/>
              </w:rPr>
              <w:t>The condition must be hormone receptor positive,</w:t>
            </w:r>
          </w:p>
          <w:p w:rsidR="00190639" w:rsidRPr="003E7C50" w:rsidRDefault="00190639" w:rsidP="00E176FE">
            <w:pPr>
              <w:spacing w:before="0" w:after="0"/>
              <w:rPr>
                <w:rFonts w:ascii="Arial Narrow" w:hAnsi="Arial Narrow"/>
                <w:sz w:val="20"/>
              </w:rPr>
            </w:pPr>
            <w:r w:rsidRPr="003E7C50">
              <w:rPr>
                <w:rFonts w:ascii="Arial Narrow" w:hAnsi="Arial Narrow"/>
                <w:sz w:val="20"/>
              </w:rPr>
              <w:t>AND</w:t>
            </w:r>
          </w:p>
          <w:p w:rsidR="00190639" w:rsidRPr="003E7C50" w:rsidRDefault="00190639" w:rsidP="00E176FE">
            <w:pPr>
              <w:spacing w:before="0" w:after="0"/>
              <w:rPr>
                <w:rFonts w:ascii="Arial Narrow" w:hAnsi="Arial Narrow"/>
                <w:sz w:val="20"/>
              </w:rPr>
            </w:pPr>
            <w:r w:rsidRPr="003E7C50">
              <w:rPr>
                <w:rFonts w:ascii="Arial Narrow" w:hAnsi="Arial Narrow"/>
                <w:sz w:val="20"/>
              </w:rPr>
              <w:t>The condition must be human epidermal growth factor receptor 2 (HER2) negative.</w:t>
            </w:r>
          </w:p>
        </w:tc>
      </w:tr>
      <w:tr w:rsidR="00190639" w:rsidRPr="003E7C50" w:rsidTr="00E176FE">
        <w:trPr>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b/>
                <w:sz w:val="20"/>
              </w:rPr>
              <w:t>Population criteria:</w:t>
            </w:r>
          </w:p>
        </w:tc>
        <w:tc>
          <w:tcPr>
            <w:tcW w:w="6804"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z w:val="20"/>
              </w:rPr>
            </w:pPr>
            <w:r w:rsidRPr="003E7C50">
              <w:rPr>
                <w:rFonts w:ascii="Arial Narrow" w:hAnsi="Arial Narrow"/>
                <w:strike/>
                <w:sz w:val="20"/>
              </w:rPr>
              <w:t xml:space="preserve">The </w:t>
            </w:r>
            <w:r w:rsidRPr="003E7C50">
              <w:rPr>
                <w:rFonts w:ascii="Arial Narrow" w:hAnsi="Arial Narrow"/>
                <w:sz w:val="20"/>
              </w:rPr>
              <w:t>Patient must not be premenopausal</w:t>
            </w:r>
          </w:p>
        </w:tc>
      </w:tr>
      <w:tr w:rsidR="00190639" w:rsidRPr="003E7C50" w:rsidTr="00E176FE">
        <w:trPr>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t>Prescriber Instructions</w:t>
            </w:r>
          </w:p>
          <w:p w:rsidR="00190639" w:rsidRPr="003E7C50" w:rsidRDefault="00190639" w:rsidP="00E176FE">
            <w:pPr>
              <w:spacing w:before="0" w:after="0"/>
              <w:rPr>
                <w:rFonts w:ascii="Arial Narrow" w:hAnsi="Arial Narrow"/>
                <w:b/>
                <w:sz w:val="20"/>
              </w:rPr>
            </w:pPr>
          </w:p>
        </w:tc>
        <w:tc>
          <w:tcPr>
            <w:tcW w:w="6804"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i/>
                <w:sz w:val="20"/>
              </w:rPr>
            </w:pPr>
            <w:r w:rsidRPr="003E7C50">
              <w:rPr>
                <w:rFonts w:ascii="Arial Narrow" w:hAnsi="Arial Narrow"/>
                <w:i/>
                <w:sz w:val="20"/>
              </w:rPr>
              <w:t>A patient who has progressive disease when treated with this drug is no longer eligible for PBS-subsidised treatment with this drug</w:t>
            </w:r>
          </w:p>
          <w:p w:rsidR="00190639" w:rsidRPr="003E7C50" w:rsidRDefault="00190639" w:rsidP="00E176FE">
            <w:pPr>
              <w:pStyle w:val="Default"/>
              <w:rPr>
                <w:rFonts w:ascii="Arial Narrow" w:hAnsi="Arial Narrow"/>
                <w:i/>
                <w:sz w:val="20"/>
                <w:szCs w:val="20"/>
              </w:rPr>
            </w:pPr>
          </w:p>
          <w:p w:rsidR="00190639" w:rsidRPr="003E7C50" w:rsidRDefault="00190639" w:rsidP="00E176FE">
            <w:pPr>
              <w:pStyle w:val="Default"/>
              <w:rPr>
                <w:rFonts w:ascii="Arial Narrow" w:hAnsi="Arial Narrow"/>
                <w:i/>
                <w:sz w:val="20"/>
                <w:szCs w:val="20"/>
              </w:rPr>
            </w:pPr>
            <w:r w:rsidRPr="003E7C50">
              <w:rPr>
                <w:rFonts w:ascii="Arial Narrow" w:hAnsi="Arial Narrow"/>
                <w:i/>
                <w:sz w:val="20"/>
                <w:szCs w:val="20"/>
              </w:rPr>
              <w:t>Authority applications for treatment must be made in writing and must include:</w:t>
            </w:r>
          </w:p>
          <w:p w:rsidR="00190639" w:rsidRPr="003E7C50" w:rsidRDefault="00190639" w:rsidP="00E176FE">
            <w:pPr>
              <w:pStyle w:val="Default"/>
              <w:rPr>
                <w:rFonts w:ascii="Arial Narrow" w:hAnsi="Arial Narrow"/>
                <w:i/>
                <w:sz w:val="20"/>
                <w:szCs w:val="20"/>
              </w:rPr>
            </w:pPr>
            <w:r w:rsidRPr="003E7C50">
              <w:rPr>
                <w:rFonts w:ascii="Arial Narrow" w:hAnsi="Arial Narrow"/>
                <w:i/>
                <w:sz w:val="20"/>
                <w:szCs w:val="20"/>
              </w:rPr>
              <w:t>(a) a completed authority prescription form; and</w:t>
            </w:r>
          </w:p>
          <w:p w:rsidR="00190639" w:rsidRPr="003E7C50" w:rsidRDefault="00190639" w:rsidP="00E176FE">
            <w:pPr>
              <w:pStyle w:val="Default"/>
              <w:rPr>
                <w:rFonts w:ascii="Arial Narrow" w:hAnsi="Arial Narrow"/>
                <w:i/>
                <w:sz w:val="20"/>
                <w:szCs w:val="20"/>
              </w:rPr>
            </w:pPr>
            <w:r w:rsidRPr="003E7C50">
              <w:rPr>
                <w:rFonts w:ascii="Arial Narrow" w:hAnsi="Arial Narrow"/>
                <w:i/>
                <w:sz w:val="20"/>
                <w:szCs w:val="20"/>
              </w:rPr>
              <w:lastRenderedPageBreak/>
              <w:t>(b) a completed PBS Supporting Information Form which includes:</w:t>
            </w:r>
          </w:p>
          <w:p w:rsidR="00190639" w:rsidRPr="003E7C50" w:rsidRDefault="00190639" w:rsidP="00E176FE">
            <w:pPr>
              <w:pStyle w:val="Default"/>
              <w:rPr>
                <w:rFonts w:ascii="Arial Narrow" w:hAnsi="Arial Narrow"/>
                <w:i/>
                <w:sz w:val="20"/>
                <w:szCs w:val="20"/>
              </w:rPr>
            </w:pPr>
            <w:r w:rsidRPr="003E7C50">
              <w:rPr>
                <w:rFonts w:ascii="Arial Narrow" w:hAnsi="Arial Narrow"/>
                <w:i/>
                <w:sz w:val="20"/>
                <w:szCs w:val="20"/>
              </w:rPr>
              <w:t>(</w:t>
            </w:r>
            <w:proofErr w:type="spellStart"/>
            <w:r w:rsidRPr="003E7C50">
              <w:rPr>
                <w:rFonts w:ascii="Arial Narrow" w:hAnsi="Arial Narrow"/>
                <w:i/>
                <w:sz w:val="20"/>
                <w:szCs w:val="20"/>
              </w:rPr>
              <w:t>i</w:t>
            </w:r>
            <w:proofErr w:type="spellEnd"/>
            <w:r w:rsidRPr="003E7C50">
              <w:rPr>
                <w:rFonts w:ascii="Arial Narrow" w:hAnsi="Arial Narrow"/>
                <w:i/>
                <w:sz w:val="20"/>
                <w:szCs w:val="20"/>
              </w:rPr>
              <w:t>) a copy of the pathology reports from an Approved Pathology Authority confirming the presence of hormone receptor and lack of presence of HER2 gene amplification by in situ hybridisation (ISH); and</w:t>
            </w:r>
          </w:p>
          <w:p w:rsidR="00190639" w:rsidRPr="003E7C50" w:rsidRDefault="00190639" w:rsidP="00E176FE">
            <w:pPr>
              <w:spacing w:before="0" w:after="0"/>
              <w:rPr>
                <w:rFonts w:ascii="Arial Narrow" w:hAnsi="Arial Narrow"/>
                <w:i/>
                <w:sz w:val="20"/>
              </w:rPr>
            </w:pPr>
            <w:r w:rsidRPr="003E7C50">
              <w:rPr>
                <w:rFonts w:ascii="Arial Narrow" w:hAnsi="Arial Narrow"/>
                <w:i/>
                <w:sz w:val="20"/>
              </w:rPr>
              <w:t xml:space="preserve">(ii) </w:t>
            </w:r>
            <w:proofErr w:type="gramStart"/>
            <w:r w:rsidRPr="003E7C50">
              <w:rPr>
                <w:rFonts w:ascii="Arial Narrow" w:hAnsi="Arial Narrow"/>
                <w:i/>
                <w:sz w:val="20"/>
              </w:rPr>
              <w:t>a</w:t>
            </w:r>
            <w:proofErr w:type="gramEnd"/>
            <w:r w:rsidRPr="003E7C50">
              <w:rPr>
                <w:rFonts w:ascii="Arial Narrow" w:hAnsi="Arial Narrow"/>
                <w:i/>
                <w:sz w:val="20"/>
              </w:rPr>
              <w:t xml:space="preserve"> copy of the signed patient acknowledgement form.</w:t>
            </w:r>
          </w:p>
        </w:tc>
      </w:tr>
      <w:tr w:rsidR="00190639" w:rsidRPr="003E7C50" w:rsidTr="00E176FE">
        <w:trPr>
          <w:trHeight w:val="360"/>
        </w:trPr>
        <w:tc>
          <w:tcPr>
            <w:tcW w:w="1560"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b/>
                <w:sz w:val="20"/>
              </w:rPr>
            </w:pPr>
            <w:r w:rsidRPr="003E7C50">
              <w:rPr>
                <w:rFonts w:ascii="Arial Narrow" w:hAnsi="Arial Narrow"/>
                <w:b/>
                <w:sz w:val="20"/>
              </w:rPr>
              <w:lastRenderedPageBreak/>
              <w:t>Administrative Advice</w:t>
            </w:r>
          </w:p>
        </w:tc>
        <w:tc>
          <w:tcPr>
            <w:tcW w:w="6804" w:type="dxa"/>
            <w:tcBorders>
              <w:top w:val="single" w:sz="4" w:space="0" w:color="auto"/>
              <w:left w:val="single" w:sz="4" w:space="0" w:color="auto"/>
              <w:bottom w:val="single" w:sz="4" w:space="0" w:color="auto"/>
              <w:right w:val="single" w:sz="4" w:space="0" w:color="auto"/>
            </w:tcBorders>
          </w:tcPr>
          <w:p w:rsidR="00190639" w:rsidRPr="003E7C50" w:rsidRDefault="00190639" w:rsidP="00E176FE">
            <w:pPr>
              <w:spacing w:before="0" w:after="0"/>
              <w:rPr>
                <w:rFonts w:ascii="Arial Narrow" w:hAnsi="Arial Narrow"/>
                <w:strike/>
                <w:sz w:val="20"/>
              </w:rPr>
            </w:pPr>
            <w:r w:rsidRPr="003E7C50">
              <w:rPr>
                <w:rFonts w:ascii="Arial Narrow" w:hAnsi="Arial Narrow"/>
                <w:strike/>
                <w:sz w:val="20"/>
              </w:rPr>
              <w:t xml:space="preserve">Patients with progressive disease with </w:t>
            </w:r>
            <w:proofErr w:type="spellStart"/>
            <w:r w:rsidRPr="003E7C50">
              <w:rPr>
                <w:rFonts w:ascii="Arial Narrow" w:hAnsi="Arial Narrow"/>
                <w:strike/>
                <w:sz w:val="20"/>
              </w:rPr>
              <w:t>ribociclib</w:t>
            </w:r>
            <w:proofErr w:type="spellEnd"/>
            <w:r w:rsidRPr="003E7C50">
              <w:rPr>
                <w:rFonts w:ascii="Arial Narrow" w:hAnsi="Arial Narrow"/>
                <w:strike/>
                <w:sz w:val="20"/>
              </w:rPr>
              <w:t xml:space="preserve"> are no longer eligible for PBS-subsidised </w:t>
            </w:r>
            <w:proofErr w:type="spellStart"/>
            <w:r w:rsidRPr="003E7C50">
              <w:rPr>
                <w:rFonts w:ascii="Arial Narrow" w:hAnsi="Arial Narrow"/>
                <w:strike/>
                <w:sz w:val="20"/>
              </w:rPr>
              <w:t>ribociclib</w:t>
            </w:r>
            <w:proofErr w:type="spellEnd"/>
            <w:r w:rsidRPr="003E7C50">
              <w:rPr>
                <w:rFonts w:ascii="Arial Narrow" w:hAnsi="Arial Narrow"/>
                <w:strike/>
                <w:sz w:val="20"/>
              </w:rPr>
              <w:t>.</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No increase in the maximum quantity or number of units may be authorised.</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No increase in the maximum number of repeats may be authorised.</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Special Pricing Arrangements apply.</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Any queries concerning the arrangements to prescribe may be directed to the Department of Human Services on 1800 700 270 (hours of operation 8 a.m. to 5 p.m. EST Monday to Friday).</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Prescribing information (including Authority Application forms and other relevant documentation as applicable) is available on the Department of Human Services website at www.humanservices.gov.au</w:t>
            </w:r>
          </w:p>
          <w:p w:rsidR="00190639" w:rsidRPr="003E7C50" w:rsidRDefault="00190639" w:rsidP="00E176FE">
            <w:pPr>
              <w:spacing w:before="0" w:after="0"/>
              <w:rPr>
                <w:rFonts w:ascii="Arial Narrow" w:hAnsi="Arial Narrow"/>
                <w:i/>
                <w:sz w:val="20"/>
              </w:rPr>
            </w:pPr>
          </w:p>
          <w:p w:rsidR="00190639" w:rsidRPr="003E7C50" w:rsidRDefault="00190639" w:rsidP="00E176FE">
            <w:pPr>
              <w:spacing w:before="0" w:after="0"/>
              <w:rPr>
                <w:rFonts w:ascii="Arial Narrow" w:hAnsi="Arial Narrow"/>
                <w:i/>
                <w:sz w:val="20"/>
              </w:rPr>
            </w:pPr>
            <w:r w:rsidRPr="003E7C50">
              <w:rPr>
                <w:rFonts w:ascii="Arial Narrow" w:hAnsi="Arial Narrow"/>
                <w:i/>
                <w:sz w:val="20"/>
              </w:rPr>
              <w:t>Applications for authority to prescribe should be forwarded to:</w:t>
            </w:r>
          </w:p>
          <w:p w:rsidR="00190639" w:rsidRPr="003E7C50" w:rsidRDefault="00190639" w:rsidP="00E176FE">
            <w:pPr>
              <w:spacing w:before="0" w:after="0"/>
              <w:rPr>
                <w:rFonts w:ascii="Arial Narrow" w:hAnsi="Arial Narrow"/>
                <w:i/>
                <w:sz w:val="20"/>
              </w:rPr>
            </w:pPr>
            <w:r w:rsidRPr="003E7C50">
              <w:rPr>
                <w:rFonts w:ascii="Arial Narrow" w:hAnsi="Arial Narrow"/>
                <w:i/>
                <w:sz w:val="20"/>
              </w:rPr>
              <w:t>Department of Human Services</w:t>
            </w:r>
          </w:p>
          <w:p w:rsidR="00190639" w:rsidRPr="003E7C50" w:rsidRDefault="00190639" w:rsidP="00E176FE">
            <w:pPr>
              <w:spacing w:before="0" w:after="0"/>
              <w:rPr>
                <w:rFonts w:ascii="Arial Narrow" w:hAnsi="Arial Narrow"/>
                <w:i/>
                <w:sz w:val="20"/>
              </w:rPr>
            </w:pPr>
            <w:r w:rsidRPr="003E7C50">
              <w:rPr>
                <w:rFonts w:ascii="Arial Narrow" w:hAnsi="Arial Narrow"/>
                <w:i/>
                <w:sz w:val="20"/>
              </w:rPr>
              <w:t>Complex Drugs</w:t>
            </w:r>
          </w:p>
          <w:p w:rsidR="00190639" w:rsidRPr="003E7C50" w:rsidRDefault="00190639" w:rsidP="00E176FE">
            <w:pPr>
              <w:spacing w:before="0" w:after="0"/>
              <w:rPr>
                <w:rFonts w:ascii="Arial Narrow" w:hAnsi="Arial Narrow"/>
                <w:i/>
                <w:sz w:val="20"/>
              </w:rPr>
            </w:pPr>
            <w:r w:rsidRPr="003E7C50">
              <w:rPr>
                <w:rFonts w:ascii="Arial Narrow" w:hAnsi="Arial Narrow"/>
                <w:i/>
                <w:sz w:val="20"/>
              </w:rPr>
              <w:t>Reply Paid 9826</w:t>
            </w:r>
          </w:p>
          <w:p w:rsidR="00190639" w:rsidRPr="003E7C50" w:rsidRDefault="00190639" w:rsidP="00E176FE">
            <w:pPr>
              <w:spacing w:before="0" w:after="0"/>
              <w:rPr>
                <w:rFonts w:ascii="Arial Narrow" w:hAnsi="Arial Narrow"/>
                <w:i/>
                <w:sz w:val="20"/>
              </w:rPr>
            </w:pPr>
            <w:r w:rsidRPr="003E7C50">
              <w:rPr>
                <w:rFonts w:ascii="Arial Narrow" w:hAnsi="Arial Narrow"/>
                <w:i/>
                <w:sz w:val="20"/>
              </w:rPr>
              <w:t>HOBART TAS 7001</w:t>
            </w:r>
          </w:p>
        </w:tc>
      </w:tr>
    </w:tbl>
    <w:p w:rsidR="00190639" w:rsidRPr="003E7C50" w:rsidRDefault="00190639" w:rsidP="00190639">
      <w:pPr>
        <w:pStyle w:val="ListParagraph"/>
        <w:numPr>
          <w:ilvl w:val="0"/>
          <w:numId w:val="0"/>
        </w:numPr>
        <w:ind w:left="432"/>
        <w:rPr>
          <w:sz w:val="6"/>
        </w:rPr>
      </w:pPr>
    </w:p>
    <w:p w:rsidR="002B1FB4" w:rsidRPr="003E7C50" w:rsidRDefault="002B1FB4" w:rsidP="00833A3B">
      <w:pPr>
        <w:pStyle w:val="ListParagraph"/>
      </w:pPr>
      <w:r w:rsidRPr="003E7C50">
        <w:t>The proposed PBS restriction</w:t>
      </w:r>
      <w:r w:rsidR="00853CA9" w:rsidRPr="003E7C50">
        <w:t xml:space="preserve"> </w:t>
      </w:r>
      <w:r w:rsidR="00294192" w:rsidRPr="003E7C50">
        <w:t xml:space="preserve">is </w:t>
      </w:r>
      <w:r w:rsidRPr="003E7C50">
        <w:t>not in line with the MONALEESA-2 trial population in the following areas:</w:t>
      </w:r>
    </w:p>
    <w:p w:rsidR="002B1FB4" w:rsidRPr="003E7C50" w:rsidRDefault="00AC5B73" w:rsidP="00833A3B">
      <w:pPr>
        <w:pStyle w:val="BodyText"/>
        <w:widowControl/>
        <w:numPr>
          <w:ilvl w:val="0"/>
          <w:numId w:val="9"/>
        </w:numPr>
        <w:spacing w:after="120"/>
        <w:jc w:val="both"/>
        <w:rPr>
          <w:rFonts w:cstheme="minorHAnsi"/>
          <w:sz w:val="24"/>
          <w:szCs w:val="24"/>
        </w:rPr>
      </w:pPr>
      <w:r w:rsidRPr="003E7C50">
        <w:rPr>
          <w:rFonts w:cstheme="minorHAnsi"/>
          <w:sz w:val="24"/>
          <w:szCs w:val="24"/>
        </w:rPr>
        <w:t>O</w:t>
      </w:r>
      <w:r w:rsidR="002B1FB4" w:rsidRPr="003E7C50">
        <w:rPr>
          <w:rFonts w:cstheme="minorHAnsi"/>
          <w:sz w:val="24"/>
          <w:szCs w:val="24"/>
        </w:rPr>
        <w:t xml:space="preserve">nly patients with </w:t>
      </w:r>
      <w:r w:rsidRPr="003E7C50">
        <w:rPr>
          <w:rFonts w:cstheme="minorHAnsi"/>
          <w:sz w:val="24"/>
          <w:szCs w:val="24"/>
        </w:rPr>
        <w:t xml:space="preserve">ECOG performance </w:t>
      </w:r>
      <w:r w:rsidR="002B1FB4" w:rsidRPr="003E7C50">
        <w:rPr>
          <w:rFonts w:cstheme="minorHAnsi"/>
          <w:sz w:val="24"/>
          <w:szCs w:val="24"/>
        </w:rPr>
        <w:t xml:space="preserve">status 0 or 1 were included in the trial. </w:t>
      </w:r>
      <w:r w:rsidR="00CC0AF4" w:rsidRPr="003E7C50">
        <w:rPr>
          <w:rFonts w:cstheme="minorHAnsi"/>
          <w:iCs/>
          <w:sz w:val="24"/>
          <w:szCs w:val="24"/>
        </w:rPr>
        <w:t xml:space="preserve">The PSCR (p.3) agreed to restrict PBS-reimbursed access to patients with an ECOG performance status 0 or 1. </w:t>
      </w:r>
      <w:r w:rsidR="002349D5" w:rsidRPr="003E7C50">
        <w:rPr>
          <w:rFonts w:cstheme="minorHAnsi"/>
          <w:iCs/>
          <w:sz w:val="24"/>
          <w:szCs w:val="24"/>
        </w:rPr>
        <w:t xml:space="preserve">A clinical criterion to this effect has been added to the above restriction for initial treatment. </w:t>
      </w:r>
      <w:r w:rsidR="00CC0AF4" w:rsidRPr="003E7C50">
        <w:rPr>
          <w:rFonts w:cstheme="minorHAnsi"/>
          <w:iCs/>
          <w:sz w:val="24"/>
          <w:szCs w:val="24"/>
        </w:rPr>
        <w:t xml:space="preserve">The PSCR </w:t>
      </w:r>
      <w:r w:rsidR="002349D5" w:rsidRPr="003E7C50">
        <w:rPr>
          <w:rFonts w:cstheme="minorHAnsi"/>
          <w:iCs/>
          <w:sz w:val="24"/>
          <w:szCs w:val="24"/>
        </w:rPr>
        <w:t>requested that if</w:t>
      </w:r>
      <w:r w:rsidR="00CC0AF4" w:rsidRPr="003E7C50">
        <w:rPr>
          <w:rFonts w:cstheme="minorHAnsi"/>
          <w:iCs/>
          <w:sz w:val="24"/>
          <w:szCs w:val="24"/>
        </w:rPr>
        <w:t xml:space="preserve"> </w:t>
      </w:r>
      <w:r w:rsidR="002349D5" w:rsidRPr="003E7C50">
        <w:rPr>
          <w:rFonts w:cstheme="minorHAnsi"/>
          <w:iCs/>
          <w:sz w:val="24"/>
          <w:szCs w:val="24"/>
        </w:rPr>
        <w:t xml:space="preserve">a future PBS listing for </w:t>
      </w:r>
      <w:proofErr w:type="spellStart"/>
      <w:r w:rsidR="00CC0AF4" w:rsidRPr="003E7C50">
        <w:rPr>
          <w:rFonts w:cstheme="minorHAnsi"/>
          <w:iCs/>
          <w:sz w:val="24"/>
          <w:szCs w:val="24"/>
        </w:rPr>
        <w:t>palbociclib</w:t>
      </w:r>
      <w:proofErr w:type="spellEnd"/>
      <w:r w:rsidR="002349D5" w:rsidRPr="003E7C50">
        <w:rPr>
          <w:rFonts w:cstheme="minorHAnsi"/>
          <w:iCs/>
          <w:sz w:val="24"/>
          <w:szCs w:val="24"/>
        </w:rPr>
        <w:t xml:space="preserve"> provided subsidised access</w:t>
      </w:r>
      <w:r w:rsidR="00590E3D" w:rsidRPr="003E7C50">
        <w:rPr>
          <w:rFonts w:cstheme="minorHAnsi"/>
          <w:iCs/>
          <w:sz w:val="24"/>
          <w:szCs w:val="24"/>
        </w:rPr>
        <w:t xml:space="preserve"> </w:t>
      </w:r>
      <w:r w:rsidR="00CC0AF4" w:rsidRPr="003E7C50">
        <w:rPr>
          <w:rFonts w:cstheme="minorHAnsi"/>
          <w:iCs/>
          <w:sz w:val="24"/>
          <w:szCs w:val="24"/>
        </w:rPr>
        <w:t xml:space="preserve">for patients with ECOG </w:t>
      </w:r>
      <w:r w:rsidR="002349D5" w:rsidRPr="003E7C50">
        <w:rPr>
          <w:rFonts w:cstheme="minorHAnsi"/>
          <w:iCs/>
          <w:sz w:val="24"/>
          <w:szCs w:val="24"/>
        </w:rPr>
        <w:t>≥</w:t>
      </w:r>
      <w:r w:rsidR="00CC0AF4" w:rsidRPr="003E7C50">
        <w:rPr>
          <w:rFonts w:cstheme="minorHAnsi"/>
          <w:iCs/>
          <w:sz w:val="24"/>
          <w:szCs w:val="24"/>
        </w:rPr>
        <w:t>2, th</w:t>
      </w:r>
      <w:r w:rsidR="002349D5" w:rsidRPr="003E7C50">
        <w:rPr>
          <w:rFonts w:cstheme="minorHAnsi"/>
          <w:iCs/>
          <w:sz w:val="24"/>
          <w:szCs w:val="24"/>
        </w:rPr>
        <w:t xml:space="preserve">at </w:t>
      </w:r>
      <w:r w:rsidR="00590E3D" w:rsidRPr="003E7C50">
        <w:rPr>
          <w:rFonts w:cstheme="minorHAnsi"/>
          <w:iCs/>
          <w:sz w:val="24"/>
          <w:szCs w:val="24"/>
        </w:rPr>
        <w:t xml:space="preserve">those </w:t>
      </w:r>
      <w:r w:rsidR="002349D5" w:rsidRPr="003E7C50">
        <w:rPr>
          <w:rFonts w:cstheme="minorHAnsi"/>
          <w:iCs/>
          <w:sz w:val="24"/>
          <w:szCs w:val="24"/>
        </w:rPr>
        <w:t xml:space="preserve">patients should not be excluded from treatment with </w:t>
      </w:r>
      <w:proofErr w:type="spellStart"/>
      <w:r w:rsidR="00CC0AF4" w:rsidRPr="003E7C50">
        <w:rPr>
          <w:rFonts w:cstheme="minorHAnsi"/>
          <w:iCs/>
          <w:sz w:val="24"/>
          <w:szCs w:val="24"/>
        </w:rPr>
        <w:t>ribociclib</w:t>
      </w:r>
      <w:proofErr w:type="spellEnd"/>
      <w:r w:rsidR="002349D5" w:rsidRPr="003E7C50">
        <w:rPr>
          <w:rFonts w:cstheme="minorHAnsi"/>
          <w:iCs/>
          <w:sz w:val="24"/>
          <w:szCs w:val="24"/>
        </w:rPr>
        <w:t xml:space="preserve"> on the basis of equivalent efficacy of these agents</w:t>
      </w:r>
      <w:r w:rsidR="00CC0AF4" w:rsidRPr="003E7C50">
        <w:rPr>
          <w:rFonts w:cstheme="minorHAnsi"/>
          <w:iCs/>
          <w:sz w:val="24"/>
          <w:szCs w:val="24"/>
        </w:rPr>
        <w:t xml:space="preserve">. </w:t>
      </w:r>
    </w:p>
    <w:p w:rsidR="00AC5B73" w:rsidRPr="003E7C50" w:rsidRDefault="00AC5B73" w:rsidP="00833A3B">
      <w:pPr>
        <w:pStyle w:val="BodyText"/>
        <w:widowControl/>
        <w:numPr>
          <w:ilvl w:val="0"/>
          <w:numId w:val="9"/>
        </w:numPr>
        <w:spacing w:after="120"/>
        <w:jc w:val="both"/>
        <w:rPr>
          <w:rFonts w:cstheme="minorHAnsi"/>
          <w:sz w:val="24"/>
          <w:szCs w:val="24"/>
        </w:rPr>
      </w:pPr>
      <w:r w:rsidRPr="003E7C50">
        <w:rPr>
          <w:rFonts w:cstheme="minorHAnsi"/>
          <w:sz w:val="24"/>
          <w:szCs w:val="24"/>
        </w:rPr>
        <w:t xml:space="preserve">Patients with inflammatory breast cancer or central nervous system metastases were excluded </w:t>
      </w:r>
      <w:r w:rsidR="00541D97" w:rsidRPr="003E7C50">
        <w:rPr>
          <w:rFonts w:cstheme="minorHAnsi"/>
          <w:sz w:val="24"/>
          <w:szCs w:val="24"/>
        </w:rPr>
        <w:t>from</w:t>
      </w:r>
      <w:r w:rsidRPr="003E7C50">
        <w:rPr>
          <w:rFonts w:cstheme="minorHAnsi"/>
          <w:sz w:val="24"/>
          <w:szCs w:val="24"/>
        </w:rPr>
        <w:t xml:space="preserve"> the trial.</w:t>
      </w:r>
      <w:r w:rsidR="000E367E" w:rsidRPr="003E7C50">
        <w:rPr>
          <w:rFonts w:cstheme="minorHAnsi"/>
          <w:sz w:val="24"/>
          <w:szCs w:val="24"/>
        </w:rPr>
        <w:t xml:space="preserve"> </w:t>
      </w:r>
      <w:r w:rsidR="0092137E" w:rsidRPr="003E7C50">
        <w:rPr>
          <w:rFonts w:cstheme="minorHAnsi"/>
          <w:sz w:val="24"/>
          <w:szCs w:val="24"/>
        </w:rPr>
        <w:t xml:space="preserve">The Pre-PBAC response (p.2) proposed that patients with “inflammatory breast cancer or central nervous system metastases” be excluded from PBS-subsidised access to </w:t>
      </w:r>
      <w:proofErr w:type="spellStart"/>
      <w:r w:rsidR="0092137E" w:rsidRPr="003E7C50">
        <w:rPr>
          <w:rFonts w:cstheme="minorHAnsi"/>
          <w:sz w:val="24"/>
          <w:szCs w:val="24"/>
        </w:rPr>
        <w:t>ribociclib</w:t>
      </w:r>
      <w:proofErr w:type="spellEnd"/>
      <w:r w:rsidR="0092137E" w:rsidRPr="003E7C50">
        <w:rPr>
          <w:rFonts w:cstheme="minorHAnsi"/>
          <w:sz w:val="24"/>
          <w:szCs w:val="24"/>
        </w:rPr>
        <w:t>.</w:t>
      </w:r>
      <w:r w:rsidR="0092137E" w:rsidRPr="003E7C50" w:rsidDel="0092137E">
        <w:rPr>
          <w:rFonts w:cstheme="minorHAnsi"/>
          <w:sz w:val="24"/>
          <w:szCs w:val="24"/>
        </w:rPr>
        <w:t xml:space="preserve"> </w:t>
      </w:r>
    </w:p>
    <w:p w:rsidR="0042459A" w:rsidRPr="003E7C50" w:rsidRDefault="0042459A" w:rsidP="00833A3B">
      <w:pPr>
        <w:pStyle w:val="BodyText"/>
        <w:widowControl/>
        <w:numPr>
          <w:ilvl w:val="0"/>
          <w:numId w:val="9"/>
        </w:numPr>
        <w:spacing w:after="120"/>
        <w:jc w:val="both"/>
        <w:rPr>
          <w:rFonts w:cstheme="minorHAnsi"/>
          <w:iCs/>
          <w:sz w:val="24"/>
          <w:szCs w:val="24"/>
        </w:rPr>
      </w:pPr>
      <w:r w:rsidRPr="003E7C50">
        <w:rPr>
          <w:rFonts w:cstheme="minorHAnsi"/>
          <w:iCs/>
          <w:sz w:val="24"/>
          <w:szCs w:val="24"/>
        </w:rPr>
        <w:t xml:space="preserve">Patients were included in the trial if they had received prior (neo) adjuvant therapy </w:t>
      </w:r>
      <w:r w:rsidR="0099000F" w:rsidRPr="003E7C50">
        <w:rPr>
          <w:rFonts w:cstheme="minorHAnsi"/>
          <w:iCs/>
          <w:sz w:val="24"/>
          <w:szCs w:val="24"/>
        </w:rPr>
        <w:t xml:space="preserve">which </w:t>
      </w:r>
      <w:r w:rsidRPr="003E7C50">
        <w:rPr>
          <w:rFonts w:cstheme="minorHAnsi"/>
          <w:iCs/>
          <w:sz w:val="24"/>
          <w:szCs w:val="24"/>
        </w:rPr>
        <w:t xml:space="preserve">included </w:t>
      </w:r>
      <w:proofErr w:type="spellStart"/>
      <w:r w:rsidRPr="003E7C50">
        <w:rPr>
          <w:rFonts w:cstheme="minorHAnsi"/>
          <w:iCs/>
          <w:sz w:val="24"/>
          <w:szCs w:val="24"/>
        </w:rPr>
        <w:t>letrozole</w:t>
      </w:r>
      <w:proofErr w:type="spellEnd"/>
      <w:r w:rsidRPr="003E7C50">
        <w:rPr>
          <w:rFonts w:cstheme="minorHAnsi"/>
          <w:iCs/>
          <w:sz w:val="24"/>
          <w:szCs w:val="24"/>
        </w:rPr>
        <w:t xml:space="preserve"> or </w:t>
      </w:r>
      <w:proofErr w:type="spellStart"/>
      <w:r w:rsidRPr="003E7C50">
        <w:rPr>
          <w:rFonts w:cstheme="minorHAnsi"/>
          <w:iCs/>
          <w:sz w:val="24"/>
          <w:szCs w:val="24"/>
        </w:rPr>
        <w:t>anastrozole</w:t>
      </w:r>
      <w:proofErr w:type="spellEnd"/>
      <w:r w:rsidRPr="003E7C50">
        <w:rPr>
          <w:rFonts w:cstheme="minorHAnsi"/>
          <w:iCs/>
          <w:sz w:val="24"/>
          <w:szCs w:val="24"/>
        </w:rPr>
        <w:t>, although the disease-free interval had to be greater than 12 months.</w:t>
      </w:r>
      <w:r w:rsidR="004F0AAE" w:rsidRPr="003E7C50">
        <w:t xml:space="preserve"> </w:t>
      </w:r>
      <w:r w:rsidR="004F0AAE" w:rsidRPr="003E7C50">
        <w:rPr>
          <w:rFonts w:cstheme="minorHAnsi"/>
          <w:iCs/>
          <w:sz w:val="24"/>
          <w:szCs w:val="24"/>
        </w:rPr>
        <w:t>The PSCR (p.3) acknowledged that patients who</w:t>
      </w:r>
      <w:r w:rsidR="008A20C3" w:rsidRPr="003E7C50">
        <w:rPr>
          <w:rFonts w:cstheme="minorHAnsi"/>
          <w:iCs/>
          <w:sz w:val="24"/>
          <w:szCs w:val="24"/>
        </w:rPr>
        <w:t xml:space="preserve"> are ‘truly’ endocrine resistant</w:t>
      </w:r>
      <w:r w:rsidR="004F0AAE" w:rsidRPr="003E7C50">
        <w:rPr>
          <w:rFonts w:cstheme="minorHAnsi"/>
          <w:iCs/>
          <w:sz w:val="24"/>
          <w:szCs w:val="24"/>
        </w:rPr>
        <w:t xml:space="preserve"> should not be eligible to receive PBAC reimbursed </w:t>
      </w:r>
      <w:proofErr w:type="spellStart"/>
      <w:r w:rsidR="004F0AAE" w:rsidRPr="003E7C50">
        <w:rPr>
          <w:rFonts w:cstheme="minorHAnsi"/>
          <w:iCs/>
          <w:sz w:val="24"/>
          <w:szCs w:val="24"/>
        </w:rPr>
        <w:t>ribociclib</w:t>
      </w:r>
      <w:proofErr w:type="spellEnd"/>
      <w:r w:rsidR="004F0AAE" w:rsidRPr="003E7C50">
        <w:rPr>
          <w:rFonts w:cstheme="minorHAnsi"/>
          <w:iCs/>
          <w:sz w:val="24"/>
          <w:szCs w:val="24"/>
        </w:rPr>
        <w:t xml:space="preserve"> in combination with </w:t>
      </w:r>
      <w:proofErr w:type="spellStart"/>
      <w:r w:rsidR="004F0AAE" w:rsidRPr="003E7C50">
        <w:rPr>
          <w:rFonts w:cstheme="minorHAnsi"/>
          <w:iCs/>
          <w:sz w:val="24"/>
          <w:szCs w:val="24"/>
        </w:rPr>
        <w:t>letrozole</w:t>
      </w:r>
      <w:proofErr w:type="spellEnd"/>
      <w:r w:rsidR="004F0AAE" w:rsidRPr="003E7C50">
        <w:rPr>
          <w:rFonts w:cstheme="minorHAnsi"/>
          <w:iCs/>
          <w:sz w:val="24"/>
          <w:szCs w:val="24"/>
        </w:rPr>
        <w:t>. However, the PSCR contended that adoption of this specific eligibility criterion would also exclude some patients who were not included in the study for ethical reasons</w:t>
      </w:r>
      <w:r w:rsidR="00E76C32" w:rsidRPr="003E7C50">
        <w:rPr>
          <w:rFonts w:cstheme="minorHAnsi"/>
          <w:iCs/>
          <w:sz w:val="24"/>
          <w:szCs w:val="24"/>
        </w:rPr>
        <w:t>,</w:t>
      </w:r>
      <w:r w:rsidR="004F0AAE" w:rsidRPr="003E7C50">
        <w:rPr>
          <w:rFonts w:cstheme="minorHAnsi"/>
          <w:iCs/>
          <w:sz w:val="24"/>
          <w:szCs w:val="24"/>
        </w:rPr>
        <w:t xml:space="preserve"> rather than reasons relating to abil</w:t>
      </w:r>
      <w:r w:rsidR="00E76C32" w:rsidRPr="003E7C50">
        <w:rPr>
          <w:rFonts w:cstheme="minorHAnsi"/>
          <w:iCs/>
          <w:sz w:val="24"/>
          <w:szCs w:val="24"/>
        </w:rPr>
        <w:t>ity to receive clinical benefit;</w:t>
      </w:r>
      <w:r w:rsidR="004F0AAE" w:rsidRPr="003E7C50">
        <w:rPr>
          <w:rFonts w:cstheme="minorHAnsi"/>
          <w:iCs/>
          <w:sz w:val="24"/>
          <w:szCs w:val="24"/>
        </w:rPr>
        <w:t xml:space="preserve"> specifically, patients who relapsed after having responded to standard duration adjuvant endocrine </w:t>
      </w:r>
      <w:r w:rsidR="004F0AAE" w:rsidRPr="003E7C50">
        <w:rPr>
          <w:rFonts w:cstheme="minorHAnsi"/>
          <w:iCs/>
          <w:sz w:val="24"/>
          <w:szCs w:val="24"/>
        </w:rPr>
        <w:lastRenderedPageBreak/>
        <w:t xml:space="preserve">treatment. As such, the PSCR proposed that the PBS restriction for </w:t>
      </w:r>
      <w:proofErr w:type="spellStart"/>
      <w:r w:rsidR="004F0AAE" w:rsidRPr="003E7C50">
        <w:rPr>
          <w:rFonts w:cstheme="minorHAnsi"/>
          <w:iCs/>
          <w:sz w:val="24"/>
          <w:szCs w:val="24"/>
        </w:rPr>
        <w:t>ribociclib</w:t>
      </w:r>
      <w:proofErr w:type="spellEnd"/>
      <w:r w:rsidR="004F0AAE" w:rsidRPr="003E7C50">
        <w:rPr>
          <w:rFonts w:cstheme="minorHAnsi"/>
          <w:iCs/>
          <w:sz w:val="24"/>
          <w:szCs w:val="24"/>
        </w:rPr>
        <w:t xml:space="preserve"> include a note to exclude patients who progressed in the first 5 years of adjuvant therapy and allow patients who have responded to standard of care endocrine therapy in the adjuvant setting</w:t>
      </w:r>
      <w:r w:rsidR="007C4CBE" w:rsidRPr="003E7C50">
        <w:rPr>
          <w:rFonts w:cstheme="minorHAnsi"/>
          <w:iCs/>
          <w:sz w:val="24"/>
          <w:szCs w:val="24"/>
        </w:rPr>
        <w:t xml:space="preserve"> </w:t>
      </w:r>
      <w:r w:rsidR="007C4CBE" w:rsidRPr="003E7C50">
        <w:rPr>
          <w:sz w:val="24"/>
          <w:szCs w:val="24"/>
        </w:rPr>
        <w:t>(irrespective of whether they have relapsed after responding to their initial 5 years of adjuvant therapy)</w:t>
      </w:r>
      <w:r w:rsidR="004F0AAE" w:rsidRPr="003E7C50">
        <w:rPr>
          <w:rFonts w:cstheme="minorHAnsi"/>
          <w:iCs/>
          <w:sz w:val="24"/>
          <w:szCs w:val="24"/>
        </w:rPr>
        <w:t>.</w:t>
      </w:r>
    </w:p>
    <w:p w:rsidR="00CC0AF4" w:rsidRPr="003E7C50" w:rsidRDefault="00CC0AF4" w:rsidP="007B1E31">
      <w:pPr>
        <w:pStyle w:val="ListParagraph"/>
        <w:rPr>
          <w:iCs/>
        </w:rPr>
      </w:pPr>
      <w:r w:rsidRPr="003E7C50">
        <w:rPr>
          <w:iCs/>
        </w:rPr>
        <w:t>The PSCR (p.3) proposed that the following note be added to the restriction to align with the inclusion criteria of the MONALEESA-2 trial</w:t>
      </w:r>
      <w:r w:rsidR="00C86C90" w:rsidRPr="003E7C50">
        <w:rPr>
          <w:iCs/>
        </w:rPr>
        <w:t>:</w:t>
      </w:r>
      <w:r w:rsidRPr="003E7C50">
        <w:rPr>
          <w:iCs/>
        </w:rPr>
        <w:t xml:space="preserve"> ‘Ovarian radiation or treatment with a luteinizing hormone-releasing hormone agonist (</w:t>
      </w:r>
      <w:proofErr w:type="spellStart"/>
      <w:r w:rsidRPr="003E7C50">
        <w:rPr>
          <w:iCs/>
        </w:rPr>
        <w:t>LHRHa</w:t>
      </w:r>
      <w:proofErr w:type="spellEnd"/>
      <w:r w:rsidRPr="003E7C50">
        <w:rPr>
          <w:iCs/>
        </w:rPr>
        <w:t>) (</w:t>
      </w:r>
      <w:proofErr w:type="spellStart"/>
      <w:r w:rsidRPr="003E7C50">
        <w:rPr>
          <w:iCs/>
        </w:rPr>
        <w:t>goserelin</w:t>
      </w:r>
      <w:proofErr w:type="spellEnd"/>
      <w:r w:rsidRPr="003E7C50">
        <w:rPr>
          <w:iCs/>
        </w:rPr>
        <w:t xml:space="preserve"> acetate or leuprolide acetate) is not permitted for induction of ovarian suppression for patients receiving PBS </w:t>
      </w:r>
      <w:proofErr w:type="spellStart"/>
      <w:r w:rsidRPr="003E7C50">
        <w:rPr>
          <w:iCs/>
        </w:rPr>
        <w:t>ribociclib</w:t>
      </w:r>
      <w:proofErr w:type="spellEnd"/>
      <w:r w:rsidRPr="003E7C50">
        <w:rPr>
          <w:iCs/>
        </w:rPr>
        <w:t>.’</w:t>
      </w:r>
    </w:p>
    <w:p w:rsidR="009B1303" w:rsidRPr="003E7C50" w:rsidRDefault="00E76C32" w:rsidP="006042CD">
      <w:pPr>
        <w:pStyle w:val="ListParagraph"/>
      </w:pPr>
      <w:r w:rsidRPr="003E7C50">
        <w:t>The evaluation noted there</w:t>
      </w:r>
      <w:r w:rsidR="009B1303" w:rsidRPr="003E7C50">
        <w:t xml:space="preserve"> is potential for ambiguity in the term ‘advanced breast cancer</w:t>
      </w:r>
      <w:r w:rsidR="00A23024" w:rsidRPr="003E7C50">
        <w:t>’.</w:t>
      </w:r>
      <w:r w:rsidR="00362F19" w:rsidRPr="003E7C50">
        <w:t xml:space="preserve"> A clearer definition for the proposed population would be more appropriate to avoid lea</w:t>
      </w:r>
      <w:r w:rsidR="003C639E" w:rsidRPr="003E7C50">
        <w:t>kage into a broader population.</w:t>
      </w:r>
      <w:r w:rsidR="005C5754" w:rsidRPr="003E7C50">
        <w:t xml:space="preserve"> The PSCR (p.3) agreed, noting that the vast majority of patients in the MONALEESA-2 study were Stage IV, and that a clearer definition would better isolate Stage III patients of highest clinical need. </w:t>
      </w:r>
      <w:r w:rsidR="005C5754" w:rsidRPr="00B56599">
        <w:t xml:space="preserve">However, the PSCR also claimed that this change may result in </w:t>
      </w:r>
      <w:r w:rsidR="00B235DF">
        <w:rPr>
          <w:noProof/>
          <w:color w:val="000000"/>
          <w:highlight w:val="black"/>
        </w:rPr>
        <w:t xml:space="preserve">'' '''''''''' ''''''''''''''' '''' '''''''''''''''' '''''''''' '''''' '''''''''''''' '''''''''''''' '''''''''''' '''''''''''''''' ''''''''''' ''''''''''''''''' ''''' '''''' '''''''' ''''''''''''' ''''''''' ''''''''''''''''' '''''''' '''''' '''''''''' ''' '''''''' ''''''' '''''''''''''''''' ''''' '''''''''''''' '''''''''''''''' ''''''' '''''''' '''''' ''''''' '''''''''' ''''''''''''''''''''' '''''''''''''''''' </w:t>
      </w:r>
      <w:r w:rsidR="005C5754" w:rsidRPr="00B56599">
        <w:t>As such</w:t>
      </w:r>
      <w:r w:rsidR="00041147" w:rsidRPr="00B56599">
        <w:t>,</w:t>
      </w:r>
      <w:r w:rsidR="005C5754" w:rsidRPr="00B56599">
        <w:t xml:space="preserve"> the PSCR requested that the PBAC allow these patients to be grandfathered to PBS reimbursed </w:t>
      </w:r>
      <w:proofErr w:type="spellStart"/>
      <w:r w:rsidR="005C5754" w:rsidRPr="00B56599">
        <w:t>ribociclib</w:t>
      </w:r>
      <w:proofErr w:type="spellEnd"/>
      <w:r w:rsidR="005C5754" w:rsidRPr="00B56599">
        <w:t xml:space="preserve"> at the time of PBS listing. </w:t>
      </w:r>
      <w:r w:rsidR="00833A3B" w:rsidRPr="003E7C50">
        <w:t xml:space="preserve">The </w:t>
      </w:r>
      <w:r w:rsidR="006042CD" w:rsidRPr="003E7C50">
        <w:t xml:space="preserve">DUSC noted that the intent of a grandfathered restriction was to only allow access to patients who meet the eligibility criteria for subsidised access. As such, it may not be appropriate to grandfather the Stage III subgroup. </w:t>
      </w:r>
      <w:r w:rsidR="005C5754" w:rsidRPr="003E7C50">
        <w:t>The ESC considered that “locally advanced inoperable and metastatic breast cancer” was a better definition of the patient group</w:t>
      </w:r>
      <w:r w:rsidR="0069529B" w:rsidRPr="003E7C50">
        <w:t>, and would minimise leakage to patients with less disease severity.</w:t>
      </w:r>
      <w:r w:rsidR="005C5754" w:rsidRPr="003E7C50">
        <w:t xml:space="preserve"> </w:t>
      </w:r>
    </w:p>
    <w:p w:rsidR="000869B6" w:rsidRPr="003E7C50" w:rsidRDefault="000869B6" w:rsidP="00323FB8">
      <w:pPr>
        <w:pStyle w:val="ListParagraph"/>
      </w:pPr>
      <w:r w:rsidRPr="003E7C50">
        <w:t xml:space="preserve">The submission included a note within the PBS restriction that patients whose disease progressed on </w:t>
      </w:r>
      <w:proofErr w:type="spellStart"/>
      <w:r w:rsidRPr="003E7C50">
        <w:t>ribociclib</w:t>
      </w:r>
      <w:proofErr w:type="spellEnd"/>
      <w:r w:rsidRPr="003E7C50">
        <w:t xml:space="preserve"> would no longer be eligible for PBS-subsidised </w:t>
      </w:r>
      <w:proofErr w:type="spellStart"/>
      <w:r w:rsidRPr="003E7C50">
        <w:t>ribociclib</w:t>
      </w:r>
      <w:proofErr w:type="spellEnd"/>
      <w:r w:rsidRPr="003E7C50">
        <w:t xml:space="preserve">. The PSCR agreed to the addition of a continuing telephone authority restriction </w:t>
      </w:r>
      <w:r w:rsidR="00CC1D3C" w:rsidRPr="003E7C50">
        <w:t>as a replacement for</w:t>
      </w:r>
      <w:r w:rsidRPr="003E7C50">
        <w:t xml:space="preserve"> the proposed note. </w:t>
      </w:r>
      <w:r w:rsidR="00323FB8" w:rsidRPr="003E7C50">
        <w:t xml:space="preserve">The Pre-PBAC response proposed that for further alignment with the inclusion criteria of the MONALEESA-2 trial, the RECIST 1.1 assessment criteria </w:t>
      </w:r>
      <w:r w:rsidR="00900030" w:rsidRPr="003E7C50">
        <w:t>be used to evaluate response to treatment</w:t>
      </w:r>
      <w:r w:rsidR="001E3F37" w:rsidRPr="003E7C50">
        <w:t>.</w:t>
      </w:r>
    </w:p>
    <w:p w:rsidR="00C86C90" w:rsidRPr="003E7C50" w:rsidRDefault="00C86C90" w:rsidP="00D23659">
      <w:pPr>
        <w:pStyle w:val="ListParagraph"/>
      </w:pPr>
      <w:r w:rsidRPr="003E7C50">
        <w:t xml:space="preserve">The </w:t>
      </w:r>
      <w:r w:rsidR="000869B6" w:rsidRPr="003E7C50">
        <w:t>PSCR</w:t>
      </w:r>
      <w:r w:rsidRPr="003E7C50">
        <w:t xml:space="preserve"> (p.3) noted that the sponsor accepted the </w:t>
      </w:r>
      <w:r w:rsidR="000869B6" w:rsidRPr="003E7C50">
        <w:t xml:space="preserve">other </w:t>
      </w:r>
      <w:r w:rsidRPr="003E7C50">
        <w:t>Secretariat suggest</w:t>
      </w:r>
      <w:r w:rsidR="000869B6" w:rsidRPr="003E7C50">
        <w:t>ed</w:t>
      </w:r>
      <w:r w:rsidRPr="003E7C50">
        <w:t xml:space="preserve"> changes to the restriction, including allowing </w:t>
      </w:r>
      <w:proofErr w:type="spellStart"/>
      <w:r w:rsidRPr="003E7C50">
        <w:t>ribociclib</w:t>
      </w:r>
      <w:proofErr w:type="spellEnd"/>
      <w:r w:rsidRPr="003E7C50">
        <w:t xml:space="preserve"> to be used in combination with </w:t>
      </w:r>
      <w:r w:rsidR="00E64301" w:rsidRPr="003E7C50">
        <w:t>any</w:t>
      </w:r>
      <w:r w:rsidRPr="003E7C50">
        <w:t xml:space="preserve"> non-ster</w:t>
      </w:r>
      <w:r w:rsidR="00E64301" w:rsidRPr="003E7C50">
        <w:t>oidal aromatase inhibitor (NSAI</w:t>
      </w:r>
      <w:r w:rsidRPr="003E7C50">
        <w:t xml:space="preserve">, i.e. </w:t>
      </w:r>
      <w:proofErr w:type="spellStart"/>
      <w:r w:rsidRPr="003E7C50">
        <w:t>letrozole</w:t>
      </w:r>
      <w:proofErr w:type="spellEnd"/>
      <w:r w:rsidRPr="003E7C50">
        <w:t xml:space="preserve"> or </w:t>
      </w:r>
      <w:proofErr w:type="spellStart"/>
      <w:r w:rsidRPr="003E7C50">
        <w:t>anastrozole</w:t>
      </w:r>
      <w:proofErr w:type="spellEnd"/>
      <w:r w:rsidRPr="003E7C50">
        <w:t>).</w:t>
      </w:r>
      <w:r w:rsidR="00D23659" w:rsidRPr="003E7C50">
        <w:t xml:space="preserve"> The DUSC agreed that allowing </w:t>
      </w:r>
      <w:proofErr w:type="spellStart"/>
      <w:r w:rsidR="00D23659" w:rsidRPr="003E7C50">
        <w:t>ribociclib</w:t>
      </w:r>
      <w:proofErr w:type="spellEnd"/>
      <w:r w:rsidR="00D23659" w:rsidRPr="003E7C50">
        <w:t xml:space="preserve"> to be used in combination with any NSAI was appropriate as </w:t>
      </w:r>
      <w:proofErr w:type="spellStart"/>
      <w:r w:rsidR="00D23659" w:rsidRPr="003E7C50">
        <w:t>ribociclib</w:t>
      </w:r>
      <w:proofErr w:type="spellEnd"/>
      <w:r w:rsidR="00D23659" w:rsidRPr="003E7C50">
        <w:t xml:space="preserve"> would be used in the same patient population as </w:t>
      </w:r>
      <w:proofErr w:type="spellStart"/>
      <w:r w:rsidR="00D23659" w:rsidRPr="003E7C50">
        <w:t>palbociclib</w:t>
      </w:r>
      <w:proofErr w:type="spellEnd"/>
      <w:r w:rsidR="00D23659" w:rsidRPr="003E7C50">
        <w:t>.</w:t>
      </w:r>
    </w:p>
    <w:p w:rsidR="00CB4C86" w:rsidRPr="003E7C50" w:rsidRDefault="00D23659" w:rsidP="00CB4C86">
      <w:pPr>
        <w:pStyle w:val="ListParagraph"/>
      </w:pPr>
      <w:r w:rsidRPr="003E7C50">
        <w:rPr>
          <w:rFonts w:cs="Arial"/>
          <w:color w:val="000000" w:themeColor="text1"/>
        </w:rPr>
        <w:t xml:space="preserve">The submission also proposed a grandfathering restriction for patients who are currently receiving a first-line of endocrine based therapy for advanced or metastatic breast cancer via the PBS. The proposed TGA indication specifies that patients should be treated with </w:t>
      </w:r>
      <w:proofErr w:type="spellStart"/>
      <w:r w:rsidRPr="003E7C50">
        <w:rPr>
          <w:rFonts w:cs="Arial"/>
          <w:color w:val="000000" w:themeColor="text1"/>
        </w:rPr>
        <w:t>ribociclib</w:t>
      </w:r>
      <w:proofErr w:type="spellEnd"/>
      <w:r w:rsidRPr="003E7C50">
        <w:rPr>
          <w:rFonts w:cs="Arial"/>
          <w:color w:val="000000" w:themeColor="text1"/>
        </w:rPr>
        <w:t xml:space="preserve"> plus </w:t>
      </w:r>
      <w:proofErr w:type="spellStart"/>
      <w:r w:rsidRPr="003E7C50">
        <w:rPr>
          <w:rFonts w:cs="Arial"/>
          <w:color w:val="000000" w:themeColor="text1"/>
        </w:rPr>
        <w:t>letrozole</w:t>
      </w:r>
      <w:proofErr w:type="spellEnd"/>
      <w:r w:rsidRPr="003E7C50">
        <w:rPr>
          <w:rFonts w:cs="Arial"/>
          <w:color w:val="000000" w:themeColor="text1"/>
        </w:rPr>
        <w:t xml:space="preserve"> as ‘initial endocrine-based therapy’. The DUSC agreed with the evaluation that under the proposed TGA indication, </w:t>
      </w:r>
      <w:r w:rsidRPr="003E7C50">
        <w:rPr>
          <w:rFonts w:cs="Arial"/>
          <w:color w:val="000000" w:themeColor="text1"/>
        </w:rPr>
        <w:lastRenderedPageBreak/>
        <w:t xml:space="preserve">grandfathering existing patients on first-line endocrine therapy to </w:t>
      </w:r>
      <w:proofErr w:type="spellStart"/>
      <w:r w:rsidRPr="003E7C50">
        <w:rPr>
          <w:rFonts w:cs="Arial"/>
          <w:color w:val="000000" w:themeColor="text1"/>
        </w:rPr>
        <w:t>ribociclib</w:t>
      </w:r>
      <w:proofErr w:type="spellEnd"/>
      <w:r w:rsidRPr="003E7C50">
        <w:rPr>
          <w:rFonts w:cs="Arial"/>
          <w:color w:val="000000" w:themeColor="text1"/>
        </w:rPr>
        <w:t xml:space="preserve"> may not be appropriate. </w:t>
      </w:r>
      <w:r w:rsidR="008D7CD4" w:rsidRPr="003E7C50">
        <w:t xml:space="preserve">The </w:t>
      </w:r>
      <w:r w:rsidR="006042CD" w:rsidRPr="003E7C50">
        <w:t>pre</w:t>
      </w:r>
      <w:r w:rsidR="008D7CD4" w:rsidRPr="003E7C50">
        <w:t xml:space="preserve">-PBAC response (p.1-2) proposed that in the interest of aligning the restriction criteria more closely with the MONALEESA-2 trial and </w:t>
      </w:r>
      <w:r w:rsidR="00B235DF">
        <w:rPr>
          <w:noProof/>
          <w:color w:val="000000"/>
          <w:highlight w:val="black"/>
        </w:rPr>
        <w:t>''''''' '''''''''''''''' '''''''''''' '''''''''''''' ''''''''''''' ''''''''''''''''' ''''' ''''''''''''''''''</w:t>
      </w:r>
      <w:r w:rsidR="008D7CD4" w:rsidRPr="003E7C50">
        <w:t xml:space="preserve">, the PBS restriction for </w:t>
      </w:r>
      <w:proofErr w:type="spellStart"/>
      <w:r w:rsidR="008D7CD4" w:rsidRPr="003E7C50">
        <w:t>ribociclib</w:t>
      </w:r>
      <w:proofErr w:type="spellEnd"/>
      <w:r w:rsidR="008D7CD4" w:rsidRPr="003E7C50">
        <w:t xml:space="preserve"> should exclude patients with &gt;28 days of treatment with an NSAI for their </w:t>
      </w:r>
      <w:r w:rsidR="00B7550B" w:rsidRPr="003E7C50">
        <w:t>ABC</w:t>
      </w:r>
      <w:r w:rsidR="008D7CD4" w:rsidRPr="003E7C50">
        <w:t xml:space="preserve"> prior to initiation of </w:t>
      </w:r>
      <w:proofErr w:type="spellStart"/>
      <w:r w:rsidR="008D7CD4" w:rsidRPr="003E7C50">
        <w:t>ribociclib</w:t>
      </w:r>
      <w:proofErr w:type="spellEnd"/>
      <w:r w:rsidR="008D7CD4" w:rsidRPr="003E7C50">
        <w:t xml:space="preserve">. </w:t>
      </w:r>
    </w:p>
    <w:p w:rsidR="00C317F3" w:rsidRPr="003E7C50" w:rsidRDefault="008F3DA1" w:rsidP="008D7CD4">
      <w:pPr>
        <w:pStyle w:val="ListParagraph"/>
      </w:pPr>
      <w:r w:rsidRPr="003E7C50">
        <w:t xml:space="preserve">The requested basis for listing </w:t>
      </w:r>
      <w:r w:rsidR="00541D97" w:rsidRPr="003E7C50">
        <w:t xml:space="preserve">was </w:t>
      </w:r>
      <w:r w:rsidRPr="003E7C50">
        <w:t xml:space="preserve">a cost-utility analysis </w:t>
      </w:r>
      <w:r w:rsidR="00815F47" w:rsidRPr="003E7C50">
        <w:t xml:space="preserve">for </w:t>
      </w:r>
      <w:proofErr w:type="spellStart"/>
      <w:r w:rsidR="00815F47" w:rsidRPr="003E7C50">
        <w:t>ribociclib</w:t>
      </w:r>
      <w:proofErr w:type="spellEnd"/>
      <w:r w:rsidR="00815F47" w:rsidRPr="003E7C50">
        <w:t xml:space="preserve"> </w:t>
      </w:r>
      <w:r w:rsidR="008B52C8" w:rsidRPr="003E7C50">
        <w:t>+</w:t>
      </w:r>
      <w:r w:rsidR="00815F47" w:rsidRPr="003E7C50">
        <w:t xml:space="preserve"> </w:t>
      </w:r>
      <w:proofErr w:type="spellStart"/>
      <w:r w:rsidR="00815F47" w:rsidRPr="003E7C50">
        <w:t>letrozole</w:t>
      </w:r>
      <w:proofErr w:type="spellEnd"/>
      <w:r w:rsidR="00815F47" w:rsidRPr="003E7C50">
        <w:t xml:space="preserve"> </w:t>
      </w:r>
      <w:r w:rsidR="000D50DC" w:rsidRPr="003E7C50">
        <w:t xml:space="preserve">compared with </w:t>
      </w:r>
      <w:proofErr w:type="spellStart"/>
      <w:r w:rsidRPr="003E7C50">
        <w:t>letrozole</w:t>
      </w:r>
      <w:proofErr w:type="spellEnd"/>
      <w:r w:rsidRPr="003E7C50">
        <w:t xml:space="preserve"> alone. </w:t>
      </w:r>
      <w:r w:rsidR="000D50DC" w:rsidRPr="003E7C50">
        <w:t xml:space="preserve">The submission also presented a cost-minimisation analysis compared with a </w:t>
      </w:r>
      <w:r w:rsidRPr="003E7C50">
        <w:t xml:space="preserve">near market comparator, </w:t>
      </w:r>
      <w:proofErr w:type="spellStart"/>
      <w:r w:rsidRPr="003E7C50">
        <w:t>palbociclib</w:t>
      </w:r>
      <w:proofErr w:type="spellEnd"/>
      <w:r w:rsidR="00F72743" w:rsidRPr="003E7C50">
        <w:t xml:space="preserve"> plus </w:t>
      </w:r>
      <w:proofErr w:type="spellStart"/>
      <w:r w:rsidR="00F72743" w:rsidRPr="003E7C50">
        <w:t>letrozole</w:t>
      </w:r>
      <w:proofErr w:type="spellEnd"/>
      <w:r w:rsidRPr="003E7C50">
        <w:t xml:space="preserve">. </w:t>
      </w:r>
    </w:p>
    <w:p w:rsidR="00531F52" w:rsidRPr="003E7C50" w:rsidRDefault="008F3DA1" w:rsidP="00FD25D4">
      <w:pPr>
        <w:pStyle w:val="ListParagraph"/>
      </w:pPr>
      <w:proofErr w:type="spellStart"/>
      <w:r w:rsidRPr="003E7C50">
        <w:t>Ribociclib</w:t>
      </w:r>
      <w:proofErr w:type="spellEnd"/>
      <w:r w:rsidRPr="003E7C50">
        <w:t xml:space="preserve"> is administered orally as tablets. The recommended dosing regimen is 600</w:t>
      </w:r>
      <w:r w:rsidR="00B976D6" w:rsidRPr="003E7C50">
        <w:t> </w:t>
      </w:r>
      <w:r w:rsidRPr="003E7C50">
        <w:t>mg once daily (three tablets of 200 mg) for 21 days, followed by 7</w:t>
      </w:r>
      <w:r w:rsidR="00650539" w:rsidRPr="003E7C50">
        <w:t> </w:t>
      </w:r>
      <w:r w:rsidRPr="003E7C50">
        <w:t>da</w:t>
      </w:r>
      <w:r w:rsidR="00B721BC" w:rsidRPr="003E7C50">
        <w:t>y</w:t>
      </w:r>
      <w:r w:rsidRPr="003E7C50">
        <w:t xml:space="preserve">s off treatment to complete a 28-day cycle. </w:t>
      </w:r>
      <w:r w:rsidR="00EB4183" w:rsidRPr="003E7C50">
        <w:t xml:space="preserve">In the event of adverse drug reactions, the starting dose of </w:t>
      </w:r>
      <w:proofErr w:type="spellStart"/>
      <w:r w:rsidR="00EB4183" w:rsidRPr="003E7C50">
        <w:t>ribociclib</w:t>
      </w:r>
      <w:proofErr w:type="spellEnd"/>
      <w:r w:rsidR="00EB4183" w:rsidRPr="003E7C50">
        <w:t xml:space="preserve"> may be reduced to 400 mg</w:t>
      </w:r>
      <w:r w:rsidR="003029C2" w:rsidRPr="003E7C50">
        <w:t xml:space="preserve"> once daily (two tablets of 200 </w:t>
      </w:r>
      <w:r w:rsidR="00EB4183" w:rsidRPr="003E7C50">
        <w:t xml:space="preserve">mg), and further to 200 mg once daily (one tablet of 200 mg) if required. </w:t>
      </w:r>
      <w:r w:rsidR="000869B6" w:rsidRPr="003E7C50">
        <w:t>The ESC noted that the majority of patients in the MONALEESA-</w:t>
      </w:r>
      <w:r w:rsidR="00904CEF" w:rsidRPr="003E7C50">
        <w:t xml:space="preserve">2 </w:t>
      </w:r>
      <w:r w:rsidR="000869B6" w:rsidRPr="003E7C50">
        <w:t>trial (</w:t>
      </w:r>
      <w:r w:rsidR="00B235DF">
        <w:rPr>
          <w:noProof/>
          <w:color w:val="000000"/>
          <w:highlight w:val="black"/>
        </w:rPr>
        <w:t xml:space="preserve">'''''''''''''' </w:t>
      </w:r>
      <w:r w:rsidR="005F72F9" w:rsidRPr="005471C7">
        <w:t>June</w:t>
      </w:r>
      <w:r w:rsidR="000869B6" w:rsidRPr="005471C7">
        <w:t xml:space="preserve"> 2016 dataset</w:t>
      </w:r>
      <w:r w:rsidR="000869B6" w:rsidRPr="003E7C50">
        <w:t xml:space="preserve">) had a dose interruption or change. </w:t>
      </w:r>
      <w:proofErr w:type="spellStart"/>
      <w:r w:rsidRPr="003E7C50">
        <w:t>Letrozole</w:t>
      </w:r>
      <w:proofErr w:type="spellEnd"/>
      <w:r w:rsidRPr="003E7C50">
        <w:t xml:space="preserve"> (2.5 mg once daily) is to be taken alongside </w:t>
      </w:r>
      <w:proofErr w:type="spellStart"/>
      <w:r w:rsidRPr="003E7C50">
        <w:t>ribociclib</w:t>
      </w:r>
      <w:proofErr w:type="spellEnd"/>
      <w:r w:rsidRPr="003E7C50">
        <w:t xml:space="preserve"> for the full 28-day cycle. </w:t>
      </w:r>
      <w:r w:rsidR="0083058D" w:rsidRPr="003E7C50">
        <w:t>Patients are treated until disease progression.</w:t>
      </w:r>
    </w:p>
    <w:p w:rsidR="00531F52" w:rsidRPr="003E7C50" w:rsidRDefault="00B721BC" w:rsidP="00316E09">
      <w:pPr>
        <w:pStyle w:val="ListParagraph"/>
        <w:rPr>
          <w:i/>
        </w:rPr>
      </w:pPr>
      <w:r w:rsidRPr="003E7C50">
        <w:t>The submission included a request for special pricing arrangement (SPA)</w:t>
      </w:r>
      <w:r w:rsidR="00531F52" w:rsidRPr="003E7C50">
        <w:t xml:space="preserve"> for </w:t>
      </w:r>
      <w:proofErr w:type="spellStart"/>
      <w:r w:rsidR="00531F52" w:rsidRPr="003E7C50">
        <w:t>ribociclib</w:t>
      </w:r>
      <w:proofErr w:type="spellEnd"/>
      <w:r w:rsidR="00531F52" w:rsidRPr="003E7C50">
        <w:t xml:space="preserve">. The submission proposed effective prices which </w:t>
      </w:r>
      <w:r w:rsidR="0083058D" w:rsidRPr="003E7C50">
        <w:t xml:space="preserve">are </w:t>
      </w:r>
      <w:r w:rsidR="00B235DF">
        <w:rPr>
          <w:noProof/>
          <w:color w:val="000000"/>
          <w:highlight w:val="black"/>
        </w:rPr>
        <w:t>'''''</w:t>
      </w:r>
      <w:r w:rsidR="00531F52" w:rsidRPr="003E7C50">
        <w:t>% lower than the published prices</w:t>
      </w:r>
      <w:r w:rsidR="0083058D" w:rsidRPr="003E7C50">
        <w:t>.</w:t>
      </w:r>
      <w:r w:rsidR="00531F52" w:rsidRPr="003E7C50">
        <w:t xml:space="preserve"> </w:t>
      </w:r>
    </w:p>
    <w:p w:rsidR="00640732" w:rsidRPr="003E7C50" w:rsidRDefault="00640732" w:rsidP="00640732">
      <w:pPr>
        <w:pStyle w:val="ListParagraph"/>
        <w:numPr>
          <w:ilvl w:val="0"/>
          <w:numId w:val="0"/>
        </w:numPr>
        <w:ind w:left="720"/>
      </w:pPr>
      <w:r w:rsidRPr="003E7C50">
        <w:rPr>
          <w:rFonts w:ascii="Calibri" w:eastAsia="Times New Roman" w:hAnsi="Calibri" w:cs="Times New Roman"/>
          <w:i/>
        </w:rPr>
        <w:t>For more detail on PBAC’s view, see section 7 “PBAC outcome.”</w:t>
      </w:r>
    </w:p>
    <w:p w:rsidR="00C317F3" w:rsidRPr="003E7C50" w:rsidRDefault="00C317F3" w:rsidP="003C639E">
      <w:pPr>
        <w:pStyle w:val="Heading1"/>
        <w:numPr>
          <w:ilvl w:val="0"/>
          <w:numId w:val="1"/>
        </w:numPr>
        <w:ind w:left="709" w:hanging="709"/>
      </w:pPr>
      <w:bookmarkStart w:id="4" w:name="_Toc413139273"/>
      <w:bookmarkStart w:id="5" w:name="_Toc482023179"/>
      <w:r w:rsidRPr="003E7C50">
        <w:t>Background</w:t>
      </w:r>
      <w:bookmarkEnd w:id="4"/>
      <w:bookmarkEnd w:id="5"/>
    </w:p>
    <w:p w:rsidR="009D4B52" w:rsidRPr="003E7C50" w:rsidRDefault="009D4B52" w:rsidP="009D4B52">
      <w:pPr>
        <w:pStyle w:val="ListParagraph"/>
        <w:numPr>
          <w:ilvl w:val="0"/>
          <w:numId w:val="3"/>
        </w:numPr>
        <w:spacing w:before="200"/>
        <w:jc w:val="left"/>
        <w:rPr>
          <w:rFonts w:ascii="Arial" w:eastAsia="Times New Roman" w:hAnsi="Arial" w:cs="Arial"/>
          <w:b/>
          <w:snapToGrid w:val="0"/>
          <w:vanish/>
          <w:sz w:val="22"/>
          <w:szCs w:val="22"/>
        </w:rPr>
      </w:pPr>
    </w:p>
    <w:p w:rsidR="00C317F3" w:rsidRPr="003E7C50" w:rsidRDefault="00C317F3" w:rsidP="001844AB">
      <w:pPr>
        <w:pStyle w:val="ListParagraph"/>
      </w:pPr>
      <w:r w:rsidRPr="003E7C50">
        <w:t>TGA status</w:t>
      </w:r>
      <w:r w:rsidR="009D4B52" w:rsidRPr="003E7C50">
        <w:t xml:space="preserve"> at time of </w:t>
      </w:r>
      <w:r w:rsidR="00ED7FE1" w:rsidRPr="003E7C50">
        <w:t>PBAC consideration</w:t>
      </w:r>
      <w:r w:rsidRPr="003E7C50">
        <w:t xml:space="preserve">: </w:t>
      </w:r>
      <w:r w:rsidR="00DD53F8" w:rsidRPr="003E7C50">
        <w:t xml:space="preserve">The submission was made under the </w:t>
      </w:r>
      <w:r w:rsidR="00C51A63" w:rsidRPr="003E7C50">
        <w:t>TGA</w:t>
      </w:r>
      <w:r w:rsidR="00DD53F8" w:rsidRPr="003E7C50">
        <w:t>/PBAC</w:t>
      </w:r>
      <w:r w:rsidR="00C51A63" w:rsidRPr="003E7C50">
        <w:t xml:space="preserve"> Parallel Process. At the time of the evaluation, </w:t>
      </w:r>
      <w:r w:rsidR="0064065F" w:rsidRPr="003E7C50">
        <w:t xml:space="preserve">no </w:t>
      </w:r>
      <w:r w:rsidR="00C51A63" w:rsidRPr="003E7C50">
        <w:t xml:space="preserve">TGA </w:t>
      </w:r>
      <w:r w:rsidR="0064065F" w:rsidRPr="003E7C50">
        <w:t xml:space="preserve">documents </w:t>
      </w:r>
      <w:r w:rsidR="00C51A63" w:rsidRPr="003E7C50">
        <w:t xml:space="preserve">were available. The </w:t>
      </w:r>
      <w:r w:rsidR="00B36BE8">
        <w:t xml:space="preserve">Round 2 </w:t>
      </w:r>
      <w:r w:rsidR="00C51A63" w:rsidRPr="003E7C50">
        <w:t>TGA Clinical Evaluator’s</w:t>
      </w:r>
      <w:r w:rsidR="0064065F" w:rsidRPr="003E7C50">
        <w:t xml:space="preserve"> Report </w:t>
      </w:r>
      <w:r w:rsidR="00DD36C5" w:rsidRPr="003E7C50">
        <w:t>was received on 2 June 2017</w:t>
      </w:r>
      <w:r w:rsidR="00C51A63" w:rsidRPr="003E7C50">
        <w:t xml:space="preserve">. </w:t>
      </w:r>
      <w:r w:rsidR="001844AB" w:rsidRPr="003E7C50">
        <w:t xml:space="preserve">The proposed TGA indication is “Treatment of postmenopausal women with HR+, HER2- ABC in combination with </w:t>
      </w:r>
      <w:proofErr w:type="spellStart"/>
      <w:r w:rsidR="001844AB" w:rsidRPr="003E7C50">
        <w:t>letrozole</w:t>
      </w:r>
      <w:proofErr w:type="spellEnd"/>
      <w:r w:rsidR="001844AB" w:rsidRPr="003E7C50">
        <w:t xml:space="preserve"> as initial endocrine-based therapy.”</w:t>
      </w:r>
      <w:r w:rsidR="00E95B65" w:rsidRPr="003E7C50">
        <w:t xml:space="preserve"> The TGA Delegate’s overview was not received in time for PBAC consideration.</w:t>
      </w:r>
    </w:p>
    <w:p w:rsidR="00C317F3" w:rsidRPr="003E7C50" w:rsidRDefault="00E95B65" w:rsidP="00316E09">
      <w:pPr>
        <w:pStyle w:val="ListParagraph"/>
      </w:pPr>
      <w:r w:rsidRPr="003E7C50">
        <w:t xml:space="preserve">The </w:t>
      </w:r>
      <w:r w:rsidR="00D275C0" w:rsidRPr="003E7C50">
        <w:t xml:space="preserve">PBAC has not previously considered </w:t>
      </w:r>
      <w:proofErr w:type="spellStart"/>
      <w:r w:rsidR="00D275C0" w:rsidRPr="003E7C50">
        <w:t>r</w:t>
      </w:r>
      <w:r w:rsidR="00DD53F8" w:rsidRPr="003E7C50">
        <w:t>ibociclib</w:t>
      </w:r>
      <w:proofErr w:type="spellEnd"/>
      <w:r w:rsidR="00DD53F8" w:rsidRPr="003E7C50">
        <w:t xml:space="preserve">. </w:t>
      </w:r>
    </w:p>
    <w:p w:rsidR="007E12DD" w:rsidRPr="003E7C50" w:rsidRDefault="0031770F" w:rsidP="003C639E">
      <w:pPr>
        <w:pStyle w:val="ListParagraph"/>
        <w:spacing w:after="0"/>
      </w:pPr>
      <w:proofErr w:type="spellStart"/>
      <w:r w:rsidRPr="003E7C50">
        <w:t>P</w:t>
      </w:r>
      <w:r w:rsidR="00637F6B" w:rsidRPr="003E7C50">
        <w:t>albociclib</w:t>
      </w:r>
      <w:proofErr w:type="spellEnd"/>
      <w:r w:rsidR="00637F6B" w:rsidRPr="003E7C50">
        <w:t>, a near market comparator</w:t>
      </w:r>
      <w:r w:rsidR="00530BC5" w:rsidRPr="003E7C50">
        <w:t xml:space="preserve"> in the same therapeutic class as </w:t>
      </w:r>
      <w:proofErr w:type="spellStart"/>
      <w:r w:rsidR="00530BC5" w:rsidRPr="003E7C50">
        <w:t>ribociclib</w:t>
      </w:r>
      <w:proofErr w:type="spellEnd"/>
      <w:r w:rsidR="00637F6B" w:rsidRPr="003E7C50">
        <w:t xml:space="preserve">, </w:t>
      </w:r>
      <w:r w:rsidR="007E192B" w:rsidRPr="003E7C50">
        <w:t>was</w:t>
      </w:r>
      <w:r w:rsidR="00637F6B" w:rsidRPr="003E7C50">
        <w:t xml:space="preserve"> </w:t>
      </w:r>
      <w:r w:rsidR="00AA062B" w:rsidRPr="003E7C50">
        <w:t xml:space="preserve">listed </w:t>
      </w:r>
      <w:r w:rsidRPr="003E7C50">
        <w:t>on the ARTG on 3 May 2017</w:t>
      </w:r>
      <w:r w:rsidR="007E12DD" w:rsidRPr="003E7C50">
        <w:t xml:space="preserve"> for the treatment of HR+, HER2- ABC in combination with: </w:t>
      </w:r>
    </w:p>
    <w:p w:rsidR="007E12DD" w:rsidRPr="003E7C50" w:rsidRDefault="007E12DD" w:rsidP="008D683B">
      <w:pPr>
        <w:pStyle w:val="BodyText"/>
        <w:widowControl/>
        <w:numPr>
          <w:ilvl w:val="0"/>
          <w:numId w:val="9"/>
        </w:numPr>
        <w:snapToGrid w:val="0"/>
        <w:jc w:val="both"/>
        <w:rPr>
          <w:iCs/>
        </w:rPr>
      </w:pPr>
      <w:r w:rsidRPr="003E7C50">
        <w:rPr>
          <w:rFonts w:cstheme="minorHAnsi"/>
          <w:iCs/>
          <w:sz w:val="24"/>
          <w:szCs w:val="24"/>
        </w:rPr>
        <w:t xml:space="preserve">an aromatase inhibitor as initial endocrine-based therapy </w:t>
      </w:r>
    </w:p>
    <w:p w:rsidR="007E12DD" w:rsidRPr="003E7C50" w:rsidRDefault="007E12DD" w:rsidP="008D683B">
      <w:pPr>
        <w:pStyle w:val="BodyText"/>
        <w:widowControl/>
        <w:numPr>
          <w:ilvl w:val="0"/>
          <w:numId w:val="9"/>
        </w:numPr>
        <w:snapToGrid w:val="0"/>
        <w:spacing w:after="120"/>
        <w:jc w:val="both"/>
        <w:rPr>
          <w:iCs/>
        </w:rPr>
      </w:pPr>
      <w:proofErr w:type="spellStart"/>
      <w:proofErr w:type="gramStart"/>
      <w:r w:rsidRPr="003E7C50">
        <w:rPr>
          <w:rFonts w:cstheme="minorHAnsi"/>
          <w:iCs/>
          <w:sz w:val="24"/>
          <w:szCs w:val="24"/>
        </w:rPr>
        <w:t>fulvestrant</w:t>
      </w:r>
      <w:proofErr w:type="spellEnd"/>
      <w:proofErr w:type="gramEnd"/>
      <w:r w:rsidRPr="003E7C50">
        <w:rPr>
          <w:rFonts w:cstheme="minorHAnsi"/>
          <w:iCs/>
          <w:sz w:val="24"/>
          <w:szCs w:val="24"/>
        </w:rPr>
        <w:t xml:space="preserve"> in patients who have received prior therapy.</w:t>
      </w:r>
    </w:p>
    <w:p w:rsidR="007E12DD" w:rsidRPr="003E7C50" w:rsidRDefault="00FF5931" w:rsidP="00B020B3">
      <w:pPr>
        <w:pStyle w:val="ListParagraph"/>
        <w:spacing w:after="0"/>
      </w:pPr>
      <w:proofErr w:type="spellStart"/>
      <w:r w:rsidRPr="003E7C50">
        <w:t>Palbociclib</w:t>
      </w:r>
      <w:proofErr w:type="spellEnd"/>
      <w:r w:rsidRPr="003E7C50">
        <w:t xml:space="preserve">, </w:t>
      </w:r>
      <w:r w:rsidR="00815F47" w:rsidRPr="003E7C50">
        <w:t>in combination with</w:t>
      </w:r>
      <w:r w:rsidR="007E12DD" w:rsidRPr="003E7C50">
        <w:t xml:space="preserve"> a</w:t>
      </w:r>
      <w:r w:rsidR="003029C2" w:rsidRPr="003E7C50">
        <w:t>n</w:t>
      </w:r>
      <w:r w:rsidR="007E12DD" w:rsidRPr="003E7C50">
        <w:t xml:space="preserve"> </w:t>
      </w:r>
      <w:r w:rsidR="001C7ABD" w:rsidRPr="003E7C50">
        <w:t>NSAI</w:t>
      </w:r>
      <w:r w:rsidR="00815F47" w:rsidRPr="003E7C50">
        <w:t xml:space="preserve"> </w:t>
      </w:r>
      <w:r w:rsidR="007E12DD" w:rsidRPr="003E7C50">
        <w:t>(</w:t>
      </w:r>
      <w:proofErr w:type="spellStart"/>
      <w:r w:rsidR="00815F47" w:rsidRPr="003E7C50">
        <w:t>letrozole</w:t>
      </w:r>
      <w:proofErr w:type="spellEnd"/>
      <w:r w:rsidR="00815F47" w:rsidRPr="003E7C50">
        <w:t xml:space="preserve"> or </w:t>
      </w:r>
      <w:proofErr w:type="spellStart"/>
      <w:r w:rsidR="00815F47" w:rsidRPr="003E7C50">
        <w:t>anastrozole</w:t>
      </w:r>
      <w:proofErr w:type="spellEnd"/>
      <w:r w:rsidR="007E12DD" w:rsidRPr="003E7C50">
        <w:t>)</w:t>
      </w:r>
      <w:r w:rsidR="00815F47" w:rsidRPr="003E7C50">
        <w:t xml:space="preserve">, </w:t>
      </w:r>
      <w:r w:rsidR="00406E36" w:rsidRPr="003E7C50">
        <w:t xml:space="preserve">was not recommended by the PBAC at </w:t>
      </w:r>
      <w:r w:rsidR="007E12DD" w:rsidRPr="003E7C50">
        <w:t xml:space="preserve">its </w:t>
      </w:r>
      <w:r w:rsidR="00406E36" w:rsidRPr="003E7C50">
        <w:t xml:space="preserve">March 2017 meeting </w:t>
      </w:r>
      <w:r w:rsidR="00815F47" w:rsidRPr="003E7C50">
        <w:t xml:space="preserve">as </w:t>
      </w:r>
      <w:r w:rsidR="00406E36" w:rsidRPr="003E7C50">
        <w:t xml:space="preserve">an </w:t>
      </w:r>
      <w:r w:rsidR="00815F47" w:rsidRPr="003E7C50">
        <w:t>initial endocrine-based therapy in post-menopausal</w:t>
      </w:r>
      <w:r w:rsidRPr="003E7C50">
        <w:t xml:space="preserve"> HR+, HER2-</w:t>
      </w:r>
      <w:r w:rsidR="00406E36" w:rsidRPr="003E7C50">
        <w:t xml:space="preserve">, </w:t>
      </w:r>
      <w:r w:rsidR="00815F47" w:rsidRPr="003E7C50">
        <w:t>ABC</w:t>
      </w:r>
      <w:r w:rsidR="00406E36" w:rsidRPr="003E7C50">
        <w:t xml:space="preserve"> patients</w:t>
      </w:r>
      <w:r w:rsidR="007E12DD" w:rsidRPr="003E7C50">
        <w:t xml:space="preserve"> on the basis that on the basis </w:t>
      </w:r>
      <w:r w:rsidR="003C639E" w:rsidRPr="003E7C50">
        <w:t>of the following</w:t>
      </w:r>
      <w:r w:rsidR="007E12DD" w:rsidRPr="003E7C50">
        <w:t>:</w:t>
      </w:r>
    </w:p>
    <w:p w:rsidR="007E12DD" w:rsidRPr="003E7C50" w:rsidRDefault="003C639E" w:rsidP="00B020B3">
      <w:pPr>
        <w:pStyle w:val="BodyText"/>
        <w:widowControl/>
        <w:numPr>
          <w:ilvl w:val="0"/>
          <w:numId w:val="9"/>
        </w:numPr>
        <w:snapToGrid w:val="0"/>
        <w:ind w:left="1077" w:hanging="357"/>
        <w:jc w:val="both"/>
        <w:rPr>
          <w:rFonts w:cstheme="minorHAnsi"/>
          <w:iCs/>
          <w:sz w:val="24"/>
          <w:szCs w:val="24"/>
        </w:rPr>
      </w:pPr>
      <w:r w:rsidRPr="003E7C50">
        <w:rPr>
          <w:rFonts w:cstheme="minorHAnsi"/>
          <w:iCs/>
          <w:sz w:val="24"/>
          <w:szCs w:val="24"/>
        </w:rPr>
        <w:lastRenderedPageBreak/>
        <w:t>T</w:t>
      </w:r>
      <w:r w:rsidR="007E12DD" w:rsidRPr="003E7C50">
        <w:rPr>
          <w:rFonts w:cstheme="minorHAnsi"/>
          <w:iCs/>
          <w:sz w:val="24"/>
          <w:szCs w:val="24"/>
        </w:rPr>
        <w:t xml:space="preserve">he PBAC did not know the circumstances that </w:t>
      </w:r>
      <w:proofErr w:type="spellStart"/>
      <w:r w:rsidR="007E12DD" w:rsidRPr="003E7C50">
        <w:rPr>
          <w:rFonts w:cstheme="minorHAnsi"/>
          <w:iCs/>
          <w:sz w:val="24"/>
          <w:szCs w:val="24"/>
        </w:rPr>
        <w:t>palbociclib</w:t>
      </w:r>
      <w:proofErr w:type="spellEnd"/>
      <w:r w:rsidR="007E12DD" w:rsidRPr="003E7C50">
        <w:rPr>
          <w:rFonts w:cstheme="minorHAnsi"/>
          <w:iCs/>
          <w:sz w:val="24"/>
          <w:szCs w:val="24"/>
        </w:rPr>
        <w:t xml:space="preserve"> would be registered for use in Australia</w:t>
      </w:r>
      <w:r w:rsidRPr="003E7C50">
        <w:rPr>
          <w:rFonts w:cstheme="minorHAnsi"/>
          <w:iCs/>
          <w:sz w:val="24"/>
          <w:szCs w:val="24"/>
        </w:rPr>
        <w:t>.</w:t>
      </w:r>
    </w:p>
    <w:p w:rsidR="007E12DD" w:rsidRPr="003E7C50" w:rsidRDefault="003C639E" w:rsidP="00B020B3">
      <w:pPr>
        <w:pStyle w:val="BodyText"/>
        <w:widowControl/>
        <w:numPr>
          <w:ilvl w:val="0"/>
          <w:numId w:val="9"/>
        </w:numPr>
        <w:snapToGrid w:val="0"/>
        <w:ind w:left="1077" w:hanging="357"/>
        <w:jc w:val="both"/>
        <w:rPr>
          <w:rFonts w:cstheme="minorHAnsi"/>
          <w:iCs/>
          <w:sz w:val="24"/>
          <w:szCs w:val="24"/>
        </w:rPr>
      </w:pPr>
      <w:r w:rsidRPr="003E7C50">
        <w:rPr>
          <w:rFonts w:cstheme="minorHAnsi"/>
          <w:iCs/>
          <w:sz w:val="24"/>
          <w:szCs w:val="24"/>
        </w:rPr>
        <w:t>T</w:t>
      </w:r>
      <w:r w:rsidR="007E12DD" w:rsidRPr="003E7C50">
        <w:rPr>
          <w:rFonts w:cstheme="minorHAnsi"/>
          <w:iCs/>
          <w:sz w:val="24"/>
          <w:szCs w:val="24"/>
        </w:rPr>
        <w:t xml:space="preserve">here is strong clinical benefit of endocrine-based therapy alone as first-line therapy in many patients, and uncertainty as to which patients would most benefit from the addition of </w:t>
      </w:r>
      <w:proofErr w:type="spellStart"/>
      <w:r w:rsidR="007E12DD" w:rsidRPr="003E7C50">
        <w:rPr>
          <w:rFonts w:cstheme="minorHAnsi"/>
          <w:iCs/>
          <w:sz w:val="24"/>
          <w:szCs w:val="24"/>
        </w:rPr>
        <w:t>palbociclib</w:t>
      </w:r>
      <w:proofErr w:type="spellEnd"/>
      <w:r w:rsidRPr="003E7C50">
        <w:rPr>
          <w:rFonts w:cstheme="minorHAnsi"/>
          <w:iCs/>
          <w:sz w:val="24"/>
          <w:szCs w:val="24"/>
        </w:rPr>
        <w:t>.</w:t>
      </w:r>
    </w:p>
    <w:p w:rsidR="007E12DD" w:rsidRPr="003E7C50" w:rsidRDefault="003C639E" w:rsidP="00B020B3">
      <w:pPr>
        <w:pStyle w:val="BodyText"/>
        <w:widowControl/>
        <w:numPr>
          <w:ilvl w:val="0"/>
          <w:numId w:val="9"/>
        </w:numPr>
        <w:snapToGrid w:val="0"/>
        <w:ind w:left="1077" w:hanging="357"/>
        <w:jc w:val="both"/>
        <w:rPr>
          <w:rFonts w:cstheme="minorHAnsi"/>
          <w:iCs/>
          <w:sz w:val="24"/>
          <w:szCs w:val="24"/>
        </w:rPr>
      </w:pPr>
      <w:r w:rsidRPr="003E7C50">
        <w:rPr>
          <w:rFonts w:cstheme="minorHAnsi"/>
          <w:iCs/>
          <w:sz w:val="24"/>
          <w:szCs w:val="24"/>
        </w:rPr>
        <w:t>A</w:t>
      </w:r>
      <w:r w:rsidR="007E12DD" w:rsidRPr="003E7C50">
        <w:rPr>
          <w:rFonts w:cstheme="minorHAnsi"/>
          <w:iCs/>
          <w:sz w:val="24"/>
          <w:szCs w:val="24"/>
        </w:rPr>
        <w:t xml:space="preserve"> number of effective and well-tolerated second-line therapies (including oral treatments) are available for patients who progress after first-line endocrine-based therapy</w:t>
      </w:r>
      <w:r w:rsidRPr="003E7C50">
        <w:rPr>
          <w:rFonts w:cstheme="minorHAnsi"/>
          <w:iCs/>
          <w:sz w:val="24"/>
          <w:szCs w:val="24"/>
        </w:rPr>
        <w:t>.</w:t>
      </w:r>
    </w:p>
    <w:p w:rsidR="007E12DD" w:rsidRPr="003E7C50" w:rsidRDefault="003C639E" w:rsidP="00B020B3">
      <w:pPr>
        <w:pStyle w:val="BodyText"/>
        <w:widowControl/>
        <w:numPr>
          <w:ilvl w:val="0"/>
          <w:numId w:val="9"/>
        </w:numPr>
        <w:snapToGrid w:val="0"/>
        <w:ind w:left="1077" w:hanging="357"/>
        <w:jc w:val="both"/>
        <w:rPr>
          <w:rFonts w:cstheme="minorHAnsi"/>
          <w:iCs/>
          <w:sz w:val="24"/>
          <w:szCs w:val="24"/>
        </w:rPr>
      </w:pPr>
      <w:proofErr w:type="spellStart"/>
      <w:r w:rsidRPr="003E7C50">
        <w:rPr>
          <w:rFonts w:cstheme="minorHAnsi"/>
          <w:iCs/>
          <w:sz w:val="24"/>
          <w:szCs w:val="24"/>
        </w:rPr>
        <w:t>P</w:t>
      </w:r>
      <w:r w:rsidR="007E12DD" w:rsidRPr="003E7C50">
        <w:rPr>
          <w:rFonts w:cstheme="minorHAnsi"/>
          <w:iCs/>
          <w:sz w:val="24"/>
          <w:szCs w:val="24"/>
        </w:rPr>
        <w:t>albociclib</w:t>
      </w:r>
      <w:proofErr w:type="spellEnd"/>
      <w:r w:rsidR="007E12DD" w:rsidRPr="003E7C50">
        <w:rPr>
          <w:rFonts w:cstheme="minorHAnsi"/>
          <w:iCs/>
          <w:sz w:val="24"/>
          <w:szCs w:val="24"/>
        </w:rPr>
        <w:t xml:space="preserve"> is associated with significant toxicity</w:t>
      </w:r>
      <w:r w:rsidRPr="003E7C50">
        <w:rPr>
          <w:rFonts w:cstheme="minorHAnsi"/>
          <w:iCs/>
          <w:sz w:val="24"/>
          <w:szCs w:val="24"/>
        </w:rPr>
        <w:t>.</w:t>
      </w:r>
    </w:p>
    <w:p w:rsidR="007E12DD" w:rsidRPr="003E7C50" w:rsidRDefault="003C639E" w:rsidP="00B020B3">
      <w:pPr>
        <w:pStyle w:val="BodyText"/>
        <w:widowControl/>
        <w:numPr>
          <w:ilvl w:val="0"/>
          <w:numId w:val="9"/>
        </w:numPr>
        <w:snapToGrid w:val="0"/>
        <w:ind w:left="1077" w:hanging="357"/>
        <w:jc w:val="both"/>
        <w:rPr>
          <w:rFonts w:cstheme="minorHAnsi"/>
          <w:iCs/>
          <w:sz w:val="24"/>
          <w:szCs w:val="24"/>
        </w:rPr>
      </w:pPr>
      <w:r w:rsidRPr="003E7C50">
        <w:rPr>
          <w:rFonts w:cstheme="minorHAnsi"/>
          <w:iCs/>
          <w:sz w:val="24"/>
          <w:szCs w:val="24"/>
        </w:rPr>
        <w:t>T</w:t>
      </w:r>
      <w:r w:rsidR="007E12DD" w:rsidRPr="003E7C50">
        <w:rPr>
          <w:rFonts w:cstheme="minorHAnsi"/>
          <w:iCs/>
          <w:sz w:val="24"/>
          <w:szCs w:val="24"/>
        </w:rPr>
        <w:t xml:space="preserve">he effect of </w:t>
      </w:r>
      <w:proofErr w:type="spellStart"/>
      <w:r w:rsidR="007E12DD" w:rsidRPr="003E7C50">
        <w:rPr>
          <w:rFonts w:cstheme="minorHAnsi"/>
          <w:iCs/>
          <w:sz w:val="24"/>
          <w:szCs w:val="24"/>
        </w:rPr>
        <w:t>palbociclib</w:t>
      </w:r>
      <w:proofErr w:type="spellEnd"/>
      <w:r w:rsidR="007E12DD" w:rsidRPr="003E7C50">
        <w:rPr>
          <w:rFonts w:cstheme="minorHAnsi"/>
          <w:iCs/>
          <w:sz w:val="24"/>
          <w:szCs w:val="24"/>
        </w:rPr>
        <w:t xml:space="preserve"> on overall survival </w:t>
      </w:r>
      <w:r w:rsidR="00B7550B" w:rsidRPr="003E7C50">
        <w:rPr>
          <w:rFonts w:cstheme="minorHAnsi"/>
          <w:iCs/>
          <w:sz w:val="24"/>
          <w:szCs w:val="24"/>
        </w:rPr>
        <w:t xml:space="preserve">(OS) </w:t>
      </w:r>
      <w:r w:rsidR="007E12DD" w:rsidRPr="003E7C50">
        <w:rPr>
          <w:rFonts w:cstheme="minorHAnsi"/>
          <w:iCs/>
          <w:sz w:val="24"/>
          <w:szCs w:val="24"/>
        </w:rPr>
        <w:t>is uncertain</w:t>
      </w:r>
      <w:r w:rsidRPr="003E7C50">
        <w:rPr>
          <w:rFonts w:cstheme="minorHAnsi"/>
          <w:iCs/>
          <w:sz w:val="24"/>
          <w:szCs w:val="24"/>
        </w:rPr>
        <w:t>.</w:t>
      </w:r>
    </w:p>
    <w:p w:rsidR="007E12DD" w:rsidRPr="003E7C50" w:rsidRDefault="003C639E" w:rsidP="00B020B3">
      <w:pPr>
        <w:pStyle w:val="BodyText"/>
        <w:widowControl/>
        <w:numPr>
          <w:ilvl w:val="0"/>
          <w:numId w:val="9"/>
        </w:numPr>
        <w:snapToGrid w:val="0"/>
        <w:ind w:left="1077" w:hanging="357"/>
        <w:jc w:val="both"/>
        <w:rPr>
          <w:rFonts w:cstheme="minorHAnsi"/>
          <w:iCs/>
          <w:sz w:val="24"/>
          <w:szCs w:val="24"/>
        </w:rPr>
      </w:pPr>
      <w:proofErr w:type="spellStart"/>
      <w:r w:rsidRPr="003E7C50">
        <w:rPr>
          <w:rFonts w:cstheme="minorHAnsi"/>
          <w:iCs/>
          <w:sz w:val="24"/>
          <w:szCs w:val="24"/>
        </w:rPr>
        <w:t>P</w:t>
      </w:r>
      <w:r w:rsidR="007E12DD" w:rsidRPr="003E7C50">
        <w:rPr>
          <w:rFonts w:cstheme="minorHAnsi"/>
          <w:iCs/>
          <w:sz w:val="24"/>
          <w:szCs w:val="24"/>
        </w:rPr>
        <w:t>albociclib</w:t>
      </w:r>
      <w:proofErr w:type="spellEnd"/>
      <w:r w:rsidR="007E12DD" w:rsidRPr="003E7C50">
        <w:rPr>
          <w:rFonts w:cstheme="minorHAnsi"/>
          <w:iCs/>
          <w:sz w:val="24"/>
          <w:szCs w:val="24"/>
        </w:rPr>
        <w:t xml:space="preserve"> is associated with high and uncertain cost-effectiveness</w:t>
      </w:r>
      <w:r w:rsidRPr="003E7C50">
        <w:rPr>
          <w:rFonts w:cstheme="minorHAnsi"/>
          <w:iCs/>
          <w:sz w:val="24"/>
          <w:szCs w:val="24"/>
        </w:rPr>
        <w:t>.</w:t>
      </w:r>
    </w:p>
    <w:p w:rsidR="0064065F" w:rsidRPr="003E7C50" w:rsidRDefault="003C639E" w:rsidP="00B020B3">
      <w:pPr>
        <w:pStyle w:val="BodyText"/>
        <w:widowControl/>
        <w:numPr>
          <w:ilvl w:val="0"/>
          <w:numId w:val="9"/>
        </w:numPr>
        <w:snapToGrid w:val="0"/>
        <w:ind w:left="1077" w:hanging="357"/>
        <w:jc w:val="both"/>
        <w:rPr>
          <w:iCs/>
        </w:rPr>
      </w:pPr>
      <w:r w:rsidRPr="003E7C50">
        <w:rPr>
          <w:rFonts w:cstheme="minorHAnsi"/>
          <w:iCs/>
          <w:sz w:val="24"/>
          <w:szCs w:val="24"/>
        </w:rPr>
        <w:t>T</w:t>
      </w:r>
      <w:r w:rsidR="007E12DD" w:rsidRPr="003E7C50">
        <w:rPr>
          <w:rFonts w:cstheme="minorHAnsi"/>
          <w:iCs/>
          <w:sz w:val="24"/>
          <w:szCs w:val="24"/>
        </w:rPr>
        <w:t xml:space="preserve">he likely net cost of listing </w:t>
      </w:r>
      <w:proofErr w:type="spellStart"/>
      <w:r w:rsidR="007E12DD" w:rsidRPr="003E7C50">
        <w:rPr>
          <w:rFonts w:cstheme="minorHAnsi"/>
          <w:iCs/>
          <w:sz w:val="24"/>
          <w:szCs w:val="24"/>
        </w:rPr>
        <w:t>palbociclib</w:t>
      </w:r>
      <w:proofErr w:type="spellEnd"/>
      <w:r w:rsidR="007E12DD" w:rsidRPr="003E7C50">
        <w:rPr>
          <w:rFonts w:cstheme="minorHAnsi"/>
          <w:iCs/>
          <w:sz w:val="24"/>
          <w:szCs w:val="24"/>
        </w:rPr>
        <w:t xml:space="preserve"> to the PBS would be $50-$75 million in the first year and more than $100 million per year in the subsequent four years, and as such, there would be a significant opportunity cost to the Commonwealth.</w:t>
      </w:r>
    </w:p>
    <w:p w:rsidR="00C317F3" w:rsidRPr="003E7C50" w:rsidRDefault="00C317F3" w:rsidP="003C639E">
      <w:pPr>
        <w:pStyle w:val="Heading1"/>
        <w:numPr>
          <w:ilvl w:val="0"/>
          <w:numId w:val="1"/>
        </w:numPr>
        <w:ind w:left="709" w:hanging="709"/>
      </w:pPr>
      <w:bookmarkStart w:id="6" w:name="_Toc482023180"/>
      <w:r w:rsidRPr="003E7C50">
        <w:t>Population and disease</w:t>
      </w:r>
      <w:bookmarkEnd w:id="6"/>
    </w:p>
    <w:p w:rsidR="009D4B52" w:rsidRPr="003E7C50" w:rsidRDefault="009D4B52" w:rsidP="009D4B52">
      <w:pPr>
        <w:pStyle w:val="ListParagraph"/>
        <w:numPr>
          <w:ilvl w:val="0"/>
          <w:numId w:val="3"/>
        </w:numPr>
        <w:spacing w:before="200"/>
        <w:jc w:val="left"/>
        <w:rPr>
          <w:rFonts w:ascii="Arial" w:eastAsia="Times New Roman" w:hAnsi="Arial" w:cs="Arial"/>
          <w:b/>
          <w:snapToGrid w:val="0"/>
          <w:vanish/>
          <w:sz w:val="22"/>
          <w:szCs w:val="22"/>
        </w:rPr>
      </w:pPr>
    </w:p>
    <w:p w:rsidR="006A0DB5" w:rsidRPr="003E7C50" w:rsidRDefault="00975DD1" w:rsidP="00062FE3">
      <w:pPr>
        <w:pStyle w:val="ListParagraph"/>
      </w:pPr>
      <w:r w:rsidRPr="003E7C50">
        <w:t>Breast cancer is among the most commonly diagnosed cancer</w:t>
      </w:r>
      <w:r w:rsidR="00E14C37" w:rsidRPr="003E7C50">
        <w:t>s</w:t>
      </w:r>
      <w:r w:rsidRPr="003E7C50">
        <w:t xml:space="preserve"> in Australia.</w:t>
      </w:r>
      <w:r w:rsidR="00AC4BF6" w:rsidRPr="003E7C50">
        <w:t xml:space="preserve"> The most common form of </w:t>
      </w:r>
      <w:r w:rsidRPr="003E7C50">
        <w:t>breast cancer is the HR+/HER</w:t>
      </w:r>
      <w:r w:rsidR="005F72F9" w:rsidRPr="003E7C50">
        <w:t>2</w:t>
      </w:r>
      <w:r w:rsidRPr="003E7C50">
        <w:t>- molecular subtype</w:t>
      </w:r>
      <w:r w:rsidR="00D275C0" w:rsidRPr="003E7C50">
        <w:t>,</w:t>
      </w:r>
      <w:r w:rsidR="006A0DB5" w:rsidRPr="003E7C50">
        <w:t xml:space="preserve"> which </w:t>
      </w:r>
      <w:r w:rsidR="00D275C0" w:rsidRPr="003E7C50">
        <w:t xml:space="preserve">is </w:t>
      </w:r>
      <w:r w:rsidR="006A0DB5" w:rsidRPr="003E7C50">
        <w:t>associated with favourable prognosis due to its responsiveness to hormonal/endocrine therapy. However</w:t>
      </w:r>
      <w:r w:rsidR="00E5432D" w:rsidRPr="003E7C50">
        <w:t>,</w:t>
      </w:r>
      <w:r w:rsidR="006A0DB5" w:rsidRPr="003E7C50">
        <w:t xml:space="preserve"> </w:t>
      </w:r>
      <w:r w:rsidR="0003199C" w:rsidRPr="003E7C50">
        <w:t xml:space="preserve">the submission claimed that </w:t>
      </w:r>
      <w:r w:rsidR="006A0DB5" w:rsidRPr="003E7C50">
        <w:t xml:space="preserve">development of endocrine resistance is </w:t>
      </w:r>
      <w:r w:rsidR="00406E36" w:rsidRPr="003E7C50">
        <w:t>limiting the efficacy of</w:t>
      </w:r>
      <w:r w:rsidR="006A0DB5" w:rsidRPr="003E7C50">
        <w:t xml:space="preserve"> current therapies</w:t>
      </w:r>
      <w:r w:rsidR="00D275C0" w:rsidRPr="003E7C50">
        <w:t>,</w:t>
      </w:r>
      <w:r w:rsidR="006A0DB5" w:rsidRPr="003E7C50">
        <w:t xml:space="preserve"> which eventually </w:t>
      </w:r>
      <w:r w:rsidR="00AC4BF6" w:rsidRPr="003E7C50">
        <w:t>leads to</w:t>
      </w:r>
      <w:r w:rsidR="007F1351" w:rsidRPr="003E7C50">
        <w:t xml:space="preserve"> disease progression.</w:t>
      </w:r>
      <w:r w:rsidR="00062FE3" w:rsidRPr="003E7C50">
        <w:t xml:space="preserve"> The ESC considered that a number of effective and well-tolerated second-line therapies (including oral treatments) are currently available on the PBS for patients who progress after first-line endocrine-based therapy.</w:t>
      </w:r>
    </w:p>
    <w:p w:rsidR="00DD53F8" w:rsidRPr="003E7C50" w:rsidRDefault="0090194E" w:rsidP="00316E09">
      <w:pPr>
        <w:pStyle w:val="ListParagraph"/>
        <w:rPr>
          <w:i/>
        </w:rPr>
      </w:pPr>
      <w:r w:rsidRPr="003E7C50">
        <w:t>T</w:t>
      </w:r>
      <w:r w:rsidR="00DD53F8" w:rsidRPr="003E7C50">
        <w:t xml:space="preserve">he submission proposed the addition of </w:t>
      </w:r>
      <w:proofErr w:type="spellStart"/>
      <w:r w:rsidR="00DD53F8" w:rsidRPr="003E7C50">
        <w:t>ribociclib</w:t>
      </w:r>
      <w:proofErr w:type="spellEnd"/>
      <w:r w:rsidR="00C60F3E" w:rsidRPr="003E7C50">
        <w:t>,</w:t>
      </w:r>
      <w:r w:rsidR="00530BC5" w:rsidRPr="003E7C50">
        <w:t xml:space="preserve"> a CDK 4/6 inhibitor,</w:t>
      </w:r>
      <w:r w:rsidR="00C60F3E" w:rsidRPr="003E7C50">
        <w:t xml:space="preserve"> in combination with </w:t>
      </w:r>
      <w:proofErr w:type="spellStart"/>
      <w:r w:rsidR="00C60F3E" w:rsidRPr="003E7C50">
        <w:t>letrozole</w:t>
      </w:r>
      <w:proofErr w:type="spellEnd"/>
      <w:r w:rsidR="00C60F3E" w:rsidRPr="003E7C50">
        <w:t>,</w:t>
      </w:r>
      <w:r w:rsidR="00DD53F8" w:rsidRPr="003E7C50">
        <w:t xml:space="preserve"> </w:t>
      </w:r>
      <w:r w:rsidR="00F14A1E" w:rsidRPr="003E7C50">
        <w:t xml:space="preserve">for the treatment of </w:t>
      </w:r>
      <w:r w:rsidR="00AE6BD7" w:rsidRPr="003E7C50">
        <w:t>non-pre</w:t>
      </w:r>
      <w:r w:rsidR="00DD53F8" w:rsidRPr="003E7C50">
        <w:t xml:space="preserve">menopausal, HR+ and HER2-, </w:t>
      </w:r>
      <w:r w:rsidR="00B92874" w:rsidRPr="003E7C50">
        <w:t>ABC</w:t>
      </w:r>
      <w:r w:rsidR="00DD53F8" w:rsidRPr="003E7C50">
        <w:t xml:space="preserve"> </w:t>
      </w:r>
      <w:r w:rsidR="00406E36" w:rsidRPr="003E7C50">
        <w:t>patients</w:t>
      </w:r>
      <w:r w:rsidR="00DD53F8" w:rsidRPr="003E7C50">
        <w:t xml:space="preserve"> </w:t>
      </w:r>
      <w:r w:rsidR="00F14A1E" w:rsidRPr="003E7C50">
        <w:t xml:space="preserve">currently </w:t>
      </w:r>
      <w:r w:rsidR="00DD53F8" w:rsidRPr="003E7C50">
        <w:t xml:space="preserve">treated with </w:t>
      </w:r>
      <w:r w:rsidR="0003199C" w:rsidRPr="003E7C50">
        <w:t>a</w:t>
      </w:r>
      <w:r w:rsidR="00EE39F1" w:rsidRPr="003E7C50">
        <w:t>n</w:t>
      </w:r>
      <w:r w:rsidR="0003199C" w:rsidRPr="003E7C50">
        <w:t xml:space="preserve"> </w:t>
      </w:r>
      <w:r w:rsidR="00DD53F8" w:rsidRPr="003E7C50">
        <w:t xml:space="preserve">NSAI as first-line endocrine-based therapy. </w:t>
      </w:r>
      <w:r w:rsidR="00C60F3E" w:rsidRPr="003E7C50">
        <w:t xml:space="preserve">While </w:t>
      </w:r>
      <w:proofErr w:type="spellStart"/>
      <w:r w:rsidR="00C60F3E" w:rsidRPr="003E7C50">
        <w:t>palbociclib</w:t>
      </w:r>
      <w:proofErr w:type="spellEnd"/>
      <w:r w:rsidR="00C60F3E" w:rsidRPr="003E7C50">
        <w:t xml:space="preserve"> was proposed for listing in combination with any NSAI, t</w:t>
      </w:r>
      <w:r w:rsidR="001C4899" w:rsidRPr="003E7C50">
        <w:t xml:space="preserve">he </w:t>
      </w:r>
      <w:r w:rsidR="002A53EF" w:rsidRPr="003E7C50">
        <w:t>clinical evidence</w:t>
      </w:r>
      <w:r w:rsidR="00EE39F1" w:rsidRPr="003E7C50">
        <w:t xml:space="preserve"> presented in this</w:t>
      </w:r>
      <w:r w:rsidR="001C4899" w:rsidRPr="003E7C50">
        <w:t xml:space="preserve"> submission</w:t>
      </w:r>
      <w:r w:rsidR="002A53EF" w:rsidRPr="003E7C50">
        <w:t xml:space="preserve"> and </w:t>
      </w:r>
      <w:r w:rsidR="00EE39F1" w:rsidRPr="003E7C50">
        <w:t xml:space="preserve">the </w:t>
      </w:r>
      <w:r w:rsidR="002A53EF" w:rsidRPr="003E7C50">
        <w:t>requested PBS restriction are specific to a particular NSAI (</w:t>
      </w:r>
      <w:proofErr w:type="spellStart"/>
      <w:r w:rsidR="002A53EF" w:rsidRPr="003E7C50">
        <w:t>letrozole</w:t>
      </w:r>
      <w:proofErr w:type="spellEnd"/>
      <w:r w:rsidR="002A53EF" w:rsidRPr="003E7C50">
        <w:t>).</w:t>
      </w:r>
      <w:r w:rsidR="00C60F3E" w:rsidRPr="003E7C50">
        <w:t xml:space="preserve"> The sponsor of </w:t>
      </w:r>
      <w:proofErr w:type="spellStart"/>
      <w:r w:rsidR="00C60F3E" w:rsidRPr="003E7C50">
        <w:t>ribociclib</w:t>
      </w:r>
      <w:proofErr w:type="spellEnd"/>
      <w:r w:rsidR="00C60F3E" w:rsidRPr="003E7C50">
        <w:t xml:space="preserve"> is also the sponsor of a brand of </w:t>
      </w:r>
      <w:proofErr w:type="spellStart"/>
      <w:r w:rsidR="00C60F3E" w:rsidRPr="003E7C50">
        <w:t>letrozole</w:t>
      </w:r>
      <w:proofErr w:type="spellEnd"/>
      <w:r w:rsidR="00C60F3E" w:rsidRPr="003E7C50">
        <w:t xml:space="preserve"> listed on the PBS (</w:t>
      </w:r>
      <w:proofErr w:type="spellStart"/>
      <w:r w:rsidR="00C60F3E" w:rsidRPr="003E7C50">
        <w:t>Femara</w:t>
      </w:r>
      <w:proofErr w:type="spellEnd"/>
      <w:r w:rsidR="00C60F3E" w:rsidRPr="003E7C50">
        <w:t xml:space="preserve">®) but </w:t>
      </w:r>
      <w:r w:rsidR="009305A5" w:rsidRPr="003E7C50">
        <w:t>is</w:t>
      </w:r>
      <w:r w:rsidR="00C60F3E" w:rsidRPr="003E7C50">
        <w:t xml:space="preserve"> not </w:t>
      </w:r>
      <w:r w:rsidR="009305A5" w:rsidRPr="003E7C50">
        <w:t xml:space="preserve">the </w:t>
      </w:r>
      <w:r w:rsidR="00C60F3E" w:rsidRPr="003E7C50">
        <w:t xml:space="preserve">sponsor </w:t>
      </w:r>
      <w:r w:rsidR="009305A5" w:rsidRPr="003E7C50">
        <w:t xml:space="preserve">of </w:t>
      </w:r>
      <w:r w:rsidR="00C60F3E" w:rsidRPr="003E7C50">
        <w:t xml:space="preserve">any of the PBS-listed brands of </w:t>
      </w:r>
      <w:proofErr w:type="spellStart"/>
      <w:r w:rsidR="00C60F3E" w:rsidRPr="003E7C50">
        <w:t>anastrozole</w:t>
      </w:r>
      <w:proofErr w:type="spellEnd"/>
      <w:r w:rsidR="00C60F3E" w:rsidRPr="003E7C50">
        <w:t>.</w:t>
      </w:r>
      <w:r w:rsidR="00886765" w:rsidRPr="003E7C50">
        <w:t xml:space="preserve"> The PSCR</w:t>
      </w:r>
      <w:r w:rsidR="00A5204C" w:rsidRPr="003E7C50">
        <w:t xml:space="preserve"> (p.3) </w:t>
      </w:r>
      <w:r w:rsidR="00886765" w:rsidRPr="003E7C50">
        <w:t xml:space="preserve">agreed that the </w:t>
      </w:r>
      <w:r w:rsidR="0003199C" w:rsidRPr="003E7C50">
        <w:t xml:space="preserve">proposed </w:t>
      </w:r>
      <w:r w:rsidR="00886765" w:rsidRPr="003E7C50">
        <w:t xml:space="preserve">restriction should be broadened to include all </w:t>
      </w:r>
      <w:r w:rsidR="00AB3600" w:rsidRPr="003E7C50">
        <w:t>NSAIs.</w:t>
      </w:r>
      <w:r w:rsidR="00A5204C" w:rsidRPr="003E7C50">
        <w:t xml:space="preserve"> </w:t>
      </w:r>
      <w:r w:rsidR="0003199C" w:rsidRPr="003E7C50">
        <w:t xml:space="preserve">The ESC considered that, on balance in clinical practice, it would be reasonable to expect that </w:t>
      </w:r>
      <w:proofErr w:type="spellStart"/>
      <w:r w:rsidR="0003199C" w:rsidRPr="003E7C50">
        <w:t>letrozole</w:t>
      </w:r>
      <w:proofErr w:type="spellEnd"/>
      <w:r w:rsidR="0003199C" w:rsidRPr="003E7C50">
        <w:t xml:space="preserve"> or </w:t>
      </w:r>
      <w:proofErr w:type="spellStart"/>
      <w:r w:rsidR="0003199C" w:rsidRPr="003E7C50">
        <w:t>anastrozole</w:t>
      </w:r>
      <w:proofErr w:type="spellEnd"/>
      <w:r w:rsidR="0003199C" w:rsidRPr="003E7C50">
        <w:t xml:space="preserve"> would provide a similar benefit in combination with </w:t>
      </w:r>
      <w:proofErr w:type="spellStart"/>
      <w:r w:rsidR="0003199C" w:rsidRPr="003E7C50">
        <w:t>ribociclib</w:t>
      </w:r>
      <w:proofErr w:type="spellEnd"/>
      <w:r w:rsidR="0003199C" w:rsidRPr="003E7C50">
        <w:t xml:space="preserve">. The therapeutic relativity sheets state that </w:t>
      </w:r>
      <w:proofErr w:type="spellStart"/>
      <w:r w:rsidR="0003199C" w:rsidRPr="003E7C50">
        <w:t>anastrozole</w:t>
      </w:r>
      <w:proofErr w:type="spellEnd"/>
      <w:r w:rsidR="0003199C" w:rsidRPr="003E7C50">
        <w:t xml:space="preserve">, for the treatment of </w:t>
      </w:r>
      <w:r w:rsidR="00B7550B" w:rsidRPr="003E7C50">
        <w:t>ABC</w:t>
      </w:r>
      <w:r w:rsidR="0003199C" w:rsidRPr="003E7C50">
        <w:t xml:space="preserve"> in post-menopausal women, was recommended on a cost minimisation basis compared </w:t>
      </w:r>
      <w:r w:rsidR="006D300D" w:rsidRPr="003E7C50">
        <w:t>with</w:t>
      </w:r>
      <w:r w:rsidR="0003199C" w:rsidRPr="003E7C50">
        <w:t xml:space="preserve"> </w:t>
      </w:r>
      <w:proofErr w:type="spellStart"/>
      <w:r w:rsidR="0003199C" w:rsidRPr="003E7C50">
        <w:t>letrozole</w:t>
      </w:r>
      <w:proofErr w:type="spellEnd"/>
      <w:r w:rsidR="0003199C" w:rsidRPr="003E7C50">
        <w:t>.</w:t>
      </w:r>
    </w:p>
    <w:p w:rsidR="00640732" w:rsidRPr="003E7C50" w:rsidRDefault="00640732" w:rsidP="00640732">
      <w:pPr>
        <w:ind w:firstLine="709"/>
      </w:pPr>
      <w:r w:rsidRPr="003E7C50">
        <w:rPr>
          <w:rFonts w:ascii="Calibri" w:eastAsia="Times New Roman" w:hAnsi="Calibri" w:cs="Times New Roman"/>
          <w:i/>
        </w:rPr>
        <w:t>For more detail on PBAC’s view, see section 7 “PBAC outcome.”</w:t>
      </w:r>
    </w:p>
    <w:p w:rsidR="00C317F3" w:rsidRPr="003E7C50" w:rsidRDefault="00C317F3" w:rsidP="003C639E">
      <w:pPr>
        <w:pStyle w:val="Heading1"/>
        <w:numPr>
          <w:ilvl w:val="0"/>
          <w:numId w:val="1"/>
        </w:numPr>
        <w:ind w:left="709" w:hanging="709"/>
      </w:pPr>
      <w:bookmarkStart w:id="7" w:name="_Toc413139275"/>
      <w:bookmarkStart w:id="8" w:name="_Toc482023181"/>
      <w:r w:rsidRPr="003E7C50">
        <w:lastRenderedPageBreak/>
        <w:t>Comparator</w:t>
      </w:r>
      <w:bookmarkEnd w:id="7"/>
      <w:bookmarkEnd w:id="8"/>
    </w:p>
    <w:p w:rsidR="00813521" w:rsidRPr="003E7C50" w:rsidRDefault="00813521" w:rsidP="00813521">
      <w:pPr>
        <w:pStyle w:val="ListParagraph"/>
        <w:numPr>
          <w:ilvl w:val="0"/>
          <w:numId w:val="3"/>
        </w:numPr>
        <w:spacing w:before="200"/>
        <w:jc w:val="left"/>
        <w:rPr>
          <w:rFonts w:ascii="Arial" w:eastAsia="Times New Roman" w:hAnsi="Arial" w:cs="Arial"/>
          <w:b/>
          <w:snapToGrid w:val="0"/>
          <w:vanish/>
          <w:sz w:val="22"/>
          <w:szCs w:val="22"/>
        </w:rPr>
      </w:pPr>
    </w:p>
    <w:p w:rsidR="00A337B7" w:rsidRPr="003E7C50" w:rsidRDefault="00AC4BF6" w:rsidP="00813521">
      <w:pPr>
        <w:pStyle w:val="ListParagraph"/>
      </w:pPr>
      <w:r w:rsidRPr="003E7C50">
        <w:t>The submission propose</w:t>
      </w:r>
      <w:r w:rsidR="00B976D6" w:rsidRPr="003E7C50">
        <w:t>d</w:t>
      </w:r>
      <w:r w:rsidRPr="003E7C50">
        <w:t xml:space="preserve"> </w:t>
      </w:r>
      <w:proofErr w:type="spellStart"/>
      <w:r w:rsidRPr="003E7C50">
        <w:t>letrozole</w:t>
      </w:r>
      <w:proofErr w:type="spellEnd"/>
      <w:r w:rsidR="008158D4" w:rsidRPr="003E7C50">
        <w:t xml:space="preserve"> </w:t>
      </w:r>
      <w:r w:rsidR="00E14C37" w:rsidRPr="003E7C50">
        <w:t>alone</w:t>
      </w:r>
      <w:r w:rsidRPr="003E7C50">
        <w:t xml:space="preserve"> to be the main comparator</w:t>
      </w:r>
      <w:r w:rsidR="008158D4" w:rsidRPr="003E7C50">
        <w:t xml:space="preserve"> for </w:t>
      </w:r>
      <w:proofErr w:type="spellStart"/>
      <w:r w:rsidR="008158D4" w:rsidRPr="003E7C50">
        <w:t>ribociclib</w:t>
      </w:r>
      <w:proofErr w:type="spellEnd"/>
      <w:r w:rsidR="008158D4" w:rsidRPr="003E7C50">
        <w:t xml:space="preserve"> </w:t>
      </w:r>
      <w:r w:rsidR="008B52C8" w:rsidRPr="003E7C50">
        <w:t>+</w:t>
      </w:r>
      <w:r w:rsidR="008158D4" w:rsidRPr="003E7C50">
        <w:t xml:space="preserve"> </w:t>
      </w:r>
      <w:proofErr w:type="spellStart"/>
      <w:r w:rsidR="008158D4" w:rsidRPr="003E7C50">
        <w:t>letrozole</w:t>
      </w:r>
      <w:proofErr w:type="spellEnd"/>
      <w:r w:rsidR="00BA49FA" w:rsidRPr="003E7C50">
        <w:t xml:space="preserve"> on the basis that </w:t>
      </w:r>
      <w:proofErr w:type="spellStart"/>
      <w:r w:rsidR="00BA49FA" w:rsidRPr="003E7C50">
        <w:t>letrozole</w:t>
      </w:r>
      <w:proofErr w:type="spellEnd"/>
      <w:r w:rsidR="00BA49FA" w:rsidRPr="003E7C50">
        <w:t xml:space="preserve"> is the most commonly prescribed first line therapy for HR+, HER2- ABC. </w:t>
      </w:r>
      <w:r w:rsidR="00F23B31" w:rsidRPr="003E7C50">
        <w:t>The ESC considered this was</w:t>
      </w:r>
      <w:r w:rsidR="00EB5492" w:rsidRPr="003E7C50">
        <w:t xml:space="preserve"> </w:t>
      </w:r>
      <w:r w:rsidR="00F23B31" w:rsidRPr="003E7C50">
        <w:t>appropriate</w:t>
      </w:r>
      <w:r w:rsidR="00BA49FA" w:rsidRPr="003E7C50">
        <w:t>.</w:t>
      </w:r>
      <w:r w:rsidR="0077664A" w:rsidRPr="003E7C50">
        <w:t xml:space="preserve"> </w:t>
      </w:r>
    </w:p>
    <w:p w:rsidR="00AC4BF6" w:rsidRPr="003E7C50" w:rsidRDefault="00EB5492" w:rsidP="00316E09">
      <w:pPr>
        <w:pStyle w:val="ListParagraph"/>
      </w:pPr>
      <w:r w:rsidRPr="003E7C50">
        <w:t>The submission also nominate</w:t>
      </w:r>
      <w:r w:rsidR="00B976D6" w:rsidRPr="003E7C50">
        <w:t>d</w:t>
      </w:r>
      <w:r w:rsidRPr="003E7C50">
        <w:t xml:space="preserve"> </w:t>
      </w:r>
      <w:proofErr w:type="spellStart"/>
      <w:r w:rsidRPr="003E7C50">
        <w:t>palbociclib</w:t>
      </w:r>
      <w:proofErr w:type="spellEnd"/>
      <w:r w:rsidR="00F72743" w:rsidRPr="003E7C50">
        <w:t xml:space="preserve"> plus </w:t>
      </w:r>
      <w:proofErr w:type="spellStart"/>
      <w:r w:rsidR="00F72743" w:rsidRPr="003E7C50">
        <w:t>letrozole</w:t>
      </w:r>
      <w:proofErr w:type="spellEnd"/>
      <w:r w:rsidRPr="003E7C50">
        <w:t xml:space="preserve"> as a near market comparator </w:t>
      </w:r>
      <w:r w:rsidR="00D275C0" w:rsidRPr="003E7C50">
        <w:t xml:space="preserve">as it </w:t>
      </w:r>
      <w:r w:rsidRPr="003E7C50">
        <w:t xml:space="preserve">is of the same </w:t>
      </w:r>
      <w:r w:rsidR="007D6A45" w:rsidRPr="003E7C50">
        <w:t>therapeutic class</w:t>
      </w:r>
      <w:r w:rsidRPr="003E7C50">
        <w:t xml:space="preserve"> with similar indication. </w:t>
      </w:r>
      <w:r w:rsidR="00223894" w:rsidRPr="003E7C50">
        <w:t xml:space="preserve">The ESC considered that </w:t>
      </w:r>
      <w:proofErr w:type="spellStart"/>
      <w:r w:rsidR="00223894" w:rsidRPr="003E7C50">
        <w:t>palbociclib</w:t>
      </w:r>
      <w:proofErr w:type="spellEnd"/>
      <w:r w:rsidR="00223894" w:rsidRPr="003E7C50">
        <w:t xml:space="preserve"> was an appropriate near market comparator.</w:t>
      </w:r>
    </w:p>
    <w:p w:rsidR="00640732" w:rsidRPr="003E7C50" w:rsidRDefault="00640732" w:rsidP="00640732">
      <w:pPr>
        <w:pStyle w:val="ListParagraph"/>
        <w:numPr>
          <w:ilvl w:val="0"/>
          <w:numId w:val="0"/>
        </w:numPr>
        <w:ind w:left="720"/>
      </w:pPr>
      <w:r w:rsidRPr="003E7C50">
        <w:rPr>
          <w:rFonts w:ascii="Calibri" w:eastAsia="Times New Roman" w:hAnsi="Calibri" w:cs="Times New Roman"/>
          <w:i/>
        </w:rPr>
        <w:t>For more detail on PBAC’s view, see section 7 “PBAC outcome.”</w:t>
      </w:r>
    </w:p>
    <w:p w:rsidR="00B8056F" w:rsidRPr="003E7C50" w:rsidRDefault="00B8056F" w:rsidP="00B8056F">
      <w:pPr>
        <w:pStyle w:val="Heading1"/>
        <w:numPr>
          <w:ilvl w:val="0"/>
          <w:numId w:val="1"/>
        </w:numPr>
        <w:ind w:left="709" w:hanging="709"/>
      </w:pPr>
      <w:bookmarkStart w:id="9" w:name="_Toc482023182"/>
      <w:bookmarkStart w:id="10" w:name="_Toc413139276"/>
      <w:r w:rsidRPr="003E7C50">
        <w:t>Consideration of evidence</w:t>
      </w:r>
    </w:p>
    <w:p w:rsidR="00B8056F" w:rsidRPr="003E7C50" w:rsidRDefault="00B8056F" w:rsidP="00B8056F">
      <w:pPr>
        <w:pStyle w:val="ListParagraph"/>
        <w:numPr>
          <w:ilvl w:val="0"/>
          <w:numId w:val="3"/>
        </w:numPr>
        <w:spacing w:before="200"/>
        <w:jc w:val="left"/>
        <w:rPr>
          <w:rFonts w:ascii="Arial" w:eastAsia="Times New Roman" w:hAnsi="Arial" w:cs="Arial"/>
          <w:b/>
          <w:snapToGrid w:val="0"/>
          <w:vanish/>
          <w:sz w:val="22"/>
          <w:szCs w:val="22"/>
        </w:rPr>
      </w:pPr>
    </w:p>
    <w:p w:rsidR="00A26529" w:rsidRPr="003E7C50" w:rsidRDefault="00640732" w:rsidP="00B661F0">
      <w:pPr>
        <w:pStyle w:val="Heading2"/>
      </w:pPr>
      <w:bookmarkStart w:id="11" w:name="_Toc482023183"/>
      <w:bookmarkEnd w:id="9"/>
      <w:r w:rsidRPr="003E7C50">
        <w:t>Sponsor hearing</w:t>
      </w:r>
    </w:p>
    <w:p w:rsidR="00640732" w:rsidRPr="003E7C50" w:rsidRDefault="00640732" w:rsidP="00B8056F">
      <w:pPr>
        <w:pStyle w:val="ListParagraph"/>
        <w:rPr>
          <w:rFonts w:cs="Arial"/>
          <w:bCs/>
          <w:snapToGrid w:val="0"/>
        </w:rPr>
      </w:pPr>
      <w:r w:rsidRPr="003E7C50">
        <w:t xml:space="preserve">The sponsor requested a hearing for this item.  </w:t>
      </w:r>
      <w:r w:rsidR="00B8056F" w:rsidRPr="003E7C50">
        <w:t xml:space="preserve">At the hearing, a clinician discussed the natural history of the disease, reflected on patient experience to emphasize </w:t>
      </w:r>
      <w:proofErr w:type="spellStart"/>
      <w:r w:rsidR="00B8056F" w:rsidRPr="003E7C50">
        <w:t>ribociclib’s</w:t>
      </w:r>
      <w:proofErr w:type="spellEnd"/>
      <w:r w:rsidR="00B8056F" w:rsidRPr="003E7C50">
        <w:t xml:space="preserve"> efficacy in slowing disease progression, and addressed other matters in response to the Committee’s questions.  The PBAC considered that the hearing was informative as it provided a clinical perspective on </w:t>
      </w:r>
      <w:proofErr w:type="spellStart"/>
      <w:r w:rsidR="00B8056F" w:rsidRPr="003E7C50">
        <w:t>ribociclib’s</w:t>
      </w:r>
      <w:proofErr w:type="spellEnd"/>
      <w:r w:rsidR="00B8056F" w:rsidRPr="003E7C50">
        <w:t xml:space="preserve"> place in therapy.</w:t>
      </w:r>
    </w:p>
    <w:p w:rsidR="00640732" w:rsidRPr="003E7C50" w:rsidRDefault="00640732" w:rsidP="00650009">
      <w:pPr>
        <w:pStyle w:val="Heading2"/>
      </w:pPr>
      <w:r w:rsidRPr="003E7C50">
        <w:t>Consumer comments</w:t>
      </w:r>
    </w:p>
    <w:p w:rsidR="00A26529" w:rsidRPr="003E7C50" w:rsidRDefault="00A26529" w:rsidP="00C94E19">
      <w:pPr>
        <w:numPr>
          <w:ilvl w:val="1"/>
          <w:numId w:val="3"/>
        </w:numPr>
        <w:spacing w:before="0" w:after="120"/>
        <w:jc w:val="both"/>
        <w:rPr>
          <w:rFonts w:cs="Arial"/>
          <w:bCs/>
          <w:snapToGrid w:val="0"/>
          <w:szCs w:val="24"/>
        </w:rPr>
      </w:pPr>
      <w:r w:rsidRPr="003E7C50">
        <w:rPr>
          <w:rFonts w:cs="Arial"/>
          <w:bCs/>
          <w:snapToGrid w:val="0"/>
          <w:szCs w:val="24"/>
        </w:rPr>
        <w:t xml:space="preserve">The PBAC noted and welcomed the input from individuals (1), health care professionals (1) and organisations (2) via the Consumer Comments facility on the PBS website. </w:t>
      </w:r>
      <w:r w:rsidRPr="003E7C50">
        <w:rPr>
          <w:bCs/>
        </w:rPr>
        <w:t xml:space="preserve">The comments from individuals described a range of benefits of treatment with </w:t>
      </w:r>
      <w:proofErr w:type="spellStart"/>
      <w:r w:rsidR="005D1F96" w:rsidRPr="003E7C50">
        <w:rPr>
          <w:bCs/>
        </w:rPr>
        <w:t>ri</w:t>
      </w:r>
      <w:r w:rsidRPr="003E7C50">
        <w:rPr>
          <w:bCs/>
        </w:rPr>
        <w:t>bociclib</w:t>
      </w:r>
      <w:proofErr w:type="spellEnd"/>
      <w:r w:rsidRPr="003E7C50">
        <w:rPr>
          <w:bCs/>
        </w:rPr>
        <w:t xml:space="preserve"> including improved quality of life,</w:t>
      </w:r>
      <w:r w:rsidR="005D1F96" w:rsidRPr="003E7C50">
        <w:rPr>
          <w:bCs/>
        </w:rPr>
        <w:t xml:space="preserve"> manageable side effects, slower disease progression leading to </w:t>
      </w:r>
      <w:r w:rsidRPr="003E7C50">
        <w:rPr>
          <w:bCs/>
        </w:rPr>
        <w:t>delay</w:t>
      </w:r>
      <w:r w:rsidR="005D1F96" w:rsidRPr="003E7C50">
        <w:rPr>
          <w:bCs/>
        </w:rPr>
        <w:t xml:space="preserve"> in</w:t>
      </w:r>
      <w:r w:rsidRPr="003E7C50">
        <w:rPr>
          <w:bCs/>
        </w:rPr>
        <w:t xml:space="preserve"> chemotherapy, but also noted</w:t>
      </w:r>
      <w:r w:rsidR="009C4A8C" w:rsidRPr="003E7C50">
        <w:rPr>
          <w:bCs/>
        </w:rPr>
        <w:t xml:space="preserve"> its very high financial cost.</w:t>
      </w:r>
    </w:p>
    <w:p w:rsidR="001E3F37" w:rsidRDefault="00A26529" w:rsidP="007B5953">
      <w:pPr>
        <w:pStyle w:val="ListParagraph"/>
        <w:rPr>
          <w:snapToGrid w:val="0"/>
        </w:rPr>
      </w:pPr>
      <w:r w:rsidRPr="003E7C50">
        <w:rPr>
          <w:snapToGrid w:val="0"/>
        </w:rPr>
        <w:t xml:space="preserve">The Breast Cancer Network Australia </w:t>
      </w:r>
      <w:r w:rsidR="00105E24" w:rsidRPr="003E7C50">
        <w:rPr>
          <w:snapToGrid w:val="0"/>
        </w:rPr>
        <w:t xml:space="preserve">(BCNA) </w:t>
      </w:r>
      <w:r w:rsidR="005D1F96" w:rsidRPr="003E7C50">
        <w:rPr>
          <w:snapToGrid w:val="0"/>
        </w:rPr>
        <w:t>indicated</w:t>
      </w:r>
      <w:r w:rsidRPr="003E7C50">
        <w:rPr>
          <w:snapToGrid w:val="0"/>
        </w:rPr>
        <w:t xml:space="preserve"> that </w:t>
      </w:r>
      <w:r w:rsidR="00105E24" w:rsidRPr="003E7C50">
        <w:rPr>
          <w:snapToGrid w:val="0"/>
        </w:rPr>
        <w:t xml:space="preserve">the benefits of </w:t>
      </w:r>
      <w:proofErr w:type="spellStart"/>
      <w:r w:rsidR="00105E24" w:rsidRPr="003E7C50">
        <w:rPr>
          <w:snapToGrid w:val="0"/>
        </w:rPr>
        <w:t>ribociclib</w:t>
      </w:r>
      <w:proofErr w:type="spellEnd"/>
      <w:r w:rsidR="00105E24" w:rsidRPr="003E7C50">
        <w:rPr>
          <w:snapToGrid w:val="0"/>
        </w:rPr>
        <w:t xml:space="preserve"> treatment included the </w:t>
      </w:r>
      <w:r w:rsidRPr="003E7C50">
        <w:rPr>
          <w:snapToGrid w:val="0"/>
        </w:rPr>
        <w:t xml:space="preserve">convenience of oral therapy (particularly in rural areas), </w:t>
      </w:r>
      <w:r w:rsidR="005A52CF">
        <w:rPr>
          <w:snapToGrid w:val="0"/>
        </w:rPr>
        <w:t xml:space="preserve">a claim of </w:t>
      </w:r>
      <w:r w:rsidRPr="003E7C50">
        <w:rPr>
          <w:snapToGrid w:val="0"/>
        </w:rPr>
        <w:t xml:space="preserve">lower toxicity profile compared </w:t>
      </w:r>
      <w:r w:rsidR="00B020B3" w:rsidRPr="003E7C50">
        <w:rPr>
          <w:snapToGrid w:val="0"/>
        </w:rPr>
        <w:t>with</w:t>
      </w:r>
      <w:r w:rsidRPr="003E7C50">
        <w:rPr>
          <w:snapToGrid w:val="0"/>
        </w:rPr>
        <w:t xml:space="preserve"> chemotherapy, and</w:t>
      </w:r>
      <w:r w:rsidR="00105E24" w:rsidRPr="003E7C50">
        <w:rPr>
          <w:snapToGrid w:val="0"/>
        </w:rPr>
        <w:t xml:space="preserve"> </w:t>
      </w:r>
      <w:r w:rsidR="005D1F96" w:rsidRPr="003E7C50">
        <w:rPr>
          <w:snapToGrid w:val="0"/>
        </w:rPr>
        <w:t>slower disease progression</w:t>
      </w:r>
      <w:r w:rsidR="00105E24" w:rsidRPr="003E7C50">
        <w:rPr>
          <w:snapToGrid w:val="0"/>
        </w:rPr>
        <w:t>.</w:t>
      </w:r>
      <w:r w:rsidR="007B5953" w:rsidRPr="003E7C50">
        <w:rPr>
          <w:snapToGrid w:val="0"/>
        </w:rPr>
        <w:t xml:space="preserve"> The Medical</w:t>
      </w:r>
      <w:r w:rsidRPr="003E7C50">
        <w:rPr>
          <w:snapToGrid w:val="0"/>
        </w:rPr>
        <w:t xml:space="preserve"> Oncology Group of Australia (MOGA) also e</w:t>
      </w:r>
      <w:r w:rsidR="00105E24" w:rsidRPr="003E7C50">
        <w:rPr>
          <w:snapToGrid w:val="0"/>
        </w:rPr>
        <w:t xml:space="preserve">xpressed its support for the </w:t>
      </w:r>
      <w:proofErr w:type="spellStart"/>
      <w:r w:rsidR="00105E24" w:rsidRPr="003E7C50">
        <w:rPr>
          <w:snapToGrid w:val="0"/>
        </w:rPr>
        <w:t>ri</w:t>
      </w:r>
      <w:r w:rsidRPr="003E7C50">
        <w:rPr>
          <w:snapToGrid w:val="0"/>
        </w:rPr>
        <w:t>bociclib</w:t>
      </w:r>
      <w:proofErr w:type="spellEnd"/>
      <w:r w:rsidRPr="003E7C50">
        <w:rPr>
          <w:snapToGrid w:val="0"/>
        </w:rPr>
        <w:t xml:space="preserve"> submission, </w:t>
      </w:r>
      <w:r w:rsidR="0014527B" w:rsidRPr="003E7C50">
        <w:rPr>
          <w:snapToGrid w:val="0"/>
        </w:rPr>
        <w:t xml:space="preserve">on the basis of the PFS benefit, </w:t>
      </w:r>
      <w:r w:rsidR="005D1F96" w:rsidRPr="003E7C50">
        <w:rPr>
          <w:snapToGrid w:val="0"/>
        </w:rPr>
        <w:t>and considered that the</w:t>
      </w:r>
      <w:r w:rsidR="00105E24" w:rsidRPr="003E7C50">
        <w:rPr>
          <w:snapToGrid w:val="0"/>
        </w:rPr>
        <w:t xml:space="preserve"> patient population targeted in the MONALEESA-2 trial</w:t>
      </w:r>
      <w:r w:rsidR="005D1F96" w:rsidRPr="003E7C50">
        <w:rPr>
          <w:snapToGrid w:val="0"/>
        </w:rPr>
        <w:t xml:space="preserve"> was appropriate.</w:t>
      </w:r>
      <w:r w:rsidR="009B40C0" w:rsidRPr="003E7C50">
        <w:rPr>
          <w:snapToGrid w:val="0"/>
        </w:rPr>
        <w:t xml:space="preserve"> The correspondence from MOGA stated that the treatment regimen and toxicity profiles of </w:t>
      </w:r>
      <w:proofErr w:type="spellStart"/>
      <w:r w:rsidR="009B40C0" w:rsidRPr="003E7C50">
        <w:rPr>
          <w:snapToGrid w:val="0"/>
        </w:rPr>
        <w:t>ribociclib</w:t>
      </w:r>
      <w:proofErr w:type="spellEnd"/>
      <w:r w:rsidR="009B40C0" w:rsidRPr="003E7C50">
        <w:rPr>
          <w:snapToGrid w:val="0"/>
        </w:rPr>
        <w:t xml:space="preserve"> and </w:t>
      </w:r>
      <w:proofErr w:type="spellStart"/>
      <w:r w:rsidR="009B40C0" w:rsidRPr="003E7C50">
        <w:rPr>
          <w:snapToGrid w:val="0"/>
        </w:rPr>
        <w:t>palbociclib</w:t>
      </w:r>
      <w:proofErr w:type="spellEnd"/>
      <w:r w:rsidR="009B40C0" w:rsidRPr="003E7C50">
        <w:rPr>
          <w:snapToGrid w:val="0"/>
        </w:rPr>
        <w:t xml:space="preserve"> w</w:t>
      </w:r>
      <w:r w:rsidR="005A52CF">
        <w:rPr>
          <w:snapToGrid w:val="0"/>
        </w:rPr>
        <w:t>ere</w:t>
      </w:r>
      <w:r w:rsidR="009B40C0" w:rsidRPr="003E7C50">
        <w:rPr>
          <w:snapToGrid w:val="0"/>
        </w:rPr>
        <w:t xml:space="preserve"> very similar, </w:t>
      </w:r>
      <w:r w:rsidR="005A52CF">
        <w:rPr>
          <w:snapToGrid w:val="0"/>
        </w:rPr>
        <w:t xml:space="preserve">however </w:t>
      </w:r>
      <w:proofErr w:type="spellStart"/>
      <w:r w:rsidR="009B40C0" w:rsidRPr="003E7C50">
        <w:rPr>
          <w:snapToGrid w:val="0"/>
        </w:rPr>
        <w:t>abemaciclib</w:t>
      </w:r>
      <w:proofErr w:type="spellEnd"/>
      <w:r w:rsidR="009B40C0" w:rsidRPr="003E7C50">
        <w:rPr>
          <w:snapToGrid w:val="0"/>
        </w:rPr>
        <w:t xml:space="preserve">, a third CDK </w:t>
      </w:r>
      <w:r w:rsidR="005A52CF">
        <w:rPr>
          <w:snapToGrid w:val="0"/>
        </w:rPr>
        <w:t xml:space="preserve">4/6 </w:t>
      </w:r>
      <w:r w:rsidR="009B40C0" w:rsidRPr="003E7C50">
        <w:rPr>
          <w:snapToGrid w:val="0"/>
        </w:rPr>
        <w:t xml:space="preserve">inhibitor, </w:t>
      </w:r>
      <w:r w:rsidR="007F3910" w:rsidRPr="003E7C50">
        <w:rPr>
          <w:snapToGrid w:val="0"/>
        </w:rPr>
        <w:t xml:space="preserve">which is dosed </w:t>
      </w:r>
      <w:r w:rsidR="009B40C0" w:rsidRPr="003E7C50">
        <w:rPr>
          <w:snapToGrid w:val="0"/>
        </w:rPr>
        <w:t>continuous</w:t>
      </w:r>
      <w:r w:rsidR="007F3910" w:rsidRPr="003E7C50">
        <w:rPr>
          <w:snapToGrid w:val="0"/>
        </w:rPr>
        <w:t>ly</w:t>
      </w:r>
      <w:r w:rsidR="005A52CF">
        <w:rPr>
          <w:snapToGrid w:val="0"/>
        </w:rPr>
        <w:t>,</w:t>
      </w:r>
      <w:r w:rsidR="009B40C0" w:rsidRPr="003E7C50">
        <w:rPr>
          <w:snapToGrid w:val="0"/>
        </w:rPr>
        <w:t xml:space="preserve"> </w:t>
      </w:r>
      <w:r w:rsidR="007F3910" w:rsidRPr="003E7C50">
        <w:rPr>
          <w:snapToGrid w:val="0"/>
        </w:rPr>
        <w:t xml:space="preserve">may have a </w:t>
      </w:r>
      <w:r w:rsidR="009B40C0" w:rsidRPr="003E7C50">
        <w:rPr>
          <w:snapToGrid w:val="0"/>
        </w:rPr>
        <w:t>lower risk of treatment-associated neutropenia.</w:t>
      </w:r>
      <w:r w:rsidR="005D1F96" w:rsidRPr="003E7C50">
        <w:rPr>
          <w:snapToGrid w:val="0"/>
        </w:rPr>
        <w:t xml:space="preserve"> Both BCNA and MOGA </w:t>
      </w:r>
      <w:r w:rsidR="005A52CF">
        <w:rPr>
          <w:snapToGrid w:val="0"/>
        </w:rPr>
        <w:t xml:space="preserve">claimed </w:t>
      </w:r>
      <w:r w:rsidR="005D1F96" w:rsidRPr="003E7C50">
        <w:rPr>
          <w:snapToGrid w:val="0"/>
        </w:rPr>
        <w:t xml:space="preserve">that </w:t>
      </w:r>
      <w:proofErr w:type="spellStart"/>
      <w:r w:rsidR="005D1F96" w:rsidRPr="003E7C50">
        <w:rPr>
          <w:snapToGrid w:val="0"/>
        </w:rPr>
        <w:t>ribociclib</w:t>
      </w:r>
      <w:proofErr w:type="spellEnd"/>
      <w:r w:rsidR="005D1F96" w:rsidRPr="003E7C50">
        <w:rPr>
          <w:snapToGrid w:val="0"/>
        </w:rPr>
        <w:t xml:space="preserve"> treatment-related neutropenia did not carry the same clinical or economic cost implications as chemotherapy-related neutropenia, and wa</w:t>
      </w:r>
      <w:r w:rsidR="009C4A8C" w:rsidRPr="003E7C50">
        <w:rPr>
          <w:snapToGrid w:val="0"/>
        </w:rPr>
        <w:t>s manageable by dose reduction.</w:t>
      </w:r>
      <w:r w:rsidR="00105E24" w:rsidRPr="003E7C50">
        <w:rPr>
          <w:snapToGrid w:val="0"/>
        </w:rPr>
        <w:t xml:space="preserve"> </w:t>
      </w:r>
    </w:p>
    <w:p w:rsidR="000A0EA7" w:rsidRDefault="000A0EA7" w:rsidP="000A0EA7">
      <w:pPr>
        <w:pStyle w:val="PBACHeading1"/>
        <w:numPr>
          <w:ilvl w:val="0"/>
          <w:numId w:val="0"/>
        </w:numPr>
        <w:ind w:left="720" w:hanging="720"/>
      </w:pPr>
    </w:p>
    <w:p w:rsidR="000A0EA7" w:rsidRPr="003E7C50" w:rsidRDefault="000A0EA7" w:rsidP="000A0EA7">
      <w:pPr>
        <w:pStyle w:val="PBACHeading1"/>
        <w:numPr>
          <w:ilvl w:val="0"/>
          <w:numId w:val="0"/>
        </w:numPr>
        <w:ind w:left="720" w:hanging="720"/>
      </w:pPr>
    </w:p>
    <w:p w:rsidR="00640732" w:rsidRPr="00E82F4E" w:rsidRDefault="0014527B" w:rsidP="007B5953">
      <w:pPr>
        <w:pStyle w:val="ListParagraph"/>
        <w:rPr>
          <w:snapToGrid w:val="0"/>
        </w:rPr>
      </w:pPr>
      <w:r w:rsidRPr="003E7C50">
        <w:rPr>
          <w:snapToGrid w:val="0"/>
        </w:rPr>
        <w:lastRenderedPageBreak/>
        <w:t>The PBAC noted that the MOGA presented the E</w:t>
      </w:r>
      <w:r w:rsidRPr="003E7C50">
        <w:rPr>
          <w:rFonts w:cs="Arial"/>
          <w:bCs/>
          <w:snapToGrid w:val="0"/>
        </w:rPr>
        <w:t xml:space="preserve">uropean Society for Medical Oncology Magnitude of Clinical Benefit Scale (ESMO-MCBS) for </w:t>
      </w:r>
      <w:proofErr w:type="spellStart"/>
      <w:r w:rsidRPr="003E7C50">
        <w:rPr>
          <w:rFonts w:cs="Arial"/>
          <w:bCs/>
          <w:snapToGrid w:val="0"/>
        </w:rPr>
        <w:t>ribociclib</w:t>
      </w:r>
      <w:proofErr w:type="spellEnd"/>
      <w:r w:rsidRPr="003E7C50">
        <w:rPr>
          <w:rFonts w:cs="Arial"/>
          <w:bCs/>
          <w:snapToGrid w:val="0"/>
        </w:rPr>
        <w:t xml:space="preserve"> in combination with </w:t>
      </w:r>
      <w:proofErr w:type="spellStart"/>
      <w:r w:rsidRPr="003E7C50">
        <w:rPr>
          <w:rFonts w:cs="Arial"/>
          <w:bCs/>
          <w:snapToGrid w:val="0"/>
        </w:rPr>
        <w:t>letrozole</w:t>
      </w:r>
      <w:proofErr w:type="spellEnd"/>
      <w:r w:rsidRPr="003E7C50">
        <w:rPr>
          <w:rFonts w:cs="Arial"/>
          <w:bCs/>
          <w:snapToGrid w:val="0"/>
        </w:rPr>
        <w:t>, which was limited to 2 (out of a maximum of 5, where 5 and 4 represent the grades with substantial improvement)</w:t>
      </w:r>
      <w:r w:rsidRPr="003E7C50">
        <w:rPr>
          <w:rStyle w:val="FootnoteReference"/>
          <w:rFonts w:cs="Arial"/>
          <w:bCs/>
          <w:snapToGrid w:val="0"/>
        </w:rPr>
        <w:footnoteReference w:id="1"/>
      </w:r>
      <w:r w:rsidRPr="003E7C50">
        <w:rPr>
          <w:rFonts w:cs="Arial"/>
          <w:bCs/>
          <w:snapToGrid w:val="0"/>
        </w:rPr>
        <w:t xml:space="preserve">, based on a comparison with </w:t>
      </w:r>
      <w:proofErr w:type="spellStart"/>
      <w:r w:rsidRPr="003E7C50">
        <w:rPr>
          <w:rFonts w:cs="Arial"/>
          <w:bCs/>
          <w:snapToGrid w:val="0"/>
        </w:rPr>
        <w:t>letrozole</w:t>
      </w:r>
      <w:proofErr w:type="spellEnd"/>
      <w:r w:rsidRPr="003E7C50">
        <w:rPr>
          <w:rFonts w:cs="Arial"/>
          <w:bCs/>
          <w:snapToGrid w:val="0"/>
        </w:rPr>
        <w:t xml:space="preserve"> alone. The MOGA noted that if future analysis demonstrates a survival benefit</w:t>
      </w:r>
      <w:r w:rsidR="00C94E19" w:rsidRPr="003E7C50">
        <w:rPr>
          <w:rFonts w:cs="Arial"/>
          <w:bCs/>
          <w:snapToGrid w:val="0"/>
        </w:rPr>
        <w:t xml:space="preserve"> for </w:t>
      </w:r>
      <w:proofErr w:type="spellStart"/>
      <w:r w:rsidR="00C94E19" w:rsidRPr="003E7C50">
        <w:rPr>
          <w:rFonts w:cs="Arial"/>
          <w:bCs/>
          <w:snapToGrid w:val="0"/>
        </w:rPr>
        <w:t>ribociclib</w:t>
      </w:r>
      <w:proofErr w:type="spellEnd"/>
      <w:r w:rsidR="00C94E19" w:rsidRPr="003E7C50">
        <w:rPr>
          <w:rFonts w:cs="Arial"/>
          <w:bCs/>
          <w:snapToGrid w:val="0"/>
        </w:rPr>
        <w:t xml:space="preserve"> in combination with </w:t>
      </w:r>
      <w:proofErr w:type="spellStart"/>
      <w:r w:rsidR="00C94E19" w:rsidRPr="003E7C50">
        <w:rPr>
          <w:rFonts w:cs="Arial"/>
          <w:bCs/>
          <w:snapToGrid w:val="0"/>
        </w:rPr>
        <w:t>letrozole</w:t>
      </w:r>
      <w:proofErr w:type="spellEnd"/>
      <w:r w:rsidRPr="003E7C50">
        <w:rPr>
          <w:rFonts w:cs="Arial"/>
          <w:bCs/>
          <w:snapToGrid w:val="0"/>
        </w:rPr>
        <w:t>, the ESMO-MCBS score may increase to 4.</w:t>
      </w:r>
    </w:p>
    <w:p w:rsidR="00E82F4E" w:rsidRPr="00E82F4E" w:rsidRDefault="00E82F4E" w:rsidP="00E82F4E">
      <w:pPr>
        <w:pStyle w:val="ListParagraph"/>
        <w:rPr>
          <w:snapToGrid w:val="0"/>
        </w:rPr>
      </w:pPr>
      <w:r w:rsidRPr="00E82F4E">
        <w:rPr>
          <w:snapToGrid w:val="0"/>
        </w:rPr>
        <w:t xml:space="preserve">Representatives of the PBAC also met with </w:t>
      </w:r>
      <w:r>
        <w:rPr>
          <w:snapToGrid w:val="0"/>
        </w:rPr>
        <w:t>BCNA</w:t>
      </w:r>
      <w:r w:rsidRPr="00E82F4E">
        <w:rPr>
          <w:snapToGrid w:val="0"/>
        </w:rPr>
        <w:t xml:space="preserve"> prior to the PBAC meeting. The meeting covered the upcoming P</w:t>
      </w:r>
      <w:r>
        <w:rPr>
          <w:snapToGrid w:val="0"/>
        </w:rPr>
        <w:t xml:space="preserve">BAC consideration of </w:t>
      </w:r>
      <w:proofErr w:type="spellStart"/>
      <w:r>
        <w:rPr>
          <w:snapToGrid w:val="0"/>
        </w:rPr>
        <w:t>ribociclib</w:t>
      </w:r>
      <w:proofErr w:type="spellEnd"/>
      <w:r>
        <w:rPr>
          <w:snapToGrid w:val="0"/>
        </w:rPr>
        <w:t xml:space="preserve">. </w:t>
      </w:r>
      <w:r w:rsidRPr="00E82F4E">
        <w:rPr>
          <w:snapToGrid w:val="0"/>
        </w:rPr>
        <w:t>The following points provide a summary of the perspectives presented by the Breast Cancer Network Australia (BCNA) to PBAC representatives:</w:t>
      </w:r>
    </w:p>
    <w:p w:rsidR="00E82F4E" w:rsidRPr="00E82F4E" w:rsidRDefault="00E82F4E" w:rsidP="00E82F4E">
      <w:pPr>
        <w:numPr>
          <w:ilvl w:val="0"/>
          <w:numId w:val="10"/>
        </w:numPr>
        <w:spacing w:before="0" w:after="0"/>
        <w:ind w:left="1134"/>
        <w:jc w:val="both"/>
        <w:rPr>
          <w:rFonts w:eastAsia="Times New Roman" w:cstheme="minorHAnsi"/>
          <w:snapToGrid w:val="0"/>
          <w:szCs w:val="24"/>
        </w:rPr>
      </w:pPr>
      <w:r w:rsidRPr="00E82F4E">
        <w:rPr>
          <w:rFonts w:eastAsia="Times New Roman" w:cstheme="minorHAnsi"/>
          <w:snapToGrid w:val="0"/>
          <w:szCs w:val="24"/>
        </w:rPr>
        <w:t>The condition affects the quality of life for patients and their families, impacting on their social, economic and psychological wellbeing, with few new medicines beco</w:t>
      </w:r>
      <w:r>
        <w:rPr>
          <w:rFonts w:eastAsia="Times New Roman" w:cstheme="minorHAnsi"/>
          <w:snapToGrid w:val="0"/>
          <w:szCs w:val="24"/>
        </w:rPr>
        <w:t>ming available in recent years;</w:t>
      </w:r>
    </w:p>
    <w:p w:rsidR="00E82F4E" w:rsidRPr="00E82F4E" w:rsidRDefault="00E82F4E" w:rsidP="00E82F4E">
      <w:pPr>
        <w:numPr>
          <w:ilvl w:val="0"/>
          <w:numId w:val="10"/>
        </w:numPr>
        <w:spacing w:before="0" w:after="0"/>
        <w:ind w:left="1134"/>
        <w:jc w:val="both"/>
        <w:rPr>
          <w:rFonts w:eastAsia="Times New Roman" w:cstheme="minorHAnsi"/>
          <w:snapToGrid w:val="0"/>
          <w:szCs w:val="24"/>
        </w:rPr>
      </w:pPr>
      <w:r w:rsidRPr="00E82F4E">
        <w:rPr>
          <w:rFonts w:eastAsia="Times New Roman" w:cstheme="minorHAnsi"/>
          <w:snapToGrid w:val="0"/>
          <w:szCs w:val="24"/>
        </w:rPr>
        <w:t xml:space="preserve">Patients with this condition and their treating doctors claimed that CDK inhibitors are available for breast cancer in many other countries. The BCNA was aware that </w:t>
      </w:r>
      <w:proofErr w:type="spellStart"/>
      <w:r w:rsidRPr="00E82F4E">
        <w:rPr>
          <w:rFonts w:eastAsia="Times New Roman" w:cstheme="minorHAnsi"/>
          <w:snapToGrid w:val="0"/>
          <w:szCs w:val="24"/>
        </w:rPr>
        <w:t>ribociclib</w:t>
      </w:r>
      <w:proofErr w:type="spellEnd"/>
      <w:r w:rsidRPr="00E82F4E">
        <w:rPr>
          <w:rFonts w:eastAsia="Times New Roman" w:cstheme="minorHAnsi"/>
          <w:snapToGrid w:val="0"/>
          <w:szCs w:val="24"/>
        </w:rPr>
        <w:t xml:space="preserve"> is under review by the TGA, but welcomed the TGA registrat</w:t>
      </w:r>
      <w:r>
        <w:rPr>
          <w:rFonts w:eastAsia="Times New Roman" w:cstheme="minorHAnsi"/>
          <w:snapToGrid w:val="0"/>
          <w:szCs w:val="24"/>
        </w:rPr>
        <w:t xml:space="preserve">ion of </w:t>
      </w:r>
      <w:proofErr w:type="spellStart"/>
      <w:r>
        <w:rPr>
          <w:rFonts w:eastAsia="Times New Roman" w:cstheme="minorHAnsi"/>
          <w:snapToGrid w:val="0"/>
          <w:szCs w:val="24"/>
        </w:rPr>
        <w:t>palbociclib</w:t>
      </w:r>
      <w:proofErr w:type="spellEnd"/>
      <w:r>
        <w:rPr>
          <w:rFonts w:eastAsia="Times New Roman" w:cstheme="minorHAnsi"/>
          <w:snapToGrid w:val="0"/>
          <w:szCs w:val="24"/>
        </w:rPr>
        <w:t xml:space="preserve"> in Australia;</w:t>
      </w:r>
      <w:r w:rsidRPr="00E82F4E">
        <w:rPr>
          <w:rFonts w:eastAsia="Times New Roman" w:cstheme="minorHAnsi"/>
          <w:snapToGrid w:val="0"/>
          <w:szCs w:val="24"/>
        </w:rPr>
        <w:t xml:space="preserve"> </w:t>
      </w:r>
    </w:p>
    <w:p w:rsidR="00E82F4E" w:rsidRPr="00E82F4E" w:rsidRDefault="00E82F4E" w:rsidP="00E82F4E">
      <w:pPr>
        <w:numPr>
          <w:ilvl w:val="0"/>
          <w:numId w:val="10"/>
        </w:numPr>
        <w:spacing w:before="0" w:after="0"/>
        <w:ind w:left="1134"/>
        <w:jc w:val="both"/>
        <w:rPr>
          <w:rFonts w:eastAsia="Times New Roman" w:cstheme="minorHAnsi"/>
          <w:snapToGrid w:val="0"/>
          <w:szCs w:val="24"/>
        </w:rPr>
      </w:pPr>
      <w:r w:rsidRPr="00E82F4E">
        <w:rPr>
          <w:rFonts w:eastAsia="Times New Roman" w:cstheme="minorHAnsi"/>
          <w:snapToGrid w:val="0"/>
          <w:szCs w:val="24"/>
        </w:rPr>
        <w:t xml:space="preserve">Whilst acknowledging that the clinical trials for </w:t>
      </w:r>
      <w:r>
        <w:rPr>
          <w:rFonts w:eastAsia="Times New Roman" w:cstheme="minorHAnsi"/>
          <w:snapToGrid w:val="0"/>
          <w:szCs w:val="24"/>
        </w:rPr>
        <w:t>CDK</w:t>
      </w:r>
      <w:r w:rsidRPr="00E82F4E">
        <w:rPr>
          <w:rFonts w:eastAsia="Times New Roman" w:cstheme="minorHAnsi"/>
          <w:snapToGrid w:val="0"/>
          <w:szCs w:val="24"/>
        </w:rPr>
        <w:t xml:space="preserve"> inhibitors like </w:t>
      </w:r>
      <w:proofErr w:type="spellStart"/>
      <w:r w:rsidRPr="00E82F4E">
        <w:rPr>
          <w:rFonts w:eastAsia="Times New Roman" w:cstheme="minorHAnsi"/>
          <w:snapToGrid w:val="0"/>
          <w:szCs w:val="24"/>
        </w:rPr>
        <w:t>palbociclib</w:t>
      </w:r>
      <w:proofErr w:type="spellEnd"/>
      <w:r w:rsidRPr="00E82F4E">
        <w:rPr>
          <w:rFonts w:eastAsia="Times New Roman" w:cstheme="minorHAnsi"/>
          <w:snapToGrid w:val="0"/>
          <w:szCs w:val="24"/>
        </w:rPr>
        <w:t xml:space="preserve"> and </w:t>
      </w:r>
      <w:proofErr w:type="spellStart"/>
      <w:r w:rsidRPr="00E82F4E">
        <w:rPr>
          <w:rFonts w:eastAsia="Times New Roman" w:cstheme="minorHAnsi"/>
          <w:snapToGrid w:val="0"/>
          <w:szCs w:val="24"/>
        </w:rPr>
        <w:t>ribociclib</w:t>
      </w:r>
      <w:proofErr w:type="spellEnd"/>
      <w:r w:rsidRPr="00E82F4E">
        <w:rPr>
          <w:rFonts w:eastAsia="Times New Roman" w:cstheme="minorHAnsi"/>
          <w:snapToGrid w:val="0"/>
          <w:szCs w:val="24"/>
        </w:rPr>
        <w:t xml:space="preserve"> are ongoing, and are yet to demonstrate an improvement in quality of life or an overall survival benefit, patients value the demonstrated progression-free survival outcomes, and view these medicines as well-tolerated treatment options that delay disease recurrence and the eventual on</w:t>
      </w:r>
      <w:r>
        <w:rPr>
          <w:rFonts w:eastAsia="Times New Roman" w:cstheme="minorHAnsi"/>
          <w:snapToGrid w:val="0"/>
          <w:szCs w:val="24"/>
        </w:rPr>
        <w:t>set of cytotoxic chemotherapy;</w:t>
      </w:r>
    </w:p>
    <w:p w:rsidR="00E82F4E" w:rsidRPr="00E82F4E" w:rsidRDefault="00E82F4E" w:rsidP="00E82F4E">
      <w:pPr>
        <w:numPr>
          <w:ilvl w:val="0"/>
          <w:numId w:val="10"/>
        </w:numPr>
        <w:spacing w:before="0" w:after="0"/>
        <w:ind w:left="1134"/>
        <w:jc w:val="both"/>
        <w:rPr>
          <w:rFonts w:eastAsia="Times New Roman" w:cstheme="minorHAnsi"/>
          <w:snapToGrid w:val="0"/>
          <w:szCs w:val="24"/>
        </w:rPr>
      </w:pPr>
      <w:r w:rsidRPr="00E82F4E">
        <w:rPr>
          <w:rFonts w:eastAsia="Times New Roman" w:cstheme="minorHAnsi"/>
          <w:snapToGrid w:val="0"/>
          <w:szCs w:val="24"/>
        </w:rPr>
        <w:t xml:space="preserve">Notwithstanding the PBAC’s concerns regarding the significant toxicities associated with </w:t>
      </w:r>
      <w:proofErr w:type="spellStart"/>
      <w:r w:rsidRPr="00E82F4E">
        <w:rPr>
          <w:rFonts w:eastAsia="Times New Roman" w:cstheme="minorHAnsi"/>
          <w:snapToGrid w:val="0"/>
          <w:szCs w:val="24"/>
        </w:rPr>
        <w:t>palbociclib</w:t>
      </w:r>
      <w:proofErr w:type="spellEnd"/>
      <w:r w:rsidRPr="00E82F4E">
        <w:rPr>
          <w:rFonts w:eastAsia="Times New Roman" w:cstheme="minorHAnsi"/>
          <w:snapToGrid w:val="0"/>
          <w:szCs w:val="24"/>
        </w:rPr>
        <w:t xml:space="preserve"> treatment, patients indicated that the most common adverse events experienced with CDK inhibitors (fatigue and febrile neutropenia) are substantially less detrimental than those experienced while receiving chemotherapy (mouth ulcers, fatigue and infection).  Furthermore, the adverse effects of cytotoxic chemotherapy have prevented many women suffering from this condition from remaining in the workforce or living their life with their familie</w:t>
      </w:r>
      <w:r>
        <w:rPr>
          <w:rFonts w:eastAsia="Times New Roman" w:cstheme="minorHAnsi"/>
          <w:snapToGrid w:val="0"/>
          <w:szCs w:val="24"/>
        </w:rPr>
        <w:t>s;</w:t>
      </w:r>
    </w:p>
    <w:p w:rsidR="00E82F4E" w:rsidRPr="00E82F4E" w:rsidRDefault="00E82F4E" w:rsidP="00E82F4E">
      <w:pPr>
        <w:numPr>
          <w:ilvl w:val="0"/>
          <w:numId w:val="10"/>
        </w:numPr>
        <w:spacing w:before="0" w:after="0"/>
        <w:ind w:left="1134"/>
        <w:jc w:val="both"/>
        <w:rPr>
          <w:rFonts w:eastAsia="Times New Roman" w:cstheme="minorHAnsi"/>
          <w:snapToGrid w:val="0"/>
          <w:szCs w:val="24"/>
        </w:rPr>
      </w:pPr>
      <w:r w:rsidRPr="00E82F4E">
        <w:rPr>
          <w:rFonts w:eastAsia="Times New Roman" w:cstheme="minorHAnsi"/>
          <w:snapToGrid w:val="0"/>
          <w:szCs w:val="24"/>
        </w:rPr>
        <w:t xml:space="preserve">Without PBS subsidised access, the high cost of </w:t>
      </w:r>
      <w:proofErr w:type="spellStart"/>
      <w:r w:rsidRPr="00E82F4E">
        <w:rPr>
          <w:rFonts w:eastAsia="Times New Roman" w:cstheme="minorHAnsi"/>
          <w:snapToGrid w:val="0"/>
          <w:szCs w:val="24"/>
        </w:rPr>
        <w:t>palbociclib</w:t>
      </w:r>
      <w:proofErr w:type="spellEnd"/>
      <w:r w:rsidRPr="00E82F4E">
        <w:rPr>
          <w:rFonts w:eastAsia="Times New Roman" w:cstheme="minorHAnsi"/>
          <w:snapToGrid w:val="0"/>
          <w:szCs w:val="24"/>
        </w:rPr>
        <w:t xml:space="preserve"> and </w:t>
      </w:r>
      <w:proofErr w:type="spellStart"/>
      <w:r w:rsidRPr="00E82F4E">
        <w:rPr>
          <w:rFonts w:eastAsia="Times New Roman" w:cstheme="minorHAnsi"/>
          <w:snapToGrid w:val="0"/>
          <w:szCs w:val="24"/>
        </w:rPr>
        <w:t>ribociclib</w:t>
      </w:r>
      <w:proofErr w:type="spellEnd"/>
      <w:r w:rsidRPr="00E82F4E">
        <w:rPr>
          <w:rFonts w:eastAsia="Times New Roman" w:cstheme="minorHAnsi"/>
          <w:snapToGrid w:val="0"/>
          <w:szCs w:val="24"/>
        </w:rPr>
        <w:t xml:space="preserve"> would prohibit most patients from accessing these medicines. Although sponsor-supported compassionate access programs exist, these are difficult to access, and are particularly inequitabl</w:t>
      </w:r>
      <w:r>
        <w:rPr>
          <w:rFonts w:eastAsia="Times New Roman" w:cstheme="minorHAnsi"/>
          <w:snapToGrid w:val="0"/>
          <w:szCs w:val="24"/>
        </w:rPr>
        <w:t>e for patients from rural areas; and</w:t>
      </w:r>
    </w:p>
    <w:p w:rsidR="00E82F4E" w:rsidRPr="00E82F4E" w:rsidRDefault="00E82F4E" w:rsidP="00E82F4E">
      <w:pPr>
        <w:numPr>
          <w:ilvl w:val="0"/>
          <w:numId w:val="10"/>
        </w:numPr>
        <w:spacing w:before="0" w:after="0"/>
        <w:ind w:left="1134"/>
        <w:jc w:val="both"/>
        <w:rPr>
          <w:rFonts w:eastAsia="Times New Roman" w:cstheme="minorHAnsi"/>
          <w:snapToGrid w:val="0"/>
          <w:szCs w:val="24"/>
        </w:rPr>
      </w:pPr>
      <w:r w:rsidRPr="00E82F4E">
        <w:rPr>
          <w:rFonts w:eastAsia="Times New Roman" w:cstheme="minorHAnsi"/>
          <w:snapToGrid w:val="0"/>
          <w:szCs w:val="24"/>
        </w:rPr>
        <w:t xml:space="preserve">The BCNA indicated that they were willing to work together with the sponsors, consumers, PBAC and </w:t>
      </w:r>
      <w:r>
        <w:rPr>
          <w:rFonts w:eastAsia="Times New Roman" w:cstheme="minorHAnsi"/>
          <w:snapToGrid w:val="0"/>
          <w:szCs w:val="24"/>
        </w:rPr>
        <w:t>MOGA</w:t>
      </w:r>
      <w:r w:rsidRPr="00E82F4E">
        <w:rPr>
          <w:rFonts w:eastAsia="Times New Roman" w:cstheme="minorHAnsi"/>
          <w:snapToGrid w:val="0"/>
          <w:szCs w:val="24"/>
        </w:rPr>
        <w:t xml:space="preserve"> to initiate dialogue via stakeholder meetings, in order to facilitate PBS-subsidised access to CDK inhibitors for this condition.</w:t>
      </w:r>
    </w:p>
    <w:p w:rsidR="00E82F4E" w:rsidRPr="003E7C50" w:rsidRDefault="00E82F4E" w:rsidP="00E82F4E">
      <w:pPr>
        <w:pStyle w:val="ListParagraph"/>
        <w:numPr>
          <w:ilvl w:val="0"/>
          <w:numId w:val="0"/>
        </w:numPr>
        <w:ind w:left="720"/>
        <w:rPr>
          <w:snapToGrid w:val="0"/>
        </w:rPr>
      </w:pPr>
    </w:p>
    <w:p w:rsidR="00C165A2" w:rsidRPr="003E7C50" w:rsidRDefault="00C165A2" w:rsidP="005608F0">
      <w:pPr>
        <w:pStyle w:val="Heading2"/>
      </w:pPr>
      <w:r w:rsidRPr="003E7C50">
        <w:lastRenderedPageBreak/>
        <w:t>Clinical trials</w:t>
      </w:r>
      <w:bookmarkEnd w:id="11"/>
    </w:p>
    <w:p w:rsidR="00C165A2" w:rsidRPr="003E7C50" w:rsidRDefault="00C165A2" w:rsidP="00640732">
      <w:pPr>
        <w:pStyle w:val="ListParagraph"/>
      </w:pPr>
      <w:r w:rsidRPr="003E7C50">
        <w:t xml:space="preserve">The submission was based on direct evidence from one head-to-head </w:t>
      </w:r>
      <w:r w:rsidR="00F34307" w:rsidRPr="003E7C50">
        <w:t>phase III</w:t>
      </w:r>
      <w:r w:rsidR="0003199C" w:rsidRPr="003E7C50">
        <w:t>,</w:t>
      </w:r>
      <w:r w:rsidR="00F34307" w:rsidRPr="003E7C50">
        <w:t xml:space="preserve"> </w:t>
      </w:r>
      <w:r w:rsidRPr="003E7C50">
        <w:t>randomised</w:t>
      </w:r>
      <w:r w:rsidR="00F34307" w:rsidRPr="003E7C50">
        <w:t>, double-blind</w:t>
      </w:r>
      <w:r w:rsidRPr="003E7C50">
        <w:t xml:space="preserve"> trial comparing </w:t>
      </w:r>
      <w:proofErr w:type="spellStart"/>
      <w:r w:rsidRPr="003E7C50">
        <w:t>ribociclib</w:t>
      </w:r>
      <w:proofErr w:type="spellEnd"/>
      <w:r w:rsidRPr="003E7C50">
        <w:t xml:space="preserve"> + </w:t>
      </w:r>
      <w:proofErr w:type="spellStart"/>
      <w:r w:rsidRPr="003E7C50">
        <w:t>letrozole</w:t>
      </w:r>
      <w:proofErr w:type="spellEnd"/>
      <w:r w:rsidRPr="003E7C50">
        <w:t xml:space="preserve"> to </w:t>
      </w:r>
      <w:proofErr w:type="spellStart"/>
      <w:r w:rsidRPr="003E7C50">
        <w:t>letrozole</w:t>
      </w:r>
      <w:proofErr w:type="spellEnd"/>
      <w:r w:rsidRPr="003E7C50">
        <w:t xml:space="preserve"> alone</w:t>
      </w:r>
      <w:r w:rsidR="00F34307" w:rsidRPr="003E7C50">
        <w:t xml:space="preserve"> in postmenopausal women with </w:t>
      </w:r>
      <w:r w:rsidR="00F34307" w:rsidRPr="003E7C50">
        <w:rPr>
          <w:snapToGrid w:val="0"/>
        </w:rPr>
        <w:t>HR+, HER2- ABC (MONALEESA-2)</w:t>
      </w:r>
      <w:r w:rsidRPr="003E7C50">
        <w:t>.</w:t>
      </w:r>
    </w:p>
    <w:p w:rsidR="00C165A2" w:rsidRPr="003E7C50" w:rsidRDefault="00C165A2" w:rsidP="00C165A2">
      <w:pPr>
        <w:numPr>
          <w:ilvl w:val="1"/>
          <w:numId w:val="3"/>
        </w:numPr>
        <w:spacing w:before="0" w:after="0"/>
        <w:jc w:val="both"/>
        <w:rPr>
          <w:rFonts w:cstheme="minorHAnsi"/>
          <w:szCs w:val="24"/>
        </w:rPr>
      </w:pPr>
      <w:r w:rsidRPr="003E7C50">
        <w:rPr>
          <w:rFonts w:cstheme="minorHAnsi"/>
          <w:szCs w:val="24"/>
        </w:rPr>
        <w:t>In addition</w:t>
      </w:r>
      <w:r w:rsidR="00677798" w:rsidRPr="003E7C50">
        <w:rPr>
          <w:rFonts w:cstheme="minorHAnsi"/>
          <w:szCs w:val="24"/>
        </w:rPr>
        <w:t>,</w:t>
      </w:r>
      <w:r w:rsidRPr="003E7C50">
        <w:rPr>
          <w:rFonts w:cstheme="minorHAnsi"/>
          <w:szCs w:val="24"/>
        </w:rPr>
        <w:t xml:space="preserve"> two randomised trials were provided as part of an indirect secondary comparison </w:t>
      </w:r>
      <w:r w:rsidR="00677798" w:rsidRPr="003E7C50">
        <w:rPr>
          <w:rFonts w:cstheme="minorHAnsi"/>
          <w:szCs w:val="24"/>
        </w:rPr>
        <w:t xml:space="preserve">of </w:t>
      </w:r>
      <w:proofErr w:type="spellStart"/>
      <w:r w:rsidRPr="003E7C50">
        <w:rPr>
          <w:rFonts w:cstheme="minorHAnsi"/>
          <w:szCs w:val="24"/>
        </w:rPr>
        <w:t>ribociclib</w:t>
      </w:r>
      <w:proofErr w:type="spellEnd"/>
      <w:r w:rsidRPr="003E7C50">
        <w:rPr>
          <w:rFonts w:cstheme="minorHAnsi"/>
          <w:szCs w:val="24"/>
        </w:rPr>
        <w:t xml:space="preserve"> and </w:t>
      </w:r>
      <w:proofErr w:type="spellStart"/>
      <w:r w:rsidRPr="003E7C50">
        <w:rPr>
          <w:rFonts w:cstheme="minorHAnsi"/>
          <w:szCs w:val="24"/>
        </w:rPr>
        <w:t>palbociclib</w:t>
      </w:r>
      <w:proofErr w:type="spellEnd"/>
      <w:r w:rsidR="00677798" w:rsidRPr="003E7C50">
        <w:rPr>
          <w:rFonts w:cstheme="minorHAnsi"/>
          <w:szCs w:val="24"/>
        </w:rPr>
        <w:t xml:space="preserve">, using </w:t>
      </w:r>
      <w:proofErr w:type="spellStart"/>
      <w:r w:rsidR="00677798" w:rsidRPr="003E7C50">
        <w:rPr>
          <w:rFonts w:cstheme="minorHAnsi"/>
          <w:szCs w:val="24"/>
        </w:rPr>
        <w:t>letrozole</w:t>
      </w:r>
      <w:proofErr w:type="spellEnd"/>
      <w:r w:rsidR="00677798" w:rsidRPr="003E7C50">
        <w:rPr>
          <w:rFonts w:cstheme="minorHAnsi"/>
          <w:szCs w:val="24"/>
        </w:rPr>
        <w:t xml:space="preserve"> alone as a common comparator</w:t>
      </w:r>
      <w:r w:rsidRPr="003E7C50">
        <w:rPr>
          <w:rFonts w:cstheme="minorHAnsi"/>
          <w:szCs w:val="24"/>
        </w:rPr>
        <w:t xml:space="preserve">. </w:t>
      </w:r>
    </w:p>
    <w:p w:rsidR="00C165A2" w:rsidRPr="003E7C50" w:rsidRDefault="00C165A2" w:rsidP="008D683B">
      <w:pPr>
        <w:numPr>
          <w:ilvl w:val="0"/>
          <w:numId w:val="10"/>
        </w:numPr>
        <w:spacing w:before="0" w:after="0"/>
        <w:ind w:left="1134"/>
        <w:jc w:val="both"/>
        <w:rPr>
          <w:rFonts w:eastAsia="Times New Roman" w:cstheme="minorHAnsi"/>
          <w:snapToGrid w:val="0"/>
          <w:szCs w:val="24"/>
        </w:rPr>
      </w:pPr>
      <w:r w:rsidRPr="003E7C50">
        <w:rPr>
          <w:rFonts w:eastAsia="Times New Roman" w:cstheme="minorHAnsi"/>
          <w:snapToGrid w:val="0"/>
          <w:szCs w:val="24"/>
        </w:rPr>
        <w:t xml:space="preserve">PALOMA-1: a phase II, randomised, open-label trial of </w:t>
      </w:r>
      <w:proofErr w:type="spellStart"/>
      <w:r w:rsidRPr="003E7C50">
        <w:rPr>
          <w:rFonts w:eastAsia="Times New Roman" w:cstheme="minorHAnsi"/>
          <w:snapToGrid w:val="0"/>
          <w:szCs w:val="24"/>
        </w:rPr>
        <w:t>palbociclib</w:t>
      </w:r>
      <w:proofErr w:type="spellEnd"/>
      <w:r w:rsidRPr="003E7C50">
        <w:rPr>
          <w:rFonts w:eastAsia="Times New Roman" w:cstheme="minorHAnsi"/>
          <w:snapToGrid w:val="0"/>
          <w:szCs w:val="24"/>
        </w:rPr>
        <w:t xml:space="preserve"> + </w:t>
      </w:r>
      <w:proofErr w:type="spellStart"/>
      <w:r w:rsidRPr="003E7C50">
        <w:rPr>
          <w:rFonts w:eastAsia="Times New Roman" w:cstheme="minorHAnsi"/>
          <w:snapToGrid w:val="0"/>
          <w:szCs w:val="24"/>
        </w:rPr>
        <w:t>letrozole</w:t>
      </w:r>
      <w:proofErr w:type="spellEnd"/>
      <w:r w:rsidRPr="003E7C50">
        <w:rPr>
          <w:rFonts w:eastAsia="Times New Roman" w:cstheme="minorHAnsi"/>
          <w:snapToGrid w:val="0"/>
          <w:szCs w:val="24"/>
        </w:rPr>
        <w:t xml:space="preserve"> for first line treatment of ER+, HER2- ABC in postmenopausal women.</w:t>
      </w:r>
    </w:p>
    <w:p w:rsidR="00C165A2" w:rsidRPr="003E7C50" w:rsidRDefault="00C165A2" w:rsidP="008D683B">
      <w:pPr>
        <w:numPr>
          <w:ilvl w:val="0"/>
          <w:numId w:val="10"/>
        </w:numPr>
        <w:spacing w:before="0" w:after="120"/>
        <w:ind w:left="1134" w:hanging="357"/>
        <w:jc w:val="both"/>
        <w:rPr>
          <w:rFonts w:eastAsia="Times New Roman" w:cstheme="minorHAnsi"/>
          <w:snapToGrid w:val="0"/>
          <w:szCs w:val="24"/>
        </w:rPr>
      </w:pPr>
      <w:r w:rsidRPr="003E7C50">
        <w:rPr>
          <w:rFonts w:eastAsia="Times New Roman" w:cstheme="minorHAnsi"/>
          <w:snapToGrid w:val="0"/>
          <w:szCs w:val="24"/>
        </w:rPr>
        <w:t xml:space="preserve">PALOMA-2: a phase III, randomised, double-blind trial of </w:t>
      </w:r>
      <w:proofErr w:type="spellStart"/>
      <w:r w:rsidRPr="003E7C50">
        <w:rPr>
          <w:rFonts w:eastAsia="Times New Roman" w:cstheme="minorHAnsi"/>
          <w:snapToGrid w:val="0"/>
          <w:szCs w:val="24"/>
        </w:rPr>
        <w:t>palbociclib</w:t>
      </w:r>
      <w:proofErr w:type="spellEnd"/>
      <w:r w:rsidRPr="003E7C50">
        <w:rPr>
          <w:rFonts w:eastAsia="Times New Roman" w:cstheme="minorHAnsi"/>
          <w:snapToGrid w:val="0"/>
          <w:szCs w:val="24"/>
        </w:rPr>
        <w:t xml:space="preserve"> + </w:t>
      </w:r>
      <w:proofErr w:type="spellStart"/>
      <w:r w:rsidRPr="003E7C50">
        <w:rPr>
          <w:rFonts w:eastAsia="Times New Roman" w:cstheme="minorHAnsi"/>
          <w:snapToGrid w:val="0"/>
          <w:szCs w:val="24"/>
        </w:rPr>
        <w:t>letrozole</w:t>
      </w:r>
      <w:proofErr w:type="spellEnd"/>
      <w:r w:rsidRPr="003E7C50">
        <w:rPr>
          <w:rFonts w:eastAsia="Times New Roman" w:cstheme="minorHAnsi"/>
          <w:snapToGrid w:val="0"/>
          <w:szCs w:val="24"/>
        </w:rPr>
        <w:t xml:space="preserve"> for first line treatment of ER+, HER2- ABC in postmenopausal women.</w:t>
      </w:r>
    </w:p>
    <w:p w:rsidR="00C165A2" w:rsidRPr="003E7C50" w:rsidRDefault="00C165A2" w:rsidP="00C165A2">
      <w:pPr>
        <w:numPr>
          <w:ilvl w:val="1"/>
          <w:numId w:val="3"/>
        </w:numPr>
        <w:spacing w:before="0" w:after="120"/>
        <w:jc w:val="both"/>
        <w:rPr>
          <w:rFonts w:cstheme="minorHAnsi"/>
          <w:szCs w:val="24"/>
        </w:rPr>
      </w:pPr>
      <w:r w:rsidRPr="003E7C50">
        <w:rPr>
          <w:rFonts w:cstheme="minorHAnsi"/>
          <w:szCs w:val="24"/>
        </w:rPr>
        <w:t xml:space="preserve">Details of the trials presented in the submission are provided in the </w:t>
      </w:r>
      <w:r w:rsidR="00677798" w:rsidRPr="003E7C50">
        <w:rPr>
          <w:rFonts w:cstheme="minorHAnsi"/>
          <w:szCs w:val="24"/>
        </w:rPr>
        <w:t xml:space="preserve">following </w:t>
      </w:r>
      <w:r w:rsidRPr="003E7C50">
        <w:rPr>
          <w:rFonts w:cstheme="minorHAnsi"/>
          <w:szCs w:val="24"/>
        </w:rPr>
        <w:t>table.</w:t>
      </w:r>
      <w:r w:rsidR="00941AA3" w:rsidRPr="003E7C50">
        <w:rPr>
          <w:rFonts w:cstheme="minorHAnsi"/>
          <w:szCs w:val="24"/>
        </w:rPr>
        <w:t xml:space="preserve"> </w:t>
      </w:r>
    </w:p>
    <w:p w:rsidR="00762A23" w:rsidRDefault="00762A23" w:rsidP="00762A23">
      <w:pPr>
        <w:pStyle w:val="Caption"/>
      </w:pPr>
      <w:r>
        <w:t xml:space="preserve">Table </w:t>
      </w:r>
      <w:r>
        <w:rPr>
          <w:noProof/>
        </w:rPr>
        <w:t>2</w:t>
      </w:r>
      <w:r w:rsidRPr="001B2DA4">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40"/>
        <w:gridCol w:w="5829"/>
        <w:gridCol w:w="1713"/>
      </w:tblGrid>
      <w:tr w:rsidR="00C165A2" w:rsidRPr="003E7C50" w:rsidTr="003C639E">
        <w:trPr>
          <w:tblHeader/>
        </w:trPr>
        <w:tc>
          <w:tcPr>
            <w:tcW w:w="848" w:type="pct"/>
          </w:tcPr>
          <w:p w:rsidR="00C165A2" w:rsidRPr="003E7C50" w:rsidRDefault="00C165A2" w:rsidP="00C97D59">
            <w:pPr>
              <w:keepNext/>
              <w:spacing w:before="40" w:after="40"/>
              <w:ind w:left="676" w:hanging="676"/>
              <w:rPr>
                <w:rFonts w:ascii="Arial Narrow" w:hAnsi="Arial Narrow"/>
                <w:b/>
                <w:sz w:val="20"/>
              </w:rPr>
            </w:pPr>
            <w:r w:rsidRPr="003E7C50">
              <w:rPr>
                <w:rFonts w:ascii="Arial Narrow" w:hAnsi="Arial Narrow"/>
                <w:b/>
                <w:sz w:val="20"/>
              </w:rPr>
              <w:t>Trial ID</w:t>
            </w:r>
          </w:p>
        </w:tc>
        <w:tc>
          <w:tcPr>
            <w:tcW w:w="3209" w:type="pct"/>
          </w:tcPr>
          <w:p w:rsidR="00C165A2" w:rsidRPr="003E7C50" w:rsidRDefault="00C165A2" w:rsidP="00C97D59">
            <w:pPr>
              <w:keepNext/>
              <w:spacing w:before="40" w:after="40"/>
              <w:rPr>
                <w:rFonts w:ascii="Arial Narrow" w:hAnsi="Arial Narrow"/>
                <w:b/>
                <w:sz w:val="20"/>
              </w:rPr>
            </w:pPr>
            <w:r w:rsidRPr="003E7C50">
              <w:rPr>
                <w:rFonts w:ascii="Arial Narrow" w:hAnsi="Arial Narrow"/>
                <w:b/>
                <w:sz w:val="20"/>
              </w:rPr>
              <w:t>Protocol title/ Publication title</w:t>
            </w:r>
          </w:p>
        </w:tc>
        <w:tc>
          <w:tcPr>
            <w:tcW w:w="943" w:type="pct"/>
          </w:tcPr>
          <w:p w:rsidR="00C165A2" w:rsidRPr="003E7C50" w:rsidRDefault="00C165A2" w:rsidP="00C97D59">
            <w:pPr>
              <w:keepNext/>
              <w:spacing w:before="40" w:after="40"/>
              <w:rPr>
                <w:rFonts w:ascii="Arial Narrow" w:hAnsi="Arial Narrow"/>
                <w:b/>
                <w:sz w:val="20"/>
              </w:rPr>
            </w:pPr>
            <w:r w:rsidRPr="003E7C50">
              <w:rPr>
                <w:rFonts w:ascii="Arial Narrow" w:hAnsi="Arial Narrow"/>
                <w:b/>
                <w:sz w:val="20"/>
              </w:rPr>
              <w:t>Publication citation</w:t>
            </w:r>
          </w:p>
        </w:tc>
      </w:tr>
      <w:tr w:rsidR="00C165A2" w:rsidRPr="003E7C50" w:rsidTr="003C639E">
        <w:tc>
          <w:tcPr>
            <w:tcW w:w="5000" w:type="pct"/>
            <w:gridSpan w:val="3"/>
            <w:tcBorders>
              <w:bottom w:val="single" w:sz="4" w:space="0" w:color="auto"/>
            </w:tcBorders>
          </w:tcPr>
          <w:p w:rsidR="00C165A2" w:rsidRPr="003E7C50" w:rsidRDefault="00C165A2" w:rsidP="00C97D59">
            <w:pPr>
              <w:keepNext/>
              <w:spacing w:before="40" w:after="40"/>
              <w:rPr>
                <w:rFonts w:ascii="Arial Narrow" w:hAnsi="Arial Narrow"/>
                <w:b/>
                <w:sz w:val="20"/>
              </w:rPr>
            </w:pPr>
            <w:r w:rsidRPr="003E7C50">
              <w:rPr>
                <w:rFonts w:ascii="Arial Narrow" w:hAnsi="Arial Narrow"/>
                <w:b/>
                <w:sz w:val="20"/>
              </w:rPr>
              <w:t xml:space="preserve">Direct randomised trial </w:t>
            </w:r>
            <w:r w:rsidR="00885E27" w:rsidRPr="003E7C50">
              <w:rPr>
                <w:rFonts w:ascii="Arial Narrow" w:hAnsi="Arial Narrow"/>
                <w:b/>
                <w:sz w:val="20"/>
              </w:rPr>
              <w:t>vs.</w:t>
            </w:r>
            <w:r w:rsidRPr="003E7C50">
              <w:rPr>
                <w:rFonts w:ascii="Arial Narrow" w:hAnsi="Arial Narrow"/>
                <w:b/>
                <w:sz w:val="20"/>
              </w:rPr>
              <w:t xml:space="preserve"> placebo</w:t>
            </w:r>
          </w:p>
        </w:tc>
      </w:tr>
      <w:tr w:rsidR="00C165A2" w:rsidRPr="003E7C50" w:rsidTr="003C639E">
        <w:tc>
          <w:tcPr>
            <w:tcW w:w="848" w:type="pct"/>
            <w:tcBorders>
              <w:top w:val="single" w:sz="4" w:space="0" w:color="auto"/>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eastAsiaTheme="majorEastAsia" w:hAnsi="Arial Narrow" w:cstheme="majorBidi"/>
                <w:sz w:val="20"/>
                <w:lang w:bidi="en-US"/>
              </w:rPr>
              <w:t>MONALEESA-2</w:t>
            </w:r>
          </w:p>
          <w:p w:rsidR="00C165A2" w:rsidRPr="003E7C50" w:rsidRDefault="00C165A2" w:rsidP="00C97D59">
            <w:pPr>
              <w:keepNext/>
              <w:widowControl w:val="0"/>
              <w:spacing w:before="0" w:after="0"/>
              <w:rPr>
                <w:rFonts w:ascii="Arial Narrow" w:hAnsi="Arial Narrow"/>
                <w:sz w:val="20"/>
              </w:rPr>
            </w:pPr>
            <w:r w:rsidRPr="003E7C50">
              <w:rPr>
                <w:rFonts w:ascii="Arial Narrow" w:eastAsiaTheme="majorEastAsia" w:hAnsi="Arial Narrow" w:cstheme="majorBidi"/>
                <w:sz w:val="20"/>
                <w:lang w:bidi="en-US"/>
              </w:rPr>
              <w:t>NCT01958021</w:t>
            </w:r>
          </w:p>
          <w:p w:rsidR="00C165A2" w:rsidRPr="003E7C50" w:rsidRDefault="00C165A2" w:rsidP="00C97D59">
            <w:pPr>
              <w:keepNext/>
              <w:widowControl w:val="0"/>
              <w:spacing w:before="0" w:after="0"/>
              <w:rPr>
                <w:rFonts w:ascii="Arial Narrow" w:hAnsi="Arial Narrow"/>
                <w:sz w:val="20"/>
              </w:rPr>
            </w:pPr>
            <w:r w:rsidRPr="003E7C50">
              <w:rPr>
                <w:rFonts w:ascii="Arial Narrow" w:eastAsiaTheme="majorEastAsia" w:hAnsi="Arial Narrow" w:cstheme="majorBidi"/>
                <w:sz w:val="20"/>
                <w:lang w:bidi="en-US"/>
              </w:rPr>
              <w:t>CLEE011A2301</w:t>
            </w:r>
          </w:p>
          <w:p w:rsidR="00C165A2" w:rsidRPr="003E7C50" w:rsidRDefault="00C165A2" w:rsidP="00C97D59">
            <w:pPr>
              <w:keepNext/>
              <w:widowControl w:val="0"/>
              <w:spacing w:before="0" w:after="0"/>
              <w:rPr>
                <w:rFonts w:ascii="Arial Narrow" w:eastAsiaTheme="majorEastAsia" w:hAnsi="Arial Narrow" w:cstheme="majorBidi"/>
                <w:sz w:val="20"/>
                <w:lang w:bidi="en-US"/>
              </w:rPr>
            </w:pPr>
            <w:r w:rsidRPr="003E7C50">
              <w:rPr>
                <w:rFonts w:ascii="Arial Narrow" w:eastAsiaTheme="majorEastAsia" w:hAnsi="Arial Narrow" w:cstheme="majorBidi"/>
                <w:sz w:val="20"/>
                <w:lang w:bidi="en-US"/>
              </w:rPr>
              <w:t>2013-003084-61 </w:t>
            </w:r>
          </w:p>
        </w:tc>
        <w:tc>
          <w:tcPr>
            <w:tcW w:w="3209" w:type="pct"/>
            <w:tcBorders>
              <w:top w:val="single" w:sz="4" w:space="0" w:color="auto"/>
              <w:left w:val="single" w:sz="4" w:space="0" w:color="auto"/>
              <w:bottom w:val="nil"/>
              <w:right w:val="single" w:sz="4" w:space="0" w:color="auto"/>
            </w:tcBorders>
          </w:tcPr>
          <w:p w:rsidR="00C165A2" w:rsidRPr="003E7C50" w:rsidRDefault="00C165A2" w:rsidP="00C97D59">
            <w:pPr>
              <w:keepNext/>
              <w:widowControl w:val="0"/>
              <w:autoSpaceDE w:val="0"/>
              <w:autoSpaceDN w:val="0"/>
              <w:adjustRightInd w:val="0"/>
              <w:spacing w:before="0" w:after="0"/>
            </w:pPr>
            <w:r w:rsidRPr="003E7C50">
              <w:rPr>
                <w:rFonts w:ascii="Arial Narrow" w:hAnsi="Arial Narrow"/>
                <w:sz w:val="20"/>
              </w:rPr>
              <w:t xml:space="preserve">Title: A randomized double-blind, placebo-controlled study of LEE011 in combination with </w:t>
            </w:r>
            <w:proofErr w:type="spellStart"/>
            <w:r w:rsidRPr="003E7C50">
              <w:rPr>
                <w:rFonts w:ascii="Arial Narrow" w:hAnsi="Arial Narrow"/>
                <w:sz w:val="20"/>
              </w:rPr>
              <w:t>letrozole</w:t>
            </w:r>
            <w:proofErr w:type="spellEnd"/>
            <w:r w:rsidRPr="003E7C50">
              <w:rPr>
                <w:rFonts w:ascii="Arial Narrow" w:hAnsi="Arial Narrow"/>
                <w:sz w:val="20"/>
              </w:rPr>
              <w:t xml:space="preserve"> for the treatment of postmenopausal women with hormone receptor positive, HER2-negative, advanced breast cancer who received no prior therapy for advanced disease.</w:t>
            </w:r>
            <w:r w:rsidR="00941AA3" w:rsidRPr="003E7C50">
              <w:rPr>
                <w:rFonts w:ascii="Arial Narrow" w:hAnsi="Arial Narrow"/>
                <w:sz w:val="20"/>
              </w:rPr>
              <w:t xml:space="preserve"> </w:t>
            </w:r>
          </w:p>
        </w:tc>
        <w:tc>
          <w:tcPr>
            <w:tcW w:w="943" w:type="pct"/>
            <w:tcBorders>
              <w:top w:val="single" w:sz="4" w:space="0" w:color="auto"/>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p>
        </w:tc>
      </w:tr>
      <w:tr w:rsidR="00C165A2" w:rsidRPr="003E7C50" w:rsidTr="003C639E">
        <w:tc>
          <w:tcPr>
            <w:tcW w:w="848"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eastAsiaTheme="majorEastAsia" w:hAnsi="Arial Narrow" w:cstheme="majorBidi"/>
                <w:sz w:val="20"/>
                <w:lang w:bidi="en-US"/>
              </w:rPr>
            </w:pPr>
          </w:p>
        </w:tc>
        <w:tc>
          <w:tcPr>
            <w:tcW w:w="3209" w:type="pct"/>
            <w:tcBorders>
              <w:top w:val="nil"/>
              <w:left w:val="single" w:sz="4" w:space="0" w:color="auto"/>
              <w:bottom w:val="nil"/>
              <w:right w:val="single" w:sz="4" w:space="0" w:color="auto"/>
            </w:tcBorders>
          </w:tcPr>
          <w:p w:rsidR="00C165A2" w:rsidRPr="003E7C50" w:rsidRDefault="00C165A2" w:rsidP="008D683B">
            <w:pPr>
              <w:keepNext/>
              <w:widowControl w:val="0"/>
              <w:numPr>
                <w:ilvl w:val="0"/>
                <w:numId w:val="7"/>
              </w:numPr>
              <w:spacing w:before="0" w:after="0"/>
              <w:ind w:left="170" w:hanging="170"/>
              <w:rPr>
                <w:rFonts w:ascii="Arial Narrow" w:hAnsi="Arial Narrow"/>
                <w:sz w:val="20"/>
              </w:rPr>
            </w:pPr>
            <w:r w:rsidRPr="003E7C50">
              <w:rPr>
                <w:rFonts w:ascii="Arial Narrow" w:eastAsiaTheme="majorEastAsia" w:hAnsi="Arial Narrow" w:cstheme="majorBidi"/>
                <w:sz w:val="20"/>
                <w:lang w:bidi="en-US"/>
              </w:rPr>
              <w:t>Interim Clinical Study Report (CSR): Data cut off 29 Jan 2016, report date 27 July 2016.</w:t>
            </w:r>
            <w:r w:rsidR="00941AA3" w:rsidRPr="003E7C50">
              <w:rPr>
                <w:rFonts w:ascii="Arial Narrow" w:eastAsiaTheme="majorEastAsia" w:hAnsi="Arial Narrow" w:cstheme="majorBidi"/>
                <w:sz w:val="20"/>
                <w:lang w:bidi="en-US"/>
              </w:rPr>
              <w:t xml:space="preserve"> </w:t>
            </w:r>
          </w:p>
        </w:tc>
        <w:tc>
          <w:tcPr>
            <w:tcW w:w="943"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27 July 2016</w:t>
            </w:r>
          </w:p>
        </w:tc>
      </w:tr>
      <w:tr w:rsidR="00C165A2" w:rsidRPr="003E7C50" w:rsidTr="003C639E">
        <w:tc>
          <w:tcPr>
            <w:tcW w:w="848"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eastAsiaTheme="majorEastAsia" w:hAnsi="Arial Narrow" w:cstheme="majorBidi"/>
                <w:sz w:val="20"/>
                <w:lang w:bidi="en-US"/>
              </w:rPr>
            </w:pPr>
          </w:p>
        </w:tc>
        <w:tc>
          <w:tcPr>
            <w:tcW w:w="3209" w:type="pct"/>
            <w:tcBorders>
              <w:top w:val="nil"/>
              <w:left w:val="single" w:sz="4" w:space="0" w:color="auto"/>
              <w:bottom w:val="nil"/>
              <w:right w:val="single" w:sz="4" w:space="0" w:color="auto"/>
            </w:tcBorders>
          </w:tcPr>
          <w:p w:rsidR="00C165A2" w:rsidRPr="003E7C50" w:rsidRDefault="00C165A2" w:rsidP="008D683B">
            <w:pPr>
              <w:keepNext/>
              <w:widowControl w:val="0"/>
              <w:numPr>
                <w:ilvl w:val="0"/>
                <w:numId w:val="7"/>
              </w:numPr>
              <w:spacing w:before="0" w:after="0"/>
              <w:ind w:left="170" w:hanging="170"/>
              <w:rPr>
                <w:rFonts w:ascii="Arial Narrow" w:hAnsi="Arial Narrow"/>
                <w:sz w:val="20"/>
              </w:rPr>
            </w:pPr>
            <w:r w:rsidRPr="003E7C50">
              <w:rPr>
                <w:rFonts w:ascii="Arial Narrow" w:eastAsiaTheme="majorEastAsia" w:hAnsi="Arial Narrow" w:cstheme="majorBidi"/>
                <w:sz w:val="20"/>
                <w:lang w:bidi="en-US"/>
              </w:rPr>
              <w:t>Executive Summary for interim 90 Day Update: Data cut off 18 Aug 2016, report date 13 Sep 2016.</w:t>
            </w:r>
          </w:p>
        </w:tc>
        <w:tc>
          <w:tcPr>
            <w:tcW w:w="943"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13 Sept 2016</w:t>
            </w:r>
          </w:p>
        </w:tc>
      </w:tr>
      <w:tr w:rsidR="00C165A2" w:rsidRPr="003E7C50" w:rsidTr="003C639E">
        <w:tc>
          <w:tcPr>
            <w:tcW w:w="848"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eastAsiaTheme="majorEastAsia" w:hAnsi="Arial Narrow" w:cstheme="majorBidi"/>
                <w:sz w:val="20"/>
                <w:lang w:bidi="en-US"/>
              </w:rPr>
            </w:pPr>
          </w:p>
        </w:tc>
        <w:tc>
          <w:tcPr>
            <w:tcW w:w="3209" w:type="pct"/>
            <w:tcBorders>
              <w:top w:val="nil"/>
              <w:left w:val="single" w:sz="4" w:space="0" w:color="auto"/>
              <w:bottom w:val="nil"/>
              <w:right w:val="single" w:sz="4" w:space="0" w:color="auto"/>
            </w:tcBorders>
          </w:tcPr>
          <w:p w:rsidR="00C165A2" w:rsidRPr="003E7C50" w:rsidRDefault="00C165A2" w:rsidP="008D683B">
            <w:pPr>
              <w:keepNext/>
              <w:widowControl w:val="0"/>
              <w:numPr>
                <w:ilvl w:val="0"/>
                <w:numId w:val="7"/>
              </w:numPr>
              <w:spacing w:before="0" w:after="0"/>
              <w:ind w:left="170" w:hanging="170"/>
              <w:rPr>
                <w:rFonts w:ascii="Arial Narrow" w:hAnsi="Arial Narrow"/>
                <w:sz w:val="20"/>
              </w:rPr>
            </w:pPr>
            <w:r w:rsidRPr="003E7C50">
              <w:rPr>
                <w:rFonts w:ascii="Arial Narrow" w:eastAsiaTheme="majorEastAsia" w:hAnsi="Arial Narrow" w:cstheme="majorBidi"/>
                <w:sz w:val="20"/>
                <w:lang w:bidi="en-US"/>
              </w:rPr>
              <w:t>Second Overall Survival Interim Analysis: Data cut off 2 Jan 2017, report date 11 Feb 2017.</w:t>
            </w:r>
            <w:r w:rsidR="00941AA3" w:rsidRPr="003E7C50">
              <w:rPr>
                <w:rFonts w:ascii="Arial Narrow" w:eastAsiaTheme="majorEastAsia" w:hAnsi="Arial Narrow" w:cstheme="majorBidi"/>
                <w:sz w:val="20"/>
                <w:lang w:bidi="en-US"/>
              </w:rPr>
              <w:t xml:space="preserve">  </w:t>
            </w:r>
          </w:p>
        </w:tc>
        <w:tc>
          <w:tcPr>
            <w:tcW w:w="943"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11 Feb 2017</w:t>
            </w:r>
          </w:p>
        </w:tc>
      </w:tr>
      <w:tr w:rsidR="00C165A2" w:rsidRPr="003E7C50" w:rsidTr="003C639E">
        <w:tc>
          <w:tcPr>
            <w:tcW w:w="848" w:type="pct"/>
            <w:tcBorders>
              <w:top w:val="nil"/>
              <w:left w:val="single" w:sz="4" w:space="0" w:color="auto"/>
              <w:bottom w:val="single" w:sz="4" w:space="0" w:color="auto"/>
              <w:right w:val="single" w:sz="4" w:space="0" w:color="auto"/>
            </w:tcBorders>
          </w:tcPr>
          <w:p w:rsidR="00C165A2" w:rsidRPr="003E7C50" w:rsidRDefault="00C165A2" w:rsidP="00C97D59">
            <w:pPr>
              <w:keepNext/>
              <w:widowControl w:val="0"/>
              <w:spacing w:before="0" w:after="0"/>
              <w:rPr>
                <w:rFonts w:ascii="Arial Narrow" w:eastAsiaTheme="majorEastAsia" w:hAnsi="Arial Narrow" w:cstheme="majorBidi"/>
                <w:sz w:val="20"/>
                <w:lang w:bidi="en-US"/>
              </w:rPr>
            </w:pPr>
          </w:p>
        </w:tc>
        <w:tc>
          <w:tcPr>
            <w:tcW w:w="3209" w:type="pct"/>
            <w:tcBorders>
              <w:top w:val="nil"/>
              <w:left w:val="single" w:sz="4" w:space="0" w:color="auto"/>
              <w:bottom w:val="single" w:sz="4" w:space="0" w:color="auto"/>
              <w:right w:val="single" w:sz="4" w:space="0" w:color="auto"/>
            </w:tcBorders>
          </w:tcPr>
          <w:p w:rsidR="00C165A2" w:rsidRPr="003E7C50" w:rsidRDefault="00C165A2" w:rsidP="00C97D59">
            <w:pPr>
              <w:keepNext/>
              <w:widowControl w:val="0"/>
              <w:autoSpaceDE w:val="0"/>
              <w:autoSpaceDN w:val="0"/>
              <w:adjustRightInd w:val="0"/>
              <w:spacing w:before="0" w:after="0"/>
              <w:rPr>
                <w:rFonts w:ascii="Arial Narrow" w:hAnsi="Arial Narrow"/>
                <w:sz w:val="20"/>
              </w:rPr>
            </w:pPr>
            <w:r w:rsidRPr="003E7C50">
              <w:rPr>
                <w:rFonts w:ascii="Arial Narrow" w:hAnsi="Arial Narrow"/>
                <w:sz w:val="20"/>
              </w:rPr>
              <w:t xml:space="preserve">Publication: </w:t>
            </w:r>
            <w:proofErr w:type="spellStart"/>
            <w:r w:rsidRPr="003E7C50">
              <w:rPr>
                <w:rFonts w:ascii="Arial Narrow" w:hAnsi="Arial Narrow"/>
                <w:sz w:val="20"/>
              </w:rPr>
              <w:t>Hortobagyi</w:t>
            </w:r>
            <w:proofErr w:type="spellEnd"/>
            <w:r w:rsidRPr="003E7C50">
              <w:rPr>
                <w:rFonts w:ascii="Arial Narrow" w:hAnsi="Arial Narrow"/>
                <w:sz w:val="20"/>
              </w:rPr>
              <w:t xml:space="preserve">, Stemmer et al. 2016. </w:t>
            </w:r>
            <w:proofErr w:type="spellStart"/>
            <w:r w:rsidRPr="003E7C50">
              <w:rPr>
                <w:rFonts w:ascii="Arial Narrow" w:hAnsi="Arial Narrow"/>
                <w:sz w:val="20"/>
              </w:rPr>
              <w:t>Ribociclib</w:t>
            </w:r>
            <w:proofErr w:type="spellEnd"/>
            <w:r w:rsidRPr="003E7C50">
              <w:rPr>
                <w:rFonts w:ascii="Arial Narrow" w:hAnsi="Arial Narrow"/>
                <w:sz w:val="20"/>
              </w:rPr>
              <w:t xml:space="preserve"> as First line Therapy for HR-Positive, Advanced Breast Cancer.</w:t>
            </w:r>
          </w:p>
        </w:tc>
        <w:tc>
          <w:tcPr>
            <w:tcW w:w="943" w:type="pct"/>
            <w:tcBorders>
              <w:top w:val="nil"/>
              <w:left w:val="single" w:sz="4" w:space="0" w:color="auto"/>
              <w:bottom w:val="single" w:sz="4" w:space="0" w:color="auto"/>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NEJM 2016; 375 (17): 38-48</w:t>
            </w:r>
          </w:p>
        </w:tc>
      </w:tr>
      <w:tr w:rsidR="00C165A2" w:rsidRPr="003E7C50" w:rsidTr="003C639E">
        <w:tc>
          <w:tcPr>
            <w:tcW w:w="5000" w:type="pct"/>
            <w:gridSpan w:val="3"/>
            <w:tcBorders>
              <w:top w:val="single" w:sz="4" w:space="0" w:color="auto"/>
              <w:bottom w:val="single" w:sz="4" w:space="0" w:color="auto"/>
            </w:tcBorders>
          </w:tcPr>
          <w:p w:rsidR="00C165A2" w:rsidRPr="003E7C50" w:rsidRDefault="00C165A2" w:rsidP="00C97D59">
            <w:pPr>
              <w:keepNext/>
              <w:widowControl w:val="0"/>
              <w:spacing w:before="40" w:after="40"/>
              <w:rPr>
                <w:rFonts w:ascii="Arial Narrow" w:hAnsi="Arial Narrow"/>
                <w:b/>
                <w:sz w:val="20"/>
              </w:rPr>
            </w:pPr>
            <w:r w:rsidRPr="003E7C50">
              <w:rPr>
                <w:rFonts w:ascii="Arial Narrow" w:hAnsi="Arial Narrow"/>
                <w:b/>
                <w:sz w:val="20"/>
              </w:rPr>
              <w:t xml:space="preserve">Supplementary randomised trials for indirect comparison </w:t>
            </w:r>
            <w:proofErr w:type="spellStart"/>
            <w:r w:rsidRPr="003E7C50">
              <w:rPr>
                <w:rFonts w:ascii="Arial Narrow" w:hAnsi="Arial Narrow"/>
                <w:b/>
                <w:sz w:val="20"/>
              </w:rPr>
              <w:t>palbociclib</w:t>
            </w:r>
            <w:proofErr w:type="spellEnd"/>
            <w:r w:rsidRPr="003E7C50">
              <w:rPr>
                <w:rFonts w:ascii="Arial Narrow" w:hAnsi="Arial Narrow"/>
                <w:b/>
                <w:sz w:val="20"/>
              </w:rPr>
              <w:t xml:space="preserve"> plus </w:t>
            </w:r>
            <w:proofErr w:type="spellStart"/>
            <w:r w:rsidRPr="003E7C50">
              <w:rPr>
                <w:rFonts w:ascii="Arial Narrow" w:hAnsi="Arial Narrow"/>
                <w:b/>
                <w:sz w:val="20"/>
              </w:rPr>
              <w:t>letrozole</w:t>
            </w:r>
            <w:proofErr w:type="spellEnd"/>
            <w:r w:rsidRPr="003E7C50">
              <w:rPr>
                <w:rFonts w:ascii="Arial Narrow" w:hAnsi="Arial Narrow"/>
                <w:b/>
                <w:sz w:val="20"/>
              </w:rPr>
              <w:t xml:space="preserve"> </w:t>
            </w:r>
            <w:r w:rsidR="00885E27" w:rsidRPr="003E7C50">
              <w:rPr>
                <w:rFonts w:ascii="Arial Narrow" w:hAnsi="Arial Narrow"/>
                <w:b/>
                <w:sz w:val="20"/>
              </w:rPr>
              <w:t>vs.</w:t>
            </w:r>
            <w:r w:rsidRPr="003E7C50">
              <w:rPr>
                <w:rFonts w:ascii="Arial Narrow" w:hAnsi="Arial Narrow"/>
                <w:b/>
                <w:sz w:val="20"/>
              </w:rPr>
              <w:t xml:space="preserve"> </w:t>
            </w:r>
            <w:proofErr w:type="spellStart"/>
            <w:r w:rsidRPr="003E7C50">
              <w:rPr>
                <w:rFonts w:ascii="Arial Narrow" w:hAnsi="Arial Narrow"/>
                <w:b/>
                <w:sz w:val="20"/>
              </w:rPr>
              <w:t>letrozole</w:t>
            </w:r>
            <w:proofErr w:type="spellEnd"/>
            <w:r w:rsidRPr="003E7C50">
              <w:rPr>
                <w:rFonts w:ascii="Arial Narrow" w:hAnsi="Arial Narrow"/>
                <w:b/>
                <w:sz w:val="20"/>
              </w:rPr>
              <w:t xml:space="preserve"> alone</w:t>
            </w:r>
          </w:p>
        </w:tc>
      </w:tr>
      <w:tr w:rsidR="00C165A2" w:rsidRPr="003E7C50" w:rsidTr="003C639E">
        <w:tc>
          <w:tcPr>
            <w:tcW w:w="848" w:type="pct"/>
            <w:tcBorders>
              <w:top w:val="single" w:sz="4" w:space="0" w:color="auto"/>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PALOMA-1</w:t>
            </w:r>
          </w:p>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A5481003</w:t>
            </w:r>
          </w:p>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[NCT00721409]</w:t>
            </w:r>
          </w:p>
        </w:tc>
        <w:tc>
          <w:tcPr>
            <w:tcW w:w="3209" w:type="pct"/>
            <w:tcBorders>
              <w:top w:val="single" w:sz="4" w:space="0" w:color="auto"/>
              <w:left w:val="single" w:sz="4" w:space="0" w:color="auto"/>
              <w:bottom w:val="nil"/>
              <w:right w:val="single" w:sz="4" w:space="0" w:color="auto"/>
            </w:tcBorders>
          </w:tcPr>
          <w:p w:rsidR="00C165A2" w:rsidRPr="003E7C50" w:rsidRDefault="00C165A2" w:rsidP="00C97D59">
            <w:pPr>
              <w:keepNext/>
              <w:widowControl w:val="0"/>
              <w:spacing w:before="0" w:after="0"/>
            </w:pPr>
            <w:r w:rsidRPr="003E7C50">
              <w:rPr>
                <w:rFonts w:ascii="Arial Narrow" w:hAnsi="Arial Narrow"/>
                <w:sz w:val="20"/>
              </w:rPr>
              <w:t xml:space="preserve">Finn, RS Crown, JP Lang, I et al. The cyclin-dependent kinase 4/6 inhibitor </w:t>
            </w:r>
            <w:proofErr w:type="spellStart"/>
            <w:r w:rsidRPr="003E7C50">
              <w:rPr>
                <w:rFonts w:ascii="Arial Narrow" w:hAnsi="Arial Narrow"/>
                <w:sz w:val="20"/>
              </w:rPr>
              <w:t>palbociclib</w:t>
            </w:r>
            <w:proofErr w:type="spellEnd"/>
            <w:r w:rsidRPr="003E7C50">
              <w:rPr>
                <w:rFonts w:ascii="Arial Narrow" w:hAnsi="Arial Narrow"/>
                <w:sz w:val="20"/>
              </w:rPr>
              <w:t xml:space="preserve"> in combination with </w:t>
            </w:r>
            <w:proofErr w:type="spellStart"/>
            <w:r w:rsidRPr="003E7C50">
              <w:rPr>
                <w:rFonts w:ascii="Arial Narrow" w:hAnsi="Arial Narrow"/>
                <w:sz w:val="20"/>
              </w:rPr>
              <w:t>letrozole</w:t>
            </w:r>
            <w:proofErr w:type="spellEnd"/>
            <w:r w:rsidRPr="003E7C50">
              <w:rPr>
                <w:rFonts w:ascii="Arial Narrow" w:hAnsi="Arial Narrow"/>
                <w:sz w:val="20"/>
              </w:rPr>
              <w:t xml:space="preserve"> versus </w:t>
            </w:r>
            <w:proofErr w:type="spellStart"/>
            <w:r w:rsidRPr="003E7C50">
              <w:rPr>
                <w:rFonts w:ascii="Arial Narrow" w:hAnsi="Arial Narrow"/>
                <w:sz w:val="20"/>
              </w:rPr>
              <w:t>letrozole</w:t>
            </w:r>
            <w:proofErr w:type="spellEnd"/>
            <w:r w:rsidRPr="003E7C50">
              <w:rPr>
                <w:rFonts w:ascii="Arial Narrow" w:hAnsi="Arial Narrow"/>
                <w:sz w:val="20"/>
              </w:rPr>
              <w:t xml:space="preserve"> alone as first-line treatment of oestrogen receptor-positive, HER2-negative, advanced breast cancer (PALOMA-1/TRIO-18): a randomised phase 2 study. </w:t>
            </w:r>
          </w:p>
        </w:tc>
        <w:tc>
          <w:tcPr>
            <w:tcW w:w="943" w:type="pct"/>
            <w:tcBorders>
              <w:top w:val="single" w:sz="4" w:space="0" w:color="auto"/>
              <w:left w:val="single" w:sz="4" w:space="0" w:color="auto"/>
              <w:bottom w:val="nil"/>
              <w:right w:val="single" w:sz="4" w:space="0" w:color="auto"/>
            </w:tcBorders>
          </w:tcPr>
          <w:p w:rsidR="00C165A2" w:rsidRPr="003E7C50" w:rsidRDefault="00C165A2" w:rsidP="00C97D59">
            <w:pPr>
              <w:keepNext/>
              <w:widowControl w:val="0"/>
              <w:spacing w:before="0" w:after="0"/>
            </w:pPr>
            <w:r w:rsidRPr="003E7C50">
              <w:rPr>
                <w:rFonts w:ascii="Arial Narrow" w:hAnsi="Arial Narrow"/>
                <w:sz w:val="20"/>
              </w:rPr>
              <w:t xml:space="preserve">Lancet </w:t>
            </w:r>
            <w:proofErr w:type="spellStart"/>
            <w:r w:rsidRPr="003E7C50">
              <w:rPr>
                <w:rFonts w:ascii="Arial Narrow" w:hAnsi="Arial Narrow"/>
                <w:sz w:val="20"/>
              </w:rPr>
              <w:t>Oncol</w:t>
            </w:r>
            <w:proofErr w:type="spellEnd"/>
            <w:r w:rsidRPr="003E7C50">
              <w:rPr>
                <w:rFonts w:ascii="Arial Narrow" w:hAnsi="Arial Narrow"/>
                <w:sz w:val="20"/>
              </w:rPr>
              <w:t xml:space="preserve"> 2015; 16:25-35.</w:t>
            </w:r>
          </w:p>
        </w:tc>
      </w:tr>
      <w:tr w:rsidR="00C165A2" w:rsidRPr="003E7C50" w:rsidTr="003C639E">
        <w:tc>
          <w:tcPr>
            <w:tcW w:w="848"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p>
        </w:tc>
        <w:tc>
          <w:tcPr>
            <w:tcW w:w="3209"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 xml:space="preserve">Finn, RS Crown, JP, </w:t>
            </w:r>
            <w:proofErr w:type="spellStart"/>
            <w:r w:rsidRPr="003E7C50">
              <w:rPr>
                <w:rFonts w:ascii="Arial Narrow" w:hAnsi="Arial Narrow"/>
                <w:sz w:val="20"/>
              </w:rPr>
              <w:t>Ettl</w:t>
            </w:r>
            <w:proofErr w:type="spellEnd"/>
            <w:r w:rsidRPr="003E7C50">
              <w:rPr>
                <w:rFonts w:ascii="Arial Narrow" w:hAnsi="Arial Narrow"/>
                <w:sz w:val="20"/>
              </w:rPr>
              <w:t xml:space="preserve"> J et al. Efficacy and safety of </w:t>
            </w:r>
            <w:proofErr w:type="spellStart"/>
            <w:r w:rsidRPr="003E7C50">
              <w:rPr>
                <w:rFonts w:ascii="Arial Narrow" w:hAnsi="Arial Narrow"/>
                <w:sz w:val="20"/>
              </w:rPr>
              <w:t>palbociclib</w:t>
            </w:r>
            <w:proofErr w:type="spellEnd"/>
            <w:r w:rsidRPr="003E7C50">
              <w:rPr>
                <w:rFonts w:ascii="Arial Narrow" w:hAnsi="Arial Narrow"/>
                <w:sz w:val="20"/>
              </w:rPr>
              <w:t xml:space="preserve"> in combination with </w:t>
            </w:r>
            <w:proofErr w:type="spellStart"/>
            <w:r w:rsidRPr="003E7C50">
              <w:rPr>
                <w:rFonts w:ascii="Arial Narrow" w:hAnsi="Arial Narrow"/>
                <w:sz w:val="20"/>
              </w:rPr>
              <w:t>letrozole</w:t>
            </w:r>
            <w:proofErr w:type="spellEnd"/>
            <w:r w:rsidRPr="003E7C50">
              <w:rPr>
                <w:rFonts w:ascii="Arial Narrow" w:hAnsi="Arial Narrow"/>
                <w:sz w:val="20"/>
              </w:rPr>
              <w:t xml:space="preserve"> as first-line treatment of ER-positive, HER2-negative, advanced breast cancer: expanded analyses of subgroups from the randomised pivotal</w:t>
            </w:r>
            <w:r w:rsidRPr="003E7C50">
              <w:t xml:space="preserve"> </w:t>
            </w:r>
            <w:r w:rsidRPr="003E7C50">
              <w:rPr>
                <w:rFonts w:ascii="Arial Narrow" w:hAnsi="Arial Narrow"/>
                <w:sz w:val="20"/>
              </w:rPr>
              <w:t>trial PALOMA-1/TRIO-18.</w:t>
            </w:r>
          </w:p>
        </w:tc>
        <w:tc>
          <w:tcPr>
            <w:tcW w:w="943"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Breast Cancer Research (2016) 18:67.</w:t>
            </w:r>
          </w:p>
        </w:tc>
      </w:tr>
      <w:tr w:rsidR="00C165A2" w:rsidRPr="003E7C50" w:rsidTr="003C639E">
        <w:tc>
          <w:tcPr>
            <w:tcW w:w="848"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p>
        </w:tc>
        <w:tc>
          <w:tcPr>
            <w:tcW w:w="3209"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 xml:space="preserve">Bell, T Crown, JP Lang, I Bhattacharyya, H </w:t>
            </w:r>
            <w:proofErr w:type="spellStart"/>
            <w:r w:rsidRPr="003E7C50">
              <w:rPr>
                <w:rFonts w:ascii="Arial Narrow" w:hAnsi="Arial Narrow"/>
                <w:sz w:val="20"/>
              </w:rPr>
              <w:t>Zanotti</w:t>
            </w:r>
            <w:proofErr w:type="spellEnd"/>
            <w:r w:rsidRPr="003E7C50">
              <w:rPr>
                <w:rFonts w:ascii="Arial Narrow" w:hAnsi="Arial Narrow"/>
                <w:sz w:val="20"/>
              </w:rPr>
              <w:t xml:space="preserve">, G Randolph, S Kim, S Huang, X Bartlett, CH Finn, R </w:t>
            </w:r>
            <w:proofErr w:type="spellStart"/>
            <w:r w:rsidRPr="003E7C50">
              <w:rPr>
                <w:rFonts w:ascii="Arial Narrow" w:hAnsi="Arial Narrow"/>
                <w:sz w:val="20"/>
              </w:rPr>
              <w:t>Slamon</w:t>
            </w:r>
            <w:proofErr w:type="spellEnd"/>
            <w:r w:rsidRPr="003E7C50">
              <w:rPr>
                <w:rFonts w:ascii="Arial Narrow" w:hAnsi="Arial Narrow"/>
                <w:sz w:val="20"/>
              </w:rPr>
              <w:t xml:space="preserve">, D. Impact of adding </w:t>
            </w:r>
            <w:proofErr w:type="spellStart"/>
            <w:r w:rsidRPr="003E7C50">
              <w:rPr>
                <w:rFonts w:ascii="Arial Narrow" w:hAnsi="Arial Narrow"/>
                <w:sz w:val="20"/>
              </w:rPr>
              <w:t>palbociclib</w:t>
            </w:r>
            <w:proofErr w:type="spellEnd"/>
            <w:r w:rsidRPr="003E7C50">
              <w:rPr>
                <w:rFonts w:ascii="Arial Narrow" w:hAnsi="Arial Narrow"/>
                <w:sz w:val="20"/>
              </w:rPr>
              <w:t xml:space="preserve"> to </w:t>
            </w:r>
            <w:proofErr w:type="spellStart"/>
            <w:r w:rsidRPr="003E7C50">
              <w:rPr>
                <w:rFonts w:ascii="Arial Narrow" w:hAnsi="Arial Narrow"/>
                <w:sz w:val="20"/>
              </w:rPr>
              <w:t>letrozole</w:t>
            </w:r>
            <w:proofErr w:type="spellEnd"/>
            <w:r w:rsidRPr="003E7C50">
              <w:rPr>
                <w:rFonts w:ascii="Arial Narrow" w:hAnsi="Arial Narrow"/>
                <w:sz w:val="20"/>
              </w:rPr>
              <w:t xml:space="preserve"> on pain severity and pain interference with various activities of daily life in patients with ER+, HER2- metastatic breast cancer as first line treatment.</w:t>
            </w:r>
          </w:p>
        </w:tc>
        <w:tc>
          <w:tcPr>
            <w:tcW w:w="943"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Cancer research (2015) 75:9 SUPPL.1</w:t>
            </w:r>
          </w:p>
        </w:tc>
      </w:tr>
      <w:tr w:rsidR="00C165A2" w:rsidRPr="003E7C50" w:rsidTr="003C639E">
        <w:tc>
          <w:tcPr>
            <w:tcW w:w="848" w:type="pct"/>
            <w:tcBorders>
              <w:top w:val="nil"/>
              <w:left w:val="single" w:sz="4" w:space="0" w:color="auto"/>
              <w:bottom w:val="single" w:sz="4" w:space="0" w:color="auto"/>
              <w:right w:val="single" w:sz="4" w:space="0" w:color="auto"/>
            </w:tcBorders>
          </w:tcPr>
          <w:p w:rsidR="00C165A2" w:rsidRPr="003E7C50" w:rsidRDefault="00C165A2" w:rsidP="00C97D59">
            <w:pPr>
              <w:keepNext/>
              <w:widowControl w:val="0"/>
              <w:spacing w:before="0" w:after="0"/>
              <w:rPr>
                <w:rFonts w:ascii="Arial Narrow" w:hAnsi="Arial Narrow"/>
                <w:sz w:val="20"/>
              </w:rPr>
            </w:pPr>
          </w:p>
        </w:tc>
        <w:tc>
          <w:tcPr>
            <w:tcW w:w="3209" w:type="pct"/>
            <w:tcBorders>
              <w:top w:val="nil"/>
              <w:left w:val="single" w:sz="4" w:space="0" w:color="auto"/>
              <w:bottom w:val="single" w:sz="4" w:space="0" w:color="auto"/>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 xml:space="preserve">Bell, Crown et al. 2016. Impact of </w:t>
            </w:r>
            <w:proofErr w:type="spellStart"/>
            <w:r w:rsidRPr="003E7C50">
              <w:rPr>
                <w:rFonts w:ascii="Arial Narrow" w:hAnsi="Arial Narrow"/>
                <w:sz w:val="20"/>
              </w:rPr>
              <w:t>palbociclib</w:t>
            </w:r>
            <w:proofErr w:type="spellEnd"/>
            <w:r w:rsidRPr="003E7C50">
              <w:rPr>
                <w:rFonts w:ascii="Arial Narrow" w:hAnsi="Arial Narrow"/>
                <w:sz w:val="20"/>
              </w:rPr>
              <w:t xml:space="preserve"> plus </w:t>
            </w:r>
            <w:proofErr w:type="spellStart"/>
            <w:r w:rsidRPr="003E7C50">
              <w:rPr>
                <w:rFonts w:ascii="Arial Narrow" w:hAnsi="Arial Narrow"/>
                <w:sz w:val="20"/>
              </w:rPr>
              <w:t>letrozole</w:t>
            </w:r>
            <w:proofErr w:type="spellEnd"/>
            <w:r w:rsidRPr="003E7C50">
              <w:rPr>
                <w:rFonts w:ascii="Arial Narrow" w:hAnsi="Arial Narrow"/>
                <w:sz w:val="20"/>
              </w:rPr>
              <w:t xml:space="preserve"> on pain severity and pain interference with daily activities in patients with estrogen receptor-positive/human epidermal growth factor receptor 2-negative advanced breast cancer as first line treatment</w:t>
            </w:r>
          </w:p>
        </w:tc>
        <w:tc>
          <w:tcPr>
            <w:tcW w:w="943" w:type="pct"/>
            <w:tcBorders>
              <w:top w:val="nil"/>
              <w:left w:val="single" w:sz="4" w:space="0" w:color="auto"/>
              <w:bottom w:val="single" w:sz="4" w:space="0" w:color="auto"/>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Current Medical Research and Opinion 2016; 32:5, 959-965.</w:t>
            </w:r>
          </w:p>
        </w:tc>
      </w:tr>
      <w:tr w:rsidR="00C165A2" w:rsidRPr="003E7C50" w:rsidTr="003C639E">
        <w:tc>
          <w:tcPr>
            <w:tcW w:w="848" w:type="pct"/>
            <w:vMerge w:val="restart"/>
            <w:tcBorders>
              <w:top w:val="single" w:sz="4" w:space="0" w:color="auto"/>
              <w:left w:val="single" w:sz="4" w:space="0" w:color="auto"/>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 xml:space="preserve">PALOMA-2 </w:t>
            </w:r>
          </w:p>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A5481008</w:t>
            </w:r>
          </w:p>
          <w:p w:rsidR="00C165A2" w:rsidRPr="003E7C50" w:rsidRDefault="00C165A2" w:rsidP="00C97D59">
            <w:pPr>
              <w:keepNext/>
              <w:widowControl w:val="0"/>
              <w:spacing w:before="0" w:after="0"/>
            </w:pPr>
            <w:r w:rsidRPr="003E7C50">
              <w:rPr>
                <w:rFonts w:ascii="Arial Narrow" w:hAnsi="Arial Narrow"/>
                <w:sz w:val="20"/>
              </w:rPr>
              <w:t>[NCT01740427]</w:t>
            </w:r>
          </w:p>
        </w:tc>
        <w:tc>
          <w:tcPr>
            <w:tcW w:w="3209" w:type="pct"/>
            <w:tcBorders>
              <w:top w:val="single" w:sz="4" w:space="0" w:color="auto"/>
              <w:left w:val="single" w:sz="4" w:space="0" w:color="auto"/>
              <w:bottom w:val="nil"/>
              <w:right w:val="single" w:sz="4" w:space="0" w:color="auto"/>
            </w:tcBorders>
          </w:tcPr>
          <w:p w:rsidR="00C165A2" w:rsidRPr="003E7C50" w:rsidRDefault="00C165A2" w:rsidP="00C97D59">
            <w:pPr>
              <w:keepNext/>
              <w:widowControl w:val="0"/>
              <w:spacing w:before="0" w:after="0"/>
            </w:pPr>
            <w:r w:rsidRPr="003E7C50">
              <w:rPr>
                <w:rFonts w:ascii="Arial Narrow" w:hAnsi="Arial Narrow"/>
                <w:sz w:val="20"/>
              </w:rPr>
              <w:t xml:space="preserve">Finn, Martin et al. 2016. </w:t>
            </w:r>
            <w:proofErr w:type="spellStart"/>
            <w:r w:rsidRPr="003E7C50">
              <w:rPr>
                <w:rFonts w:ascii="Arial Narrow" w:hAnsi="Arial Narrow"/>
                <w:sz w:val="20"/>
              </w:rPr>
              <w:t>Palbociclib</w:t>
            </w:r>
            <w:proofErr w:type="spellEnd"/>
            <w:r w:rsidRPr="003E7C50">
              <w:rPr>
                <w:rFonts w:ascii="Arial Narrow" w:hAnsi="Arial Narrow"/>
                <w:sz w:val="20"/>
              </w:rPr>
              <w:t xml:space="preserve"> and </w:t>
            </w:r>
            <w:proofErr w:type="spellStart"/>
            <w:r w:rsidRPr="003E7C50">
              <w:rPr>
                <w:rFonts w:ascii="Arial Narrow" w:hAnsi="Arial Narrow"/>
                <w:sz w:val="20"/>
              </w:rPr>
              <w:t>Letrozole</w:t>
            </w:r>
            <w:proofErr w:type="spellEnd"/>
            <w:r w:rsidRPr="003E7C50">
              <w:rPr>
                <w:rFonts w:ascii="Arial Narrow" w:hAnsi="Arial Narrow"/>
                <w:sz w:val="20"/>
              </w:rPr>
              <w:t xml:space="preserve"> in Advanced Breast Cancer. </w:t>
            </w:r>
          </w:p>
        </w:tc>
        <w:tc>
          <w:tcPr>
            <w:tcW w:w="943" w:type="pct"/>
            <w:tcBorders>
              <w:top w:val="single" w:sz="4" w:space="0" w:color="auto"/>
              <w:left w:val="single" w:sz="4" w:space="0" w:color="auto"/>
              <w:bottom w:val="nil"/>
              <w:right w:val="single" w:sz="4" w:space="0" w:color="auto"/>
            </w:tcBorders>
          </w:tcPr>
          <w:p w:rsidR="00C165A2" w:rsidRPr="003E7C50" w:rsidRDefault="00C165A2" w:rsidP="00C97D59">
            <w:pPr>
              <w:keepNext/>
              <w:widowControl w:val="0"/>
              <w:spacing w:before="0" w:after="0"/>
            </w:pPr>
            <w:r w:rsidRPr="003E7C50">
              <w:rPr>
                <w:rFonts w:ascii="Arial Narrow" w:hAnsi="Arial Narrow"/>
                <w:sz w:val="20"/>
              </w:rPr>
              <w:t>NEJM 2016; 375: 1925-1936.</w:t>
            </w:r>
          </w:p>
        </w:tc>
      </w:tr>
      <w:tr w:rsidR="00C165A2" w:rsidRPr="003E7C50" w:rsidTr="003C639E">
        <w:tc>
          <w:tcPr>
            <w:tcW w:w="848" w:type="pct"/>
            <w:vMerge/>
            <w:tcBorders>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p>
        </w:tc>
        <w:tc>
          <w:tcPr>
            <w:tcW w:w="3209"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 xml:space="preserve">Finn, RS Martin, M Hope, </w:t>
            </w:r>
            <w:proofErr w:type="gramStart"/>
            <w:r w:rsidRPr="003E7C50">
              <w:rPr>
                <w:rFonts w:ascii="Arial Narrow" w:hAnsi="Arial Narrow"/>
                <w:sz w:val="20"/>
              </w:rPr>
              <w:t>S</w:t>
            </w:r>
            <w:proofErr w:type="gramEnd"/>
            <w:r w:rsidRPr="003E7C50">
              <w:rPr>
                <w:rFonts w:ascii="Arial Narrow" w:hAnsi="Arial Narrow"/>
                <w:sz w:val="20"/>
              </w:rPr>
              <w:t xml:space="preserve"> et al. PALOMA-2: Primary results from a phase III trial of </w:t>
            </w:r>
            <w:proofErr w:type="spellStart"/>
            <w:r w:rsidRPr="003E7C50">
              <w:rPr>
                <w:rFonts w:ascii="Arial Narrow" w:hAnsi="Arial Narrow"/>
                <w:sz w:val="20"/>
              </w:rPr>
              <w:t>palbociclib</w:t>
            </w:r>
            <w:proofErr w:type="spellEnd"/>
            <w:r w:rsidRPr="003E7C50">
              <w:rPr>
                <w:rFonts w:ascii="Arial Narrow" w:hAnsi="Arial Narrow"/>
                <w:sz w:val="20"/>
              </w:rPr>
              <w:t xml:space="preserve"> (P) with </w:t>
            </w:r>
            <w:proofErr w:type="spellStart"/>
            <w:r w:rsidRPr="003E7C50">
              <w:rPr>
                <w:rFonts w:ascii="Arial Narrow" w:hAnsi="Arial Narrow"/>
                <w:sz w:val="20"/>
              </w:rPr>
              <w:t>letrozole</w:t>
            </w:r>
            <w:proofErr w:type="spellEnd"/>
            <w:r w:rsidRPr="003E7C50">
              <w:rPr>
                <w:rFonts w:ascii="Arial Narrow" w:hAnsi="Arial Narrow"/>
                <w:sz w:val="20"/>
              </w:rPr>
              <w:t xml:space="preserve"> (L) compared with </w:t>
            </w:r>
            <w:proofErr w:type="spellStart"/>
            <w:r w:rsidRPr="003E7C50">
              <w:rPr>
                <w:rFonts w:ascii="Arial Narrow" w:hAnsi="Arial Narrow"/>
                <w:sz w:val="20"/>
              </w:rPr>
              <w:t>letrozole</w:t>
            </w:r>
            <w:proofErr w:type="spellEnd"/>
            <w:r w:rsidRPr="003E7C50">
              <w:rPr>
                <w:rFonts w:ascii="Arial Narrow" w:hAnsi="Arial Narrow"/>
                <w:sz w:val="20"/>
              </w:rPr>
              <w:t xml:space="preserve"> alone in postmenopausal women with ER+/HER2– advanced breast cancer (ABC).</w:t>
            </w:r>
          </w:p>
        </w:tc>
        <w:tc>
          <w:tcPr>
            <w:tcW w:w="943" w:type="pct"/>
            <w:tcBorders>
              <w:top w:val="nil"/>
              <w:left w:val="single" w:sz="4" w:space="0" w:color="auto"/>
              <w:bottom w:val="nil"/>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 xml:space="preserve">J </w:t>
            </w:r>
            <w:proofErr w:type="spellStart"/>
            <w:r w:rsidRPr="003E7C50">
              <w:rPr>
                <w:rFonts w:ascii="Arial Narrow" w:hAnsi="Arial Narrow"/>
                <w:sz w:val="20"/>
              </w:rPr>
              <w:t>Clin</w:t>
            </w:r>
            <w:proofErr w:type="spellEnd"/>
            <w:r w:rsidRPr="003E7C50">
              <w:rPr>
                <w:rFonts w:ascii="Arial Narrow" w:hAnsi="Arial Narrow"/>
                <w:sz w:val="20"/>
              </w:rPr>
              <w:t xml:space="preserve"> </w:t>
            </w:r>
            <w:proofErr w:type="spellStart"/>
            <w:r w:rsidRPr="003E7C50">
              <w:rPr>
                <w:rFonts w:ascii="Arial Narrow" w:hAnsi="Arial Narrow"/>
                <w:sz w:val="20"/>
              </w:rPr>
              <w:t>Oncol</w:t>
            </w:r>
            <w:proofErr w:type="spellEnd"/>
            <w:r w:rsidRPr="003E7C50">
              <w:rPr>
                <w:rFonts w:ascii="Arial Narrow" w:hAnsi="Arial Narrow"/>
                <w:sz w:val="20"/>
              </w:rPr>
              <w:t xml:space="preserve"> 34, 2016 (</w:t>
            </w:r>
            <w:proofErr w:type="spellStart"/>
            <w:r w:rsidRPr="003E7C50">
              <w:rPr>
                <w:rFonts w:ascii="Arial Narrow" w:hAnsi="Arial Narrow"/>
                <w:sz w:val="20"/>
              </w:rPr>
              <w:t>suppl</w:t>
            </w:r>
            <w:proofErr w:type="spellEnd"/>
            <w:r w:rsidRPr="003E7C50">
              <w:rPr>
                <w:rFonts w:ascii="Arial Narrow" w:hAnsi="Arial Narrow"/>
                <w:sz w:val="20"/>
              </w:rPr>
              <w:t>; abstract 507).</w:t>
            </w:r>
          </w:p>
        </w:tc>
      </w:tr>
      <w:tr w:rsidR="00C165A2" w:rsidRPr="003E7C50" w:rsidTr="003C639E">
        <w:tc>
          <w:tcPr>
            <w:tcW w:w="848" w:type="pct"/>
            <w:tcBorders>
              <w:top w:val="nil"/>
              <w:left w:val="single" w:sz="4" w:space="0" w:color="auto"/>
              <w:bottom w:val="single" w:sz="4" w:space="0" w:color="auto"/>
              <w:right w:val="single" w:sz="4" w:space="0" w:color="auto"/>
            </w:tcBorders>
          </w:tcPr>
          <w:p w:rsidR="00C165A2" w:rsidRPr="003E7C50" w:rsidRDefault="00C165A2" w:rsidP="00C97D59">
            <w:pPr>
              <w:keepNext/>
              <w:widowControl w:val="0"/>
              <w:spacing w:before="0" w:after="0"/>
              <w:rPr>
                <w:rFonts w:ascii="Arial Narrow" w:hAnsi="Arial Narrow"/>
                <w:sz w:val="20"/>
              </w:rPr>
            </w:pPr>
          </w:p>
        </w:tc>
        <w:tc>
          <w:tcPr>
            <w:tcW w:w="3209" w:type="pct"/>
            <w:tcBorders>
              <w:top w:val="nil"/>
              <w:left w:val="single" w:sz="4" w:space="0" w:color="auto"/>
              <w:bottom w:val="single" w:sz="4" w:space="0" w:color="auto"/>
              <w:right w:val="single" w:sz="4" w:space="0" w:color="auto"/>
            </w:tcBorders>
          </w:tcPr>
          <w:p w:rsidR="00C165A2" w:rsidRPr="003E7C50" w:rsidRDefault="00C165A2" w:rsidP="00C97D59">
            <w:pPr>
              <w:keepNext/>
              <w:widowControl w:val="0"/>
              <w:spacing w:before="0" w:after="0"/>
              <w:rPr>
                <w:rFonts w:ascii="Arial Narrow" w:hAnsi="Arial Narrow"/>
                <w:sz w:val="20"/>
              </w:rPr>
            </w:pPr>
            <w:proofErr w:type="spellStart"/>
            <w:r w:rsidRPr="003E7C50">
              <w:rPr>
                <w:rFonts w:ascii="Arial Narrow" w:hAnsi="Arial Narrow"/>
                <w:sz w:val="20"/>
              </w:rPr>
              <w:t>Rugo</w:t>
            </w:r>
            <w:proofErr w:type="spellEnd"/>
            <w:r w:rsidRPr="003E7C50">
              <w:rPr>
                <w:rFonts w:ascii="Arial Narrow" w:hAnsi="Arial Narrow"/>
                <w:sz w:val="20"/>
              </w:rPr>
              <w:t xml:space="preserve"> 2016. Impact of </w:t>
            </w:r>
            <w:proofErr w:type="spellStart"/>
            <w:r w:rsidRPr="003E7C50">
              <w:rPr>
                <w:rFonts w:ascii="Arial Narrow" w:hAnsi="Arial Narrow"/>
                <w:sz w:val="20"/>
              </w:rPr>
              <w:t>palbociclib</w:t>
            </w:r>
            <w:proofErr w:type="spellEnd"/>
            <w:r w:rsidRPr="003E7C50">
              <w:rPr>
                <w:rFonts w:ascii="Arial Narrow" w:hAnsi="Arial Narrow"/>
                <w:sz w:val="20"/>
              </w:rPr>
              <w:t xml:space="preserve"> plus </w:t>
            </w:r>
            <w:proofErr w:type="spellStart"/>
            <w:r w:rsidRPr="003E7C50">
              <w:rPr>
                <w:rFonts w:ascii="Arial Narrow" w:hAnsi="Arial Narrow"/>
                <w:sz w:val="20"/>
              </w:rPr>
              <w:t>letrozole</w:t>
            </w:r>
            <w:proofErr w:type="spellEnd"/>
            <w:r w:rsidRPr="003E7C50">
              <w:rPr>
                <w:rFonts w:ascii="Arial Narrow" w:hAnsi="Arial Narrow"/>
                <w:sz w:val="20"/>
              </w:rPr>
              <w:t xml:space="preserve"> on health related quality of life (HRQOL) compared with </w:t>
            </w:r>
            <w:proofErr w:type="spellStart"/>
            <w:r w:rsidRPr="003E7C50">
              <w:rPr>
                <w:rFonts w:ascii="Arial Narrow" w:hAnsi="Arial Narrow"/>
                <w:sz w:val="20"/>
              </w:rPr>
              <w:t>letrozole</w:t>
            </w:r>
            <w:proofErr w:type="spellEnd"/>
            <w:r w:rsidRPr="003E7C50">
              <w:rPr>
                <w:rFonts w:ascii="Arial Narrow" w:hAnsi="Arial Narrow"/>
                <w:sz w:val="20"/>
              </w:rPr>
              <w:t xml:space="preserve"> alone in treatment naïve postmenopausal patients with ER+ HER2-metastatic breast cancer (MBC): Results from PALOMA-2. An </w:t>
            </w:r>
            <w:proofErr w:type="spellStart"/>
            <w:r w:rsidRPr="003E7C50">
              <w:rPr>
                <w:rFonts w:ascii="Arial Narrow" w:hAnsi="Arial Narrow"/>
                <w:sz w:val="20"/>
              </w:rPr>
              <w:t>Oncol</w:t>
            </w:r>
            <w:proofErr w:type="spellEnd"/>
            <w:r w:rsidRPr="003E7C50">
              <w:rPr>
                <w:rFonts w:ascii="Arial Narrow" w:hAnsi="Arial Narrow"/>
                <w:sz w:val="20"/>
              </w:rPr>
              <w:t xml:space="preserve"> 27 (suppl_6): 225PD</w:t>
            </w:r>
          </w:p>
        </w:tc>
        <w:tc>
          <w:tcPr>
            <w:tcW w:w="943" w:type="pct"/>
            <w:tcBorders>
              <w:top w:val="nil"/>
              <w:left w:val="single" w:sz="4" w:space="0" w:color="auto"/>
              <w:bottom w:val="single" w:sz="4" w:space="0" w:color="auto"/>
              <w:right w:val="single" w:sz="4" w:space="0" w:color="auto"/>
            </w:tcBorders>
          </w:tcPr>
          <w:p w:rsidR="00C165A2" w:rsidRPr="003E7C50" w:rsidRDefault="00C165A2" w:rsidP="00C97D59">
            <w:pPr>
              <w:keepNext/>
              <w:widowControl w:val="0"/>
              <w:spacing w:before="0" w:after="0"/>
              <w:rPr>
                <w:rFonts w:ascii="Arial Narrow" w:hAnsi="Arial Narrow"/>
                <w:sz w:val="20"/>
              </w:rPr>
            </w:pPr>
            <w:r w:rsidRPr="003E7C50">
              <w:rPr>
                <w:rFonts w:ascii="Arial Narrow" w:hAnsi="Arial Narrow"/>
                <w:sz w:val="20"/>
              </w:rPr>
              <w:t xml:space="preserve">An </w:t>
            </w:r>
            <w:proofErr w:type="spellStart"/>
            <w:r w:rsidRPr="003E7C50">
              <w:rPr>
                <w:rFonts w:ascii="Arial Narrow" w:hAnsi="Arial Narrow"/>
                <w:sz w:val="20"/>
              </w:rPr>
              <w:t>Oncol</w:t>
            </w:r>
            <w:proofErr w:type="spellEnd"/>
            <w:r w:rsidRPr="003E7C50">
              <w:rPr>
                <w:rFonts w:ascii="Arial Narrow" w:hAnsi="Arial Narrow"/>
                <w:sz w:val="20"/>
              </w:rPr>
              <w:t xml:space="preserve"> 27 (suppl_6): 225PD</w:t>
            </w:r>
          </w:p>
        </w:tc>
      </w:tr>
    </w:tbl>
    <w:p w:rsidR="00C165A2" w:rsidRPr="003E7C50" w:rsidRDefault="00C165A2" w:rsidP="003C639E">
      <w:pPr>
        <w:pStyle w:val="TableFooter"/>
        <w:widowControl/>
        <w:ind w:left="709" w:hanging="709"/>
      </w:pPr>
      <w:r w:rsidRPr="003E7C50">
        <w:t>Source: Table2.3 p 53 of the submission</w:t>
      </w:r>
      <w:r w:rsidR="00D96796" w:rsidRPr="003E7C50">
        <w:t>.</w:t>
      </w:r>
    </w:p>
    <w:p w:rsidR="00C165A2" w:rsidRPr="003E7C50" w:rsidRDefault="00C165A2" w:rsidP="00C165A2">
      <w:pPr>
        <w:numPr>
          <w:ilvl w:val="1"/>
          <w:numId w:val="3"/>
        </w:numPr>
        <w:spacing w:before="0" w:after="120"/>
        <w:jc w:val="both"/>
        <w:rPr>
          <w:rFonts w:cstheme="minorHAnsi"/>
        </w:rPr>
      </w:pPr>
      <w:r w:rsidRPr="003E7C50">
        <w:rPr>
          <w:rFonts w:cstheme="minorHAnsi"/>
        </w:rPr>
        <w:t>The key features of the direct and indirect randomised trial</w:t>
      </w:r>
      <w:r w:rsidR="00350719" w:rsidRPr="003E7C50">
        <w:rPr>
          <w:rFonts w:cstheme="minorHAnsi"/>
        </w:rPr>
        <w:t>s</w:t>
      </w:r>
      <w:r w:rsidRPr="003E7C50">
        <w:rPr>
          <w:rFonts w:cstheme="minorHAnsi"/>
        </w:rPr>
        <w:t xml:space="preserve"> are </w:t>
      </w:r>
      <w:r w:rsidR="00D85B19" w:rsidRPr="003E7C50">
        <w:rPr>
          <w:rFonts w:cstheme="minorHAnsi"/>
        </w:rPr>
        <w:t xml:space="preserve">summarised in the </w:t>
      </w:r>
      <w:r w:rsidR="00677798" w:rsidRPr="003E7C50">
        <w:rPr>
          <w:rFonts w:cstheme="minorHAnsi"/>
        </w:rPr>
        <w:t xml:space="preserve">following </w:t>
      </w:r>
      <w:r w:rsidR="00D85B19" w:rsidRPr="003E7C50">
        <w:rPr>
          <w:rFonts w:cstheme="minorHAnsi"/>
        </w:rPr>
        <w:t>table.</w:t>
      </w:r>
    </w:p>
    <w:p w:rsidR="00762A23" w:rsidRDefault="00762A23" w:rsidP="00762A23">
      <w:pPr>
        <w:pStyle w:val="Caption"/>
      </w:pPr>
      <w:r>
        <w:t xml:space="preserve">Table </w:t>
      </w:r>
      <w:r>
        <w:rPr>
          <w:noProof/>
        </w:rPr>
        <w:t>3</w:t>
      </w:r>
      <w:r w:rsidRPr="009804FB">
        <w:t xml:space="preserve">: Key features of the included evidence, </w:t>
      </w:r>
      <w:proofErr w:type="spellStart"/>
      <w:r w:rsidRPr="009804FB">
        <w:t>ribociclib</w:t>
      </w:r>
      <w:proofErr w:type="spellEnd"/>
      <w:r w:rsidRPr="009804FB">
        <w:t xml:space="preserve"> + </w:t>
      </w:r>
      <w:proofErr w:type="spellStart"/>
      <w:r w:rsidRPr="009804FB">
        <w:t>letrozole</w:t>
      </w:r>
      <w:proofErr w:type="spellEnd"/>
      <w:r w:rsidRPr="009804FB">
        <w:t xml:space="preserve"> vs. </w:t>
      </w:r>
      <w:proofErr w:type="spellStart"/>
      <w:r w:rsidRPr="009804FB">
        <w:t>letrozole</w:t>
      </w:r>
      <w:proofErr w:type="spellEnd"/>
      <w:r w:rsidRPr="009804FB">
        <w:t xml:space="preserve"> alone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425"/>
        <w:gridCol w:w="1275"/>
        <w:gridCol w:w="427"/>
        <w:gridCol w:w="992"/>
        <w:gridCol w:w="2688"/>
        <w:gridCol w:w="1971"/>
      </w:tblGrid>
      <w:tr w:rsidR="001729A6" w:rsidRPr="003E7C50" w:rsidTr="000912A0">
        <w:trPr>
          <w:tblHeader/>
        </w:trPr>
        <w:tc>
          <w:tcPr>
            <w:tcW w:w="718" w:type="pct"/>
            <w:shd w:val="clear" w:color="auto" w:fill="auto"/>
            <w:vAlign w:val="center"/>
          </w:tcPr>
          <w:p w:rsidR="00C165A2" w:rsidRPr="003E7C50" w:rsidRDefault="00C165A2" w:rsidP="00C97D59">
            <w:pPr>
              <w:keepNext/>
              <w:spacing w:before="40" w:after="40"/>
              <w:rPr>
                <w:rFonts w:ascii="Arial Narrow" w:hAnsi="Arial Narrow"/>
                <w:b/>
                <w:sz w:val="20"/>
              </w:rPr>
            </w:pPr>
            <w:r w:rsidRPr="003E7C50">
              <w:rPr>
                <w:rFonts w:ascii="Arial Narrow" w:hAnsi="Arial Narrow"/>
                <w:b/>
                <w:sz w:val="20"/>
              </w:rPr>
              <w:t>Trial</w:t>
            </w:r>
          </w:p>
        </w:tc>
        <w:tc>
          <w:tcPr>
            <w:tcW w:w="234" w:type="pct"/>
            <w:shd w:val="clear" w:color="auto" w:fill="auto"/>
            <w:vAlign w:val="center"/>
          </w:tcPr>
          <w:p w:rsidR="00C165A2" w:rsidRPr="003E7C50" w:rsidRDefault="00C165A2" w:rsidP="00C97D59">
            <w:pPr>
              <w:keepNext/>
              <w:spacing w:before="40" w:after="40"/>
              <w:rPr>
                <w:rFonts w:ascii="Arial Narrow" w:hAnsi="Arial Narrow"/>
                <w:b/>
                <w:sz w:val="20"/>
              </w:rPr>
            </w:pPr>
            <w:r w:rsidRPr="003E7C50">
              <w:rPr>
                <w:rFonts w:ascii="Arial Narrow" w:hAnsi="Arial Narrow"/>
                <w:b/>
                <w:sz w:val="20"/>
              </w:rPr>
              <w:t>N</w:t>
            </w:r>
          </w:p>
        </w:tc>
        <w:tc>
          <w:tcPr>
            <w:tcW w:w="702" w:type="pct"/>
            <w:shd w:val="clear" w:color="auto" w:fill="auto"/>
            <w:vAlign w:val="center"/>
          </w:tcPr>
          <w:p w:rsidR="00C165A2" w:rsidRPr="003E7C50" w:rsidRDefault="00C165A2" w:rsidP="00C97D59">
            <w:pPr>
              <w:keepNext/>
              <w:spacing w:before="40" w:after="40"/>
              <w:rPr>
                <w:rFonts w:ascii="Arial Narrow" w:hAnsi="Arial Narrow"/>
                <w:b/>
                <w:sz w:val="20"/>
              </w:rPr>
            </w:pPr>
            <w:r w:rsidRPr="003E7C50">
              <w:rPr>
                <w:rFonts w:ascii="Arial Narrow" w:hAnsi="Arial Narrow"/>
                <w:b/>
                <w:sz w:val="20"/>
              </w:rPr>
              <w:t>Design/ duration of follow-up (median)</w:t>
            </w:r>
          </w:p>
        </w:tc>
        <w:tc>
          <w:tcPr>
            <w:tcW w:w="235" w:type="pct"/>
            <w:shd w:val="clear" w:color="auto" w:fill="auto"/>
            <w:vAlign w:val="center"/>
          </w:tcPr>
          <w:p w:rsidR="00C165A2" w:rsidRPr="003E7C50" w:rsidRDefault="00C165A2" w:rsidP="00C97D59">
            <w:pPr>
              <w:keepNext/>
              <w:spacing w:before="40" w:after="40"/>
              <w:rPr>
                <w:rFonts w:ascii="Arial Narrow" w:hAnsi="Arial Narrow"/>
                <w:b/>
                <w:sz w:val="20"/>
              </w:rPr>
            </w:pPr>
            <w:r w:rsidRPr="003E7C50">
              <w:rPr>
                <w:rFonts w:ascii="Arial Narrow" w:hAnsi="Arial Narrow"/>
                <w:b/>
                <w:sz w:val="20"/>
              </w:rPr>
              <w:t>Risk of bias</w:t>
            </w:r>
          </w:p>
        </w:tc>
        <w:tc>
          <w:tcPr>
            <w:tcW w:w="546" w:type="pct"/>
            <w:shd w:val="clear" w:color="auto" w:fill="auto"/>
            <w:vAlign w:val="center"/>
          </w:tcPr>
          <w:p w:rsidR="00C165A2" w:rsidRPr="003E7C50" w:rsidRDefault="00C165A2" w:rsidP="00C97D59">
            <w:pPr>
              <w:keepNext/>
              <w:spacing w:before="40" w:after="40"/>
              <w:rPr>
                <w:rFonts w:ascii="Arial Narrow" w:hAnsi="Arial Narrow"/>
                <w:b/>
                <w:sz w:val="20"/>
              </w:rPr>
            </w:pPr>
            <w:r w:rsidRPr="003E7C50">
              <w:rPr>
                <w:rFonts w:ascii="Arial Narrow" w:hAnsi="Arial Narrow"/>
                <w:b/>
                <w:sz w:val="20"/>
              </w:rPr>
              <w:t>Patient population</w:t>
            </w:r>
          </w:p>
        </w:tc>
        <w:tc>
          <w:tcPr>
            <w:tcW w:w="1480" w:type="pct"/>
            <w:shd w:val="clear" w:color="auto" w:fill="auto"/>
            <w:vAlign w:val="center"/>
          </w:tcPr>
          <w:p w:rsidR="00C165A2" w:rsidRPr="003E7C50" w:rsidRDefault="0026657A" w:rsidP="00C97D59">
            <w:pPr>
              <w:keepNext/>
              <w:spacing w:before="40" w:after="40"/>
              <w:rPr>
                <w:rFonts w:ascii="Arial Narrow" w:hAnsi="Arial Narrow"/>
                <w:b/>
                <w:sz w:val="20"/>
              </w:rPr>
            </w:pPr>
            <w:r w:rsidRPr="003E7C50">
              <w:rPr>
                <w:rFonts w:ascii="Arial Narrow" w:hAnsi="Arial Narrow"/>
                <w:b/>
                <w:sz w:val="20"/>
              </w:rPr>
              <w:t>Outcomes</w:t>
            </w:r>
            <w:r w:rsidR="00C51856" w:rsidRPr="003E7C50">
              <w:rPr>
                <w:rFonts w:ascii="Arial Narrow" w:hAnsi="Arial Narrow"/>
                <w:b/>
                <w:sz w:val="20"/>
              </w:rPr>
              <w:t xml:space="preserve"> presented in Section 2</w:t>
            </w:r>
          </w:p>
        </w:tc>
        <w:tc>
          <w:tcPr>
            <w:tcW w:w="1085" w:type="pct"/>
            <w:shd w:val="clear" w:color="auto" w:fill="auto"/>
            <w:vAlign w:val="center"/>
          </w:tcPr>
          <w:p w:rsidR="00C165A2" w:rsidRPr="003E7C50" w:rsidRDefault="00C165A2" w:rsidP="00C97D59">
            <w:pPr>
              <w:keepNext/>
              <w:spacing w:before="40" w:after="40"/>
              <w:rPr>
                <w:rFonts w:ascii="Arial Narrow" w:hAnsi="Arial Narrow"/>
                <w:b/>
                <w:sz w:val="20"/>
              </w:rPr>
            </w:pPr>
            <w:r w:rsidRPr="003E7C50">
              <w:rPr>
                <w:rFonts w:ascii="Arial Narrow" w:hAnsi="Arial Narrow"/>
                <w:b/>
                <w:sz w:val="20"/>
              </w:rPr>
              <w:t>Use in modelled evaluation</w:t>
            </w:r>
            <w:r w:rsidR="00C51856" w:rsidRPr="003E7C50">
              <w:rPr>
                <w:rFonts w:ascii="Arial Narrow" w:hAnsi="Arial Narrow"/>
                <w:b/>
                <w:sz w:val="20"/>
              </w:rPr>
              <w:t xml:space="preserve"> in Section 3</w:t>
            </w:r>
          </w:p>
        </w:tc>
      </w:tr>
      <w:tr w:rsidR="00C165A2" w:rsidRPr="003E7C50" w:rsidTr="001729A6">
        <w:tc>
          <w:tcPr>
            <w:tcW w:w="5000" w:type="pct"/>
            <w:gridSpan w:val="7"/>
            <w:shd w:val="clear" w:color="auto" w:fill="auto"/>
          </w:tcPr>
          <w:p w:rsidR="00C165A2" w:rsidRPr="003E7C50" w:rsidRDefault="00C165A2" w:rsidP="00C97D59">
            <w:pPr>
              <w:keepNext/>
              <w:spacing w:before="40" w:after="40"/>
              <w:rPr>
                <w:rFonts w:ascii="Arial Narrow" w:eastAsia="Times New Roman" w:hAnsi="Arial Narrow" w:cs="Times New Roman"/>
                <w:b/>
                <w:sz w:val="20"/>
              </w:rPr>
            </w:pPr>
            <w:r w:rsidRPr="003E7C50">
              <w:rPr>
                <w:rFonts w:ascii="Arial Narrow" w:hAnsi="Arial Narrow"/>
                <w:b/>
                <w:sz w:val="20"/>
              </w:rPr>
              <w:t>DIRECT EVIDENCE</w:t>
            </w:r>
            <w:r w:rsidR="00FB756E" w:rsidRPr="003E7C50">
              <w:rPr>
                <w:rFonts w:ascii="Arial Narrow" w:hAnsi="Arial Narrow"/>
                <w:b/>
                <w:sz w:val="20"/>
              </w:rPr>
              <w:t xml:space="preserve">: </w:t>
            </w:r>
            <w:proofErr w:type="spellStart"/>
            <w:r w:rsidR="00FB756E" w:rsidRPr="003E7C50">
              <w:rPr>
                <w:rFonts w:ascii="Arial Narrow" w:hAnsi="Arial Narrow"/>
                <w:b/>
                <w:sz w:val="20"/>
              </w:rPr>
              <w:t>Ribociclib</w:t>
            </w:r>
            <w:proofErr w:type="spellEnd"/>
            <w:r w:rsidR="00FB756E" w:rsidRPr="003E7C50">
              <w:rPr>
                <w:rFonts w:ascii="Arial Narrow" w:hAnsi="Arial Narrow"/>
                <w:b/>
                <w:sz w:val="20"/>
              </w:rPr>
              <w:t xml:space="preserve"> + </w:t>
            </w:r>
            <w:proofErr w:type="spellStart"/>
            <w:r w:rsidR="00FB756E" w:rsidRPr="003E7C50">
              <w:rPr>
                <w:rFonts w:ascii="Arial Narrow" w:hAnsi="Arial Narrow"/>
                <w:b/>
                <w:sz w:val="20"/>
              </w:rPr>
              <w:t>letrozole</w:t>
            </w:r>
            <w:proofErr w:type="spellEnd"/>
            <w:r w:rsidR="00FB756E" w:rsidRPr="003E7C50">
              <w:rPr>
                <w:rFonts w:ascii="Arial Narrow" w:hAnsi="Arial Narrow"/>
                <w:b/>
                <w:sz w:val="20"/>
              </w:rPr>
              <w:t xml:space="preserve"> </w:t>
            </w:r>
            <w:r w:rsidR="00885E27" w:rsidRPr="003E7C50">
              <w:rPr>
                <w:rFonts w:ascii="Arial Narrow" w:hAnsi="Arial Narrow"/>
                <w:b/>
                <w:sz w:val="20"/>
              </w:rPr>
              <w:t>vs.</w:t>
            </w:r>
            <w:r w:rsidR="00FB756E" w:rsidRPr="003E7C50">
              <w:rPr>
                <w:rFonts w:ascii="Arial Narrow" w:hAnsi="Arial Narrow"/>
                <w:b/>
                <w:sz w:val="20"/>
              </w:rPr>
              <w:t xml:space="preserve"> </w:t>
            </w:r>
            <w:proofErr w:type="spellStart"/>
            <w:r w:rsidR="00FB756E" w:rsidRPr="003E7C50">
              <w:rPr>
                <w:rFonts w:ascii="Arial Narrow" w:hAnsi="Arial Narrow"/>
                <w:b/>
                <w:sz w:val="20"/>
              </w:rPr>
              <w:t>letrozole</w:t>
            </w:r>
            <w:proofErr w:type="spellEnd"/>
          </w:p>
        </w:tc>
      </w:tr>
      <w:tr w:rsidR="001729A6" w:rsidRPr="003E7C50" w:rsidTr="001729A6">
        <w:tc>
          <w:tcPr>
            <w:tcW w:w="718" w:type="pct"/>
            <w:shd w:val="clear" w:color="auto" w:fill="auto"/>
          </w:tcPr>
          <w:p w:rsidR="00D85B19" w:rsidRPr="003E7C50" w:rsidRDefault="00FB756E" w:rsidP="00C97D59">
            <w:pPr>
              <w:keepNext/>
              <w:widowControl w:val="0"/>
              <w:spacing w:before="40" w:after="40"/>
              <w:rPr>
                <w:rFonts w:ascii="Arial Narrow" w:hAnsi="Arial Narrow"/>
                <w:b/>
                <w:sz w:val="20"/>
              </w:rPr>
            </w:pPr>
            <w:r w:rsidRPr="003E7C50">
              <w:rPr>
                <w:rFonts w:ascii="Arial Narrow" w:hAnsi="Arial Narrow"/>
                <w:b/>
                <w:sz w:val="20"/>
              </w:rPr>
              <w:t>MONALEESA-2</w:t>
            </w:r>
          </w:p>
        </w:tc>
        <w:tc>
          <w:tcPr>
            <w:tcW w:w="234" w:type="pct"/>
            <w:vMerge w:val="restart"/>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r w:rsidRPr="003E7C50">
              <w:rPr>
                <w:rFonts w:ascii="Arial Narrow" w:hAnsi="Arial Narrow"/>
                <w:sz w:val="20"/>
              </w:rPr>
              <w:t>668</w:t>
            </w:r>
          </w:p>
        </w:tc>
        <w:tc>
          <w:tcPr>
            <w:tcW w:w="702" w:type="pct"/>
            <w:shd w:val="clear" w:color="auto" w:fill="auto"/>
          </w:tcPr>
          <w:p w:rsidR="00D85B19" w:rsidRPr="003E7C50" w:rsidRDefault="00D85B19" w:rsidP="00C97D59">
            <w:pPr>
              <w:keepNext/>
              <w:widowControl w:val="0"/>
              <w:spacing w:before="40" w:after="40"/>
              <w:rPr>
                <w:rFonts w:ascii="Arial Narrow" w:hAnsi="Arial Narrow"/>
                <w:sz w:val="20"/>
              </w:rPr>
            </w:pPr>
            <w:r w:rsidRPr="003E7C50">
              <w:rPr>
                <w:rFonts w:ascii="Arial Narrow" w:hAnsi="Arial Narrow"/>
                <w:sz w:val="20"/>
              </w:rPr>
              <w:t>R, DB, MC</w:t>
            </w:r>
          </w:p>
        </w:tc>
        <w:tc>
          <w:tcPr>
            <w:tcW w:w="235" w:type="pct"/>
            <w:vMerge w:val="restart"/>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r w:rsidRPr="003E7C50">
              <w:rPr>
                <w:rFonts w:ascii="Arial Narrow" w:hAnsi="Arial Narrow"/>
                <w:sz w:val="20"/>
              </w:rPr>
              <w:t>Low</w:t>
            </w:r>
          </w:p>
        </w:tc>
        <w:tc>
          <w:tcPr>
            <w:tcW w:w="546" w:type="pct"/>
            <w:vMerge w:val="restart"/>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r w:rsidRPr="003E7C50">
              <w:rPr>
                <w:rFonts w:ascii="Arial Narrow" w:hAnsi="Arial Narrow"/>
                <w:snapToGrid w:val="0"/>
                <w:sz w:val="20"/>
              </w:rPr>
              <w:t>Treatment naïve HR+/HER2</w:t>
            </w:r>
            <w:r w:rsidR="007A5E02" w:rsidRPr="003E7C50">
              <w:rPr>
                <w:rFonts w:ascii="Arial Narrow" w:hAnsi="Arial Narrow"/>
                <w:snapToGrid w:val="0"/>
                <w:sz w:val="20"/>
              </w:rPr>
              <w:t>-</w:t>
            </w:r>
            <w:r w:rsidRPr="003E7C50">
              <w:rPr>
                <w:rFonts w:ascii="Arial Narrow" w:hAnsi="Arial Narrow"/>
                <w:snapToGrid w:val="0"/>
                <w:sz w:val="20"/>
              </w:rPr>
              <w:t xml:space="preserve"> ABC</w:t>
            </w:r>
          </w:p>
        </w:tc>
        <w:tc>
          <w:tcPr>
            <w:tcW w:w="1480" w:type="pct"/>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p>
        </w:tc>
        <w:tc>
          <w:tcPr>
            <w:tcW w:w="1085" w:type="pct"/>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p>
        </w:tc>
      </w:tr>
      <w:tr w:rsidR="001729A6" w:rsidRPr="003E7C50" w:rsidTr="001729A6">
        <w:tc>
          <w:tcPr>
            <w:tcW w:w="718" w:type="pct"/>
            <w:shd w:val="clear" w:color="auto" w:fill="auto"/>
          </w:tcPr>
          <w:p w:rsidR="00D85B19" w:rsidRPr="003E7C50" w:rsidRDefault="00D85B19" w:rsidP="00C97D59">
            <w:pPr>
              <w:keepNext/>
              <w:widowControl w:val="0"/>
              <w:spacing w:before="40" w:after="40"/>
              <w:rPr>
                <w:rFonts w:ascii="Arial Narrow" w:hAnsi="Arial Narrow"/>
                <w:sz w:val="20"/>
              </w:rPr>
            </w:pPr>
            <w:r w:rsidRPr="003E7C50">
              <w:rPr>
                <w:rFonts w:ascii="Arial Narrow" w:hAnsi="Arial Narrow"/>
                <w:sz w:val="20"/>
              </w:rPr>
              <w:t>Jan 2016 interim analysis</w:t>
            </w:r>
          </w:p>
        </w:tc>
        <w:tc>
          <w:tcPr>
            <w:tcW w:w="234" w:type="pct"/>
            <w:vMerge/>
            <w:shd w:val="clear" w:color="auto" w:fill="auto"/>
          </w:tcPr>
          <w:p w:rsidR="00D85B19" w:rsidRPr="003E7C50" w:rsidRDefault="00D85B19" w:rsidP="00C97D59">
            <w:pPr>
              <w:keepNext/>
              <w:widowControl w:val="0"/>
              <w:spacing w:before="40" w:after="40"/>
              <w:rPr>
                <w:rFonts w:ascii="Arial Narrow" w:hAnsi="Arial Narrow"/>
                <w:sz w:val="20"/>
              </w:rPr>
            </w:pPr>
          </w:p>
        </w:tc>
        <w:tc>
          <w:tcPr>
            <w:tcW w:w="702" w:type="pct"/>
            <w:shd w:val="clear" w:color="auto" w:fill="auto"/>
          </w:tcPr>
          <w:p w:rsidR="00D85B19" w:rsidRPr="003E7C50" w:rsidRDefault="00D85B19" w:rsidP="00C97D59">
            <w:pPr>
              <w:keepNext/>
              <w:widowControl w:val="0"/>
              <w:spacing w:before="40" w:after="40"/>
              <w:rPr>
                <w:rFonts w:ascii="Arial Narrow" w:hAnsi="Arial Narrow"/>
                <w:sz w:val="20"/>
              </w:rPr>
            </w:pPr>
            <w:r w:rsidRPr="003E7C50">
              <w:rPr>
                <w:rFonts w:ascii="Arial Narrow" w:hAnsi="Arial Narrow"/>
                <w:sz w:val="20"/>
              </w:rPr>
              <w:t>15.3 months</w:t>
            </w:r>
          </w:p>
        </w:tc>
        <w:tc>
          <w:tcPr>
            <w:tcW w:w="235" w:type="pct"/>
            <w:vMerge/>
            <w:shd w:val="clear" w:color="auto" w:fill="auto"/>
          </w:tcPr>
          <w:p w:rsidR="00D85B19" w:rsidRPr="003E7C50" w:rsidRDefault="00D85B19" w:rsidP="00C97D59">
            <w:pPr>
              <w:keepNext/>
              <w:widowControl w:val="0"/>
              <w:spacing w:before="40" w:after="40"/>
              <w:rPr>
                <w:rFonts w:ascii="Arial Narrow" w:hAnsi="Arial Narrow"/>
                <w:sz w:val="20"/>
              </w:rPr>
            </w:pPr>
          </w:p>
        </w:tc>
        <w:tc>
          <w:tcPr>
            <w:tcW w:w="546" w:type="pct"/>
            <w:vMerge/>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p>
        </w:tc>
        <w:tc>
          <w:tcPr>
            <w:tcW w:w="1480" w:type="pct"/>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Primary: investigator assessed PFS</w:t>
            </w:r>
          </w:p>
          <w:p w:rsidR="00D85B19" w:rsidRPr="003E7C50" w:rsidRDefault="00D85B19"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 xml:space="preserve">Secondary: BICR PFS, </w:t>
            </w:r>
            <w:r w:rsidR="00466C20" w:rsidRPr="003E7C50">
              <w:rPr>
                <w:rFonts w:ascii="Arial Narrow" w:eastAsia="Times New Roman" w:hAnsi="Arial Narrow" w:cs="Times New Roman"/>
                <w:sz w:val="20"/>
              </w:rPr>
              <w:t>ORR</w:t>
            </w:r>
            <w:r w:rsidRPr="003E7C50">
              <w:rPr>
                <w:rFonts w:ascii="Arial Narrow" w:eastAsia="Times New Roman" w:hAnsi="Arial Narrow" w:cs="Times New Roman"/>
                <w:sz w:val="20"/>
              </w:rPr>
              <w:t>,</w:t>
            </w:r>
            <w:r w:rsidR="00BC7348" w:rsidRPr="003E7C50">
              <w:rPr>
                <w:rFonts w:ascii="Arial Narrow" w:eastAsia="Times New Roman" w:hAnsi="Arial Narrow" w:cs="Times New Roman"/>
                <w:sz w:val="20"/>
              </w:rPr>
              <w:t xml:space="preserve"> CBR,</w:t>
            </w:r>
            <w:r w:rsidRPr="003E7C50">
              <w:rPr>
                <w:rFonts w:ascii="Arial Narrow" w:eastAsia="Times New Roman" w:hAnsi="Arial Narrow" w:cs="Times New Roman"/>
                <w:sz w:val="20"/>
              </w:rPr>
              <w:t xml:space="preserve"> OS, AEs, PROs</w:t>
            </w:r>
          </w:p>
        </w:tc>
        <w:tc>
          <w:tcPr>
            <w:tcW w:w="1085" w:type="pct"/>
            <w:shd w:val="clear" w:color="auto" w:fill="auto"/>
          </w:tcPr>
          <w:p w:rsidR="00D85B19" w:rsidRPr="003E7C50" w:rsidRDefault="00466C20"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Investigator assessed PFS and OS u</w:t>
            </w:r>
            <w:r w:rsidR="00D85B19" w:rsidRPr="003E7C50">
              <w:rPr>
                <w:rFonts w:ascii="Arial Narrow" w:eastAsia="Times New Roman" w:hAnsi="Arial Narrow" w:cs="Times New Roman"/>
                <w:sz w:val="20"/>
              </w:rPr>
              <w:t>sed in model</w:t>
            </w:r>
            <w:r w:rsidR="00BC7348" w:rsidRPr="003E7C50">
              <w:rPr>
                <w:rFonts w:ascii="Arial Narrow" w:eastAsia="Times New Roman" w:hAnsi="Arial Narrow" w:cs="Times New Roman"/>
                <w:sz w:val="20"/>
              </w:rPr>
              <w:t>.</w:t>
            </w:r>
          </w:p>
          <w:p w:rsidR="00BC7348" w:rsidRPr="003E7C50" w:rsidRDefault="00BC7348"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PFS, ORR and AEs used in indirect comparison.</w:t>
            </w:r>
          </w:p>
        </w:tc>
      </w:tr>
      <w:tr w:rsidR="001729A6" w:rsidRPr="003E7C50" w:rsidTr="001729A6">
        <w:tc>
          <w:tcPr>
            <w:tcW w:w="718" w:type="pct"/>
            <w:shd w:val="clear" w:color="auto" w:fill="auto"/>
          </w:tcPr>
          <w:p w:rsidR="00D85B19" w:rsidRPr="003E7C50" w:rsidRDefault="00D85B19" w:rsidP="00C97D59">
            <w:pPr>
              <w:keepNext/>
              <w:widowControl w:val="0"/>
              <w:spacing w:before="40" w:after="40"/>
              <w:rPr>
                <w:rFonts w:ascii="Arial Narrow" w:hAnsi="Arial Narrow"/>
                <w:sz w:val="20"/>
              </w:rPr>
            </w:pPr>
            <w:r w:rsidRPr="003E7C50">
              <w:rPr>
                <w:rFonts w:ascii="Arial Narrow" w:hAnsi="Arial Narrow"/>
                <w:sz w:val="20"/>
              </w:rPr>
              <w:t>Jun 2016 interim analysis</w:t>
            </w:r>
          </w:p>
        </w:tc>
        <w:tc>
          <w:tcPr>
            <w:tcW w:w="234" w:type="pct"/>
            <w:vMerge/>
            <w:shd w:val="clear" w:color="auto" w:fill="auto"/>
          </w:tcPr>
          <w:p w:rsidR="00D85B19" w:rsidRPr="003E7C50" w:rsidRDefault="00D85B19" w:rsidP="00C97D59">
            <w:pPr>
              <w:keepNext/>
              <w:widowControl w:val="0"/>
              <w:spacing w:before="40" w:after="40"/>
              <w:rPr>
                <w:rFonts w:ascii="Arial Narrow" w:hAnsi="Arial Narrow"/>
                <w:sz w:val="20"/>
              </w:rPr>
            </w:pPr>
          </w:p>
        </w:tc>
        <w:tc>
          <w:tcPr>
            <w:tcW w:w="702" w:type="pct"/>
            <w:shd w:val="clear" w:color="auto" w:fill="auto"/>
          </w:tcPr>
          <w:p w:rsidR="00D85B19" w:rsidRPr="003E7C50" w:rsidRDefault="00D85B19" w:rsidP="00C97D59">
            <w:pPr>
              <w:keepNext/>
              <w:widowControl w:val="0"/>
              <w:spacing w:before="40" w:after="40"/>
              <w:rPr>
                <w:rFonts w:ascii="Arial Narrow" w:hAnsi="Arial Narrow"/>
                <w:sz w:val="20"/>
              </w:rPr>
            </w:pPr>
            <w:r w:rsidRPr="00495328">
              <w:rPr>
                <w:rFonts w:ascii="Arial Narrow" w:hAnsi="Arial Narrow"/>
                <w:sz w:val="20"/>
              </w:rPr>
              <w:t>20.1 months</w:t>
            </w:r>
          </w:p>
        </w:tc>
        <w:tc>
          <w:tcPr>
            <w:tcW w:w="235" w:type="pct"/>
            <w:vMerge/>
            <w:shd w:val="clear" w:color="auto" w:fill="auto"/>
          </w:tcPr>
          <w:p w:rsidR="00D85B19" w:rsidRPr="003E7C50" w:rsidRDefault="00D85B19" w:rsidP="00C97D59">
            <w:pPr>
              <w:keepNext/>
              <w:widowControl w:val="0"/>
              <w:spacing w:before="40" w:after="40"/>
              <w:rPr>
                <w:rFonts w:ascii="Arial Narrow" w:hAnsi="Arial Narrow"/>
                <w:sz w:val="20"/>
              </w:rPr>
            </w:pPr>
          </w:p>
        </w:tc>
        <w:tc>
          <w:tcPr>
            <w:tcW w:w="546" w:type="pct"/>
            <w:vMerge/>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p>
        </w:tc>
        <w:tc>
          <w:tcPr>
            <w:tcW w:w="1480" w:type="pct"/>
            <w:shd w:val="clear" w:color="auto" w:fill="auto"/>
          </w:tcPr>
          <w:p w:rsidR="00D85B19" w:rsidRPr="00194334" w:rsidRDefault="00D85B19" w:rsidP="00C97D59">
            <w:pPr>
              <w:keepNext/>
              <w:widowControl w:val="0"/>
              <w:spacing w:before="40" w:after="40"/>
              <w:rPr>
                <w:rFonts w:ascii="Arial Narrow" w:eastAsia="Times New Roman" w:hAnsi="Arial Narrow" w:cs="Times New Roman"/>
                <w:sz w:val="20"/>
              </w:rPr>
            </w:pPr>
            <w:r w:rsidRPr="00194334">
              <w:rPr>
                <w:rFonts w:ascii="Arial Narrow" w:eastAsia="Times New Roman" w:hAnsi="Arial Narrow" w:cs="Times New Roman"/>
                <w:sz w:val="20"/>
              </w:rPr>
              <w:t>Primary: investigator assessed PFS</w:t>
            </w:r>
          </w:p>
          <w:p w:rsidR="00D85B19" w:rsidRPr="003E7C50" w:rsidRDefault="00D85B19" w:rsidP="00C97D59">
            <w:pPr>
              <w:keepNext/>
              <w:widowControl w:val="0"/>
              <w:spacing w:before="40" w:after="40"/>
              <w:rPr>
                <w:rFonts w:ascii="Arial Narrow" w:eastAsia="Times New Roman" w:hAnsi="Arial Narrow" w:cs="Times New Roman"/>
                <w:sz w:val="20"/>
              </w:rPr>
            </w:pPr>
            <w:r w:rsidRPr="00194334">
              <w:rPr>
                <w:rFonts w:ascii="Arial Narrow" w:eastAsia="Times New Roman" w:hAnsi="Arial Narrow" w:cs="Times New Roman"/>
                <w:sz w:val="20"/>
              </w:rPr>
              <w:t xml:space="preserve">Secondary: </w:t>
            </w:r>
            <w:r w:rsidR="00BC7348" w:rsidRPr="00194334">
              <w:rPr>
                <w:rFonts w:ascii="Arial Narrow" w:eastAsia="Times New Roman" w:hAnsi="Arial Narrow" w:cs="Times New Roman"/>
                <w:sz w:val="20"/>
              </w:rPr>
              <w:t xml:space="preserve">ORR, CBR, </w:t>
            </w:r>
            <w:r w:rsidRPr="00194334">
              <w:rPr>
                <w:rFonts w:ascii="Arial Narrow" w:eastAsia="Times New Roman" w:hAnsi="Arial Narrow" w:cs="Times New Roman"/>
                <w:sz w:val="20"/>
              </w:rPr>
              <w:t>AEs</w:t>
            </w:r>
          </w:p>
        </w:tc>
        <w:tc>
          <w:tcPr>
            <w:tcW w:w="1085" w:type="pct"/>
            <w:shd w:val="clear" w:color="auto" w:fill="auto"/>
          </w:tcPr>
          <w:p w:rsidR="00BC7348" w:rsidRPr="00194334" w:rsidRDefault="00466C20" w:rsidP="00C97D59">
            <w:pPr>
              <w:keepNext/>
              <w:widowControl w:val="0"/>
              <w:spacing w:before="40" w:after="40"/>
              <w:rPr>
                <w:rFonts w:ascii="Arial Narrow" w:eastAsia="Times New Roman" w:hAnsi="Arial Narrow" w:cs="Times New Roman"/>
                <w:sz w:val="20"/>
              </w:rPr>
            </w:pPr>
            <w:r w:rsidRPr="00194334">
              <w:rPr>
                <w:rFonts w:ascii="Arial Narrow" w:eastAsia="Times New Roman" w:hAnsi="Arial Narrow" w:cs="Times New Roman"/>
                <w:sz w:val="20"/>
              </w:rPr>
              <w:t>ORR used in model.</w:t>
            </w:r>
          </w:p>
          <w:p w:rsidR="00D85B19" w:rsidRPr="003E7C50" w:rsidRDefault="00BC7348" w:rsidP="00C97D59">
            <w:pPr>
              <w:keepNext/>
              <w:widowControl w:val="0"/>
              <w:spacing w:before="40" w:after="40"/>
              <w:rPr>
                <w:rFonts w:ascii="Arial Narrow" w:eastAsia="Times New Roman" w:hAnsi="Arial Narrow" w:cs="Times New Roman"/>
                <w:sz w:val="20"/>
              </w:rPr>
            </w:pPr>
            <w:r w:rsidRPr="00194334">
              <w:rPr>
                <w:rFonts w:ascii="Arial Narrow" w:eastAsia="Times New Roman" w:hAnsi="Arial Narrow" w:cs="Times New Roman"/>
                <w:sz w:val="20"/>
              </w:rPr>
              <w:t xml:space="preserve">PFS, ORR and AEs </w:t>
            </w:r>
            <w:r w:rsidR="00466C20" w:rsidRPr="00194334">
              <w:rPr>
                <w:rFonts w:ascii="Arial Narrow" w:eastAsia="Times New Roman" w:hAnsi="Arial Narrow" w:cs="Times New Roman"/>
                <w:sz w:val="20"/>
              </w:rPr>
              <w:t>u</w:t>
            </w:r>
            <w:r w:rsidR="00D85B19" w:rsidRPr="00194334">
              <w:rPr>
                <w:rFonts w:ascii="Arial Narrow" w:eastAsia="Times New Roman" w:hAnsi="Arial Narrow" w:cs="Times New Roman"/>
                <w:sz w:val="20"/>
              </w:rPr>
              <w:t>sed in indirect comparison</w:t>
            </w:r>
            <w:r w:rsidR="00466C20" w:rsidRPr="00194334">
              <w:rPr>
                <w:rFonts w:ascii="Arial Narrow" w:eastAsia="Times New Roman" w:hAnsi="Arial Narrow" w:cs="Times New Roman"/>
                <w:sz w:val="20"/>
              </w:rPr>
              <w:t>.</w:t>
            </w:r>
          </w:p>
        </w:tc>
      </w:tr>
      <w:tr w:rsidR="001729A6" w:rsidRPr="003E7C50" w:rsidTr="001729A6">
        <w:tc>
          <w:tcPr>
            <w:tcW w:w="718" w:type="pct"/>
            <w:shd w:val="clear" w:color="auto" w:fill="auto"/>
          </w:tcPr>
          <w:p w:rsidR="00D85B19" w:rsidRPr="003E7C50" w:rsidRDefault="00D85B19" w:rsidP="00C97D59">
            <w:pPr>
              <w:keepNext/>
              <w:widowControl w:val="0"/>
              <w:spacing w:before="40" w:after="40"/>
              <w:rPr>
                <w:rFonts w:ascii="Arial Narrow" w:hAnsi="Arial Narrow"/>
                <w:sz w:val="20"/>
              </w:rPr>
            </w:pPr>
            <w:r w:rsidRPr="003E7C50">
              <w:rPr>
                <w:rFonts w:ascii="Arial Narrow" w:hAnsi="Arial Narrow"/>
                <w:sz w:val="20"/>
              </w:rPr>
              <w:t>Jan 2017 interim analysis</w:t>
            </w:r>
          </w:p>
        </w:tc>
        <w:tc>
          <w:tcPr>
            <w:tcW w:w="234" w:type="pct"/>
            <w:vMerge/>
            <w:shd w:val="clear" w:color="auto" w:fill="auto"/>
          </w:tcPr>
          <w:p w:rsidR="00D85B19" w:rsidRPr="003E7C50" w:rsidRDefault="00D85B19" w:rsidP="00C97D59">
            <w:pPr>
              <w:keepNext/>
              <w:widowControl w:val="0"/>
              <w:spacing w:before="40" w:after="40"/>
              <w:rPr>
                <w:rFonts w:ascii="Arial Narrow" w:hAnsi="Arial Narrow"/>
                <w:sz w:val="20"/>
              </w:rPr>
            </w:pPr>
          </w:p>
        </w:tc>
        <w:tc>
          <w:tcPr>
            <w:tcW w:w="702" w:type="pct"/>
            <w:shd w:val="clear" w:color="auto" w:fill="auto"/>
          </w:tcPr>
          <w:p w:rsidR="00D85B19" w:rsidRPr="003E7C50" w:rsidRDefault="00D85B19" w:rsidP="00C97D59">
            <w:pPr>
              <w:keepNext/>
              <w:widowControl w:val="0"/>
              <w:spacing w:before="40" w:after="40"/>
              <w:rPr>
                <w:rFonts w:ascii="Arial Narrow" w:hAnsi="Arial Narrow"/>
                <w:sz w:val="20"/>
              </w:rPr>
            </w:pPr>
            <w:r w:rsidRPr="003E7C50">
              <w:rPr>
                <w:rFonts w:ascii="Arial Narrow" w:hAnsi="Arial Narrow"/>
                <w:sz w:val="20"/>
              </w:rPr>
              <w:t>26.4 months</w:t>
            </w:r>
          </w:p>
        </w:tc>
        <w:tc>
          <w:tcPr>
            <w:tcW w:w="235" w:type="pct"/>
            <w:vMerge/>
            <w:shd w:val="clear" w:color="auto" w:fill="auto"/>
          </w:tcPr>
          <w:p w:rsidR="00D85B19" w:rsidRPr="003E7C50" w:rsidRDefault="00D85B19" w:rsidP="00C97D59">
            <w:pPr>
              <w:keepNext/>
              <w:widowControl w:val="0"/>
              <w:spacing w:before="40" w:after="40"/>
              <w:rPr>
                <w:rFonts w:ascii="Arial Narrow" w:hAnsi="Arial Narrow"/>
                <w:sz w:val="20"/>
              </w:rPr>
            </w:pPr>
          </w:p>
        </w:tc>
        <w:tc>
          <w:tcPr>
            <w:tcW w:w="546" w:type="pct"/>
            <w:vMerge/>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p>
        </w:tc>
        <w:tc>
          <w:tcPr>
            <w:tcW w:w="1480" w:type="pct"/>
            <w:shd w:val="clear" w:color="auto" w:fill="auto"/>
          </w:tcPr>
          <w:p w:rsidR="00D85B19" w:rsidRPr="003E7C50" w:rsidRDefault="00D85B19"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Primary: investigator assessed PFS</w:t>
            </w:r>
          </w:p>
          <w:p w:rsidR="00D85B19" w:rsidRPr="003E7C50" w:rsidRDefault="00D85B19"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Secondary: OS</w:t>
            </w:r>
          </w:p>
        </w:tc>
        <w:tc>
          <w:tcPr>
            <w:tcW w:w="1085" w:type="pct"/>
            <w:shd w:val="clear" w:color="auto" w:fill="auto"/>
          </w:tcPr>
          <w:p w:rsidR="00D85B19" w:rsidRPr="003E7C50" w:rsidRDefault="00EA1CBD"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Used for validation purposes only.</w:t>
            </w:r>
          </w:p>
        </w:tc>
      </w:tr>
      <w:tr w:rsidR="00C165A2" w:rsidRPr="003E7C50" w:rsidTr="001729A6">
        <w:tc>
          <w:tcPr>
            <w:tcW w:w="5000" w:type="pct"/>
            <w:gridSpan w:val="7"/>
            <w:shd w:val="clear" w:color="auto" w:fill="auto"/>
          </w:tcPr>
          <w:p w:rsidR="00C165A2" w:rsidRPr="003E7C50" w:rsidRDefault="00C165A2" w:rsidP="00C97D59">
            <w:pPr>
              <w:keepNext/>
              <w:widowControl w:val="0"/>
              <w:spacing w:before="40" w:after="40"/>
              <w:rPr>
                <w:rFonts w:ascii="Arial Narrow" w:eastAsia="Times New Roman" w:hAnsi="Arial Narrow" w:cs="Times New Roman"/>
                <w:b/>
                <w:sz w:val="20"/>
              </w:rPr>
            </w:pPr>
            <w:r w:rsidRPr="003E7C50">
              <w:rPr>
                <w:rFonts w:ascii="Arial Narrow" w:hAnsi="Arial Narrow"/>
                <w:b/>
                <w:sz w:val="20"/>
              </w:rPr>
              <w:t>INDIRECT EVIDENCE</w:t>
            </w:r>
            <w:r w:rsidR="00FB756E" w:rsidRPr="003E7C50">
              <w:rPr>
                <w:rFonts w:ascii="Arial Narrow" w:hAnsi="Arial Narrow"/>
                <w:b/>
                <w:sz w:val="20"/>
              </w:rPr>
              <w:t xml:space="preserve">: </w:t>
            </w:r>
            <w:proofErr w:type="spellStart"/>
            <w:r w:rsidR="00FB756E" w:rsidRPr="003E7C50">
              <w:rPr>
                <w:rFonts w:ascii="Arial Narrow" w:hAnsi="Arial Narrow"/>
                <w:b/>
                <w:sz w:val="20"/>
              </w:rPr>
              <w:t>Palbociclib</w:t>
            </w:r>
            <w:proofErr w:type="spellEnd"/>
            <w:r w:rsidR="00FB756E" w:rsidRPr="003E7C50">
              <w:rPr>
                <w:rFonts w:ascii="Arial Narrow" w:hAnsi="Arial Narrow"/>
                <w:b/>
                <w:sz w:val="20"/>
              </w:rPr>
              <w:t xml:space="preserve"> + </w:t>
            </w:r>
            <w:proofErr w:type="spellStart"/>
            <w:r w:rsidR="00FB756E" w:rsidRPr="003E7C50">
              <w:rPr>
                <w:rFonts w:ascii="Arial Narrow" w:hAnsi="Arial Narrow"/>
                <w:b/>
                <w:sz w:val="20"/>
              </w:rPr>
              <w:t>letrozole</w:t>
            </w:r>
            <w:proofErr w:type="spellEnd"/>
            <w:r w:rsidR="00FB756E" w:rsidRPr="003E7C50">
              <w:rPr>
                <w:rFonts w:ascii="Arial Narrow" w:hAnsi="Arial Narrow"/>
                <w:b/>
                <w:sz w:val="20"/>
              </w:rPr>
              <w:t xml:space="preserve"> </w:t>
            </w:r>
            <w:r w:rsidR="00885E27" w:rsidRPr="003E7C50">
              <w:rPr>
                <w:rFonts w:ascii="Arial Narrow" w:hAnsi="Arial Narrow"/>
                <w:b/>
                <w:sz w:val="20"/>
              </w:rPr>
              <w:t>vs.</w:t>
            </w:r>
            <w:r w:rsidR="00FB756E" w:rsidRPr="003E7C50">
              <w:rPr>
                <w:rFonts w:ascii="Arial Narrow" w:hAnsi="Arial Narrow"/>
                <w:b/>
                <w:sz w:val="20"/>
              </w:rPr>
              <w:t xml:space="preserve"> </w:t>
            </w:r>
            <w:proofErr w:type="spellStart"/>
            <w:r w:rsidR="00FB756E" w:rsidRPr="003E7C50">
              <w:rPr>
                <w:rFonts w:ascii="Arial Narrow" w:hAnsi="Arial Narrow"/>
                <w:b/>
                <w:sz w:val="20"/>
              </w:rPr>
              <w:t>letrozole</w:t>
            </w:r>
            <w:proofErr w:type="spellEnd"/>
          </w:p>
        </w:tc>
      </w:tr>
      <w:tr w:rsidR="001729A6" w:rsidRPr="003E7C50" w:rsidTr="001729A6">
        <w:tc>
          <w:tcPr>
            <w:tcW w:w="718" w:type="pct"/>
            <w:shd w:val="clear" w:color="auto" w:fill="auto"/>
          </w:tcPr>
          <w:p w:rsidR="0022614A" w:rsidRPr="003E7C50" w:rsidRDefault="00FB756E" w:rsidP="00C97D59">
            <w:pPr>
              <w:keepNext/>
              <w:widowControl w:val="0"/>
              <w:spacing w:before="40" w:after="40"/>
              <w:rPr>
                <w:rFonts w:ascii="Arial Narrow" w:hAnsi="Arial Narrow"/>
                <w:sz w:val="20"/>
              </w:rPr>
            </w:pPr>
            <w:r w:rsidRPr="003E7C50">
              <w:rPr>
                <w:rFonts w:ascii="Arial Narrow" w:hAnsi="Arial Narrow"/>
                <w:sz w:val="20"/>
              </w:rPr>
              <w:t>PALOMA-1</w:t>
            </w:r>
          </w:p>
        </w:tc>
        <w:tc>
          <w:tcPr>
            <w:tcW w:w="234" w:type="pct"/>
            <w:shd w:val="clear" w:color="auto" w:fill="auto"/>
          </w:tcPr>
          <w:p w:rsidR="0022614A" w:rsidRPr="003E7C50" w:rsidRDefault="0022614A" w:rsidP="00C97D59">
            <w:pPr>
              <w:keepNext/>
              <w:widowControl w:val="0"/>
              <w:spacing w:before="40" w:after="40"/>
              <w:rPr>
                <w:rFonts w:ascii="Arial Narrow" w:hAnsi="Arial Narrow"/>
                <w:sz w:val="20"/>
              </w:rPr>
            </w:pPr>
            <w:r w:rsidRPr="003E7C50">
              <w:rPr>
                <w:rFonts w:ascii="Arial Narrow" w:eastAsia="Times New Roman" w:hAnsi="Arial Narrow" w:cs="Times New Roman"/>
                <w:sz w:val="20"/>
              </w:rPr>
              <w:t>165</w:t>
            </w:r>
          </w:p>
        </w:tc>
        <w:tc>
          <w:tcPr>
            <w:tcW w:w="702" w:type="pct"/>
            <w:shd w:val="clear" w:color="auto" w:fill="auto"/>
          </w:tcPr>
          <w:p w:rsidR="0022614A" w:rsidRPr="003E7C50" w:rsidRDefault="0022614A" w:rsidP="00C97D59">
            <w:pPr>
              <w:keepNext/>
              <w:widowControl w:val="0"/>
              <w:spacing w:before="40" w:after="40"/>
              <w:rPr>
                <w:rFonts w:ascii="Arial Narrow" w:eastAsia="Times New Roman" w:hAnsi="Arial Narrow" w:cs="Times New Roman"/>
                <w:sz w:val="20"/>
              </w:rPr>
            </w:pPr>
            <w:r w:rsidRPr="003E7C50">
              <w:rPr>
                <w:rFonts w:ascii="Arial Narrow" w:hAnsi="Arial Narrow"/>
                <w:sz w:val="20"/>
              </w:rPr>
              <w:t>R, OL, MC</w:t>
            </w:r>
          </w:p>
          <w:p w:rsidR="0022614A" w:rsidRPr="003E7C50" w:rsidRDefault="0022614A"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P</w:t>
            </w:r>
            <w:r w:rsidR="00D85B19" w:rsidRPr="003E7C50">
              <w:rPr>
                <w:rFonts w:ascii="Arial Narrow" w:eastAsia="Times New Roman" w:hAnsi="Arial Narrow" w:cs="Times New Roman"/>
                <w:sz w:val="20"/>
              </w:rPr>
              <w:t xml:space="preserve">: </w:t>
            </w:r>
            <w:r w:rsidRPr="003E7C50">
              <w:rPr>
                <w:rFonts w:ascii="Arial Narrow" w:eastAsia="Times New Roman" w:hAnsi="Arial Narrow" w:cs="Times New Roman"/>
                <w:sz w:val="20"/>
              </w:rPr>
              <w:t>29.6 months</w:t>
            </w:r>
          </w:p>
          <w:p w:rsidR="0022614A" w:rsidRPr="003E7C50" w:rsidRDefault="0022614A" w:rsidP="00C97D59">
            <w:pPr>
              <w:keepNext/>
              <w:widowControl w:val="0"/>
              <w:spacing w:before="40" w:after="40"/>
              <w:rPr>
                <w:rFonts w:ascii="Arial Narrow" w:hAnsi="Arial Narrow"/>
                <w:sz w:val="20"/>
              </w:rPr>
            </w:pPr>
            <w:r w:rsidRPr="003E7C50">
              <w:rPr>
                <w:rFonts w:ascii="Arial Narrow" w:eastAsia="Times New Roman" w:hAnsi="Arial Narrow" w:cs="Times New Roman"/>
                <w:sz w:val="20"/>
              </w:rPr>
              <w:t>C</w:t>
            </w:r>
            <w:r w:rsidR="00D85B19" w:rsidRPr="003E7C50">
              <w:rPr>
                <w:rFonts w:ascii="Arial Narrow" w:eastAsia="Times New Roman" w:hAnsi="Arial Narrow" w:cs="Times New Roman"/>
                <w:sz w:val="20"/>
              </w:rPr>
              <w:t xml:space="preserve">: </w:t>
            </w:r>
            <w:r w:rsidRPr="003E7C50">
              <w:rPr>
                <w:rFonts w:ascii="Arial Narrow" w:eastAsia="Times New Roman" w:hAnsi="Arial Narrow" w:cs="Times New Roman"/>
                <w:sz w:val="20"/>
              </w:rPr>
              <w:t>27.9 months</w:t>
            </w:r>
          </w:p>
        </w:tc>
        <w:tc>
          <w:tcPr>
            <w:tcW w:w="235" w:type="pct"/>
            <w:shd w:val="clear" w:color="auto" w:fill="auto"/>
          </w:tcPr>
          <w:p w:rsidR="0022614A" w:rsidRPr="003E7C50" w:rsidRDefault="0022614A" w:rsidP="00C97D59">
            <w:pPr>
              <w:keepNext/>
              <w:widowControl w:val="0"/>
              <w:spacing w:before="40" w:after="40"/>
              <w:rPr>
                <w:rFonts w:ascii="Arial Narrow" w:hAnsi="Arial Narrow"/>
                <w:sz w:val="20"/>
              </w:rPr>
            </w:pPr>
            <w:r w:rsidRPr="003E7C50">
              <w:rPr>
                <w:rFonts w:ascii="Arial Narrow" w:hAnsi="Arial Narrow"/>
                <w:sz w:val="20"/>
              </w:rPr>
              <w:t>High</w:t>
            </w:r>
          </w:p>
        </w:tc>
        <w:tc>
          <w:tcPr>
            <w:tcW w:w="546" w:type="pct"/>
            <w:shd w:val="clear" w:color="auto" w:fill="auto"/>
          </w:tcPr>
          <w:p w:rsidR="0022614A" w:rsidRPr="003E7C50" w:rsidRDefault="0022614A" w:rsidP="00C97D59">
            <w:pPr>
              <w:keepNext/>
              <w:widowControl w:val="0"/>
              <w:spacing w:before="40" w:after="40"/>
              <w:rPr>
                <w:rFonts w:ascii="Arial Narrow" w:eastAsia="Times New Roman" w:hAnsi="Arial Narrow" w:cs="Times New Roman"/>
                <w:sz w:val="20"/>
              </w:rPr>
            </w:pPr>
            <w:r w:rsidRPr="003E7C50">
              <w:rPr>
                <w:rFonts w:ascii="Arial Narrow" w:hAnsi="Arial Narrow"/>
                <w:snapToGrid w:val="0"/>
                <w:sz w:val="20"/>
              </w:rPr>
              <w:t>Treatment naïve ER+/HER2</w:t>
            </w:r>
            <w:r w:rsidR="007A5E02" w:rsidRPr="003E7C50">
              <w:rPr>
                <w:rFonts w:ascii="Arial Narrow" w:hAnsi="Arial Narrow"/>
                <w:snapToGrid w:val="0"/>
                <w:sz w:val="20"/>
              </w:rPr>
              <w:t>-</w:t>
            </w:r>
            <w:r w:rsidRPr="003E7C50">
              <w:rPr>
                <w:rFonts w:ascii="Arial Narrow" w:hAnsi="Arial Narrow"/>
                <w:snapToGrid w:val="0"/>
                <w:sz w:val="20"/>
              </w:rPr>
              <w:t xml:space="preserve"> ABC</w:t>
            </w:r>
          </w:p>
        </w:tc>
        <w:tc>
          <w:tcPr>
            <w:tcW w:w="1480" w:type="pct"/>
            <w:shd w:val="clear" w:color="auto" w:fill="auto"/>
            <w:vAlign w:val="center"/>
          </w:tcPr>
          <w:p w:rsidR="0022614A" w:rsidRPr="003E7C50" w:rsidRDefault="0022614A" w:rsidP="00C97D59">
            <w:pPr>
              <w:keepNext/>
              <w:widowControl w:val="0"/>
              <w:spacing w:before="0" w:after="0"/>
              <w:rPr>
                <w:rFonts w:ascii="Arial Narrow" w:hAnsi="Arial Narrow"/>
                <w:sz w:val="20"/>
              </w:rPr>
            </w:pPr>
            <w:r w:rsidRPr="003E7C50">
              <w:rPr>
                <w:rFonts w:ascii="Arial Narrow" w:hAnsi="Arial Narrow"/>
                <w:sz w:val="20"/>
              </w:rPr>
              <w:t>Primary: investigator assessed PFS</w:t>
            </w:r>
          </w:p>
          <w:p w:rsidR="0022614A" w:rsidRPr="003E7C50" w:rsidRDefault="0022614A" w:rsidP="00C97D59">
            <w:pPr>
              <w:keepNext/>
              <w:widowControl w:val="0"/>
              <w:spacing w:before="0" w:after="0"/>
              <w:rPr>
                <w:rFonts w:ascii="Arial Narrow" w:hAnsi="Arial Narrow"/>
                <w:sz w:val="20"/>
              </w:rPr>
            </w:pPr>
          </w:p>
          <w:p w:rsidR="0022614A" w:rsidRPr="003E7C50" w:rsidRDefault="0022614A" w:rsidP="00C97D59">
            <w:pPr>
              <w:keepNext/>
              <w:widowControl w:val="0"/>
              <w:spacing w:before="0" w:after="0"/>
              <w:rPr>
                <w:rFonts w:ascii="Arial Narrow" w:eastAsia="Times New Roman" w:hAnsi="Arial Narrow" w:cs="Times New Roman"/>
                <w:sz w:val="20"/>
              </w:rPr>
            </w:pPr>
            <w:r w:rsidRPr="003E7C50">
              <w:rPr>
                <w:rFonts w:ascii="Arial Narrow" w:hAnsi="Arial Narrow"/>
                <w:sz w:val="20"/>
              </w:rPr>
              <w:t>Secondary: BICR PFS, OS; 1, 2, &amp; 3-y</w:t>
            </w:r>
            <w:r w:rsidR="004A7FE8" w:rsidRPr="003E7C50">
              <w:rPr>
                <w:rFonts w:ascii="Arial Narrow" w:hAnsi="Arial Narrow"/>
                <w:sz w:val="20"/>
              </w:rPr>
              <w:t>ear</w:t>
            </w:r>
            <w:r w:rsidRPr="003E7C50">
              <w:rPr>
                <w:rFonts w:ascii="Arial Narrow" w:hAnsi="Arial Narrow"/>
                <w:sz w:val="20"/>
              </w:rPr>
              <w:t xml:space="preserve"> survival; TTP; OR; CBR; DOR; AE; PROs</w:t>
            </w:r>
          </w:p>
        </w:tc>
        <w:tc>
          <w:tcPr>
            <w:tcW w:w="1085" w:type="pct"/>
            <w:shd w:val="clear" w:color="auto" w:fill="auto"/>
          </w:tcPr>
          <w:p w:rsidR="0022614A" w:rsidRPr="003E7C50" w:rsidRDefault="0022614A"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Used in indirect comparison for cost-minimisation</w:t>
            </w:r>
          </w:p>
        </w:tc>
      </w:tr>
      <w:tr w:rsidR="001729A6" w:rsidRPr="003E7C50" w:rsidTr="001729A6">
        <w:tc>
          <w:tcPr>
            <w:tcW w:w="718" w:type="pct"/>
            <w:shd w:val="clear" w:color="auto" w:fill="auto"/>
          </w:tcPr>
          <w:p w:rsidR="0022614A" w:rsidRPr="003E7C50" w:rsidRDefault="00FB756E" w:rsidP="00C97D59">
            <w:pPr>
              <w:keepNext/>
              <w:widowControl w:val="0"/>
              <w:spacing w:before="40" w:after="40"/>
              <w:rPr>
                <w:rFonts w:ascii="Arial Narrow" w:hAnsi="Arial Narrow"/>
                <w:sz w:val="20"/>
              </w:rPr>
            </w:pPr>
            <w:r w:rsidRPr="003E7C50">
              <w:rPr>
                <w:rFonts w:ascii="Arial Narrow" w:hAnsi="Arial Narrow"/>
                <w:sz w:val="20"/>
              </w:rPr>
              <w:t>PALOMA-2</w:t>
            </w:r>
          </w:p>
        </w:tc>
        <w:tc>
          <w:tcPr>
            <w:tcW w:w="234" w:type="pct"/>
            <w:shd w:val="clear" w:color="auto" w:fill="auto"/>
          </w:tcPr>
          <w:p w:rsidR="0022614A" w:rsidRPr="003E7C50" w:rsidRDefault="0022614A" w:rsidP="00C97D59">
            <w:pPr>
              <w:keepNext/>
              <w:widowControl w:val="0"/>
              <w:spacing w:before="40" w:after="40"/>
              <w:rPr>
                <w:rFonts w:ascii="Arial Narrow" w:hAnsi="Arial Narrow"/>
                <w:sz w:val="20"/>
              </w:rPr>
            </w:pPr>
            <w:r w:rsidRPr="003E7C50">
              <w:rPr>
                <w:rFonts w:ascii="Arial Narrow" w:hAnsi="Arial Narrow"/>
                <w:sz w:val="20"/>
              </w:rPr>
              <w:t>668</w:t>
            </w:r>
          </w:p>
        </w:tc>
        <w:tc>
          <w:tcPr>
            <w:tcW w:w="702" w:type="pct"/>
            <w:shd w:val="clear" w:color="auto" w:fill="auto"/>
          </w:tcPr>
          <w:p w:rsidR="0022614A" w:rsidRPr="003E7C50" w:rsidRDefault="0022614A" w:rsidP="00C97D59">
            <w:pPr>
              <w:keepNext/>
              <w:widowControl w:val="0"/>
              <w:spacing w:before="40" w:after="40"/>
              <w:rPr>
                <w:rFonts w:ascii="Arial Narrow" w:eastAsia="Times New Roman" w:hAnsi="Arial Narrow" w:cs="Times New Roman"/>
                <w:sz w:val="20"/>
              </w:rPr>
            </w:pPr>
            <w:r w:rsidRPr="003E7C50">
              <w:rPr>
                <w:rFonts w:ascii="Arial Narrow" w:hAnsi="Arial Narrow"/>
                <w:sz w:val="20"/>
              </w:rPr>
              <w:t>R, DB, MC</w:t>
            </w:r>
          </w:p>
          <w:p w:rsidR="0022614A" w:rsidRPr="003E7C50" w:rsidRDefault="0022614A" w:rsidP="00C97D59">
            <w:pPr>
              <w:keepNext/>
              <w:widowControl w:val="0"/>
              <w:spacing w:before="40" w:after="40"/>
              <w:rPr>
                <w:rFonts w:ascii="Arial Narrow" w:hAnsi="Arial Narrow"/>
                <w:sz w:val="20"/>
              </w:rPr>
            </w:pPr>
            <w:r w:rsidRPr="003E7C50">
              <w:rPr>
                <w:rFonts w:ascii="Arial Narrow" w:hAnsi="Arial Narrow"/>
                <w:sz w:val="20"/>
              </w:rPr>
              <w:t>23 months</w:t>
            </w:r>
          </w:p>
        </w:tc>
        <w:tc>
          <w:tcPr>
            <w:tcW w:w="235" w:type="pct"/>
            <w:shd w:val="clear" w:color="auto" w:fill="auto"/>
          </w:tcPr>
          <w:p w:rsidR="0022614A" w:rsidRPr="003E7C50" w:rsidRDefault="0022614A" w:rsidP="00C97D59">
            <w:pPr>
              <w:keepNext/>
              <w:widowControl w:val="0"/>
              <w:spacing w:before="40" w:after="40"/>
              <w:rPr>
                <w:rFonts w:ascii="Arial Narrow" w:hAnsi="Arial Narrow"/>
                <w:sz w:val="20"/>
              </w:rPr>
            </w:pPr>
            <w:r w:rsidRPr="003E7C50">
              <w:rPr>
                <w:rFonts w:ascii="Arial Narrow" w:hAnsi="Arial Narrow"/>
                <w:sz w:val="20"/>
              </w:rPr>
              <w:t>Low</w:t>
            </w:r>
          </w:p>
        </w:tc>
        <w:tc>
          <w:tcPr>
            <w:tcW w:w="546" w:type="pct"/>
            <w:shd w:val="clear" w:color="auto" w:fill="auto"/>
          </w:tcPr>
          <w:p w:rsidR="0022614A" w:rsidRPr="003E7C50" w:rsidRDefault="0022614A" w:rsidP="00C97D59">
            <w:pPr>
              <w:keepNext/>
              <w:widowControl w:val="0"/>
              <w:spacing w:before="40" w:after="40"/>
              <w:rPr>
                <w:rFonts w:ascii="Arial Narrow" w:eastAsia="Times New Roman" w:hAnsi="Arial Narrow" w:cs="Times New Roman"/>
                <w:sz w:val="20"/>
              </w:rPr>
            </w:pPr>
            <w:r w:rsidRPr="003E7C50">
              <w:rPr>
                <w:rFonts w:ascii="Arial Narrow" w:hAnsi="Arial Narrow"/>
                <w:snapToGrid w:val="0"/>
                <w:sz w:val="20"/>
              </w:rPr>
              <w:t>Treatment naïve</w:t>
            </w:r>
            <w:r w:rsidRPr="003E7C50">
              <w:rPr>
                <w:snapToGrid w:val="0"/>
              </w:rPr>
              <w:t xml:space="preserve"> </w:t>
            </w:r>
            <w:r w:rsidRPr="003E7C50">
              <w:rPr>
                <w:rFonts w:ascii="Arial Narrow" w:hAnsi="Arial Narrow"/>
                <w:snapToGrid w:val="0"/>
                <w:sz w:val="20"/>
              </w:rPr>
              <w:t>ER+/HER2</w:t>
            </w:r>
            <w:r w:rsidR="007A5E02" w:rsidRPr="003E7C50">
              <w:rPr>
                <w:rFonts w:ascii="Arial Narrow" w:hAnsi="Arial Narrow"/>
                <w:snapToGrid w:val="0"/>
                <w:sz w:val="20"/>
              </w:rPr>
              <w:t>-</w:t>
            </w:r>
            <w:r w:rsidR="00941AA3" w:rsidRPr="003E7C50">
              <w:rPr>
                <w:rFonts w:ascii="Arial Narrow" w:hAnsi="Arial Narrow"/>
                <w:snapToGrid w:val="0"/>
                <w:sz w:val="20"/>
              </w:rPr>
              <w:t xml:space="preserve"> </w:t>
            </w:r>
            <w:r w:rsidRPr="003E7C50">
              <w:rPr>
                <w:rFonts w:ascii="Arial Narrow" w:hAnsi="Arial Narrow"/>
                <w:snapToGrid w:val="0"/>
                <w:sz w:val="20"/>
              </w:rPr>
              <w:t>ABC</w:t>
            </w:r>
          </w:p>
        </w:tc>
        <w:tc>
          <w:tcPr>
            <w:tcW w:w="1480" w:type="pct"/>
            <w:shd w:val="clear" w:color="auto" w:fill="auto"/>
            <w:vAlign w:val="center"/>
          </w:tcPr>
          <w:p w:rsidR="0022614A" w:rsidRPr="003E7C50" w:rsidRDefault="0022614A" w:rsidP="00C97D59">
            <w:pPr>
              <w:keepNext/>
              <w:widowControl w:val="0"/>
              <w:spacing w:before="0" w:after="0"/>
              <w:rPr>
                <w:rFonts w:ascii="Arial Narrow" w:hAnsi="Arial Narrow"/>
                <w:sz w:val="20"/>
              </w:rPr>
            </w:pPr>
            <w:r w:rsidRPr="003E7C50">
              <w:rPr>
                <w:rFonts w:ascii="Arial Narrow" w:hAnsi="Arial Narrow"/>
                <w:sz w:val="20"/>
              </w:rPr>
              <w:t>Primary: investigator assessed PFS</w:t>
            </w:r>
          </w:p>
          <w:p w:rsidR="0022614A" w:rsidRPr="003E7C50" w:rsidRDefault="0022614A" w:rsidP="00C97D59">
            <w:pPr>
              <w:keepNext/>
              <w:widowControl w:val="0"/>
              <w:spacing w:before="0" w:after="0"/>
              <w:rPr>
                <w:rFonts w:ascii="Arial Narrow" w:hAnsi="Arial Narrow"/>
                <w:sz w:val="20"/>
              </w:rPr>
            </w:pPr>
          </w:p>
          <w:p w:rsidR="0022614A" w:rsidRPr="003E7C50" w:rsidRDefault="0022614A" w:rsidP="00C97D59">
            <w:pPr>
              <w:keepNext/>
              <w:widowControl w:val="0"/>
              <w:spacing w:before="0" w:after="0"/>
              <w:rPr>
                <w:rFonts w:ascii="Arial Narrow" w:eastAsia="Times New Roman" w:hAnsi="Arial Narrow" w:cs="Times New Roman"/>
                <w:sz w:val="20"/>
              </w:rPr>
            </w:pPr>
            <w:r w:rsidRPr="003E7C50">
              <w:rPr>
                <w:rFonts w:ascii="Arial Narrow" w:hAnsi="Arial Narrow"/>
                <w:sz w:val="20"/>
              </w:rPr>
              <w:t>Secondary: BICR PFS, OS; OR; DOR; DC</w:t>
            </w:r>
            <w:r w:rsidR="004A7FE8" w:rsidRPr="003E7C50">
              <w:rPr>
                <w:rFonts w:ascii="Arial Narrow" w:hAnsi="Arial Narrow"/>
                <w:sz w:val="20"/>
              </w:rPr>
              <w:t>/</w:t>
            </w:r>
            <w:r w:rsidRPr="003E7C50">
              <w:rPr>
                <w:rFonts w:ascii="Arial Narrow" w:hAnsi="Arial Narrow"/>
                <w:sz w:val="20"/>
              </w:rPr>
              <w:t xml:space="preserve">CBR; PROs; AE </w:t>
            </w:r>
          </w:p>
        </w:tc>
        <w:tc>
          <w:tcPr>
            <w:tcW w:w="1085" w:type="pct"/>
            <w:shd w:val="clear" w:color="auto" w:fill="auto"/>
          </w:tcPr>
          <w:p w:rsidR="0022614A" w:rsidRPr="003E7C50" w:rsidRDefault="0022614A" w:rsidP="00C97D59">
            <w:pPr>
              <w:keepNext/>
              <w:widowControl w:val="0"/>
              <w:spacing w:before="40" w:after="40"/>
              <w:rPr>
                <w:rFonts w:ascii="Arial Narrow" w:eastAsia="Times New Roman" w:hAnsi="Arial Narrow" w:cs="Times New Roman"/>
                <w:sz w:val="20"/>
              </w:rPr>
            </w:pPr>
            <w:r w:rsidRPr="003E7C50">
              <w:rPr>
                <w:rFonts w:ascii="Arial Narrow" w:eastAsia="Times New Roman" w:hAnsi="Arial Narrow" w:cs="Times New Roman"/>
                <w:sz w:val="20"/>
              </w:rPr>
              <w:t>Used in indirect comparison for cost-minimisation</w:t>
            </w:r>
          </w:p>
        </w:tc>
      </w:tr>
    </w:tbl>
    <w:p w:rsidR="00FB756E" w:rsidRPr="003E7C50" w:rsidRDefault="00D85B19" w:rsidP="00C97D59">
      <w:pPr>
        <w:pStyle w:val="TableFooter"/>
        <w:keepNext/>
      </w:pPr>
      <w:r w:rsidRPr="003E7C50">
        <w:t>AE</w:t>
      </w:r>
      <w:r w:rsidR="004A7FE8" w:rsidRPr="003E7C50">
        <w:t>s</w:t>
      </w:r>
      <w:r w:rsidRPr="003E7C50">
        <w:t xml:space="preserve">: Adverse events; ABC: Advanced breast cancer; BICR: Blinded Independent Central Review; CBR: Clinical benefit rate; </w:t>
      </w:r>
      <w:r w:rsidR="00C165A2" w:rsidRPr="003E7C50">
        <w:t xml:space="preserve">DB: double blind; </w:t>
      </w:r>
      <w:r w:rsidR="004A7FE8" w:rsidRPr="003E7C50">
        <w:t xml:space="preserve">DC: Disease control; </w:t>
      </w:r>
      <w:r w:rsidRPr="003E7C50">
        <w:t xml:space="preserve">DOR: Duration of response; </w:t>
      </w:r>
      <w:r w:rsidR="004A7FE8" w:rsidRPr="003E7C50">
        <w:t xml:space="preserve">ER: oestrogen receptor; </w:t>
      </w:r>
      <w:r w:rsidRPr="003E7C50">
        <w:t xml:space="preserve">HER: epidermal growth factor receptor; HR: hormone receptor; </w:t>
      </w:r>
      <w:r w:rsidR="00C165A2" w:rsidRPr="003E7C50">
        <w:t xml:space="preserve">MC: multi-centre; OL: open label; </w:t>
      </w:r>
      <w:r w:rsidR="00466C20" w:rsidRPr="003E7C50">
        <w:t xml:space="preserve">ORR: overall response rate; </w:t>
      </w:r>
      <w:r w:rsidR="00C94FD1" w:rsidRPr="003E7C50">
        <w:t xml:space="preserve">OR: </w:t>
      </w:r>
      <w:r w:rsidRPr="003E7C50">
        <w:t>objective</w:t>
      </w:r>
      <w:r w:rsidR="00C94FD1" w:rsidRPr="003E7C50">
        <w:t xml:space="preserve"> response; </w:t>
      </w:r>
      <w:r w:rsidR="00C165A2" w:rsidRPr="003E7C50">
        <w:t>OS: overall survival; PFS: progression-free survival; PRO</w:t>
      </w:r>
      <w:r w:rsidR="007A5E02" w:rsidRPr="003E7C50">
        <w:t>s</w:t>
      </w:r>
      <w:r w:rsidR="00C165A2" w:rsidRPr="003E7C50">
        <w:t>:</w:t>
      </w:r>
      <w:r w:rsidR="00941AA3" w:rsidRPr="003E7C50">
        <w:t xml:space="preserve"> </w:t>
      </w:r>
      <w:r w:rsidR="00C165A2" w:rsidRPr="003E7C50">
        <w:t>patient reported outcome</w:t>
      </w:r>
      <w:r w:rsidR="007A5E02" w:rsidRPr="003E7C50">
        <w:t>s</w:t>
      </w:r>
      <w:r w:rsidR="00C165A2" w:rsidRPr="003E7C50">
        <w:t>, R: randomised</w:t>
      </w:r>
      <w:r w:rsidR="004A7FE8" w:rsidRPr="003E7C50">
        <w:t>; TTP=Time to progression</w:t>
      </w:r>
      <w:r w:rsidR="00C165A2" w:rsidRPr="003E7C50">
        <w:t>.</w:t>
      </w:r>
    </w:p>
    <w:p w:rsidR="00C165A2" w:rsidRPr="003E7C50" w:rsidRDefault="00C165A2" w:rsidP="001729A6">
      <w:pPr>
        <w:pStyle w:val="TableFooter"/>
      </w:pPr>
      <w:r w:rsidRPr="003E7C50">
        <w:t>Source: compiled during the evaluation.</w:t>
      </w:r>
    </w:p>
    <w:p w:rsidR="00C165A2" w:rsidRPr="003E7C50" w:rsidRDefault="00C165A2" w:rsidP="00350719">
      <w:pPr>
        <w:pStyle w:val="ListParagraph"/>
      </w:pPr>
      <w:r w:rsidRPr="003E7C50">
        <w:t xml:space="preserve">Three interim analyses </w:t>
      </w:r>
      <w:r w:rsidR="0077664A" w:rsidRPr="003E7C50">
        <w:t>were</w:t>
      </w:r>
      <w:r w:rsidRPr="003E7C50">
        <w:t xml:space="preserve"> conducted for the MONALEESA-2 trial. </w:t>
      </w:r>
      <w:r w:rsidR="00350719" w:rsidRPr="003E7C50">
        <w:t>While the primary outcome</w:t>
      </w:r>
      <w:r w:rsidR="009E4457">
        <w:t xml:space="preserve"> measure</w:t>
      </w:r>
      <w:r w:rsidR="00350719" w:rsidRPr="003E7C50">
        <w:t xml:space="preserve"> was the same for all three analyses (investigator assessed PFS), d</w:t>
      </w:r>
      <w:r w:rsidRPr="003E7C50">
        <w:t xml:space="preserve">ifferent </w:t>
      </w:r>
      <w:r w:rsidR="00350719" w:rsidRPr="003E7C50">
        <w:t xml:space="preserve">secondary </w:t>
      </w:r>
      <w:r w:rsidRPr="003E7C50">
        <w:t xml:space="preserve">outcomes were assessed </w:t>
      </w:r>
      <w:r w:rsidR="00F72743" w:rsidRPr="003E7C50">
        <w:t xml:space="preserve">at each analysis </w:t>
      </w:r>
      <w:r w:rsidRPr="003E7C50">
        <w:t xml:space="preserve">(see Table 3 above). </w:t>
      </w:r>
      <w:r w:rsidR="00D1353E" w:rsidRPr="003E7C50">
        <w:t xml:space="preserve">The </w:t>
      </w:r>
      <w:r w:rsidR="00BC7348" w:rsidRPr="003E7C50">
        <w:t xml:space="preserve">PFS and OS </w:t>
      </w:r>
      <w:r w:rsidR="00D1353E" w:rsidRPr="003E7C50">
        <w:t xml:space="preserve">results from the first interim analysis </w:t>
      </w:r>
      <w:r w:rsidR="00BC7348" w:rsidRPr="003E7C50">
        <w:t>(January 2016)</w:t>
      </w:r>
      <w:r w:rsidR="002C3AED" w:rsidRPr="003E7C50">
        <w:t>,</w:t>
      </w:r>
      <w:r w:rsidR="00BC7348" w:rsidRPr="003E7C50">
        <w:t xml:space="preserve"> and the </w:t>
      </w:r>
      <w:r w:rsidR="008B52C8" w:rsidRPr="003E7C50">
        <w:t>overall response rate (</w:t>
      </w:r>
      <w:r w:rsidR="00BC7348" w:rsidRPr="003E7C50">
        <w:t>ORR</w:t>
      </w:r>
      <w:r w:rsidR="008B52C8" w:rsidRPr="003E7C50">
        <w:t>)</w:t>
      </w:r>
      <w:r w:rsidR="00BC7348" w:rsidRPr="003E7C50">
        <w:t xml:space="preserve"> results from the second interim analysis (June 2016)</w:t>
      </w:r>
      <w:r w:rsidR="002C3AED" w:rsidRPr="003E7C50">
        <w:t>,</w:t>
      </w:r>
      <w:r w:rsidR="00BC7348" w:rsidRPr="003E7C50">
        <w:t xml:space="preserve"> were used in the economic model</w:t>
      </w:r>
      <w:r w:rsidR="00D1353E" w:rsidRPr="003E7C50">
        <w:t xml:space="preserve">. The </w:t>
      </w:r>
      <w:r w:rsidR="00BC7348" w:rsidRPr="003E7C50">
        <w:t xml:space="preserve">PFS, ORR and AE </w:t>
      </w:r>
      <w:r w:rsidR="00D1353E" w:rsidRPr="003E7C50">
        <w:t>results from the second interim analysis were used in the indirect comparison. The next MONALEESA-2 interim analysis of OS is planned after approximately 300 deaths have been observed, with a final analysis conducted after approximately 400 deaths have been observed.</w:t>
      </w:r>
      <w:r w:rsidR="00941AA3" w:rsidRPr="003E7C50">
        <w:t xml:space="preserve"> </w:t>
      </w:r>
      <w:r w:rsidR="00D1353E" w:rsidRPr="003E7C50">
        <w:t>Based on expected event rates, the final OS analysis is unlikely to be available until 2020.</w:t>
      </w:r>
    </w:p>
    <w:p w:rsidR="00C165A2" w:rsidRPr="003E7C50" w:rsidRDefault="00C165A2" w:rsidP="008B52C8">
      <w:pPr>
        <w:numPr>
          <w:ilvl w:val="1"/>
          <w:numId w:val="3"/>
        </w:numPr>
        <w:spacing w:before="0" w:after="120"/>
        <w:jc w:val="both"/>
        <w:rPr>
          <w:rFonts w:cstheme="minorHAnsi"/>
          <w:szCs w:val="24"/>
        </w:rPr>
      </w:pPr>
      <w:r w:rsidRPr="003E7C50">
        <w:rPr>
          <w:rFonts w:cstheme="minorHAnsi"/>
          <w:szCs w:val="24"/>
        </w:rPr>
        <w:t>PALOMA-1 outcomes (</w:t>
      </w:r>
      <w:r w:rsidR="004A7FE8" w:rsidRPr="003E7C50">
        <w:rPr>
          <w:rFonts w:cstheme="minorHAnsi"/>
          <w:szCs w:val="24"/>
        </w:rPr>
        <w:t xml:space="preserve">objective </w:t>
      </w:r>
      <w:r w:rsidRPr="003E7C50">
        <w:rPr>
          <w:rFonts w:cstheme="minorHAnsi"/>
          <w:szCs w:val="24"/>
        </w:rPr>
        <w:t>response, PFS and PRO</w:t>
      </w:r>
      <w:r w:rsidR="007A5E02" w:rsidRPr="003E7C50">
        <w:rPr>
          <w:rFonts w:cstheme="minorHAnsi"/>
          <w:szCs w:val="24"/>
        </w:rPr>
        <w:t>s</w:t>
      </w:r>
      <w:r w:rsidRPr="003E7C50">
        <w:rPr>
          <w:rFonts w:cstheme="minorHAnsi"/>
          <w:szCs w:val="24"/>
        </w:rPr>
        <w:t xml:space="preserve">) are potentially subject to bias </w:t>
      </w:r>
      <w:r w:rsidR="000A0445" w:rsidRPr="003E7C50">
        <w:rPr>
          <w:rFonts w:cstheme="minorHAnsi"/>
          <w:szCs w:val="24"/>
        </w:rPr>
        <w:t xml:space="preserve">due to the </w:t>
      </w:r>
      <w:r w:rsidR="00352D3E" w:rsidRPr="003E7C50">
        <w:rPr>
          <w:rFonts w:cstheme="minorHAnsi"/>
          <w:szCs w:val="24"/>
        </w:rPr>
        <w:t>trial being open label</w:t>
      </w:r>
      <w:r w:rsidR="00350719" w:rsidRPr="003E7C50">
        <w:rPr>
          <w:rFonts w:cstheme="minorHAnsi"/>
          <w:szCs w:val="24"/>
        </w:rPr>
        <w:t>.</w:t>
      </w:r>
      <w:r w:rsidR="008B52C8" w:rsidRPr="003E7C50">
        <w:rPr>
          <w:rFonts w:cstheme="minorHAnsi"/>
          <w:szCs w:val="24"/>
        </w:rPr>
        <w:t xml:space="preserve"> The evaluation considered that the </w:t>
      </w:r>
      <w:r w:rsidRPr="003E7C50">
        <w:rPr>
          <w:rFonts w:cstheme="minorHAnsi"/>
          <w:szCs w:val="24"/>
        </w:rPr>
        <w:t>PALOMA-2</w:t>
      </w:r>
      <w:r w:rsidR="000A0445" w:rsidRPr="003E7C50">
        <w:rPr>
          <w:rFonts w:cstheme="minorHAnsi"/>
          <w:szCs w:val="24"/>
        </w:rPr>
        <w:t xml:space="preserve"> outcomes </w:t>
      </w:r>
      <w:r w:rsidR="008B52C8" w:rsidRPr="003E7C50">
        <w:rPr>
          <w:rFonts w:cstheme="minorHAnsi"/>
          <w:szCs w:val="24"/>
        </w:rPr>
        <w:t>were</w:t>
      </w:r>
      <w:r w:rsidRPr="003E7C50">
        <w:rPr>
          <w:rFonts w:cstheme="minorHAnsi"/>
          <w:szCs w:val="24"/>
        </w:rPr>
        <w:t xml:space="preserve"> more robust for </w:t>
      </w:r>
      <w:r w:rsidR="000A0445" w:rsidRPr="003E7C50">
        <w:rPr>
          <w:rFonts w:cstheme="minorHAnsi"/>
          <w:szCs w:val="24"/>
        </w:rPr>
        <w:t xml:space="preserve">the </w:t>
      </w:r>
      <w:r w:rsidRPr="003E7C50">
        <w:rPr>
          <w:rFonts w:cstheme="minorHAnsi"/>
          <w:szCs w:val="24"/>
        </w:rPr>
        <w:t>indirect comparison with MONALEESA-2.</w:t>
      </w:r>
    </w:p>
    <w:p w:rsidR="00C165A2" w:rsidRPr="003E7C50" w:rsidRDefault="00C165A2" w:rsidP="005608F0">
      <w:pPr>
        <w:pStyle w:val="Heading2"/>
      </w:pPr>
      <w:bookmarkStart w:id="12" w:name="_Toc482023184"/>
      <w:r w:rsidRPr="003E7C50">
        <w:t>Comparative effectiveness</w:t>
      </w:r>
      <w:bookmarkEnd w:id="12"/>
      <w:r w:rsidRPr="003E7C50">
        <w:t xml:space="preserve"> </w:t>
      </w:r>
    </w:p>
    <w:p w:rsidR="00C165A2" w:rsidRPr="003E7C50" w:rsidRDefault="0056194F" w:rsidP="00C165A2">
      <w:pPr>
        <w:numPr>
          <w:ilvl w:val="1"/>
          <w:numId w:val="3"/>
        </w:numPr>
        <w:spacing w:before="0" w:after="120"/>
        <w:jc w:val="both"/>
        <w:rPr>
          <w:rFonts w:cstheme="minorHAnsi"/>
          <w:szCs w:val="24"/>
        </w:rPr>
      </w:pPr>
      <w:r w:rsidRPr="003E7C50">
        <w:rPr>
          <w:rFonts w:cstheme="minorHAnsi"/>
          <w:szCs w:val="24"/>
        </w:rPr>
        <w:t>The table below</w:t>
      </w:r>
      <w:r w:rsidR="00C165A2" w:rsidRPr="003E7C50">
        <w:rPr>
          <w:rFonts w:cstheme="minorHAnsi"/>
          <w:szCs w:val="24"/>
        </w:rPr>
        <w:t xml:space="preserve"> presents PFS results for the direct comparison of </w:t>
      </w:r>
      <w:proofErr w:type="spellStart"/>
      <w:r w:rsidR="00C165A2" w:rsidRPr="003E7C50">
        <w:rPr>
          <w:rFonts w:cstheme="minorHAnsi"/>
          <w:szCs w:val="24"/>
        </w:rPr>
        <w:t>ribociclib</w:t>
      </w:r>
      <w:proofErr w:type="spellEnd"/>
      <w:r w:rsidR="00C165A2" w:rsidRPr="003E7C50">
        <w:rPr>
          <w:rFonts w:cstheme="minorHAnsi"/>
          <w:szCs w:val="24"/>
        </w:rPr>
        <w:t xml:space="preserve"> + </w:t>
      </w:r>
      <w:proofErr w:type="spellStart"/>
      <w:r w:rsidR="00C165A2" w:rsidRPr="003E7C50">
        <w:rPr>
          <w:rFonts w:cstheme="minorHAnsi"/>
          <w:szCs w:val="24"/>
        </w:rPr>
        <w:t>letrozole</w:t>
      </w:r>
      <w:proofErr w:type="spellEnd"/>
      <w:r w:rsidR="00C165A2" w:rsidRPr="003E7C50">
        <w:rPr>
          <w:rFonts w:cstheme="minorHAnsi"/>
          <w:szCs w:val="24"/>
        </w:rPr>
        <w:t xml:space="preserve"> to </w:t>
      </w:r>
      <w:proofErr w:type="spellStart"/>
      <w:r w:rsidR="00C165A2" w:rsidRPr="003E7C50">
        <w:rPr>
          <w:rFonts w:cstheme="minorHAnsi"/>
          <w:szCs w:val="24"/>
        </w:rPr>
        <w:t>letrozole</w:t>
      </w:r>
      <w:proofErr w:type="spellEnd"/>
      <w:r w:rsidR="00C165A2" w:rsidRPr="003E7C50">
        <w:rPr>
          <w:rFonts w:cstheme="minorHAnsi"/>
          <w:szCs w:val="24"/>
        </w:rPr>
        <w:t xml:space="preserve"> alone using the MONALEESA-2 trial data at all available time points. </w:t>
      </w:r>
    </w:p>
    <w:p w:rsidR="00762A23" w:rsidRDefault="00762A23" w:rsidP="00762A23">
      <w:pPr>
        <w:pStyle w:val="Caption"/>
      </w:pPr>
      <w:r>
        <w:t xml:space="preserve">Table </w:t>
      </w:r>
      <w:r>
        <w:rPr>
          <w:noProof/>
        </w:rPr>
        <w:t>4</w:t>
      </w:r>
      <w:r w:rsidRPr="00D11FB8">
        <w:t>: Results of PFS (Investigator and BICR) MONALEESA-2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2"/>
        <w:gridCol w:w="1419"/>
        <w:gridCol w:w="994"/>
        <w:gridCol w:w="1560"/>
        <w:gridCol w:w="1275"/>
        <w:gridCol w:w="995"/>
        <w:gridCol w:w="1677"/>
      </w:tblGrid>
      <w:tr w:rsidR="00C165A2" w:rsidRPr="003E7C50" w:rsidTr="00762A23">
        <w:trPr>
          <w:tblHeader/>
        </w:trPr>
        <w:tc>
          <w:tcPr>
            <w:tcW w:w="640" w:type="pct"/>
            <w:shd w:val="clear" w:color="auto" w:fill="auto"/>
            <w:vAlign w:val="center"/>
          </w:tcPr>
          <w:p w:rsidR="00C165A2" w:rsidRPr="003E7C50" w:rsidRDefault="006E722F" w:rsidP="00C165A2">
            <w:pPr>
              <w:keepNext/>
              <w:spacing w:before="0" w:after="0"/>
              <w:rPr>
                <w:rFonts w:ascii="Arial Narrow" w:hAnsi="Arial Narrow"/>
                <w:b/>
                <w:sz w:val="20"/>
              </w:rPr>
            </w:pPr>
            <w:r w:rsidRPr="003E7C50">
              <w:rPr>
                <w:rFonts w:ascii="Arial Narrow" w:hAnsi="Arial Narrow"/>
                <w:b/>
                <w:sz w:val="20"/>
              </w:rPr>
              <w:t>MONALEESA-2 interim analysis</w:t>
            </w:r>
          </w:p>
        </w:tc>
        <w:tc>
          <w:tcPr>
            <w:tcW w:w="781" w:type="pct"/>
            <w:shd w:val="clear" w:color="auto" w:fill="auto"/>
            <w:vAlign w:val="center"/>
          </w:tcPr>
          <w:p w:rsidR="00C165A2" w:rsidRPr="003E7C50" w:rsidRDefault="00440592" w:rsidP="00FD55D9">
            <w:pPr>
              <w:pStyle w:val="TableText"/>
              <w:rPr>
                <w:b/>
              </w:rPr>
            </w:pPr>
            <w:proofErr w:type="spellStart"/>
            <w:r w:rsidRPr="003E7C50">
              <w:rPr>
                <w:b/>
              </w:rPr>
              <w:t>Ribociclib</w:t>
            </w:r>
            <w:proofErr w:type="spellEnd"/>
            <w:r w:rsidRPr="003E7C50">
              <w:rPr>
                <w:b/>
              </w:rPr>
              <w:t xml:space="preserve"> + </w:t>
            </w:r>
            <w:proofErr w:type="spellStart"/>
            <w:r w:rsidRPr="003E7C50">
              <w:rPr>
                <w:b/>
              </w:rPr>
              <w:t>Letrozole</w:t>
            </w:r>
            <w:proofErr w:type="spellEnd"/>
            <w:r w:rsidR="00FD55D9" w:rsidRPr="003E7C50">
              <w:rPr>
                <w:b/>
              </w:rPr>
              <w:t xml:space="preserve">, </w:t>
            </w:r>
            <w:r w:rsidR="00C165A2" w:rsidRPr="003E7C50">
              <w:rPr>
                <w:b/>
              </w:rPr>
              <w:t>n with event/N (%)</w:t>
            </w:r>
          </w:p>
        </w:tc>
        <w:tc>
          <w:tcPr>
            <w:tcW w:w="547" w:type="pct"/>
            <w:shd w:val="clear" w:color="auto" w:fill="auto"/>
            <w:vAlign w:val="center"/>
          </w:tcPr>
          <w:p w:rsidR="00C165A2" w:rsidRPr="003E7C50" w:rsidRDefault="00440592" w:rsidP="00FD55D9">
            <w:pPr>
              <w:keepNext/>
              <w:spacing w:before="0" w:after="0"/>
              <w:rPr>
                <w:rFonts w:ascii="Arial Narrow" w:hAnsi="Arial Narrow"/>
                <w:b/>
                <w:sz w:val="20"/>
              </w:rPr>
            </w:pPr>
            <w:proofErr w:type="spellStart"/>
            <w:r w:rsidRPr="003E7C50">
              <w:rPr>
                <w:rFonts w:ascii="Arial Narrow" w:hAnsi="Arial Narrow"/>
                <w:b/>
                <w:sz w:val="20"/>
              </w:rPr>
              <w:t>Letrozole</w:t>
            </w:r>
            <w:proofErr w:type="spellEnd"/>
            <w:r w:rsidR="00FD55D9" w:rsidRPr="003E7C50">
              <w:rPr>
                <w:rFonts w:ascii="Arial Narrow" w:hAnsi="Arial Narrow"/>
                <w:b/>
                <w:sz w:val="20"/>
              </w:rPr>
              <w:t xml:space="preserve">, </w:t>
            </w:r>
            <w:r w:rsidR="00C165A2" w:rsidRPr="003E7C50">
              <w:rPr>
                <w:rFonts w:ascii="Arial Narrow" w:hAnsi="Arial Narrow"/>
                <w:b/>
                <w:sz w:val="20"/>
              </w:rPr>
              <w:t>n with event/N (%)</w:t>
            </w:r>
          </w:p>
        </w:tc>
        <w:tc>
          <w:tcPr>
            <w:tcW w:w="859" w:type="pct"/>
            <w:shd w:val="clear" w:color="auto" w:fill="auto"/>
            <w:vAlign w:val="center"/>
          </w:tcPr>
          <w:p w:rsidR="00C165A2" w:rsidRPr="003E7C50" w:rsidRDefault="00440592" w:rsidP="00FD55D9">
            <w:pPr>
              <w:pStyle w:val="TableText"/>
              <w:rPr>
                <w:b/>
              </w:rPr>
            </w:pPr>
            <w:proofErr w:type="spellStart"/>
            <w:r w:rsidRPr="003E7C50">
              <w:rPr>
                <w:b/>
              </w:rPr>
              <w:t>Ribociclib</w:t>
            </w:r>
            <w:proofErr w:type="spellEnd"/>
            <w:r w:rsidRPr="003E7C50">
              <w:rPr>
                <w:b/>
              </w:rPr>
              <w:t xml:space="preserve"> + </w:t>
            </w:r>
            <w:proofErr w:type="spellStart"/>
            <w:r w:rsidRPr="003E7C50">
              <w:rPr>
                <w:b/>
              </w:rPr>
              <w:t>Letrozole</w:t>
            </w:r>
            <w:proofErr w:type="spellEnd"/>
            <w:r w:rsidR="00FD55D9" w:rsidRPr="003E7C50">
              <w:rPr>
                <w:b/>
              </w:rPr>
              <w:t>, m</w:t>
            </w:r>
            <w:r w:rsidR="00C165A2" w:rsidRPr="003E7C50">
              <w:rPr>
                <w:b/>
              </w:rPr>
              <w:t>edian months</w:t>
            </w:r>
            <w:r w:rsidR="00FD55D9" w:rsidRPr="003E7C50">
              <w:rPr>
                <w:b/>
              </w:rPr>
              <w:t xml:space="preserve"> </w:t>
            </w:r>
            <w:r w:rsidR="00C165A2" w:rsidRPr="003E7C50">
              <w:rPr>
                <w:b/>
              </w:rPr>
              <w:t>(95% CI)</w:t>
            </w:r>
          </w:p>
        </w:tc>
        <w:tc>
          <w:tcPr>
            <w:tcW w:w="702" w:type="pct"/>
            <w:shd w:val="clear" w:color="auto" w:fill="auto"/>
            <w:vAlign w:val="center"/>
          </w:tcPr>
          <w:p w:rsidR="00C165A2" w:rsidRPr="003E7C50" w:rsidDel="00E567B8" w:rsidRDefault="00440592" w:rsidP="00FD55D9">
            <w:pPr>
              <w:keepNext/>
              <w:spacing w:before="0" w:after="0"/>
              <w:rPr>
                <w:rFonts w:ascii="Arial Narrow" w:hAnsi="Arial Narrow"/>
                <w:b/>
                <w:sz w:val="20"/>
              </w:rPr>
            </w:pPr>
            <w:proofErr w:type="spellStart"/>
            <w:r w:rsidRPr="003E7C50">
              <w:rPr>
                <w:rFonts w:ascii="Arial Narrow" w:hAnsi="Arial Narrow"/>
                <w:b/>
                <w:sz w:val="20"/>
              </w:rPr>
              <w:t>Letrozole</w:t>
            </w:r>
            <w:proofErr w:type="spellEnd"/>
            <w:r w:rsidR="00FD55D9" w:rsidRPr="003E7C50">
              <w:rPr>
                <w:rFonts w:ascii="Arial Narrow" w:hAnsi="Arial Narrow"/>
                <w:b/>
                <w:sz w:val="20"/>
              </w:rPr>
              <w:t>, m</w:t>
            </w:r>
            <w:r w:rsidR="00C165A2" w:rsidRPr="003E7C50">
              <w:rPr>
                <w:rFonts w:ascii="Arial Narrow" w:hAnsi="Arial Narrow"/>
                <w:b/>
                <w:sz w:val="20"/>
              </w:rPr>
              <w:t>edian months</w:t>
            </w:r>
            <w:r w:rsidR="00FD55D9" w:rsidRPr="003E7C50">
              <w:rPr>
                <w:rFonts w:ascii="Arial Narrow" w:hAnsi="Arial Narrow"/>
                <w:b/>
                <w:sz w:val="20"/>
              </w:rPr>
              <w:t xml:space="preserve"> </w:t>
            </w:r>
            <w:r w:rsidR="00C165A2" w:rsidRPr="003E7C50">
              <w:rPr>
                <w:rFonts w:ascii="Arial Narrow" w:hAnsi="Arial Narrow"/>
                <w:b/>
                <w:sz w:val="20"/>
              </w:rPr>
              <w:t>(95% CI)</w:t>
            </w:r>
          </w:p>
        </w:tc>
        <w:tc>
          <w:tcPr>
            <w:tcW w:w="548" w:type="pct"/>
            <w:shd w:val="clear" w:color="auto" w:fill="auto"/>
            <w:vAlign w:val="center"/>
          </w:tcPr>
          <w:p w:rsidR="00C165A2" w:rsidRPr="003E7C50" w:rsidRDefault="00C165A2" w:rsidP="00FD55D9">
            <w:pPr>
              <w:keepNext/>
              <w:spacing w:before="0" w:after="0"/>
              <w:rPr>
                <w:rFonts w:ascii="Arial Narrow" w:hAnsi="Arial Narrow"/>
                <w:b/>
                <w:sz w:val="20"/>
              </w:rPr>
            </w:pPr>
            <w:r w:rsidRPr="003E7C50">
              <w:rPr>
                <w:rFonts w:ascii="Arial Narrow" w:hAnsi="Arial Narrow"/>
                <w:b/>
                <w:sz w:val="20"/>
              </w:rPr>
              <w:t>Difference</w:t>
            </w:r>
            <w:r w:rsidR="00FD55D9" w:rsidRPr="003E7C50">
              <w:rPr>
                <w:rFonts w:ascii="Arial Narrow" w:hAnsi="Arial Narrow"/>
                <w:b/>
                <w:sz w:val="20"/>
              </w:rPr>
              <w:t>, m</w:t>
            </w:r>
            <w:r w:rsidRPr="003E7C50">
              <w:rPr>
                <w:rFonts w:ascii="Arial Narrow" w:hAnsi="Arial Narrow"/>
                <w:b/>
                <w:sz w:val="20"/>
              </w:rPr>
              <w:t>edian months</w:t>
            </w:r>
          </w:p>
        </w:tc>
        <w:tc>
          <w:tcPr>
            <w:tcW w:w="923" w:type="pct"/>
            <w:shd w:val="clear" w:color="auto" w:fill="auto"/>
            <w:vAlign w:val="center"/>
          </w:tcPr>
          <w:p w:rsidR="00C165A2" w:rsidRPr="003E7C50" w:rsidRDefault="00C165A2" w:rsidP="00C165A2">
            <w:pPr>
              <w:keepNext/>
              <w:spacing w:before="0" w:after="0"/>
              <w:rPr>
                <w:rFonts w:ascii="Arial Narrow" w:hAnsi="Arial Narrow"/>
                <w:b/>
                <w:sz w:val="20"/>
              </w:rPr>
            </w:pPr>
            <w:r w:rsidRPr="003E7C50">
              <w:rPr>
                <w:rFonts w:ascii="Arial Narrow" w:hAnsi="Arial Narrow"/>
                <w:b/>
                <w:sz w:val="20"/>
              </w:rPr>
              <w:t>HR</w:t>
            </w:r>
          </w:p>
          <w:p w:rsidR="00C165A2" w:rsidRPr="003E7C50" w:rsidRDefault="00C165A2" w:rsidP="00C165A2">
            <w:pPr>
              <w:keepNext/>
              <w:spacing w:before="0" w:after="0"/>
              <w:rPr>
                <w:rFonts w:ascii="Arial Narrow" w:hAnsi="Arial Narrow"/>
                <w:b/>
                <w:sz w:val="20"/>
              </w:rPr>
            </w:pPr>
            <w:r w:rsidRPr="003E7C50">
              <w:rPr>
                <w:rFonts w:ascii="Arial Narrow" w:hAnsi="Arial Narrow"/>
                <w:b/>
                <w:sz w:val="20"/>
              </w:rPr>
              <w:t>(95% CI)</w:t>
            </w:r>
            <w:r w:rsidR="00440592" w:rsidRPr="003E7C50">
              <w:rPr>
                <w:rFonts w:ascii="Arial Narrow" w:hAnsi="Arial Narrow"/>
                <w:b/>
                <w:sz w:val="20"/>
              </w:rPr>
              <w:t xml:space="preserve"> </w:t>
            </w:r>
            <w:r w:rsidR="00440592" w:rsidRPr="003E7C50">
              <w:rPr>
                <w:rFonts w:ascii="Arial Narrow" w:hAnsi="Arial Narrow"/>
                <w:b/>
                <w:sz w:val="20"/>
                <w:vertAlign w:val="superscript"/>
              </w:rPr>
              <w:t>a</w:t>
            </w:r>
          </w:p>
        </w:tc>
      </w:tr>
      <w:tr w:rsidR="00C165A2" w:rsidRPr="003E7C50" w:rsidTr="00762A23">
        <w:tc>
          <w:tcPr>
            <w:tcW w:w="640" w:type="pct"/>
            <w:shd w:val="clear" w:color="auto" w:fill="auto"/>
          </w:tcPr>
          <w:p w:rsidR="00C165A2" w:rsidRPr="003E7C50" w:rsidRDefault="001729A6" w:rsidP="00C165A2">
            <w:pPr>
              <w:keepNext/>
              <w:spacing w:before="0" w:after="0"/>
              <w:rPr>
                <w:rFonts w:ascii="Arial Narrow" w:hAnsi="Arial Narrow"/>
                <w:sz w:val="20"/>
              </w:rPr>
            </w:pPr>
            <w:r w:rsidRPr="003E7C50">
              <w:rPr>
                <w:rFonts w:ascii="Arial Narrow" w:hAnsi="Arial Narrow"/>
                <w:sz w:val="20"/>
              </w:rPr>
              <w:t>Investigator Jan 2016</w:t>
            </w:r>
          </w:p>
        </w:tc>
        <w:tc>
          <w:tcPr>
            <w:tcW w:w="781" w:type="pct"/>
            <w:shd w:val="clear" w:color="auto" w:fill="auto"/>
          </w:tcPr>
          <w:p w:rsidR="00C165A2" w:rsidRPr="003E7C50" w:rsidRDefault="001729A6" w:rsidP="001729A6">
            <w:pPr>
              <w:keepNext/>
              <w:spacing w:before="0" w:after="0"/>
              <w:rPr>
                <w:rFonts w:ascii="Arial Narrow" w:hAnsi="Arial Narrow"/>
                <w:sz w:val="20"/>
              </w:rPr>
            </w:pPr>
            <w:r w:rsidRPr="003E7C50">
              <w:rPr>
                <w:rFonts w:ascii="Arial Narrow" w:hAnsi="Arial Narrow"/>
                <w:sz w:val="20"/>
              </w:rPr>
              <w:t>93/334 (27.8)</w:t>
            </w:r>
          </w:p>
        </w:tc>
        <w:tc>
          <w:tcPr>
            <w:tcW w:w="547" w:type="pct"/>
            <w:shd w:val="clear" w:color="auto" w:fill="auto"/>
          </w:tcPr>
          <w:p w:rsidR="00C165A2" w:rsidRPr="003E7C50" w:rsidRDefault="001729A6" w:rsidP="001729A6">
            <w:pPr>
              <w:keepNext/>
              <w:spacing w:before="0" w:after="0"/>
              <w:rPr>
                <w:rFonts w:ascii="Arial Narrow" w:hAnsi="Arial Narrow"/>
                <w:sz w:val="20"/>
              </w:rPr>
            </w:pPr>
            <w:r w:rsidRPr="003E7C50">
              <w:rPr>
                <w:rFonts w:ascii="Arial Narrow" w:hAnsi="Arial Narrow"/>
                <w:sz w:val="20"/>
              </w:rPr>
              <w:t>150/334 (44.9)</w:t>
            </w:r>
          </w:p>
        </w:tc>
        <w:tc>
          <w:tcPr>
            <w:tcW w:w="859" w:type="pct"/>
            <w:shd w:val="clear" w:color="auto" w:fill="auto"/>
          </w:tcPr>
          <w:p w:rsidR="00C165A2" w:rsidRPr="003E7C50" w:rsidRDefault="00FD55D9" w:rsidP="001729A6">
            <w:pPr>
              <w:keepNext/>
              <w:spacing w:before="0" w:after="0"/>
              <w:rPr>
                <w:rFonts w:ascii="Arial Narrow" w:hAnsi="Arial Narrow"/>
                <w:sz w:val="20"/>
              </w:rPr>
            </w:pPr>
            <w:r w:rsidRPr="003E7C50">
              <w:rPr>
                <w:rFonts w:ascii="Arial Narrow" w:hAnsi="Arial Narrow"/>
                <w:sz w:val="20"/>
              </w:rPr>
              <w:t>NR</w:t>
            </w:r>
          </w:p>
        </w:tc>
        <w:tc>
          <w:tcPr>
            <w:tcW w:w="702" w:type="pct"/>
            <w:shd w:val="clear" w:color="auto" w:fill="auto"/>
          </w:tcPr>
          <w:p w:rsidR="00C165A2" w:rsidRPr="003E7C50" w:rsidRDefault="001729A6" w:rsidP="001729A6">
            <w:pPr>
              <w:keepNext/>
              <w:spacing w:before="0" w:after="0"/>
              <w:rPr>
                <w:rFonts w:ascii="Arial Narrow" w:hAnsi="Arial Narrow"/>
                <w:sz w:val="20"/>
              </w:rPr>
            </w:pPr>
            <w:r w:rsidRPr="003E7C50">
              <w:rPr>
                <w:rFonts w:ascii="Arial Narrow" w:hAnsi="Arial Narrow"/>
                <w:sz w:val="20"/>
              </w:rPr>
              <w:t>NR</w:t>
            </w:r>
          </w:p>
        </w:tc>
        <w:tc>
          <w:tcPr>
            <w:tcW w:w="548" w:type="pct"/>
            <w:shd w:val="clear" w:color="auto" w:fill="auto"/>
          </w:tcPr>
          <w:p w:rsidR="00C165A2" w:rsidRPr="003E7C50" w:rsidRDefault="00FD55D9" w:rsidP="001729A6">
            <w:pPr>
              <w:keepNext/>
              <w:spacing w:before="0" w:after="0"/>
              <w:rPr>
                <w:rFonts w:ascii="Arial Narrow" w:hAnsi="Arial Narrow"/>
                <w:sz w:val="20"/>
              </w:rPr>
            </w:pPr>
            <w:r w:rsidRPr="003E7C50">
              <w:rPr>
                <w:rFonts w:ascii="Arial Narrow" w:hAnsi="Arial Narrow"/>
                <w:sz w:val="20"/>
              </w:rPr>
              <w:t>NR</w:t>
            </w:r>
          </w:p>
        </w:tc>
        <w:tc>
          <w:tcPr>
            <w:tcW w:w="923" w:type="pct"/>
            <w:shd w:val="clear" w:color="auto" w:fill="auto"/>
          </w:tcPr>
          <w:p w:rsidR="00C165A2" w:rsidRPr="003E7C50" w:rsidRDefault="00C165A2" w:rsidP="00C165A2">
            <w:pPr>
              <w:keepNext/>
              <w:spacing w:before="0" w:after="0"/>
              <w:rPr>
                <w:rFonts w:ascii="Arial Narrow" w:hAnsi="Arial Narrow"/>
                <w:sz w:val="20"/>
              </w:rPr>
            </w:pPr>
            <w:r w:rsidRPr="003E7C50">
              <w:rPr>
                <w:rFonts w:ascii="Arial Narrow" w:hAnsi="Arial Narrow"/>
                <w:sz w:val="20"/>
              </w:rPr>
              <w:t>0.556 (0.429, 0.720)</w:t>
            </w:r>
          </w:p>
          <w:p w:rsidR="00C165A2" w:rsidRPr="003E7C50" w:rsidRDefault="001729A6" w:rsidP="001729A6">
            <w:pPr>
              <w:keepNext/>
              <w:spacing w:before="0" w:after="0"/>
              <w:rPr>
                <w:rFonts w:ascii="Arial Narrow" w:hAnsi="Arial Narrow"/>
                <w:sz w:val="20"/>
              </w:rPr>
            </w:pPr>
            <w:r w:rsidRPr="003E7C50">
              <w:rPr>
                <w:rFonts w:ascii="Arial Narrow" w:hAnsi="Arial Narrow"/>
                <w:sz w:val="20"/>
              </w:rPr>
              <w:t>p-value &lt;0.0001</w:t>
            </w:r>
          </w:p>
        </w:tc>
      </w:tr>
      <w:tr w:rsidR="001729A6" w:rsidRPr="003E7C50" w:rsidTr="00762A23">
        <w:tc>
          <w:tcPr>
            <w:tcW w:w="640" w:type="pct"/>
            <w:shd w:val="clear" w:color="auto" w:fill="auto"/>
          </w:tcPr>
          <w:p w:rsidR="001729A6" w:rsidRPr="003E7C50" w:rsidRDefault="001729A6" w:rsidP="001729A6">
            <w:pPr>
              <w:keepNext/>
              <w:spacing w:before="0" w:after="0"/>
              <w:rPr>
                <w:rFonts w:ascii="Arial Narrow" w:hAnsi="Arial Narrow"/>
                <w:sz w:val="20"/>
              </w:rPr>
            </w:pPr>
            <w:r w:rsidRPr="003E7C50">
              <w:rPr>
                <w:rFonts w:ascii="Arial Narrow" w:hAnsi="Arial Narrow"/>
                <w:sz w:val="20"/>
              </w:rPr>
              <w:t>BICR</w:t>
            </w:r>
          </w:p>
          <w:p w:rsidR="001729A6" w:rsidRPr="003E7C50" w:rsidDel="006E722F" w:rsidRDefault="001729A6" w:rsidP="00C165A2">
            <w:pPr>
              <w:keepNext/>
              <w:spacing w:before="0" w:after="0"/>
              <w:rPr>
                <w:rFonts w:ascii="Arial Narrow" w:hAnsi="Arial Narrow"/>
                <w:sz w:val="20"/>
              </w:rPr>
            </w:pPr>
            <w:r w:rsidRPr="003E7C50">
              <w:rPr>
                <w:rFonts w:ascii="Arial Narrow" w:hAnsi="Arial Narrow"/>
                <w:sz w:val="20"/>
              </w:rPr>
              <w:t>Jan 2016</w:t>
            </w:r>
          </w:p>
        </w:tc>
        <w:tc>
          <w:tcPr>
            <w:tcW w:w="781"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547"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859"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702"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548"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923" w:type="pct"/>
            <w:shd w:val="clear" w:color="auto" w:fill="auto"/>
          </w:tcPr>
          <w:p w:rsidR="001729A6" w:rsidRPr="003E7C50" w:rsidRDefault="001729A6" w:rsidP="001729A6">
            <w:pPr>
              <w:keepNext/>
              <w:spacing w:before="0" w:after="0"/>
              <w:rPr>
                <w:rFonts w:ascii="Arial Narrow" w:hAnsi="Arial Narrow"/>
                <w:sz w:val="20"/>
              </w:rPr>
            </w:pPr>
            <w:r w:rsidRPr="003E7C50">
              <w:rPr>
                <w:rFonts w:ascii="Arial Narrow" w:hAnsi="Arial Narrow"/>
                <w:sz w:val="20"/>
              </w:rPr>
              <w:t>0.592 (0.412, 0.852)</w:t>
            </w:r>
          </w:p>
          <w:p w:rsidR="001729A6" w:rsidRPr="003E7C50" w:rsidDel="006E722F" w:rsidRDefault="001729A6" w:rsidP="001729A6">
            <w:pPr>
              <w:keepNext/>
              <w:spacing w:before="0" w:after="0"/>
              <w:rPr>
                <w:rFonts w:ascii="Arial Narrow" w:hAnsi="Arial Narrow"/>
                <w:sz w:val="20"/>
              </w:rPr>
            </w:pPr>
            <w:r w:rsidRPr="003E7C50">
              <w:rPr>
                <w:rFonts w:ascii="Arial Narrow" w:hAnsi="Arial Narrow"/>
                <w:sz w:val="20"/>
              </w:rPr>
              <w:t>p-value 0.002</w:t>
            </w:r>
          </w:p>
        </w:tc>
      </w:tr>
      <w:tr w:rsidR="001729A6" w:rsidRPr="003E7C50" w:rsidTr="00762A23">
        <w:tc>
          <w:tcPr>
            <w:tcW w:w="640" w:type="pct"/>
            <w:shd w:val="clear" w:color="auto" w:fill="auto"/>
          </w:tcPr>
          <w:p w:rsidR="001729A6" w:rsidRPr="003E7C50" w:rsidDel="006E722F" w:rsidRDefault="001729A6" w:rsidP="00C165A2">
            <w:pPr>
              <w:keepNext/>
              <w:spacing w:before="0" w:after="0"/>
              <w:rPr>
                <w:rFonts w:ascii="Arial Narrow" w:hAnsi="Arial Narrow"/>
                <w:sz w:val="20"/>
              </w:rPr>
            </w:pPr>
            <w:r w:rsidRPr="003E7C50">
              <w:rPr>
                <w:rFonts w:ascii="Arial Narrow" w:hAnsi="Arial Narrow"/>
                <w:sz w:val="20"/>
              </w:rPr>
              <w:t>Investigator Jun 2016</w:t>
            </w:r>
          </w:p>
        </w:tc>
        <w:tc>
          <w:tcPr>
            <w:tcW w:w="781" w:type="pct"/>
            <w:shd w:val="clear" w:color="auto" w:fill="auto"/>
          </w:tcPr>
          <w:p w:rsidR="001729A6" w:rsidRPr="003E7C50" w:rsidRDefault="001729A6" w:rsidP="00C165A2">
            <w:pPr>
              <w:keepNext/>
              <w:spacing w:before="0" w:after="0"/>
              <w:rPr>
                <w:rFonts w:ascii="Arial Narrow" w:hAnsi="Arial Narrow"/>
                <w:sz w:val="20"/>
              </w:rPr>
            </w:pPr>
            <w:r w:rsidRPr="00495328">
              <w:rPr>
                <w:rFonts w:ascii="Arial Narrow" w:hAnsi="Arial Narrow"/>
                <w:sz w:val="20"/>
              </w:rPr>
              <w:t>118/334 (35.3)</w:t>
            </w:r>
          </w:p>
        </w:tc>
        <w:tc>
          <w:tcPr>
            <w:tcW w:w="547" w:type="pct"/>
            <w:shd w:val="clear" w:color="auto" w:fill="auto"/>
          </w:tcPr>
          <w:p w:rsidR="001729A6" w:rsidRPr="003E7C50" w:rsidRDefault="001729A6" w:rsidP="00C165A2">
            <w:pPr>
              <w:keepNext/>
              <w:spacing w:before="0" w:after="0"/>
              <w:rPr>
                <w:rFonts w:ascii="Arial Narrow" w:hAnsi="Arial Narrow"/>
                <w:sz w:val="20"/>
              </w:rPr>
            </w:pPr>
            <w:r w:rsidRPr="00495328">
              <w:rPr>
                <w:rFonts w:ascii="Arial Narrow" w:hAnsi="Arial Narrow"/>
                <w:sz w:val="20"/>
              </w:rPr>
              <w:t>179/334 (53.9)</w:t>
            </w:r>
          </w:p>
        </w:tc>
        <w:tc>
          <w:tcPr>
            <w:tcW w:w="859" w:type="pct"/>
            <w:shd w:val="clear" w:color="auto" w:fill="auto"/>
          </w:tcPr>
          <w:p w:rsidR="001729A6" w:rsidRPr="00495328" w:rsidRDefault="001729A6" w:rsidP="001729A6">
            <w:pPr>
              <w:keepNext/>
              <w:spacing w:before="0" w:after="0"/>
              <w:rPr>
                <w:rFonts w:ascii="Arial Narrow" w:hAnsi="Arial Narrow"/>
                <w:sz w:val="20"/>
              </w:rPr>
            </w:pPr>
            <w:r w:rsidRPr="00495328">
              <w:rPr>
                <w:rFonts w:ascii="Arial Narrow" w:hAnsi="Arial Narrow"/>
                <w:sz w:val="20"/>
              </w:rPr>
              <w:t xml:space="preserve">22.4 (20.8, not </w:t>
            </w:r>
          </w:p>
          <w:p w:rsidR="001729A6" w:rsidRPr="003E7C50" w:rsidRDefault="001729A6" w:rsidP="00C165A2">
            <w:pPr>
              <w:keepNext/>
              <w:spacing w:before="0" w:after="0"/>
              <w:rPr>
                <w:rFonts w:ascii="Arial Narrow" w:hAnsi="Arial Narrow"/>
                <w:sz w:val="20"/>
              </w:rPr>
            </w:pPr>
            <w:r w:rsidRPr="00495328">
              <w:rPr>
                <w:rFonts w:ascii="Arial Narrow" w:hAnsi="Arial Narrow"/>
                <w:sz w:val="20"/>
              </w:rPr>
              <w:t>estimable)</w:t>
            </w:r>
          </w:p>
        </w:tc>
        <w:tc>
          <w:tcPr>
            <w:tcW w:w="702" w:type="pct"/>
            <w:shd w:val="clear" w:color="auto" w:fill="auto"/>
          </w:tcPr>
          <w:p w:rsidR="001729A6" w:rsidRPr="003E7C50" w:rsidRDefault="001729A6" w:rsidP="00C165A2">
            <w:pPr>
              <w:keepNext/>
              <w:spacing w:before="0" w:after="0"/>
              <w:rPr>
                <w:rFonts w:ascii="Arial Narrow" w:hAnsi="Arial Narrow"/>
                <w:sz w:val="20"/>
              </w:rPr>
            </w:pPr>
            <w:r w:rsidRPr="00495328">
              <w:rPr>
                <w:rFonts w:ascii="Arial Narrow" w:hAnsi="Arial Narrow"/>
                <w:sz w:val="20"/>
              </w:rPr>
              <w:t>15.3 (13.4, 16.7</w:t>
            </w:r>
            <w:r w:rsidRPr="008C6E79">
              <w:rPr>
                <w:rFonts w:ascii="Arial Narrow" w:hAnsi="Arial Narrow"/>
                <w:sz w:val="20"/>
              </w:rPr>
              <w:t>)</w:t>
            </w:r>
          </w:p>
        </w:tc>
        <w:tc>
          <w:tcPr>
            <w:tcW w:w="548" w:type="pct"/>
            <w:shd w:val="clear" w:color="auto" w:fill="auto"/>
          </w:tcPr>
          <w:p w:rsidR="001729A6" w:rsidRPr="003E7C50" w:rsidRDefault="001729A6" w:rsidP="00C165A2">
            <w:pPr>
              <w:keepNext/>
              <w:spacing w:before="0" w:after="0"/>
              <w:rPr>
                <w:rFonts w:ascii="Arial Narrow" w:hAnsi="Arial Narrow"/>
                <w:sz w:val="20"/>
              </w:rPr>
            </w:pPr>
            <w:r w:rsidRPr="00495328">
              <w:rPr>
                <w:rFonts w:ascii="Arial Narrow" w:hAnsi="Arial Narrow"/>
                <w:sz w:val="20"/>
              </w:rPr>
              <w:t>7.1</w:t>
            </w:r>
          </w:p>
        </w:tc>
        <w:tc>
          <w:tcPr>
            <w:tcW w:w="923" w:type="pct"/>
            <w:shd w:val="clear" w:color="auto" w:fill="auto"/>
          </w:tcPr>
          <w:p w:rsidR="001729A6" w:rsidRPr="00495328" w:rsidRDefault="001729A6" w:rsidP="001729A6">
            <w:pPr>
              <w:keepNext/>
              <w:spacing w:before="0" w:after="0"/>
              <w:rPr>
                <w:rFonts w:ascii="Arial Narrow" w:hAnsi="Arial Narrow"/>
                <w:sz w:val="20"/>
              </w:rPr>
            </w:pPr>
            <w:r w:rsidRPr="00495328">
              <w:rPr>
                <w:rFonts w:ascii="Arial Narrow" w:hAnsi="Arial Narrow"/>
                <w:sz w:val="20"/>
              </w:rPr>
              <w:t>0.559 (0.443, 0.706)</w:t>
            </w:r>
          </w:p>
          <w:p w:rsidR="001729A6" w:rsidRPr="003E7C50" w:rsidDel="006E722F" w:rsidRDefault="001729A6" w:rsidP="001729A6">
            <w:pPr>
              <w:keepNext/>
              <w:spacing w:before="0" w:after="0"/>
              <w:rPr>
                <w:rFonts w:ascii="Arial Narrow" w:hAnsi="Arial Narrow"/>
                <w:sz w:val="20"/>
              </w:rPr>
            </w:pPr>
            <w:r w:rsidRPr="00495328">
              <w:rPr>
                <w:rFonts w:ascii="Arial Narrow" w:hAnsi="Arial Narrow"/>
                <w:sz w:val="20"/>
              </w:rPr>
              <w:t>p-value &lt;0.0001</w:t>
            </w:r>
          </w:p>
        </w:tc>
      </w:tr>
      <w:tr w:rsidR="001729A6" w:rsidRPr="003E7C50" w:rsidTr="00762A23">
        <w:tc>
          <w:tcPr>
            <w:tcW w:w="640" w:type="pct"/>
            <w:shd w:val="clear" w:color="auto" w:fill="auto"/>
          </w:tcPr>
          <w:p w:rsidR="001729A6" w:rsidRPr="003E7C50" w:rsidRDefault="001729A6" w:rsidP="001729A6">
            <w:pPr>
              <w:keepNext/>
              <w:spacing w:before="0" w:after="0"/>
              <w:rPr>
                <w:rFonts w:ascii="Arial Narrow" w:hAnsi="Arial Narrow"/>
                <w:sz w:val="20"/>
              </w:rPr>
            </w:pPr>
            <w:r w:rsidRPr="003E7C50">
              <w:rPr>
                <w:rFonts w:ascii="Arial Narrow" w:hAnsi="Arial Narrow"/>
                <w:sz w:val="20"/>
              </w:rPr>
              <w:t>Investigator</w:t>
            </w:r>
          </w:p>
          <w:p w:rsidR="001729A6" w:rsidRPr="003E7C50" w:rsidDel="006E722F" w:rsidRDefault="001729A6" w:rsidP="001729A6">
            <w:pPr>
              <w:keepNext/>
              <w:spacing w:before="0" w:after="0"/>
              <w:rPr>
                <w:rFonts w:ascii="Arial Narrow" w:hAnsi="Arial Narrow"/>
                <w:sz w:val="20"/>
              </w:rPr>
            </w:pPr>
            <w:r w:rsidRPr="003E7C50">
              <w:rPr>
                <w:rFonts w:ascii="Arial Narrow" w:hAnsi="Arial Narrow"/>
                <w:sz w:val="20"/>
              </w:rPr>
              <w:t>Jan 2017</w:t>
            </w:r>
          </w:p>
        </w:tc>
        <w:tc>
          <w:tcPr>
            <w:tcW w:w="781"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140/334 (41.9)</w:t>
            </w:r>
          </w:p>
        </w:tc>
        <w:tc>
          <w:tcPr>
            <w:tcW w:w="547"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205/334 (61.4)</w:t>
            </w:r>
          </w:p>
        </w:tc>
        <w:tc>
          <w:tcPr>
            <w:tcW w:w="859"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25.3 (23.0, 30.3)</w:t>
            </w:r>
          </w:p>
        </w:tc>
        <w:tc>
          <w:tcPr>
            <w:tcW w:w="702"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16.0 (13.4, 18.2)</w:t>
            </w:r>
          </w:p>
        </w:tc>
        <w:tc>
          <w:tcPr>
            <w:tcW w:w="548"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9.3</w:t>
            </w:r>
          </w:p>
        </w:tc>
        <w:tc>
          <w:tcPr>
            <w:tcW w:w="923" w:type="pct"/>
            <w:shd w:val="clear" w:color="auto" w:fill="auto"/>
          </w:tcPr>
          <w:p w:rsidR="001729A6" w:rsidRPr="003E7C50" w:rsidRDefault="001729A6" w:rsidP="001729A6">
            <w:pPr>
              <w:keepNext/>
              <w:spacing w:before="0" w:after="0"/>
              <w:rPr>
                <w:rFonts w:ascii="Arial Narrow" w:hAnsi="Arial Narrow"/>
                <w:sz w:val="20"/>
              </w:rPr>
            </w:pPr>
            <w:r w:rsidRPr="003E7C50">
              <w:rPr>
                <w:rFonts w:ascii="Arial Narrow" w:hAnsi="Arial Narrow"/>
                <w:sz w:val="20"/>
              </w:rPr>
              <w:t>0.568 (0.457, 0.704)</w:t>
            </w:r>
          </w:p>
          <w:p w:rsidR="001729A6" w:rsidRPr="003E7C50" w:rsidDel="006E722F" w:rsidRDefault="001729A6" w:rsidP="001729A6">
            <w:pPr>
              <w:keepNext/>
              <w:spacing w:before="0" w:after="0"/>
              <w:rPr>
                <w:rFonts w:ascii="Arial Narrow" w:hAnsi="Arial Narrow"/>
                <w:sz w:val="20"/>
              </w:rPr>
            </w:pPr>
            <w:r w:rsidRPr="003E7C50">
              <w:rPr>
                <w:rFonts w:ascii="Arial Narrow" w:hAnsi="Arial Narrow"/>
                <w:sz w:val="20"/>
              </w:rPr>
              <w:t>p-value &lt;0.0001</w:t>
            </w:r>
          </w:p>
        </w:tc>
      </w:tr>
    </w:tbl>
    <w:p w:rsidR="00440592" w:rsidRPr="003E7C50" w:rsidRDefault="00C165A2" w:rsidP="001729A6">
      <w:pPr>
        <w:pStyle w:val="TableFooter"/>
      </w:pPr>
      <w:r w:rsidRPr="003E7C50">
        <w:t>BICR: Blinded Independent Central Review; CI: Confidence Interval; HR = Hazard Ratio; NR=not reported.</w:t>
      </w:r>
    </w:p>
    <w:p w:rsidR="00C165A2" w:rsidRPr="003E7C50" w:rsidRDefault="00440592" w:rsidP="001729A6">
      <w:pPr>
        <w:pStyle w:val="TableFooter"/>
      </w:pPr>
      <w:proofErr w:type="gramStart"/>
      <w:r w:rsidRPr="003E7C50">
        <w:rPr>
          <w:vertAlign w:val="superscript"/>
        </w:rPr>
        <w:t>a</w:t>
      </w:r>
      <w:proofErr w:type="gramEnd"/>
      <w:r w:rsidRPr="003E7C50">
        <w:t xml:space="preserve"> </w:t>
      </w:r>
      <w:r w:rsidR="00C165A2" w:rsidRPr="003E7C50">
        <w:t xml:space="preserve">hazard ratio &lt; 1 indicates a reduction in hazard rate in favour of </w:t>
      </w:r>
      <w:proofErr w:type="spellStart"/>
      <w:r w:rsidRPr="003E7C50">
        <w:t>ribociclib</w:t>
      </w:r>
      <w:proofErr w:type="spellEnd"/>
      <w:r w:rsidR="00C165A2" w:rsidRPr="003E7C50">
        <w:t xml:space="preserve"> + </w:t>
      </w:r>
      <w:proofErr w:type="spellStart"/>
      <w:r w:rsidR="00C165A2" w:rsidRPr="003E7C50">
        <w:t>letrozole</w:t>
      </w:r>
      <w:proofErr w:type="spellEnd"/>
      <w:r w:rsidR="00C165A2" w:rsidRPr="003E7C50">
        <w:t xml:space="preserve"> </w:t>
      </w:r>
    </w:p>
    <w:p w:rsidR="00C165A2" w:rsidRPr="003E7C50" w:rsidRDefault="00C165A2" w:rsidP="001729A6">
      <w:pPr>
        <w:pStyle w:val="TableFooter"/>
      </w:pPr>
      <w:r w:rsidRPr="003E7C50">
        <w:t>Source: Section 2.5.1.1.1, p70-73 of the submission</w:t>
      </w:r>
      <w:r w:rsidR="007E7163" w:rsidRPr="003E7C50">
        <w:t xml:space="preserve"> and calculated during the evaluation.</w:t>
      </w:r>
    </w:p>
    <w:p w:rsidR="00A24DED" w:rsidRPr="003E7C50" w:rsidRDefault="0056194F" w:rsidP="001729A6">
      <w:pPr>
        <w:pStyle w:val="ListParagraph"/>
        <w:ind w:left="709" w:hanging="709"/>
      </w:pPr>
      <w:r w:rsidRPr="003E7C50">
        <w:t>The table below</w:t>
      </w:r>
      <w:r w:rsidR="00C165A2" w:rsidRPr="003E7C50">
        <w:t xml:space="preserve"> presents OS results from </w:t>
      </w:r>
      <w:r w:rsidR="00D96796" w:rsidRPr="003E7C50">
        <w:t>t</w:t>
      </w:r>
      <w:r w:rsidR="00C165A2" w:rsidRPr="003E7C50">
        <w:t>he MONALEESA-2 trial at all available time points.</w:t>
      </w:r>
      <w:r w:rsidR="00941AA3" w:rsidRPr="003E7C50">
        <w:t xml:space="preserve"> </w:t>
      </w:r>
      <w:r w:rsidR="00C165A2" w:rsidRPr="003E7C50">
        <w:t>Survival data were immature</w:t>
      </w:r>
      <w:r w:rsidR="008B52C8" w:rsidRPr="003E7C50">
        <w:t>; i</w:t>
      </w:r>
      <w:r w:rsidR="001729A6" w:rsidRPr="003E7C50">
        <w:t xml:space="preserve">n the most recent January 2017 interim analysis only 15.0% and 19.8% of patients treated with </w:t>
      </w:r>
      <w:proofErr w:type="spellStart"/>
      <w:r w:rsidR="001729A6" w:rsidRPr="003E7C50">
        <w:t>ribociclib</w:t>
      </w:r>
      <w:proofErr w:type="spellEnd"/>
      <w:r w:rsidR="001729A6" w:rsidRPr="003E7C50">
        <w:t xml:space="preserve"> + </w:t>
      </w:r>
      <w:proofErr w:type="spellStart"/>
      <w:r w:rsidR="001729A6" w:rsidRPr="003E7C50">
        <w:t>letrozole</w:t>
      </w:r>
      <w:proofErr w:type="spellEnd"/>
      <w:r w:rsidR="001729A6" w:rsidRPr="003E7C50">
        <w:t xml:space="preserve"> and </w:t>
      </w:r>
      <w:proofErr w:type="spellStart"/>
      <w:r w:rsidR="001729A6" w:rsidRPr="003E7C50">
        <w:t>letrozole</w:t>
      </w:r>
      <w:proofErr w:type="spellEnd"/>
      <w:r w:rsidR="001729A6" w:rsidRPr="003E7C50">
        <w:t xml:space="preserve"> alone had died, respectively. The difference in </w:t>
      </w:r>
      <w:r w:rsidR="008B52C8" w:rsidRPr="003E7C50">
        <w:t>OS</w:t>
      </w:r>
      <w:r w:rsidR="001729A6" w:rsidRPr="003E7C50">
        <w:t xml:space="preserve"> between </w:t>
      </w:r>
      <w:proofErr w:type="spellStart"/>
      <w:r w:rsidR="001729A6" w:rsidRPr="003E7C50">
        <w:t>ribociclib</w:t>
      </w:r>
      <w:proofErr w:type="spellEnd"/>
      <w:r w:rsidR="001729A6" w:rsidRPr="003E7C50">
        <w:t xml:space="preserve"> </w:t>
      </w:r>
      <w:r w:rsidR="008B52C8" w:rsidRPr="003E7C50">
        <w:t>+</w:t>
      </w:r>
      <w:r w:rsidR="001729A6" w:rsidRPr="003E7C50">
        <w:t xml:space="preserve"> </w:t>
      </w:r>
      <w:proofErr w:type="spellStart"/>
      <w:r w:rsidR="001729A6" w:rsidRPr="003E7C50">
        <w:t>letrozole</w:t>
      </w:r>
      <w:proofErr w:type="spellEnd"/>
      <w:r w:rsidR="001729A6" w:rsidRPr="003E7C50">
        <w:t xml:space="preserve"> </w:t>
      </w:r>
      <w:r w:rsidR="008B52C8" w:rsidRPr="003E7C50">
        <w:t xml:space="preserve">and </w:t>
      </w:r>
      <w:proofErr w:type="spellStart"/>
      <w:r w:rsidR="001729A6" w:rsidRPr="003E7C50">
        <w:t>letrozole</w:t>
      </w:r>
      <w:proofErr w:type="spellEnd"/>
      <w:r w:rsidR="001729A6" w:rsidRPr="003E7C50">
        <w:t xml:space="preserve"> alone was not statistically significant.</w:t>
      </w:r>
      <w:r w:rsidR="00A374FE" w:rsidRPr="003E7C50">
        <w:rPr>
          <w:b/>
        </w:rPr>
        <w:t xml:space="preserve"> </w:t>
      </w:r>
      <w:r w:rsidR="00B3537E" w:rsidRPr="003E7C50">
        <w:t>The PSCR (p.1) argu</w:t>
      </w:r>
      <w:r w:rsidR="00A24DED" w:rsidRPr="003E7C50">
        <w:t>ed</w:t>
      </w:r>
      <w:r w:rsidR="00B3537E" w:rsidRPr="003E7C50">
        <w:t xml:space="preserve"> that the results of the second OS interim analysis numerically favour the </w:t>
      </w:r>
      <w:proofErr w:type="spellStart"/>
      <w:r w:rsidR="00B3537E" w:rsidRPr="003E7C50">
        <w:t>ribociclib</w:t>
      </w:r>
      <w:proofErr w:type="spellEnd"/>
      <w:r w:rsidR="00B3537E" w:rsidRPr="003E7C50">
        <w:t xml:space="preserve"> + </w:t>
      </w:r>
      <w:proofErr w:type="spellStart"/>
      <w:r w:rsidR="00B3537E" w:rsidRPr="003E7C50">
        <w:t>letrozole</w:t>
      </w:r>
      <w:proofErr w:type="spellEnd"/>
      <w:r w:rsidR="00B3537E" w:rsidRPr="003E7C50">
        <w:t xml:space="preserve"> arm, with a 25.4% risk reduction relative to placebo (HR 0.746; 95% CI: 0.517, 1.078). The PSCR further contended that although OS data </w:t>
      </w:r>
      <w:r w:rsidR="00631B8E" w:rsidRPr="003E7C50">
        <w:t>are</w:t>
      </w:r>
      <w:r w:rsidR="00B3537E" w:rsidRPr="003E7C50">
        <w:t xml:space="preserve"> not mature, the available data show consistent</w:t>
      </w:r>
      <w:r w:rsidR="00D01AF5" w:rsidRPr="003E7C50">
        <w:t xml:space="preserve"> PFS</w:t>
      </w:r>
      <w:r w:rsidR="00B3537E" w:rsidRPr="003E7C50">
        <w:t xml:space="preserve"> </w:t>
      </w:r>
      <w:r w:rsidR="000C765A" w:rsidRPr="003E7C50">
        <w:t>HR</w:t>
      </w:r>
      <w:r w:rsidR="00D01AF5" w:rsidRPr="003E7C50">
        <w:t>s</w:t>
      </w:r>
      <w:r w:rsidR="000C765A" w:rsidRPr="003E7C50">
        <w:t xml:space="preserve"> between </w:t>
      </w:r>
      <w:r w:rsidR="00E2578A" w:rsidRPr="003E7C50">
        <w:t>interim analyses</w:t>
      </w:r>
      <w:r w:rsidR="000C765A" w:rsidRPr="003E7C50">
        <w:t xml:space="preserve"> and</w:t>
      </w:r>
      <w:r w:rsidR="00B3537E" w:rsidRPr="003E7C50">
        <w:t xml:space="preserve"> a strong trend towards improved OS after 106 events. The ESC agreed</w:t>
      </w:r>
      <w:r w:rsidR="00A374FE" w:rsidRPr="003E7C50">
        <w:t xml:space="preserve"> that th</w:t>
      </w:r>
      <w:r w:rsidR="00BE420C" w:rsidRPr="003E7C50">
        <w:t>ese</w:t>
      </w:r>
      <w:r w:rsidR="00A374FE" w:rsidRPr="003E7C50">
        <w:t xml:space="preserve"> data demonstrated a trend </w:t>
      </w:r>
      <w:r w:rsidR="00BE420C" w:rsidRPr="003E7C50">
        <w:t xml:space="preserve">for improved OS in favour of </w:t>
      </w:r>
      <w:proofErr w:type="spellStart"/>
      <w:r w:rsidR="00A374FE" w:rsidRPr="003E7C50">
        <w:t>ribociclib</w:t>
      </w:r>
      <w:proofErr w:type="spellEnd"/>
      <w:r w:rsidR="00A374FE" w:rsidRPr="003E7C50">
        <w:t xml:space="preserve"> + </w:t>
      </w:r>
      <w:proofErr w:type="spellStart"/>
      <w:r w:rsidR="00B3537E" w:rsidRPr="003E7C50">
        <w:t>letrozole</w:t>
      </w:r>
      <w:proofErr w:type="spellEnd"/>
      <w:r w:rsidR="00B3537E" w:rsidRPr="003E7C50">
        <w:t>, but</w:t>
      </w:r>
      <w:r w:rsidR="00223894" w:rsidRPr="003E7C50">
        <w:t xml:space="preserve"> considered that the </w:t>
      </w:r>
      <w:r w:rsidR="00BE420C" w:rsidRPr="003E7C50">
        <w:t>OS</w:t>
      </w:r>
      <w:r w:rsidR="00223894" w:rsidRPr="003E7C50">
        <w:t xml:space="preserve"> data </w:t>
      </w:r>
      <w:r w:rsidR="00F4622C" w:rsidRPr="003E7C50">
        <w:t xml:space="preserve">were </w:t>
      </w:r>
      <w:r w:rsidR="00223894" w:rsidRPr="003E7C50">
        <w:t xml:space="preserve">immature, </w:t>
      </w:r>
      <w:r w:rsidR="00B3537E" w:rsidRPr="003E7C50">
        <w:t>given</w:t>
      </w:r>
      <w:r w:rsidR="00223894" w:rsidRPr="003E7C50">
        <w:t xml:space="preserve"> that the survival curves diverged at a point where the number of patients at risk w</w:t>
      </w:r>
      <w:r w:rsidR="00B3537E" w:rsidRPr="003E7C50">
        <w:t>as</w:t>
      </w:r>
      <w:r w:rsidR="00223894" w:rsidRPr="003E7C50">
        <w:t xml:space="preserve"> too small</w:t>
      </w:r>
      <w:r w:rsidR="00B3537E" w:rsidRPr="003E7C50">
        <w:t xml:space="preserve"> to draw any meaningful conclusions</w:t>
      </w:r>
      <w:r w:rsidR="00223894" w:rsidRPr="003E7C50">
        <w:t>.</w:t>
      </w:r>
    </w:p>
    <w:p w:rsidR="00762A23" w:rsidRDefault="00762A23" w:rsidP="00762A23">
      <w:pPr>
        <w:pStyle w:val="Caption"/>
      </w:pPr>
      <w:r>
        <w:t xml:space="preserve">Table </w:t>
      </w:r>
      <w:r>
        <w:rPr>
          <w:noProof/>
        </w:rPr>
        <w:t>5</w:t>
      </w:r>
      <w:r w:rsidRPr="004F1487">
        <w:t>: Results of OS from MONALEESA-2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2"/>
        <w:gridCol w:w="1419"/>
        <w:gridCol w:w="992"/>
        <w:gridCol w:w="1558"/>
        <w:gridCol w:w="1277"/>
        <w:gridCol w:w="994"/>
        <w:gridCol w:w="1680"/>
      </w:tblGrid>
      <w:tr w:rsidR="001729A6" w:rsidRPr="003E7C50" w:rsidTr="001729A6">
        <w:trPr>
          <w:tblHeader/>
        </w:trPr>
        <w:tc>
          <w:tcPr>
            <w:tcW w:w="640" w:type="pct"/>
            <w:shd w:val="clear" w:color="auto" w:fill="auto"/>
            <w:vAlign w:val="center"/>
          </w:tcPr>
          <w:p w:rsidR="003C0908" w:rsidRPr="003E7C50" w:rsidRDefault="006E722F" w:rsidP="003C0908">
            <w:pPr>
              <w:keepNext/>
              <w:spacing w:before="0" w:after="0"/>
              <w:rPr>
                <w:rFonts w:ascii="Arial Narrow" w:hAnsi="Arial Narrow"/>
                <w:b/>
                <w:sz w:val="20"/>
              </w:rPr>
            </w:pPr>
            <w:r w:rsidRPr="003E7C50">
              <w:rPr>
                <w:rFonts w:ascii="Arial Narrow" w:hAnsi="Arial Narrow"/>
                <w:b/>
                <w:sz w:val="20"/>
              </w:rPr>
              <w:t>MONALEESA-2 interim analysis</w:t>
            </w:r>
          </w:p>
        </w:tc>
        <w:tc>
          <w:tcPr>
            <w:tcW w:w="781" w:type="pct"/>
            <w:shd w:val="clear" w:color="auto" w:fill="auto"/>
            <w:vAlign w:val="center"/>
          </w:tcPr>
          <w:p w:rsidR="003C0908" w:rsidRPr="003E7C50" w:rsidRDefault="003C0908" w:rsidP="001729A6">
            <w:pPr>
              <w:pStyle w:val="TableText"/>
              <w:rPr>
                <w:b/>
              </w:rPr>
            </w:pPr>
            <w:proofErr w:type="spellStart"/>
            <w:r w:rsidRPr="003E7C50">
              <w:rPr>
                <w:b/>
              </w:rPr>
              <w:t>Ribociclib</w:t>
            </w:r>
            <w:proofErr w:type="spellEnd"/>
            <w:r w:rsidRPr="003E7C50">
              <w:rPr>
                <w:b/>
              </w:rPr>
              <w:t xml:space="preserve"> + </w:t>
            </w:r>
            <w:proofErr w:type="spellStart"/>
            <w:r w:rsidRPr="003E7C50">
              <w:rPr>
                <w:b/>
              </w:rPr>
              <w:t>Letrozole</w:t>
            </w:r>
            <w:proofErr w:type="spellEnd"/>
            <w:r w:rsidR="001729A6" w:rsidRPr="003E7C50">
              <w:rPr>
                <w:b/>
              </w:rPr>
              <w:t xml:space="preserve">, </w:t>
            </w:r>
            <w:r w:rsidRPr="003E7C50">
              <w:rPr>
                <w:b/>
              </w:rPr>
              <w:t>n with event/N (%)</w:t>
            </w:r>
          </w:p>
        </w:tc>
        <w:tc>
          <w:tcPr>
            <w:tcW w:w="546" w:type="pct"/>
            <w:shd w:val="clear" w:color="auto" w:fill="auto"/>
            <w:vAlign w:val="center"/>
          </w:tcPr>
          <w:p w:rsidR="003C0908" w:rsidRPr="003E7C50" w:rsidRDefault="003C0908" w:rsidP="001729A6">
            <w:pPr>
              <w:keepNext/>
              <w:spacing w:before="0" w:after="0"/>
              <w:rPr>
                <w:rFonts w:ascii="Arial Narrow" w:hAnsi="Arial Narrow"/>
                <w:b/>
                <w:sz w:val="20"/>
              </w:rPr>
            </w:pPr>
            <w:proofErr w:type="spellStart"/>
            <w:r w:rsidRPr="003E7C50">
              <w:rPr>
                <w:rFonts w:ascii="Arial Narrow" w:hAnsi="Arial Narrow"/>
                <w:b/>
                <w:sz w:val="20"/>
              </w:rPr>
              <w:t>Letrozole</w:t>
            </w:r>
            <w:proofErr w:type="spellEnd"/>
            <w:r w:rsidR="001729A6" w:rsidRPr="003E7C50">
              <w:rPr>
                <w:rFonts w:ascii="Arial Narrow" w:hAnsi="Arial Narrow"/>
                <w:b/>
                <w:sz w:val="20"/>
              </w:rPr>
              <w:t xml:space="preserve">, </w:t>
            </w:r>
            <w:r w:rsidRPr="003E7C50">
              <w:rPr>
                <w:rFonts w:ascii="Arial Narrow" w:hAnsi="Arial Narrow"/>
                <w:b/>
                <w:sz w:val="20"/>
              </w:rPr>
              <w:t>n with event/N (%)</w:t>
            </w:r>
          </w:p>
        </w:tc>
        <w:tc>
          <w:tcPr>
            <w:tcW w:w="858" w:type="pct"/>
            <w:shd w:val="clear" w:color="auto" w:fill="auto"/>
            <w:vAlign w:val="center"/>
          </w:tcPr>
          <w:p w:rsidR="003C0908" w:rsidRPr="003E7C50" w:rsidRDefault="003C0908" w:rsidP="001729A6">
            <w:pPr>
              <w:pStyle w:val="TableText"/>
              <w:rPr>
                <w:b/>
              </w:rPr>
            </w:pPr>
            <w:proofErr w:type="spellStart"/>
            <w:r w:rsidRPr="003E7C50">
              <w:rPr>
                <w:b/>
              </w:rPr>
              <w:t>Ribociclib</w:t>
            </w:r>
            <w:proofErr w:type="spellEnd"/>
            <w:r w:rsidRPr="003E7C50">
              <w:rPr>
                <w:b/>
              </w:rPr>
              <w:t xml:space="preserve"> + </w:t>
            </w:r>
            <w:proofErr w:type="spellStart"/>
            <w:r w:rsidRPr="003E7C50">
              <w:rPr>
                <w:b/>
              </w:rPr>
              <w:t>Letrozole</w:t>
            </w:r>
            <w:proofErr w:type="spellEnd"/>
            <w:r w:rsidR="001729A6" w:rsidRPr="003E7C50">
              <w:rPr>
                <w:b/>
              </w:rPr>
              <w:t>, m</w:t>
            </w:r>
            <w:r w:rsidRPr="003E7C50">
              <w:rPr>
                <w:b/>
              </w:rPr>
              <w:t>edian months</w:t>
            </w:r>
            <w:r w:rsidR="001729A6" w:rsidRPr="003E7C50">
              <w:rPr>
                <w:b/>
              </w:rPr>
              <w:t xml:space="preserve"> </w:t>
            </w:r>
            <w:r w:rsidRPr="003E7C50">
              <w:rPr>
                <w:b/>
              </w:rPr>
              <w:t>(95% CI)</w:t>
            </w:r>
          </w:p>
        </w:tc>
        <w:tc>
          <w:tcPr>
            <w:tcW w:w="703" w:type="pct"/>
            <w:shd w:val="clear" w:color="auto" w:fill="auto"/>
            <w:vAlign w:val="center"/>
          </w:tcPr>
          <w:p w:rsidR="003C0908" w:rsidRPr="003E7C50" w:rsidDel="00E567B8" w:rsidRDefault="003C0908" w:rsidP="001729A6">
            <w:pPr>
              <w:keepNext/>
              <w:spacing w:before="0" w:after="0"/>
              <w:rPr>
                <w:rFonts w:ascii="Arial Narrow" w:hAnsi="Arial Narrow"/>
                <w:b/>
                <w:sz w:val="20"/>
              </w:rPr>
            </w:pPr>
            <w:proofErr w:type="spellStart"/>
            <w:r w:rsidRPr="003E7C50">
              <w:rPr>
                <w:rFonts w:ascii="Arial Narrow" w:hAnsi="Arial Narrow"/>
                <w:b/>
                <w:sz w:val="20"/>
              </w:rPr>
              <w:t>Letrozole</w:t>
            </w:r>
            <w:proofErr w:type="spellEnd"/>
            <w:r w:rsidR="001729A6" w:rsidRPr="003E7C50">
              <w:rPr>
                <w:rFonts w:ascii="Arial Narrow" w:hAnsi="Arial Narrow"/>
                <w:b/>
                <w:sz w:val="20"/>
              </w:rPr>
              <w:t>, m</w:t>
            </w:r>
            <w:r w:rsidRPr="003E7C50">
              <w:rPr>
                <w:rFonts w:ascii="Arial Narrow" w:hAnsi="Arial Narrow"/>
                <w:b/>
                <w:sz w:val="20"/>
              </w:rPr>
              <w:t>edian months</w:t>
            </w:r>
            <w:r w:rsidR="001729A6" w:rsidRPr="003E7C50">
              <w:rPr>
                <w:rFonts w:ascii="Arial Narrow" w:hAnsi="Arial Narrow"/>
                <w:b/>
                <w:sz w:val="20"/>
              </w:rPr>
              <w:t xml:space="preserve"> </w:t>
            </w:r>
            <w:r w:rsidRPr="003E7C50">
              <w:rPr>
                <w:rFonts w:ascii="Arial Narrow" w:hAnsi="Arial Narrow"/>
                <w:b/>
                <w:sz w:val="20"/>
              </w:rPr>
              <w:t>(95% CI)</w:t>
            </w:r>
          </w:p>
        </w:tc>
        <w:tc>
          <w:tcPr>
            <w:tcW w:w="547" w:type="pct"/>
            <w:shd w:val="clear" w:color="auto" w:fill="auto"/>
            <w:vAlign w:val="center"/>
          </w:tcPr>
          <w:p w:rsidR="003C0908" w:rsidRPr="003E7C50" w:rsidRDefault="003C0908" w:rsidP="001729A6">
            <w:pPr>
              <w:keepNext/>
              <w:spacing w:before="0" w:after="0"/>
              <w:rPr>
                <w:rFonts w:ascii="Arial Narrow" w:hAnsi="Arial Narrow"/>
                <w:b/>
                <w:sz w:val="20"/>
              </w:rPr>
            </w:pPr>
            <w:r w:rsidRPr="003E7C50">
              <w:rPr>
                <w:rFonts w:ascii="Arial Narrow" w:hAnsi="Arial Narrow"/>
                <w:b/>
                <w:sz w:val="20"/>
              </w:rPr>
              <w:t>Difference</w:t>
            </w:r>
            <w:r w:rsidR="001729A6" w:rsidRPr="003E7C50">
              <w:rPr>
                <w:rFonts w:ascii="Arial Narrow" w:hAnsi="Arial Narrow"/>
                <w:b/>
                <w:sz w:val="20"/>
              </w:rPr>
              <w:t>, m</w:t>
            </w:r>
            <w:r w:rsidRPr="003E7C50">
              <w:rPr>
                <w:rFonts w:ascii="Arial Narrow" w:hAnsi="Arial Narrow"/>
                <w:b/>
                <w:sz w:val="20"/>
              </w:rPr>
              <w:t>edian months</w:t>
            </w:r>
          </w:p>
        </w:tc>
        <w:tc>
          <w:tcPr>
            <w:tcW w:w="925" w:type="pct"/>
            <w:shd w:val="clear" w:color="auto" w:fill="auto"/>
            <w:vAlign w:val="center"/>
          </w:tcPr>
          <w:p w:rsidR="003C0908" w:rsidRPr="003E7C50" w:rsidRDefault="003C0908" w:rsidP="003C0908">
            <w:pPr>
              <w:keepNext/>
              <w:spacing w:before="0" w:after="0"/>
              <w:rPr>
                <w:rFonts w:ascii="Arial Narrow" w:hAnsi="Arial Narrow"/>
                <w:b/>
                <w:sz w:val="20"/>
              </w:rPr>
            </w:pPr>
            <w:r w:rsidRPr="003E7C50">
              <w:rPr>
                <w:rFonts w:ascii="Arial Narrow" w:hAnsi="Arial Narrow"/>
                <w:b/>
                <w:sz w:val="20"/>
              </w:rPr>
              <w:t>HR</w:t>
            </w:r>
          </w:p>
          <w:p w:rsidR="003C0908" w:rsidRPr="003E7C50" w:rsidRDefault="003C0908" w:rsidP="003C0908">
            <w:pPr>
              <w:keepNext/>
              <w:spacing w:before="0" w:after="0"/>
              <w:rPr>
                <w:rFonts w:ascii="Arial Narrow" w:hAnsi="Arial Narrow"/>
                <w:b/>
                <w:sz w:val="20"/>
              </w:rPr>
            </w:pPr>
            <w:r w:rsidRPr="003E7C50">
              <w:rPr>
                <w:rFonts w:ascii="Arial Narrow" w:hAnsi="Arial Narrow"/>
                <w:b/>
                <w:sz w:val="20"/>
              </w:rPr>
              <w:t xml:space="preserve">(95% CI) </w:t>
            </w:r>
            <w:r w:rsidRPr="003E7C50">
              <w:rPr>
                <w:rFonts w:ascii="Arial Narrow" w:hAnsi="Arial Narrow"/>
                <w:b/>
                <w:sz w:val="20"/>
                <w:vertAlign w:val="superscript"/>
              </w:rPr>
              <w:t>a</w:t>
            </w:r>
          </w:p>
        </w:tc>
      </w:tr>
      <w:tr w:rsidR="001729A6" w:rsidRPr="003E7C50" w:rsidTr="001729A6">
        <w:tc>
          <w:tcPr>
            <w:tcW w:w="640" w:type="pct"/>
            <w:shd w:val="clear" w:color="auto" w:fill="auto"/>
          </w:tcPr>
          <w:p w:rsidR="00C165A2" w:rsidRPr="003E7C50" w:rsidRDefault="001729A6" w:rsidP="001729A6">
            <w:pPr>
              <w:keepNext/>
              <w:spacing w:before="0" w:after="0"/>
              <w:rPr>
                <w:rFonts w:ascii="Arial Narrow" w:hAnsi="Arial Narrow"/>
                <w:sz w:val="20"/>
              </w:rPr>
            </w:pPr>
            <w:r w:rsidRPr="003E7C50">
              <w:rPr>
                <w:rFonts w:ascii="Arial Narrow" w:hAnsi="Arial Narrow"/>
                <w:sz w:val="20"/>
              </w:rPr>
              <w:t>Jan 2016</w:t>
            </w:r>
          </w:p>
        </w:tc>
        <w:tc>
          <w:tcPr>
            <w:tcW w:w="781" w:type="pct"/>
            <w:shd w:val="clear" w:color="auto" w:fill="auto"/>
          </w:tcPr>
          <w:p w:rsidR="00C165A2" w:rsidRPr="003E7C50" w:rsidRDefault="00C165A2" w:rsidP="00C165A2">
            <w:pPr>
              <w:keepNext/>
              <w:spacing w:before="0" w:after="0"/>
              <w:rPr>
                <w:rFonts w:ascii="Arial Narrow" w:hAnsi="Arial Narrow"/>
                <w:sz w:val="20"/>
              </w:rPr>
            </w:pPr>
            <w:r w:rsidRPr="003E7C50">
              <w:rPr>
                <w:rFonts w:ascii="Arial Narrow" w:hAnsi="Arial Narrow"/>
                <w:sz w:val="20"/>
              </w:rPr>
              <w:t>2</w:t>
            </w:r>
            <w:r w:rsidR="001729A6" w:rsidRPr="003E7C50">
              <w:rPr>
                <w:rFonts w:ascii="Arial Narrow" w:hAnsi="Arial Narrow"/>
                <w:sz w:val="20"/>
              </w:rPr>
              <w:t>3/334 (6.9)</w:t>
            </w:r>
          </w:p>
        </w:tc>
        <w:tc>
          <w:tcPr>
            <w:tcW w:w="546" w:type="pct"/>
            <w:shd w:val="clear" w:color="auto" w:fill="auto"/>
          </w:tcPr>
          <w:p w:rsidR="00C165A2" w:rsidRPr="003E7C50" w:rsidRDefault="001729A6" w:rsidP="00C165A2">
            <w:pPr>
              <w:keepNext/>
              <w:spacing w:before="0" w:after="0"/>
              <w:rPr>
                <w:rFonts w:ascii="Arial Narrow" w:hAnsi="Arial Narrow"/>
                <w:sz w:val="20"/>
              </w:rPr>
            </w:pPr>
            <w:r w:rsidRPr="003E7C50">
              <w:rPr>
                <w:rFonts w:ascii="Arial Narrow" w:hAnsi="Arial Narrow"/>
                <w:sz w:val="20"/>
              </w:rPr>
              <w:t>20/334 (6.0)</w:t>
            </w:r>
          </w:p>
        </w:tc>
        <w:tc>
          <w:tcPr>
            <w:tcW w:w="858" w:type="pct"/>
            <w:shd w:val="clear" w:color="auto" w:fill="auto"/>
          </w:tcPr>
          <w:p w:rsidR="00C165A2"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703" w:type="pct"/>
            <w:shd w:val="clear" w:color="auto" w:fill="auto"/>
          </w:tcPr>
          <w:p w:rsidR="00C165A2"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547" w:type="pct"/>
            <w:shd w:val="clear" w:color="auto" w:fill="auto"/>
          </w:tcPr>
          <w:p w:rsidR="00C165A2"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925" w:type="pct"/>
            <w:shd w:val="clear" w:color="auto" w:fill="auto"/>
          </w:tcPr>
          <w:p w:rsidR="00C165A2" w:rsidRPr="003E7C50" w:rsidRDefault="00C165A2" w:rsidP="00C165A2">
            <w:pPr>
              <w:keepNext/>
              <w:spacing w:before="0" w:after="0"/>
              <w:rPr>
                <w:rFonts w:ascii="Arial Narrow" w:hAnsi="Arial Narrow"/>
                <w:sz w:val="20"/>
              </w:rPr>
            </w:pPr>
            <w:r w:rsidRPr="003E7C50">
              <w:rPr>
                <w:rFonts w:ascii="Arial Narrow" w:hAnsi="Arial Narrow"/>
                <w:sz w:val="20"/>
              </w:rPr>
              <w:t>1.128 (0.619, 2.055)</w:t>
            </w:r>
          </w:p>
          <w:p w:rsidR="00C165A2" w:rsidRPr="003E7C50" w:rsidRDefault="001729A6" w:rsidP="001729A6">
            <w:pPr>
              <w:keepNext/>
              <w:spacing w:before="0" w:after="0"/>
              <w:rPr>
                <w:rFonts w:ascii="Arial Narrow" w:hAnsi="Arial Narrow"/>
                <w:sz w:val="20"/>
              </w:rPr>
            </w:pPr>
            <w:r w:rsidRPr="003E7C50">
              <w:rPr>
                <w:rFonts w:ascii="Arial Narrow" w:hAnsi="Arial Narrow"/>
                <w:sz w:val="20"/>
              </w:rPr>
              <w:t>p-value 0.653</w:t>
            </w:r>
          </w:p>
        </w:tc>
      </w:tr>
      <w:tr w:rsidR="001729A6" w:rsidRPr="003E7C50" w:rsidTr="001729A6">
        <w:tc>
          <w:tcPr>
            <w:tcW w:w="640" w:type="pct"/>
            <w:shd w:val="clear" w:color="auto" w:fill="auto"/>
          </w:tcPr>
          <w:p w:rsidR="001729A6" w:rsidRPr="003E7C50" w:rsidDel="006E722F" w:rsidRDefault="001729A6" w:rsidP="001729A6">
            <w:pPr>
              <w:keepNext/>
              <w:spacing w:before="0" w:after="0"/>
              <w:rPr>
                <w:rFonts w:ascii="Arial Narrow" w:hAnsi="Arial Narrow"/>
                <w:sz w:val="20"/>
              </w:rPr>
            </w:pPr>
            <w:r w:rsidRPr="003E7C50">
              <w:rPr>
                <w:rFonts w:ascii="Arial Narrow" w:hAnsi="Arial Narrow"/>
                <w:sz w:val="20"/>
              </w:rPr>
              <w:t>Jun 2016</w:t>
            </w:r>
          </w:p>
        </w:tc>
        <w:tc>
          <w:tcPr>
            <w:tcW w:w="781" w:type="pct"/>
            <w:shd w:val="clear" w:color="auto" w:fill="auto"/>
          </w:tcPr>
          <w:p w:rsidR="001729A6" w:rsidRPr="003E7C50" w:rsidRDefault="00B235DF" w:rsidP="00C165A2">
            <w:pPr>
              <w:keepNext/>
              <w:spacing w:before="0" w:after="0"/>
              <w:rPr>
                <w:rFonts w:ascii="Arial Narrow" w:hAnsi="Arial Narrow"/>
                <w:sz w:val="20"/>
              </w:rPr>
            </w:pPr>
            <w:r>
              <w:rPr>
                <w:rFonts w:ascii="Arial Narrow" w:hAnsi="Arial Narrow"/>
                <w:noProof/>
                <w:color w:val="000000"/>
                <w:sz w:val="20"/>
                <w:highlight w:val="black"/>
              </w:rPr>
              <w:t>'''''''''''''''''' '''''''''''''</w:t>
            </w:r>
          </w:p>
        </w:tc>
        <w:tc>
          <w:tcPr>
            <w:tcW w:w="546" w:type="pct"/>
            <w:shd w:val="clear" w:color="auto" w:fill="auto"/>
          </w:tcPr>
          <w:p w:rsidR="001729A6" w:rsidRPr="00B235DF" w:rsidRDefault="00B235DF" w:rsidP="00C165A2">
            <w:pPr>
              <w:keepNext/>
              <w:spacing w:before="0" w:after="0"/>
              <w:rPr>
                <w:rFonts w:ascii="Arial Narrow" w:hAnsi="Arial Narrow"/>
                <w:sz w:val="20"/>
                <w:highlight w:val="black"/>
              </w:rPr>
            </w:pPr>
            <w:r>
              <w:rPr>
                <w:rFonts w:ascii="Arial Narrow" w:hAnsi="Arial Narrow"/>
                <w:noProof/>
                <w:color w:val="000000"/>
                <w:sz w:val="20"/>
                <w:highlight w:val="black"/>
              </w:rPr>
              <w:t>'''''''''''''''' '''''''''''</w:t>
            </w:r>
          </w:p>
        </w:tc>
        <w:tc>
          <w:tcPr>
            <w:tcW w:w="858" w:type="pct"/>
            <w:shd w:val="clear" w:color="auto" w:fill="auto"/>
          </w:tcPr>
          <w:p w:rsidR="001729A6" w:rsidRPr="00B235DF" w:rsidRDefault="00B235DF" w:rsidP="00C165A2">
            <w:pPr>
              <w:keepNext/>
              <w:spacing w:before="0" w:after="0"/>
              <w:rPr>
                <w:rFonts w:ascii="Arial Narrow" w:hAnsi="Arial Narrow"/>
                <w:sz w:val="20"/>
                <w:highlight w:val="black"/>
              </w:rPr>
            </w:pPr>
            <w:r>
              <w:rPr>
                <w:rFonts w:ascii="Arial Narrow" w:hAnsi="Arial Narrow"/>
                <w:noProof/>
                <w:color w:val="000000"/>
                <w:sz w:val="20"/>
                <w:highlight w:val="black"/>
              </w:rPr>
              <w:t>'''''''</w:t>
            </w:r>
          </w:p>
        </w:tc>
        <w:tc>
          <w:tcPr>
            <w:tcW w:w="703" w:type="pct"/>
            <w:shd w:val="clear" w:color="auto" w:fill="auto"/>
          </w:tcPr>
          <w:p w:rsidR="001729A6" w:rsidRPr="00B235DF" w:rsidRDefault="00B235DF" w:rsidP="00C165A2">
            <w:pPr>
              <w:keepNext/>
              <w:spacing w:before="0" w:after="0"/>
              <w:rPr>
                <w:rFonts w:ascii="Arial Narrow" w:hAnsi="Arial Narrow"/>
                <w:sz w:val="20"/>
                <w:highlight w:val="black"/>
              </w:rPr>
            </w:pPr>
            <w:r>
              <w:rPr>
                <w:rFonts w:ascii="Arial Narrow" w:hAnsi="Arial Narrow"/>
                <w:noProof/>
                <w:color w:val="000000"/>
                <w:sz w:val="20"/>
                <w:highlight w:val="black"/>
              </w:rPr>
              <w:t>'''''''''</w:t>
            </w:r>
          </w:p>
        </w:tc>
        <w:tc>
          <w:tcPr>
            <w:tcW w:w="547" w:type="pct"/>
            <w:shd w:val="clear" w:color="auto" w:fill="auto"/>
          </w:tcPr>
          <w:p w:rsidR="001729A6" w:rsidRPr="00B235DF" w:rsidRDefault="00B235DF" w:rsidP="00C165A2">
            <w:pPr>
              <w:keepNext/>
              <w:spacing w:before="0" w:after="0"/>
              <w:rPr>
                <w:rFonts w:ascii="Arial Narrow" w:hAnsi="Arial Narrow"/>
                <w:sz w:val="20"/>
                <w:highlight w:val="black"/>
              </w:rPr>
            </w:pPr>
            <w:r>
              <w:rPr>
                <w:rFonts w:ascii="Arial Narrow" w:hAnsi="Arial Narrow"/>
                <w:noProof/>
                <w:color w:val="000000"/>
                <w:sz w:val="20"/>
                <w:highlight w:val="black"/>
              </w:rPr>
              <w:t>''''''''</w:t>
            </w:r>
          </w:p>
        </w:tc>
        <w:tc>
          <w:tcPr>
            <w:tcW w:w="925" w:type="pct"/>
            <w:shd w:val="clear" w:color="auto" w:fill="auto"/>
          </w:tcPr>
          <w:p w:rsidR="001729A6" w:rsidRPr="00B235DF" w:rsidDel="006E722F" w:rsidRDefault="00B235DF" w:rsidP="00C165A2">
            <w:pPr>
              <w:keepNext/>
              <w:spacing w:before="0" w:after="0"/>
              <w:rPr>
                <w:rFonts w:ascii="Arial Narrow" w:hAnsi="Arial Narrow"/>
                <w:sz w:val="20"/>
                <w:highlight w:val="black"/>
              </w:rPr>
            </w:pPr>
            <w:r>
              <w:rPr>
                <w:rFonts w:ascii="Arial Narrow" w:hAnsi="Arial Narrow"/>
                <w:noProof/>
                <w:color w:val="000000"/>
                <w:sz w:val="20"/>
                <w:highlight w:val="black"/>
              </w:rPr>
              <w:t>''''''''</w:t>
            </w:r>
          </w:p>
        </w:tc>
      </w:tr>
      <w:tr w:rsidR="001729A6" w:rsidRPr="003E7C50" w:rsidTr="001729A6">
        <w:tc>
          <w:tcPr>
            <w:tcW w:w="640" w:type="pct"/>
            <w:shd w:val="clear" w:color="auto" w:fill="auto"/>
          </w:tcPr>
          <w:p w:rsidR="001729A6" w:rsidRPr="003E7C50" w:rsidDel="006E722F" w:rsidRDefault="001729A6" w:rsidP="00C165A2">
            <w:pPr>
              <w:keepNext/>
              <w:spacing w:before="0" w:after="0"/>
              <w:rPr>
                <w:rFonts w:ascii="Arial Narrow" w:hAnsi="Arial Narrow"/>
                <w:sz w:val="20"/>
              </w:rPr>
            </w:pPr>
            <w:r w:rsidRPr="003E7C50">
              <w:rPr>
                <w:rFonts w:ascii="Arial Narrow" w:hAnsi="Arial Narrow"/>
                <w:sz w:val="20"/>
              </w:rPr>
              <w:t>Jan 2017</w:t>
            </w:r>
          </w:p>
        </w:tc>
        <w:tc>
          <w:tcPr>
            <w:tcW w:w="781"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50/334 (15.0)</w:t>
            </w:r>
          </w:p>
        </w:tc>
        <w:tc>
          <w:tcPr>
            <w:tcW w:w="546"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66/334 (19.8)</w:t>
            </w:r>
          </w:p>
        </w:tc>
        <w:tc>
          <w:tcPr>
            <w:tcW w:w="858"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703"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547" w:type="pct"/>
            <w:shd w:val="clear" w:color="auto" w:fill="auto"/>
          </w:tcPr>
          <w:p w:rsidR="001729A6" w:rsidRPr="003E7C50" w:rsidRDefault="001729A6" w:rsidP="00C165A2">
            <w:pPr>
              <w:keepNext/>
              <w:spacing w:before="0" w:after="0"/>
              <w:rPr>
                <w:rFonts w:ascii="Arial Narrow" w:hAnsi="Arial Narrow"/>
                <w:sz w:val="20"/>
              </w:rPr>
            </w:pPr>
            <w:r w:rsidRPr="003E7C50">
              <w:rPr>
                <w:rFonts w:ascii="Arial Narrow" w:hAnsi="Arial Narrow"/>
                <w:sz w:val="20"/>
              </w:rPr>
              <w:t>NR</w:t>
            </w:r>
          </w:p>
        </w:tc>
        <w:tc>
          <w:tcPr>
            <w:tcW w:w="925" w:type="pct"/>
            <w:shd w:val="clear" w:color="auto" w:fill="auto"/>
          </w:tcPr>
          <w:p w:rsidR="001729A6" w:rsidRPr="003E7C50" w:rsidRDefault="001729A6" w:rsidP="001729A6">
            <w:pPr>
              <w:keepNext/>
              <w:spacing w:before="0" w:after="0"/>
              <w:rPr>
                <w:rFonts w:ascii="Arial Narrow" w:hAnsi="Arial Narrow"/>
                <w:sz w:val="20"/>
              </w:rPr>
            </w:pPr>
            <w:r w:rsidRPr="003E7C50">
              <w:rPr>
                <w:rFonts w:ascii="Arial Narrow" w:hAnsi="Arial Narrow"/>
                <w:sz w:val="20"/>
              </w:rPr>
              <w:t>0.746 (0.517, 1.078)</w:t>
            </w:r>
          </w:p>
          <w:p w:rsidR="001729A6" w:rsidRPr="003E7C50" w:rsidDel="006E722F" w:rsidRDefault="001729A6" w:rsidP="001729A6">
            <w:pPr>
              <w:keepNext/>
              <w:spacing w:before="0" w:after="0"/>
              <w:rPr>
                <w:rFonts w:ascii="Arial Narrow" w:hAnsi="Arial Narrow"/>
                <w:sz w:val="20"/>
              </w:rPr>
            </w:pPr>
            <w:r w:rsidRPr="003E7C50">
              <w:rPr>
                <w:rFonts w:ascii="Arial Narrow" w:hAnsi="Arial Narrow"/>
                <w:sz w:val="20"/>
              </w:rPr>
              <w:t>p-value 0.059</w:t>
            </w:r>
          </w:p>
        </w:tc>
      </w:tr>
    </w:tbl>
    <w:p w:rsidR="003C0908" w:rsidRPr="003E7C50" w:rsidRDefault="003C0908" w:rsidP="001729A6">
      <w:pPr>
        <w:pStyle w:val="TableFooter"/>
      </w:pPr>
      <w:r w:rsidRPr="003E7C50">
        <w:t>CI: confidence interval; NR: not reported, HR: Hazard Ratio; OS: overall survival</w:t>
      </w:r>
      <w:r w:rsidR="00C165A2" w:rsidRPr="003E7C50">
        <w:t>.</w:t>
      </w:r>
    </w:p>
    <w:p w:rsidR="00C165A2" w:rsidRPr="003E7C50" w:rsidRDefault="00C165A2" w:rsidP="001729A6">
      <w:pPr>
        <w:pStyle w:val="TableFooter"/>
      </w:pPr>
      <w:proofErr w:type="gramStart"/>
      <w:r w:rsidRPr="003E7C50">
        <w:rPr>
          <w:vertAlign w:val="superscript"/>
        </w:rPr>
        <w:t>a</w:t>
      </w:r>
      <w:proofErr w:type="gramEnd"/>
      <w:r w:rsidRPr="003E7C50">
        <w:t xml:space="preserve"> hazard ratio &lt; 1 indicates a reduction in hazard rate in favour of </w:t>
      </w:r>
      <w:proofErr w:type="spellStart"/>
      <w:r w:rsidR="003C0908" w:rsidRPr="003E7C50">
        <w:t>ribociclib</w:t>
      </w:r>
      <w:proofErr w:type="spellEnd"/>
      <w:r w:rsidRPr="003E7C50">
        <w:t xml:space="preserve"> + </w:t>
      </w:r>
      <w:proofErr w:type="spellStart"/>
      <w:r w:rsidRPr="003E7C50">
        <w:t>letrozole</w:t>
      </w:r>
      <w:proofErr w:type="spellEnd"/>
      <w:r w:rsidR="003C0908" w:rsidRPr="003E7C50">
        <w:t>.</w:t>
      </w:r>
    </w:p>
    <w:p w:rsidR="00C165A2" w:rsidRDefault="00C165A2" w:rsidP="001729A6">
      <w:pPr>
        <w:pStyle w:val="TableFooter"/>
      </w:pPr>
      <w:r w:rsidRPr="003E7C50">
        <w:t xml:space="preserve">Source: </w:t>
      </w:r>
      <w:r w:rsidR="00AA5DEA" w:rsidRPr="003E7C50">
        <w:t xml:space="preserve">Table 2.19 and Table 2.20, </w:t>
      </w:r>
      <w:r w:rsidRPr="003E7C50">
        <w:t>Section 2.5.of the submission</w:t>
      </w:r>
      <w:r w:rsidR="003C0908" w:rsidRPr="003E7C50">
        <w:t>.</w:t>
      </w:r>
    </w:p>
    <w:p w:rsidR="000A0EA7" w:rsidRDefault="000A0EA7" w:rsidP="001729A6">
      <w:pPr>
        <w:pStyle w:val="TableFooter"/>
      </w:pPr>
    </w:p>
    <w:p w:rsidR="000A0EA7" w:rsidRDefault="000A0EA7" w:rsidP="001729A6">
      <w:pPr>
        <w:pStyle w:val="TableFooter"/>
      </w:pPr>
    </w:p>
    <w:p w:rsidR="000A0EA7" w:rsidRPr="003E7C50" w:rsidRDefault="000A0EA7" w:rsidP="001729A6">
      <w:pPr>
        <w:pStyle w:val="TableFooter"/>
      </w:pPr>
    </w:p>
    <w:p w:rsidR="00C165A2" w:rsidRPr="003E7C50" w:rsidRDefault="00C165A2" w:rsidP="00C165A2">
      <w:pPr>
        <w:numPr>
          <w:ilvl w:val="1"/>
          <w:numId w:val="3"/>
        </w:numPr>
        <w:spacing w:before="0" w:after="120"/>
        <w:jc w:val="both"/>
        <w:rPr>
          <w:rFonts w:cstheme="minorHAnsi"/>
          <w:szCs w:val="24"/>
        </w:rPr>
      </w:pPr>
      <w:r w:rsidRPr="003E7C50">
        <w:rPr>
          <w:rFonts w:cstheme="minorHAnsi"/>
          <w:szCs w:val="24"/>
        </w:rPr>
        <w:t>The Kaplan-Meier plots for investigator assessed PFS and OS from the most recent analysis for the MONALEESA-2 trial are presented below.</w:t>
      </w:r>
    </w:p>
    <w:p w:rsidR="00762A23" w:rsidRDefault="00762A23" w:rsidP="00762A23">
      <w:pPr>
        <w:pStyle w:val="Caption"/>
      </w:pPr>
      <w:r>
        <w:t xml:space="preserve">Figure </w:t>
      </w:r>
      <w:r>
        <w:rPr>
          <w:noProof/>
        </w:rPr>
        <w:t>1</w:t>
      </w:r>
      <w:r w:rsidRPr="00CE3933">
        <w:t>: MONALEESA-2 Kaplan Meier Plot of PFS (investigator assessed, Jan 2017 interim analysis)</w:t>
      </w:r>
    </w:p>
    <w:p w:rsidR="00C165A2" w:rsidRPr="003E7C50" w:rsidRDefault="00C165A2" w:rsidP="00FD55D9">
      <w:pPr>
        <w:keepNext/>
        <w:spacing w:before="0" w:after="0"/>
        <w:rPr>
          <w:b/>
          <w:sz w:val="20"/>
          <w:szCs w:val="24"/>
        </w:rPr>
      </w:pPr>
      <w:r w:rsidRPr="003E7C50">
        <w:rPr>
          <w:b/>
          <w:noProof/>
          <w:sz w:val="20"/>
          <w:szCs w:val="24"/>
          <w:lang w:eastAsia="en-AU"/>
        </w:rPr>
        <w:drawing>
          <wp:inline distT="0" distB="0" distL="0" distR="0" wp14:anchorId="2E5DB546" wp14:editId="5BFFF92C">
            <wp:extent cx="5427325" cy="2830664"/>
            <wp:effectExtent l="0" t="0" r="2540" b="8255"/>
            <wp:docPr id="42" name="Picture 42" title="MONALEESA-2 Kaplan Meier Plot of PFS (investigator assessed, Jan 2017 interim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3105" cy="2870188"/>
                    </a:xfrm>
                    <a:prstGeom prst="rect">
                      <a:avLst/>
                    </a:prstGeom>
                    <a:noFill/>
                    <a:ln>
                      <a:noFill/>
                    </a:ln>
                  </pic:spPr>
                </pic:pic>
              </a:graphicData>
            </a:graphic>
          </wp:inline>
        </w:drawing>
      </w:r>
    </w:p>
    <w:p w:rsidR="00C165A2" w:rsidRPr="003E7C50" w:rsidRDefault="00C165A2" w:rsidP="00FD55D9">
      <w:pPr>
        <w:pStyle w:val="TableFooter"/>
      </w:pPr>
      <w:r w:rsidRPr="003E7C50">
        <w:t>Source: Figure 2.9, p 73 of the submission</w:t>
      </w:r>
      <w:r w:rsidR="006E2B5D" w:rsidRPr="003E7C50">
        <w:t>.</w:t>
      </w:r>
    </w:p>
    <w:p w:rsidR="00762A23" w:rsidRDefault="00762A23" w:rsidP="00762A23">
      <w:pPr>
        <w:pStyle w:val="Caption"/>
      </w:pPr>
      <w:r>
        <w:t xml:space="preserve">Figure </w:t>
      </w:r>
      <w:r>
        <w:rPr>
          <w:noProof/>
        </w:rPr>
        <w:t>2</w:t>
      </w:r>
      <w:r w:rsidRPr="005772F0">
        <w:t>: MONALEESA-2 Kaplan Meier plot of OS (Jan 2017 interim analysis)</w:t>
      </w:r>
    </w:p>
    <w:p w:rsidR="00C165A2" w:rsidRPr="003E7C50" w:rsidRDefault="00C165A2" w:rsidP="00FD55D9">
      <w:pPr>
        <w:keepNext/>
        <w:spacing w:before="0" w:after="0"/>
        <w:rPr>
          <w:b/>
          <w:sz w:val="20"/>
          <w:szCs w:val="24"/>
          <w:lang w:eastAsia="en-AU"/>
        </w:rPr>
      </w:pPr>
      <w:r w:rsidRPr="003E7C50">
        <w:rPr>
          <w:b/>
          <w:noProof/>
          <w:sz w:val="20"/>
          <w:szCs w:val="24"/>
          <w:lang w:eastAsia="en-AU"/>
        </w:rPr>
        <w:drawing>
          <wp:inline distT="0" distB="0" distL="0" distR="0" wp14:anchorId="0606F66A" wp14:editId="5427E36C">
            <wp:extent cx="5074920" cy="2691740"/>
            <wp:effectExtent l="0" t="0" r="0" b="0"/>
            <wp:docPr id="43" name="Picture 43" title="MONALEESA-2 Kaplan Meier plot of OS (Jan 2017 interim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5697" cy="2697456"/>
                    </a:xfrm>
                    <a:prstGeom prst="rect">
                      <a:avLst/>
                    </a:prstGeom>
                    <a:noFill/>
                    <a:ln>
                      <a:noFill/>
                    </a:ln>
                  </pic:spPr>
                </pic:pic>
              </a:graphicData>
            </a:graphic>
          </wp:inline>
        </w:drawing>
      </w:r>
    </w:p>
    <w:p w:rsidR="00C165A2" w:rsidRPr="003E7C50" w:rsidRDefault="00C165A2" w:rsidP="00FD55D9">
      <w:pPr>
        <w:pStyle w:val="TableFooter"/>
      </w:pPr>
      <w:r w:rsidRPr="003E7C50">
        <w:t>Source</w:t>
      </w:r>
      <w:r w:rsidR="006E2B5D" w:rsidRPr="003E7C50">
        <w:t>:</w:t>
      </w:r>
      <w:r w:rsidRPr="003E7C50">
        <w:t xml:space="preserve"> Figure 2.11 p76 of the submission</w:t>
      </w:r>
      <w:r w:rsidR="006E2B5D" w:rsidRPr="003E7C50">
        <w:t>.</w:t>
      </w:r>
    </w:p>
    <w:p w:rsidR="00322C9D" w:rsidRPr="003E7C50" w:rsidRDefault="00322C9D" w:rsidP="00322C9D">
      <w:pPr>
        <w:pStyle w:val="ListParagraph"/>
      </w:pPr>
      <w:r w:rsidRPr="003E7C50">
        <w:t>The ESC noted that MONALEESA-2 measured quality of life using the EORTC QLQ30 and the EQ-5D-5L. The results for the EORTC QLQ30 revealed no significant effect of treatment, time or treatment by time interactions. The estimated mean difference in changes to global health status/</w:t>
      </w:r>
      <w:proofErr w:type="spellStart"/>
      <w:r w:rsidRPr="003E7C50">
        <w:t>QoL</w:t>
      </w:r>
      <w:proofErr w:type="spellEnd"/>
      <w:r w:rsidRPr="003E7C50">
        <w:t xml:space="preserve"> scale score between the two treatment arms was -1.50 (95% CI: -4.0, 1.0). No EQ-5D-5L results were provided in the submission that demonstrated a change from baseline and difference between treatment groups.</w:t>
      </w:r>
    </w:p>
    <w:p w:rsidR="00C165A2" w:rsidRPr="003E7C50" w:rsidRDefault="00C165A2" w:rsidP="00514242">
      <w:pPr>
        <w:numPr>
          <w:ilvl w:val="1"/>
          <w:numId w:val="3"/>
        </w:numPr>
        <w:spacing w:before="0" w:after="120"/>
        <w:jc w:val="both"/>
        <w:rPr>
          <w:rFonts w:cstheme="minorHAnsi"/>
          <w:szCs w:val="24"/>
        </w:rPr>
      </w:pPr>
      <w:r w:rsidRPr="003E7C50">
        <w:rPr>
          <w:rFonts w:cstheme="minorHAnsi"/>
          <w:szCs w:val="24"/>
        </w:rPr>
        <w:t>Details of the indirect comparison presented in the submission are provided in the table below. The submission present</w:t>
      </w:r>
      <w:r w:rsidR="0046416D" w:rsidRPr="003E7C50">
        <w:rPr>
          <w:rFonts w:cstheme="minorHAnsi"/>
          <w:szCs w:val="24"/>
        </w:rPr>
        <w:t>ed</w:t>
      </w:r>
      <w:r w:rsidRPr="003E7C50">
        <w:rPr>
          <w:rFonts w:cstheme="minorHAnsi"/>
          <w:szCs w:val="24"/>
        </w:rPr>
        <w:t xml:space="preserve"> </w:t>
      </w:r>
      <w:r w:rsidR="00DD76D9" w:rsidRPr="003E7C50">
        <w:rPr>
          <w:rFonts w:cstheme="minorHAnsi"/>
          <w:szCs w:val="24"/>
        </w:rPr>
        <w:t>six</w:t>
      </w:r>
      <w:r w:rsidRPr="003E7C50">
        <w:rPr>
          <w:rFonts w:cstheme="minorHAnsi"/>
          <w:szCs w:val="24"/>
        </w:rPr>
        <w:t xml:space="preserve"> different indirect comparison estimates </w:t>
      </w:r>
      <w:r w:rsidR="0046416D" w:rsidRPr="003E7C50">
        <w:rPr>
          <w:rFonts w:cstheme="minorHAnsi"/>
          <w:szCs w:val="24"/>
        </w:rPr>
        <w:t xml:space="preserve">using </w:t>
      </w:r>
      <w:r w:rsidRPr="003E7C50">
        <w:rPr>
          <w:rFonts w:cstheme="minorHAnsi"/>
          <w:szCs w:val="24"/>
        </w:rPr>
        <w:t>PALOMA-1 alone, PALOMA-2 alone, meta-analysis of PALOMA</w:t>
      </w:r>
      <w:r w:rsidR="005A64EA" w:rsidRPr="003E7C50">
        <w:rPr>
          <w:rFonts w:cstheme="minorHAnsi"/>
          <w:szCs w:val="24"/>
        </w:rPr>
        <w:noBreakHyphen/>
      </w:r>
      <w:r w:rsidRPr="003E7C50">
        <w:rPr>
          <w:rFonts w:cstheme="minorHAnsi"/>
          <w:szCs w:val="24"/>
        </w:rPr>
        <w:t xml:space="preserve">1 and </w:t>
      </w:r>
      <w:r w:rsidR="00466C20" w:rsidRPr="003E7C50">
        <w:rPr>
          <w:rFonts w:cstheme="minorHAnsi"/>
          <w:szCs w:val="24"/>
        </w:rPr>
        <w:t>PALOMA-</w:t>
      </w:r>
      <w:r w:rsidRPr="003E7C50">
        <w:rPr>
          <w:rFonts w:cstheme="minorHAnsi"/>
          <w:szCs w:val="24"/>
        </w:rPr>
        <w:t>2</w:t>
      </w:r>
      <w:r w:rsidR="009E4457">
        <w:rPr>
          <w:rFonts w:cstheme="minorHAnsi"/>
          <w:szCs w:val="24"/>
        </w:rPr>
        <w:t>,</w:t>
      </w:r>
      <w:r w:rsidRPr="003E7C50">
        <w:rPr>
          <w:rFonts w:cstheme="minorHAnsi"/>
          <w:szCs w:val="24"/>
        </w:rPr>
        <w:t xml:space="preserve"> and </w:t>
      </w:r>
      <w:r w:rsidR="005A64EA" w:rsidRPr="003E7C50">
        <w:rPr>
          <w:rFonts w:cstheme="minorHAnsi"/>
          <w:szCs w:val="24"/>
        </w:rPr>
        <w:t>the</w:t>
      </w:r>
      <w:r w:rsidRPr="003E7C50">
        <w:rPr>
          <w:rFonts w:cstheme="minorHAnsi"/>
          <w:szCs w:val="24"/>
        </w:rPr>
        <w:t xml:space="preserve"> MONALEESA-2 January</w:t>
      </w:r>
      <w:r w:rsidR="00BE092E" w:rsidRPr="003E7C50">
        <w:rPr>
          <w:rFonts w:cstheme="minorHAnsi"/>
          <w:szCs w:val="24"/>
        </w:rPr>
        <w:t xml:space="preserve"> and June 2016 interim results.</w:t>
      </w:r>
    </w:p>
    <w:p w:rsidR="00762A23" w:rsidRDefault="00762A23" w:rsidP="00762A23">
      <w:pPr>
        <w:pStyle w:val="Caption"/>
      </w:pPr>
      <w:r>
        <w:t xml:space="preserve">Table </w:t>
      </w:r>
      <w:r>
        <w:rPr>
          <w:noProof/>
        </w:rPr>
        <w:t>6</w:t>
      </w:r>
      <w:r w:rsidRPr="000F122B">
        <w:t xml:space="preserve">: Summary of results of the indirect comparison (PFS, </w:t>
      </w:r>
      <w:proofErr w:type="spellStart"/>
      <w:r w:rsidRPr="000F122B">
        <w:t>ribociclib</w:t>
      </w:r>
      <w:proofErr w:type="spellEnd"/>
      <w:r w:rsidRPr="000F122B">
        <w:t xml:space="preserve"> + </w:t>
      </w:r>
      <w:proofErr w:type="spellStart"/>
      <w:r w:rsidRPr="000F122B">
        <w:t>letrozole</w:t>
      </w:r>
      <w:proofErr w:type="spellEnd"/>
      <w:r w:rsidRPr="000F122B">
        <w:t xml:space="preserve"> vs. </w:t>
      </w:r>
      <w:proofErr w:type="spellStart"/>
      <w:r w:rsidRPr="000F122B">
        <w:t>palbociclib</w:t>
      </w:r>
      <w:proofErr w:type="spellEnd"/>
      <w:r w:rsidRPr="000F122B">
        <w:t xml:space="preserve"> + </w:t>
      </w:r>
      <w:proofErr w:type="spellStart"/>
      <w:r w:rsidRPr="000F122B">
        <w:t>letrozole</w:t>
      </w:r>
      <w:proofErr w:type="spellEnd"/>
      <w:r w:rsidRPr="000F122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0"/>
        <w:gridCol w:w="2363"/>
        <w:gridCol w:w="1368"/>
        <w:gridCol w:w="1786"/>
        <w:gridCol w:w="2305"/>
      </w:tblGrid>
      <w:tr w:rsidR="00C165A2" w:rsidRPr="003E7C50" w:rsidTr="00096B1B">
        <w:trPr>
          <w:tblHeader/>
        </w:trPr>
        <w:tc>
          <w:tcPr>
            <w:tcW w:w="694" w:type="pct"/>
            <w:tcBorders>
              <w:bottom w:val="single" w:sz="4" w:space="0" w:color="auto"/>
            </w:tcBorders>
          </w:tcPr>
          <w:p w:rsidR="00C165A2" w:rsidRPr="003E7C50" w:rsidRDefault="00C165A2" w:rsidP="00C165A2">
            <w:pPr>
              <w:keepNext/>
              <w:spacing w:before="40" w:after="40"/>
              <w:rPr>
                <w:rFonts w:ascii="Arial Narrow" w:hAnsi="Arial Narrow"/>
                <w:b/>
                <w:sz w:val="20"/>
              </w:rPr>
            </w:pPr>
            <w:r w:rsidRPr="003E7C50">
              <w:rPr>
                <w:rFonts w:ascii="Arial Narrow" w:hAnsi="Arial Narrow"/>
                <w:b/>
                <w:sz w:val="20"/>
              </w:rPr>
              <w:t>Trial type or estimate</w:t>
            </w:r>
          </w:p>
        </w:tc>
        <w:tc>
          <w:tcPr>
            <w:tcW w:w="1301" w:type="pct"/>
            <w:tcBorders>
              <w:bottom w:val="single" w:sz="4" w:space="0" w:color="auto"/>
            </w:tcBorders>
            <w:shd w:val="clear" w:color="auto" w:fill="auto"/>
          </w:tcPr>
          <w:p w:rsidR="00C165A2" w:rsidRPr="003E7C50" w:rsidRDefault="00C165A2" w:rsidP="00C165A2">
            <w:pPr>
              <w:keepNext/>
              <w:spacing w:before="40" w:after="40"/>
              <w:rPr>
                <w:rFonts w:ascii="Arial Narrow" w:hAnsi="Arial Narrow"/>
                <w:b/>
                <w:sz w:val="20"/>
              </w:rPr>
            </w:pPr>
            <w:r w:rsidRPr="003E7C50">
              <w:rPr>
                <w:rFonts w:ascii="Arial Narrow" w:hAnsi="Arial Narrow"/>
                <w:b/>
                <w:sz w:val="20"/>
              </w:rPr>
              <w:t>Trial ID</w:t>
            </w:r>
          </w:p>
        </w:tc>
        <w:tc>
          <w:tcPr>
            <w:tcW w:w="753" w:type="pct"/>
            <w:tcBorders>
              <w:bottom w:val="single" w:sz="4" w:space="0" w:color="auto"/>
            </w:tcBorders>
            <w:shd w:val="clear" w:color="auto" w:fill="auto"/>
          </w:tcPr>
          <w:p w:rsidR="00C165A2" w:rsidRPr="003E7C50" w:rsidRDefault="00C165A2" w:rsidP="00C165A2">
            <w:pPr>
              <w:keepNext/>
              <w:spacing w:before="40" w:after="40"/>
              <w:rPr>
                <w:rFonts w:ascii="Arial Narrow" w:hAnsi="Arial Narrow"/>
                <w:b/>
                <w:sz w:val="20"/>
              </w:rPr>
            </w:pPr>
            <w:proofErr w:type="gramStart"/>
            <w:r w:rsidRPr="003E7C50">
              <w:rPr>
                <w:rFonts w:ascii="Arial Narrow" w:hAnsi="Arial Narrow"/>
                <w:b/>
                <w:i/>
                <w:iCs/>
                <w:sz w:val="20"/>
              </w:rPr>
              <w:t>n</w:t>
            </w:r>
            <w:proofErr w:type="gramEnd"/>
            <w:r w:rsidRPr="003E7C50">
              <w:rPr>
                <w:rFonts w:ascii="Arial Narrow" w:hAnsi="Arial Narrow"/>
                <w:b/>
                <w:sz w:val="20"/>
              </w:rPr>
              <w:t xml:space="preserve"> with event/</w:t>
            </w:r>
            <w:r w:rsidRPr="003E7C50">
              <w:rPr>
                <w:rFonts w:ascii="Arial Narrow" w:hAnsi="Arial Narrow"/>
                <w:b/>
                <w:i/>
                <w:iCs/>
                <w:sz w:val="20"/>
              </w:rPr>
              <w:t>N</w:t>
            </w:r>
            <w:r w:rsidRPr="003E7C50">
              <w:rPr>
                <w:rFonts w:ascii="Arial Narrow" w:hAnsi="Arial Narrow"/>
                <w:b/>
                <w:sz w:val="20"/>
              </w:rPr>
              <w:t xml:space="preserve"> (%)</w:t>
            </w:r>
          </w:p>
        </w:tc>
        <w:tc>
          <w:tcPr>
            <w:tcW w:w="983" w:type="pct"/>
            <w:tcBorders>
              <w:bottom w:val="single" w:sz="4" w:space="0" w:color="auto"/>
            </w:tcBorders>
            <w:shd w:val="clear" w:color="auto" w:fill="auto"/>
          </w:tcPr>
          <w:p w:rsidR="0026657A" w:rsidRPr="003E7C50" w:rsidRDefault="0026657A" w:rsidP="00C165A2">
            <w:pPr>
              <w:keepNext/>
              <w:spacing w:before="40" w:after="40"/>
              <w:ind w:right="313"/>
              <w:rPr>
                <w:rFonts w:ascii="Arial Narrow" w:hAnsi="Arial Narrow"/>
                <w:b/>
                <w:sz w:val="20"/>
              </w:rPr>
            </w:pPr>
            <w:proofErr w:type="spellStart"/>
            <w:r w:rsidRPr="003E7C50">
              <w:rPr>
                <w:rFonts w:ascii="Arial Narrow" w:hAnsi="Arial Narrow"/>
                <w:b/>
                <w:sz w:val="20"/>
              </w:rPr>
              <w:t>Letrozole</w:t>
            </w:r>
            <w:proofErr w:type="spellEnd"/>
          </w:p>
          <w:p w:rsidR="00C165A2" w:rsidRPr="003E7C50" w:rsidRDefault="00C165A2" w:rsidP="00C165A2">
            <w:pPr>
              <w:keepNext/>
              <w:spacing w:before="40" w:after="40"/>
              <w:ind w:right="313"/>
              <w:rPr>
                <w:rFonts w:ascii="Arial Narrow" w:hAnsi="Arial Narrow"/>
                <w:b/>
                <w:sz w:val="20"/>
              </w:rPr>
            </w:pPr>
            <w:proofErr w:type="gramStart"/>
            <w:r w:rsidRPr="003E7C50">
              <w:rPr>
                <w:rFonts w:ascii="Arial Narrow" w:hAnsi="Arial Narrow"/>
                <w:b/>
                <w:i/>
                <w:iCs/>
                <w:sz w:val="20"/>
              </w:rPr>
              <w:t>n</w:t>
            </w:r>
            <w:proofErr w:type="gramEnd"/>
            <w:r w:rsidRPr="003E7C50">
              <w:rPr>
                <w:rFonts w:ascii="Arial Narrow" w:hAnsi="Arial Narrow"/>
                <w:b/>
                <w:sz w:val="20"/>
              </w:rPr>
              <w:t xml:space="preserve"> with event/</w:t>
            </w:r>
            <w:r w:rsidRPr="003E7C50">
              <w:rPr>
                <w:rFonts w:ascii="Arial Narrow" w:hAnsi="Arial Narrow"/>
                <w:b/>
                <w:i/>
                <w:iCs/>
                <w:sz w:val="20"/>
              </w:rPr>
              <w:t>N</w:t>
            </w:r>
            <w:r w:rsidRPr="003E7C50">
              <w:rPr>
                <w:rFonts w:ascii="Arial Narrow" w:hAnsi="Arial Narrow"/>
                <w:b/>
                <w:sz w:val="20"/>
              </w:rPr>
              <w:t xml:space="preserve"> (%)</w:t>
            </w:r>
          </w:p>
        </w:tc>
        <w:tc>
          <w:tcPr>
            <w:tcW w:w="1269" w:type="pct"/>
            <w:tcBorders>
              <w:bottom w:val="single" w:sz="4" w:space="0" w:color="auto"/>
            </w:tcBorders>
            <w:shd w:val="clear" w:color="auto" w:fill="auto"/>
          </w:tcPr>
          <w:p w:rsidR="00C165A2" w:rsidRPr="003E7C50" w:rsidRDefault="00C165A2" w:rsidP="00C165A2">
            <w:pPr>
              <w:keepNext/>
              <w:spacing w:before="40" w:after="40"/>
              <w:rPr>
                <w:rFonts w:ascii="Arial Narrow" w:hAnsi="Arial Narrow"/>
                <w:b/>
                <w:sz w:val="20"/>
              </w:rPr>
            </w:pPr>
            <w:r w:rsidRPr="003E7C50">
              <w:rPr>
                <w:rFonts w:ascii="Arial Narrow" w:hAnsi="Arial Narrow"/>
                <w:b/>
                <w:sz w:val="20"/>
              </w:rPr>
              <w:t>HR (95%CI)</w:t>
            </w:r>
          </w:p>
        </w:tc>
      </w:tr>
      <w:tr w:rsidR="0045778F" w:rsidRPr="003E7C50" w:rsidTr="00096B1B">
        <w:trPr>
          <w:trHeight w:val="772"/>
        </w:trPr>
        <w:tc>
          <w:tcPr>
            <w:tcW w:w="694" w:type="pct"/>
            <w:vMerge w:val="restart"/>
            <w:tcBorders>
              <w:top w:val="single" w:sz="4" w:space="0" w:color="auto"/>
              <w:left w:val="single" w:sz="4" w:space="0" w:color="auto"/>
              <w:right w:val="single" w:sz="4" w:space="0" w:color="auto"/>
            </w:tcBorders>
          </w:tcPr>
          <w:p w:rsidR="0045778F" w:rsidRPr="003E7C50" w:rsidRDefault="00466C20" w:rsidP="00466C20">
            <w:pPr>
              <w:widowControl w:val="0"/>
              <w:spacing w:before="40" w:after="40"/>
              <w:rPr>
                <w:rFonts w:ascii="Arial Narrow" w:hAnsi="Arial Narrow"/>
                <w:sz w:val="20"/>
              </w:rPr>
            </w:pPr>
            <w:proofErr w:type="spellStart"/>
            <w:r w:rsidRPr="003E7C50">
              <w:rPr>
                <w:rFonts w:ascii="Arial Narrow" w:hAnsi="Arial Narrow"/>
                <w:sz w:val="20"/>
              </w:rPr>
              <w:t>Ribociclib</w:t>
            </w:r>
            <w:proofErr w:type="spellEnd"/>
            <w:r w:rsidRPr="003E7C50">
              <w:rPr>
                <w:rFonts w:ascii="Arial Narrow" w:hAnsi="Arial Narrow"/>
                <w:sz w:val="20"/>
              </w:rPr>
              <w:t xml:space="preserve"> + </w:t>
            </w:r>
            <w:proofErr w:type="spellStart"/>
            <w:r w:rsidRPr="003E7C50">
              <w:rPr>
                <w:rFonts w:ascii="Arial Narrow" w:hAnsi="Arial Narrow"/>
                <w:sz w:val="20"/>
              </w:rPr>
              <w:t>letrozole</w:t>
            </w:r>
            <w:proofErr w:type="spellEnd"/>
            <w:r w:rsidR="0045778F" w:rsidRPr="003E7C50">
              <w:rPr>
                <w:rFonts w:ascii="Arial Narrow" w:hAnsi="Arial Narrow"/>
                <w:sz w:val="20"/>
              </w:rPr>
              <w:t xml:space="preserve"> </w:t>
            </w:r>
            <w:r w:rsidR="00885E27" w:rsidRPr="003E7C50">
              <w:rPr>
                <w:rFonts w:ascii="Arial Narrow" w:hAnsi="Arial Narrow"/>
                <w:sz w:val="20"/>
              </w:rPr>
              <w:t>vs.</w:t>
            </w:r>
            <w:r w:rsidR="0045778F" w:rsidRPr="003E7C50">
              <w:rPr>
                <w:rFonts w:ascii="Arial Narrow" w:hAnsi="Arial Narrow"/>
                <w:sz w:val="20"/>
              </w:rPr>
              <w:t xml:space="preserve"> </w:t>
            </w:r>
            <w:proofErr w:type="spellStart"/>
            <w:r w:rsidRPr="003E7C50">
              <w:rPr>
                <w:rFonts w:ascii="Arial Narrow" w:hAnsi="Arial Narrow"/>
                <w:sz w:val="20"/>
              </w:rPr>
              <w:t>letrozole</w:t>
            </w:r>
            <w:proofErr w:type="spellEnd"/>
            <w:r w:rsidRPr="003E7C50">
              <w:rPr>
                <w:rFonts w:ascii="Arial Narrow" w:hAnsi="Arial Narrow"/>
                <w:sz w:val="20"/>
              </w:rPr>
              <w:t xml:space="preserve"> alone</w:t>
            </w:r>
            <w:r w:rsidR="0045778F" w:rsidRPr="003E7C50">
              <w:rPr>
                <w:rFonts w:ascii="Arial Narrow" w:hAnsi="Arial Narrow"/>
                <w:sz w:val="20"/>
              </w:rPr>
              <w:t xml:space="preserve"> trials</w:t>
            </w:r>
          </w:p>
        </w:tc>
        <w:tc>
          <w:tcPr>
            <w:tcW w:w="1301" w:type="pct"/>
            <w:tcBorders>
              <w:top w:val="single" w:sz="4" w:space="0" w:color="auto"/>
              <w:left w:val="single" w:sz="4" w:space="0" w:color="auto"/>
              <w:bottom w:val="nil"/>
              <w:right w:val="single" w:sz="4" w:space="0" w:color="auto"/>
            </w:tcBorders>
            <w:shd w:val="clear" w:color="auto" w:fill="auto"/>
          </w:tcPr>
          <w:p w:rsidR="0045778F" w:rsidRPr="003E7C50" w:rsidRDefault="0045778F" w:rsidP="00B26DF4">
            <w:pPr>
              <w:widowControl w:val="0"/>
              <w:spacing w:before="40" w:after="40"/>
              <w:rPr>
                <w:rFonts w:ascii="Arial Narrow" w:hAnsi="Arial Narrow"/>
                <w:sz w:val="20"/>
              </w:rPr>
            </w:pPr>
            <w:r w:rsidRPr="003E7C50">
              <w:rPr>
                <w:rFonts w:ascii="Arial Narrow" w:hAnsi="Arial Narrow"/>
                <w:sz w:val="20"/>
              </w:rPr>
              <w:t>MONALEESA-2</w:t>
            </w:r>
          </w:p>
          <w:p w:rsidR="0045778F" w:rsidRPr="003E7C50" w:rsidRDefault="0045778F" w:rsidP="00466C20">
            <w:pPr>
              <w:widowControl w:val="0"/>
              <w:spacing w:before="40" w:after="40"/>
              <w:rPr>
                <w:rFonts w:ascii="Arial Narrow" w:hAnsi="Arial Narrow"/>
                <w:sz w:val="20"/>
              </w:rPr>
            </w:pPr>
            <w:r w:rsidRPr="003E7C50">
              <w:rPr>
                <w:rFonts w:ascii="Arial Narrow" w:hAnsi="Arial Narrow"/>
                <w:sz w:val="20"/>
              </w:rPr>
              <w:t>-Investigator assessed</w:t>
            </w:r>
            <w:r w:rsidR="00466C20" w:rsidRPr="003E7C50">
              <w:rPr>
                <w:rFonts w:ascii="Arial Narrow" w:hAnsi="Arial Narrow"/>
                <w:sz w:val="20"/>
              </w:rPr>
              <w:t xml:space="preserve"> PFS, </w:t>
            </w:r>
            <w:r w:rsidRPr="003E7C50">
              <w:rPr>
                <w:rFonts w:ascii="Arial Narrow" w:hAnsi="Arial Narrow"/>
                <w:sz w:val="20"/>
              </w:rPr>
              <w:t>Jan 2016</w:t>
            </w:r>
          </w:p>
        </w:tc>
        <w:tc>
          <w:tcPr>
            <w:tcW w:w="753" w:type="pct"/>
            <w:tcBorders>
              <w:top w:val="single" w:sz="4" w:space="0" w:color="auto"/>
              <w:left w:val="single" w:sz="4" w:space="0" w:color="auto"/>
              <w:bottom w:val="nil"/>
              <w:right w:val="single" w:sz="4" w:space="0" w:color="auto"/>
            </w:tcBorders>
            <w:shd w:val="clear" w:color="auto" w:fill="auto"/>
          </w:tcPr>
          <w:p w:rsidR="0045778F" w:rsidRPr="003E7C50" w:rsidRDefault="0045778F" w:rsidP="00096B1B">
            <w:pPr>
              <w:widowControl w:val="0"/>
              <w:spacing w:before="0" w:after="0"/>
              <w:rPr>
                <w:rFonts w:ascii="Arial Narrow" w:hAnsi="Arial Narrow"/>
                <w:sz w:val="20"/>
              </w:rPr>
            </w:pPr>
            <w:r w:rsidRPr="003E7C50">
              <w:rPr>
                <w:rFonts w:ascii="Arial Narrow" w:hAnsi="Arial Narrow"/>
                <w:sz w:val="20"/>
              </w:rPr>
              <w:t>93/334</w:t>
            </w:r>
            <w:r w:rsidR="00096B1B" w:rsidRPr="003E7C50">
              <w:rPr>
                <w:rFonts w:ascii="Arial Narrow" w:hAnsi="Arial Narrow"/>
                <w:sz w:val="20"/>
              </w:rPr>
              <w:t xml:space="preserve"> </w:t>
            </w:r>
            <w:r w:rsidRPr="003E7C50">
              <w:rPr>
                <w:rFonts w:ascii="Arial Narrow" w:hAnsi="Arial Narrow"/>
                <w:sz w:val="20"/>
              </w:rPr>
              <w:t>(27.8)</w:t>
            </w:r>
          </w:p>
        </w:tc>
        <w:tc>
          <w:tcPr>
            <w:tcW w:w="983" w:type="pct"/>
            <w:tcBorders>
              <w:top w:val="single" w:sz="4" w:space="0" w:color="auto"/>
              <w:left w:val="single" w:sz="4" w:space="0" w:color="auto"/>
              <w:bottom w:val="nil"/>
              <w:right w:val="single" w:sz="4" w:space="0" w:color="auto"/>
            </w:tcBorders>
            <w:shd w:val="clear" w:color="auto" w:fill="auto"/>
          </w:tcPr>
          <w:p w:rsidR="0045778F" w:rsidRPr="003E7C50" w:rsidRDefault="0045778F" w:rsidP="0045778F">
            <w:pPr>
              <w:widowControl w:val="0"/>
              <w:spacing w:before="0" w:after="0"/>
              <w:rPr>
                <w:rFonts w:ascii="Arial Narrow" w:hAnsi="Arial Narrow"/>
                <w:sz w:val="20"/>
              </w:rPr>
            </w:pPr>
            <w:r w:rsidRPr="003E7C50">
              <w:rPr>
                <w:rFonts w:ascii="Arial Narrow" w:hAnsi="Arial Narrow"/>
                <w:sz w:val="20"/>
              </w:rPr>
              <w:t>150/334 (44.9)</w:t>
            </w:r>
          </w:p>
        </w:tc>
        <w:tc>
          <w:tcPr>
            <w:tcW w:w="1269" w:type="pct"/>
            <w:tcBorders>
              <w:top w:val="single" w:sz="4" w:space="0" w:color="auto"/>
              <w:left w:val="single" w:sz="4" w:space="0" w:color="auto"/>
              <w:bottom w:val="nil"/>
              <w:right w:val="single" w:sz="4" w:space="0" w:color="auto"/>
            </w:tcBorders>
            <w:shd w:val="clear" w:color="auto" w:fill="auto"/>
          </w:tcPr>
          <w:p w:rsidR="0045778F" w:rsidRPr="003E7C50" w:rsidRDefault="00466C20" w:rsidP="00B26DF4">
            <w:pPr>
              <w:widowControl w:val="0"/>
              <w:spacing w:before="0" w:after="0"/>
              <w:rPr>
                <w:rFonts w:ascii="Arial Narrow" w:hAnsi="Arial Narrow"/>
                <w:sz w:val="20"/>
              </w:rPr>
            </w:pPr>
            <w:r w:rsidRPr="003E7C50">
              <w:rPr>
                <w:rFonts w:ascii="Arial Narrow" w:hAnsi="Arial Narrow"/>
                <w:sz w:val="20"/>
              </w:rPr>
              <w:t>HR 0.556</w:t>
            </w:r>
            <w:r w:rsidR="0045778F" w:rsidRPr="003E7C50">
              <w:rPr>
                <w:rFonts w:ascii="Arial Narrow" w:hAnsi="Arial Narrow"/>
                <w:sz w:val="20"/>
              </w:rPr>
              <w:t xml:space="preserve"> (0.429, 0.720)</w:t>
            </w:r>
          </w:p>
          <w:p w:rsidR="0045778F" w:rsidRPr="003E7C50" w:rsidRDefault="0045778F" w:rsidP="00B26DF4">
            <w:pPr>
              <w:widowControl w:val="0"/>
              <w:spacing w:before="0" w:after="0"/>
              <w:rPr>
                <w:rFonts w:ascii="Arial Narrow" w:hAnsi="Arial Narrow"/>
                <w:sz w:val="20"/>
              </w:rPr>
            </w:pPr>
            <w:r w:rsidRPr="003E7C50">
              <w:rPr>
                <w:rFonts w:ascii="Arial Narrow" w:hAnsi="Arial Narrow"/>
                <w:sz w:val="20"/>
              </w:rPr>
              <w:t>p-value &lt;0.0001</w:t>
            </w:r>
          </w:p>
        </w:tc>
      </w:tr>
      <w:tr w:rsidR="0045778F" w:rsidRPr="003E7C50" w:rsidTr="00096B1B">
        <w:trPr>
          <w:trHeight w:val="485"/>
        </w:trPr>
        <w:tc>
          <w:tcPr>
            <w:tcW w:w="694" w:type="pct"/>
            <w:vMerge/>
            <w:tcBorders>
              <w:left w:val="single" w:sz="4" w:space="0" w:color="auto"/>
              <w:bottom w:val="single" w:sz="4" w:space="0" w:color="auto"/>
              <w:right w:val="single" w:sz="4" w:space="0" w:color="auto"/>
            </w:tcBorders>
          </w:tcPr>
          <w:p w:rsidR="0045778F" w:rsidRPr="003E7C50" w:rsidRDefault="0045778F" w:rsidP="00B26DF4">
            <w:pPr>
              <w:widowControl w:val="0"/>
              <w:spacing w:before="40" w:after="40"/>
              <w:rPr>
                <w:rFonts w:ascii="Arial Narrow" w:hAnsi="Arial Narrow"/>
                <w:sz w:val="20"/>
              </w:rPr>
            </w:pPr>
          </w:p>
        </w:tc>
        <w:tc>
          <w:tcPr>
            <w:tcW w:w="1301" w:type="pct"/>
            <w:tcBorders>
              <w:top w:val="nil"/>
              <w:left w:val="single" w:sz="4" w:space="0" w:color="auto"/>
              <w:bottom w:val="single" w:sz="4" w:space="0" w:color="auto"/>
              <w:right w:val="single" w:sz="4" w:space="0" w:color="auto"/>
            </w:tcBorders>
            <w:shd w:val="clear" w:color="auto" w:fill="auto"/>
          </w:tcPr>
          <w:p w:rsidR="0045778F" w:rsidRPr="003E7C50" w:rsidRDefault="0045778F" w:rsidP="00466C20">
            <w:pPr>
              <w:widowControl w:val="0"/>
              <w:spacing w:before="40" w:after="40"/>
              <w:rPr>
                <w:rFonts w:ascii="Arial Narrow" w:hAnsi="Arial Narrow"/>
                <w:sz w:val="20"/>
              </w:rPr>
            </w:pPr>
            <w:r w:rsidRPr="003E7C50">
              <w:rPr>
                <w:rFonts w:ascii="Arial Narrow" w:hAnsi="Arial Narrow"/>
                <w:sz w:val="20"/>
              </w:rPr>
              <w:t>-Investigator assessed</w:t>
            </w:r>
            <w:r w:rsidR="00466C20" w:rsidRPr="003E7C50">
              <w:rPr>
                <w:rFonts w:ascii="Arial Narrow" w:hAnsi="Arial Narrow"/>
                <w:sz w:val="20"/>
              </w:rPr>
              <w:t xml:space="preserve"> PFS, </w:t>
            </w:r>
            <w:r w:rsidRPr="003E7C50">
              <w:rPr>
                <w:rFonts w:ascii="Arial Narrow" w:hAnsi="Arial Narrow"/>
                <w:sz w:val="20"/>
              </w:rPr>
              <w:t>June 2016</w:t>
            </w:r>
          </w:p>
        </w:tc>
        <w:tc>
          <w:tcPr>
            <w:tcW w:w="753" w:type="pct"/>
            <w:tcBorders>
              <w:top w:val="nil"/>
              <w:left w:val="single" w:sz="4" w:space="0" w:color="auto"/>
              <w:bottom w:val="single" w:sz="4" w:space="0" w:color="auto"/>
              <w:right w:val="single" w:sz="4" w:space="0" w:color="auto"/>
            </w:tcBorders>
            <w:shd w:val="clear" w:color="auto" w:fill="auto"/>
          </w:tcPr>
          <w:p w:rsidR="0045778F" w:rsidRPr="003E7C50" w:rsidRDefault="0045778F" w:rsidP="00096B1B">
            <w:pPr>
              <w:widowControl w:val="0"/>
              <w:spacing w:before="0" w:after="0"/>
              <w:rPr>
                <w:rFonts w:ascii="Arial Narrow" w:hAnsi="Arial Narrow"/>
                <w:sz w:val="20"/>
              </w:rPr>
            </w:pPr>
            <w:r w:rsidRPr="00FB574F">
              <w:rPr>
                <w:rFonts w:ascii="Arial Narrow" w:hAnsi="Arial Narrow"/>
                <w:sz w:val="20"/>
              </w:rPr>
              <w:t>118/334</w:t>
            </w:r>
            <w:r w:rsidR="00096B1B" w:rsidRPr="00FB574F">
              <w:rPr>
                <w:rFonts w:ascii="Arial Narrow" w:hAnsi="Arial Narrow"/>
                <w:sz w:val="20"/>
              </w:rPr>
              <w:t xml:space="preserve"> </w:t>
            </w:r>
            <w:r w:rsidRPr="00FB574F">
              <w:rPr>
                <w:rFonts w:ascii="Arial Narrow" w:hAnsi="Arial Narrow"/>
                <w:sz w:val="20"/>
              </w:rPr>
              <w:t>(35.3)</w:t>
            </w:r>
          </w:p>
        </w:tc>
        <w:tc>
          <w:tcPr>
            <w:tcW w:w="983" w:type="pct"/>
            <w:tcBorders>
              <w:top w:val="nil"/>
              <w:left w:val="single" w:sz="4" w:space="0" w:color="auto"/>
              <w:bottom w:val="single" w:sz="4" w:space="0" w:color="auto"/>
              <w:right w:val="single" w:sz="4" w:space="0" w:color="auto"/>
            </w:tcBorders>
            <w:shd w:val="clear" w:color="auto" w:fill="auto"/>
          </w:tcPr>
          <w:p w:rsidR="0045778F" w:rsidRPr="003E7C50" w:rsidRDefault="0045778F" w:rsidP="00B26DF4">
            <w:pPr>
              <w:widowControl w:val="0"/>
              <w:spacing w:before="0" w:after="0"/>
              <w:rPr>
                <w:rFonts w:ascii="Arial Narrow" w:hAnsi="Arial Narrow"/>
                <w:sz w:val="20"/>
              </w:rPr>
            </w:pPr>
            <w:r w:rsidRPr="00FB574F">
              <w:rPr>
                <w:rFonts w:ascii="Arial Narrow" w:hAnsi="Arial Narrow"/>
                <w:sz w:val="20"/>
              </w:rPr>
              <w:t>179/334 (53.9)</w:t>
            </w:r>
          </w:p>
        </w:tc>
        <w:tc>
          <w:tcPr>
            <w:tcW w:w="1269" w:type="pct"/>
            <w:tcBorders>
              <w:top w:val="nil"/>
              <w:left w:val="single" w:sz="4" w:space="0" w:color="auto"/>
              <w:bottom w:val="single" w:sz="4" w:space="0" w:color="auto"/>
              <w:right w:val="single" w:sz="4" w:space="0" w:color="auto"/>
            </w:tcBorders>
            <w:shd w:val="clear" w:color="auto" w:fill="auto"/>
          </w:tcPr>
          <w:p w:rsidR="0045778F" w:rsidRPr="00FB574F" w:rsidRDefault="0045778F" w:rsidP="00B26DF4">
            <w:pPr>
              <w:widowControl w:val="0"/>
              <w:spacing w:before="0" w:after="0"/>
              <w:rPr>
                <w:rFonts w:ascii="Arial Narrow" w:hAnsi="Arial Narrow"/>
                <w:sz w:val="20"/>
              </w:rPr>
            </w:pPr>
            <w:r w:rsidRPr="00FB574F">
              <w:rPr>
                <w:rFonts w:ascii="Arial Narrow" w:hAnsi="Arial Narrow"/>
                <w:sz w:val="20"/>
              </w:rPr>
              <w:t>HR 0.559 (0.443, 0.706)</w:t>
            </w:r>
          </w:p>
          <w:p w:rsidR="0045778F" w:rsidRPr="003E7C50" w:rsidRDefault="0045778F" w:rsidP="00B26DF4">
            <w:pPr>
              <w:widowControl w:val="0"/>
              <w:spacing w:before="0" w:after="0"/>
              <w:rPr>
                <w:rFonts w:ascii="Arial Narrow" w:hAnsi="Arial Narrow"/>
                <w:sz w:val="20"/>
              </w:rPr>
            </w:pPr>
            <w:r w:rsidRPr="00FB574F">
              <w:rPr>
                <w:rFonts w:ascii="Arial Narrow" w:hAnsi="Arial Narrow"/>
                <w:sz w:val="20"/>
              </w:rPr>
              <w:t>p-value &lt;0.0001</w:t>
            </w:r>
          </w:p>
        </w:tc>
      </w:tr>
      <w:tr w:rsidR="00674F60" w:rsidRPr="003E7C50" w:rsidTr="00096B1B">
        <w:trPr>
          <w:trHeight w:val="112"/>
        </w:trPr>
        <w:tc>
          <w:tcPr>
            <w:tcW w:w="694" w:type="pct"/>
            <w:vMerge w:val="restart"/>
            <w:tcBorders>
              <w:top w:val="single" w:sz="4" w:space="0" w:color="auto"/>
            </w:tcBorders>
          </w:tcPr>
          <w:p w:rsidR="00674F60" w:rsidRPr="003E7C50" w:rsidRDefault="00674F60" w:rsidP="00466C20">
            <w:pPr>
              <w:widowControl w:val="0"/>
              <w:spacing w:before="40" w:after="40"/>
              <w:rPr>
                <w:rFonts w:ascii="Arial Narrow" w:hAnsi="Arial Narrow"/>
                <w:sz w:val="20"/>
              </w:rPr>
            </w:pPr>
            <w:proofErr w:type="spellStart"/>
            <w:r w:rsidRPr="003E7C50">
              <w:rPr>
                <w:rFonts w:ascii="Arial Narrow" w:hAnsi="Arial Narrow"/>
                <w:sz w:val="20"/>
              </w:rPr>
              <w:t>Palbociclib</w:t>
            </w:r>
            <w:proofErr w:type="spellEnd"/>
            <w:r w:rsidRPr="003E7C50">
              <w:rPr>
                <w:rFonts w:ascii="Arial Narrow" w:hAnsi="Arial Narrow"/>
                <w:sz w:val="20"/>
              </w:rPr>
              <w:t xml:space="preserve"> + </w:t>
            </w:r>
            <w:proofErr w:type="spellStart"/>
            <w:r w:rsidRPr="003E7C50">
              <w:rPr>
                <w:rFonts w:ascii="Arial Narrow" w:hAnsi="Arial Narrow"/>
                <w:sz w:val="20"/>
              </w:rPr>
              <w:t>letrozole</w:t>
            </w:r>
            <w:proofErr w:type="spellEnd"/>
            <w:r w:rsidRPr="003E7C50">
              <w:rPr>
                <w:rFonts w:ascii="Arial Narrow" w:hAnsi="Arial Narrow"/>
                <w:sz w:val="20"/>
              </w:rPr>
              <w:t xml:space="preserve"> </w:t>
            </w:r>
            <w:r w:rsidR="00885E27" w:rsidRPr="003E7C50">
              <w:rPr>
                <w:rFonts w:ascii="Arial Narrow" w:hAnsi="Arial Narrow"/>
                <w:sz w:val="20"/>
              </w:rPr>
              <w:t>vs.</w:t>
            </w:r>
            <w:r w:rsidRPr="003E7C50">
              <w:rPr>
                <w:rFonts w:ascii="Arial Narrow" w:hAnsi="Arial Narrow"/>
                <w:sz w:val="20"/>
              </w:rPr>
              <w:t xml:space="preserve"> </w:t>
            </w:r>
            <w:proofErr w:type="spellStart"/>
            <w:r w:rsidRPr="003E7C50">
              <w:rPr>
                <w:rFonts w:ascii="Arial Narrow" w:hAnsi="Arial Narrow"/>
                <w:sz w:val="20"/>
              </w:rPr>
              <w:t>letrozole</w:t>
            </w:r>
            <w:proofErr w:type="spellEnd"/>
            <w:r w:rsidRPr="003E7C50">
              <w:rPr>
                <w:rFonts w:ascii="Arial Narrow" w:hAnsi="Arial Narrow"/>
                <w:sz w:val="20"/>
              </w:rPr>
              <w:t xml:space="preserve"> alone trials</w:t>
            </w:r>
          </w:p>
        </w:tc>
        <w:tc>
          <w:tcPr>
            <w:tcW w:w="1301" w:type="pct"/>
            <w:tcBorders>
              <w:top w:val="single" w:sz="4" w:space="0" w:color="auto"/>
            </w:tcBorders>
            <w:shd w:val="clear" w:color="auto" w:fill="auto"/>
          </w:tcPr>
          <w:p w:rsidR="00674F60" w:rsidRPr="003E7C50" w:rsidRDefault="00674F60" w:rsidP="00B26DF4">
            <w:pPr>
              <w:widowControl w:val="0"/>
              <w:spacing w:before="40" w:after="40"/>
              <w:rPr>
                <w:rFonts w:ascii="Arial Narrow" w:hAnsi="Arial Narrow"/>
                <w:sz w:val="20"/>
              </w:rPr>
            </w:pPr>
            <w:r w:rsidRPr="003E7C50">
              <w:rPr>
                <w:rFonts w:ascii="Arial Narrow" w:hAnsi="Arial Narrow"/>
                <w:sz w:val="20"/>
              </w:rPr>
              <w:t>PALOMA-1</w:t>
            </w:r>
          </w:p>
          <w:p w:rsidR="00674F60" w:rsidRPr="003E7C50" w:rsidRDefault="00674F60" w:rsidP="00B26DF4">
            <w:pPr>
              <w:widowControl w:val="0"/>
              <w:spacing w:before="40" w:after="40"/>
              <w:rPr>
                <w:rFonts w:ascii="Arial Narrow" w:hAnsi="Arial Narrow"/>
                <w:sz w:val="20"/>
              </w:rPr>
            </w:pPr>
            <w:r w:rsidRPr="003E7C50">
              <w:rPr>
                <w:rFonts w:ascii="Arial Narrow" w:hAnsi="Arial Narrow"/>
                <w:sz w:val="20"/>
              </w:rPr>
              <w:t>Investigator assessed PFS</w:t>
            </w:r>
          </w:p>
        </w:tc>
        <w:tc>
          <w:tcPr>
            <w:tcW w:w="753" w:type="pct"/>
            <w:tcBorders>
              <w:top w:val="single" w:sz="4" w:space="0" w:color="auto"/>
            </w:tcBorders>
            <w:shd w:val="clear" w:color="auto" w:fill="auto"/>
          </w:tcPr>
          <w:p w:rsidR="00674F60" w:rsidRPr="003E7C50" w:rsidRDefault="00674F60" w:rsidP="00B26DF4">
            <w:pPr>
              <w:widowControl w:val="0"/>
              <w:spacing w:before="0" w:after="0"/>
              <w:rPr>
                <w:rFonts w:ascii="Arial Narrow" w:hAnsi="Arial Narrow"/>
                <w:sz w:val="20"/>
              </w:rPr>
            </w:pPr>
            <w:r w:rsidRPr="003E7C50">
              <w:rPr>
                <w:rFonts w:ascii="Arial Narrow" w:hAnsi="Arial Narrow"/>
                <w:sz w:val="20"/>
              </w:rPr>
              <w:t>41/84 (48.8)</w:t>
            </w:r>
          </w:p>
        </w:tc>
        <w:tc>
          <w:tcPr>
            <w:tcW w:w="983" w:type="pct"/>
            <w:tcBorders>
              <w:top w:val="single" w:sz="4" w:space="0" w:color="auto"/>
            </w:tcBorders>
            <w:shd w:val="clear" w:color="auto" w:fill="auto"/>
          </w:tcPr>
          <w:p w:rsidR="00674F60" w:rsidRPr="003E7C50" w:rsidRDefault="00674F60" w:rsidP="00B26DF4">
            <w:pPr>
              <w:widowControl w:val="0"/>
              <w:spacing w:before="0" w:after="0"/>
              <w:rPr>
                <w:rFonts w:ascii="Arial Narrow" w:hAnsi="Arial Narrow"/>
                <w:sz w:val="20"/>
              </w:rPr>
            </w:pPr>
            <w:r w:rsidRPr="003E7C50">
              <w:rPr>
                <w:rFonts w:ascii="Arial Narrow" w:hAnsi="Arial Narrow"/>
                <w:sz w:val="20"/>
              </w:rPr>
              <w:t>59/81 (72.8)</w:t>
            </w:r>
          </w:p>
        </w:tc>
        <w:tc>
          <w:tcPr>
            <w:tcW w:w="1269" w:type="pct"/>
            <w:tcBorders>
              <w:top w:val="single" w:sz="4" w:space="0" w:color="auto"/>
            </w:tcBorders>
            <w:shd w:val="clear" w:color="auto" w:fill="auto"/>
          </w:tcPr>
          <w:p w:rsidR="00674F60" w:rsidRPr="003E7C50" w:rsidRDefault="00674F60" w:rsidP="00B26DF4">
            <w:pPr>
              <w:widowControl w:val="0"/>
              <w:spacing w:before="0" w:after="0"/>
              <w:rPr>
                <w:rFonts w:ascii="Arial Narrow" w:hAnsi="Arial Narrow"/>
                <w:sz w:val="20"/>
              </w:rPr>
            </w:pPr>
            <w:r w:rsidRPr="003E7C50">
              <w:rPr>
                <w:rFonts w:ascii="Arial Narrow" w:hAnsi="Arial Narrow"/>
                <w:sz w:val="20"/>
              </w:rPr>
              <w:t>0.488</w:t>
            </w:r>
            <w:r w:rsidRPr="003E7C50">
              <w:rPr>
                <w:rFonts w:ascii="Arial Narrow" w:hAnsi="Arial Narrow"/>
                <w:sz w:val="20"/>
                <w:vertAlign w:val="superscript"/>
              </w:rPr>
              <w:t>a</w:t>
            </w:r>
            <w:r w:rsidRPr="003E7C50">
              <w:rPr>
                <w:rFonts w:ascii="Arial Narrow" w:hAnsi="Arial Narrow"/>
                <w:sz w:val="20"/>
              </w:rPr>
              <w:t xml:space="preserve"> (0.319, 0.748)</w:t>
            </w:r>
          </w:p>
          <w:p w:rsidR="00674F60" w:rsidRPr="003E7C50" w:rsidRDefault="00674F60" w:rsidP="00B26DF4">
            <w:pPr>
              <w:widowControl w:val="0"/>
              <w:spacing w:before="0" w:after="0"/>
              <w:rPr>
                <w:rFonts w:ascii="Arial Narrow" w:hAnsi="Arial Narrow"/>
                <w:sz w:val="20"/>
              </w:rPr>
            </w:pPr>
            <w:r w:rsidRPr="003E7C50">
              <w:rPr>
                <w:rFonts w:ascii="Arial Narrow" w:hAnsi="Arial Narrow"/>
                <w:sz w:val="20"/>
              </w:rPr>
              <w:t>p-value 0.0004</w:t>
            </w:r>
          </w:p>
        </w:tc>
      </w:tr>
      <w:tr w:rsidR="00674F60" w:rsidRPr="003E7C50" w:rsidTr="00096B1B">
        <w:tc>
          <w:tcPr>
            <w:tcW w:w="694" w:type="pct"/>
            <w:vMerge/>
          </w:tcPr>
          <w:p w:rsidR="00674F60" w:rsidRPr="003E7C50" w:rsidRDefault="00674F60" w:rsidP="00B26DF4">
            <w:pPr>
              <w:widowControl w:val="0"/>
              <w:spacing w:before="40" w:after="40"/>
              <w:rPr>
                <w:rFonts w:ascii="Arial Narrow" w:hAnsi="Arial Narrow"/>
                <w:sz w:val="20"/>
              </w:rPr>
            </w:pPr>
          </w:p>
        </w:tc>
        <w:tc>
          <w:tcPr>
            <w:tcW w:w="1301" w:type="pct"/>
            <w:shd w:val="clear" w:color="auto" w:fill="auto"/>
          </w:tcPr>
          <w:p w:rsidR="00674F60" w:rsidRPr="003E7C50" w:rsidRDefault="00674F60" w:rsidP="00B26DF4">
            <w:pPr>
              <w:widowControl w:val="0"/>
              <w:spacing w:before="40" w:after="40"/>
              <w:rPr>
                <w:rFonts w:ascii="Arial Narrow" w:hAnsi="Arial Narrow"/>
                <w:sz w:val="20"/>
              </w:rPr>
            </w:pPr>
            <w:r w:rsidRPr="003E7C50">
              <w:rPr>
                <w:rFonts w:ascii="Arial Narrow" w:hAnsi="Arial Narrow"/>
                <w:sz w:val="20"/>
              </w:rPr>
              <w:t>PALOMA-2</w:t>
            </w:r>
          </w:p>
          <w:p w:rsidR="00674F60" w:rsidRPr="003E7C50" w:rsidRDefault="00674F60" w:rsidP="00B26DF4">
            <w:pPr>
              <w:widowControl w:val="0"/>
              <w:spacing w:before="40" w:after="40"/>
              <w:rPr>
                <w:rFonts w:ascii="Arial Narrow" w:hAnsi="Arial Narrow"/>
                <w:sz w:val="20"/>
              </w:rPr>
            </w:pPr>
            <w:r w:rsidRPr="003E7C50">
              <w:rPr>
                <w:rFonts w:ascii="Arial Narrow" w:hAnsi="Arial Narrow"/>
                <w:sz w:val="20"/>
              </w:rPr>
              <w:t>Investigator assessed PFS</w:t>
            </w:r>
          </w:p>
        </w:tc>
        <w:tc>
          <w:tcPr>
            <w:tcW w:w="753" w:type="pct"/>
            <w:shd w:val="clear" w:color="auto" w:fill="auto"/>
          </w:tcPr>
          <w:p w:rsidR="00674F60" w:rsidRPr="003E7C50" w:rsidRDefault="00674F60" w:rsidP="00B26DF4">
            <w:pPr>
              <w:widowControl w:val="0"/>
              <w:spacing w:before="0" w:after="0"/>
              <w:rPr>
                <w:rFonts w:ascii="Arial Narrow" w:hAnsi="Arial Narrow"/>
                <w:sz w:val="20"/>
              </w:rPr>
            </w:pPr>
            <w:r w:rsidRPr="003E7C50">
              <w:rPr>
                <w:rFonts w:ascii="Arial Narrow" w:hAnsi="Arial Narrow"/>
                <w:sz w:val="20"/>
              </w:rPr>
              <w:t>194/444 (43.7)</w:t>
            </w:r>
          </w:p>
        </w:tc>
        <w:tc>
          <w:tcPr>
            <w:tcW w:w="983" w:type="pct"/>
            <w:shd w:val="clear" w:color="auto" w:fill="auto"/>
          </w:tcPr>
          <w:p w:rsidR="00674F60" w:rsidRPr="003E7C50" w:rsidRDefault="00674F60" w:rsidP="00B26DF4">
            <w:pPr>
              <w:widowControl w:val="0"/>
              <w:spacing w:before="0" w:after="0"/>
              <w:rPr>
                <w:rFonts w:ascii="Arial Narrow" w:hAnsi="Arial Narrow"/>
                <w:sz w:val="20"/>
              </w:rPr>
            </w:pPr>
            <w:r w:rsidRPr="003E7C50">
              <w:rPr>
                <w:rFonts w:ascii="Arial Narrow" w:hAnsi="Arial Narrow"/>
                <w:sz w:val="20"/>
              </w:rPr>
              <w:t>137/222 (61.7)</w:t>
            </w:r>
          </w:p>
        </w:tc>
        <w:tc>
          <w:tcPr>
            <w:tcW w:w="1269" w:type="pct"/>
            <w:shd w:val="clear" w:color="auto" w:fill="auto"/>
          </w:tcPr>
          <w:p w:rsidR="00674F60" w:rsidRPr="003E7C50" w:rsidRDefault="00674F60" w:rsidP="00B26DF4">
            <w:pPr>
              <w:widowControl w:val="0"/>
              <w:spacing w:before="0" w:after="0"/>
              <w:rPr>
                <w:rFonts w:ascii="Arial Narrow" w:hAnsi="Arial Narrow"/>
                <w:sz w:val="20"/>
              </w:rPr>
            </w:pPr>
            <w:r w:rsidRPr="003E7C50">
              <w:rPr>
                <w:rFonts w:ascii="Arial Narrow" w:hAnsi="Arial Narrow"/>
                <w:sz w:val="20"/>
              </w:rPr>
              <w:t>0.58</w:t>
            </w:r>
            <w:r w:rsidRPr="003E7C50">
              <w:rPr>
                <w:rFonts w:ascii="Arial Narrow" w:hAnsi="Arial Narrow"/>
                <w:sz w:val="20"/>
                <w:vertAlign w:val="superscript"/>
              </w:rPr>
              <w:t>a</w:t>
            </w:r>
            <w:r w:rsidRPr="003E7C50">
              <w:rPr>
                <w:rFonts w:ascii="Arial Narrow" w:hAnsi="Arial Narrow"/>
                <w:sz w:val="20"/>
              </w:rPr>
              <w:t xml:space="preserve"> (0.46, 0.72)</w:t>
            </w:r>
          </w:p>
          <w:p w:rsidR="00674F60" w:rsidRPr="003E7C50" w:rsidRDefault="00674F60" w:rsidP="00B26DF4">
            <w:pPr>
              <w:widowControl w:val="0"/>
              <w:spacing w:before="0" w:after="0"/>
              <w:rPr>
                <w:rFonts w:ascii="Arial Narrow" w:hAnsi="Arial Narrow"/>
                <w:sz w:val="20"/>
              </w:rPr>
            </w:pPr>
            <w:r w:rsidRPr="003E7C50">
              <w:rPr>
                <w:rFonts w:ascii="Arial Narrow" w:hAnsi="Arial Narrow"/>
                <w:sz w:val="20"/>
              </w:rPr>
              <w:t>p-value &lt;0.001</w:t>
            </w:r>
          </w:p>
        </w:tc>
      </w:tr>
      <w:tr w:rsidR="00674F60" w:rsidRPr="003E7C50" w:rsidTr="00096B1B">
        <w:tc>
          <w:tcPr>
            <w:tcW w:w="694" w:type="pct"/>
            <w:vMerge/>
          </w:tcPr>
          <w:p w:rsidR="00674F60" w:rsidRPr="003E7C50" w:rsidRDefault="00674F60" w:rsidP="00B26DF4">
            <w:pPr>
              <w:widowControl w:val="0"/>
              <w:spacing w:before="40" w:after="40"/>
              <w:rPr>
                <w:rFonts w:ascii="Arial Narrow" w:hAnsi="Arial Narrow"/>
                <w:sz w:val="20"/>
              </w:rPr>
            </w:pPr>
          </w:p>
        </w:tc>
        <w:tc>
          <w:tcPr>
            <w:tcW w:w="1301" w:type="pct"/>
            <w:shd w:val="clear" w:color="auto" w:fill="auto"/>
          </w:tcPr>
          <w:p w:rsidR="00674F60" w:rsidRPr="0090794E" w:rsidRDefault="00674F60" w:rsidP="00B26DF4">
            <w:pPr>
              <w:widowControl w:val="0"/>
              <w:spacing w:before="40" w:after="40"/>
              <w:rPr>
                <w:rFonts w:ascii="Arial Narrow" w:hAnsi="Arial Narrow"/>
                <w:sz w:val="20"/>
                <w:highlight w:val="yellow"/>
              </w:rPr>
            </w:pPr>
            <w:r w:rsidRPr="008C6E79">
              <w:rPr>
                <w:rFonts w:ascii="Arial Narrow" w:hAnsi="Arial Narrow"/>
                <w:sz w:val="20"/>
              </w:rPr>
              <w:t>Pooled (</w:t>
            </w:r>
            <w:proofErr w:type="spellStart"/>
            <w:r w:rsidRPr="008C6E79">
              <w:rPr>
                <w:rFonts w:ascii="Arial Narrow" w:hAnsi="Arial Narrow"/>
                <w:sz w:val="20"/>
              </w:rPr>
              <w:t>Meta analysis</w:t>
            </w:r>
            <w:proofErr w:type="spellEnd"/>
            <w:r w:rsidRPr="008C6E79">
              <w:rPr>
                <w:rFonts w:ascii="Arial Narrow" w:hAnsi="Arial Narrow"/>
                <w:sz w:val="20"/>
              </w:rPr>
              <w:t>)</w:t>
            </w:r>
          </w:p>
        </w:tc>
        <w:tc>
          <w:tcPr>
            <w:tcW w:w="753" w:type="pct"/>
            <w:shd w:val="clear" w:color="auto" w:fill="auto"/>
          </w:tcPr>
          <w:p w:rsidR="00674F60" w:rsidRPr="00B235DF" w:rsidRDefault="00B235DF" w:rsidP="00B26DF4">
            <w:pPr>
              <w:widowControl w:val="0"/>
              <w:spacing w:before="0" w:after="0"/>
              <w:rPr>
                <w:rFonts w:ascii="Arial Narrow" w:hAnsi="Arial Narrow"/>
                <w:sz w:val="20"/>
                <w:highlight w:val="black"/>
              </w:rPr>
            </w:pPr>
            <w:r>
              <w:rPr>
                <w:rFonts w:ascii="Arial Narrow" w:hAnsi="Arial Narrow"/>
                <w:noProof/>
                <w:color w:val="000000"/>
                <w:sz w:val="20"/>
                <w:highlight w:val="black"/>
              </w:rPr>
              <w:t>'''</w:t>
            </w:r>
          </w:p>
        </w:tc>
        <w:tc>
          <w:tcPr>
            <w:tcW w:w="983" w:type="pct"/>
            <w:shd w:val="clear" w:color="auto" w:fill="auto"/>
          </w:tcPr>
          <w:p w:rsidR="00674F60" w:rsidRPr="00B235DF" w:rsidRDefault="00B235DF" w:rsidP="00B26DF4">
            <w:pPr>
              <w:widowControl w:val="0"/>
              <w:spacing w:before="0" w:after="0"/>
              <w:rPr>
                <w:rFonts w:ascii="Arial Narrow" w:hAnsi="Arial Narrow"/>
                <w:sz w:val="20"/>
                <w:highlight w:val="black"/>
              </w:rPr>
            </w:pPr>
            <w:r>
              <w:rPr>
                <w:rFonts w:ascii="Arial Narrow" w:hAnsi="Arial Narrow"/>
                <w:noProof/>
                <w:color w:val="000000"/>
                <w:sz w:val="20"/>
                <w:highlight w:val="black"/>
              </w:rPr>
              <w:t>''</w:t>
            </w:r>
          </w:p>
        </w:tc>
        <w:tc>
          <w:tcPr>
            <w:tcW w:w="1269" w:type="pct"/>
            <w:shd w:val="clear" w:color="auto" w:fill="auto"/>
          </w:tcPr>
          <w:p w:rsidR="00674F60" w:rsidRPr="00B235DF" w:rsidRDefault="00B235DF" w:rsidP="00C423F4">
            <w:pPr>
              <w:widowControl w:val="0"/>
              <w:spacing w:before="40" w:after="40"/>
              <w:rPr>
                <w:rFonts w:ascii="Arial Narrow" w:hAnsi="Arial Narrow"/>
                <w:sz w:val="20"/>
                <w:highlight w:val="black"/>
              </w:rPr>
            </w:pPr>
            <w:r>
              <w:rPr>
                <w:rFonts w:ascii="Arial Narrow" w:hAnsi="Arial Narrow"/>
                <w:noProof/>
                <w:color w:val="000000"/>
                <w:sz w:val="20"/>
                <w:highlight w:val="black"/>
              </w:rPr>
              <w:t>'''''''''' ''''''''''''' '''''''''''''</w:t>
            </w:r>
          </w:p>
          <w:p w:rsidR="00674F60" w:rsidRPr="00B235DF" w:rsidRDefault="00B235DF" w:rsidP="00B26DF4">
            <w:pPr>
              <w:widowControl w:val="0"/>
              <w:spacing w:before="0" w:after="0"/>
              <w:rPr>
                <w:rFonts w:ascii="Arial Narrow" w:hAnsi="Arial Narrow"/>
                <w:sz w:val="20"/>
                <w:highlight w:val="black"/>
              </w:rPr>
            </w:pPr>
            <w:r>
              <w:rPr>
                <w:rFonts w:ascii="Arial Narrow" w:hAnsi="Arial Narrow"/>
                <w:noProof/>
                <w:color w:val="000000"/>
                <w:sz w:val="20"/>
                <w:highlight w:val="black"/>
              </w:rPr>
              <w:t>''''''''''''''''' ''''''''''''''''''''''''</w:t>
            </w:r>
          </w:p>
        </w:tc>
      </w:tr>
      <w:tr w:rsidR="00C165A2" w:rsidRPr="003E7C50" w:rsidTr="00096B1B">
        <w:tc>
          <w:tcPr>
            <w:tcW w:w="3731" w:type="pct"/>
            <w:gridSpan w:val="4"/>
          </w:tcPr>
          <w:p w:rsidR="00C165A2" w:rsidRPr="003E7C50" w:rsidRDefault="00C165A2" w:rsidP="00962072">
            <w:pPr>
              <w:widowControl w:val="0"/>
              <w:spacing w:before="40" w:after="40"/>
              <w:rPr>
                <w:rFonts w:ascii="Arial Narrow" w:hAnsi="Arial Narrow"/>
                <w:b/>
                <w:sz w:val="20"/>
              </w:rPr>
            </w:pPr>
            <w:r w:rsidRPr="003E7C50">
              <w:rPr>
                <w:rFonts w:ascii="Arial Narrow" w:hAnsi="Arial Narrow"/>
                <w:b/>
                <w:sz w:val="20"/>
              </w:rPr>
              <w:t>Indirect estimate of effect adjusted for the common reference</w:t>
            </w:r>
            <w:r w:rsidR="00962072" w:rsidRPr="003E7C50">
              <w:rPr>
                <w:rFonts w:ascii="Arial Narrow" w:hAnsi="Arial Narrow"/>
                <w:sz w:val="20"/>
                <w:vertAlign w:val="superscript"/>
              </w:rPr>
              <w:t xml:space="preserve"> </w:t>
            </w:r>
          </w:p>
        </w:tc>
        <w:tc>
          <w:tcPr>
            <w:tcW w:w="1269" w:type="pct"/>
            <w:shd w:val="clear" w:color="auto" w:fill="auto"/>
          </w:tcPr>
          <w:p w:rsidR="00C165A2" w:rsidRPr="003E7C50" w:rsidRDefault="00962072" w:rsidP="00B26DF4">
            <w:pPr>
              <w:widowControl w:val="0"/>
              <w:spacing w:before="40" w:after="40"/>
              <w:rPr>
                <w:rFonts w:ascii="Arial Narrow" w:hAnsi="Arial Narrow"/>
                <w:sz w:val="20"/>
              </w:rPr>
            </w:pPr>
            <w:proofErr w:type="spellStart"/>
            <w:r w:rsidRPr="003E7C50">
              <w:rPr>
                <w:rFonts w:ascii="Arial Narrow" w:hAnsi="Arial Narrow"/>
                <w:b/>
                <w:sz w:val="20"/>
              </w:rPr>
              <w:t>HR</w:t>
            </w:r>
            <w:r w:rsidRPr="003E7C50">
              <w:rPr>
                <w:rFonts w:ascii="Arial Narrow" w:hAnsi="Arial Narrow"/>
                <w:sz w:val="20"/>
                <w:vertAlign w:val="superscript"/>
              </w:rPr>
              <w:t>b</w:t>
            </w:r>
            <w:proofErr w:type="spellEnd"/>
            <w:r w:rsidRPr="003E7C50">
              <w:rPr>
                <w:rFonts w:ascii="Arial Narrow" w:hAnsi="Arial Narrow"/>
                <w:b/>
                <w:sz w:val="20"/>
              </w:rPr>
              <w:t xml:space="preserve"> (95%CI)</w:t>
            </w:r>
          </w:p>
        </w:tc>
      </w:tr>
      <w:tr w:rsidR="00C165A2" w:rsidRPr="003E7C50" w:rsidTr="00096B1B">
        <w:tc>
          <w:tcPr>
            <w:tcW w:w="3731" w:type="pct"/>
            <w:gridSpan w:val="4"/>
          </w:tcPr>
          <w:p w:rsidR="00C165A2" w:rsidRPr="003E7C50" w:rsidRDefault="00C165A2" w:rsidP="00B26DF4">
            <w:pPr>
              <w:widowControl w:val="0"/>
              <w:spacing w:before="40" w:after="40"/>
              <w:rPr>
                <w:rFonts w:ascii="Arial Narrow" w:hAnsi="Arial Narrow"/>
                <w:sz w:val="20"/>
              </w:rPr>
            </w:pPr>
            <w:r w:rsidRPr="003E7C50">
              <w:rPr>
                <w:rFonts w:ascii="Arial Narrow" w:hAnsi="Arial Narrow"/>
                <w:sz w:val="20"/>
                <w:lang w:eastAsia="en-AU"/>
              </w:rPr>
              <w:t xml:space="preserve">Monaleesa-2 (JAN) vs. </w:t>
            </w:r>
            <w:r w:rsidR="00A561D0" w:rsidRPr="003E7C50">
              <w:rPr>
                <w:rFonts w:ascii="Arial Narrow" w:hAnsi="Arial Narrow"/>
                <w:sz w:val="20"/>
                <w:lang w:eastAsia="en-AU"/>
              </w:rPr>
              <w:t>PALOMA</w:t>
            </w:r>
            <w:r w:rsidRPr="003E7C50">
              <w:rPr>
                <w:rFonts w:ascii="Arial Narrow" w:hAnsi="Arial Narrow"/>
                <w:sz w:val="20"/>
                <w:lang w:eastAsia="en-AU"/>
              </w:rPr>
              <w:t>-1</w:t>
            </w:r>
          </w:p>
        </w:tc>
        <w:tc>
          <w:tcPr>
            <w:tcW w:w="1269" w:type="pct"/>
            <w:shd w:val="clear" w:color="auto" w:fill="auto"/>
            <w:vAlign w:val="bottom"/>
          </w:tcPr>
          <w:p w:rsidR="00C165A2" w:rsidRPr="00B235DF" w:rsidRDefault="00B235DF" w:rsidP="00962072">
            <w:pPr>
              <w:widowControl w:val="0"/>
              <w:spacing w:before="40" w:after="40"/>
              <w:rPr>
                <w:rFonts w:ascii="Arial Narrow" w:hAnsi="Arial Narrow"/>
                <w:sz w:val="20"/>
                <w:highlight w:val="black"/>
              </w:rPr>
            </w:pPr>
            <w:r>
              <w:rPr>
                <w:rFonts w:ascii="Arial Narrow" w:hAnsi="Arial Narrow"/>
                <w:noProof/>
                <w:color w:val="000000"/>
                <w:sz w:val="20"/>
                <w:highlight w:val="black"/>
              </w:rPr>
              <w:t>'''''''''' '''''''''''''' '''''''''''</w:t>
            </w:r>
          </w:p>
        </w:tc>
      </w:tr>
      <w:tr w:rsidR="00C165A2" w:rsidRPr="003E7C50" w:rsidTr="00096B1B">
        <w:tc>
          <w:tcPr>
            <w:tcW w:w="3731" w:type="pct"/>
            <w:gridSpan w:val="4"/>
          </w:tcPr>
          <w:p w:rsidR="00C165A2" w:rsidRPr="003E7C50" w:rsidRDefault="00C165A2" w:rsidP="00B26DF4">
            <w:pPr>
              <w:widowControl w:val="0"/>
              <w:spacing w:before="40" w:after="40"/>
              <w:rPr>
                <w:rFonts w:ascii="Arial Narrow" w:hAnsi="Arial Narrow"/>
                <w:sz w:val="20"/>
              </w:rPr>
            </w:pPr>
            <w:r w:rsidRPr="003E7C50">
              <w:rPr>
                <w:rFonts w:ascii="Arial Narrow" w:hAnsi="Arial Narrow"/>
                <w:sz w:val="20"/>
                <w:lang w:eastAsia="en-AU"/>
              </w:rPr>
              <w:t xml:space="preserve">Monaleesa-2 (JAN) vs. </w:t>
            </w:r>
            <w:r w:rsidR="00A561D0" w:rsidRPr="003E7C50">
              <w:rPr>
                <w:rFonts w:ascii="Arial Narrow" w:hAnsi="Arial Narrow"/>
                <w:sz w:val="20"/>
                <w:lang w:eastAsia="en-AU"/>
              </w:rPr>
              <w:t xml:space="preserve">PALOMA </w:t>
            </w:r>
            <w:r w:rsidRPr="003E7C50">
              <w:rPr>
                <w:rFonts w:ascii="Arial Narrow" w:hAnsi="Arial Narrow"/>
                <w:sz w:val="20"/>
                <w:lang w:eastAsia="en-AU"/>
              </w:rPr>
              <w:t>-2</w:t>
            </w:r>
          </w:p>
        </w:tc>
        <w:tc>
          <w:tcPr>
            <w:tcW w:w="1269" w:type="pct"/>
            <w:shd w:val="clear" w:color="auto" w:fill="auto"/>
            <w:vAlign w:val="bottom"/>
          </w:tcPr>
          <w:p w:rsidR="00C165A2" w:rsidRPr="00B235DF" w:rsidRDefault="00B235DF" w:rsidP="00B26DF4">
            <w:pPr>
              <w:widowControl w:val="0"/>
              <w:spacing w:before="40" w:after="40"/>
              <w:rPr>
                <w:rFonts w:ascii="Arial Narrow" w:hAnsi="Arial Narrow"/>
                <w:sz w:val="20"/>
                <w:highlight w:val="black"/>
              </w:rPr>
            </w:pPr>
            <w:r>
              <w:rPr>
                <w:rFonts w:ascii="Arial Narrow" w:hAnsi="Arial Narrow"/>
                <w:noProof/>
                <w:color w:val="000000"/>
                <w:sz w:val="20"/>
                <w:highlight w:val="black"/>
              </w:rPr>
              <w:t>''''''''''' ''''''''''''' '''''''''''''</w:t>
            </w:r>
          </w:p>
        </w:tc>
      </w:tr>
      <w:tr w:rsidR="00C165A2" w:rsidRPr="003E7C50" w:rsidTr="00096B1B">
        <w:tc>
          <w:tcPr>
            <w:tcW w:w="3731" w:type="pct"/>
            <w:gridSpan w:val="4"/>
          </w:tcPr>
          <w:p w:rsidR="00C165A2" w:rsidRPr="003E7C50" w:rsidRDefault="00C165A2" w:rsidP="00B26DF4">
            <w:pPr>
              <w:widowControl w:val="0"/>
              <w:spacing w:before="40" w:after="40"/>
              <w:rPr>
                <w:rFonts w:ascii="Arial Narrow" w:hAnsi="Arial Narrow"/>
                <w:sz w:val="20"/>
              </w:rPr>
            </w:pPr>
            <w:r w:rsidRPr="003E7C50">
              <w:rPr>
                <w:rFonts w:ascii="Arial Narrow" w:hAnsi="Arial Narrow"/>
                <w:sz w:val="20"/>
                <w:lang w:eastAsia="en-AU"/>
              </w:rPr>
              <w:t xml:space="preserve">Monaleesa-2 (JAN) vs. </w:t>
            </w:r>
            <w:r w:rsidR="00A561D0" w:rsidRPr="003E7C50">
              <w:rPr>
                <w:rFonts w:ascii="Arial Narrow" w:hAnsi="Arial Narrow"/>
                <w:sz w:val="20"/>
                <w:lang w:eastAsia="en-AU"/>
              </w:rPr>
              <w:t xml:space="preserve">PALOMA </w:t>
            </w:r>
            <w:r w:rsidRPr="003E7C50">
              <w:rPr>
                <w:rFonts w:ascii="Arial Narrow" w:hAnsi="Arial Narrow"/>
                <w:sz w:val="20"/>
                <w:lang w:eastAsia="en-AU"/>
              </w:rPr>
              <w:t>-1</w:t>
            </w:r>
            <w:r w:rsidR="00A561D0" w:rsidRPr="003E7C50">
              <w:rPr>
                <w:rFonts w:ascii="Arial Narrow" w:hAnsi="Arial Narrow"/>
                <w:sz w:val="20"/>
                <w:lang w:eastAsia="en-AU"/>
              </w:rPr>
              <w:t xml:space="preserve"> </w:t>
            </w:r>
            <w:r w:rsidRPr="003E7C50">
              <w:rPr>
                <w:rFonts w:ascii="Arial Narrow" w:hAnsi="Arial Narrow"/>
                <w:sz w:val="20"/>
                <w:lang w:eastAsia="en-AU"/>
              </w:rPr>
              <w:t>&amp;</w:t>
            </w:r>
            <w:r w:rsidR="00A561D0" w:rsidRPr="003E7C50">
              <w:rPr>
                <w:rFonts w:ascii="Arial Narrow" w:hAnsi="Arial Narrow"/>
                <w:sz w:val="20"/>
                <w:lang w:eastAsia="en-AU"/>
              </w:rPr>
              <w:t xml:space="preserve"> </w:t>
            </w:r>
            <w:r w:rsidRPr="003E7C50">
              <w:rPr>
                <w:rFonts w:ascii="Arial Narrow" w:hAnsi="Arial Narrow"/>
                <w:sz w:val="20"/>
                <w:lang w:eastAsia="en-AU"/>
              </w:rPr>
              <w:t>2</w:t>
            </w:r>
          </w:p>
        </w:tc>
        <w:tc>
          <w:tcPr>
            <w:tcW w:w="1269" w:type="pct"/>
            <w:shd w:val="clear" w:color="auto" w:fill="auto"/>
            <w:vAlign w:val="bottom"/>
          </w:tcPr>
          <w:p w:rsidR="00C165A2" w:rsidRPr="00B235DF" w:rsidRDefault="00B235DF" w:rsidP="00B26DF4">
            <w:pPr>
              <w:widowControl w:val="0"/>
              <w:spacing w:before="40" w:after="40"/>
              <w:rPr>
                <w:rFonts w:ascii="Arial Narrow" w:hAnsi="Arial Narrow"/>
                <w:sz w:val="20"/>
                <w:highlight w:val="black"/>
              </w:rPr>
            </w:pPr>
            <w:r>
              <w:rPr>
                <w:rFonts w:ascii="Arial Narrow" w:hAnsi="Arial Narrow"/>
                <w:noProof/>
                <w:color w:val="000000"/>
                <w:sz w:val="20"/>
                <w:highlight w:val="black"/>
              </w:rPr>
              <w:t>''''''''''' ''''''''''''''' '''''''''''</w:t>
            </w:r>
          </w:p>
        </w:tc>
      </w:tr>
      <w:tr w:rsidR="00C165A2" w:rsidRPr="003E7C50" w:rsidTr="00096B1B">
        <w:tc>
          <w:tcPr>
            <w:tcW w:w="3731" w:type="pct"/>
            <w:gridSpan w:val="4"/>
          </w:tcPr>
          <w:p w:rsidR="00C165A2" w:rsidRPr="003E7C50" w:rsidRDefault="00C165A2" w:rsidP="00F81984">
            <w:pPr>
              <w:widowControl w:val="0"/>
              <w:spacing w:before="40" w:after="40"/>
              <w:rPr>
                <w:rFonts w:ascii="Arial Narrow" w:hAnsi="Arial Narrow"/>
                <w:sz w:val="20"/>
              </w:rPr>
            </w:pPr>
            <w:r w:rsidRPr="003E7C50">
              <w:rPr>
                <w:rFonts w:ascii="Arial Narrow" w:hAnsi="Arial Narrow"/>
                <w:sz w:val="20"/>
                <w:lang w:eastAsia="en-AU"/>
              </w:rPr>
              <w:t>Monaleesa-2 (</w:t>
            </w:r>
            <w:r w:rsidR="00F81984" w:rsidRPr="003E7C50">
              <w:rPr>
                <w:rFonts w:ascii="Arial Narrow" w:hAnsi="Arial Narrow"/>
                <w:sz w:val="20"/>
                <w:lang w:eastAsia="en-AU"/>
              </w:rPr>
              <w:t>JUN</w:t>
            </w:r>
            <w:r w:rsidRPr="003E7C50">
              <w:rPr>
                <w:rFonts w:ascii="Arial Narrow" w:hAnsi="Arial Narrow"/>
                <w:sz w:val="20"/>
                <w:lang w:eastAsia="en-AU"/>
              </w:rPr>
              <w:t xml:space="preserve">) vs. </w:t>
            </w:r>
            <w:r w:rsidR="00A561D0" w:rsidRPr="003E7C50">
              <w:rPr>
                <w:rFonts w:ascii="Arial Narrow" w:hAnsi="Arial Narrow"/>
                <w:sz w:val="20"/>
                <w:lang w:eastAsia="en-AU"/>
              </w:rPr>
              <w:t xml:space="preserve">PALOMA </w:t>
            </w:r>
            <w:r w:rsidRPr="003E7C50">
              <w:rPr>
                <w:rFonts w:ascii="Arial Narrow" w:hAnsi="Arial Narrow"/>
                <w:sz w:val="20"/>
                <w:lang w:eastAsia="en-AU"/>
              </w:rPr>
              <w:t>-1</w:t>
            </w:r>
          </w:p>
        </w:tc>
        <w:tc>
          <w:tcPr>
            <w:tcW w:w="1269" w:type="pct"/>
            <w:shd w:val="clear" w:color="auto" w:fill="auto"/>
            <w:vAlign w:val="bottom"/>
          </w:tcPr>
          <w:p w:rsidR="00C165A2" w:rsidRPr="00B235DF" w:rsidRDefault="00B235DF" w:rsidP="00B26DF4">
            <w:pPr>
              <w:widowControl w:val="0"/>
              <w:spacing w:before="40" w:after="40"/>
              <w:rPr>
                <w:rFonts w:ascii="Arial Narrow" w:hAnsi="Arial Narrow"/>
                <w:sz w:val="20"/>
                <w:highlight w:val="black"/>
              </w:rPr>
            </w:pPr>
            <w:r>
              <w:rPr>
                <w:rFonts w:ascii="Arial Narrow" w:hAnsi="Arial Narrow"/>
                <w:noProof/>
                <w:color w:val="000000"/>
                <w:sz w:val="20"/>
                <w:highlight w:val="black"/>
              </w:rPr>
              <w:t>''''''''''' '''''''''''''' '''''''''''''</w:t>
            </w:r>
          </w:p>
        </w:tc>
      </w:tr>
      <w:tr w:rsidR="00C165A2" w:rsidRPr="003E7C50" w:rsidTr="00096B1B">
        <w:tc>
          <w:tcPr>
            <w:tcW w:w="3731" w:type="pct"/>
            <w:gridSpan w:val="4"/>
          </w:tcPr>
          <w:p w:rsidR="00C165A2" w:rsidRPr="003E7C50" w:rsidRDefault="00C165A2" w:rsidP="00B26DF4">
            <w:pPr>
              <w:widowControl w:val="0"/>
              <w:spacing w:before="40" w:after="40"/>
              <w:rPr>
                <w:rFonts w:ascii="Arial Narrow" w:hAnsi="Arial Narrow"/>
                <w:sz w:val="20"/>
              </w:rPr>
            </w:pPr>
            <w:r w:rsidRPr="003E7C50">
              <w:rPr>
                <w:rFonts w:ascii="Arial Narrow" w:hAnsi="Arial Narrow"/>
                <w:sz w:val="20"/>
                <w:lang w:eastAsia="en-AU"/>
              </w:rPr>
              <w:t xml:space="preserve">Monaleesa-2 (JUN) vs. </w:t>
            </w:r>
            <w:r w:rsidR="00A561D0" w:rsidRPr="003E7C50">
              <w:rPr>
                <w:rFonts w:ascii="Arial Narrow" w:hAnsi="Arial Narrow"/>
                <w:sz w:val="20"/>
                <w:lang w:eastAsia="en-AU"/>
              </w:rPr>
              <w:t xml:space="preserve">PALOMA </w:t>
            </w:r>
            <w:r w:rsidRPr="003E7C50">
              <w:rPr>
                <w:rFonts w:ascii="Arial Narrow" w:hAnsi="Arial Narrow"/>
                <w:sz w:val="20"/>
                <w:lang w:eastAsia="en-AU"/>
              </w:rPr>
              <w:t>-2</w:t>
            </w:r>
          </w:p>
        </w:tc>
        <w:tc>
          <w:tcPr>
            <w:tcW w:w="1269" w:type="pct"/>
            <w:shd w:val="clear" w:color="auto" w:fill="auto"/>
            <w:vAlign w:val="bottom"/>
          </w:tcPr>
          <w:p w:rsidR="00C165A2" w:rsidRPr="00B235DF" w:rsidRDefault="00B235DF" w:rsidP="00B26DF4">
            <w:pPr>
              <w:widowControl w:val="0"/>
              <w:spacing w:before="40" w:after="40"/>
              <w:rPr>
                <w:rFonts w:ascii="Arial Narrow" w:hAnsi="Arial Narrow"/>
                <w:sz w:val="20"/>
                <w:highlight w:val="black"/>
              </w:rPr>
            </w:pPr>
            <w:r>
              <w:rPr>
                <w:rFonts w:ascii="Arial Narrow" w:hAnsi="Arial Narrow"/>
                <w:noProof/>
                <w:color w:val="000000"/>
                <w:sz w:val="20"/>
                <w:highlight w:val="black"/>
              </w:rPr>
              <w:t>''''''''' ''''''''''''' ''''''''''''</w:t>
            </w:r>
          </w:p>
        </w:tc>
      </w:tr>
      <w:tr w:rsidR="00C165A2" w:rsidRPr="003E7C50" w:rsidTr="00096B1B">
        <w:tc>
          <w:tcPr>
            <w:tcW w:w="3731" w:type="pct"/>
            <w:gridSpan w:val="4"/>
          </w:tcPr>
          <w:p w:rsidR="00C165A2" w:rsidRPr="003E7C50" w:rsidRDefault="00C165A2" w:rsidP="00B26DF4">
            <w:pPr>
              <w:widowControl w:val="0"/>
              <w:spacing w:before="40" w:after="40"/>
              <w:rPr>
                <w:rFonts w:ascii="Arial Narrow" w:hAnsi="Arial Narrow"/>
                <w:sz w:val="20"/>
              </w:rPr>
            </w:pPr>
            <w:r w:rsidRPr="003E7C50">
              <w:rPr>
                <w:rFonts w:ascii="Arial Narrow" w:hAnsi="Arial Narrow"/>
                <w:sz w:val="20"/>
                <w:lang w:eastAsia="en-AU"/>
              </w:rPr>
              <w:t xml:space="preserve">Monaleesa-2 (JUN) vs. </w:t>
            </w:r>
            <w:r w:rsidR="00A561D0" w:rsidRPr="003E7C50">
              <w:rPr>
                <w:rFonts w:ascii="Arial Narrow" w:hAnsi="Arial Narrow"/>
                <w:sz w:val="20"/>
                <w:lang w:eastAsia="en-AU"/>
              </w:rPr>
              <w:t xml:space="preserve">PALOMA </w:t>
            </w:r>
            <w:r w:rsidRPr="003E7C50">
              <w:rPr>
                <w:rFonts w:ascii="Arial Narrow" w:hAnsi="Arial Narrow"/>
                <w:sz w:val="20"/>
                <w:lang w:eastAsia="en-AU"/>
              </w:rPr>
              <w:t>-1</w:t>
            </w:r>
            <w:r w:rsidR="00A561D0" w:rsidRPr="003E7C50">
              <w:rPr>
                <w:rFonts w:ascii="Arial Narrow" w:hAnsi="Arial Narrow"/>
                <w:sz w:val="20"/>
                <w:lang w:eastAsia="en-AU"/>
              </w:rPr>
              <w:t xml:space="preserve"> </w:t>
            </w:r>
            <w:r w:rsidRPr="003E7C50">
              <w:rPr>
                <w:rFonts w:ascii="Arial Narrow" w:hAnsi="Arial Narrow"/>
                <w:sz w:val="20"/>
                <w:lang w:eastAsia="en-AU"/>
              </w:rPr>
              <w:t>&amp;</w:t>
            </w:r>
            <w:r w:rsidR="00A561D0" w:rsidRPr="003E7C50">
              <w:rPr>
                <w:rFonts w:ascii="Arial Narrow" w:hAnsi="Arial Narrow"/>
                <w:sz w:val="20"/>
                <w:lang w:eastAsia="en-AU"/>
              </w:rPr>
              <w:t xml:space="preserve"> </w:t>
            </w:r>
            <w:r w:rsidRPr="003E7C50">
              <w:rPr>
                <w:rFonts w:ascii="Arial Narrow" w:hAnsi="Arial Narrow"/>
                <w:sz w:val="20"/>
                <w:lang w:eastAsia="en-AU"/>
              </w:rPr>
              <w:t>2</w:t>
            </w:r>
          </w:p>
        </w:tc>
        <w:tc>
          <w:tcPr>
            <w:tcW w:w="1269" w:type="pct"/>
            <w:shd w:val="clear" w:color="auto" w:fill="auto"/>
            <w:vAlign w:val="bottom"/>
          </w:tcPr>
          <w:p w:rsidR="00C165A2" w:rsidRPr="003E7C50" w:rsidRDefault="00B235DF" w:rsidP="00B26DF4">
            <w:pPr>
              <w:widowControl w:val="0"/>
              <w:spacing w:before="40" w:after="40"/>
              <w:rPr>
                <w:rFonts w:ascii="Arial Narrow" w:hAnsi="Arial Narrow"/>
                <w:sz w:val="20"/>
              </w:rPr>
            </w:pPr>
            <w:r>
              <w:rPr>
                <w:rFonts w:ascii="Arial Narrow" w:hAnsi="Arial Narrow"/>
                <w:noProof/>
                <w:color w:val="000000"/>
                <w:sz w:val="20"/>
                <w:highlight w:val="black"/>
              </w:rPr>
              <w:t>''''''''''' ''''''''''''' ''''''''''''''</w:t>
            </w:r>
          </w:p>
        </w:tc>
      </w:tr>
    </w:tbl>
    <w:p w:rsidR="0026657A" w:rsidRPr="003E7C50" w:rsidRDefault="00C165A2" w:rsidP="00FD55D9">
      <w:pPr>
        <w:pStyle w:val="TableFooter"/>
      </w:pPr>
      <w:r w:rsidRPr="003E7C50">
        <w:t>CI</w:t>
      </w:r>
      <w:r w:rsidR="006E2B5D" w:rsidRPr="003E7C50">
        <w:t>:</w:t>
      </w:r>
      <w:r w:rsidRPr="003E7C50">
        <w:t xml:space="preserve"> confidence interval; n</w:t>
      </w:r>
      <w:r w:rsidR="006E2B5D" w:rsidRPr="003E7C50">
        <w:t>:</w:t>
      </w:r>
      <w:r w:rsidRPr="003E7C50">
        <w:t xml:space="preserve"> number of participants with event; N</w:t>
      </w:r>
      <w:r w:rsidR="006E2B5D" w:rsidRPr="003E7C50">
        <w:t>:</w:t>
      </w:r>
      <w:r w:rsidRPr="003E7C50">
        <w:t xml:space="preserve"> total number of participants in group; HR</w:t>
      </w:r>
      <w:r w:rsidR="006E2B5D" w:rsidRPr="003E7C50">
        <w:t>:</w:t>
      </w:r>
      <w:r w:rsidRPr="003E7C50">
        <w:t xml:space="preserve"> hazard ratio</w:t>
      </w:r>
    </w:p>
    <w:p w:rsidR="00434851" w:rsidRPr="003E7C50" w:rsidRDefault="00434851" w:rsidP="00FD55D9">
      <w:pPr>
        <w:pStyle w:val="TableFooter"/>
      </w:pPr>
      <w:proofErr w:type="gramStart"/>
      <w:r w:rsidRPr="003E7C50">
        <w:rPr>
          <w:vertAlign w:val="superscript"/>
        </w:rPr>
        <w:t>a</w:t>
      </w:r>
      <w:proofErr w:type="gramEnd"/>
      <w:r w:rsidR="006E2B5D" w:rsidRPr="003E7C50">
        <w:t xml:space="preserve"> 1-sided p-value</w:t>
      </w:r>
    </w:p>
    <w:p w:rsidR="006E2B5D" w:rsidRPr="003E7C50" w:rsidRDefault="006E2B5D" w:rsidP="00FD55D9">
      <w:pPr>
        <w:pStyle w:val="TableFooter"/>
      </w:pPr>
      <w:proofErr w:type="gramStart"/>
      <w:r w:rsidRPr="003E7C50">
        <w:rPr>
          <w:vertAlign w:val="superscript"/>
        </w:rPr>
        <w:t>b</w:t>
      </w:r>
      <w:proofErr w:type="gramEnd"/>
      <w:r w:rsidRPr="003E7C50">
        <w:t xml:space="preserve"> hazard ratio &lt; 1 indicates a reduction in hazard rate in favour of </w:t>
      </w:r>
      <w:proofErr w:type="spellStart"/>
      <w:r w:rsidRPr="003E7C50">
        <w:t>ribociclib</w:t>
      </w:r>
      <w:proofErr w:type="spellEnd"/>
      <w:r w:rsidRPr="003E7C50">
        <w:t xml:space="preserve"> + </w:t>
      </w:r>
      <w:proofErr w:type="spellStart"/>
      <w:r w:rsidRPr="003E7C50">
        <w:t>letrozole</w:t>
      </w:r>
      <w:proofErr w:type="spellEnd"/>
      <w:r w:rsidRPr="003E7C50">
        <w:t>.</w:t>
      </w:r>
    </w:p>
    <w:p w:rsidR="00466C20" w:rsidRPr="003E7C50" w:rsidRDefault="00C165A2" w:rsidP="00FD55D9">
      <w:pPr>
        <w:pStyle w:val="TableFooter"/>
      </w:pPr>
      <w:r w:rsidRPr="003E7C50">
        <w:t>Source: Finn 2016 p1930-32, Finn 2015 p31, Section 2.5.1.1.1, p70-73 of the submission</w:t>
      </w:r>
      <w:r w:rsidR="0026657A" w:rsidRPr="003E7C50">
        <w:t xml:space="preserve"> and </w:t>
      </w:r>
      <w:r w:rsidR="00466C20" w:rsidRPr="003E7C50">
        <w:t>Table 2.38, p96 of the submission</w:t>
      </w:r>
    </w:p>
    <w:p w:rsidR="00893B76" w:rsidRPr="003E7C50" w:rsidRDefault="006F37B5" w:rsidP="001F343A">
      <w:pPr>
        <w:pStyle w:val="ListParagraph"/>
      </w:pPr>
      <w:r w:rsidRPr="003E7C50">
        <w:t xml:space="preserve">Based on the indirect comparison there was no significant difference between </w:t>
      </w:r>
      <w:proofErr w:type="spellStart"/>
      <w:r w:rsidRPr="003E7C50">
        <w:t>ribociclib</w:t>
      </w:r>
      <w:proofErr w:type="spellEnd"/>
      <w:r w:rsidRPr="003E7C50">
        <w:t xml:space="preserve"> and </w:t>
      </w:r>
      <w:proofErr w:type="spellStart"/>
      <w:r w:rsidRPr="003E7C50">
        <w:t>palbociclib</w:t>
      </w:r>
      <w:proofErr w:type="spellEnd"/>
      <w:r w:rsidRPr="003E7C50">
        <w:t xml:space="preserve"> for PFS.</w:t>
      </w:r>
      <w:r w:rsidR="001F343A" w:rsidRPr="003E7C50">
        <w:t xml:space="preserve"> </w:t>
      </w:r>
      <w:r w:rsidR="00BE420C" w:rsidRPr="003E7C50">
        <w:t>However, the ESC considered that a</w:t>
      </w:r>
      <w:r w:rsidR="00893B76" w:rsidRPr="003E7C50">
        <w:t xml:space="preserve"> lack of evidence of a significant difference is not equivalent to evidence of no difference (non-inferiority). </w:t>
      </w:r>
      <w:r w:rsidR="00D77085" w:rsidRPr="003E7C50">
        <w:t>No minimally clinically important difference was proposed</w:t>
      </w:r>
      <w:r w:rsidR="003215F2" w:rsidRPr="003E7C50">
        <w:t>,</w:t>
      </w:r>
      <w:r w:rsidR="00D77085" w:rsidRPr="003E7C50">
        <w:t xml:space="preserve"> the outcomes were not formally tested for non-inferiority and no </w:t>
      </w:r>
      <w:r w:rsidR="003215F2" w:rsidRPr="003E7C50">
        <w:t xml:space="preserve">non-inferiority </w:t>
      </w:r>
      <w:r w:rsidR="00D77085" w:rsidRPr="003E7C50">
        <w:t>margin was nominated.</w:t>
      </w:r>
    </w:p>
    <w:p w:rsidR="00C165A2" w:rsidRPr="003E7C50" w:rsidRDefault="00A561D0" w:rsidP="00893B76">
      <w:pPr>
        <w:pStyle w:val="ListParagraph"/>
      </w:pPr>
      <w:r w:rsidRPr="003E7C50">
        <w:t>The</w:t>
      </w:r>
      <w:r w:rsidR="00BE420C" w:rsidRPr="003E7C50">
        <w:t xml:space="preserve"> ESC considered that </w:t>
      </w:r>
      <w:r w:rsidR="001F343A" w:rsidRPr="003E7C50">
        <w:t xml:space="preserve">the </w:t>
      </w:r>
      <w:r w:rsidRPr="003E7C50">
        <w:t xml:space="preserve">results </w:t>
      </w:r>
      <w:r w:rsidR="001F343A" w:rsidRPr="003E7C50">
        <w:t xml:space="preserve">of the indirect comparison </w:t>
      </w:r>
      <w:r w:rsidRPr="003E7C50">
        <w:t xml:space="preserve">should </w:t>
      </w:r>
      <w:r w:rsidR="00893B76" w:rsidRPr="003E7C50">
        <w:t xml:space="preserve">be </w:t>
      </w:r>
      <w:r w:rsidRPr="003E7C50">
        <w:t xml:space="preserve">considered with caution as </w:t>
      </w:r>
      <w:r w:rsidR="00BE420C" w:rsidRPr="003E7C50">
        <w:t xml:space="preserve">the </w:t>
      </w:r>
      <w:r w:rsidRPr="003E7C50">
        <w:t>PALOMA-1 trial was open label and subject to bias. Furthermore, there were difference</w:t>
      </w:r>
      <w:r w:rsidR="00D96796" w:rsidRPr="003E7C50">
        <w:t>s</w:t>
      </w:r>
      <w:r w:rsidRPr="003E7C50">
        <w:t xml:space="preserve"> in the population characteristics across </w:t>
      </w:r>
      <w:r w:rsidR="006F37B5" w:rsidRPr="003E7C50">
        <w:t>MONALEESA-1 and PALOMA-1 and PALOMA-2</w:t>
      </w:r>
      <w:r w:rsidRPr="003E7C50">
        <w:t xml:space="preserve">, and </w:t>
      </w:r>
      <w:r w:rsidR="006B2EA2" w:rsidRPr="003E7C50">
        <w:t>OS</w:t>
      </w:r>
      <w:r w:rsidRPr="003E7C50">
        <w:t xml:space="preserve"> and </w:t>
      </w:r>
      <w:r w:rsidR="006B2EA2" w:rsidRPr="003E7C50">
        <w:t>AEs</w:t>
      </w:r>
      <w:r w:rsidR="00C165A2" w:rsidRPr="003E7C50">
        <w:t xml:space="preserve"> </w:t>
      </w:r>
      <w:r w:rsidRPr="003E7C50">
        <w:t>in the common comparator arm (</w:t>
      </w:r>
      <w:proofErr w:type="spellStart"/>
      <w:r w:rsidRPr="003E7C50">
        <w:t>letrozole</w:t>
      </w:r>
      <w:proofErr w:type="spellEnd"/>
      <w:r w:rsidRPr="003E7C50">
        <w:t xml:space="preserve"> alone)</w:t>
      </w:r>
      <w:r w:rsidR="00C165A2" w:rsidRPr="003E7C50">
        <w:t xml:space="preserve">. </w:t>
      </w:r>
      <w:r w:rsidR="00C165A2" w:rsidRPr="003E7C50">
        <w:rPr>
          <w:snapToGrid w:val="0"/>
        </w:rPr>
        <w:t xml:space="preserve">These differences </w:t>
      </w:r>
      <w:r w:rsidRPr="003E7C50">
        <w:rPr>
          <w:snapToGrid w:val="0"/>
        </w:rPr>
        <w:t xml:space="preserve">suggest that the trials have limited </w:t>
      </w:r>
      <w:r w:rsidR="00C165A2" w:rsidRPr="003E7C50">
        <w:rPr>
          <w:snapToGrid w:val="0"/>
        </w:rPr>
        <w:t>exchangeability.</w:t>
      </w:r>
      <w:r w:rsidR="003520A8" w:rsidRPr="003E7C50">
        <w:rPr>
          <w:snapToGrid w:val="0"/>
        </w:rPr>
        <w:t xml:space="preserve"> </w:t>
      </w:r>
    </w:p>
    <w:p w:rsidR="00C165A2" w:rsidRPr="003E7C50" w:rsidRDefault="00C165A2" w:rsidP="005608F0">
      <w:pPr>
        <w:pStyle w:val="Heading2"/>
      </w:pPr>
      <w:bookmarkStart w:id="13" w:name="_Toc482023185"/>
      <w:r w:rsidRPr="003E7C50">
        <w:t>Comparative harms</w:t>
      </w:r>
      <w:bookmarkEnd w:id="13"/>
    </w:p>
    <w:p w:rsidR="00C165A2" w:rsidRPr="003E7C50" w:rsidRDefault="00C165A2" w:rsidP="00C165A2">
      <w:pPr>
        <w:numPr>
          <w:ilvl w:val="1"/>
          <w:numId w:val="3"/>
        </w:numPr>
        <w:spacing w:before="0" w:after="120"/>
        <w:jc w:val="both"/>
        <w:rPr>
          <w:rFonts w:cstheme="minorHAnsi"/>
          <w:szCs w:val="24"/>
        </w:rPr>
      </w:pPr>
      <w:r w:rsidRPr="003E7C50">
        <w:rPr>
          <w:rFonts w:cstheme="minorHAnsi"/>
          <w:szCs w:val="24"/>
        </w:rPr>
        <w:t xml:space="preserve">Significantly more patients treated with </w:t>
      </w:r>
      <w:proofErr w:type="spellStart"/>
      <w:r w:rsidRPr="003E7C50">
        <w:rPr>
          <w:rFonts w:cstheme="minorHAnsi"/>
          <w:szCs w:val="24"/>
        </w:rPr>
        <w:t>ribociclib</w:t>
      </w:r>
      <w:proofErr w:type="spellEnd"/>
      <w:r w:rsidRPr="003E7C50">
        <w:rPr>
          <w:rFonts w:cstheme="minorHAnsi"/>
          <w:szCs w:val="24"/>
        </w:rPr>
        <w:t xml:space="preserve"> + </w:t>
      </w:r>
      <w:proofErr w:type="spellStart"/>
      <w:r w:rsidRPr="003E7C50">
        <w:rPr>
          <w:rFonts w:cstheme="minorHAnsi"/>
          <w:szCs w:val="24"/>
        </w:rPr>
        <w:t>letrozole</w:t>
      </w:r>
      <w:proofErr w:type="spellEnd"/>
      <w:r w:rsidRPr="003E7C50">
        <w:rPr>
          <w:rFonts w:cstheme="minorHAnsi"/>
          <w:szCs w:val="24"/>
        </w:rPr>
        <w:t xml:space="preserve"> compared </w:t>
      </w:r>
      <w:r w:rsidR="00321E44" w:rsidRPr="003E7C50">
        <w:rPr>
          <w:rFonts w:cstheme="minorHAnsi"/>
          <w:szCs w:val="24"/>
        </w:rPr>
        <w:t xml:space="preserve">with </w:t>
      </w:r>
      <w:proofErr w:type="spellStart"/>
      <w:r w:rsidRPr="003E7C50">
        <w:rPr>
          <w:rFonts w:cstheme="minorHAnsi"/>
          <w:szCs w:val="24"/>
        </w:rPr>
        <w:t>letrozole</w:t>
      </w:r>
      <w:proofErr w:type="spellEnd"/>
      <w:r w:rsidRPr="003E7C50">
        <w:rPr>
          <w:rFonts w:cstheme="minorHAnsi"/>
          <w:szCs w:val="24"/>
        </w:rPr>
        <w:t xml:space="preserve"> alone had </w:t>
      </w:r>
      <w:r w:rsidR="006B2EA2" w:rsidRPr="003E7C50">
        <w:rPr>
          <w:rFonts w:cstheme="minorHAnsi"/>
          <w:szCs w:val="24"/>
        </w:rPr>
        <w:t>serious AEs</w:t>
      </w:r>
      <w:r w:rsidRPr="003E7C50">
        <w:rPr>
          <w:rFonts w:cstheme="minorHAnsi"/>
          <w:szCs w:val="24"/>
        </w:rPr>
        <w:t>, Grade</w:t>
      </w:r>
      <w:r w:rsidR="006F37B5" w:rsidRPr="003E7C50">
        <w:rPr>
          <w:rFonts w:cstheme="minorHAnsi"/>
          <w:szCs w:val="24"/>
        </w:rPr>
        <w:t>≥</w:t>
      </w:r>
      <w:r w:rsidRPr="003E7C50">
        <w:rPr>
          <w:rFonts w:cstheme="minorHAnsi"/>
          <w:szCs w:val="24"/>
        </w:rPr>
        <w:t xml:space="preserve">3 AE, </w:t>
      </w:r>
      <w:r w:rsidR="00D96796" w:rsidRPr="003E7C50">
        <w:rPr>
          <w:rFonts w:cstheme="minorHAnsi"/>
          <w:szCs w:val="24"/>
        </w:rPr>
        <w:t>G</w:t>
      </w:r>
      <w:r w:rsidRPr="003E7C50">
        <w:rPr>
          <w:rFonts w:cstheme="minorHAnsi"/>
          <w:szCs w:val="24"/>
        </w:rPr>
        <w:t>rade</w:t>
      </w:r>
      <w:r w:rsidR="006F37B5" w:rsidRPr="003E7C50">
        <w:rPr>
          <w:rFonts w:cstheme="minorHAnsi"/>
          <w:szCs w:val="24"/>
        </w:rPr>
        <w:t>≥</w:t>
      </w:r>
      <w:r w:rsidRPr="003E7C50">
        <w:rPr>
          <w:rFonts w:cstheme="minorHAnsi"/>
          <w:szCs w:val="24"/>
        </w:rPr>
        <w:t>3 AE requiring treatment, AEs leading to treatment discontinuation</w:t>
      </w:r>
      <w:r w:rsidR="009E4457">
        <w:rPr>
          <w:rFonts w:cstheme="minorHAnsi"/>
          <w:szCs w:val="24"/>
        </w:rPr>
        <w:t>,</w:t>
      </w:r>
      <w:r w:rsidRPr="003E7C50">
        <w:rPr>
          <w:rFonts w:cstheme="minorHAnsi"/>
          <w:szCs w:val="24"/>
        </w:rPr>
        <w:t xml:space="preserve"> and AEs requiring dose change/interruption. The largest differences between groups were for AEs leading to discontinuation and AEs requiring dose change/interruption.</w:t>
      </w:r>
      <w:r w:rsidR="00DD76D9" w:rsidRPr="003E7C50">
        <w:rPr>
          <w:rFonts w:cstheme="minorHAnsi"/>
          <w:szCs w:val="24"/>
        </w:rPr>
        <w:t xml:space="preserve"> </w:t>
      </w:r>
      <w:r w:rsidRPr="003E7C50">
        <w:rPr>
          <w:rFonts w:cstheme="minorHAnsi"/>
          <w:szCs w:val="24"/>
        </w:rPr>
        <w:t xml:space="preserve">The incidence of AEs in the MONALEESA-2 trial are summarised in </w:t>
      </w:r>
      <w:r w:rsidR="0056194F" w:rsidRPr="003E7C50">
        <w:rPr>
          <w:rFonts w:cstheme="minorHAnsi"/>
          <w:szCs w:val="24"/>
        </w:rPr>
        <w:t>the table</w:t>
      </w:r>
      <w:r w:rsidR="00DD76D9" w:rsidRPr="003E7C50">
        <w:rPr>
          <w:rFonts w:cstheme="minorHAnsi"/>
          <w:szCs w:val="24"/>
        </w:rPr>
        <w:t xml:space="preserve"> below.</w:t>
      </w:r>
    </w:p>
    <w:p w:rsidR="00762A23" w:rsidRDefault="00762A23" w:rsidP="00762A23">
      <w:pPr>
        <w:pStyle w:val="Caption"/>
      </w:pPr>
      <w:r>
        <w:t xml:space="preserve">Table </w:t>
      </w:r>
      <w:r>
        <w:rPr>
          <w:noProof/>
        </w:rPr>
        <w:t>7</w:t>
      </w:r>
      <w:r w:rsidRPr="004B398E">
        <w:t>: Summary of key adverse events in MONALEESA-2 (June 2016 interim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16"/>
        <w:gridCol w:w="2011"/>
        <w:gridCol w:w="1735"/>
        <w:gridCol w:w="1920"/>
      </w:tblGrid>
      <w:tr w:rsidR="00C165A2" w:rsidRPr="003E7C50" w:rsidTr="00096B1B">
        <w:tc>
          <w:tcPr>
            <w:tcW w:w="1881" w:type="pct"/>
          </w:tcPr>
          <w:p w:rsidR="00C165A2" w:rsidRPr="003E7C50" w:rsidRDefault="00F10255" w:rsidP="00C165A2">
            <w:pPr>
              <w:keepNext/>
              <w:spacing w:before="0" w:after="0"/>
              <w:ind w:left="-33" w:firstLine="33"/>
              <w:rPr>
                <w:rFonts w:ascii="Arial Narrow" w:hAnsi="Arial Narrow"/>
                <w:b/>
                <w:sz w:val="20"/>
              </w:rPr>
            </w:pPr>
            <w:r w:rsidRPr="003E7C50">
              <w:rPr>
                <w:rFonts w:ascii="Arial Narrow" w:hAnsi="Arial Narrow"/>
                <w:b/>
                <w:sz w:val="20"/>
              </w:rPr>
              <w:t>Adverse events</w:t>
            </w:r>
          </w:p>
        </w:tc>
        <w:tc>
          <w:tcPr>
            <w:tcW w:w="1107" w:type="pct"/>
          </w:tcPr>
          <w:p w:rsidR="00C165A2" w:rsidRPr="003E7C50" w:rsidRDefault="00C165A2" w:rsidP="00C165A2">
            <w:pPr>
              <w:keepNext/>
              <w:spacing w:before="0" w:after="0"/>
              <w:jc w:val="center"/>
              <w:rPr>
                <w:rFonts w:ascii="Arial Narrow" w:hAnsi="Arial Narrow"/>
                <w:b/>
                <w:sz w:val="20"/>
              </w:rPr>
            </w:pPr>
            <w:proofErr w:type="spellStart"/>
            <w:r w:rsidRPr="003E7C50">
              <w:rPr>
                <w:rFonts w:ascii="Arial Narrow" w:hAnsi="Arial Narrow"/>
                <w:b/>
                <w:sz w:val="20"/>
              </w:rPr>
              <w:t>Ribociclib</w:t>
            </w:r>
            <w:proofErr w:type="spellEnd"/>
            <w:r w:rsidRPr="003E7C50">
              <w:rPr>
                <w:rFonts w:ascii="Arial Narrow" w:hAnsi="Arial Narrow"/>
                <w:b/>
                <w:sz w:val="20"/>
              </w:rPr>
              <w:t xml:space="preserve"> + </w:t>
            </w:r>
            <w:proofErr w:type="spellStart"/>
            <w:r w:rsidRPr="003E7C50">
              <w:rPr>
                <w:rFonts w:ascii="Arial Narrow" w:hAnsi="Arial Narrow"/>
                <w:b/>
                <w:sz w:val="20"/>
              </w:rPr>
              <w:t>letrozole</w:t>
            </w:r>
            <w:proofErr w:type="spellEnd"/>
          </w:p>
          <w:p w:rsidR="00C165A2" w:rsidRPr="003E7C50" w:rsidRDefault="00C165A2" w:rsidP="00C165A2">
            <w:pPr>
              <w:keepNext/>
              <w:spacing w:before="0" w:after="0"/>
              <w:jc w:val="center"/>
              <w:rPr>
                <w:rFonts w:ascii="Arial Narrow" w:hAnsi="Arial Narrow"/>
                <w:b/>
                <w:sz w:val="20"/>
              </w:rPr>
            </w:pPr>
            <w:proofErr w:type="gramStart"/>
            <w:r w:rsidRPr="003E7C50">
              <w:rPr>
                <w:rFonts w:ascii="Arial Narrow" w:hAnsi="Arial Narrow"/>
                <w:b/>
                <w:sz w:val="20"/>
              </w:rPr>
              <w:t>n</w:t>
            </w:r>
            <w:proofErr w:type="gramEnd"/>
            <w:r w:rsidRPr="003E7C50">
              <w:rPr>
                <w:rFonts w:ascii="Arial Narrow" w:hAnsi="Arial Narrow"/>
                <w:b/>
                <w:sz w:val="20"/>
              </w:rPr>
              <w:t xml:space="preserve"> with event/N (%)</w:t>
            </w:r>
          </w:p>
        </w:tc>
        <w:tc>
          <w:tcPr>
            <w:tcW w:w="955" w:type="pct"/>
          </w:tcPr>
          <w:p w:rsidR="00C165A2" w:rsidRPr="003E7C50" w:rsidRDefault="00C165A2" w:rsidP="00C165A2">
            <w:pPr>
              <w:keepNext/>
              <w:spacing w:before="0" w:after="0"/>
              <w:jc w:val="center"/>
              <w:rPr>
                <w:rFonts w:ascii="Arial Narrow" w:hAnsi="Arial Narrow"/>
                <w:b/>
                <w:sz w:val="20"/>
              </w:rPr>
            </w:pPr>
            <w:proofErr w:type="spellStart"/>
            <w:r w:rsidRPr="003E7C50">
              <w:rPr>
                <w:rFonts w:ascii="Arial Narrow" w:hAnsi="Arial Narrow"/>
                <w:b/>
                <w:sz w:val="20"/>
              </w:rPr>
              <w:t>Letrozole</w:t>
            </w:r>
            <w:proofErr w:type="spellEnd"/>
          </w:p>
          <w:p w:rsidR="00C165A2" w:rsidRPr="003E7C50" w:rsidRDefault="00C165A2" w:rsidP="00C165A2">
            <w:pPr>
              <w:keepNext/>
              <w:spacing w:before="0" w:after="0"/>
              <w:jc w:val="center"/>
              <w:rPr>
                <w:rFonts w:ascii="Arial Narrow" w:hAnsi="Arial Narrow"/>
                <w:b/>
                <w:sz w:val="20"/>
              </w:rPr>
            </w:pPr>
            <w:proofErr w:type="gramStart"/>
            <w:r w:rsidRPr="003E7C50">
              <w:rPr>
                <w:rFonts w:ascii="Arial Narrow" w:hAnsi="Arial Narrow"/>
                <w:b/>
                <w:sz w:val="20"/>
              </w:rPr>
              <w:t>n</w:t>
            </w:r>
            <w:proofErr w:type="gramEnd"/>
            <w:r w:rsidRPr="003E7C50">
              <w:rPr>
                <w:rFonts w:ascii="Arial Narrow" w:hAnsi="Arial Narrow"/>
                <w:b/>
                <w:sz w:val="20"/>
              </w:rPr>
              <w:t xml:space="preserve"> with event/N (%)</w:t>
            </w:r>
          </w:p>
        </w:tc>
        <w:tc>
          <w:tcPr>
            <w:tcW w:w="1057" w:type="pct"/>
          </w:tcPr>
          <w:p w:rsidR="00C165A2" w:rsidRPr="003E7C50" w:rsidRDefault="001F343A" w:rsidP="00C165A2">
            <w:pPr>
              <w:keepNext/>
              <w:spacing w:before="0" w:after="0"/>
              <w:jc w:val="center"/>
              <w:rPr>
                <w:rFonts w:ascii="Arial Narrow" w:hAnsi="Arial Narrow"/>
                <w:b/>
                <w:sz w:val="20"/>
              </w:rPr>
            </w:pPr>
            <w:r w:rsidRPr="003E7C50">
              <w:rPr>
                <w:rFonts w:ascii="Arial Narrow" w:hAnsi="Arial Narrow"/>
                <w:b/>
                <w:sz w:val="20"/>
              </w:rPr>
              <w:t>Relative risk</w:t>
            </w:r>
          </w:p>
          <w:p w:rsidR="00C165A2" w:rsidRPr="003E7C50" w:rsidRDefault="00C165A2" w:rsidP="00C165A2">
            <w:pPr>
              <w:keepNext/>
              <w:spacing w:before="0" w:after="0"/>
              <w:jc w:val="center"/>
              <w:rPr>
                <w:rFonts w:ascii="Arial Narrow" w:hAnsi="Arial Narrow"/>
                <w:b/>
                <w:sz w:val="20"/>
              </w:rPr>
            </w:pPr>
            <w:r w:rsidRPr="003E7C50">
              <w:rPr>
                <w:rFonts w:ascii="Arial Narrow" w:hAnsi="Arial Narrow"/>
                <w:b/>
                <w:sz w:val="20"/>
              </w:rPr>
              <w:t>(95% CI)</w:t>
            </w:r>
          </w:p>
        </w:tc>
      </w:tr>
      <w:tr w:rsidR="002A0798" w:rsidRPr="003E7C50" w:rsidTr="00D4442A">
        <w:tc>
          <w:tcPr>
            <w:tcW w:w="1881" w:type="pct"/>
          </w:tcPr>
          <w:p w:rsidR="002A0798" w:rsidRPr="003E7C50" w:rsidRDefault="002A0798" w:rsidP="00096B1B">
            <w:pPr>
              <w:keepNext/>
              <w:spacing w:before="0" w:after="0"/>
              <w:rPr>
                <w:rFonts w:ascii="Arial Narrow" w:hAnsi="Arial Narrow"/>
                <w:b/>
                <w:sz w:val="20"/>
              </w:rPr>
            </w:pPr>
            <w:r w:rsidRPr="003E7C50">
              <w:rPr>
                <w:rFonts w:ascii="Arial Narrow" w:hAnsi="Arial Narrow"/>
                <w:sz w:val="20"/>
              </w:rPr>
              <w:t>All AEs</w:t>
            </w:r>
          </w:p>
        </w:tc>
        <w:tc>
          <w:tcPr>
            <w:tcW w:w="1107" w:type="pct"/>
          </w:tcPr>
          <w:p w:rsidR="002A0798" w:rsidRPr="00B235DF"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A0798" w:rsidRPr="00B235DF"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vAlign w:val="bottom"/>
          </w:tcPr>
          <w:p w:rsidR="002A0798" w:rsidRPr="00B235DF"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A0798" w:rsidRPr="003E7C50" w:rsidTr="00D4442A">
        <w:tc>
          <w:tcPr>
            <w:tcW w:w="1881" w:type="pct"/>
          </w:tcPr>
          <w:p w:rsidR="002A0798" w:rsidRPr="003E7C50" w:rsidDel="00F10255" w:rsidRDefault="002A0798" w:rsidP="00C165A2">
            <w:pPr>
              <w:keepNext/>
              <w:spacing w:before="0" w:after="0"/>
              <w:rPr>
                <w:rFonts w:ascii="Arial Narrow" w:hAnsi="Arial Narrow"/>
                <w:sz w:val="20"/>
              </w:rPr>
            </w:pPr>
            <w:r w:rsidRPr="003E7C50">
              <w:rPr>
                <w:rFonts w:ascii="Arial Narrow" w:hAnsi="Arial Narrow"/>
                <w:sz w:val="20"/>
              </w:rPr>
              <w:t>Serious AEs</w:t>
            </w:r>
          </w:p>
        </w:tc>
        <w:tc>
          <w:tcPr>
            <w:tcW w:w="1107"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vAlign w:val="bottom"/>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A0798" w:rsidRPr="003E7C50" w:rsidTr="00D4442A">
        <w:tc>
          <w:tcPr>
            <w:tcW w:w="1881" w:type="pct"/>
          </w:tcPr>
          <w:p w:rsidR="002A0798" w:rsidRPr="003E7C50" w:rsidDel="00F10255" w:rsidRDefault="002A0798" w:rsidP="00C165A2">
            <w:pPr>
              <w:keepNext/>
              <w:spacing w:before="0" w:after="0"/>
              <w:rPr>
                <w:rFonts w:ascii="Arial Narrow" w:hAnsi="Arial Narrow"/>
                <w:sz w:val="20"/>
              </w:rPr>
            </w:pPr>
            <w:r w:rsidRPr="003E7C50">
              <w:rPr>
                <w:rFonts w:ascii="Arial Narrow" w:hAnsi="Arial Narrow"/>
                <w:sz w:val="20"/>
              </w:rPr>
              <w:t>Grade≥3 AE</w:t>
            </w:r>
          </w:p>
        </w:tc>
        <w:tc>
          <w:tcPr>
            <w:tcW w:w="1107" w:type="pct"/>
          </w:tcPr>
          <w:p w:rsidR="002A0798" w:rsidRPr="00B235DF" w:rsidDel="00F10255" w:rsidRDefault="00B235DF" w:rsidP="002A0798">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vAlign w:val="bottom"/>
          </w:tcPr>
          <w:p w:rsidR="002A0798" w:rsidRPr="00B235DF" w:rsidDel="00F10255" w:rsidRDefault="00B235DF" w:rsidP="00C165A2">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A0798" w:rsidRPr="003E7C50" w:rsidTr="00D4442A">
        <w:tc>
          <w:tcPr>
            <w:tcW w:w="1881" w:type="pct"/>
          </w:tcPr>
          <w:p w:rsidR="002A0798" w:rsidRPr="003E7C50" w:rsidDel="00F10255" w:rsidRDefault="002A0798" w:rsidP="00C165A2">
            <w:pPr>
              <w:keepNext/>
              <w:spacing w:before="0" w:after="0"/>
              <w:rPr>
                <w:rFonts w:ascii="Arial Narrow" w:hAnsi="Arial Narrow"/>
                <w:sz w:val="20"/>
              </w:rPr>
            </w:pPr>
            <w:r w:rsidRPr="003E7C50">
              <w:rPr>
                <w:rFonts w:ascii="Arial Narrow" w:hAnsi="Arial Narrow"/>
                <w:sz w:val="20"/>
              </w:rPr>
              <w:t>Grade≥3 AE requiring treatment</w:t>
            </w:r>
          </w:p>
        </w:tc>
        <w:tc>
          <w:tcPr>
            <w:tcW w:w="1107"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vAlign w:val="bottom"/>
          </w:tcPr>
          <w:p w:rsidR="002A0798" w:rsidRPr="00B235DF" w:rsidDel="00F10255" w:rsidRDefault="00B235DF" w:rsidP="00C165A2">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A0798" w:rsidRPr="003E7C50" w:rsidTr="00D4442A">
        <w:tc>
          <w:tcPr>
            <w:tcW w:w="1881" w:type="pct"/>
          </w:tcPr>
          <w:p w:rsidR="002A0798" w:rsidRPr="003E7C50" w:rsidDel="00F10255" w:rsidRDefault="002A0798" w:rsidP="00C165A2">
            <w:pPr>
              <w:keepNext/>
              <w:spacing w:before="0" w:after="0"/>
              <w:rPr>
                <w:rFonts w:ascii="Arial Narrow" w:hAnsi="Arial Narrow"/>
                <w:sz w:val="20"/>
              </w:rPr>
            </w:pPr>
            <w:r w:rsidRPr="003E7C50">
              <w:rPr>
                <w:rFonts w:ascii="Arial Narrow" w:hAnsi="Arial Narrow"/>
                <w:sz w:val="20"/>
              </w:rPr>
              <w:t>AEs leading to discontinuation</w:t>
            </w:r>
          </w:p>
        </w:tc>
        <w:tc>
          <w:tcPr>
            <w:tcW w:w="1107"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vAlign w:val="bottom"/>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A0798" w:rsidRPr="003E7C50" w:rsidTr="00D4442A">
        <w:tc>
          <w:tcPr>
            <w:tcW w:w="1881" w:type="pct"/>
          </w:tcPr>
          <w:p w:rsidR="002A0798" w:rsidRPr="003E7C50" w:rsidDel="00F10255" w:rsidRDefault="002A0798" w:rsidP="00C165A2">
            <w:pPr>
              <w:keepNext/>
              <w:spacing w:before="0" w:after="0"/>
              <w:rPr>
                <w:rFonts w:ascii="Arial Narrow" w:hAnsi="Arial Narrow"/>
                <w:sz w:val="20"/>
              </w:rPr>
            </w:pPr>
            <w:r w:rsidRPr="003E7C50">
              <w:rPr>
                <w:rFonts w:ascii="Arial Narrow" w:hAnsi="Arial Narrow"/>
                <w:sz w:val="20"/>
              </w:rPr>
              <w:t>AEs requiring dose change/interruption</w:t>
            </w:r>
          </w:p>
        </w:tc>
        <w:tc>
          <w:tcPr>
            <w:tcW w:w="1107"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vAlign w:val="bottom"/>
          </w:tcPr>
          <w:p w:rsidR="002A0798" w:rsidRPr="00B235DF" w:rsidDel="00F10255" w:rsidRDefault="00B235DF" w:rsidP="00C165A2">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A0798" w:rsidRPr="003E7C50" w:rsidTr="00D4442A">
        <w:tc>
          <w:tcPr>
            <w:tcW w:w="1881" w:type="pct"/>
          </w:tcPr>
          <w:p w:rsidR="002A0798" w:rsidRPr="003E7C50" w:rsidDel="00F10255" w:rsidRDefault="002A0798" w:rsidP="00C165A2">
            <w:pPr>
              <w:keepNext/>
              <w:spacing w:before="0" w:after="0"/>
              <w:rPr>
                <w:rFonts w:ascii="Arial Narrow" w:hAnsi="Arial Narrow"/>
                <w:sz w:val="20"/>
              </w:rPr>
            </w:pPr>
            <w:r w:rsidRPr="003E7C50">
              <w:rPr>
                <w:rFonts w:ascii="Arial Narrow" w:hAnsi="Arial Narrow"/>
                <w:sz w:val="20"/>
              </w:rPr>
              <w:t>Deaths</w:t>
            </w:r>
          </w:p>
        </w:tc>
        <w:tc>
          <w:tcPr>
            <w:tcW w:w="1107"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vAlign w:val="bottom"/>
          </w:tcPr>
          <w:p w:rsidR="002A0798" w:rsidRPr="00B235DF" w:rsidDel="00F10255" w:rsidRDefault="00B235DF" w:rsidP="00096B1B">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A0798" w:rsidRPr="003E7C50" w:rsidTr="00D4442A">
        <w:tc>
          <w:tcPr>
            <w:tcW w:w="1881" w:type="pct"/>
          </w:tcPr>
          <w:p w:rsidR="002A0798" w:rsidRPr="003E7C50" w:rsidDel="00F10255" w:rsidRDefault="002A0798" w:rsidP="00C165A2">
            <w:pPr>
              <w:keepNext/>
              <w:spacing w:before="0" w:after="0"/>
              <w:rPr>
                <w:rFonts w:ascii="Arial Narrow" w:hAnsi="Arial Narrow"/>
                <w:b/>
                <w:sz w:val="20"/>
              </w:rPr>
            </w:pPr>
            <w:r w:rsidRPr="003E7C50">
              <w:rPr>
                <w:rFonts w:ascii="Arial Narrow" w:hAnsi="Arial Narrow"/>
                <w:sz w:val="20"/>
              </w:rPr>
              <w:t>On treatment deaths*</w:t>
            </w:r>
          </w:p>
        </w:tc>
        <w:tc>
          <w:tcPr>
            <w:tcW w:w="1107" w:type="pct"/>
          </w:tcPr>
          <w:p w:rsidR="002A0798" w:rsidRPr="00B235DF" w:rsidDel="00F10255" w:rsidRDefault="00B235DF" w:rsidP="00C165A2">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A0798" w:rsidRPr="00B235DF" w:rsidDel="00F10255" w:rsidRDefault="00B235DF" w:rsidP="00C165A2">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vAlign w:val="bottom"/>
          </w:tcPr>
          <w:p w:rsidR="002A0798" w:rsidRPr="003E7C50" w:rsidDel="00F10255" w:rsidRDefault="00B235DF" w:rsidP="00C165A2">
            <w:pPr>
              <w:keepNext/>
              <w:spacing w:before="0" w:after="0"/>
              <w:jc w:val="center"/>
              <w:rPr>
                <w:rFonts w:ascii="Arial Narrow" w:hAnsi="Arial Narrow"/>
                <w:sz w:val="20"/>
              </w:rPr>
            </w:pPr>
            <w:r>
              <w:rPr>
                <w:rFonts w:ascii="Arial Narrow" w:hAnsi="Arial Narrow"/>
                <w:noProof/>
                <w:color w:val="000000"/>
                <w:sz w:val="20"/>
                <w:highlight w:val="black"/>
              </w:rPr>
              <w:t>''''''''''''' '''''''''''''''''' '''''''''''''''''</w:t>
            </w:r>
          </w:p>
        </w:tc>
      </w:tr>
    </w:tbl>
    <w:p w:rsidR="00F10255" w:rsidRPr="003E7C50" w:rsidRDefault="00C165A2" w:rsidP="00096B1B">
      <w:pPr>
        <w:pStyle w:val="TableFooter"/>
      </w:pPr>
      <w:r w:rsidRPr="003E7C50">
        <w:t xml:space="preserve">AE: Adverse event; n: patients with event; N: total patients. </w:t>
      </w:r>
    </w:p>
    <w:p w:rsidR="00F10255" w:rsidRPr="003E7C50" w:rsidRDefault="00C165A2" w:rsidP="00096B1B">
      <w:pPr>
        <w:pStyle w:val="TableFooter"/>
      </w:pPr>
      <w:r w:rsidRPr="003E7C50">
        <w:t xml:space="preserve">*Note: based on small patient numbers </w:t>
      </w:r>
    </w:p>
    <w:p w:rsidR="00C165A2" w:rsidRPr="003E7C50" w:rsidRDefault="00C165A2" w:rsidP="00096B1B">
      <w:pPr>
        <w:pStyle w:val="TableFooter"/>
      </w:pPr>
      <w:r w:rsidRPr="003E7C50">
        <w:t xml:space="preserve">Source: </w:t>
      </w:r>
      <w:r w:rsidR="002A0798" w:rsidRPr="003E7C50">
        <w:t xml:space="preserve">Table 2.26, </w:t>
      </w:r>
      <w:r w:rsidRPr="003E7C50">
        <w:t>Section 2 of the submission and calculated during the evaluation</w:t>
      </w:r>
    </w:p>
    <w:p w:rsidR="00C165A2" w:rsidRPr="003E7C50" w:rsidRDefault="00C165A2" w:rsidP="00DD76D9">
      <w:pPr>
        <w:numPr>
          <w:ilvl w:val="1"/>
          <w:numId w:val="3"/>
        </w:numPr>
        <w:jc w:val="both"/>
        <w:rPr>
          <w:rFonts w:cstheme="minorHAnsi"/>
          <w:szCs w:val="24"/>
        </w:rPr>
      </w:pPr>
      <w:r w:rsidRPr="003E7C50">
        <w:rPr>
          <w:rFonts w:cstheme="minorHAnsi"/>
          <w:szCs w:val="24"/>
        </w:rPr>
        <w:t>In the MONALEESA-2 trial</w:t>
      </w:r>
      <w:r w:rsidR="00BD1306" w:rsidRPr="003E7C50">
        <w:rPr>
          <w:rFonts w:cstheme="minorHAnsi"/>
          <w:szCs w:val="24"/>
        </w:rPr>
        <w:t>,</w:t>
      </w:r>
      <w:r w:rsidRPr="003E7C50">
        <w:rPr>
          <w:rFonts w:cstheme="minorHAnsi"/>
          <w:szCs w:val="24"/>
        </w:rPr>
        <w:t xml:space="preserve"> the most commonly reported AEs were neutropenia</w:t>
      </w:r>
      <w:r w:rsidR="00941AA3" w:rsidRPr="003E7C50">
        <w:rPr>
          <w:rFonts w:cstheme="minorHAnsi"/>
          <w:szCs w:val="24"/>
        </w:rPr>
        <w:t xml:space="preserve"> (</w:t>
      </w:r>
      <w:proofErr w:type="gramStart"/>
      <w:r w:rsidR="00B235DF">
        <w:rPr>
          <w:rFonts w:cstheme="minorHAnsi"/>
          <w:noProof/>
          <w:color w:val="000000"/>
          <w:szCs w:val="24"/>
          <w:highlight w:val="black"/>
        </w:rPr>
        <w:t>''''''''</w:t>
      </w:r>
      <w:r w:rsidR="00941AA3" w:rsidRPr="003E7C50">
        <w:rPr>
          <w:rFonts w:cstheme="minorHAnsi"/>
          <w:szCs w:val="24"/>
        </w:rPr>
        <w:t>%</w:t>
      </w:r>
      <w:proofErr w:type="gramEnd"/>
      <w:r w:rsidR="00941AA3" w:rsidRPr="003E7C50">
        <w:rPr>
          <w:rFonts w:cstheme="minorHAnsi"/>
          <w:szCs w:val="24"/>
        </w:rPr>
        <w:t>)</w:t>
      </w:r>
      <w:r w:rsidRPr="003E7C50">
        <w:rPr>
          <w:rFonts w:cstheme="minorHAnsi"/>
          <w:szCs w:val="24"/>
        </w:rPr>
        <w:t xml:space="preserve">, nausea </w:t>
      </w:r>
      <w:r w:rsidR="00941AA3" w:rsidRPr="003E7C50">
        <w:rPr>
          <w:rFonts w:cstheme="minorHAnsi"/>
          <w:szCs w:val="24"/>
        </w:rPr>
        <w:t>(</w:t>
      </w:r>
      <w:r w:rsidR="00B235DF">
        <w:rPr>
          <w:rFonts w:cstheme="minorHAnsi"/>
          <w:noProof/>
          <w:color w:val="000000"/>
          <w:szCs w:val="24"/>
          <w:highlight w:val="black"/>
        </w:rPr>
        <w:t>''''''''</w:t>
      </w:r>
      <w:r w:rsidR="00941AA3" w:rsidRPr="003E7C50">
        <w:rPr>
          <w:rFonts w:cstheme="minorHAnsi"/>
          <w:szCs w:val="24"/>
        </w:rPr>
        <w:t xml:space="preserve">%) </w:t>
      </w:r>
      <w:r w:rsidRPr="003E7C50">
        <w:rPr>
          <w:rFonts w:cstheme="minorHAnsi"/>
          <w:szCs w:val="24"/>
        </w:rPr>
        <w:t>and fatigue</w:t>
      </w:r>
      <w:r w:rsidR="00941AA3" w:rsidRPr="003E7C50">
        <w:rPr>
          <w:rFonts w:cstheme="minorHAnsi"/>
          <w:szCs w:val="24"/>
        </w:rPr>
        <w:t xml:space="preserve"> (</w:t>
      </w:r>
      <w:r w:rsidR="00B235DF">
        <w:rPr>
          <w:rFonts w:cstheme="minorHAnsi"/>
          <w:noProof/>
          <w:color w:val="000000"/>
          <w:szCs w:val="24"/>
          <w:highlight w:val="black"/>
        </w:rPr>
        <w:t>'''''''''</w:t>
      </w:r>
      <w:r w:rsidR="00941AA3" w:rsidRPr="003E7C50">
        <w:rPr>
          <w:rFonts w:cstheme="minorHAnsi"/>
          <w:szCs w:val="24"/>
        </w:rPr>
        <w:t>%)</w:t>
      </w:r>
      <w:r w:rsidRPr="003E7C50">
        <w:rPr>
          <w:rFonts w:cstheme="minorHAnsi"/>
          <w:szCs w:val="24"/>
        </w:rPr>
        <w:t xml:space="preserve">. There were also some reports of serious </w:t>
      </w:r>
      <w:r w:rsidR="006B2EA2" w:rsidRPr="003E7C50">
        <w:rPr>
          <w:rFonts w:cstheme="minorHAnsi"/>
          <w:szCs w:val="24"/>
        </w:rPr>
        <w:t>AEs,</w:t>
      </w:r>
      <w:r w:rsidRPr="003E7C50">
        <w:rPr>
          <w:rFonts w:cstheme="minorHAnsi"/>
          <w:szCs w:val="24"/>
        </w:rPr>
        <w:t xml:space="preserve"> such as febrile neutropenia (1.5%)</w:t>
      </w:r>
      <w:r w:rsidR="009E4457">
        <w:rPr>
          <w:rFonts w:cstheme="minorHAnsi"/>
          <w:szCs w:val="24"/>
        </w:rPr>
        <w:t xml:space="preserve"> and on-treatment deaths (see below)</w:t>
      </w:r>
      <w:r w:rsidRPr="003E7C50">
        <w:rPr>
          <w:rFonts w:cstheme="minorHAnsi"/>
          <w:szCs w:val="24"/>
        </w:rPr>
        <w:t>.</w:t>
      </w:r>
      <w:r w:rsidR="00BE420C" w:rsidRPr="003E7C50">
        <w:rPr>
          <w:rFonts w:cstheme="minorHAnsi"/>
          <w:szCs w:val="24"/>
        </w:rPr>
        <w:t xml:space="preserve"> The ESC considered that the high incidence of neutropenia may be </w:t>
      </w:r>
      <w:r w:rsidR="00DD1541" w:rsidRPr="003E7C50">
        <w:rPr>
          <w:rFonts w:cstheme="minorHAnsi"/>
          <w:szCs w:val="24"/>
        </w:rPr>
        <w:t>manageable in clinical practice</w:t>
      </w:r>
      <w:r w:rsidR="00BE420C" w:rsidRPr="003E7C50">
        <w:rPr>
          <w:rFonts w:cstheme="minorHAnsi"/>
          <w:szCs w:val="24"/>
        </w:rPr>
        <w:t xml:space="preserve"> as it is rapidly reversible and dose dependent. The ESC further noted the </w:t>
      </w:r>
      <w:r w:rsidR="009C5337" w:rsidRPr="003E7C50">
        <w:rPr>
          <w:rFonts w:cstheme="minorHAnsi"/>
          <w:szCs w:val="24"/>
        </w:rPr>
        <w:t xml:space="preserve">relatively </w:t>
      </w:r>
      <w:r w:rsidR="00BE420C" w:rsidRPr="003E7C50">
        <w:rPr>
          <w:rFonts w:cstheme="minorHAnsi"/>
          <w:szCs w:val="24"/>
        </w:rPr>
        <w:t>rare instances of febrile neutropenia</w:t>
      </w:r>
      <w:r w:rsidR="00BE420C" w:rsidRPr="003E7C50">
        <w:rPr>
          <w:rFonts w:cstheme="minorHAnsi"/>
          <w:i/>
          <w:szCs w:val="24"/>
        </w:rPr>
        <w:t>.</w:t>
      </w:r>
    </w:p>
    <w:p w:rsidR="009B3CB4" w:rsidRPr="003E7C50" w:rsidRDefault="00C165A2" w:rsidP="00DD76D9">
      <w:pPr>
        <w:numPr>
          <w:ilvl w:val="1"/>
          <w:numId w:val="3"/>
        </w:numPr>
        <w:jc w:val="both"/>
        <w:rPr>
          <w:rFonts w:cstheme="minorHAnsi"/>
          <w:szCs w:val="24"/>
        </w:rPr>
      </w:pPr>
      <w:r w:rsidRPr="003E7C50">
        <w:rPr>
          <w:rFonts w:cstheme="minorHAnsi"/>
          <w:szCs w:val="24"/>
        </w:rPr>
        <w:t xml:space="preserve">The submission also reported indirect comparisons </w:t>
      </w:r>
      <w:r w:rsidR="009E4457">
        <w:rPr>
          <w:rFonts w:cstheme="minorHAnsi"/>
          <w:szCs w:val="24"/>
        </w:rPr>
        <w:t xml:space="preserve">between </w:t>
      </w:r>
      <w:proofErr w:type="spellStart"/>
      <w:r w:rsidR="009E4457">
        <w:rPr>
          <w:rFonts w:cstheme="minorHAnsi"/>
          <w:szCs w:val="24"/>
        </w:rPr>
        <w:t>ribociclib</w:t>
      </w:r>
      <w:proofErr w:type="spellEnd"/>
      <w:r w:rsidR="009E4457">
        <w:rPr>
          <w:rFonts w:cstheme="minorHAnsi"/>
          <w:szCs w:val="24"/>
        </w:rPr>
        <w:t xml:space="preserve"> and </w:t>
      </w:r>
      <w:proofErr w:type="spellStart"/>
      <w:r w:rsidR="009E4457">
        <w:rPr>
          <w:rFonts w:cstheme="minorHAnsi"/>
          <w:szCs w:val="24"/>
        </w:rPr>
        <w:t>palbociclib</w:t>
      </w:r>
      <w:proofErr w:type="spellEnd"/>
      <w:r w:rsidR="009E4457" w:rsidRPr="003E7C50">
        <w:rPr>
          <w:rFonts w:cstheme="minorHAnsi"/>
          <w:szCs w:val="24"/>
        </w:rPr>
        <w:t xml:space="preserve"> </w:t>
      </w:r>
      <w:r w:rsidRPr="003E7C50">
        <w:rPr>
          <w:rFonts w:cstheme="minorHAnsi"/>
          <w:szCs w:val="24"/>
        </w:rPr>
        <w:t xml:space="preserve">for </w:t>
      </w:r>
      <w:r w:rsidR="006B2EA2" w:rsidRPr="003E7C50">
        <w:rPr>
          <w:rFonts w:cstheme="minorHAnsi"/>
          <w:szCs w:val="24"/>
        </w:rPr>
        <w:t>AEs</w:t>
      </w:r>
      <w:r w:rsidRPr="003E7C50">
        <w:rPr>
          <w:rFonts w:cstheme="minorHAnsi"/>
          <w:szCs w:val="24"/>
        </w:rPr>
        <w:t xml:space="preserve"> (</w:t>
      </w:r>
      <w:r w:rsidR="00D96796" w:rsidRPr="003E7C50">
        <w:rPr>
          <w:rFonts w:cstheme="minorHAnsi"/>
          <w:szCs w:val="24"/>
        </w:rPr>
        <w:t>G</w:t>
      </w:r>
      <w:r w:rsidRPr="003E7C50">
        <w:rPr>
          <w:rFonts w:cstheme="minorHAnsi"/>
          <w:szCs w:val="24"/>
        </w:rPr>
        <w:t>rade</w:t>
      </w:r>
      <w:r w:rsidR="006F37B5" w:rsidRPr="003E7C50">
        <w:rPr>
          <w:rFonts w:cstheme="minorHAnsi"/>
          <w:szCs w:val="24"/>
        </w:rPr>
        <w:t>≥</w:t>
      </w:r>
      <w:r w:rsidRPr="003E7C50">
        <w:rPr>
          <w:rFonts w:cstheme="minorHAnsi"/>
          <w:szCs w:val="24"/>
        </w:rPr>
        <w:t xml:space="preserve">3 and discontinuation due to AE). </w:t>
      </w:r>
      <w:proofErr w:type="spellStart"/>
      <w:r w:rsidRPr="003E7C50">
        <w:rPr>
          <w:rFonts w:cstheme="minorHAnsi"/>
          <w:szCs w:val="24"/>
        </w:rPr>
        <w:t>Ribociclib</w:t>
      </w:r>
      <w:proofErr w:type="spellEnd"/>
      <w:r w:rsidRPr="003E7C50">
        <w:rPr>
          <w:rFonts w:cstheme="minorHAnsi"/>
          <w:szCs w:val="24"/>
        </w:rPr>
        <w:t xml:space="preserve"> </w:t>
      </w:r>
      <w:r w:rsidR="00BD1306" w:rsidRPr="003E7C50">
        <w:rPr>
          <w:rFonts w:cstheme="minorHAnsi"/>
          <w:szCs w:val="24"/>
        </w:rPr>
        <w:t xml:space="preserve">+ </w:t>
      </w:r>
      <w:proofErr w:type="spellStart"/>
      <w:r w:rsidR="00BD1306" w:rsidRPr="003E7C50">
        <w:rPr>
          <w:rFonts w:cstheme="minorHAnsi"/>
          <w:szCs w:val="24"/>
        </w:rPr>
        <w:t>letrozole</w:t>
      </w:r>
      <w:proofErr w:type="spellEnd"/>
      <w:r w:rsidR="00BD1306" w:rsidRPr="003E7C50">
        <w:rPr>
          <w:rFonts w:cstheme="minorHAnsi"/>
          <w:szCs w:val="24"/>
        </w:rPr>
        <w:t xml:space="preserve"> </w:t>
      </w:r>
      <w:r w:rsidRPr="003E7C50">
        <w:rPr>
          <w:rFonts w:cstheme="minorHAnsi"/>
          <w:szCs w:val="24"/>
        </w:rPr>
        <w:t xml:space="preserve">was associated with a similar number of </w:t>
      </w:r>
      <w:r w:rsidR="003979F1" w:rsidRPr="003E7C50">
        <w:rPr>
          <w:rFonts w:cstheme="minorHAnsi"/>
          <w:szCs w:val="24"/>
        </w:rPr>
        <w:t>Grade</w:t>
      </w:r>
      <w:r w:rsidR="006F37B5" w:rsidRPr="003E7C50">
        <w:rPr>
          <w:rFonts w:cstheme="minorHAnsi"/>
          <w:szCs w:val="24"/>
        </w:rPr>
        <w:t>≥</w:t>
      </w:r>
      <w:r w:rsidR="003979F1" w:rsidRPr="003E7C50">
        <w:rPr>
          <w:rFonts w:cstheme="minorHAnsi"/>
          <w:szCs w:val="24"/>
        </w:rPr>
        <w:t>3 AEs</w:t>
      </w:r>
      <w:r w:rsidRPr="003E7C50">
        <w:rPr>
          <w:rFonts w:cstheme="minorHAnsi"/>
          <w:szCs w:val="24"/>
        </w:rPr>
        <w:t xml:space="preserve">, but a greater number of AEs leading to treatment discontinuation compared </w:t>
      </w:r>
      <w:r w:rsidR="00BD1306" w:rsidRPr="003E7C50">
        <w:rPr>
          <w:rFonts w:cstheme="minorHAnsi"/>
          <w:szCs w:val="24"/>
        </w:rPr>
        <w:t xml:space="preserve">with </w:t>
      </w:r>
      <w:proofErr w:type="spellStart"/>
      <w:r w:rsidRPr="003E7C50">
        <w:rPr>
          <w:rFonts w:cstheme="minorHAnsi"/>
          <w:szCs w:val="24"/>
        </w:rPr>
        <w:t>palbociclib</w:t>
      </w:r>
      <w:proofErr w:type="spellEnd"/>
      <w:r w:rsidR="006F37B5" w:rsidRPr="003E7C50">
        <w:rPr>
          <w:rFonts w:cstheme="minorHAnsi"/>
          <w:szCs w:val="24"/>
        </w:rPr>
        <w:t xml:space="preserve"> </w:t>
      </w:r>
      <w:r w:rsidR="00BD1306" w:rsidRPr="003E7C50">
        <w:rPr>
          <w:rFonts w:cstheme="minorHAnsi"/>
          <w:szCs w:val="24"/>
        </w:rPr>
        <w:t xml:space="preserve">+ </w:t>
      </w:r>
      <w:proofErr w:type="spellStart"/>
      <w:r w:rsidR="006F37B5" w:rsidRPr="003E7C50">
        <w:rPr>
          <w:rFonts w:cstheme="minorHAnsi"/>
          <w:szCs w:val="24"/>
        </w:rPr>
        <w:t>letrozole</w:t>
      </w:r>
      <w:proofErr w:type="spellEnd"/>
      <w:r w:rsidRPr="003E7C50">
        <w:rPr>
          <w:rFonts w:cstheme="minorHAnsi"/>
          <w:szCs w:val="24"/>
        </w:rPr>
        <w:t>.</w:t>
      </w:r>
    </w:p>
    <w:p w:rsidR="00C165A2" w:rsidRPr="003E7C50" w:rsidRDefault="00C165A2" w:rsidP="00DD76D9">
      <w:pPr>
        <w:numPr>
          <w:ilvl w:val="1"/>
          <w:numId w:val="3"/>
        </w:numPr>
        <w:jc w:val="both"/>
        <w:rPr>
          <w:rFonts w:cstheme="minorHAnsi"/>
          <w:szCs w:val="24"/>
        </w:rPr>
      </w:pPr>
      <w:r w:rsidRPr="003E7C50">
        <w:rPr>
          <w:rFonts w:cstheme="minorHAnsi"/>
          <w:szCs w:val="24"/>
        </w:rPr>
        <w:t xml:space="preserve">The submission provided additional data on potential safety concerns beyond those identified in the clinical trials. As part of the TGA application, additional data on a further 187 patients who received treatment with </w:t>
      </w:r>
      <w:proofErr w:type="spellStart"/>
      <w:r w:rsidRPr="003E7C50">
        <w:rPr>
          <w:rFonts w:cstheme="minorHAnsi"/>
          <w:szCs w:val="24"/>
        </w:rPr>
        <w:t>ribociclib</w:t>
      </w:r>
      <w:proofErr w:type="spellEnd"/>
      <w:r w:rsidRPr="003E7C50">
        <w:rPr>
          <w:rFonts w:cstheme="minorHAnsi"/>
          <w:szCs w:val="24"/>
        </w:rPr>
        <w:t xml:space="preserve"> at the 600 mg daily dose in a series of monotherapy studies (across various patient populations) were also pooled in order to provide better information about the safety profile of </w:t>
      </w:r>
      <w:proofErr w:type="spellStart"/>
      <w:r w:rsidRPr="003E7C50">
        <w:rPr>
          <w:rFonts w:cstheme="minorHAnsi"/>
          <w:szCs w:val="24"/>
        </w:rPr>
        <w:t>ribociclib</w:t>
      </w:r>
      <w:proofErr w:type="spellEnd"/>
      <w:r w:rsidRPr="003E7C50">
        <w:rPr>
          <w:rFonts w:cstheme="minorHAnsi"/>
          <w:szCs w:val="24"/>
        </w:rPr>
        <w:t xml:space="preserve">. Of the 568 patients in the safety population </w:t>
      </w:r>
      <w:r w:rsidR="00B235DF">
        <w:rPr>
          <w:rFonts w:cstheme="minorHAnsi"/>
          <w:noProof/>
          <w:color w:val="000000"/>
          <w:szCs w:val="24"/>
          <w:highlight w:val="black"/>
        </w:rPr>
        <w:t>''''' ''''''''''</w:t>
      </w:r>
      <w:r w:rsidRPr="003E7C50">
        <w:rPr>
          <w:rFonts w:cstheme="minorHAnsi"/>
          <w:szCs w:val="24"/>
        </w:rPr>
        <w:t xml:space="preserve"> died while on treatment. Treatment discontinuation as a result of AEs was more evident for </w:t>
      </w:r>
      <w:proofErr w:type="spellStart"/>
      <w:r w:rsidRPr="003E7C50">
        <w:rPr>
          <w:rFonts w:cstheme="minorHAnsi"/>
          <w:szCs w:val="24"/>
        </w:rPr>
        <w:t>ribociclib</w:t>
      </w:r>
      <w:proofErr w:type="spellEnd"/>
      <w:r w:rsidRPr="003E7C50">
        <w:rPr>
          <w:rFonts w:cstheme="minorHAnsi"/>
          <w:szCs w:val="24"/>
        </w:rPr>
        <w:t xml:space="preserve"> + </w:t>
      </w:r>
      <w:proofErr w:type="spellStart"/>
      <w:r w:rsidRPr="003E7C50">
        <w:rPr>
          <w:rFonts w:cstheme="minorHAnsi"/>
          <w:szCs w:val="24"/>
        </w:rPr>
        <w:t>letrozole</w:t>
      </w:r>
      <w:proofErr w:type="spellEnd"/>
      <w:r w:rsidRPr="003E7C50">
        <w:rPr>
          <w:rFonts w:cstheme="minorHAnsi"/>
          <w:szCs w:val="24"/>
        </w:rPr>
        <w:t xml:space="preserve"> </w:t>
      </w:r>
      <w:r w:rsidR="00B235DF">
        <w:rPr>
          <w:rFonts w:cstheme="minorHAnsi"/>
          <w:noProof/>
          <w:color w:val="000000"/>
          <w:szCs w:val="24"/>
          <w:highlight w:val="black"/>
        </w:rPr>
        <w:t>''''''''''''''''' '''''''''''''</w:t>
      </w:r>
      <w:r w:rsidRPr="003E7C50">
        <w:rPr>
          <w:rFonts w:cstheme="minorHAnsi"/>
          <w:szCs w:val="24"/>
        </w:rPr>
        <w:t xml:space="preserve"> compared </w:t>
      </w:r>
      <w:r w:rsidR="00BD1306" w:rsidRPr="003E7C50">
        <w:rPr>
          <w:rFonts w:cstheme="minorHAnsi"/>
          <w:szCs w:val="24"/>
        </w:rPr>
        <w:t xml:space="preserve">with </w:t>
      </w:r>
      <w:proofErr w:type="spellStart"/>
      <w:r w:rsidRPr="003E7C50">
        <w:rPr>
          <w:rFonts w:cstheme="minorHAnsi"/>
          <w:szCs w:val="24"/>
        </w:rPr>
        <w:t>letrozole</w:t>
      </w:r>
      <w:proofErr w:type="spellEnd"/>
      <w:r w:rsidRPr="003E7C50">
        <w:rPr>
          <w:rFonts w:cstheme="minorHAnsi"/>
          <w:szCs w:val="24"/>
        </w:rPr>
        <w:t xml:space="preserve"> alone </w:t>
      </w:r>
      <w:r w:rsidR="00B235DF">
        <w:rPr>
          <w:rFonts w:cstheme="minorHAnsi"/>
          <w:noProof/>
          <w:color w:val="000000"/>
          <w:szCs w:val="24"/>
          <w:highlight w:val="black"/>
        </w:rPr>
        <w:t>'''''''''''''''' ''''''''''''</w:t>
      </w:r>
      <w:r w:rsidRPr="003E7C50">
        <w:rPr>
          <w:rFonts w:cstheme="minorHAnsi"/>
          <w:szCs w:val="24"/>
        </w:rPr>
        <w:t xml:space="preserve">. </w:t>
      </w:r>
    </w:p>
    <w:p w:rsidR="002A4565" w:rsidRPr="003E7C50" w:rsidRDefault="00C165A2" w:rsidP="009B3CB4">
      <w:pPr>
        <w:numPr>
          <w:ilvl w:val="1"/>
          <w:numId w:val="3"/>
        </w:numPr>
        <w:spacing w:before="0" w:after="120"/>
        <w:jc w:val="both"/>
        <w:rPr>
          <w:rFonts w:cstheme="minorHAnsi"/>
          <w:szCs w:val="24"/>
        </w:rPr>
      </w:pPr>
      <w:r w:rsidRPr="003E7C50">
        <w:rPr>
          <w:rFonts w:cstheme="minorHAnsi"/>
          <w:szCs w:val="24"/>
        </w:rPr>
        <w:t xml:space="preserve">The TGA application lists the following as </w:t>
      </w:r>
      <w:r w:rsidR="006B2EA2" w:rsidRPr="003E7C50">
        <w:rPr>
          <w:rFonts w:cstheme="minorHAnsi"/>
          <w:szCs w:val="24"/>
        </w:rPr>
        <w:t>AEs</w:t>
      </w:r>
      <w:r w:rsidRPr="003E7C50">
        <w:rPr>
          <w:rFonts w:cstheme="minorHAnsi"/>
          <w:szCs w:val="24"/>
        </w:rPr>
        <w:t xml:space="preserve"> of special interest that should be monitored carefully with dose reductions as appropriate: hepatobiliary toxicity (24.0% </w:t>
      </w:r>
      <w:proofErr w:type="spellStart"/>
      <w:r w:rsidRPr="003E7C50">
        <w:rPr>
          <w:rFonts w:cstheme="minorHAnsi"/>
          <w:szCs w:val="24"/>
        </w:rPr>
        <w:t>ribociclib</w:t>
      </w:r>
      <w:proofErr w:type="spellEnd"/>
      <w:r w:rsidRPr="003E7C50">
        <w:rPr>
          <w:rFonts w:cstheme="minorHAnsi"/>
          <w:szCs w:val="24"/>
        </w:rPr>
        <w:t xml:space="preserve"> + </w:t>
      </w:r>
      <w:proofErr w:type="spellStart"/>
      <w:r w:rsidRPr="003E7C50">
        <w:rPr>
          <w:rFonts w:cstheme="minorHAnsi"/>
          <w:szCs w:val="24"/>
        </w:rPr>
        <w:t>letrozole</w:t>
      </w:r>
      <w:proofErr w:type="spellEnd"/>
      <w:r w:rsidRPr="003E7C50">
        <w:rPr>
          <w:rFonts w:cstheme="minorHAnsi"/>
          <w:szCs w:val="24"/>
        </w:rPr>
        <w:t xml:space="preserve"> versus 13.6% </w:t>
      </w:r>
      <w:proofErr w:type="spellStart"/>
      <w:r w:rsidRPr="003E7C50">
        <w:rPr>
          <w:rFonts w:cstheme="minorHAnsi"/>
          <w:szCs w:val="24"/>
        </w:rPr>
        <w:t>letrozole</w:t>
      </w:r>
      <w:proofErr w:type="spellEnd"/>
      <w:r w:rsidRPr="003E7C50">
        <w:rPr>
          <w:rFonts w:cstheme="minorHAnsi"/>
          <w:szCs w:val="24"/>
        </w:rPr>
        <w:t xml:space="preserve"> alone), inducement of QT interval prolongation (7.5% </w:t>
      </w:r>
      <w:proofErr w:type="spellStart"/>
      <w:r w:rsidRPr="003E7C50">
        <w:rPr>
          <w:rFonts w:cstheme="minorHAnsi"/>
          <w:szCs w:val="24"/>
        </w:rPr>
        <w:t>ribociclib</w:t>
      </w:r>
      <w:proofErr w:type="spellEnd"/>
      <w:r w:rsidRPr="003E7C50">
        <w:rPr>
          <w:rFonts w:cstheme="minorHAnsi"/>
          <w:szCs w:val="24"/>
        </w:rPr>
        <w:t xml:space="preserve"> + </w:t>
      </w:r>
      <w:proofErr w:type="spellStart"/>
      <w:r w:rsidRPr="003E7C50">
        <w:rPr>
          <w:rFonts w:cstheme="minorHAnsi"/>
          <w:szCs w:val="24"/>
        </w:rPr>
        <w:t>letrozole</w:t>
      </w:r>
      <w:proofErr w:type="spellEnd"/>
      <w:r w:rsidRPr="003E7C50">
        <w:rPr>
          <w:rFonts w:cstheme="minorHAnsi"/>
          <w:szCs w:val="24"/>
        </w:rPr>
        <w:t xml:space="preserve"> versus 2.4% </w:t>
      </w:r>
      <w:proofErr w:type="spellStart"/>
      <w:r w:rsidRPr="003E7C50">
        <w:rPr>
          <w:rFonts w:cstheme="minorHAnsi"/>
          <w:szCs w:val="24"/>
        </w:rPr>
        <w:t>letrozole</w:t>
      </w:r>
      <w:proofErr w:type="spellEnd"/>
      <w:r w:rsidRPr="003E7C50">
        <w:rPr>
          <w:rFonts w:cstheme="minorHAnsi"/>
          <w:szCs w:val="24"/>
        </w:rPr>
        <w:t xml:space="preserve"> alone), neutropenia including </w:t>
      </w:r>
      <w:r w:rsidR="006F37B5" w:rsidRPr="003E7C50">
        <w:t>Grade</w:t>
      </w:r>
      <w:r w:rsidR="006F37B5" w:rsidRPr="003E7C50">
        <w:sym w:font="Symbol" w:char="F0B3"/>
      </w:r>
      <w:r w:rsidR="006F37B5" w:rsidRPr="003E7C50">
        <w:t>3</w:t>
      </w:r>
      <w:r w:rsidRPr="003E7C50">
        <w:rPr>
          <w:rFonts w:cstheme="minorHAnsi"/>
          <w:szCs w:val="24"/>
        </w:rPr>
        <w:t xml:space="preserve">, (56.9% </w:t>
      </w:r>
      <w:proofErr w:type="spellStart"/>
      <w:r w:rsidRPr="003E7C50">
        <w:rPr>
          <w:rFonts w:cstheme="minorHAnsi"/>
          <w:szCs w:val="24"/>
        </w:rPr>
        <w:t>ribociclib</w:t>
      </w:r>
      <w:proofErr w:type="spellEnd"/>
      <w:r w:rsidRPr="003E7C50">
        <w:rPr>
          <w:rFonts w:cstheme="minorHAnsi"/>
          <w:szCs w:val="24"/>
        </w:rPr>
        <w:t xml:space="preserve"> + </w:t>
      </w:r>
      <w:proofErr w:type="spellStart"/>
      <w:r w:rsidRPr="003E7C50">
        <w:rPr>
          <w:rFonts w:cstheme="minorHAnsi"/>
          <w:szCs w:val="24"/>
        </w:rPr>
        <w:t>letrozole</w:t>
      </w:r>
      <w:proofErr w:type="spellEnd"/>
      <w:r w:rsidRPr="003E7C50">
        <w:rPr>
          <w:rFonts w:cstheme="minorHAnsi"/>
          <w:szCs w:val="24"/>
        </w:rPr>
        <w:t xml:space="preserve"> versus 0.9% </w:t>
      </w:r>
      <w:proofErr w:type="spellStart"/>
      <w:r w:rsidRPr="003E7C50">
        <w:rPr>
          <w:rFonts w:cstheme="minorHAnsi"/>
          <w:szCs w:val="24"/>
        </w:rPr>
        <w:t>letrozole</w:t>
      </w:r>
      <w:proofErr w:type="spellEnd"/>
      <w:r w:rsidRPr="003E7C50">
        <w:rPr>
          <w:rFonts w:cstheme="minorHAnsi"/>
          <w:szCs w:val="24"/>
        </w:rPr>
        <w:t xml:space="preserve"> alone) and febrile neutropenia. </w:t>
      </w:r>
      <w:r w:rsidR="00BD0009" w:rsidRPr="003E7C50">
        <w:rPr>
          <w:rFonts w:cstheme="minorHAnsi"/>
          <w:szCs w:val="24"/>
        </w:rPr>
        <w:t>A c</w:t>
      </w:r>
      <w:r w:rsidRPr="003E7C50">
        <w:rPr>
          <w:rFonts w:cstheme="minorHAnsi"/>
          <w:szCs w:val="24"/>
        </w:rPr>
        <w:t>omplete blood cell count</w:t>
      </w:r>
      <w:r w:rsidR="006F37B5" w:rsidRPr="003E7C50">
        <w:rPr>
          <w:rFonts w:cstheme="minorHAnsi"/>
          <w:szCs w:val="24"/>
        </w:rPr>
        <w:t xml:space="preserve"> is </w:t>
      </w:r>
      <w:r w:rsidRPr="003E7C50">
        <w:rPr>
          <w:rFonts w:cstheme="minorHAnsi"/>
          <w:szCs w:val="24"/>
        </w:rPr>
        <w:t xml:space="preserve">required for patients prior to commencing treatment with </w:t>
      </w:r>
      <w:proofErr w:type="spellStart"/>
      <w:r w:rsidRPr="003E7C50">
        <w:rPr>
          <w:rFonts w:cstheme="minorHAnsi"/>
          <w:szCs w:val="24"/>
        </w:rPr>
        <w:t>ribociclib</w:t>
      </w:r>
      <w:proofErr w:type="spellEnd"/>
      <w:r w:rsidRPr="003E7C50">
        <w:rPr>
          <w:rFonts w:cstheme="minorHAnsi"/>
          <w:szCs w:val="24"/>
        </w:rPr>
        <w:t xml:space="preserve"> to manage this risk and </w:t>
      </w:r>
      <w:r w:rsidR="00BD0009" w:rsidRPr="003E7C50">
        <w:rPr>
          <w:rFonts w:cstheme="minorHAnsi"/>
          <w:szCs w:val="24"/>
        </w:rPr>
        <w:t>it</w:t>
      </w:r>
      <w:r w:rsidRPr="003E7C50">
        <w:rPr>
          <w:rFonts w:cstheme="minorHAnsi"/>
          <w:szCs w:val="24"/>
        </w:rPr>
        <w:t xml:space="preserve"> should be repeated every 2 weeks for the first two treatment cycles</w:t>
      </w:r>
      <w:r w:rsidR="00BD0009" w:rsidRPr="003E7C50">
        <w:rPr>
          <w:rFonts w:cstheme="minorHAnsi"/>
          <w:szCs w:val="24"/>
        </w:rPr>
        <w:t>,</w:t>
      </w:r>
      <w:r w:rsidRPr="003E7C50">
        <w:rPr>
          <w:rFonts w:cstheme="minorHAnsi"/>
          <w:szCs w:val="24"/>
        </w:rPr>
        <w:t xml:space="preserve"> at the beginning of each subsequent 4 </w:t>
      </w:r>
      <w:r w:rsidR="00BD0009" w:rsidRPr="003E7C50">
        <w:rPr>
          <w:rFonts w:cstheme="minorHAnsi"/>
          <w:szCs w:val="24"/>
        </w:rPr>
        <w:t xml:space="preserve">week </w:t>
      </w:r>
      <w:r w:rsidRPr="003E7C50">
        <w:rPr>
          <w:rFonts w:cstheme="minorHAnsi"/>
          <w:szCs w:val="24"/>
        </w:rPr>
        <w:t>cycle</w:t>
      </w:r>
      <w:r w:rsidR="00BD0009" w:rsidRPr="003E7C50">
        <w:rPr>
          <w:rFonts w:cstheme="minorHAnsi"/>
          <w:szCs w:val="24"/>
        </w:rPr>
        <w:t>,</w:t>
      </w:r>
      <w:r w:rsidRPr="003E7C50">
        <w:rPr>
          <w:rFonts w:cstheme="minorHAnsi"/>
          <w:szCs w:val="24"/>
        </w:rPr>
        <w:t xml:space="preserve"> and then as clinically indicated.</w:t>
      </w:r>
      <w:bookmarkStart w:id="14" w:name="_Toc413139282"/>
      <w:bookmarkEnd w:id="10"/>
    </w:p>
    <w:p w:rsidR="002A4565" w:rsidRPr="003E7C50" w:rsidRDefault="002A4565" w:rsidP="00B34042">
      <w:pPr>
        <w:pStyle w:val="Heading2"/>
      </w:pPr>
      <w:bookmarkStart w:id="15" w:name="_Toc476306890"/>
      <w:bookmarkStart w:id="16" w:name="_Toc482023186"/>
      <w:bookmarkStart w:id="17" w:name="_Toc413139281"/>
      <w:r w:rsidRPr="003E7C50">
        <w:t>Benefits and harms</w:t>
      </w:r>
      <w:bookmarkEnd w:id="15"/>
      <w:bookmarkEnd w:id="16"/>
    </w:p>
    <w:p w:rsidR="002A4565" w:rsidRPr="003E7C50" w:rsidRDefault="002A4565" w:rsidP="00316E09">
      <w:pPr>
        <w:pStyle w:val="ListParagraph"/>
      </w:pPr>
      <w:r w:rsidRPr="003E7C50">
        <w:t xml:space="preserve">A summary of the comparative benefits and harms for </w:t>
      </w:r>
      <w:proofErr w:type="spellStart"/>
      <w:r w:rsidRPr="003E7C50">
        <w:t>ribociclib</w:t>
      </w:r>
      <w:proofErr w:type="spellEnd"/>
      <w:r w:rsidRPr="003E7C50">
        <w:t xml:space="preserve"> + </w:t>
      </w:r>
      <w:proofErr w:type="spellStart"/>
      <w:r w:rsidRPr="003E7C50">
        <w:t>letrozole</w:t>
      </w:r>
      <w:proofErr w:type="spellEnd"/>
      <w:r w:rsidRPr="003E7C50">
        <w:t xml:space="preserve"> versus </w:t>
      </w:r>
      <w:proofErr w:type="spellStart"/>
      <w:r w:rsidRPr="003E7C50">
        <w:t>letrozole</w:t>
      </w:r>
      <w:proofErr w:type="spellEnd"/>
      <w:r w:rsidRPr="003E7C50">
        <w:t xml:space="preserve"> alone is presented in </w:t>
      </w:r>
      <w:r w:rsidR="0056194F" w:rsidRPr="003E7C50">
        <w:t>the table below</w:t>
      </w:r>
      <w:r w:rsidR="00E735ED" w:rsidRPr="003E7C50">
        <w:t>.</w:t>
      </w:r>
    </w:p>
    <w:p w:rsidR="00762A23" w:rsidRDefault="00762A23" w:rsidP="00762A23">
      <w:pPr>
        <w:pStyle w:val="Caption"/>
      </w:pPr>
      <w:r>
        <w:t xml:space="preserve">Table </w:t>
      </w:r>
      <w:r>
        <w:rPr>
          <w:noProof/>
        </w:rPr>
        <w:t>8</w:t>
      </w:r>
      <w:r w:rsidRPr="001D059E">
        <w:t xml:space="preserve">: Summary of comparative benefits and harms for </w:t>
      </w:r>
      <w:proofErr w:type="spellStart"/>
      <w:r w:rsidRPr="001D059E">
        <w:t>ribociclib</w:t>
      </w:r>
      <w:proofErr w:type="spellEnd"/>
      <w:r w:rsidRPr="001D059E">
        <w:t xml:space="preserve"> + </w:t>
      </w:r>
      <w:proofErr w:type="spellStart"/>
      <w:r w:rsidRPr="001D059E">
        <w:t>letrozole</w:t>
      </w:r>
      <w:proofErr w:type="spellEnd"/>
      <w:r w:rsidRPr="001D059E">
        <w:t xml:space="preserve"> and </w:t>
      </w:r>
      <w:proofErr w:type="spellStart"/>
      <w:r w:rsidRPr="001D059E">
        <w:t>letrozole</w:t>
      </w:r>
      <w:proofErr w:type="spellEnd"/>
      <w:r w:rsidRPr="001D059E">
        <w:t xml:space="preserve"> alone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comparative benefits and harms for ribociclib + letrozole and letrozole alone"/>
      </w:tblPr>
      <w:tblGrid>
        <w:gridCol w:w="2139"/>
        <w:gridCol w:w="1014"/>
        <w:gridCol w:w="905"/>
        <w:gridCol w:w="16"/>
        <w:gridCol w:w="1351"/>
        <w:gridCol w:w="1066"/>
        <w:gridCol w:w="894"/>
        <w:gridCol w:w="1697"/>
      </w:tblGrid>
      <w:tr w:rsidR="002A4565" w:rsidRPr="003E7C50" w:rsidTr="00C7182A">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8"/>
            <w:shd w:val="clear" w:color="auto" w:fill="auto"/>
            <w:vAlign w:val="center"/>
          </w:tcPr>
          <w:p w:rsidR="002A4565" w:rsidRPr="003E7C50" w:rsidRDefault="002A4565" w:rsidP="00E77CC2">
            <w:pPr>
              <w:pStyle w:val="TableText"/>
              <w:spacing w:before="0" w:after="0"/>
              <w:rPr>
                <w:u w:val="single"/>
                <w:lang w:val="en-AU"/>
              </w:rPr>
            </w:pPr>
            <w:r w:rsidRPr="003E7C50">
              <w:rPr>
                <w:u w:val="single"/>
                <w:lang w:val="en-AU"/>
              </w:rPr>
              <w:t>Benefits</w:t>
            </w:r>
          </w:p>
        </w:tc>
      </w:tr>
      <w:tr w:rsidR="00296BBE" w:rsidRPr="003E7C50" w:rsidTr="00D01AF5">
        <w:tc>
          <w:tcPr>
            <w:tcW w:w="1178" w:type="pct"/>
            <w:tcBorders>
              <w:bottom w:val="single" w:sz="4" w:space="0" w:color="auto"/>
            </w:tcBorders>
            <w:shd w:val="clear" w:color="auto" w:fill="auto"/>
            <w:vAlign w:val="center"/>
          </w:tcPr>
          <w:p w:rsidR="002A4565" w:rsidRPr="003E7C50" w:rsidRDefault="002A4565" w:rsidP="00E77CC2">
            <w:pPr>
              <w:pStyle w:val="TableText"/>
              <w:spacing w:before="0" w:after="0"/>
              <w:rPr>
                <w:b/>
                <w:lang w:val="en-AU"/>
              </w:rPr>
            </w:pPr>
            <w:r w:rsidRPr="003E7C50">
              <w:rPr>
                <w:b/>
                <w:lang w:val="en-AU"/>
              </w:rPr>
              <w:t>Event</w:t>
            </w:r>
          </w:p>
        </w:tc>
        <w:tc>
          <w:tcPr>
            <w:tcW w:w="1056" w:type="pct"/>
            <w:gridSpan w:val="2"/>
            <w:tcBorders>
              <w:bottom w:val="single" w:sz="4" w:space="0" w:color="auto"/>
            </w:tcBorders>
            <w:shd w:val="clear" w:color="auto" w:fill="auto"/>
            <w:vAlign w:val="center"/>
          </w:tcPr>
          <w:p w:rsidR="002A4565" w:rsidRPr="003E7C50" w:rsidRDefault="002A4565" w:rsidP="00E77CC2">
            <w:pPr>
              <w:pStyle w:val="TableText"/>
              <w:spacing w:before="0" w:after="0"/>
              <w:rPr>
                <w:b/>
                <w:lang w:val="en-AU"/>
              </w:rPr>
            </w:pPr>
            <w:proofErr w:type="spellStart"/>
            <w:r w:rsidRPr="003E7C50">
              <w:rPr>
                <w:b/>
                <w:lang w:val="en-AU"/>
              </w:rPr>
              <w:t>Ribociclib</w:t>
            </w:r>
            <w:proofErr w:type="spellEnd"/>
            <w:r w:rsidRPr="003E7C50">
              <w:rPr>
                <w:b/>
                <w:lang w:val="en-AU"/>
              </w:rPr>
              <w:t xml:space="preserve"> + </w:t>
            </w:r>
            <w:proofErr w:type="spellStart"/>
            <w:r w:rsidRPr="003E7C50">
              <w:rPr>
                <w:b/>
                <w:lang w:val="en-AU"/>
              </w:rPr>
              <w:t>letrozole</w:t>
            </w:r>
            <w:proofErr w:type="spellEnd"/>
          </w:p>
        </w:tc>
        <w:tc>
          <w:tcPr>
            <w:tcW w:w="753" w:type="pct"/>
            <w:gridSpan w:val="2"/>
            <w:tcBorders>
              <w:bottom w:val="single" w:sz="4" w:space="0" w:color="auto"/>
            </w:tcBorders>
            <w:shd w:val="clear" w:color="auto" w:fill="auto"/>
            <w:vAlign w:val="center"/>
          </w:tcPr>
          <w:p w:rsidR="002A4565" w:rsidRPr="003E7C50" w:rsidRDefault="002A4565" w:rsidP="00E77CC2">
            <w:pPr>
              <w:pStyle w:val="TableText"/>
              <w:spacing w:before="0" w:after="0"/>
              <w:rPr>
                <w:b/>
                <w:lang w:val="en-AU"/>
              </w:rPr>
            </w:pPr>
            <w:proofErr w:type="spellStart"/>
            <w:r w:rsidRPr="003E7C50">
              <w:rPr>
                <w:b/>
                <w:lang w:val="en-AU"/>
              </w:rPr>
              <w:t>Letrozole</w:t>
            </w:r>
            <w:proofErr w:type="spellEnd"/>
          </w:p>
        </w:tc>
        <w:tc>
          <w:tcPr>
            <w:tcW w:w="587" w:type="pct"/>
            <w:tcBorders>
              <w:bottom w:val="single" w:sz="4" w:space="0" w:color="auto"/>
            </w:tcBorders>
            <w:shd w:val="clear" w:color="auto" w:fill="auto"/>
            <w:vAlign w:val="center"/>
          </w:tcPr>
          <w:p w:rsidR="002A4565" w:rsidRPr="003E7C50" w:rsidRDefault="002A4565" w:rsidP="00E77CC2">
            <w:pPr>
              <w:pStyle w:val="TableText"/>
              <w:spacing w:before="0" w:after="0"/>
              <w:jc w:val="both"/>
              <w:rPr>
                <w:rFonts w:asciiTheme="minorHAnsi" w:hAnsiTheme="minorHAnsi"/>
                <w:b/>
                <w:lang w:val="en-AU"/>
              </w:rPr>
            </w:pPr>
            <w:r w:rsidRPr="003E7C50">
              <w:rPr>
                <w:b/>
                <w:lang w:val="en-AU"/>
              </w:rPr>
              <w:t>Absolute Difference</w:t>
            </w:r>
          </w:p>
        </w:tc>
        <w:tc>
          <w:tcPr>
            <w:tcW w:w="1426" w:type="pct"/>
            <w:gridSpan w:val="2"/>
            <w:tcBorders>
              <w:bottom w:val="single" w:sz="4" w:space="0" w:color="auto"/>
            </w:tcBorders>
            <w:shd w:val="clear" w:color="auto" w:fill="auto"/>
            <w:vAlign w:val="center"/>
          </w:tcPr>
          <w:p w:rsidR="002A4565" w:rsidRPr="003E7C50" w:rsidRDefault="002A4565" w:rsidP="00E77CC2">
            <w:pPr>
              <w:pStyle w:val="TableText"/>
              <w:spacing w:before="0" w:after="0"/>
              <w:rPr>
                <w:b/>
                <w:lang w:val="en-AU"/>
              </w:rPr>
            </w:pPr>
            <w:r w:rsidRPr="003E7C50">
              <w:rPr>
                <w:b/>
                <w:lang w:val="en-AU"/>
              </w:rPr>
              <w:t>HR (95% CI)</w:t>
            </w:r>
          </w:p>
        </w:tc>
      </w:tr>
      <w:tr w:rsidR="002A4565" w:rsidRPr="003E7C50" w:rsidTr="003C78C1">
        <w:tc>
          <w:tcPr>
            <w:tcW w:w="5000" w:type="pct"/>
            <w:gridSpan w:val="8"/>
            <w:tcBorders>
              <w:bottom w:val="single" w:sz="4" w:space="0" w:color="auto"/>
            </w:tcBorders>
            <w:shd w:val="clear" w:color="auto" w:fill="auto"/>
            <w:vAlign w:val="center"/>
          </w:tcPr>
          <w:p w:rsidR="002A4565" w:rsidRPr="003E7C50" w:rsidRDefault="002A4565" w:rsidP="00E77CC2">
            <w:pPr>
              <w:pStyle w:val="TableText"/>
              <w:spacing w:before="0" w:after="0"/>
              <w:rPr>
                <w:lang w:val="en-AU"/>
              </w:rPr>
            </w:pPr>
            <w:r w:rsidRPr="003E7C50">
              <w:rPr>
                <w:b/>
                <w:lang w:val="en-AU"/>
              </w:rPr>
              <w:t>PFS</w:t>
            </w:r>
            <w:r w:rsidR="003C78C1" w:rsidRPr="003E7C50">
              <w:rPr>
                <w:b/>
                <w:lang w:val="en-AU"/>
              </w:rPr>
              <w:t xml:space="preserve"> - BICR Jan 2016 (MONALEESA-2)</w:t>
            </w:r>
          </w:p>
        </w:tc>
      </w:tr>
      <w:tr w:rsidR="00296BBE" w:rsidRPr="003E7C50" w:rsidTr="00D01AF5">
        <w:tc>
          <w:tcPr>
            <w:tcW w:w="1178" w:type="pct"/>
            <w:tcBorders>
              <w:bottom w:val="single" w:sz="4" w:space="0" w:color="auto"/>
            </w:tcBorders>
            <w:shd w:val="clear" w:color="auto" w:fill="auto"/>
            <w:vAlign w:val="center"/>
          </w:tcPr>
          <w:p w:rsidR="002A4565" w:rsidRPr="003E7C50" w:rsidRDefault="002A4565" w:rsidP="00E77CC2">
            <w:pPr>
              <w:pStyle w:val="TableText"/>
              <w:widowControl w:val="0"/>
              <w:spacing w:before="0" w:after="0"/>
              <w:rPr>
                <w:b/>
                <w:lang w:val="en-AU"/>
              </w:rPr>
            </w:pPr>
            <w:r w:rsidRPr="003E7C50">
              <w:rPr>
                <w:lang w:val="en-AU"/>
              </w:rPr>
              <w:t>Progressed</w:t>
            </w:r>
          </w:p>
        </w:tc>
        <w:tc>
          <w:tcPr>
            <w:tcW w:w="1056"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NR</w:t>
            </w:r>
          </w:p>
        </w:tc>
        <w:tc>
          <w:tcPr>
            <w:tcW w:w="753"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NR</w:t>
            </w:r>
          </w:p>
        </w:tc>
        <w:tc>
          <w:tcPr>
            <w:tcW w:w="587" w:type="pct"/>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w:t>
            </w:r>
          </w:p>
        </w:tc>
        <w:tc>
          <w:tcPr>
            <w:tcW w:w="1426" w:type="pct"/>
            <w:gridSpan w:val="2"/>
            <w:vMerge w:val="restart"/>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0.592 (0.412, 0.852)</w:t>
            </w:r>
          </w:p>
        </w:tc>
      </w:tr>
      <w:tr w:rsidR="00296BBE" w:rsidRPr="003E7C50" w:rsidTr="00D01AF5">
        <w:tc>
          <w:tcPr>
            <w:tcW w:w="1178" w:type="pct"/>
            <w:tcBorders>
              <w:bottom w:val="single" w:sz="4" w:space="0" w:color="auto"/>
            </w:tcBorders>
            <w:shd w:val="clear" w:color="auto" w:fill="auto"/>
            <w:vAlign w:val="center"/>
          </w:tcPr>
          <w:p w:rsidR="002A4565" w:rsidRPr="003E7C50" w:rsidRDefault="002A4565" w:rsidP="00E77CC2">
            <w:pPr>
              <w:pStyle w:val="TableText"/>
              <w:widowControl w:val="0"/>
              <w:spacing w:before="0" w:after="0"/>
              <w:rPr>
                <w:b/>
                <w:lang w:val="en-AU"/>
              </w:rPr>
            </w:pPr>
            <w:r w:rsidRPr="003E7C50">
              <w:rPr>
                <w:lang w:val="en-AU"/>
              </w:rPr>
              <w:t>Median</w:t>
            </w:r>
            <w:r w:rsidR="003955C9" w:rsidRPr="003E7C50">
              <w:rPr>
                <w:lang w:val="en-AU"/>
              </w:rPr>
              <w:t xml:space="preserve">, </w:t>
            </w:r>
            <w:r w:rsidRPr="003E7C50">
              <w:rPr>
                <w:lang w:val="en-AU"/>
              </w:rPr>
              <w:t>months</w:t>
            </w:r>
          </w:p>
        </w:tc>
        <w:tc>
          <w:tcPr>
            <w:tcW w:w="1056"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NR</w:t>
            </w:r>
          </w:p>
        </w:tc>
        <w:tc>
          <w:tcPr>
            <w:tcW w:w="753"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NR</w:t>
            </w:r>
          </w:p>
        </w:tc>
        <w:tc>
          <w:tcPr>
            <w:tcW w:w="587" w:type="pct"/>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NR</w:t>
            </w:r>
          </w:p>
        </w:tc>
        <w:tc>
          <w:tcPr>
            <w:tcW w:w="1426" w:type="pct"/>
            <w:gridSpan w:val="2"/>
            <w:vMerge/>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p>
        </w:tc>
      </w:tr>
      <w:tr w:rsidR="002A4565" w:rsidRPr="003E7C50" w:rsidTr="003C78C1">
        <w:tc>
          <w:tcPr>
            <w:tcW w:w="5000" w:type="pct"/>
            <w:gridSpan w:val="8"/>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b/>
                <w:lang w:val="en-AU"/>
              </w:rPr>
              <w:t>PFS</w:t>
            </w:r>
            <w:r w:rsidR="003C78C1" w:rsidRPr="003E7C50">
              <w:rPr>
                <w:b/>
                <w:lang w:val="en-AU"/>
              </w:rPr>
              <w:t xml:space="preserve"> </w:t>
            </w:r>
            <w:r w:rsidRPr="003E7C50">
              <w:rPr>
                <w:b/>
                <w:lang w:val="en-AU"/>
              </w:rPr>
              <w:t xml:space="preserve">- investigators </w:t>
            </w:r>
            <w:r w:rsidR="003C78C1" w:rsidRPr="003E7C50">
              <w:rPr>
                <w:b/>
                <w:lang w:val="en-AU"/>
              </w:rPr>
              <w:t>assessed Jan 2017 (MONALEESA-2)</w:t>
            </w:r>
          </w:p>
        </w:tc>
      </w:tr>
      <w:tr w:rsidR="00296BBE" w:rsidRPr="003E7C50" w:rsidTr="00D01AF5">
        <w:tc>
          <w:tcPr>
            <w:tcW w:w="1178" w:type="pct"/>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Progressed</w:t>
            </w:r>
          </w:p>
        </w:tc>
        <w:tc>
          <w:tcPr>
            <w:tcW w:w="1056"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140/334 (41.9)</w:t>
            </w:r>
          </w:p>
        </w:tc>
        <w:tc>
          <w:tcPr>
            <w:tcW w:w="753"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205/334 (61.4)</w:t>
            </w:r>
          </w:p>
        </w:tc>
        <w:tc>
          <w:tcPr>
            <w:tcW w:w="587" w:type="pct"/>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w:t>
            </w:r>
          </w:p>
        </w:tc>
        <w:tc>
          <w:tcPr>
            <w:tcW w:w="1426" w:type="pct"/>
            <w:gridSpan w:val="2"/>
            <w:vMerge w:val="restart"/>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0.568 (0.457, 0.704)</w:t>
            </w:r>
          </w:p>
        </w:tc>
      </w:tr>
      <w:tr w:rsidR="00296BBE" w:rsidRPr="003E7C50" w:rsidTr="00D01AF5">
        <w:tc>
          <w:tcPr>
            <w:tcW w:w="1178" w:type="pct"/>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Median</w:t>
            </w:r>
            <w:r w:rsidR="00756A47" w:rsidRPr="003E7C50">
              <w:rPr>
                <w:lang w:val="en-AU"/>
              </w:rPr>
              <w:t xml:space="preserve"> </w:t>
            </w:r>
            <w:r w:rsidR="003955C9" w:rsidRPr="003E7C50">
              <w:rPr>
                <w:lang w:val="en-AU"/>
              </w:rPr>
              <w:t xml:space="preserve">(95% CI), </w:t>
            </w:r>
            <w:r w:rsidRPr="003E7C50">
              <w:rPr>
                <w:lang w:val="en-AU"/>
              </w:rPr>
              <w:t>months</w:t>
            </w:r>
          </w:p>
        </w:tc>
        <w:tc>
          <w:tcPr>
            <w:tcW w:w="1056"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25.3 (23.0, 30.3)</w:t>
            </w:r>
          </w:p>
        </w:tc>
        <w:tc>
          <w:tcPr>
            <w:tcW w:w="753"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16.0 (13.4,18.2)</w:t>
            </w:r>
          </w:p>
        </w:tc>
        <w:tc>
          <w:tcPr>
            <w:tcW w:w="587" w:type="pct"/>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9.3</w:t>
            </w:r>
          </w:p>
        </w:tc>
        <w:tc>
          <w:tcPr>
            <w:tcW w:w="1426" w:type="pct"/>
            <w:gridSpan w:val="2"/>
            <w:vMerge/>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p>
        </w:tc>
      </w:tr>
      <w:tr w:rsidR="002A4565" w:rsidRPr="003E7C50" w:rsidTr="003C78C1">
        <w:tc>
          <w:tcPr>
            <w:tcW w:w="5000" w:type="pct"/>
            <w:gridSpan w:val="8"/>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b/>
                <w:lang w:val="en-AU"/>
              </w:rPr>
              <w:t>OS Jan 2017 (MONALEESA-2)</w:t>
            </w:r>
          </w:p>
        </w:tc>
      </w:tr>
      <w:tr w:rsidR="00296BBE" w:rsidRPr="003E7C50" w:rsidTr="00D01AF5">
        <w:tc>
          <w:tcPr>
            <w:tcW w:w="1178" w:type="pct"/>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Died</w:t>
            </w:r>
          </w:p>
        </w:tc>
        <w:tc>
          <w:tcPr>
            <w:tcW w:w="1056"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50/334 (15.0)</w:t>
            </w:r>
          </w:p>
        </w:tc>
        <w:tc>
          <w:tcPr>
            <w:tcW w:w="753" w:type="pct"/>
            <w:gridSpan w:val="2"/>
            <w:tcBorders>
              <w:bottom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66/334 (19.8)</w:t>
            </w:r>
          </w:p>
        </w:tc>
        <w:tc>
          <w:tcPr>
            <w:tcW w:w="587" w:type="pct"/>
            <w:tcBorders>
              <w:bottom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w:t>
            </w:r>
          </w:p>
        </w:tc>
        <w:tc>
          <w:tcPr>
            <w:tcW w:w="1426" w:type="pct"/>
            <w:gridSpan w:val="2"/>
            <w:vMerge w:val="restart"/>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0.746 (0.517, 1.078)</w:t>
            </w:r>
          </w:p>
        </w:tc>
      </w:tr>
      <w:tr w:rsidR="00296BBE" w:rsidRPr="003E7C50" w:rsidTr="00D01AF5">
        <w:tc>
          <w:tcPr>
            <w:tcW w:w="1178" w:type="pct"/>
            <w:tcBorders>
              <w:top w:val="single" w:sz="4" w:space="0" w:color="auto"/>
            </w:tcBorders>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Median</w:t>
            </w:r>
            <w:r w:rsidR="003955C9" w:rsidRPr="003E7C50">
              <w:rPr>
                <w:lang w:val="en-AU"/>
              </w:rPr>
              <w:t>,</w:t>
            </w:r>
            <w:r w:rsidR="0032544E" w:rsidRPr="003E7C50">
              <w:rPr>
                <w:lang w:val="en-AU"/>
              </w:rPr>
              <w:t xml:space="preserve"> </w:t>
            </w:r>
            <w:r w:rsidRPr="003E7C50">
              <w:rPr>
                <w:lang w:val="en-AU"/>
              </w:rPr>
              <w:t>months</w:t>
            </w:r>
          </w:p>
        </w:tc>
        <w:tc>
          <w:tcPr>
            <w:tcW w:w="1056" w:type="pct"/>
            <w:gridSpan w:val="2"/>
            <w:tcBorders>
              <w:top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NR</w:t>
            </w:r>
          </w:p>
        </w:tc>
        <w:tc>
          <w:tcPr>
            <w:tcW w:w="753" w:type="pct"/>
            <w:gridSpan w:val="2"/>
            <w:tcBorders>
              <w:top w:val="single" w:sz="4" w:space="0" w:color="auto"/>
            </w:tcBorders>
            <w:shd w:val="clear" w:color="auto" w:fill="auto"/>
          </w:tcPr>
          <w:p w:rsidR="002A4565" w:rsidRPr="003E7C50" w:rsidRDefault="002A4565" w:rsidP="00E77CC2">
            <w:pPr>
              <w:pStyle w:val="TableText"/>
              <w:widowControl w:val="0"/>
              <w:spacing w:before="0" w:after="0"/>
              <w:rPr>
                <w:lang w:val="en-AU"/>
              </w:rPr>
            </w:pPr>
            <w:r w:rsidRPr="003E7C50">
              <w:rPr>
                <w:lang w:val="en-AU"/>
              </w:rPr>
              <w:t>NR</w:t>
            </w:r>
          </w:p>
        </w:tc>
        <w:tc>
          <w:tcPr>
            <w:tcW w:w="587" w:type="pct"/>
            <w:tcBorders>
              <w:top w:val="single" w:sz="4" w:space="0" w:color="auto"/>
            </w:tcBorders>
            <w:shd w:val="clear" w:color="auto" w:fill="auto"/>
            <w:vAlign w:val="center"/>
          </w:tcPr>
          <w:p w:rsidR="002A4565" w:rsidRPr="003E7C50" w:rsidRDefault="002A4565" w:rsidP="00E77CC2">
            <w:pPr>
              <w:pStyle w:val="TableText"/>
              <w:widowControl w:val="0"/>
              <w:spacing w:before="0" w:after="0"/>
              <w:jc w:val="both"/>
              <w:rPr>
                <w:rFonts w:asciiTheme="minorHAnsi" w:hAnsiTheme="minorHAnsi"/>
                <w:lang w:val="en-AU"/>
              </w:rPr>
            </w:pPr>
            <w:r w:rsidRPr="003E7C50">
              <w:rPr>
                <w:rFonts w:asciiTheme="minorHAnsi" w:hAnsiTheme="minorHAnsi"/>
                <w:lang w:val="en-AU"/>
              </w:rPr>
              <w:t>NR</w:t>
            </w:r>
          </w:p>
        </w:tc>
        <w:tc>
          <w:tcPr>
            <w:tcW w:w="1426" w:type="pct"/>
            <w:gridSpan w:val="2"/>
            <w:vMerge/>
            <w:shd w:val="clear" w:color="auto" w:fill="auto"/>
            <w:vAlign w:val="center"/>
          </w:tcPr>
          <w:p w:rsidR="002A4565" w:rsidRPr="003E7C50" w:rsidRDefault="002A4565" w:rsidP="00E77CC2">
            <w:pPr>
              <w:pStyle w:val="TableText"/>
              <w:widowControl w:val="0"/>
              <w:spacing w:before="0" w:after="0"/>
              <w:rPr>
                <w:lang w:val="en-AU"/>
              </w:rPr>
            </w:pPr>
          </w:p>
        </w:tc>
      </w:tr>
      <w:tr w:rsidR="002A4565" w:rsidRPr="003E7C50" w:rsidTr="003C78C1">
        <w:tc>
          <w:tcPr>
            <w:tcW w:w="5000" w:type="pct"/>
            <w:gridSpan w:val="8"/>
            <w:tcBorders>
              <w:top w:val="double" w:sz="4" w:space="0" w:color="auto"/>
            </w:tcBorders>
            <w:shd w:val="clear" w:color="auto" w:fill="auto"/>
            <w:vAlign w:val="center"/>
          </w:tcPr>
          <w:p w:rsidR="002A4565" w:rsidRPr="003E7C50" w:rsidRDefault="002A4565" w:rsidP="00E77CC2">
            <w:pPr>
              <w:pStyle w:val="TableText"/>
              <w:widowControl w:val="0"/>
              <w:spacing w:before="0" w:after="0"/>
              <w:rPr>
                <w:b/>
                <w:u w:val="single"/>
                <w:lang w:val="en-AU"/>
              </w:rPr>
            </w:pPr>
            <w:r w:rsidRPr="003E7C50">
              <w:rPr>
                <w:b/>
                <w:u w:val="single"/>
                <w:lang w:val="en-AU"/>
              </w:rPr>
              <w:t>Harms</w:t>
            </w:r>
          </w:p>
        </w:tc>
      </w:tr>
      <w:tr w:rsidR="00296BBE" w:rsidRPr="003E7C50" w:rsidTr="00013920">
        <w:trPr>
          <w:trHeight w:val="70"/>
        </w:trPr>
        <w:tc>
          <w:tcPr>
            <w:tcW w:w="1178" w:type="pct"/>
            <w:vMerge w:val="restart"/>
            <w:shd w:val="clear" w:color="auto" w:fill="auto"/>
            <w:vAlign w:val="center"/>
          </w:tcPr>
          <w:p w:rsidR="002A4565" w:rsidRPr="003E7C50" w:rsidRDefault="002A4565" w:rsidP="00E77CC2">
            <w:pPr>
              <w:pStyle w:val="TableText"/>
              <w:widowControl w:val="0"/>
              <w:spacing w:before="0" w:after="0"/>
              <w:rPr>
                <w:lang w:val="en-AU"/>
              </w:rPr>
            </w:pPr>
          </w:p>
        </w:tc>
        <w:tc>
          <w:tcPr>
            <w:tcW w:w="558" w:type="pct"/>
            <w:vMerge w:val="restart"/>
            <w:shd w:val="clear" w:color="auto" w:fill="auto"/>
            <w:vAlign w:val="center"/>
          </w:tcPr>
          <w:p w:rsidR="002A4565" w:rsidRPr="003E7C50" w:rsidRDefault="002A4565" w:rsidP="00E77CC2">
            <w:pPr>
              <w:pStyle w:val="TableText"/>
              <w:widowControl w:val="0"/>
              <w:spacing w:before="0" w:after="0"/>
              <w:rPr>
                <w:b/>
                <w:lang w:val="en-AU"/>
              </w:rPr>
            </w:pPr>
            <w:proofErr w:type="spellStart"/>
            <w:r w:rsidRPr="003E7C50">
              <w:rPr>
                <w:b/>
                <w:lang w:val="en-AU"/>
              </w:rPr>
              <w:t>Ribociclib</w:t>
            </w:r>
            <w:proofErr w:type="spellEnd"/>
            <w:r w:rsidRPr="003E7C50">
              <w:rPr>
                <w:b/>
                <w:lang w:val="en-AU"/>
              </w:rPr>
              <w:t xml:space="preserve"> + </w:t>
            </w:r>
            <w:proofErr w:type="spellStart"/>
            <w:r w:rsidRPr="003E7C50">
              <w:rPr>
                <w:b/>
                <w:lang w:val="en-AU"/>
              </w:rPr>
              <w:t>letrozole</w:t>
            </w:r>
            <w:proofErr w:type="spellEnd"/>
          </w:p>
        </w:tc>
        <w:tc>
          <w:tcPr>
            <w:tcW w:w="507" w:type="pct"/>
            <w:gridSpan w:val="2"/>
            <w:vMerge w:val="restart"/>
            <w:shd w:val="clear" w:color="auto" w:fill="auto"/>
            <w:vAlign w:val="center"/>
          </w:tcPr>
          <w:p w:rsidR="002A4565" w:rsidRPr="003E7C50" w:rsidRDefault="002A4565" w:rsidP="00E77CC2">
            <w:pPr>
              <w:pStyle w:val="TableText"/>
              <w:widowControl w:val="0"/>
              <w:spacing w:before="0" w:after="0"/>
              <w:rPr>
                <w:b/>
                <w:lang w:val="en-AU"/>
              </w:rPr>
            </w:pPr>
            <w:proofErr w:type="spellStart"/>
            <w:r w:rsidRPr="003E7C50">
              <w:rPr>
                <w:b/>
                <w:lang w:val="en-AU"/>
              </w:rPr>
              <w:t>Letrozole</w:t>
            </w:r>
            <w:proofErr w:type="spellEnd"/>
          </w:p>
        </w:tc>
        <w:tc>
          <w:tcPr>
            <w:tcW w:w="744" w:type="pct"/>
            <w:vMerge w:val="restart"/>
            <w:shd w:val="clear" w:color="auto" w:fill="auto"/>
            <w:vAlign w:val="center"/>
          </w:tcPr>
          <w:p w:rsidR="002A4565" w:rsidRPr="003E7C50" w:rsidRDefault="002A4565" w:rsidP="00E77CC2">
            <w:pPr>
              <w:pStyle w:val="TableText"/>
              <w:widowControl w:val="0"/>
              <w:spacing w:before="0" w:after="0"/>
              <w:rPr>
                <w:b/>
                <w:lang w:val="en-AU"/>
              </w:rPr>
            </w:pPr>
            <w:r w:rsidRPr="003E7C50">
              <w:rPr>
                <w:b/>
                <w:lang w:val="en-AU"/>
              </w:rPr>
              <w:t>RR</w:t>
            </w:r>
          </w:p>
          <w:p w:rsidR="002A4565" w:rsidRPr="003E7C50" w:rsidRDefault="002A4565" w:rsidP="00E77CC2">
            <w:pPr>
              <w:pStyle w:val="TableText"/>
              <w:widowControl w:val="0"/>
              <w:spacing w:before="0" w:after="0"/>
              <w:rPr>
                <w:b/>
                <w:lang w:val="en-AU"/>
              </w:rPr>
            </w:pPr>
            <w:r w:rsidRPr="003E7C50">
              <w:rPr>
                <w:b/>
                <w:lang w:val="en-AU"/>
              </w:rPr>
              <w:t>(95% CI)</w:t>
            </w:r>
          </w:p>
        </w:tc>
        <w:tc>
          <w:tcPr>
            <w:tcW w:w="1079" w:type="pct"/>
            <w:gridSpan w:val="2"/>
            <w:shd w:val="clear" w:color="auto" w:fill="auto"/>
            <w:vAlign w:val="center"/>
          </w:tcPr>
          <w:p w:rsidR="002A4565" w:rsidRPr="003E7C50" w:rsidRDefault="00013920" w:rsidP="00E77CC2">
            <w:pPr>
              <w:pStyle w:val="TableText"/>
              <w:widowControl w:val="0"/>
              <w:spacing w:before="0" w:after="0"/>
              <w:rPr>
                <w:b/>
                <w:lang w:val="en-AU"/>
              </w:rPr>
            </w:pPr>
            <w:r w:rsidRPr="003E7C50">
              <w:rPr>
                <w:b/>
                <w:lang w:val="en-AU"/>
              </w:rPr>
              <w:t>Events/100 patients</w:t>
            </w:r>
          </w:p>
        </w:tc>
        <w:tc>
          <w:tcPr>
            <w:tcW w:w="934" w:type="pct"/>
            <w:vMerge w:val="restart"/>
            <w:shd w:val="clear" w:color="auto" w:fill="auto"/>
            <w:vAlign w:val="center"/>
          </w:tcPr>
          <w:p w:rsidR="002A4565" w:rsidRPr="003E7C50" w:rsidRDefault="002A4565" w:rsidP="00E77CC2">
            <w:pPr>
              <w:pStyle w:val="TableText"/>
              <w:widowControl w:val="0"/>
              <w:spacing w:before="0" w:after="0"/>
              <w:rPr>
                <w:b/>
                <w:lang w:val="en-AU"/>
              </w:rPr>
            </w:pPr>
            <w:r w:rsidRPr="003E7C50">
              <w:rPr>
                <w:b/>
                <w:lang w:val="en-AU"/>
              </w:rPr>
              <w:t>RD</w:t>
            </w:r>
          </w:p>
          <w:p w:rsidR="002A4565" w:rsidRPr="003E7C50" w:rsidRDefault="002A4565" w:rsidP="00E77CC2">
            <w:pPr>
              <w:pStyle w:val="TableText"/>
              <w:widowControl w:val="0"/>
              <w:spacing w:before="0" w:after="0"/>
              <w:rPr>
                <w:b/>
                <w:lang w:val="en-AU"/>
              </w:rPr>
            </w:pPr>
            <w:r w:rsidRPr="003E7C50">
              <w:rPr>
                <w:b/>
                <w:lang w:val="en-AU"/>
              </w:rPr>
              <w:t>(95% CI)</w:t>
            </w:r>
          </w:p>
        </w:tc>
      </w:tr>
      <w:tr w:rsidR="00296BBE" w:rsidRPr="003E7C50" w:rsidTr="00D01AF5">
        <w:trPr>
          <w:trHeight w:val="390"/>
        </w:trPr>
        <w:tc>
          <w:tcPr>
            <w:tcW w:w="1178" w:type="pct"/>
            <w:vMerge/>
            <w:shd w:val="clear" w:color="auto" w:fill="auto"/>
            <w:vAlign w:val="center"/>
          </w:tcPr>
          <w:p w:rsidR="002A4565" w:rsidRPr="003E7C50" w:rsidRDefault="002A4565" w:rsidP="00E77CC2">
            <w:pPr>
              <w:pStyle w:val="TableText"/>
              <w:widowControl w:val="0"/>
              <w:spacing w:before="0" w:after="0"/>
              <w:rPr>
                <w:lang w:val="en-AU"/>
              </w:rPr>
            </w:pPr>
          </w:p>
        </w:tc>
        <w:tc>
          <w:tcPr>
            <w:tcW w:w="558" w:type="pct"/>
            <w:vMerge/>
            <w:shd w:val="clear" w:color="auto" w:fill="auto"/>
            <w:vAlign w:val="center"/>
          </w:tcPr>
          <w:p w:rsidR="002A4565" w:rsidRPr="003E7C50" w:rsidRDefault="002A4565" w:rsidP="00E77CC2">
            <w:pPr>
              <w:pStyle w:val="TableText"/>
              <w:widowControl w:val="0"/>
              <w:spacing w:before="0" w:after="0"/>
              <w:rPr>
                <w:lang w:val="en-AU"/>
              </w:rPr>
            </w:pPr>
          </w:p>
        </w:tc>
        <w:tc>
          <w:tcPr>
            <w:tcW w:w="507" w:type="pct"/>
            <w:gridSpan w:val="2"/>
            <w:vMerge/>
            <w:shd w:val="clear" w:color="auto" w:fill="auto"/>
            <w:vAlign w:val="center"/>
          </w:tcPr>
          <w:p w:rsidR="002A4565" w:rsidRPr="003E7C50" w:rsidRDefault="002A4565" w:rsidP="00E77CC2">
            <w:pPr>
              <w:pStyle w:val="TableText"/>
              <w:widowControl w:val="0"/>
              <w:spacing w:before="0" w:after="0"/>
              <w:rPr>
                <w:lang w:val="en-AU"/>
              </w:rPr>
            </w:pPr>
          </w:p>
        </w:tc>
        <w:tc>
          <w:tcPr>
            <w:tcW w:w="744" w:type="pct"/>
            <w:vMerge/>
            <w:shd w:val="clear" w:color="auto" w:fill="auto"/>
            <w:vAlign w:val="center"/>
          </w:tcPr>
          <w:p w:rsidR="002A4565" w:rsidRPr="003E7C50" w:rsidRDefault="002A4565" w:rsidP="00E77CC2">
            <w:pPr>
              <w:pStyle w:val="TableText"/>
              <w:widowControl w:val="0"/>
              <w:spacing w:before="0" w:after="0"/>
              <w:rPr>
                <w:lang w:val="en-AU"/>
              </w:rPr>
            </w:pPr>
          </w:p>
        </w:tc>
        <w:tc>
          <w:tcPr>
            <w:tcW w:w="587" w:type="pct"/>
            <w:shd w:val="clear" w:color="auto" w:fill="auto"/>
            <w:vAlign w:val="center"/>
          </w:tcPr>
          <w:p w:rsidR="002A4565" w:rsidRPr="003E7C50" w:rsidRDefault="002A4565" w:rsidP="00E77CC2">
            <w:pPr>
              <w:pStyle w:val="TableText"/>
              <w:widowControl w:val="0"/>
              <w:spacing w:before="0" w:after="0"/>
              <w:rPr>
                <w:b/>
                <w:lang w:val="en-AU"/>
              </w:rPr>
            </w:pPr>
            <w:proofErr w:type="spellStart"/>
            <w:r w:rsidRPr="003E7C50">
              <w:rPr>
                <w:b/>
                <w:lang w:val="en-AU"/>
              </w:rPr>
              <w:t>Ribociclib</w:t>
            </w:r>
            <w:proofErr w:type="spellEnd"/>
            <w:r w:rsidRPr="003E7C50">
              <w:rPr>
                <w:b/>
                <w:lang w:val="en-AU"/>
              </w:rPr>
              <w:t xml:space="preserve"> + </w:t>
            </w:r>
            <w:proofErr w:type="spellStart"/>
            <w:r w:rsidRPr="003E7C50">
              <w:rPr>
                <w:b/>
                <w:lang w:val="en-AU"/>
              </w:rPr>
              <w:t>letrozole</w:t>
            </w:r>
            <w:proofErr w:type="spellEnd"/>
          </w:p>
        </w:tc>
        <w:tc>
          <w:tcPr>
            <w:tcW w:w="492" w:type="pct"/>
            <w:shd w:val="clear" w:color="auto" w:fill="auto"/>
            <w:vAlign w:val="center"/>
          </w:tcPr>
          <w:p w:rsidR="002A4565" w:rsidRPr="003E7C50" w:rsidRDefault="002A4565" w:rsidP="00E77CC2">
            <w:pPr>
              <w:pStyle w:val="TableText"/>
              <w:widowControl w:val="0"/>
              <w:spacing w:before="0" w:after="0"/>
              <w:rPr>
                <w:b/>
                <w:lang w:val="en-AU"/>
              </w:rPr>
            </w:pPr>
            <w:proofErr w:type="spellStart"/>
            <w:r w:rsidRPr="003E7C50">
              <w:rPr>
                <w:b/>
                <w:lang w:val="en-AU"/>
              </w:rPr>
              <w:t>Letrozole</w:t>
            </w:r>
            <w:proofErr w:type="spellEnd"/>
          </w:p>
        </w:tc>
        <w:tc>
          <w:tcPr>
            <w:tcW w:w="934" w:type="pct"/>
            <w:vMerge/>
            <w:shd w:val="clear" w:color="auto" w:fill="auto"/>
            <w:vAlign w:val="center"/>
          </w:tcPr>
          <w:p w:rsidR="002A4565" w:rsidRPr="003E7C50" w:rsidRDefault="002A4565" w:rsidP="00E77CC2">
            <w:pPr>
              <w:pStyle w:val="TableText"/>
              <w:widowControl w:val="0"/>
              <w:spacing w:before="0" w:after="0"/>
              <w:rPr>
                <w:lang w:val="en-AU"/>
              </w:rPr>
            </w:pPr>
          </w:p>
        </w:tc>
      </w:tr>
      <w:tr w:rsidR="002A4565" w:rsidRPr="003E7C50" w:rsidTr="003C78C1">
        <w:tc>
          <w:tcPr>
            <w:tcW w:w="5000" w:type="pct"/>
            <w:gridSpan w:val="8"/>
            <w:shd w:val="clear" w:color="auto" w:fill="auto"/>
            <w:vAlign w:val="center"/>
          </w:tcPr>
          <w:p w:rsidR="002A4565" w:rsidRPr="003E7C50" w:rsidRDefault="006F37B5" w:rsidP="00E77CC2">
            <w:pPr>
              <w:pStyle w:val="TableText"/>
              <w:widowControl w:val="0"/>
              <w:spacing w:before="0" w:after="0"/>
              <w:rPr>
                <w:b/>
                <w:lang w:val="en-AU"/>
              </w:rPr>
            </w:pPr>
            <w:r w:rsidRPr="003E7C50">
              <w:rPr>
                <w:b/>
                <w:lang w:val="en-AU"/>
              </w:rPr>
              <w:t>G</w:t>
            </w:r>
            <w:r w:rsidR="002A4565" w:rsidRPr="003E7C50">
              <w:rPr>
                <w:b/>
                <w:lang w:val="en-AU"/>
              </w:rPr>
              <w:t>rade</w:t>
            </w:r>
            <w:r w:rsidRPr="003E7C50">
              <w:rPr>
                <w:b/>
                <w:lang w:val="en-AU"/>
              </w:rPr>
              <w:sym w:font="Symbol" w:char="F0B3"/>
            </w:r>
            <w:r w:rsidR="002A4565" w:rsidRPr="003E7C50">
              <w:rPr>
                <w:b/>
                <w:lang w:val="en-AU"/>
              </w:rPr>
              <w:t>3 AE</w:t>
            </w:r>
          </w:p>
        </w:tc>
      </w:tr>
      <w:tr w:rsidR="00473C7B" w:rsidRPr="003E7C50" w:rsidTr="00D01AF5">
        <w:tc>
          <w:tcPr>
            <w:tcW w:w="1178" w:type="pct"/>
            <w:shd w:val="clear" w:color="auto" w:fill="auto"/>
            <w:vAlign w:val="center"/>
          </w:tcPr>
          <w:p w:rsidR="00473C7B" w:rsidRPr="003E7C50" w:rsidRDefault="00473C7B" w:rsidP="00E77CC2">
            <w:pPr>
              <w:pStyle w:val="TableText"/>
              <w:widowControl w:val="0"/>
              <w:spacing w:before="0" w:after="0"/>
              <w:rPr>
                <w:lang w:val="en-AU"/>
              </w:rPr>
            </w:pPr>
            <w:r w:rsidRPr="003E7C50">
              <w:rPr>
                <w:lang w:val="en-AU"/>
              </w:rPr>
              <w:t>MONALEESA-2 Jun 2016</w:t>
            </w:r>
          </w:p>
        </w:tc>
        <w:tc>
          <w:tcPr>
            <w:tcW w:w="558" w:type="pct"/>
            <w:shd w:val="clear" w:color="auto" w:fill="auto"/>
            <w:vAlign w:val="center"/>
          </w:tcPr>
          <w:p w:rsidR="00473C7B" w:rsidRPr="00B235DF" w:rsidRDefault="00B235DF" w:rsidP="00E77CC2">
            <w:pPr>
              <w:pStyle w:val="TableText"/>
              <w:widowControl w:val="0"/>
              <w:spacing w:before="0" w:after="0"/>
              <w:rPr>
                <w:highlight w:val="black"/>
                <w:lang w:val="en-AU"/>
              </w:rPr>
            </w:pPr>
            <w:r>
              <w:rPr>
                <w:noProof/>
                <w:color w:val="000000"/>
                <w:highlight w:val="black"/>
                <w:lang w:val="en-AU"/>
              </w:rPr>
              <w:t>''''''''''''''''''</w:t>
            </w:r>
            <w:r w:rsidR="00473C7B" w:rsidRPr="00B235DF">
              <w:rPr>
                <w:highlight w:val="black"/>
                <w:lang w:val="en-AU"/>
              </w:rPr>
              <w:t xml:space="preserve"> </w:t>
            </w:r>
          </w:p>
        </w:tc>
        <w:tc>
          <w:tcPr>
            <w:tcW w:w="507" w:type="pct"/>
            <w:gridSpan w:val="2"/>
            <w:shd w:val="clear" w:color="auto" w:fill="auto"/>
            <w:vAlign w:val="center"/>
          </w:tcPr>
          <w:p w:rsidR="00473C7B" w:rsidRPr="003E7C50" w:rsidRDefault="00B235DF" w:rsidP="00E77CC2">
            <w:pPr>
              <w:pStyle w:val="TableText"/>
              <w:widowControl w:val="0"/>
              <w:spacing w:before="0" w:after="0"/>
              <w:rPr>
                <w:lang w:val="en-AU"/>
              </w:rPr>
            </w:pPr>
            <w:r>
              <w:rPr>
                <w:i/>
                <w:noProof/>
                <w:color w:val="000000"/>
                <w:highlight w:val="black"/>
                <w:lang w:val="en-AU"/>
              </w:rPr>
              <w:t>'''''''''</w:t>
            </w:r>
            <w:r>
              <w:rPr>
                <w:noProof/>
                <w:color w:val="000000"/>
                <w:highlight w:val="black"/>
                <w:lang w:val="en-AU"/>
              </w:rPr>
              <w:t>'''''''''''</w:t>
            </w:r>
            <w:r w:rsidR="00473C7B" w:rsidRPr="003E7C50">
              <w:rPr>
                <w:lang w:val="en-AU"/>
              </w:rPr>
              <w:t xml:space="preserve"> </w:t>
            </w:r>
          </w:p>
        </w:tc>
        <w:tc>
          <w:tcPr>
            <w:tcW w:w="744" w:type="pct"/>
            <w:shd w:val="clear" w:color="auto" w:fill="auto"/>
            <w:vAlign w:val="center"/>
          </w:tcPr>
          <w:p w:rsidR="00473C7B" w:rsidRPr="00B235DF" w:rsidRDefault="00B235DF" w:rsidP="00E77CC2">
            <w:pPr>
              <w:pStyle w:val="TableText"/>
              <w:widowControl w:val="0"/>
              <w:spacing w:before="0" w:after="0"/>
              <w:rPr>
                <w:i/>
                <w:highlight w:val="black"/>
                <w:lang w:val="en-AU"/>
              </w:rPr>
            </w:pPr>
            <w:r>
              <w:rPr>
                <w:i/>
                <w:noProof/>
                <w:color w:val="000000"/>
                <w:highlight w:val="black"/>
                <w:lang w:val="en-AU"/>
              </w:rPr>
              <w:t>''''''''''''' '''''''''''''''' '''''''''''''''''</w:t>
            </w:r>
          </w:p>
        </w:tc>
        <w:tc>
          <w:tcPr>
            <w:tcW w:w="587" w:type="pct"/>
            <w:shd w:val="clear" w:color="auto" w:fill="auto"/>
            <w:vAlign w:val="center"/>
          </w:tcPr>
          <w:p w:rsidR="00473C7B" w:rsidRPr="00B235DF" w:rsidRDefault="00B235DF" w:rsidP="00E77CC2">
            <w:pPr>
              <w:pStyle w:val="TableText"/>
              <w:widowControl w:val="0"/>
              <w:spacing w:before="0" w:after="0"/>
              <w:rPr>
                <w:i/>
                <w:highlight w:val="black"/>
                <w:lang w:val="en-AU"/>
              </w:rPr>
            </w:pPr>
            <w:r>
              <w:rPr>
                <w:i/>
                <w:noProof/>
                <w:color w:val="000000"/>
                <w:highlight w:val="black"/>
                <w:lang w:val="en-AU"/>
              </w:rPr>
              <w:t>'''''''''''</w:t>
            </w:r>
          </w:p>
        </w:tc>
        <w:tc>
          <w:tcPr>
            <w:tcW w:w="492" w:type="pct"/>
            <w:shd w:val="clear" w:color="auto" w:fill="auto"/>
            <w:vAlign w:val="center"/>
          </w:tcPr>
          <w:p w:rsidR="00473C7B" w:rsidRPr="00B235DF" w:rsidRDefault="00B235DF" w:rsidP="00E77CC2">
            <w:pPr>
              <w:pStyle w:val="TableText"/>
              <w:widowControl w:val="0"/>
              <w:spacing w:before="0" w:after="0"/>
              <w:rPr>
                <w:i/>
                <w:highlight w:val="black"/>
                <w:lang w:val="en-AU"/>
              </w:rPr>
            </w:pPr>
            <w:r>
              <w:rPr>
                <w:i/>
                <w:noProof/>
                <w:color w:val="000000"/>
                <w:szCs w:val="20"/>
                <w:highlight w:val="black"/>
                <w:lang w:val="en-AU"/>
              </w:rPr>
              <w:t>''''''''''</w:t>
            </w:r>
          </w:p>
        </w:tc>
        <w:tc>
          <w:tcPr>
            <w:tcW w:w="934" w:type="pct"/>
            <w:shd w:val="clear" w:color="auto" w:fill="auto"/>
            <w:vAlign w:val="center"/>
          </w:tcPr>
          <w:p w:rsidR="00473C7B" w:rsidRPr="00B235DF" w:rsidRDefault="00B235DF" w:rsidP="00E77CC2">
            <w:pPr>
              <w:pStyle w:val="TableText"/>
              <w:widowControl w:val="0"/>
              <w:spacing w:before="0" w:after="0"/>
              <w:rPr>
                <w:i/>
                <w:highlight w:val="black"/>
                <w:lang w:val="en-AU"/>
              </w:rPr>
            </w:pPr>
            <w:r>
              <w:rPr>
                <w:noProof/>
                <w:color w:val="000000"/>
                <w:szCs w:val="20"/>
                <w:highlight w:val="black"/>
                <w:lang w:val="en-AU"/>
              </w:rPr>
              <w:t>'''''' '''''''''' ''''''''</w:t>
            </w:r>
          </w:p>
        </w:tc>
      </w:tr>
      <w:tr w:rsidR="002A4565" w:rsidRPr="003E7C50" w:rsidTr="003C78C1">
        <w:tc>
          <w:tcPr>
            <w:tcW w:w="5000" w:type="pct"/>
            <w:gridSpan w:val="8"/>
            <w:shd w:val="clear" w:color="auto" w:fill="auto"/>
            <w:vAlign w:val="center"/>
          </w:tcPr>
          <w:p w:rsidR="002A4565" w:rsidRPr="003E7C50" w:rsidRDefault="002A4565" w:rsidP="006D1280">
            <w:pPr>
              <w:pStyle w:val="TableText"/>
              <w:widowControl w:val="0"/>
              <w:spacing w:before="0" w:after="0"/>
              <w:rPr>
                <w:b/>
                <w:lang w:val="en-AU"/>
              </w:rPr>
            </w:pPr>
            <w:r w:rsidRPr="003E7C50">
              <w:rPr>
                <w:b/>
                <w:lang w:val="en-AU"/>
              </w:rPr>
              <w:t>Neutropenia</w:t>
            </w:r>
          </w:p>
        </w:tc>
      </w:tr>
      <w:tr w:rsidR="00296BBE" w:rsidRPr="003E7C50" w:rsidTr="00D01AF5">
        <w:tc>
          <w:tcPr>
            <w:tcW w:w="1178" w:type="pct"/>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MONALEESA-2 Jun 2016</w:t>
            </w:r>
          </w:p>
        </w:tc>
        <w:tc>
          <w:tcPr>
            <w:tcW w:w="558" w:type="pct"/>
            <w:shd w:val="clear" w:color="auto" w:fill="auto"/>
            <w:vAlign w:val="center"/>
          </w:tcPr>
          <w:p w:rsidR="002A4565" w:rsidRPr="00B235DF" w:rsidRDefault="00B235DF" w:rsidP="00E77CC2">
            <w:pPr>
              <w:pStyle w:val="TableText"/>
              <w:widowControl w:val="0"/>
              <w:spacing w:before="0" w:after="0"/>
              <w:rPr>
                <w:highlight w:val="black"/>
                <w:lang w:val="en-AU"/>
              </w:rPr>
            </w:pPr>
            <w:r>
              <w:rPr>
                <w:noProof/>
                <w:color w:val="000000"/>
                <w:highlight w:val="black"/>
                <w:lang w:val="en-AU"/>
              </w:rPr>
              <w:t>''''''''''''''''''''</w:t>
            </w:r>
          </w:p>
        </w:tc>
        <w:tc>
          <w:tcPr>
            <w:tcW w:w="507" w:type="pct"/>
            <w:gridSpan w:val="2"/>
            <w:shd w:val="clear" w:color="auto" w:fill="auto"/>
            <w:vAlign w:val="center"/>
          </w:tcPr>
          <w:p w:rsidR="002A4565" w:rsidRPr="00B235DF" w:rsidRDefault="00B235DF" w:rsidP="00E77CC2">
            <w:pPr>
              <w:pStyle w:val="TableText"/>
              <w:widowControl w:val="0"/>
              <w:spacing w:before="0" w:after="0"/>
              <w:rPr>
                <w:highlight w:val="black"/>
                <w:lang w:val="en-AU"/>
              </w:rPr>
            </w:pPr>
            <w:r>
              <w:rPr>
                <w:noProof/>
                <w:color w:val="000000"/>
                <w:highlight w:val="black"/>
                <w:lang w:val="en-AU"/>
              </w:rPr>
              <w:t>'''''''''''''''</w:t>
            </w:r>
          </w:p>
        </w:tc>
        <w:tc>
          <w:tcPr>
            <w:tcW w:w="744" w:type="pct"/>
            <w:shd w:val="clear" w:color="auto" w:fill="auto"/>
            <w:vAlign w:val="center"/>
          </w:tcPr>
          <w:p w:rsidR="002A4565" w:rsidRPr="00B235DF" w:rsidRDefault="00B235DF" w:rsidP="00E77CC2">
            <w:pPr>
              <w:pStyle w:val="TableText"/>
              <w:widowControl w:val="0"/>
              <w:spacing w:before="0" w:after="0"/>
              <w:rPr>
                <w:i/>
                <w:highlight w:val="black"/>
                <w:lang w:val="en-AU"/>
              </w:rPr>
            </w:pPr>
            <w:r>
              <w:rPr>
                <w:i/>
                <w:noProof/>
                <w:color w:val="000000"/>
                <w:highlight w:val="black"/>
                <w:lang w:val="en-AU"/>
              </w:rPr>
              <w:t>'''''''''''''''''' '''''''''''''''''' '''''''''''''''''</w:t>
            </w:r>
          </w:p>
        </w:tc>
        <w:tc>
          <w:tcPr>
            <w:tcW w:w="587" w:type="pct"/>
            <w:shd w:val="clear" w:color="auto" w:fill="auto"/>
            <w:vAlign w:val="center"/>
          </w:tcPr>
          <w:p w:rsidR="002A4565" w:rsidRPr="00B235DF" w:rsidRDefault="00B235DF" w:rsidP="00E77CC2">
            <w:pPr>
              <w:pStyle w:val="TableText"/>
              <w:widowControl w:val="0"/>
              <w:spacing w:before="0" w:after="0"/>
              <w:rPr>
                <w:highlight w:val="black"/>
                <w:lang w:val="en-AU"/>
              </w:rPr>
            </w:pPr>
            <w:r>
              <w:rPr>
                <w:noProof/>
                <w:color w:val="000000"/>
                <w:highlight w:val="black"/>
                <w:lang w:val="en-AU"/>
              </w:rPr>
              <w:t>''''''''''</w:t>
            </w:r>
          </w:p>
        </w:tc>
        <w:tc>
          <w:tcPr>
            <w:tcW w:w="492" w:type="pct"/>
            <w:shd w:val="clear" w:color="auto" w:fill="auto"/>
            <w:vAlign w:val="center"/>
          </w:tcPr>
          <w:p w:rsidR="002A4565" w:rsidRPr="00B235DF" w:rsidRDefault="00B235DF" w:rsidP="00E77CC2">
            <w:pPr>
              <w:pStyle w:val="TableText"/>
              <w:widowControl w:val="0"/>
              <w:spacing w:before="0" w:after="0"/>
              <w:rPr>
                <w:highlight w:val="black"/>
                <w:lang w:val="en-AU"/>
              </w:rPr>
            </w:pPr>
            <w:r>
              <w:rPr>
                <w:noProof/>
                <w:color w:val="000000"/>
                <w:highlight w:val="black"/>
                <w:lang w:val="en-AU"/>
              </w:rPr>
              <w:t>''''''''</w:t>
            </w:r>
          </w:p>
        </w:tc>
        <w:tc>
          <w:tcPr>
            <w:tcW w:w="934" w:type="pct"/>
            <w:shd w:val="clear" w:color="auto" w:fill="auto"/>
            <w:vAlign w:val="center"/>
          </w:tcPr>
          <w:p w:rsidR="002A4565" w:rsidRPr="00B235DF" w:rsidRDefault="00B235DF" w:rsidP="00E77CC2">
            <w:pPr>
              <w:pStyle w:val="TableText"/>
              <w:widowControl w:val="0"/>
              <w:spacing w:before="0" w:after="0"/>
              <w:rPr>
                <w:highlight w:val="black"/>
                <w:lang w:val="en-AU"/>
              </w:rPr>
            </w:pPr>
            <w:r>
              <w:rPr>
                <w:noProof/>
                <w:color w:val="000000"/>
                <w:highlight w:val="black"/>
                <w:lang w:val="en-AU"/>
              </w:rPr>
              <w:t>''''''' '''''''''' '''''''</w:t>
            </w:r>
          </w:p>
        </w:tc>
      </w:tr>
      <w:tr w:rsidR="00013920" w:rsidRPr="003E7C50" w:rsidTr="00013920">
        <w:tc>
          <w:tcPr>
            <w:tcW w:w="5000" w:type="pct"/>
            <w:gridSpan w:val="8"/>
            <w:shd w:val="clear" w:color="auto" w:fill="auto"/>
            <w:vAlign w:val="center"/>
          </w:tcPr>
          <w:p w:rsidR="00013920" w:rsidRPr="003E7C50" w:rsidRDefault="00013920" w:rsidP="00E77CC2">
            <w:pPr>
              <w:pStyle w:val="TableText"/>
              <w:widowControl w:val="0"/>
              <w:spacing w:before="0" w:after="0"/>
              <w:rPr>
                <w:i/>
                <w:lang w:val="en-AU"/>
              </w:rPr>
            </w:pPr>
            <w:r w:rsidRPr="003E7C50">
              <w:rPr>
                <w:b/>
                <w:i/>
                <w:lang w:val="en-AU"/>
              </w:rPr>
              <w:t>Grade</w:t>
            </w:r>
            <w:r w:rsidRPr="003E7C50">
              <w:rPr>
                <w:b/>
                <w:i/>
                <w:lang w:val="en-AU"/>
              </w:rPr>
              <w:sym w:font="Symbol" w:char="F0B3"/>
            </w:r>
            <w:r w:rsidRPr="003E7C50">
              <w:rPr>
                <w:b/>
                <w:i/>
                <w:lang w:val="en-AU"/>
              </w:rPr>
              <w:t>3  neutropenia</w:t>
            </w:r>
          </w:p>
        </w:tc>
      </w:tr>
      <w:tr w:rsidR="00D01AF5" w:rsidRPr="003E7C50" w:rsidTr="00D01AF5">
        <w:trPr>
          <w:trHeight w:val="431"/>
        </w:trPr>
        <w:tc>
          <w:tcPr>
            <w:tcW w:w="1178" w:type="pct"/>
            <w:shd w:val="clear" w:color="auto" w:fill="auto"/>
            <w:vAlign w:val="center"/>
          </w:tcPr>
          <w:p w:rsidR="00D01AF5" w:rsidRPr="003E7C50" w:rsidRDefault="00D01AF5" w:rsidP="00E77CC2">
            <w:pPr>
              <w:pStyle w:val="TableText"/>
              <w:widowControl w:val="0"/>
              <w:spacing w:before="0" w:after="0"/>
              <w:rPr>
                <w:i/>
                <w:lang w:val="en-AU"/>
              </w:rPr>
            </w:pPr>
            <w:r w:rsidRPr="003E7C50">
              <w:rPr>
                <w:i/>
                <w:lang w:val="en-AU"/>
              </w:rPr>
              <w:t>MONALEESA-2 Jun 2016</w:t>
            </w:r>
          </w:p>
        </w:tc>
        <w:tc>
          <w:tcPr>
            <w:tcW w:w="558" w:type="pct"/>
            <w:shd w:val="clear" w:color="auto" w:fill="auto"/>
            <w:vAlign w:val="center"/>
          </w:tcPr>
          <w:p w:rsidR="00D01AF5" w:rsidRPr="00B235DF" w:rsidRDefault="00B235DF" w:rsidP="00E77CC2">
            <w:pPr>
              <w:pStyle w:val="TableText"/>
              <w:widowControl w:val="0"/>
              <w:spacing w:before="0" w:after="0"/>
              <w:rPr>
                <w:i/>
                <w:highlight w:val="black"/>
                <w:lang w:val="en-AU"/>
              </w:rPr>
            </w:pPr>
            <w:r>
              <w:rPr>
                <w:i/>
                <w:noProof/>
                <w:color w:val="000000"/>
                <w:highlight w:val="black"/>
                <w:lang w:val="en-AU"/>
              </w:rPr>
              <w:t>'''''''''''''''''''''</w:t>
            </w:r>
          </w:p>
        </w:tc>
        <w:tc>
          <w:tcPr>
            <w:tcW w:w="507" w:type="pct"/>
            <w:gridSpan w:val="2"/>
            <w:shd w:val="clear" w:color="auto" w:fill="auto"/>
            <w:vAlign w:val="center"/>
          </w:tcPr>
          <w:p w:rsidR="00D01AF5" w:rsidRPr="00B235DF" w:rsidRDefault="00B235DF" w:rsidP="00E77CC2">
            <w:pPr>
              <w:pStyle w:val="TableText"/>
              <w:widowControl w:val="0"/>
              <w:spacing w:before="0" w:after="0"/>
              <w:rPr>
                <w:i/>
                <w:highlight w:val="black"/>
                <w:lang w:val="en-AU"/>
              </w:rPr>
            </w:pPr>
            <w:r>
              <w:rPr>
                <w:i/>
                <w:noProof/>
                <w:color w:val="000000"/>
                <w:highlight w:val="black"/>
                <w:lang w:val="en-AU"/>
              </w:rPr>
              <w:t>'''''''''''''</w:t>
            </w:r>
          </w:p>
        </w:tc>
        <w:tc>
          <w:tcPr>
            <w:tcW w:w="744" w:type="pct"/>
            <w:shd w:val="clear" w:color="auto" w:fill="auto"/>
            <w:vAlign w:val="center"/>
          </w:tcPr>
          <w:p w:rsidR="00D01AF5" w:rsidRPr="00B235DF" w:rsidRDefault="00B235DF" w:rsidP="00E77CC2">
            <w:pPr>
              <w:pStyle w:val="TableText"/>
              <w:widowControl w:val="0"/>
              <w:spacing w:before="0" w:after="0"/>
              <w:rPr>
                <w:i/>
                <w:highlight w:val="black"/>
                <w:lang w:val="en-AU"/>
              </w:rPr>
            </w:pPr>
            <w:r>
              <w:rPr>
                <w:i/>
                <w:noProof/>
                <w:color w:val="000000"/>
                <w:highlight w:val="black"/>
                <w:lang w:val="en-AU"/>
              </w:rPr>
              <w:t>''''''''''''''' '''''''''''''''''''' ''''''''''''''''''''''</w:t>
            </w:r>
          </w:p>
        </w:tc>
        <w:tc>
          <w:tcPr>
            <w:tcW w:w="587" w:type="pct"/>
            <w:shd w:val="clear" w:color="auto" w:fill="auto"/>
            <w:vAlign w:val="center"/>
          </w:tcPr>
          <w:p w:rsidR="00D01AF5" w:rsidRPr="00B235DF" w:rsidRDefault="00B235DF" w:rsidP="00E77CC2">
            <w:pPr>
              <w:pStyle w:val="TableText"/>
              <w:widowControl w:val="0"/>
              <w:spacing w:before="0" w:after="0"/>
              <w:rPr>
                <w:i/>
                <w:highlight w:val="black"/>
                <w:lang w:val="en-AU"/>
              </w:rPr>
            </w:pPr>
            <w:r>
              <w:rPr>
                <w:i/>
                <w:noProof/>
                <w:color w:val="000000"/>
                <w:highlight w:val="black"/>
                <w:lang w:val="en-AU"/>
              </w:rPr>
              <w:t>''''''''''</w:t>
            </w:r>
          </w:p>
        </w:tc>
        <w:tc>
          <w:tcPr>
            <w:tcW w:w="492" w:type="pct"/>
            <w:shd w:val="clear" w:color="auto" w:fill="auto"/>
            <w:vAlign w:val="center"/>
          </w:tcPr>
          <w:p w:rsidR="00D01AF5" w:rsidRPr="00B235DF" w:rsidRDefault="00B235DF" w:rsidP="00E77CC2">
            <w:pPr>
              <w:pStyle w:val="TableText"/>
              <w:widowControl w:val="0"/>
              <w:spacing w:before="0" w:after="0"/>
              <w:rPr>
                <w:i/>
                <w:highlight w:val="black"/>
                <w:lang w:val="en-AU"/>
              </w:rPr>
            </w:pPr>
            <w:r>
              <w:rPr>
                <w:i/>
                <w:noProof/>
                <w:color w:val="000000"/>
                <w:highlight w:val="black"/>
                <w:lang w:val="en-AU"/>
              </w:rPr>
              <w:t>''''''''</w:t>
            </w:r>
          </w:p>
        </w:tc>
        <w:tc>
          <w:tcPr>
            <w:tcW w:w="934" w:type="pct"/>
            <w:shd w:val="clear" w:color="auto" w:fill="auto"/>
            <w:vAlign w:val="center"/>
          </w:tcPr>
          <w:p w:rsidR="00D01AF5" w:rsidRPr="00B235DF" w:rsidRDefault="00B235DF" w:rsidP="00E77CC2">
            <w:pPr>
              <w:pStyle w:val="TableText"/>
              <w:widowControl w:val="0"/>
              <w:spacing w:before="0" w:after="0"/>
              <w:rPr>
                <w:i/>
                <w:highlight w:val="black"/>
                <w:lang w:val="en-AU"/>
              </w:rPr>
            </w:pPr>
            <w:r>
              <w:rPr>
                <w:i/>
                <w:noProof/>
                <w:color w:val="000000"/>
                <w:highlight w:val="black"/>
                <w:lang w:val="en-AU"/>
              </w:rPr>
              <w:t>''''''' ''''''''' ''''''''</w:t>
            </w:r>
          </w:p>
        </w:tc>
      </w:tr>
      <w:tr w:rsidR="002A4565" w:rsidRPr="003E7C50" w:rsidTr="003C78C1">
        <w:tc>
          <w:tcPr>
            <w:tcW w:w="5000" w:type="pct"/>
            <w:gridSpan w:val="8"/>
            <w:shd w:val="clear" w:color="auto" w:fill="auto"/>
            <w:vAlign w:val="center"/>
          </w:tcPr>
          <w:p w:rsidR="002A4565" w:rsidRPr="003E7C50" w:rsidRDefault="000C0566" w:rsidP="00E77CC2">
            <w:pPr>
              <w:pStyle w:val="TableText"/>
              <w:widowControl w:val="0"/>
              <w:spacing w:before="0" w:after="0"/>
              <w:rPr>
                <w:b/>
                <w:lang w:val="en-AU"/>
              </w:rPr>
            </w:pPr>
            <w:r w:rsidRPr="003E7C50">
              <w:rPr>
                <w:b/>
                <w:lang w:val="en-AU"/>
              </w:rPr>
              <w:t>Nausea</w:t>
            </w:r>
          </w:p>
        </w:tc>
      </w:tr>
      <w:tr w:rsidR="00296BBE" w:rsidRPr="003E7C50" w:rsidTr="00D01AF5">
        <w:tc>
          <w:tcPr>
            <w:tcW w:w="1178" w:type="pct"/>
            <w:shd w:val="clear" w:color="auto" w:fill="auto"/>
            <w:vAlign w:val="center"/>
          </w:tcPr>
          <w:p w:rsidR="002A4565" w:rsidRPr="003E7C50" w:rsidRDefault="002A4565" w:rsidP="00E77CC2">
            <w:pPr>
              <w:pStyle w:val="TableText"/>
              <w:widowControl w:val="0"/>
              <w:spacing w:before="0" w:after="0"/>
              <w:rPr>
                <w:lang w:val="en-AU"/>
              </w:rPr>
            </w:pPr>
            <w:r w:rsidRPr="003E7C50">
              <w:rPr>
                <w:lang w:val="en-AU"/>
              </w:rPr>
              <w:t>MONALEESA-2 Jun 2016</w:t>
            </w:r>
          </w:p>
        </w:tc>
        <w:tc>
          <w:tcPr>
            <w:tcW w:w="558" w:type="pct"/>
            <w:shd w:val="clear" w:color="auto" w:fill="auto"/>
            <w:vAlign w:val="center"/>
          </w:tcPr>
          <w:p w:rsidR="002A4565" w:rsidRPr="00B235DF" w:rsidRDefault="00B235DF" w:rsidP="00E77CC2">
            <w:pPr>
              <w:pStyle w:val="TableText"/>
              <w:widowControl w:val="0"/>
              <w:spacing w:before="0" w:after="0"/>
              <w:rPr>
                <w:highlight w:val="black"/>
                <w:lang w:val="en-AU"/>
              </w:rPr>
            </w:pPr>
            <w:r>
              <w:rPr>
                <w:rStyle w:val="Small"/>
                <w:noProof/>
                <w:color w:val="000000"/>
                <w:highlight w:val="black"/>
                <w:lang w:val="en-AU"/>
              </w:rPr>
              <w:t>'''''''''''''''''''</w:t>
            </w:r>
          </w:p>
        </w:tc>
        <w:tc>
          <w:tcPr>
            <w:tcW w:w="507" w:type="pct"/>
            <w:gridSpan w:val="2"/>
            <w:shd w:val="clear" w:color="auto" w:fill="auto"/>
            <w:vAlign w:val="center"/>
          </w:tcPr>
          <w:p w:rsidR="002A4565" w:rsidRPr="00B235DF" w:rsidRDefault="00B235DF" w:rsidP="00E77CC2">
            <w:pPr>
              <w:pStyle w:val="TableText"/>
              <w:widowControl w:val="0"/>
              <w:spacing w:before="0" w:after="0"/>
              <w:rPr>
                <w:highlight w:val="black"/>
                <w:lang w:val="en-AU"/>
              </w:rPr>
            </w:pPr>
            <w:r>
              <w:rPr>
                <w:rStyle w:val="Small"/>
                <w:noProof/>
                <w:color w:val="000000"/>
                <w:highlight w:val="black"/>
                <w:lang w:val="en-AU"/>
              </w:rPr>
              <w:t>'''''''''''''''''</w:t>
            </w:r>
          </w:p>
        </w:tc>
        <w:tc>
          <w:tcPr>
            <w:tcW w:w="744" w:type="pct"/>
            <w:shd w:val="clear" w:color="auto" w:fill="auto"/>
            <w:vAlign w:val="center"/>
          </w:tcPr>
          <w:p w:rsidR="002A4565" w:rsidRPr="00B235DF" w:rsidRDefault="00B235DF" w:rsidP="00E77CC2">
            <w:pPr>
              <w:pStyle w:val="TableText"/>
              <w:widowControl w:val="0"/>
              <w:spacing w:before="0" w:after="0"/>
              <w:rPr>
                <w:highlight w:val="black"/>
                <w:lang w:val="en-AU"/>
              </w:rPr>
            </w:pPr>
            <w:r>
              <w:rPr>
                <w:noProof/>
                <w:color w:val="000000"/>
                <w:highlight w:val="black"/>
                <w:lang w:val="en-AU"/>
              </w:rPr>
              <w:t>'''''''''''''' ''''''''''''''''' '''''''''''''''</w:t>
            </w:r>
          </w:p>
        </w:tc>
        <w:tc>
          <w:tcPr>
            <w:tcW w:w="587" w:type="pct"/>
            <w:shd w:val="clear" w:color="auto" w:fill="auto"/>
            <w:vAlign w:val="center"/>
          </w:tcPr>
          <w:p w:rsidR="002A4565" w:rsidRPr="00B235DF" w:rsidRDefault="00B235DF" w:rsidP="00E77CC2">
            <w:pPr>
              <w:pStyle w:val="TableText"/>
              <w:widowControl w:val="0"/>
              <w:spacing w:before="0" w:after="0"/>
              <w:rPr>
                <w:highlight w:val="black"/>
                <w:lang w:val="en-AU"/>
              </w:rPr>
            </w:pPr>
            <w:r>
              <w:rPr>
                <w:rStyle w:val="Small"/>
                <w:noProof/>
                <w:color w:val="000000"/>
                <w:highlight w:val="black"/>
                <w:lang w:val="en-AU"/>
              </w:rPr>
              <w:t>''''''''''</w:t>
            </w:r>
          </w:p>
        </w:tc>
        <w:tc>
          <w:tcPr>
            <w:tcW w:w="492" w:type="pct"/>
            <w:shd w:val="clear" w:color="auto" w:fill="auto"/>
            <w:vAlign w:val="center"/>
          </w:tcPr>
          <w:p w:rsidR="002A4565" w:rsidRPr="00B235DF" w:rsidRDefault="00B235DF" w:rsidP="00E77CC2">
            <w:pPr>
              <w:pStyle w:val="TableText"/>
              <w:widowControl w:val="0"/>
              <w:spacing w:before="0" w:after="0"/>
              <w:rPr>
                <w:highlight w:val="black"/>
                <w:lang w:val="en-AU"/>
              </w:rPr>
            </w:pPr>
            <w:r>
              <w:rPr>
                <w:rStyle w:val="Small"/>
                <w:noProof/>
                <w:color w:val="000000"/>
                <w:highlight w:val="black"/>
                <w:lang w:val="en-AU"/>
              </w:rPr>
              <w:t>''''''''''</w:t>
            </w:r>
          </w:p>
        </w:tc>
        <w:tc>
          <w:tcPr>
            <w:tcW w:w="934" w:type="pct"/>
            <w:shd w:val="clear" w:color="auto" w:fill="auto"/>
            <w:vAlign w:val="center"/>
          </w:tcPr>
          <w:p w:rsidR="002A4565" w:rsidRPr="00B235DF" w:rsidRDefault="00B235DF" w:rsidP="00E77CC2">
            <w:pPr>
              <w:pStyle w:val="TableText"/>
              <w:widowControl w:val="0"/>
              <w:spacing w:before="0" w:after="0"/>
              <w:rPr>
                <w:highlight w:val="black"/>
                <w:lang w:val="en-AU"/>
              </w:rPr>
            </w:pPr>
            <w:r>
              <w:rPr>
                <w:noProof/>
                <w:color w:val="000000"/>
                <w:highlight w:val="black"/>
                <w:lang w:val="en-AU"/>
              </w:rPr>
              <w:t>'''''' '''''''' '''''''</w:t>
            </w:r>
          </w:p>
        </w:tc>
      </w:tr>
      <w:tr w:rsidR="00837B49" w:rsidRPr="003E7C50" w:rsidTr="003C78C1">
        <w:tc>
          <w:tcPr>
            <w:tcW w:w="5000" w:type="pct"/>
            <w:gridSpan w:val="8"/>
            <w:shd w:val="clear" w:color="auto" w:fill="auto"/>
            <w:vAlign w:val="center"/>
          </w:tcPr>
          <w:p w:rsidR="00837B49" w:rsidRPr="003E7C50" w:rsidRDefault="00837B49" w:rsidP="00E77CC2">
            <w:pPr>
              <w:pStyle w:val="TableText"/>
              <w:widowControl w:val="0"/>
              <w:spacing w:before="0" w:after="0"/>
              <w:rPr>
                <w:b/>
                <w:lang w:val="en-AU"/>
              </w:rPr>
            </w:pPr>
            <w:r w:rsidRPr="003E7C50">
              <w:rPr>
                <w:b/>
                <w:lang w:val="en-AU"/>
              </w:rPr>
              <w:t>Fatigue</w:t>
            </w:r>
          </w:p>
        </w:tc>
      </w:tr>
      <w:tr w:rsidR="00837B49" w:rsidRPr="003E7C50" w:rsidTr="00D01AF5">
        <w:tc>
          <w:tcPr>
            <w:tcW w:w="1178" w:type="pct"/>
            <w:shd w:val="clear" w:color="auto" w:fill="auto"/>
            <w:vAlign w:val="center"/>
          </w:tcPr>
          <w:p w:rsidR="00837B49" w:rsidRPr="003E7C50" w:rsidRDefault="00837B49" w:rsidP="00E77CC2">
            <w:pPr>
              <w:pStyle w:val="TableText"/>
              <w:widowControl w:val="0"/>
              <w:spacing w:before="0" w:after="0"/>
              <w:rPr>
                <w:lang w:val="en-AU"/>
              </w:rPr>
            </w:pPr>
            <w:r w:rsidRPr="003E7C50">
              <w:rPr>
                <w:lang w:val="en-AU"/>
              </w:rPr>
              <w:t>MONALEESA-2</w:t>
            </w:r>
            <w:r w:rsidR="00F82C12" w:rsidRPr="003E7C50">
              <w:rPr>
                <w:lang w:val="en-AU"/>
              </w:rPr>
              <w:t xml:space="preserve"> Jun 2016</w:t>
            </w:r>
          </w:p>
        </w:tc>
        <w:tc>
          <w:tcPr>
            <w:tcW w:w="558" w:type="pct"/>
            <w:shd w:val="clear" w:color="auto" w:fill="auto"/>
            <w:vAlign w:val="center"/>
          </w:tcPr>
          <w:p w:rsidR="00837B49" w:rsidRPr="00B235DF" w:rsidRDefault="00B235DF" w:rsidP="00E77CC2">
            <w:pPr>
              <w:pStyle w:val="TableText"/>
              <w:widowControl w:val="0"/>
              <w:spacing w:before="0" w:after="0"/>
              <w:rPr>
                <w:highlight w:val="black"/>
                <w:lang w:val="en-AU"/>
              </w:rPr>
            </w:pPr>
            <w:r>
              <w:rPr>
                <w:noProof/>
                <w:color w:val="000000"/>
                <w:highlight w:val="black"/>
                <w:lang w:val="en-AU"/>
              </w:rPr>
              <w:t>'''''''''''''''''''''</w:t>
            </w:r>
          </w:p>
        </w:tc>
        <w:tc>
          <w:tcPr>
            <w:tcW w:w="507" w:type="pct"/>
            <w:gridSpan w:val="2"/>
            <w:shd w:val="clear" w:color="auto" w:fill="auto"/>
            <w:vAlign w:val="center"/>
          </w:tcPr>
          <w:p w:rsidR="00837B49" w:rsidRPr="00B235DF" w:rsidRDefault="00B235DF" w:rsidP="00E77CC2">
            <w:pPr>
              <w:pStyle w:val="TableText"/>
              <w:widowControl w:val="0"/>
              <w:spacing w:before="0" w:after="0"/>
              <w:rPr>
                <w:highlight w:val="black"/>
                <w:lang w:val="en-AU"/>
              </w:rPr>
            </w:pPr>
            <w:r>
              <w:rPr>
                <w:noProof/>
                <w:color w:val="000000"/>
                <w:highlight w:val="black"/>
                <w:lang w:val="en-AU"/>
              </w:rPr>
              <w:t>'''''''''''''''''''</w:t>
            </w:r>
          </w:p>
        </w:tc>
        <w:tc>
          <w:tcPr>
            <w:tcW w:w="744" w:type="pct"/>
            <w:shd w:val="clear" w:color="auto" w:fill="auto"/>
            <w:vAlign w:val="center"/>
          </w:tcPr>
          <w:p w:rsidR="00837B49" w:rsidRPr="00B235DF" w:rsidRDefault="00B235DF" w:rsidP="00E77CC2">
            <w:pPr>
              <w:pStyle w:val="TableText"/>
              <w:widowControl w:val="0"/>
              <w:spacing w:before="0" w:after="0"/>
              <w:rPr>
                <w:highlight w:val="black"/>
                <w:lang w:val="en-AU"/>
              </w:rPr>
            </w:pPr>
            <w:r>
              <w:rPr>
                <w:noProof/>
                <w:color w:val="000000"/>
                <w:highlight w:val="black"/>
                <w:lang w:val="en-AU"/>
              </w:rPr>
              <w:t>''''''''''''' '''''''''''''''''' ''''''''''''''</w:t>
            </w:r>
          </w:p>
        </w:tc>
        <w:tc>
          <w:tcPr>
            <w:tcW w:w="587" w:type="pct"/>
            <w:shd w:val="clear" w:color="auto" w:fill="auto"/>
            <w:vAlign w:val="center"/>
          </w:tcPr>
          <w:p w:rsidR="00837B49" w:rsidRPr="00B235DF" w:rsidRDefault="00B235DF" w:rsidP="00E77CC2">
            <w:pPr>
              <w:pStyle w:val="TableText"/>
              <w:widowControl w:val="0"/>
              <w:spacing w:before="0" w:after="0"/>
              <w:rPr>
                <w:highlight w:val="black"/>
                <w:lang w:val="en-AU"/>
              </w:rPr>
            </w:pPr>
            <w:r>
              <w:rPr>
                <w:noProof/>
                <w:color w:val="000000"/>
                <w:highlight w:val="black"/>
                <w:lang w:val="en-AU"/>
              </w:rPr>
              <w:t>'''''''''''</w:t>
            </w:r>
          </w:p>
        </w:tc>
        <w:tc>
          <w:tcPr>
            <w:tcW w:w="492" w:type="pct"/>
            <w:shd w:val="clear" w:color="auto" w:fill="auto"/>
            <w:vAlign w:val="center"/>
          </w:tcPr>
          <w:p w:rsidR="00837B49" w:rsidRPr="00B235DF" w:rsidRDefault="00B235DF" w:rsidP="00E77CC2">
            <w:pPr>
              <w:pStyle w:val="TableText"/>
              <w:widowControl w:val="0"/>
              <w:spacing w:before="0" w:after="0"/>
              <w:rPr>
                <w:highlight w:val="black"/>
                <w:lang w:val="en-AU"/>
              </w:rPr>
            </w:pPr>
            <w:r>
              <w:rPr>
                <w:noProof/>
                <w:color w:val="000000"/>
                <w:highlight w:val="black"/>
                <w:lang w:val="en-AU"/>
              </w:rPr>
              <w:t>''''''''''</w:t>
            </w:r>
          </w:p>
        </w:tc>
        <w:tc>
          <w:tcPr>
            <w:tcW w:w="934" w:type="pct"/>
            <w:shd w:val="clear" w:color="auto" w:fill="auto"/>
            <w:vAlign w:val="center"/>
          </w:tcPr>
          <w:p w:rsidR="00837B49" w:rsidRPr="003E7C50" w:rsidRDefault="00B235DF" w:rsidP="00E77CC2">
            <w:pPr>
              <w:pStyle w:val="TableText"/>
              <w:widowControl w:val="0"/>
              <w:spacing w:before="0" w:after="0"/>
              <w:rPr>
                <w:lang w:val="en-AU"/>
              </w:rPr>
            </w:pPr>
            <w:r>
              <w:rPr>
                <w:noProof/>
                <w:color w:val="000000"/>
                <w:highlight w:val="black"/>
                <w:lang w:val="en-AU"/>
              </w:rPr>
              <w:t>'''' '''''' ''''''''''</w:t>
            </w:r>
          </w:p>
        </w:tc>
      </w:tr>
      <w:tr w:rsidR="00471A1D" w:rsidRPr="003E7C50" w:rsidTr="003C78C1">
        <w:tc>
          <w:tcPr>
            <w:tcW w:w="5000" w:type="pct"/>
            <w:gridSpan w:val="8"/>
            <w:shd w:val="clear" w:color="auto" w:fill="auto"/>
            <w:vAlign w:val="center"/>
          </w:tcPr>
          <w:p w:rsidR="00471A1D" w:rsidRPr="003E7C50" w:rsidRDefault="00471A1D" w:rsidP="006D1280">
            <w:pPr>
              <w:pStyle w:val="TableText"/>
              <w:widowControl w:val="0"/>
              <w:spacing w:before="0" w:after="0"/>
              <w:rPr>
                <w:b/>
                <w:lang w:val="en-AU"/>
              </w:rPr>
            </w:pPr>
            <w:r w:rsidRPr="003E7C50">
              <w:rPr>
                <w:b/>
                <w:lang w:val="en-AU"/>
              </w:rPr>
              <w:t>Febrile neutropenia</w:t>
            </w:r>
          </w:p>
        </w:tc>
      </w:tr>
      <w:tr w:rsidR="00471A1D" w:rsidRPr="003E7C50" w:rsidTr="00D01AF5">
        <w:tc>
          <w:tcPr>
            <w:tcW w:w="1178" w:type="pct"/>
            <w:shd w:val="clear" w:color="auto" w:fill="auto"/>
            <w:vAlign w:val="center"/>
          </w:tcPr>
          <w:p w:rsidR="00471A1D" w:rsidRPr="003E7C50" w:rsidRDefault="00471A1D" w:rsidP="00E77CC2">
            <w:pPr>
              <w:pStyle w:val="TableText"/>
              <w:widowControl w:val="0"/>
              <w:spacing w:before="0" w:after="0"/>
              <w:rPr>
                <w:lang w:val="en-AU"/>
              </w:rPr>
            </w:pPr>
            <w:r w:rsidRPr="003E7C50">
              <w:rPr>
                <w:lang w:val="en-AU"/>
              </w:rPr>
              <w:t>MONALEESA-2</w:t>
            </w:r>
            <w:r w:rsidR="005745E2" w:rsidRPr="003E7C50">
              <w:rPr>
                <w:lang w:val="en-AU"/>
              </w:rPr>
              <w:t xml:space="preserve"> Jan 2016</w:t>
            </w:r>
          </w:p>
        </w:tc>
        <w:tc>
          <w:tcPr>
            <w:tcW w:w="558" w:type="pct"/>
            <w:shd w:val="clear" w:color="auto" w:fill="auto"/>
            <w:vAlign w:val="center"/>
          </w:tcPr>
          <w:p w:rsidR="00471A1D" w:rsidRPr="003E7C50" w:rsidRDefault="00471A1D" w:rsidP="00E77CC2">
            <w:pPr>
              <w:pStyle w:val="TableText"/>
              <w:widowControl w:val="0"/>
              <w:spacing w:before="0" w:after="0"/>
              <w:rPr>
                <w:lang w:val="en-AU"/>
              </w:rPr>
            </w:pPr>
            <w:r w:rsidRPr="003E7C50">
              <w:rPr>
                <w:lang w:val="en-AU"/>
              </w:rPr>
              <w:t>5/334</w:t>
            </w:r>
          </w:p>
        </w:tc>
        <w:tc>
          <w:tcPr>
            <w:tcW w:w="507" w:type="pct"/>
            <w:gridSpan w:val="2"/>
            <w:shd w:val="clear" w:color="auto" w:fill="auto"/>
            <w:vAlign w:val="center"/>
          </w:tcPr>
          <w:p w:rsidR="00471A1D" w:rsidRPr="003E7C50" w:rsidRDefault="00471A1D" w:rsidP="00E77CC2">
            <w:pPr>
              <w:pStyle w:val="TableText"/>
              <w:widowControl w:val="0"/>
              <w:spacing w:before="0" w:after="0"/>
              <w:rPr>
                <w:lang w:val="en-AU"/>
              </w:rPr>
            </w:pPr>
            <w:r w:rsidRPr="003E7C50">
              <w:rPr>
                <w:lang w:val="en-AU"/>
              </w:rPr>
              <w:t>0/330</w:t>
            </w:r>
          </w:p>
        </w:tc>
        <w:tc>
          <w:tcPr>
            <w:tcW w:w="744" w:type="pct"/>
            <w:shd w:val="clear" w:color="auto" w:fill="auto"/>
            <w:vAlign w:val="center"/>
          </w:tcPr>
          <w:p w:rsidR="00471A1D" w:rsidRPr="003E7C50" w:rsidRDefault="00471A1D" w:rsidP="00E77CC2">
            <w:pPr>
              <w:pStyle w:val="TableText"/>
              <w:widowControl w:val="0"/>
              <w:spacing w:before="0" w:after="0"/>
              <w:rPr>
                <w:i/>
                <w:lang w:val="en-AU"/>
              </w:rPr>
            </w:pPr>
            <w:r w:rsidRPr="003E7C50">
              <w:rPr>
                <w:i/>
                <w:lang w:val="en-AU"/>
              </w:rPr>
              <w:t>-</w:t>
            </w:r>
          </w:p>
        </w:tc>
        <w:tc>
          <w:tcPr>
            <w:tcW w:w="587" w:type="pct"/>
            <w:shd w:val="clear" w:color="auto" w:fill="auto"/>
            <w:vAlign w:val="center"/>
          </w:tcPr>
          <w:p w:rsidR="00471A1D" w:rsidRPr="003E7C50" w:rsidRDefault="00471A1D" w:rsidP="00E77CC2">
            <w:pPr>
              <w:pStyle w:val="TableText"/>
              <w:widowControl w:val="0"/>
              <w:spacing w:before="0" w:after="0"/>
              <w:rPr>
                <w:lang w:val="en-AU"/>
              </w:rPr>
            </w:pPr>
            <w:r w:rsidRPr="003E7C50">
              <w:rPr>
                <w:lang w:val="en-AU"/>
              </w:rPr>
              <w:t>1.5</w:t>
            </w:r>
          </w:p>
        </w:tc>
        <w:tc>
          <w:tcPr>
            <w:tcW w:w="492" w:type="pct"/>
            <w:shd w:val="clear" w:color="auto" w:fill="auto"/>
            <w:vAlign w:val="center"/>
          </w:tcPr>
          <w:p w:rsidR="00471A1D" w:rsidRPr="003E7C50" w:rsidRDefault="00471A1D" w:rsidP="00E77CC2">
            <w:pPr>
              <w:pStyle w:val="TableText"/>
              <w:widowControl w:val="0"/>
              <w:spacing w:before="0" w:after="0"/>
              <w:rPr>
                <w:lang w:val="en-AU"/>
              </w:rPr>
            </w:pPr>
            <w:r w:rsidRPr="003E7C50">
              <w:rPr>
                <w:lang w:val="en-AU"/>
              </w:rPr>
              <w:t>0</w:t>
            </w:r>
            <w:r w:rsidR="00013920" w:rsidRPr="003E7C50">
              <w:rPr>
                <w:lang w:val="en-AU"/>
              </w:rPr>
              <w:t>.0</w:t>
            </w:r>
          </w:p>
        </w:tc>
        <w:tc>
          <w:tcPr>
            <w:tcW w:w="934" w:type="pct"/>
            <w:shd w:val="clear" w:color="auto" w:fill="auto"/>
            <w:vAlign w:val="center"/>
          </w:tcPr>
          <w:p w:rsidR="00471A1D" w:rsidRPr="003E7C50" w:rsidRDefault="00471A1D" w:rsidP="00E77CC2">
            <w:pPr>
              <w:pStyle w:val="TableText"/>
              <w:widowControl w:val="0"/>
              <w:spacing w:before="0" w:after="0"/>
              <w:rPr>
                <w:lang w:val="en-AU"/>
              </w:rPr>
            </w:pPr>
            <w:r w:rsidRPr="003E7C50">
              <w:rPr>
                <w:lang w:val="en-AU"/>
              </w:rPr>
              <w:t>1 (0, 3)</w:t>
            </w:r>
          </w:p>
        </w:tc>
      </w:tr>
    </w:tbl>
    <w:p w:rsidR="002A4565" w:rsidRPr="003E7C50" w:rsidRDefault="00B733FE" w:rsidP="00E77CC2">
      <w:pPr>
        <w:pStyle w:val="TableFooter"/>
        <w:keepNext/>
      </w:pPr>
      <w:r w:rsidRPr="003E7C50">
        <w:t xml:space="preserve">HR: Hazard Rate Ratio; OS: Overall Survival; PFS: Progression-free Survival; </w:t>
      </w:r>
      <w:r w:rsidR="002A4565" w:rsidRPr="003E7C50">
        <w:t>RD</w:t>
      </w:r>
      <w:r w:rsidRPr="003E7C50">
        <w:t>:</w:t>
      </w:r>
      <w:r w:rsidR="002A4565" w:rsidRPr="003E7C50">
        <w:t xml:space="preserve"> risk difference; RR</w:t>
      </w:r>
      <w:r w:rsidRPr="003E7C50">
        <w:t>:</w:t>
      </w:r>
      <w:r w:rsidR="002A4565" w:rsidRPr="003E7C50">
        <w:t xml:space="preserve"> </w:t>
      </w:r>
      <w:r w:rsidRPr="003E7C50">
        <w:t>relative risk</w:t>
      </w:r>
      <w:r w:rsidR="002A4565" w:rsidRPr="003E7C50">
        <w:t>; Source: Compiled during the evaluation and p71, Table 2.18 p73, Table 2.20 p76</w:t>
      </w:r>
      <w:r w:rsidR="00756A47" w:rsidRPr="003E7C50">
        <w:t xml:space="preserve"> and calculated during the evaluation</w:t>
      </w:r>
      <w:r w:rsidR="005745E2" w:rsidRPr="003E7C50">
        <w:t xml:space="preserve"> and Table 12-17 of </w:t>
      </w:r>
      <w:proofErr w:type="spellStart"/>
      <w:r w:rsidR="005745E2" w:rsidRPr="003E7C50">
        <w:t>Interim_CSR_Jan</w:t>
      </w:r>
      <w:proofErr w:type="spellEnd"/>
      <w:r w:rsidR="005745E2" w:rsidRPr="003E7C50">
        <w:t xml:space="preserve"> 2016.pdf</w:t>
      </w:r>
      <w:r w:rsidR="009D1713" w:rsidRPr="003E7C50">
        <w:t>.</w:t>
      </w:r>
    </w:p>
    <w:p w:rsidR="009E4457" w:rsidRPr="003E7C50" w:rsidRDefault="009E4457" w:rsidP="009E4457">
      <w:pPr>
        <w:pStyle w:val="ListParagraph"/>
      </w:pPr>
      <w:r w:rsidRPr="003E7C50">
        <w:t xml:space="preserve">On the basis of direct evidence presented by the submission, </w:t>
      </w:r>
      <w:r>
        <w:t xml:space="preserve">at a </w:t>
      </w:r>
      <w:r w:rsidRPr="003E7C50">
        <w:t>median follow</w:t>
      </w:r>
      <w:r>
        <w:t>-</w:t>
      </w:r>
      <w:r w:rsidRPr="003E7C50">
        <w:t>up of around 20 months</w:t>
      </w:r>
      <w:r>
        <w:t>,</w:t>
      </w:r>
      <w:r w:rsidRPr="003E7C50">
        <w:t xml:space="preserve"> there would be approximately nine months </w:t>
      </w:r>
      <w:r>
        <w:t xml:space="preserve">improvement </w:t>
      </w:r>
      <w:r w:rsidRPr="003E7C50">
        <w:t xml:space="preserve">in median PFS ) in patients treated with </w:t>
      </w:r>
      <w:proofErr w:type="spellStart"/>
      <w:r w:rsidRPr="003E7C50">
        <w:t>ribociclib</w:t>
      </w:r>
      <w:proofErr w:type="spellEnd"/>
      <w:r w:rsidRPr="003E7C50">
        <w:t xml:space="preserve"> + </w:t>
      </w:r>
      <w:proofErr w:type="spellStart"/>
      <w:r w:rsidRPr="003E7C50">
        <w:t>letrozole</w:t>
      </w:r>
      <w:proofErr w:type="spellEnd"/>
      <w:r w:rsidRPr="003E7C50">
        <w:t xml:space="preserve"> in comparison with </w:t>
      </w:r>
      <w:proofErr w:type="spellStart"/>
      <w:r w:rsidRPr="003E7C50">
        <w:t>letrozole</w:t>
      </w:r>
      <w:proofErr w:type="spellEnd"/>
      <w:r w:rsidRPr="003E7C50">
        <w:t xml:space="preserve"> alone. A</w:t>
      </w:r>
      <w:r>
        <w:t xml:space="preserve"> trend to </w:t>
      </w:r>
      <w:r w:rsidRPr="003E7C50">
        <w:t xml:space="preserve">improvement in OS was observed, but </w:t>
      </w:r>
      <w:r>
        <w:t xml:space="preserve">was based on immature data and </w:t>
      </w:r>
      <w:r w:rsidRPr="003E7C50">
        <w:t>was not statistically significant.</w:t>
      </w:r>
    </w:p>
    <w:p w:rsidR="002A4565" w:rsidRPr="003E7C50" w:rsidRDefault="002A4565" w:rsidP="00316E09">
      <w:pPr>
        <w:pStyle w:val="ListParagraph"/>
      </w:pPr>
      <w:r w:rsidRPr="003E7C50">
        <w:t xml:space="preserve">For every 100 patients treated with </w:t>
      </w:r>
      <w:proofErr w:type="spellStart"/>
      <w:r w:rsidRPr="003E7C50">
        <w:t>ribociclib</w:t>
      </w:r>
      <w:proofErr w:type="spellEnd"/>
      <w:r w:rsidRPr="003E7C50">
        <w:t xml:space="preserve"> </w:t>
      </w:r>
      <w:r w:rsidR="008B52C8" w:rsidRPr="003E7C50">
        <w:t>+</w:t>
      </w:r>
      <w:r w:rsidRPr="003E7C50">
        <w:t xml:space="preserve"> </w:t>
      </w:r>
      <w:proofErr w:type="spellStart"/>
      <w:r w:rsidRPr="003E7C50">
        <w:t>letrozole</w:t>
      </w:r>
      <w:proofErr w:type="spellEnd"/>
      <w:r w:rsidRPr="003E7C50">
        <w:t xml:space="preserve"> in comparison with </w:t>
      </w:r>
      <w:proofErr w:type="spellStart"/>
      <w:r w:rsidRPr="003E7C50">
        <w:t>letrozole</w:t>
      </w:r>
      <w:proofErr w:type="spellEnd"/>
      <w:r w:rsidRPr="003E7C50">
        <w:t xml:space="preserve"> alone, over a median follow-up of around </w:t>
      </w:r>
      <w:r w:rsidR="007E487A" w:rsidRPr="003E7C50">
        <w:t>20</w:t>
      </w:r>
      <w:r w:rsidRPr="003E7C50">
        <w:t xml:space="preserve"> months</w:t>
      </w:r>
      <w:r w:rsidR="002552AF" w:rsidRPr="003E7C50">
        <w:t>, approximately</w:t>
      </w:r>
      <w:r w:rsidRPr="003E7C50">
        <w:t>:</w:t>
      </w:r>
    </w:p>
    <w:p w:rsidR="002A4565" w:rsidRPr="003E7C50" w:rsidRDefault="002D7A3A" w:rsidP="008D683B">
      <w:pPr>
        <w:pStyle w:val="ListParagraph"/>
        <w:numPr>
          <w:ilvl w:val="0"/>
          <w:numId w:val="15"/>
        </w:numPr>
        <w:ind w:left="1434" w:hanging="357"/>
        <w:contextualSpacing/>
      </w:pPr>
      <w:r w:rsidRPr="003E7C50">
        <w:t>4</w:t>
      </w:r>
      <w:r w:rsidR="00473C7B" w:rsidRPr="003E7C50">
        <w:t>9</w:t>
      </w:r>
      <w:r w:rsidRPr="003E7C50">
        <w:t xml:space="preserve"> </w:t>
      </w:r>
      <w:r w:rsidR="002A4565" w:rsidRPr="003E7C50">
        <w:t xml:space="preserve">additional patients would experience a </w:t>
      </w:r>
      <w:r w:rsidR="006F37B5" w:rsidRPr="003E7C50">
        <w:t>G</w:t>
      </w:r>
      <w:r w:rsidR="002A4565" w:rsidRPr="003E7C50">
        <w:t>rade</w:t>
      </w:r>
      <w:r w:rsidR="002A4565" w:rsidRPr="003E7C50">
        <w:sym w:font="Symbol" w:char="F0B3"/>
      </w:r>
      <w:r w:rsidR="002A4565" w:rsidRPr="003E7C50">
        <w:t>3 adverse event;</w:t>
      </w:r>
    </w:p>
    <w:p w:rsidR="00D01AF5" w:rsidRPr="003E7C50" w:rsidRDefault="002A4565" w:rsidP="008D683B">
      <w:pPr>
        <w:pStyle w:val="ListParagraph"/>
        <w:numPr>
          <w:ilvl w:val="0"/>
          <w:numId w:val="15"/>
        </w:numPr>
        <w:ind w:left="1434" w:hanging="357"/>
        <w:contextualSpacing/>
      </w:pPr>
      <w:r w:rsidRPr="003E7C50">
        <w:t xml:space="preserve">59 additional patients would experience </w:t>
      </w:r>
      <w:r w:rsidR="00E77CC2" w:rsidRPr="003E7C50">
        <w:t xml:space="preserve">any grade of </w:t>
      </w:r>
      <w:r w:rsidRPr="003E7C50">
        <w:t>neutropenia</w:t>
      </w:r>
      <w:r w:rsidR="00061BA4" w:rsidRPr="003E7C50">
        <w:t>;</w:t>
      </w:r>
    </w:p>
    <w:p w:rsidR="002A4565" w:rsidRPr="003E7C50" w:rsidRDefault="00D01AF5" w:rsidP="008D683B">
      <w:pPr>
        <w:pStyle w:val="ListParagraph"/>
        <w:numPr>
          <w:ilvl w:val="0"/>
          <w:numId w:val="15"/>
        </w:numPr>
        <w:ind w:left="1434" w:hanging="357"/>
        <w:contextualSpacing/>
      </w:pPr>
      <w:r w:rsidRPr="003E7C50">
        <w:t>49 additional patients would experience Grade</w:t>
      </w:r>
      <w:r w:rsidRPr="003E7C50">
        <w:sym w:font="Symbol" w:char="F0B3"/>
      </w:r>
      <w:r w:rsidRPr="003E7C50">
        <w:t>3 neutropenia</w:t>
      </w:r>
      <w:r w:rsidR="002A4565" w:rsidRPr="003E7C50">
        <w:t>;</w:t>
      </w:r>
    </w:p>
    <w:p w:rsidR="00471A1D" w:rsidRPr="003E7C50" w:rsidRDefault="00471A1D" w:rsidP="008D683B">
      <w:pPr>
        <w:pStyle w:val="ListParagraph"/>
        <w:numPr>
          <w:ilvl w:val="0"/>
          <w:numId w:val="15"/>
        </w:numPr>
        <w:ind w:left="1434" w:hanging="357"/>
        <w:contextualSpacing/>
      </w:pPr>
      <w:r w:rsidRPr="003E7C50">
        <w:t>24 additional patients would experience nausea;</w:t>
      </w:r>
    </w:p>
    <w:p w:rsidR="00756A47" w:rsidRPr="003E7C50" w:rsidRDefault="00BA0CDE" w:rsidP="008D683B">
      <w:pPr>
        <w:pStyle w:val="ListParagraph"/>
        <w:numPr>
          <w:ilvl w:val="0"/>
          <w:numId w:val="15"/>
        </w:numPr>
        <w:ind w:left="1434" w:hanging="357"/>
        <w:contextualSpacing/>
      </w:pPr>
      <w:r w:rsidRPr="003E7C50">
        <w:t xml:space="preserve">7 </w:t>
      </w:r>
      <w:r w:rsidR="00756A47" w:rsidRPr="003E7C50">
        <w:t>additional patients would experience fatigue</w:t>
      </w:r>
      <w:r w:rsidR="00471A1D" w:rsidRPr="003E7C50">
        <w:t>; and</w:t>
      </w:r>
    </w:p>
    <w:p w:rsidR="00471A1D" w:rsidRPr="003E7C50" w:rsidRDefault="00471A1D" w:rsidP="008D683B">
      <w:pPr>
        <w:pStyle w:val="ListParagraph"/>
        <w:numPr>
          <w:ilvl w:val="0"/>
          <w:numId w:val="15"/>
        </w:numPr>
        <w:ind w:left="1434" w:hanging="357"/>
        <w:contextualSpacing/>
      </w:pPr>
      <w:r w:rsidRPr="003E7C50">
        <w:t>1.5 additional patients would experience febrile neutropenia.</w:t>
      </w:r>
    </w:p>
    <w:p w:rsidR="002A4565" w:rsidRPr="003E7C50" w:rsidRDefault="002A4565" w:rsidP="00B34042">
      <w:pPr>
        <w:pStyle w:val="Heading2"/>
      </w:pPr>
      <w:bookmarkStart w:id="18" w:name="_Toc476306891"/>
      <w:bookmarkStart w:id="19" w:name="_Toc482023187"/>
      <w:r w:rsidRPr="003E7C50">
        <w:t>Clinical claim</w:t>
      </w:r>
      <w:bookmarkEnd w:id="17"/>
      <w:bookmarkEnd w:id="18"/>
      <w:bookmarkEnd w:id="19"/>
    </w:p>
    <w:p w:rsidR="006743D7" w:rsidRPr="003E7C50" w:rsidRDefault="002A4565" w:rsidP="00316E09">
      <w:pPr>
        <w:pStyle w:val="ListParagraph"/>
      </w:pPr>
      <w:r w:rsidRPr="003E7C50">
        <w:t xml:space="preserve">The </w:t>
      </w:r>
      <w:r w:rsidR="00737E6C" w:rsidRPr="003E7C50">
        <w:t xml:space="preserve">submission </w:t>
      </w:r>
      <w:r w:rsidRPr="003E7C50">
        <w:t>claim</w:t>
      </w:r>
      <w:r w:rsidR="00737E6C" w:rsidRPr="003E7C50">
        <w:t>ed</w:t>
      </w:r>
      <w:r w:rsidRPr="003E7C50">
        <w:t xml:space="preserve"> that </w:t>
      </w:r>
      <w:proofErr w:type="spellStart"/>
      <w:r w:rsidRPr="003E7C50">
        <w:t>ribociclib</w:t>
      </w:r>
      <w:proofErr w:type="spellEnd"/>
      <w:r w:rsidRPr="003E7C50">
        <w:t xml:space="preserve"> + </w:t>
      </w:r>
      <w:proofErr w:type="spellStart"/>
      <w:r w:rsidRPr="003E7C50">
        <w:t>letrozole</w:t>
      </w:r>
      <w:proofErr w:type="spellEnd"/>
      <w:r w:rsidRPr="003E7C50">
        <w:t xml:space="preserve"> provides superior </w:t>
      </w:r>
      <w:r w:rsidR="008B44D8" w:rsidRPr="003E7C50">
        <w:t xml:space="preserve">efficacy </w:t>
      </w:r>
      <w:r w:rsidRPr="003E7C50">
        <w:t xml:space="preserve">and inferior safety </w:t>
      </w:r>
      <w:r w:rsidR="00737E6C" w:rsidRPr="003E7C50">
        <w:t xml:space="preserve">compared with </w:t>
      </w:r>
      <w:proofErr w:type="spellStart"/>
      <w:r w:rsidR="0032544E" w:rsidRPr="003E7C50">
        <w:t>letrozole</w:t>
      </w:r>
      <w:proofErr w:type="spellEnd"/>
      <w:r w:rsidR="0032544E" w:rsidRPr="003E7C50">
        <w:t xml:space="preserve"> alone </w:t>
      </w:r>
      <w:r w:rsidR="00BA0CDE" w:rsidRPr="003E7C50">
        <w:t>based on direct evidence</w:t>
      </w:r>
      <w:r w:rsidRPr="003E7C50">
        <w:t>.</w:t>
      </w:r>
    </w:p>
    <w:p w:rsidR="003A64B4" w:rsidRPr="003E7C50" w:rsidRDefault="002A4565" w:rsidP="0034209D">
      <w:pPr>
        <w:pStyle w:val="ListParagraph"/>
      </w:pPr>
      <w:r w:rsidRPr="003E7C50">
        <w:t>Th</w:t>
      </w:r>
      <w:r w:rsidR="00BA541B" w:rsidRPr="003E7C50">
        <w:t>e</w:t>
      </w:r>
      <w:r w:rsidRPr="003E7C50">
        <w:t xml:space="preserve"> clinical claim</w:t>
      </w:r>
      <w:r w:rsidR="008B44D8" w:rsidRPr="003E7C50">
        <w:t xml:space="preserve"> regarding efficacy</w:t>
      </w:r>
      <w:r w:rsidRPr="003E7C50">
        <w:t xml:space="preserve"> is premature </w:t>
      </w:r>
      <w:r w:rsidR="00BA0CDE" w:rsidRPr="003E7C50">
        <w:t xml:space="preserve">because </w:t>
      </w:r>
      <w:r w:rsidRPr="003E7C50">
        <w:t xml:space="preserve">median </w:t>
      </w:r>
      <w:r w:rsidR="00B7550B" w:rsidRPr="003E7C50">
        <w:t>OS</w:t>
      </w:r>
      <w:r w:rsidRPr="003E7C50">
        <w:t xml:space="preserve"> </w:t>
      </w:r>
      <w:r w:rsidR="00E77CC2" w:rsidRPr="003E7C50">
        <w:t xml:space="preserve">has </w:t>
      </w:r>
      <w:r w:rsidRPr="003E7C50">
        <w:t xml:space="preserve">not yet </w:t>
      </w:r>
      <w:r w:rsidR="00E77CC2" w:rsidRPr="003E7C50">
        <w:t xml:space="preserve">been </w:t>
      </w:r>
      <w:r w:rsidRPr="003E7C50">
        <w:t>reache</w:t>
      </w:r>
      <w:r w:rsidR="00BA0CDE" w:rsidRPr="003E7C50">
        <w:t>d</w:t>
      </w:r>
      <w:r w:rsidR="00DB6BA1" w:rsidRPr="003E7C50">
        <w:t>,</w:t>
      </w:r>
      <w:r w:rsidR="00814E34" w:rsidRPr="003E7C50">
        <w:t xml:space="preserve"> with final analysis not expected until approximately 2020</w:t>
      </w:r>
      <w:r w:rsidR="00227CE7" w:rsidRPr="003E7C50">
        <w:t>.</w:t>
      </w:r>
      <w:r w:rsidRPr="003E7C50">
        <w:t xml:space="preserve"> </w:t>
      </w:r>
      <w:r w:rsidR="00940508" w:rsidRPr="003E7C50">
        <w:t>In the most recent January 2017 interim analysis</w:t>
      </w:r>
      <w:r w:rsidR="00E77CC2" w:rsidRPr="003E7C50">
        <w:t>,</w:t>
      </w:r>
      <w:r w:rsidR="00940508" w:rsidRPr="003E7C50">
        <w:t xml:space="preserve"> only 15.0% and 19.8% of patients treated with </w:t>
      </w:r>
      <w:proofErr w:type="spellStart"/>
      <w:r w:rsidR="00940508" w:rsidRPr="003E7C50">
        <w:t>ribociclib</w:t>
      </w:r>
      <w:proofErr w:type="spellEnd"/>
      <w:r w:rsidR="00940508" w:rsidRPr="003E7C50">
        <w:t xml:space="preserve"> + </w:t>
      </w:r>
      <w:proofErr w:type="spellStart"/>
      <w:r w:rsidR="00940508" w:rsidRPr="003E7C50">
        <w:t>letrozole</w:t>
      </w:r>
      <w:proofErr w:type="spellEnd"/>
      <w:r w:rsidR="00940508" w:rsidRPr="003E7C50">
        <w:t xml:space="preserve"> and </w:t>
      </w:r>
      <w:proofErr w:type="spellStart"/>
      <w:r w:rsidR="00940508" w:rsidRPr="003E7C50">
        <w:t>letrozole</w:t>
      </w:r>
      <w:proofErr w:type="spellEnd"/>
      <w:r w:rsidR="00940508" w:rsidRPr="003E7C50">
        <w:t xml:space="preserve"> alone had died, respectively. </w:t>
      </w:r>
      <w:r w:rsidR="003B564E" w:rsidRPr="003E7C50">
        <w:t>I</w:t>
      </w:r>
      <w:r w:rsidR="00272DC8" w:rsidRPr="003E7C50">
        <w:t xml:space="preserve">nterim </w:t>
      </w:r>
      <w:r w:rsidR="00940508" w:rsidRPr="003E7C50">
        <w:t xml:space="preserve">results indicate </w:t>
      </w:r>
      <w:r w:rsidR="00272DC8" w:rsidRPr="003E7C50">
        <w:t xml:space="preserve">OS favours </w:t>
      </w:r>
      <w:proofErr w:type="spellStart"/>
      <w:r w:rsidR="00272DC8" w:rsidRPr="003E7C50">
        <w:t>ribociclib</w:t>
      </w:r>
      <w:proofErr w:type="spellEnd"/>
      <w:r w:rsidR="00272DC8" w:rsidRPr="003E7C50">
        <w:t xml:space="preserve"> </w:t>
      </w:r>
      <w:r w:rsidR="00940508" w:rsidRPr="003E7C50">
        <w:t xml:space="preserve">+ </w:t>
      </w:r>
      <w:proofErr w:type="spellStart"/>
      <w:r w:rsidR="00940508" w:rsidRPr="003E7C50">
        <w:t>letrozole</w:t>
      </w:r>
      <w:proofErr w:type="spellEnd"/>
      <w:r w:rsidR="00940508" w:rsidRPr="003E7C50">
        <w:t xml:space="preserve"> compared with </w:t>
      </w:r>
      <w:proofErr w:type="spellStart"/>
      <w:r w:rsidR="00940508" w:rsidRPr="003E7C50">
        <w:t>letrozole</w:t>
      </w:r>
      <w:proofErr w:type="spellEnd"/>
      <w:r w:rsidR="00940508" w:rsidRPr="003E7C50">
        <w:t xml:space="preserve"> alone </w:t>
      </w:r>
      <w:r w:rsidR="00272DC8" w:rsidRPr="003E7C50">
        <w:t xml:space="preserve">but </w:t>
      </w:r>
      <w:r w:rsidR="00530BC5" w:rsidRPr="003E7C50">
        <w:t>th</w:t>
      </w:r>
      <w:r w:rsidR="00C47005" w:rsidRPr="003E7C50">
        <w:t>e difference</w:t>
      </w:r>
      <w:r w:rsidR="00530BC5" w:rsidRPr="003E7C50">
        <w:t xml:space="preserve"> </w:t>
      </w:r>
      <w:r w:rsidR="00272DC8" w:rsidRPr="003E7C50">
        <w:t>is not statistically significant.</w:t>
      </w:r>
      <w:r w:rsidR="00E951DA" w:rsidRPr="003E7C50">
        <w:t xml:space="preserve"> T</w:t>
      </w:r>
      <w:r w:rsidR="0034209D" w:rsidRPr="003E7C50">
        <w:t xml:space="preserve">he ESC noted that the investigator assessed PFS was significantly improved in the </w:t>
      </w:r>
      <w:proofErr w:type="spellStart"/>
      <w:r w:rsidR="0034209D" w:rsidRPr="003E7C50">
        <w:t>ribociclib</w:t>
      </w:r>
      <w:proofErr w:type="spellEnd"/>
      <w:r w:rsidR="0034209D" w:rsidRPr="003E7C50">
        <w:t xml:space="preserve"> + </w:t>
      </w:r>
      <w:proofErr w:type="spellStart"/>
      <w:r w:rsidR="0034209D" w:rsidRPr="003E7C50">
        <w:t>letrozole</w:t>
      </w:r>
      <w:proofErr w:type="spellEnd"/>
      <w:r w:rsidR="0034209D" w:rsidRPr="003E7C50">
        <w:t xml:space="preserve"> arm </w:t>
      </w:r>
      <w:r w:rsidR="00BA541B" w:rsidRPr="003E7C50">
        <w:t>compared with</w:t>
      </w:r>
      <w:r w:rsidR="0034209D" w:rsidRPr="003E7C50">
        <w:t xml:space="preserve"> </w:t>
      </w:r>
      <w:proofErr w:type="spellStart"/>
      <w:r w:rsidR="0034209D" w:rsidRPr="003E7C50">
        <w:t>letrozole</w:t>
      </w:r>
      <w:proofErr w:type="spellEnd"/>
      <w:r w:rsidR="0034209D" w:rsidRPr="003E7C50">
        <w:t xml:space="preserve"> alone (HR </w:t>
      </w:r>
      <w:r w:rsidR="00530BC5" w:rsidRPr="003E7C50">
        <w:t xml:space="preserve">of </w:t>
      </w:r>
      <w:r w:rsidR="0034209D" w:rsidRPr="003E7C50">
        <w:t>0</w:t>
      </w:r>
      <w:r w:rsidR="00D91281" w:rsidRPr="003E7C50">
        <w:t>.568</w:t>
      </w:r>
      <w:r w:rsidR="00530BC5" w:rsidRPr="003E7C50">
        <w:t>, 95% CI:</w:t>
      </w:r>
      <w:r w:rsidR="00D91281" w:rsidRPr="003E7C50">
        <w:t xml:space="preserve"> 0.457</w:t>
      </w:r>
      <w:r w:rsidR="00934D07" w:rsidRPr="003E7C50">
        <w:t xml:space="preserve">, </w:t>
      </w:r>
      <w:r w:rsidR="0034209D" w:rsidRPr="003E7C50">
        <w:t>0.704) and that the median PFS was 25.3 v</w:t>
      </w:r>
      <w:r w:rsidR="00530BC5" w:rsidRPr="003E7C50">
        <w:t>ersu</w:t>
      </w:r>
      <w:r w:rsidR="0034209D" w:rsidRPr="003E7C50">
        <w:t>s 16</w:t>
      </w:r>
      <w:r w:rsidR="00530BC5" w:rsidRPr="003E7C50">
        <w:t>.0</w:t>
      </w:r>
      <w:r w:rsidR="0034209D" w:rsidRPr="003E7C50">
        <w:t xml:space="preserve"> months in the </w:t>
      </w:r>
      <w:proofErr w:type="spellStart"/>
      <w:r w:rsidR="0034209D" w:rsidRPr="003E7C50">
        <w:t>ribociclib</w:t>
      </w:r>
      <w:proofErr w:type="spellEnd"/>
      <w:r w:rsidR="0034209D" w:rsidRPr="003E7C50">
        <w:t xml:space="preserve"> + </w:t>
      </w:r>
      <w:proofErr w:type="spellStart"/>
      <w:r w:rsidR="0034209D" w:rsidRPr="003E7C50">
        <w:t>letrozole</w:t>
      </w:r>
      <w:proofErr w:type="spellEnd"/>
      <w:r w:rsidR="0034209D" w:rsidRPr="003E7C50">
        <w:t xml:space="preserve"> arm </w:t>
      </w:r>
      <w:r w:rsidR="00885E27" w:rsidRPr="003E7C50">
        <w:t>vs.</w:t>
      </w:r>
      <w:r w:rsidR="0034209D" w:rsidRPr="003E7C50">
        <w:t xml:space="preserve"> </w:t>
      </w:r>
      <w:proofErr w:type="spellStart"/>
      <w:r w:rsidR="0034209D" w:rsidRPr="003E7C50">
        <w:t>letrozole</w:t>
      </w:r>
      <w:proofErr w:type="spellEnd"/>
      <w:r w:rsidR="0034209D" w:rsidRPr="003E7C50">
        <w:t xml:space="preserve"> alone arms, respectively. </w:t>
      </w:r>
    </w:p>
    <w:p w:rsidR="006743D7" w:rsidRPr="003E7C50" w:rsidRDefault="002B2D2B" w:rsidP="009C5337">
      <w:pPr>
        <w:pStyle w:val="ListParagraph"/>
      </w:pPr>
      <w:r w:rsidRPr="003E7C50">
        <w:t xml:space="preserve">The </w:t>
      </w:r>
      <w:r w:rsidR="009C5337" w:rsidRPr="003E7C50">
        <w:t xml:space="preserve">ESC considered the </w:t>
      </w:r>
      <w:r w:rsidRPr="003E7C50">
        <w:t>claim of inferior s</w:t>
      </w:r>
      <w:r w:rsidR="002A4565" w:rsidRPr="003E7C50">
        <w:t xml:space="preserve">afety </w:t>
      </w:r>
      <w:r w:rsidR="009C5337" w:rsidRPr="003E7C50">
        <w:t>wa</w:t>
      </w:r>
      <w:r w:rsidRPr="003E7C50">
        <w:t xml:space="preserve">s reasonable, </w:t>
      </w:r>
      <w:r w:rsidR="009C5337" w:rsidRPr="003E7C50">
        <w:t xml:space="preserve">with the majority of </w:t>
      </w:r>
      <w:proofErr w:type="spellStart"/>
      <w:r w:rsidR="009C5337" w:rsidRPr="003E7C50">
        <w:t>ribociclib</w:t>
      </w:r>
      <w:proofErr w:type="spellEnd"/>
      <w:r w:rsidR="009C5337" w:rsidRPr="003E7C50">
        <w:t xml:space="preserve"> + </w:t>
      </w:r>
      <w:proofErr w:type="spellStart"/>
      <w:r w:rsidR="009C5337" w:rsidRPr="003E7C50">
        <w:t>letrozole</w:t>
      </w:r>
      <w:proofErr w:type="spellEnd"/>
      <w:r w:rsidR="009C5337" w:rsidRPr="003E7C50">
        <w:t xml:space="preserve"> patients in the MONAL</w:t>
      </w:r>
      <w:r w:rsidR="00322C9D" w:rsidRPr="003E7C50">
        <w:t>E</w:t>
      </w:r>
      <w:r w:rsidR="009C5337" w:rsidRPr="003E7C50">
        <w:t>ESA-2 trial experiencing Grade</w:t>
      </w:r>
      <w:r w:rsidR="009C5337" w:rsidRPr="003E7C50">
        <w:sym w:font="Symbol" w:char="F0B3"/>
      </w:r>
      <w:r w:rsidR="009C5337" w:rsidRPr="003E7C50">
        <w:t xml:space="preserve">3 AEs </w:t>
      </w:r>
      <w:proofErr w:type="spellStart"/>
      <w:r w:rsidR="006B2EA2" w:rsidRPr="003E7C50">
        <w:t>AEs</w:t>
      </w:r>
      <w:proofErr w:type="spellEnd"/>
      <w:r w:rsidR="002A4565" w:rsidRPr="003E7C50">
        <w:t xml:space="preserve"> (</w:t>
      </w:r>
      <w:r w:rsidR="00B235DF">
        <w:rPr>
          <w:noProof/>
          <w:color w:val="000000"/>
          <w:highlight w:val="black"/>
        </w:rPr>
        <w:t>'''''''''</w:t>
      </w:r>
      <w:r w:rsidR="009C5337" w:rsidRPr="003E7C50">
        <w:t xml:space="preserve">%, </w:t>
      </w:r>
      <w:r w:rsidR="002A4565" w:rsidRPr="003E7C50">
        <w:t xml:space="preserve">compared </w:t>
      </w:r>
      <w:r w:rsidRPr="003E7C50">
        <w:t xml:space="preserve">with </w:t>
      </w:r>
      <w:r w:rsidR="00B235DF">
        <w:rPr>
          <w:noProof/>
          <w:color w:val="000000"/>
          <w:highlight w:val="black"/>
        </w:rPr>
        <w:t>''''''''</w:t>
      </w:r>
      <w:r w:rsidR="002A4565" w:rsidRPr="003E7C50">
        <w:t xml:space="preserve">% for </w:t>
      </w:r>
      <w:proofErr w:type="spellStart"/>
      <w:r w:rsidR="002A4565" w:rsidRPr="003E7C50">
        <w:t>letrozole</w:t>
      </w:r>
      <w:proofErr w:type="spellEnd"/>
      <w:r w:rsidR="002A4565" w:rsidRPr="003E7C50">
        <w:t xml:space="preserve"> alone)</w:t>
      </w:r>
      <w:r w:rsidR="008E6B55" w:rsidRPr="003E7C50">
        <w:t>.</w:t>
      </w:r>
      <w:r w:rsidR="003A64B4" w:rsidRPr="003E7C50">
        <w:t xml:space="preserve"> </w:t>
      </w:r>
      <w:r w:rsidR="00530BC5" w:rsidRPr="003E7C50">
        <w:t>T</w:t>
      </w:r>
      <w:r w:rsidR="002719F8" w:rsidRPr="003E7C50">
        <w:t>he PSCR (p.1)</w:t>
      </w:r>
      <w:r w:rsidR="00530BC5" w:rsidRPr="003E7C50">
        <w:t xml:space="preserve"> argued that the</w:t>
      </w:r>
      <w:r w:rsidR="00904273" w:rsidRPr="003E7C50">
        <w:t xml:space="preserve"> AEs</w:t>
      </w:r>
      <w:r w:rsidR="003A64B4" w:rsidRPr="003E7C50">
        <w:t xml:space="preserve"> were mostly asymptomatic, predictable and manageable. </w:t>
      </w:r>
      <w:r w:rsidR="009C5337" w:rsidRPr="003E7C50">
        <w:t xml:space="preserve">The ESC agreed that the high incidence of neutropenia may be manageable in clinical practice as it is rapidly reversible and dose dependent and </w:t>
      </w:r>
      <w:r w:rsidR="003A64B4" w:rsidRPr="003E7C50">
        <w:t xml:space="preserve">noted that dose interruptions and reductions would be part of the standard management of patients on a CDK4/6 inhibitor + NSAI combination. The </w:t>
      </w:r>
      <w:r w:rsidR="00530BC5" w:rsidRPr="003E7C50">
        <w:t>PSCR</w:t>
      </w:r>
      <w:r w:rsidR="003A64B4" w:rsidRPr="003E7C50">
        <w:t xml:space="preserve"> noted that quality of life was not adversely affected as a result of AEs in the MONALEESA-2 trial. </w:t>
      </w:r>
      <w:r w:rsidR="00530BC5" w:rsidRPr="003E7C50">
        <w:t xml:space="preserve">Conversely, the ESC noted that quality of life was not improved as a result of treatment with </w:t>
      </w:r>
      <w:proofErr w:type="spellStart"/>
      <w:r w:rsidR="00530BC5" w:rsidRPr="003E7C50">
        <w:t>ribociclib</w:t>
      </w:r>
      <w:proofErr w:type="spellEnd"/>
      <w:r w:rsidR="00530BC5" w:rsidRPr="003E7C50">
        <w:t xml:space="preserve"> + </w:t>
      </w:r>
      <w:proofErr w:type="spellStart"/>
      <w:r w:rsidR="00530BC5" w:rsidRPr="003E7C50">
        <w:t>letrozole</w:t>
      </w:r>
      <w:proofErr w:type="spellEnd"/>
      <w:r w:rsidR="00530BC5" w:rsidRPr="003E7C50">
        <w:t xml:space="preserve">, compared with </w:t>
      </w:r>
      <w:proofErr w:type="spellStart"/>
      <w:r w:rsidR="00530BC5" w:rsidRPr="003E7C50">
        <w:t>letrozole</w:t>
      </w:r>
      <w:proofErr w:type="spellEnd"/>
      <w:r w:rsidR="00530BC5" w:rsidRPr="003E7C50">
        <w:t xml:space="preserve"> alone. </w:t>
      </w:r>
    </w:p>
    <w:p w:rsidR="006743D7" w:rsidRPr="003E7C50" w:rsidRDefault="002A4565" w:rsidP="00530BC5">
      <w:pPr>
        <w:pStyle w:val="ListParagraph"/>
      </w:pPr>
      <w:r w:rsidRPr="003E7C50">
        <w:t xml:space="preserve">The </w:t>
      </w:r>
      <w:r w:rsidR="00BA57F5" w:rsidRPr="003E7C50">
        <w:t xml:space="preserve">submission also </w:t>
      </w:r>
      <w:r w:rsidRPr="003E7C50">
        <w:t>claim</w:t>
      </w:r>
      <w:r w:rsidR="00BA57F5" w:rsidRPr="003E7C50">
        <w:t>ed</w:t>
      </w:r>
      <w:r w:rsidRPr="003E7C50">
        <w:t xml:space="preserve"> that </w:t>
      </w:r>
      <w:proofErr w:type="spellStart"/>
      <w:r w:rsidRPr="003E7C50">
        <w:t>ribociclib</w:t>
      </w:r>
      <w:proofErr w:type="spellEnd"/>
      <w:r w:rsidRPr="003E7C50">
        <w:t xml:space="preserve"> + </w:t>
      </w:r>
      <w:proofErr w:type="spellStart"/>
      <w:r w:rsidRPr="003E7C50">
        <w:t>letrozole</w:t>
      </w:r>
      <w:proofErr w:type="spellEnd"/>
      <w:r w:rsidRPr="003E7C50">
        <w:t xml:space="preserve"> </w:t>
      </w:r>
      <w:r w:rsidR="00F72634" w:rsidRPr="003E7C50">
        <w:t xml:space="preserve">was </w:t>
      </w:r>
      <w:r w:rsidRPr="003E7C50">
        <w:t xml:space="preserve">non-inferior </w:t>
      </w:r>
      <w:r w:rsidR="00F72634" w:rsidRPr="003E7C50">
        <w:t xml:space="preserve">in </w:t>
      </w:r>
      <w:r w:rsidR="00CD1B6E" w:rsidRPr="003E7C50">
        <w:t>efficacy</w:t>
      </w:r>
      <w:r w:rsidR="006743D7" w:rsidRPr="003E7C50">
        <w:t xml:space="preserve"> </w:t>
      </w:r>
      <w:r w:rsidRPr="003E7C50">
        <w:t xml:space="preserve">and safety </w:t>
      </w:r>
      <w:r w:rsidR="00BA57F5" w:rsidRPr="003E7C50">
        <w:t xml:space="preserve">compared with </w:t>
      </w:r>
      <w:proofErr w:type="spellStart"/>
      <w:r w:rsidRPr="003E7C50">
        <w:t>palbociclib</w:t>
      </w:r>
      <w:proofErr w:type="spellEnd"/>
      <w:r w:rsidRPr="003E7C50">
        <w:t xml:space="preserve"> + </w:t>
      </w:r>
      <w:proofErr w:type="spellStart"/>
      <w:r w:rsidRPr="003E7C50">
        <w:t>letrozole</w:t>
      </w:r>
      <w:proofErr w:type="spellEnd"/>
      <w:r w:rsidR="00BA0CDE" w:rsidRPr="003E7C50">
        <w:t xml:space="preserve"> based on indirect evidence</w:t>
      </w:r>
      <w:r w:rsidR="00530BC5" w:rsidRPr="003E7C50">
        <w:t xml:space="preserve">. </w:t>
      </w:r>
      <w:r w:rsidR="008B44D8" w:rsidRPr="003E7C50">
        <w:t xml:space="preserve">This </w:t>
      </w:r>
      <w:r w:rsidR="00814E34" w:rsidRPr="003E7C50">
        <w:t xml:space="preserve">indirect </w:t>
      </w:r>
      <w:r w:rsidR="008B44D8" w:rsidRPr="003E7C50">
        <w:t>clinical claim regarding efficacy is also premature</w:t>
      </w:r>
      <w:r w:rsidRPr="003E7C50">
        <w:t xml:space="preserve">. </w:t>
      </w:r>
      <w:r w:rsidR="00BA0CDE" w:rsidRPr="003E7C50">
        <w:t xml:space="preserve">Based on the </w:t>
      </w:r>
      <w:r w:rsidRPr="003E7C50">
        <w:t xml:space="preserve">indirect comparison </w:t>
      </w:r>
      <w:r w:rsidR="00BA0CDE" w:rsidRPr="003E7C50">
        <w:t>there was no</w:t>
      </w:r>
      <w:r w:rsidRPr="003E7C50">
        <w:t xml:space="preserve"> significant difference between </w:t>
      </w:r>
      <w:proofErr w:type="spellStart"/>
      <w:r w:rsidRPr="003E7C50">
        <w:t>ribociclib</w:t>
      </w:r>
      <w:proofErr w:type="spellEnd"/>
      <w:r w:rsidRPr="003E7C50">
        <w:t xml:space="preserve"> and </w:t>
      </w:r>
      <w:proofErr w:type="spellStart"/>
      <w:r w:rsidRPr="003E7C50">
        <w:t>palbociclib</w:t>
      </w:r>
      <w:proofErr w:type="spellEnd"/>
      <w:r w:rsidRPr="003E7C50">
        <w:t xml:space="preserve"> </w:t>
      </w:r>
      <w:r w:rsidR="00BA0CDE" w:rsidRPr="003E7C50">
        <w:t>for</w:t>
      </w:r>
      <w:r w:rsidRPr="003E7C50">
        <w:t xml:space="preserve"> PF</w:t>
      </w:r>
      <w:r w:rsidR="00BA0CDE" w:rsidRPr="003E7C50">
        <w:t xml:space="preserve">S. </w:t>
      </w:r>
      <w:r w:rsidR="005F7B62" w:rsidRPr="003E7C50">
        <w:t>However, a</w:t>
      </w:r>
      <w:r w:rsidR="00BA0CDE" w:rsidRPr="003E7C50">
        <w:t xml:space="preserve"> lack of evidence </w:t>
      </w:r>
      <w:r w:rsidR="00893B76" w:rsidRPr="003E7C50">
        <w:t>of</w:t>
      </w:r>
      <w:r w:rsidR="00BA0CDE" w:rsidRPr="003E7C50">
        <w:t xml:space="preserve"> a significant difference is not </w:t>
      </w:r>
      <w:r w:rsidR="0006381C" w:rsidRPr="003E7C50">
        <w:t>equivalent to</w:t>
      </w:r>
      <w:r w:rsidR="00BA0CDE" w:rsidRPr="003E7C50">
        <w:t xml:space="preserve"> evidence of no difference (non-inferiority)</w:t>
      </w:r>
      <w:r w:rsidR="009E4457">
        <w:t>, and a</w:t>
      </w:r>
      <w:r w:rsidR="003215F2" w:rsidRPr="003E7C50">
        <w:t xml:space="preserve"> non-inferiority margin was </w:t>
      </w:r>
      <w:r w:rsidR="009E4457">
        <w:t xml:space="preserve">not </w:t>
      </w:r>
      <w:r w:rsidR="003215F2" w:rsidRPr="003E7C50">
        <w:t>nominated</w:t>
      </w:r>
      <w:r w:rsidR="003C2438">
        <w:t xml:space="preserve"> by the submission</w:t>
      </w:r>
      <w:r w:rsidR="00530BC5" w:rsidRPr="003E7C50">
        <w:t>.</w:t>
      </w:r>
      <w:r w:rsidR="003215F2" w:rsidRPr="003E7C50">
        <w:t xml:space="preserve"> Two of the trials are immature (MONALEESA-2 and PALOMA-2) and ha</w:t>
      </w:r>
      <w:r w:rsidR="00530BC5" w:rsidRPr="003E7C50">
        <w:t>d</w:t>
      </w:r>
      <w:r w:rsidR="003215F2" w:rsidRPr="003E7C50">
        <w:t xml:space="preserve"> not reached median </w:t>
      </w:r>
      <w:r w:rsidR="00B7550B" w:rsidRPr="003E7C50">
        <w:t>OS</w:t>
      </w:r>
      <w:r w:rsidR="003215F2" w:rsidRPr="003E7C50">
        <w:t xml:space="preserve">. </w:t>
      </w:r>
      <w:r w:rsidRPr="003E7C50">
        <w:t xml:space="preserve">There was no significant difference identified in patients experiencing </w:t>
      </w:r>
      <w:r w:rsidR="006F37B5" w:rsidRPr="003E7C50">
        <w:t>Grade</w:t>
      </w:r>
      <w:r w:rsidR="006F37B5" w:rsidRPr="003E7C50">
        <w:sym w:font="Symbol" w:char="F0B3"/>
      </w:r>
      <w:r w:rsidRPr="003E7C50">
        <w:t>3</w:t>
      </w:r>
      <w:r w:rsidR="006F37B5" w:rsidRPr="003E7C50">
        <w:t xml:space="preserve"> </w:t>
      </w:r>
      <w:r w:rsidR="006B2EA2" w:rsidRPr="003E7C50">
        <w:t>AEs</w:t>
      </w:r>
      <w:r w:rsidR="008B44D8" w:rsidRPr="003E7C50">
        <w:t>,</w:t>
      </w:r>
      <w:r w:rsidRPr="003E7C50">
        <w:t xml:space="preserve"> however there were more treatment discontinuations resulting from </w:t>
      </w:r>
      <w:r w:rsidR="006B2EA2" w:rsidRPr="003E7C50">
        <w:t>AEs</w:t>
      </w:r>
      <w:r w:rsidR="00F53728" w:rsidRPr="003E7C50">
        <w:t xml:space="preserve"> for </w:t>
      </w:r>
      <w:proofErr w:type="spellStart"/>
      <w:r w:rsidR="00F53728" w:rsidRPr="003E7C50">
        <w:t>ribociclib</w:t>
      </w:r>
      <w:proofErr w:type="spellEnd"/>
      <w:r w:rsidR="0032544E" w:rsidRPr="003E7C50">
        <w:t xml:space="preserve"> + </w:t>
      </w:r>
      <w:proofErr w:type="spellStart"/>
      <w:r w:rsidR="0032544E" w:rsidRPr="003E7C50">
        <w:t>letrozole</w:t>
      </w:r>
      <w:proofErr w:type="spellEnd"/>
      <w:r w:rsidR="00004D78" w:rsidRPr="003E7C50">
        <w:t xml:space="preserve">, which was </w:t>
      </w:r>
      <w:r w:rsidR="00004D78" w:rsidRPr="00FB574F">
        <w:t>statistically significant</w:t>
      </w:r>
      <w:r w:rsidR="00530BC5" w:rsidRPr="003E7C50">
        <w:t>; t</w:t>
      </w:r>
      <w:r w:rsidRPr="003E7C50">
        <w:t xml:space="preserve">he claim of non-inferior safety </w:t>
      </w:r>
      <w:r w:rsidR="004A3DE3" w:rsidRPr="003E7C50">
        <w:t>wa</w:t>
      </w:r>
      <w:r w:rsidRPr="003E7C50">
        <w:t xml:space="preserve">s </w:t>
      </w:r>
      <w:r w:rsidR="006A0977" w:rsidRPr="003E7C50">
        <w:t xml:space="preserve">therefore </w:t>
      </w:r>
      <w:r w:rsidRPr="003E7C50">
        <w:t>not supported. The indirect comparison is also subject to exchangeability limitations resulting from baseline differences between the trials on characteristics shown to be related to PFS, and event rates in the common reference group that differed between t</w:t>
      </w:r>
      <w:r w:rsidR="00CD1B6E" w:rsidRPr="003E7C50">
        <w:t>rials.</w:t>
      </w:r>
      <w:r w:rsidR="00533CEC" w:rsidRPr="003E7C50">
        <w:t xml:space="preserve"> The ESC agreed</w:t>
      </w:r>
      <w:r w:rsidR="00530F06" w:rsidRPr="003E7C50">
        <w:t xml:space="preserve"> with the evaluation</w:t>
      </w:r>
      <w:r w:rsidR="00533CEC" w:rsidRPr="003E7C50">
        <w:t xml:space="preserve"> and advised that the submission’s claim of non-inferiority over </w:t>
      </w:r>
      <w:proofErr w:type="spellStart"/>
      <w:r w:rsidR="00533CEC" w:rsidRPr="003E7C50">
        <w:t>palbociclib</w:t>
      </w:r>
      <w:proofErr w:type="spellEnd"/>
      <w:r w:rsidR="00533CEC" w:rsidRPr="003E7C50">
        <w:t xml:space="preserve"> was </w:t>
      </w:r>
      <w:r w:rsidR="00DD1541" w:rsidRPr="003E7C50">
        <w:t>not adequately supported</w:t>
      </w:r>
      <w:r w:rsidR="00533CEC" w:rsidRPr="003E7C50">
        <w:t xml:space="preserve">. </w:t>
      </w:r>
    </w:p>
    <w:p w:rsidR="00252731" w:rsidRPr="003E7C50" w:rsidRDefault="00252731" w:rsidP="00252731">
      <w:pPr>
        <w:pStyle w:val="ListParagraph"/>
        <w:rPr>
          <w:snapToGrid w:val="0"/>
        </w:rPr>
      </w:pPr>
      <w:r w:rsidRPr="003E7C50">
        <w:rPr>
          <w:rFonts w:eastAsia="Times New Roman" w:cs="Arial"/>
          <w:bCs/>
          <w:snapToGrid w:val="0"/>
        </w:rPr>
        <w:t xml:space="preserve">The PBAC advised that while the submission’s claim of superior efficacy </w:t>
      </w:r>
      <w:r w:rsidR="002F7987" w:rsidRPr="003E7C50">
        <w:rPr>
          <w:rFonts w:eastAsia="Times New Roman" w:cs="Arial"/>
          <w:bCs/>
          <w:snapToGrid w:val="0"/>
        </w:rPr>
        <w:t xml:space="preserve">compared with </w:t>
      </w:r>
      <w:proofErr w:type="spellStart"/>
      <w:r w:rsidRPr="003E7C50">
        <w:rPr>
          <w:rFonts w:eastAsia="Times New Roman" w:cs="Arial"/>
          <w:bCs/>
          <w:snapToGrid w:val="0"/>
        </w:rPr>
        <w:t>letrozole</w:t>
      </w:r>
      <w:proofErr w:type="spellEnd"/>
      <w:r w:rsidRPr="003E7C50">
        <w:rPr>
          <w:rFonts w:eastAsia="Times New Roman" w:cs="Arial"/>
          <w:bCs/>
          <w:snapToGrid w:val="0"/>
        </w:rPr>
        <w:t xml:space="preserve"> alone was reasonable for </w:t>
      </w:r>
      <w:r w:rsidR="00EA64C8" w:rsidRPr="003E7C50">
        <w:rPr>
          <w:rFonts w:eastAsia="Times New Roman" w:cs="Arial"/>
          <w:bCs/>
          <w:snapToGrid w:val="0"/>
        </w:rPr>
        <w:t>PFS</w:t>
      </w:r>
      <w:r w:rsidRPr="003E7C50">
        <w:rPr>
          <w:rFonts w:eastAsia="Times New Roman" w:cs="Arial"/>
          <w:bCs/>
          <w:snapToGrid w:val="0"/>
        </w:rPr>
        <w:t xml:space="preserve">, the immaturity of the </w:t>
      </w:r>
      <w:r w:rsidR="00EA64C8" w:rsidRPr="003E7C50">
        <w:rPr>
          <w:rFonts w:eastAsia="Times New Roman" w:cs="Arial"/>
          <w:bCs/>
          <w:snapToGrid w:val="0"/>
        </w:rPr>
        <w:t>OS</w:t>
      </w:r>
      <w:r w:rsidRPr="003E7C50">
        <w:rPr>
          <w:rFonts w:eastAsia="Times New Roman" w:cs="Arial"/>
          <w:bCs/>
          <w:snapToGrid w:val="0"/>
        </w:rPr>
        <w:t xml:space="preserve"> data resulted in a high degree of uncertainty in the assessment of </w:t>
      </w:r>
      <w:r w:rsidR="00E23605" w:rsidRPr="003E7C50">
        <w:rPr>
          <w:rFonts w:eastAsia="Times New Roman" w:cs="Arial"/>
          <w:bCs/>
          <w:snapToGrid w:val="0"/>
        </w:rPr>
        <w:t xml:space="preserve">the </w:t>
      </w:r>
      <w:r w:rsidRPr="003E7C50">
        <w:rPr>
          <w:rFonts w:eastAsia="Times New Roman" w:cs="Arial"/>
          <w:bCs/>
          <w:snapToGrid w:val="0"/>
        </w:rPr>
        <w:t xml:space="preserve">magnitude of long-term benefit. </w:t>
      </w:r>
    </w:p>
    <w:p w:rsidR="00252731" w:rsidRPr="003E7C50" w:rsidRDefault="00252731" w:rsidP="00252731">
      <w:pPr>
        <w:pStyle w:val="ListParagraph"/>
      </w:pPr>
      <w:r w:rsidRPr="003E7C50">
        <w:t xml:space="preserve">The PBAC noted the limited exchangeability of </w:t>
      </w:r>
      <w:r w:rsidR="007F3910" w:rsidRPr="003E7C50">
        <w:t xml:space="preserve">the </w:t>
      </w:r>
      <w:r w:rsidRPr="003E7C50">
        <w:t xml:space="preserve">trials included in the indirect comparison </w:t>
      </w:r>
      <w:r w:rsidR="007F3910" w:rsidRPr="003E7C50">
        <w:t xml:space="preserve">with </w:t>
      </w:r>
      <w:proofErr w:type="spellStart"/>
      <w:r w:rsidRPr="003E7C50">
        <w:t>palbociclib</w:t>
      </w:r>
      <w:proofErr w:type="spellEnd"/>
      <w:r w:rsidRPr="003E7C50">
        <w:t xml:space="preserve"> presented in the submission</w:t>
      </w:r>
      <w:r w:rsidR="008A0ED5" w:rsidRPr="003E7C50">
        <w:t>. The PBAC further noted</w:t>
      </w:r>
      <w:r w:rsidRPr="003E7C50">
        <w:t xml:space="preserve"> that there were significantly more treatment discontinuations resulting from AEs for </w:t>
      </w:r>
      <w:proofErr w:type="spellStart"/>
      <w:r w:rsidRPr="003E7C50">
        <w:t>ribociclib</w:t>
      </w:r>
      <w:proofErr w:type="spellEnd"/>
      <w:r w:rsidRPr="003E7C50">
        <w:t xml:space="preserve"> plus </w:t>
      </w:r>
      <w:proofErr w:type="spellStart"/>
      <w:r w:rsidRPr="003E7C50">
        <w:t>letrozole</w:t>
      </w:r>
      <w:proofErr w:type="spellEnd"/>
      <w:r w:rsidRPr="003E7C50">
        <w:t xml:space="preserve"> compared </w:t>
      </w:r>
      <w:r w:rsidR="00B020B3" w:rsidRPr="003E7C50">
        <w:t>with</w:t>
      </w:r>
      <w:r w:rsidRPr="003E7C50">
        <w:t xml:space="preserve"> </w:t>
      </w:r>
      <w:proofErr w:type="spellStart"/>
      <w:r w:rsidRPr="003E7C50">
        <w:t>palbociclib</w:t>
      </w:r>
      <w:proofErr w:type="spellEnd"/>
      <w:r w:rsidRPr="003E7C50">
        <w:t xml:space="preserve"> plus </w:t>
      </w:r>
      <w:proofErr w:type="spellStart"/>
      <w:r w:rsidRPr="003E7C50">
        <w:t>letrozole</w:t>
      </w:r>
      <w:proofErr w:type="spellEnd"/>
      <w:r w:rsidRPr="003E7C50">
        <w:t xml:space="preserve">. Overall, the PBAC advised that the submission’s claim of non-inferiority against </w:t>
      </w:r>
      <w:proofErr w:type="spellStart"/>
      <w:r w:rsidRPr="003E7C50">
        <w:t>palbociclib</w:t>
      </w:r>
      <w:proofErr w:type="spellEnd"/>
      <w:r w:rsidR="002F7987" w:rsidRPr="003E7C50">
        <w:t xml:space="preserve"> was not adequately supported</w:t>
      </w:r>
      <w:r w:rsidRPr="003E7C50">
        <w:t xml:space="preserve">. </w:t>
      </w:r>
    </w:p>
    <w:p w:rsidR="00C317F3" w:rsidRPr="003E7C50" w:rsidRDefault="00C317F3" w:rsidP="00B34042">
      <w:pPr>
        <w:pStyle w:val="Heading2"/>
      </w:pPr>
      <w:bookmarkStart w:id="20" w:name="_Toc482023188"/>
      <w:r w:rsidRPr="003E7C50">
        <w:t>Economic analysis</w:t>
      </w:r>
      <w:bookmarkEnd w:id="14"/>
      <w:bookmarkEnd w:id="20"/>
    </w:p>
    <w:p w:rsidR="00E6510C" w:rsidRPr="003E7C50" w:rsidRDefault="003E666C" w:rsidP="001D17E8">
      <w:pPr>
        <w:pStyle w:val="ListParagraph"/>
      </w:pPr>
      <w:r w:rsidRPr="003E7C50">
        <w:t>The submission presented</w:t>
      </w:r>
      <w:r w:rsidR="00511C21" w:rsidRPr="003E7C50">
        <w:t xml:space="preserve"> a</w:t>
      </w:r>
      <w:r w:rsidRPr="003E7C50">
        <w:t xml:space="preserve"> cost-effectiveness and cost-utility analysis comparing </w:t>
      </w:r>
      <w:proofErr w:type="spellStart"/>
      <w:r w:rsidRPr="003E7C50">
        <w:t>ribociclib</w:t>
      </w:r>
      <w:proofErr w:type="spellEnd"/>
      <w:r w:rsidRPr="003E7C50">
        <w:t xml:space="preserve"> + </w:t>
      </w:r>
      <w:proofErr w:type="spellStart"/>
      <w:r w:rsidRPr="003E7C50">
        <w:t>letrozole</w:t>
      </w:r>
      <w:proofErr w:type="spellEnd"/>
      <w:r w:rsidRPr="003E7C50">
        <w:t xml:space="preserve"> and </w:t>
      </w:r>
      <w:proofErr w:type="spellStart"/>
      <w:r w:rsidRPr="003E7C50">
        <w:t>letrozole</w:t>
      </w:r>
      <w:proofErr w:type="spellEnd"/>
      <w:r w:rsidRPr="003E7C50">
        <w:t xml:space="preserve"> alone</w:t>
      </w:r>
      <w:r w:rsidR="008D51B1" w:rsidRPr="003E7C50">
        <w:t>, based on the MONALEESA-2 trial as well as external data sources and implementing a modelled evaluation</w:t>
      </w:r>
      <w:r w:rsidR="00E6510C" w:rsidRPr="003E7C50">
        <w:t>.</w:t>
      </w:r>
    </w:p>
    <w:p w:rsidR="000F4239" w:rsidRPr="003E7C50" w:rsidRDefault="001506E8" w:rsidP="00F317AD">
      <w:pPr>
        <w:pStyle w:val="ListParagraph"/>
      </w:pPr>
      <w:r w:rsidRPr="003E7C50">
        <w:t xml:space="preserve">The ESC noted that the PSCR provided an </w:t>
      </w:r>
      <w:r w:rsidR="00530F06" w:rsidRPr="003E7C50">
        <w:t xml:space="preserve">updated </w:t>
      </w:r>
      <w:r w:rsidRPr="003E7C50">
        <w:t xml:space="preserve">economic </w:t>
      </w:r>
      <w:r w:rsidR="00530F06" w:rsidRPr="003E7C50">
        <w:t>model</w:t>
      </w:r>
      <w:r w:rsidRPr="003E7C50">
        <w:t xml:space="preserve"> based on the January 2017 data, which reported an ICER of </w:t>
      </w:r>
      <w:r w:rsidR="00F12FC6" w:rsidRPr="00F12FC6">
        <w:t>$75,000/QALY – $105,000/QALY</w:t>
      </w:r>
      <w:r w:rsidR="00F12FC6" w:rsidRPr="00F12FC6" w:rsidDel="00F12FC6">
        <w:t xml:space="preserve"> </w:t>
      </w:r>
      <w:r w:rsidR="00177DBD" w:rsidRPr="003E7C50">
        <w:t>gained</w:t>
      </w:r>
      <w:r w:rsidRPr="003E7C50">
        <w:t xml:space="preserve">. The ESC considered that although the use of </w:t>
      </w:r>
      <w:r w:rsidR="00E75629" w:rsidRPr="003E7C50">
        <w:t>the updated</w:t>
      </w:r>
      <w:r w:rsidRPr="003E7C50">
        <w:t xml:space="preserve"> data </w:t>
      </w:r>
      <w:r w:rsidR="00084AA4">
        <w:t>addressed some of the issues raised in the evaluation</w:t>
      </w:r>
      <w:r w:rsidRPr="003E7C50">
        <w:t xml:space="preserve">, the ICER from the PSCR could not be directly compared </w:t>
      </w:r>
      <w:r w:rsidR="00B020B3" w:rsidRPr="003E7C50">
        <w:t xml:space="preserve">with </w:t>
      </w:r>
      <w:r w:rsidRPr="003E7C50">
        <w:t>the ICER from the submission</w:t>
      </w:r>
      <w:r w:rsidR="00F317AD">
        <w:t xml:space="preserve"> (</w:t>
      </w:r>
      <w:r w:rsidR="00F317AD" w:rsidRPr="00F317AD">
        <w:t>$105,000/QALY – $200,000/QALY</w:t>
      </w:r>
      <w:r w:rsidR="00F317AD">
        <w:t xml:space="preserve"> </w:t>
      </w:r>
      <w:r w:rsidR="00177DBD" w:rsidRPr="003E7C50">
        <w:t>gained)</w:t>
      </w:r>
      <w:r w:rsidRPr="003E7C50">
        <w:t xml:space="preserve"> as the </w:t>
      </w:r>
      <w:r w:rsidR="00DD1541" w:rsidRPr="003E7C50">
        <w:t xml:space="preserve">extrapolation approach </w:t>
      </w:r>
      <w:r w:rsidRPr="003E7C50">
        <w:t>differ</w:t>
      </w:r>
      <w:r w:rsidR="00DD1541" w:rsidRPr="003E7C50">
        <w:t>ed</w:t>
      </w:r>
      <w:r w:rsidRPr="003E7C50">
        <w:t xml:space="preserve"> between the </w:t>
      </w:r>
      <w:r w:rsidR="00E75629" w:rsidRPr="003E7C50">
        <w:t xml:space="preserve">two </w:t>
      </w:r>
      <w:r w:rsidRPr="003E7C50">
        <w:t xml:space="preserve">economic models. </w:t>
      </w:r>
    </w:p>
    <w:p w:rsidR="002D042C" w:rsidRPr="003E7C50" w:rsidRDefault="001506E8" w:rsidP="003215F2">
      <w:pPr>
        <w:pStyle w:val="ListParagraph"/>
      </w:pPr>
      <w:r w:rsidRPr="003E7C50">
        <w:t xml:space="preserve">Additionally, the ESC noted that the ICER provided in the PSCR was sensitive to the choice of functional form for the extrapolation, and that the use of </w:t>
      </w:r>
      <w:r w:rsidR="00DD1541" w:rsidRPr="003E7C50">
        <w:t xml:space="preserve">a </w:t>
      </w:r>
      <w:r w:rsidRPr="003E7C50">
        <w:t xml:space="preserve">Weibull </w:t>
      </w:r>
      <w:r w:rsidR="00DD1541" w:rsidRPr="003E7C50">
        <w:t>function</w:t>
      </w:r>
      <w:r w:rsidR="00084AA4">
        <w:t xml:space="preserve"> in the ICER provided in the PSCR</w:t>
      </w:r>
      <w:r w:rsidR="00DD1541" w:rsidRPr="003E7C50">
        <w:t xml:space="preserve"> </w:t>
      </w:r>
      <w:r w:rsidR="00E75629" w:rsidRPr="003E7C50">
        <w:t>resulted in a lower</w:t>
      </w:r>
      <w:r w:rsidRPr="003E7C50">
        <w:t xml:space="preserve"> ICER</w:t>
      </w:r>
      <w:r w:rsidR="00E75629" w:rsidRPr="003E7C50">
        <w:t xml:space="preserve"> than other functions</w:t>
      </w:r>
      <w:r w:rsidRPr="003E7C50">
        <w:t>. T</w:t>
      </w:r>
      <w:r w:rsidR="00A96538" w:rsidRPr="003E7C50">
        <w:t xml:space="preserve">he ESC considered </w:t>
      </w:r>
      <w:r w:rsidR="00E6510C" w:rsidRPr="003E7C50">
        <w:t xml:space="preserve">that the updated model </w:t>
      </w:r>
      <w:r w:rsidRPr="003E7C50">
        <w:t>required</w:t>
      </w:r>
      <w:r w:rsidR="00E6510C" w:rsidRPr="003E7C50">
        <w:t xml:space="preserve"> evaluation</w:t>
      </w:r>
      <w:r w:rsidR="00A96538" w:rsidRPr="003E7C50">
        <w:t xml:space="preserve"> </w:t>
      </w:r>
      <w:r w:rsidRPr="003E7C50">
        <w:t>via</w:t>
      </w:r>
      <w:r w:rsidR="00A96538" w:rsidRPr="003E7C50">
        <w:t xml:space="preserve"> a subsequent major submission</w:t>
      </w:r>
      <w:r w:rsidR="00E6510C" w:rsidRPr="003E7C50">
        <w:t>.</w:t>
      </w:r>
      <w:r w:rsidR="00A96538" w:rsidRPr="003E7C50">
        <w:t xml:space="preserve"> The remainder of this section relates to the economic model </w:t>
      </w:r>
      <w:r w:rsidR="00530F06" w:rsidRPr="003E7C50">
        <w:t>presented in</w:t>
      </w:r>
      <w:r w:rsidR="00B06379" w:rsidRPr="003E7C50">
        <w:t xml:space="preserve"> </w:t>
      </w:r>
      <w:r w:rsidR="00A96538" w:rsidRPr="003E7C50">
        <w:t>the submission.</w:t>
      </w:r>
      <w:r w:rsidR="0009678E" w:rsidRPr="003E7C50">
        <w:t xml:space="preserve"> The </w:t>
      </w:r>
      <w:r w:rsidR="002D042C" w:rsidRPr="003E7C50">
        <w:t>pre</w:t>
      </w:r>
      <w:r w:rsidR="0009678E" w:rsidRPr="003E7C50">
        <w:t xml:space="preserve">-PBAC response (p.1) stated that a major resubmission would be submitted for the PBAC’s consideration at its November 2017 meeting </w:t>
      </w:r>
      <w:r w:rsidR="002D042C" w:rsidRPr="003E7C50">
        <w:t>to allow full evaluation of the updated model</w:t>
      </w:r>
      <w:r w:rsidR="0009678E" w:rsidRPr="003E7C50">
        <w:t>.</w:t>
      </w:r>
    </w:p>
    <w:p w:rsidR="00762A23" w:rsidRDefault="00762A23" w:rsidP="00762A23">
      <w:pPr>
        <w:pStyle w:val="Caption"/>
      </w:pPr>
      <w:r>
        <w:t xml:space="preserve">Table </w:t>
      </w:r>
      <w:r>
        <w:rPr>
          <w:noProof/>
        </w:rPr>
        <w:t>9</w:t>
      </w:r>
      <w:r w:rsidRPr="004C79D6">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62"/>
        <w:gridCol w:w="7720"/>
      </w:tblGrid>
      <w:tr w:rsidR="00C317F3" w:rsidRPr="003E7C50" w:rsidTr="00E6510C">
        <w:trPr>
          <w:tblHeader/>
        </w:trPr>
        <w:tc>
          <w:tcPr>
            <w:tcW w:w="750" w:type="pct"/>
            <w:shd w:val="clear" w:color="auto" w:fill="auto"/>
            <w:vAlign w:val="center"/>
          </w:tcPr>
          <w:p w:rsidR="00C317F3" w:rsidRPr="003E7C50" w:rsidRDefault="00C317F3" w:rsidP="00B34042">
            <w:pPr>
              <w:pStyle w:val="TableText"/>
              <w:spacing w:before="0" w:after="0"/>
              <w:rPr>
                <w:b/>
              </w:rPr>
            </w:pPr>
            <w:r w:rsidRPr="003E7C50">
              <w:rPr>
                <w:b/>
              </w:rPr>
              <w:t>Component</w:t>
            </w:r>
          </w:p>
        </w:tc>
        <w:tc>
          <w:tcPr>
            <w:tcW w:w="4250" w:type="pct"/>
            <w:shd w:val="clear" w:color="auto" w:fill="auto"/>
            <w:vAlign w:val="center"/>
          </w:tcPr>
          <w:p w:rsidR="00C317F3" w:rsidRPr="003E7C50" w:rsidRDefault="00C317F3" w:rsidP="00B34042">
            <w:pPr>
              <w:pStyle w:val="TableText"/>
              <w:spacing w:before="0" w:after="0"/>
              <w:rPr>
                <w:b/>
              </w:rPr>
            </w:pPr>
            <w:r w:rsidRPr="003E7C50">
              <w:rPr>
                <w:b/>
              </w:rPr>
              <w:t>Summary</w:t>
            </w:r>
          </w:p>
        </w:tc>
      </w:tr>
      <w:tr w:rsidR="00C317F3" w:rsidRPr="003E7C50" w:rsidTr="00E6510C">
        <w:tc>
          <w:tcPr>
            <w:tcW w:w="750" w:type="pct"/>
            <w:shd w:val="clear" w:color="auto" w:fill="auto"/>
            <w:vAlign w:val="center"/>
          </w:tcPr>
          <w:p w:rsidR="00C317F3" w:rsidRPr="003E7C50" w:rsidRDefault="00C317F3" w:rsidP="00F55128">
            <w:pPr>
              <w:pStyle w:val="TableText"/>
              <w:keepNext w:val="0"/>
              <w:widowControl w:val="0"/>
              <w:spacing w:before="0" w:after="0"/>
            </w:pPr>
            <w:r w:rsidRPr="003E7C50">
              <w:t>Time horizon</w:t>
            </w:r>
          </w:p>
        </w:tc>
        <w:tc>
          <w:tcPr>
            <w:tcW w:w="4250" w:type="pct"/>
            <w:shd w:val="clear" w:color="auto" w:fill="auto"/>
            <w:vAlign w:val="center"/>
          </w:tcPr>
          <w:p w:rsidR="00C317F3" w:rsidRPr="003E7C50" w:rsidRDefault="00FF6E0F" w:rsidP="00E6510C">
            <w:pPr>
              <w:pStyle w:val="TableText"/>
              <w:keepNext w:val="0"/>
              <w:widowControl w:val="0"/>
              <w:spacing w:before="0" w:after="0"/>
              <w:rPr>
                <w:rFonts w:ascii="Times" w:eastAsia="Times New Roman" w:hAnsi="Times" w:cs="Times New Roman"/>
              </w:rPr>
            </w:pPr>
            <w:r w:rsidRPr="003E7C50">
              <w:t xml:space="preserve">10 years in the model base case </w:t>
            </w:r>
            <w:r w:rsidR="00885E27" w:rsidRPr="003E7C50">
              <w:t>vs.</w:t>
            </w:r>
            <w:r w:rsidRPr="003E7C50">
              <w:t xml:space="preserve"> 15.3 months (median) in the MONALEESA-2 trial, which is ongoing</w:t>
            </w:r>
            <w:r w:rsidR="009F35CE" w:rsidRPr="003E7C50">
              <w:t xml:space="preserve">. This </w:t>
            </w:r>
            <w:r w:rsidR="00530F06" w:rsidRPr="003E7C50">
              <w:t>wa</w:t>
            </w:r>
            <w:r w:rsidR="009F35CE" w:rsidRPr="003E7C50">
              <w:t>s not reasonable, given the disproportionately short follow-up time in the trial, and the non-significant difference in the OS between the two treatment arms.</w:t>
            </w:r>
            <w:r w:rsidR="00E37151" w:rsidRPr="003E7C50">
              <w:t xml:space="preserve"> In previous submissions for </w:t>
            </w:r>
            <w:r w:rsidR="003215F2" w:rsidRPr="003E7C50">
              <w:t>ABC where there was a non-significant difference in OS</w:t>
            </w:r>
            <w:r w:rsidR="00E37151" w:rsidRPr="003E7C50">
              <w:t>, although for later line treatment, the time horizon was 3 years (</w:t>
            </w:r>
            <w:proofErr w:type="spellStart"/>
            <w:r w:rsidR="00E37151" w:rsidRPr="003E7C50">
              <w:t>everolimus</w:t>
            </w:r>
            <w:proofErr w:type="spellEnd"/>
            <w:r w:rsidR="00E37151" w:rsidRPr="003E7C50">
              <w:t>, 2013 and paclitaxel, 2008).</w:t>
            </w:r>
          </w:p>
        </w:tc>
      </w:tr>
      <w:tr w:rsidR="00C317F3" w:rsidRPr="003E7C50" w:rsidTr="00E6510C">
        <w:trPr>
          <w:trHeight w:val="356"/>
        </w:trPr>
        <w:tc>
          <w:tcPr>
            <w:tcW w:w="750" w:type="pct"/>
            <w:shd w:val="clear" w:color="auto" w:fill="auto"/>
            <w:vAlign w:val="center"/>
          </w:tcPr>
          <w:p w:rsidR="00C317F3" w:rsidRPr="003E7C50" w:rsidRDefault="00C317F3" w:rsidP="00F55128">
            <w:pPr>
              <w:pStyle w:val="TableText"/>
              <w:keepNext w:val="0"/>
              <w:widowControl w:val="0"/>
              <w:spacing w:before="0" w:after="0"/>
              <w:rPr>
                <w:rFonts w:ascii="Times" w:eastAsia="Times New Roman" w:hAnsi="Times" w:cs="Times New Roman"/>
              </w:rPr>
            </w:pPr>
            <w:r w:rsidRPr="003E7C50">
              <w:t>Outcomes</w:t>
            </w:r>
          </w:p>
        </w:tc>
        <w:tc>
          <w:tcPr>
            <w:tcW w:w="4250" w:type="pct"/>
            <w:shd w:val="clear" w:color="auto" w:fill="auto"/>
            <w:vAlign w:val="center"/>
          </w:tcPr>
          <w:p w:rsidR="00C317F3" w:rsidRPr="003E7C50" w:rsidRDefault="00922C9B" w:rsidP="00F55128">
            <w:pPr>
              <w:pStyle w:val="TableText"/>
              <w:keepNext w:val="0"/>
              <w:widowControl w:val="0"/>
              <w:spacing w:before="0" w:after="0"/>
              <w:rPr>
                <w:rFonts w:ascii="Times" w:eastAsia="Times New Roman" w:hAnsi="Times" w:cs="Times New Roman"/>
              </w:rPr>
            </w:pPr>
            <w:r w:rsidRPr="003E7C50">
              <w:t xml:space="preserve">PFS, OS, </w:t>
            </w:r>
            <w:r w:rsidR="00326A80" w:rsidRPr="003E7C50">
              <w:t>QALYs</w:t>
            </w:r>
            <w:r w:rsidR="00BA57F5" w:rsidRPr="003E7C50">
              <w:t xml:space="preserve"> </w:t>
            </w:r>
            <w:r w:rsidRPr="003E7C50">
              <w:t xml:space="preserve">and </w:t>
            </w:r>
            <w:r w:rsidR="00326A80" w:rsidRPr="003E7C50">
              <w:t>L</w:t>
            </w:r>
            <w:r w:rsidR="00B020B3" w:rsidRPr="003E7C50">
              <w:t>y</w:t>
            </w:r>
            <w:r w:rsidR="00326A80" w:rsidRPr="003E7C50">
              <w:t>s</w:t>
            </w:r>
          </w:p>
        </w:tc>
      </w:tr>
      <w:tr w:rsidR="00326A80" w:rsidRPr="003E7C50" w:rsidTr="00E6510C">
        <w:tc>
          <w:tcPr>
            <w:tcW w:w="750" w:type="pct"/>
            <w:shd w:val="clear" w:color="auto" w:fill="auto"/>
            <w:vAlign w:val="center"/>
          </w:tcPr>
          <w:p w:rsidR="00326A80" w:rsidRPr="003E7C50" w:rsidRDefault="00326A80" w:rsidP="00F55128">
            <w:pPr>
              <w:pStyle w:val="TableText"/>
              <w:keepNext w:val="0"/>
              <w:widowControl w:val="0"/>
              <w:spacing w:before="0" w:after="0"/>
              <w:rPr>
                <w:rFonts w:ascii="Times" w:eastAsia="Times New Roman" w:hAnsi="Times" w:cs="Times New Roman"/>
              </w:rPr>
            </w:pPr>
            <w:r w:rsidRPr="003E7C50">
              <w:t>Methods used to generate results</w:t>
            </w:r>
          </w:p>
        </w:tc>
        <w:tc>
          <w:tcPr>
            <w:tcW w:w="4250" w:type="pct"/>
            <w:shd w:val="clear" w:color="auto" w:fill="auto"/>
          </w:tcPr>
          <w:p w:rsidR="00326A80" w:rsidRPr="003E7C50" w:rsidRDefault="003A3D27" w:rsidP="00F55128">
            <w:pPr>
              <w:pStyle w:val="TableText"/>
              <w:keepNext w:val="0"/>
              <w:widowControl w:val="0"/>
              <w:spacing w:before="0" w:after="0"/>
              <w:rPr>
                <w:rFonts w:ascii="Times" w:eastAsia="Times New Roman" w:hAnsi="Times" w:cs="Times New Roman"/>
              </w:rPr>
            </w:pPr>
            <w:r w:rsidRPr="003E7C50">
              <w:t>P</w:t>
            </w:r>
            <w:r w:rsidR="00326A80" w:rsidRPr="003E7C50">
              <w:t>artitioned survival</w:t>
            </w:r>
            <w:r w:rsidRPr="003E7C50">
              <w:t xml:space="preserve"> model</w:t>
            </w:r>
          </w:p>
        </w:tc>
      </w:tr>
      <w:tr w:rsidR="00326A80" w:rsidRPr="003E7C50" w:rsidTr="00E6510C">
        <w:tc>
          <w:tcPr>
            <w:tcW w:w="750" w:type="pct"/>
            <w:shd w:val="clear" w:color="auto" w:fill="auto"/>
            <w:vAlign w:val="center"/>
          </w:tcPr>
          <w:p w:rsidR="00326A80" w:rsidRPr="003E7C50" w:rsidRDefault="00326A80" w:rsidP="00F55128">
            <w:pPr>
              <w:pStyle w:val="TableText"/>
              <w:keepNext w:val="0"/>
              <w:widowControl w:val="0"/>
              <w:spacing w:before="0" w:after="0"/>
              <w:rPr>
                <w:rFonts w:ascii="Times" w:eastAsia="Times New Roman" w:hAnsi="Times" w:cs="Times New Roman"/>
              </w:rPr>
            </w:pPr>
            <w:r w:rsidRPr="003E7C50">
              <w:t>Health states</w:t>
            </w:r>
          </w:p>
        </w:tc>
        <w:tc>
          <w:tcPr>
            <w:tcW w:w="4250" w:type="pct"/>
            <w:shd w:val="clear" w:color="auto" w:fill="auto"/>
            <w:vAlign w:val="center"/>
          </w:tcPr>
          <w:p w:rsidR="00326A80" w:rsidRPr="003E7C50" w:rsidRDefault="00922C9B" w:rsidP="00F55128">
            <w:pPr>
              <w:pStyle w:val="NormalBullets"/>
              <w:widowControl w:val="0"/>
              <w:spacing w:after="0" w:line="240" w:lineRule="auto"/>
              <w:ind w:left="147" w:hanging="147"/>
              <w:rPr>
                <w:rFonts w:ascii="Arial Narrow" w:hAnsi="Arial Narrow" w:cs="Arial"/>
                <w:sz w:val="20"/>
                <w:szCs w:val="20"/>
              </w:rPr>
            </w:pPr>
            <w:r w:rsidRPr="003E7C50">
              <w:rPr>
                <w:rFonts w:ascii="Arial Narrow" w:hAnsi="Arial Narrow" w:cs="Arial"/>
                <w:sz w:val="20"/>
                <w:szCs w:val="20"/>
              </w:rPr>
              <w:t>Pre-progression:</w:t>
            </w:r>
          </w:p>
          <w:p w:rsidR="00326A80" w:rsidRPr="003E7C50" w:rsidRDefault="00326A80" w:rsidP="008D683B">
            <w:pPr>
              <w:pStyle w:val="NormalBullets"/>
              <w:widowControl w:val="0"/>
              <w:numPr>
                <w:ilvl w:val="1"/>
                <w:numId w:val="17"/>
              </w:numPr>
              <w:spacing w:after="0" w:line="240" w:lineRule="auto"/>
              <w:ind w:left="403" w:hanging="219"/>
              <w:rPr>
                <w:rFonts w:ascii="Arial Narrow" w:hAnsi="Arial Narrow" w:cs="Arial"/>
                <w:sz w:val="20"/>
                <w:szCs w:val="20"/>
              </w:rPr>
            </w:pPr>
            <w:r w:rsidRPr="003E7C50">
              <w:rPr>
                <w:rFonts w:ascii="Arial Narrow" w:hAnsi="Arial Narrow" w:cs="Arial"/>
                <w:sz w:val="20"/>
                <w:szCs w:val="20"/>
              </w:rPr>
              <w:t xml:space="preserve">In both treatment groups, this is further partitioned by response status (OR </w:t>
            </w:r>
            <w:r w:rsidR="00885E27" w:rsidRPr="003E7C50">
              <w:rPr>
                <w:rFonts w:ascii="Arial Narrow" w:hAnsi="Arial Narrow" w:cs="Arial"/>
                <w:sz w:val="20"/>
                <w:szCs w:val="20"/>
              </w:rPr>
              <w:t>vs.</w:t>
            </w:r>
            <w:r w:rsidRPr="003E7C50">
              <w:rPr>
                <w:rFonts w:ascii="Arial Narrow" w:hAnsi="Arial Narrow" w:cs="Arial"/>
                <w:sz w:val="20"/>
                <w:szCs w:val="20"/>
              </w:rPr>
              <w:t xml:space="preserve"> SD)</w:t>
            </w:r>
          </w:p>
          <w:p w:rsidR="00326A80" w:rsidRPr="003E7C50" w:rsidRDefault="00326A80" w:rsidP="008D683B">
            <w:pPr>
              <w:pStyle w:val="NormalBullets"/>
              <w:widowControl w:val="0"/>
              <w:numPr>
                <w:ilvl w:val="1"/>
                <w:numId w:val="17"/>
              </w:numPr>
              <w:spacing w:after="0" w:line="240" w:lineRule="auto"/>
              <w:ind w:left="403" w:hanging="219"/>
              <w:rPr>
                <w:rFonts w:ascii="Arial Narrow" w:hAnsi="Arial Narrow" w:cs="Arial"/>
                <w:sz w:val="20"/>
                <w:szCs w:val="20"/>
              </w:rPr>
            </w:pPr>
            <w:r w:rsidRPr="003E7C50">
              <w:rPr>
                <w:rFonts w:ascii="Arial Narrow" w:hAnsi="Arial Narrow" w:cs="Arial"/>
                <w:sz w:val="20"/>
                <w:szCs w:val="20"/>
              </w:rPr>
              <w:t xml:space="preserve">Within the RIB+LTZ group only, this is further partitioned by continued </w:t>
            </w:r>
            <w:proofErr w:type="spellStart"/>
            <w:r w:rsidRPr="003E7C50">
              <w:rPr>
                <w:rFonts w:ascii="Arial Narrow" w:hAnsi="Arial Narrow" w:cs="Arial"/>
                <w:sz w:val="20"/>
                <w:szCs w:val="20"/>
              </w:rPr>
              <w:t>ribociclib</w:t>
            </w:r>
            <w:proofErr w:type="spellEnd"/>
            <w:r w:rsidRPr="003E7C50">
              <w:rPr>
                <w:rFonts w:ascii="Arial Narrow" w:hAnsi="Arial Narrow" w:cs="Arial"/>
                <w:sz w:val="20"/>
                <w:szCs w:val="20"/>
              </w:rPr>
              <w:t xml:space="preserve"> treatment status (on vs off)</w:t>
            </w:r>
          </w:p>
          <w:p w:rsidR="00326A80" w:rsidRPr="003E7C50" w:rsidRDefault="00326A80" w:rsidP="00F55128">
            <w:pPr>
              <w:pStyle w:val="NormalBullets"/>
              <w:widowControl w:val="0"/>
              <w:spacing w:after="0" w:line="240" w:lineRule="auto"/>
              <w:ind w:left="147" w:hanging="147"/>
              <w:rPr>
                <w:rFonts w:ascii="Times" w:eastAsia="Times New Roman" w:hAnsi="Times" w:cs="Times New Roman"/>
              </w:rPr>
            </w:pPr>
            <w:r w:rsidRPr="003E7C50">
              <w:rPr>
                <w:rFonts w:ascii="Arial Narrow" w:hAnsi="Arial Narrow" w:cs="Arial"/>
                <w:sz w:val="20"/>
                <w:szCs w:val="20"/>
              </w:rPr>
              <w:t>Post-progression</w:t>
            </w:r>
          </w:p>
          <w:p w:rsidR="00922C9B" w:rsidRPr="003E7C50" w:rsidRDefault="00922C9B" w:rsidP="00F55128">
            <w:pPr>
              <w:pStyle w:val="NormalBullets"/>
              <w:widowControl w:val="0"/>
              <w:spacing w:after="0" w:line="240" w:lineRule="auto"/>
              <w:ind w:left="147" w:hanging="147"/>
              <w:rPr>
                <w:rFonts w:ascii="Times" w:eastAsia="Times New Roman" w:hAnsi="Times" w:cs="Times New Roman"/>
              </w:rPr>
            </w:pPr>
            <w:r w:rsidRPr="003E7C50">
              <w:rPr>
                <w:rFonts w:ascii="Arial Narrow" w:hAnsi="Arial Narrow" w:cs="Arial"/>
                <w:sz w:val="20"/>
                <w:szCs w:val="20"/>
              </w:rPr>
              <w:t>Dead</w:t>
            </w:r>
          </w:p>
        </w:tc>
      </w:tr>
      <w:tr w:rsidR="00326A80" w:rsidRPr="003E7C50" w:rsidTr="00E6510C">
        <w:tc>
          <w:tcPr>
            <w:tcW w:w="750" w:type="pct"/>
            <w:shd w:val="clear" w:color="auto" w:fill="auto"/>
            <w:vAlign w:val="center"/>
          </w:tcPr>
          <w:p w:rsidR="00326A80" w:rsidRPr="003E7C50" w:rsidRDefault="00326A80" w:rsidP="00F55128">
            <w:pPr>
              <w:pStyle w:val="TableText"/>
              <w:keepNext w:val="0"/>
              <w:widowControl w:val="0"/>
              <w:spacing w:before="0" w:after="0"/>
              <w:rPr>
                <w:rFonts w:ascii="Times" w:eastAsia="Times New Roman" w:hAnsi="Times" w:cs="Times New Roman"/>
              </w:rPr>
            </w:pPr>
            <w:r w:rsidRPr="003E7C50">
              <w:t>Utilities</w:t>
            </w:r>
          </w:p>
        </w:tc>
        <w:tc>
          <w:tcPr>
            <w:tcW w:w="4250" w:type="pct"/>
            <w:shd w:val="clear" w:color="auto" w:fill="auto"/>
            <w:vAlign w:val="center"/>
          </w:tcPr>
          <w:p w:rsidR="00326A80" w:rsidRPr="003E7C50" w:rsidRDefault="00326A80" w:rsidP="00F55128">
            <w:pPr>
              <w:pStyle w:val="TableText"/>
              <w:keepNext w:val="0"/>
              <w:widowControl w:val="0"/>
              <w:spacing w:before="0" w:after="0"/>
              <w:rPr>
                <w:rFonts w:ascii="Times" w:eastAsia="Times New Roman" w:hAnsi="Times" w:cs="Times New Roman"/>
              </w:rPr>
            </w:pPr>
            <w:r w:rsidRPr="003E7C50">
              <w:t xml:space="preserve">Based on </w:t>
            </w:r>
            <w:r w:rsidR="008710B5" w:rsidRPr="003E7C50">
              <w:t xml:space="preserve">EQ-5D-5L </w:t>
            </w:r>
            <w:r w:rsidRPr="003E7C50">
              <w:t xml:space="preserve">data obtained from the MONALEESA-2 trial </w:t>
            </w:r>
          </w:p>
        </w:tc>
      </w:tr>
      <w:tr w:rsidR="00326A80" w:rsidRPr="003E7C50" w:rsidTr="00E6510C">
        <w:tc>
          <w:tcPr>
            <w:tcW w:w="750" w:type="pct"/>
            <w:shd w:val="clear" w:color="auto" w:fill="auto"/>
            <w:vAlign w:val="center"/>
          </w:tcPr>
          <w:p w:rsidR="00326A80" w:rsidRPr="003E7C50" w:rsidRDefault="00326A80" w:rsidP="00F55128">
            <w:pPr>
              <w:pStyle w:val="TableText"/>
              <w:keepNext w:val="0"/>
              <w:widowControl w:val="0"/>
              <w:spacing w:before="0" w:after="0"/>
              <w:rPr>
                <w:rFonts w:ascii="Times" w:eastAsia="Times New Roman" w:hAnsi="Times" w:cs="Times New Roman"/>
              </w:rPr>
            </w:pPr>
            <w:r w:rsidRPr="003E7C50">
              <w:t>Cycle length</w:t>
            </w:r>
          </w:p>
        </w:tc>
        <w:tc>
          <w:tcPr>
            <w:tcW w:w="4250" w:type="pct"/>
            <w:shd w:val="clear" w:color="auto" w:fill="auto"/>
            <w:vAlign w:val="center"/>
          </w:tcPr>
          <w:p w:rsidR="00326A80" w:rsidRPr="003E7C50" w:rsidRDefault="00326A80" w:rsidP="00F55128">
            <w:pPr>
              <w:pStyle w:val="TableText"/>
              <w:keepNext w:val="0"/>
              <w:widowControl w:val="0"/>
              <w:spacing w:before="0" w:after="0"/>
              <w:rPr>
                <w:rFonts w:ascii="Times" w:eastAsia="Times New Roman" w:hAnsi="Times" w:cs="Times New Roman"/>
              </w:rPr>
            </w:pPr>
            <w:r w:rsidRPr="003E7C50">
              <w:t>1 month (30.44 day</w:t>
            </w:r>
            <w:r w:rsidR="00BA57F5" w:rsidRPr="003E7C50">
              <w:t>s</w:t>
            </w:r>
            <w:r w:rsidRPr="003E7C50">
              <w:t>)</w:t>
            </w:r>
          </w:p>
        </w:tc>
      </w:tr>
      <w:tr w:rsidR="00326A80" w:rsidRPr="003E7C50" w:rsidTr="00E6510C">
        <w:tc>
          <w:tcPr>
            <w:tcW w:w="750" w:type="pct"/>
            <w:shd w:val="clear" w:color="auto" w:fill="auto"/>
            <w:vAlign w:val="center"/>
          </w:tcPr>
          <w:p w:rsidR="00326A80" w:rsidRPr="003E7C50" w:rsidRDefault="003A3D27" w:rsidP="00F55128">
            <w:pPr>
              <w:pStyle w:val="TableText"/>
              <w:keepNext w:val="0"/>
              <w:widowControl w:val="0"/>
              <w:spacing w:before="0" w:after="0"/>
              <w:rPr>
                <w:rFonts w:ascii="Times" w:eastAsia="Times New Roman" w:hAnsi="Times" w:cs="Times New Roman"/>
              </w:rPr>
            </w:pPr>
            <w:r w:rsidRPr="003E7C50">
              <w:t>Survival rates</w:t>
            </w:r>
          </w:p>
        </w:tc>
        <w:tc>
          <w:tcPr>
            <w:tcW w:w="4250" w:type="pct"/>
            <w:shd w:val="clear" w:color="auto" w:fill="auto"/>
            <w:vAlign w:val="center"/>
          </w:tcPr>
          <w:p w:rsidR="00A90E73" w:rsidRPr="003E7C50" w:rsidRDefault="00A90E73" w:rsidP="00F55128">
            <w:pPr>
              <w:pStyle w:val="TableText"/>
              <w:keepNext w:val="0"/>
              <w:widowControl w:val="0"/>
              <w:spacing w:before="0" w:after="0"/>
              <w:rPr>
                <w:bCs/>
                <w:iCs/>
              </w:rPr>
            </w:pPr>
            <w:r w:rsidRPr="003E7C50">
              <w:rPr>
                <w:bCs/>
                <w:iCs/>
              </w:rPr>
              <w:t xml:space="preserve">Overall response was based on the MONALEESA-2 trial (June 2016, investigator assessed) and did not vary over time. </w:t>
            </w:r>
            <w:r w:rsidR="00E6510C" w:rsidRPr="003E7C50">
              <w:rPr>
                <w:bCs/>
                <w:iCs/>
              </w:rPr>
              <w:t xml:space="preserve">The evaluation noted that it </w:t>
            </w:r>
            <w:r w:rsidRPr="003E7C50">
              <w:rPr>
                <w:bCs/>
                <w:iCs/>
              </w:rPr>
              <w:t xml:space="preserve">would be preferable if the model </w:t>
            </w:r>
            <w:r w:rsidR="00AD7013" w:rsidRPr="003E7C50">
              <w:rPr>
                <w:bCs/>
                <w:iCs/>
              </w:rPr>
              <w:t>was</w:t>
            </w:r>
            <w:r w:rsidRPr="003E7C50">
              <w:rPr>
                <w:bCs/>
                <w:iCs/>
              </w:rPr>
              <w:t xml:space="preserve"> updated to the January 2017 interim analysis</w:t>
            </w:r>
            <w:r w:rsidR="000F4239" w:rsidRPr="003E7C50">
              <w:rPr>
                <w:bCs/>
                <w:iCs/>
              </w:rPr>
              <w:t>, which was included in the PSCR. The details below relate to the economic model in the submission, rather than in the PSCR.</w:t>
            </w:r>
            <w:r w:rsidRPr="003E7C50">
              <w:rPr>
                <w:bCs/>
                <w:iCs/>
              </w:rPr>
              <w:t xml:space="preserve"> </w:t>
            </w:r>
          </w:p>
          <w:p w:rsidR="00A90E73" w:rsidRPr="003E7C50" w:rsidRDefault="00A90E73" w:rsidP="00F55128">
            <w:pPr>
              <w:pStyle w:val="TableText"/>
              <w:keepNext w:val="0"/>
              <w:widowControl w:val="0"/>
              <w:spacing w:before="0" w:after="0"/>
              <w:rPr>
                <w:bCs/>
                <w:iCs/>
              </w:rPr>
            </w:pPr>
          </w:p>
          <w:p w:rsidR="00BE65BF" w:rsidRPr="003E7C50" w:rsidRDefault="00BE65BF" w:rsidP="00F55128">
            <w:pPr>
              <w:pStyle w:val="TableText"/>
              <w:keepNext w:val="0"/>
              <w:widowControl w:val="0"/>
              <w:spacing w:before="0" w:after="0"/>
              <w:rPr>
                <w:bCs/>
                <w:iCs/>
              </w:rPr>
            </w:pPr>
            <w:r w:rsidRPr="003E7C50">
              <w:rPr>
                <w:bCs/>
                <w:iCs/>
              </w:rPr>
              <w:t>PFS and OS rates were used to quantify the proportions of patients in the Pre-progression and Death health states, respectively.</w:t>
            </w:r>
            <w:r w:rsidR="009F35CE" w:rsidRPr="003E7C50">
              <w:rPr>
                <w:bCs/>
                <w:iCs/>
              </w:rPr>
              <w:t xml:space="preserve"> </w:t>
            </w:r>
            <w:r w:rsidR="00A90E73" w:rsidRPr="003E7C50">
              <w:rPr>
                <w:bCs/>
                <w:iCs/>
              </w:rPr>
              <w:t xml:space="preserve">The current approach in the model underestimates the proportion of patients in the </w:t>
            </w:r>
            <w:r w:rsidR="00AD7013" w:rsidRPr="003E7C50">
              <w:rPr>
                <w:bCs/>
                <w:iCs/>
              </w:rPr>
              <w:t>P</w:t>
            </w:r>
            <w:r w:rsidR="00A90E73" w:rsidRPr="003E7C50">
              <w:rPr>
                <w:bCs/>
                <w:iCs/>
              </w:rPr>
              <w:t xml:space="preserve">ost-progression </w:t>
            </w:r>
            <w:r w:rsidR="00EE4F71" w:rsidRPr="003E7C50">
              <w:rPr>
                <w:bCs/>
                <w:iCs/>
              </w:rPr>
              <w:t xml:space="preserve">health </w:t>
            </w:r>
            <w:r w:rsidR="00A90E73" w:rsidRPr="003E7C50">
              <w:rPr>
                <w:bCs/>
                <w:iCs/>
              </w:rPr>
              <w:t xml:space="preserve">state due to truncation of the probability of death. </w:t>
            </w:r>
            <w:r w:rsidR="009F35CE" w:rsidRPr="003E7C50">
              <w:rPr>
                <w:bCs/>
                <w:iCs/>
              </w:rPr>
              <w:t xml:space="preserve">A more appropriate approach </w:t>
            </w:r>
            <w:r w:rsidR="00AD7013" w:rsidRPr="003E7C50">
              <w:rPr>
                <w:bCs/>
                <w:iCs/>
              </w:rPr>
              <w:t xml:space="preserve">is </w:t>
            </w:r>
            <w:r w:rsidR="009F35CE" w:rsidRPr="003E7C50">
              <w:rPr>
                <w:bCs/>
                <w:iCs/>
              </w:rPr>
              <w:t>to estimate post-progression survival using patient-level data from the MONALEESA-2 trial.</w:t>
            </w:r>
            <w:r w:rsidR="00A90E73" w:rsidRPr="003E7C50">
              <w:rPr>
                <w:bCs/>
                <w:iCs/>
              </w:rPr>
              <w:t xml:space="preserve"> </w:t>
            </w:r>
          </w:p>
          <w:p w:rsidR="00BE65BF" w:rsidRPr="003E7C50" w:rsidRDefault="00BE65BF" w:rsidP="00F55128">
            <w:pPr>
              <w:pStyle w:val="TableText"/>
              <w:keepNext w:val="0"/>
              <w:widowControl w:val="0"/>
              <w:spacing w:before="0" w:after="0"/>
              <w:rPr>
                <w:bCs/>
                <w:iCs/>
              </w:rPr>
            </w:pPr>
          </w:p>
          <w:p w:rsidR="00BE65BF" w:rsidRPr="003E7C50" w:rsidRDefault="00BE093B" w:rsidP="00F55128">
            <w:pPr>
              <w:pStyle w:val="TableText"/>
              <w:keepNext w:val="0"/>
              <w:widowControl w:val="0"/>
              <w:spacing w:before="0" w:after="0"/>
              <w:rPr>
                <w:bCs/>
                <w:iCs/>
              </w:rPr>
            </w:pPr>
            <w:r w:rsidRPr="003E7C50">
              <w:rPr>
                <w:bCs/>
                <w:iCs/>
              </w:rPr>
              <w:t xml:space="preserve">PFS: Used </w:t>
            </w:r>
            <w:r w:rsidR="00BE65BF" w:rsidRPr="003E7C50">
              <w:rPr>
                <w:bCs/>
                <w:iCs/>
              </w:rPr>
              <w:t xml:space="preserve">PFS </w:t>
            </w:r>
            <w:r w:rsidRPr="003E7C50">
              <w:rPr>
                <w:bCs/>
                <w:iCs/>
              </w:rPr>
              <w:t>data</w:t>
            </w:r>
            <w:r w:rsidR="008D51B1" w:rsidRPr="003E7C50">
              <w:rPr>
                <w:bCs/>
                <w:iCs/>
              </w:rPr>
              <w:t xml:space="preserve"> (January 2016, investigator assessed)</w:t>
            </w:r>
            <w:r w:rsidRPr="003E7C50">
              <w:rPr>
                <w:bCs/>
                <w:iCs/>
              </w:rPr>
              <w:t xml:space="preserve"> </w:t>
            </w:r>
            <w:r w:rsidR="00BE65BF" w:rsidRPr="003E7C50">
              <w:rPr>
                <w:bCs/>
                <w:iCs/>
              </w:rPr>
              <w:t>from the MONALEESA-2</w:t>
            </w:r>
            <w:r w:rsidR="00237812" w:rsidRPr="003E7C50">
              <w:rPr>
                <w:bCs/>
                <w:iCs/>
              </w:rPr>
              <w:t xml:space="preserve"> trial</w:t>
            </w:r>
            <w:r w:rsidR="00BE65BF" w:rsidRPr="003E7C50">
              <w:rPr>
                <w:bCs/>
                <w:iCs/>
              </w:rPr>
              <w:t xml:space="preserve"> for the first 14 months. </w:t>
            </w:r>
            <w:r w:rsidRPr="003E7C50">
              <w:rPr>
                <w:bCs/>
                <w:iCs/>
              </w:rPr>
              <w:t xml:space="preserve">Extrapolated </w:t>
            </w:r>
            <w:r w:rsidR="00BE65BF" w:rsidRPr="003E7C50">
              <w:rPr>
                <w:bCs/>
                <w:iCs/>
              </w:rPr>
              <w:t xml:space="preserve">based on a parametric </w:t>
            </w:r>
            <w:r w:rsidRPr="003E7C50">
              <w:rPr>
                <w:bCs/>
                <w:iCs/>
              </w:rPr>
              <w:t xml:space="preserve">function </w:t>
            </w:r>
            <w:r w:rsidR="0036098F" w:rsidRPr="003E7C50">
              <w:rPr>
                <w:bCs/>
                <w:iCs/>
              </w:rPr>
              <w:t xml:space="preserve">(lognormal) </w:t>
            </w:r>
            <w:r w:rsidR="00BE65BF" w:rsidRPr="003E7C50">
              <w:rPr>
                <w:bCs/>
                <w:iCs/>
              </w:rPr>
              <w:t xml:space="preserve">fitted to the data from the MONALEESA-2 trial. </w:t>
            </w:r>
            <w:r w:rsidR="00E6510C" w:rsidRPr="003E7C50">
              <w:rPr>
                <w:bCs/>
                <w:iCs/>
              </w:rPr>
              <w:t xml:space="preserve">The evaluation noted that it </w:t>
            </w:r>
            <w:r w:rsidR="008D51B1" w:rsidRPr="003E7C50">
              <w:rPr>
                <w:bCs/>
                <w:iCs/>
              </w:rPr>
              <w:t xml:space="preserve">would be preferable if </w:t>
            </w:r>
            <w:r w:rsidR="009F35CE" w:rsidRPr="003E7C50">
              <w:rPr>
                <w:bCs/>
                <w:iCs/>
              </w:rPr>
              <w:t xml:space="preserve">the model </w:t>
            </w:r>
            <w:r w:rsidR="00AD7013" w:rsidRPr="003E7C50">
              <w:rPr>
                <w:bCs/>
                <w:iCs/>
              </w:rPr>
              <w:t>was</w:t>
            </w:r>
            <w:r w:rsidR="009F35CE" w:rsidRPr="003E7C50">
              <w:rPr>
                <w:bCs/>
                <w:iCs/>
              </w:rPr>
              <w:t xml:space="preserve"> updated to the January 2017 interim analysis.</w:t>
            </w:r>
          </w:p>
          <w:p w:rsidR="00BE65BF" w:rsidRPr="003E7C50" w:rsidRDefault="00BE65BF" w:rsidP="00F55128">
            <w:pPr>
              <w:pStyle w:val="TableText"/>
              <w:keepNext w:val="0"/>
              <w:widowControl w:val="0"/>
              <w:spacing w:before="0" w:after="0"/>
              <w:rPr>
                <w:bCs/>
                <w:iCs/>
              </w:rPr>
            </w:pPr>
          </w:p>
          <w:p w:rsidR="00BE093B" w:rsidRPr="003E7C50" w:rsidRDefault="00BE093B" w:rsidP="00F55128">
            <w:pPr>
              <w:pStyle w:val="TableText"/>
              <w:keepNext w:val="0"/>
              <w:widowControl w:val="0"/>
              <w:spacing w:before="0" w:after="0"/>
              <w:rPr>
                <w:bCs/>
                <w:iCs/>
              </w:rPr>
            </w:pPr>
            <w:r w:rsidRPr="003E7C50">
              <w:rPr>
                <w:bCs/>
                <w:iCs/>
              </w:rPr>
              <w:t xml:space="preserve">OS, </w:t>
            </w:r>
            <w:proofErr w:type="spellStart"/>
            <w:r w:rsidRPr="003E7C50">
              <w:rPr>
                <w:bCs/>
                <w:iCs/>
              </w:rPr>
              <w:t>letrozole</w:t>
            </w:r>
            <w:proofErr w:type="spellEnd"/>
            <w:r w:rsidRPr="003E7C50">
              <w:rPr>
                <w:bCs/>
                <w:iCs/>
              </w:rPr>
              <w:t xml:space="preserve"> alone: </w:t>
            </w:r>
            <w:r w:rsidR="00421F0F" w:rsidRPr="003E7C50">
              <w:rPr>
                <w:bCs/>
                <w:iCs/>
              </w:rPr>
              <w:t xml:space="preserve">Used OS data from </w:t>
            </w:r>
            <w:proofErr w:type="spellStart"/>
            <w:r w:rsidR="00421F0F" w:rsidRPr="003E7C50">
              <w:rPr>
                <w:bCs/>
                <w:iCs/>
              </w:rPr>
              <w:t>Dickler</w:t>
            </w:r>
            <w:proofErr w:type="spellEnd"/>
            <w:r w:rsidR="00421F0F" w:rsidRPr="003E7C50">
              <w:rPr>
                <w:bCs/>
                <w:iCs/>
              </w:rPr>
              <w:t xml:space="preserve"> et al. (2016) for the first 35 months, then extrapolated to ten years</w:t>
            </w:r>
            <w:r w:rsidR="00E6510C" w:rsidRPr="003E7C50">
              <w:rPr>
                <w:bCs/>
                <w:iCs/>
              </w:rPr>
              <w:t xml:space="preserve"> (the evaluation incorrectly stated that this was based on </w:t>
            </w:r>
            <w:r w:rsidR="00E6510C" w:rsidRPr="003E7C50">
              <w:t xml:space="preserve">MONALEESA-2 for the first 35 months and then extrapolated using data from </w:t>
            </w:r>
            <w:proofErr w:type="spellStart"/>
            <w:r w:rsidR="00E6510C" w:rsidRPr="003E7C50">
              <w:t>Dickler</w:t>
            </w:r>
            <w:proofErr w:type="spellEnd"/>
            <w:r w:rsidR="00E6510C" w:rsidRPr="003E7C50">
              <w:t xml:space="preserve"> (2016))</w:t>
            </w:r>
            <w:r w:rsidR="00421F0F" w:rsidRPr="003E7C50">
              <w:rPr>
                <w:bCs/>
                <w:iCs/>
              </w:rPr>
              <w:t xml:space="preserve">. </w:t>
            </w:r>
            <w:r w:rsidR="00E6510C" w:rsidRPr="003E7C50">
              <w:rPr>
                <w:bCs/>
                <w:iCs/>
              </w:rPr>
              <w:t xml:space="preserve">The evaluation noted that it </w:t>
            </w:r>
            <w:r w:rsidR="008D51B1" w:rsidRPr="003E7C50">
              <w:rPr>
                <w:bCs/>
                <w:iCs/>
              </w:rPr>
              <w:t xml:space="preserve">would be preferable if the model </w:t>
            </w:r>
            <w:r w:rsidR="00AD7013" w:rsidRPr="003E7C50">
              <w:rPr>
                <w:bCs/>
                <w:iCs/>
              </w:rPr>
              <w:t>was</w:t>
            </w:r>
            <w:r w:rsidR="008D51B1" w:rsidRPr="003E7C50">
              <w:rPr>
                <w:bCs/>
                <w:iCs/>
              </w:rPr>
              <w:t xml:space="preserve"> updated to the January 2017 interim analysis. </w:t>
            </w:r>
            <w:r w:rsidRPr="003E7C50">
              <w:rPr>
                <w:bCs/>
                <w:iCs/>
              </w:rPr>
              <w:t xml:space="preserve">Extrapolated </w:t>
            </w:r>
            <w:r w:rsidR="00BE65BF" w:rsidRPr="003E7C50">
              <w:rPr>
                <w:bCs/>
                <w:iCs/>
              </w:rPr>
              <w:t xml:space="preserve">based on a parametric </w:t>
            </w:r>
            <w:r w:rsidRPr="003E7C50">
              <w:rPr>
                <w:bCs/>
                <w:iCs/>
              </w:rPr>
              <w:t xml:space="preserve">function </w:t>
            </w:r>
            <w:r w:rsidR="0036098F" w:rsidRPr="003E7C50">
              <w:rPr>
                <w:bCs/>
                <w:iCs/>
              </w:rPr>
              <w:t>(</w:t>
            </w:r>
            <w:proofErr w:type="spellStart"/>
            <w:r w:rsidR="0036098F" w:rsidRPr="003E7C50">
              <w:rPr>
                <w:bCs/>
                <w:iCs/>
              </w:rPr>
              <w:t>lognomal</w:t>
            </w:r>
            <w:proofErr w:type="spellEnd"/>
            <w:r w:rsidR="0036098F" w:rsidRPr="003E7C50">
              <w:rPr>
                <w:bCs/>
                <w:iCs/>
              </w:rPr>
              <w:t xml:space="preserve">) </w:t>
            </w:r>
            <w:r w:rsidR="00BE65BF" w:rsidRPr="003E7C50">
              <w:rPr>
                <w:bCs/>
                <w:iCs/>
              </w:rPr>
              <w:t xml:space="preserve">fitted to the data from </w:t>
            </w:r>
            <w:proofErr w:type="spellStart"/>
            <w:r w:rsidR="00BE65BF" w:rsidRPr="003E7C50">
              <w:rPr>
                <w:bCs/>
                <w:iCs/>
              </w:rPr>
              <w:t>Dickler</w:t>
            </w:r>
            <w:proofErr w:type="spellEnd"/>
            <w:r w:rsidR="00BE65BF" w:rsidRPr="003E7C50">
              <w:rPr>
                <w:bCs/>
                <w:iCs/>
              </w:rPr>
              <w:t xml:space="preserve"> et al (2016)</w:t>
            </w:r>
            <w:r w:rsidRPr="003E7C50">
              <w:rPr>
                <w:bCs/>
                <w:iCs/>
              </w:rPr>
              <w:t>.</w:t>
            </w:r>
            <w:r w:rsidR="00B679DB" w:rsidRPr="003E7C50">
              <w:rPr>
                <w:bCs/>
                <w:iCs/>
              </w:rPr>
              <w:t xml:space="preserve"> The use of external data introduces uncertainty.</w:t>
            </w:r>
            <w:r w:rsidR="0036098F" w:rsidRPr="003E7C50">
              <w:rPr>
                <w:bCs/>
                <w:iCs/>
              </w:rPr>
              <w:t xml:space="preserve"> The OS rates using </w:t>
            </w:r>
            <w:proofErr w:type="spellStart"/>
            <w:r w:rsidR="0036098F" w:rsidRPr="003E7C50">
              <w:rPr>
                <w:bCs/>
                <w:iCs/>
              </w:rPr>
              <w:t>Dickler</w:t>
            </w:r>
            <w:proofErr w:type="spellEnd"/>
            <w:r w:rsidR="0036098F" w:rsidRPr="003E7C50">
              <w:rPr>
                <w:bCs/>
                <w:iCs/>
              </w:rPr>
              <w:t xml:space="preserve"> data are </w:t>
            </w:r>
            <w:r w:rsidR="00D528E8" w:rsidRPr="003E7C50">
              <w:rPr>
                <w:bCs/>
                <w:iCs/>
              </w:rPr>
              <w:t xml:space="preserve">lower </w:t>
            </w:r>
            <w:r w:rsidR="0036098F" w:rsidRPr="003E7C50">
              <w:rPr>
                <w:bCs/>
                <w:iCs/>
              </w:rPr>
              <w:t>than the OS rates using the MONALEESA-2 trial.</w:t>
            </w:r>
          </w:p>
          <w:p w:rsidR="00BE093B" w:rsidRPr="003E7C50" w:rsidRDefault="00BE093B" w:rsidP="00F55128">
            <w:pPr>
              <w:pStyle w:val="TableText"/>
              <w:keepNext w:val="0"/>
              <w:widowControl w:val="0"/>
              <w:spacing w:before="0" w:after="0"/>
              <w:rPr>
                <w:bCs/>
                <w:iCs/>
              </w:rPr>
            </w:pPr>
          </w:p>
          <w:p w:rsidR="00B679DB" w:rsidRPr="003E7C50" w:rsidRDefault="00BE65BF" w:rsidP="00F55128">
            <w:pPr>
              <w:pStyle w:val="TableText"/>
              <w:keepNext w:val="0"/>
              <w:widowControl w:val="0"/>
              <w:spacing w:before="0" w:after="0"/>
              <w:rPr>
                <w:rFonts w:cs="Arial"/>
                <w:szCs w:val="20"/>
              </w:rPr>
            </w:pPr>
            <w:r w:rsidRPr="003E7C50">
              <w:rPr>
                <w:bCs/>
                <w:iCs/>
              </w:rPr>
              <w:t>OS</w:t>
            </w:r>
            <w:r w:rsidR="00BE093B" w:rsidRPr="003E7C50">
              <w:rPr>
                <w:bCs/>
                <w:iCs/>
              </w:rPr>
              <w:t xml:space="preserve">, </w:t>
            </w:r>
            <w:proofErr w:type="spellStart"/>
            <w:r w:rsidRPr="003E7C50">
              <w:rPr>
                <w:bCs/>
                <w:iCs/>
              </w:rPr>
              <w:t>ribociclib</w:t>
            </w:r>
            <w:proofErr w:type="spellEnd"/>
            <w:r w:rsidRPr="003E7C50">
              <w:rPr>
                <w:bCs/>
                <w:iCs/>
              </w:rPr>
              <w:t xml:space="preserve"> + </w:t>
            </w:r>
            <w:proofErr w:type="spellStart"/>
            <w:r w:rsidRPr="003E7C50">
              <w:rPr>
                <w:bCs/>
                <w:iCs/>
              </w:rPr>
              <w:t>letrozole</w:t>
            </w:r>
            <w:proofErr w:type="spellEnd"/>
            <w:r w:rsidR="00BE093B" w:rsidRPr="003E7C50">
              <w:rPr>
                <w:bCs/>
                <w:iCs/>
              </w:rPr>
              <w:t>: Applied a HR from</w:t>
            </w:r>
            <w:r w:rsidRPr="003E7C50">
              <w:rPr>
                <w:bCs/>
                <w:iCs/>
              </w:rPr>
              <w:t xml:space="preserve"> the </w:t>
            </w:r>
            <w:r w:rsidR="00C7612D" w:rsidRPr="003E7C50">
              <w:rPr>
                <w:bCs/>
                <w:iCs/>
              </w:rPr>
              <w:t xml:space="preserve">power calculation for the </w:t>
            </w:r>
            <w:r w:rsidRPr="003E7C50">
              <w:rPr>
                <w:bCs/>
                <w:iCs/>
              </w:rPr>
              <w:t>MONALEESA-2 trial</w:t>
            </w:r>
            <w:r w:rsidR="00C7612D" w:rsidRPr="003E7C50">
              <w:rPr>
                <w:bCs/>
                <w:iCs/>
              </w:rPr>
              <w:t xml:space="preserve"> (0.72)</w:t>
            </w:r>
            <w:r w:rsidRPr="003E7C50">
              <w:rPr>
                <w:bCs/>
                <w:iCs/>
              </w:rPr>
              <w:t>.</w:t>
            </w:r>
            <w:r w:rsidR="009F35CE" w:rsidRPr="003E7C50">
              <w:rPr>
                <w:bCs/>
                <w:iCs/>
              </w:rPr>
              <w:t xml:space="preserve"> </w:t>
            </w:r>
            <w:r w:rsidR="00C7612D" w:rsidRPr="003E7C50">
              <w:rPr>
                <w:bCs/>
                <w:iCs/>
              </w:rPr>
              <w:t xml:space="preserve">The </w:t>
            </w:r>
            <w:r w:rsidR="00B06379" w:rsidRPr="003E7C50">
              <w:rPr>
                <w:bCs/>
                <w:iCs/>
              </w:rPr>
              <w:t xml:space="preserve">ESC considered the </w:t>
            </w:r>
            <w:r w:rsidR="00C7612D" w:rsidRPr="003E7C50">
              <w:rPr>
                <w:bCs/>
                <w:iCs/>
              </w:rPr>
              <w:t xml:space="preserve">choice of the hazard ratio of 0.72 was not adequately justified, and the approach assumes proportional hazards, which was </w:t>
            </w:r>
            <w:r w:rsidR="00B06379" w:rsidRPr="003E7C50">
              <w:rPr>
                <w:bCs/>
                <w:iCs/>
              </w:rPr>
              <w:t xml:space="preserve">also </w:t>
            </w:r>
            <w:r w:rsidR="00C7612D" w:rsidRPr="003E7C50">
              <w:rPr>
                <w:bCs/>
                <w:iCs/>
              </w:rPr>
              <w:t>not justified.</w:t>
            </w:r>
          </w:p>
          <w:p w:rsidR="0036098F" w:rsidRPr="003E7C50" w:rsidRDefault="0036098F" w:rsidP="00F55128">
            <w:pPr>
              <w:pStyle w:val="TableText"/>
              <w:keepNext w:val="0"/>
              <w:widowControl w:val="0"/>
              <w:spacing w:before="0" w:after="0"/>
              <w:rPr>
                <w:rFonts w:cs="Arial"/>
                <w:szCs w:val="20"/>
              </w:rPr>
            </w:pPr>
          </w:p>
          <w:p w:rsidR="0036098F" w:rsidRPr="003E7C50" w:rsidRDefault="0036098F">
            <w:pPr>
              <w:pStyle w:val="TableText"/>
              <w:keepNext w:val="0"/>
              <w:widowControl w:val="0"/>
              <w:spacing w:before="0" w:after="0"/>
              <w:rPr>
                <w:bCs/>
                <w:iCs/>
              </w:rPr>
            </w:pPr>
            <w:r w:rsidRPr="003E7C50">
              <w:rPr>
                <w:bCs/>
                <w:iCs/>
              </w:rPr>
              <w:t xml:space="preserve">Treatment continuation was based on the MONALEESA-2 trial (date not reported) for the first </w:t>
            </w:r>
            <w:r w:rsidR="007A7AC7" w:rsidRPr="003E7C50">
              <w:rPr>
                <w:bCs/>
                <w:iCs/>
              </w:rPr>
              <w:t>14 months</w:t>
            </w:r>
            <w:r w:rsidRPr="003E7C50">
              <w:rPr>
                <w:bCs/>
                <w:iCs/>
              </w:rPr>
              <w:t xml:space="preserve">. </w:t>
            </w:r>
            <w:r w:rsidR="00AD7013" w:rsidRPr="003E7C50">
              <w:rPr>
                <w:bCs/>
                <w:iCs/>
              </w:rPr>
              <w:t>It was then e</w:t>
            </w:r>
            <w:r w:rsidR="007A7AC7" w:rsidRPr="003E7C50">
              <w:rPr>
                <w:bCs/>
                <w:iCs/>
              </w:rPr>
              <w:t xml:space="preserve">xtrapolated based on a parametric function (exponential) fitted to the data from the MONALEESA-2 trial. </w:t>
            </w:r>
            <w:r w:rsidR="00582567" w:rsidRPr="003E7C50">
              <w:rPr>
                <w:bCs/>
                <w:iCs/>
              </w:rPr>
              <w:t>The exponential function had t</w:t>
            </w:r>
            <w:r w:rsidR="00582567" w:rsidRPr="003E7C50">
              <w:t xml:space="preserve">he worst goodness-of-fit compared </w:t>
            </w:r>
            <w:r w:rsidR="00DD68CE" w:rsidRPr="003E7C50">
              <w:t xml:space="preserve">with </w:t>
            </w:r>
            <w:r w:rsidR="00582567" w:rsidRPr="003E7C50">
              <w:t>other parametric functions tested.</w:t>
            </w:r>
          </w:p>
        </w:tc>
      </w:tr>
      <w:tr w:rsidR="00F55128" w:rsidRPr="003E7C50" w:rsidTr="00E6510C">
        <w:tc>
          <w:tcPr>
            <w:tcW w:w="750" w:type="pct"/>
            <w:shd w:val="clear" w:color="auto" w:fill="auto"/>
            <w:vAlign w:val="center"/>
          </w:tcPr>
          <w:p w:rsidR="00F55128" w:rsidRPr="003E7C50" w:rsidRDefault="00F55128" w:rsidP="00F55128">
            <w:pPr>
              <w:pStyle w:val="TableText"/>
              <w:keepNext w:val="0"/>
              <w:widowControl w:val="0"/>
              <w:spacing w:before="0" w:after="0"/>
            </w:pPr>
            <w:r w:rsidRPr="003E7C50">
              <w:t>Costs</w:t>
            </w:r>
          </w:p>
        </w:tc>
        <w:tc>
          <w:tcPr>
            <w:tcW w:w="4250" w:type="pct"/>
            <w:shd w:val="clear" w:color="auto" w:fill="auto"/>
            <w:vAlign w:val="center"/>
          </w:tcPr>
          <w:p w:rsidR="00F55128" w:rsidRPr="003E7C50" w:rsidRDefault="00F55128" w:rsidP="00F55128">
            <w:pPr>
              <w:pStyle w:val="TableText"/>
              <w:keepNext w:val="0"/>
              <w:widowControl w:val="0"/>
              <w:spacing w:before="0" w:after="0"/>
              <w:rPr>
                <w:bCs/>
                <w:iCs/>
              </w:rPr>
            </w:pPr>
            <w:r w:rsidRPr="003E7C50">
              <w:rPr>
                <w:bCs/>
                <w:iCs/>
              </w:rPr>
              <w:t>The model included: Drug acquisition costs for the respective treatment regimens; the cost of monitoring patients and managing clinically relevant related AEs; comparative costs of other post-progression anti-cancer therapy (PPACT); other costs associated with the management of ABC; and end of life costs.</w:t>
            </w:r>
          </w:p>
          <w:p w:rsidR="00F55128" w:rsidRPr="003E7C50" w:rsidRDefault="00F55128" w:rsidP="00F55128">
            <w:pPr>
              <w:pStyle w:val="TableText"/>
              <w:keepNext w:val="0"/>
              <w:widowControl w:val="0"/>
              <w:spacing w:before="0" w:after="0"/>
              <w:rPr>
                <w:bCs/>
                <w:iCs/>
              </w:rPr>
            </w:pPr>
          </w:p>
          <w:p w:rsidR="00F55128" w:rsidRPr="003E7C50" w:rsidRDefault="00F55128" w:rsidP="00F55128">
            <w:pPr>
              <w:pStyle w:val="TableText"/>
              <w:keepNext w:val="0"/>
              <w:widowControl w:val="0"/>
              <w:spacing w:before="0" w:after="0"/>
              <w:rPr>
                <w:bCs/>
                <w:iCs/>
              </w:rPr>
            </w:pPr>
            <w:r w:rsidRPr="003E7C50">
              <w:rPr>
                <w:bCs/>
                <w:iCs/>
              </w:rPr>
              <w:t>The submission assumed that the PPACT, other direct healthcare costs associated with disease management (e.g. specialist visits)</w:t>
            </w:r>
            <w:r w:rsidR="00831DB2" w:rsidRPr="003E7C50">
              <w:rPr>
                <w:bCs/>
                <w:iCs/>
              </w:rPr>
              <w:t>,</w:t>
            </w:r>
            <w:r w:rsidRPr="003E7C50">
              <w:rPr>
                <w:bCs/>
                <w:iCs/>
              </w:rPr>
              <w:t xml:space="preserve"> and end of life costs were equal between groups and zero in the base case based on the limited information regarding differences between interventions. This </w:t>
            </w:r>
            <w:r w:rsidR="00831DB2" w:rsidRPr="003E7C50">
              <w:rPr>
                <w:bCs/>
                <w:iCs/>
              </w:rPr>
              <w:t>wa</w:t>
            </w:r>
            <w:r w:rsidRPr="003E7C50">
              <w:rPr>
                <w:bCs/>
                <w:iCs/>
              </w:rPr>
              <w:t xml:space="preserve">s not appropriate. Total treatment costs </w:t>
            </w:r>
            <w:r w:rsidR="00831DB2" w:rsidRPr="003E7C50">
              <w:rPr>
                <w:bCs/>
                <w:iCs/>
              </w:rPr>
              <w:t xml:space="preserve">have been </w:t>
            </w:r>
            <w:r w:rsidRPr="003E7C50">
              <w:rPr>
                <w:bCs/>
                <w:iCs/>
              </w:rPr>
              <w:t xml:space="preserve">underestimated as PFS and OS are longer in the </w:t>
            </w:r>
            <w:proofErr w:type="spellStart"/>
            <w:r w:rsidRPr="003E7C50">
              <w:rPr>
                <w:bCs/>
                <w:iCs/>
              </w:rPr>
              <w:t>ribociclib</w:t>
            </w:r>
            <w:proofErr w:type="spellEnd"/>
            <w:r w:rsidRPr="003E7C50">
              <w:rPr>
                <w:bCs/>
                <w:iCs/>
              </w:rPr>
              <w:t xml:space="preserve"> + </w:t>
            </w:r>
            <w:proofErr w:type="spellStart"/>
            <w:r w:rsidRPr="003E7C50">
              <w:rPr>
                <w:bCs/>
                <w:iCs/>
              </w:rPr>
              <w:t>letrozole</w:t>
            </w:r>
            <w:proofErr w:type="spellEnd"/>
            <w:r w:rsidRPr="003E7C50">
              <w:rPr>
                <w:bCs/>
                <w:iCs/>
              </w:rPr>
              <w:t xml:space="preserve"> group, which </w:t>
            </w:r>
            <w:r w:rsidR="00831DB2" w:rsidRPr="003E7C50">
              <w:rPr>
                <w:bCs/>
                <w:iCs/>
              </w:rPr>
              <w:t xml:space="preserve">has </w:t>
            </w:r>
            <w:r w:rsidRPr="003E7C50">
              <w:rPr>
                <w:bCs/>
                <w:iCs/>
              </w:rPr>
              <w:t>underestimate</w:t>
            </w:r>
            <w:r w:rsidR="00831DB2" w:rsidRPr="003E7C50">
              <w:rPr>
                <w:bCs/>
                <w:iCs/>
              </w:rPr>
              <w:t>d</w:t>
            </w:r>
            <w:r w:rsidRPr="003E7C50">
              <w:rPr>
                <w:bCs/>
                <w:iCs/>
              </w:rPr>
              <w:t xml:space="preserve"> the ICER in favour of </w:t>
            </w:r>
            <w:proofErr w:type="spellStart"/>
            <w:r w:rsidRPr="003E7C50">
              <w:rPr>
                <w:bCs/>
                <w:iCs/>
              </w:rPr>
              <w:t>ribociclib</w:t>
            </w:r>
            <w:proofErr w:type="spellEnd"/>
            <w:r w:rsidRPr="003E7C50">
              <w:rPr>
                <w:bCs/>
                <w:iCs/>
              </w:rPr>
              <w:t>.</w:t>
            </w:r>
          </w:p>
          <w:p w:rsidR="00F55128" w:rsidRPr="003E7C50" w:rsidRDefault="00F55128" w:rsidP="00F55128">
            <w:pPr>
              <w:pStyle w:val="TableText"/>
              <w:keepNext w:val="0"/>
              <w:widowControl w:val="0"/>
              <w:spacing w:before="0" w:after="0"/>
              <w:rPr>
                <w:bCs/>
                <w:iCs/>
              </w:rPr>
            </w:pPr>
          </w:p>
          <w:p w:rsidR="00F55128" w:rsidRPr="003E7C50" w:rsidRDefault="00F55128" w:rsidP="00F55128">
            <w:pPr>
              <w:pStyle w:val="TableText"/>
              <w:keepNext w:val="0"/>
              <w:widowControl w:val="0"/>
              <w:spacing w:before="0" w:after="0"/>
              <w:rPr>
                <w:bCs/>
                <w:i/>
                <w:iCs/>
              </w:rPr>
            </w:pPr>
            <w:r w:rsidRPr="003E7C50">
              <w:rPr>
                <w:bCs/>
                <w:iCs/>
              </w:rPr>
              <w:t>No G-CSF costs are included to treat/prevent neutropenia and febrile neutropenia, which favour</w:t>
            </w:r>
            <w:r w:rsidR="00831DB2" w:rsidRPr="003E7C50">
              <w:rPr>
                <w:bCs/>
                <w:iCs/>
              </w:rPr>
              <w:t>ed</w:t>
            </w:r>
            <w:r w:rsidRPr="003E7C50">
              <w:rPr>
                <w:bCs/>
                <w:iCs/>
              </w:rPr>
              <w:t xml:space="preserve"> </w:t>
            </w:r>
            <w:proofErr w:type="spellStart"/>
            <w:r w:rsidRPr="003E7C50">
              <w:rPr>
                <w:bCs/>
                <w:iCs/>
              </w:rPr>
              <w:t>ribociclib</w:t>
            </w:r>
            <w:proofErr w:type="spellEnd"/>
            <w:r w:rsidRPr="003E7C50">
              <w:rPr>
                <w:bCs/>
                <w:iCs/>
              </w:rPr>
              <w:t>.</w:t>
            </w:r>
          </w:p>
        </w:tc>
      </w:tr>
    </w:tbl>
    <w:p w:rsidR="00C317F3" w:rsidRPr="003E7C50" w:rsidRDefault="00B679DB" w:rsidP="003215F2">
      <w:pPr>
        <w:pStyle w:val="TableFooter"/>
        <w:widowControl/>
      </w:pPr>
      <w:r w:rsidRPr="003E7C50">
        <w:t xml:space="preserve">HR: Hazard rate ratio; </w:t>
      </w:r>
      <w:r w:rsidR="00027FA6" w:rsidRPr="003E7C50">
        <w:t>LTZ</w:t>
      </w:r>
      <w:r w:rsidR="00900D78" w:rsidRPr="003E7C50">
        <w:t>:</w:t>
      </w:r>
      <w:r w:rsidR="00027FA6" w:rsidRPr="003E7C50">
        <w:t xml:space="preserve"> </w:t>
      </w:r>
      <w:proofErr w:type="spellStart"/>
      <w:r w:rsidR="00027FA6" w:rsidRPr="003E7C50">
        <w:t>letrozole</w:t>
      </w:r>
      <w:proofErr w:type="spellEnd"/>
      <w:r w:rsidR="00027FA6" w:rsidRPr="003E7C50">
        <w:t>; LY</w:t>
      </w:r>
      <w:r w:rsidR="00900D78" w:rsidRPr="003E7C50">
        <w:t>:</w:t>
      </w:r>
      <w:r w:rsidR="00027FA6" w:rsidRPr="003E7C50">
        <w:t xml:space="preserve"> life years; PFS</w:t>
      </w:r>
      <w:r w:rsidR="00900D78" w:rsidRPr="003E7C50">
        <w:t>:</w:t>
      </w:r>
      <w:r w:rsidR="00027FA6" w:rsidRPr="003E7C50">
        <w:t xml:space="preserve"> progression free survival; QALY</w:t>
      </w:r>
      <w:r w:rsidR="00900D78" w:rsidRPr="003E7C50">
        <w:t>:</w:t>
      </w:r>
      <w:r w:rsidR="00027FA6" w:rsidRPr="003E7C50">
        <w:t xml:space="preserve"> quality-adjusted life years; OR</w:t>
      </w:r>
      <w:r w:rsidR="00900D78" w:rsidRPr="003E7C50">
        <w:t>:</w:t>
      </w:r>
      <w:r w:rsidR="00027FA6" w:rsidRPr="003E7C50">
        <w:t xml:space="preserve"> overall response; OS</w:t>
      </w:r>
      <w:r w:rsidR="00900D78" w:rsidRPr="003E7C50">
        <w:t>:</w:t>
      </w:r>
      <w:r w:rsidR="00027FA6" w:rsidRPr="003E7C50">
        <w:t xml:space="preserve"> overall survival; RIB</w:t>
      </w:r>
      <w:r w:rsidR="00900D78" w:rsidRPr="003E7C50">
        <w:t>:</w:t>
      </w:r>
      <w:r w:rsidR="00027FA6" w:rsidRPr="003E7C50">
        <w:t xml:space="preserve"> </w:t>
      </w:r>
      <w:proofErr w:type="spellStart"/>
      <w:r w:rsidR="00027FA6" w:rsidRPr="003E7C50">
        <w:t>ribociclib</w:t>
      </w:r>
      <w:proofErr w:type="spellEnd"/>
      <w:r w:rsidR="00027FA6" w:rsidRPr="003E7C50">
        <w:t>; SD</w:t>
      </w:r>
      <w:r w:rsidR="00900D78" w:rsidRPr="003E7C50">
        <w:t>:</w:t>
      </w:r>
      <w:r w:rsidR="00027FA6" w:rsidRPr="003E7C50">
        <w:t xml:space="preserve"> stable disease.</w:t>
      </w:r>
      <w:r w:rsidR="00900D78" w:rsidRPr="003E7C50">
        <w:t xml:space="preserve"> </w:t>
      </w:r>
      <w:r w:rsidR="00C317F3" w:rsidRPr="003E7C50">
        <w:t xml:space="preserve">Source: </w:t>
      </w:r>
      <w:r w:rsidR="00900D78" w:rsidRPr="003E7C50">
        <w:t>compiled during the evaluation.</w:t>
      </w:r>
    </w:p>
    <w:p w:rsidR="00027FA6" w:rsidRPr="003E7C50" w:rsidRDefault="00AD7013" w:rsidP="00316E09">
      <w:pPr>
        <w:pStyle w:val="ListParagraph"/>
      </w:pPr>
      <w:r w:rsidRPr="003E7C50">
        <w:t xml:space="preserve">Figure </w:t>
      </w:r>
      <w:r w:rsidR="007B5563" w:rsidRPr="003E7C50">
        <w:t xml:space="preserve">3 </w:t>
      </w:r>
      <w:r w:rsidR="00C80C95" w:rsidRPr="003E7C50">
        <w:t>shows the extrapolation of PFS</w:t>
      </w:r>
      <w:r w:rsidR="007674F6" w:rsidRPr="003E7C50">
        <w:t xml:space="preserve"> </w:t>
      </w:r>
      <w:r w:rsidR="00C80C95" w:rsidRPr="003E7C50">
        <w:t xml:space="preserve">in the </w:t>
      </w:r>
      <w:proofErr w:type="spellStart"/>
      <w:r w:rsidR="00C80C95" w:rsidRPr="003E7C50">
        <w:t>letrozole</w:t>
      </w:r>
      <w:proofErr w:type="spellEnd"/>
      <w:r w:rsidR="00C80C95" w:rsidRPr="003E7C50">
        <w:t xml:space="preserve"> alone and </w:t>
      </w:r>
      <w:proofErr w:type="spellStart"/>
      <w:r w:rsidR="00472A53" w:rsidRPr="003E7C50">
        <w:t>ribociclib</w:t>
      </w:r>
      <w:proofErr w:type="spellEnd"/>
      <w:r w:rsidR="00472A53" w:rsidRPr="003E7C50">
        <w:t xml:space="preserve"> + </w:t>
      </w:r>
      <w:proofErr w:type="spellStart"/>
      <w:r w:rsidR="00472A53" w:rsidRPr="003E7C50">
        <w:t>letrozole</w:t>
      </w:r>
      <w:proofErr w:type="spellEnd"/>
      <w:r w:rsidR="00472A53" w:rsidRPr="003E7C50">
        <w:t xml:space="preserve"> </w:t>
      </w:r>
      <w:r w:rsidR="00C80C95" w:rsidRPr="003E7C50">
        <w:t xml:space="preserve">groups based on the lognormal </w:t>
      </w:r>
      <w:r w:rsidR="00F55128" w:rsidRPr="003E7C50">
        <w:t>function</w:t>
      </w:r>
      <w:r w:rsidR="00C80C95" w:rsidRPr="003E7C50">
        <w:t xml:space="preserve"> fitted to data obtained from the MONALEESA-2 trial. Figure </w:t>
      </w:r>
      <w:r w:rsidR="007B5563" w:rsidRPr="003E7C50">
        <w:t xml:space="preserve">4 </w:t>
      </w:r>
      <w:r w:rsidR="00C80C95" w:rsidRPr="003E7C50">
        <w:t xml:space="preserve">shows the extrapolation of OS in the </w:t>
      </w:r>
      <w:proofErr w:type="spellStart"/>
      <w:r w:rsidR="00C80C95" w:rsidRPr="003E7C50">
        <w:t>letrozole</w:t>
      </w:r>
      <w:proofErr w:type="spellEnd"/>
      <w:r w:rsidR="00C80C95" w:rsidRPr="003E7C50">
        <w:t xml:space="preserve"> alone group based on the lognormal </w:t>
      </w:r>
      <w:r w:rsidR="00F55128" w:rsidRPr="003E7C50">
        <w:t>function</w:t>
      </w:r>
      <w:r w:rsidR="00C80C95" w:rsidRPr="003E7C50">
        <w:t xml:space="preserve"> fitted to study data using </w:t>
      </w:r>
      <w:proofErr w:type="spellStart"/>
      <w:r w:rsidR="00C80C95" w:rsidRPr="003E7C50">
        <w:t>Dickler</w:t>
      </w:r>
      <w:proofErr w:type="spellEnd"/>
      <w:r w:rsidR="00C80C95" w:rsidRPr="003E7C50">
        <w:t xml:space="preserve"> et al (2016)</w:t>
      </w:r>
      <w:r w:rsidRPr="003E7C50">
        <w:t xml:space="preserve">. It also shows </w:t>
      </w:r>
      <w:r w:rsidR="00AE7DAA" w:rsidRPr="003E7C50">
        <w:t xml:space="preserve">the </w:t>
      </w:r>
      <w:r w:rsidR="00C80C95" w:rsidRPr="003E7C50">
        <w:t xml:space="preserve">estimation of OS in the </w:t>
      </w:r>
      <w:proofErr w:type="spellStart"/>
      <w:r w:rsidR="00472A53" w:rsidRPr="003E7C50">
        <w:t>ribociclib</w:t>
      </w:r>
      <w:proofErr w:type="spellEnd"/>
      <w:r w:rsidR="00472A53" w:rsidRPr="003E7C50">
        <w:t xml:space="preserve"> + </w:t>
      </w:r>
      <w:proofErr w:type="spellStart"/>
      <w:r w:rsidR="00472A53" w:rsidRPr="003E7C50">
        <w:t>letrozole</w:t>
      </w:r>
      <w:proofErr w:type="spellEnd"/>
      <w:r w:rsidR="00472A53" w:rsidRPr="003E7C50">
        <w:t xml:space="preserve"> </w:t>
      </w:r>
      <w:r w:rsidR="00C80C95" w:rsidRPr="003E7C50">
        <w:t xml:space="preserve">group based on the OS in the </w:t>
      </w:r>
      <w:proofErr w:type="spellStart"/>
      <w:r w:rsidR="00C80C95" w:rsidRPr="003E7C50">
        <w:t>letrozole</w:t>
      </w:r>
      <w:proofErr w:type="spellEnd"/>
      <w:r w:rsidR="00C80C95" w:rsidRPr="003E7C50">
        <w:t xml:space="preserve"> alone group and </w:t>
      </w:r>
      <w:r w:rsidR="00AE7DAA" w:rsidRPr="003E7C50">
        <w:t xml:space="preserve">applying </w:t>
      </w:r>
      <w:r w:rsidR="00C80C95" w:rsidRPr="003E7C50">
        <w:t xml:space="preserve">a hazard ratio </w:t>
      </w:r>
      <w:r w:rsidR="00B06379" w:rsidRPr="003E7C50">
        <w:t xml:space="preserve">of 0.72 </w:t>
      </w:r>
      <w:r w:rsidR="00C80C95" w:rsidRPr="003E7C50">
        <w:t>based on the</w:t>
      </w:r>
      <w:r w:rsidR="00C7612D" w:rsidRPr="003E7C50">
        <w:t xml:space="preserve"> power calculation in the</w:t>
      </w:r>
      <w:r w:rsidR="00C80C95" w:rsidRPr="003E7C50">
        <w:t xml:space="preserve"> MONALEESA-2 trial.</w:t>
      </w:r>
      <w:r w:rsidR="00EA624B" w:rsidRPr="003E7C50">
        <w:t xml:space="preserve"> </w:t>
      </w:r>
      <w:r w:rsidR="00C80C95" w:rsidRPr="003E7C50">
        <w:t>These extrapolations were used in the base case analysis</w:t>
      </w:r>
      <w:r w:rsidR="00027FA6" w:rsidRPr="003E7C50">
        <w:t>.</w:t>
      </w:r>
    </w:p>
    <w:p w:rsidR="00762A23" w:rsidRDefault="00762A23" w:rsidP="00762A23">
      <w:pPr>
        <w:pStyle w:val="Caption"/>
      </w:pPr>
      <w:r>
        <w:t xml:space="preserve">Figure </w:t>
      </w:r>
      <w:r>
        <w:rPr>
          <w:noProof/>
        </w:rPr>
        <w:t>3</w:t>
      </w:r>
      <w:r w:rsidRPr="004A740F">
        <w:t xml:space="preserve">: Extrapolation of PFS in the </w:t>
      </w:r>
      <w:proofErr w:type="spellStart"/>
      <w:r w:rsidRPr="004A740F">
        <w:t>letrozole</w:t>
      </w:r>
      <w:proofErr w:type="spellEnd"/>
      <w:r w:rsidRPr="004A740F">
        <w:t xml:space="preserve"> alone and </w:t>
      </w:r>
      <w:proofErr w:type="spellStart"/>
      <w:r w:rsidRPr="004A740F">
        <w:t>ribociclib</w:t>
      </w:r>
      <w:proofErr w:type="spellEnd"/>
      <w:r w:rsidRPr="004A740F">
        <w:t xml:space="preserve"> + </w:t>
      </w:r>
      <w:proofErr w:type="spellStart"/>
      <w:r w:rsidRPr="004A740F">
        <w:t>letrozole</w:t>
      </w:r>
      <w:proofErr w:type="spellEnd"/>
      <w:r w:rsidRPr="004A740F">
        <w:t xml:space="preserve"> groups based on the lognormal function fitted to data from the MONALEESA-2 trial</w:t>
      </w:r>
    </w:p>
    <w:p w:rsidR="00C80C95" w:rsidRPr="003E7C50" w:rsidRDefault="00B235DF" w:rsidP="003215F2">
      <w:pPr>
        <w:spacing w:before="0" w:after="0"/>
      </w:pPr>
      <w:r>
        <w:rPr>
          <w:noProof/>
          <w:lang w:eastAsia="en-AU"/>
        </w:rPr>
        <w:drawing>
          <wp:inline distT="0" distB="0" distL="0" distR="0" wp14:anchorId="194C98CD" wp14:editId="2A8EBFE6">
            <wp:extent cx="5149850" cy="31445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49850" cy="3144520"/>
                    </a:xfrm>
                    <a:prstGeom prst="rect">
                      <a:avLst/>
                    </a:prstGeom>
                  </pic:spPr>
                </pic:pic>
              </a:graphicData>
            </a:graphic>
          </wp:inline>
        </w:drawing>
      </w:r>
    </w:p>
    <w:p w:rsidR="00C80C95" w:rsidRPr="003E7C50" w:rsidRDefault="00C80C95" w:rsidP="003215F2">
      <w:pPr>
        <w:pStyle w:val="TableFooter"/>
        <w:widowControl/>
      </w:pPr>
      <w:r w:rsidRPr="003E7C50">
        <w:t xml:space="preserve">Source: Graph generated by the Evaluator using data in the Excel workbook (sheets </w:t>
      </w:r>
      <w:proofErr w:type="spellStart"/>
      <w:r w:rsidRPr="003E7C50">
        <w:t>PFS_Obs</w:t>
      </w:r>
      <w:proofErr w:type="spellEnd"/>
      <w:r w:rsidRPr="003E7C50">
        <w:t xml:space="preserve"> and </w:t>
      </w:r>
      <w:proofErr w:type="spellStart"/>
      <w:r w:rsidRPr="003E7C50">
        <w:t>PFS_Mod</w:t>
      </w:r>
      <w:proofErr w:type="spellEnd"/>
      <w:r w:rsidRPr="003E7C50">
        <w:t>).</w:t>
      </w:r>
    </w:p>
    <w:p w:rsidR="00762A23" w:rsidRDefault="00762A23" w:rsidP="00762A23">
      <w:pPr>
        <w:pStyle w:val="Caption"/>
      </w:pPr>
      <w:r>
        <w:t xml:space="preserve">Figure </w:t>
      </w:r>
      <w:r>
        <w:rPr>
          <w:noProof/>
        </w:rPr>
        <w:t>4</w:t>
      </w:r>
      <w:r w:rsidRPr="00906C95">
        <w:t xml:space="preserve">: Extrapolation of OS in the </w:t>
      </w:r>
      <w:proofErr w:type="spellStart"/>
      <w:r w:rsidRPr="00906C95">
        <w:t>letrozole</w:t>
      </w:r>
      <w:proofErr w:type="spellEnd"/>
      <w:r w:rsidRPr="00906C95">
        <w:t xml:space="preserve"> alone group based on the lognormal fitted to data obtained from the study by </w:t>
      </w:r>
      <w:proofErr w:type="spellStart"/>
      <w:r w:rsidRPr="00906C95">
        <w:t>Dickler</w:t>
      </w:r>
      <w:proofErr w:type="spellEnd"/>
      <w:r w:rsidRPr="00906C95">
        <w:t xml:space="preserve"> et al (2016) and estimation of OS group based on the OS in the </w:t>
      </w:r>
      <w:proofErr w:type="spellStart"/>
      <w:r w:rsidRPr="00906C95">
        <w:t>letrozole</w:t>
      </w:r>
      <w:proofErr w:type="spellEnd"/>
      <w:r w:rsidRPr="00906C95">
        <w:t xml:space="preserve"> alone group and a hazard ratio estimated based on the MON</w:t>
      </w:r>
    </w:p>
    <w:p w:rsidR="003215F2" w:rsidRPr="003E7C50" w:rsidRDefault="00B235DF" w:rsidP="003215F2">
      <w:pPr>
        <w:spacing w:before="0" w:after="0"/>
        <w:rPr>
          <w:rFonts w:ascii="Arial Narrow" w:eastAsia="Times New Roman" w:hAnsi="Arial Narrow" w:cs="Arial"/>
          <w:snapToGrid w:val="0"/>
          <w:sz w:val="18"/>
          <w:szCs w:val="20"/>
        </w:rPr>
      </w:pPr>
      <w:r>
        <w:rPr>
          <w:noProof/>
          <w:sz w:val="16"/>
          <w:szCs w:val="16"/>
          <w:lang w:eastAsia="en-AU"/>
        </w:rPr>
        <w:drawing>
          <wp:inline distT="0" distB="0" distL="0" distR="0" wp14:anchorId="4164A2B6" wp14:editId="4CC2F6E2">
            <wp:extent cx="5346700" cy="3121660"/>
            <wp:effectExtent l="0" t="0" r="6350" b="254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46700" cy="3121660"/>
                    </a:xfrm>
                    <a:prstGeom prst="rect">
                      <a:avLst/>
                    </a:prstGeom>
                  </pic:spPr>
                </pic:pic>
              </a:graphicData>
            </a:graphic>
          </wp:inline>
        </w:drawing>
      </w:r>
    </w:p>
    <w:p w:rsidR="00C80C95" w:rsidRPr="003E7C50" w:rsidRDefault="00C80C95" w:rsidP="00530F06">
      <w:pPr>
        <w:spacing w:before="0" w:after="120"/>
        <w:rPr>
          <w:rFonts w:ascii="Arial Narrow" w:eastAsia="Times New Roman" w:hAnsi="Arial Narrow" w:cs="Arial"/>
          <w:snapToGrid w:val="0"/>
          <w:sz w:val="18"/>
          <w:szCs w:val="20"/>
        </w:rPr>
      </w:pPr>
      <w:r w:rsidRPr="003E7C50">
        <w:rPr>
          <w:rFonts w:ascii="Arial Narrow" w:eastAsia="Times New Roman" w:hAnsi="Arial Narrow" w:cs="Arial"/>
          <w:snapToGrid w:val="0"/>
          <w:sz w:val="18"/>
          <w:szCs w:val="20"/>
        </w:rPr>
        <w:t xml:space="preserve">Source: Graph generated by the Evaluator using data in the Excel workbook (sheet </w:t>
      </w:r>
      <w:proofErr w:type="spellStart"/>
      <w:r w:rsidRPr="003E7C50">
        <w:rPr>
          <w:rFonts w:ascii="Arial Narrow" w:eastAsia="Times New Roman" w:hAnsi="Arial Narrow" w:cs="Arial"/>
          <w:snapToGrid w:val="0"/>
          <w:sz w:val="18"/>
          <w:szCs w:val="20"/>
        </w:rPr>
        <w:t>OS_Obs</w:t>
      </w:r>
      <w:proofErr w:type="spellEnd"/>
      <w:r w:rsidRPr="003E7C50">
        <w:rPr>
          <w:rFonts w:ascii="Arial Narrow" w:eastAsia="Times New Roman" w:hAnsi="Arial Narrow" w:cs="Arial"/>
          <w:snapToGrid w:val="0"/>
          <w:sz w:val="18"/>
          <w:szCs w:val="20"/>
        </w:rPr>
        <w:t>,</w:t>
      </w:r>
      <w:r w:rsidRPr="003E7C50">
        <w:rPr>
          <w:szCs w:val="18"/>
        </w:rPr>
        <w:t xml:space="preserve"> </w:t>
      </w:r>
      <w:proofErr w:type="spellStart"/>
      <w:r w:rsidRPr="003E7C50">
        <w:rPr>
          <w:rFonts w:ascii="Arial Narrow" w:eastAsia="Times New Roman" w:hAnsi="Arial Narrow" w:cs="Arial"/>
          <w:snapToGrid w:val="0"/>
          <w:sz w:val="18"/>
          <w:szCs w:val="20"/>
        </w:rPr>
        <w:t>OS_Mod</w:t>
      </w:r>
      <w:proofErr w:type="spellEnd"/>
      <w:r w:rsidRPr="003E7C50">
        <w:rPr>
          <w:rFonts w:ascii="Arial Narrow" w:eastAsia="Times New Roman" w:hAnsi="Arial Narrow" w:cs="Arial"/>
          <w:snapToGrid w:val="0"/>
          <w:sz w:val="18"/>
          <w:szCs w:val="20"/>
        </w:rPr>
        <w:t xml:space="preserve"> and </w:t>
      </w:r>
      <w:proofErr w:type="spellStart"/>
      <w:r w:rsidRPr="003E7C50">
        <w:rPr>
          <w:rFonts w:ascii="Arial Narrow" w:eastAsia="Times New Roman" w:hAnsi="Arial Narrow" w:cs="Arial"/>
          <w:snapToGrid w:val="0"/>
          <w:sz w:val="18"/>
          <w:szCs w:val="20"/>
        </w:rPr>
        <w:t>OS_Est</w:t>
      </w:r>
      <w:proofErr w:type="spellEnd"/>
      <w:r w:rsidRPr="003E7C50">
        <w:rPr>
          <w:rFonts w:ascii="Arial Narrow" w:eastAsia="Times New Roman" w:hAnsi="Arial Narrow" w:cs="Arial"/>
          <w:snapToGrid w:val="0"/>
          <w:sz w:val="18"/>
          <w:szCs w:val="20"/>
        </w:rPr>
        <w:t>).</w:t>
      </w:r>
    </w:p>
    <w:p w:rsidR="00F55128" w:rsidRPr="003E7C50" w:rsidRDefault="00F55128" w:rsidP="00F55128">
      <w:pPr>
        <w:pStyle w:val="ListParagraph"/>
      </w:pPr>
      <w:r w:rsidRPr="003E7C50">
        <w:t xml:space="preserve">Key drivers of the model are provided in </w:t>
      </w:r>
      <w:r w:rsidR="00C97D59" w:rsidRPr="003E7C50">
        <w:t>Table 10</w:t>
      </w:r>
      <w:r w:rsidR="00044D06" w:rsidRPr="003E7C50">
        <w:t>.</w:t>
      </w:r>
    </w:p>
    <w:p w:rsidR="00762A23" w:rsidRDefault="00762A23" w:rsidP="00762A23">
      <w:pPr>
        <w:pStyle w:val="Caption"/>
      </w:pPr>
      <w:r>
        <w:t xml:space="preserve">Table </w:t>
      </w:r>
      <w:r>
        <w:rPr>
          <w:noProof/>
        </w:rPr>
        <w:t>10</w:t>
      </w:r>
      <w:r w:rsidRPr="003D33F4">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50"/>
        <w:gridCol w:w="5197"/>
        <w:gridCol w:w="1035"/>
      </w:tblGrid>
      <w:tr w:rsidR="00F55128" w:rsidRPr="003E7C50" w:rsidTr="003215F2">
        <w:trPr>
          <w:tblHeader/>
        </w:trPr>
        <w:tc>
          <w:tcPr>
            <w:tcW w:w="1569" w:type="pct"/>
            <w:shd w:val="clear" w:color="auto" w:fill="auto"/>
            <w:vAlign w:val="center"/>
          </w:tcPr>
          <w:p w:rsidR="00F55128" w:rsidRPr="003E7C50" w:rsidRDefault="00F55128" w:rsidP="00C94FD1">
            <w:pPr>
              <w:pStyle w:val="TableText"/>
              <w:spacing w:before="0" w:after="0"/>
              <w:rPr>
                <w:b/>
              </w:rPr>
            </w:pPr>
            <w:r w:rsidRPr="003E7C50">
              <w:rPr>
                <w:b/>
              </w:rPr>
              <w:t>Description</w:t>
            </w:r>
          </w:p>
        </w:tc>
        <w:tc>
          <w:tcPr>
            <w:tcW w:w="2861" w:type="pct"/>
            <w:shd w:val="clear" w:color="auto" w:fill="auto"/>
            <w:vAlign w:val="center"/>
          </w:tcPr>
          <w:p w:rsidR="00F55128" w:rsidRPr="003E7C50" w:rsidRDefault="00F55128" w:rsidP="00C94FD1">
            <w:pPr>
              <w:pStyle w:val="TableText"/>
              <w:spacing w:before="0" w:after="0"/>
              <w:rPr>
                <w:b/>
              </w:rPr>
            </w:pPr>
            <w:r w:rsidRPr="003E7C50">
              <w:rPr>
                <w:b/>
              </w:rPr>
              <w:t>Method/Value</w:t>
            </w:r>
          </w:p>
        </w:tc>
        <w:tc>
          <w:tcPr>
            <w:tcW w:w="570" w:type="pct"/>
            <w:shd w:val="clear" w:color="auto" w:fill="auto"/>
            <w:vAlign w:val="center"/>
          </w:tcPr>
          <w:p w:rsidR="00F55128" w:rsidRPr="003E7C50" w:rsidRDefault="00F55128" w:rsidP="00C94FD1">
            <w:pPr>
              <w:pStyle w:val="TableText"/>
              <w:spacing w:before="0" w:after="0"/>
              <w:rPr>
                <w:b/>
              </w:rPr>
            </w:pPr>
            <w:r w:rsidRPr="003E7C50">
              <w:rPr>
                <w:b/>
              </w:rPr>
              <w:t>Impact</w:t>
            </w:r>
          </w:p>
        </w:tc>
      </w:tr>
      <w:tr w:rsidR="00F55128" w:rsidRPr="003E7C50" w:rsidTr="003215F2">
        <w:tc>
          <w:tcPr>
            <w:tcW w:w="1569" w:type="pct"/>
            <w:shd w:val="clear" w:color="auto" w:fill="auto"/>
            <w:vAlign w:val="center"/>
          </w:tcPr>
          <w:p w:rsidR="00F55128" w:rsidRPr="003E7C50" w:rsidRDefault="00F55128" w:rsidP="00C94FD1">
            <w:pPr>
              <w:pStyle w:val="TableText"/>
              <w:spacing w:before="0" w:after="0"/>
            </w:pPr>
            <w:r w:rsidRPr="003E7C50">
              <w:t>Time horizon</w:t>
            </w:r>
          </w:p>
        </w:tc>
        <w:tc>
          <w:tcPr>
            <w:tcW w:w="2861" w:type="pct"/>
            <w:shd w:val="clear" w:color="auto" w:fill="auto"/>
            <w:vAlign w:val="center"/>
          </w:tcPr>
          <w:p w:rsidR="00F55128" w:rsidRPr="003E7C50" w:rsidRDefault="00F55128" w:rsidP="00C94FD1">
            <w:pPr>
              <w:pStyle w:val="TableText"/>
              <w:spacing w:before="0" w:after="0"/>
            </w:pPr>
            <w:r w:rsidRPr="003E7C50">
              <w:t>10 years; extrapolated from 15 months</w:t>
            </w:r>
          </w:p>
        </w:tc>
        <w:tc>
          <w:tcPr>
            <w:tcW w:w="570" w:type="pct"/>
            <w:shd w:val="clear" w:color="auto" w:fill="auto"/>
            <w:vAlign w:val="center"/>
          </w:tcPr>
          <w:p w:rsidR="00F55128" w:rsidRPr="003E7C50" w:rsidRDefault="00F55128" w:rsidP="00C94FD1">
            <w:pPr>
              <w:pStyle w:val="TableText"/>
              <w:spacing w:before="0" w:after="0"/>
            </w:pPr>
            <w:r w:rsidRPr="003E7C50">
              <w:t xml:space="preserve">High, favours </w:t>
            </w:r>
            <w:proofErr w:type="spellStart"/>
            <w:r w:rsidRPr="003E7C50">
              <w:t>ribociclib</w:t>
            </w:r>
            <w:proofErr w:type="spellEnd"/>
          </w:p>
        </w:tc>
      </w:tr>
      <w:tr w:rsidR="00F55128" w:rsidRPr="003E7C50" w:rsidTr="003215F2">
        <w:tc>
          <w:tcPr>
            <w:tcW w:w="1569" w:type="pct"/>
            <w:shd w:val="clear" w:color="auto" w:fill="auto"/>
            <w:vAlign w:val="center"/>
          </w:tcPr>
          <w:p w:rsidR="00F55128" w:rsidRPr="003E7C50" w:rsidRDefault="00F55128" w:rsidP="00C94FD1">
            <w:pPr>
              <w:pStyle w:val="TableText"/>
              <w:spacing w:before="0" w:after="0"/>
            </w:pPr>
            <w:r w:rsidRPr="003E7C50">
              <w:t xml:space="preserve">Estimation of OS in patients receiving </w:t>
            </w:r>
            <w:proofErr w:type="spellStart"/>
            <w:r w:rsidRPr="003E7C50">
              <w:t>ribociclib</w:t>
            </w:r>
            <w:proofErr w:type="spellEnd"/>
            <w:r w:rsidRPr="003E7C50">
              <w:t xml:space="preserve"> + </w:t>
            </w:r>
            <w:proofErr w:type="spellStart"/>
            <w:r w:rsidRPr="003E7C50">
              <w:t>letrozole</w:t>
            </w:r>
            <w:proofErr w:type="spellEnd"/>
            <w:r w:rsidRPr="003E7C50">
              <w:t xml:space="preserve"> </w:t>
            </w:r>
          </w:p>
        </w:tc>
        <w:tc>
          <w:tcPr>
            <w:tcW w:w="2861" w:type="pct"/>
            <w:shd w:val="clear" w:color="auto" w:fill="auto"/>
            <w:vAlign w:val="center"/>
          </w:tcPr>
          <w:p w:rsidR="00F55128" w:rsidRPr="003E7C50" w:rsidRDefault="00D57235" w:rsidP="00C7612D">
            <w:pPr>
              <w:pStyle w:val="TableText"/>
              <w:spacing w:before="0" w:after="0"/>
            </w:pPr>
            <w:r w:rsidRPr="003E7C50">
              <w:t>In the base case a h</w:t>
            </w:r>
            <w:r w:rsidR="00F55128" w:rsidRPr="003E7C50">
              <w:t xml:space="preserve">azard ratio </w:t>
            </w:r>
            <w:r w:rsidRPr="003E7C50">
              <w:t>was applied from the</w:t>
            </w:r>
            <w:r w:rsidR="00C7612D" w:rsidRPr="003E7C50">
              <w:t xml:space="preserve"> power calculation in the</w:t>
            </w:r>
            <w:r w:rsidRPr="003E7C50">
              <w:t xml:space="preserve"> </w:t>
            </w:r>
            <w:r w:rsidR="00F55128" w:rsidRPr="003E7C50">
              <w:t>MONALEESA</w:t>
            </w:r>
            <w:r w:rsidR="00C7612D" w:rsidRPr="003E7C50">
              <w:noBreakHyphen/>
            </w:r>
            <w:r w:rsidR="00F55128" w:rsidRPr="003E7C50">
              <w:t>2 trial</w:t>
            </w:r>
            <w:r w:rsidR="00C7612D" w:rsidRPr="003E7C50">
              <w:t xml:space="preserve"> (HR=0.72)</w:t>
            </w:r>
            <w:r w:rsidRPr="003E7C50">
              <w:t xml:space="preserve">, in comparison to using the OS data </w:t>
            </w:r>
            <w:r w:rsidR="00044D06" w:rsidRPr="003E7C50">
              <w:t>and fitting a parametric function</w:t>
            </w:r>
            <w:r w:rsidRPr="003E7C50">
              <w:t xml:space="preserve">. </w:t>
            </w:r>
          </w:p>
        </w:tc>
        <w:tc>
          <w:tcPr>
            <w:tcW w:w="570" w:type="pct"/>
            <w:shd w:val="clear" w:color="auto" w:fill="auto"/>
            <w:vAlign w:val="center"/>
          </w:tcPr>
          <w:p w:rsidR="00F55128" w:rsidRPr="003E7C50" w:rsidRDefault="00F55128" w:rsidP="00C94FD1">
            <w:pPr>
              <w:pStyle w:val="TableText"/>
              <w:spacing w:before="0" w:after="0"/>
            </w:pPr>
            <w:r w:rsidRPr="003E7C50">
              <w:t xml:space="preserve">High, favours </w:t>
            </w:r>
            <w:proofErr w:type="spellStart"/>
            <w:r w:rsidRPr="003E7C50">
              <w:t>ribociclib</w:t>
            </w:r>
            <w:proofErr w:type="spellEnd"/>
          </w:p>
        </w:tc>
      </w:tr>
      <w:tr w:rsidR="00044D06" w:rsidRPr="003E7C50" w:rsidTr="003215F2">
        <w:tc>
          <w:tcPr>
            <w:tcW w:w="1569" w:type="pct"/>
            <w:shd w:val="clear" w:color="auto" w:fill="auto"/>
            <w:vAlign w:val="center"/>
          </w:tcPr>
          <w:p w:rsidR="00044D06" w:rsidRPr="003E7C50" w:rsidRDefault="00044D06" w:rsidP="00044D06">
            <w:pPr>
              <w:pStyle w:val="TableText"/>
              <w:spacing w:before="0" w:after="0"/>
            </w:pPr>
            <w:r w:rsidRPr="003E7C50">
              <w:t xml:space="preserve">Extrapolation of OS in patients receiving </w:t>
            </w:r>
            <w:proofErr w:type="spellStart"/>
            <w:r w:rsidRPr="003E7C50">
              <w:t>letrozole</w:t>
            </w:r>
            <w:proofErr w:type="spellEnd"/>
            <w:r w:rsidRPr="003E7C50">
              <w:t xml:space="preserve"> alone</w:t>
            </w:r>
          </w:p>
        </w:tc>
        <w:tc>
          <w:tcPr>
            <w:tcW w:w="2861" w:type="pct"/>
            <w:shd w:val="clear" w:color="auto" w:fill="auto"/>
            <w:vAlign w:val="center"/>
          </w:tcPr>
          <w:p w:rsidR="00044D06" w:rsidRPr="003E7C50" w:rsidRDefault="00044D06" w:rsidP="00044D06">
            <w:pPr>
              <w:pStyle w:val="TableText"/>
              <w:spacing w:before="0" w:after="0"/>
            </w:pPr>
            <w:r w:rsidRPr="003E7C50">
              <w:t xml:space="preserve">Extrapolation of </w:t>
            </w:r>
            <w:proofErr w:type="spellStart"/>
            <w:r w:rsidRPr="003E7C50">
              <w:t>Dickler</w:t>
            </w:r>
            <w:proofErr w:type="spellEnd"/>
            <w:r w:rsidRPr="003E7C50">
              <w:t xml:space="preserve"> (2006) using the lognormal function, in comparison to fitting a parametric function to MONALEESA-2.</w:t>
            </w:r>
          </w:p>
        </w:tc>
        <w:tc>
          <w:tcPr>
            <w:tcW w:w="570" w:type="pct"/>
            <w:shd w:val="clear" w:color="auto" w:fill="auto"/>
            <w:vAlign w:val="center"/>
          </w:tcPr>
          <w:p w:rsidR="00044D06" w:rsidRPr="003E7C50" w:rsidRDefault="00044D06" w:rsidP="00C94FD1">
            <w:pPr>
              <w:pStyle w:val="TableText"/>
              <w:spacing w:before="0" w:after="0"/>
            </w:pPr>
            <w:r w:rsidRPr="003E7C50">
              <w:t xml:space="preserve">High, favours </w:t>
            </w:r>
            <w:proofErr w:type="spellStart"/>
            <w:r w:rsidRPr="003E7C50">
              <w:t>ribociclib</w:t>
            </w:r>
            <w:proofErr w:type="spellEnd"/>
          </w:p>
        </w:tc>
      </w:tr>
      <w:tr w:rsidR="00F55128" w:rsidRPr="003E7C50" w:rsidTr="003215F2">
        <w:tc>
          <w:tcPr>
            <w:tcW w:w="1569" w:type="pct"/>
            <w:shd w:val="clear" w:color="auto" w:fill="auto"/>
            <w:vAlign w:val="center"/>
          </w:tcPr>
          <w:p w:rsidR="00F55128" w:rsidRPr="003E7C50" w:rsidRDefault="00F55128" w:rsidP="00C94FD1">
            <w:pPr>
              <w:pStyle w:val="TableText"/>
              <w:spacing w:before="0" w:after="0"/>
            </w:pPr>
            <w:r w:rsidRPr="003E7C50">
              <w:t xml:space="preserve">Extrapolation of treatment continuation survival in patients receiving </w:t>
            </w:r>
            <w:proofErr w:type="spellStart"/>
            <w:r w:rsidRPr="003E7C50">
              <w:t>ribociclib</w:t>
            </w:r>
            <w:proofErr w:type="spellEnd"/>
            <w:r w:rsidRPr="003E7C50">
              <w:t xml:space="preserve"> + </w:t>
            </w:r>
            <w:proofErr w:type="spellStart"/>
            <w:r w:rsidRPr="003E7C50">
              <w:t>letrozole</w:t>
            </w:r>
            <w:proofErr w:type="spellEnd"/>
            <w:r w:rsidR="00941AA3" w:rsidRPr="003E7C50">
              <w:t xml:space="preserve"> </w:t>
            </w:r>
          </w:p>
        </w:tc>
        <w:tc>
          <w:tcPr>
            <w:tcW w:w="2861" w:type="pct"/>
            <w:shd w:val="clear" w:color="auto" w:fill="auto"/>
            <w:vAlign w:val="center"/>
          </w:tcPr>
          <w:p w:rsidR="00F55128" w:rsidRPr="003E7C50" w:rsidRDefault="00F55128" w:rsidP="00582567">
            <w:pPr>
              <w:pStyle w:val="TableText"/>
              <w:spacing w:before="0" w:after="0"/>
            </w:pPr>
            <w:r w:rsidRPr="003E7C50">
              <w:t>Based on the exponential function</w:t>
            </w:r>
            <w:r w:rsidR="00582567" w:rsidRPr="003E7C50">
              <w:t>.</w:t>
            </w:r>
          </w:p>
        </w:tc>
        <w:tc>
          <w:tcPr>
            <w:tcW w:w="570" w:type="pct"/>
            <w:shd w:val="clear" w:color="auto" w:fill="auto"/>
            <w:vAlign w:val="center"/>
          </w:tcPr>
          <w:p w:rsidR="00F55128" w:rsidRPr="003E7C50" w:rsidRDefault="00F55128" w:rsidP="00C94FD1">
            <w:pPr>
              <w:pStyle w:val="TableText"/>
              <w:spacing w:before="0" w:after="0"/>
            </w:pPr>
            <w:r w:rsidRPr="003E7C50">
              <w:t xml:space="preserve">High, favours </w:t>
            </w:r>
            <w:proofErr w:type="spellStart"/>
            <w:r w:rsidRPr="003E7C50">
              <w:t>ribociclib</w:t>
            </w:r>
            <w:proofErr w:type="spellEnd"/>
          </w:p>
        </w:tc>
      </w:tr>
    </w:tbl>
    <w:p w:rsidR="00F55128" w:rsidRPr="003E7C50" w:rsidRDefault="00F55128" w:rsidP="00FA04AE">
      <w:pPr>
        <w:pStyle w:val="TableFooter"/>
        <w:widowControl/>
      </w:pPr>
      <w:r w:rsidRPr="003E7C50">
        <w:t>Source: compiled during the evaluation</w:t>
      </w:r>
    </w:p>
    <w:p w:rsidR="0034209D" w:rsidRPr="003E7C50" w:rsidRDefault="00804D5C" w:rsidP="00A71235">
      <w:pPr>
        <w:pStyle w:val="ListParagraph"/>
      </w:pPr>
      <w:r w:rsidRPr="003E7C50">
        <w:t xml:space="preserve">The ESC </w:t>
      </w:r>
      <w:r w:rsidR="001506E8" w:rsidRPr="003E7C50">
        <w:t>considered</w:t>
      </w:r>
      <w:r w:rsidR="0034209D" w:rsidRPr="003E7C50">
        <w:t xml:space="preserve"> that a time horizon </w:t>
      </w:r>
      <w:r w:rsidR="00DD1541" w:rsidRPr="003E7C50">
        <w:t xml:space="preserve">shorter than 10 years </w:t>
      </w:r>
      <w:r w:rsidR="001506E8" w:rsidRPr="003E7C50">
        <w:t>would be appropriate given the immaturity of the existing OS data and that any increase in OS was uncertain at the moment</w:t>
      </w:r>
      <w:r w:rsidR="00FD25D4" w:rsidRPr="003E7C50">
        <w:t>.</w:t>
      </w:r>
      <w:r w:rsidR="0001102A" w:rsidRPr="003E7C50">
        <w:t xml:space="preserve"> </w:t>
      </w:r>
      <w:r w:rsidRPr="003E7C50">
        <w:t>The ESC noted that the ICER was sensitive to the time horizon</w:t>
      </w:r>
      <w:r w:rsidR="001506E8" w:rsidRPr="003E7C50">
        <w:t xml:space="preserve"> </w:t>
      </w:r>
      <w:r w:rsidR="00530F06" w:rsidRPr="003E7C50">
        <w:t>(see Table </w:t>
      </w:r>
      <w:r w:rsidR="001506E8" w:rsidRPr="003E7C50">
        <w:t>12)</w:t>
      </w:r>
      <w:r w:rsidRPr="003E7C50">
        <w:t>.</w:t>
      </w:r>
      <w:r w:rsidR="000F4239" w:rsidRPr="003E7C50">
        <w:t xml:space="preserve"> While the data presented in the PSCR reduced some of this uncertainty, the ESC felt the OS data were still immature and subject to considerable uncertainty.</w:t>
      </w:r>
      <w:r w:rsidR="00A71235" w:rsidRPr="003E7C50">
        <w:t xml:space="preserve"> The pre-PBAC response (p.3) argued that the time horizon of 10 years already accounted for the uncertainty in the extrapolated period, by reducing the clinically plausible period of benefit from 20 years to a more conservative 10 years.</w:t>
      </w:r>
    </w:p>
    <w:p w:rsidR="009F35CE" w:rsidRPr="003E7C50" w:rsidRDefault="009F35CE" w:rsidP="009F35CE">
      <w:pPr>
        <w:pStyle w:val="ListParagraph"/>
      </w:pPr>
      <w:r w:rsidRPr="003E7C50">
        <w:t>Results of the economic evaluation are provided in the table below. No stepped analysis was presented in the submission.</w:t>
      </w:r>
    </w:p>
    <w:p w:rsidR="00762A23" w:rsidRDefault="00762A23" w:rsidP="00762A23">
      <w:pPr>
        <w:pStyle w:val="Caption"/>
      </w:pPr>
      <w:r>
        <w:t xml:space="preserve">Table </w:t>
      </w:r>
      <w:r>
        <w:rPr>
          <w:noProof/>
        </w:rPr>
        <w:t>11</w:t>
      </w:r>
      <w:r w:rsidRPr="00AE6CA0">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2379"/>
        <w:gridCol w:w="1431"/>
        <w:gridCol w:w="1567"/>
      </w:tblGrid>
      <w:tr w:rsidR="009F35CE" w:rsidRPr="003E7C50" w:rsidTr="003215F2">
        <w:trPr>
          <w:trHeight w:val="198"/>
        </w:trPr>
        <w:tc>
          <w:tcPr>
            <w:tcW w:w="2091" w:type="pct"/>
            <w:shd w:val="clear" w:color="auto" w:fill="auto"/>
            <w:noWrap/>
          </w:tcPr>
          <w:p w:rsidR="009F35CE" w:rsidRPr="003E7C50" w:rsidRDefault="009F35CE" w:rsidP="004E7259">
            <w:pPr>
              <w:pStyle w:val="TableLeft"/>
              <w:keepNext/>
              <w:rPr>
                <w:b/>
              </w:rPr>
            </w:pPr>
            <w:r w:rsidRPr="003E7C50">
              <w:rPr>
                <w:b/>
              </w:rPr>
              <w:t>Outcome</w:t>
            </w:r>
          </w:p>
        </w:tc>
        <w:tc>
          <w:tcPr>
            <w:tcW w:w="1287" w:type="pct"/>
            <w:shd w:val="clear" w:color="auto" w:fill="auto"/>
          </w:tcPr>
          <w:p w:rsidR="009F35CE" w:rsidRPr="003E7C50" w:rsidRDefault="009F35CE" w:rsidP="004E7259">
            <w:pPr>
              <w:pStyle w:val="TableLeft"/>
              <w:keepNext/>
              <w:rPr>
                <w:rStyle w:val="TableBold"/>
              </w:rPr>
            </w:pPr>
            <w:proofErr w:type="spellStart"/>
            <w:r w:rsidRPr="003E7C50">
              <w:rPr>
                <w:rStyle w:val="TableBold"/>
              </w:rPr>
              <w:t>Ribociclib</w:t>
            </w:r>
            <w:proofErr w:type="spellEnd"/>
            <w:r w:rsidRPr="003E7C50">
              <w:rPr>
                <w:rStyle w:val="TableBold"/>
              </w:rPr>
              <w:t xml:space="preserve"> +</w:t>
            </w:r>
            <w:proofErr w:type="spellStart"/>
            <w:r w:rsidRPr="003E7C50">
              <w:rPr>
                <w:rStyle w:val="TableBold"/>
              </w:rPr>
              <w:t>letrozole</w:t>
            </w:r>
            <w:proofErr w:type="spellEnd"/>
          </w:p>
        </w:tc>
        <w:tc>
          <w:tcPr>
            <w:tcW w:w="774" w:type="pct"/>
            <w:shd w:val="clear" w:color="auto" w:fill="auto"/>
          </w:tcPr>
          <w:p w:rsidR="009F35CE" w:rsidRPr="003E7C50" w:rsidRDefault="009F35CE" w:rsidP="004E7259">
            <w:pPr>
              <w:pStyle w:val="TableLeft"/>
              <w:keepNext/>
              <w:rPr>
                <w:rStyle w:val="TableBold"/>
                <w:b w:val="0"/>
              </w:rPr>
            </w:pPr>
            <w:proofErr w:type="spellStart"/>
            <w:r w:rsidRPr="003E7C50">
              <w:rPr>
                <w:rStyle w:val="TableBold"/>
              </w:rPr>
              <w:t>Letrozole</w:t>
            </w:r>
            <w:proofErr w:type="spellEnd"/>
          </w:p>
        </w:tc>
        <w:tc>
          <w:tcPr>
            <w:tcW w:w="848" w:type="pct"/>
            <w:shd w:val="clear" w:color="auto" w:fill="auto"/>
          </w:tcPr>
          <w:p w:rsidR="009F35CE" w:rsidRPr="003E7C50" w:rsidRDefault="009F35CE" w:rsidP="004E7259">
            <w:pPr>
              <w:pStyle w:val="TableLeft"/>
              <w:keepNext/>
              <w:rPr>
                <w:rStyle w:val="TableBold"/>
                <w:b w:val="0"/>
              </w:rPr>
            </w:pPr>
            <w:r w:rsidRPr="003E7C50">
              <w:rPr>
                <w:rStyle w:val="TableBold"/>
              </w:rPr>
              <w:t>Incremental</w:t>
            </w:r>
          </w:p>
        </w:tc>
      </w:tr>
      <w:tr w:rsidR="009F35CE" w:rsidRPr="003E7C50" w:rsidTr="003215F2">
        <w:trPr>
          <w:trHeight w:val="198"/>
        </w:trPr>
        <w:tc>
          <w:tcPr>
            <w:tcW w:w="2091" w:type="pct"/>
            <w:shd w:val="clear" w:color="auto" w:fill="auto"/>
            <w:noWrap/>
          </w:tcPr>
          <w:p w:rsidR="009F35CE" w:rsidRPr="003E7C50" w:rsidRDefault="009F35CE" w:rsidP="004E7259">
            <w:pPr>
              <w:pStyle w:val="TableLeft"/>
              <w:keepNext/>
            </w:pPr>
            <w:r w:rsidRPr="003E7C50">
              <w:t>Costs</w:t>
            </w:r>
          </w:p>
        </w:tc>
        <w:tc>
          <w:tcPr>
            <w:tcW w:w="1287" w:type="pct"/>
            <w:shd w:val="clear" w:color="auto" w:fill="auto"/>
          </w:tcPr>
          <w:p w:rsidR="009F35CE" w:rsidRPr="003E7C50" w:rsidRDefault="009F35CE" w:rsidP="004E7259">
            <w:pPr>
              <w:pStyle w:val="TableLeft"/>
              <w:keepNext/>
            </w:pPr>
            <w:r w:rsidRPr="003E7C50">
              <w:t>$</w:t>
            </w:r>
            <w:r w:rsidR="00B235DF">
              <w:rPr>
                <w:noProof/>
                <w:color w:val="000000"/>
                <w:highlight w:val="black"/>
              </w:rPr>
              <w:t>'''''''''''''''''</w:t>
            </w:r>
          </w:p>
        </w:tc>
        <w:tc>
          <w:tcPr>
            <w:tcW w:w="774" w:type="pct"/>
            <w:shd w:val="clear" w:color="auto" w:fill="auto"/>
            <w:noWrap/>
          </w:tcPr>
          <w:p w:rsidR="009F35CE" w:rsidRPr="003E7C50" w:rsidRDefault="009F35CE" w:rsidP="004E7259">
            <w:pPr>
              <w:pStyle w:val="TableLeft"/>
              <w:keepNext/>
            </w:pPr>
            <w:r w:rsidRPr="003E7C50">
              <w:t>$</w:t>
            </w:r>
            <w:r w:rsidR="00B235DF">
              <w:rPr>
                <w:noProof/>
                <w:color w:val="000000"/>
                <w:highlight w:val="black"/>
              </w:rPr>
              <w:t>''''''''''</w:t>
            </w:r>
          </w:p>
        </w:tc>
        <w:tc>
          <w:tcPr>
            <w:tcW w:w="848" w:type="pct"/>
            <w:shd w:val="clear" w:color="auto" w:fill="auto"/>
          </w:tcPr>
          <w:p w:rsidR="009F35CE" w:rsidRPr="003E7C50" w:rsidRDefault="009F35CE" w:rsidP="004E7259">
            <w:pPr>
              <w:pStyle w:val="TableLeft"/>
              <w:keepNext/>
            </w:pPr>
            <w:r w:rsidRPr="003E7C50">
              <w:t>$</w:t>
            </w:r>
            <w:r w:rsidR="00B235DF">
              <w:rPr>
                <w:noProof/>
                <w:color w:val="000000"/>
                <w:highlight w:val="black"/>
              </w:rPr>
              <w:t>'''''''''''''''''</w:t>
            </w:r>
          </w:p>
        </w:tc>
      </w:tr>
      <w:tr w:rsidR="009F35CE" w:rsidRPr="003E7C50" w:rsidTr="003215F2">
        <w:trPr>
          <w:trHeight w:val="198"/>
        </w:trPr>
        <w:tc>
          <w:tcPr>
            <w:tcW w:w="2091" w:type="pct"/>
            <w:shd w:val="clear" w:color="auto" w:fill="auto"/>
            <w:noWrap/>
          </w:tcPr>
          <w:p w:rsidR="009F35CE" w:rsidRPr="003E7C50" w:rsidRDefault="009F35CE" w:rsidP="004E7259">
            <w:pPr>
              <w:pStyle w:val="TableLeft"/>
              <w:keepNext/>
            </w:pPr>
            <w:r w:rsidRPr="003E7C50">
              <w:t>LYs</w:t>
            </w:r>
          </w:p>
        </w:tc>
        <w:tc>
          <w:tcPr>
            <w:tcW w:w="1287" w:type="pct"/>
            <w:shd w:val="clear" w:color="auto" w:fill="auto"/>
          </w:tcPr>
          <w:p w:rsidR="009F35CE" w:rsidRPr="00B235DF" w:rsidRDefault="00B235DF" w:rsidP="004E7259">
            <w:pPr>
              <w:pStyle w:val="TableLeft"/>
              <w:keepNext/>
              <w:rPr>
                <w:highlight w:val="black"/>
              </w:rPr>
            </w:pPr>
            <w:r>
              <w:rPr>
                <w:noProof/>
                <w:color w:val="000000"/>
                <w:highlight w:val="black"/>
              </w:rPr>
              <w:t>''''''''''''''''</w:t>
            </w:r>
          </w:p>
        </w:tc>
        <w:tc>
          <w:tcPr>
            <w:tcW w:w="774" w:type="pct"/>
            <w:shd w:val="clear" w:color="auto" w:fill="auto"/>
            <w:noWrap/>
          </w:tcPr>
          <w:p w:rsidR="009F35CE" w:rsidRPr="00B235DF" w:rsidRDefault="00B235DF" w:rsidP="004E7259">
            <w:pPr>
              <w:pStyle w:val="TableLeft"/>
              <w:keepNext/>
              <w:rPr>
                <w:highlight w:val="black"/>
              </w:rPr>
            </w:pPr>
            <w:r>
              <w:rPr>
                <w:noProof/>
                <w:color w:val="000000"/>
                <w:highlight w:val="black"/>
              </w:rPr>
              <w:t>'''''''''''''''</w:t>
            </w:r>
          </w:p>
        </w:tc>
        <w:tc>
          <w:tcPr>
            <w:tcW w:w="848" w:type="pct"/>
            <w:shd w:val="clear" w:color="auto" w:fill="auto"/>
          </w:tcPr>
          <w:p w:rsidR="009F35CE" w:rsidRPr="003E7C50" w:rsidRDefault="00B235DF" w:rsidP="004E7259">
            <w:pPr>
              <w:pStyle w:val="TableLeft"/>
              <w:keepNext/>
            </w:pPr>
            <w:r>
              <w:rPr>
                <w:noProof/>
                <w:color w:val="000000"/>
                <w:highlight w:val="black"/>
              </w:rPr>
              <w:t>'''''''''''''''</w:t>
            </w:r>
          </w:p>
        </w:tc>
      </w:tr>
      <w:tr w:rsidR="009F35CE" w:rsidRPr="003E7C50" w:rsidTr="003215F2">
        <w:trPr>
          <w:trHeight w:val="198"/>
        </w:trPr>
        <w:tc>
          <w:tcPr>
            <w:tcW w:w="2091" w:type="pct"/>
            <w:tcBorders>
              <w:bottom w:val="single" w:sz="4" w:space="0" w:color="auto"/>
            </w:tcBorders>
            <w:shd w:val="clear" w:color="auto" w:fill="auto"/>
            <w:noWrap/>
          </w:tcPr>
          <w:p w:rsidR="009F35CE" w:rsidRPr="003E7C50" w:rsidRDefault="009F35CE" w:rsidP="004E7259">
            <w:pPr>
              <w:pStyle w:val="TableLeft"/>
              <w:keepNext/>
            </w:pPr>
            <w:r w:rsidRPr="003E7C50">
              <w:t>QALYs</w:t>
            </w:r>
          </w:p>
        </w:tc>
        <w:tc>
          <w:tcPr>
            <w:tcW w:w="1287" w:type="pct"/>
            <w:tcBorders>
              <w:bottom w:val="single" w:sz="4" w:space="0" w:color="auto"/>
            </w:tcBorders>
            <w:shd w:val="clear" w:color="auto" w:fill="auto"/>
          </w:tcPr>
          <w:p w:rsidR="009F35CE" w:rsidRPr="00B235DF" w:rsidRDefault="00B235DF" w:rsidP="004E7259">
            <w:pPr>
              <w:pStyle w:val="TableLeft"/>
              <w:keepNext/>
              <w:rPr>
                <w:highlight w:val="black"/>
              </w:rPr>
            </w:pPr>
            <w:r>
              <w:rPr>
                <w:noProof/>
                <w:color w:val="000000"/>
                <w:highlight w:val="black"/>
              </w:rPr>
              <w:t>'''''''''''''''''</w:t>
            </w:r>
          </w:p>
        </w:tc>
        <w:tc>
          <w:tcPr>
            <w:tcW w:w="774" w:type="pct"/>
            <w:tcBorders>
              <w:bottom w:val="single" w:sz="4" w:space="0" w:color="auto"/>
            </w:tcBorders>
            <w:shd w:val="clear" w:color="auto" w:fill="auto"/>
            <w:noWrap/>
          </w:tcPr>
          <w:p w:rsidR="009F35CE" w:rsidRPr="00B235DF" w:rsidRDefault="00B235DF" w:rsidP="004E7259">
            <w:pPr>
              <w:pStyle w:val="TableLeft"/>
              <w:keepNext/>
              <w:rPr>
                <w:highlight w:val="black"/>
              </w:rPr>
            </w:pPr>
            <w:r>
              <w:rPr>
                <w:noProof/>
                <w:color w:val="000000"/>
                <w:highlight w:val="black"/>
              </w:rPr>
              <w:t>'''''''''''''''</w:t>
            </w:r>
          </w:p>
        </w:tc>
        <w:tc>
          <w:tcPr>
            <w:tcW w:w="848" w:type="pct"/>
            <w:tcBorders>
              <w:bottom w:val="single" w:sz="4" w:space="0" w:color="auto"/>
            </w:tcBorders>
            <w:shd w:val="clear" w:color="auto" w:fill="auto"/>
          </w:tcPr>
          <w:p w:rsidR="009F35CE" w:rsidRPr="00B235DF" w:rsidRDefault="00B235DF" w:rsidP="004E7259">
            <w:pPr>
              <w:pStyle w:val="TableLeft"/>
              <w:keepNext/>
              <w:rPr>
                <w:highlight w:val="black"/>
              </w:rPr>
            </w:pPr>
            <w:r>
              <w:rPr>
                <w:noProof/>
                <w:color w:val="000000"/>
                <w:highlight w:val="black"/>
              </w:rPr>
              <w:t>'''''''''''''''''</w:t>
            </w:r>
          </w:p>
        </w:tc>
      </w:tr>
      <w:tr w:rsidR="009F35CE" w:rsidRPr="003E7C50" w:rsidTr="003215F2">
        <w:trPr>
          <w:trHeight w:val="198"/>
        </w:trPr>
        <w:tc>
          <w:tcPr>
            <w:tcW w:w="4152" w:type="pct"/>
            <w:gridSpan w:val="3"/>
            <w:shd w:val="clear" w:color="auto" w:fill="auto"/>
            <w:noWrap/>
          </w:tcPr>
          <w:p w:rsidR="009F35CE" w:rsidRPr="003E7C50" w:rsidRDefault="009F35CE" w:rsidP="004E7259">
            <w:pPr>
              <w:pStyle w:val="TableLeft"/>
              <w:keepNext/>
            </w:pPr>
            <w:r w:rsidRPr="003E7C50">
              <w:t>Incremental cost per LY gained</w:t>
            </w:r>
          </w:p>
        </w:tc>
        <w:tc>
          <w:tcPr>
            <w:tcW w:w="848" w:type="pct"/>
            <w:shd w:val="clear" w:color="auto" w:fill="auto"/>
          </w:tcPr>
          <w:p w:rsidR="009F35CE" w:rsidRPr="003E7C50" w:rsidRDefault="009F35CE" w:rsidP="004E7259">
            <w:pPr>
              <w:pStyle w:val="TableLeft"/>
              <w:keepNext/>
            </w:pPr>
            <w:r w:rsidRPr="003E7C50">
              <w:t>$</w:t>
            </w:r>
            <w:r w:rsidR="00B235DF">
              <w:rPr>
                <w:noProof/>
                <w:color w:val="000000"/>
                <w:highlight w:val="black"/>
              </w:rPr>
              <w:t>'''''''''''''''''''</w:t>
            </w:r>
          </w:p>
        </w:tc>
      </w:tr>
      <w:tr w:rsidR="009F35CE" w:rsidRPr="003E7C50" w:rsidTr="003215F2">
        <w:trPr>
          <w:trHeight w:val="198"/>
        </w:trPr>
        <w:tc>
          <w:tcPr>
            <w:tcW w:w="4152" w:type="pct"/>
            <w:gridSpan w:val="3"/>
            <w:shd w:val="clear" w:color="auto" w:fill="auto"/>
            <w:noWrap/>
          </w:tcPr>
          <w:p w:rsidR="009F35CE" w:rsidRPr="003E7C50" w:rsidRDefault="009F35CE" w:rsidP="004E7259">
            <w:pPr>
              <w:pStyle w:val="TableLeft"/>
              <w:keepNext/>
              <w:rPr>
                <w:b/>
              </w:rPr>
            </w:pPr>
            <w:r w:rsidRPr="003E7C50">
              <w:rPr>
                <w:b/>
              </w:rPr>
              <w:t>Incremental cost per QALY</w:t>
            </w:r>
            <w:r w:rsidR="00F55128" w:rsidRPr="003E7C50">
              <w:rPr>
                <w:b/>
              </w:rPr>
              <w:t xml:space="preserve"> </w:t>
            </w:r>
            <w:r w:rsidRPr="003E7C50">
              <w:rPr>
                <w:b/>
              </w:rPr>
              <w:t>gained</w:t>
            </w:r>
          </w:p>
        </w:tc>
        <w:tc>
          <w:tcPr>
            <w:tcW w:w="848" w:type="pct"/>
            <w:shd w:val="clear" w:color="auto" w:fill="auto"/>
          </w:tcPr>
          <w:p w:rsidR="009F35CE" w:rsidRPr="003E7C50" w:rsidRDefault="009F35CE" w:rsidP="004E7259">
            <w:pPr>
              <w:pStyle w:val="TableLeft"/>
              <w:keepNext/>
              <w:rPr>
                <w:b/>
              </w:rPr>
            </w:pPr>
            <w:r w:rsidRPr="003E7C50">
              <w:rPr>
                <w:b/>
              </w:rPr>
              <w:t>$</w:t>
            </w:r>
            <w:r w:rsidR="00B235DF">
              <w:rPr>
                <w:b/>
                <w:noProof/>
                <w:color w:val="000000"/>
                <w:highlight w:val="black"/>
              </w:rPr>
              <w:t>''''''''''''''</w:t>
            </w:r>
          </w:p>
        </w:tc>
      </w:tr>
    </w:tbl>
    <w:p w:rsidR="009F35CE" w:rsidRDefault="009F35CE" w:rsidP="00FA04AE">
      <w:pPr>
        <w:pStyle w:val="TableFooter"/>
        <w:widowControl/>
      </w:pPr>
      <w:r w:rsidRPr="003E7C50">
        <w:t>LY: Life years; QALYs: quality adjusted life years. Source: Table 3.32 (p. 144) of the submission</w:t>
      </w:r>
    </w:p>
    <w:p w:rsidR="001F20BE" w:rsidRDefault="001F20BE" w:rsidP="00FA04AE">
      <w:pPr>
        <w:pStyle w:val="TableFooter"/>
        <w:widowControl/>
      </w:pPr>
    </w:p>
    <w:p w:rsidR="001F20BE" w:rsidRPr="001F20BE" w:rsidRDefault="001F20BE" w:rsidP="00FA04AE">
      <w:pPr>
        <w:pStyle w:val="TableFooter"/>
        <w:widowControl/>
        <w:rPr>
          <w:rFonts w:asciiTheme="minorHAnsi" w:hAnsiTheme="minorHAnsi"/>
          <w:sz w:val="24"/>
          <w:szCs w:val="24"/>
        </w:rPr>
      </w:pPr>
      <w:r>
        <w:rPr>
          <w:rFonts w:asciiTheme="minorHAnsi" w:hAnsiTheme="minorHAnsi"/>
          <w:sz w:val="24"/>
          <w:szCs w:val="24"/>
        </w:rPr>
        <w:t xml:space="preserve">The redacted table shows ICERs in the range of $105,000 - $200,000/QALY. </w:t>
      </w:r>
    </w:p>
    <w:p w:rsidR="000A0EA7" w:rsidRDefault="000A0EA7">
      <w:pPr>
        <w:spacing w:before="0" w:line="259" w:lineRule="auto"/>
        <w:rPr>
          <w:rFonts w:cstheme="minorHAnsi"/>
          <w:szCs w:val="24"/>
        </w:rPr>
      </w:pPr>
      <w:r>
        <w:br w:type="page"/>
      </w:r>
    </w:p>
    <w:p w:rsidR="00E704B1" w:rsidRPr="003E7C50" w:rsidRDefault="0056194F" w:rsidP="00316E09">
      <w:pPr>
        <w:pStyle w:val="ListParagraph"/>
        <w:rPr>
          <w:i/>
        </w:rPr>
      </w:pPr>
      <w:r w:rsidRPr="003E7C50">
        <w:t xml:space="preserve">The </w:t>
      </w:r>
      <w:r w:rsidR="00084AA4">
        <w:t xml:space="preserve">results of key sensitivity analyses are provided in the </w:t>
      </w:r>
      <w:r w:rsidRPr="003E7C50">
        <w:t xml:space="preserve">table </w:t>
      </w:r>
      <w:r w:rsidR="008E07B1" w:rsidRPr="003E7C50">
        <w:t>below.</w:t>
      </w:r>
    </w:p>
    <w:p w:rsidR="00762A23" w:rsidRDefault="00762A23" w:rsidP="00762A23">
      <w:pPr>
        <w:pStyle w:val="Caption"/>
      </w:pPr>
      <w:r>
        <w:t xml:space="preserve">Table </w:t>
      </w:r>
      <w:r>
        <w:rPr>
          <w:noProof/>
        </w:rPr>
        <w:t>12</w:t>
      </w:r>
      <w:r w:rsidRPr="006F7A0D">
        <w:t>: Results of key sensitivity analyses</w:t>
      </w:r>
    </w:p>
    <w:tbl>
      <w:tblPr>
        <w:tblStyle w:val="TableGrid1"/>
        <w:tblW w:w="5000" w:type="pct"/>
        <w:tblLook w:val="00A0" w:firstRow="1" w:lastRow="0" w:firstColumn="1" w:lastColumn="0" w:noHBand="0" w:noVBand="0"/>
        <w:tblCaption w:val="Results of key sensitivity analyses"/>
      </w:tblPr>
      <w:tblGrid>
        <w:gridCol w:w="4230"/>
        <w:gridCol w:w="1410"/>
        <w:gridCol w:w="1096"/>
        <w:gridCol w:w="1410"/>
        <w:gridCol w:w="1096"/>
      </w:tblGrid>
      <w:tr w:rsidR="00FB32D0" w:rsidRPr="003E7C50" w:rsidTr="003215F2">
        <w:trPr>
          <w:trHeight w:val="227"/>
          <w:tblHeader/>
        </w:trPr>
        <w:tc>
          <w:tcPr>
            <w:tcW w:w="2288" w:type="pct"/>
            <w:vMerge w:val="restart"/>
            <w:tcBorders>
              <w:right w:val="single" w:sz="4" w:space="0" w:color="auto"/>
            </w:tcBorders>
            <w:shd w:val="clear" w:color="auto" w:fill="auto"/>
          </w:tcPr>
          <w:p w:rsidR="00FB32D0" w:rsidRPr="003E7C50" w:rsidRDefault="00FB32D0" w:rsidP="00B06379">
            <w:pPr>
              <w:pStyle w:val="TableLeft"/>
              <w:keepNext/>
              <w:rPr>
                <w:rStyle w:val="Small"/>
                <w:b/>
                <w:lang w:val="en-AU"/>
              </w:rPr>
            </w:pPr>
            <w:r w:rsidRPr="003E7C50">
              <w:rPr>
                <w:rStyle w:val="Small"/>
                <w:b/>
                <w:lang w:val="en-AU"/>
              </w:rPr>
              <w:t>Analysis</w:t>
            </w:r>
          </w:p>
        </w:tc>
        <w:tc>
          <w:tcPr>
            <w:tcW w:w="1356" w:type="pct"/>
            <w:gridSpan w:val="2"/>
            <w:shd w:val="clear" w:color="auto" w:fill="auto"/>
          </w:tcPr>
          <w:p w:rsidR="00FB32D0" w:rsidRPr="003E7C50" w:rsidRDefault="00FB32D0" w:rsidP="00B06379">
            <w:pPr>
              <w:pStyle w:val="TableLeft"/>
              <w:keepNext/>
              <w:rPr>
                <w:rStyle w:val="Small"/>
                <w:b/>
                <w:lang w:val="en-AU"/>
              </w:rPr>
            </w:pPr>
            <w:r w:rsidRPr="003E7C50">
              <w:rPr>
                <w:rStyle w:val="Small"/>
                <w:b/>
                <w:lang w:val="en-AU"/>
              </w:rPr>
              <w:t>Worst case</w:t>
            </w:r>
          </w:p>
        </w:tc>
        <w:tc>
          <w:tcPr>
            <w:tcW w:w="1356" w:type="pct"/>
            <w:gridSpan w:val="2"/>
            <w:shd w:val="clear" w:color="auto" w:fill="auto"/>
          </w:tcPr>
          <w:p w:rsidR="00FB32D0" w:rsidRPr="003E7C50" w:rsidRDefault="00FB32D0" w:rsidP="00B06379">
            <w:pPr>
              <w:pStyle w:val="TableLeft"/>
              <w:keepNext/>
              <w:rPr>
                <w:rStyle w:val="Small"/>
                <w:b/>
                <w:lang w:val="en-AU"/>
              </w:rPr>
            </w:pPr>
            <w:r w:rsidRPr="003E7C50">
              <w:rPr>
                <w:rStyle w:val="Small"/>
                <w:b/>
                <w:lang w:val="en-AU"/>
              </w:rPr>
              <w:t>Best case</w:t>
            </w:r>
          </w:p>
        </w:tc>
      </w:tr>
      <w:tr w:rsidR="00FB32D0" w:rsidRPr="003E7C50" w:rsidTr="003215F2">
        <w:trPr>
          <w:trHeight w:val="227"/>
          <w:tblHeader/>
        </w:trPr>
        <w:tc>
          <w:tcPr>
            <w:tcW w:w="2288" w:type="pct"/>
            <w:vMerge/>
            <w:tcBorders>
              <w:right w:val="single" w:sz="4" w:space="0" w:color="auto"/>
            </w:tcBorders>
            <w:shd w:val="clear" w:color="auto" w:fill="auto"/>
          </w:tcPr>
          <w:p w:rsidR="00FB32D0" w:rsidRPr="003E7C50" w:rsidRDefault="00FB32D0" w:rsidP="00B06379">
            <w:pPr>
              <w:pStyle w:val="TableLeft"/>
              <w:keepNext/>
              <w:rPr>
                <w:rStyle w:val="Small"/>
                <w:b/>
                <w:lang w:val="en-AU"/>
              </w:rPr>
            </w:pPr>
          </w:p>
        </w:tc>
        <w:tc>
          <w:tcPr>
            <w:tcW w:w="763" w:type="pct"/>
            <w:tcBorders>
              <w:left w:val="single" w:sz="4" w:space="0" w:color="auto"/>
            </w:tcBorders>
            <w:shd w:val="clear" w:color="auto" w:fill="auto"/>
          </w:tcPr>
          <w:p w:rsidR="00FB32D0" w:rsidRPr="003E7C50" w:rsidRDefault="00FB32D0" w:rsidP="00B06379">
            <w:pPr>
              <w:pStyle w:val="TableLeft"/>
              <w:keepNext/>
              <w:rPr>
                <w:rStyle w:val="Small"/>
                <w:b/>
                <w:lang w:val="en-AU"/>
              </w:rPr>
            </w:pPr>
            <w:r w:rsidRPr="003E7C50">
              <w:rPr>
                <w:rStyle w:val="Small"/>
                <w:b/>
                <w:lang w:val="en-AU"/>
              </w:rPr>
              <w:t>Value</w:t>
            </w:r>
          </w:p>
        </w:tc>
        <w:tc>
          <w:tcPr>
            <w:tcW w:w="593" w:type="pct"/>
            <w:shd w:val="clear" w:color="auto" w:fill="auto"/>
          </w:tcPr>
          <w:p w:rsidR="00FB32D0" w:rsidRPr="003E7C50" w:rsidRDefault="00D57235" w:rsidP="00B06379">
            <w:pPr>
              <w:pStyle w:val="TableLeft"/>
              <w:keepNext/>
              <w:rPr>
                <w:rStyle w:val="Small"/>
                <w:b/>
                <w:szCs w:val="22"/>
                <w:lang w:val="en-AU"/>
              </w:rPr>
            </w:pPr>
            <w:r w:rsidRPr="003E7C50">
              <w:rPr>
                <w:rStyle w:val="Small"/>
                <w:b/>
                <w:lang w:val="en-AU"/>
              </w:rPr>
              <w:t>$</w:t>
            </w:r>
            <w:r w:rsidR="00C80C95" w:rsidRPr="003E7C50">
              <w:rPr>
                <w:rStyle w:val="Small"/>
                <w:b/>
                <w:lang w:val="en-AU"/>
              </w:rPr>
              <w:t xml:space="preserve"> per QALY gained</w:t>
            </w:r>
          </w:p>
        </w:tc>
        <w:tc>
          <w:tcPr>
            <w:tcW w:w="763" w:type="pct"/>
            <w:shd w:val="clear" w:color="auto" w:fill="auto"/>
          </w:tcPr>
          <w:p w:rsidR="00FB32D0" w:rsidRPr="003E7C50" w:rsidRDefault="00FB32D0" w:rsidP="00B06379">
            <w:pPr>
              <w:pStyle w:val="TableLeft"/>
              <w:keepNext/>
              <w:rPr>
                <w:rStyle w:val="Small"/>
                <w:b/>
                <w:lang w:val="en-AU"/>
              </w:rPr>
            </w:pPr>
            <w:r w:rsidRPr="003E7C50">
              <w:rPr>
                <w:rStyle w:val="Small"/>
                <w:b/>
                <w:lang w:val="en-AU"/>
              </w:rPr>
              <w:t>Value</w:t>
            </w:r>
          </w:p>
        </w:tc>
        <w:tc>
          <w:tcPr>
            <w:tcW w:w="593" w:type="pct"/>
            <w:shd w:val="clear" w:color="auto" w:fill="auto"/>
          </w:tcPr>
          <w:p w:rsidR="00FB32D0" w:rsidRPr="003E7C50" w:rsidRDefault="00D57235" w:rsidP="00B06379">
            <w:pPr>
              <w:pStyle w:val="TableLeft"/>
              <w:keepNext/>
              <w:rPr>
                <w:rStyle w:val="Small"/>
                <w:b/>
                <w:lang w:val="en-AU"/>
              </w:rPr>
            </w:pPr>
            <w:r w:rsidRPr="003E7C50">
              <w:rPr>
                <w:rStyle w:val="Small"/>
                <w:b/>
                <w:lang w:val="en-AU"/>
              </w:rPr>
              <w:t>$ per QALY gained</w:t>
            </w:r>
          </w:p>
        </w:tc>
      </w:tr>
      <w:tr w:rsidR="00D57235" w:rsidRPr="003E7C50" w:rsidTr="003215F2">
        <w:trPr>
          <w:trHeight w:val="227"/>
        </w:trPr>
        <w:tc>
          <w:tcPr>
            <w:tcW w:w="2288" w:type="pct"/>
            <w:shd w:val="clear" w:color="auto" w:fill="auto"/>
          </w:tcPr>
          <w:p w:rsidR="00D57235" w:rsidRPr="003E7C50" w:rsidRDefault="00D57235" w:rsidP="00B06379">
            <w:pPr>
              <w:pStyle w:val="TableLeft"/>
              <w:keepNext/>
              <w:rPr>
                <w:rStyle w:val="Small"/>
                <w:lang w:val="en-AU"/>
              </w:rPr>
            </w:pPr>
            <w:r w:rsidRPr="003E7C50">
              <w:rPr>
                <w:rStyle w:val="Small"/>
                <w:lang w:val="en-AU"/>
              </w:rPr>
              <w:t>Time horizon</w:t>
            </w:r>
            <w:r w:rsidR="00C86C51" w:rsidRPr="003E7C50">
              <w:rPr>
                <w:rStyle w:val="Small"/>
                <w:lang w:val="en-AU"/>
              </w:rPr>
              <w:t xml:space="preserve"> (base case = 10 years)</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5 years</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20 years</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r>
      <w:tr w:rsidR="00D57235" w:rsidRPr="003E7C50" w:rsidTr="003215F2">
        <w:trPr>
          <w:trHeight w:val="227"/>
        </w:trPr>
        <w:tc>
          <w:tcPr>
            <w:tcW w:w="2288" w:type="pct"/>
            <w:shd w:val="clear" w:color="auto" w:fill="auto"/>
          </w:tcPr>
          <w:p w:rsidR="00D57235" w:rsidRPr="003E7C50" w:rsidRDefault="00D57235" w:rsidP="00B06379">
            <w:pPr>
              <w:pStyle w:val="TableLeft"/>
              <w:keepNext/>
              <w:rPr>
                <w:rStyle w:val="Small"/>
                <w:lang w:val="en-AU"/>
              </w:rPr>
            </w:pPr>
            <w:r w:rsidRPr="003E7C50">
              <w:rPr>
                <w:rStyle w:val="Small"/>
                <w:lang w:val="en-AU"/>
              </w:rPr>
              <w:t xml:space="preserve">Parametric function used to extrapolate </w:t>
            </w:r>
            <w:r w:rsidR="006B2EA2" w:rsidRPr="003E7C50">
              <w:rPr>
                <w:rStyle w:val="Small"/>
                <w:lang w:val="en-AU"/>
              </w:rPr>
              <w:t>OS</w:t>
            </w:r>
            <w:r w:rsidRPr="003E7C50">
              <w:rPr>
                <w:rStyle w:val="Small"/>
                <w:lang w:val="en-AU"/>
              </w:rPr>
              <w:t xml:space="preserve"> in the </w:t>
            </w:r>
            <w:proofErr w:type="spellStart"/>
            <w:r w:rsidRPr="003E7C50">
              <w:rPr>
                <w:rStyle w:val="Small"/>
                <w:lang w:val="en-AU"/>
              </w:rPr>
              <w:t>letrozole</w:t>
            </w:r>
            <w:proofErr w:type="spellEnd"/>
            <w:r w:rsidRPr="003E7C50">
              <w:rPr>
                <w:rStyle w:val="Small"/>
                <w:lang w:val="en-AU"/>
              </w:rPr>
              <w:t xml:space="preserve"> group (base case = lognormal)</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Exponential</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Weibull</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r>
      <w:tr w:rsidR="00D57235" w:rsidRPr="003E7C50" w:rsidTr="003215F2">
        <w:trPr>
          <w:trHeight w:val="227"/>
        </w:trPr>
        <w:tc>
          <w:tcPr>
            <w:tcW w:w="2288" w:type="pct"/>
            <w:tcBorders>
              <w:right w:val="single" w:sz="4" w:space="0" w:color="auto"/>
            </w:tcBorders>
            <w:shd w:val="clear" w:color="auto" w:fill="auto"/>
          </w:tcPr>
          <w:p w:rsidR="00D57235" w:rsidRPr="003E7C50" w:rsidRDefault="00D57235" w:rsidP="00B06379">
            <w:pPr>
              <w:pStyle w:val="TableLeft"/>
              <w:keepNext/>
              <w:rPr>
                <w:rStyle w:val="Small"/>
                <w:lang w:val="en-AU"/>
              </w:rPr>
            </w:pPr>
            <w:r w:rsidRPr="003E7C50">
              <w:rPr>
                <w:rStyle w:val="Small"/>
                <w:lang w:val="en-AU"/>
              </w:rPr>
              <w:t xml:space="preserve">Parametric </w:t>
            </w:r>
            <w:r w:rsidR="003B3109" w:rsidRPr="003E7C50">
              <w:rPr>
                <w:rStyle w:val="Small"/>
                <w:lang w:val="en-AU"/>
              </w:rPr>
              <w:t>function</w:t>
            </w:r>
            <w:r w:rsidRPr="003E7C50">
              <w:rPr>
                <w:rStyle w:val="Small"/>
                <w:lang w:val="en-AU"/>
              </w:rPr>
              <w:t xml:space="preserve"> used to extrapolate treatment continuation survival (base case = exponential)</w:t>
            </w:r>
          </w:p>
        </w:tc>
        <w:tc>
          <w:tcPr>
            <w:tcW w:w="763" w:type="pct"/>
            <w:tcBorders>
              <w:left w:val="single" w:sz="4" w:space="0" w:color="auto"/>
            </w:tcBorders>
            <w:shd w:val="clear" w:color="auto" w:fill="auto"/>
          </w:tcPr>
          <w:p w:rsidR="00D57235" w:rsidRPr="003E7C50" w:rsidRDefault="00D57235" w:rsidP="00B06379">
            <w:pPr>
              <w:pStyle w:val="TableLeft"/>
              <w:keepNext/>
              <w:rPr>
                <w:rStyle w:val="Small"/>
                <w:lang w:val="en-AU"/>
              </w:rPr>
            </w:pPr>
            <w:r w:rsidRPr="003E7C50">
              <w:rPr>
                <w:rStyle w:val="Small"/>
                <w:lang w:val="en-AU"/>
              </w:rPr>
              <w:t>Lognormal</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Weibull</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r>
      <w:tr w:rsidR="00D57235" w:rsidRPr="003E7C50" w:rsidTr="003215F2">
        <w:trPr>
          <w:trHeight w:val="227"/>
        </w:trPr>
        <w:tc>
          <w:tcPr>
            <w:tcW w:w="2288" w:type="pct"/>
            <w:shd w:val="clear" w:color="auto" w:fill="auto"/>
          </w:tcPr>
          <w:p w:rsidR="00D57235" w:rsidRPr="003E7C50" w:rsidRDefault="00D57235" w:rsidP="00B06379">
            <w:pPr>
              <w:pStyle w:val="TableLeft"/>
              <w:keepNext/>
              <w:rPr>
                <w:rStyle w:val="Small"/>
                <w:lang w:val="en-AU"/>
              </w:rPr>
            </w:pPr>
            <w:r w:rsidRPr="003E7C50">
              <w:rPr>
                <w:rStyle w:val="Small"/>
                <w:lang w:val="en-AU"/>
              </w:rPr>
              <w:t xml:space="preserve">Data source used to estimate the </w:t>
            </w:r>
            <w:r w:rsidR="006B2EA2" w:rsidRPr="003E7C50">
              <w:rPr>
                <w:rStyle w:val="Small"/>
                <w:lang w:val="en-AU"/>
              </w:rPr>
              <w:t>HR</w:t>
            </w:r>
            <w:r w:rsidRPr="003E7C50">
              <w:rPr>
                <w:rStyle w:val="Small"/>
                <w:lang w:val="en-AU"/>
              </w:rPr>
              <w:t xml:space="preserve"> of OS in the </w:t>
            </w:r>
            <w:proofErr w:type="spellStart"/>
            <w:r w:rsidRPr="003E7C50">
              <w:rPr>
                <w:rStyle w:val="Small"/>
                <w:lang w:val="en-AU"/>
              </w:rPr>
              <w:t>ribociclib</w:t>
            </w:r>
            <w:proofErr w:type="spellEnd"/>
            <w:r w:rsidRPr="003E7C50">
              <w:rPr>
                <w:rStyle w:val="Small"/>
                <w:lang w:val="en-AU"/>
              </w:rPr>
              <w:t xml:space="preserve"> + </w:t>
            </w:r>
            <w:proofErr w:type="spellStart"/>
            <w:r w:rsidRPr="003E7C50">
              <w:rPr>
                <w:rStyle w:val="Small"/>
                <w:lang w:val="en-AU"/>
              </w:rPr>
              <w:t>letrozole</w:t>
            </w:r>
            <w:proofErr w:type="spellEnd"/>
            <w:r w:rsidR="00941AA3" w:rsidRPr="003E7C50">
              <w:rPr>
                <w:rStyle w:val="Small"/>
                <w:lang w:val="en-AU"/>
              </w:rPr>
              <w:t xml:space="preserve"> </w:t>
            </w:r>
            <w:r w:rsidRPr="003E7C50">
              <w:rPr>
                <w:rStyle w:val="Small"/>
                <w:lang w:val="en-AU"/>
              </w:rPr>
              <w:t xml:space="preserve">group compared with the </w:t>
            </w:r>
            <w:proofErr w:type="spellStart"/>
            <w:r w:rsidRPr="003E7C50">
              <w:rPr>
                <w:rStyle w:val="Small"/>
                <w:lang w:val="en-AU"/>
              </w:rPr>
              <w:t>letrozole</w:t>
            </w:r>
            <w:proofErr w:type="spellEnd"/>
            <w:r w:rsidRPr="003E7C50">
              <w:rPr>
                <w:rStyle w:val="Small"/>
                <w:lang w:val="en-AU"/>
              </w:rPr>
              <w:t xml:space="preserve"> group alone (base case = </w:t>
            </w:r>
            <w:r w:rsidR="00EF1EC5" w:rsidRPr="003E7C50">
              <w:rPr>
                <w:rStyle w:val="Small"/>
                <w:lang w:val="en-AU"/>
              </w:rPr>
              <w:t>power calculation of</w:t>
            </w:r>
            <w:r w:rsidRPr="003E7C50">
              <w:rPr>
                <w:rStyle w:val="Small"/>
                <w:lang w:val="en-AU"/>
              </w:rPr>
              <w:t xml:space="preserve"> MONALEESA-2</w:t>
            </w:r>
            <w:r w:rsidR="00EF1EC5" w:rsidRPr="003E7C50">
              <w:rPr>
                <w:rStyle w:val="Small"/>
                <w:lang w:val="en-AU"/>
              </w:rPr>
              <w:t xml:space="preserve"> = 0.72</w:t>
            </w:r>
            <w:r w:rsidRPr="003E7C50">
              <w:rPr>
                <w:rStyle w:val="Small"/>
                <w:lang w:val="en-AU"/>
              </w:rPr>
              <w:t>)</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PALOMA-1 (0.813)</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2</w:t>
            </w:r>
            <w:r w:rsidRPr="003E7C50">
              <w:rPr>
                <w:rStyle w:val="Small"/>
                <w:vertAlign w:val="superscript"/>
                <w:lang w:val="en-AU"/>
              </w:rPr>
              <w:t>nd</w:t>
            </w:r>
            <w:r w:rsidRPr="003E7C50">
              <w:rPr>
                <w:rStyle w:val="Small"/>
                <w:lang w:val="en-AU"/>
              </w:rPr>
              <w:t xml:space="preserve"> interim analysis of MONALEESA-2 (0.746)</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r>
      <w:tr w:rsidR="00D57235" w:rsidRPr="003E7C50" w:rsidTr="003215F2">
        <w:trPr>
          <w:trHeight w:val="227"/>
        </w:trPr>
        <w:tc>
          <w:tcPr>
            <w:tcW w:w="2288" w:type="pct"/>
            <w:shd w:val="clear" w:color="auto" w:fill="auto"/>
          </w:tcPr>
          <w:p w:rsidR="00D57235" w:rsidRPr="003E7C50" w:rsidRDefault="00D57235" w:rsidP="00B06379">
            <w:pPr>
              <w:pStyle w:val="TableLeft"/>
              <w:keepNext/>
              <w:rPr>
                <w:rStyle w:val="Small"/>
                <w:lang w:val="en-AU"/>
              </w:rPr>
            </w:pPr>
            <w:r w:rsidRPr="003E7C50">
              <w:rPr>
                <w:rStyle w:val="Small"/>
                <w:lang w:val="en-AU"/>
              </w:rPr>
              <w:t xml:space="preserve">Data used to estimate </w:t>
            </w:r>
            <w:r w:rsidR="006B2EA2" w:rsidRPr="003E7C50">
              <w:rPr>
                <w:rStyle w:val="Small"/>
                <w:lang w:val="en-AU"/>
              </w:rPr>
              <w:t>OS</w:t>
            </w:r>
            <w:r w:rsidRPr="003E7C50">
              <w:rPr>
                <w:rStyle w:val="Small"/>
                <w:lang w:val="en-AU"/>
              </w:rPr>
              <w:t xml:space="preserve"> in the </w:t>
            </w:r>
            <w:proofErr w:type="spellStart"/>
            <w:r w:rsidRPr="003E7C50">
              <w:rPr>
                <w:rStyle w:val="Small"/>
                <w:lang w:val="en-AU"/>
              </w:rPr>
              <w:t>letrozole</w:t>
            </w:r>
            <w:proofErr w:type="spellEnd"/>
            <w:r w:rsidRPr="003E7C50">
              <w:rPr>
                <w:rStyle w:val="Small"/>
                <w:lang w:val="en-AU"/>
              </w:rPr>
              <w:t xml:space="preserve"> group (base case = </w:t>
            </w:r>
            <w:proofErr w:type="spellStart"/>
            <w:r w:rsidRPr="003E7C50">
              <w:rPr>
                <w:rStyle w:val="Small"/>
                <w:lang w:val="en-AU"/>
              </w:rPr>
              <w:t>Dickler</w:t>
            </w:r>
            <w:proofErr w:type="spellEnd"/>
            <w:r w:rsidRPr="003E7C50">
              <w:rPr>
                <w:rStyle w:val="Small"/>
                <w:lang w:val="en-AU"/>
              </w:rPr>
              <w:t xml:space="preserve"> 2006)</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MONALEESA-2 trial</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p>
        </w:tc>
      </w:tr>
      <w:tr w:rsidR="00D57235" w:rsidRPr="003E7C50" w:rsidTr="003215F2">
        <w:trPr>
          <w:trHeight w:val="227"/>
        </w:trPr>
        <w:tc>
          <w:tcPr>
            <w:tcW w:w="2288" w:type="pct"/>
            <w:shd w:val="clear" w:color="auto" w:fill="auto"/>
          </w:tcPr>
          <w:p w:rsidR="00D57235" w:rsidRPr="003E7C50" w:rsidRDefault="00D57235" w:rsidP="00B06379">
            <w:pPr>
              <w:pStyle w:val="TableLeft"/>
              <w:keepNext/>
              <w:tabs>
                <w:tab w:val="right" w:pos="3067"/>
              </w:tabs>
              <w:rPr>
                <w:rStyle w:val="Small"/>
                <w:lang w:val="en-AU"/>
              </w:rPr>
            </w:pPr>
            <w:r w:rsidRPr="003E7C50">
              <w:rPr>
                <w:rStyle w:val="Small"/>
                <w:lang w:val="en-AU"/>
              </w:rPr>
              <w:t>OS direct extrapolation point (base case = 35 months)</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20 months</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c>
          <w:tcPr>
            <w:tcW w:w="763" w:type="pct"/>
            <w:shd w:val="clear" w:color="auto" w:fill="auto"/>
          </w:tcPr>
          <w:p w:rsidR="00D57235" w:rsidRPr="003E7C50" w:rsidRDefault="00D57235" w:rsidP="00B06379">
            <w:pPr>
              <w:pStyle w:val="TableLeft"/>
              <w:keepNext/>
              <w:rPr>
                <w:rStyle w:val="Small"/>
                <w:lang w:val="en-AU"/>
              </w:rPr>
            </w:pPr>
            <w:r w:rsidRPr="003E7C50">
              <w:rPr>
                <w:rStyle w:val="Small"/>
                <w:lang w:val="en-AU"/>
              </w:rPr>
              <w:t>10 months</w:t>
            </w:r>
          </w:p>
        </w:tc>
        <w:tc>
          <w:tcPr>
            <w:tcW w:w="593" w:type="pct"/>
            <w:shd w:val="clear" w:color="auto" w:fill="auto"/>
          </w:tcPr>
          <w:p w:rsidR="00D57235" w:rsidRPr="003E7C50" w:rsidRDefault="00D5723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r>
      <w:tr w:rsidR="00C80C95" w:rsidRPr="003E7C50" w:rsidTr="003215F2">
        <w:trPr>
          <w:trHeight w:val="227"/>
        </w:trPr>
        <w:tc>
          <w:tcPr>
            <w:tcW w:w="2288" w:type="pct"/>
            <w:shd w:val="clear" w:color="auto" w:fill="auto"/>
          </w:tcPr>
          <w:p w:rsidR="00C80C95" w:rsidRPr="003E7C50" w:rsidRDefault="00C80C95" w:rsidP="00B06379">
            <w:pPr>
              <w:pStyle w:val="TableLeft"/>
              <w:keepNext/>
              <w:rPr>
                <w:rStyle w:val="Small"/>
                <w:lang w:val="en-AU"/>
              </w:rPr>
            </w:pPr>
            <w:r w:rsidRPr="003E7C50">
              <w:rPr>
                <w:rStyle w:val="Small"/>
                <w:lang w:val="en-AU"/>
              </w:rPr>
              <w:t>Utility weights data source</w:t>
            </w:r>
            <w:r w:rsidR="00D57235" w:rsidRPr="003E7C50">
              <w:rPr>
                <w:rStyle w:val="Small"/>
                <w:lang w:val="en-AU"/>
              </w:rPr>
              <w:t xml:space="preserve"> (base case = MONALEESA-2)</w:t>
            </w:r>
          </w:p>
        </w:tc>
        <w:tc>
          <w:tcPr>
            <w:tcW w:w="763" w:type="pct"/>
            <w:shd w:val="clear" w:color="auto" w:fill="auto"/>
          </w:tcPr>
          <w:p w:rsidR="00C80C95" w:rsidRPr="003E7C50" w:rsidRDefault="00C80C95" w:rsidP="00B06379">
            <w:pPr>
              <w:pStyle w:val="TableLeft"/>
              <w:keepNext/>
              <w:rPr>
                <w:rStyle w:val="Small"/>
                <w:lang w:val="en-AU"/>
              </w:rPr>
            </w:pPr>
            <w:r w:rsidRPr="003E7C50">
              <w:rPr>
                <w:rStyle w:val="Small"/>
                <w:lang w:val="en-AU"/>
              </w:rPr>
              <w:t>Reed</w:t>
            </w:r>
          </w:p>
        </w:tc>
        <w:tc>
          <w:tcPr>
            <w:tcW w:w="593" w:type="pct"/>
            <w:shd w:val="clear" w:color="auto" w:fill="auto"/>
          </w:tcPr>
          <w:p w:rsidR="00C80C95" w:rsidRPr="003E7C50" w:rsidRDefault="00C80C9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c>
          <w:tcPr>
            <w:tcW w:w="763" w:type="pct"/>
            <w:shd w:val="clear" w:color="auto" w:fill="auto"/>
          </w:tcPr>
          <w:p w:rsidR="00C80C95" w:rsidRPr="003E7C50" w:rsidRDefault="00C80C95" w:rsidP="00B06379">
            <w:pPr>
              <w:pStyle w:val="TableLeft"/>
              <w:keepNext/>
              <w:rPr>
                <w:rStyle w:val="Small"/>
                <w:lang w:val="en-AU"/>
              </w:rPr>
            </w:pPr>
            <w:r w:rsidRPr="003E7C50">
              <w:rPr>
                <w:rStyle w:val="Small"/>
                <w:lang w:val="en-AU"/>
              </w:rPr>
              <w:t>Lloyd</w:t>
            </w:r>
          </w:p>
        </w:tc>
        <w:tc>
          <w:tcPr>
            <w:tcW w:w="593" w:type="pct"/>
            <w:shd w:val="clear" w:color="auto" w:fill="auto"/>
          </w:tcPr>
          <w:p w:rsidR="00C80C95" w:rsidRPr="003E7C50" w:rsidRDefault="00C80C9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r>
      <w:tr w:rsidR="00C80C95" w:rsidRPr="003E7C50" w:rsidTr="003215F2">
        <w:trPr>
          <w:trHeight w:val="227"/>
        </w:trPr>
        <w:tc>
          <w:tcPr>
            <w:tcW w:w="2288" w:type="pct"/>
            <w:shd w:val="clear" w:color="auto" w:fill="auto"/>
          </w:tcPr>
          <w:p w:rsidR="00C80C95" w:rsidRPr="003E7C50" w:rsidRDefault="006B2EA2" w:rsidP="00B06379">
            <w:pPr>
              <w:pStyle w:val="TableLeft"/>
              <w:keepNext/>
              <w:rPr>
                <w:rStyle w:val="Small"/>
                <w:lang w:val="en-AU"/>
              </w:rPr>
            </w:pPr>
            <w:r w:rsidRPr="003E7C50">
              <w:rPr>
                <w:rStyle w:val="Small"/>
                <w:lang w:val="en-AU"/>
              </w:rPr>
              <w:t xml:space="preserve">RDI </w:t>
            </w:r>
            <w:r w:rsidR="00C80C95" w:rsidRPr="003E7C50">
              <w:rPr>
                <w:rStyle w:val="Small"/>
                <w:lang w:val="en-AU"/>
              </w:rPr>
              <w:t xml:space="preserve">of </w:t>
            </w:r>
            <w:proofErr w:type="spellStart"/>
            <w:r w:rsidR="00C80C95" w:rsidRPr="003E7C50">
              <w:rPr>
                <w:rStyle w:val="Small"/>
                <w:lang w:val="en-AU"/>
              </w:rPr>
              <w:t>ribociclib</w:t>
            </w:r>
            <w:proofErr w:type="spellEnd"/>
            <w:r w:rsidR="00D57235" w:rsidRPr="003E7C50">
              <w:rPr>
                <w:rStyle w:val="Small"/>
                <w:lang w:val="en-AU"/>
              </w:rPr>
              <w:t xml:space="preserve"> (base case = </w:t>
            </w:r>
            <w:proofErr w:type="gramStart"/>
            <w:r w:rsidR="00B235DF">
              <w:rPr>
                <w:rStyle w:val="Small"/>
                <w:noProof/>
                <w:color w:val="000000"/>
                <w:highlight w:val="black"/>
                <w:lang w:val="en-AU"/>
              </w:rPr>
              <w:t>''''''''''''</w:t>
            </w:r>
            <w:r w:rsidR="00D57235" w:rsidRPr="003E7C50">
              <w:rPr>
                <w:rStyle w:val="Small"/>
                <w:lang w:val="en-AU"/>
              </w:rPr>
              <w:t>%</w:t>
            </w:r>
            <w:proofErr w:type="gramEnd"/>
            <w:r w:rsidR="00D57235" w:rsidRPr="003E7C50">
              <w:rPr>
                <w:rStyle w:val="Small"/>
                <w:lang w:val="en-AU"/>
              </w:rPr>
              <w:t>)</w:t>
            </w:r>
          </w:p>
        </w:tc>
        <w:tc>
          <w:tcPr>
            <w:tcW w:w="763" w:type="pct"/>
            <w:shd w:val="clear" w:color="auto" w:fill="auto"/>
          </w:tcPr>
          <w:p w:rsidR="00C80C95" w:rsidRPr="003E7C50" w:rsidRDefault="00B235DF" w:rsidP="00B06379">
            <w:pPr>
              <w:pStyle w:val="TableLeft"/>
              <w:keepNext/>
              <w:rPr>
                <w:rStyle w:val="Small"/>
                <w:lang w:val="en-AU"/>
              </w:rPr>
            </w:pPr>
            <w:r>
              <w:rPr>
                <w:rStyle w:val="Small"/>
                <w:noProof/>
                <w:color w:val="000000"/>
                <w:highlight w:val="black"/>
                <w:lang w:val="en-AU"/>
              </w:rPr>
              <w:t>'''''''</w:t>
            </w:r>
            <w:r w:rsidR="00C80C95" w:rsidRPr="003E7C50">
              <w:rPr>
                <w:rStyle w:val="Small"/>
                <w:lang w:val="en-AU"/>
              </w:rPr>
              <w:t>%</w:t>
            </w:r>
          </w:p>
        </w:tc>
        <w:tc>
          <w:tcPr>
            <w:tcW w:w="593" w:type="pct"/>
            <w:shd w:val="clear" w:color="auto" w:fill="auto"/>
          </w:tcPr>
          <w:p w:rsidR="00C80C95" w:rsidRPr="003E7C50" w:rsidRDefault="00C80C9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c>
          <w:tcPr>
            <w:tcW w:w="763" w:type="pct"/>
            <w:shd w:val="clear" w:color="auto" w:fill="auto"/>
          </w:tcPr>
          <w:p w:rsidR="00C80C95" w:rsidRPr="003E7C50" w:rsidRDefault="00B235DF" w:rsidP="00B06379">
            <w:pPr>
              <w:pStyle w:val="TableLeft"/>
              <w:keepNext/>
              <w:rPr>
                <w:rStyle w:val="Small"/>
                <w:lang w:val="en-AU"/>
              </w:rPr>
            </w:pPr>
            <w:r>
              <w:rPr>
                <w:rStyle w:val="Small"/>
                <w:noProof/>
                <w:color w:val="000000"/>
                <w:highlight w:val="black"/>
                <w:lang w:val="en-AU"/>
              </w:rPr>
              <w:t>''''''</w:t>
            </w:r>
            <w:r w:rsidR="00C80C95" w:rsidRPr="003E7C50">
              <w:rPr>
                <w:rStyle w:val="Small"/>
                <w:lang w:val="en-AU"/>
              </w:rPr>
              <w:t>%</w:t>
            </w:r>
          </w:p>
        </w:tc>
        <w:tc>
          <w:tcPr>
            <w:tcW w:w="593" w:type="pct"/>
            <w:shd w:val="clear" w:color="auto" w:fill="auto"/>
          </w:tcPr>
          <w:p w:rsidR="00C80C95" w:rsidRPr="003E7C50" w:rsidRDefault="00C80C95" w:rsidP="00B06379">
            <w:pPr>
              <w:pStyle w:val="TableLeft"/>
              <w:keepNext/>
              <w:rPr>
                <w:rStyle w:val="Small"/>
                <w:lang w:val="en-AU"/>
              </w:rPr>
            </w:pPr>
            <w:r w:rsidRPr="003E7C50">
              <w:rPr>
                <w:rStyle w:val="Small"/>
                <w:lang w:val="en-AU"/>
              </w:rPr>
              <w:t>$</w:t>
            </w:r>
            <w:r w:rsidR="00B235DF">
              <w:rPr>
                <w:rStyle w:val="Small"/>
                <w:noProof/>
                <w:color w:val="000000"/>
                <w:highlight w:val="black"/>
                <w:lang w:val="en-AU"/>
              </w:rPr>
              <w:t>''''''''''''''''''</w:t>
            </w:r>
          </w:p>
        </w:tc>
      </w:tr>
    </w:tbl>
    <w:p w:rsidR="00FB32D0" w:rsidRPr="003E7C50" w:rsidRDefault="006B2EA2" w:rsidP="003215F2">
      <w:pPr>
        <w:pStyle w:val="TableFooter"/>
        <w:widowControl/>
      </w:pPr>
      <w:r w:rsidRPr="003E7C50">
        <w:t xml:space="preserve">HR: Hazard rate ratio; OS: overall survival; RDI: relative dose intensity. </w:t>
      </w:r>
      <w:r w:rsidR="00FB32D0" w:rsidRPr="003E7C50">
        <w:t>Source: Table 3.34 (p. 146) of the submission</w:t>
      </w:r>
    </w:p>
    <w:p w:rsidR="00172A55" w:rsidRPr="003E7C50" w:rsidRDefault="00C80C95" w:rsidP="007413AA">
      <w:pPr>
        <w:pStyle w:val="ListParagraph"/>
      </w:pPr>
      <w:r w:rsidRPr="003E7C50">
        <w:t>During the evaluation</w:t>
      </w:r>
      <w:r w:rsidR="008F5D27" w:rsidRPr="003E7C50">
        <w:t>,</w:t>
      </w:r>
      <w:r w:rsidR="00C86C51" w:rsidRPr="003E7C50">
        <w:t xml:space="preserve"> a multivariate sensitivity analysis was conducted to examine</w:t>
      </w:r>
      <w:r w:rsidRPr="003E7C50">
        <w:t xml:space="preserve"> the </w:t>
      </w:r>
      <w:r w:rsidR="00C86C51" w:rsidRPr="003E7C50">
        <w:t xml:space="preserve">impact </w:t>
      </w:r>
      <w:r w:rsidRPr="003E7C50">
        <w:t>of using data from the MONALEESA</w:t>
      </w:r>
      <w:r w:rsidRPr="003E7C50">
        <w:noBreakHyphen/>
        <w:t>2</w:t>
      </w:r>
      <w:r w:rsidR="008F5D27" w:rsidRPr="003E7C50">
        <w:t xml:space="preserve"> trial</w:t>
      </w:r>
      <w:r w:rsidRPr="003E7C50">
        <w:t xml:space="preserve"> to extrapolate the OS in both treatment arms</w:t>
      </w:r>
      <w:r w:rsidR="008F5D27" w:rsidRPr="003E7C50">
        <w:t>,</w:t>
      </w:r>
      <w:r w:rsidRPr="003E7C50">
        <w:t xml:space="preserve"> from </w:t>
      </w:r>
      <w:r w:rsidR="005745E2" w:rsidRPr="003E7C50">
        <w:t xml:space="preserve">36 </w:t>
      </w:r>
      <w:r w:rsidRPr="003E7C50">
        <w:t xml:space="preserve">months to </w:t>
      </w:r>
      <w:r w:rsidR="00C86C51" w:rsidRPr="003E7C50">
        <w:t xml:space="preserve">a time horizon of </w:t>
      </w:r>
      <w:r w:rsidRPr="003E7C50">
        <w:t>10 years</w:t>
      </w:r>
      <w:r w:rsidR="00C86C51" w:rsidRPr="003E7C50">
        <w:t>;</w:t>
      </w:r>
      <w:r w:rsidRPr="003E7C50">
        <w:t xml:space="preserve"> </w:t>
      </w:r>
      <w:r w:rsidR="00C86C51" w:rsidRPr="003E7C50">
        <w:t>t</w:t>
      </w:r>
      <w:r w:rsidRPr="003E7C50">
        <w:t xml:space="preserve">he </w:t>
      </w:r>
      <w:r w:rsidR="00C86C51" w:rsidRPr="003E7C50">
        <w:t xml:space="preserve">resulting </w:t>
      </w:r>
      <w:r w:rsidRPr="003E7C50">
        <w:t xml:space="preserve">ICER was </w:t>
      </w:r>
      <w:r w:rsidR="007413AA" w:rsidRPr="007413AA">
        <w:t>more than $200,000/QALY</w:t>
      </w:r>
      <w:r w:rsidR="007413AA">
        <w:t xml:space="preserve"> </w:t>
      </w:r>
      <w:r w:rsidR="00C86C51" w:rsidRPr="003E7C50">
        <w:t>gained</w:t>
      </w:r>
      <w:r w:rsidR="00AE46F2" w:rsidRPr="003E7C50">
        <w:t xml:space="preserve">. </w:t>
      </w:r>
      <w:r w:rsidR="00D731C8" w:rsidRPr="003E7C50">
        <w:t xml:space="preserve">Overall the ICER was most sensitive to the </w:t>
      </w:r>
      <w:r w:rsidR="00C51856" w:rsidRPr="003E7C50">
        <w:t xml:space="preserve">time horizon, and the approach used to </w:t>
      </w:r>
      <w:r w:rsidR="00D731C8" w:rsidRPr="003E7C50">
        <w:t>estimate PFS and OS</w:t>
      </w:r>
      <w:r w:rsidR="00A71235" w:rsidRPr="003E7C50">
        <w:t>.</w:t>
      </w:r>
    </w:p>
    <w:p w:rsidR="000A6BCF" w:rsidRPr="003E7C50" w:rsidRDefault="00C165A2" w:rsidP="00316E09">
      <w:pPr>
        <w:pStyle w:val="ListParagraph"/>
      </w:pPr>
      <w:r w:rsidRPr="003E7C50">
        <w:t xml:space="preserve">The submission also presented a cost-minimisation analysis comparing </w:t>
      </w:r>
      <w:proofErr w:type="spellStart"/>
      <w:r w:rsidRPr="003E7C50">
        <w:t>ribociclib</w:t>
      </w:r>
      <w:proofErr w:type="spellEnd"/>
      <w:r w:rsidRPr="003E7C50">
        <w:t xml:space="preserve"> + </w:t>
      </w:r>
      <w:proofErr w:type="spellStart"/>
      <w:r w:rsidRPr="003E7C50">
        <w:t>letrozole</w:t>
      </w:r>
      <w:proofErr w:type="spellEnd"/>
      <w:r w:rsidRPr="003E7C50">
        <w:t xml:space="preserve"> and </w:t>
      </w:r>
      <w:proofErr w:type="spellStart"/>
      <w:r w:rsidRPr="003E7C50">
        <w:t>palbociclib</w:t>
      </w:r>
      <w:proofErr w:type="spellEnd"/>
      <w:r w:rsidRPr="003E7C50">
        <w:t xml:space="preserve"> + </w:t>
      </w:r>
      <w:proofErr w:type="spellStart"/>
      <w:r w:rsidRPr="003E7C50">
        <w:t>letrozole</w:t>
      </w:r>
      <w:proofErr w:type="spellEnd"/>
      <w:r w:rsidRPr="003E7C50">
        <w:t xml:space="preserve">. The estimation of </w:t>
      </w:r>
      <w:proofErr w:type="spellStart"/>
      <w:r w:rsidRPr="003E7C50">
        <w:t>equi</w:t>
      </w:r>
      <w:proofErr w:type="spellEnd"/>
      <w:r w:rsidRPr="003E7C50">
        <w:t xml:space="preserve">-effective doses were based on mean RDI and regimen intensity per cycle. The submission calculated the </w:t>
      </w:r>
      <w:proofErr w:type="spellStart"/>
      <w:r w:rsidRPr="003E7C50">
        <w:t>equi</w:t>
      </w:r>
      <w:proofErr w:type="spellEnd"/>
      <w:r w:rsidRPr="003E7C50">
        <w:t>-effective dose</w:t>
      </w:r>
      <w:r w:rsidR="00B95564" w:rsidRPr="003E7C50">
        <w:t>s</w:t>
      </w:r>
      <w:r w:rsidRPr="003E7C50">
        <w:t xml:space="preserve"> to be </w:t>
      </w:r>
      <w:proofErr w:type="spellStart"/>
      <w:r w:rsidR="00B95564" w:rsidRPr="003E7C50">
        <w:t>ribociclib</w:t>
      </w:r>
      <w:proofErr w:type="spellEnd"/>
      <w:r w:rsidR="00B95564" w:rsidRPr="003E7C50">
        <w:t xml:space="preserve"> </w:t>
      </w:r>
      <w:r w:rsidRPr="00E76FE4">
        <w:t>364.05</w:t>
      </w:r>
      <w:r w:rsidR="00B95564" w:rsidRPr="00E76FE4">
        <w:t xml:space="preserve"> </w:t>
      </w:r>
      <w:r w:rsidRPr="00E76FE4">
        <w:t xml:space="preserve">mg </w:t>
      </w:r>
      <w:r w:rsidR="00B235DF">
        <w:rPr>
          <w:noProof/>
          <w:color w:val="000000"/>
          <w:highlight w:val="black"/>
        </w:rPr>
        <w:t xml:space="preserve">'''''''' '''''' '' '''''''''''' ''''''' ''' ''''''''''''' ''''''''' </w:t>
      </w:r>
      <w:r w:rsidRPr="00E76FE4">
        <w:t>and</w:t>
      </w:r>
      <w:r w:rsidRPr="003E7C50">
        <w:t xml:space="preserve"> </w:t>
      </w:r>
      <w:proofErr w:type="spellStart"/>
      <w:r w:rsidRPr="003E7C50">
        <w:t>palbociclib</w:t>
      </w:r>
      <w:proofErr w:type="spellEnd"/>
      <w:r w:rsidRPr="003E7C50">
        <w:t xml:space="preserve"> </w:t>
      </w:r>
      <w:r w:rsidRPr="00495328">
        <w:t>87.38</w:t>
      </w:r>
      <w:r w:rsidR="00B95564" w:rsidRPr="00495328">
        <w:t xml:space="preserve"> </w:t>
      </w:r>
      <w:r w:rsidRPr="00495328">
        <w:t xml:space="preserve">mg </w:t>
      </w:r>
      <w:r w:rsidR="00B235DF">
        <w:rPr>
          <w:noProof/>
          <w:color w:val="000000"/>
          <w:highlight w:val="black"/>
        </w:rPr>
        <w:t>''''''''' ''''''' '' '''''''''''' ''''''' '' '''''''''' ''''''''''''</w:t>
      </w:r>
      <w:r w:rsidRPr="003E7C50">
        <w:t>.</w:t>
      </w:r>
    </w:p>
    <w:p w:rsidR="000A6BCF" w:rsidRPr="003E7C50" w:rsidRDefault="00C165A2" w:rsidP="00260877">
      <w:pPr>
        <w:pStyle w:val="ListParagraph"/>
      </w:pPr>
      <w:r w:rsidRPr="003E7C50">
        <w:t>The RDI</w:t>
      </w:r>
      <w:r w:rsidR="000A6BCF" w:rsidRPr="003E7C50">
        <w:t xml:space="preserve"> applied in the cost-minimisation analysis was lower</w:t>
      </w:r>
      <w:r w:rsidRPr="003E7C50">
        <w:t xml:space="preserve"> for </w:t>
      </w:r>
      <w:proofErr w:type="spellStart"/>
      <w:r w:rsidRPr="003E7C50">
        <w:t>ribociclib</w:t>
      </w:r>
      <w:proofErr w:type="spellEnd"/>
      <w:r w:rsidRPr="003E7C50">
        <w:t xml:space="preserve"> than </w:t>
      </w:r>
      <w:r w:rsidR="000A6BCF" w:rsidRPr="003E7C50">
        <w:t xml:space="preserve">for </w:t>
      </w:r>
      <w:proofErr w:type="spellStart"/>
      <w:r w:rsidRPr="003E7C50">
        <w:t>palbociclib</w:t>
      </w:r>
      <w:proofErr w:type="spellEnd"/>
      <w:r w:rsidR="007B5563" w:rsidRPr="003E7C50">
        <w:t xml:space="preserve"> </w:t>
      </w:r>
      <w:r w:rsidR="000A6BCF" w:rsidRPr="003E7C50">
        <w:t xml:space="preserve">due to patients experiencing more </w:t>
      </w:r>
      <w:r w:rsidR="006B2EA2" w:rsidRPr="003E7C50">
        <w:t>AEs</w:t>
      </w:r>
      <w:r w:rsidR="000A6BCF" w:rsidRPr="003E7C50">
        <w:t xml:space="preserve"> requiring a dose reduction with </w:t>
      </w:r>
      <w:proofErr w:type="spellStart"/>
      <w:r w:rsidR="000A6BCF" w:rsidRPr="003E7C50">
        <w:t>ribociclib</w:t>
      </w:r>
      <w:proofErr w:type="spellEnd"/>
      <w:r w:rsidR="000A6BCF" w:rsidRPr="003E7C50">
        <w:t xml:space="preserve">. </w:t>
      </w:r>
      <w:r w:rsidR="007B5563" w:rsidRPr="003E7C50">
        <w:t xml:space="preserve">The lower RDI is inconsistent with the claim of non-inferior safety between </w:t>
      </w:r>
      <w:proofErr w:type="spellStart"/>
      <w:r w:rsidR="007B5563" w:rsidRPr="003E7C50">
        <w:t>ribociclib</w:t>
      </w:r>
      <w:proofErr w:type="spellEnd"/>
      <w:r w:rsidR="007B5563" w:rsidRPr="003E7C50">
        <w:t xml:space="preserve"> </w:t>
      </w:r>
      <w:r w:rsidR="008B52C8" w:rsidRPr="003E7C50">
        <w:t>+</w:t>
      </w:r>
      <w:r w:rsidR="007B5563" w:rsidRPr="003E7C50">
        <w:t xml:space="preserve"> </w:t>
      </w:r>
      <w:proofErr w:type="spellStart"/>
      <w:r w:rsidR="007B5563" w:rsidRPr="003E7C50">
        <w:t>letrozole</w:t>
      </w:r>
      <w:proofErr w:type="spellEnd"/>
      <w:r w:rsidR="007B5563" w:rsidRPr="003E7C50">
        <w:t xml:space="preserve"> and </w:t>
      </w:r>
      <w:proofErr w:type="spellStart"/>
      <w:r w:rsidR="007B5563" w:rsidRPr="003E7C50">
        <w:t>palbociclib</w:t>
      </w:r>
      <w:proofErr w:type="spellEnd"/>
      <w:r w:rsidR="007B5563" w:rsidRPr="003E7C50">
        <w:t xml:space="preserve"> plus </w:t>
      </w:r>
      <w:proofErr w:type="spellStart"/>
      <w:r w:rsidR="007B5563" w:rsidRPr="003E7C50">
        <w:t>letrozole</w:t>
      </w:r>
      <w:proofErr w:type="spellEnd"/>
      <w:r w:rsidR="007B5563" w:rsidRPr="003E7C50">
        <w:t xml:space="preserve">. It also </w:t>
      </w:r>
      <w:r w:rsidR="00D94D6B" w:rsidRPr="003E7C50">
        <w:t xml:space="preserve">results in </w:t>
      </w:r>
      <w:r w:rsidR="007B5563" w:rsidRPr="003E7C50">
        <w:t xml:space="preserve">the price for </w:t>
      </w:r>
      <w:proofErr w:type="spellStart"/>
      <w:r w:rsidR="007B5563" w:rsidRPr="003E7C50">
        <w:t>ribociclib</w:t>
      </w:r>
      <w:proofErr w:type="spellEnd"/>
      <w:r w:rsidR="007B5563" w:rsidRPr="003E7C50">
        <w:t xml:space="preserve"> be</w:t>
      </w:r>
      <w:r w:rsidR="00D94D6B" w:rsidRPr="003E7C50">
        <w:t>ing</w:t>
      </w:r>
      <w:r w:rsidR="007B5563" w:rsidRPr="003E7C50">
        <w:t xml:space="preserve"> higher than if the same RDI was applied to </w:t>
      </w:r>
      <w:proofErr w:type="spellStart"/>
      <w:r w:rsidR="007B5563" w:rsidRPr="003E7C50">
        <w:t>ribociclib</w:t>
      </w:r>
      <w:proofErr w:type="spellEnd"/>
      <w:r w:rsidR="007B5563" w:rsidRPr="003E7C50">
        <w:t xml:space="preserve"> and </w:t>
      </w:r>
      <w:proofErr w:type="spellStart"/>
      <w:r w:rsidR="007B5563" w:rsidRPr="003E7C50">
        <w:t>palbociclib</w:t>
      </w:r>
      <w:proofErr w:type="spellEnd"/>
      <w:r w:rsidR="008D1AE5" w:rsidRPr="003E7C50">
        <w:t>.</w:t>
      </w:r>
      <w:r w:rsidR="00260877" w:rsidRPr="003E7C50">
        <w:rPr>
          <w:i/>
        </w:rPr>
        <w:t xml:space="preserve"> </w:t>
      </w:r>
      <w:r w:rsidR="00260877" w:rsidRPr="003E7C50">
        <w:t>The PSCR (p.7) disagreed, arguing that the RDIs applied in the analysis reflected the average dose of the respective medicines received in the relevant randomised controlled trials, accounting for dose reductions, interruptions and drug holidays</w:t>
      </w:r>
      <w:r w:rsidR="00260877" w:rsidRPr="003E7C50">
        <w:rPr>
          <w:i/>
        </w:rPr>
        <w:t>.</w:t>
      </w:r>
    </w:p>
    <w:p w:rsidR="00C80C95" w:rsidRPr="003E7C50" w:rsidRDefault="00A9013A" w:rsidP="00316E09">
      <w:pPr>
        <w:pStyle w:val="ListParagraph"/>
      </w:pPr>
      <w:r w:rsidRPr="003E7C50">
        <w:t xml:space="preserve">No additional costs or offsets </w:t>
      </w:r>
      <w:r w:rsidR="002175E0" w:rsidRPr="003E7C50">
        <w:t>were</w:t>
      </w:r>
      <w:r w:rsidRPr="003E7C50">
        <w:t xml:space="preserve"> included in the </w:t>
      </w:r>
      <w:r w:rsidR="00AE7DAA" w:rsidRPr="003E7C50">
        <w:t xml:space="preserve">cost-minimisation </w:t>
      </w:r>
      <w:r w:rsidRPr="003E7C50">
        <w:t>analysis</w:t>
      </w:r>
      <w:r w:rsidR="008F5D27" w:rsidRPr="003E7C50">
        <w:t>.</w:t>
      </w:r>
      <w:r w:rsidR="003F0B97" w:rsidRPr="003E7C50">
        <w:t xml:space="preserve"> </w:t>
      </w:r>
      <w:r w:rsidR="00B95564" w:rsidRPr="003E7C50">
        <w:t>The submission claimed that</w:t>
      </w:r>
      <w:r w:rsidR="00530F06" w:rsidRPr="003E7C50">
        <w:t>,</w:t>
      </w:r>
      <w:r w:rsidR="00B95564" w:rsidRPr="003E7C50">
        <w:t xml:space="preserve"> b</w:t>
      </w:r>
      <w:r w:rsidRPr="003E7C50">
        <w:t xml:space="preserve">ased on available prescribing information and clinical trials, it is anticipated that </w:t>
      </w:r>
      <w:proofErr w:type="spellStart"/>
      <w:r w:rsidRPr="003E7C50">
        <w:t>ribociclib</w:t>
      </w:r>
      <w:proofErr w:type="spellEnd"/>
      <w:r w:rsidRPr="003E7C50">
        <w:t xml:space="preserve"> and </w:t>
      </w:r>
      <w:proofErr w:type="spellStart"/>
      <w:r w:rsidRPr="003E7C50">
        <w:t>palbociclib</w:t>
      </w:r>
      <w:proofErr w:type="spellEnd"/>
      <w:r w:rsidRPr="003E7C50">
        <w:t xml:space="preserve"> will have similar administration, monitoring and safety management requirements in clinical practice. </w:t>
      </w:r>
      <w:r w:rsidR="00530F06" w:rsidRPr="003E7C50">
        <w:t>The evaluation considered this was</w:t>
      </w:r>
      <w:r w:rsidR="00C80C95" w:rsidRPr="003E7C50">
        <w:t xml:space="preserve"> not reasonable, given that </w:t>
      </w:r>
      <w:proofErr w:type="spellStart"/>
      <w:r w:rsidR="00C80C95" w:rsidRPr="003E7C50">
        <w:t>ribociclib</w:t>
      </w:r>
      <w:proofErr w:type="spellEnd"/>
      <w:r w:rsidR="00C80C95" w:rsidRPr="003E7C50">
        <w:t xml:space="preserve"> may have inferior safety compared with </w:t>
      </w:r>
      <w:proofErr w:type="spellStart"/>
      <w:r w:rsidR="00C80C95" w:rsidRPr="003E7C50">
        <w:t>palbociclib</w:t>
      </w:r>
      <w:proofErr w:type="spellEnd"/>
      <w:r w:rsidR="008F5D27" w:rsidRPr="003E7C50">
        <w:t>.</w:t>
      </w:r>
      <w:r w:rsidR="00C80C95" w:rsidRPr="003E7C50">
        <w:t xml:space="preserve"> </w:t>
      </w:r>
    </w:p>
    <w:p w:rsidR="00C317F3" w:rsidRPr="003E7C50" w:rsidRDefault="00C317F3" w:rsidP="00B34042">
      <w:pPr>
        <w:pStyle w:val="Heading2"/>
      </w:pPr>
      <w:bookmarkStart w:id="21" w:name="_Toc413139283"/>
      <w:bookmarkStart w:id="22" w:name="_Toc482023189"/>
      <w:r w:rsidRPr="003E7C50">
        <w:t>Drug cost/patient/</w:t>
      </w:r>
      <w:r w:rsidR="00194ED2" w:rsidRPr="003E7C50">
        <w:t>course</w:t>
      </w:r>
      <w:r w:rsidRPr="003E7C50">
        <w:t>: $</w:t>
      </w:r>
      <w:bookmarkEnd w:id="21"/>
      <w:bookmarkEnd w:id="22"/>
      <w:r w:rsidR="00B235DF">
        <w:rPr>
          <w:noProof/>
          <w:color w:val="000000"/>
          <w:highlight w:val="black"/>
        </w:rPr>
        <w:t>'''''''''''''''</w:t>
      </w:r>
    </w:p>
    <w:p w:rsidR="00BA6D4D" w:rsidRPr="003E7C50" w:rsidRDefault="00BA6D4D" w:rsidP="00316E09">
      <w:pPr>
        <w:pStyle w:val="ListParagraph"/>
      </w:pPr>
      <w:r w:rsidRPr="003E7C50">
        <w:t>Assuming a cost of $</w:t>
      </w:r>
      <w:r w:rsidR="00B235DF">
        <w:rPr>
          <w:noProof/>
          <w:color w:val="000000"/>
          <w:highlight w:val="black"/>
        </w:rPr>
        <w:t>'''''''''''''''</w:t>
      </w:r>
      <w:r w:rsidRPr="003E7C50">
        <w:t xml:space="preserve"> per pack of </w:t>
      </w:r>
      <w:r w:rsidR="00B235DF">
        <w:rPr>
          <w:noProof/>
          <w:color w:val="000000"/>
          <w:highlight w:val="black"/>
        </w:rPr>
        <w:t>'''''</w:t>
      </w:r>
      <w:r w:rsidRPr="003E7C50">
        <w:t xml:space="preserve"> tablets, one pack is used per </w:t>
      </w:r>
      <w:r w:rsidR="00B235DF">
        <w:rPr>
          <w:noProof/>
          <w:color w:val="000000"/>
          <w:highlight w:val="black"/>
        </w:rPr>
        <w:t>''''''</w:t>
      </w:r>
      <w:r w:rsidR="004C6F07" w:rsidRPr="003E7C50">
        <w:t> </w:t>
      </w:r>
      <w:r w:rsidRPr="003E7C50">
        <w:t xml:space="preserve">days, no dose reduction, and the patient is treated for 25.3 months (median PFS from </w:t>
      </w:r>
      <w:r w:rsidR="008F5D27" w:rsidRPr="003E7C50">
        <w:t xml:space="preserve">January </w:t>
      </w:r>
      <w:r w:rsidRPr="003E7C50">
        <w:t>2017</w:t>
      </w:r>
      <w:r w:rsidR="00F53728" w:rsidRPr="003E7C50">
        <w:t xml:space="preserve"> interim analysis</w:t>
      </w:r>
      <w:r w:rsidR="008F5D27" w:rsidRPr="003E7C50">
        <w:t xml:space="preserve"> of</w:t>
      </w:r>
      <w:r w:rsidR="00F53728" w:rsidRPr="003E7C50">
        <w:t xml:space="preserve"> MONALEESA-2</w:t>
      </w:r>
      <w:r w:rsidRPr="003E7C50">
        <w:t xml:space="preserve">) until disease progression. </w:t>
      </w:r>
      <w:r w:rsidR="00984097" w:rsidRPr="003E7C50">
        <w:t xml:space="preserve">Accordingly, </w:t>
      </w:r>
      <w:r w:rsidR="00F53728" w:rsidRPr="003E7C50">
        <w:t>approximately</w:t>
      </w:r>
      <w:r w:rsidRPr="003E7C50">
        <w:t xml:space="preserve"> </w:t>
      </w:r>
      <w:r w:rsidR="00B235DF">
        <w:rPr>
          <w:noProof/>
          <w:color w:val="000000"/>
          <w:highlight w:val="black"/>
        </w:rPr>
        <w:t>'''''</w:t>
      </w:r>
      <w:r w:rsidRPr="003E7C50">
        <w:t xml:space="preserve"> packs (adjusted to a full pack) </w:t>
      </w:r>
      <w:r w:rsidR="00984097" w:rsidRPr="003E7C50">
        <w:t xml:space="preserve">are required for a course of treatment, </w:t>
      </w:r>
      <w:r w:rsidRPr="003E7C50">
        <w:t>costing $</w:t>
      </w:r>
      <w:r w:rsidR="00B235DF">
        <w:rPr>
          <w:noProof/>
          <w:color w:val="000000"/>
          <w:highlight w:val="black"/>
        </w:rPr>
        <w:t>'''''''''''''''</w:t>
      </w:r>
      <w:r w:rsidRPr="003E7C50">
        <w:t xml:space="preserve"> </w:t>
      </w:r>
      <w:r w:rsidR="00984097" w:rsidRPr="003E7C50">
        <w:t>(</w:t>
      </w:r>
      <w:r w:rsidRPr="003E7C50">
        <w:t>or $</w:t>
      </w:r>
      <w:r w:rsidR="00B235DF">
        <w:rPr>
          <w:noProof/>
          <w:color w:val="000000"/>
          <w:highlight w:val="black"/>
        </w:rPr>
        <w:t>''''''''''''</w:t>
      </w:r>
      <w:r w:rsidRPr="003E7C50">
        <w:t xml:space="preserve"> per year</w:t>
      </w:r>
      <w:r w:rsidR="00984097" w:rsidRPr="003E7C50">
        <w:t xml:space="preserve">, assuming </w:t>
      </w:r>
      <w:r w:rsidR="00B235DF">
        <w:rPr>
          <w:noProof/>
          <w:color w:val="000000"/>
          <w:highlight w:val="black"/>
        </w:rPr>
        <w:t>'''''</w:t>
      </w:r>
      <w:r w:rsidR="00984097" w:rsidRPr="003E7C50">
        <w:t xml:space="preserve"> packs per year of treatment)</w:t>
      </w:r>
      <w:r w:rsidRPr="003E7C50">
        <w:t>.</w:t>
      </w:r>
    </w:p>
    <w:p w:rsidR="00C317F3" w:rsidRPr="003E7C50" w:rsidRDefault="00C317F3" w:rsidP="00BA6D4D">
      <w:pPr>
        <w:pStyle w:val="Heading2"/>
      </w:pPr>
      <w:bookmarkStart w:id="23" w:name="_Toc413139284"/>
      <w:bookmarkStart w:id="24" w:name="_Toc482023190"/>
      <w:r w:rsidRPr="003E7C50">
        <w:t>Estimated PBS usage &amp; financial implications</w:t>
      </w:r>
      <w:bookmarkEnd w:id="23"/>
      <w:bookmarkEnd w:id="24"/>
    </w:p>
    <w:p w:rsidR="00B4270B" w:rsidRPr="003E7C50" w:rsidRDefault="00B4270B" w:rsidP="00B4270B">
      <w:pPr>
        <w:pStyle w:val="ListParagraph"/>
      </w:pPr>
      <w:r w:rsidRPr="003E7C50">
        <w:t xml:space="preserve">This submission was considered by DUSC. The submission used an epidemiological approach with the number of post-menopausal, HR+/HER2- ABC patients currently on first line hormonal therapy, which was estimated from the IPSOS Australian Oncology Monitor. The submission assumed </w:t>
      </w:r>
      <w:r w:rsidR="00B235DF">
        <w:rPr>
          <w:noProof/>
          <w:color w:val="000000"/>
          <w:highlight w:val="black"/>
        </w:rPr>
        <w:t>'''''</w:t>
      </w:r>
      <w:r w:rsidRPr="003E7C50">
        <w:t xml:space="preserve">% growth of </w:t>
      </w:r>
      <w:proofErr w:type="spellStart"/>
      <w:r w:rsidRPr="003E7C50">
        <w:t>ribociclib</w:t>
      </w:r>
      <w:proofErr w:type="spellEnd"/>
      <w:r w:rsidRPr="003E7C50">
        <w:t xml:space="preserve"> use over six years based on historical </w:t>
      </w:r>
      <w:proofErr w:type="spellStart"/>
      <w:r w:rsidRPr="003E7C50">
        <w:t>letrozole</w:t>
      </w:r>
      <w:proofErr w:type="spellEnd"/>
      <w:r w:rsidRPr="003E7C50">
        <w:t xml:space="preserve"> prescription growth from Medicare Australia prescribing data, and an </w:t>
      </w:r>
      <w:r w:rsidR="00B235DF">
        <w:rPr>
          <w:noProof/>
          <w:color w:val="000000"/>
          <w:highlight w:val="black"/>
        </w:rPr>
        <w:t>'''''''''</w:t>
      </w:r>
      <w:r w:rsidRPr="003E7C50">
        <w:t xml:space="preserve">% relative dose intensity based on the MONALEESA-2 trial. </w:t>
      </w:r>
    </w:p>
    <w:p w:rsidR="00762A23" w:rsidRDefault="00762A23" w:rsidP="00762A23">
      <w:pPr>
        <w:pStyle w:val="Caption"/>
      </w:pPr>
      <w:r>
        <w:t xml:space="preserve">Table </w:t>
      </w:r>
      <w:r>
        <w:rPr>
          <w:noProof/>
        </w:rPr>
        <w:t>13</w:t>
      </w:r>
      <w:r w:rsidRPr="000B6693">
        <w:t xml:space="preserve">: Estimated use and financial implications of listing </w:t>
      </w:r>
      <w:proofErr w:type="spellStart"/>
      <w:r w:rsidRPr="000B6693">
        <w:t>ribociclib</w:t>
      </w:r>
      <w:proofErr w:type="spellEnd"/>
      <w:r w:rsidRPr="000B6693">
        <w:t xml:space="preserve"> on the PBS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6"/>
        <w:gridCol w:w="1215"/>
        <w:gridCol w:w="1215"/>
        <w:gridCol w:w="1215"/>
        <w:gridCol w:w="1215"/>
        <w:gridCol w:w="1215"/>
        <w:gridCol w:w="1221"/>
      </w:tblGrid>
      <w:tr w:rsidR="00B4270B" w:rsidRPr="003E7C50" w:rsidTr="00762A23">
        <w:trPr>
          <w:tblHeader/>
        </w:trPr>
        <w:tc>
          <w:tcPr>
            <w:tcW w:w="983" w:type="pct"/>
            <w:shd w:val="clear" w:color="auto" w:fill="auto"/>
            <w:vAlign w:val="center"/>
          </w:tcPr>
          <w:p w:rsidR="00B4270B" w:rsidRPr="003E7C50" w:rsidRDefault="00B4270B" w:rsidP="00790381">
            <w:pPr>
              <w:pStyle w:val="TableText"/>
            </w:pPr>
          </w:p>
        </w:tc>
        <w:tc>
          <w:tcPr>
            <w:tcW w:w="669" w:type="pct"/>
            <w:shd w:val="clear" w:color="auto" w:fill="auto"/>
            <w:vAlign w:val="center"/>
          </w:tcPr>
          <w:p w:rsidR="00B4270B" w:rsidRPr="003E7C50" w:rsidRDefault="00B4270B" w:rsidP="00790381">
            <w:pPr>
              <w:pStyle w:val="TableTextHeading"/>
              <w:keepNext/>
              <w:spacing w:before="0" w:after="0"/>
              <w:rPr>
                <w:rFonts w:ascii="Arial Narrow" w:hAnsi="Arial Narrow"/>
                <w:bCs/>
                <w:sz w:val="20"/>
              </w:rPr>
            </w:pPr>
            <w:r w:rsidRPr="003E7C50">
              <w:rPr>
                <w:rFonts w:ascii="Arial Narrow" w:hAnsi="Arial Narrow"/>
                <w:sz w:val="20"/>
              </w:rPr>
              <w:t>Year 1</w:t>
            </w:r>
          </w:p>
          <w:p w:rsidR="00B4270B" w:rsidRPr="003E7C50" w:rsidRDefault="00B4270B" w:rsidP="00790381">
            <w:pPr>
              <w:pStyle w:val="TableText"/>
              <w:jc w:val="center"/>
              <w:rPr>
                <w:b/>
                <w:szCs w:val="20"/>
              </w:rPr>
            </w:pPr>
            <w:r w:rsidRPr="003E7C50">
              <w:rPr>
                <w:b/>
                <w:bCs/>
                <w:szCs w:val="20"/>
              </w:rPr>
              <w:t>2018</w:t>
            </w:r>
          </w:p>
        </w:tc>
        <w:tc>
          <w:tcPr>
            <w:tcW w:w="669" w:type="pct"/>
            <w:shd w:val="clear" w:color="auto" w:fill="auto"/>
            <w:vAlign w:val="center"/>
          </w:tcPr>
          <w:p w:rsidR="00B4270B" w:rsidRPr="003E7C50" w:rsidRDefault="00B4270B" w:rsidP="00790381">
            <w:pPr>
              <w:pStyle w:val="TableTextHeading"/>
              <w:keepNext/>
              <w:spacing w:before="0" w:after="0"/>
              <w:rPr>
                <w:rFonts w:ascii="Arial Narrow" w:hAnsi="Arial Narrow"/>
                <w:bCs/>
                <w:sz w:val="20"/>
              </w:rPr>
            </w:pPr>
            <w:r w:rsidRPr="003E7C50">
              <w:rPr>
                <w:rFonts w:ascii="Arial Narrow" w:hAnsi="Arial Narrow"/>
                <w:sz w:val="20"/>
              </w:rPr>
              <w:t>Year 2</w:t>
            </w:r>
          </w:p>
          <w:p w:rsidR="00B4270B" w:rsidRPr="003E7C50" w:rsidRDefault="00B4270B" w:rsidP="00790381">
            <w:pPr>
              <w:pStyle w:val="TableText"/>
              <w:jc w:val="center"/>
              <w:rPr>
                <w:b/>
                <w:szCs w:val="20"/>
              </w:rPr>
            </w:pPr>
            <w:r w:rsidRPr="003E7C50">
              <w:rPr>
                <w:b/>
                <w:bCs/>
                <w:szCs w:val="20"/>
              </w:rPr>
              <w:t>2019</w:t>
            </w:r>
          </w:p>
        </w:tc>
        <w:tc>
          <w:tcPr>
            <w:tcW w:w="669" w:type="pct"/>
            <w:shd w:val="clear" w:color="auto" w:fill="auto"/>
            <w:vAlign w:val="center"/>
          </w:tcPr>
          <w:p w:rsidR="00B4270B" w:rsidRPr="003E7C50" w:rsidRDefault="00B4270B" w:rsidP="00790381">
            <w:pPr>
              <w:pStyle w:val="TableTextHeading"/>
              <w:keepNext/>
              <w:spacing w:before="0" w:after="0"/>
              <w:rPr>
                <w:rFonts w:ascii="Arial Narrow" w:hAnsi="Arial Narrow"/>
                <w:bCs/>
                <w:sz w:val="20"/>
              </w:rPr>
            </w:pPr>
            <w:r w:rsidRPr="003E7C50">
              <w:rPr>
                <w:rFonts w:ascii="Arial Narrow" w:hAnsi="Arial Narrow"/>
                <w:sz w:val="20"/>
              </w:rPr>
              <w:t>Year 3</w:t>
            </w:r>
          </w:p>
          <w:p w:rsidR="00B4270B" w:rsidRPr="003E7C50" w:rsidRDefault="00B4270B" w:rsidP="00790381">
            <w:pPr>
              <w:pStyle w:val="TableText"/>
              <w:jc w:val="center"/>
              <w:rPr>
                <w:b/>
                <w:szCs w:val="20"/>
              </w:rPr>
            </w:pPr>
            <w:r w:rsidRPr="003E7C50">
              <w:rPr>
                <w:b/>
                <w:bCs/>
                <w:szCs w:val="20"/>
              </w:rPr>
              <w:t>2020</w:t>
            </w:r>
          </w:p>
        </w:tc>
        <w:tc>
          <w:tcPr>
            <w:tcW w:w="669" w:type="pct"/>
            <w:shd w:val="clear" w:color="auto" w:fill="auto"/>
            <w:vAlign w:val="center"/>
          </w:tcPr>
          <w:p w:rsidR="00B4270B" w:rsidRPr="003E7C50" w:rsidRDefault="00B4270B" w:rsidP="00790381">
            <w:pPr>
              <w:pStyle w:val="TableTextHeading"/>
              <w:keepNext/>
              <w:spacing w:before="0" w:after="0"/>
              <w:rPr>
                <w:rFonts w:ascii="Arial Narrow" w:hAnsi="Arial Narrow"/>
                <w:bCs/>
                <w:sz w:val="20"/>
              </w:rPr>
            </w:pPr>
            <w:r w:rsidRPr="003E7C50">
              <w:rPr>
                <w:rFonts w:ascii="Arial Narrow" w:hAnsi="Arial Narrow"/>
                <w:sz w:val="20"/>
              </w:rPr>
              <w:t>Year 4</w:t>
            </w:r>
          </w:p>
          <w:p w:rsidR="00B4270B" w:rsidRPr="003E7C50" w:rsidRDefault="00B4270B" w:rsidP="00790381">
            <w:pPr>
              <w:pStyle w:val="TableText"/>
              <w:jc w:val="center"/>
              <w:rPr>
                <w:b/>
                <w:szCs w:val="20"/>
              </w:rPr>
            </w:pPr>
            <w:r w:rsidRPr="003E7C50">
              <w:rPr>
                <w:b/>
                <w:bCs/>
                <w:szCs w:val="20"/>
              </w:rPr>
              <w:t>2021</w:t>
            </w:r>
          </w:p>
        </w:tc>
        <w:tc>
          <w:tcPr>
            <w:tcW w:w="669" w:type="pct"/>
            <w:shd w:val="clear" w:color="auto" w:fill="auto"/>
            <w:vAlign w:val="center"/>
          </w:tcPr>
          <w:p w:rsidR="00B4270B" w:rsidRPr="003E7C50" w:rsidRDefault="00B4270B" w:rsidP="00790381">
            <w:pPr>
              <w:pStyle w:val="TableTextHeading"/>
              <w:keepNext/>
              <w:spacing w:before="0" w:after="0"/>
              <w:rPr>
                <w:rFonts w:ascii="Arial Narrow" w:hAnsi="Arial Narrow"/>
                <w:sz w:val="20"/>
              </w:rPr>
            </w:pPr>
            <w:r w:rsidRPr="003E7C50">
              <w:rPr>
                <w:rFonts w:ascii="Arial Narrow" w:hAnsi="Arial Narrow"/>
                <w:sz w:val="20"/>
              </w:rPr>
              <w:t>Year 5</w:t>
            </w:r>
          </w:p>
          <w:p w:rsidR="00B4270B" w:rsidRPr="003E7C50" w:rsidRDefault="00B4270B" w:rsidP="00790381">
            <w:pPr>
              <w:pStyle w:val="TableText"/>
              <w:jc w:val="center"/>
              <w:rPr>
                <w:b/>
                <w:szCs w:val="20"/>
              </w:rPr>
            </w:pPr>
            <w:r w:rsidRPr="003E7C50">
              <w:rPr>
                <w:b/>
                <w:szCs w:val="20"/>
              </w:rPr>
              <w:t>2022</w:t>
            </w:r>
          </w:p>
        </w:tc>
        <w:tc>
          <w:tcPr>
            <w:tcW w:w="672" w:type="pct"/>
            <w:vAlign w:val="center"/>
          </w:tcPr>
          <w:p w:rsidR="00B4270B" w:rsidRPr="003E7C50" w:rsidRDefault="00B4270B" w:rsidP="00790381">
            <w:pPr>
              <w:pStyle w:val="TableTextHeading"/>
              <w:keepNext/>
              <w:spacing w:before="0" w:after="0"/>
              <w:rPr>
                <w:rFonts w:ascii="Arial Narrow" w:hAnsi="Arial Narrow"/>
                <w:sz w:val="20"/>
              </w:rPr>
            </w:pPr>
            <w:r w:rsidRPr="003E7C50">
              <w:rPr>
                <w:rFonts w:ascii="Arial Narrow" w:hAnsi="Arial Narrow"/>
                <w:sz w:val="20"/>
              </w:rPr>
              <w:t>Year 6</w:t>
            </w:r>
          </w:p>
          <w:p w:rsidR="00B4270B" w:rsidRPr="003E7C50" w:rsidRDefault="00B4270B" w:rsidP="00790381">
            <w:pPr>
              <w:pStyle w:val="TableText"/>
              <w:jc w:val="center"/>
              <w:rPr>
                <w:b/>
                <w:szCs w:val="20"/>
              </w:rPr>
            </w:pPr>
            <w:r w:rsidRPr="003E7C50">
              <w:rPr>
                <w:b/>
                <w:szCs w:val="20"/>
              </w:rPr>
              <w:t>2023</w:t>
            </w:r>
          </w:p>
        </w:tc>
      </w:tr>
      <w:tr w:rsidR="00B4270B" w:rsidRPr="003E7C50" w:rsidTr="00790381">
        <w:tc>
          <w:tcPr>
            <w:tcW w:w="5000" w:type="pct"/>
            <w:gridSpan w:val="7"/>
            <w:shd w:val="clear" w:color="auto" w:fill="auto"/>
            <w:vAlign w:val="center"/>
          </w:tcPr>
          <w:p w:rsidR="00B4270B" w:rsidRPr="003E7C50" w:rsidRDefault="00B4270B" w:rsidP="00790381">
            <w:pPr>
              <w:pStyle w:val="TableText"/>
              <w:rPr>
                <w:b/>
                <w:bCs/>
                <w:color w:val="000000"/>
                <w:szCs w:val="20"/>
              </w:rPr>
            </w:pPr>
            <w:r w:rsidRPr="003E7C50">
              <w:rPr>
                <w:b/>
                <w:bCs/>
                <w:color w:val="000000"/>
                <w:szCs w:val="20"/>
              </w:rPr>
              <w:t>Estimated extent of use</w:t>
            </w:r>
          </w:p>
        </w:tc>
      </w:tr>
      <w:tr w:rsidR="00B4270B" w:rsidRPr="003E7C50" w:rsidTr="00762A23">
        <w:tc>
          <w:tcPr>
            <w:tcW w:w="983" w:type="pct"/>
            <w:shd w:val="clear" w:color="auto" w:fill="auto"/>
            <w:vAlign w:val="center"/>
          </w:tcPr>
          <w:p w:rsidR="00B4270B" w:rsidRPr="003E7C50" w:rsidRDefault="00B4270B" w:rsidP="00790381">
            <w:pPr>
              <w:pStyle w:val="TableText"/>
              <w:rPr>
                <w:rFonts w:ascii="Times" w:eastAsia="Times New Roman" w:hAnsi="Times" w:cs="Times New Roman"/>
              </w:rPr>
            </w:pPr>
            <w:r w:rsidRPr="003E7C50">
              <w:t>Number of patients treated</w:t>
            </w:r>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72" w:type="pct"/>
            <w:vAlign w:val="center"/>
          </w:tcPr>
          <w:p w:rsidR="00B4270B" w:rsidRPr="00B235DF" w:rsidRDefault="00B235DF" w:rsidP="00790381">
            <w:pPr>
              <w:pStyle w:val="TableText"/>
              <w:jc w:val="center"/>
              <w:rPr>
                <w:szCs w:val="20"/>
                <w:highlight w:val="black"/>
              </w:rPr>
            </w:pPr>
            <w:r>
              <w:rPr>
                <w:noProof/>
                <w:color w:val="000000"/>
                <w:szCs w:val="20"/>
                <w:highlight w:val="black"/>
              </w:rPr>
              <w:t>''''''''''''''</w:t>
            </w:r>
          </w:p>
        </w:tc>
      </w:tr>
      <w:tr w:rsidR="00B4270B" w:rsidRPr="003E7C50" w:rsidTr="00762A23">
        <w:tc>
          <w:tcPr>
            <w:tcW w:w="983" w:type="pct"/>
            <w:shd w:val="clear" w:color="auto" w:fill="auto"/>
            <w:vAlign w:val="center"/>
          </w:tcPr>
          <w:p w:rsidR="00B4270B" w:rsidRPr="003E7C50" w:rsidRDefault="00B4270B" w:rsidP="00790381">
            <w:pPr>
              <w:pStyle w:val="TableText"/>
              <w:rPr>
                <w:rFonts w:ascii="Times" w:eastAsia="Times New Roman" w:hAnsi="Times" w:cs="Times New Roman"/>
              </w:rPr>
            </w:pPr>
            <w:r w:rsidRPr="003E7C50">
              <w:t xml:space="preserve">Number of scripts </w:t>
            </w:r>
            <w:proofErr w:type="spellStart"/>
            <w:r w:rsidRPr="003E7C50">
              <w:t>dispensed</w:t>
            </w:r>
            <w:r w:rsidRPr="003E7C50">
              <w:rPr>
                <w:vertAlign w:val="superscript"/>
              </w:rPr>
              <w:t>a</w:t>
            </w:r>
            <w:proofErr w:type="spellEnd"/>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69" w:type="pct"/>
            <w:shd w:val="clear" w:color="auto" w:fill="auto"/>
            <w:vAlign w:val="center"/>
          </w:tcPr>
          <w:p w:rsidR="00B4270B" w:rsidRPr="00B235DF" w:rsidRDefault="00B235DF" w:rsidP="00790381">
            <w:pPr>
              <w:pStyle w:val="TableText"/>
              <w:jc w:val="center"/>
              <w:rPr>
                <w:highlight w:val="black"/>
              </w:rPr>
            </w:pPr>
            <w:r>
              <w:rPr>
                <w:noProof/>
                <w:color w:val="000000"/>
                <w:highlight w:val="black"/>
              </w:rPr>
              <w:t>'''''''''''''''''</w:t>
            </w:r>
          </w:p>
        </w:tc>
        <w:tc>
          <w:tcPr>
            <w:tcW w:w="672" w:type="pct"/>
            <w:vAlign w:val="center"/>
          </w:tcPr>
          <w:p w:rsidR="00B4270B" w:rsidRPr="00B235DF" w:rsidRDefault="00B235DF" w:rsidP="00790381">
            <w:pPr>
              <w:pStyle w:val="TableText"/>
              <w:jc w:val="center"/>
              <w:rPr>
                <w:szCs w:val="20"/>
                <w:highlight w:val="black"/>
              </w:rPr>
            </w:pPr>
            <w:r>
              <w:rPr>
                <w:noProof/>
                <w:color w:val="000000"/>
                <w:szCs w:val="20"/>
                <w:highlight w:val="black"/>
              </w:rPr>
              <w:t>''''''''''''''''</w:t>
            </w:r>
          </w:p>
        </w:tc>
      </w:tr>
      <w:tr w:rsidR="00B4270B" w:rsidRPr="003E7C50" w:rsidTr="00790381">
        <w:tc>
          <w:tcPr>
            <w:tcW w:w="5000" w:type="pct"/>
            <w:gridSpan w:val="7"/>
            <w:shd w:val="clear" w:color="auto" w:fill="auto"/>
            <w:vAlign w:val="center"/>
          </w:tcPr>
          <w:p w:rsidR="00B4270B" w:rsidRPr="003E7C50" w:rsidRDefault="00B4270B" w:rsidP="00790381">
            <w:pPr>
              <w:pStyle w:val="TableText"/>
              <w:rPr>
                <w:b/>
                <w:bCs/>
                <w:color w:val="000000"/>
                <w:szCs w:val="20"/>
              </w:rPr>
            </w:pPr>
            <w:r w:rsidRPr="003E7C50">
              <w:rPr>
                <w:b/>
                <w:bCs/>
                <w:color w:val="000000"/>
                <w:szCs w:val="20"/>
              </w:rPr>
              <w:t xml:space="preserve">Estimated financial implications of </w:t>
            </w:r>
            <w:proofErr w:type="spellStart"/>
            <w:r w:rsidRPr="003E7C50">
              <w:rPr>
                <w:b/>
                <w:bCs/>
                <w:color w:val="000000"/>
                <w:szCs w:val="20"/>
              </w:rPr>
              <w:t>ribociclib</w:t>
            </w:r>
            <w:proofErr w:type="spellEnd"/>
            <w:r w:rsidRPr="003E7C50">
              <w:rPr>
                <w:b/>
                <w:bCs/>
                <w:color w:val="000000"/>
                <w:szCs w:val="20"/>
              </w:rPr>
              <w:t xml:space="preserve"> alone</w:t>
            </w:r>
          </w:p>
        </w:tc>
      </w:tr>
      <w:tr w:rsidR="00B4270B" w:rsidRPr="003E7C50" w:rsidTr="00762A23">
        <w:tc>
          <w:tcPr>
            <w:tcW w:w="983" w:type="pct"/>
            <w:shd w:val="clear" w:color="auto" w:fill="auto"/>
            <w:vAlign w:val="center"/>
          </w:tcPr>
          <w:p w:rsidR="00B4270B" w:rsidRPr="003E7C50" w:rsidRDefault="00B4270B" w:rsidP="00790381">
            <w:pPr>
              <w:pStyle w:val="TableText"/>
              <w:rPr>
                <w:rFonts w:ascii="Times" w:eastAsia="Times New Roman" w:hAnsi="Times" w:cs="Times New Roman"/>
                <w:szCs w:val="20"/>
              </w:rPr>
            </w:pPr>
            <w:r w:rsidRPr="003E7C50">
              <w:rPr>
                <w:szCs w:val="20"/>
              </w:rPr>
              <w:t>Cost to PBS/RPBS</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72" w:type="pct"/>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r>
      <w:tr w:rsidR="00B4270B" w:rsidRPr="003E7C50" w:rsidTr="00762A23">
        <w:tc>
          <w:tcPr>
            <w:tcW w:w="983" w:type="pct"/>
            <w:shd w:val="clear" w:color="auto" w:fill="auto"/>
            <w:vAlign w:val="center"/>
          </w:tcPr>
          <w:p w:rsidR="00B4270B" w:rsidRPr="003E7C50" w:rsidRDefault="008E07B1" w:rsidP="00790381">
            <w:pPr>
              <w:pStyle w:val="TableText"/>
              <w:rPr>
                <w:szCs w:val="20"/>
              </w:rPr>
            </w:pPr>
            <w:r w:rsidRPr="003E7C50">
              <w:rPr>
                <w:szCs w:val="20"/>
              </w:rPr>
              <w:t>Co-payments</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72" w:type="pct"/>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r>
      <w:tr w:rsidR="00B4270B" w:rsidRPr="003E7C50" w:rsidTr="00762A23">
        <w:tc>
          <w:tcPr>
            <w:tcW w:w="983" w:type="pct"/>
            <w:shd w:val="clear" w:color="auto" w:fill="auto"/>
            <w:vAlign w:val="center"/>
          </w:tcPr>
          <w:p w:rsidR="00B4270B" w:rsidRPr="003E7C50" w:rsidRDefault="00B4270B" w:rsidP="00790381">
            <w:pPr>
              <w:pStyle w:val="TableText"/>
              <w:rPr>
                <w:szCs w:val="20"/>
              </w:rPr>
            </w:pPr>
            <w:r w:rsidRPr="003E7C50">
              <w:rPr>
                <w:szCs w:val="20"/>
              </w:rPr>
              <w:t xml:space="preserve">Cost to PBS/RPBS less </w:t>
            </w:r>
            <w:r w:rsidR="008E07B1" w:rsidRPr="003E7C50">
              <w:rPr>
                <w:szCs w:val="20"/>
              </w:rPr>
              <w:t>co-payments</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72" w:type="pct"/>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r>
      <w:tr w:rsidR="00B4270B" w:rsidRPr="003E7C50" w:rsidTr="00790381">
        <w:tc>
          <w:tcPr>
            <w:tcW w:w="5000" w:type="pct"/>
            <w:gridSpan w:val="7"/>
            <w:shd w:val="clear" w:color="auto" w:fill="auto"/>
            <w:vAlign w:val="center"/>
          </w:tcPr>
          <w:p w:rsidR="00B4270B" w:rsidRPr="003E7C50" w:rsidRDefault="00B4270B" w:rsidP="00790381">
            <w:pPr>
              <w:pStyle w:val="TableText"/>
              <w:rPr>
                <w:bCs/>
                <w:color w:val="000000"/>
                <w:szCs w:val="20"/>
              </w:rPr>
            </w:pPr>
            <w:r w:rsidRPr="003E7C50">
              <w:rPr>
                <w:b/>
                <w:bCs/>
                <w:color w:val="000000"/>
                <w:szCs w:val="20"/>
              </w:rPr>
              <w:t>Estimated financial implications for substituted/additional endocrine therapy</w:t>
            </w:r>
          </w:p>
        </w:tc>
      </w:tr>
      <w:tr w:rsidR="00B4270B" w:rsidRPr="003E7C50" w:rsidTr="00762A23">
        <w:tc>
          <w:tcPr>
            <w:tcW w:w="983" w:type="pct"/>
            <w:shd w:val="clear" w:color="auto" w:fill="auto"/>
            <w:vAlign w:val="center"/>
          </w:tcPr>
          <w:p w:rsidR="00B4270B" w:rsidRPr="003E7C50" w:rsidRDefault="00B4270B" w:rsidP="00790381">
            <w:pPr>
              <w:pStyle w:val="TableText"/>
              <w:rPr>
                <w:szCs w:val="20"/>
              </w:rPr>
            </w:pPr>
            <w:r w:rsidRPr="003E7C50">
              <w:rPr>
                <w:szCs w:val="20"/>
              </w:rPr>
              <w:t>Cost to PBS/RPBS</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72" w:type="pct"/>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r>
      <w:tr w:rsidR="00B4270B" w:rsidRPr="003E7C50" w:rsidTr="00762A23">
        <w:tc>
          <w:tcPr>
            <w:tcW w:w="983" w:type="pct"/>
            <w:shd w:val="clear" w:color="auto" w:fill="auto"/>
            <w:vAlign w:val="center"/>
          </w:tcPr>
          <w:p w:rsidR="00B4270B" w:rsidRPr="003E7C50" w:rsidRDefault="008E07B1" w:rsidP="00790381">
            <w:pPr>
              <w:pStyle w:val="TableText"/>
              <w:rPr>
                <w:szCs w:val="20"/>
              </w:rPr>
            </w:pPr>
            <w:r w:rsidRPr="003E7C50">
              <w:rPr>
                <w:szCs w:val="20"/>
              </w:rPr>
              <w:t>Co-payments</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72" w:type="pct"/>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r>
      <w:tr w:rsidR="00B4270B" w:rsidRPr="003E7C50" w:rsidTr="00762A23">
        <w:tc>
          <w:tcPr>
            <w:tcW w:w="983" w:type="pct"/>
            <w:shd w:val="clear" w:color="auto" w:fill="auto"/>
            <w:vAlign w:val="center"/>
          </w:tcPr>
          <w:p w:rsidR="00B4270B" w:rsidRPr="003E7C50" w:rsidRDefault="00B4270B" w:rsidP="00790381">
            <w:pPr>
              <w:pStyle w:val="TableText"/>
              <w:rPr>
                <w:szCs w:val="20"/>
              </w:rPr>
            </w:pPr>
            <w:r w:rsidRPr="003E7C50">
              <w:rPr>
                <w:szCs w:val="20"/>
              </w:rPr>
              <w:t xml:space="preserve">Cost to PBS/RPBS less </w:t>
            </w:r>
            <w:r w:rsidR="008E07B1" w:rsidRPr="003E7C50">
              <w:rPr>
                <w:szCs w:val="20"/>
              </w:rPr>
              <w:t>co-payments</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c>
          <w:tcPr>
            <w:tcW w:w="672" w:type="pct"/>
            <w:vAlign w:val="center"/>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r>
      <w:tr w:rsidR="00B4270B" w:rsidRPr="003E7C50" w:rsidTr="00790381">
        <w:tc>
          <w:tcPr>
            <w:tcW w:w="5000" w:type="pct"/>
            <w:gridSpan w:val="7"/>
            <w:shd w:val="clear" w:color="auto" w:fill="auto"/>
            <w:vAlign w:val="center"/>
          </w:tcPr>
          <w:p w:rsidR="00B4270B" w:rsidRPr="003E7C50" w:rsidRDefault="00B4270B" w:rsidP="00790381">
            <w:pPr>
              <w:pStyle w:val="TableText"/>
              <w:rPr>
                <w:rFonts w:ascii="Calibri" w:hAnsi="Calibri"/>
                <w:color w:val="000000"/>
                <w:szCs w:val="20"/>
              </w:rPr>
            </w:pPr>
            <w:r w:rsidRPr="003E7C50">
              <w:rPr>
                <w:b/>
                <w:bCs/>
                <w:color w:val="000000"/>
                <w:szCs w:val="20"/>
              </w:rPr>
              <w:t xml:space="preserve">Estimated financial implications to MBS for monitoring of </w:t>
            </w:r>
            <w:proofErr w:type="spellStart"/>
            <w:r w:rsidRPr="003E7C50">
              <w:rPr>
                <w:b/>
                <w:bCs/>
                <w:color w:val="000000"/>
                <w:szCs w:val="20"/>
              </w:rPr>
              <w:t>ribociclib</w:t>
            </w:r>
            <w:proofErr w:type="spellEnd"/>
            <w:r w:rsidRPr="003E7C50">
              <w:rPr>
                <w:b/>
                <w:bCs/>
                <w:color w:val="000000"/>
                <w:szCs w:val="20"/>
              </w:rPr>
              <w:t xml:space="preserve"> use</w:t>
            </w:r>
          </w:p>
        </w:tc>
      </w:tr>
      <w:tr w:rsidR="00B4270B" w:rsidRPr="003E7C50" w:rsidTr="00762A23">
        <w:tc>
          <w:tcPr>
            <w:tcW w:w="983" w:type="pct"/>
            <w:shd w:val="clear" w:color="auto" w:fill="auto"/>
            <w:vAlign w:val="center"/>
          </w:tcPr>
          <w:p w:rsidR="00B4270B" w:rsidRPr="003E7C50" w:rsidRDefault="00B4270B" w:rsidP="00790381">
            <w:pPr>
              <w:pStyle w:val="TableText"/>
              <w:rPr>
                <w:sz w:val="19"/>
                <w:szCs w:val="19"/>
              </w:rPr>
            </w:pPr>
            <w:r w:rsidRPr="003E7C50">
              <w:rPr>
                <w:sz w:val="19"/>
                <w:szCs w:val="19"/>
              </w:rPr>
              <w:t>Cost to MBS</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72" w:type="pct"/>
            <w:vAlign w:val="bottom"/>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r>
      <w:tr w:rsidR="00B4270B" w:rsidRPr="003E7C50" w:rsidTr="00790381">
        <w:tc>
          <w:tcPr>
            <w:tcW w:w="5000" w:type="pct"/>
            <w:gridSpan w:val="7"/>
            <w:shd w:val="clear" w:color="auto" w:fill="auto"/>
            <w:vAlign w:val="center"/>
          </w:tcPr>
          <w:p w:rsidR="00B4270B" w:rsidRPr="003E7C50" w:rsidRDefault="00B4270B" w:rsidP="00790381">
            <w:pPr>
              <w:pStyle w:val="TableText"/>
              <w:rPr>
                <w:color w:val="000000"/>
                <w:szCs w:val="20"/>
              </w:rPr>
            </w:pPr>
            <w:r w:rsidRPr="003E7C50">
              <w:rPr>
                <w:b/>
                <w:bCs/>
                <w:color w:val="000000"/>
                <w:szCs w:val="20"/>
              </w:rPr>
              <w:t>Overall net financial implications to the Australian Government health budget</w:t>
            </w:r>
          </w:p>
        </w:tc>
      </w:tr>
      <w:tr w:rsidR="00B4270B" w:rsidRPr="003E7C50" w:rsidTr="00762A23">
        <w:tc>
          <w:tcPr>
            <w:tcW w:w="983" w:type="pct"/>
            <w:shd w:val="clear" w:color="auto" w:fill="auto"/>
            <w:vAlign w:val="center"/>
          </w:tcPr>
          <w:p w:rsidR="00B4270B" w:rsidRPr="003E7C50" w:rsidRDefault="00B4270B" w:rsidP="00790381">
            <w:pPr>
              <w:pStyle w:val="TableText"/>
              <w:rPr>
                <w:sz w:val="19"/>
                <w:szCs w:val="19"/>
              </w:rPr>
            </w:pPr>
            <w:r w:rsidRPr="003E7C50">
              <w:rPr>
                <w:sz w:val="19"/>
                <w:szCs w:val="19"/>
              </w:rPr>
              <w:t>Net cost to PBS/RPBS</w:t>
            </w:r>
          </w:p>
        </w:tc>
        <w:tc>
          <w:tcPr>
            <w:tcW w:w="669" w:type="pct"/>
            <w:shd w:val="clear" w:color="auto" w:fill="auto"/>
            <w:vAlign w:val="center"/>
          </w:tcPr>
          <w:p w:rsidR="00B4270B" w:rsidRPr="003E7C50" w:rsidRDefault="00B4270B" w:rsidP="00790381">
            <w:pPr>
              <w:pStyle w:val="TableText"/>
              <w:jc w:val="center"/>
            </w:pPr>
            <w:r w:rsidRPr="003E7C50">
              <w:rPr>
                <w:bCs/>
                <w:color w:val="000000"/>
                <w:szCs w:val="20"/>
              </w:rPr>
              <w:t>$</w:t>
            </w:r>
            <w:r w:rsidR="00B235DF">
              <w:rPr>
                <w:bCs/>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pPr>
            <w:r w:rsidRPr="003E7C50">
              <w:rPr>
                <w:bCs/>
                <w:color w:val="000000"/>
                <w:szCs w:val="20"/>
              </w:rPr>
              <w:t>$</w:t>
            </w:r>
            <w:r w:rsidR="00B235DF">
              <w:rPr>
                <w:bCs/>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pPr>
            <w:r w:rsidRPr="003E7C50">
              <w:rPr>
                <w:bCs/>
                <w:color w:val="000000"/>
                <w:szCs w:val="20"/>
              </w:rPr>
              <w:t>$</w:t>
            </w:r>
            <w:r w:rsidR="00B235DF">
              <w:rPr>
                <w:bCs/>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pPr>
            <w:r w:rsidRPr="003E7C50">
              <w:rPr>
                <w:bCs/>
                <w:color w:val="000000"/>
                <w:szCs w:val="20"/>
              </w:rPr>
              <w:t>$</w:t>
            </w:r>
            <w:r w:rsidR="00B235DF">
              <w:rPr>
                <w:bCs/>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pPr>
            <w:r w:rsidRPr="003E7C50">
              <w:rPr>
                <w:bCs/>
                <w:color w:val="000000"/>
                <w:szCs w:val="20"/>
              </w:rPr>
              <w:t>$</w:t>
            </w:r>
            <w:r w:rsidR="00B235DF">
              <w:rPr>
                <w:bCs/>
                <w:noProof/>
                <w:color w:val="000000"/>
                <w:szCs w:val="20"/>
                <w:highlight w:val="black"/>
              </w:rPr>
              <w:t>'''''''''''''''''''''''''''''</w:t>
            </w:r>
          </w:p>
        </w:tc>
        <w:tc>
          <w:tcPr>
            <w:tcW w:w="672" w:type="pct"/>
            <w:vAlign w:val="center"/>
          </w:tcPr>
          <w:p w:rsidR="00B4270B" w:rsidRPr="003E7C50" w:rsidRDefault="00B4270B" w:rsidP="00790381">
            <w:pPr>
              <w:pStyle w:val="TableText"/>
              <w:jc w:val="center"/>
              <w:rPr>
                <w:szCs w:val="20"/>
              </w:rPr>
            </w:pPr>
            <w:r w:rsidRPr="003E7C50">
              <w:rPr>
                <w:bCs/>
                <w:color w:val="000000"/>
                <w:szCs w:val="20"/>
              </w:rPr>
              <w:t>$</w:t>
            </w:r>
            <w:r w:rsidR="00B235DF">
              <w:rPr>
                <w:bCs/>
                <w:noProof/>
                <w:color w:val="000000"/>
                <w:szCs w:val="20"/>
                <w:highlight w:val="black"/>
              </w:rPr>
              <w:t>'''''''''''''''''''''''''''</w:t>
            </w:r>
          </w:p>
        </w:tc>
      </w:tr>
      <w:tr w:rsidR="00B4270B" w:rsidRPr="003E7C50" w:rsidTr="00762A23">
        <w:tc>
          <w:tcPr>
            <w:tcW w:w="983" w:type="pct"/>
            <w:shd w:val="clear" w:color="auto" w:fill="auto"/>
            <w:vAlign w:val="center"/>
          </w:tcPr>
          <w:p w:rsidR="00B4270B" w:rsidRPr="003E7C50" w:rsidRDefault="00B4270B" w:rsidP="00790381">
            <w:pPr>
              <w:pStyle w:val="TableText"/>
              <w:rPr>
                <w:rFonts w:ascii="Times" w:eastAsia="Times New Roman" w:hAnsi="Times" w:cs="Times New Roman"/>
              </w:rPr>
            </w:pPr>
            <w:r w:rsidRPr="003E7C50">
              <w:rPr>
                <w:sz w:val="19"/>
                <w:szCs w:val="19"/>
              </w:rPr>
              <w:t>Net cost to MBS</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69" w:type="pct"/>
            <w:shd w:val="clear" w:color="auto" w:fill="auto"/>
            <w:vAlign w:val="bottom"/>
          </w:tcPr>
          <w:p w:rsidR="00B4270B" w:rsidRPr="003E7C50" w:rsidRDefault="00B4270B" w:rsidP="00790381">
            <w:pPr>
              <w:pStyle w:val="TableText"/>
              <w:jc w:val="center"/>
            </w:pPr>
            <w:r w:rsidRPr="003E7C50">
              <w:t>$</w:t>
            </w:r>
            <w:r w:rsidR="00B235DF">
              <w:rPr>
                <w:noProof/>
                <w:color w:val="000000"/>
                <w:highlight w:val="black"/>
              </w:rPr>
              <w:t>''''''''''''''''''''''</w:t>
            </w:r>
          </w:p>
        </w:tc>
        <w:tc>
          <w:tcPr>
            <w:tcW w:w="672" w:type="pct"/>
            <w:vAlign w:val="bottom"/>
          </w:tcPr>
          <w:p w:rsidR="00B4270B" w:rsidRPr="003E7C50" w:rsidRDefault="00B4270B" w:rsidP="00790381">
            <w:pPr>
              <w:pStyle w:val="TableText"/>
              <w:jc w:val="center"/>
              <w:rPr>
                <w:szCs w:val="20"/>
              </w:rPr>
            </w:pPr>
            <w:r w:rsidRPr="003E7C50">
              <w:rPr>
                <w:szCs w:val="20"/>
              </w:rPr>
              <w:t>$</w:t>
            </w:r>
            <w:r w:rsidR="00B235DF">
              <w:rPr>
                <w:noProof/>
                <w:color w:val="000000"/>
                <w:szCs w:val="20"/>
                <w:highlight w:val="black"/>
              </w:rPr>
              <w:t>'''''''''''''''''''''''</w:t>
            </w:r>
          </w:p>
        </w:tc>
      </w:tr>
      <w:tr w:rsidR="00B4270B" w:rsidRPr="003E7C50" w:rsidTr="00762A23">
        <w:tc>
          <w:tcPr>
            <w:tcW w:w="983" w:type="pct"/>
            <w:shd w:val="clear" w:color="auto" w:fill="auto"/>
            <w:vAlign w:val="center"/>
          </w:tcPr>
          <w:p w:rsidR="00B4270B" w:rsidRPr="003E7C50" w:rsidRDefault="00B4270B" w:rsidP="00790381">
            <w:pPr>
              <w:pStyle w:val="TableText"/>
              <w:rPr>
                <w:sz w:val="19"/>
                <w:szCs w:val="19"/>
              </w:rPr>
            </w:pPr>
            <w:r w:rsidRPr="003E7C50">
              <w:rPr>
                <w:sz w:val="19"/>
                <w:szCs w:val="19"/>
              </w:rPr>
              <w:t>Net cost to Australian Government</w:t>
            </w:r>
          </w:p>
        </w:tc>
        <w:tc>
          <w:tcPr>
            <w:tcW w:w="669" w:type="pct"/>
            <w:shd w:val="clear" w:color="auto" w:fill="auto"/>
            <w:vAlign w:val="center"/>
          </w:tcPr>
          <w:p w:rsidR="00B4270B" w:rsidRPr="003E7C50" w:rsidRDefault="00B4270B" w:rsidP="00790381">
            <w:pPr>
              <w:pStyle w:val="TableText"/>
              <w:jc w:val="center"/>
            </w:pPr>
            <w:r w:rsidRPr="003E7C50">
              <w:rPr>
                <w:bCs/>
                <w:iCs/>
                <w:color w:val="000000"/>
                <w:szCs w:val="20"/>
              </w:rPr>
              <w:t>$</w:t>
            </w:r>
            <w:r w:rsidR="00B235DF">
              <w:rPr>
                <w:bCs/>
                <w:iCs/>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pPr>
            <w:r w:rsidRPr="003E7C50">
              <w:rPr>
                <w:bCs/>
                <w:iCs/>
                <w:color w:val="000000"/>
                <w:szCs w:val="20"/>
              </w:rPr>
              <w:t>$</w:t>
            </w:r>
            <w:r w:rsidR="00B235DF">
              <w:rPr>
                <w:bCs/>
                <w:iCs/>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pPr>
            <w:r w:rsidRPr="003E7C50">
              <w:rPr>
                <w:bCs/>
                <w:iCs/>
                <w:color w:val="000000"/>
                <w:szCs w:val="20"/>
              </w:rPr>
              <w:t>$</w:t>
            </w:r>
            <w:r w:rsidR="00B235DF">
              <w:rPr>
                <w:bCs/>
                <w:iCs/>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pPr>
            <w:r w:rsidRPr="003E7C50">
              <w:rPr>
                <w:bCs/>
                <w:iCs/>
                <w:color w:val="000000"/>
                <w:szCs w:val="20"/>
              </w:rPr>
              <w:t>$</w:t>
            </w:r>
            <w:r w:rsidR="00B235DF">
              <w:rPr>
                <w:bCs/>
                <w:iCs/>
                <w:noProof/>
                <w:color w:val="000000"/>
                <w:szCs w:val="20"/>
                <w:highlight w:val="black"/>
              </w:rPr>
              <w:t>'''''''''''''''''''''''''''''''</w:t>
            </w:r>
          </w:p>
        </w:tc>
        <w:tc>
          <w:tcPr>
            <w:tcW w:w="669" w:type="pct"/>
            <w:shd w:val="clear" w:color="auto" w:fill="auto"/>
            <w:vAlign w:val="center"/>
          </w:tcPr>
          <w:p w:rsidR="00B4270B" w:rsidRPr="003E7C50" w:rsidRDefault="00B4270B" w:rsidP="00790381">
            <w:pPr>
              <w:pStyle w:val="TableText"/>
              <w:jc w:val="center"/>
            </w:pPr>
            <w:r w:rsidRPr="003E7C50">
              <w:rPr>
                <w:bCs/>
                <w:iCs/>
                <w:color w:val="000000"/>
                <w:szCs w:val="20"/>
              </w:rPr>
              <w:t>$</w:t>
            </w:r>
            <w:r w:rsidR="00B235DF">
              <w:rPr>
                <w:bCs/>
                <w:iCs/>
                <w:noProof/>
                <w:color w:val="000000"/>
                <w:szCs w:val="20"/>
                <w:highlight w:val="black"/>
              </w:rPr>
              <w:t>'''''''''''''''''''''''''''</w:t>
            </w:r>
          </w:p>
        </w:tc>
        <w:tc>
          <w:tcPr>
            <w:tcW w:w="672" w:type="pct"/>
            <w:vAlign w:val="center"/>
          </w:tcPr>
          <w:p w:rsidR="00B4270B" w:rsidRPr="003E7C50" w:rsidRDefault="00B4270B" w:rsidP="00790381">
            <w:pPr>
              <w:pStyle w:val="TableText"/>
              <w:jc w:val="center"/>
              <w:rPr>
                <w:szCs w:val="20"/>
              </w:rPr>
            </w:pPr>
            <w:r w:rsidRPr="003E7C50">
              <w:rPr>
                <w:bCs/>
                <w:iCs/>
                <w:color w:val="000000"/>
                <w:szCs w:val="20"/>
              </w:rPr>
              <w:t>$</w:t>
            </w:r>
            <w:r w:rsidR="00B235DF">
              <w:rPr>
                <w:bCs/>
                <w:iCs/>
                <w:noProof/>
                <w:color w:val="000000"/>
                <w:szCs w:val="20"/>
                <w:highlight w:val="black"/>
              </w:rPr>
              <w:t>'''''''''''''''''''''''''''</w:t>
            </w:r>
          </w:p>
        </w:tc>
      </w:tr>
    </w:tbl>
    <w:p w:rsidR="00B4270B" w:rsidRPr="003E7C50" w:rsidRDefault="00B4270B" w:rsidP="00B4270B">
      <w:pPr>
        <w:pStyle w:val="TableFooter"/>
        <w:widowControl/>
      </w:pPr>
      <w:proofErr w:type="spellStart"/>
      <w:proofErr w:type="gramStart"/>
      <w:r w:rsidRPr="003E7C50">
        <w:rPr>
          <w:vertAlign w:val="superscript"/>
        </w:rPr>
        <w:t>a</w:t>
      </w:r>
      <w:proofErr w:type="spellEnd"/>
      <w:proofErr w:type="gramEnd"/>
      <w:r w:rsidRPr="003E7C50">
        <w:t xml:space="preserve"> Assuming </w:t>
      </w:r>
      <w:r w:rsidR="00B235DF">
        <w:rPr>
          <w:noProof/>
          <w:color w:val="000000"/>
          <w:highlight w:val="black"/>
        </w:rPr>
        <w:t>'''''''''''</w:t>
      </w:r>
      <w:r w:rsidRPr="003E7C50">
        <w:t xml:space="preserve"> scripts per year as estimated by the submission.</w:t>
      </w:r>
    </w:p>
    <w:p w:rsidR="00B4270B" w:rsidRDefault="00B4270B" w:rsidP="00B4270B">
      <w:pPr>
        <w:pStyle w:val="TableFooter"/>
        <w:widowControl/>
      </w:pPr>
      <w:r w:rsidRPr="003E7C50">
        <w:t xml:space="preserve">Source: As calculated based on figures provided in Section 4 Workshop, tab 3b, 3c and 6. </w:t>
      </w:r>
    </w:p>
    <w:p w:rsidR="000A0EA7" w:rsidRPr="003E7C50" w:rsidRDefault="000A0EA7" w:rsidP="00B4270B">
      <w:pPr>
        <w:pStyle w:val="TableFooter"/>
        <w:widowControl/>
      </w:pPr>
    </w:p>
    <w:p w:rsidR="009E007D" w:rsidRPr="003E7C50" w:rsidRDefault="00832905" w:rsidP="00052826">
      <w:pPr>
        <w:pStyle w:val="ListParagraph"/>
      </w:pPr>
      <w:r w:rsidRPr="003E7C50">
        <w:t xml:space="preserve">The submission estimated that at year six, the number of patients would be </w:t>
      </w:r>
      <w:r w:rsidR="003058CF" w:rsidRPr="003058CF">
        <w:t>less than 10,000</w:t>
      </w:r>
      <w:r w:rsidR="00583B4E">
        <w:t xml:space="preserve"> </w:t>
      </w:r>
      <w:r w:rsidRPr="003E7C50">
        <w:t xml:space="preserve">and the net cost to PBS would be </w:t>
      </w:r>
      <w:r w:rsidR="00687AF4" w:rsidRPr="00687AF4">
        <w:rPr>
          <w:rFonts w:cs="Arial"/>
          <w:color w:val="000000" w:themeColor="text1"/>
        </w:rPr>
        <w:t>more than $100 million</w:t>
      </w:r>
      <w:r w:rsidR="003409BB">
        <w:rPr>
          <w:rFonts w:cs="Arial"/>
          <w:color w:val="000000" w:themeColor="text1"/>
        </w:rPr>
        <w:t xml:space="preserve"> per year</w:t>
      </w:r>
      <w:r w:rsidR="00687AF4" w:rsidRPr="00687AF4">
        <w:rPr>
          <w:rFonts w:cs="Arial"/>
          <w:color w:val="000000" w:themeColor="text1"/>
        </w:rPr>
        <w:t xml:space="preserve"> </w:t>
      </w:r>
      <w:r w:rsidR="001F516E" w:rsidRPr="003E7C50">
        <w:rPr>
          <w:rFonts w:cs="Arial"/>
          <w:color w:val="000000" w:themeColor="text1"/>
        </w:rPr>
        <w:t xml:space="preserve">(a total of </w:t>
      </w:r>
      <w:r w:rsidR="00052826">
        <w:rPr>
          <w:rFonts w:cs="Arial"/>
          <w:color w:val="000000" w:themeColor="text1"/>
        </w:rPr>
        <w:t>substantially more than $100 million</w:t>
      </w:r>
      <w:r w:rsidRPr="003E7C50">
        <w:rPr>
          <w:rFonts w:cs="Arial"/>
          <w:color w:val="000000" w:themeColor="text1"/>
        </w:rPr>
        <w:t xml:space="preserve"> over the first six years of listing). </w:t>
      </w:r>
      <w:r w:rsidR="001F516E" w:rsidRPr="003E7C50">
        <w:rPr>
          <w:rFonts w:cs="Arial"/>
          <w:color w:val="000000" w:themeColor="text1"/>
        </w:rPr>
        <w:t>The PSCR (p.4) presented revised financial estimates</w:t>
      </w:r>
      <w:r w:rsidR="00C8388D" w:rsidRPr="003E7C50">
        <w:t xml:space="preserve"> incorporating a change to the eligible population due to the </w:t>
      </w:r>
      <w:r w:rsidR="005D4B20" w:rsidRPr="003E7C50">
        <w:t xml:space="preserve">updated </w:t>
      </w:r>
      <w:r w:rsidR="00C8388D" w:rsidRPr="003E7C50">
        <w:t>restriction</w:t>
      </w:r>
      <w:r w:rsidR="005D4B20" w:rsidRPr="003E7C50">
        <w:t xml:space="preserve"> criteria</w:t>
      </w:r>
      <w:r w:rsidR="001F516E" w:rsidRPr="003E7C50">
        <w:t>, which reduced the overall financial impact to the PBS to</w:t>
      </w:r>
      <w:r w:rsidR="00052826" w:rsidRPr="00052826">
        <w:t xml:space="preserve"> </w:t>
      </w:r>
      <w:r w:rsidR="001F20BE">
        <w:t xml:space="preserve">substantially </w:t>
      </w:r>
      <w:r w:rsidR="00052826" w:rsidRPr="00052826">
        <w:rPr>
          <w:rFonts w:cs="Arial"/>
          <w:color w:val="000000" w:themeColor="text1"/>
        </w:rPr>
        <w:t xml:space="preserve">more than $100 million </w:t>
      </w:r>
      <w:r w:rsidR="001F516E" w:rsidRPr="003E7C50">
        <w:rPr>
          <w:rFonts w:cs="Arial"/>
          <w:color w:val="000000" w:themeColor="text1"/>
        </w:rPr>
        <w:t>over the first six years of listing.</w:t>
      </w:r>
      <w:r w:rsidR="00C8388D" w:rsidRPr="003E7C50">
        <w:t xml:space="preserve"> </w:t>
      </w:r>
    </w:p>
    <w:p w:rsidR="009E007D" w:rsidRPr="003E7C50" w:rsidRDefault="00127A29" w:rsidP="008B1902">
      <w:pPr>
        <w:pStyle w:val="ListParagraph"/>
        <w:rPr>
          <w:rFonts w:cs="Arial"/>
          <w:b/>
          <w:color w:val="000000" w:themeColor="text1"/>
        </w:rPr>
      </w:pPr>
      <w:r w:rsidRPr="003E7C50">
        <w:rPr>
          <w:rFonts w:cs="Arial"/>
          <w:color w:val="000000" w:themeColor="text1"/>
        </w:rPr>
        <w:t xml:space="preserve">The DUSC considered </w:t>
      </w:r>
      <w:r w:rsidR="001F516E" w:rsidRPr="003E7C50">
        <w:rPr>
          <w:rFonts w:cs="Arial"/>
          <w:color w:val="000000" w:themeColor="text1"/>
        </w:rPr>
        <w:t xml:space="preserve">that the PSCR estimates </w:t>
      </w:r>
      <w:r w:rsidR="009E007D" w:rsidRPr="003E7C50">
        <w:rPr>
          <w:rFonts w:cs="Arial"/>
          <w:color w:val="000000" w:themeColor="text1"/>
        </w:rPr>
        <w:t>w</w:t>
      </w:r>
      <w:r w:rsidR="001F516E" w:rsidRPr="003E7C50">
        <w:rPr>
          <w:rFonts w:cs="Arial"/>
          <w:color w:val="000000" w:themeColor="text1"/>
        </w:rPr>
        <w:t>ere</w:t>
      </w:r>
      <w:r w:rsidR="009E007D" w:rsidRPr="003E7C50">
        <w:rPr>
          <w:rFonts w:cs="Arial"/>
          <w:color w:val="000000" w:themeColor="text1"/>
        </w:rPr>
        <w:t xml:space="preserve"> likely to be overestimate</w:t>
      </w:r>
      <w:r w:rsidR="001F516E" w:rsidRPr="003E7C50">
        <w:rPr>
          <w:rFonts w:cs="Arial"/>
          <w:color w:val="000000" w:themeColor="text1"/>
        </w:rPr>
        <w:t>d</w:t>
      </w:r>
      <w:r w:rsidR="00E97FD6" w:rsidRPr="003E7C50">
        <w:rPr>
          <w:rFonts w:cs="Arial"/>
          <w:color w:val="000000" w:themeColor="text1"/>
        </w:rPr>
        <w:t>,</w:t>
      </w:r>
      <w:r w:rsidR="009E007D" w:rsidRPr="003E7C50">
        <w:rPr>
          <w:rFonts w:cs="Arial"/>
          <w:color w:val="000000" w:themeColor="text1"/>
        </w:rPr>
        <w:t xml:space="preserve"> as: </w:t>
      </w:r>
    </w:p>
    <w:p w:rsidR="008C2C1D" w:rsidRPr="003E7C50" w:rsidRDefault="009E007D" w:rsidP="008B1902">
      <w:pPr>
        <w:pStyle w:val="ListParagraph"/>
        <w:numPr>
          <w:ilvl w:val="3"/>
          <w:numId w:val="3"/>
        </w:numPr>
        <w:ind w:hanging="371"/>
      </w:pPr>
      <w:r w:rsidRPr="003E7C50">
        <w:t>The assumption for the annual growth in the eligible population (</w:t>
      </w:r>
      <w:r w:rsidR="00B235DF">
        <w:rPr>
          <w:noProof/>
          <w:color w:val="000000"/>
          <w:highlight w:val="black"/>
        </w:rPr>
        <w:t>'''''</w:t>
      </w:r>
      <w:r w:rsidRPr="003E7C50">
        <w:t xml:space="preserve">%) was a likely overestimate. It was based on the uptake of </w:t>
      </w:r>
      <w:proofErr w:type="spellStart"/>
      <w:r w:rsidR="003A4FAF" w:rsidRPr="003E7C50">
        <w:t>letrozole</w:t>
      </w:r>
      <w:proofErr w:type="spellEnd"/>
      <w:r w:rsidR="003A4FAF" w:rsidRPr="003E7C50">
        <w:t xml:space="preserve"> that</w:t>
      </w:r>
      <w:r w:rsidRPr="003E7C50">
        <w:t xml:space="preserve"> is used to treat a wider range of cancers than </w:t>
      </w:r>
      <w:proofErr w:type="spellStart"/>
      <w:r w:rsidRPr="003E7C50">
        <w:t>ribociclib</w:t>
      </w:r>
      <w:proofErr w:type="spellEnd"/>
      <w:r w:rsidR="008C2C1D" w:rsidRPr="003E7C50">
        <w:t>.</w:t>
      </w:r>
    </w:p>
    <w:p w:rsidR="009E007D" w:rsidRPr="003E7C50" w:rsidRDefault="009E007D" w:rsidP="008B1902">
      <w:pPr>
        <w:pStyle w:val="ListParagraph"/>
        <w:numPr>
          <w:ilvl w:val="3"/>
          <w:numId w:val="3"/>
        </w:numPr>
        <w:ind w:hanging="371"/>
      </w:pPr>
      <w:r w:rsidRPr="003E7C50">
        <w:t xml:space="preserve">The uptake rate of </w:t>
      </w:r>
      <w:r w:rsidR="00B235DF">
        <w:rPr>
          <w:noProof/>
          <w:color w:val="000000"/>
          <w:highlight w:val="black"/>
        </w:rPr>
        <w:t>''''''</w:t>
      </w:r>
      <w:r w:rsidRPr="003E7C50">
        <w:t>% was considered to be high and uncertain as there was a lack of detail on the clinical expert opinion that was sought by the submission to inform this assumption.</w:t>
      </w:r>
      <w:r w:rsidR="000A5360" w:rsidRPr="003E7C50">
        <w:t xml:space="preserve"> </w:t>
      </w:r>
    </w:p>
    <w:p w:rsidR="009E007D" w:rsidRPr="003E7C50" w:rsidRDefault="009E007D" w:rsidP="008B1902">
      <w:pPr>
        <w:pStyle w:val="ListParagraph"/>
        <w:numPr>
          <w:ilvl w:val="3"/>
          <w:numId w:val="3"/>
        </w:numPr>
        <w:ind w:hanging="371"/>
      </w:pPr>
      <w:r w:rsidRPr="003E7C50">
        <w:t>The estimate of the number of prescriptions per patient per year (</w:t>
      </w:r>
      <w:r w:rsidR="00B235DF">
        <w:rPr>
          <w:noProof/>
          <w:color w:val="000000"/>
          <w:highlight w:val="black"/>
        </w:rPr>
        <w:t>'''''''''</w:t>
      </w:r>
      <w:r w:rsidRPr="003E7C50">
        <w:t>) was uncertain as it was based on interim results for the mean relative dose intensity from the MONALESSA-2 trial. The dose intensity in practice may differ to that observed in the clinical trial.</w:t>
      </w:r>
    </w:p>
    <w:p w:rsidR="003C1685" w:rsidRPr="003E7C50" w:rsidRDefault="003C1685" w:rsidP="008B1902">
      <w:pPr>
        <w:pStyle w:val="ListParagraph"/>
        <w:numPr>
          <w:ilvl w:val="3"/>
          <w:numId w:val="3"/>
        </w:numPr>
        <w:ind w:hanging="371"/>
      </w:pPr>
      <w:r w:rsidRPr="003E7C50">
        <w:t xml:space="preserve">Under the proposed TGA indication, </w:t>
      </w:r>
      <w:proofErr w:type="spellStart"/>
      <w:r w:rsidRPr="003E7C50">
        <w:t>ribociclib</w:t>
      </w:r>
      <w:proofErr w:type="spellEnd"/>
      <w:r w:rsidRPr="003E7C50">
        <w:t xml:space="preserve"> plus </w:t>
      </w:r>
      <w:proofErr w:type="spellStart"/>
      <w:r w:rsidRPr="003E7C50">
        <w:t>letrozole</w:t>
      </w:r>
      <w:proofErr w:type="spellEnd"/>
      <w:r w:rsidRPr="003E7C50">
        <w:t xml:space="preserve"> is intended for use as an initial endocrine-based therapy. There is a risk of use in people who have previously been treated, or are currently being treated, with </w:t>
      </w:r>
      <w:proofErr w:type="spellStart"/>
      <w:r w:rsidRPr="003E7C50">
        <w:t>letrozole</w:t>
      </w:r>
      <w:proofErr w:type="spellEnd"/>
      <w:r w:rsidRPr="003E7C50">
        <w:t xml:space="preserve"> and </w:t>
      </w:r>
      <w:proofErr w:type="spellStart"/>
      <w:r w:rsidRPr="003E7C50">
        <w:t>anastrozole</w:t>
      </w:r>
      <w:proofErr w:type="spellEnd"/>
      <w:r w:rsidRPr="003E7C50">
        <w:t xml:space="preserve"> at the time of </w:t>
      </w:r>
      <w:proofErr w:type="spellStart"/>
      <w:r w:rsidRPr="003E7C50">
        <w:t>ribociclib’s</w:t>
      </w:r>
      <w:proofErr w:type="spellEnd"/>
      <w:r w:rsidRPr="003E7C50">
        <w:t xml:space="preserve"> listing. This issue is likely to be most relevant for the first year of listing.</w:t>
      </w:r>
    </w:p>
    <w:p w:rsidR="009E007D" w:rsidRPr="003E7C50" w:rsidRDefault="009E007D" w:rsidP="008B1902">
      <w:pPr>
        <w:pStyle w:val="ListParagraph"/>
        <w:numPr>
          <w:ilvl w:val="3"/>
          <w:numId w:val="3"/>
        </w:numPr>
        <w:ind w:hanging="371"/>
      </w:pPr>
      <w:r w:rsidRPr="003E7C50">
        <w:t xml:space="preserve">There is a risk of continued use of </w:t>
      </w:r>
      <w:proofErr w:type="spellStart"/>
      <w:r w:rsidRPr="003E7C50">
        <w:t>ribociclib</w:t>
      </w:r>
      <w:proofErr w:type="spellEnd"/>
      <w:r w:rsidRPr="003E7C50">
        <w:t xml:space="preserve"> following disease progression as the continuation criteria is not based on an objective measure.</w:t>
      </w:r>
    </w:p>
    <w:p w:rsidR="00B4270B" w:rsidRPr="003E7C50" w:rsidRDefault="009E007D" w:rsidP="008B1902">
      <w:pPr>
        <w:pStyle w:val="ListParagraph"/>
        <w:numPr>
          <w:ilvl w:val="3"/>
          <w:numId w:val="3"/>
        </w:numPr>
        <w:ind w:hanging="371"/>
      </w:pPr>
      <w:r w:rsidRPr="003E7C50">
        <w:t xml:space="preserve">Additional medicine costs to treat adverse events associated with </w:t>
      </w:r>
      <w:proofErr w:type="spellStart"/>
      <w:r w:rsidRPr="003E7C50">
        <w:t>ribociclib</w:t>
      </w:r>
      <w:proofErr w:type="spellEnd"/>
      <w:r w:rsidRPr="003E7C50">
        <w:t xml:space="preserve"> were not included.</w:t>
      </w:r>
    </w:p>
    <w:p w:rsidR="00FC66E5" w:rsidRPr="003E7C50" w:rsidRDefault="00FC66E5" w:rsidP="00FC66E5">
      <w:pPr>
        <w:pStyle w:val="ListParagraph"/>
      </w:pPr>
      <w:r w:rsidRPr="003E7C50">
        <w:t xml:space="preserve">The Pre-PBAC response (p.4) reiterated that the financial estimates for </w:t>
      </w:r>
      <w:proofErr w:type="spellStart"/>
      <w:r w:rsidRPr="003E7C50">
        <w:t>ribociclib</w:t>
      </w:r>
      <w:proofErr w:type="spellEnd"/>
      <w:r w:rsidRPr="003E7C50">
        <w:t xml:space="preserve"> assum</w:t>
      </w:r>
      <w:r>
        <w:t>ed</w:t>
      </w:r>
      <w:r w:rsidRPr="003E7C50">
        <w:t xml:space="preserve"> </w:t>
      </w:r>
      <w:proofErr w:type="spellStart"/>
      <w:r w:rsidRPr="003E7C50">
        <w:t>palbociclib</w:t>
      </w:r>
      <w:proofErr w:type="spellEnd"/>
      <w:r w:rsidRPr="003E7C50">
        <w:t xml:space="preserve"> was not reimbursed and therefore constituted the whole CDK </w:t>
      </w:r>
      <w:r>
        <w:t xml:space="preserve">4/6 inhibitor </w:t>
      </w:r>
      <w:r w:rsidRPr="003E7C50">
        <w:t>market</w:t>
      </w:r>
      <w:r>
        <w:t>,</w:t>
      </w:r>
      <w:r w:rsidRPr="003E7C50">
        <w:t xml:space="preserve"> in the event that </w:t>
      </w:r>
      <w:proofErr w:type="spellStart"/>
      <w:r w:rsidRPr="003E7C50">
        <w:t>palbociclib</w:t>
      </w:r>
      <w:proofErr w:type="spellEnd"/>
      <w:r w:rsidRPr="003E7C50">
        <w:t xml:space="preserve"> was accepted for reimbursement on a cost minimisation basis to </w:t>
      </w:r>
      <w:proofErr w:type="spellStart"/>
      <w:r w:rsidRPr="003E7C50">
        <w:t>ribociclib</w:t>
      </w:r>
      <w:proofErr w:type="spellEnd"/>
      <w:r w:rsidRPr="003E7C50">
        <w:t xml:space="preserve"> (or vice versa). </w:t>
      </w:r>
    </w:p>
    <w:p w:rsidR="004673A6" w:rsidRPr="003E7C50" w:rsidRDefault="00B235DF" w:rsidP="008B1902">
      <w:pPr>
        <w:pStyle w:val="ListParagraph"/>
      </w:pPr>
      <w:r>
        <w:rPr>
          <w:noProof/>
          <w:color w:val="000000"/>
          <w:highlight w:val="black"/>
        </w:rPr>
        <w:t xml:space="preserve">''''''' '''''''''''''''''' '''''''' '''''''''''' ''''''''' ''''' '''''''''''''''''' ''''''' ''''''''''''''' '''''' ''''' ''''''''''''''''' '''' ''''''' '''''''''''''' '''''''''''''' ''''''''''''''''' '''''' ''''''''''''''''''' ''''' '''''' ''''''''' ''''' '''''''' '''''''''''' </w:t>
      </w:r>
      <w:r w:rsidR="004673A6" w:rsidRPr="003E7C50">
        <w:t xml:space="preserve">but noted that the final number of grandfathered patients will depend on </w:t>
      </w:r>
      <w:r>
        <w:rPr>
          <w:noProof/>
          <w:color w:val="000000"/>
          <w:highlight w:val="black"/>
        </w:rPr>
        <w:t>'''''''''''''' ''''''''''''''''' '''''' '''''''''' ''''''''' ''''''' '''''''''''''''''' '''' '''''''' '''''''''''''''''''''</w:t>
      </w:r>
    </w:p>
    <w:p w:rsidR="009D3B33" w:rsidRPr="003E7C50" w:rsidRDefault="000A5360" w:rsidP="008B1902">
      <w:pPr>
        <w:pStyle w:val="ListParagraph"/>
      </w:pPr>
      <w:r w:rsidRPr="003E7C50">
        <w:t>The pre-PBAC response presented revised financial estimates that incorporated</w:t>
      </w:r>
      <w:r w:rsidR="009D3B33" w:rsidRPr="003E7C50">
        <w:t>:</w:t>
      </w:r>
    </w:p>
    <w:p w:rsidR="009D3B33" w:rsidRPr="003E7C50" w:rsidRDefault="000A5360" w:rsidP="009D3B33">
      <w:pPr>
        <w:pStyle w:val="ListParagraph"/>
        <w:numPr>
          <w:ilvl w:val="2"/>
          <w:numId w:val="3"/>
        </w:numPr>
        <w:ind w:left="1134" w:hanging="425"/>
      </w:pPr>
      <w:r w:rsidRPr="003E7C50">
        <w:t>an updated annual growth of the eligible population (</w:t>
      </w:r>
      <w:r w:rsidR="00B235DF">
        <w:rPr>
          <w:noProof/>
          <w:color w:val="000000"/>
          <w:highlight w:val="black"/>
        </w:rPr>
        <w:t>'''</w:t>
      </w:r>
      <w:r w:rsidRPr="003E7C50">
        <w:t>%)</w:t>
      </w:r>
      <w:r w:rsidR="009D3B33" w:rsidRPr="003E7C50">
        <w:t xml:space="preserve"> to more closely align with lowest rate of growth (i.e., </w:t>
      </w:r>
      <w:r w:rsidR="00B235DF">
        <w:rPr>
          <w:noProof/>
          <w:color w:val="000000"/>
          <w:highlight w:val="black"/>
        </w:rPr>
        <w:t>''''''</w:t>
      </w:r>
      <w:r w:rsidR="009D3B33" w:rsidRPr="003E7C50">
        <w:t xml:space="preserve">%) recorded for </w:t>
      </w:r>
      <w:proofErr w:type="spellStart"/>
      <w:r w:rsidR="009D3B33" w:rsidRPr="003E7C50">
        <w:t>letrozole</w:t>
      </w:r>
      <w:proofErr w:type="spellEnd"/>
      <w:r w:rsidR="009D3B33" w:rsidRPr="003E7C50">
        <w:t xml:space="preserve"> based on the last full 5 years of PBS data</w:t>
      </w:r>
      <w:r w:rsidRPr="003E7C50">
        <w:t>;</w:t>
      </w:r>
    </w:p>
    <w:p w:rsidR="009D3B33" w:rsidRPr="003E7C50" w:rsidRDefault="000A5360" w:rsidP="009D3B33">
      <w:pPr>
        <w:pStyle w:val="ListParagraph"/>
        <w:numPr>
          <w:ilvl w:val="2"/>
          <w:numId w:val="3"/>
        </w:numPr>
        <w:ind w:left="1134" w:hanging="425"/>
      </w:pPr>
      <w:r w:rsidRPr="003E7C50">
        <w:t xml:space="preserve">amended uptake rates of </w:t>
      </w:r>
      <w:r w:rsidR="00B235DF">
        <w:rPr>
          <w:noProof/>
          <w:color w:val="000000"/>
          <w:highlight w:val="black"/>
        </w:rPr>
        <w:t>'''''</w:t>
      </w:r>
      <w:r w:rsidRPr="003E7C50">
        <w:t xml:space="preserve">% in Year 1, </w:t>
      </w:r>
      <w:r w:rsidR="00B235DF">
        <w:rPr>
          <w:noProof/>
          <w:color w:val="000000"/>
          <w:highlight w:val="black"/>
        </w:rPr>
        <w:t>'''''</w:t>
      </w:r>
      <w:r w:rsidRPr="003E7C50">
        <w:t xml:space="preserve">% in Year 2, </w:t>
      </w:r>
      <w:r w:rsidR="00B235DF">
        <w:rPr>
          <w:noProof/>
          <w:color w:val="000000"/>
          <w:highlight w:val="black"/>
        </w:rPr>
        <w:t>'''''</w:t>
      </w:r>
      <w:r w:rsidRPr="003E7C50">
        <w:t xml:space="preserve">% in Year 3 and </w:t>
      </w:r>
      <w:r w:rsidR="00B235DF">
        <w:rPr>
          <w:noProof/>
          <w:color w:val="000000"/>
          <w:highlight w:val="black"/>
        </w:rPr>
        <w:t>''''''</w:t>
      </w:r>
      <w:r w:rsidRPr="003E7C50">
        <w:t>% from Years 4-6</w:t>
      </w:r>
      <w:r w:rsidR="009D3B33" w:rsidRPr="003E7C50">
        <w:t xml:space="preserve">, citing a review of the IPSOS data which indicated that approximately </w:t>
      </w:r>
      <w:r w:rsidR="00B235DF">
        <w:rPr>
          <w:noProof/>
          <w:color w:val="000000"/>
          <w:highlight w:val="black"/>
        </w:rPr>
        <w:t>'''''</w:t>
      </w:r>
      <w:r w:rsidR="009D3B33" w:rsidRPr="003E7C50">
        <w:t>% of patients currently receiving hormone therapy for ABC began therapy within the last 12 months</w:t>
      </w:r>
      <w:r w:rsidRPr="003E7C50">
        <w:t>; and</w:t>
      </w:r>
    </w:p>
    <w:p w:rsidR="009D3B33" w:rsidRPr="003E7C50" w:rsidRDefault="000A5360" w:rsidP="009D3B33">
      <w:pPr>
        <w:pStyle w:val="ListParagraph"/>
        <w:numPr>
          <w:ilvl w:val="2"/>
          <w:numId w:val="3"/>
        </w:numPr>
        <w:ind w:left="1134" w:hanging="425"/>
      </w:pPr>
      <w:r w:rsidRPr="003E7C50">
        <w:t xml:space="preserve">an estimated </w:t>
      </w:r>
      <w:r w:rsidR="00B235DF">
        <w:rPr>
          <w:noProof/>
          <w:color w:val="000000"/>
          <w:highlight w:val="black"/>
        </w:rPr>
        <w:t>'''''''</w:t>
      </w:r>
      <w:r w:rsidRPr="003E7C50">
        <w:t xml:space="preserve"> additional patients from </w:t>
      </w:r>
      <w:r w:rsidR="00B235DF">
        <w:rPr>
          <w:noProof/>
          <w:color w:val="000000"/>
          <w:highlight w:val="black"/>
        </w:rPr>
        <w:t>''''''' ''''''''''''' '''''''''''' '''''''''''''''''' ''''''</w:t>
      </w:r>
      <w:r w:rsidRPr="003E7C50">
        <w:t xml:space="preserve"> </w:t>
      </w:r>
      <w:proofErr w:type="spellStart"/>
      <w:r w:rsidRPr="003E7C50">
        <w:t>ribociclib</w:t>
      </w:r>
      <w:proofErr w:type="spellEnd"/>
      <w:r w:rsidRPr="003E7C50">
        <w:t xml:space="preserve"> in the first year of listing.  </w:t>
      </w:r>
    </w:p>
    <w:p w:rsidR="000A5360" w:rsidRPr="003E7C50" w:rsidRDefault="009D3B33" w:rsidP="00CD4E0D">
      <w:pPr>
        <w:ind w:left="709"/>
        <w:jc w:val="both"/>
      </w:pPr>
      <w:r w:rsidRPr="003E7C50">
        <w:t>T</w:t>
      </w:r>
      <w:r w:rsidR="00890AFE" w:rsidRPr="003E7C50">
        <w:t xml:space="preserve">he pre-PBAC response </w:t>
      </w:r>
      <w:r w:rsidR="000A5360" w:rsidRPr="003E7C50">
        <w:t xml:space="preserve">claimed that the updated total cost to the Commonwealth at the proposed effective price was </w:t>
      </w:r>
      <w:r w:rsidR="00687AF4">
        <w:t xml:space="preserve">$60 – $100 million </w:t>
      </w:r>
      <w:r w:rsidR="000A5360" w:rsidRPr="003E7C50">
        <w:t xml:space="preserve">in the </w:t>
      </w:r>
      <w:r w:rsidR="00E34530" w:rsidRPr="003E7C50">
        <w:t xml:space="preserve">Year 1 </w:t>
      </w:r>
      <w:r w:rsidR="000A5360" w:rsidRPr="003E7C50">
        <w:t xml:space="preserve">listing, increasing to </w:t>
      </w:r>
      <w:r w:rsidR="00687AF4" w:rsidRPr="00687AF4">
        <w:t>more than $100 million per year</w:t>
      </w:r>
      <w:r w:rsidR="00687AF4">
        <w:t xml:space="preserve"> </w:t>
      </w:r>
      <w:r w:rsidR="000A5360" w:rsidRPr="003E7C50">
        <w:t xml:space="preserve">in </w:t>
      </w:r>
      <w:r w:rsidR="00E34530" w:rsidRPr="003E7C50">
        <w:t xml:space="preserve">Year 6 </w:t>
      </w:r>
      <w:r w:rsidR="000A5360" w:rsidRPr="003E7C50">
        <w:t>(</w:t>
      </w:r>
      <w:r w:rsidR="00E34530" w:rsidRPr="003E7C50">
        <w:t xml:space="preserve">total of </w:t>
      </w:r>
      <w:r w:rsidR="009428DA">
        <w:t xml:space="preserve">substantially </w:t>
      </w:r>
      <w:r w:rsidR="00052826" w:rsidRPr="00052826">
        <w:t xml:space="preserve">more than $100 million </w:t>
      </w:r>
      <w:r w:rsidR="000A5360" w:rsidRPr="003E7C50">
        <w:t xml:space="preserve">in the first </w:t>
      </w:r>
      <w:r w:rsidR="00E34530" w:rsidRPr="003E7C50">
        <w:t>six</w:t>
      </w:r>
      <w:r w:rsidR="000A5360" w:rsidRPr="003E7C50">
        <w:t xml:space="preserve"> years). </w:t>
      </w:r>
      <w:r w:rsidR="00890AFE" w:rsidRPr="003E7C50">
        <w:t>The pre-PBAC response noted that t</w:t>
      </w:r>
      <w:r w:rsidR="000A5360" w:rsidRPr="003E7C50">
        <w:t>his represent</w:t>
      </w:r>
      <w:r w:rsidR="00890AFE" w:rsidRPr="003E7C50">
        <w:t>ed</w:t>
      </w:r>
      <w:r w:rsidR="000A5360" w:rsidRPr="003E7C50">
        <w:t xml:space="preserve"> a reduction of </w:t>
      </w:r>
      <w:r w:rsidRPr="003E7C50">
        <w:t xml:space="preserve">more than </w:t>
      </w:r>
      <w:r w:rsidR="00B235DF">
        <w:rPr>
          <w:noProof/>
          <w:color w:val="000000"/>
          <w:highlight w:val="black"/>
        </w:rPr>
        <w:t>'''''</w:t>
      </w:r>
      <w:r w:rsidR="000A5360" w:rsidRPr="003E7C50">
        <w:t xml:space="preserve">% in the first year of PBS listing (previously </w:t>
      </w:r>
      <w:r w:rsidR="001F20BE">
        <w:t>more than $100 million</w:t>
      </w:r>
      <w:r w:rsidR="000A5360" w:rsidRPr="003E7C50">
        <w:t xml:space="preserve">) for CDK inhibitors and approximately </w:t>
      </w:r>
      <w:r w:rsidR="00B235DF">
        <w:rPr>
          <w:noProof/>
          <w:color w:val="000000"/>
          <w:highlight w:val="black"/>
        </w:rPr>
        <w:t>'''''</w:t>
      </w:r>
      <w:r w:rsidR="000A5360" w:rsidRPr="003E7C50">
        <w:t xml:space="preserve">% over the first </w:t>
      </w:r>
      <w:r w:rsidR="00E34530" w:rsidRPr="003E7C50">
        <w:t>six</w:t>
      </w:r>
      <w:r w:rsidR="000A5360" w:rsidRPr="003E7C50">
        <w:t xml:space="preserve"> years of listing (</w:t>
      </w:r>
      <w:r w:rsidR="009428DA">
        <w:t xml:space="preserve">substantially </w:t>
      </w:r>
      <w:r w:rsidR="00052826" w:rsidRPr="00052826">
        <w:t>more than $100 million</w:t>
      </w:r>
      <w:r w:rsidR="000A5360" w:rsidRPr="003E7C50">
        <w:t>).</w:t>
      </w:r>
      <w:r w:rsidRPr="003E7C50">
        <w:t xml:space="preserve"> </w:t>
      </w:r>
      <w:r w:rsidR="004E2313" w:rsidRPr="003E7C50">
        <w:t>These estimates were not independently evaluated.</w:t>
      </w:r>
    </w:p>
    <w:p w:rsidR="009E007D" w:rsidRPr="003E7C50" w:rsidRDefault="009E007D" w:rsidP="009E007D">
      <w:pPr>
        <w:pStyle w:val="Heading2"/>
      </w:pPr>
      <w:bookmarkStart w:id="25" w:name="_Toc413139286"/>
      <w:bookmarkStart w:id="26" w:name="_Toc482023192"/>
      <w:r w:rsidRPr="003E7C50">
        <w:t>Quality Use of Medicines</w:t>
      </w:r>
    </w:p>
    <w:p w:rsidR="009E007D" w:rsidRPr="003E7C50" w:rsidRDefault="009E007D" w:rsidP="003C1685">
      <w:pPr>
        <w:pStyle w:val="ListParagraph"/>
      </w:pPr>
      <w:proofErr w:type="spellStart"/>
      <w:r w:rsidRPr="003E7C50">
        <w:t>Ribociclib</w:t>
      </w:r>
      <w:proofErr w:type="spellEnd"/>
      <w:r w:rsidRPr="003E7C50">
        <w:t xml:space="preserve"> is taken at a dose of 600 mg on days 1-21 of a 28-day cycle. There is a risk of accidental </w:t>
      </w:r>
      <w:r w:rsidR="003A4FAF" w:rsidRPr="003E7C50">
        <w:t>continuation,</w:t>
      </w:r>
      <w:r w:rsidRPr="003E7C50">
        <w:t xml:space="preserve"> as some patients may not realise that they need to take a week off treatment. However</w:t>
      </w:r>
      <w:r w:rsidR="003651F8" w:rsidRPr="003E7C50">
        <w:t>,</w:t>
      </w:r>
      <w:r w:rsidRPr="003E7C50">
        <w:t xml:space="preserve"> </w:t>
      </w:r>
      <w:r w:rsidR="003651F8" w:rsidRPr="003E7C50">
        <w:t xml:space="preserve">the DUSC considered that </w:t>
      </w:r>
      <w:r w:rsidRPr="003E7C50">
        <w:t>the target population would be subject to intense monitoring and there would be other opportunities to advise patients on the use of their medicines in addition to the point of dispensing.</w:t>
      </w:r>
    </w:p>
    <w:p w:rsidR="00C317F3" w:rsidRPr="003E7C50" w:rsidRDefault="00C317F3" w:rsidP="00B34042">
      <w:pPr>
        <w:pStyle w:val="Heading2"/>
      </w:pPr>
      <w:r w:rsidRPr="003E7C50">
        <w:t>Financial Management – Risk Sharing Arrangements</w:t>
      </w:r>
      <w:bookmarkEnd w:id="25"/>
      <w:bookmarkEnd w:id="26"/>
    </w:p>
    <w:p w:rsidR="003C1685" w:rsidRPr="003E7C50" w:rsidRDefault="003C1685" w:rsidP="003C1685">
      <w:pPr>
        <w:pStyle w:val="ListParagraph"/>
        <w:rPr>
          <w:i/>
        </w:rPr>
      </w:pPr>
      <w:r w:rsidRPr="003E7C50">
        <w:t>The submission included a request for</w:t>
      </w:r>
      <w:r w:rsidR="00AC4491" w:rsidRPr="003E7C50">
        <w:t xml:space="preserve"> a</w:t>
      </w:r>
      <w:r w:rsidRPr="003E7C50">
        <w:t xml:space="preserve"> </w:t>
      </w:r>
      <w:r w:rsidR="003A4FAF">
        <w:t>S</w:t>
      </w:r>
      <w:r w:rsidR="003A4FAF" w:rsidRPr="003E7C50">
        <w:t xml:space="preserve">pecial </w:t>
      </w:r>
      <w:r w:rsidR="003A4FAF">
        <w:t>P</w:t>
      </w:r>
      <w:r w:rsidR="003A4FAF" w:rsidRPr="003E7C50">
        <w:t xml:space="preserve">ricing </w:t>
      </w:r>
      <w:r w:rsidR="003A4FAF">
        <w:t>A</w:t>
      </w:r>
      <w:r w:rsidR="003A4FAF" w:rsidRPr="003E7C50">
        <w:t xml:space="preserve">rrangement </w:t>
      </w:r>
      <w:r w:rsidRPr="003E7C50">
        <w:t xml:space="preserve">for </w:t>
      </w:r>
      <w:proofErr w:type="spellStart"/>
      <w:r w:rsidRPr="003E7C50">
        <w:t>ribociclib</w:t>
      </w:r>
      <w:proofErr w:type="spellEnd"/>
      <w:r w:rsidR="00F6778D" w:rsidRPr="003E7C50">
        <w:t xml:space="preserve">, with a </w:t>
      </w:r>
      <w:r w:rsidR="00B235DF">
        <w:rPr>
          <w:noProof/>
          <w:color w:val="000000"/>
          <w:highlight w:val="black"/>
        </w:rPr>
        <w:t>'''''</w:t>
      </w:r>
      <w:r w:rsidRPr="001F20BE">
        <w:t>%</w:t>
      </w:r>
      <w:r w:rsidRPr="003E7C50">
        <w:t xml:space="preserve"> </w:t>
      </w:r>
      <w:r w:rsidR="00F6778D" w:rsidRPr="003E7C50">
        <w:t>rebate on</w:t>
      </w:r>
      <w:r w:rsidRPr="003E7C50">
        <w:t xml:space="preserve"> the published prices. The submission did not propose a </w:t>
      </w:r>
      <w:r w:rsidR="003A4FAF">
        <w:t>R</w:t>
      </w:r>
      <w:r w:rsidR="003A4FAF" w:rsidRPr="003E7C50">
        <w:t xml:space="preserve">isk </w:t>
      </w:r>
      <w:r w:rsidR="003A4FAF">
        <w:t>S</w:t>
      </w:r>
      <w:r w:rsidR="003A4FAF" w:rsidRPr="003E7C50">
        <w:t xml:space="preserve">hare </w:t>
      </w:r>
      <w:r w:rsidR="003A4FAF">
        <w:t>A</w:t>
      </w:r>
      <w:r w:rsidR="003A4FAF" w:rsidRPr="003E7C50">
        <w:t>rrangement</w:t>
      </w:r>
      <w:r w:rsidRPr="003E7C50">
        <w:t>.</w:t>
      </w:r>
    </w:p>
    <w:p w:rsidR="006D334C" w:rsidRPr="003E7C50" w:rsidRDefault="00B020B3" w:rsidP="006D334C">
      <w:pPr>
        <w:keepNext/>
        <w:keepLines/>
        <w:spacing w:after="0"/>
        <w:rPr>
          <w:rFonts w:cs="Arial"/>
          <w:i/>
          <w:szCs w:val="24"/>
          <w:highlight w:val="yellow"/>
        </w:rPr>
      </w:pPr>
      <w:r w:rsidRPr="003E7C50">
        <w:rPr>
          <w:rFonts w:cs="Arial"/>
          <w:i/>
          <w:szCs w:val="24"/>
        </w:rPr>
        <w:t>For more detail on PBAC’s view, see section 7 “PBAC outcome.”</w:t>
      </w:r>
    </w:p>
    <w:p w:rsidR="000D4B50" w:rsidRPr="003E7C50" w:rsidRDefault="000D4B50" w:rsidP="000308AF">
      <w:pPr>
        <w:pStyle w:val="Heading1"/>
        <w:numPr>
          <w:ilvl w:val="0"/>
          <w:numId w:val="1"/>
        </w:numPr>
        <w:ind w:left="709" w:hanging="709"/>
      </w:pPr>
      <w:r w:rsidRPr="003E7C50">
        <w:t>PBAC Outcome</w:t>
      </w:r>
    </w:p>
    <w:p w:rsidR="000308AF" w:rsidRPr="003E7C50" w:rsidRDefault="000308AF" w:rsidP="000308AF">
      <w:pPr>
        <w:pStyle w:val="ListParagraph"/>
        <w:numPr>
          <w:ilvl w:val="0"/>
          <w:numId w:val="3"/>
        </w:numPr>
        <w:spacing w:before="200"/>
        <w:jc w:val="left"/>
        <w:rPr>
          <w:rFonts w:ascii="Arial" w:eastAsia="Times New Roman" w:hAnsi="Arial" w:cs="Arial"/>
          <w:b/>
          <w:snapToGrid w:val="0"/>
          <w:vanish/>
          <w:sz w:val="22"/>
          <w:szCs w:val="22"/>
        </w:rPr>
      </w:pPr>
    </w:p>
    <w:p w:rsidR="00FC66E5" w:rsidRPr="003E7C50" w:rsidRDefault="00FC66E5" w:rsidP="009428DA">
      <w:pPr>
        <w:pStyle w:val="ListParagraph"/>
        <w:rPr>
          <w:bCs/>
          <w:snapToGrid w:val="0"/>
        </w:rPr>
      </w:pPr>
      <w:r w:rsidRPr="003E7C50">
        <w:rPr>
          <w:snapToGrid w:val="0"/>
        </w:rPr>
        <w:t xml:space="preserve">The PBAC did not recommend the listing of </w:t>
      </w:r>
      <w:proofErr w:type="spellStart"/>
      <w:r w:rsidRPr="003E7C50">
        <w:rPr>
          <w:snapToGrid w:val="0"/>
        </w:rPr>
        <w:t>ribociclib</w:t>
      </w:r>
      <w:proofErr w:type="spellEnd"/>
      <w:r w:rsidRPr="003E7C50">
        <w:rPr>
          <w:snapToGrid w:val="0"/>
        </w:rPr>
        <w:t xml:space="preserve"> on the PBS as initial endocrine-based therapy for patients with </w:t>
      </w:r>
      <w:r w:rsidRPr="003E7C50">
        <w:t>non</w:t>
      </w:r>
      <w:r w:rsidRPr="003E7C50">
        <w:noBreakHyphen/>
        <w:t>premenopausal</w:t>
      </w:r>
      <w:r w:rsidRPr="003E7C50">
        <w:rPr>
          <w:snapToGrid w:val="0"/>
        </w:rPr>
        <w:t xml:space="preserve">, HR+, HER2- </w:t>
      </w:r>
      <w:r>
        <w:rPr>
          <w:snapToGrid w:val="0"/>
        </w:rPr>
        <w:t>advanced breast cancer</w:t>
      </w:r>
      <w:r w:rsidRPr="003E7C50">
        <w:rPr>
          <w:snapToGrid w:val="0"/>
        </w:rPr>
        <w:t xml:space="preserve"> on the basis of unfavourable and uncertain cost-effectiveness</w:t>
      </w:r>
      <w:r>
        <w:rPr>
          <w:snapToGrid w:val="0"/>
        </w:rPr>
        <w:t>,</w:t>
      </w:r>
      <w:r w:rsidRPr="003E7C50">
        <w:rPr>
          <w:snapToGrid w:val="0"/>
        </w:rPr>
        <w:t xml:space="preserve"> and uncertainties regarding the </w:t>
      </w:r>
      <w:r>
        <w:rPr>
          <w:snapToGrid w:val="0"/>
        </w:rPr>
        <w:t xml:space="preserve">magnitude of incremental benefit of </w:t>
      </w:r>
      <w:proofErr w:type="spellStart"/>
      <w:r>
        <w:rPr>
          <w:snapToGrid w:val="0"/>
        </w:rPr>
        <w:t>ribociclib</w:t>
      </w:r>
      <w:proofErr w:type="spellEnd"/>
      <w:r w:rsidRPr="003E7C50">
        <w:rPr>
          <w:snapToGrid w:val="0"/>
        </w:rPr>
        <w:t xml:space="preserve">. The PBAC considered that the ICER was unacceptably high, noting that this was largely driven by the cost of </w:t>
      </w:r>
      <w:proofErr w:type="spellStart"/>
      <w:r w:rsidRPr="003E7C50">
        <w:rPr>
          <w:snapToGrid w:val="0"/>
        </w:rPr>
        <w:t>ribociclib</w:t>
      </w:r>
      <w:proofErr w:type="spellEnd"/>
      <w:r w:rsidRPr="003E7C50">
        <w:rPr>
          <w:snapToGrid w:val="0"/>
        </w:rPr>
        <w:t xml:space="preserve">. The PBAC considered that although </w:t>
      </w:r>
      <w:proofErr w:type="spellStart"/>
      <w:r w:rsidRPr="003E7C50">
        <w:rPr>
          <w:snapToGrid w:val="0"/>
        </w:rPr>
        <w:t>ribociclib</w:t>
      </w:r>
      <w:proofErr w:type="spellEnd"/>
      <w:r w:rsidRPr="003E7C50">
        <w:rPr>
          <w:snapToGrid w:val="0"/>
        </w:rPr>
        <w:t xml:space="preserve"> treatment resulted in slower disease progression, this was not associated with better quality of life </w:t>
      </w:r>
      <w:r>
        <w:rPr>
          <w:snapToGrid w:val="0"/>
        </w:rPr>
        <w:t xml:space="preserve">or proven improvement in overall survival, </w:t>
      </w:r>
      <w:r w:rsidRPr="003E7C50">
        <w:rPr>
          <w:snapToGrid w:val="0"/>
        </w:rPr>
        <w:t xml:space="preserve">and the addition of </w:t>
      </w:r>
      <w:proofErr w:type="spellStart"/>
      <w:r w:rsidRPr="003E7C50">
        <w:rPr>
          <w:snapToGrid w:val="0"/>
        </w:rPr>
        <w:t>ribociclib</w:t>
      </w:r>
      <w:proofErr w:type="spellEnd"/>
      <w:r w:rsidRPr="003E7C50">
        <w:rPr>
          <w:snapToGrid w:val="0"/>
        </w:rPr>
        <w:t xml:space="preserve"> resulted in a significant increase in treatment-related toxicity. Additionally, the PBAC considered that the likely net cost of listing </w:t>
      </w:r>
      <w:proofErr w:type="spellStart"/>
      <w:r w:rsidRPr="003E7C50">
        <w:rPr>
          <w:snapToGrid w:val="0"/>
        </w:rPr>
        <w:t>ribociclib</w:t>
      </w:r>
      <w:proofErr w:type="spellEnd"/>
      <w:r w:rsidRPr="003E7C50">
        <w:rPr>
          <w:snapToGrid w:val="0"/>
        </w:rPr>
        <w:t xml:space="preserve"> on the PBS would be </w:t>
      </w:r>
      <w:r w:rsidR="009428DA" w:rsidRPr="009428DA">
        <w:rPr>
          <w:snapToGrid w:val="0"/>
        </w:rPr>
        <w:t xml:space="preserve">substantially more than $100 million per year </w:t>
      </w:r>
      <w:r w:rsidRPr="003E7C50">
        <w:rPr>
          <w:snapToGrid w:val="0"/>
        </w:rPr>
        <w:t xml:space="preserve">(at the proposed effective price) over the first six years, and as such, there would be a significant opportunity cost to the Commonwealth. </w:t>
      </w:r>
      <w:r w:rsidRPr="003E7C50">
        <w:rPr>
          <w:bCs/>
          <w:snapToGrid w:val="0"/>
        </w:rPr>
        <w:t>The PBAC further noted there is a strong clinical benefit of endocrine-based therapy alone as first-line therapy in many patients, and a number of effective and well-tolerated second-line therapies (including oral treatments) are currently available for patients who progress after first-line endocrine-based therapy.</w:t>
      </w:r>
    </w:p>
    <w:p w:rsidR="00964BDD" w:rsidRPr="003E7C50" w:rsidRDefault="001E7A0A" w:rsidP="008B3881">
      <w:pPr>
        <w:pStyle w:val="ListParagraph"/>
        <w:rPr>
          <w:snapToGrid w:val="0"/>
        </w:rPr>
      </w:pPr>
      <w:r w:rsidRPr="003E7C50">
        <w:rPr>
          <w:snapToGrid w:val="0"/>
        </w:rPr>
        <w:t xml:space="preserve">The PBAC welcomed the comments received via the Consumer Comments facility on the PBS website. </w:t>
      </w:r>
      <w:r w:rsidR="00964BDD" w:rsidRPr="003E7C50">
        <w:rPr>
          <w:snapToGrid w:val="0"/>
        </w:rPr>
        <w:t xml:space="preserve">The PBAC noted that breast cancer is the most common </w:t>
      </w:r>
      <w:r w:rsidRPr="003E7C50">
        <w:rPr>
          <w:snapToGrid w:val="0"/>
        </w:rPr>
        <w:t xml:space="preserve">form of </w:t>
      </w:r>
      <w:r w:rsidR="00964BDD" w:rsidRPr="003E7C50">
        <w:rPr>
          <w:snapToGrid w:val="0"/>
        </w:rPr>
        <w:t xml:space="preserve">cancer in </w:t>
      </w:r>
      <w:r w:rsidRPr="003E7C50">
        <w:rPr>
          <w:snapToGrid w:val="0"/>
        </w:rPr>
        <w:t xml:space="preserve">women </w:t>
      </w:r>
      <w:r w:rsidR="00964BDD" w:rsidRPr="003E7C50">
        <w:rPr>
          <w:snapToGrid w:val="0"/>
        </w:rPr>
        <w:t xml:space="preserve">and that the majority of patients with </w:t>
      </w:r>
      <w:r w:rsidR="00B7550B" w:rsidRPr="003E7C50">
        <w:rPr>
          <w:snapToGrid w:val="0"/>
        </w:rPr>
        <w:t xml:space="preserve">ABC </w:t>
      </w:r>
      <w:r w:rsidR="00964BDD" w:rsidRPr="003E7C50">
        <w:rPr>
          <w:snapToGrid w:val="0"/>
        </w:rPr>
        <w:t xml:space="preserve">have the HR+ / HER2- type (approximately 70% based on advice from </w:t>
      </w:r>
      <w:r w:rsidR="000641C7" w:rsidRPr="003E7C50">
        <w:rPr>
          <w:snapToGrid w:val="0"/>
        </w:rPr>
        <w:t xml:space="preserve">the </w:t>
      </w:r>
      <w:r w:rsidR="00964BDD" w:rsidRPr="003E7C50">
        <w:rPr>
          <w:snapToGrid w:val="0"/>
        </w:rPr>
        <w:t>DUSC</w:t>
      </w:r>
      <w:r w:rsidR="000641C7" w:rsidRPr="003E7C50">
        <w:rPr>
          <w:snapToGrid w:val="0"/>
        </w:rPr>
        <w:t xml:space="preserve"> in its consideration of </w:t>
      </w:r>
      <w:proofErr w:type="spellStart"/>
      <w:r w:rsidR="000641C7" w:rsidRPr="003E7C50">
        <w:rPr>
          <w:snapToGrid w:val="0"/>
        </w:rPr>
        <w:t>palbociclib</w:t>
      </w:r>
      <w:proofErr w:type="spellEnd"/>
      <w:r w:rsidR="000641C7" w:rsidRPr="003E7C50">
        <w:rPr>
          <w:snapToGrid w:val="0"/>
        </w:rPr>
        <w:t xml:space="preserve"> (paragraph 7.15, March 2017 PSD)</w:t>
      </w:r>
      <w:r w:rsidR="00964BDD" w:rsidRPr="003E7C50">
        <w:rPr>
          <w:snapToGrid w:val="0"/>
        </w:rPr>
        <w:t xml:space="preserve">). </w:t>
      </w:r>
      <w:r w:rsidRPr="003E7C50">
        <w:rPr>
          <w:snapToGrid w:val="0"/>
        </w:rPr>
        <w:t xml:space="preserve">The PBAC noted that although second-line </w:t>
      </w:r>
      <w:proofErr w:type="spellStart"/>
      <w:r w:rsidRPr="003E7C50">
        <w:rPr>
          <w:snapToGrid w:val="0"/>
        </w:rPr>
        <w:t>everolimus</w:t>
      </w:r>
      <w:proofErr w:type="spellEnd"/>
      <w:r w:rsidRPr="003E7C50">
        <w:rPr>
          <w:snapToGrid w:val="0"/>
        </w:rPr>
        <w:t xml:space="preserve"> and chemotherapy are toxic in the proposed PBS population, first</w:t>
      </w:r>
      <w:r w:rsidR="00D16108" w:rsidRPr="003E7C50">
        <w:rPr>
          <w:snapToGrid w:val="0"/>
        </w:rPr>
        <w:t>-</w:t>
      </w:r>
      <w:r w:rsidRPr="003E7C50">
        <w:rPr>
          <w:snapToGrid w:val="0"/>
        </w:rPr>
        <w:t xml:space="preserve">line endocrine therapy alone </w:t>
      </w:r>
      <w:r w:rsidR="00D16108" w:rsidRPr="003E7C50">
        <w:rPr>
          <w:snapToGrid w:val="0"/>
        </w:rPr>
        <w:t xml:space="preserve">is </w:t>
      </w:r>
      <w:r w:rsidRPr="003E7C50">
        <w:rPr>
          <w:snapToGrid w:val="0"/>
        </w:rPr>
        <w:t>effective in most women with minimal toxicity. As such, the PBAC was concerned that</w:t>
      </w:r>
      <w:r w:rsidR="006B1872" w:rsidRPr="003E7C50">
        <w:rPr>
          <w:snapToGrid w:val="0"/>
        </w:rPr>
        <w:t>,</w:t>
      </w:r>
      <w:r w:rsidRPr="003E7C50">
        <w:rPr>
          <w:snapToGrid w:val="0"/>
        </w:rPr>
        <w:t xml:space="preserve"> like </w:t>
      </w:r>
      <w:proofErr w:type="spellStart"/>
      <w:r w:rsidRPr="003E7C50">
        <w:rPr>
          <w:snapToGrid w:val="0"/>
        </w:rPr>
        <w:t>palbociclib</w:t>
      </w:r>
      <w:proofErr w:type="spellEnd"/>
      <w:r w:rsidRPr="003E7C50">
        <w:rPr>
          <w:snapToGrid w:val="0"/>
        </w:rPr>
        <w:t xml:space="preserve">, </w:t>
      </w:r>
      <w:proofErr w:type="spellStart"/>
      <w:r w:rsidRPr="003E7C50">
        <w:rPr>
          <w:snapToGrid w:val="0"/>
        </w:rPr>
        <w:t>ribociclib’s</w:t>
      </w:r>
      <w:proofErr w:type="spellEnd"/>
      <w:r w:rsidRPr="003E7C50">
        <w:rPr>
          <w:snapToGrid w:val="0"/>
        </w:rPr>
        <w:t xml:space="preserve"> currently reported efficacy (</w:t>
      </w:r>
      <w:r w:rsidR="001318A4" w:rsidRPr="003E7C50">
        <w:rPr>
          <w:snapToGrid w:val="0"/>
        </w:rPr>
        <w:t>without</w:t>
      </w:r>
      <w:r w:rsidRPr="003E7C50">
        <w:rPr>
          <w:snapToGrid w:val="0"/>
        </w:rPr>
        <w:t xml:space="preserve"> demonstrated </w:t>
      </w:r>
      <w:r w:rsidR="007C2BDE" w:rsidRPr="003E7C50">
        <w:rPr>
          <w:snapToGrid w:val="0"/>
        </w:rPr>
        <w:t>OS</w:t>
      </w:r>
      <w:r w:rsidR="006B1872" w:rsidRPr="003E7C50">
        <w:rPr>
          <w:snapToGrid w:val="0"/>
        </w:rPr>
        <w:t xml:space="preserve"> benefit</w:t>
      </w:r>
      <w:r w:rsidRPr="003E7C50">
        <w:rPr>
          <w:snapToGrid w:val="0"/>
        </w:rPr>
        <w:t>) and harms had not yet identified the patient population who would gain most benefit nor justified the approach to estimating the cost-effectiveness of this treatment on the PBS, at the</w:t>
      </w:r>
      <w:r w:rsidR="002A055E" w:rsidRPr="003E7C50">
        <w:rPr>
          <w:snapToGrid w:val="0"/>
        </w:rPr>
        <w:t xml:space="preserve"> price proposed by the sponsor.</w:t>
      </w:r>
      <w:r w:rsidRPr="003E7C50">
        <w:rPr>
          <w:snapToGrid w:val="0"/>
        </w:rPr>
        <w:t xml:space="preserve"> </w:t>
      </w:r>
      <w:r w:rsidR="00964BDD" w:rsidRPr="003E7C50">
        <w:rPr>
          <w:snapToGrid w:val="0"/>
        </w:rPr>
        <w:t xml:space="preserve">The PBAC noted an editorial by AC Wolff in the New England Journal of Medicine (2016; 375:1993) which </w:t>
      </w:r>
      <w:r w:rsidR="008B3881">
        <w:rPr>
          <w:snapToGrid w:val="0"/>
        </w:rPr>
        <w:t>concluded</w:t>
      </w:r>
      <w:r w:rsidR="00964BDD" w:rsidRPr="003E7C50">
        <w:rPr>
          <w:snapToGrid w:val="0"/>
        </w:rPr>
        <w:t xml:space="preserve">: </w:t>
      </w:r>
      <w:r w:rsidR="008B3881">
        <w:rPr>
          <w:snapToGrid w:val="0"/>
        </w:rPr>
        <w:t>“</w:t>
      </w:r>
      <w:r w:rsidR="008B3881" w:rsidRPr="008B3881">
        <w:rPr>
          <w:rFonts w:eastAsia="Times New Roman" w:cs="Arial"/>
          <w:bCs/>
          <w:snapToGrid w:val="0"/>
        </w:rPr>
        <w:t xml:space="preserve">CDK4 and CDK6 inhibition in combination with antiestrogens is clearly a new standard for the treatment of advanced ER-positive breast cancer. However, </w:t>
      </w:r>
      <w:proofErr w:type="spellStart"/>
      <w:r w:rsidR="008B3881" w:rsidRPr="008B3881">
        <w:rPr>
          <w:rFonts w:eastAsia="Times New Roman" w:cs="Arial"/>
          <w:bCs/>
          <w:snapToGrid w:val="0"/>
        </w:rPr>
        <w:t>palbociclib</w:t>
      </w:r>
      <w:proofErr w:type="spellEnd"/>
      <w:r w:rsidR="008B3881" w:rsidRPr="008B3881">
        <w:rPr>
          <w:rFonts w:eastAsia="Times New Roman" w:cs="Arial"/>
          <w:bCs/>
          <w:snapToGrid w:val="0"/>
        </w:rPr>
        <w:t xml:space="preserve"> is costly and has some toxic effects. Some patients derive strong clinical benefit with antiestrogens alone as first-line therapy, and we must learn to identify those patients so that we can apply CDK4 and CDK6 inhibition in those who will benefit the most.</w:t>
      </w:r>
      <w:r w:rsidR="008B3881">
        <w:rPr>
          <w:rFonts w:eastAsia="Times New Roman" w:cs="Arial"/>
          <w:bCs/>
          <w:snapToGrid w:val="0"/>
        </w:rPr>
        <w:t>”</w:t>
      </w:r>
      <w:r w:rsidR="008B3881" w:rsidRPr="008B3881">
        <w:rPr>
          <w:rFonts w:eastAsia="Times New Roman" w:cs="Arial"/>
          <w:bCs/>
          <w:snapToGrid w:val="0"/>
        </w:rPr>
        <w:t xml:space="preserve"> </w:t>
      </w:r>
    </w:p>
    <w:p w:rsidR="001318A4" w:rsidRPr="003E7C50" w:rsidRDefault="001318A4" w:rsidP="000308AF">
      <w:pPr>
        <w:pStyle w:val="ListParagraph"/>
        <w:rPr>
          <w:rFonts w:eastAsia="Times New Roman" w:cs="Arial"/>
          <w:bCs/>
          <w:snapToGrid w:val="0"/>
        </w:rPr>
      </w:pPr>
      <w:r w:rsidRPr="003E7C50">
        <w:rPr>
          <w:snapToGrid w:val="0"/>
        </w:rPr>
        <w:t xml:space="preserve">The PBAC agreed with its subcommittees that ‘advanced breast cancer’ may be interpreted differently between clinicians, and that a clearer definition of the population for subsidised treatment would be appropriate to avoid leakage into a broader population. </w:t>
      </w:r>
      <w:r w:rsidR="00E77E2E" w:rsidRPr="003E7C50">
        <w:rPr>
          <w:snapToGrid w:val="0"/>
        </w:rPr>
        <w:t xml:space="preserve">The PBAC also noted DUSC’s concerns regarding access to </w:t>
      </w:r>
      <w:r w:rsidR="00270C1B" w:rsidRPr="003E7C50">
        <w:rPr>
          <w:snapToGrid w:val="0"/>
        </w:rPr>
        <w:t>stage III patients without inoperable disease</w:t>
      </w:r>
      <w:r w:rsidR="00E77E2E" w:rsidRPr="003E7C50">
        <w:rPr>
          <w:snapToGrid w:val="0"/>
        </w:rPr>
        <w:t xml:space="preserve">. </w:t>
      </w:r>
      <w:r w:rsidRPr="003E7C50">
        <w:rPr>
          <w:snapToGrid w:val="0"/>
        </w:rPr>
        <w:t xml:space="preserve">The PBAC therefore </w:t>
      </w:r>
      <w:r w:rsidR="00CC19CB" w:rsidRPr="003E7C50">
        <w:rPr>
          <w:snapToGrid w:val="0"/>
        </w:rPr>
        <w:t>advised that “i</w:t>
      </w:r>
      <w:r w:rsidR="00270C1B" w:rsidRPr="003E7C50">
        <w:rPr>
          <w:snapToGrid w:val="0"/>
        </w:rPr>
        <w:t xml:space="preserve">noperable stage IIIB/IIIC (locally advanced) or </w:t>
      </w:r>
      <w:r w:rsidR="00A77524" w:rsidRPr="003E7C50">
        <w:rPr>
          <w:snapToGrid w:val="0"/>
        </w:rPr>
        <w:t>s</w:t>
      </w:r>
      <w:r w:rsidR="00270C1B" w:rsidRPr="003E7C50">
        <w:rPr>
          <w:snapToGrid w:val="0"/>
        </w:rPr>
        <w:t>tage IV (metastatic) breast cancer” or “locally advanced inoperable and metastatic breast cancer”</w:t>
      </w:r>
      <w:r w:rsidR="00CC19CB" w:rsidRPr="003E7C50">
        <w:rPr>
          <w:snapToGrid w:val="0"/>
        </w:rPr>
        <w:t xml:space="preserve"> be used as PBS indications for </w:t>
      </w:r>
      <w:proofErr w:type="spellStart"/>
      <w:r w:rsidR="00CC19CB" w:rsidRPr="003E7C50">
        <w:rPr>
          <w:snapToGrid w:val="0"/>
        </w:rPr>
        <w:t>ribociclib</w:t>
      </w:r>
      <w:proofErr w:type="spellEnd"/>
      <w:r w:rsidR="00CC19CB" w:rsidRPr="003E7C50">
        <w:rPr>
          <w:snapToGrid w:val="0"/>
        </w:rPr>
        <w:t>.</w:t>
      </w:r>
    </w:p>
    <w:p w:rsidR="001318A4" w:rsidRPr="003E7C50" w:rsidRDefault="001318A4" w:rsidP="000308AF">
      <w:pPr>
        <w:pStyle w:val="ListParagraph"/>
        <w:rPr>
          <w:snapToGrid w:val="0"/>
        </w:rPr>
      </w:pPr>
      <w:r w:rsidRPr="003E7C50">
        <w:rPr>
          <w:snapToGrid w:val="0"/>
        </w:rPr>
        <w:t xml:space="preserve">The PBAC considered that the restriction for </w:t>
      </w:r>
      <w:proofErr w:type="spellStart"/>
      <w:r w:rsidRPr="003E7C50">
        <w:rPr>
          <w:snapToGrid w:val="0"/>
        </w:rPr>
        <w:t>ribociclib</w:t>
      </w:r>
      <w:proofErr w:type="spellEnd"/>
      <w:r w:rsidRPr="003E7C50">
        <w:rPr>
          <w:snapToGrid w:val="0"/>
        </w:rPr>
        <w:t xml:space="preserve"> should allow for it to be prescribed in combination with any NSAI, i.e. </w:t>
      </w:r>
      <w:proofErr w:type="spellStart"/>
      <w:r w:rsidR="003A4FAF" w:rsidRPr="003E7C50">
        <w:rPr>
          <w:snapToGrid w:val="0"/>
        </w:rPr>
        <w:t>anastrozole</w:t>
      </w:r>
      <w:proofErr w:type="spellEnd"/>
      <w:r w:rsidRPr="003E7C50">
        <w:rPr>
          <w:snapToGrid w:val="0"/>
        </w:rPr>
        <w:t xml:space="preserve"> and </w:t>
      </w:r>
      <w:proofErr w:type="spellStart"/>
      <w:r w:rsidRPr="003E7C50">
        <w:rPr>
          <w:snapToGrid w:val="0"/>
        </w:rPr>
        <w:t>letrozole</w:t>
      </w:r>
      <w:proofErr w:type="spellEnd"/>
      <w:r w:rsidRPr="003E7C50">
        <w:rPr>
          <w:snapToGrid w:val="0"/>
        </w:rPr>
        <w:t>.</w:t>
      </w:r>
      <w:r w:rsidR="009B354A" w:rsidRPr="003E7C50">
        <w:rPr>
          <w:snapToGrid w:val="0"/>
        </w:rPr>
        <w:t xml:space="preserve"> The PBAC considered </w:t>
      </w:r>
      <w:r w:rsidR="000C7545" w:rsidRPr="003E7C50">
        <w:rPr>
          <w:rFonts w:eastAsia="Times New Roman" w:cs="Arial"/>
          <w:bCs/>
          <w:snapToGrid w:val="0"/>
        </w:rPr>
        <w:t xml:space="preserve">that the proposal in the pre-PBAC response </w:t>
      </w:r>
      <w:r w:rsidR="00F13BE7" w:rsidRPr="003E7C50">
        <w:rPr>
          <w:rFonts w:eastAsia="Times New Roman" w:cs="Arial"/>
          <w:bCs/>
          <w:snapToGrid w:val="0"/>
        </w:rPr>
        <w:t>to include a</w:t>
      </w:r>
      <w:r w:rsidR="00463D6A" w:rsidRPr="003E7C50">
        <w:rPr>
          <w:rFonts w:eastAsia="Times New Roman" w:cs="Arial"/>
          <w:bCs/>
          <w:snapToGrid w:val="0"/>
        </w:rPr>
        <w:t xml:space="preserve"> continuation criterion based on RECIST may be </w:t>
      </w:r>
      <w:r w:rsidR="00E404A9" w:rsidRPr="003E7C50">
        <w:rPr>
          <w:rFonts w:eastAsia="Times New Roman" w:cs="Arial"/>
          <w:bCs/>
          <w:snapToGrid w:val="0"/>
        </w:rPr>
        <w:t>appropriate</w:t>
      </w:r>
      <w:r w:rsidR="00E404A9" w:rsidRPr="003E7C50" w:rsidDel="00D62EE0">
        <w:rPr>
          <w:rFonts w:eastAsia="Times New Roman" w:cs="Arial"/>
          <w:bCs/>
          <w:snapToGrid w:val="0"/>
        </w:rPr>
        <w:t xml:space="preserve">. </w:t>
      </w:r>
    </w:p>
    <w:p w:rsidR="00371407" w:rsidRPr="003E7C50" w:rsidRDefault="00371407" w:rsidP="000308AF">
      <w:pPr>
        <w:widowControl w:val="0"/>
        <w:numPr>
          <w:ilvl w:val="1"/>
          <w:numId w:val="3"/>
        </w:numPr>
        <w:spacing w:before="0" w:after="120"/>
        <w:jc w:val="both"/>
        <w:rPr>
          <w:rFonts w:eastAsia="Times New Roman" w:cs="Arial"/>
          <w:bCs/>
          <w:snapToGrid w:val="0"/>
          <w:szCs w:val="24"/>
        </w:rPr>
      </w:pPr>
      <w:r w:rsidRPr="003E7C50">
        <w:rPr>
          <w:rFonts w:eastAsia="Times New Roman" w:cs="Arial"/>
          <w:bCs/>
          <w:snapToGrid w:val="0"/>
          <w:szCs w:val="24"/>
        </w:rPr>
        <w:t xml:space="preserve">The PBAC noted its subcommittees’ and the sponsor’s proposals for </w:t>
      </w:r>
      <w:r w:rsidR="00522EE4" w:rsidRPr="003E7C50">
        <w:rPr>
          <w:rFonts w:eastAsia="Times New Roman" w:cs="Arial"/>
          <w:bCs/>
          <w:snapToGrid w:val="0"/>
          <w:szCs w:val="24"/>
        </w:rPr>
        <w:t xml:space="preserve">several </w:t>
      </w:r>
      <w:r w:rsidRPr="003E7C50">
        <w:rPr>
          <w:rFonts w:eastAsia="Times New Roman" w:cs="Arial"/>
          <w:bCs/>
          <w:snapToGrid w:val="0"/>
          <w:szCs w:val="24"/>
        </w:rPr>
        <w:t xml:space="preserve">restriction </w:t>
      </w:r>
      <w:r w:rsidR="00522EE4" w:rsidRPr="003E7C50">
        <w:rPr>
          <w:rFonts w:eastAsia="Times New Roman" w:cs="Arial"/>
          <w:bCs/>
          <w:snapToGrid w:val="0"/>
          <w:szCs w:val="24"/>
        </w:rPr>
        <w:t>criteria that would result in better</w:t>
      </w:r>
      <w:r w:rsidRPr="003E7C50">
        <w:rPr>
          <w:rFonts w:eastAsia="Times New Roman" w:cs="Arial"/>
          <w:bCs/>
          <w:snapToGrid w:val="0"/>
          <w:szCs w:val="24"/>
        </w:rPr>
        <w:t xml:space="preserve"> align</w:t>
      </w:r>
      <w:r w:rsidR="00522EE4" w:rsidRPr="003E7C50">
        <w:rPr>
          <w:rFonts w:eastAsia="Times New Roman" w:cs="Arial"/>
          <w:bCs/>
          <w:snapToGrid w:val="0"/>
          <w:szCs w:val="24"/>
        </w:rPr>
        <w:t xml:space="preserve">ment </w:t>
      </w:r>
      <w:r w:rsidRPr="003E7C50">
        <w:rPr>
          <w:rFonts w:eastAsia="Times New Roman" w:cs="Arial"/>
          <w:bCs/>
          <w:snapToGrid w:val="0"/>
          <w:szCs w:val="24"/>
        </w:rPr>
        <w:t xml:space="preserve">with the inclusion criteria of the MONALEESA-2 trial, and considered that the PBS restriction for </w:t>
      </w:r>
      <w:proofErr w:type="spellStart"/>
      <w:r w:rsidRPr="003E7C50">
        <w:rPr>
          <w:rFonts w:eastAsia="Times New Roman" w:cs="Arial"/>
          <w:bCs/>
          <w:snapToGrid w:val="0"/>
          <w:szCs w:val="24"/>
        </w:rPr>
        <w:t>ribociclib</w:t>
      </w:r>
      <w:proofErr w:type="spellEnd"/>
      <w:r w:rsidRPr="003E7C50">
        <w:rPr>
          <w:rFonts w:eastAsia="Times New Roman" w:cs="Arial"/>
          <w:bCs/>
          <w:snapToGrid w:val="0"/>
          <w:szCs w:val="24"/>
        </w:rPr>
        <w:t xml:space="preserve"> should exclude the following patient subgroups:</w:t>
      </w:r>
    </w:p>
    <w:p w:rsidR="00A92DCA" w:rsidRPr="003E7C50" w:rsidRDefault="00A92DCA" w:rsidP="000308AF">
      <w:pPr>
        <w:pStyle w:val="ListParagraph"/>
        <w:numPr>
          <w:ilvl w:val="3"/>
          <w:numId w:val="3"/>
        </w:numPr>
        <w:ind w:hanging="371"/>
      </w:pPr>
      <w:r w:rsidRPr="003E7C50">
        <w:t>Patients with a ECOG performance status of 2 or more;</w:t>
      </w:r>
    </w:p>
    <w:p w:rsidR="00371407" w:rsidRPr="003E7C50" w:rsidRDefault="00371407" w:rsidP="000308AF">
      <w:pPr>
        <w:pStyle w:val="ListParagraph"/>
        <w:numPr>
          <w:ilvl w:val="3"/>
          <w:numId w:val="3"/>
        </w:numPr>
        <w:ind w:hanging="371"/>
      </w:pPr>
      <w:r w:rsidRPr="003E7C50">
        <w:t xml:space="preserve">those with &gt;28 days of treatment with an NSAI for their </w:t>
      </w:r>
      <w:r w:rsidR="00B7550B" w:rsidRPr="003E7C50">
        <w:t xml:space="preserve">ABC </w:t>
      </w:r>
      <w:r w:rsidRPr="003E7C50">
        <w:t xml:space="preserve">prior to initiation of </w:t>
      </w:r>
      <w:proofErr w:type="spellStart"/>
      <w:r w:rsidRPr="003E7C50">
        <w:t>ribociclib</w:t>
      </w:r>
      <w:proofErr w:type="spellEnd"/>
      <w:r w:rsidRPr="003E7C50">
        <w:t>;</w:t>
      </w:r>
    </w:p>
    <w:p w:rsidR="00371407" w:rsidRPr="003E7C50" w:rsidRDefault="00371407" w:rsidP="000308AF">
      <w:pPr>
        <w:pStyle w:val="ListParagraph"/>
        <w:numPr>
          <w:ilvl w:val="3"/>
          <w:numId w:val="3"/>
        </w:numPr>
        <w:ind w:hanging="371"/>
      </w:pPr>
      <w:r w:rsidRPr="003E7C50">
        <w:t>those with ‘inflammatory breast cancer’ or ‘uncontrolled brain metastases’;</w:t>
      </w:r>
    </w:p>
    <w:p w:rsidR="00371407" w:rsidRPr="003E7C50" w:rsidRDefault="00371407" w:rsidP="000308AF">
      <w:pPr>
        <w:pStyle w:val="ListParagraph"/>
        <w:numPr>
          <w:ilvl w:val="3"/>
          <w:numId w:val="3"/>
        </w:numPr>
        <w:ind w:hanging="371"/>
      </w:pPr>
      <w:r w:rsidRPr="003E7C50">
        <w:t>pre-menopausal women receiving treatment with a luteinizing hormone-releasing hormone agonist (</w:t>
      </w:r>
      <w:proofErr w:type="spellStart"/>
      <w:r w:rsidRPr="003E7C50">
        <w:t>LHRHa</w:t>
      </w:r>
      <w:proofErr w:type="spellEnd"/>
      <w:r w:rsidRPr="003E7C50">
        <w:t>) (</w:t>
      </w:r>
      <w:proofErr w:type="spellStart"/>
      <w:r w:rsidRPr="003E7C50">
        <w:t>goserelin</w:t>
      </w:r>
      <w:proofErr w:type="spellEnd"/>
      <w:r w:rsidRPr="003E7C50">
        <w:t xml:space="preserve"> acetate or leuprolide acetate); and</w:t>
      </w:r>
    </w:p>
    <w:p w:rsidR="00FC66E5" w:rsidRPr="003E7C50" w:rsidRDefault="00FC66E5" w:rsidP="00FC66E5">
      <w:pPr>
        <w:pStyle w:val="ListParagraph"/>
        <w:rPr>
          <w:rFonts w:eastAsia="Times New Roman" w:cs="Arial"/>
          <w:bCs/>
          <w:snapToGrid w:val="0"/>
        </w:rPr>
      </w:pPr>
      <w:r w:rsidRPr="003E7C50">
        <w:rPr>
          <w:rFonts w:eastAsia="Times New Roman" w:cs="Arial"/>
          <w:bCs/>
          <w:snapToGrid w:val="0"/>
        </w:rPr>
        <w:t>The PBAC considered that the criterion ‘Patient must not be pre-menopausal’ was appropriate</w:t>
      </w:r>
      <w:r>
        <w:rPr>
          <w:rFonts w:eastAsia="Times New Roman" w:cs="Arial"/>
          <w:bCs/>
          <w:snapToGrid w:val="0"/>
        </w:rPr>
        <w:t xml:space="preserve">. The PBAC also </w:t>
      </w:r>
      <w:r w:rsidRPr="003E7C50">
        <w:t>recall</w:t>
      </w:r>
      <w:r>
        <w:t>ed</w:t>
      </w:r>
      <w:r w:rsidRPr="003E7C50">
        <w:t xml:space="preserve"> its previous recommendation in November 2014 to extend eligibility for several breast cancer medicines to male patients, on equity grounds.  </w:t>
      </w:r>
    </w:p>
    <w:p w:rsidR="0086568A" w:rsidRPr="003E7C50" w:rsidRDefault="00371407" w:rsidP="000308AF">
      <w:pPr>
        <w:widowControl w:val="0"/>
        <w:numPr>
          <w:ilvl w:val="1"/>
          <w:numId w:val="3"/>
        </w:numPr>
        <w:spacing w:before="0" w:after="120"/>
        <w:jc w:val="both"/>
        <w:rPr>
          <w:rFonts w:eastAsia="Times New Roman" w:cs="Arial"/>
          <w:bCs/>
          <w:snapToGrid w:val="0"/>
          <w:szCs w:val="24"/>
        </w:rPr>
      </w:pPr>
      <w:r w:rsidRPr="003E7C50">
        <w:rPr>
          <w:rFonts w:eastAsia="Times New Roman" w:cs="Arial"/>
          <w:bCs/>
          <w:snapToGrid w:val="0"/>
          <w:szCs w:val="24"/>
        </w:rPr>
        <w:t xml:space="preserve">The PBAC considered that an initial written authority with a signed patient acknowledgement form, followed by telephone authority for continuing treatment, was reasonable. </w:t>
      </w:r>
    </w:p>
    <w:p w:rsidR="00B661F0" w:rsidRPr="003E7C50" w:rsidRDefault="003C2438" w:rsidP="000308AF">
      <w:pPr>
        <w:pStyle w:val="ListParagraph"/>
        <w:rPr>
          <w:snapToGrid w:val="0"/>
        </w:rPr>
      </w:pPr>
      <w:r>
        <w:rPr>
          <w:snapToGrid w:val="0"/>
        </w:rPr>
        <w:t xml:space="preserve">The submission proposed </w:t>
      </w:r>
      <w:proofErr w:type="spellStart"/>
      <w:r>
        <w:rPr>
          <w:snapToGrid w:val="0"/>
        </w:rPr>
        <w:t>letrozole</w:t>
      </w:r>
      <w:proofErr w:type="spellEnd"/>
      <w:r>
        <w:rPr>
          <w:snapToGrid w:val="0"/>
        </w:rPr>
        <w:t xml:space="preserve"> alone as the main comparator </w:t>
      </w:r>
      <w:r w:rsidRPr="003E7C50">
        <w:rPr>
          <w:snapToGrid w:val="0"/>
        </w:rPr>
        <w:t xml:space="preserve">on the basis that </w:t>
      </w:r>
      <w:proofErr w:type="spellStart"/>
      <w:r w:rsidRPr="003E7C50">
        <w:rPr>
          <w:snapToGrid w:val="0"/>
        </w:rPr>
        <w:t>letrozole</w:t>
      </w:r>
      <w:proofErr w:type="spellEnd"/>
      <w:r w:rsidRPr="003E7C50">
        <w:rPr>
          <w:snapToGrid w:val="0"/>
        </w:rPr>
        <w:t xml:space="preserve"> is the most commonly prescribed first line therapy for</w:t>
      </w:r>
      <w:r>
        <w:rPr>
          <w:snapToGrid w:val="0"/>
        </w:rPr>
        <w:t xml:space="preserve"> </w:t>
      </w:r>
      <w:r w:rsidRPr="003E7C50">
        <w:rPr>
          <w:snapToGrid w:val="0"/>
        </w:rPr>
        <w:t>HR+, HER2- ABC</w:t>
      </w:r>
      <w:r>
        <w:rPr>
          <w:snapToGrid w:val="0"/>
        </w:rPr>
        <w:t xml:space="preserve">. </w:t>
      </w:r>
      <w:r w:rsidR="00764F0C" w:rsidRPr="003E7C50">
        <w:rPr>
          <w:snapToGrid w:val="0"/>
        </w:rPr>
        <w:t xml:space="preserve">The PBAC considered that </w:t>
      </w:r>
      <w:r w:rsidR="00B36BE8">
        <w:rPr>
          <w:snapToGrid w:val="0"/>
        </w:rPr>
        <w:t>a</w:t>
      </w:r>
      <w:r>
        <w:rPr>
          <w:snapToGrid w:val="0"/>
        </w:rPr>
        <w:t>n</w:t>
      </w:r>
      <w:r w:rsidR="00B36BE8">
        <w:rPr>
          <w:snapToGrid w:val="0"/>
        </w:rPr>
        <w:t xml:space="preserve"> NSAI</w:t>
      </w:r>
      <w:r w:rsidR="00B36BE8" w:rsidRPr="003E7C50">
        <w:rPr>
          <w:snapToGrid w:val="0"/>
        </w:rPr>
        <w:t xml:space="preserve"> </w:t>
      </w:r>
      <w:r w:rsidR="00084AA4">
        <w:rPr>
          <w:snapToGrid w:val="0"/>
        </w:rPr>
        <w:t xml:space="preserve">(i.e. </w:t>
      </w:r>
      <w:proofErr w:type="spellStart"/>
      <w:r w:rsidR="00084AA4">
        <w:rPr>
          <w:snapToGrid w:val="0"/>
        </w:rPr>
        <w:t>letrozole</w:t>
      </w:r>
      <w:proofErr w:type="spellEnd"/>
      <w:r w:rsidR="00084AA4">
        <w:rPr>
          <w:snapToGrid w:val="0"/>
        </w:rPr>
        <w:t xml:space="preserve"> or </w:t>
      </w:r>
      <w:proofErr w:type="spellStart"/>
      <w:r w:rsidR="00084AA4">
        <w:rPr>
          <w:snapToGrid w:val="0"/>
        </w:rPr>
        <w:t>anastrozole</w:t>
      </w:r>
      <w:proofErr w:type="spellEnd"/>
      <w:r w:rsidR="00084AA4">
        <w:rPr>
          <w:snapToGrid w:val="0"/>
        </w:rPr>
        <w:t xml:space="preserve">) </w:t>
      </w:r>
      <w:r w:rsidR="00764F0C" w:rsidRPr="003E7C50">
        <w:rPr>
          <w:snapToGrid w:val="0"/>
        </w:rPr>
        <w:t xml:space="preserve">alone was the appropriate comparator </w:t>
      </w:r>
      <w:r w:rsidR="00B36BE8">
        <w:rPr>
          <w:snapToGrid w:val="0"/>
        </w:rPr>
        <w:t xml:space="preserve">for </w:t>
      </w:r>
      <w:proofErr w:type="spellStart"/>
      <w:r w:rsidR="00B36BE8">
        <w:rPr>
          <w:snapToGrid w:val="0"/>
        </w:rPr>
        <w:t>ribociclib</w:t>
      </w:r>
      <w:proofErr w:type="spellEnd"/>
      <w:r w:rsidR="00B36BE8">
        <w:rPr>
          <w:snapToGrid w:val="0"/>
        </w:rPr>
        <w:t xml:space="preserve"> + NSAI</w:t>
      </w:r>
      <w:r w:rsidR="00764F0C" w:rsidRPr="003E7C50">
        <w:rPr>
          <w:snapToGrid w:val="0"/>
        </w:rPr>
        <w:t xml:space="preserve">. </w:t>
      </w:r>
      <w:r w:rsidR="00B36BE8">
        <w:rPr>
          <w:snapToGrid w:val="0"/>
        </w:rPr>
        <w:t xml:space="preserve">The PBAC considered that on balance in clinical practice, it would be reasonable to expect that </w:t>
      </w:r>
      <w:proofErr w:type="spellStart"/>
      <w:r w:rsidR="00B36BE8">
        <w:rPr>
          <w:snapToGrid w:val="0"/>
        </w:rPr>
        <w:t>letrozole</w:t>
      </w:r>
      <w:proofErr w:type="spellEnd"/>
      <w:r w:rsidR="00B36BE8">
        <w:rPr>
          <w:snapToGrid w:val="0"/>
        </w:rPr>
        <w:t xml:space="preserve"> or </w:t>
      </w:r>
      <w:proofErr w:type="spellStart"/>
      <w:r w:rsidR="00B36BE8">
        <w:rPr>
          <w:snapToGrid w:val="0"/>
        </w:rPr>
        <w:t>anastrozole</w:t>
      </w:r>
      <w:proofErr w:type="spellEnd"/>
      <w:r w:rsidR="00B36BE8">
        <w:rPr>
          <w:snapToGrid w:val="0"/>
        </w:rPr>
        <w:t xml:space="preserve"> would provide a similar benefit in combination with </w:t>
      </w:r>
      <w:proofErr w:type="spellStart"/>
      <w:r w:rsidR="00B36BE8">
        <w:rPr>
          <w:snapToGrid w:val="0"/>
        </w:rPr>
        <w:t>ribociclib</w:t>
      </w:r>
      <w:proofErr w:type="spellEnd"/>
      <w:r w:rsidR="00B36BE8">
        <w:rPr>
          <w:snapToGrid w:val="0"/>
        </w:rPr>
        <w:t xml:space="preserve">. </w:t>
      </w:r>
      <w:r w:rsidR="00764F0C" w:rsidRPr="003E7C50">
        <w:rPr>
          <w:snapToGrid w:val="0"/>
        </w:rPr>
        <w:t xml:space="preserve">The PBAC also considered that </w:t>
      </w:r>
      <w:proofErr w:type="spellStart"/>
      <w:r w:rsidR="00764F0C" w:rsidRPr="003E7C50">
        <w:rPr>
          <w:snapToGrid w:val="0"/>
        </w:rPr>
        <w:t>palbociclib</w:t>
      </w:r>
      <w:proofErr w:type="spellEnd"/>
      <w:r w:rsidR="00764F0C" w:rsidRPr="003E7C50">
        <w:rPr>
          <w:snapToGrid w:val="0"/>
        </w:rPr>
        <w:t xml:space="preserve"> was an appropriate near market comparator, as it is of the same therapeutic class with similar indication.</w:t>
      </w:r>
    </w:p>
    <w:p w:rsidR="000A53FF" w:rsidRPr="00FC66E5" w:rsidRDefault="00A77524" w:rsidP="00FC66E5">
      <w:pPr>
        <w:pStyle w:val="ListParagraph"/>
        <w:rPr>
          <w:rFonts w:eastAsia="Times New Roman" w:cs="Arial"/>
          <w:bCs/>
          <w:snapToGrid w:val="0"/>
        </w:rPr>
      </w:pPr>
      <w:r w:rsidRPr="003E7C50">
        <w:rPr>
          <w:snapToGrid w:val="0"/>
        </w:rPr>
        <w:t xml:space="preserve">The PBAC noted that the submission was based on direct evidence from one head-to-head phase III, randomised, double-blind trial comparing </w:t>
      </w:r>
      <w:proofErr w:type="spellStart"/>
      <w:r w:rsidRPr="003E7C50">
        <w:rPr>
          <w:snapToGrid w:val="0"/>
        </w:rPr>
        <w:t>ribociclib</w:t>
      </w:r>
      <w:proofErr w:type="spellEnd"/>
      <w:r w:rsidRPr="003E7C50">
        <w:rPr>
          <w:snapToGrid w:val="0"/>
        </w:rPr>
        <w:t xml:space="preserve"> + </w:t>
      </w:r>
      <w:proofErr w:type="spellStart"/>
      <w:r w:rsidRPr="003E7C50">
        <w:rPr>
          <w:snapToGrid w:val="0"/>
        </w:rPr>
        <w:t>letrozole</w:t>
      </w:r>
      <w:proofErr w:type="spellEnd"/>
      <w:r w:rsidRPr="003E7C50">
        <w:rPr>
          <w:snapToGrid w:val="0"/>
        </w:rPr>
        <w:t xml:space="preserve"> to </w:t>
      </w:r>
      <w:proofErr w:type="spellStart"/>
      <w:r w:rsidRPr="003E7C50">
        <w:rPr>
          <w:snapToGrid w:val="0"/>
        </w:rPr>
        <w:t>letrozole</w:t>
      </w:r>
      <w:proofErr w:type="spellEnd"/>
      <w:r w:rsidRPr="003E7C50">
        <w:rPr>
          <w:snapToGrid w:val="0"/>
        </w:rPr>
        <w:t xml:space="preserve"> alone in postmenopausal women with HR+, HER2- </w:t>
      </w:r>
      <w:r w:rsidR="00B7550B" w:rsidRPr="003E7C50">
        <w:rPr>
          <w:snapToGrid w:val="0"/>
        </w:rPr>
        <w:t>ABC</w:t>
      </w:r>
      <w:r w:rsidRPr="003E7C50">
        <w:rPr>
          <w:snapToGrid w:val="0"/>
        </w:rPr>
        <w:t xml:space="preserve"> (MONALEESA-2). The PBAC considered that the chief limitations of the MONALEESA-2 trial were that it was </w:t>
      </w:r>
      <w:r w:rsidR="00852BA2" w:rsidRPr="003E7C50">
        <w:rPr>
          <w:snapToGrid w:val="0"/>
        </w:rPr>
        <w:t xml:space="preserve">not adequately </w:t>
      </w:r>
      <w:r w:rsidRPr="003E7C50">
        <w:rPr>
          <w:snapToGrid w:val="0"/>
        </w:rPr>
        <w:t xml:space="preserve">powered for </w:t>
      </w:r>
      <w:r w:rsidR="007C2BDE" w:rsidRPr="003E7C50">
        <w:rPr>
          <w:snapToGrid w:val="0"/>
        </w:rPr>
        <w:t>OS</w:t>
      </w:r>
      <w:r w:rsidR="00A315B8" w:rsidRPr="003E7C50">
        <w:rPr>
          <w:snapToGrid w:val="0"/>
        </w:rPr>
        <w:t>, and</w:t>
      </w:r>
      <w:r w:rsidRPr="003E7C50">
        <w:rPr>
          <w:snapToGrid w:val="0"/>
        </w:rPr>
        <w:t xml:space="preserve"> initial results were based on an interim analysis of the trial. </w:t>
      </w:r>
      <w:r w:rsidR="00A315B8" w:rsidRPr="003E7C50">
        <w:rPr>
          <w:snapToGrid w:val="0"/>
        </w:rPr>
        <w:t xml:space="preserve">The PBAC noted that the final OS analysis is unlikely to be available until 2020. </w:t>
      </w:r>
      <w:r w:rsidR="00972175" w:rsidRPr="003E7C50">
        <w:rPr>
          <w:snapToGrid w:val="0"/>
        </w:rPr>
        <w:t xml:space="preserve">Notwithstanding these limitations, the PBAC noted that the MONALEESA-2 trial demonstrated improvement in median PFS by </w:t>
      </w:r>
      <w:r w:rsidR="00B235DF">
        <w:rPr>
          <w:noProof/>
          <w:snapToGrid w:val="0"/>
          <w:color w:val="000000"/>
          <w:highlight w:val="black"/>
        </w:rPr>
        <w:t>'''</w:t>
      </w:r>
      <w:r w:rsidR="00114555" w:rsidRPr="003E7C50">
        <w:rPr>
          <w:snapToGrid w:val="0"/>
        </w:rPr>
        <w:t> </w:t>
      </w:r>
      <w:r w:rsidR="00972175" w:rsidRPr="003E7C50">
        <w:rPr>
          <w:snapToGrid w:val="0"/>
        </w:rPr>
        <w:t>months</w:t>
      </w:r>
      <w:r w:rsidR="00BB400B">
        <w:rPr>
          <w:snapToGrid w:val="0"/>
        </w:rPr>
        <w:t xml:space="preserve"> (based on median follow-up of around </w:t>
      </w:r>
      <w:r w:rsidR="00BB400B" w:rsidRPr="00495328">
        <w:rPr>
          <w:snapToGrid w:val="0"/>
        </w:rPr>
        <w:t>20</w:t>
      </w:r>
      <w:r w:rsidR="00BB400B">
        <w:rPr>
          <w:snapToGrid w:val="0"/>
        </w:rPr>
        <w:t xml:space="preserve"> months)</w:t>
      </w:r>
      <w:r w:rsidR="00972175" w:rsidRPr="003E7C50">
        <w:rPr>
          <w:snapToGrid w:val="0"/>
        </w:rPr>
        <w:t xml:space="preserve">. However, the PBAC noted that there was no significant difference in </w:t>
      </w:r>
      <w:r w:rsidR="007C2BDE" w:rsidRPr="003E7C50">
        <w:rPr>
          <w:snapToGrid w:val="0"/>
        </w:rPr>
        <w:t>OS</w:t>
      </w:r>
      <w:r w:rsidR="00972175" w:rsidRPr="003E7C50">
        <w:rPr>
          <w:snapToGrid w:val="0"/>
        </w:rPr>
        <w:t xml:space="preserve">, and that the </w:t>
      </w:r>
      <w:r w:rsidR="00972175" w:rsidRPr="003E7C50">
        <w:rPr>
          <w:rFonts w:eastAsia="Times New Roman" w:cs="Arial"/>
          <w:bCs/>
          <w:snapToGrid w:val="0"/>
        </w:rPr>
        <w:t xml:space="preserve">survival data were immature, given that the survival curves diverged at a point where the number of patients at risk was too small to draw any meaningful conclusions. As such, the PBAC advised that while the submission’s claim of superior efficacy against </w:t>
      </w:r>
      <w:proofErr w:type="spellStart"/>
      <w:r w:rsidR="00972175" w:rsidRPr="003E7C50">
        <w:rPr>
          <w:rFonts w:eastAsia="Times New Roman" w:cs="Arial"/>
          <w:bCs/>
          <w:snapToGrid w:val="0"/>
        </w:rPr>
        <w:t>letrozole</w:t>
      </w:r>
      <w:proofErr w:type="spellEnd"/>
      <w:r w:rsidR="00972175" w:rsidRPr="003E7C50">
        <w:rPr>
          <w:rFonts w:eastAsia="Times New Roman" w:cs="Arial"/>
          <w:bCs/>
          <w:snapToGrid w:val="0"/>
        </w:rPr>
        <w:t xml:space="preserve"> alone was likely to be reasonable for </w:t>
      </w:r>
      <w:r w:rsidR="00200774" w:rsidRPr="003E7C50">
        <w:rPr>
          <w:rFonts w:eastAsia="Times New Roman" w:cs="Arial"/>
          <w:bCs/>
          <w:snapToGrid w:val="0"/>
        </w:rPr>
        <w:t>PFS</w:t>
      </w:r>
      <w:r w:rsidR="00972175" w:rsidRPr="003E7C50">
        <w:rPr>
          <w:rFonts w:eastAsia="Times New Roman" w:cs="Arial"/>
          <w:bCs/>
          <w:snapToGrid w:val="0"/>
        </w:rPr>
        <w:t xml:space="preserve">, the immaturity of the </w:t>
      </w:r>
      <w:r w:rsidR="007C2BDE" w:rsidRPr="003E7C50">
        <w:rPr>
          <w:rFonts w:eastAsia="Times New Roman" w:cs="Arial"/>
          <w:bCs/>
          <w:snapToGrid w:val="0"/>
        </w:rPr>
        <w:t>OS</w:t>
      </w:r>
      <w:r w:rsidR="00972175" w:rsidRPr="003E7C50">
        <w:rPr>
          <w:rFonts w:eastAsia="Times New Roman" w:cs="Arial"/>
          <w:bCs/>
          <w:snapToGrid w:val="0"/>
        </w:rPr>
        <w:t xml:space="preserve"> data resulted in a high degree of uncertainty in the assessment of its magnitude of long-term benefit.</w:t>
      </w:r>
      <w:r w:rsidR="00D17308" w:rsidRPr="003E7C50">
        <w:rPr>
          <w:rFonts w:eastAsia="Times New Roman" w:cs="Arial"/>
          <w:bCs/>
          <w:snapToGrid w:val="0"/>
        </w:rPr>
        <w:t xml:space="preserve"> </w:t>
      </w:r>
      <w:r w:rsidR="00FC66E5" w:rsidRPr="00FC66E5">
        <w:rPr>
          <w:rFonts w:eastAsia="Times New Roman" w:cs="Arial"/>
          <w:bCs/>
          <w:snapToGrid w:val="0"/>
        </w:rPr>
        <w:t xml:space="preserve">The PBAC also noted that </w:t>
      </w:r>
      <w:proofErr w:type="spellStart"/>
      <w:r w:rsidR="00FC66E5" w:rsidRPr="00FC66E5">
        <w:rPr>
          <w:rFonts w:eastAsia="Times New Roman" w:cs="Arial"/>
          <w:bCs/>
          <w:snapToGrid w:val="0"/>
        </w:rPr>
        <w:t>ribociclib</w:t>
      </w:r>
      <w:proofErr w:type="spellEnd"/>
      <w:r w:rsidR="00FC66E5" w:rsidRPr="00FC66E5">
        <w:rPr>
          <w:rFonts w:eastAsia="Times New Roman" w:cs="Arial"/>
          <w:bCs/>
          <w:snapToGrid w:val="0"/>
        </w:rPr>
        <w:t xml:space="preserve"> was not associated with improvement in quality of life.</w:t>
      </w:r>
    </w:p>
    <w:p w:rsidR="00371407" w:rsidRPr="003E7C50" w:rsidRDefault="008B0D2D" w:rsidP="000308AF">
      <w:pPr>
        <w:pStyle w:val="ListParagraph"/>
        <w:rPr>
          <w:snapToGrid w:val="0"/>
        </w:rPr>
      </w:pPr>
      <w:r w:rsidRPr="003E7C50">
        <w:t xml:space="preserve">The PBAC noted the PSCR’s (p.1) argument that PBAC recommendations based on a trend towards improved OS are not without precedent, noting the March 2002 PBAC recommendation for first-line use of </w:t>
      </w:r>
      <w:proofErr w:type="spellStart"/>
      <w:r w:rsidRPr="003E7C50">
        <w:t>letrozole</w:t>
      </w:r>
      <w:proofErr w:type="spellEnd"/>
      <w:r w:rsidRPr="003E7C50">
        <w:t xml:space="preserve"> in patients with </w:t>
      </w:r>
      <w:r w:rsidR="00B7550B" w:rsidRPr="003E7C50">
        <w:t xml:space="preserve">ABC </w:t>
      </w:r>
      <w:r w:rsidR="00673F64">
        <w:t xml:space="preserve">based </w:t>
      </w:r>
      <w:r w:rsidRPr="003E7C50">
        <w:t>on acceptable cost</w:t>
      </w:r>
      <w:r w:rsidR="000A53FF" w:rsidRPr="003E7C50">
        <w:noBreakHyphen/>
      </w:r>
      <w:r w:rsidRPr="003E7C50">
        <w:t xml:space="preserve">effectiveness compared with tamoxifen. The PBAC considered that while the </w:t>
      </w:r>
      <w:proofErr w:type="spellStart"/>
      <w:r w:rsidRPr="003E7C50">
        <w:t>letrozole</w:t>
      </w:r>
      <w:proofErr w:type="spellEnd"/>
      <w:r w:rsidRPr="003E7C50">
        <w:t xml:space="preserve"> recommendation was a relevant precedent, the uncertainty in the OS outcome was considered in the context of the estimate of cost effectiveness on which the recommendation was based ($</w:t>
      </w:r>
      <w:r w:rsidR="00B235DF">
        <w:rPr>
          <w:noProof/>
          <w:color w:val="000000"/>
          <w:highlight w:val="black"/>
        </w:rPr>
        <w:t xml:space="preserve">''''''' </w:t>
      </w:r>
      <w:r w:rsidRPr="003E7C50">
        <w:t>per life year gained).</w:t>
      </w:r>
    </w:p>
    <w:p w:rsidR="00972175" w:rsidRPr="003E7C50" w:rsidRDefault="000A53FF" w:rsidP="000308AF">
      <w:pPr>
        <w:pStyle w:val="ListParagraph"/>
        <w:rPr>
          <w:snapToGrid w:val="0"/>
        </w:rPr>
      </w:pPr>
      <w:r w:rsidRPr="003E7C50">
        <w:rPr>
          <w:snapToGrid w:val="0"/>
        </w:rPr>
        <w:t xml:space="preserve">The PBAC noted the high rate of AEs associated with </w:t>
      </w:r>
      <w:proofErr w:type="spellStart"/>
      <w:r w:rsidRPr="003E7C50">
        <w:rPr>
          <w:snapToGrid w:val="0"/>
        </w:rPr>
        <w:t>ribociclib</w:t>
      </w:r>
      <w:proofErr w:type="spellEnd"/>
      <w:r w:rsidRPr="003E7C50">
        <w:rPr>
          <w:snapToGrid w:val="0"/>
        </w:rPr>
        <w:t xml:space="preserve">, with the </w:t>
      </w:r>
      <w:r w:rsidR="00F42508" w:rsidRPr="003E7C50">
        <w:rPr>
          <w:rFonts w:eastAsia="Times New Roman" w:cs="Arial"/>
          <w:bCs/>
          <w:snapToGrid w:val="0"/>
        </w:rPr>
        <w:t xml:space="preserve">majority of patients in the </w:t>
      </w:r>
      <w:proofErr w:type="spellStart"/>
      <w:r w:rsidR="00F42508" w:rsidRPr="003E7C50">
        <w:rPr>
          <w:rFonts w:eastAsia="Times New Roman" w:cs="Arial"/>
          <w:bCs/>
          <w:snapToGrid w:val="0"/>
        </w:rPr>
        <w:t>ribociclib</w:t>
      </w:r>
      <w:proofErr w:type="spellEnd"/>
      <w:r w:rsidR="00F42508" w:rsidRPr="003E7C50">
        <w:rPr>
          <w:rFonts w:eastAsia="Times New Roman" w:cs="Arial"/>
          <w:bCs/>
          <w:snapToGrid w:val="0"/>
        </w:rPr>
        <w:t xml:space="preserve"> + </w:t>
      </w:r>
      <w:proofErr w:type="spellStart"/>
      <w:r w:rsidR="00F42508" w:rsidRPr="003E7C50">
        <w:rPr>
          <w:rFonts w:eastAsia="Times New Roman" w:cs="Arial"/>
          <w:bCs/>
          <w:snapToGrid w:val="0"/>
        </w:rPr>
        <w:t>letrozole</w:t>
      </w:r>
      <w:proofErr w:type="spellEnd"/>
      <w:r w:rsidR="00F42508" w:rsidRPr="003E7C50">
        <w:rPr>
          <w:rFonts w:eastAsia="Times New Roman" w:cs="Arial"/>
          <w:bCs/>
          <w:snapToGrid w:val="0"/>
        </w:rPr>
        <w:t xml:space="preserve"> arm of the MONALEESA-2 trial experienced Grade</w:t>
      </w:r>
      <w:r w:rsidR="00F42508" w:rsidRPr="003E7C50">
        <w:t>≥</w:t>
      </w:r>
      <w:r w:rsidR="00F42508" w:rsidRPr="003E7C50">
        <w:rPr>
          <w:rFonts w:eastAsia="Times New Roman" w:cs="Arial"/>
          <w:bCs/>
          <w:snapToGrid w:val="0"/>
        </w:rPr>
        <w:t>3 AEs (</w:t>
      </w:r>
      <w:r w:rsidR="00B235DF">
        <w:rPr>
          <w:rFonts w:eastAsia="Times New Roman" w:cs="Arial"/>
          <w:bCs/>
          <w:noProof/>
          <w:snapToGrid w:val="0"/>
          <w:color w:val="000000"/>
          <w:highlight w:val="black"/>
        </w:rPr>
        <w:t>''''''''</w:t>
      </w:r>
      <w:r w:rsidR="00F42508" w:rsidRPr="003E7C50">
        <w:rPr>
          <w:rFonts w:eastAsia="Times New Roman" w:cs="Arial"/>
          <w:bCs/>
          <w:snapToGrid w:val="0"/>
        </w:rPr>
        <w:t xml:space="preserve">%, compared with </w:t>
      </w:r>
      <w:r w:rsidR="00B235DF">
        <w:rPr>
          <w:rFonts w:eastAsia="Times New Roman" w:cs="Arial"/>
          <w:bCs/>
          <w:noProof/>
          <w:snapToGrid w:val="0"/>
          <w:color w:val="000000"/>
          <w:highlight w:val="black"/>
        </w:rPr>
        <w:t>'''''''''</w:t>
      </w:r>
      <w:r w:rsidR="00F42508" w:rsidRPr="003E7C50">
        <w:rPr>
          <w:rFonts w:eastAsia="Times New Roman" w:cs="Arial"/>
          <w:bCs/>
          <w:snapToGrid w:val="0"/>
        </w:rPr>
        <w:t xml:space="preserve">% for </w:t>
      </w:r>
      <w:proofErr w:type="spellStart"/>
      <w:r w:rsidR="00F42508" w:rsidRPr="003E7C50">
        <w:rPr>
          <w:rFonts w:eastAsia="Times New Roman" w:cs="Arial"/>
          <w:bCs/>
          <w:snapToGrid w:val="0"/>
        </w:rPr>
        <w:t>letrozole</w:t>
      </w:r>
      <w:proofErr w:type="spellEnd"/>
      <w:r w:rsidR="00F42508" w:rsidRPr="003E7C50">
        <w:rPr>
          <w:rFonts w:eastAsia="Times New Roman" w:cs="Arial"/>
          <w:bCs/>
          <w:snapToGrid w:val="0"/>
        </w:rPr>
        <w:t xml:space="preserve"> alone). </w:t>
      </w:r>
      <w:r w:rsidR="00972175" w:rsidRPr="003E7C50">
        <w:rPr>
          <w:snapToGrid w:val="0"/>
        </w:rPr>
        <w:t xml:space="preserve">The PBAC </w:t>
      </w:r>
      <w:r w:rsidR="00200774" w:rsidRPr="003E7C50">
        <w:rPr>
          <w:snapToGrid w:val="0"/>
        </w:rPr>
        <w:t xml:space="preserve">considered </w:t>
      </w:r>
      <w:r w:rsidR="00972175" w:rsidRPr="003E7C50">
        <w:rPr>
          <w:snapToGrid w:val="0"/>
        </w:rPr>
        <w:t xml:space="preserve">that the high incidence of neutropenia </w:t>
      </w:r>
      <w:r w:rsidR="00D17308" w:rsidRPr="003E7C50">
        <w:rPr>
          <w:snapToGrid w:val="0"/>
        </w:rPr>
        <w:t>was</w:t>
      </w:r>
      <w:r w:rsidR="00972175" w:rsidRPr="003E7C50">
        <w:rPr>
          <w:snapToGrid w:val="0"/>
        </w:rPr>
        <w:t xml:space="preserve"> manageable in clinical practice </w:t>
      </w:r>
      <w:r w:rsidR="00D17308" w:rsidRPr="003E7C50">
        <w:rPr>
          <w:snapToGrid w:val="0"/>
        </w:rPr>
        <w:t>via dose reductions</w:t>
      </w:r>
      <w:r w:rsidR="00972175" w:rsidRPr="003E7C50">
        <w:rPr>
          <w:snapToGrid w:val="0"/>
        </w:rPr>
        <w:t xml:space="preserve">. However, the PBAC noted that </w:t>
      </w:r>
      <w:proofErr w:type="spellStart"/>
      <w:r w:rsidR="00972175" w:rsidRPr="003E7C50">
        <w:rPr>
          <w:snapToGrid w:val="0"/>
        </w:rPr>
        <w:t>ribociclib</w:t>
      </w:r>
      <w:proofErr w:type="spellEnd"/>
      <w:r w:rsidR="00972175" w:rsidRPr="003E7C50">
        <w:rPr>
          <w:snapToGrid w:val="0"/>
        </w:rPr>
        <w:t xml:space="preserve"> treatment resulted in substantially higher instances of </w:t>
      </w:r>
      <w:r w:rsidR="00972175" w:rsidRPr="003E7C50">
        <w:rPr>
          <w:rFonts w:eastAsia="Times New Roman" w:cs="Arial"/>
          <w:bCs/>
          <w:snapToGrid w:val="0"/>
        </w:rPr>
        <w:t xml:space="preserve">hepatobiliary toxicity (24.0% </w:t>
      </w:r>
      <w:proofErr w:type="spellStart"/>
      <w:r w:rsidR="00972175" w:rsidRPr="003E7C50">
        <w:rPr>
          <w:rFonts w:eastAsia="Times New Roman" w:cs="Arial"/>
          <w:bCs/>
          <w:snapToGrid w:val="0"/>
        </w:rPr>
        <w:t>ribociclib</w:t>
      </w:r>
      <w:proofErr w:type="spellEnd"/>
      <w:r w:rsidR="00972175" w:rsidRPr="003E7C50">
        <w:rPr>
          <w:rFonts w:eastAsia="Times New Roman" w:cs="Arial"/>
          <w:bCs/>
          <w:snapToGrid w:val="0"/>
        </w:rPr>
        <w:t xml:space="preserve"> + </w:t>
      </w:r>
      <w:proofErr w:type="spellStart"/>
      <w:r w:rsidR="00972175" w:rsidRPr="003E7C50">
        <w:rPr>
          <w:rFonts w:eastAsia="Times New Roman" w:cs="Arial"/>
          <w:bCs/>
          <w:snapToGrid w:val="0"/>
        </w:rPr>
        <w:t>letrozole</w:t>
      </w:r>
      <w:proofErr w:type="spellEnd"/>
      <w:r w:rsidR="00972175" w:rsidRPr="003E7C50">
        <w:rPr>
          <w:rFonts w:eastAsia="Times New Roman" w:cs="Arial"/>
          <w:bCs/>
          <w:snapToGrid w:val="0"/>
        </w:rPr>
        <w:t xml:space="preserve"> versus 13.6% </w:t>
      </w:r>
      <w:proofErr w:type="spellStart"/>
      <w:r w:rsidR="00972175" w:rsidRPr="003E7C50">
        <w:rPr>
          <w:rFonts w:eastAsia="Times New Roman" w:cs="Arial"/>
          <w:bCs/>
          <w:snapToGrid w:val="0"/>
        </w:rPr>
        <w:t>letrozole</w:t>
      </w:r>
      <w:proofErr w:type="spellEnd"/>
      <w:r w:rsidR="00972175" w:rsidRPr="003E7C50">
        <w:rPr>
          <w:rFonts w:eastAsia="Times New Roman" w:cs="Arial"/>
          <w:bCs/>
          <w:snapToGrid w:val="0"/>
        </w:rPr>
        <w:t xml:space="preserve"> alone) and inducement of QT interval prolongation (7.5% </w:t>
      </w:r>
      <w:proofErr w:type="spellStart"/>
      <w:r w:rsidR="00972175" w:rsidRPr="003E7C50">
        <w:rPr>
          <w:rFonts w:eastAsia="Times New Roman" w:cs="Arial"/>
          <w:bCs/>
          <w:snapToGrid w:val="0"/>
        </w:rPr>
        <w:t>ribociclib</w:t>
      </w:r>
      <w:proofErr w:type="spellEnd"/>
      <w:r w:rsidR="00972175" w:rsidRPr="003E7C50">
        <w:rPr>
          <w:rFonts w:eastAsia="Times New Roman" w:cs="Arial"/>
          <w:bCs/>
          <w:snapToGrid w:val="0"/>
        </w:rPr>
        <w:t xml:space="preserve"> + </w:t>
      </w:r>
      <w:proofErr w:type="spellStart"/>
      <w:r w:rsidR="00972175" w:rsidRPr="003E7C50">
        <w:rPr>
          <w:rFonts w:eastAsia="Times New Roman" w:cs="Arial"/>
          <w:bCs/>
          <w:snapToGrid w:val="0"/>
        </w:rPr>
        <w:t>letrozole</w:t>
      </w:r>
      <w:proofErr w:type="spellEnd"/>
      <w:r w:rsidR="00972175" w:rsidRPr="003E7C50">
        <w:rPr>
          <w:rFonts w:eastAsia="Times New Roman" w:cs="Arial"/>
          <w:bCs/>
          <w:snapToGrid w:val="0"/>
        </w:rPr>
        <w:t xml:space="preserve"> versus 2.4% </w:t>
      </w:r>
      <w:proofErr w:type="spellStart"/>
      <w:r w:rsidR="00972175" w:rsidRPr="003E7C50">
        <w:rPr>
          <w:rFonts w:eastAsia="Times New Roman" w:cs="Arial"/>
          <w:bCs/>
          <w:snapToGrid w:val="0"/>
        </w:rPr>
        <w:t>letrozole</w:t>
      </w:r>
      <w:proofErr w:type="spellEnd"/>
      <w:r w:rsidR="00972175" w:rsidRPr="003E7C50">
        <w:rPr>
          <w:rFonts w:eastAsia="Times New Roman" w:cs="Arial"/>
          <w:bCs/>
          <w:snapToGrid w:val="0"/>
        </w:rPr>
        <w:t xml:space="preserve"> alone).</w:t>
      </w:r>
      <w:r w:rsidR="00972175" w:rsidRPr="003E7C50">
        <w:t xml:space="preserve"> </w:t>
      </w:r>
      <w:r w:rsidR="00972175" w:rsidRPr="003E7C50">
        <w:rPr>
          <w:rFonts w:eastAsia="Times New Roman" w:cs="Arial"/>
          <w:bCs/>
          <w:snapToGrid w:val="0"/>
        </w:rPr>
        <w:t xml:space="preserve">The PBAC therefore advised that the submission’s claim of inferior safety </w:t>
      </w:r>
      <w:r w:rsidR="00852BA2" w:rsidRPr="003E7C50">
        <w:rPr>
          <w:rFonts w:eastAsia="Times New Roman" w:cs="Arial"/>
          <w:bCs/>
          <w:snapToGrid w:val="0"/>
        </w:rPr>
        <w:t xml:space="preserve">compared with </w:t>
      </w:r>
      <w:proofErr w:type="spellStart"/>
      <w:r w:rsidR="00852BA2" w:rsidRPr="003E7C50">
        <w:rPr>
          <w:rFonts w:eastAsia="Times New Roman" w:cs="Arial"/>
          <w:bCs/>
          <w:snapToGrid w:val="0"/>
        </w:rPr>
        <w:t>letrozole</w:t>
      </w:r>
      <w:proofErr w:type="spellEnd"/>
      <w:r w:rsidR="00852BA2" w:rsidRPr="003E7C50">
        <w:rPr>
          <w:rFonts w:eastAsia="Times New Roman" w:cs="Arial"/>
          <w:bCs/>
          <w:snapToGrid w:val="0"/>
        </w:rPr>
        <w:t xml:space="preserve"> alone </w:t>
      </w:r>
      <w:r w:rsidR="00972175" w:rsidRPr="003E7C50">
        <w:rPr>
          <w:rFonts w:eastAsia="Times New Roman" w:cs="Arial"/>
          <w:bCs/>
          <w:snapToGrid w:val="0"/>
        </w:rPr>
        <w:t>was reasonable.</w:t>
      </w:r>
    </w:p>
    <w:p w:rsidR="00D17308" w:rsidRPr="003E7C50" w:rsidRDefault="00D17308" w:rsidP="000308AF">
      <w:pPr>
        <w:pStyle w:val="ListParagraph"/>
        <w:rPr>
          <w:rFonts w:eastAsia="Times New Roman" w:cs="Arial"/>
          <w:bCs/>
          <w:snapToGrid w:val="0"/>
        </w:rPr>
      </w:pPr>
      <w:r w:rsidRPr="003E7C50">
        <w:rPr>
          <w:snapToGrid w:val="0"/>
        </w:rPr>
        <w:t xml:space="preserve">The PBAC noted that the indirect comparison against </w:t>
      </w:r>
      <w:proofErr w:type="spellStart"/>
      <w:r w:rsidRPr="003E7C50">
        <w:rPr>
          <w:snapToGrid w:val="0"/>
        </w:rPr>
        <w:t>palbociclib</w:t>
      </w:r>
      <w:proofErr w:type="spellEnd"/>
      <w:r w:rsidRPr="003E7C50">
        <w:rPr>
          <w:snapToGrid w:val="0"/>
        </w:rPr>
        <w:t xml:space="preserve"> presented in the submission did not demonstrate a significant difference in PFS. However, the PBAC considered that </w:t>
      </w:r>
      <w:r w:rsidRPr="003E7C50">
        <w:rPr>
          <w:rFonts w:eastAsia="Times New Roman" w:cs="Arial"/>
          <w:bCs/>
          <w:snapToGrid w:val="0"/>
        </w:rPr>
        <w:t>lack of evidence of a significant difference is not equivalent to evidence of no difference (non-inferiority). Furthermore, there was limited exchangeability across MONALEESA-1 (</w:t>
      </w:r>
      <w:proofErr w:type="spellStart"/>
      <w:r w:rsidRPr="003E7C50">
        <w:rPr>
          <w:rFonts w:eastAsia="Times New Roman" w:cs="Arial"/>
          <w:bCs/>
          <w:snapToGrid w:val="0"/>
        </w:rPr>
        <w:t>ribociclib</w:t>
      </w:r>
      <w:proofErr w:type="spellEnd"/>
      <w:r w:rsidRPr="003E7C50">
        <w:rPr>
          <w:rFonts w:eastAsia="Times New Roman" w:cs="Arial"/>
          <w:bCs/>
          <w:snapToGrid w:val="0"/>
        </w:rPr>
        <w:t>) and PALOMA-1 and PALOMA-2 (</w:t>
      </w:r>
      <w:proofErr w:type="spellStart"/>
      <w:r w:rsidRPr="003E7C50">
        <w:rPr>
          <w:rFonts w:eastAsia="Times New Roman" w:cs="Arial"/>
          <w:bCs/>
          <w:snapToGrid w:val="0"/>
        </w:rPr>
        <w:t>palbociclib</w:t>
      </w:r>
      <w:proofErr w:type="spellEnd"/>
      <w:r w:rsidRPr="003E7C50">
        <w:rPr>
          <w:rFonts w:eastAsia="Times New Roman" w:cs="Arial"/>
          <w:bCs/>
          <w:snapToGrid w:val="0"/>
        </w:rPr>
        <w:t xml:space="preserve">) trials. The PBAC also noted that there </w:t>
      </w:r>
      <w:r w:rsidR="001648C2" w:rsidRPr="003E7C50">
        <w:rPr>
          <w:rFonts w:eastAsia="Times New Roman" w:cs="Arial"/>
          <w:bCs/>
          <w:snapToGrid w:val="0"/>
        </w:rPr>
        <w:t xml:space="preserve">were </w:t>
      </w:r>
      <w:r w:rsidRPr="003E7C50">
        <w:rPr>
          <w:rFonts w:eastAsia="Times New Roman" w:cs="Arial"/>
          <w:bCs/>
          <w:snapToGrid w:val="0"/>
        </w:rPr>
        <w:t xml:space="preserve">more significantly more treatment discontinuations resulting from AEs for </w:t>
      </w:r>
      <w:proofErr w:type="spellStart"/>
      <w:r w:rsidRPr="003E7C50">
        <w:rPr>
          <w:rFonts w:eastAsia="Times New Roman" w:cs="Arial"/>
          <w:bCs/>
          <w:snapToGrid w:val="0"/>
        </w:rPr>
        <w:t>ribociclib</w:t>
      </w:r>
      <w:proofErr w:type="spellEnd"/>
      <w:r w:rsidRPr="003E7C50">
        <w:rPr>
          <w:rFonts w:eastAsia="Times New Roman" w:cs="Arial"/>
          <w:bCs/>
          <w:snapToGrid w:val="0"/>
        </w:rPr>
        <w:t xml:space="preserve"> plus </w:t>
      </w:r>
      <w:proofErr w:type="spellStart"/>
      <w:r w:rsidRPr="003E7C50">
        <w:rPr>
          <w:rFonts w:eastAsia="Times New Roman" w:cs="Arial"/>
          <w:bCs/>
          <w:snapToGrid w:val="0"/>
        </w:rPr>
        <w:t>letrozole</w:t>
      </w:r>
      <w:proofErr w:type="spellEnd"/>
      <w:r w:rsidRPr="003E7C50">
        <w:rPr>
          <w:rFonts w:eastAsia="Times New Roman" w:cs="Arial"/>
          <w:bCs/>
          <w:snapToGrid w:val="0"/>
        </w:rPr>
        <w:t xml:space="preserve"> compared </w:t>
      </w:r>
      <w:r w:rsidR="00B020B3" w:rsidRPr="003E7C50">
        <w:rPr>
          <w:rFonts w:eastAsia="Times New Roman" w:cs="Arial"/>
          <w:bCs/>
          <w:snapToGrid w:val="0"/>
        </w:rPr>
        <w:t>with</w:t>
      </w:r>
      <w:r w:rsidRPr="003E7C50">
        <w:rPr>
          <w:rFonts w:eastAsia="Times New Roman" w:cs="Arial"/>
          <w:bCs/>
          <w:snapToGrid w:val="0"/>
        </w:rPr>
        <w:t xml:space="preserve"> </w:t>
      </w:r>
      <w:proofErr w:type="spellStart"/>
      <w:r w:rsidRPr="003E7C50">
        <w:rPr>
          <w:rFonts w:eastAsia="Times New Roman" w:cs="Arial"/>
          <w:bCs/>
          <w:snapToGrid w:val="0"/>
        </w:rPr>
        <w:t>palbociclib</w:t>
      </w:r>
      <w:proofErr w:type="spellEnd"/>
      <w:r w:rsidRPr="003E7C50">
        <w:rPr>
          <w:rFonts w:eastAsia="Times New Roman" w:cs="Arial"/>
          <w:bCs/>
          <w:snapToGrid w:val="0"/>
        </w:rPr>
        <w:t xml:space="preserve"> plus </w:t>
      </w:r>
      <w:proofErr w:type="spellStart"/>
      <w:r w:rsidRPr="003E7C50">
        <w:rPr>
          <w:rFonts w:eastAsia="Times New Roman" w:cs="Arial"/>
          <w:bCs/>
          <w:snapToGrid w:val="0"/>
        </w:rPr>
        <w:t>letrozole</w:t>
      </w:r>
      <w:proofErr w:type="spellEnd"/>
      <w:r w:rsidRPr="003E7C50">
        <w:rPr>
          <w:rFonts w:eastAsia="Times New Roman" w:cs="Arial"/>
          <w:bCs/>
          <w:snapToGrid w:val="0"/>
        </w:rPr>
        <w:t xml:space="preserve">. Overall, the PBAC advised that there was limited data to support the submission’s claim of non-inferiority </w:t>
      </w:r>
      <w:r w:rsidR="00200774" w:rsidRPr="003E7C50">
        <w:rPr>
          <w:rFonts w:eastAsia="Times New Roman" w:cs="Arial"/>
          <w:bCs/>
          <w:snapToGrid w:val="0"/>
        </w:rPr>
        <w:t xml:space="preserve">in effectiveness and safety compared with </w:t>
      </w:r>
      <w:proofErr w:type="spellStart"/>
      <w:r w:rsidRPr="003E7C50">
        <w:rPr>
          <w:rFonts w:eastAsia="Times New Roman" w:cs="Arial"/>
          <w:bCs/>
          <w:snapToGrid w:val="0"/>
        </w:rPr>
        <w:t>palbociclib</w:t>
      </w:r>
      <w:proofErr w:type="spellEnd"/>
      <w:r w:rsidRPr="003E7C50">
        <w:rPr>
          <w:rFonts w:eastAsia="Times New Roman" w:cs="Arial"/>
          <w:bCs/>
          <w:snapToGrid w:val="0"/>
        </w:rPr>
        <w:t xml:space="preserve">. </w:t>
      </w:r>
    </w:p>
    <w:p w:rsidR="00D17308" w:rsidRPr="003E7C50" w:rsidRDefault="00D17308" w:rsidP="009C6E9A">
      <w:pPr>
        <w:pStyle w:val="ListParagraph"/>
        <w:rPr>
          <w:snapToGrid w:val="0"/>
        </w:rPr>
      </w:pPr>
      <w:r w:rsidRPr="003E7C50">
        <w:rPr>
          <w:snapToGrid w:val="0"/>
        </w:rPr>
        <w:t xml:space="preserve">The PBAC noted that the PSCR provided an updated economic model based on the January 2017 </w:t>
      </w:r>
      <w:r w:rsidR="001648C2" w:rsidRPr="003E7C50">
        <w:rPr>
          <w:snapToGrid w:val="0"/>
        </w:rPr>
        <w:t xml:space="preserve">interim </w:t>
      </w:r>
      <w:r w:rsidRPr="003E7C50">
        <w:rPr>
          <w:snapToGrid w:val="0"/>
        </w:rPr>
        <w:t>data</w:t>
      </w:r>
      <w:r w:rsidR="001648C2" w:rsidRPr="003E7C50">
        <w:rPr>
          <w:snapToGrid w:val="0"/>
        </w:rPr>
        <w:t xml:space="preserve"> analysis</w:t>
      </w:r>
      <w:r w:rsidRPr="003E7C50">
        <w:rPr>
          <w:snapToGrid w:val="0"/>
        </w:rPr>
        <w:t xml:space="preserve">, which reported an ICER of </w:t>
      </w:r>
      <w:r w:rsidR="009C6E9A" w:rsidRPr="009C6E9A">
        <w:rPr>
          <w:rFonts w:eastAsia="Times New Roman" w:cs="Arial"/>
          <w:bCs/>
          <w:snapToGrid w:val="0"/>
        </w:rPr>
        <w:t>$75,000/QALY – $105,000/QALY</w:t>
      </w:r>
      <w:r w:rsidRPr="003E7C50">
        <w:rPr>
          <w:snapToGrid w:val="0"/>
        </w:rPr>
        <w:t xml:space="preserve">. The PBAC considered that although the use of the updated data </w:t>
      </w:r>
      <w:r w:rsidR="008329C9">
        <w:t>addressed some of the issues raised in the evaluation</w:t>
      </w:r>
      <w:r w:rsidRPr="003E7C50">
        <w:rPr>
          <w:snapToGrid w:val="0"/>
        </w:rPr>
        <w:t xml:space="preserve">, the ICER from the PSCR </w:t>
      </w:r>
      <w:r w:rsidR="00B020B3" w:rsidRPr="003E7C50">
        <w:rPr>
          <w:snapToGrid w:val="0"/>
        </w:rPr>
        <w:t>could not be directly compared with</w:t>
      </w:r>
      <w:r w:rsidRPr="003E7C50">
        <w:rPr>
          <w:snapToGrid w:val="0"/>
        </w:rPr>
        <w:t xml:space="preserve"> the ICER from the submission (of </w:t>
      </w:r>
      <w:r w:rsidR="009C6E9A" w:rsidRPr="009C6E9A">
        <w:rPr>
          <w:snapToGrid w:val="0"/>
        </w:rPr>
        <w:t>$105,000/QALY – $200,000/QALY</w:t>
      </w:r>
      <w:r w:rsidRPr="003E7C50">
        <w:rPr>
          <w:snapToGrid w:val="0"/>
        </w:rPr>
        <w:t>) as the extrapolation approach differed between the two economic models. Additionally, the PBAC noted that the ICER provided in the PSCR was sensitive to the choice of functional form for the extrapolation. The PBAC therefore advised that the updated model required evaluation via a subsequent major submission.</w:t>
      </w:r>
    </w:p>
    <w:p w:rsidR="000D4B50" w:rsidRPr="003E7C50" w:rsidRDefault="000E2804" w:rsidP="000E2804">
      <w:pPr>
        <w:pStyle w:val="ListParagraph"/>
        <w:rPr>
          <w:rFonts w:eastAsia="Times New Roman" w:cs="Arial"/>
          <w:bCs/>
          <w:snapToGrid w:val="0"/>
        </w:rPr>
      </w:pPr>
      <w:r w:rsidRPr="003E7C50">
        <w:rPr>
          <w:rFonts w:eastAsia="Times New Roman" w:cs="Arial"/>
          <w:bCs/>
          <w:snapToGrid w:val="0"/>
        </w:rPr>
        <w:t>In addition</w:t>
      </w:r>
      <w:r w:rsidR="00D17308" w:rsidRPr="003E7C50">
        <w:rPr>
          <w:rFonts w:eastAsia="Times New Roman" w:cs="Arial"/>
          <w:bCs/>
          <w:snapToGrid w:val="0"/>
        </w:rPr>
        <w:t xml:space="preserve">, the PBAC considered that </w:t>
      </w:r>
      <w:r w:rsidR="008265FD" w:rsidRPr="003E7C50">
        <w:rPr>
          <w:rFonts w:eastAsia="Times New Roman" w:cs="Arial"/>
          <w:bCs/>
          <w:snapToGrid w:val="0"/>
        </w:rPr>
        <w:t xml:space="preserve">a time horizon </w:t>
      </w:r>
      <w:r w:rsidR="001648C2" w:rsidRPr="003E7C50">
        <w:rPr>
          <w:rFonts w:eastAsia="Times New Roman" w:cs="Arial"/>
          <w:bCs/>
          <w:snapToGrid w:val="0"/>
        </w:rPr>
        <w:t xml:space="preserve">no more than </w:t>
      </w:r>
      <w:r w:rsidR="008265FD" w:rsidRPr="003E7C50">
        <w:rPr>
          <w:rFonts w:eastAsia="Times New Roman" w:cs="Arial"/>
          <w:bCs/>
          <w:snapToGrid w:val="0"/>
        </w:rPr>
        <w:t xml:space="preserve">5 </w:t>
      </w:r>
      <w:r w:rsidR="00D17308" w:rsidRPr="003E7C50">
        <w:rPr>
          <w:rFonts w:eastAsia="Times New Roman" w:cs="Arial"/>
          <w:bCs/>
          <w:snapToGrid w:val="0"/>
        </w:rPr>
        <w:t>years would be appropriate</w:t>
      </w:r>
      <w:r w:rsidR="008265FD" w:rsidRPr="003E7C50">
        <w:rPr>
          <w:rFonts w:eastAsia="Times New Roman" w:cs="Arial"/>
          <w:bCs/>
          <w:snapToGrid w:val="0"/>
        </w:rPr>
        <w:t>,</w:t>
      </w:r>
      <w:r w:rsidR="00D17308" w:rsidRPr="003E7C50">
        <w:rPr>
          <w:rFonts w:eastAsia="Times New Roman" w:cs="Arial"/>
          <w:bCs/>
          <w:snapToGrid w:val="0"/>
        </w:rPr>
        <w:t xml:space="preserve"> given the immaturity of the existing </w:t>
      </w:r>
      <w:r w:rsidR="008265FD" w:rsidRPr="003E7C50">
        <w:rPr>
          <w:rFonts w:eastAsia="Times New Roman" w:cs="Arial"/>
          <w:bCs/>
          <w:snapToGrid w:val="0"/>
        </w:rPr>
        <w:t>survival</w:t>
      </w:r>
      <w:r w:rsidR="00D17308" w:rsidRPr="003E7C50">
        <w:rPr>
          <w:rFonts w:eastAsia="Times New Roman" w:cs="Arial"/>
          <w:bCs/>
          <w:snapToGrid w:val="0"/>
        </w:rPr>
        <w:t xml:space="preserve"> data and </w:t>
      </w:r>
      <w:r w:rsidR="008265FD" w:rsidRPr="003E7C50">
        <w:rPr>
          <w:rFonts w:eastAsia="Times New Roman" w:cs="Arial"/>
          <w:bCs/>
          <w:snapToGrid w:val="0"/>
        </w:rPr>
        <w:t>resulting uncertainties surrounding a potential OS benefit.</w:t>
      </w:r>
      <w:r w:rsidRPr="003E7C50">
        <w:rPr>
          <w:rFonts w:eastAsia="Times New Roman" w:cs="Arial"/>
          <w:bCs/>
          <w:snapToGrid w:val="0"/>
        </w:rPr>
        <w:t xml:space="preserve"> The PBAC noted that the results of the economic model presented in the submission were</w:t>
      </w:r>
      <w:r w:rsidR="00FC66E5">
        <w:rPr>
          <w:rFonts w:eastAsia="Times New Roman" w:cs="Arial"/>
          <w:bCs/>
          <w:snapToGrid w:val="0"/>
        </w:rPr>
        <w:t xml:space="preserve"> highly</w:t>
      </w:r>
      <w:r w:rsidRPr="003E7C50">
        <w:rPr>
          <w:rFonts w:eastAsia="Times New Roman" w:cs="Arial"/>
          <w:bCs/>
          <w:snapToGrid w:val="0"/>
        </w:rPr>
        <w:t xml:space="preserve"> sensitive to the time horizon. </w:t>
      </w:r>
    </w:p>
    <w:p w:rsidR="00500671" w:rsidRPr="003E7C50" w:rsidRDefault="00697C36" w:rsidP="009428DA">
      <w:pPr>
        <w:pStyle w:val="ListParagraph"/>
        <w:rPr>
          <w:bCs/>
        </w:rPr>
      </w:pPr>
      <w:r w:rsidRPr="003E7C50">
        <w:rPr>
          <w:snapToGrid w:val="0"/>
        </w:rPr>
        <w:t xml:space="preserve">The PBAC noted that the overall financial impact of </w:t>
      </w:r>
      <w:proofErr w:type="spellStart"/>
      <w:r w:rsidRPr="003E7C50">
        <w:rPr>
          <w:snapToGrid w:val="0"/>
        </w:rPr>
        <w:t>ribociclib</w:t>
      </w:r>
      <w:proofErr w:type="spellEnd"/>
      <w:r w:rsidRPr="003E7C50">
        <w:rPr>
          <w:snapToGrid w:val="0"/>
        </w:rPr>
        <w:t xml:space="preserve"> to the </w:t>
      </w:r>
      <w:r w:rsidR="00A315B8" w:rsidRPr="003E7C50">
        <w:rPr>
          <w:snapToGrid w:val="0"/>
        </w:rPr>
        <w:t>PBS</w:t>
      </w:r>
      <w:r w:rsidR="006D583E" w:rsidRPr="003E7C50">
        <w:rPr>
          <w:snapToGrid w:val="0"/>
        </w:rPr>
        <w:t xml:space="preserve"> </w:t>
      </w:r>
      <w:r w:rsidRPr="003E7C50">
        <w:rPr>
          <w:snapToGrid w:val="0"/>
        </w:rPr>
        <w:t xml:space="preserve">was over </w:t>
      </w:r>
      <w:r w:rsidR="009428DA">
        <w:rPr>
          <w:snapToGrid w:val="0"/>
        </w:rPr>
        <w:t xml:space="preserve">substantially </w:t>
      </w:r>
      <w:r w:rsidR="009428DA" w:rsidRPr="009428DA">
        <w:rPr>
          <w:snapToGrid w:val="0"/>
        </w:rPr>
        <w:t>more than $100 million</w:t>
      </w:r>
      <w:r w:rsidR="003409BB">
        <w:rPr>
          <w:snapToGrid w:val="0"/>
        </w:rPr>
        <w:t xml:space="preserve"> per year</w:t>
      </w:r>
      <w:r w:rsidR="009428DA" w:rsidRPr="009428DA">
        <w:rPr>
          <w:snapToGrid w:val="0"/>
        </w:rPr>
        <w:t xml:space="preserve"> </w:t>
      </w:r>
      <w:r w:rsidRPr="003E7C50">
        <w:rPr>
          <w:snapToGrid w:val="0"/>
        </w:rPr>
        <w:t xml:space="preserve">over the next </w:t>
      </w:r>
      <w:r w:rsidR="006D583E" w:rsidRPr="003E7C50">
        <w:rPr>
          <w:snapToGrid w:val="0"/>
        </w:rPr>
        <w:t xml:space="preserve">six </w:t>
      </w:r>
      <w:r w:rsidRPr="003E7C50">
        <w:rPr>
          <w:snapToGrid w:val="0"/>
        </w:rPr>
        <w:t xml:space="preserve">years, based on the financial estimates presented in the </w:t>
      </w:r>
      <w:r w:rsidR="006D583E" w:rsidRPr="003E7C50">
        <w:rPr>
          <w:snapToGrid w:val="0"/>
        </w:rPr>
        <w:t>submission</w:t>
      </w:r>
      <w:r w:rsidRPr="003E7C50">
        <w:rPr>
          <w:snapToGrid w:val="0"/>
        </w:rPr>
        <w:t xml:space="preserve">. </w:t>
      </w:r>
      <w:r w:rsidR="00BA77FA" w:rsidRPr="003E7C50">
        <w:rPr>
          <w:snapToGrid w:val="0"/>
        </w:rPr>
        <w:t>The PBAC considered that the financial estimates presented in the submission were overestimated, on account of several inappropriate assumptions</w:t>
      </w:r>
      <w:r w:rsidR="00500671" w:rsidRPr="003E7C50">
        <w:rPr>
          <w:snapToGrid w:val="0"/>
        </w:rPr>
        <w:t xml:space="preserve"> as</w:t>
      </w:r>
      <w:r w:rsidR="00BA77FA" w:rsidRPr="003E7C50">
        <w:rPr>
          <w:snapToGrid w:val="0"/>
        </w:rPr>
        <w:t xml:space="preserve"> identified by DUSC (see paragraph 6.48). The PBAC noted that </w:t>
      </w:r>
      <w:r w:rsidR="00500671" w:rsidRPr="003E7C50">
        <w:rPr>
          <w:snapToGrid w:val="0"/>
        </w:rPr>
        <w:t xml:space="preserve">the </w:t>
      </w:r>
      <w:r w:rsidR="00BA77FA" w:rsidRPr="003E7C50">
        <w:rPr>
          <w:snapToGrid w:val="0"/>
        </w:rPr>
        <w:t>pre-PBAC response (p.4) presented revised estimates</w:t>
      </w:r>
      <w:r w:rsidR="00500671" w:rsidRPr="003E7C50">
        <w:rPr>
          <w:snapToGrid w:val="0"/>
        </w:rPr>
        <w:t>,</w:t>
      </w:r>
      <w:r w:rsidR="00BA77FA" w:rsidRPr="003E7C50">
        <w:rPr>
          <w:snapToGrid w:val="0"/>
        </w:rPr>
        <w:t xml:space="preserve"> which reduced the financial impact to</w:t>
      </w:r>
      <w:r w:rsidR="009428DA" w:rsidRPr="009428DA">
        <w:t xml:space="preserve"> </w:t>
      </w:r>
      <w:r w:rsidR="001F20BE">
        <w:t xml:space="preserve">substantially </w:t>
      </w:r>
      <w:r w:rsidR="009428DA" w:rsidRPr="009428DA">
        <w:rPr>
          <w:snapToGrid w:val="0"/>
        </w:rPr>
        <w:t>more than $100 million</w:t>
      </w:r>
      <w:r w:rsidR="003409BB">
        <w:rPr>
          <w:snapToGrid w:val="0"/>
        </w:rPr>
        <w:t xml:space="preserve"> per year</w:t>
      </w:r>
      <w:r w:rsidR="009428DA" w:rsidRPr="009428DA">
        <w:rPr>
          <w:snapToGrid w:val="0"/>
        </w:rPr>
        <w:t xml:space="preserve"> </w:t>
      </w:r>
      <w:r w:rsidR="00BA77FA" w:rsidRPr="003E7C50">
        <w:rPr>
          <w:snapToGrid w:val="0"/>
        </w:rPr>
        <w:t xml:space="preserve">in the </w:t>
      </w:r>
      <w:r w:rsidR="008E1853" w:rsidRPr="003E7C50">
        <w:rPr>
          <w:snapToGrid w:val="0"/>
        </w:rPr>
        <w:t>first</w:t>
      </w:r>
      <w:r w:rsidR="00BA77FA" w:rsidRPr="003E7C50">
        <w:rPr>
          <w:snapToGrid w:val="0"/>
        </w:rPr>
        <w:t xml:space="preserve"> six years of listing</w:t>
      </w:r>
      <w:r w:rsidR="008329C9">
        <w:rPr>
          <w:snapToGrid w:val="0"/>
        </w:rPr>
        <w:t>, but</w:t>
      </w:r>
      <w:r w:rsidR="00500671" w:rsidRPr="003E7C50">
        <w:rPr>
          <w:snapToGrid w:val="0"/>
        </w:rPr>
        <w:t xml:space="preserve"> that</w:t>
      </w:r>
      <w:r w:rsidR="00BA77FA" w:rsidRPr="003E7C50">
        <w:rPr>
          <w:snapToGrid w:val="0"/>
        </w:rPr>
        <w:t xml:space="preserve"> these estimates </w:t>
      </w:r>
      <w:r w:rsidR="00500671" w:rsidRPr="003E7C50">
        <w:rPr>
          <w:snapToGrid w:val="0"/>
        </w:rPr>
        <w:t xml:space="preserve">have </w:t>
      </w:r>
      <w:r w:rsidR="00BA77FA" w:rsidRPr="003E7C50">
        <w:rPr>
          <w:snapToGrid w:val="0"/>
        </w:rPr>
        <w:t xml:space="preserve">not </w:t>
      </w:r>
      <w:r w:rsidR="00500671" w:rsidRPr="003E7C50">
        <w:rPr>
          <w:snapToGrid w:val="0"/>
        </w:rPr>
        <w:t xml:space="preserve">been </w:t>
      </w:r>
      <w:r w:rsidR="00BA77FA" w:rsidRPr="003E7C50">
        <w:rPr>
          <w:snapToGrid w:val="0"/>
        </w:rPr>
        <w:t xml:space="preserve">evaluated. </w:t>
      </w:r>
    </w:p>
    <w:p w:rsidR="00FC66E5" w:rsidRPr="003E7C50" w:rsidRDefault="00FC66E5" w:rsidP="00FC66E5">
      <w:pPr>
        <w:pStyle w:val="ListParagraph"/>
        <w:rPr>
          <w:bCs/>
        </w:rPr>
      </w:pPr>
      <w:r w:rsidRPr="003E7C50">
        <w:rPr>
          <w:rFonts w:eastAsia="Times New Roman" w:cs="Arial"/>
          <w:bCs/>
          <w:snapToGrid w:val="0"/>
        </w:rPr>
        <w:t xml:space="preserve">Overall, the PBAC noted that there was significant opportunity cost of listing </w:t>
      </w:r>
      <w:proofErr w:type="spellStart"/>
      <w:r w:rsidRPr="003E7C50">
        <w:rPr>
          <w:rFonts w:eastAsia="Times New Roman" w:cs="Arial"/>
          <w:bCs/>
          <w:snapToGrid w:val="0"/>
        </w:rPr>
        <w:t>ribociclib</w:t>
      </w:r>
      <w:proofErr w:type="spellEnd"/>
      <w:r w:rsidRPr="003E7C50">
        <w:rPr>
          <w:rFonts w:eastAsia="Times New Roman" w:cs="Arial"/>
          <w:bCs/>
          <w:snapToGrid w:val="0"/>
        </w:rPr>
        <w:t xml:space="preserve">, particularly in the context of the uncertainty </w:t>
      </w:r>
      <w:r>
        <w:rPr>
          <w:rFonts w:eastAsia="Times New Roman" w:cs="Arial"/>
          <w:bCs/>
          <w:snapToGrid w:val="0"/>
        </w:rPr>
        <w:t>of cost-effectiveness driven by immature</w:t>
      </w:r>
      <w:r w:rsidRPr="003E7C50">
        <w:rPr>
          <w:rFonts w:eastAsia="Times New Roman" w:cs="Arial"/>
          <w:bCs/>
          <w:snapToGrid w:val="0"/>
        </w:rPr>
        <w:t xml:space="preserve"> the survival data. In this regard, the PBAC considered that a tight subsidisation cap through an RSA would be important if </w:t>
      </w:r>
      <w:proofErr w:type="spellStart"/>
      <w:r w:rsidRPr="003E7C50">
        <w:rPr>
          <w:rFonts w:eastAsia="Times New Roman" w:cs="Arial"/>
          <w:bCs/>
          <w:snapToGrid w:val="0"/>
        </w:rPr>
        <w:t>ribociclib</w:t>
      </w:r>
      <w:proofErr w:type="spellEnd"/>
      <w:r w:rsidRPr="003E7C50">
        <w:rPr>
          <w:rFonts w:eastAsia="Times New Roman" w:cs="Arial"/>
          <w:bCs/>
          <w:snapToGrid w:val="0"/>
        </w:rPr>
        <w:t xml:space="preserve"> were recommended for listing. </w:t>
      </w:r>
    </w:p>
    <w:p w:rsidR="00296077" w:rsidRPr="003E7C50" w:rsidRDefault="00296077" w:rsidP="000308AF">
      <w:pPr>
        <w:widowControl w:val="0"/>
        <w:numPr>
          <w:ilvl w:val="1"/>
          <w:numId w:val="3"/>
        </w:numPr>
        <w:spacing w:before="0" w:after="120"/>
        <w:jc w:val="both"/>
        <w:rPr>
          <w:rFonts w:eastAsia="Times New Roman" w:cs="Arial"/>
          <w:bCs/>
          <w:snapToGrid w:val="0"/>
          <w:szCs w:val="24"/>
        </w:rPr>
      </w:pPr>
      <w:r w:rsidRPr="003E7C50">
        <w:rPr>
          <w:rFonts w:eastAsia="Times New Roman" w:cs="Arial"/>
          <w:bCs/>
          <w:snapToGrid w:val="0"/>
          <w:szCs w:val="24"/>
        </w:rPr>
        <w:t xml:space="preserve">The PBAC </w:t>
      </w:r>
      <w:r w:rsidR="00572744" w:rsidRPr="003E7C50">
        <w:rPr>
          <w:rFonts w:eastAsia="Times New Roman" w:cs="Arial"/>
          <w:bCs/>
          <w:snapToGrid w:val="0"/>
          <w:szCs w:val="24"/>
        </w:rPr>
        <w:t xml:space="preserve">noted that </w:t>
      </w:r>
      <w:r w:rsidR="000E2804" w:rsidRPr="003E7C50">
        <w:rPr>
          <w:rFonts w:eastAsia="Times New Roman" w:cs="Arial"/>
          <w:bCs/>
          <w:snapToGrid w:val="0"/>
          <w:szCs w:val="24"/>
        </w:rPr>
        <w:t xml:space="preserve">the sponsor intended to lodge </w:t>
      </w:r>
      <w:r w:rsidR="00572744" w:rsidRPr="003E7C50">
        <w:rPr>
          <w:rFonts w:eastAsia="Times New Roman" w:cs="Arial"/>
          <w:bCs/>
          <w:snapToGrid w:val="0"/>
          <w:szCs w:val="24"/>
        </w:rPr>
        <w:t xml:space="preserve">a major resubmission for </w:t>
      </w:r>
      <w:proofErr w:type="spellStart"/>
      <w:r w:rsidR="00572744" w:rsidRPr="003E7C50">
        <w:rPr>
          <w:rFonts w:eastAsia="Times New Roman" w:cs="Arial"/>
          <w:bCs/>
          <w:snapToGrid w:val="0"/>
          <w:szCs w:val="24"/>
        </w:rPr>
        <w:t>ribociclib</w:t>
      </w:r>
      <w:proofErr w:type="spellEnd"/>
      <w:r w:rsidR="00572744" w:rsidRPr="003E7C50">
        <w:rPr>
          <w:rFonts w:eastAsia="Times New Roman" w:cs="Arial"/>
          <w:bCs/>
          <w:snapToGrid w:val="0"/>
          <w:szCs w:val="24"/>
        </w:rPr>
        <w:t xml:space="preserve"> </w:t>
      </w:r>
      <w:r w:rsidR="000E2804" w:rsidRPr="003E7C50">
        <w:rPr>
          <w:rFonts w:eastAsia="Times New Roman" w:cs="Arial"/>
          <w:bCs/>
          <w:snapToGrid w:val="0"/>
          <w:szCs w:val="24"/>
        </w:rPr>
        <w:t xml:space="preserve">for </w:t>
      </w:r>
      <w:r w:rsidR="00572744" w:rsidRPr="003E7C50">
        <w:rPr>
          <w:rFonts w:eastAsia="Times New Roman" w:cs="Arial"/>
          <w:bCs/>
          <w:snapToGrid w:val="0"/>
          <w:szCs w:val="24"/>
        </w:rPr>
        <w:t>conside</w:t>
      </w:r>
      <w:r w:rsidR="000E2804" w:rsidRPr="003E7C50">
        <w:rPr>
          <w:rFonts w:eastAsia="Times New Roman" w:cs="Arial"/>
          <w:bCs/>
          <w:snapToGrid w:val="0"/>
          <w:szCs w:val="24"/>
        </w:rPr>
        <w:t>ration</w:t>
      </w:r>
      <w:r w:rsidR="00572744" w:rsidRPr="003E7C50">
        <w:rPr>
          <w:rFonts w:eastAsia="Times New Roman" w:cs="Arial"/>
          <w:bCs/>
          <w:snapToGrid w:val="0"/>
          <w:szCs w:val="24"/>
        </w:rPr>
        <w:t xml:space="preserve"> by the Committee at its November 2017 meeting</w:t>
      </w:r>
      <w:r w:rsidR="000E2804" w:rsidRPr="003E7C50">
        <w:rPr>
          <w:rFonts w:eastAsia="Times New Roman" w:cs="Arial"/>
          <w:bCs/>
          <w:snapToGrid w:val="0"/>
          <w:szCs w:val="24"/>
        </w:rPr>
        <w:t xml:space="preserve">. The PBAC </w:t>
      </w:r>
      <w:r w:rsidRPr="003E7C50">
        <w:rPr>
          <w:rFonts w:eastAsia="Times New Roman" w:cs="Arial"/>
          <w:bCs/>
          <w:snapToGrid w:val="0"/>
          <w:szCs w:val="24"/>
        </w:rPr>
        <w:t xml:space="preserve">considered that </w:t>
      </w:r>
      <w:r w:rsidR="00BF3BFB" w:rsidRPr="003E7C50">
        <w:rPr>
          <w:rFonts w:eastAsia="Times New Roman" w:cs="Arial"/>
          <w:bCs/>
          <w:snapToGrid w:val="0"/>
          <w:szCs w:val="24"/>
        </w:rPr>
        <w:t>the</w:t>
      </w:r>
      <w:r w:rsidRPr="003E7C50">
        <w:rPr>
          <w:rFonts w:eastAsia="Times New Roman" w:cs="Arial"/>
          <w:bCs/>
          <w:snapToGrid w:val="0"/>
          <w:szCs w:val="24"/>
        </w:rPr>
        <w:t xml:space="preserve"> </w:t>
      </w:r>
      <w:r w:rsidR="00BF3BFB" w:rsidRPr="003E7C50">
        <w:rPr>
          <w:rFonts w:eastAsia="Times New Roman" w:cs="Arial"/>
          <w:bCs/>
          <w:snapToGrid w:val="0"/>
          <w:szCs w:val="24"/>
        </w:rPr>
        <w:t>re</w:t>
      </w:r>
      <w:r w:rsidRPr="003E7C50">
        <w:rPr>
          <w:rFonts w:eastAsia="Times New Roman" w:cs="Arial"/>
          <w:bCs/>
          <w:snapToGrid w:val="0"/>
          <w:szCs w:val="24"/>
        </w:rPr>
        <w:t xml:space="preserve">submission should address the </w:t>
      </w:r>
      <w:r w:rsidR="00572744" w:rsidRPr="003E7C50">
        <w:rPr>
          <w:rFonts w:eastAsia="Times New Roman" w:cs="Arial"/>
          <w:bCs/>
          <w:snapToGrid w:val="0"/>
          <w:szCs w:val="24"/>
        </w:rPr>
        <w:t>following</w:t>
      </w:r>
      <w:r w:rsidR="008329C9">
        <w:rPr>
          <w:rFonts w:eastAsia="Times New Roman" w:cs="Arial"/>
          <w:bCs/>
          <w:snapToGrid w:val="0"/>
          <w:szCs w:val="24"/>
        </w:rPr>
        <w:t xml:space="preserve"> (while noting that the resubmission will have been lodged before the sponsor receives this advice)</w:t>
      </w:r>
      <w:r w:rsidRPr="003E7C50">
        <w:rPr>
          <w:rFonts w:eastAsia="Times New Roman" w:cs="Arial"/>
          <w:bCs/>
          <w:snapToGrid w:val="0"/>
          <w:szCs w:val="24"/>
        </w:rPr>
        <w:t>:</w:t>
      </w:r>
    </w:p>
    <w:p w:rsidR="003730F7" w:rsidRPr="003E7C50" w:rsidRDefault="005670D7" w:rsidP="000308AF">
      <w:pPr>
        <w:widowControl w:val="0"/>
        <w:numPr>
          <w:ilvl w:val="2"/>
          <w:numId w:val="3"/>
        </w:numPr>
        <w:tabs>
          <w:tab w:val="left" w:pos="993"/>
        </w:tabs>
        <w:spacing w:before="0" w:after="120"/>
        <w:ind w:left="993" w:hanging="284"/>
        <w:jc w:val="both"/>
        <w:rPr>
          <w:rFonts w:eastAsia="Times New Roman" w:cs="Arial"/>
          <w:bCs/>
          <w:snapToGrid w:val="0"/>
          <w:szCs w:val="24"/>
        </w:rPr>
      </w:pPr>
      <w:r w:rsidRPr="003E7C50">
        <w:rPr>
          <w:rFonts w:eastAsia="Times New Roman" w:cs="Arial"/>
          <w:bCs/>
          <w:snapToGrid w:val="0"/>
          <w:szCs w:val="24"/>
        </w:rPr>
        <w:t>An updated set of restriction criteria reflecting PBAC’</w:t>
      </w:r>
      <w:r w:rsidR="00E52530" w:rsidRPr="003E7C50">
        <w:rPr>
          <w:rFonts w:eastAsia="Times New Roman" w:cs="Arial"/>
          <w:bCs/>
          <w:snapToGrid w:val="0"/>
          <w:szCs w:val="24"/>
        </w:rPr>
        <w:t xml:space="preserve">s recommendations (see paragraph </w:t>
      </w:r>
      <w:r w:rsidR="009A509F" w:rsidRPr="003E7C50">
        <w:rPr>
          <w:rFonts w:eastAsia="Times New Roman" w:cs="Arial"/>
          <w:bCs/>
          <w:snapToGrid w:val="0"/>
          <w:szCs w:val="24"/>
        </w:rPr>
        <w:t xml:space="preserve">7.3 to </w:t>
      </w:r>
      <w:r w:rsidR="00E52530" w:rsidRPr="003E7C50">
        <w:rPr>
          <w:rFonts w:eastAsia="Times New Roman" w:cs="Arial"/>
          <w:bCs/>
          <w:snapToGrid w:val="0"/>
          <w:szCs w:val="24"/>
        </w:rPr>
        <w:t>7.</w:t>
      </w:r>
      <w:r w:rsidR="00C50A40" w:rsidRPr="003E7C50">
        <w:rPr>
          <w:rFonts w:eastAsia="Times New Roman" w:cs="Arial"/>
          <w:bCs/>
          <w:snapToGrid w:val="0"/>
          <w:szCs w:val="24"/>
        </w:rPr>
        <w:t>7</w:t>
      </w:r>
      <w:r w:rsidRPr="003E7C50">
        <w:rPr>
          <w:rFonts w:eastAsia="Times New Roman" w:cs="Arial"/>
          <w:bCs/>
          <w:snapToGrid w:val="0"/>
          <w:szCs w:val="24"/>
        </w:rPr>
        <w:t>)</w:t>
      </w:r>
      <w:r w:rsidR="003730F7" w:rsidRPr="003E7C50">
        <w:rPr>
          <w:rFonts w:eastAsia="Times New Roman" w:cs="Arial"/>
          <w:bCs/>
          <w:snapToGrid w:val="0"/>
          <w:szCs w:val="24"/>
        </w:rPr>
        <w:t>;</w:t>
      </w:r>
    </w:p>
    <w:p w:rsidR="003730F7" w:rsidRPr="003E7C50" w:rsidRDefault="00E21ED1" w:rsidP="009A509F">
      <w:pPr>
        <w:widowControl w:val="0"/>
        <w:numPr>
          <w:ilvl w:val="2"/>
          <w:numId w:val="3"/>
        </w:numPr>
        <w:tabs>
          <w:tab w:val="left" w:pos="993"/>
        </w:tabs>
        <w:spacing w:before="0" w:after="120"/>
        <w:ind w:left="993" w:hanging="284"/>
        <w:jc w:val="both"/>
        <w:rPr>
          <w:rFonts w:eastAsia="Times New Roman" w:cs="Arial"/>
          <w:bCs/>
          <w:snapToGrid w:val="0"/>
          <w:szCs w:val="24"/>
        </w:rPr>
      </w:pPr>
      <w:r w:rsidRPr="003E7C50">
        <w:rPr>
          <w:rFonts w:eastAsia="Times New Roman" w:cs="Arial"/>
          <w:bCs/>
          <w:snapToGrid w:val="0"/>
          <w:szCs w:val="24"/>
        </w:rPr>
        <w:t>Any further evidence that may be available</w:t>
      </w:r>
      <w:r w:rsidR="009A509F" w:rsidRPr="003E7C50">
        <w:rPr>
          <w:rFonts w:eastAsia="Times New Roman" w:cs="Arial"/>
          <w:bCs/>
          <w:snapToGrid w:val="0"/>
          <w:szCs w:val="24"/>
        </w:rPr>
        <w:t xml:space="preserve"> to demonstrate the comparative efficacy and safety of </w:t>
      </w:r>
      <w:proofErr w:type="spellStart"/>
      <w:r w:rsidR="009A509F" w:rsidRPr="003E7C50">
        <w:rPr>
          <w:rFonts w:eastAsia="Times New Roman" w:cs="Arial"/>
          <w:bCs/>
          <w:snapToGrid w:val="0"/>
          <w:szCs w:val="24"/>
        </w:rPr>
        <w:t>ribociclib</w:t>
      </w:r>
      <w:proofErr w:type="spellEnd"/>
      <w:r w:rsidR="009A509F" w:rsidRPr="003E7C50">
        <w:rPr>
          <w:rFonts w:eastAsia="Times New Roman" w:cs="Arial"/>
          <w:bCs/>
          <w:snapToGrid w:val="0"/>
          <w:szCs w:val="24"/>
        </w:rPr>
        <w:t xml:space="preserve"> in the proposed PBS population to compensate for the lack of evidence regarding the </w:t>
      </w:r>
      <w:r w:rsidR="003C2988" w:rsidRPr="003E7C50">
        <w:rPr>
          <w:rFonts w:eastAsia="Times New Roman" w:cs="Arial"/>
          <w:bCs/>
          <w:snapToGrid w:val="0"/>
          <w:szCs w:val="24"/>
        </w:rPr>
        <w:t xml:space="preserve">comparative </w:t>
      </w:r>
      <w:r w:rsidR="009A509F" w:rsidRPr="003E7C50">
        <w:rPr>
          <w:rFonts w:eastAsia="Times New Roman" w:cs="Arial"/>
          <w:bCs/>
          <w:snapToGrid w:val="0"/>
          <w:szCs w:val="24"/>
        </w:rPr>
        <w:t>survival benefit</w:t>
      </w:r>
      <w:r w:rsidRPr="003E7C50">
        <w:rPr>
          <w:rFonts w:eastAsia="Times New Roman" w:cs="Arial"/>
          <w:bCs/>
          <w:snapToGrid w:val="0"/>
          <w:szCs w:val="24"/>
        </w:rPr>
        <w:t xml:space="preserve"> (prior to when this data is expected to become available in 2020)</w:t>
      </w:r>
      <w:r w:rsidR="003730F7" w:rsidRPr="003E7C50">
        <w:rPr>
          <w:rFonts w:eastAsia="Times New Roman" w:cs="Arial"/>
          <w:bCs/>
          <w:snapToGrid w:val="0"/>
          <w:szCs w:val="24"/>
        </w:rPr>
        <w:t>;</w:t>
      </w:r>
    </w:p>
    <w:p w:rsidR="00296077" w:rsidRPr="003E7C50" w:rsidRDefault="00E21ED1" w:rsidP="000308AF">
      <w:pPr>
        <w:widowControl w:val="0"/>
        <w:numPr>
          <w:ilvl w:val="2"/>
          <w:numId w:val="3"/>
        </w:numPr>
        <w:tabs>
          <w:tab w:val="left" w:pos="993"/>
        </w:tabs>
        <w:spacing w:before="0" w:after="120"/>
        <w:ind w:left="993" w:hanging="284"/>
        <w:jc w:val="both"/>
        <w:rPr>
          <w:rFonts w:eastAsia="Times New Roman" w:cs="Arial"/>
          <w:bCs/>
          <w:snapToGrid w:val="0"/>
          <w:szCs w:val="24"/>
        </w:rPr>
      </w:pPr>
      <w:r w:rsidRPr="003E7C50">
        <w:rPr>
          <w:rFonts w:eastAsia="Times New Roman" w:cs="Arial"/>
          <w:bCs/>
          <w:snapToGrid w:val="0"/>
          <w:szCs w:val="24"/>
        </w:rPr>
        <w:t xml:space="preserve">The economic model updated with the latest interim data analysis for evaluation and a </w:t>
      </w:r>
      <w:r w:rsidR="00296077" w:rsidRPr="003E7C50">
        <w:rPr>
          <w:rFonts w:eastAsia="Times New Roman" w:cs="Arial"/>
          <w:bCs/>
          <w:snapToGrid w:val="0"/>
          <w:szCs w:val="24"/>
        </w:rPr>
        <w:t xml:space="preserve">time horizon </w:t>
      </w:r>
      <w:r w:rsidR="00DB51D1" w:rsidRPr="003E7C50">
        <w:rPr>
          <w:rFonts w:eastAsia="Times New Roman" w:cs="Arial"/>
          <w:bCs/>
          <w:snapToGrid w:val="0"/>
          <w:szCs w:val="24"/>
        </w:rPr>
        <w:t xml:space="preserve">for the economic model </w:t>
      </w:r>
      <w:r w:rsidR="00296077" w:rsidRPr="003E7C50">
        <w:rPr>
          <w:rFonts w:eastAsia="Times New Roman" w:cs="Arial"/>
          <w:bCs/>
          <w:snapToGrid w:val="0"/>
          <w:szCs w:val="24"/>
        </w:rPr>
        <w:t xml:space="preserve">of </w:t>
      </w:r>
      <w:r w:rsidR="00DB51D1" w:rsidRPr="003E7C50">
        <w:rPr>
          <w:rFonts w:eastAsia="Times New Roman" w:cs="Arial"/>
          <w:bCs/>
          <w:snapToGrid w:val="0"/>
          <w:szCs w:val="24"/>
        </w:rPr>
        <w:t xml:space="preserve">no more than </w:t>
      </w:r>
      <w:r w:rsidR="00296077" w:rsidRPr="003E7C50">
        <w:rPr>
          <w:rFonts w:eastAsia="Times New Roman" w:cs="Arial"/>
          <w:bCs/>
          <w:snapToGrid w:val="0"/>
          <w:szCs w:val="24"/>
        </w:rPr>
        <w:t>5 years</w:t>
      </w:r>
      <w:r w:rsidR="00572744" w:rsidRPr="003E7C50">
        <w:rPr>
          <w:rFonts w:eastAsia="Times New Roman" w:cs="Arial"/>
          <w:bCs/>
          <w:snapToGrid w:val="0"/>
          <w:szCs w:val="24"/>
        </w:rPr>
        <w:t xml:space="preserve">, </w:t>
      </w:r>
      <w:r w:rsidR="00380F8A" w:rsidRPr="003E7C50">
        <w:rPr>
          <w:rFonts w:eastAsia="Times New Roman" w:cs="Arial"/>
          <w:bCs/>
          <w:snapToGrid w:val="0"/>
          <w:szCs w:val="24"/>
        </w:rPr>
        <w:t xml:space="preserve">given </w:t>
      </w:r>
      <w:r w:rsidR="00572744" w:rsidRPr="003E7C50">
        <w:rPr>
          <w:rFonts w:eastAsia="Times New Roman" w:cs="Arial"/>
          <w:bCs/>
          <w:snapToGrid w:val="0"/>
          <w:szCs w:val="24"/>
        </w:rPr>
        <w:t xml:space="preserve">the </w:t>
      </w:r>
      <w:r w:rsidR="00380F8A" w:rsidRPr="003E7C50">
        <w:rPr>
          <w:rFonts w:eastAsia="Times New Roman" w:cs="Arial"/>
          <w:bCs/>
          <w:snapToGrid w:val="0"/>
          <w:szCs w:val="24"/>
        </w:rPr>
        <w:t xml:space="preserve">lack of evidence of the effect of </w:t>
      </w:r>
      <w:proofErr w:type="spellStart"/>
      <w:r w:rsidR="00380F8A" w:rsidRPr="003E7C50">
        <w:rPr>
          <w:rFonts w:eastAsia="Times New Roman" w:cs="Arial"/>
          <w:bCs/>
          <w:snapToGrid w:val="0"/>
          <w:szCs w:val="24"/>
        </w:rPr>
        <w:t>ribociclib</w:t>
      </w:r>
      <w:proofErr w:type="spellEnd"/>
      <w:r w:rsidR="00380F8A" w:rsidRPr="003E7C50">
        <w:rPr>
          <w:rFonts w:eastAsia="Times New Roman" w:cs="Arial"/>
          <w:bCs/>
          <w:snapToGrid w:val="0"/>
          <w:szCs w:val="24"/>
        </w:rPr>
        <w:t xml:space="preserve"> on survival</w:t>
      </w:r>
      <w:r w:rsidR="003730F7" w:rsidRPr="003E7C50">
        <w:rPr>
          <w:rFonts w:eastAsia="Times New Roman" w:cs="Arial"/>
          <w:bCs/>
          <w:snapToGrid w:val="0"/>
          <w:szCs w:val="24"/>
        </w:rPr>
        <w:t>;</w:t>
      </w:r>
    </w:p>
    <w:p w:rsidR="005670D7" w:rsidRPr="003E7C50" w:rsidRDefault="005670D7" w:rsidP="000308AF">
      <w:pPr>
        <w:widowControl w:val="0"/>
        <w:numPr>
          <w:ilvl w:val="2"/>
          <w:numId w:val="3"/>
        </w:numPr>
        <w:tabs>
          <w:tab w:val="left" w:pos="993"/>
        </w:tabs>
        <w:spacing w:before="0" w:after="120"/>
        <w:ind w:left="993" w:hanging="284"/>
        <w:jc w:val="both"/>
        <w:rPr>
          <w:rFonts w:eastAsia="Times New Roman" w:cs="Arial"/>
          <w:bCs/>
          <w:snapToGrid w:val="0"/>
          <w:szCs w:val="24"/>
        </w:rPr>
      </w:pPr>
      <w:r w:rsidRPr="003E7C50">
        <w:rPr>
          <w:rFonts w:eastAsia="Times New Roman" w:cs="Arial"/>
          <w:bCs/>
          <w:snapToGrid w:val="0"/>
          <w:szCs w:val="24"/>
        </w:rPr>
        <w:t>Amended utilisation estimates reflecting the updated restriction criteria; and</w:t>
      </w:r>
    </w:p>
    <w:p w:rsidR="00296077" w:rsidRPr="003E7C50" w:rsidRDefault="00572744" w:rsidP="000308AF">
      <w:pPr>
        <w:widowControl w:val="0"/>
        <w:numPr>
          <w:ilvl w:val="2"/>
          <w:numId w:val="3"/>
        </w:numPr>
        <w:tabs>
          <w:tab w:val="left" w:pos="993"/>
        </w:tabs>
        <w:spacing w:before="0" w:after="120"/>
        <w:ind w:left="993" w:hanging="284"/>
        <w:jc w:val="both"/>
        <w:rPr>
          <w:rFonts w:eastAsia="Times New Roman" w:cs="Arial"/>
          <w:bCs/>
          <w:snapToGrid w:val="0"/>
          <w:szCs w:val="24"/>
        </w:rPr>
      </w:pPr>
      <w:r w:rsidRPr="003E7C50">
        <w:rPr>
          <w:rFonts w:eastAsia="Times New Roman" w:cs="Arial"/>
          <w:bCs/>
          <w:snapToGrid w:val="0"/>
          <w:szCs w:val="24"/>
        </w:rPr>
        <w:t>A</w:t>
      </w:r>
      <w:r w:rsidR="00C50A40" w:rsidRPr="003E7C50">
        <w:rPr>
          <w:rFonts w:eastAsia="Times New Roman" w:cs="Arial"/>
          <w:bCs/>
          <w:snapToGrid w:val="0"/>
          <w:szCs w:val="24"/>
        </w:rPr>
        <w:t xml:space="preserve">n RSA </w:t>
      </w:r>
      <w:r w:rsidR="00296077" w:rsidRPr="003E7C50">
        <w:rPr>
          <w:rFonts w:eastAsia="Times New Roman" w:cs="Arial"/>
          <w:bCs/>
          <w:snapToGrid w:val="0"/>
          <w:szCs w:val="24"/>
        </w:rPr>
        <w:t>to account for the uncertainty in treatment duration and the risk of use beyond progression</w:t>
      </w:r>
      <w:r w:rsidR="00DB51D1" w:rsidRPr="003E7C50">
        <w:rPr>
          <w:rFonts w:eastAsia="Times New Roman" w:cs="Arial"/>
          <w:bCs/>
          <w:snapToGrid w:val="0"/>
          <w:szCs w:val="24"/>
        </w:rPr>
        <w:t>.</w:t>
      </w:r>
    </w:p>
    <w:p w:rsidR="00737CB1" w:rsidRPr="003E7C50" w:rsidRDefault="003C2988" w:rsidP="00737CB1">
      <w:pPr>
        <w:widowControl w:val="0"/>
        <w:numPr>
          <w:ilvl w:val="1"/>
          <w:numId w:val="3"/>
        </w:numPr>
        <w:spacing w:before="0" w:after="120"/>
        <w:jc w:val="both"/>
        <w:rPr>
          <w:rFonts w:eastAsia="Times New Roman" w:cs="Arial"/>
          <w:bCs/>
          <w:snapToGrid w:val="0"/>
          <w:szCs w:val="24"/>
        </w:rPr>
      </w:pPr>
      <w:r w:rsidRPr="003E7C50">
        <w:rPr>
          <w:rFonts w:eastAsia="Times New Roman" w:cs="Arial"/>
          <w:bCs/>
          <w:snapToGrid w:val="0"/>
          <w:szCs w:val="24"/>
        </w:rPr>
        <w:t>The PBAC</w:t>
      </w:r>
      <w:r w:rsidR="00737CB1" w:rsidRPr="003E7C50">
        <w:rPr>
          <w:rFonts w:eastAsia="Times New Roman" w:cs="Arial"/>
          <w:bCs/>
          <w:snapToGrid w:val="0"/>
          <w:szCs w:val="24"/>
        </w:rPr>
        <w:t xml:space="preserve"> further</w:t>
      </w:r>
      <w:r w:rsidRPr="003E7C50">
        <w:rPr>
          <w:rFonts w:eastAsia="Times New Roman" w:cs="Arial"/>
          <w:bCs/>
          <w:snapToGrid w:val="0"/>
          <w:szCs w:val="24"/>
        </w:rPr>
        <w:t xml:space="preserve"> advised that</w:t>
      </w:r>
      <w:r w:rsidR="00E21ED1" w:rsidRPr="003E7C50">
        <w:rPr>
          <w:rFonts w:eastAsia="Times New Roman" w:cs="Arial"/>
          <w:bCs/>
          <w:snapToGrid w:val="0"/>
          <w:szCs w:val="24"/>
        </w:rPr>
        <w:t xml:space="preserve"> for </w:t>
      </w:r>
      <w:proofErr w:type="spellStart"/>
      <w:r w:rsidR="00E21ED1" w:rsidRPr="003E7C50">
        <w:rPr>
          <w:rFonts w:eastAsia="Times New Roman" w:cs="Arial"/>
          <w:bCs/>
          <w:snapToGrid w:val="0"/>
          <w:szCs w:val="24"/>
        </w:rPr>
        <w:t>ribociclib</w:t>
      </w:r>
      <w:proofErr w:type="spellEnd"/>
      <w:r w:rsidR="00E21ED1" w:rsidRPr="003E7C50">
        <w:rPr>
          <w:rFonts w:eastAsia="Times New Roman" w:cs="Arial"/>
          <w:bCs/>
          <w:snapToGrid w:val="0"/>
          <w:szCs w:val="24"/>
        </w:rPr>
        <w:t xml:space="preserve"> to be considered acceptably cost-effective</w:t>
      </w:r>
      <w:r w:rsidR="00737CB1" w:rsidRPr="003E7C50">
        <w:rPr>
          <w:rFonts w:eastAsia="Times New Roman" w:cs="Arial"/>
          <w:bCs/>
          <w:snapToGrid w:val="0"/>
          <w:szCs w:val="24"/>
        </w:rPr>
        <w:t>,</w:t>
      </w:r>
      <w:r w:rsidRPr="003E7C50">
        <w:rPr>
          <w:rFonts w:eastAsia="Times New Roman" w:cs="Arial"/>
          <w:bCs/>
          <w:snapToGrid w:val="0"/>
          <w:szCs w:val="24"/>
        </w:rPr>
        <w:t xml:space="preserve"> </w:t>
      </w:r>
      <w:r w:rsidR="00E21ED1" w:rsidRPr="003E7C50">
        <w:rPr>
          <w:rFonts w:eastAsia="Times New Roman" w:cs="Arial"/>
          <w:bCs/>
          <w:snapToGrid w:val="0"/>
          <w:szCs w:val="24"/>
        </w:rPr>
        <w:t>in the context of</w:t>
      </w:r>
      <w:r w:rsidRPr="003E7C50">
        <w:rPr>
          <w:rFonts w:eastAsia="Times New Roman" w:cs="Arial"/>
          <w:bCs/>
          <w:snapToGrid w:val="0"/>
          <w:szCs w:val="24"/>
        </w:rPr>
        <w:t xml:space="preserve"> the risk of </w:t>
      </w:r>
      <w:r w:rsidR="00757F24" w:rsidRPr="003E7C50">
        <w:rPr>
          <w:rFonts w:eastAsia="Times New Roman" w:cs="Arial"/>
          <w:bCs/>
          <w:snapToGrid w:val="0"/>
          <w:szCs w:val="24"/>
        </w:rPr>
        <w:t xml:space="preserve">the </w:t>
      </w:r>
      <w:r w:rsidR="00737CB1" w:rsidRPr="003E7C50">
        <w:rPr>
          <w:rFonts w:eastAsia="Times New Roman" w:cs="Arial"/>
          <w:bCs/>
          <w:snapToGrid w:val="0"/>
          <w:szCs w:val="24"/>
        </w:rPr>
        <w:t>gain in PFS</w:t>
      </w:r>
      <w:r w:rsidR="00757F24" w:rsidRPr="003E7C50">
        <w:rPr>
          <w:rFonts w:eastAsia="Times New Roman" w:cs="Arial"/>
          <w:bCs/>
          <w:snapToGrid w:val="0"/>
          <w:szCs w:val="24"/>
        </w:rPr>
        <w:t xml:space="preserve"> </w:t>
      </w:r>
      <w:r w:rsidRPr="003E7C50">
        <w:rPr>
          <w:rFonts w:eastAsia="Times New Roman" w:cs="Arial"/>
          <w:bCs/>
          <w:snapToGrid w:val="0"/>
          <w:szCs w:val="24"/>
        </w:rPr>
        <w:t>not adequately translating to a subsequent incremental OS</w:t>
      </w:r>
      <w:r w:rsidR="00737CB1" w:rsidRPr="003E7C50">
        <w:rPr>
          <w:rFonts w:eastAsia="Times New Roman" w:cs="Arial"/>
          <w:bCs/>
          <w:snapToGrid w:val="0"/>
          <w:szCs w:val="24"/>
        </w:rPr>
        <w:t xml:space="preserve"> and </w:t>
      </w:r>
      <w:r w:rsidRPr="003E7C50">
        <w:rPr>
          <w:rFonts w:eastAsia="Times New Roman" w:cs="Arial"/>
          <w:bCs/>
          <w:snapToGrid w:val="0"/>
          <w:szCs w:val="24"/>
        </w:rPr>
        <w:t xml:space="preserve">the relatively </w:t>
      </w:r>
      <w:r w:rsidR="00757F24" w:rsidRPr="003E7C50">
        <w:rPr>
          <w:rFonts w:eastAsia="Times New Roman" w:cs="Arial"/>
          <w:bCs/>
          <w:snapToGrid w:val="0"/>
          <w:szCs w:val="24"/>
        </w:rPr>
        <w:t>insignificant quality of life gain associated with the PFS benefit,</w:t>
      </w:r>
      <w:r w:rsidR="00737CB1" w:rsidRPr="003E7C50">
        <w:rPr>
          <w:rFonts w:eastAsia="Times New Roman" w:cs="Arial"/>
          <w:bCs/>
          <w:snapToGrid w:val="0"/>
          <w:szCs w:val="24"/>
        </w:rPr>
        <w:t xml:space="preserve"> a </w:t>
      </w:r>
      <w:r w:rsidR="00EB7CEE">
        <w:rPr>
          <w:rFonts w:eastAsia="Times New Roman" w:cs="Arial"/>
          <w:bCs/>
          <w:snapToGrid w:val="0"/>
          <w:szCs w:val="24"/>
        </w:rPr>
        <w:t>substantial</w:t>
      </w:r>
      <w:r w:rsidR="00EB7CEE" w:rsidRPr="003E7C50">
        <w:rPr>
          <w:rFonts w:eastAsia="Times New Roman" w:cs="Arial"/>
          <w:bCs/>
          <w:snapToGrid w:val="0"/>
          <w:szCs w:val="24"/>
        </w:rPr>
        <w:t xml:space="preserve"> </w:t>
      </w:r>
      <w:r w:rsidR="00737CB1" w:rsidRPr="003E7C50">
        <w:rPr>
          <w:rFonts w:eastAsia="Times New Roman" w:cs="Arial"/>
          <w:bCs/>
          <w:snapToGrid w:val="0"/>
          <w:szCs w:val="24"/>
        </w:rPr>
        <w:t>price reduction would</w:t>
      </w:r>
      <w:r w:rsidR="009C21E2">
        <w:rPr>
          <w:rFonts w:eastAsia="Times New Roman" w:cs="Arial"/>
          <w:bCs/>
          <w:snapToGrid w:val="0"/>
          <w:szCs w:val="24"/>
        </w:rPr>
        <w:t xml:space="preserve"> likely</w:t>
      </w:r>
      <w:r w:rsidR="00737CB1" w:rsidRPr="003E7C50">
        <w:rPr>
          <w:rFonts w:eastAsia="Times New Roman" w:cs="Arial"/>
          <w:bCs/>
          <w:snapToGrid w:val="0"/>
          <w:szCs w:val="24"/>
        </w:rPr>
        <w:t xml:space="preserve"> be required</w:t>
      </w:r>
      <w:r w:rsidR="009C21E2">
        <w:rPr>
          <w:rFonts w:eastAsia="Times New Roman" w:cs="Arial"/>
          <w:bCs/>
          <w:snapToGrid w:val="0"/>
          <w:szCs w:val="24"/>
        </w:rPr>
        <w:t>.</w:t>
      </w:r>
      <w:r w:rsidR="00852BA2" w:rsidRPr="003E7C50">
        <w:rPr>
          <w:rFonts w:eastAsia="Times New Roman" w:cs="Arial"/>
          <w:bCs/>
          <w:snapToGrid w:val="0"/>
          <w:szCs w:val="24"/>
        </w:rPr>
        <w:t xml:space="preserve"> </w:t>
      </w:r>
    </w:p>
    <w:p w:rsidR="003730F7" w:rsidRPr="003E7C50" w:rsidRDefault="00852BA2" w:rsidP="000308AF">
      <w:pPr>
        <w:widowControl w:val="0"/>
        <w:numPr>
          <w:ilvl w:val="1"/>
          <w:numId w:val="3"/>
        </w:numPr>
        <w:spacing w:before="0" w:after="120"/>
        <w:jc w:val="both"/>
        <w:rPr>
          <w:rFonts w:eastAsia="Times New Roman" w:cs="Arial"/>
          <w:bCs/>
          <w:snapToGrid w:val="0"/>
          <w:szCs w:val="24"/>
        </w:rPr>
      </w:pPr>
      <w:r w:rsidRPr="003E7C50">
        <w:rPr>
          <w:rFonts w:eastAsia="Times New Roman" w:cs="Arial"/>
          <w:bCs/>
          <w:snapToGrid w:val="0"/>
          <w:szCs w:val="24"/>
        </w:rPr>
        <w:t>The pre-PBAC response (p.1) acknowledged the immature nature of the evidence presented, and proposed that</w:t>
      </w:r>
      <w:r w:rsidRPr="003E7C50">
        <w:t xml:space="preserve"> the absence of mature OS</w:t>
      </w:r>
      <w:r w:rsidR="00E21ED1" w:rsidRPr="003E7C50">
        <w:t xml:space="preserve"> data </w:t>
      </w:r>
      <w:r w:rsidRPr="003E7C50">
        <w:t xml:space="preserve">be mitigated by </w:t>
      </w:r>
      <w:r w:rsidR="00E21ED1" w:rsidRPr="003E7C50">
        <w:t xml:space="preserve">an </w:t>
      </w:r>
      <w:r w:rsidR="006C6253">
        <w:t>alternative arrangement, such as a review at the time of availability of OS data</w:t>
      </w:r>
      <w:r w:rsidRPr="003E7C50">
        <w:t xml:space="preserve">. </w:t>
      </w:r>
      <w:r w:rsidR="00E95B65" w:rsidRPr="003E7C50">
        <w:rPr>
          <w:rFonts w:eastAsia="Times New Roman" w:cs="Arial"/>
          <w:bCs/>
          <w:snapToGrid w:val="0"/>
          <w:szCs w:val="24"/>
        </w:rPr>
        <w:t xml:space="preserve">The PBAC indicated that it would be open to considering </w:t>
      </w:r>
      <w:r w:rsidR="00673F64">
        <w:rPr>
          <w:rFonts w:eastAsia="Times New Roman" w:cs="Arial"/>
          <w:bCs/>
          <w:snapToGrid w:val="0"/>
          <w:szCs w:val="24"/>
        </w:rPr>
        <w:t xml:space="preserve">a recommendation for </w:t>
      </w:r>
      <w:proofErr w:type="spellStart"/>
      <w:r w:rsidR="00D063A7" w:rsidRPr="003E7C50">
        <w:rPr>
          <w:rFonts w:eastAsia="Times New Roman" w:cs="Arial"/>
          <w:bCs/>
          <w:snapToGrid w:val="0"/>
          <w:szCs w:val="24"/>
        </w:rPr>
        <w:t>ribociclib</w:t>
      </w:r>
      <w:proofErr w:type="spellEnd"/>
      <w:r w:rsidR="00D063A7" w:rsidRPr="003E7C50">
        <w:rPr>
          <w:rFonts w:eastAsia="Times New Roman" w:cs="Arial"/>
          <w:bCs/>
          <w:snapToGrid w:val="0"/>
          <w:szCs w:val="24"/>
        </w:rPr>
        <w:t xml:space="preserve"> for </w:t>
      </w:r>
      <w:r w:rsidR="00E95B65" w:rsidRPr="003E7C50">
        <w:rPr>
          <w:rFonts w:eastAsia="Times New Roman" w:cs="Arial"/>
          <w:bCs/>
          <w:snapToGrid w:val="0"/>
          <w:szCs w:val="24"/>
        </w:rPr>
        <w:t xml:space="preserve">PBS listing under </w:t>
      </w:r>
      <w:r w:rsidR="00F632A6" w:rsidRPr="003E7C50">
        <w:rPr>
          <w:rFonts w:eastAsia="Times New Roman" w:cs="Arial"/>
          <w:bCs/>
          <w:snapToGrid w:val="0"/>
          <w:szCs w:val="24"/>
        </w:rPr>
        <w:t>an appropriate</w:t>
      </w:r>
      <w:r w:rsidRPr="003E7C50">
        <w:rPr>
          <w:rFonts w:eastAsia="Times New Roman" w:cs="Arial"/>
          <w:bCs/>
          <w:snapToGrid w:val="0"/>
          <w:szCs w:val="24"/>
        </w:rPr>
        <w:t xml:space="preserve"> arrangement</w:t>
      </w:r>
      <w:r w:rsidR="00E95B65" w:rsidRPr="003E7C50">
        <w:rPr>
          <w:rFonts w:eastAsia="Times New Roman" w:cs="Arial"/>
          <w:bCs/>
          <w:snapToGrid w:val="0"/>
          <w:szCs w:val="24"/>
        </w:rPr>
        <w:t xml:space="preserve"> pending further </w:t>
      </w:r>
      <w:r w:rsidR="00B10A51" w:rsidRPr="003E7C50">
        <w:rPr>
          <w:rFonts w:eastAsia="Times New Roman" w:cs="Arial"/>
          <w:bCs/>
          <w:snapToGrid w:val="0"/>
          <w:szCs w:val="24"/>
        </w:rPr>
        <w:t xml:space="preserve">OS </w:t>
      </w:r>
      <w:r w:rsidR="00E95B65" w:rsidRPr="003E7C50">
        <w:rPr>
          <w:rFonts w:eastAsia="Times New Roman" w:cs="Arial"/>
          <w:bCs/>
          <w:snapToGrid w:val="0"/>
          <w:szCs w:val="24"/>
        </w:rPr>
        <w:t>data, should evidence compelling it to do so be presented in a future major resubmission.</w:t>
      </w:r>
    </w:p>
    <w:p w:rsidR="00A558EC" w:rsidRPr="003E7C50" w:rsidRDefault="00A558EC" w:rsidP="000308AF">
      <w:pPr>
        <w:widowControl w:val="0"/>
        <w:numPr>
          <w:ilvl w:val="1"/>
          <w:numId w:val="3"/>
        </w:numPr>
        <w:spacing w:before="0" w:after="120"/>
        <w:jc w:val="both"/>
        <w:rPr>
          <w:rFonts w:eastAsia="Times New Roman" w:cs="Arial"/>
          <w:b/>
          <w:bCs/>
          <w:snapToGrid w:val="0"/>
          <w:szCs w:val="24"/>
        </w:rPr>
      </w:pPr>
      <w:r w:rsidRPr="003E7C50">
        <w:rPr>
          <w:rFonts w:eastAsia="Times New Roman" w:cs="Arial"/>
          <w:bCs/>
          <w:snapToGrid w:val="0"/>
          <w:szCs w:val="24"/>
        </w:rPr>
        <w:t xml:space="preserve">The PBAC noted that this submission is eligible for an Independent Review. </w:t>
      </w:r>
    </w:p>
    <w:p w:rsidR="000D4B50" w:rsidRDefault="000D4B50" w:rsidP="000D4B50">
      <w:pPr>
        <w:widowControl w:val="0"/>
        <w:spacing w:before="0" w:after="0"/>
        <w:jc w:val="both"/>
        <w:rPr>
          <w:rFonts w:eastAsia="Times New Roman" w:cs="Arial"/>
          <w:b/>
          <w:bCs/>
          <w:snapToGrid w:val="0"/>
          <w:szCs w:val="24"/>
        </w:rPr>
      </w:pPr>
    </w:p>
    <w:p w:rsidR="00242C8D" w:rsidRDefault="00242C8D" w:rsidP="000D4B50">
      <w:pPr>
        <w:widowControl w:val="0"/>
        <w:spacing w:before="0" w:after="0"/>
        <w:jc w:val="both"/>
        <w:rPr>
          <w:rFonts w:eastAsia="Times New Roman" w:cs="Arial"/>
          <w:b/>
          <w:bCs/>
          <w:snapToGrid w:val="0"/>
          <w:szCs w:val="24"/>
        </w:rPr>
      </w:pPr>
    </w:p>
    <w:p w:rsidR="00242C8D" w:rsidRPr="003E7C50" w:rsidRDefault="00242C8D" w:rsidP="000D4B50">
      <w:pPr>
        <w:widowControl w:val="0"/>
        <w:spacing w:before="0" w:after="0"/>
        <w:jc w:val="both"/>
        <w:rPr>
          <w:rFonts w:eastAsia="Times New Roman" w:cs="Arial"/>
          <w:b/>
          <w:bCs/>
          <w:snapToGrid w:val="0"/>
          <w:szCs w:val="24"/>
        </w:rPr>
      </w:pPr>
    </w:p>
    <w:p w:rsidR="000D4B50" w:rsidRPr="003E7C50" w:rsidRDefault="000D4B50" w:rsidP="000D4B50">
      <w:pPr>
        <w:widowControl w:val="0"/>
        <w:spacing w:before="0" w:after="0"/>
        <w:jc w:val="both"/>
        <w:rPr>
          <w:rFonts w:eastAsia="Times New Roman" w:cs="Arial"/>
          <w:b/>
          <w:bCs/>
          <w:snapToGrid w:val="0"/>
          <w:szCs w:val="24"/>
        </w:rPr>
      </w:pPr>
      <w:r w:rsidRPr="003E7C50">
        <w:rPr>
          <w:rFonts w:eastAsia="Times New Roman" w:cs="Arial"/>
          <w:b/>
          <w:bCs/>
          <w:snapToGrid w:val="0"/>
          <w:szCs w:val="24"/>
        </w:rPr>
        <w:t>Outcome:</w:t>
      </w:r>
    </w:p>
    <w:p w:rsidR="000D4B50" w:rsidRPr="003E7C50" w:rsidRDefault="000D4B50" w:rsidP="000D4B50">
      <w:pPr>
        <w:widowControl w:val="0"/>
        <w:spacing w:before="0" w:after="0"/>
        <w:jc w:val="both"/>
        <w:rPr>
          <w:rFonts w:eastAsia="Times New Roman" w:cs="Arial"/>
          <w:bCs/>
          <w:snapToGrid w:val="0"/>
          <w:szCs w:val="24"/>
        </w:rPr>
      </w:pPr>
      <w:r w:rsidRPr="003E7C50">
        <w:rPr>
          <w:rFonts w:eastAsia="Times New Roman" w:cs="Arial"/>
          <w:bCs/>
          <w:snapToGrid w:val="0"/>
          <w:szCs w:val="24"/>
        </w:rPr>
        <w:t xml:space="preserve">Rejected </w:t>
      </w:r>
    </w:p>
    <w:p w:rsidR="000D4B50" w:rsidRPr="003E7C50" w:rsidRDefault="000D4B50" w:rsidP="000D4B50">
      <w:pPr>
        <w:widowControl w:val="0"/>
        <w:spacing w:before="0" w:after="0"/>
        <w:jc w:val="both"/>
        <w:rPr>
          <w:rFonts w:eastAsia="Times New Roman" w:cs="Arial"/>
          <w:bCs/>
          <w:snapToGrid w:val="0"/>
          <w:szCs w:val="24"/>
        </w:rPr>
      </w:pPr>
    </w:p>
    <w:p w:rsidR="000D4B50" w:rsidRPr="009428DA" w:rsidRDefault="000D4B50" w:rsidP="006C0ABB">
      <w:pPr>
        <w:keepNext/>
        <w:keepLines/>
        <w:spacing w:after="0"/>
        <w:rPr>
          <w:rFonts w:cs="Arial"/>
          <w:szCs w:val="24"/>
          <w:highlight w:val="yellow"/>
        </w:rPr>
      </w:pPr>
    </w:p>
    <w:p w:rsidR="003972D9" w:rsidRPr="001601E8" w:rsidRDefault="003972D9" w:rsidP="001601E8">
      <w:pPr>
        <w:pStyle w:val="Heading1"/>
        <w:numPr>
          <w:ilvl w:val="0"/>
          <w:numId w:val="1"/>
        </w:numPr>
        <w:ind w:left="709" w:hanging="709"/>
      </w:pPr>
      <w:r w:rsidRPr="001601E8">
        <w:t>Context for Decision</w:t>
      </w:r>
    </w:p>
    <w:p w:rsidR="003972D9" w:rsidRPr="009428DA" w:rsidRDefault="003972D9" w:rsidP="003972D9">
      <w:pPr>
        <w:spacing w:before="0" w:after="0" w:line="276" w:lineRule="auto"/>
        <w:ind w:left="426"/>
        <w:jc w:val="both"/>
        <w:rPr>
          <w:rFonts w:eastAsia="Calibri" w:cs="Arial"/>
          <w:szCs w:val="24"/>
        </w:rPr>
      </w:pPr>
    </w:p>
    <w:p w:rsidR="003972D9" w:rsidRPr="009428DA" w:rsidRDefault="003972D9" w:rsidP="001601E8">
      <w:pPr>
        <w:spacing w:before="0" w:after="0" w:line="276" w:lineRule="auto"/>
        <w:jc w:val="both"/>
        <w:rPr>
          <w:rFonts w:eastAsia="Calibri" w:cs="Arial"/>
          <w:szCs w:val="24"/>
        </w:rPr>
      </w:pPr>
      <w:r w:rsidRPr="009428DA">
        <w:rPr>
          <w:rFonts w:eastAsia="Calibri"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972D9" w:rsidRPr="001601E8" w:rsidRDefault="003972D9" w:rsidP="001601E8">
      <w:pPr>
        <w:pStyle w:val="Heading1"/>
        <w:numPr>
          <w:ilvl w:val="0"/>
          <w:numId w:val="1"/>
        </w:numPr>
        <w:ind w:left="709" w:hanging="709"/>
      </w:pPr>
      <w:r w:rsidRPr="001601E8">
        <w:t>Sponsor’s Comment</w:t>
      </w:r>
    </w:p>
    <w:p w:rsidR="003972D9" w:rsidRPr="009428DA" w:rsidRDefault="003972D9" w:rsidP="003972D9">
      <w:pPr>
        <w:spacing w:before="0" w:after="0" w:line="276" w:lineRule="auto"/>
        <w:ind w:left="426"/>
        <w:jc w:val="both"/>
        <w:rPr>
          <w:rFonts w:eastAsia="Calibri" w:cs="Arial"/>
          <w:bCs/>
          <w:szCs w:val="24"/>
          <w:highlight w:val="yellow"/>
          <w:lang w:val="en-GB"/>
        </w:rPr>
      </w:pPr>
    </w:p>
    <w:p w:rsidR="003972D9" w:rsidRPr="009428DA" w:rsidRDefault="003972D9" w:rsidP="001601E8">
      <w:pPr>
        <w:spacing w:before="0" w:after="120" w:line="276" w:lineRule="auto"/>
        <w:jc w:val="both"/>
        <w:rPr>
          <w:rFonts w:eastAsia="Calibri" w:cs="Arial"/>
          <w:bCs/>
          <w:szCs w:val="24"/>
        </w:rPr>
      </w:pPr>
      <w:r w:rsidRPr="009428DA">
        <w:rPr>
          <w:rFonts w:eastAsia="Calibri" w:cs="Arial"/>
          <w:bCs/>
          <w:szCs w:val="24"/>
        </w:rPr>
        <w:t>The sponso</w:t>
      </w:r>
      <w:bookmarkStart w:id="27" w:name="_GoBack"/>
      <w:bookmarkEnd w:id="27"/>
      <w:r w:rsidRPr="009428DA">
        <w:rPr>
          <w:rFonts w:eastAsia="Calibri" w:cs="Arial"/>
          <w:bCs/>
          <w:szCs w:val="24"/>
        </w:rPr>
        <w:t>r had no comment.</w:t>
      </w:r>
    </w:p>
    <w:p w:rsidR="000D4B50" w:rsidRPr="009428DA" w:rsidRDefault="000D4B50" w:rsidP="006C0ABB">
      <w:pPr>
        <w:keepNext/>
        <w:keepLines/>
        <w:spacing w:after="0"/>
        <w:rPr>
          <w:rFonts w:cs="Arial"/>
          <w:i/>
          <w:szCs w:val="24"/>
          <w:highlight w:val="yellow"/>
          <w:u w:val="single"/>
        </w:rPr>
      </w:pPr>
    </w:p>
    <w:p w:rsidR="00650009" w:rsidRPr="003E7C50" w:rsidRDefault="00650009" w:rsidP="007620E9">
      <w:pPr>
        <w:pStyle w:val="BulletLast"/>
        <w:numPr>
          <w:ilvl w:val="0"/>
          <w:numId w:val="0"/>
        </w:numPr>
        <w:rPr>
          <w:snapToGrid w:val="0"/>
        </w:rPr>
      </w:pPr>
    </w:p>
    <w:sectPr w:rsidR="00650009" w:rsidRPr="003E7C50" w:rsidSect="003972D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17"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3A01D0" w15:done="0"/>
  <w15:commentEx w15:paraId="696AE1A1" w15:done="0"/>
  <w15:commentEx w15:paraId="2F307E5F" w15:paraIdParent="696AE1A1" w15:done="0"/>
  <w15:commentEx w15:paraId="5241E02C" w15:done="0"/>
  <w15:commentEx w15:paraId="1EF6D47B" w15:paraIdParent="5241E02C" w15:done="0"/>
  <w15:commentEx w15:paraId="40F54E18" w15:done="0"/>
  <w15:commentEx w15:paraId="432D9AB2" w15:done="0"/>
  <w15:commentEx w15:paraId="4E4D880F" w15:done="0"/>
  <w15:commentEx w15:paraId="786BC632" w15:paraIdParent="4E4D880F" w15:done="0"/>
  <w15:commentEx w15:paraId="647E572E" w15:done="0"/>
  <w15:commentEx w15:paraId="7DBD072C" w15:done="0"/>
  <w15:commentEx w15:paraId="0A3A40F1" w15:paraIdParent="7DBD072C" w15:done="0"/>
  <w15:commentEx w15:paraId="372E9B4D" w15:done="0"/>
  <w15:commentEx w15:paraId="4180BA8C" w15:done="0"/>
  <w15:commentEx w15:paraId="553DBD23" w15:done="0"/>
  <w15:commentEx w15:paraId="40FF1902" w15:done="0"/>
  <w15:commentEx w15:paraId="4FB3536D" w15:paraIdParent="40FF19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7D6" w:rsidRDefault="004B47D6" w:rsidP="00BA3306">
      <w:pPr>
        <w:spacing w:before="0" w:after="0"/>
      </w:pPr>
      <w:r>
        <w:separator/>
      </w:r>
    </w:p>
  </w:endnote>
  <w:endnote w:type="continuationSeparator" w:id="0">
    <w:p w:rsidR="004B47D6" w:rsidRDefault="004B47D6"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abon">
    <w:altName w:val="Constantia"/>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6" w:rsidRDefault="004B4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760415"/>
      <w:docPartObj>
        <w:docPartGallery w:val="Page Numbers (Bottom of Page)"/>
        <w:docPartUnique/>
      </w:docPartObj>
    </w:sdtPr>
    <w:sdtEndPr>
      <w:rPr>
        <w:noProof/>
      </w:rPr>
    </w:sdtEndPr>
    <w:sdtContent>
      <w:p w:rsidR="004B47D6" w:rsidRDefault="004B47D6">
        <w:pPr>
          <w:pStyle w:val="Footer"/>
          <w:jc w:val="center"/>
        </w:pPr>
        <w:r>
          <w:fldChar w:fldCharType="begin"/>
        </w:r>
        <w:r>
          <w:instrText xml:space="preserve"> PAGE   \* MERGEFORMAT </w:instrText>
        </w:r>
        <w:r>
          <w:fldChar w:fldCharType="separate"/>
        </w:r>
        <w:r w:rsidR="000A0EA7">
          <w:rPr>
            <w:noProof/>
          </w:rPr>
          <w:t>30</w:t>
        </w:r>
        <w:r>
          <w:rPr>
            <w:noProof/>
          </w:rPr>
          <w:fldChar w:fldCharType="end"/>
        </w:r>
      </w:p>
    </w:sdtContent>
  </w:sdt>
  <w:p w:rsidR="004B47D6" w:rsidRDefault="004B4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6" w:rsidRDefault="004B4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7D6" w:rsidRDefault="004B47D6" w:rsidP="00BA3306">
      <w:pPr>
        <w:spacing w:before="0" w:after="0"/>
      </w:pPr>
      <w:r>
        <w:separator/>
      </w:r>
    </w:p>
  </w:footnote>
  <w:footnote w:type="continuationSeparator" w:id="0">
    <w:p w:rsidR="004B47D6" w:rsidRDefault="004B47D6" w:rsidP="00BA3306">
      <w:pPr>
        <w:spacing w:before="0" w:after="0"/>
      </w:pPr>
      <w:r>
        <w:continuationSeparator/>
      </w:r>
    </w:p>
  </w:footnote>
  <w:footnote w:id="1">
    <w:p w:rsidR="004B47D6" w:rsidRDefault="004B47D6" w:rsidP="0014527B">
      <w:pPr>
        <w:pStyle w:val="FootnoteText"/>
      </w:pPr>
      <w:r>
        <w:rPr>
          <w:rStyle w:val="FootnoteReference"/>
        </w:rPr>
        <w:footnoteRef/>
      </w:r>
      <w:r>
        <w:t xml:space="preserve"> </w:t>
      </w:r>
      <w:proofErr w:type="spellStart"/>
      <w:r w:rsidRPr="00C32E3F">
        <w:rPr>
          <w:szCs w:val="22"/>
        </w:rPr>
        <w:t>Cherny</w:t>
      </w:r>
      <w:proofErr w:type="spellEnd"/>
      <w:r w:rsidRPr="00C32E3F">
        <w:rPr>
          <w:szCs w:val="22"/>
        </w:rPr>
        <w:t xml:space="preserve"> NI, Sullivan R, Dafni U, et al: A standardised, generic, validated approach to stratify the magnitude of clinical benefit that can be anticipated from anti-cancer therapies: the European Society for Medical Oncology Magnitude of Clinical Benefit Scale (ESMO-MCBS). Ann </w:t>
      </w:r>
      <w:proofErr w:type="spellStart"/>
      <w:r w:rsidRPr="00C32E3F">
        <w:rPr>
          <w:szCs w:val="22"/>
        </w:rPr>
        <w:t>Oncol</w:t>
      </w:r>
      <w:proofErr w:type="spellEnd"/>
      <w:r w:rsidRPr="00C32E3F">
        <w:rPr>
          <w:szCs w:val="22"/>
        </w:rPr>
        <w:t xml:space="preserve"> 26:1547-73,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6" w:rsidRDefault="004B4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6" w:rsidRPr="00430518" w:rsidRDefault="004B47D6" w:rsidP="00430518">
    <w:pPr>
      <w:pStyle w:val="Footer"/>
      <w:jc w:val="center"/>
      <w:rPr>
        <w:i/>
      </w:rPr>
    </w:pPr>
    <w:r>
      <w:rPr>
        <w:i/>
      </w:rPr>
      <w:t>Public Summary Document</w:t>
    </w:r>
    <w:r w:rsidRPr="00430518">
      <w:rPr>
        <w:i/>
      </w:rPr>
      <w:t xml:space="preserve"> - July 2017 PBAC meeting </w:t>
    </w:r>
  </w:p>
  <w:p w:rsidR="004B47D6" w:rsidRDefault="004B47D6" w:rsidP="00C317F3">
    <w:pPr>
      <w:pStyle w:val="Header"/>
      <w:tabs>
        <w:tab w:val="left" w:pos="1725"/>
        <w:tab w:val="left" w:pos="77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6" w:rsidRDefault="004B4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4046"/>
    <w:multiLevelType w:val="hybridMultilevel"/>
    <w:tmpl w:val="068EE86E"/>
    <w:lvl w:ilvl="0" w:tplc="5952F9D0">
      <w:start w:val="1"/>
      <w:numFmt w:val="bullet"/>
      <w:lvlText w:val="–"/>
      <w:lvlJc w:val="left"/>
      <w:pPr>
        <w:tabs>
          <w:tab w:val="num" w:pos="720"/>
        </w:tabs>
        <w:ind w:left="720" w:hanging="360"/>
      </w:pPr>
      <w:rPr>
        <w:rFonts w:ascii="Arial" w:hAnsi="Arial" w:hint="default"/>
      </w:rPr>
    </w:lvl>
    <w:lvl w:ilvl="1" w:tplc="4E6E4A66">
      <w:start w:val="1"/>
      <w:numFmt w:val="bullet"/>
      <w:lvlText w:val="–"/>
      <w:lvlJc w:val="left"/>
      <w:pPr>
        <w:tabs>
          <w:tab w:val="num" w:pos="1440"/>
        </w:tabs>
        <w:ind w:left="1440" w:hanging="360"/>
      </w:pPr>
      <w:rPr>
        <w:rFonts w:ascii="Arial" w:hAnsi="Arial" w:hint="default"/>
      </w:rPr>
    </w:lvl>
    <w:lvl w:ilvl="2" w:tplc="C01EEBEE" w:tentative="1">
      <w:start w:val="1"/>
      <w:numFmt w:val="bullet"/>
      <w:lvlText w:val="–"/>
      <w:lvlJc w:val="left"/>
      <w:pPr>
        <w:tabs>
          <w:tab w:val="num" w:pos="2160"/>
        </w:tabs>
        <w:ind w:left="2160" w:hanging="360"/>
      </w:pPr>
      <w:rPr>
        <w:rFonts w:ascii="Arial" w:hAnsi="Arial" w:hint="default"/>
      </w:rPr>
    </w:lvl>
    <w:lvl w:ilvl="3" w:tplc="B97C635E" w:tentative="1">
      <w:start w:val="1"/>
      <w:numFmt w:val="bullet"/>
      <w:lvlText w:val="–"/>
      <w:lvlJc w:val="left"/>
      <w:pPr>
        <w:tabs>
          <w:tab w:val="num" w:pos="2880"/>
        </w:tabs>
        <w:ind w:left="2880" w:hanging="360"/>
      </w:pPr>
      <w:rPr>
        <w:rFonts w:ascii="Arial" w:hAnsi="Arial" w:hint="default"/>
      </w:rPr>
    </w:lvl>
    <w:lvl w:ilvl="4" w:tplc="AC92E7C2" w:tentative="1">
      <w:start w:val="1"/>
      <w:numFmt w:val="bullet"/>
      <w:lvlText w:val="–"/>
      <w:lvlJc w:val="left"/>
      <w:pPr>
        <w:tabs>
          <w:tab w:val="num" w:pos="3600"/>
        </w:tabs>
        <w:ind w:left="3600" w:hanging="360"/>
      </w:pPr>
      <w:rPr>
        <w:rFonts w:ascii="Arial" w:hAnsi="Arial" w:hint="default"/>
      </w:rPr>
    </w:lvl>
    <w:lvl w:ilvl="5" w:tplc="8EFA9396" w:tentative="1">
      <w:start w:val="1"/>
      <w:numFmt w:val="bullet"/>
      <w:lvlText w:val="–"/>
      <w:lvlJc w:val="left"/>
      <w:pPr>
        <w:tabs>
          <w:tab w:val="num" w:pos="4320"/>
        </w:tabs>
        <w:ind w:left="4320" w:hanging="360"/>
      </w:pPr>
      <w:rPr>
        <w:rFonts w:ascii="Arial" w:hAnsi="Arial" w:hint="default"/>
      </w:rPr>
    </w:lvl>
    <w:lvl w:ilvl="6" w:tplc="5170B198" w:tentative="1">
      <w:start w:val="1"/>
      <w:numFmt w:val="bullet"/>
      <w:lvlText w:val="–"/>
      <w:lvlJc w:val="left"/>
      <w:pPr>
        <w:tabs>
          <w:tab w:val="num" w:pos="5040"/>
        </w:tabs>
        <w:ind w:left="5040" w:hanging="360"/>
      </w:pPr>
      <w:rPr>
        <w:rFonts w:ascii="Arial" w:hAnsi="Arial" w:hint="default"/>
      </w:rPr>
    </w:lvl>
    <w:lvl w:ilvl="7" w:tplc="8F3803F4" w:tentative="1">
      <w:start w:val="1"/>
      <w:numFmt w:val="bullet"/>
      <w:lvlText w:val="–"/>
      <w:lvlJc w:val="left"/>
      <w:pPr>
        <w:tabs>
          <w:tab w:val="num" w:pos="5760"/>
        </w:tabs>
        <w:ind w:left="5760" w:hanging="360"/>
      </w:pPr>
      <w:rPr>
        <w:rFonts w:ascii="Arial" w:hAnsi="Arial" w:hint="default"/>
      </w:rPr>
    </w:lvl>
    <w:lvl w:ilvl="8" w:tplc="F2649172" w:tentative="1">
      <w:start w:val="1"/>
      <w:numFmt w:val="bullet"/>
      <w:lvlText w:val="–"/>
      <w:lvlJc w:val="left"/>
      <w:pPr>
        <w:tabs>
          <w:tab w:val="num" w:pos="6480"/>
        </w:tabs>
        <w:ind w:left="6480" w:hanging="360"/>
      </w:pPr>
      <w:rPr>
        <w:rFonts w:ascii="Arial" w:hAnsi="Arial" w:hint="default"/>
      </w:rPr>
    </w:lvl>
  </w:abstractNum>
  <w:abstractNum w:abstractNumId="1">
    <w:nsid w:val="0B6C64CE"/>
    <w:multiLevelType w:val="hybridMultilevel"/>
    <w:tmpl w:val="EDA0A042"/>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C6B2435"/>
    <w:multiLevelType w:val="multilevel"/>
    <w:tmpl w:val="4052FB1E"/>
    <w:styleLink w:val="Alt2"/>
    <w:lvl w:ilvl="0">
      <w:start w:val="1"/>
      <w:numFmt w:val="upperLetter"/>
      <w:lvlText w:val="3.%1."/>
      <w:lvlJc w:val="left"/>
      <w:pPr>
        <w:ind w:left="1440" w:hanging="1440"/>
      </w:pPr>
      <w:rPr>
        <w:rFonts w:hint="default"/>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3.%1.%2."/>
      <w:lvlJc w:val="left"/>
      <w:pPr>
        <w:ind w:left="1440" w:hanging="1440"/>
      </w:pPr>
      <w:rPr>
        <w:rFonts w:ascii="Verdana" w:hAnsi="Verdana" w:hint="default"/>
        <w:b/>
        <w:sz w:val="28"/>
      </w:rPr>
    </w:lvl>
    <w:lvl w:ilvl="2">
      <w:start w:val="1"/>
      <w:numFmt w:val="lowerRoman"/>
      <w:lvlText w:val="%3."/>
      <w:lvlJc w:val="right"/>
      <w:pPr>
        <w:ind w:left="1440" w:hanging="1440"/>
      </w:pPr>
      <w:rPr>
        <w:rFonts w:hint="default"/>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3">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4E6825"/>
    <w:multiLevelType w:val="multilevel"/>
    <w:tmpl w:val="6EE482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34064E6"/>
    <w:multiLevelType w:val="hybridMultilevel"/>
    <w:tmpl w:val="8B4C66B8"/>
    <w:lvl w:ilvl="0" w:tplc="3FFABB06">
      <w:start w:val="1"/>
      <w:numFmt w:val="decimal"/>
      <w:lvlText w:val="%1."/>
      <w:lvlJc w:val="left"/>
      <w:pPr>
        <w:ind w:left="360" w:hanging="360"/>
      </w:pPr>
      <w:rPr>
        <w:rFonts w:ascii="Arial Narrow" w:hAnsi="Arial Narrow"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F1A0200"/>
    <w:multiLevelType w:val="hybridMultilevel"/>
    <w:tmpl w:val="E006DA70"/>
    <w:lvl w:ilvl="0" w:tplc="ED1E5F1E">
      <w:start w:val="1"/>
      <w:numFmt w:val="bullet"/>
      <w:lvlText w:val=""/>
      <w:lvlJc w:val="left"/>
      <w:pPr>
        <w:ind w:left="720" w:hanging="360"/>
      </w:pPr>
      <w:rPr>
        <w:rFonts w:ascii="Symbol" w:hAnsi="Symbol" w:hint="default"/>
      </w:rPr>
    </w:lvl>
    <w:lvl w:ilvl="1" w:tplc="FD6A9028">
      <w:numFmt w:val="bullet"/>
      <w:lvlText w:val="-"/>
      <w:lvlJc w:val="left"/>
      <w:pPr>
        <w:ind w:left="1440" w:hanging="360"/>
      </w:pPr>
      <w:rPr>
        <w:rFonts w:ascii="Calibri" w:eastAsiaTheme="minorHAnsi" w:hAnsi="Calibri" w:cs="Calibri"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8">
    <w:nsid w:val="420B6ECC"/>
    <w:multiLevelType w:val="hybridMultilevel"/>
    <w:tmpl w:val="560095D8"/>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9">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4D5194"/>
    <w:multiLevelType w:val="multilevel"/>
    <w:tmpl w:val="AD8A0860"/>
    <w:lvl w:ilvl="0">
      <w:start w:val="1"/>
      <w:numFmt w:val="decimal"/>
      <w:lvlText w:val="%1"/>
      <w:lvlJc w:val="left"/>
      <w:pPr>
        <w:ind w:left="720" w:hanging="720"/>
      </w:pPr>
      <w:rPr>
        <w:rFonts w:hint="default"/>
        <w:b/>
        <w:color w:val="FFFFFF" w:themeColor="background1"/>
      </w:rPr>
    </w:lvl>
    <w:lvl w:ilvl="1">
      <w:start w:val="1"/>
      <w:numFmt w:val="bullet"/>
      <w:lvlText w:val=""/>
      <w:lvlJc w:val="left"/>
      <w:pPr>
        <w:ind w:left="720" w:hanging="720"/>
      </w:pPr>
      <w:rPr>
        <w:rFonts w:ascii="Symbol" w:hAnsi="Symbol" w:hint="default"/>
        <w:b w:val="0"/>
        <w:i w: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7D415E1"/>
    <w:multiLevelType w:val="multilevel"/>
    <w:tmpl w:val="3C121008"/>
    <w:styleLink w:val="Style4"/>
    <w:lvl w:ilvl="0">
      <w:start w:val="1"/>
      <w:numFmt w:val="upperLetter"/>
      <w:lvlText w:val="3.%1"/>
      <w:lvlJc w:val="left"/>
      <w:pPr>
        <w:ind w:left="1440" w:hanging="1440"/>
      </w:pPr>
      <w:rPr>
        <w:rFonts w:ascii="Verdana" w:hAnsi="Verdana" w:hint="default"/>
        <w:b/>
        <w:bCs w:val="0"/>
        <w:i w:val="0"/>
        <w:iCs w:val="0"/>
        <w:caps w:val="0"/>
        <w:smallCaps w:val="0"/>
        <w:strike w:val="0"/>
        <w:dstrike w:val="0"/>
        <w:vanish w:val="0"/>
        <w:color w:val="000000"/>
        <w:kern w:val="0"/>
        <w:position w:val="0"/>
        <w:sz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3.%1.%2"/>
      <w:lvlJc w:val="left"/>
      <w:pPr>
        <w:ind w:left="1440" w:hanging="1440"/>
      </w:pPr>
      <w:rPr>
        <w:rFonts w:ascii="Verdana" w:hAnsi="Verdana" w:hint="default"/>
        <w:b/>
        <w:sz w:val="28"/>
      </w:rPr>
    </w:lvl>
    <w:lvl w:ilvl="2">
      <w:start w:val="1"/>
      <w:numFmt w:val="decimal"/>
      <w:lvlText w:val="3.%1.%2.%3"/>
      <w:lvlJc w:val="left"/>
      <w:pPr>
        <w:ind w:left="1440" w:hanging="1440"/>
      </w:pPr>
      <w:rPr>
        <w:rFonts w:hint="default"/>
      </w:rPr>
    </w:lvl>
    <w:lvl w:ilvl="3">
      <w:start w:val="1"/>
      <w:numFmt w:val="none"/>
      <w:lvlText w:val=""/>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2">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5D19AB"/>
    <w:multiLevelType w:val="hybridMultilevel"/>
    <w:tmpl w:val="EB3E4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BBD0F3A"/>
    <w:multiLevelType w:val="hybridMultilevel"/>
    <w:tmpl w:val="DE54E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FB13952"/>
    <w:multiLevelType w:val="hybridMultilevel"/>
    <w:tmpl w:val="4D2E3B9C"/>
    <w:lvl w:ilvl="0" w:tplc="3BBE5BC6">
      <w:start w:val="1"/>
      <w:numFmt w:val="bullet"/>
      <w:pStyle w:val="TableList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75EA6E1D"/>
    <w:multiLevelType w:val="hybridMultilevel"/>
    <w:tmpl w:val="2828E1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76283DA5"/>
    <w:multiLevelType w:val="hybridMultilevel"/>
    <w:tmpl w:val="50A4F6FC"/>
    <w:lvl w:ilvl="0" w:tplc="A99A0A04">
      <w:start w:val="1"/>
      <w:numFmt w:val="bullet"/>
      <w:lvlText w:val="–"/>
      <w:lvlJc w:val="left"/>
      <w:pPr>
        <w:tabs>
          <w:tab w:val="num" w:pos="720"/>
        </w:tabs>
        <w:ind w:left="720" w:hanging="360"/>
      </w:pPr>
      <w:rPr>
        <w:rFonts w:ascii="Arial" w:hAnsi="Arial" w:hint="default"/>
      </w:rPr>
    </w:lvl>
    <w:lvl w:ilvl="1" w:tplc="A190AAA2">
      <w:start w:val="1"/>
      <w:numFmt w:val="bullet"/>
      <w:lvlText w:val="–"/>
      <w:lvlJc w:val="left"/>
      <w:pPr>
        <w:tabs>
          <w:tab w:val="num" w:pos="1440"/>
        </w:tabs>
        <w:ind w:left="1440" w:hanging="360"/>
      </w:pPr>
      <w:rPr>
        <w:rFonts w:ascii="Arial" w:hAnsi="Arial" w:hint="default"/>
      </w:rPr>
    </w:lvl>
    <w:lvl w:ilvl="2" w:tplc="8CCA8ED2" w:tentative="1">
      <w:start w:val="1"/>
      <w:numFmt w:val="bullet"/>
      <w:lvlText w:val="–"/>
      <w:lvlJc w:val="left"/>
      <w:pPr>
        <w:tabs>
          <w:tab w:val="num" w:pos="2160"/>
        </w:tabs>
        <w:ind w:left="2160" w:hanging="360"/>
      </w:pPr>
      <w:rPr>
        <w:rFonts w:ascii="Arial" w:hAnsi="Arial" w:hint="default"/>
      </w:rPr>
    </w:lvl>
    <w:lvl w:ilvl="3" w:tplc="8990BC0E" w:tentative="1">
      <w:start w:val="1"/>
      <w:numFmt w:val="bullet"/>
      <w:lvlText w:val="–"/>
      <w:lvlJc w:val="left"/>
      <w:pPr>
        <w:tabs>
          <w:tab w:val="num" w:pos="2880"/>
        </w:tabs>
        <w:ind w:left="2880" w:hanging="360"/>
      </w:pPr>
      <w:rPr>
        <w:rFonts w:ascii="Arial" w:hAnsi="Arial" w:hint="default"/>
      </w:rPr>
    </w:lvl>
    <w:lvl w:ilvl="4" w:tplc="E984F0CE" w:tentative="1">
      <w:start w:val="1"/>
      <w:numFmt w:val="bullet"/>
      <w:lvlText w:val="–"/>
      <w:lvlJc w:val="left"/>
      <w:pPr>
        <w:tabs>
          <w:tab w:val="num" w:pos="3600"/>
        </w:tabs>
        <w:ind w:left="3600" w:hanging="360"/>
      </w:pPr>
      <w:rPr>
        <w:rFonts w:ascii="Arial" w:hAnsi="Arial" w:hint="default"/>
      </w:rPr>
    </w:lvl>
    <w:lvl w:ilvl="5" w:tplc="9DE83D68" w:tentative="1">
      <w:start w:val="1"/>
      <w:numFmt w:val="bullet"/>
      <w:lvlText w:val="–"/>
      <w:lvlJc w:val="left"/>
      <w:pPr>
        <w:tabs>
          <w:tab w:val="num" w:pos="4320"/>
        </w:tabs>
        <w:ind w:left="4320" w:hanging="360"/>
      </w:pPr>
      <w:rPr>
        <w:rFonts w:ascii="Arial" w:hAnsi="Arial" w:hint="default"/>
      </w:rPr>
    </w:lvl>
    <w:lvl w:ilvl="6" w:tplc="155A6078" w:tentative="1">
      <w:start w:val="1"/>
      <w:numFmt w:val="bullet"/>
      <w:lvlText w:val="–"/>
      <w:lvlJc w:val="left"/>
      <w:pPr>
        <w:tabs>
          <w:tab w:val="num" w:pos="5040"/>
        </w:tabs>
        <w:ind w:left="5040" w:hanging="360"/>
      </w:pPr>
      <w:rPr>
        <w:rFonts w:ascii="Arial" w:hAnsi="Arial" w:hint="default"/>
      </w:rPr>
    </w:lvl>
    <w:lvl w:ilvl="7" w:tplc="5BD2DA9C" w:tentative="1">
      <w:start w:val="1"/>
      <w:numFmt w:val="bullet"/>
      <w:lvlText w:val="–"/>
      <w:lvlJc w:val="left"/>
      <w:pPr>
        <w:tabs>
          <w:tab w:val="num" w:pos="5760"/>
        </w:tabs>
        <w:ind w:left="5760" w:hanging="360"/>
      </w:pPr>
      <w:rPr>
        <w:rFonts w:ascii="Arial" w:hAnsi="Arial" w:hint="default"/>
      </w:rPr>
    </w:lvl>
    <w:lvl w:ilvl="8" w:tplc="2F566C42" w:tentative="1">
      <w:start w:val="1"/>
      <w:numFmt w:val="bullet"/>
      <w:lvlText w:val="–"/>
      <w:lvlJc w:val="left"/>
      <w:pPr>
        <w:tabs>
          <w:tab w:val="num" w:pos="6480"/>
        </w:tabs>
        <w:ind w:left="6480" w:hanging="360"/>
      </w:pPr>
      <w:rPr>
        <w:rFonts w:ascii="Arial" w:hAnsi="Arial" w:hint="default"/>
      </w:rPr>
    </w:lvl>
  </w:abstractNum>
  <w:abstractNum w:abstractNumId="18">
    <w:nsid w:val="784D033C"/>
    <w:multiLevelType w:val="multilevel"/>
    <w:tmpl w:val="3522B3B4"/>
    <w:lvl w:ilvl="0">
      <w:start w:val="1"/>
      <w:numFmt w:val="decimal"/>
      <w:pStyle w:val="PBACHeading1"/>
      <w:lvlText w:val="%1"/>
      <w:lvlJc w:val="left"/>
      <w:pPr>
        <w:ind w:left="720" w:hanging="720"/>
      </w:pPr>
      <w:rPr>
        <w:rFonts w:hint="default"/>
        <w:b/>
        <w:color w:val="FFFFFF" w:themeColor="background1"/>
      </w:rPr>
    </w:lvl>
    <w:lvl w:ilvl="1">
      <w:start w:val="1"/>
      <w:numFmt w:val="decimal"/>
      <w:pStyle w:val="ListParagraph"/>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9CA1846"/>
    <w:multiLevelType w:val="hybridMultilevel"/>
    <w:tmpl w:val="3CD4E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8"/>
  </w:num>
  <w:num w:numId="4">
    <w:abstractNumId w:val="5"/>
  </w:num>
  <w:num w:numId="5">
    <w:abstractNumId w:val="12"/>
  </w:num>
  <w:num w:numId="6">
    <w:abstractNumId w:val="6"/>
  </w:num>
  <w:num w:numId="7">
    <w:abstractNumId w:val="3"/>
  </w:num>
  <w:num w:numId="8">
    <w:abstractNumId w:val="1"/>
  </w:num>
  <w:num w:numId="9">
    <w:abstractNumId w:val="16"/>
  </w:num>
  <w:num w:numId="10">
    <w:abstractNumId w:val="19"/>
  </w:num>
  <w:num w:numId="11">
    <w:abstractNumId w:val="11"/>
  </w:num>
  <w:num w:numId="12">
    <w:abstractNumId w:val="8"/>
  </w:num>
  <w:num w:numId="13">
    <w:abstractNumId w:val="15"/>
  </w:num>
  <w:num w:numId="14">
    <w:abstractNumId w:val="13"/>
  </w:num>
  <w:num w:numId="15">
    <w:abstractNumId w:val="14"/>
  </w:num>
  <w:num w:numId="16">
    <w:abstractNumId w:val="2"/>
  </w:num>
  <w:num w:numId="17">
    <w:abstractNumId w:val="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0"/>
  </w:num>
  <w:num w:numId="22">
    <w:abstractNumId w:val="10"/>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Bonny Parkinson">
    <w15:presenceInfo w15:providerId="None" w15:userId="Dr Bonny Par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C1MDE1sTQyMTMzMDBR0lEKTi0uzszPAykwrAUA9fK4pCwAAAA="/>
  </w:docVars>
  <w:rsids>
    <w:rsidRoot w:val="00821A29"/>
    <w:rsid w:val="000002EE"/>
    <w:rsid w:val="00000527"/>
    <w:rsid w:val="00001AB4"/>
    <w:rsid w:val="00004D78"/>
    <w:rsid w:val="00005E4E"/>
    <w:rsid w:val="000074E0"/>
    <w:rsid w:val="0001066F"/>
    <w:rsid w:val="0001102A"/>
    <w:rsid w:val="00011D45"/>
    <w:rsid w:val="00013222"/>
    <w:rsid w:val="00013920"/>
    <w:rsid w:val="00014951"/>
    <w:rsid w:val="0001517C"/>
    <w:rsid w:val="00020318"/>
    <w:rsid w:val="0002095B"/>
    <w:rsid w:val="00020A31"/>
    <w:rsid w:val="000213EE"/>
    <w:rsid w:val="00023374"/>
    <w:rsid w:val="0002554C"/>
    <w:rsid w:val="00027E58"/>
    <w:rsid w:val="00027FA6"/>
    <w:rsid w:val="000308AF"/>
    <w:rsid w:val="0003199C"/>
    <w:rsid w:val="00034404"/>
    <w:rsid w:val="00034E29"/>
    <w:rsid w:val="00035D02"/>
    <w:rsid w:val="00041147"/>
    <w:rsid w:val="0004145F"/>
    <w:rsid w:val="000431B3"/>
    <w:rsid w:val="00044077"/>
    <w:rsid w:val="00044D06"/>
    <w:rsid w:val="000455AE"/>
    <w:rsid w:val="000461CF"/>
    <w:rsid w:val="00047EF0"/>
    <w:rsid w:val="00050138"/>
    <w:rsid w:val="00050E6E"/>
    <w:rsid w:val="00052826"/>
    <w:rsid w:val="00052DF5"/>
    <w:rsid w:val="000557DF"/>
    <w:rsid w:val="00057F71"/>
    <w:rsid w:val="00061BA4"/>
    <w:rsid w:val="00062067"/>
    <w:rsid w:val="00062FE3"/>
    <w:rsid w:val="0006381C"/>
    <w:rsid w:val="00063D7E"/>
    <w:rsid w:val="000641C7"/>
    <w:rsid w:val="00065C62"/>
    <w:rsid w:val="00065CDE"/>
    <w:rsid w:val="00065F4A"/>
    <w:rsid w:val="00066A9D"/>
    <w:rsid w:val="000672C0"/>
    <w:rsid w:val="00067D01"/>
    <w:rsid w:val="00073B70"/>
    <w:rsid w:val="000778FD"/>
    <w:rsid w:val="00077CF0"/>
    <w:rsid w:val="00080FF3"/>
    <w:rsid w:val="00082524"/>
    <w:rsid w:val="00082928"/>
    <w:rsid w:val="000847FE"/>
    <w:rsid w:val="00084AA4"/>
    <w:rsid w:val="00086133"/>
    <w:rsid w:val="0008667F"/>
    <w:rsid w:val="000869B6"/>
    <w:rsid w:val="00090EB8"/>
    <w:rsid w:val="000912A0"/>
    <w:rsid w:val="0009155D"/>
    <w:rsid w:val="000918AC"/>
    <w:rsid w:val="00092CD1"/>
    <w:rsid w:val="00093F64"/>
    <w:rsid w:val="0009678E"/>
    <w:rsid w:val="00096A1E"/>
    <w:rsid w:val="00096B1B"/>
    <w:rsid w:val="00097CFB"/>
    <w:rsid w:val="000A0445"/>
    <w:rsid w:val="000A0884"/>
    <w:rsid w:val="000A0EA7"/>
    <w:rsid w:val="000A2694"/>
    <w:rsid w:val="000A2976"/>
    <w:rsid w:val="000A2EF1"/>
    <w:rsid w:val="000A342F"/>
    <w:rsid w:val="000A40AC"/>
    <w:rsid w:val="000A519B"/>
    <w:rsid w:val="000A5360"/>
    <w:rsid w:val="000A53FF"/>
    <w:rsid w:val="000A6BCF"/>
    <w:rsid w:val="000A6FBD"/>
    <w:rsid w:val="000B1531"/>
    <w:rsid w:val="000B56CD"/>
    <w:rsid w:val="000B65FD"/>
    <w:rsid w:val="000B6B69"/>
    <w:rsid w:val="000B7293"/>
    <w:rsid w:val="000C0142"/>
    <w:rsid w:val="000C0566"/>
    <w:rsid w:val="000C17C4"/>
    <w:rsid w:val="000C6276"/>
    <w:rsid w:val="000C6A40"/>
    <w:rsid w:val="000C6D03"/>
    <w:rsid w:val="000C6F1E"/>
    <w:rsid w:val="000C7272"/>
    <w:rsid w:val="000C72FB"/>
    <w:rsid w:val="000C7343"/>
    <w:rsid w:val="000C7545"/>
    <w:rsid w:val="000C765A"/>
    <w:rsid w:val="000D0023"/>
    <w:rsid w:val="000D013C"/>
    <w:rsid w:val="000D4B50"/>
    <w:rsid w:val="000D4E7A"/>
    <w:rsid w:val="000D50DC"/>
    <w:rsid w:val="000D5906"/>
    <w:rsid w:val="000E2804"/>
    <w:rsid w:val="000E367E"/>
    <w:rsid w:val="000E3DD0"/>
    <w:rsid w:val="000E43D8"/>
    <w:rsid w:val="000E54D4"/>
    <w:rsid w:val="000E6C60"/>
    <w:rsid w:val="000F2534"/>
    <w:rsid w:val="000F31DF"/>
    <w:rsid w:val="000F3652"/>
    <w:rsid w:val="000F40F5"/>
    <w:rsid w:val="000F4239"/>
    <w:rsid w:val="000F7DC1"/>
    <w:rsid w:val="00104E80"/>
    <w:rsid w:val="00105E24"/>
    <w:rsid w:val="001123D0"/>
    <w:rsid w:val="00113E87"/>
    <w:rsid w:val="00114555"/>
    <w:rsid w:val="00120089"/>
    <w:rsid w:val="0012701F"/>
    <w:rsid w:val="001279AE"/>
    <w:rsid w:val="00127A29"/>
    <w:rsid w:val="0013065C"/>
    <w:rsid w:val="001318A4"/>
    <w:rsid w:val="00132AF1"/>
    <w:rsid w:val="00133918"/>
    <w:rsid w:val="00133F6A"/>
    <w:rsid w:val="00135761"/>
    <w:rsid w:val="00136E76"/>
    <w:rsid w:val="00137697"/>
    <w:rsid w:val="0014036A"/>
    <w:rsid w:val="00140D63"/>
    <w:rsid w:val="001411E5"/>
    <w:rsid w:val="00142BAD"/>
    <w:rsid w:val="00143B7F"/>
    <w:rsid w:val="0014527B"/>
    <w:rsid w:val="001468C6"/>
    <w:rsid w:val="00146C47"/>
    <w:rsid w:val="001506E8"/>
    <w:rsid w:val="00150ED9"/>
    <w:rsid w:val="001538DE"/>
    <w:rsid w:val="00154606"/>
    <w:rsid w:val="00154A22"/>
    <w:rsid w:val="001574A6"/>
    <w:rsid w:val="001601E8"/>
    <w:rsid w:val="0016028B"/>
    <w:rsid w:val="001648C2"/>
    <w:rsid w:val="00165A49"/>
    <w:rsid w:val="00167138"/>
    <w:rsid w:val="00171D1F"/>
    <w:rsid w:val="001729A6"/>
    <w:rsid w:val="00172A55"/>
    <w:rsid w:val="00173577"/>
    <w:rsid w:val="001758F9"/>
    <w:rsid w:val="00176482"/>
    <w:rsid w:val="00176AA5"/>
    <w:rsid w:val="0017720E"/>
    <w:rsid w:val="00177893"/>
    <w:rsid w:val="00177DBD"/>
    <w:rsid w:val="00180574"/>
    <w:rsid w:val="001815F8"/>
    <w:rsid w:val="00183566"/>
    <w:rsid w:val="00183F6C"/>
    <w:rsid w:val="00183FE3"/>
    <w:rsid w:val="00184221"/>
    <w:rsid w:val="001844AB"/>
    <w:rsid w:val="00186307"/>
    <w:rsid w:val="00186EBC"/>
    <w:rsid w:val="0019035F"/>
    <w:rsid w:val="00190639"/>
    <w:rsid w:val="001922A7"/>
    <w:rsid w:val="00194334"/>
    <w:rsid w:val="001948CF"/>
    <w:rsid w:val="00194ED2"/>
    <w:rsid w:val="00195510"/>
    <w:rsid w:val="00195DA4"/>
    <w:rsid w:val="00197B86"/>
    <w:rsid w:val="001A0142"/>
    <w:rsid w:val="001A3BFC"/>
    <w:rsid w:val="001A3C6A"/>
    <w:rsid w:val="001A65BF"/>
    <w:rsid w:val="001A6699"/>
    <w:rsid w:val="001A7194"/>
    <w:rsid w:val="001B00CE"/>
    <w:rsid w:val="001B6389"/>
    <w:rsid w:val="001C04CC"/>
    <w:rsid w:val="001C051E"/>
    <w:rsid w:val="001C11C4"/>
    <w:rsid w:val="001C2DDC"/>
    <w:rsid w:val="001C4899"/>
    <w:rsid w:val="001C5C39"/>
    <w:rsid w:val="001C7ABD"/>
    <w:rsid w:val="001D1012"/>
    <w:rsid w:val="001D10EB"/>
    <w:rsid w:val="001D17E8"/>
    <w:rsid w:val="001D3016"/>
    <w:rsid w:val="001D5DE3"/>
    <w:rsid w:val="001E0333"/>
    <w:rsid w:val="001E1208"/>
    <w:rsid w:val="001E3F37"/>
    <w:rsid w:val="001E435F"/>
    <w:rsid w:val="001E5918"/>
    <w:rsid w:val="001E7A0A"/>
    <w:rsid w:val="001E7B1E"/>
    <w:rsid w:val="001F073C"/>
    <w:rsid w:val="001F20BE"/>
    <w:rsid w:val="001F2340"/>
    <w:rsid w:val="001F2912"/>
    <w:rsid w:val="001F343A"/>
    <w:rsid w:val="001F516E"/>
    <w:rsid w:val="001F53D4"/>
    <w:rsid w:val="001F6388"/>
    <w:rsid w:val="001F6F50"/>
    <w:rsid w:val="001F79B8"/>
    <w:rsid w:val="00200296"/>
    <w:rsid w:val="00200774"/>
    <w:rsid w:val="0020119D"/>
    <w:rsid w:val="00201ADB"/>
    <w:rsid w:val="00201E53"/>
    <w:rsid w:val="00202316"/>
    <w:rsid w:val="002058E5"/>
    <w:rsid w:val="00205905"/>
    <w:rsid w:val="00206C1E"/>
    <w:rsid w:val="00207254"/>
    <w:rsid w:val="002073C9"/>
    <w:rsid w:val="00207D85"/>
    <w:rsid w:val="00210918"/>
    <w:rsid w:val="00210FAA"/>
    <w:rsid w:val="00212F33"/>
    <w:rsid w:val="00214A1A"/>
    <w:rsid w:val="002175E0"/>
    <w:rsid w:val="00221DD4"/>
    <w:rsid w:val="00222D2F"/>
    <w:rsid w:val="002234A6"/>
    <w:rsid w:val="00223894"/>
    <w:rsid w:val="00223DF7"/>
    <w:rsid w:val="002246F7"/>
    <w:rsid w:val="00224D49"/>
    <w:rsid w:val="0022614A"/>
    <w:rsid w:val="00226FC8"/>
    <w:rsid w:val="00227CE7"/>
    <w:rsid w:val="00230BA7"/>
    <w:rsid w:val="00230CAC"/>
    <w:rsid w:val="002349D5"/>
    <w:rsid w:val="00235068"/>
    <w:rsid w:val="002356DE"/>
    <w:rsid w:val="002364BC"/>
    <w:rsid w:val="00237812"/>
    <w:rsid w:val="0024055B"/>
    <w:rsid w:val="00241930"/>
    <w:rsid w:val="002425EA"/>
    <w:rsid w:val="00242BB5"/>
    <w:rsid w:val="00242C8D"/>
    <w:rsid w:val="00242EA0"/>
    <w:rsid w:val="00243685"/>
    <w:rsid w:val="00250ED1"/>
    <w:rsid w:val="00252731"/>
    <w:rsid w:val="00252904"/>
    <w:rsid w:val="00253C6F"/>
    <w:rsid w:val="00253F72"/>
    <w:rsid w:val="002552AF"/>
    <w:rsid w:val="0025613F"/>
    <w:rsid w:val="00257D15"/>
    <w:rsid w:val="00260877"/>
    <w:rsid w:val="0026124B"/>
    <w:rsid w:val="00261DC6"/>
    <w:rsid w:val="00264623"/>
    <w:rsid w:val="00265CCA"/>
    <w:rsid w:val="0026657A"/>
    <w:rsid w:val="00266F5C"/>
    <w:rsid w:val="00267A8C"/>
    <w:rsid w:val="00270C1B"/>
    <w:rsid w:val="002719F8"/>
    <w:rsid w:val="00272934"/>
    <w:rsid w:val="00272B0D"/>
    <w:rsid w:val="00272DC8"/>
    <w:rsid w:val="002801D9"/>
    <w:rsid w:val="00280B5B"/>
    <w:rsid w:val="002836DF"/>
    <w:rsid w:val="00286F6F"/>
    <w:rsid w:val="0028780F"/>
    <w:rsid w:val="00287E15"/>
    <w:rsid w:val="00290FB1"/>
    <w:rsid w:val="002928F4"/>
    <w:rsid w:val="00294192"/>
    <w:rsid w:val="00294766"/>
    <w:rsid w:val="00296077"/>
    <w:rsid w:val="00296BBE"/>
    <w:rsid w:val="002977AF"/>
    <w:rsid w:val="002A055E"/>
    <w:rsid w:val="002A0798"/>
    <w:rsid w:val="002A0B43"/>
    <w:rsid w:val="002A1B74"/>
    <w:rsid w:val="002A4503"/>
    <w:rsid w:val="002A4565"/>
    <w:rsid w:val="002A53EF"/>
    <w:rsid w:val="002A7E69"/>
    <w:rsid w:val="002B0115"/>
    <w:rsid w:val="002B04D5"/>
    <w:rsid w:val="002B1FB4"/>
    <w:rsid w:val="002B2D2B"/>
    <w:rsid w:val="002B2DD5"/>
    <w:rsid w:val="002B4941"/>
    <w:rsid w:val="002B5D74"/>
    <w:rsid w:val="002B641F"/>
    <w:rsid w:val="002B7ADB"/>
    <w:rsid w:val="002C110A"/>
    <w:rsid w:val="002C1D2F"/>
    <w:rsid w:val="002C3AED"/>
    <w:rsid w:val="002C7EC3"/>
    <w:rsid w:val="002C7ED7"/>
    <w:rsid w:val="002D042C"/>
    <w:rsid w:val="002D2FCA"/>
    <w:rsid w:val="002D6413"/>
    <w:rsid w:val="002D77B5"/>
    <w:rsid w:val="002D7823"/>
    <w:rsid w:val="002D7A3A"/>
    <w:rsid w:val="002E308F"/>
    <w:rsid w:val="002E4C2D"/>
    <w:rsid w:val="002E5DEA"/>
    <w:rsid w:val="002E724A"/>
    <w:rsid w:val="002E7FD2"/>
    <w:rsid w:val="002F065A"/>
    <w:rsid w:val="002F24E0"/>
    <w:rsid w:val="002F311E"/>
    <w:rsid w:val="002F4E08"/>
    <w:rsid w:val="002F6571"/>
    <w:rsid w:val="002F71B8"/>
    <w:rsid w:val="002F7987"/>
    <w:rsid w:val="003000B0"/>
    <w:rsid w:val="003019D8"/>
    <w:rsid w:val="00301A44"/>
    <w:rsid w:val="00301EA1"/>
    <w:rsid w:val="003029C2"/>
    <w:rsid w:val="00302FCC"/>
    <w:rsid w:val="00303BC1"/>
    <w:rsid w:val="00303E56"/>
    <w:rsid w:val="00304C61"/>
    <w:rsid w:val="00305612"/>
    <w:rsid w:val="003058CF"/>
    <w:rsid w:val="003062AE"/>
    <w:rsid w:val="0031251A"/>
    <w:rsid w:val="00315514"/>
    <w:rsid w:val="0031623F"/>
    <w:rsid w:val="00316E09"/>
    <w:rsid w:val="0031770F"/>
    <w:rsid w:val="003177D5"/>
    <w:rsid w:val="00317DF5"/>
    <w:rsid w:val="003214A9"/>
    <w:rsid w:val="003215F2"/>
    <w:rsid w:val="00321E44"/>
    <w:rsid w:val="00322947"/>
    <w:rsid w:val="00322C9D"/>
    <w:rsid w:val="00323FB8"/>
    <w:rsid w:val="0032544E"/>
    <w:rsid w:val="0032629B"/>
    <w:rsid w:val="003269E5"/>
    <w:rsid w:val="00326A80"/>
    <w:rsid w:val="00330DCC"/>
    <w:rsid w:val="00331830"/>
    <w:rsid w:val="003329FE"/>
    <w:rsid w:val="00334ACF"/>
    <w:rsid w:val="00335DF1"/>
    <w:rsid w:val="003409BB"/>
    <w:rsid w:val="00341A14"/>
    <w:rsid w:val="00341B84"/>
    <w:rsid w:val="0034209D"/>
    <w:rsid w:val="00347D5C"/>
    <w:rsid w:val="00350719"/>
    <w:rsid w:val="00351381"/>
    <w:rsid w:val="003520A8"/>
    <w:rsid w:val="00352298"/>
    <w:rsid w:val="00352D3E"/>
    <w:rsid w:val="003530A6"/>
    <w:rsid w:val="00353627"/>
    <w:rsid w:val="00354AFD"/>
    <w:rsid w:val="003553B4"/>
    <w:rsid w:val="00355F72"/>
    <w:rsid w:val="003571F7"/>
    <w:rsid w:val="00357657"/>
    <w:rsid w:val="0036098F"/>
    <w:rsid w:val="00362E34"/>
    <w:rsid w:val="00362F19"/>
    <w:rsid w:val="003639A6"/>
    <w:rsid w:val="0036430A"/>
    <w:rsid w:val="003651F5"/>
    <w:rsid w:val="003651F8"/>
    <w:rsid w:val="003667C5"/>
    <w:rsid w:val="0036711A"/>
    <w:rsid w:val="003679AE"/>
    <w:rsid w:val="00367B91"/>
    <w:rsid w:val="00370215"/>
    <w:rsid w:val="00370BFC"/>
    <w:rsid w:val="00371407"/>
    <w:rsid w:val="0037241A"/>
    <w:rsid w:val="003730F7"/>
    <w:rsid w:val="00374E0D"/>
    <w:rsid w:val="00380202"/>
    <w:rsid w:val="00380F8A"/>
    <w:rsid w:val="00381A96"/>
    <w:rsid w:val="0038245D"/>
    <w:rsid w:val="0038281C"/>
    <w:rsid w:val="00384BB9"/>
    <w:rsid w:val="00385A64"/>
    <w:rsid w:val="00386598"/>
    <w:rsid w:val="00386D1A"/>
    <w:rsid w:val="003955C9"/>
    <w:rsid w:val="00396AE1"/>
    <w:rsid w:val="00397170"/>
    <w:rsid w:val="003972D9"/>
    <w:rsid w:val="003979F1"/>
    <w:rsid w:val="003A11B4"/>
    <w:rsid w:val="003A3433"/>
    <w:rsid w:val="003A3D27"/>
    <w:rsid w:val="003A4FAF"/>
    <w:rsid w:val="003A537E"/>
    <w:rsid w:val="003A571B"/>
    <w:rsid w:val="003A64B4"/>
    <w:rsid w:val="003A660F"/>
    <w:rsid w:val="003B095E"/>
    <w:rsid w:val="003B2274"/>
    <w:rsid w:val="003B238B"/>
    <w:rsid w:val="003B2436"/>
    <w:rsid w:val="003B3109"/>
    <w:rsid w:val="003B564E"/>
    <w:rsid w:val="003B63B2"/>
    <w:rsid w:val="003B753E"/>
    <w:rsid w:val="003C0480"/>
    <w:rsid w:val="003C0908"/>
    <w:rsid w:val="003C0EAF"/>
    <w:rsid w:val="003C1685"/>
    <w:rsid w:val="003C1A9F"/>
    <w:rsid w:val="003C2438"/>
    <w:rsid w:val="003C2988"/>
    <w:rsid w:val="003C356C"/>
    <w:rsid w:val="003C3B26"/>
    <w:rsid w:val="003C639E"/>
    <w:rsid w:val="003C78C1"/>
    <w:rsid w:val="003D05CA"/>
    <w:rsid w:val="003D0798"/>
    <w:rsid w:val="003D11A9"/>
    <w:rsid w:val="003D2A37"/>
    <w:rsid w:val="003D5069"/>
    <w:rsid w:val="003D5296"/>
    <w:rsid w:val="003D5B3B"/>
    <w:rsid w:val="003D69EF"/>
    <w:rsid w:val="003D77DC"/>
    <w:rsid w:val="003E0EDB"/>
    <w:rsid w:val="003E54F1"/>
    <w:rsid w:val="003E6475"/>
    <w:rsid w:val="003E666C"/>
    <w:rsid w:val="003E7C50"/>
    <w:rsid w:val="003F0B97"/>
    <w:rsid w:val="003F105A"/>
    <w:rsid w:val="003F1686"/>
    <w:rsid w:val="003F2719"/>
    <w:rsid w:val="003F5786"/>
    <w:rsid w:val="003F6199"/>
    <w:rsid w:val="004033BF"/>
    <w:rsid w:val="00406A28"/>
    <w:rsid w:val="00406E36"/>
    <w:rsid w:val="00407747"/>
    <w:rsid w:val="004116F4"/>
    <w:rsid w:val="00411872"/>
    <w:rsid w:val="00412035"/>
    <w:rsid w:val="00414712"/>
    <w:rsid w:val="004164A1"/>
    <w:rsid w:val="00420895"/>
    <w:rsid w:val="00421450"/>
    <w:rsid w:val="00421F0F"/>
    <w:rsid w:val="00422372"/>
    <w:rsid w:val="00422757"/>
    <w:rsid w:val="00423914"/>
    <w:rsid w:val="0042459A"/>
    <w:rsid w:val="00426626"/>
    <w:rsid w:val="00427E55"/>
    <w:rsid w:val="00430518"/>
    <w:rsid w:val="00430CCB"/>
    <w:rsid w:val="00430E9D"/>
    <w:rsid w:val="004330C6"/>
    <w:rsid w:val="00434851"/>
    <w:rsid w:val="004349C3"/>
    <w:rsid w:val="00435191"/>
    <w:rsid w:val="00437841"/>
    <w:rsid w:val="00437BB5"/>
    <w:rsid w:val="00440592"/>
    <w:rsid w:val="004454AB"/>
    <w:rsid w:val="004469C7"/>
    <w:rsid w:val="004472EE"/>
    <w:rsid w:val="0045014B"/>
    <w:rsid w:val="00451759"/>
    <w:rsid w:val="00453B28"/>
    <w:rsid w:val="00453BAE"/>
    <w:rsid w:val="00453D59"/>
    <w:rsid w:val="0045487E"/>
    <w:rsid w:val="00454DB1"/>
    <w:rsid w:val="00455CCA"/>
    <w:rsid w:val="004568C9"/>
    <w:rsid w:val="0045778F"/>
    <w:rsid w:val="00457A98"/>
    <w:rsid w:val="004609CE"/>
    <w:rsid w:val="00461679"/>
    <w:rsid w:val="004619BB"/>
    <w:rsid w:val="0046238D"/>
    <w:rsid w:val="00463D6A"/>
    <w:rsid w:val="0046416D"/>
    <w:rsid w:val="0046563B"/>
    <w:rsid w:val="00465D3F"/>
    <w:rsid w:val="0046621E"/>
    <w:rsid w:val="00466C20"/>
    <w:rsid w:val="004673A6"/>
    <w:rsid w:val="00467A1E"/>
    <w:rsid w:val="00467E56"/>
    <w:rsid w:val="004701B2"/>
    <w:rsid w:val="0047036A"/>
    <w:rsid w:val="00470693"/>
    <w:rsid w:val="00471A1D"/>
    <w:rsid w:val="00472A53"/>
    <w:rsid w:val="00472D4D"/>
    <w:rsid w:val="00473859"/>
    <w:rsid w:val="00473C7B"/>
    <w:rsid w:val="00474CD5"/>
    <w:rsid w:val="00485112"/>
    <w:rsid w:val="0048584B"/>
    <w:rsid w:val="0048749B"/>
    <w:rsid w:val="00487A41"/>
    <w:rsid w:val="00487AFC"/>
    <w:rsid w:val="004919DD"/>
    <w:rsid w:val="004920A1"/>
    <w:rsid w:val="0049282C"/>
    <w:rsid w:val="00493E59"/>
    <w:rsid w:val="00494A46"/>
    <w:rsid w:val="00494F7C"/>
    <w:rsid w:val="0049507E"/>
    <w:rsid w:val="00495328"/>
    <w:rsid w:val="00496483"/>
    <w:rsid w:val="0049691D"/>
    <w:rsid w:val="004979AC"/>
    <w:rsid w:val="004A0A55"/>
    <w:rsid w:val="004A0DAE"/>
    <w:rsid w:val="004A11EE"/>
    <w:rsid w:val="004A1403"/>
    <w:rsid w:val="004A2DF5"/>
    <w:rsid w:val="004A3617"/>
    <w:rsid w:val="004A3DE3"/>
    <w:rsid w:val="004A4EF3"/>
    <w:rsid w:val="004A6315"/>
    <w:rsid w:val="004A7843"/>
    <w:rsid w:val="004A7FE8"/>
    <w:rsid w:val="004B0117"/>
    <w:rsid w:val="004B1E4E"/>
    <w:rsid w:val="004B2BD0"/>
    <w:rsid w:val="004B3C00"/>
    <w:rsid w:val="004B47D6"/>
    <w:rsid w:val="004B4C3C"/>
    <w:rsid w:val="004B7A7B"/>
    <w:rsid w:val="004C2222"/>
    <w:rsid w:val="004C22FE"/>
    <w:rsid w:val="004C27CE"/>
    <w:rsid w:val="004C484A"/>
    <w:rsid w:val="004C69AE"/>
    <w:rsid w:val="004C6F07"/>
    <w:rsid w:val="004D1006"/>
    <w:rsid w:val="004D17B5"/>
    <w:rsid w:val="004D45DF"/>
    <w:rsid w:val="004D7732"/>
    <w:rsid w:val="004E0C0B"/>
    <w:rsid w:val="004E2125"/>
    <w:rsid w:val="004E2313"/>
    <w:rsid w:val="004E3F76"/>
    <w:rsid w:val="004E4072"/>
    <w:rsid w:val="004E420A"/>
    <w:rsid w:val="004E5536"/>
    <w:rsid w:val="004E56E9"/>
    <w:rsid w:val="004E5F44"/>
    <w:rsid w:val="004E661E"/>
    <w:rsid w:val="004E7259"/>
    <w:rsid w:val="004E7714"/>
    <w:rsid w:val="004F0AAE"/>
    <w:rsid w:val="004F275C"/>
    <w:rsid w:val="004F2A45"/>
    <w:rsid w:val="004F3574"/>
    <w:rsid w:val="004F3688"/>
    <w:rsid w:val="004F385C"/>
    <w:rsid w:val="004F3AAE"/>
    <w:rsid w:val="004F4BDE"/>
    <w:rsid w:val="004F53E0"/>
    <w:rsid w:val="004F73CB"/>
    <w:rsid w:val="004F7CAC"/>
    <w:rsid w:val="00500671"/>
    <w:rsid w:val="005051E0"/>
    <w:rsid w:val="005067BD"/>
    <w:rsid w:val="0050732F"/>
    <w:rsid w:val="00507567"/>
    <w:rsid w:val="00511105"/>
    <w:rsid w:val="00511320"/>
    <w:rsid w:val="00511C21"/>
    <w:rsid w:val="00514242"/>
    <w:rsid w:val="005143F9"/>
    <w:rsid w:val="00516566"/>
    <w:rsid w:val="0051666D"/>
    <w:rsid w:val="00520893"/>
    <w:rsid w:val="00520D05"/>
    <w:rsid w:val="005218C3"/>
    <w:rsid w:val="00522EE4"/>
    <w:rsid w:val="00526BC3"/>
    <w:rsid w:val="005307C1"/>
    <w:rsid w:val="00530BC5"/>
    <w:rsid w:val="00530F06"/>
    <w:rsid w:val="00531C11"/>
    <w:rsid w:val="00531F52"/>
    <w:rsid w:val="0053290F"/>
    <w:rsid w:val="005338B6"/>
    <w:rsid w:val="00533CEC"/>
    <w:rsid w:val="00534B50"/>
    <w:rsid w:val="00535C74"/>
    <w:rsid w:val="00535E51"/>
    <w:rsid w:val="005361AB"/>
    <w:rsid w:val="00541D43"/>
    <w:rsid w:val="00541D97"/>
    <w:rsid w:val="00542068"/>
    <w:rsid w:val="005431D3"/>
    <w:rsid w:val="00543AF9"/>
    <w:rsid w:val="00543D34"/>
    <w:rsid w:val="00544B90"/>
    <w:rsid w:val="00545BB2"/>
    <w:rsid w:val="00545C8C"/>
    <w:rsid w:val="00546050"/>
    <w:rsid w:val="005467EF"/>
    <w:rsid w:val="0054706F"/>
    <w:rsid w:val="005471C7"/>
    <w:rsid w:val="00547E8E"/>
    <w:rsid w:val="00550C0D"/>
    <w:rsid w:val="005518C1"/>
    <w:rsid w:val="0055271F"/>
    <w:rsid w:val="00554B23"/>
    <w:rsid w:val="0055504F"/>
    <w:rsid w:val="0055532F"/>
    <w:rsid w:val="005558A9"/>
    <w:rsid w:val="00555B2A"/>
    <w:rsid w:val="005608F0"/>
    <w:rsid w:val="0056194F"/>
    <w:rsid w:val="00561D24"/>
    <w:rsid w:val="00561D6C"/>
    <w:rsid w:val="00563E25"/>
    <w:rsid w:val="00564D9A"/>
    <w:rsid w:val="00566BC8"/>
    <w:rsid w:val="00566E74"/>
    <w:rsid w:val="005670D7"/>
    <w:rsid w:val="00571300"/>
    <w:rsid w:val="005722B2"/>
    <w:rsid w:val="00572744"/>
    <w:rsid w:val="005745E2"/>
    <w:rsid w:val="00575C75"/>
    <w:rsid w:val="00576ADE"/>
    <w:rsid w:val="00577CFD"/>
    <w:rsid w:val="00577DEF"/>
    <w:rsid w:val="00582567"/>
    <w:rsid w:val="005826AB"/>
    <w:rsid w:val="00583B4E"/>
    <w:rsid w:val="00585A8C"/>
    <w:rsid w:val="00587D12"/>
    <w:rsid w:val="005907DA"/>
    <w:rsid w:val="00590D7F"/>
    <w:rsid w:val="00590E3D"/>
    <w:rsid w:val="005914AD"/>
    <w:rsid w:val="00592132"/>
    <w:rsid w:val="00596063"/>
    <w:rsid w:val="005965C2"/>
    <w:rsid w:val="00597972"/>
    <w:rsid w:val="005A13F1"/>
    <w:rsid w:val="005A3997"/>
    <w:rsid w:val="005A52CF"/>
    <w:rsid w:val="005A577F"/>
    <w:rsid w:val="005A59C8"/>
    <w:rsid w:val="005A64EA"/>
    <w:rsid w:val="005A6E45"/>
    <w:rsid w:val="005A74AE"/>
    <w:rsid w:val="005A7C77"/>
    <w:rsid w:val="005B4A12"/>
    <w:rsid w:val="005B53F7"/>
    <w:rsid w:val="005B5961"/>
    <w:rsid w:val="005B6432"/>
    <w:rsid w:val="005B6D09"/>
    <w:rsid w:val="005B723C"/>
    <w:rsid w:val="005C3FEE"/>
    <w:rsid w:val="005C5754"/>
    <w:rsid w:val="005D1955"/>
    <w:rsid w:val="005D1F96"/>
    <w:rsid w:val="005D22C3"/>
    <w:rsid w:val="005D4B20"/>
    <w:rsid w:val="005D593F"/>
    <w:rsid w:val="005D5BA1"/>
    <w:rsid w:val="005D6792"/>
    <w:rsid w:val="005D72A3"/>
    <w:rsid w:val="005E3034"/>
    <w:rsid w:val="005E3AF8"/>
    <w:rsid w:val="005E499A"/>
    <w:rsid w:val="005E49B2"/>
    <w:rsid w:val="005E55C4"/>
    <w:rsid w:val="005E787E"/>
    <w:rsid w:val="005E7E01"/>
    <w:rsid w:val="005E7E60"/>
    <w:rsid w:val="005F0AE8"/>
    <w:rsid w:val="005F279E"/>
    <w:rsid w:val="005F2A6B"/>
    <w:rsid w:val="005F40C1"/>
    <w:rsid w:val="005F5753"/>
    <w:rsid w:val="005F59DB"/>
    <w:rsid w:val="005F72F9"/>
    <w:rsid w:val="005F7B62"/>
    <w:rsid w:val="006006F8"/>
    <w:rsid w:val="006024D3"/>
    <w:rsid w:val="006042CD"/>
    <w:rsid w:val="006050D3"/>
    <w:rsid w:val="00605125"/>
    <w:rsid w:val="0060534F"/>
    <w:rsid w:val="0060586C"/>
    <w:rsid w:val="00606EF9"/>
    <w:rsid w:val="0060706A"/>
    <w:rsid w:val="00607758"/>
    <w:rsid w:val="00610D5E"/>
    <w:rsid w:val="006110E8"/>
    <w:rsid w:val="00613467"/>
    <w:rsid w:val="006176F2"/>
    <w:rsid w:val="00617A69"/>
    <w:rsid w:val="00620238"/>
    <w:rsid w:val="00620961"/>
    <w:rsid w:val="006211A0"/>
    <w:rsid w:val="00622043"/>
    <w:rsid w:val="00623237"/>
    <w:rsid w:val="00623B83"/>
    <w:rsid w:val="00624315"/>
    <w:rsid w:val="0062545B"/>
    <w:rsid w:val="0062552A"/>
    <w:rsid w:val="00631B8E"/>
    <w:rsid w:val="006330A3"/>
    <w:rsid w:val="006332BE"/>
    <w:rsid w:val="00635BE4"/>
    <w:rsid w:val="00637F6B"/>
    <w:rsid w:val="0064065F"/>
    <w:rsid w:val="00640732"/>
    <w:rsid w:val="006408C3"/>
    <w:rsid w:val="00640EBC"/>
    <w:rsid w:val="00643A9A"/>
    <w:rsid w:val="0064620D"/>
    <w:rsid w:val="006474C9"/>
    <w:rsid w:val="00650009"/>
    <w:rsid w:val="00650539"/>
    <w:rsid w:val="0065163B"/>
    <w:rsid w:val="00656AF2"/>
    <w:rsid w:val="00657507"/>
    <w:rsid w:val="00657754"/>
    <w:rsid w:val="00662DFF"/>
    <w:rsid w:val="006634CF"/>
    <w:rsid w:val="00664356"/>
    <w:rsid w:val="0067172A"/>
    <w:rsid w:val="00671960"/>
    <w:rsid w:val="00672120"/>
    <w:rsid w:val="006722E0"/>
    <w:rsid w:val="00673F64"/>
    <w:rsid w:val="0067405F"/>
    <w:rsid w:val="006743D7"/>
    <w:rsid w:val="00674433"/>
    <w:rsid w:val="00674F60"/>
    <w:rsid w:val="00675C02"/>
    <w:rsid w:val="00677536"/>
    <w:rsid w:val="00677798"/>
    <w:rsid w:val="00677FEA"/>
    <w:rsid w:val="00683C54"/>
    <w:rsid w:val="00687A21"/>
    <w:rsid w:val="00687AF4"/>
    <w:rsid w:val="00690CD6"/>
    <w:rsid w:val="00691913"/>
    <w:rsid w:val="00691D56"/>
    <w:rsid w:val="00692CE9"/>
    <w:rsid w:val="00693B39"/>
    <w:rsid w:val="00694843"/>
    <w:rsid w:val="0069529B"/>
    <w:rsid w:val="00697C36"/>
    <w:rsid w:val="006A0977"/>
    <w:rsid w:val="006A0A8A"/>
    <w:rsid w:val="006A0D47"/>
    <w:rsid w:val="006A0DB5"/>
    <w:rsid w:val="006A0FB7"/>
    <w:rsid w:val="006A138B"/>
    <w:rsid w:val="006A16AC"/>
    <w:rsid w:val="006A48CA"/>
    <w:rsid w:val="006A7E36"/>
    <w:rsid w:val="006B140A"/>
    <w:rsid w:val="006B1872"/>
    <w:rsid w:val="006B2EA2"/>
    <w:rsid w:val="006B5413"/>
    <w:rsid w:val="006B58AF"/>
    <w:rsid w:val="006C0ABB"/>
    <w:rsid w:val="006C16BA"/>
    <w:rsid w:val="006C1AC1"/>
    <w:rsid w:val="006C228F"/>
    <w:rsid w:val="006C24B6"/>
    <w:rsid w:val="006C3353"/>
    <w:rsid w:val="006C3DC8"/>
    <w:rsid w:val="006C4906"/>
    <w:rsid w:val="006C516A"/>
    <w:rsid w:val="006C5A98"/>
    <w:rsid w:val="006C5B5E"/>
    <w:rsid w:val="006C6253"/>
    <w:rsid w:val="006C669D"/>
    <w:rsid w:val="006C69CC"/>
    <w:rsid w:val="006C6D1C"/>
    <w:rsid w:val="006C6D36"/>
    <w:rsid w:val="006D0AC1"/>
    <w:rsid w:val="006D1137"/>
    <w:rsid w:val="006D1280"/>
    <w:rsid w:val="006D1462"/>
    <w:rsid w:val="006D1594"/>
    <w:rsid w:val="006D300D"/>
    <w:rsid w:val="006D3271"/>
    <w:rsid w:val="006D334C"/>
    <w:rsid w:val="006D35BF"/>
    <w:rsid w:val="006D5329"/>
    <w:rsid w:val="006D583E"/>
    <w:rsid w:val="006E13BE"/>
    <w:rsid w:val="006E2B5D"/>
    <w:rsid w:val="006E722F"/>
    <w:rsid w:val="006E7302"/>
    <w:rsid w:val="006F0C75"/>
    <w:rsid w:val="006F161E"/>
    <w:rsid w:val="006F21CC"/>
    <w:rsid w:val="006F37B5"/>
    <w:rsid w:val="006F3E0B"/>
    <w:rsid w:val="006F5CAB"/>
    <w:rsid w:val="007057F3"/>
    <w:rsid w:val="00706B29"/>
    <w:rsid w:val="00712C73"/>
    <w:rsid w:val="0071761E"/>
    <w:rsid w:val="00717977"/>
    <w:rsid w:val="00717FA3"/>
    <w:rsid w:val="0072101E"/>
    <w:rsid w:val="00723119"/>
    <w:rsid w:val="00723E1E"/>
    <w:rsid w:val="00724F9C"/>
    <w:rsid w:val="00726AFB"/>
    <w:rsid w:val="00726B41"/>
    <w:rsid w:val="00727A4D"/>
    <w:rsid w:val="00736964"/>
    <w:rsid w:val="00737CB1"/>
    <w:rsid w:val="00737E6C"/>
    <w:rsid w:val="00737F18"/>
    <w:rsid w:val="007413AA"/>
    <w:rsid w:val="00742986"/>
    <w:rsid w:val="00743319"/>
    <w:rsid w:val="007436B2"/>
    <w:rsid w:val="00744405"/>
    <w:rsid w:val="007455EF"/>
    <w:rsid w:val="00747800"/>
    <w:rsid w:val="007509A6"/>
    <w:rsid w:val="00750B5A"/>
    <w:rsid w:val="00751D76"/>
    <w:rsid w:val="007523B6"/>
    <w:rsid w:val="00754D93"/>
    <w:rsid w:val="00756A47"/>
    <w:rsid w:val="00757F24"/>
    <w:rsid w:val="007620E9"/>
    <w:rsid w:val="007625BD"/>
    <w:rsid w:val="00762A23"/>
    <w:rsid w:val="00764038"/>
    <w:rsid w:val="00764A4B"/>
    <w:rsid w:val="00764E22"/>
    <w:rsid w:val="00764F0C"/>
    <w:rsid w:val="00765A39"/>
    <w:rsid w:val="00765BC1"/>
    <w:rsid w:val="00766246"/>
    <w:rsid w:val="007674F6"/>
    <w:rsid w:val="007676F8"/>
    <w:rsid w:val="00771473"/>
    <w:rsid w:val="00772C70"/>
    <w:rsid w:val="00774CA4"/>
    <w:rsid w:val="007762F9"/>
    <w:rsid w:val="0077647D"/>
    <w:rsid w:val="0077664A"/>
    <w:rsid w:val="00777BEE"/>
    <w:rsid w:val="00781461"/>
    <w:rsid w:val="00782261"/>
    <w:rsid w:val="00783ACC"/>
    <w:rsid w:val="007847FA"/>
    <w:rsid w:val="00785FAA"/>
    <w:rsid w:val="00786931"/>
    <w:rsid w:val="00790381"/>
    <w:rsid w:val="00790910"/>
    <w:rsid w:val="00791DE1"/>
    <w:rsid w:val="007921B9"/>
    <w:rsid w:val="00793107"/>
    <w:rsid w:val="007940FF"/>
    <w:rsid w:val="007A2F36"/>
    <w:rsid w:val="007A35DB"/>
    <w:rsid w:val="007A39E7"/>
    <w:rsid w:val="007A3A8C"/>
    <w:rsid w:val="007A4663"/>
    <w:rsid w:val="007A4986"/>
    <w:rsid w:val="007A5E02"/>
    <w:rsid w:val="007A677A"/>
    <w:rsid w:val="007A6A2D"/>
    <w:rsid w:val="007A7AC7"/>
    <w:rsid w:val="007B0E0C"/>
    <w:rsid w:val="007B18B3"/>
    <w:rsid w:val="007B1E31"/>
    <w:rsid w:val="007B3A18"/>
    <w:rsid w:val="007B3BFA"/>
    <w:rsid w:val="007B3F3D"/>
    <w:rsid w:val="007B5563"/>
    <w:rsid w:val="007B5953"/>
    <w:rsid w:val="007B6D7D"/>
    <w:rsid w:val="007B7851"/>
    <w:rsid w:val="007C26E5"/>
    <w:rsid w:val="007C2BDE"/>
    <w:rsid w:val="007C2D48"/>
    <w:rsid w:val="007C344A"/>
    <w:rsid w:val="007C4CBE"/>
    <w:rsid w:val="007C52F2"/>
    <w:rsid w:val="007C53C7"/>
    <w:rsid w:val="007C5B2E"/>
    <w:rsid w:val="007C7170"/>
    <w:rsid w:val="007C720A"/>
    <w:rsid w:val="007C7782"/>
    <w:rsid w:val="007D1092"/>
    <w:rsid w:val="007D1293"/>
    <w:rsid w:val="007D1E9D"/>
    <w:rsid w:val="007D1F3B"/>
    <w:rsid w:val="007D2621"/>
    <w:rsid w:val="007D359D"/>
    <w:rsid w:val="007D3FF8"/>
    <w:rsid w:val="007D4A64"/>
    <w:rsid w:val="007D61FA"/>
    <w:rsid w:val="007D6A45"/>
    <w:rsid w:val="007E0603"/>
    <w:rsid w:val="007E12DD"/>
    <w:rsid w:val="007E192B"/>
    <w:rsid w:val="007E478C"/>
    <w:rsid w:val="007E487A"/>
    <w:rsid w:val="007E5E67"/>
    <w:rsid w:val="007E6499"/>
    <w:rsid w:val="007E670E"/>
    <w:rsid w:val="007E7163"/>
    <w:rsid w:val="007E751C"/>
    <w:rsid w:val="007F03D1"/>
    <w:rsid w:val="007F08CA"/>
    <w:rsid w:val="007F1351"/>
    <w:rsid w:val="007F3910"/>
    <w:rsid w:val="007F3B6E"/>
    <w:rsid w:val="0080108F"/>
    <w:rsid w:val="00801806"/>
    <w:rsid w:val="0080213A"/>
    <w:rsid w:val="00804D5C"/>
    <w:rsid w:val="00806434"/>
    <w:rsid w:val="00813288"/>
    <w:rsid w:val="00813521"/>
    <w:rsid w:val="00813C59"/>
    <w:rsid w:val="008149BF"/>
    <w:rsid w:val="00814E34"/>
    <w:rsid w:val="00815571"/>
    <w:rsid w:val="008155AC"/>
    <w:rsid w:val="008158D4"/>
    <w:rsid w:val="00815EB1"/>
    <w:rsid w:val="00815F47"/>
    <w:rsid w:val="008163FF"/>
    <w:rsid w:val="00816885"/>
    <w:rsid w:val="00817E98"/>
    <w:rsid w:val="0082114F"/>
    <w:rsid w:val="00821A29"/>
    <w:rsid w:val="00822236"/>
    <w:rsid w:val="008223E1"/>
    <w:rsid w:val="0082290B"/>
    <w:rsid w:val="00823233"/>
    <w:rsid w:val="00824426"/>
    <w:rsid w:val="008248E8"/>
    <w:rsid w:val="00824CE3"/>
    <w:rsid w:val="00824FE4"/>
    <w:rsid w:val="00825A1A"/>
    <w:rsid w:val="008265FD"/>
    <w:rsid w:val="00826ABA"/>
    <w:rsid w:val="0083058D"/>
    <w:rsid w:val="00830E52"/>
    <w:rsid w:val="00831033"/>
    <w:rsid w:val="00831CCE"/>
    <w:rsid w:val="00831DB2"/>
    <w:rsid w:val="008324E3"/>
    <w:rsid w:val="00832905"/>
    <w:rsid w:val="008329C9"/>
    <w:rsid w:val="0083310C"/>
    <w:rsid w:val="00833A3B"/>
    <w:rsid w:val="00834091"/>
    <w:rsid w:val="0083578A"/>
    <w:rsid w:val="00836E8D"/>
    <w:rsid w:val="00837B49"/>
    <w:rsid w:val="00840BFF"/>
    <w:rsid w:val="0084457B"/>
    <w:rsid w:val="00845946"/>
    <w:rsid w:val="008476A0"/>
    <w:rsid w:val="00850F2D"/>
    <w:rsid w:val="00852BA2"/>
    <w:rsid w:val="00852F38"/>
    <w:rsid w:val="00853CA9"/>
    <w:rsid w:val="008541C2"/>
    <w:rsid w:val="0085432C"/>
    <w:rsid w:val="00856C34"/>
    <w:rsid w:val="008577AC"/>
    <w:rsid w:val="00857D55"/>
    <w:rsid w:val="00861BD8"/>
    <w:rsid w:val="00864090"/>
    <w:rsid w:val="0086568A"/>
    <w:rsid w:val="00865A4E"/>
    <w:rsid w:val="00865DC1"/>
    <w:rsid w:val="008664E7"/>
    <w:rsid w:val="00866D7A"/>
    <w:rsid w:val="008710B5"/>
    <w:rsid w:val="008730BD"/>
    <w:rsid w:val="0087405E"/>
    <w:rsid w:val="008750F9"/>
    <w:rsid w:val="00875341"/>
    <w:rsid w:val="0087536F"/>
    <w:rsid w:val="008754AB"/>
    <w:rsid w:val="00877442"/>
    <w:rsid w:val="00877F4B"/>
    <w:rsid w:val="008800F7"/>
    <w:rsid w:val="008801FA"/>
    <w:rsid w:val="00880A40"/>
    <w:rsid w:val="00884C43"/>
    <w:rsid w:val="0088544F"/>
    <w:rsid w:val="00885E27"/>
    <w:rsid w:val="00886256"/>
    <w:rsid w:val="00886765"/>
    <w:rsid w:val="008869F4"/>
    <w:rsid w:val="00890AFE"/>
    <w:rsid w:val="00893B76"/>
    <w:rsid w:val="00893EEF"/>
    <w:rsid w:val="00894084"/>
    <w:rsid w:val="00895152"/>
    <w:rsid w:val="008951BF"/>
    <w:rsid w:val="008A0ED5"/>
    <w:rsid w:val="008A20C3"/>
    <w:rsid w:val="008A3848"/>
    <w:rsid w:val="008A40A4"/>
    <w:rsid w:val="008A4880"/>
    <w:rsid w:val="008A52B1"/>
    <w:rsid w:val="008A5C51"/>
    <w:rsid w:val="008A68D4"/>
    <w:rsid w:val="008B0D2D"/>
    <w:rsid w:val="008B1902"/>
    <w:rsid w:val="008B196F"/>
    <w:rsid w:val="008B2DA4"/>
    <w:rsid w:val="008B3881"/>
    <w:rsid w:val="008B44D8"/>
    <w:rsid w:val="008B4A12"/>
    <w:rsid w:val="008B52C8"/>
    <w:rsid w:val="008B5B32"/>
    <w:rsid w:val="008B6ADF"/>
    <w:rsid w:val="008B7221"/>
    <w:rsid w:val="008B7471"/>
    <w:rsid w:val="008B7A24"/>
    <w:rsid w:val="008C26CE"/>
    <w:rsid w:val="008C2C1D"/>
    <w:rsid w:val="008C5A16"/>
    <w:rsid w:val="008C6E79"/>
    <w:rsid w:val="008D0674"/>
    <w:rsid w:val="008D1AE5"/>
    <w:rsid w:val="008D1CDE"/>
    <w:rsid w:val="008D51B1"/>
    <w:rsid w:val="008D683B"/>
    <w:rsid w:val="008D78FF"/>
    <w:rsid w:val="008D7CD4"/>
    <w:rsid w:val="008E07B1"/>
    <w:rsid w:val="008E1853"/>
    <w:rsid w:val="008E2EC3"/>
    <w:rsid w:val="008E6B55"/>
    <w:rsid w:val="008E6FB6"/>
    <w:rsid w:val="008E7E80"/>
    <w:rsid w:val="008F1670"/>
    <w:rsid w:val="008F3DA1"/>
    <w:rsid w:val="008F43E7"/>
    <w:rsid w:val="008F5D27"/>
    <w:rsid w:val="008F644F"/>
    <w:rsid w:val="008F7194"/>
    <w:rsid w:val="008F7221"/>
    <w:rsid w:val="00900030"/>
    <w:rsid w:val="0090031B"/>
    <w:rsid w:val="00900D78"/>
    <w:rsid w:val="009013C7"/>
    <w:rsid w:val="0090194E"/>
    <w:rsid w:val="0090274C"/>
    <w:rsid w:val="00904273"/>
    <w:rsid w:val="00904CEF"/>
    <w:rsid w:val="009064DF"/>
    <w:rsid w:val="00906A1B"/>
    <w:rsid w:val="00906B3C"/>
    <w:rsid w:val="009078E3"/>
    <w:rsid w:val="0090794E"/>
    <w:rsid w:val="00907FEA"/>
    <w:rsid w:val="00913A40"/>
    <w:rsid w:val="00914DA7"/>
    <w:rsid w:val="00915F63"/>
    <w:rsid w:val="009177E9"/>
    <w:rsid w:val="0092137E"/>
    <w:rsid w:val="00921A66"/>
    <w:rsid w:val="00922C9B"/>
    <w:rsid w:val="0092323F"/>
    <w:rsid w:val="009278A0"/>
    <w:rsid w:val="00927DBC"/>
    <w:rsid w:val="009305A5"/>
    <w:rsid w:val="00930985"/>
    <w:rsid w:val="009331CF"/>
    <w:rsid w:val="009334AC"/>
    <w:rsid w:val="00934D07"/>
    <w:rsid w:val="0093565F"/>
    <w:rsid w:val="00940508"/>
    <w:rsid w:val="0094106D"/>
    <w:rsid w:val="009414DC"/>
    <w:rsid w:val="00941AA3"/>
    <w:rsid w:val="00941EDF"/>
    <w:rsid w:val="00942010"/>
    <w:rsid w:val="009428DA"/>
    <w:rsid w:val="0094320A"/>
    <w:rsid w:val="009457F3"/>
    <w:rsid w:val="0095170D"/>
    <w:rsid w:val="0095307F"/>
    <w:rsid w:val="009550E2"/>
    <w:rsid w:val="00955526"/>
    <w:rsid w:val="009555C6"/>
    <w:rsid w:val="00956248"/>
    <w:rsid w:val="00957444"/>
    <w:rsid w:val="00962036"/>
    <w:rsid w:val="00962072"/>
    <w:rsid w:val="00962D4A"/>
    <w:rsid w:val="00964BDD"/>
    <w:rsid w:val="00966C09"/>
    <w:rsid w:val="00967BB9"/>
    <w:rsid w:val="00970049"/>
    <w:rsid w:val="00970413"/>
    <w:rsid w:val="00972175"/>
    <w:rsid w:val="00975DD1"/>
    <w:rsid w:val="00976EA9"/>
    <w:rsid w:val="00977308"/>
    <w:rsid w:val="00977C52"/>
    <w:rsid w:val="00981186"/>
    <w:rsid w:val="00982C1B"/>
    <w:rsid w:val="00983FC9"/>
    <w:rsid w:val="00984097"/>
    <w:rsid w:val="00984441"/>
    <w:rsid w:val="009844CF"/>
    <w:rsid w:val="00984DD8"/>
    <w:rsid w:val="00987315"/>
    <w:rsid w:val="0099000F"/>
    <w:rsid w:val="0099085F"/>
    <w:rsid w:val="009925DB"/>
    <w:rsid w:val="00993CC9"/>
    <w:rsid w:val="00994E25"/>
    <w:rsid w:val="00995557"/>
    <w:rsid w:val="009957FE"/>
    <w:rsid w:val="00997CD2"/>
    <w:rsid w:val="009A05C8"/>
    <w:rsid w:val="009A2C38"/>
    <w:rsid w:val="009A357E"/>
    <w:rsid w:val="009A509F"/>
    <w:rsid w:val="009A6F74"/>
    <w:rsid w:val="009A76D3"/>
    <w:rsid w:val="009B1303"/>
    <w:rsid w:val="009B218F"/>
    <w:rsid w:val="009B354A"/>
    <w:rsid w:val="009B3CB4"/>
    <w:rsid w:val="009B40C0"/>
    <w:rsid w:val="009B53BD"/>
    <w:rsid w:val="009C18DD"/>
    <w:rsid w:val="009C1B8E"/>
    <w:rsid w:val="009C21E2"/>
    <w:rsid w:val="009C4A8C"/>
    <w:rsid w:val="009C5337"/>
    <w:rsid w:val="009C65C8"/>
    <w:rsid w:val="009C6E9A"/>
    <w:rsid w:val="009C70A7"/>
    <w:rsid w:val="009D1713"/>
    <w:rsid w:val="009D274B"/>
    <w:rsid w:val="009D34C9"/>
    <w:rsid w:val="009D3628"/>
    <w:rsid w:val="009D3B33"/>
    <w:rsid w:val="009D4B52"/>
    <w:rsid w:val="009D4C2A"/>
    <w:rsid w:val="009D6914"/>
    <w:rsid w:val="009E007D"/>
    <w:rsid w:val="009E1C22"/>
    <w:rsid w:val="009E2481"/>
    <w:rsid w:val="009E29FF"/>
    <w:rsid w:val="009E4457"/>
    <w:rsid w:val="009E563E"/>
    <w:rsid w:val="009E62FA"/>
    <w:rsid w:val="009E7100"/>
    <w:rsid w:val="009E71DB"/>
    <w:rsid w:val="009E72FB"/>
    <w:rsid w:val="009F082F"/>
    <w:rsid w:val="009F35CE"/>
    <w:rsid w:val="009F3631"/>
    <w:rsid w:val="009F3790"/>
    <w:rsid w:val="009F6518"/>
    <w:rsid w:val="009F7CEB"/>
    <w:rsid w:val="00A017DE"/>
    <w:rsid w:val="00A03B00"/>
    <w:rsid w:val="00A040FD"/>
    <w:rsid w:val="00A0426A"/>
    <w:rsid w:val="00A04C0D"/>
    <w:rsid w:val="00A060E0"/>
    <w:rsid w:val="00A063F6"/>
    <w:rsid w:val="00A133BA"/>
    <w:rsid w:val="00A20B1A"/>
    <w:rsid w:val="00A22041"/>
    <w:rsid w:val="00A22A39"/>
    <w:rsid w:val="00A23024"/>
    <w:rsid w:val="00A23CD5"/>
    <w:rsid w:val="00A24DED"/>
    <w:rsid w:val="00A26529"/>
    <w:rsid w:val="00A315B8"/>
    <w:rsid w:val="00A337B7"/>
    <w:rsid w:val="00A340C3"/>
    <w:rsid w:val="00A35A52"/>
    <w:rsid w:val="00A374FE"/>
    <w:rsid w:val="00A4027A"/>
    <w:rsid w:val="00A40AE6"/>
    <w:rsid w:val="00A4139E"/>
    <w:rsid w:val="00A41E5D"/>
    <w:rsid w:val="00A43137"/>
    <w:rsid w:val="00A44CE9"/>
    <w:rsid w:val="00A50557"/>
    <w:rsid w:val="00A5159F"/>
    <w:rsid w:val="00A5204C"/>
    <w:rsid w:val="00A535FB"/>
    <w:rsid w:val="00A53CCA"/>
    <w:rsid w:val="00A5403E"/>
    <w:rsid w:val="00A558EC"/>
    <w:rsid w:val="00A561D0"/>
    <w:rsid w:val="00A5687C"/>
    <w:rsid w:val="00A623A1"/>
    <w:rsid w:val="00A628E4"/>
    <w:rsid w:val="00A6374D"/>
    <w:rsid w:val="00A6443A"/>
    <w:rsid w:val="00A670C3"/>
    <w:rsid w:val="00A67C07"/>
    <w:rsid w:val="00A70486"/>
    <w:rsid w:val="00A71235"/>
    <w:rsid w:val="00A74336"/>
    <w:rsid w:val="00A74928"/>
    <w:rsid w:val="00A752A5"/>
    <w:rsid w:val="00A77524"/>
    <w:rsid w:val="00A81619"/>
    <w:rsid w:val="00A81F82"/>
    <w:rsid w:val="00A8300F"/>
    <w:rsid w:val="00A841B0"/>
    <w:rsid w:val="00A84E6F"/>
    <w:rsid w:val="00A855C7"/>
    <w:rsid w:val="00A85A2B"/>
    <w:rsid w:val="00A9013A"/>
    <w:rsid w:val="00A901B6"/>
    <w:rsid w:val="00A908B5"/>
    <w:rsid w:val="00A90E73"/>
    <w:rsid w:val="00A92B7E"/>
    <w:rsid w:val="00A92DCA"/>
    <w:rsid w:val="00A93543"/>
    <w:rsid w:val="00A94EFC"/>
    <w:rsid w:val="00A954DD"/>
    <w:rsid w:val="00A96538"/>
    <w:rsid w:val="00AA062B"/>
    <w:rsid w:val="00AA0CA1"/>
    <w:rsid w:val="00AA1681"/>
    <w:rsid w:val="00AA2FA1"/>
    <w:rsid w:val="00AA51C1"/>
    <w:rsid w:val="00AA5DEA"/>
    <w:rsid w:val="00AA6156"/>
    <w:rsid w:val="00AA73AC"/>
    <w:rsid w:val="00AA7B77"/>
    <w:rsid w:val="00AB02B9"/>
    <w:rsid w:val="00AB0EB3"/>
    <w:rsid w:val="00AB187A"/>
    <w:rsid w:val="00AB1927"/>
    <w:rsid w:val="00AB2DD6"/>
    <w:rsid w:val="00AB3600"/>
    <w:rsid w:val="00AB4572"/>
    <w:rsid w:val="00AB514A"/>
    <w:rsid w:val="00AB6AAE"/>
    <w:rsid w:val="00AB7DCD"/>
    <w:rsid w:val="00AC01B0"/>
    <w:rsid w:val="00AC0287"/>
    <w:rsid w:val="00AC2798"/>
    <w:rsid w:val="00AC3E66"/>
    <w:rsid w:val="00AC4284"/>
    <w:rsid w:val="00AC4491"/>
    <w:rsid w:val="00AC4BF6"/>
    <w:rsid w:val="00AC50E3"/>
    <w:rsid w:val="00AC5B73"/>
    <w:rsid w:val="00AD51C9"/>
    <w:rsid w:val="00AD5E9F"/>
    <w:rsid w:val="00AD7013"/>
    <w:rsid w:val="00AE2651"/>
    <w:rsid w:val="00AE2A68"/>
    <w:rsid w:val="00AE2C32"/>
    <w:rsid w:val="00AE3326"/>
    <w:rsid w:val="00AE46F2"/>
    <w:rsid w:val="00AE5B8A"/>
    <w:rsid w:val="00AE6BD7"/>
    <w:rsid w:val="00AE7DAA"/>
    <w:rsid w:val="00AE7F35"/>
    <w:rsid w:val="00AF0784"/>
    <w:rsid w:val="00AF0DF9"/>
    <w:rsid w:val="00AF13EC"/>
    <w:rsid w:val="00AF3E02"/>
    <w:rsid w:val="00AF4BE4"/>
    <w:rsid w:val="00AF6610"/>
    <w:rsid w:val="00B01FED"/>
    <w:rsid w:val="00B020B3"/>
    <w:rsid w:val="00B02843"/>
    <w:rsid w:val="00B05A6C"/>
    <w:rsid w:val="00B06379"/>
    <w:rsid w:val="00B10A51"/>
    <w:rsid w:val="00B11EA0"/>
    <w:rsid w:val="00B12E52"/>
    <w:rsid w:val="00B15AC4"/>
    <w:rsid w:val="00B17FDB"/>
    <w:rsid w:val="00B21BB1"/>
    <w:rsid w:val="00B21D16"/>
    <w:rsid w:val="00B21DCD"/>
    <w:rsid w:val="00B22BE4"/>
    <w:rsid w:val="00B22CA8"/>
    <w:rsid w:val="00B235DF"/>
    <w:rsid w:val="00B23DC4"/>
    <w:rsid w:val="00B24F60"/>
    <w:rsid w:val="00B25266"/>
    <w:rsid w:val="00B25D68"/>
    <w:rsid w:val="00B263C0"/>
    <w:rsid w:val="00B269EF"/>
    <w:rsid w:val="00B26DF4"/>
    <w:rsid w:val="00B2777B"/>
    <w:rsid w:val="00B302B8"/>
    <w:rsid w:val="00B31900"/>
    <w:rsid w:val="00B34042"/>
    <w:rsid w:val="00B3537E"/>
    <w:rsid w:val="00B36BE8"/>
    <w:rsid w:val="00B404DE"/>
    <w:rsid w:val="00B41BE6"/>
    <w:rsid w:val="00B4270B"/>
    <w:rsid w:val="00B42961"/>
    <w:rsid w:val="00B43137"/>
    <w:rsid w:val="00B43523"/>
    <w:rsid w:val="00B517C5"/>
    <w:rsid w:val="00B51D25"/>
    <w:rsid w:val="00B5556E"/>
    <w:rsid w:val="00B55AFB"/>
    <w:rsid w:val="00B56599"/>
    <w:rsid w:val="00B56D49"/>
    <w:rsid w:val="00B637E5"/>
    <w:rsid w:val="00B661F0"/>
    <w:rsid w:val="00B66C37"/>
    <w:rsid w:val="00B67119"/>
    <w:rsid w:val="00B679DB"/>
    <w:rsid w:val="00B7004D"/>
    <w:rsid w:val="00B71675"/>
    <w:rsid w:val="00B71B62"/>
    <w:rsid w:val="00B721BC"/>
    <w:rsid w:val="00B733FE"/>
    <w:rsid w:val="00B75142"/>
    <w:rsid w:val="00B7550B"/>
    <w:rsid w:val="00B7597A"/>
    <w:rsid w:val="00B75BC0"/>
    <w:rsid w:val="00B7796D"/>
    <w:rsid w:val="00B801BE"/>
    <w:rsid w:val="00B8056F"/>
    <w:rsid w:val="00B80B83"/>
    <w:rsid w:val="00B818F1"/>
    <w:rsid w:val="00B821EE"/>
    <w:rsid w:val="00B863A0"/>
    <w:rsid w:val="00B87B70"/>
    <w:rsid w:val="00B9184D"/>
    <w:rsid w:val="00B91BC0"/>
    <w:rsid w:val="00B92874"/>
    <w:rsid w:val="00B93D5A"/>
    <w:rsid w:val="00B95564"/>
    <w:rsid w:val="00B96208"/>
    <w:rsid w:val="00B976D6"/>
    <w:rsid w:val="00BA01AB"/>
    <w:rsid w:val="00BA0CDE"/>
    <w:rsid w:val="00BA2C15"/>
    <w:rsid w:val="00BA2DD0"/>
    <w:rsid w:val="00BA2F29"/>
    <w:rsid w:val="00BA3306"/>
    <w:rsid w:val="00BA49FA"/>
    <w:rsid w:val="00BA541B"/>
    <w:rsid w:val="00BA57F5"/>
    <w:rsid w:val="00BA6D4D"/>
    <w:rsid w:val="00BA73EE"/>
    <w:rsid w:val="00BA77FA"/>
    <w:rsid w:val="00BB0427"/>
    <w:rsid w:val="00BB0C27"/>
    <w:rsid w:val="00BB156C"/>
    <w:rsid w:val="00BB345B"/>
    <w:rsid w:val="00BB400B"/>
    <w:rsid w:val="00BB42A8"/>
    <w:rsid w:val="00BB45CF"/>
    <w:rsid w:val="00BB764A"/>
    <w:rsid w:val="00BB7BF5"/>
    <w:rsid w:val="00BC04BF"/>
    <w:rsid w:val="00BC183F"/>
    <w:rsid w:val="00BC5B8B"/>
    <w:rsid w:val="00BC5B9C"/>
    <w:rsid w:val="00BC6151"/>
    <w:rsid w:val="00BC7348"/>
    <w:rsid w:val="00BD0009"/>
    <w:rsid w:val="00BD03EC"/>
    <w:rsid w:val="00BD10F9"/>
    <w:rsid w:val="00BD1306"/>
    <w:rsid w:val="00BD4B4F"/>
    <w:rsid w:val="00BD4F4C"/>
    <w:rsid w:val="00BD6795"/>
    <w:rsid w:val="00BD6A48"/>
    <w:rsid w:val="00BE092E"/>
    <w:rsid w:val="00BE093B"/>
    <w:rsid w:val="00BE34A9"/>
    <w:rsid w:val="00BE3CAA"/>
    <w:rsid w:val="00BE3E5F"/>
    <w:rsid w:val="00BE420C"/>
    <w:rsid w:val="00BE583A"/>
    <w:rsid w:val="00BE63D7"/>
    <w:rsid w:val="00BE65BF"/>
    <w:rsid w:val="00BF2D21"/>
    <w:rsid w:val="00BF2FBD"/>
    <w:rsid w:val="00BF3BFB"/>
    <w:rsid w:val="00BF655A"/>
    <w:rsid w:val="00BF6C9D"/>
    <w:rsid w:val="00C0032B"/>
    <w:rsid w:val="00C0125A"/>
    <w:rsid w:val="00C02DB8"/>
    <w:rsid w:val="00C054CB"/>
    <w:rsid w:val="00C0575A"/>
    <w:rsid w:val="00C060DB"/>
    <w:rsid w:val="00C07417"/>
    <w:rsid w:val="00C07BBA"/>
    <w:rsid w:val="00C10379"/>
    <w:rsid w:val="00C10648"/>
    <w:rsid w:val="00C12220"/>
    <w:rsid w:val="00C1308E"/>
    <w:rsid w:val="00C14EFF"/>
    <w:rsid w:val="00C165A2"/>
    <w:rsid w:val="00C166B7"/>
    <w:rsid w:val="00C23FEA"/>
    <w:rsid w:val="00C25742"/>
    <w:rsid w:val="00C25F17"/>
    <w:rsid w:val="00C317F3"/>
    <w:rsid w:val="00C36AAA"/>
    <w:rsid w:val="00C414E8"/>
    <w:rsid w:val="00C423F4"/>
    <w:rsid w:val="00C42847"/>
    <w:rsid w:val="00C43F0D"/>
    <w:rsid w:val="00C44C37"/>
    <w:rsid w:val="00C44E49"/>
    <w:rsid w:val="00C46AE5"/>
    <w:rsid w:val="00C47005"/>
    <w:rsid w:val="00C47654"/>
    <w:rsid w:val="00C50A40"/>
    <w:rsid w:val="00C50F12"/>
    <w:rsid w:val="00C51856"/>
    <w:rsid w:val="00C51A63"/>
    <w:rsid w:val="00C541DB"/>
    <w:rsid w:val="00C545C8"/>
    <w:rsid w:val="00C57E4D"/>
    <w:rsid w:val="00C60F3E"/>
    <w:rsid w:val="00C626E2"/>
    <w:rsid w:val="00C628C8"/>
    <w:rsid w:val="00C63D05"/>
    <w:rsid w:val="00C6411B"/>
    <w:rsid w:val="00C7182A"/>
    <w:rsid w:val="00C719F3"/>
    <w:rsid w:val="00C73C4B"/>
    <w:rsid w:val="00C7519E"/>
    <w:rsid w:val="00C7612D"/>
    <w:rsid w:val="00C80890"/>
    <w:rsid w:val="00C80C95"/>
    <w:rsid w:val="00C81A06"/>
    <w:rsid w:val="00C81A12"/>
    <w:rsid w:val="00C8388D"/>
    <w:rsid w:val="00C846BE"/>
    <w:rsid w:val="00C86C51"/>
    <w:rsid w:val="00C86C90"/>
    <w:rsid w:val="00C9049C"/>
    <w:rsid w:val="00C90F1C"/>
    <w:rsid w:val="00C91186"/>
    <w:rsid w:val="00C911E7"/>
    <w:rsid w:val="00C9297C"/>
    <w:rsid w:val="00C94E19"/>
    <w:rsid w:val="00C94FB2"/>
    <w:rsid w:val="00C94FD1"/>
    <w:rsid w:val="00C963DE"/>
    <w:rsid w:val="00C97D59"/>
    <w:rsid w:val="00CA0C26"/>
    <w:rsid w:val="00CA2153"/>
    <w:rsid w:val="00CA2BDD"/>
    <w:rsid w:val="00CA2EA0"/>
    <w:rsid w:val="00CA30DB"/>
    <w:rsid w:val="00CA3479"/>
    <w:rsid w:val="00CA4BE0"/>
    <w:rsid w:val="00CA4D5C"/>
    <w:rsid w:val="00CA7B19"/>
    <w:rsid w:val="00CB07A8"/>
    <w:rsid w:val="00CB3032"/>
    <w:rsid w:val="00CB4C86"/>
    <w:rsid w:val="00CB4D4F"/>
    <w:rsid w:val="00CB5389"/>
    <w:rsid w:val="00CC0AF4"/>
    <w:rsid w:val="00CC0F3F"/>
    <w:rsid w:val="00CC10E1"/>
    <w:rsid w:val="00CC19CB"/>
    <w:rsid w:val="00CC1D3C"/>
    <w:rsid w:val="00CC4D1C"/>
    <w:rsid w:val="00CC7B55"/>
    <w:rsid w:val="00CD035C"/>
    <w:rsid w:val="00CD0C28"/>
    <w:rsid w:val="00CD12E3"/>
    <w:rsid w:val="00CD17C1"/>
    <w:rsid w:val="00CD1B6E"/>
    <w:rsid w:val="00CD2260"/>
    <w:rsid w:val="00CD39F1"/>
    <w:rsid w:val="00CD4E0D"/>
    <w:rsid w:val="00CD6327"/>
    <w:rsid w:val="00CD6770"/>
    <w:rsid w:val="00CE2B78"/>
    <w:rsid w:val="00CE3BE4"/>
    <w:rsid w:val="00CE6590"/>
    <w:rsid w:val="00CE74A3"/>
    <w:rsid w:val="00CF5906"/>
    <w:rsid w:val="00CF666B"/>
    <w:rsid w:val="00D01AF5"/>
    <w:rsid w:val="00D034DD"/>
    <w:rsid w:val="00D04952"/>
    <w:rsid w:val="00D05640"/>
    <w:rsid w:val="00D057D1"/>
    <w:rsid w:val="00D063A7"/>
    <w:rsid w:val="00D06A16"/>
    <w:rsid w:val="00D0712F"/>
    <w:rsid w:val="00D07ABB"/>
    <w:rsid w:val="00D1078F"/>
    <w:rsid w:val="00D10873"/>
    <w:rsid w:val="00D10E60"/>
    <w:rsid w:val="00D12CD2"/>
    <w:rsid w:val="00D1353E"/>
    <w:rsid w:val="00D1454F"/>
    <w:rsid w:val="00D14D23"/>
    <w:rsid w:val="00D14F3F"/>
    <w:rsid w:val="00D1514F"/>
    <w:rsid w:val="00D15D8B"/>
    <w:rsid w:val="00D16108"/>
    <w:rsid w:val="00D17308"/>
    <w:rsid w:val="00D17984"/>
    <w:rsid w:val="00D21D12"/>
    <w:rsid w:val="00D23659"/>
    <w:rsid w:val="00D24538"/>
    <w:rsid w:val="00D24DAD"/>
    <w:rsid w:val="00D2590D"/>
    <w:rsid w:val="00D25916"/>
    <w:rsid w:val="00D26017"/>
    <w:rsid w:val="00D2688F"/>
    <w:rsid w:val="00D27099"/>
    <w:rsid w:val="00D275C0"/>
    <w:rsid w:val="00D2797C"/>
    <w:rsid w:val="00D307D1"/>
    <w:rsid w:val="00D31EBB"/>
    <w:rsid w:val="00D329E6"/>
    <w:rsid w:val="00D34A7D"/>
    <w:rsid w:val="00D36058"/>
    <w:rsid w:val="00D37972"/>
    <w:rsid w:val="00D40896"/>
    <w:rsid w:val="00D40F02"/>
    <w:rsid w:val="00D41534"/>
    <w:rsid w:val="00D42D76"/>
    <w:rsid w:val="00D4442A"/>
    <w:rsid w:val="00D44AD2"/>
    <w:rsid w:val="00D451FC"/>
    <w:rsid w:val="00D463A5"/>
    <w:rsid w:val="00D51953"/>
    <w:rsid w:val="00D528E8"/>
    <w:rsid w:val="00D54F50"/>
    <w:rsid w:val="00D570AF"/>
    <w:rsid w:val="00D57235"/>
    <w:rsid w:val="00D62EE0"/>
    <w:rsid w:val="00D63C48"/>
    <w:rsid w:val="00D64289"/>
    <w:rsid w:val="00D6667B"/>
    <w:rsid w:val="00D6744E"/>
    <w:rsid w:val="00D70A72"/>
    <w:rsid w:val="00D71400"/>
    <w:rsid w:val="00D72413"/>
    <w:rsid w:val="00D731C8"/>
    <w:rsid w:val="00D77085"/>
    <w:rsid w:val="00D77ABE"/>
    <w:rsid w:val="00D80BA0"/>
    <w:rsid w:val="00D8428A"/>
    <w:rsid w:val="00D8504A"/>
    <w:rsid w:val="00D85B19"/>
    <w:rsid w:val="00D87946"/>
    <w:rsid w:val="00D91281"/>
    <w:rsid w:val="00D92062"/>
    <w:rsid w:val="00D926D2"/>
    <w:rsid w:val="00D92C36"/>
    <w:rsid w:val="00D934B4"/>
    <w:rsid w:val="00D93552"/>
    <w:rsid w:val="00D94D6B"/>
    <w:rsid w:val="00D95394"/>
    <w:rsid w:val="00D95E68"/>
    <w:rsid w:val="00D96796"/>
    <w:rsid w:val="00D968CD"/>
    <w:rsid w:val="00D970E7"/>
    <w:rsid w:val="00DA032B"/>
    <w:rsid w:val="00DA0456"/>
    <w:rsid w:val="00DA10B3"/>
    <w:rsid w:val="00DA55BB"/>
    <w:rsid w:val="00DA6B31"/>
    <w:rsid w:val="00DA73EE"/>
    <w:rsid w:val="00DB10AE"/>
    <w:rsid w:val="00DB4205"/>
    <w:rsid w:val="00DB51D1"/>
    <w:rsid w:val="00DB6BA1"/>
    <w:rsid w:val="00DB775D"/>
    <w:rsid w:val="00DC1743"/>
    <w:rsid w:val="00DC3174"/>
    <w:rsid w:val="00DC38C7"/>
    <w:rsid w:val="00DC4CC9"/>
    <w:rsid w:val="00DC655D"/>
    <w:rsid w:val="00DC7746"/>
    <w:rsid w:val="00DD07A2"/>
    <w:rsid w:val="00DD09FA"/>
    <w:rsid w:val="00DD0B45"/>
    <w:rsid w:val="00DD1541"/>
    <w:rsid w:val="00DD17B9"/>
    <w:rsid w:val="00DD186D"/>
    <w:rsid w:val="00DD3049"/>
    <w:rsid w:val="00DD36C5"/>
    <w:rsid w:val="00DD53F8"/>
    <w:rsid w:val="00DD68CE"/>
    <w:rsid w:val="00DD6EC8"/>
    <w:rsid w:val="00DD76D9"/>
    <w:rsid w:val="00DD7830"/>
    <w:rsid w:val="00DE080C"/>
    <w:rsid w:val="00DE0811"/>
    <w:rsid w:val="00DE30E2"/>
    <w:rsid w:val="00DE3A9A"/>
    <w:rsid w:val="00DE6421"/>
    <w:rsid w:val="00DF0433"/>
    <w:rsid w:val="00DF16C0"/>
    <w:rsid w:val="00DF548B"/>
    <w:rsid w:val="00DF617D"/>
    <w:rsid w:val="00E0497D"/>
    <w:rsid w:val="00E05A36"/>
    <w:rsid w:val="00E05C7B"/>
    <w:rsid w:val="00E05FBC"/>
    <w:rsid w:val="00E10B7D"/>
    <w:rsid w:val="00E10EA6"/>
    <w:rsid w:val="00E12D67"/>
    <w:rsid w:val="00E138AE"/>
    <w:rsid w:val="00E14C37"/>
    <w:rsid w:val="00E163F4"/>
    <w:rsid w:val="00E16588"/>
    <w:rsid w:val="00E17652"/>
    <w:rsid w:val="00E176FE"/>
    <w:rsid w:val="00E21ED1"/>
    <w:rsid w:val="00E227EA"/>
    <w:rsid w:val="00E23605"/>
    <w:rsid w:val="00E23660"/>
    <w:rsid w:val="00E25067"/>
    <w:rsid w:val="00E2578A"/>
    <w:rsid w:val="00E26C86"/>
    <w:rsid w:val="00E271F4"/>
    <w:rsid w:val="00E2761D"/>
    <w:rsid w:val="00E3137A"/>
    <w:rsid w:val="00E31A1E"/>
    <w:rsid w:val="00E34484"/>
    <w:rsid w:val="00E34530"/>
    <w:rsid w:val="00E355FC"/>
    <w:rsid w:val="00E35ED3"/>
    <w:rsid w:val="00E36B01"/>
    <w:rsid w:val="00E37151"/>
    <w:rsid w:val="00E37424"/>
    <w:rsid w:val="00E37A33"/>
    <w:rsid w:val="00E404A9"/>
    <w:rsid w:val="00E42181"/>
    <w:rsid w:val="00E438D0"/>
    <w:rsid w:val="00E4509E"/>
    <w:rsid w:val="00E45180"/>
    <w:rsid w:val="00E45305"/>
    <w:rsid w:val="00E45E86"/>
    <w:rsid w:val="00E461AE"/>
    <w:rsid w:val="00E46AC9"/>
    <w:rsid w:val="00E522A7"/>
    <w:rsid w:val="00E52530"/>
    <w:rsid w:val="00E52A97"/>
    <w:rsid w:val="00E53DB6"/>
    <w:rsid w:val="00E5432D"/>
    <w:rsid w:val="00E54FB3"/>
    <w:rsid w:val="00E55904"/>
    <w:rsid w:val="00E55E72"/>
    <w:rsid w:val="00E60A72"/>
    <w:rsid w:val="00E64301"/>
    <w:rsid w:val="00E64F1D"/>
    <w:rsid w:val="00E6510C"/>
    <w:rsid w:val="00E66614"/>
    <w:rsid w:val="00E66E6D"/>
    <w:rsid w:val="00E704B1"/>
    <w:rsid w:val="00E7241B"/>
    <w:rsid w:val="00E7261C"/>
    <w:rsid w:val="00E735ED"/>
    <w:rsid w:val="00E73BE3"/>
    <w:rsid w:val="00E75629"/>
    <w:rsid w:val="00E76C32"/>
    <w:rsid w:val="00E76FE4"/>
    <w:rsid w:val="00E77CC2"/>
    <w:rsid w:val="00E77E2E"/>
    <w:rsid w:val="00E810FA"/>
    <w:rsid w:val="00E8269B"/>
    <w:rsid w:val="00E82F4E"/>
    <w:rsid w:val="00E83AB5"/>
    <w:rsid w:val="00E843B6"/>
    <w:rsid w:val="00E87A2A"/>
    <w:rsid w:val="00E92563"/>
    <w:rsid w:val="00E9264D"/>
    <w:rsid w:val="00E930FA"/>
    <w:rsid w:val="00E94CAD"/>
    <w:rsid w:val="00E951DA"/>
    <w:rsid w:val="00E95B65"/>
    <w:rsid w:val="00E97DA3"/>
    <w:rsid w:val="00E97FD6"/>
    <w:rsid w:val="00EA10AE"/>
    <w:rsid w:val="00EA1B29"/>
    <w:rsid w:val="00EA1CBD"/>
    <w:rsid w:val="00EA240D"/>
    <w:rsid w:val="00EA3000"/>
    <w:rsid w:val="00EA624B"/>
    <w:rsid w:val="00EA64C8"/>
    <w:rsid w:val="00EA66E6"/>
    <w:rsid w:val="00EB4183"/>
    <w:rsid w:val="00EB426B"/>
    <w:rsid w:val="00EB46C2"/>
    <w:rsid w:val="00EB5492"/>
    <w:rsid w:val="00EB57EE"/>
    <w:rsid w:val="00EB5E6D"/>
    <w:rsid w:val="00EB5FCF"/>
    <w:rsid w:val="00EB683D"/>
    <w:rsid w:val="00EB7203"/>
    <w:rsid w:val="00EB7CEE"/>
    <w:rsid w:val="00EC1482"/>
    <w:rsid w:val="00EC29DE"/>
    <w:rsid w:val="00EC4EA8"/>
    <w:rsid w:val="00EC706B"/>
    <w:rsid w:val="00ED00ED"/>
    <w:rsid w:val="00ED05A0"/>
    <w:rsid w:val="00ED3BB9"/>
    <w:rsid w:val="00ED5E52"/>
    <w:rsid w:val="00ED7FE1"/>
    <w:rsid w:val="00EE079C"/>
    <w:rsid w:val="00EE2314"/>
    <w:rsid w:val="00EE39F1"/>
    <w:rsid w:val="00EE3B48"/>
    <w:rsid w:val="00EE4F71"/>
    <w:rsid w:val="00EE5B3D"/>
    <w:rsid w:val="00EF1EC5"/>
    <w:rsid w:val="00EF2DD3"/>
    <w:rsid w:val="00EF3278"/>
    <w:rsid w:val="00EF3D3D"/>
    <w:rsid w:val="00EF412F"/>
    <w:rsid w:val="00F0076F"/>
    <w:rsid w:val="00F049EC"/>
    <w:rsid w:val="00F06E0B"/>
    <w:rsid w:val="00F10255"/>
    <w:rsid w:val="00F110D4"/>
    <w:rsid w:val="00F1229F"/>
    <w:rsid w:val="00F1267E"/>
    <w:rsid w:val="00F12FC6"/>
    <w:rsid w:val="00F13697"/>
    <w:rsid w:val="00F13BE7"/>
    <w:rsid w:val="00F14A1E"/>
    <w:rsid w:val="00F14DA3"/>
    <w:rsid w:val="00F15484"/>
    <w:rsid w:val="00F15F06"/>
    <w:rsid w:val="00F16843"/>
    <w:rsid w:val="00F172F6"/>
    <w:rsid w:val="00F23B31"/>
    <w:rsid w:val="00F25615"/>
    <w:rsid w:val="00F26B4B"/>
    <w:rsid w:val="00F2706C"/>
    <w:rsid w:val="00F3094A"/>
    <w:rsid w:val="00F30AC6"/>
    <w:rsid w:val="00F317AD"/>
    <w:rsid w:val="00F317E1"/>
    <w:rsid w:val="00F34307"/>
    <w:rsid w:val="00F34D49"/>
    <w:rsid w:val="00F356B8"/>
    <w:rsid w:val="00F36986"/>
    <w:rsid w:val="00F400C2"/>
    <w:rsid w:val="00F42508"/>
    <w:rsid w:val="00F4256A"/>
    <w:rsid w:val="00F43521"/>
    <w:rsid w:val="00F44CF3"/>
    <w:rsid w:val="00F45797"/>
    <w:rsid w:val="00F45FBC"/>
    <w:rsid w:val="00F4618E"/>
    <w:rsid w:val="00F4622C"/>
    <w:rsid w:val="00F50AA3"/>
    <w:rsid w:val="00F50E40"/>
    <w:rsid w:val="00F51531"/>
    <w:rsid w:val="00F52777"/>
    <w:rsid w:val="00F53728"/>
    <w:rsid w:val="00F53811"/>
    <w:rsid w:val="00F54167"/>
    <w:rsid w:val="00F54CF5"/>
    <w:rsid w:val="00F55128"/>
    <w:rsid w:val="00F560AE"/>
    <w:rsid w:val="00F560B6"/>
    <w:rsid w:val="00F56314"/>
    <w:rsid w:val="00F618B6"/>
    <w:rsid w:val="00F632A6"/>
    <w:rsid w:val="00F646D3"/>
    <w:rsid w:val="00F65B55"/>
    <w:rsid w:val="00F6778D"/>
    <w:rsid w:val="00F72634"/>
    <w:rsid w:val="00F72743"/>
    <w:rsid w:val="00F72B42"/>
    <w:rsid w:val="00F733F3"/>
    <w:rsid w:val="00F73A39"/>
    <w:rsid w:val="00F75D3A"/>
    <w:rsid w:val="00F80139"/>
    <w:rsid w:val="00F80C19"/>
    <w:rsid w:val="00F81984"/>
    <w:rsid w:val="00F82C12"/>
    <w:rsid w:val="00F830A3"/>
    <w:rsid w:val="00F8438A"/>
    <w:rsid w:val="00F84621"/>
    <w:rsid w:val="00F86AAB"/>
    <w:rsid w:val="00F87B89"/>
    <w:rsid w:val="00F87C31"/>
    <w:rsid w:val="00F9212E"/>
    <w:rsid w:val="00F931E9"/>
    <w:rsid w:val="00F96619"/>
    <w:rsid w:val="00F968C3"/>
    <w:rsid w:val="00FA0329"/>
    <w:rsid w:val="00FA04AE"/>
    <w:rsid w:val="00FA0647"/>
    <w:rsid w:val="00FA1F8C"/>
    <w:rsid w:val="00FA30A2"/>
    <w:rsid w:val="00FA383D"/>
    <w:rsid w:val="00FA3D0C"/>
    <w:rsid w:val="00FA6506"/>
    <w:rsid w:val="00FB0E14"/>
    <w:rsid w:val="00FB2E25"/>
    <w:rsid w:val="00FB32D0"/>
    <w:rsid w:val="00FB3E3B"/>
    <w:rsid w:val="00FB574F"/>
    <w:rsid w:val="00FB57DB"/>
    <w:rsid w:val="00FB756E"/>
    <w:rsid w:val="00FB79AF"/>
    <w:rsid w:val="00FC0247"/>
    <w:rsid w:val="00FC06E3"/>
    <w:rsid w:val="00FC0D33"/>
    <w:rsid w:val="00FC1E8C"/>
    <w:rsid w:val="00FC22AB"/>
    <w:rsid w:val="00FC3D58"/>
    <w:rsid w:val="00FC594B"/>
    <w:rsid w:val="00FC5AE1"/>
    <w:rsid w:val="00FC6471"/>
    <w:rsid w:val="00FC66E5"/>
    <w:rsid w:val="00FD0DA5"/>
    <w:rsid w:val="00FD25D4"/>
    <w:rsid w:val="00FD38A2"/>
    <w:rsid w:val="00FD55D9"/>
    <w:rsid w:val="00FD7841"/>
    <w:rsid w:val="00FE1144"/>
    <w:rsid w:val="00FE208F"/>
    <w:rsid w:val="00FE2431"/>
    <w:rsid w:val="00FE25E7"/>
    <w:rsid w:val="00FE4BA1"/>
    <w:rsid w:val="00FE4C58"/>
    <w:rsid w:val="00FE6746"/>
    <w:rsid w:val="00FF2550"/>
    <w:rsid w:val="00FF2D54"/>
    <w:rsid w:val="00FF2D6D"/>
    <w:rsid w:val="00FF3AA8"/>
    <w:rsid w:val="00FF5931"/>
    <w:rsid w:val="00FF610D"/>
    <w:rsid w:val="00FF67BD"/>
    <w:rsid w:val="00FF6E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8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11"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C5"/>
    <w:pPr>
      <w:spacing w:before="120" w:line="240" w:lineRule="auto"/>
    </w:pPr>
    <w:rPr>
      <w:sz w:val="24"/>
    </w:rPr>
  </w:style>
  <w:style w:type="paragraph" w:styleId="Heading1">
    <w:name w:val="heading 1"/>
    <w:basedOn w:val="Normal"/>
    <w:next w:val="Normal"/>
    <w:link w:val="Heading1Char"/>
    <w:uiPriority w:val="1"/>
    <w:qFormat/>
    <w:rsid w:val="00D24DAD"/>
    <w:pPr>
      <w:keepNext/>
      <w:keepLines/>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316E09"/>
    <w:pPr>
      <w:numPr>
        <w:ilvl w:val="1"/>
        <w:numId w:val="3"/>
      </w:numPr>
      <w:spacing w:before="0" w:after="120"/>
      <w:jc w:val="both"/>
    </w:pPr>
    <w:rPr>
      <w:rFonts w:cstheme="minorHAnsi"/>
      <w:szCs w:val="24"/>
    </w:r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99"/>
    <w:unhideWhenUsed/>
    <w:qFormat/>
    <w:rsid w:val="00762A23"/>
    <w:pPr>
      <w:ind w:left="709" w:hanging="709"/>
    </w:p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762A23"/>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5608F0"/>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54706F"/>
    <w:pPr>
      <w:widowControl w:val="0"/>
      <w:spacing w:before="0" w:after="0"/>
    </w:pPr>
    <w:rPr>
      <w:rFonts w:eastAsia="Times New Roman" w:cs="Arial"/>
      <w:snapToGrid w:val="0"/>
      <w:sz w:val="22"/>
      <w:szCs w:val="20"/>
    </w:rPr>
  </w:style>
  <w:style w:type="character" w:customStyle="1" w:styleId="BodyTextChar">
    <w:name w:val="Body Text Char"/>
    <w:basedOn w:val="DefaultParagraphFont"/>
    <w:link w:val="BodyText"/>
    <w:rsid w:val="0054706F"/>
    <w:rPr>
      <w:rFonts w:eastAsia="Times New Roman"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aliases w:val="PBAC Paragraph Char"/>
    <w:link w:val="Subtitle"/>
    <w:rsid w:val="00C317F3"/>
  </w:style>
  <w:style w:type="paragraph" w:styleId="Subtitle">
    <w:name w:val="Subtitle"/>
    <w:aliases w:val="PBAC Paragraph"/>
    <w:basedOn w:val="Normal"/>
    <w:link w:val="SubtitleChar"/>
    <w:uiPriority w:val="11"/>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locked/>
    <w:rsid w:val="00316E09"/>
    <w:rPr>
      <w:rFonts w:cstheme="minorHAnsi"/>
      <w:sz w:val="24"/>
      <w:szCs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TableLeft">
    <w:name w:val="Table Left"/>
    <w:basedOn w:val="Normal"/>
    <w:link w:val="TableLeftChar"/>
    <w:uiPriority w:val="99"/>
    <w:qFormat/>
    <w:rsid w:val="00CB4D4F"/>
    <w:pPr>
      <w:spacing w:before="0" w:after="0"/>
    </w:pPr>
    <w:rPr>
      <w:rFonts w:ascii="Arial Narrow" w:eastAsiaTheme="majorEastAsia" w:hAnsi="Arial Narrow" w:cstheme="majorBidi"/>
      <w:sz w:val="20"/>
      <w:lang w:bidi="en-US"/>
    </w:rPr>
  </w:style>
  <w:style w:type="character" w:customStyle="1" w:styleId="TableLeftChar">
    <w:name w:val="Table Left Char"/>
    <w:basedOn w:val="DefaultParagraphFont"/>
    <w:link w:val="TableLeft"/>
    <w:uiPriority w:val="99"/>
    <w:locked/>
    <w:rsid w:val="00CB4D4F"/>
    <w:rPr>
      <w:rFonts w:ascii="Arial Narrow" w:eastAsiaTheme="majorEastAsia" w:hAnsi="Arial Narrow" w:cstheme="majorBidi"/>
      <w:sz w:val="20"/>
      <w:lang w:bidi="en-US"/>
    </w:rPr>
  </w:style>
  <w:style w:type="paragraph" w:customStyle="1" w:styleId="TableBullets">
    <w:name w:val="Table Bullets"/>
    <w:basedOn w:val="TableLeft"/>
    <w:uiPriority w:val="5"/>
    <w:qFormat/>
    <w:rsid w:val="00CB4D4F"/>
    <w:pPr>
      <w:numPr>
        <w:numId w:val="7"/>
      </w:numPr>
      <w:ind w:left="170" w:hanging="170"/>
    </w:pPr>
  </w:style>
  <w:style w:type="paragraph" w:customStyle="1" w:styleId="TableTextHeading">
    <w:name w:val="Table Text Heading"/>
    <w:basedOn w:val="Normal"/>
    <w:rsid w:val="00E97DA3"/>
    <w:pPr>
      <w:spacing w:before="60" w:after="60"/>
      <w:jc w:val="center"/>
    </w:pPr>
    <w:rPr>
      <w:rFonts w:ascii="Arial Bold" w:eastAsia="Times New Roman" w:hAnsi="Arial Bold" w:cs="Times New Roman"/>
      <w:b/>
      <w:sz w:val="18"/>
      <w:szCs w:val="20"/>
      <w:lang w:eastAsia="en-AU"/>
    </w:rPr>
  </w:style>
  <w:style w:type="table" w:customStyle="1" w:styleId="TableGrid1">
    <w:name w:val="Table Grid1"/>
    <w:basedOn w:val="TableNormal"/>
    <w:next w:val="TableGrid"/>
    <w:uiPriority w:val="59"/>
    <w:rsid w:val="00A23CD5"/>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
    <w:name w:val="Small"/>
    <w:basedOn w:val="DefaultParagraphFont"/>
    <w:uiPriority w:val="4"/>
    <w:qFormat/>
    <w:rsid w:val="005E3034"/>
    <w:rPr>
      <w:rFonts w:ascii="Arial Narrow" w:hAnsi="Arial Narrow"/>
      <w:sz w:val="20"/>
    </w:rPr>
  </w:style>
  <w:style w:type="character" w:customStyle="1" w:styleId="CaptionFootnoteChar">
    <w:name w:val="Caption Footnote Char"/>
    <w:basedOn w:val="DefaultParagraphFont"/>
    <w:link w:val="CaptionFootnote"/>
    <w:rsid w:val="005E3034"/>
    <w:rPr>
      <w:rFonts w:ascii="Arial Narrow" w:eastAsia="Times New Roman" w:hAnsi="Arial Narrow" w:cs="Times New Roman"/>
      <w:kern w:val="28"/>
      <w:sz w:val="20"/>
      <w:szCs w:val="24"/>
      <w:lang w:eastAsia="en-GB"/>
    </w:rPr>
  </w:style>
  <w:style w:type="paragraph" w:customStyle="1" w:styleId="CaptionFootnote">
    <w:name w:val="Caption Footnote"/>
    <w:basedOn w:val="Normal"/>
    <w:link w:val="CaptionFootnoteChar"/>
    <w:qFormat/>
    <w:rsid w:val="005E3034"/>
    <w:pPr>
      <w:spacing w:before="0" w:after="0"/>
    </w:pPr>
    <w:rPr>
      <w:rFonts w:ascii="Arial Narrow" w:eastAsia="Times New Roman" w:hAnsi="Arial Narrow" w:cs="Times New Roman"/>
      <w:kern w:val="28"/>
      <w:sz w:val="20"/>
      <w:szCs w:val="24"/>
      <w:lang w:eastAsia="en-GB"/>
    </w:rPr>
  </w:style>
  <w:style w:type="character" w:customStyle="1" w:styleId="Font">
    <w:name w:val="Font"/>
    <w:basedOn w:val="DefaultParagraphFont"/>
    <w:uiPriority w:val="1"/>
    <w:qFormat/>
    <w:rsid w:val="005E3034"/>
    <w:rPr>
      <w:rFonts w:ascii="Sabon" w:hAnsi="Sabon"/>
      <w:sz w:val="22"/>
      <w:lang w:val="en-AU"/>
    </w:rPr>
  </w:style>
  <w:style w:type="numbering" w:customStyle="1" w:styleId="Style4">
    <w:name w:val="Style4"/>
    <w:uiPriority w:val="99"/>
    <w:rsid w:val="005E3034"/>
    <w:pPr>
      <w:numPr>
        <w:numId w:val="11"/>
      </w:numPr>
    </w:pPr>
  </w:style>
  <w:style w:type="character" w:customStyle="1" w:styleId="SmallBold">
    <w:name w:val="Small Bold"/>
    <w:basedOn w:val="Small"/>
    <w:uiPriority w:val="4"/>
    <w:qFormat/>
    <w:rsid w:val="005E3034"/>
    <w:rPr>
      <w:rFonts w:ascii="Arial Narrow" w:hAnsi="Arial Narrow"/>
      <w:b/>
      <w:sz w:val="20"/>
      <w:lang w:val="en-AU"/>
    </w:rPr>
  </w:style>
  <w:style w:type="paragraph" w:customStyle="1" w:styleId="NormalBullets">
    <w:name w:val="Normal Bullets"/>
    <w:basedOn w:val="Normal"/>
    <w:uiPriority w:val="3"/>
    <w:qFormat/>
    <w:rsid w:val="005E3034"/>
    <w:pPr>
      <w:numPr>
        <w:numId w:val="12"/>
      </w:numPr>
      <w:spacing w:before="0" w:after="240" w:line="276" w:lineRule="auto"/>
      <w:contextualSpacing/>
    </w:pPr>
    <w:rPr>
      <w:rFonts w:ascii="Sabon" w:eastAsiaTheme="majorEastAsia" w:hAnsi="Sabon" w:cstheme="majorBidi"/>
      <w:sz w:val="22"/>
      <w:lang w:bidi="en-US"/>
    </w:rPr>
  </w:style>
  <w:style w:type="paragraph" w:customStyle="1" w:styleId="TableListBullet">
    <w:name w:val="Table List Bullet"/>
    <w:basedOn w:val="TableText"/>
    <w:uiPriority w:val="99"/>
    <w:rsid w:val="00F45797"/>
    <w:pPr>
      <w:keepNext w:val="0"/>
      <w:numPr>
        <w:numId w:val="13"/>
      </w:numPr>
      <w:tabs>
        <w:tab w:val="clear" w:pos="720"/>
        <w:tab w:val="left" w:pos="280"/>
        <w:tab w:val="center" w:pos="4153"/>
        <w:tab w:val="right" w:pos="9015"/>
      </w:tabs>
      <w:spacing w:before="0" w:after="0"/>
      <w:ind w:left="280" w:hanging="280"/>
    </w:pPr>
    <w:rPr>
      <w:rFonts w:ascii="Arial" w:eastAsia="Times New Roman" w:hAnsi="Arial" w:cs="Times New Roman"/>
      <w:sz w:val="16"/>
      <w:szCs w:val="16"/>
      <w:lang w:eastAsia="en-AU"/>
    </w:rPr>
  </w:style>
  <w:style w:type="paragraph" w:customStyle="1" w:styleId="TextUnderTable">
    <w:name w:val="Text Under Table"/>
    <w:basedOn w:val="Normal"/>
    <w:link w:val="TextUnderTableChar"/>
    <w:rsid w:val="00F45797"/>
    <w:pPr>
      <w:spacing w:after="120"/>
      <w:contextualSpacing/>
    </w:pPr>
    <w:rPr>
      <w:rFonts w:ascii="Arial" w:eastAsia="Times New Roman" w:hAnsi="Arial" w:cs="Times New Roman"/>
      <w:i/>
      <w:sz w:val="16"/>
      <w:lang w:eastAsia="en-AU"/>
    </w:rPr>
  </w:style>
  <w:style w:type="character" w:customStyle="1" w:styleId="TextUnderTableChar">
    <w:name w:val="Text Under Table Char"/>
    <w:link w:val="TextUnderTable"/>
    <w:rsid w:val="00F45797"/>
    <w:rPr>
      <w:rFonts w:ascii="Arial" w:eastAsia="Times New Roman" w:hAnsi="Arial" w:cs="Times New Roman"/>
      <w:i/>
      <w:sz w:val="16"/>
      <w:lang w:eastAsia="en-AU"/>
    </w:rPr>
  </w:style>
  <w:style w:type="numbering" w:customStyle="1" w:styleId="Alt2">
    <w:name w:val="Alt 2"/>
    <w:uiPriority w:val="99"/>
    <w:rsid w:val="00FF67BD"/>
    <w:pPr>
      <w:numPr>
        <w:numId w:val="16"/>
      </w:numPr>
    </w:pPr>
  </w:style>
  <w:style w:type="paragraph" w:customStyle="1" w:styleId="TableCentre">
    <w:name w:val="Table Centre"/>
    <w:basedOn w:val="Normal"/>
    <w:qFormat/>
    <w:rsid w:val="00FF67BD"/>
    <w:pPr>
      <w:spacing w:before="0" w:after="0"/>
      <w:jc w:val="center"/>
    </w:pPr>
    <w:rPr>
      <w:rFonts w:ascii="Arial Narrow" w:eastAsia="Times New Roman" w:hAnsi="Arial Narrow" w:cs="Times New Roman"/>
      <w:sz w:val="20"/>
      <w:szCs w:val="20"/>
      <w:lang w:eastAsia="en-AU"/>
    </w:rPr>
  </w:style>
  <w:style w:type="table" w:customStyle="1" w:styleId="TableGrid11">
    <w:name w:val="Table Grid11"/>
    <w:basedOn w:val="TableNormal"/>
    <w:next w:val="TableGrid"/>
    <w:uiPriority w:val="59"/>
    <w:rsid w:val="00FF67BD"/>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Bold">
    <w:name w:val="Table Bold"/>
    <w:basedOn w:val="DefaultParagraphFont"/>
    <w:uiPriority w:val="4"/>
    <w:qFormat/>
    <w:rsid w:val="00FF67BD"/>
    <w:rPr>
      <w:rFonts w:ascii="Arial Narrow" w:hAnsi="Arial Narrow"/>
      <w:b/>
      <w:sz w:val="20"/>
      <w:lang w:val="en-AU"/>
    </w:rPr>
  </w:style>
  <w:style w:type="character" w:customStyle="1" w:styleId="SmallHighlight">
    <w:name w:val="Small Highlight"/>
    <w:basedOn w:val="Small"/>
    <w:uiPriority w:val="1"/>
    <w:qFormat/>
    <w:rsid w:val="00FF67BD"/>
    <w:rPr>
      <w:rFonts w:ascii="Arial Narrow" w:hAnsi="Arial Narrow"/>
      <w:sz w:val="20"/>
      <w:bdr w:val="none" w:sz="0" w:space="0" w:color="auto"/>
      <w:shd w:val="clear" w:color="auto" w:fill="FFFF00"/>
    </w:rPr>
  </w:style>
  <w:style w:type="table" w:customStyle="1" w:styleId="TableGridbeth1">
    <w:name w:val="Table Gridbeth1"/>
    <w:basedOn w:val="TableNormal"/>
    <w:next w:val="TableGrid"/>
    <w:uiPriority w:val="39"/>
    <w:rsid w:val="00C165A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Default">
    <w:name w:val="Default"/>
    <w:rsid w:val="007A4986"/>
    <w:pPr>
      <w:autoSpaceDE w:val="0"/>
      <w:autoSpaceDN w:val="0"/>
      <w:adjustRightInd w:val="0"/>
      <w:spacing w:after="0" w:line="240" w:lineRule="auto"/>
    </w:pPr>
    <w:rPr>
      <w:rFonts w:ascii="Cambria" w:eastAsia="Times New Roman" w:hAnsi="Cambria" w:cs="Cambria"/>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11"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C5"/>
    <w:pPr>
      <w:spacing w:before="120" w:line="240" w:lineRule="auto"/>
    </w:pPr>
    <w:rPr>
      <w:sz w:val="24"/>
    </w:rPr>
  </w:style>
  <w:style w:type="paragraph" w:styleId="Heading1">
    <w:name w:val="heading 1"/>
    <w:basedOn w:val="Normal"/>
    <w:next w:val="Normal"/>
    <w:link w:val="Heading1Char"/>
    <w:uiPriority w:val="1"/>
    <w:qFormat/>
    <w:rsid w:val="00D24DAD"/>
    <w:pPr>
      <w:keepNext/>
      <w:keepLines/>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316E09"/>
    <w:pPr>
      <w:numPr>
        <w:ilvl w:val="1"/>
        <w:numId w:val="3"/>
      </w:numPr>
      <w:spacing w:before="0" w:after="120"/>
      <w:jc w:val="both"/>
    </w:pPr>
    <w:rPr>
      <w:rFonts w:cstheme="minorHAnsi"/>
      <w:szCs w:val="24"/>
    </w:r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99"/>
    <w:unhideWhenUsed/>
    <w:qFormat/>
    <w:rsid w:val="00762A23"/>
    <w:pPr>
      <w:ind w:left="709" w:hanging="709"/>
    </w:p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762A23"/>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5608F0"/>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54706F"/>
    <w:pPr>
      <w:widowControl w:val="0"/>
      <w:spacing w:before="0" w:after="0"/>
    </w:pPr>
    <w:rPr>
      <w:rFonts w:eastAsia="Times New Roman" w:cs="Arial"/>
      <w:snapToGrid w:val="0"/>
      <w:sz w:val="22"/>
      <w:szCs w:val="20"/>
    </w:rPr>
  </w:style>
  <w:style w:type="character" w:customStyle="1" w:styleId="BodyTextChar">
    <w:name w:val="Body Text Char"/>
    <w:basedOn w:val="DefaultParagraphFont"/>
    <w:link w:val="BodyText"/>
    <w:rsid w:val="0054706F"/>
    <w:rPr>
      <w:rFonts w:eastAsia="Times New Roman"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aliases w:val="PBAC Paragraph Char"/>
    <w:link w:val="Subtitle"/>
    <w:rsid w:val="00C317F3"/>
  </w:style>
  <w:style w:type="paragraph" w:styleId="Subtitle">
    <w:name w:val="Subtitle"/>
    <w:aliases w:val="PBAC Paragraph"/>
    <w:basedOn w:val="Normal"/>
    <w:link w:val="SubtitleChar"/>
    <w:uiPriority w:val="11"/>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locked/>
    <w:rsid w:val="00316E09"/>
    <w:rPr>
      <w:rFonts w:cstheme="minorHAnsi"/>
      <w:sz w:val="24"/>
      <w:szCs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TableLeft">
    <w:name w:val="Table Left"/>
    <w:basedOn w:val="Normal"/>
    <w:link w:val="TableLeftChar"/>
    <w:uiPriority w:val="99"/>
    <w:qFormat/>
    <w:rsid w:val="00CB4D4F"/>
    <w:pPr>
      <w:spacing w:before="0" w:after="0"/>
    </w:pPr>
    <w:rPr>
      <w:rFonts w:ascii="Arial Narrow" w:eastAsiaTheme="majorEastAsia" w:hAnsi="Arial Narrow" w:cstheme="majorBidi"/>
      <w:sz w:val="20"/>
      <w:lang w:bidi="en-US"/>
    </w:rPr>
  </w:style>
  <w:style w:type="character" w:customStyle="1" w:styleId="TableLeftChar">
    <w:name w:val="Table Left Char"/>
    <w:basedOn w:val="DefaultParagraphFont"/>
    <w:link w:val="TableLeft"/>
    <w:uiPriority w:val="99"/>
    <w:locked/>
    <w:rsid w:val="00CB4D4F"/>
    <w:rPr>
      <w:rFonts w:ascii="Arial Narrow" w:eastAsiaTheme="majorEastAsia" w:hAnsi="Arial Narrow" w:cstheme="majorBidi"/>
      <w:sz w:val="20"/>
      <w:lang w:bidi="en-US"/>
    </w:rPr>
  </w:style>
  <w:style w:type="paragraph" w:customStyle="1" w:styleId="TableBullets">
    <w:name w:val="Table Bullets"/>
    <w:basedOn w:val="TableLeft"/>
    <w:uiPriority w:val="5"/>
    <w:qFormat/>
    <w:rsid w:val="00CB4D4F"/>
    <w:pPr>
      <w:numPr>
        <w:numId w:val="7"/>
      </w:numPr>
      <w:ind w:left="170" w:hanging="170"/>
    </w:pPr>
  </w:style>
  <w:style w:type="paragraph" w:customStyle="1" w:styleId="TableTextHeading">
    <w:name w:val="Table Text Heading"/>
    <w:basedOn w:val="Normal"/>
    <w:rsid w:val="00E97DA3"/>
    <w:pPr>
      <w:spacing w:before="60" w:after="60"/>
      <w:jc w:val="center"/>
    </w:pPr>
    <w:rPr>
      <w:rFonts w:ascii="Arial Bold" w:eastAsia="Times New Roman" w:hAnsi="Arial Bold" w:cs="Times New Roman"/>
      <w:b/>
      <w:sz w:val="18"/>
      <w:szCs w:val="20"/>
      <w:lang w:eastAsia="en-AU"/>
    </w:rPr>
  </w:style>
  <w:style w:type="table" w:customStyle="1" w:styleId="TableGrid1">
    <w:name w:val="Table Grid1"/>
    <w:basedOn w:val="TableNormal"/>
    <w:next w:val="TableGrid"/>
    <w:uiPriority w:val="59"/>
    <w:rsid w:val="00A23CD5"/>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
    <w:name w:val="Small"/>
    <w:basedOn w:val="DefaultParagraphFont"/>
    <w:uiPriority w:val="4"/>
    <w:qFormat/>
    <w:rsid w:val="005E3034"/>
    <w:rPr>
      <w:rFonts w:ascii="Arial Narrow" w:hAnsi="Arial Narrow"/>
      <w:sz w:val="20"/>
    </w:rPr>
  </w:style>
  <w:style w:type="character" w:customStyle="1" w:styleId="CaptionFootnoteChar">
    <w:name w:val="Caption Footnote Char"/>
    <w:basedOn w:val="DefaultParagraphFont"/>
    <w:link w:val="CaptionFootnote"/>
    <w:rsid w:val="005E3034"/>
    <w:rPr>
      <w:rFonts w:ascii="Arial Narrow" w:eastAsia="Times New Roman" w:hAnsi="Arial Narrow" w:cs="Times New Roman"/>
      <w:kern w:val="28"/>
      <w:sz w:val="20"/>
      <w:szCs w:val="24"/>
      <w:lang w:eastAsia="en-GB"/>
    </w:rPr>
  </w:style>
  <w:style w:type="paragraph" w:customStyle="1" w:styleId="CaptionFootnote">
    <w:name w:val="Caption Footnote"/>
    <w:basedOn w:val="Normal"/>
    <w:link w:val="CaptionFootnoteChar"/>
    <w:qFormat/>
    <w:rsid w:val="005E3034"/>
    <w:pPr>
      <w:spacing w:before="0" w:after="0"/>
    </w:pPr>
    <w:rPr>
      <w:rFonts w:ascii="Arial Narrow" w:eastAsia="Times New Roman" w:hAnsi="Arial Narrow" w:cs="Times New Roman"/>
      <w:kern w:val="28"/>
      <w:sz w:val="20"/>
      <w:szCs w:val="24"/>
      <w:lang w:eastAsia="en-GB"/>
    </w:rPr>
  </w:style>
  <w:style w:type="character" w:customStyle="1" w:styleId="Font">
    <w:name w:val="Font"/>
    <w:basedOn w:val="DefaultParagraphFont"/>
    <w:uiPriority w:val="1"/>
    <w:qFormat/>
    <w:rsid w:val="005E3034"/>
    <w:rPr>
      <w:rFonts w:ascii="Sabon" w:hAnsi="Sabon"/>
      <w:sz w:val="22"/>
      <w:lang w:val="en-AU"/>
    </w:rPr>
  </w:style>
  <w:style w:type="numbering" w:customStyle="1" w:styleId="Style4">
    <w:name w:val="Style4"/>
    <w:uiPriority w:val="99"/>
    <w:rsid w:val="005E3034"/>
    <w:pPr>
      <w:numPr>
        <w:numId w:val="11"/>
      </w:numPr>
    </w:pPr>
  </w:style>
  <w:style w:type="character" w:customStyle="1" w:styleId="SmallBold">
    <w:name w:val="Small Bold"/>
    <w:basedOn w:val="Small"/>
    <w:uiPriority w:val="4"/>
    <w:qFormat/>
    <w:rsid w:val="005E3034"/>
    <w:rPr>
      <w:rFonts w:ascii="Arial Narrow" w:hAnsi="Arial Narrow"/>
      <w:b/>
      <w:sz w:val="20"/>
      <w:lang w:val="en-AU"/>
    </w:rPr>
  </w:style>
  <w:style w:type="paragraph" w:customStyle="1" w:styleId="NormalBullets">
    <w:name w:val="Normal Bullets"/>
    <w:basedOn w:val="Normal"/>
    <w:uiPriority w:val="3"/>
    <w:qFormat/>
    <w:rsid w:val="005E3034"/>
    <w:pPr>
      <w:numPr>
        <w:numId w:val="12"/>
      </w:numPr>
      <w:spacing w:before="0" w:after="240" w:line="276" w:lineRule="auto"/>
      <w:contextualSpacing/>
    </w:pPr>
    <w:rPr>
      <w:rFonts w:ascii="Sabon" w:eastAsiaTheme="majorEastAsia" w:hAnsi="Sabon" w:cstheme="majorBidi"/>
      <w:sz w:val="22"/>
      <w:lang w:bidi="en-US"/>
    </w:rPr>
  </w:style>
  <w:style w:type="paragraph" w:customStyle="1" w:styleId="TableListBullet">
    <w:name w:val="Table List Bullet"/>
    <w:basedOn w:val="TableText"/>
    <w:uiPriority w:val="99"/>
    <w:rsid w:val="00F45797"/>
    <w:pPr>
      <w:keepNext w:val="0"/>
      <w:numPr>
        <w:numId w:val="13"/>
      </w:numPr>
      <w:tabs>
        <w:tab w:val="clear" w:pos="720"/>
        <w:tab w:val="left" w:pos="280"/>
        <w:tab w:val="center" w:pos="4153"/>
        <w:tab w:val="right" w:pos="9015"/>
      </w:tabs>
      <w:spacing w:before="0" w:after="0"/>
      <w:ind w:left="280" w:hanging="280"/>
    </w:pPr>
    <w:rPr>
      <w:rFonts w:ascii="Arial" w:eastAsia="Times New Roman" w:hAnsi="Arial" w:cs="Times New Roman"/>
      <w:sz w:val="16"/>
      <w:szCs w:val="16"/>
      <w:lang w:eastAsia="en-AU"/>
    </w:rPr>
  </w:style>
  <w:style w:type="paragraph" w:customStyle="1" w:styleId="TextUnderTable">
    <w:name w:val="Text Under Table"/>
    <w:basedOn w:val="Normal"/>
    <w:link w:val="TextUnderTableChar"/>
    <w:rsid w:val="00F45797"/>
    <w:pPr>
      <w:spacing w:after="120"/>
      <w:contextualSpacing/>
    </w:pPr>
    <w:rPr>
      <w:rFonts w:ascii="Arial" w:eastAsia="Times New Roman" w:hAnsi="Arial" w:cs="Times New Roman"/>
      <w:i/>
      <w:sz w:val="16"/>
      <w:lang w:eastAsia="en-AU"/>
    </w:rPr>
  </w:style>
  <w:style w:type="character" w:customStyle="1" w:styleId="TextUnderTableChar">
    <w:name w:val="Text Under Table Char"/>
    <w:link w:val="TextUnderTable"/>
    <w:rsid w:val="00F45797"/>
    <w:rPr>
      <w:rFonts w:ascii="Arial" w:eastAsia="Times New Roman" w:hAnsi="Arial" w:cs="Times New Roman"/>
      <w:i/>
      <w:sz w:val="16"/>
      <w:lang w:eastAsia="en-AU"/>
    </w:rPr>
  </w:style>
  <w:style w:type="numbering" w:customStyle="1" w:styleId="Alt2">
    <w:name w:val="Alt 2"/>
    <w:uiPriority w:val="99"/>
    <w:rsid w:val="00FF67BD"/>
    <w:pPr>
      <w:numPr>
        <w:numId w:val="16"/>
      </w:numPr>
    </w:pPr>
  </w:style>
  <w:style w:type="paragraph" w:customStyle="1" w:styleId="TableCentre">
    <w:name w:val="Table Centre"/>
    <w:basedOn w:val="Normal"/>
    <w:qFormat/>
    <w:rsid w:val="00FF67BD"/>
    <w:pPr>
      <w:spacing w:before="0" w:after="0"/>
      <w:jc w:val="center"/>
    </w:pPr>
    <w:rPr>
      <w:rFonts w:ascii="Arial Narrow" w:eastAsia="Times New Roman" w:hAnsi="Arial Narrow" w:cs="Times New Roman"/>
      <w:sz w:val="20"/>
      <w:szCs w:val="20"/>
      <w:lang w:eastAsia="en-AU"/>
    </w:rPr>
  </w:style>
  <w:style w:type="table" w:customStyle="1" w:styleId="TableGrid11">
    <w:name w:val="Table Grid11"/>
    <w:basedOn w:val="TableNormal"/>
    <w:next w:val="TableGrid"/>
    <w:uiPriority w:val="59"/>
    <w:rsid w:val="00FF67BD"/>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Bold">
    <w:name w:val="Table Bold"/>
    <w:basedOn w:val="DefaultParagraphFont"/>
    <w:uiPriority w:val="4"/>
    <w:qFormat/>
    <w:rsid w:val="00FF67BD"/>
    <w:rPr>
      <w:rFonts w:ascii="Arial Narrow" w:hAnsi="Arial Narrow"/>
      <w:b/>
      <w:sz w:val="20"/>
      <w:lang w:val="en-AU"/>
    </w:rPr>
  </w:style>
  <w:style w:type="character" w:customStyle="1" w:styleId="SmallHighlight">
    <w:name w:val="Small Highlight"/>
    <w:basedOn w:val="Small"/>
    <w:uiPriority w:val="1"/>
    <w:qFormat/>
    <w:rsid w:val="00FF67BD"/>
    <w:rPr>
      <w:rFonts w:ascii="Arial Narrow" w:hAnsi="Arial Narrow"/>
      <w:sz w:val="20"/>
      <w:bdr w:val="none" w:sz="0" w:space="0" w:color="auto"/>
      <w:shd w:val="clear" w:color="auto" w:fill="FFFF00"/>
    </w:rPr>
  </w:style>
  <w:style w:type="table" w:customStyle="1" w:styleId="TableGridbeth1">
    <w:name w:val="Table Gridbeth1"/>
    <w:basedOn w:val="TableNormal"/>
    <w:next w:val="TableGrid"/>
    <w:uiPriority w:val="39"/>
    <w:rsid w:val="00C165A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Default">
    <w:name w:val="Default"/>
    <w:rsid w:val="007A4986"/>
    <w:pPr>
      <w:autoSpaceDE w:val="0"/>
      <w:autoSpaceDN w:val="0"/>
      <w:adjustRightInd w:val="0"/>
      <w:spacing w:after="0" w:line="240" w:lineRule="auto"/>
    </w:pPr>
    <w:rPr>
      <w:rFonts w:ascii="Cambria" w:eastAsia="Times New Roman" w:hAnsi="Cambria" w:cs="Cambria"/>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91801879">
      <w:bodyDiv w:val="1"/>
      <w:marLeft w:val="0"/>
      <w:marRight w:val="0"/>
      <w:marTop w:val="0"/>
      <w:marBottom w:val="0"/>
      <w:divBdr>
        <w:top w:val="none" w:sz="0" w:space="0" w:color="auto"/>
        <w:left w:val="none" w:sz="0" w:space="0" w:color="auto"/>
        <w:bottom w:val="none" w:sz="0" w:space="0" w:color="auto"/>
        <w:right w:val="none" w:sz="0" w:space="0" w:color="auto"/>
      </w:divBdr>
    </w:div>
    <w:div w:id="648052180">
      <w:bodyDiv w:val="1"/>
      <w:marLeft w:val="0"/>
      <w:marRight w:val="0"/>
      <w:marTop w:val="0"/>
      <w:marBottom w:val="0"/>
      <w:divBdr>
        <w:top w:val="none" w:sz="0" w:space="0" w:color="auto"/>
        <w:left w:val="none" w:sz="0" w:space="0" w:color="auto"/>
        <w:bottom w:val="none" w:sz="0" w:space="0" w:color="auto"/>
        <w:right w:val="none" w:sz="0" w:space="0" w:color="auto"/>
      </w:divBdr>
    </w:div>
    <w:div w:id="754208177">
      <w:bodyDiv w:val="1"/>
      <w:marLeft w:val="0"/>
      <w:marRight w:val="0"/>
      <w:marTop w:val="0"/>
      <w:marBottom w:val="0"/>
      <w:divBdr>
        <w:top w:val="none" w:sz="0" w:space="0" w:color="auto"/>
        <w:left w:val="none" w:sz="0" w:space="0" w:color="auto"/>
        <w:bottom w:val="none" w:sz="0" w:space="0" w:color="auto"/>
        <w:right w:val="none" w:sz="0" w:space="0" w:color="auto"/>
      </w:divBdr>
    </w:div>
    <w:div w:id="948052201">
      <w:bodyDiv w:val="1"/>
      <w:marLeft w:val="0"/>
      <w:marRight w:val="0"/>
      <w:marTop w:val="0"/>
      <w:marBottom w:val="0"/>
      <w:divBdr>
        <w:top w:val="none" w:sz="0" w:space="0" w:color="auto"/>
        <w:left w:val="none" w:sz="0" w:space="0" w:color="auto"/>
        <w:bottom w:val="none" w:sz="0" w:space="0" w:color="auto"/>
        <w:right w:val="none" w:sz="0" w:space="0" w:color="auto"/>
      </w:divBdr>
      <w:divsChild>
        <w:div w:id="1838883840">
          <w:marLeft w:val="1166"/>
          <w:marRight w:val="0"/>
          <w:marTop w:val="0"/>
          <w:marBottom w:val="0"/>
          <w:divBdr>
            <w:top w:val="none" w:sz="0" w:space="0" w:color="auto"/>
            <w:left w:val="none" w:sz="0" w:space="0" w:color="auto"/>
            <w:bottom w:val="none" w:sz="0" w:space="0" w:color="auto"/>
            <w:right w:val="none" w:sz="0" w:space="0" w:color="auto"/>
          </w:divBdr>
        </w:div>
      </w:divsChild>
    </w:div>
    <w:div w:id="1152597443">
      <w:bodyDiv w:val="1"/>
      <w:marLeft w:val="0"/>
      <w:marRight w:val="0"/>
      <w:marTop w:val="0"/>
      <w:marBottom w:val="0"/>
      <w:divBdr>
        <w:top w:val="none" w:sz="0" w:space="0" w:color="auto"/>
        <w:left w:val="none" w:sz="0" w:space="0" w:color="auto"/>
        <w:bottom w:val="none" w:sz="0" w:space="0" w:color="auto"/>
        <w:right w:val="none" w:sz="0" w:space="0" w:color="auto"/>
      </w:divBdr>
    </w:div>
    <w:div w:id="1175269523">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600989293">
      <w:bodyDiv w:val="1"/>
      <w:marLeft w:val="0"/>
      <w:marRight w:val="0"/>
      <w:marTop w:val="0"/>
      <w:marBottom w:val="0"/>
      <w:divBdr>
        <w:top w:val="none" w:sz="0" w:space="0" w:color="auto"/>
        <w:left w:val="none" w:sz="0" w:space="0" w:color="auto"/>
        <w:bottom w:val="none" w:sz="0" w:space="0" w:color="auto"/>
        <w:right w:val="none" w:sz="0" w:space="0" w:color="auto"/>
      </w:divBdr>
    </w:div>
    <w:div w:id="1615020673">
      <w:bodyDiv w:val="1"/>
      <w:marLeft w:val="0"/>
      <w:marRight w:val="0"/>
      <w:marTop w:val="0"/>
      <w:marBottom w:val="0"/>
      <w:divBdr>
        <w:top w:val="none" w:sz="0" w:space="0" w:color="auto"/>
        <w:left w:val="none" w:sz="0" w:space="0" w:color="auto"/>
        <w:bottom w:val="none" w:sz="0" w:space="0" w:color="auto"/>
        <w:right w:val="none" w:sz="0" w:space="0" w:color="auto"/>
      </w:divBdr>
    </w:div>
    <w:div w:id="1883519382">
      <w:bodyDiv w:val="1"/>
      <w:marLeft w:val="0"/>
      <w:marRight w:val="0"/>
      <w:marTop w:val="0"/>
      <w:marBottom w:val="0"/>
      <w:divBdr>
        <w:top w:val="none" w:sz="0" w:space="0" w:color="auto"/>
        <w:left w:val="none" w:sz="0" w:space="0" w:color="auto"/>
        <w:bottom w:val="none" w:sz="0" w:space="0" w:color="auto"/>
        <w:right w:val="none" w:sz="0" w:space="0" w:color="auto"/>
      </w:divBdr>
    </w:div>
    <w:div w:id="1956710010">
      <w:bodyDiv w:val="1"/>
      <w:marLeft w:val="0"/>
      <w:marRight w:val="0"/>
      <w:marTop w:val="0"/>
      <w:marBottom w:val="0"/>
      <w:divBdr>
        <w:top w:val="none" w:sz="0" w:space="0" w:color="auto"/>
        <w:left w:val="none" w:sz="0" w:space="0" w:color="auto"/>
        <w:bottom w:val="none" w:sz="0" w:space="0" w:color="auto"/>
        <w:right w:val="none" w:sz="0" w:space="0" w:color="auto"/>
      </w:divBdr>
      <w:divsChild>
        <w:div w:id="134574496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A538-03A9-43DE-B3BC-6DF74045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12441</Words>
  <Characters>70914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2017-10-13T02:51:00Z</dcterms:created>
  <dcterms:modified xsi:type="dcterms:W3CDTF">2017-10-13T03:05:00Z</dcterms:modified>
</cp:coreProperties>
</file>