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2E0F10" w:rsidRDefault="00FA5B0C" w:rsidP="00914FCA">
      <w:pPr>
        <w:spacing w:before="120" w:after="160"/>
        <w:ind w:left="1418" w:hanging="1418"/>
        <w:outlineLvl w:val="0"/>
        <w:rPr>
          <w:rFonts w:asciiTheme="minorHAnsi" w:eastAsiaTheme="minorHAnsi" w:hAnsiTheme="minorHAnsi" w:cstheme="minorBidi"/>
          <w:b/>
          <w:sz w:val="36"/>
          <w:szCs w:val="36"/>
          <w:lang w:eastAsia="en-US"/>
        </w:rPr>
      </w:pPr>
      <w:bookmarkStart w:id="0" w:name="_GoBack"/>
      <w:bookmarkEnd w:id="0"/>
      <w:r w:rsidRPr="002E0F10">
        <w:rPr>
          <w:rFonts w:asciiTheme="minorHAnsi" w:eastAsiaTheme="minorHAnsi" w:hAnsiTheme="minorHAnsi" w:cstheme="minorBidi"/>
          <w:b/>
          <w:sz w:val="36"/>
          <w:szCs w:val="36"/>
          <w:lang w:eastAsia="en-US"/>
        </w:rPr>
        <w:t>6.15</w:t>
      </w:r>
      <w:r w:rsidR="007C0F57" w:rsidRPr="002E0F10">
        <w:rPr>
          <w:rFonts w:asciiTheme="minorHAnsi" w:eastAsiaTheme="minorHAnsi" w:hAnsiTheme="minorHAnsi" w:cstheme="minorBidi"/>
          <w:b/>
          <w:sz w:val="36"/>
          <w:szCs w:val="36"/>
          <w:lang w:eastAsia="en-US"/>
        </w:rPr>
        <w:tab/>
      </w:r>
      <w:r w:rsidRPr="002E0F10">
        <w:rPr>
          <w:rFonts w:asciiTheme="minorHAnsi" w:eastAsiaTheme="minorHAnsi" w:hAnsiTheme="minorHAnsi" w:cstheme="minorBidi"/>
          <w:b/>
          <w:sz w:val="36"/>
          <w:szCs w:val="36"/>
          <w:lang w:eastAsia="en-US"/>
        </w:rPr>
        <w:t>SOFOSBUVIR with VELPATASVIR</w:t>
      </w:r>
      <w:r w:rsidR="00AF0699" w:rsidRPr="002E0F10">
        <w:rPr>
          <w:rFonts w:asciiTheme="minorHAnsi" w:eastAsiaTheme="minorHAnsi" w:hAnsiTheme="minorHAnsi" w:cstheme="minorBidi"/>
          <w:b/>
          <w:sz w:val="36"/>
          <w:szCs w:val="36"/>
          <w:lang w:eastAsia="en-US"/>
        </w:rPr>
        <w:t>,</w:t>
      </w:r>
      <w:r w:rsidR="008A50F1" w:rsidRPr="002E0F10">
        <w:rPr>
          <w:rFonts w:asciiTheme="minorHAnsi" w:eastAsiaTheme="minorHAnsi" w:hAnsiTheme="minorHAnsi" w:cstheme="minorBidi"/>
          <w:b/>
          <w:sz w:val="36"/>
          <w:szCs w:val="36"/>
          <w:lang w:eastAsia="en-US"/>
        </w:rPr>
        <w:br/>
      </w:r>
      <w:r w:rsidRPr="002E0F10">
        <w:rPr>
          <w:rFonts w:asciiTheme="minorHAnsi" w:eastAsiaTheme="minorHAnsi" w:hAnsiTheme="minorHAnsi" w:cstheme="minorBidi"/>
          <w:b/>
          <w:sz w:val="36"/>
          <w:szCs w:val="36"/>
          <w:lang w:eastAsia="en-US"/>
        </w:rPr>
        <w:t>Tablet containing 400 mg sofosbuvir with 100 mg velpatasvir</w:t>
      </w:r>
      <w:r w:rsidR="00AF0699" w:rsidRPr="002E0F10">
        <w:rPr>
          <w:rFonts w:asciiTheme="minorHAnsi" w:eastAsiaTheme="minorHAnsi" w:hAnsiTheme="minorHAnsi" w:cstheme="minorBidi"/>
          <w:b/>
          <w:sz w:val="36"/>
          <w:szCs w:val="36"/>
          <w:lang w:eastAsia="en-US"/>
        </w:rPr>
        <w:t>,</w:t>
      </w:r>
      <w:r w:rsidR="008A50F1" w:rsidRPr="002E0F10">
        <w:rPr>
          <w:rFonts w:asciiTheme="minorHAnsi" w:eastAsiaTheme="minorHAnsi" w:hAnsiTheme="minorHAnsi" w:cstheme="minorBidi"/>
          <w:b/>
          <w:sz w:val="36"/>
          <w:szCs w:val="36"/>
          <w:lang w:eastAsia="en-US"/>
        </w:rPr>
        <w:t xml:space="preserve"> </w:t>
      </w:r>
      <w:r w:rsidR="008A50F1" w:rsidRPr="002E0F10">
        <w:rPr>
          <w:rFonts w:asciiTheme="minorHAnsi" w:eastAsiaTheme="minorHAnsi" w:hAnsiTheme="minorHAnsi" w:cstheme="minorBidi"/>
          <w:b/>
          <w:sz w:val="36"/>
          <w:szCs w:val="36"/>
          <w:lang w:eastAsia="en-US"/>
        </w:rPr>
        <w:br/>
      </w:r>
      <w:r w:rsidR="00AF0699" w:rsidRPr="002E0F10">
        <w:rPr>
          <w:rFonts w:asciiTheme="minorHAnsi" w:eastAsiaTheme="minorHAnsi" w:hAnsiTheme="minorHAnsi" w:cstheme="minorBidi"/>
          <w:b/>
          <w:sz w:val="36"/>
          <w:szCs w:val="36"/>
          <w:lang w:eastAsia="en-US"/>
        </w:rPr>
        <w:t>Epclusa</w:t>
      </w:r>
      <w:r w:rsidR="0004240E" w:rsidRPr="002E0F10">
        <w:rPr>
          <w:rFonts w:asciiTheme="minorHAnsi" w:eastAsiaTheme="minorHAnsi" w:hAnsiTheme="minorHAnsi" w:cstheme="minorBidi"/>
          <w:b/>
          <w:sz w:val="36"/>
          <w:szCs w:val="36"/>
          <w:lang w:eastAsia="en-US"/>
        </w:rPr>
        <w:t>®</w:t>
      </w:r>
      <w:r w:rsidR="00DB63AD" w:rsidRPr="002E0F10">
        <w:rPr>
          <w:rFonts w:asciiTheme="minorHAnsi" w:eastAsiaTheme="minorHAnsi" w:hAnsiTheme="minorHAnsi" w:cstheme="minorBidi"/>
          <w:b/>
          <w:sz w:val="36"/>
          <w:szCs w:val="36"/>
          <w:lang w:eastAsia="en-US"/>
        </w:rPr>
        <w:t>, Gilead</w:t>
      </w:r>
      <w:r w:rsidR="00AF0699" w:rsidRPr="002E0F10">
        <w:rPr>
          <w:rFonts w:asciiTheme="minorHAnsi" w:eastAsiaTheme="minorHAnsi" w:hAnsiTheme="minorHAnsi" w:cstheme="minorBidi"/>
          <w:b/>
          <w:sz w:val="36"/>
          <w:szCs w:val="36"/>
          <w:lang w:eastAsia="en-US"/>
        </w:rPr>
        <w:t xml:space="preserve"> Sciences Pty Ltd</w:t>
      </w:r>
    </w:p>
    <w:p w:rsidR="00CE10C4" w:rsidRPr="00806F9C" w:rsidRDefault="00CE10C4" w:rsidP="00C27B58">
      <w:pPr>
        <w:pStyle w:val="NoSpacing"/>
      </w:pPr>
    </w:p>
    <w:p w:rsidR="00C27B58" w:rsidRPr="00806F9C" w:rsidRDefault="00C27B58" w:rsidP="00C27B58">
      <w:pPr>
        <w:pStyle w:val="NoSpacing"/>
      </w:pPr>
    </w:p>
    <w:p w:rsidR="00E15627" w:rsidRPr="002E0F10" w:rsidRDefault="00CE10C4" w:rsidP="00E15627">
      <w:pPr>
        <w:pStyle w:val="PBACHeading1"/>
        <w:rPr>
          <w:szCs w:val="32"/>
        </w:rPr>
      </w:pPr>
      <w:r w:rsidRPr="002E0F10">
        <w:rPr>
          <w:szCs w:val="32"/>
        </w:rPr>
        <w:t xml:space="preserve">Purpose of </w:t>
      </w:r>
      <w:r w:rsidR="0004240E" w:rsidRPr="002E0F10">
        <w:rPr>
          <w:szCs w:val="32"/>
        </w:rPr>
        <w:t>Application</w:t>
      </w:r>
    </w:p>
    <w:p w:rsidR="008A50F1" w:rsidRPr="00806F9C" w:rsidRDefault="008A50F1" w:rsidP="00E15627">
      <w:pPr>
        <w:rPr>
          <w:sz w:val="22"/>
          <w:szCs w:val="22"/>
        </w:rPr>
      </w:pPr>
    </w:p>
    <w:p w:rsidR="00EF44A0" w:rsidRPr="001F35B8" w:rsidRDefault="00EF44A0" w:rsidP="00AF6A9E">
      <w:pPr>
        <w:pStyle w:val="ListParagraph"/>
        <w:numPr>
          <w:ilvl w:val="1"/>
          <w:numId w:val="5"/>
        </w:numPr>
        <w:rPr>
          <w:szCs w:val="24"/>
        </w:rPr>
      </w:pPr>
      <w:r w:rsidRPr="001F35B8">
        <w:rPr>
          <w:szCs w:val="24"/>
        </w:rPr>
        <w:t>The mi</w:t>
      </w:r>
      <w:r w:rsidR="00FF2801" w:rsidRPr="001F35B8">
        <w:rPr>
          <w:szCs w:val="24"/>
        </w:rPr>
        <w:t xml:space="preserve">nor submission </w:t>
      </w:r>
      <w:r w:rsidR="00AF6A9E" w:rsidRPr="001F35B8">
        <w:rPr>
          <w:szCs w:val="24"/>
        </w:rPr>
        <w:t xml:space="preserve">requested the PBAC review its advice that sofosbuvir with velpatasvir should be treated as interchangeable on an individual patient basis with other direct-acting antiretroviral (DAA) treatment regimens under Section 101(3BA) of the </w:t>
      </w:r>
      <w:r w:rsidR="00AF6A9E" w:rsidRPr="001F35B8">
        <w:rPr>
          <w:i/>
          <w:szCs w:val="24"/>
        </w:rPr>
        <w:t>National Health Act 1953</w:t>
      </w:r>
      <w:r w:rsidR="00320A65" w:rsidRPr="001F35B8">
        <w:rPr>
          <w:i/>
          <w:szCs w:val="24"/>
        </w:rPr>
        <w:t xml:space="preserve"> </w:t>
      </w:r>
      <w:r w:rsidR="00320A65" w:rsidRPr="001F35B8">
        <w:rPr>
          <w:szCs w:val="24"/>
        </w:rPr>
        <w:t>(the Act)</w:t>
      </w:r>
      <w:r w:rsidR="00AF6A9E" w:rsidRPr="001F35B8">
        <w:rPr>
          <w:szCs w:val="24"/>
        </w:rPr>
        <w:t>.</w:t>
      </w:r>
    </w:p>
    <w:p w:rsidR="00DB63AD" w:rsidRPr="00806F9C" w:rsidRDefault="00DB63AD" w:rsidP="00DB63AD">
      <w:pPr>
        <w:pStyle w:val="ListParagraph"/>
        <w:rPr>
          <w:sz w:val="22"/>
          <w:szCs w:val="22"/>
        </w:rPr>
      </w:pPr>
    </w:p>
    <w:p w:rsidR="00EF44A0" w:rsidRPr="00806F9C" w:rsidRDefault="00EF44A0" w:rsidP="00C27B58">
      <w:pPr>
        <w:pStyle w:val="NoSpacing"/>
      </w:pPr>
    </w:p>
    <w:p w:rsidR="00962223" w:rsidRPr="002E0F10" w:rsidRDefault="006A12A5" w:rsidP="008A50F1">
      <w:pPr>
        <w:pStyle w:val="PBACHeading1"/>
        <w:rPr>
          <w:szCs w:val="32"/>
        </w:rPr>
      </w:pPr>
      <w:r w:rsidRPr="002E0F10">
        <w:rPr>
          <w:szCs w:val="32"/>
        </w:rPr>
        <w:t>Requested listing</w:t>
      </w:r>
    </w:p>
    <w:p w:rsidR="006A12A5" w:rsidRPr="00806F9C" w:rsidRDefault="006A12A5" w:rsidP="00882085">
      <w:pPr>
        <w:jc w:val="both"/>
        <w:rPr>
          <w:rFonts w:ascii="Arial" w:hAnsi="Arial"/>
          <w:b/>
          <w:sz w:val="22"/>
          <w:szCs w:val="22"/>
        </w:rPr>
      </w:pPr>
    </w:p>
    <w:p w:rsidR="00826F6D" w:rsidRPr="001F35B8" w:rsidRDefault="00EF44A0" w:rsidP="00AF6A9E">
      <w:pPr>
        <w:pStyle w:val="ListParagraph"/>
        <w:numPr>
          <w:ilvl w:val="1"/>
          <w:numId w:val="5"/>
        </w:numPr>
        <w:rPr>
          <w:szCs w:val="24"/>
        </w:rPr>
      </w:pPr>
      <w:r w:rsidRPr="001F35B8">
        <w:rPr>
          <w:szCs w:val="24"/>
        </w:rPr>
        <w:t xml:space="preserve">The submission </w:t>
      </w:r>
      <w:r w:rsidR="00AF6A9E" w:rsidRPr="001F35B8">
        <w:rPr>
          <w:szCs w:val="24"/>
        </w:rPr>
        <w:t xml:space="preserve">did not request changes to the recommended restriction, which </w:t>
      </w:r>
      <w:r w:rsidR="007E66B1" w:rsidRPr="001F35B8">
        <w:rPr>
          <w:szCs w:val="24"/>
        </w:rPr>
        <w:t>is</w:t>
      </w:r>
      <w:r w:rsidR="00D06495" w:rsidRPr="001F35B8">
        <w:rPr>
          <w:szCs w:val="24"/>
        </w:rPr>
        <w:t xml:space="preserve"> </w:t>
      </w:r>
      <w:r w:rsidR="00AF6A9E" w:rsidRPr="001F35B8">
        <w:rPr>
          <w:szCs w:val="24"/>
        </w:rPr>
        <w:t>consistent with other listings for DAA regimens and the General Statement for Drugs for the Treatment of Hepatitis C</w:t>
      </w:r>
      <w:r w:rsidR="00D06495" w:rsidRPr="001F35B8">
        <w:rPr>
          <w:szCs w:val="24"/>
        </w:rPr>
        <w:t>.</w:t>
      </w:r>
    </w:p>
    <w:p w:rsidR="006A43CC" w:rsidRPr="00806F9C" w:rsidRDefault="006A43CC" w:rsidP="006A43CC">
      <w:pPr>
        <w:pStyle w:val="ListParagraph"/>
        <w:rPr>
          <w:sz w:val="22"/>
          <w:szCs w:val="22"/>
        </w:rPr>
      </w:pPr>
    </w:p>
    <w:p w:rsidR="00BB7EC3" w:rsidRPr="00806F9C" w:rsidRDefault="00BB7EC3" w:rsidP="00882085">
      <w:pPr>
        <w:jc w:val="both"/>
        <w:rPr>
          <w:rFonts w:ascii="Arial" w:hAnsi="Arial"/>
          <w:b/>
          <w:sz w:val="22"/>
          <w:szCs w:val="22"/>
        </w:rPr>
      </w:pPr>
    </w:p>
    <w:p w:rsidR="00CE10C4" w:rsidRPr="002E0F10" w:rsidRDefault="00CE10C4" w:rsidP="008A50F1">
      <w:pPr>
        <w:pStyle w:val="PBACHeading1"/>
        <w:rPr>
          <w:szCs w:val="32"/>
        </w:rPr>
      </w:pPr>
      <w:r w:rsidRPr="002E0F10">
        <w:rPr>
          <w:szCs w:val="32"/>
        </w:rPr>
        <w:t>Background</w:t>
      </w:r>
    </w:p>
    <w:p w:rsidR="00C603D4" w:rsidRPr="00806F9C" w:rsidRDefault="00C603D4" w:rsidP="00C603D4">
      <w:pPr>
        <w:pStyle w:val="ListParagraph"/>
        <w:rPr>
          <w:i/>
          <w:sz w:val="22"/>
          <w:szCs w:val="22"/>
        </w:rPr>
      </w:pPr>
    </w:p>
    <w:p w:rsidR="00914768" w:rsidRPr="001F35B8" w:rsidRDefault="00914768" w:rsidP="008A50F1">
      <w:pPr>
        <w:pStyle w:val="ListParagraph"/>
        <w:numPr>
          <w:ilvl w:val="1"/>
          <w:numId w:val="5"/>
        </w:numPr>
        <w:rPr>
          <w:i/>
          <w:szCs w:val="24"/>
        </w:rPr>
      </w:pPr>
      <w:r w:rsidRPr="001F35B8">
        <w:rPr>
          <w:szCs w:val="24"/>
        </w:rPr>
        <w:t xml:space="preserve">Under Section 101(3BA) of the </w:t>
      </w:r>
      <w:r w:rsidR="00320A65" w:rsidRPr="001F35B8">
        <w:rPr>
          <w:i/>
          <w:szCs w:val="24"/>
        </w:rPr>
        <w:t>Act</w:t>
      </w:r>
      <w:r w:rsidRPr="001F35B8">
        <w:rPr>
          <w:szCs w:val="24"/>
        </w:rPr>
        <w:t>, if the Committee makes a positive recommendation for a drug or medicinal preparation, it must specify whether the drug or medicinal preparation and another drug or medicinal preparation should be treated as interchangeable on an individual patient basis.</w:t>
      </w:r>
    </w:p>
    <w:p w:rsidR="00914768" w:rsidRPr="001F35B8" w:rsidRDefault="00914768" w:rsidP="00914768"/>
    <w:p w:rsidR="002B1AE6" w:rsidRPr="001F35B8" w:rsidRDefault="00914768" w:rsidP="008A50F1">
      <w:pPr>
        <w:pStyle w:val="ListParagraph"/>
        <w:numPr>
          <w:ilvl w:val="1"/>
          <w:numId w:val="5"/>
        </w:numPr>
        <w:rPr>
          <w:i/>
          <w:szCs w:val="24"/>
        </w:rPr>
      </w:pPr>
      <w:r w:rsidRPr="001F35B8">
        <w:rPr>
          <w:szCs w:val="24"/>
        </w:rPr>
        <w:t>S</w:t>
      </w:r>
      <w:r w:rsidR="005627E2" w:rsidRPr="001F35B8">
        <w:rPr>
          <w:szCs w:val="24"/>
        </w:rPr>
        <w:t>ofosbuvir with velpatasvir</w:t>
      </w:r>
      <w:r w:rsidR="00DB63AD" w:rsidRPr="001F35B8">
        <w:rPr>
          <w:szCs w:val="24"/>
        </w:rPr>
        <w:t xml:space="preserve"> </w:t>
      </w:r>
      <w:r w:rsidR="00476245" w:rsidRPr="001F35B8">
        <w:rPr>
          <w:szCs w:val="24"/>
        </w:rPr>
        <w:t>is TGA registered for</w:t>
      </w:r>
      <w:r w:rsidR="005627E2" w:rsidRPr="001F35B8">
        <w:rPr>
          <w:szCs w:val="24"/>
        </w:rPr>
        <w:t xml:space="preserve"> the treatment of chronic hepatitis C virus in</w:t>
      </w:r>
      <w:r w:rsidR="00320A65" w:rsidRPr="001F35B8">
        <w:rPr>
          <w:szCs w:val="24"/>
        </w:rPr>
        <w:t>f</w:t>
      </w:r>
      <w:r w:rsidR="005627E2" w:rsidRPr="001F35B8">
        <w:rPr>
          <w:szCs w:val="24"/>
        </w:rPr>
        <w:t>ection – genotypes 1, 2, 3, 4, 5 or 6 (all genotypes).</w:t>
      </w:r>
      <w:r w:rsidR="002B1AE6" w:rsidRPr="001F35B8">
        <w:rPr>
          <w:szCs w:val="24"/>
        </w:rPr>
        <w:t xml:space="preserve"> </w:t>
      </w:r>
    </w:p>
    <w:p w:rsidR="006B0D94" w:rsidRPr="001F35B8" w:rsidRDefault="006B0D94" w:rsidP="002D14A4">
      <w:pPr>
        <w:rPr>
          <w:rFonts w:asciiTheme="minorHAnsi" w:hAnsiTheme="minorHAnsi" w:cs="Arial"/>
          <w:snapToGrid w:val="0"/>
          <w:lang w:eastAsia="en-US"/>
        </w:rPr>
      </w:pPr>
    </w:p>
    <w:p w:rsidR="005627E2" w:rsidRPr="001F35B8" w:rsidRDefault="005627E2" w:rsidP="005627E2">
      <w:pPr>
        <w:pStyle w:val="ListParagraph"/>
        <w:numPr>
          <w:ilvl w:val="1"/>
          <w:numId w:val="5"/>
        </w:numPr>
        <w:rPr>
          <w:szCs w:val="24"/>
        </w:rPr>
      </w:pPr>
      <w:r w:rsidRPr="001F35B8">
        <w:rPr>
          <w:szCs w:val="24"/>
        </w:rPr>
        <w:t xml:space="preserve">At its November 2016 meeting, the PBAC recommended the listing of sofosbuvir with velpatasvir for the treatment of chronic hepatitis C (CHC) infection. As part of that recommendation, the PBAC advised that sofosbuvir with velpatasvir should be treated as interchangeable on an individual patient basis with </w:t>
      </w:r>
      <w:r w:rsidR="004874F3" w:rsidRPr="001F35B8">
        <w:rPr>
          <w:szCs w:val="24"/>
        </w:rPr>
        <w:t xml:space="preserve">the </w:t>
      </w:r>
      <w:r w:rsidRPr="001F35B8">
        <w:rPr>
          <w:szCs w:val="24"/>
        </w:rPr>
        <w:t>other direct acting antiviral treatment regimens</w:t>
      </w:r>
      <w:r w:rsidR="00D06495" w:rsidRPr="001F35B8">
        <w:rPr>
          <w:rStyle w:val="FootnoteReference"/>
          <w:szCs w:val="24"/>
        </w:rPr>
        <w:footnoteReference w:id="1"/>
      </w:r>
      <w:r w:rsidRPr="001F35B8">
        <w:rPr>
          <w:szCs w:val="24"/>
        </w:rPr>
        <w:t>:</w:t>
      </w:r>
    </w:p>
    <w:p w:rsidR="005627E2" w:rsidRPr="001F35B8" w:rsidRDefault="005627E2" w:rsidP="005627E2">
      <w:pPr>
        <w:pStyle w:val="ListParagraph"/>
        <w:rPr>
          <w:szCs w:val="24"/>
        </w:rPr>
      </w:pPr>
    </w:p>
    <w:p w:rsidR="00A21942" w:rsidRPr="001F35B8" w:rsidRDefault="00A21942" w:rsidP="005627E2">
      <w:pPr>
        <w:pStyle w:val="ListParagraph"/>
        <w:rPr>
          <w:szCs w:val="24"/>
        </w:rPr>
      </w:pPr>
    </w:p>
    <w:p w:rsidR="005627E2" w:rsidRPr="001F35B8" w:rsidRDefault="005627E2" w:rsidP="005627E2">
      <w:pPr>
        <w:pStyle w:val="ListParagraph"/>
        <w:numPr>
          <w:ilvl w:val="0"/>
          <w:numId w:val="15"/>
        </w:numPr>
        <w:rPr>
          <w:szCs w:val="24"/>
        </w:rPr>
      </w:pPr>
      <w:r w:rsidRPr="001F35B8">
        <w:rPr>
          <w:szCs w:val="24"/>
        </w:rPr>
        <w:t>Ledipasvir with sofosbuvir</w:t>
      </w:r>
      <w:r w:rsidR="00BD35D4" w:rsidRPr="001F35B8">
        <w:rPr>
          <w:szCs w:val="24"/>
        </w:rPr>
        <w:t>,</w:t>
      </w:r>
      <w:r w:rsidRPr="001F35B8">
        <w:rPr>
          <w:szCs w:val="24"/>
        </w:rPr>
        <w:t xml:space="preserve"> and paritaprevir with ritonavir with ombitasvir and dasabuvir +/- ribavirin (RBV) for genotype 1 (GT1) CHC;</w:t>
      </w:r>
    </w:p>
    <w:p w:rsidR="005627E2" w:rsidRPr="001F35B8" w:rsidRDefault="005627E2" w:rsidP="005627E2">
      <w:pPr>
        <w:pStyle w:val="ListParagraph"/>
        <w:numPr>
          <w:ilvl w:val="0"/>
          <w:numId w:val="15"/>
        </w:numPr>
        <w:rPr>
          <w:szCs w:val="24"/>
        </w:rPr>
      </w:pPr>
      <w:r w:rsidRPr="001F35B8">
        <w:rPr>
          <w:szCs w:val="24"/>
        </w:rPr>
        <w:t>Sofosbuvir in combination with RBV for genotypes 2 (GT2) and 3 (GT3) CHC;</w:t>
      </w:r>
    </w:p>
    <w:p w:rsidR="005627E2" w:rsidRPr="001F35B8" w:rsidRDefault="005627E2" w:rsidP="005627E2">
      <w:pPr>
        <w:pStyle w:val="ListParagraph"/>
        <w:numPr>
          <w:ilvl w:val="0"/>
          <w:numId w:val="15"/>
        </w:numPr>
        <w:rPr>
          <w:szCs w:val="24"/>
        </w:rPr>
      </w:pPr>
      <w:r w:rsidRPr="001F35B8">
        <w:rPr>
          <w:szCs w:val="24"/>
        </w:rPr>
        <w:t>Daclatasvir and sofosbuvir for GT3 CHC; and</w:t>
      </w:r>
    </w:p>
    <w:p w:rsidR="005627E2" w:rsidRPr="001F35B8" w:rsidRDefault="005627E2" w:rsidP="005627E2">
      <w:pPr>
        <w:pStyle w:val="ListParagraph"/>
        <w:numPr>
          <w:ilvl w:val="0"/>
          <w:numId w:val="15"/>
        </w:numPr>
        <w:rPr>
          <w:szCs w:val="24"/>
        </w:rPr>
      </w:pPr>
      <w:r w:rsidRPr="001F35B8">
        <w:rPr>
          <w:szCs w:val="24"/>
        </w:rPr>
        <w:t>Grazoprevir with elbasvir +/- RBV for genotype 4 (GT4) CHC.</w:t>
      </w:r>
    </w:p>
    <w:p w:rsidR="00974DCD" w:rsidRPr="001F35B8" w:rsidRDefault="005627E2" w:rsidP="002E0F10">
      <w:pPr>
        <w:jc w:val="both"/>
        <w:rPr>
          <w:rFonts w:ascii="Arial" w:hAnsi="Arial"/>
          <w:b/>
        </w:rPr>
      </w:pPr>
      <w:r w:rsidRPr="001F35B8">
        <w:rPr>
          <w:rFonts w:ascii="Arial" w:hAnsi="Arial"/>
          <w:b/>
        </w:rPr>
        <w:t xml:space="preserve"> </w:t>
      </w:r>
    </w:p>
    <w:p w:rsidR="00974DCD" w:rsidRPr="001F35B8" w:rsidRDefault="00CD0530" w:rsidP="005627E2">
      <w:pPr>
        <w:pStyle w:val="ListParagraph"/>
        <w:numPr>
          <w:ilvl w:val="1"/>
          <w:numId w:val="5"/>
        </w:numPr>
        <w:rPr>
          <w:i/>
          <w:szCs w:val="24"/>
        </w:rPr>
      </w:pPr>
      <w:r w:rsidRPr="001F35B8">
        <w:rPr>
          <w:szCs w:val="24"/>
        </w:rPr>
        <w:t>For the purposes of providing advice under Section 101(3BA) of the Act</w:t>
      </w:r>
      <w:r w:rsidR="00B24BAD" w:rsidRPr="001F35B8">
        <w:rPr>
          <w:szCs w:val="24"/>
        </w:rPr>
        <w:t xml:space="preserve"> regarding interchangeability</w:t>
      </w:r>
      <w:r w:rsidRPr="001F35B8">
        <w:rPr>
          <w:szCs w:val="24"/>
        </w:rPr>
        <w:t xml:space="preserve">, the PBAC considers material relating to the health outcomes of treatment </w:t>
      </w:r>
      <w:r w:rsidR="00B24BAD" w:rsidRPr="001F35B8">
        <w:rPr>
          <w:szCs w:val="24"/>
        </w:rPr>
        <w:t xml:space="preserve">with each drug. Advice </w:t>
      </w:r>
      <w:r w:rsidR="00815E18" w:rsidRPr="001F35B8">
        <w:rPr>
          <w:szCs w:val="24"/>
        </w:rPr>
        <w:t xml:space="preserve">under this Section does not mean that </w:t>
      </w:r>
      <w:r w:rsidR="00B24BAD" w:rsidRPr="001F35B8">
        <w:rPr>
          <w:szCs w:val="24"/>
        </w:rPr>
        <w:t xml:space="preserve">two or more </w:t>
      </w:r>
      <w:r w:rsidR="00815E18" w:rsidRPr="001F35B8">
        <w:rPr>
          <w:szCs w:val="24"/>
        </w:rPr>
        <w:t xml:space="preserve">drugs are appropriate for every circumstance for every patient – rather, that the outcomes are comparable at a whole-of-population level for </w:t>
      </w:r>
      <w:r w:rsidR="00B24BAD" w:rsidRPr="001F35B8">
        <w:rPr>
          <w:szCs w:val="24"/>
        </w:rPr>
        <w:t xml:space="preserve">those </w:t>
      </w:r>
      <w:r w:rsidR="00815E18" w:rsidRPr="001F35B8">
        <w:rPr>
          <w:szCs w:val="24"/>
        </w:rPr>
        <w:t>treatments</w:t>
      </w:r>
      <w:r w:rsidR="00B24BAD" w:rsidRPr="001F35B8">
        <w:rPr>
          <w:szCs w:val="24"/>
        </w:rPr>
        <w:t>. F</w:t>
      </w:r>
      <w:r w:rsidR="00815E18" w:rsidRPr="001F35B8">
        <w:rPr>
          <w:szCs w:val="24"/>
        </w:rPr>
        <w:t>urther, such advice does not influence a clinician’s choice of treatment for an individual patient.</w:t>
      </w:r>
    </w:p>
    <w:p w:rsidR="00815E18" w:rsidRPr="001F35B8" w:rsidRDefault="00815E18" w:rsidP="00815E18">
      <w:pPr>
        <w:pStyle w:val="ListParagraph"/>
        <w:rPr>
          <w:i/>
          <w:szCs w:val="24"/>
        </w:rPr>
      </w:pPr>
    </w:p>
    <w:p w:rsidR="000624A3" w:rsidRPr="001F35B8" w:rsidRDefault="00E03634" w:rsidP="00B82DB3">
      <w:pPr>
        <w:pStyle w:val="ListParagraph"/>
        <w:numPr>
          <w:ilvl w:val="1"/>
          <w:numId w:val="5"/>
        </w:numPr>
        <w:rPr>
          <w:i/>
          <w:szCs w:val="24"/>
        </w:rPr>
      </w:pPr>
      <w:r w:rsidRPr="001F35B8">
        <w:rPr>
          <w:szCs w:val="24"/>
        </w:rPr>
        <w:t>Section 101(3BA) was introduced into the Act as part of the 2007 PBS reforms.</w:t>
      </w:r>
      <w:r w:rsidR="00DB63AD" w:rsidRPr="001F35B8">
        <w:rPr>
          <w:szCs w:val="24"/>
        </w:rPr>
        <w:t xml:space="preserve"> </w:t>
      </w:r>
      <w:r w:rsidRPr="001F35B8">
        <w:rPr>
          <w:szCs w:val="24"/>
        </w:rPr>
        <w:t xml:space="preserve">The </w:t>
      </w:r>
      <w:r w:rsidR="00B82DB3" w:rsidRPr="001F35B8">
        <w:rPr>
          <w:szCs w:val="24"/>
        </w:rPr>
        <w:t xml:space="preserve">Revised </w:t>
      </w:r>
      <w:r w:rsidRPr="001F35B8">
        <w:rPr>
          <w:szCs w:val="24"/>
        </w:rPr>
        <w:t xml:space="preserve">Explanatory Memorandum to the </w:t>
      </w:r>
      <w:r w:rsidR="004874F3" w:rsidRPr="001F35B8">
        <w:rPr>
          <w:szCs w:val="24"/>
        </w:rPr>
        <w:t xml:space="preserve">National Health Amendment (Pharmaceutical Benefits Scheme) Bill 2007 </w:t>
      </w:r>
      <w:r w:rsidR="00B82DB3" w:rsidRPr="001F35B8">
        <w:rPr>
          <w:szCs w:val="24"/>
        </w:rPr>
        <w:t>does not provide any guidance on how the phrase “should be treated as interchangeable on an individual patient basis” should be interpreted, but does indicate that “</w:t>
      </w:r>
      <w:r w:rsidR="00B82DB3" w:rsidRPr="001F35B8">
        <w:rPr>
          <w:i/>
          <w:szCs w:val="24"/>
        </w:rPr>
        <w:t xml:space="preserve">this advice may be taken into account by the Minister is </w:t>
      </w:r>
      <w:r w:rsidR="000624A3" w:rsidRPr="001F35B8">
        <w:rPr>
          <w:i/>
          <w:szCs w:val="24"/>
        </w:rPr>
        <w:t xml:space="preserve">[sic] </w:t>
      </w:r>
      <w:r w:rsidR="00B82DB3" w:rsidRPr="001F35B8">
        <w:rPr>
          <w:i/>
          <w:szCs w:val="24"/>
        </w:rPr>
        <w:t>deciding whether to place the drugs or medicinal preparations in a therapeutic group (see proposed section 84AG)</w:t>
      </w:r>
      <w:r w:rsidR="00B82DB3" w:rsidRPr="001F35B8">
        <w:rPr>
          <w:szCs w:val="24"/>
        </w:rPr>
        <w:t>.”</w:t>
      </w:r>
      <w:r w:rsidR="00320A65" w:rsidRPr="001F35B8">
        <w:rPr>
          <w:rStyle w:val="FootnoteReference"/>
          <w:szCs w:val="24"/>
        </w:rPr>
        <w:footnoteReference w:id="2"/>
      </w:r>
      <w:r w:rsidR="00B82DB3" w:rsidRPr="001F35B8">
        <w:rPr>
          <w:szCs w:val="24"/>
        </w:rPr>
        <w:t xml:space="preserve"> </w:t>
      </w:r>
    </w:p>
    <w:p w:rsidR="000624A3" w:rsidRPr="001F35B8" w:rsidRDefault="000624A3" w:rsidP="002D14A4">
      <w:pPr>
        <w:rPr>
          <w:rFonts w:asciiTheme="minorHAnsi" w:hAnsiTheme="minorHAnsi" w:cs="Arial"/>
          <w:snapToGrid w:val="0"/>
          <w:lang w:eastAsia="en-US"/>
        </w:rPr>
      </w:pPr>
    </w:p>
    <w:p w:rsidR="00815E18" w:rsidRPr="001F35B8" w:rsidRDefault="001F0B72" w:rsidP="00B82DB3">
      <w:pPr>
        <w:pStyle w:val="ListParagraph"/>
        <w:numPr>
          <w:ilvl w:val="1"/>
          <w:numId w:val="5"/>
        </w:numPr>
        <w:rPr>
          <w:i/>
          <w:szCs w:val="24"/>
        </w:rPr>
      </w:pPr>
      <w:r w:rsidRPr="001F35B8">
        <w:rPr>
          <w:szCs w:val="24"/>
        </w:rPr>
        <w:t xml:space="preserve">The </w:t>
      </w:r>
      <w:r w:rsidR="00FD232C" w:rsidRPr="001F35B8">
        <w:rPr>
          <w:szCs w:val="24"/>
        </w:rPr>
        <w:t>Department made a submission to a Senate Community Affairs References Committee inquiry into consumer access to pharmaceutical benefits</w:t>
      </w:r>
      <w:r w:rsidR="000624A3" w:rsidRPr="001F35B8">
        <w:rPr>
          <w:szCs w:val="24"/>
        </w:rPr>
        <w:t xml:space="preserve"> (therapeutic groups)</w:t>
      </w:r>
      <w:r w:rsidR="00FD232C" w:rsidRPr="001F35B8">
        <w:rPr>
          <w:szCs w:val="24"/>
        </w:rPr>
        <w:t xml:space="preserve"> in April 2010. In its submission to the Committee, the Department commented that</w:t>
      </w:r>
      <w:r w:rsidR="00FD232C" w:rsidRPr="001F35B8">
        <w:rPr>
          <w:rStyle w:val="FootnoteReference"/>
          <w:szCs w:val="24"/>
        </w:rPr>
        <w:footnoteReference w:id="3"/>
      </w:r>
      <w:r w:rsidR="00FD232C" w:rsidRPr="001F35B8">
        <w:rPr>
          <w:szCs w:val="24"/>
        </w:rPr>
        <w:t>:</w:t>
      </w:r>
    </w:p>
    <w:p w:rsidR="00FD232C" w:rsidRPr="001F35B8" w:rsidRDefault="00FD232C" w:rsidP="00FD232C">
      <w:pPr>
        <w:pStyle w:val="ListParagraph"/>
        <w:rPr>
          <w:i/>
          <w:szCs w:val="24"/>
        </w:rPr>
      </w:pPr>
    </w:p>
    <w:p w:rsidR="00FD232C" w:rsidRPr="001F35B8" w:rsidRDefault="00FD232C" w:rsidP="00FD232C">
      <w:pPr>
        <w:pStyle w:val="ListParagraph"/>
        <w:numPr>
          <w:ilvl w:val="0"/>
          <w:numId w:val="17"/>
        </w:numPr>
        <w:rPr>
          <w:szCs w:val="24"/>
        </w:rPr>
      </w:pPr>
      <w:r w:rsidRPr="001F35B8">
        <w:rPr>
          <w:szCs w:val="24"/>
        </w:rPr>
        <w:t>In general terms, interchangeability means drugs that are pharmaceutically related, have the same mechanism of action and provide similar therapeutic outcomes.</w:t>
      </w:r>
    </w:p>
    <w:p w:rsidR="00FD232C" w:rsidRPr="001F35B8" w:rsidRDefault="00FD232C" w:rsidP="00FD232C">
      <w:pPr>
        <w:pStyle w:val="ListParagraph"/>
        <w:numPr>
          <w:ilvl w:val="0"/>
          <w:numId w:val="17"/>
        </w:numPr>
        <w:rPr>
          <w:szCs w:val="24"/>
        </w:rPr>
      </w:pPr>
      <w:r w:rsidRPr="001F35B8">
        <w:rPr>
          <w:szCs w:val="24"/>
        </w:rPr>
        <w:t xml:space="preserve">The question of interchangeability of drugs </w:t>
      </w:r>
      <w:r w:rsidR="007D1D8E" w:rsidRPr="001F35B8">
        <w:rPr>
          <w:szCs w:val="24"/>
        </w:rPr>
        <w:t>(in therapeutic groups) differs from a finding by the TGA that generic brands of a drug are sufficiently bioequivalent to be treated as identical. It was announced in the Budget in 1997 that the new policy (at that time) meant specified medicines with very similar clinical activity would have the same pricing consequences as had previously been in place for drugs with identical chemical make-up.</w:t>
      </w:r>
    </w:p>
    <w:p w:rsidR="007D1D8E" w:rsidRPr="002C3EC9" w:rsidRDefault="007D1D8E" w:rsidP="00FD232C">
      <w:pPr>
        <w:pStyle w:val="ListParagraph"/>
        <w:numPr>
          <w:ilvl w:val="0"/>
          <w:numId w:val="17"/>
        </w:numPr>
        <w:rPr>
          <w:szCs w:val="24"/>
        </w:rPr>
      </w:pPr>
      <w:r w:rsidRPr="002C3EC9">
        <w:rPr>
          <w:szCs w:val="24"/>
        </w:rPr>
        <w:lastRenderedPageBreak/>
        <w:t>Material available to the PBAC members when considering interchangeability includes published peer-reviewed journals and studies, submissions by pharma</w:t>
      </w:r>
      <w:r w:rsidR="00DB63AD" w:rsidRPr="002C3EC9">
        <w:rPr>
          <w:szCs w:val="24"/>
        </w:rPr>
        <w:t>ceutical companies and others, Product I</w:t>
      </w:r>
      <w:r w:rsidRPr="002C3EC9">
        <w:rPr>
          <w:szCs w:val="24"/>
        </w:rPr>
        <w:t>nformation documents for the relevant drugs, and the expert analysis that underpins the PBAC deliberations.</w:t>
      </w:r>
    </w:p>
    <w:p w:rsidR="007D1D8E" w:rsidRPr="002C3EC9" w:rsidRDefault="007D1D8E" w:rsidP="00FD232C">
      <w:pPr>
        <w:pStyle w:val="ListParagraph"/>
        <w:numPr>
          <w:ilvl w:val="0"/>
          <w:numId w:val="17"/>
        </w:numPr>
        <w:rPr>
          <w:szCs w:val="24"/>
        </w:rPr>
      </w:pPr>
      <w:r w:rsidRPr="002C3EC9">
        <w:rPr>
          <w:szCs w:val="24"/>
        </w:rPr>
        <w:t>The submissions from pharmaceutical companies for PBAC listing recommendations include comparisons with other drugs, including details about similarity of action, clinical effect and similarity or differences in safety.</w:t>
      </w:r>
    </w:p>
    <w:p w:rsidR="00EF39C9" w:rsidRPr="002C3EC9" w:rsidRDefault="00EF39C9" w:rsidP="007D1D8E"/>
    <w:p w:rsidR="00EF39C9" w:rsidRPr="002C3EC9" w:rsidRDefault="00312496" w:rsidP="007D1D8E">
      <w:pPr>
        <w:pStyle w:val="ListParagraph"/>
        <w:numPr>
          <w:ilvl w:val="1"/>
          <w:numId w:val="5"/>
        </w:numPr>
        <w:rPr>
          <w:i/>
          <w:szCs w:val="24"/>
        </w:rPr>
      </w:pPr>
      <w:r w:rsidRPr="002C3EC9">
        <w:rPr>
          <w:szCs w:val="24"/>
        </w:rPr>
        <w:t xml:space="preserve">As part of the </w:t>
      </w:r>
      <w:r w:rsidR="00EF39C9" w:rsidRPr="002C3EC9">
        <w:rPr>
          <w:szCs w:val="24"/>
        </w:rPr>
        <w:t>recent Medicines Australia strategic agreement</w:t>
      </w:r>
      <w:r w:rsidRPr="002C3EC9">
        <w:rPr>
          <w:szCs w:val="24"/>
        </w:rPr>
        <w:t>, the Minister undertook</w:t>
      </w:r>
      <w:r w:rsidR="00EF39C9" w:rsidRPr="002C3EC9">
        <w:rPr>
          <w:szCs w:val="24"/>
        </w:rPr>
        <w:t xml:space="preserve"> not to determine any new therapeutic groups during the 5 year term of the agreement.</w:t>
      </w:r>
      <w:r w:rsidR="00DB63AD" w:rsidRPr="002C3EC9">
        <w:rPr>
          <w:szCs w:val="24"/>
        </w:rPr>
        <w:t xml:space="preserve"> </w:t>
      </w:r>
      <w:r w:rsidR="00EF39C9" w:rsidRPr="002C3EC9">
        <w:rPr>
          <w:szCs w:val="24"/>
        </w:rPr>
        <w:t>The agreement further commits the Government and Medicines Australia to working together to develop a new framework for potential therapeutic group formation.</w:t>
      </w:r>
      <w:r w:rsidR="00033927" w:rsidRPr="002C3EC9">
        <w:rPr>
          <w:rStyle w:val="FootnoteReference"/>
          <w:rFonts w:ascii="Arial Narrow" w:hAnsi="Arial Narrow"/>
          <w:noProof/>
          <w:color w:val="000000" w:themeColor="text1"/>
          <w:szCs w:val="24"/>
        </w:rPr>
        <w:t xml:space="preserve"> </w:t>
      </w:r>
      <w:r w:rsidR="00033927" w:rsidRPr="002C3EC9">
        <w:rPr>
          <w:rStyle w:val="FootnoteReference"/>
          <w:rFonts w:ascii="Arial Narrow" w:hAnsi="Arial Narrow"/>
          <w:noProof/>
          <w:color w:val="000000" w:themeColor="text1"/>
          <w:szCs w:val="24"/>
        </w:rPr>
        <w:footnoteReference w:id="4"/>
      </w:r>
      <w:r w:rsidR="00EF39C9" w:rsidRPr="002C3EC9">
        <w:rPr>
          <w:szCs w:val="24"/>
        </w:rPr>
        <w:t xml:space="preserve"> </w:t>
      </w:r>
    </w:p>
    <w:p w:rsidR="00EF39C9" w:rsidRPr="002C3EC9" w:rsidRDefault="00EF39C9" w:rsidP="00320A65">
      <w:pPr>
        <w:pStyle w:val="ListParagraph"/>
        <w:rPr>
          <w:szCs w:val="24"/>
        </w:rPr>
      </w:pPr>
    </w:p>
    <w:p w:rsidR="00193E79" w:rsidRPr="002C3EC9" w:rsidRDefault="00193E79" w:rsidP="007D1D8E">
      <w:pPr>
        <w:pStyle w:val="ListParagraph"/>
        <w:numPr>
          <w:ilvl w:val="1"/>
          <w:numId w:val="5"/>
        </w:numPr>
        <w:rPr>
          <w:i/>
          <w:szCs w:val="24"/>
        </w:rPr>
      </w:pPr>
      <w:r w:rsidRPr="002C3EC9">
        <w:rPr>
          <w:szCs w:val="24"/>
        </w:rPr>
        <w:t>All the non</w:t>
      </w:r>
      <w:r w:rsidR="00246A50" w:rsidRPr="002C3EC9">
        <w:rPr>
          <w:szCs w:val="24"/>
        </w:rPr>
        <w:t>-</w:t>
      </w:r>
      <w:r w:rsidRPr="002C3EC9">
        <w:rPr>
          <w:szCs w:val="24"/>
        </w:rPr>
        <w:t xml:space="preserve">interferon containing DAA treatment regimens recommended by the PBAC for subsidy for CHC have broadly similar efficacy results in terms of </w:t>
      </w:r>
      <w:r w:rsidR="00246A50" w:rsidRPr="002C3EC9">
        <w:rPr>
          <w:szCs w:val="24"/>
        </w:rPr>
        <w:t>sustained virologic response</w:t>
      </w:r>
      <w:r w:rsidR="00354A22" w:rsidRPr="002C3EC9">
        <w:rPr>
          <w:szCs w:val="24"/>
        </w:rPr>
        <w:t xml:space="preserve"> </w:t>
      </w:r>
      <w:r w:rsidR="00246A50" w:rsidRPr="002C3EC9">
        <w:rPr>
          <w:szCs w:val="24"/>
        </w:rPr>
        <w:t>(SVR)</w:t>
      </w:r>
      <w:r w:rsidRPr="002C3EC9">
        <w:rPr>
          <w:szCs w:val="24"/>
        </w:rPr>
        <w:t>. All regimens are associated with broadly similar rates of adverse events, when used without ribavirin</w:t>
      </w:r>
      <w:r w:rsidR="00246A50" w:rsidRPr="002C3EC9">
        <w:rPr>
          <w:szCs w:val="24"/>
        </w:rPr>
        <w:t>.</w:t>
      </w:r>
      <w:r w:rsidR="00DB63AD" w:rsidRPr="002C3EC9">
        <w:rPr>
          <w:szCs w:val="24"/>
        </w:rPr>
        <w:t xml:space="preserve"> </w:t>
      </w:r>
      <w:r w:rsidRPr="002C3EC9">
        <w:rPr>
          <w:szCs w:val="24"/>
        </w:rPr>
        <w:t>The addition of ribavirin to a CHC treatment regimen is</w:t>
      </w:r>
      <w:r w:rsidR="00246A50" w:rsidRPr="002C3EC9">
        <w:rPr>
          <w:szCs w:val="24"/>
        </w:rPr>
        <w:t xml:space="preserve"> associated with additional adverse events including anaemia, rash, cough, dyspnoea, insomnia and anxiety</w:t>
      </w:r>
      <w:r w:rsidR="00246A50" w:rsidRPr="002C3EC9">
        <w:rPr>
          <w:rStyle w:val="FootnoteReference"/>
          <w:szCs w:val="24"/>
        </w:rPr>
        <w:footnoteReference w:id="5"/>
      </w:r>
      <w:r w:rsidR="00246A50" w:rsidRPr="002C3EC9">
        <w:rPr>
          <w:szCs w:val="24"/>
        </w:rPr>
        <w:t>.</w:t>
      </w:r>
    </w:p>
    <w:p w:rsidR="006A43CC" w:rsidRPr="00806F9C" w:rsidRDefault="006A43CC" w:rsidP="006A43CC">
      <w:pPr>
        <w:pStyle w:val="ListParagraph"/>
        <w:rPr>
          <w:i/>
          <w:sz w:val="22"/>
          <w:szCs w:val="22"/>
        </w:rPr>
      </w:pPr>
    </w:p>
    <w:p w:rsidR="004874F3" w:rsidRDefault="004874F3" w:rsidP="00882085">
      <w:pPr>
        <w:jc w:val="both"/>
        <w:rPr>
          <w:rFonts w:ascii="Arial" w:hAnsi="Arial"/>
          <w:b/>
          <w:sz w:val="22"/>
          <w:szCs w:val="22"/>
        </w:rPr>
      </w:pPr>
    </w:p>
    <w:p w:rsidR="00CE10C4" w:rsidRPr="002E0F10" w:rsidRDefault="00193E79" w:rsidP="008A50F1">
      <w:pPr>
        <w:pStyle w:val="PBACHeading1"/>
        <w:rPr>
          <w:szCs w:val="32"/>
        </w:rPr>
      </w:pPr>
      <w:r w:rsidRPr="002E0F10">
        <w:rPr>
          <w:szCs w:val="32"/>
        </w:rPr>
        <w:t>Current situation</w:t>
      </w:r>
    </w:p>
    <w:p w:rsidR="00CE10C4" w:rsidRPr="00806F9C" w:rsidRDefault="00CE10C4" w:rsidP="00882085">
      <w:pPr>
        <w:jc w:val="both"/>
        <w:rPr>
          <w:rFonts w:ascii="Arial" w:hAnsi="Arial"/>
          <w:sz w:val="22"/>
          <w:szCs w:val="22"/>
        </w:rPr>
      </w:pPr>
    </w:p>
    <w:p w:rsidR="005627E2" w:rsidRPr="002C3EC9" w:rsidRDefault="005627E2" w:rsidP="005627E2">
      <w:pPr>
        <w:pStyle w:val="ListParagraph"/>
        <w:numPr>
          <w:ilvl w:val="1"/>
          <w:numId w:val="5"/>
        </w:numPr>
        <w:rPr>
          <w:szCs w:val="24"/>
        </w:rPr>
      </w:pPr>
      <w:r w:rsidRPr="002C3EC9">
        <w:rPr>
          <w:szCs w:val="24"/>
        </w:rPr>
        <w:t>The sponsor (Gilead Sciences Pty Ltd)</w:t>
      </w:r>
      <w:r w:rsidR="009A4B0E" w:rsidRPr="002C3EC9">
        <w:rPr>
          <w:szCs w:val="24"/>
        </w:rPr>
        <w:t xml:space="preserve"> argued</w:t>
      </w:r>
      <w:r w:rsidRPr="002C3EC9">
        <w:rPr>
          <w:szCs w:val="24"/>
        </w:rPr>
        <w:t xml:space="preserve"> that the </w:t>
      </w:r>
      <w:r w:rsidR="00AF0699" w:rsidRPr="002C3EC9">
        <w:rPr>
          <w:szCs w:val="24"/>
        </w:rPr>
        <w:t xml:space="preserve">PBAC, </w:t>
      </w:r>
      <w:r w:rsidRPr="002C3EC9">
        <w:rPr>
          <w:szCs w:val="24"/>
        </w:rPr>
        <w:t>in its consideration of whether sofosbuvir with velpatasvir should be treated as interchangeable on an individual patient basis with other DAA regimen</w:t>
      </w:r>
      <w:r w:rsidR="00AF0699" w:rsidRPr="002C3EC9">
        <w:rPr>
          <w:szCs w:val="24"/>
        </w:rPr>
        <w:t xml:space="preserve">s, incorrectly provided such advice on the basis </w:t>
      </w:r>
      <w:r w:rsidR="00D06495" w:rsidRPr="002C3EC9">
        <w:rPr>
          <w:szCs w:val="24"/>
        </w:rPr>
        <w:t>of HCV</w:t>
      </w:r>
      <w:r w:rsidR="00AF0699" w:rsidRPr="002C3EC9">
        <w:rPr>
          <w:szCs w:val="24"/>
        </w:rPr>
        <w:t xml:space="preserve"> genotype alone.</w:t>
      </w:r>
    </w:p>
    <w:p w:rsidR="00E67572" w:rsidRPr="002C3EC9" w:rsidRDefault="00E67572" w:rsidP="00246A50"/>
    <w:p w:rsidR="00DF26A7" w:rsidRPr="002C3EC9" w:rsidRDefault="00E67572" w:rsidP="00476245">
      <w:pPr>
        <w:pStyle w:val="ListParagraph"/>
        <w:numPr>
          <w:ilvl w:val="1"/>
          <w:numId w:val="5"/>
        </w:numPr>
        <w:rPr>
          <w:szCs w:val="24"/>
        </w:rPr>
      </w:pPr>
      <w:r w:rsidRPr="002C3EC9">
        <w:rPr>
          <w:szCs w:val="24"/>
        </w:rPr>
        <w:t>The sponsor argued that the advice of the PBAC wit</w:t>
      </w:r>
      <w:r w:rsidR="006E09E1" w:rsidRPr="002C3EC9">
        <w:rPr>
          <w:szCs w:val="24"/>
        </w:rPr>
        <w:t>h regards to Section 101(3BA) was</w:t>
      </w:r>
      <w:r w:rsidRPr="002C3EC9">
        <w:rPr>
          <w:szCs w:val="24"/>
        </w:rPr>
        <w:t xml:space="preserve"> flawed and not founded on the evidence base. The sponsor argued that well defined characteristics independent of genotype define whether individual patients or the majority of patients can reasonably be expected to achieve the same health outcome with each of the regimens the PBAC advised should be treated as interchangeable on an individual patient basis. </w:t>
      </w:r>
    </w:p>
    <w:p w:rsidR="005A3173" w:rsidRPr="00806F9C" w:rsidRDefault="005A3173" w:rsidP="00882085">
      <w:pPr>
        <w:jc w:val="both"/>
        <w:rPr>
          <w:rFonts w:ascii="Arial" w:hAnsi="Arial"/>
          <w:sz w:val="22"/>
          <w:szCs w:val="22"/>
        </w:rPr>
      </w:pPr>
    </w:p>
    <w:p w:rsidR="000B558D" w:rsidRPr="002C3EC9" w:rsidRDefault="006E09E1" w:rsidP="008A50F1">
      <w:pPr>
        <w:pStyle w:val="ListParagraph"/>
        <w:numPr>
          <w:ilvl w:val="1"/>
          <w:numId w:val="5"/>
        </w:numPr>
        <w:rPr>
          <w:color w:val="000000" w:themeColor="text1"/>
          <w:szCs w:val="24"/>
        </w:rPr>
      </w:pPr>
      <w:r w:rsidRPr="002C3EC9">
        <w:rPr>
          <w:color w:val="000000" w:themeColor="text1"/>
          <w:szCs w:val="24"/>
        </w:rPr>
        <w:t xml:space="preserve">The sponsor </w:t>
      </w:r>
      <w:r w:rsidR="006F0F9E" w:rsidRPr="002C3EC9">
        <w:rPr>
          <w:color w:val="000000" w:themeColor="text1"/>
          <w:szCs w:val="24"/>
        </w:rPr>
        <w:t>stated</w:t>
      </w:r>
      <w:r w:rsidRPr="002C3EC9">
        <w:rPr>
          <w:color w:val="000000" w:themeColor="text1"/>
          <w:szCs w:val="24"/>
        </w:rPr>
        <w:t xml:space="preserve"> that the selection and use of DAA regimens is</w:t>
      </w:r>
      <w:r w:rsidR="009A4B0E" w:rsidRPr="002C3EC9">
        <w:rPr>
          <w:color w:val="000000" w:themeColor="text1"/>
          <w:szCs w:val="24"/>
        </w:rPr>
        <w:t xml:space="preserve"> based on the</w:t>
      </w:r>
      <w:r w:rsidRPr="002C3EC9">
        <w:rPr>
          <w:color w:val="000000" w:themeColor="text1"/>
          <w:szCs w:val="24"/>
        </w:rPr>
        <w:t xml:space="preserve"> </w:t>
      </w:r>
      <w:r w:rsidR="006F0F9E" w:rsidRPr="002C3EC9">
        <w:rPr>
          <w:color w:val="000000" w:themeColor="text1"/>
          <w:szCs w:val="24"/>
        </w:rPr>
        <w:t>published guidelines of the Gastroenterological Society of Australia (GESA), which clearly define patients by characteristics that can confer different health outcomes with different DAA regimens and that, therefore, the apparent PBAC advice on interchangeability on an individual patient basis has was not made in consideration of all these factors.</w:t>
      </w:r>
      <w:r w:rsidR="00EA6C84" w:rsidRPr="002C3EC9">
        <w:rPr>
          <w:color w:val="000000" w:themeColor="text1"/>
          <w:szCs w:val="24"/>
        </w:rPr>
        <w:t xml:space="preserve"> These other characteristics generally relate to patient safety when considering the choice of DAA regimen.</w:t>
      </w:r>
    </w:p>
    <w:p w:rsidR="00EA6C84" w:rsidRPr="002C3EC9" w:rsidRDefault="00EA6C84" w:rsidP="009C0F7E"/>
    <w:p w:rsidR="006F0F9E" w:rsidRPr="002C3EC9" w:rsidRDefault="006F0F9E" w:rsidP="008A50F1">
      <w:pPr>
        <w:pStyle w:val="ListParagraph"/>
        <w:numPr>
          <w:ilvl w:val="1"/>
          <w:numId w:val="5"/>
        </w:numPr>
        <w:rPr>
          <w:color w:val="000000" w:themeColor="text1"/>
          <w:szCs w:val="24"/>
        </w:rPr>
      </w:pPr>
      <w:r w:rsidRPr="002C3EC9">
        <w:rPr>
          <w:color w:val="000000" w:themeColor="text1"/>
          <w:szCs w:val="24"/>
        </w:rPr>
        <w:t>The sponsor provided a summary of the indications, contraindications, precautions and drug interactions which may impact patient outcomes and a prescriber’s selection of therapy. The table is reproduced at Table 1 below.</w:t>
      </w:r>
    </w:p>
    <w:p w:rsidR="006F0F9E" w:rsidRDefault="006F0F9E" w:rsidP="006F0F9E">
      <w:pPr>
        <w:pStyle w:val="PBACHeading1"/>
        <w:numPr>
          <w:ilvl w:val="0"/>
          <w:numId w:val="0"/>
        </w:numPr>
        <w:ind w:left="720" w:hanging="720"/>
        <w:sectPr w:rsidR="006F0F9E"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pPr>
    </w:p>
    <w:p w:rsidR="00BB23EA" w:rsidRPr="00BB23EA" w:rsidRDefault="00BB23EA" w:rsidP="00BB23EA">
      <w:pPr>
        <w:pStyle w:val="TableHeading"/>
        <w:spacing w:before="120"/>
        <w:rPr>
          <w:rFonts w:eastAsiaTheme="minorHAnsi" w:cstheme="minorBidi"/>
          <w:bCs w:val="0"/>
          <w:iCs/>
          <w:snapToGrid w:val="0"/>
          <w:szCs w:val="18"/>
        </w:rPr>
      </w:pPr>
      <w:r w:rsidRPr="00BB23EA">
        <w:rPr>
          <w:rFonts w:eastAsiaTheme="minorHAnsi" w:cstheme="minorBidi"/>
          <w:bCs w:val="0"/>
          <w:iCs/>
          <w:snapToGrid w:val="0"/>
          <w:szCs w:val="18"/>
        </w:rPr>
        <w:t>Table 1: Summary of indications, contraindications, precautions and drug interactions for PBS listed DAA regimens</w:t>
      </w:r>
    </w:p>
    <w:tbl>
      <w:tblPr>
        <w:tblStyle w:val="TableGrid"/>
        <w:tblW w:w="14589" w:type="dxa"/>
        <w:tblLayout w:type="fixed"/>
        <w:tblLook w:val="04A0" w:firstRow="1" w:lastRow="0" w:firstColumn="1" w:lastColumn="0" w:noHBand="0" w:noVBand="1"/>
        <w:tblCaption w:val="Summary of indications, contraindications, precautions and drug interactions for PBS listed DAA regimens"/>
      </w:tblPr>
      <w:tblGrid>
        <w:gridCol w:w="3055"/>
        <w:gridCol w:w="1620"/>
        <w:gridCol w:w="1440"/>
        <w:gridCol w:w="1919"/>
        <w:gridCol w:w="1410"/>
        <w:gridCol w:w="1755"/>
        <w:gridCol w:w="1634"/>
        <w:gridCol w:w="1756"/>
      </w:tblGrid>
      <w:tr w:rsidR="006F0F9E" w:rsidRPr="004F6B32" w:rsidTr="00DB47F9">
        <w:trPr>
          <w:tblHeader/>
        </w:trPr>
        <w:tc>
          <w:tcPr>
            <w:tcW w:w="3055" w:type="dxa"/>
            <w:shd w:val="clear" w:color="auto" w:fill="auto"/>
          </w:tcPr>
          <w:p w:rsidR="006F0F9E" w:rsidRPr="006F0F9E" w:rsidRDefault="006F0F9E" w:rsidP="00EA6C84">
            <w:pP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Characteristic establishing distinct populations</w:t>
            </w:r>
          </w:p>
        </w:tc>
        <w:tc>
          <w:tcPr>
            <w:tcW w:w="11534" w:type="dxa"/>
            <w:gridSpan w:val="7"/>
            <w:shd w:val="clear" w:color="auto" w:fill="auto"/>
            <w:vAlign w:val="center"/>
          </w:tcPr>
          <w:p w:rsidR="006F0F9E" w:rsidRP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Regimen</w:t>
            </w:r>
          </w:p>
        </w:tc>
      </w:tr>
      <w:tr w:rsidR="006F0F9E" w:rsidRPr="004F6B32" w:rsidTr="006F0F9E">
        <w:tc>
          <w:tcPr>
            <w:tcW w:w="3055" w:type="dxa"/>
            <w:shd w:val="clear" w:color="auto" w:fill="auto"/>
          </w:tcPr>
          <w:p w:rsidR="006F0F9E" w:rsidRPr="006F0F9E" w:rsidRDefault="006F0F9E" w:rsidP="00EA6C84">
            <w:pPr>
              <w:rPr>
                <w:rStyle w:val="TableBold"/>
                <w:rFonts w:ascii="Arial Narrow" w:hAnsi="Arial Narrow"/>
                <w:color w:val="000000" w:themeColor="text1"/>
                <w:szCs w:val="20"/>
              </w:rPr>
            </w:pPr>
          </w:p>
        </w:tc>
        <w:tc>
          <w:tcPr>
            <w:tcW w:w="1620" w:type="dxa"/>
            <w:shd w:val="clear" w:color="auto" w:fill="auto"/>
          </w:tcPr>
          <w:p w:rsid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Epclusa</w:t>
            </w:r>
          </w:p>
          <w:p w:rsidR="00EA6C84" w:rsidRPr="006F0F9E" w:rsidRDefault="00EA6C84" w:rsidP="00EA6C84">
            <w:pPr>
              <w:jc w:val="center"/>
              <w:rPr>
                <w:rStyle w:val="TableBold"/>
                <w:rFonts w:ascii="Arial Narrow" w:hAnsi="Arial Narrow"/>
                <w:color w:val="000000" w:themeColor="text1"/>
                <w:szCs w:val="20"/>
              </w:rPr>
            </w:pPr>
            <w:r>
              <w:rPr>
                <w:rStyle w:val="TableBold"/>
                <w:rFonts w:ascii="Arial Narrow" w:hAnsi="Arial Narrow"/>
                <w:color w:val="000000" w:themeColor="text1"/>
                <w:szCs w:val="20"/>
              </w:rPr>
              <w:t>(sofosbuvir with velpatasvir)</w:t>
            </w:r>
          </w:p>
        </w:tc>
        <w:tc>
          <w:tcPr>
            <w:tcW w:w="1440" w:type="dxa"/>
            <w:shd w:val="clear" w:color="auto" w:fill="auto"/>
          </w:tcPr>
          <w:p w:rsidR="006F0F9E" w:rsidRDefault="006F0F9E" w:rsidP="00EA6C84">
            <w:pPr>
              <w:jc w:val="center"/>
              <w:rPr>
                <w:rStyle w:val="TableBold"/>
                <w:rFonts w:ascii="Arial Narrow" w:hAnsi="Arial Narrow"/>
                <w:color w:val="000000" w:themeColor="text1"/>
                <w:szCs w:val="20"/>
                <w:vertAlign w:val="superscript"/>
              </w:rPr>
            </w:pPr>
            <w:r w:rsidRPr="006F0F9E">
              <w:rPr>
                <w:rStyle w:val="TableBold"/>
                <w:rFonts w:ascii="Arial Narrow" w:hAnsi="Arial Narrow"/>
                <w:color w:val="000000" w:themeColor="text1"/>
                <w:szCs w:val="20"/>
              </w:rPr>
              <w:t>Harvoni</w:t>
            </w:r>
            <w:r w:rsidRPr="006F0F9E">
              <w:rPr>
                <w:rStyle w:val="TableBold"/>
                <w:rFonts w:ascii="Arial Narrow" w:hAnsi="Arial Narrow"/>
                <w:color w:val="000000" w:themeColor="text1"/>
                <w:szCs w:val="20"/>
                <w:vertAlign w:val="superscript"/>
              </w:rPr>
              <w:t>1</w:t>
            </w:r>
          </w:p>
          <w:p w:rsidR="00EA6C84" w:rsidRPr="006F0F9E" w:rsidRDefault="00EA6C84" w:rsidP="00EA6C84">
            <w:pPr>
              <w:jc w:val="center"/>
              <w:rPr>
                <w:rStyle w:val="TableBold"/>
                <w:rFonts w:ascii="Arial Narrow" w:hAnsi="Arial Narrow"/>
                <w:color w:val="000000" w:themeColor="text1"/>
                <w:szCs w:val="20"/>
              </w:rPr>
            </w:pPr>
            <w:r>
              <w:rPr>
                <w:rStyle w:val="TableBold"/>
                <w:rFonts w:ascii="Arial Narrow" w:hAnsi="Arial Narrow"/>
                <w:color w:val="000000" w:themeColor="text1"/>
                <w:szCs w:val="20"/>
              </w:rPr>
              <w:t>(ledipasvir with sofosbuvir)</w:t>
            </w:r>
          </w:p>
        </w:tc>
        <w:tc>
          <w:tcPr>
            <w:tcW w:w="1919" w:type="dxa"/>
            <w:shd w:val="clear" w:color="auto" w:fill="auto"/>
          </w:tcPr>
          <w:p w:rsidR="006F0F9E" w:rsidRP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Viekira Pak</w:t>
            </w:r>
            <w:r w:rsidRPr="006F0F9E">
              <w:rPr>
                <w:rStyle w:val="TableBold"/>
                <w:rFonts w:ascii="Arial Narrow" w:hAnsi="Arial Narrow"/>
                <w:color w:val="000000" w:themeColor="text1"/>
                <w:szCs w:val="20"/>
                <w:vertAlign w:val="superscript"/>
              </w:rPr>
              <w:t>2</w:t>
            </w:r>
            <w:r w:rsidRPr="006F0F9E">
              <w:rPr>
                <w:rStyle w:val="TableBold"/>
                <w:rFonts w:ascii="Arial Narrow" w:hAnsi="Arial Narrow"/>
                <w:color w:val="000000" w:themeColor="text1"/>
                <w:szCs w:val="20"/>
              </w:rPr>
              <w:t xml:space="preserve"> </w:t>
            </w:r>
          </w:p>
          <w:p w:rsid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 RBV</w:t>
            </w:r>
            <w:r w:rsidRPr="006F0F9E">
              <w:rPr>
                <w:rStyle w:val="TableBold"/>
                <w:rFonts w:ascii="Arial Narrow" w:hAnsi="Arial Narrow"/>
                <w:color w:val="000000" w:themeColor="text1"/>
                <w:szCs w:val="20"/>
                <w:vertAlign w:val="superscript"/>
              </w:rPr>
              <w:t>6</w:t>
            </w:r>
            <w:r w:rsidRPr="006F0F9E">
              <w:rPr>
                <w:rStyle w:val="TableBold"/>
                <w:rFonts w:ascii="Arial Narrow" w:hAnsi="Arial Narrow"/>
                <w:color w:val="000000" w:themeColor="text1"/>
                <w:szCs w:val="20"/>
              </w:rPr>
              <w:t>)</w:t>
            </w:r>
          </w:p>
          <w:p w:rsidR="00EA6C84" w:rsidRPr="006F0F9E" w:rsidRDefault="00EA6C84" w:rsidP="00EA6C84">
            <w:pPr>
              <w:jc w:val="center"/>
              <w:rPr>
                <w:rStyle w:val="TableBold"/>
                <w:rFonts w:ascii="Arial Narrow" w:hAnsi="Arial Narrow"/>
                <w:color w:val="000000" w:themeColor="text1"/>
                <w:szCs w:val="20"/>
              </w:rPr>
            </w:pPr>
            <w:r>
              <w:rPr>
                <w:rStyle w:val="TableBold"/>
                <w:rFonts w:ascii="Arial Narrow" w:hAnsi="Arial Narrow"/>
                <w:color w:val="000000" w:themeColor="text1"/>
                <w:szCs w:val="20"/>
              </w:rPr>
              <w:t>(paritaprevir with ritonavir with ombitasvir and dasbuvir)</w:t>
            </w:r>
          </w:p>
        </w:tc>
        <w:tc>
          <w:tcPr>
            <w:tcW w:w="1410" w:type="dxa"/>
            <w:shd w:val="clear" w:color="auto" w:fill="auto"/>
          </w:tcPr>
          <w:p w:rsidR="006F0F9E" w:rsidRP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Sovaldi</w:t>
            </w:r>
            <w:r w:rsidRPr="006F0F9E">
              <w:rPr>
                <w:rStyle w:val="TableBold"/>
                <w:rFonts w:ascii="Arial Narrow" w:hAnsi="Arial Narrow"/>
                <w:color w:val="000000" w:themeColor="text1"/>
                <w:szCs w:val="20"/>
                <w:vertAlign w:val="superscript"/>
              </w:rPr>
              <w:t>3</w:t>
            </w:r>
            <w:r w:rsidRPr="006F0F9E">
              <w:rPr>
                <w:rStyle w:val="TableBold"/>
                <w:rFonts w:ascii="Arial Narrow" w:hAnsi="Arial Narrow"/>
                <w:color w:val="000000" w:themeColor="text1"/>
                <w:szCs w:val="20"/>
              </w:rPr>
              <w:t xml:space="preserve"> </w:t>
            </w:r>
          </w:p>
          <w:p w:rsid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 RBV</w:t>
            </w:r>
            <w:r w:rsidRPr="006F0F9E">
              <w:rPr>
                <w:rStyle w:val="TableBold"/>
                <w:rFonts w:ascii="Arial Narrow" w:hAnsi="Arial Narrow"/>
                <w:color w:val="000000" w:themeColor="text1"/>
                <w:szCs w:val="20"/>
                <w:vertAlign w:val="superscript"/>
              </w:rPr>
              <w:t>6</w:t>
            </w:r>
            <w:r w:rsidRPr="006F0F9E">
              <w:rPr>
                <w:rStyle w:val="TableBold"/>
                <w:rFonts w:ascii="Arial Narrow" w:hAnsi="Arial Narrow"/>
                <w:color w:val="000000" w:themeColor="text1"/>
                <w:szCs w:val="20"/>
              </w:rPr>
              <w:t>)</w:t>
            </w:r>
          </w:p>
          <w:p w:rsidR="00EA6C84" w:rsidRPr="006F0F9E" w:rsidRDefault="00EA6C84" w:rsidP="00EA6C84">
            <w:pPr>
              <w:jc w:val="center"/>
              <w:rPr>
                <w:rStyle w:val="TableBold"/>
                <w:rFonts w:ascii="Arial Narrow" w:hAnsi="Arial Narrow"/>
                <w:color w:val="000000" w:themeColor="text1"/>
                <w:szCs w:val="20"/>
              </w:rPr>
            </w:pPr>
            <w:r>
              <w:rPr>
                <w:rStyle w:val="TableBold"/>
                <w:rFonts w:ascii="Arial Narrow" w:hAnsi="Arial Narrow"/>
                <w:color w:val="000000" w:themeColor="text1"/>
                <w:szCs w:val="20"/>
              </w:rPr>
              <w:t>(sofosbuvir)</w:t>
            </w:r>
          </w:p>
        </w:tc>
        <w:tc>
          <w:tcPr>
            <w:tcW w:w="1755" w:type="dxa"/>
            <w:shd w:val="clear" w:color="auto" w:fill="auto"/>
          </w:tcPr>
          <w:p w:rsidR="006F0F9E" w:rsidRP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Daklinza</w:t>
            </w:r>
            <w:r w:rsidRPr="006F0F9E">
              <w:rPr>
                <w:rStyle w:val="TableBold"/>
                <w:rFonts w:ascii="Arial Narrow" w:hAnsi="Arial Narrow"/>
                <w:color w:val="000000" w:themeColor="text1"/>
                <w:szCs w:val="20"/>
                <w:vertAlign w:val="superscript"/>
              </w:rPr>
              <w:t>4</w:t>
            </w:r>
            <w:r w:rsidRPr="006F0F9E">
              <w:rPr>
                <w:rStyle w:val="TableBold"/>
                <w:rFonts w:ascii="Arial Narrow" w:hAnsi="Arial Narrow"/>
                <w:color w:val="000000" w:themeColor="text1"/>
                <w:szCs w:val="20"/>
              </w:rPr>
              <w:t xml:space="preserve"> </w:t>
            </w:r>
          </w:p>
          <w:p w:rsid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 SOF</w:t>
            </w:r>
            <w:r w:rsidRPr="006F0F9E">
              <w:rPr>
                <w:rStyle w:val="TableBold"/>
                <w:rFonts w:ascii="Arial Narrow" w:hAnsi="Arial Narrow"/>
                <w:color w:val="000000" w:themeColor="text1"/>
                <w:szCs w:val="20"/>
                <w:vertAlign w:val="superscript"/>
              </w:rPr>
              <w:t>3</w:t>
            </w:r>
            <w:r w:rsidRPr="006F0F9E">
              <w:rPr>
                <w:rStyle w:val="TableBold"/>
                <w:rFonts w:ascii="Arial Narrow" w:hAnsi="Arial Narrow"/>
                <w:color w:val="000000" w:themeColor="text1"/>
                <w:szCs w:val="20"/>
              </w:rPr>
              <w:t>)</w:t>
            </w:r>
          </w:p>
          <w:p w:rsidR="00EA6C84" w:rsidRPr="006F0F9E" w:rsidRDefault="00EA6C84" w:rsidP="00EA6C84">
            <w:pPr>
              <w:jc w:val="center"/>
              <w:rPr>
                <w:rStyle w:val="TableBold"/>
                <w:rFonts w:ascii="Arial Narrow" w:hAnsi="Arial Narrow"/>
                <w:color w:val="000000" w:themeColor="text1"/>
                <w:szCs w:val="20"/>
              </w:rPr>
            </w:pPr>
            <w:r>
              <w:rPr>
                <w:rStyle w:val="TableBold"/>
                <w:rFonts w:ascii="Arial Narrow" w:hAnsi="Arial Narrow"/>
                <w:color w:val="000000" w:themeColor="text1"/>
                <w:szCs w:val="20"/>
              </w:rPr>
              <w:t>(daclatasvir)</w:t>
            </w:r>
          </w:p>
        </w:tc>
        <w:tc>
          <w:tcPr>
            <w:tcW w:w="1634" w:type="dxa"/>
            <w:shd w:val="clear" w:color="auto" w:fill="auto"/>
          </w:tcPr>
          <w:p w:rsidR="006F0F9E" w:rsidRP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Zepatier</w:t>
            </w:r>
            <w:r w:rsidRPr="006F0F9E">
              <w:rPr>
                <w:rStyle w:val="TableBold"/>
                <w:rFonts w:ascii="Arial Narrow" w:hAnsi="Arial Narrow"/>
                <w:color w:val="000000" w:themeColor="text1"/>
                <w:szCs w:val="20"/>
                <w:vertAlign w:val="superscript"/>
              </w:rPr>
              <w:t>5</w:t>
            </w:r>
            <w:r w:rsidRPr="006F0F9E">
              <w:rPr>
                <w:rStyle w:val="TableBold"/>
                <w:rFonts w:ascii="Arial Narrow" w:hAnsi="Arial Narrow"/>
                <w:color w:val="000000" w:themeColor="text1"/>
                <w:szCs w:val="20"/>
              </w:rPr>
              <w:t xml:space="preserve"> </w:t>
            </w:r>
          </w:p>
          <w:p w:rsid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(+/-RBV</w:t>
            </w:r>
            <w:r w:rsidRPr="006F0F9E">
              <w:rPr>
                <w:rStyle w:val="TableBold"/>
                <w:rFonts w:ascii="Arial Narrow" w:hAnsi="Arial Narrow"/>
                <w:color w:val="000000" w:themeColor="text1"/>
                <w:szCs w:val="20"/>
                <w:vertAlign w:val="superscript"/>
              </w:rPr>
              <w:t>6</w:t>
            </w:r>
            <w:r w:rsidRPr="006F0F9E">
              <w:rPr>
                <w:rStyle w:val="TableBold"/>
                <w:rFonts w:ascii="Arial Narrow" w:hAnsi="Arial Narrow"/>
                <w:color w:val="000000" w:themeColor="text1"/>
                <w:szCs w:val="20"/>
              </w:rPr>
              <w:t>)</w:t>
            </w:r>
          </w:p>
          <w:p w:rsidR="00EA6C84" w:rsidRPr="006F0F9E" w:rsidRDefault="00EA6C84" w:rsidP="00EA6C84">
            <w:pPr>
              <w:jc w:val="center"/>
              <w:rPr>
                <w:rStyle w:val="TableBold"/>
                <w:rFonts w:ascii="Arial Narrow" w:hAnsi="Arial Narrow"/>
                <w:color w:val="000000" w:themeColor="text1"/>
                <w:szCs w:val="20"/>
              </w:rPr>
            </w:pPr>
            <w:r>
              <w:rPr>
                <w:rStyle w:val="TableBold"/>
                <w:rFonts w:ascii="Arial Narrow" w:hAnsi="Arial Narrow"/>
                <w:color w:val="000000" w:themeColor="text1"/>
                <w:szCs w:val="20"/>
              </w:rPr>
              <w:t>(grazoprevir with elbasvir)</w:t>
            </w:r>
          </w:p>
        </w:tc>
        <w:tc>
          <w:tcPr>
            <w:tcW w:w="1756" w:type="dxa"/>
            <w:shd w:val="clear" w:color="auto" w:fill="auto"/>
          </w:tcPr>
          <w:p w:rsidR="006F0F9E" w:rsidRP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Ibavyr</w:t>
            </w:r>
            <w:r w:rsidRPr="006F0F9E">
              <w:rPr>
                <w:rStyle w:val="TableBold"/>
                <w:rFonts w:ascii="Arial Narrow" w:hAnsi="Arial Narrow"/>
                <w:color w:val="000000" w:themeColor="text1"/>
                <w:szCs w:val="20"/>
                <w:vertAlign w:val="superscript"/>
              </w:rPr>
              <w:t>6</w:t>
            </w:r>
          </w:p>
          <w:p w:rsidR="006F0F9E" w:rsidRPr="006F0F9E" w:rsidRDefault="006F0F9E" w:rsidP="00EA6C84">
            <w:pPr>
              <w:jc w:val="cente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(ribavirin; RBV)</w:t>
            </w:r>
          </w:p>
        </w:tc>
      </w:tr>
      <w:tr w:rsidR="006F0F9E" w:rsidRPr="004F6B32" w:rsidTr="00EA6C84">
        <w:tc>
          <w:tcPr>
            <w:tcW w:w="14589" w:type="dxa"/>
            <w:gridSpan w:val="8"/>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r w:rsidRPr="006F0F9E">
              <w:rPr>
                <w:rStyle w:val="TableBold"/>
                <w:rFonts w:ascii="Arial Narrow" w:hAnsi="Arial Narrow"/>
                <w:color w:val="000000" w:themeColor="text1"/>
                <w:szCs w:val="20"/>
              </w:rPr>
              <w:t>HCV genotype</w:t>
            </w:r>
            <w:r w:rsidRPr="006F0F9E">
              <w:rPr>
                <w:rStyle w:val="TableBold"/>
                <w:rFonts w:ascii="Arial Narrow" w:hAnsi="Arial Narrow"/>
                <w:color w:val="000000" w:themeColor="text1"/>
                <w:szCs w:val="20"/>
                <w:vertAlign w:val="superscript"/>
              </w:rPr>
              <w:t>7</w:t>
            </w: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Genotype 1</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410"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755"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634"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Genotype 2</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440"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919"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755"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634"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Genotype 3</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440"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919"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634"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Genotype 4</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440"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919"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410"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755"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756"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Genotype 5</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440"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919"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410"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755"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634"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756"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Genotype 6</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440"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919"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410"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755"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634"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c>
          <w:tcPr>
            <w:tcW w:w="1756" w:type="dxa"/>
            <w:shd w:val="clear" w:color="auto" w:fill="D9D9D9" w:themeFill="background1" w:themeFillShade="D9"/>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shd w:val="clear" w:color="auto" w:fill="BFBFBF" w:themeFill="background1" w:themeFillShade="BF"/>
          </w:tcPr>
          <w:p w:rsidR="006F0F9E" w:rsidRPr="006F0F9E" w:rsidRDefault="006F0F9E" w:rsidP="00EA6C84">
            <w:pP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Mechanism of action</w:t>
            </w:r>
          </w:p>
        </w:tc>
        <w:tc>
          <w:tcPr>
            <w:tcW w:w="11534" w:type="dxa"/>
            <w:gridSpan w:val="7"/>
            <w:shd w:val="clear" w:color="auto" w:fill="BFBFBF" w:themeFill="background1" w:themeFillShade="BF"/>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shd w:val="clear" w:color="auto" w:fill="auto"/>
          </w:tcPr>
          <w:p w:rsidR="006F0F9E" w:rsidRPr="006F0F9E" w:rsidRDefault="006F0F9E" w:rsidP="00EA6C84">
            <w:pPr>
              <w:rPr>
                <w:rStyle w:val="TableBold"/>
                <w:rFonts w:ascii="Arial Narrow" w:hAnsi="Arial Narrow"/>
                <w:color w:val="000000" w:themeColor="text1"/>
                <w:szCs w:val="20"/>
              </w:rPr>
            </w:pPr>
          </w:p>
        </w:tc>
        <w:tc>
          <w:tcPr>
            <w:tcW w:w="1620" w:type="dxa"/>
            <w:shd w:val="clear" w:color="auto" w:fill="auto"/>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NS5B RNA polymerase inhibitor</w:t>
            </w:r>
          </w:p>
        </w:tc>
        <w:tc>
          <w:tcPr>
            <w:tcW w:w="1440" w:type="dxa"/>
            <w:shd w:val="clear" w:color="auto" w:fill="auto"/>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NS5B RNA polymerase inhibitor</w:t>
            </w:r>
          </w:p>
        </w:tc>
        <w:tc>
          <w:tcPr>
            <w:tcW w:w="1919" w:type="dxa"/>
            <w:shd w:val="clear" w:color="auto" w:fill="auto"/>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NS3/4A protease inhibitor + NS5A inhibitor + non-nucleoside inhibitor of NS5B RNA polymerase</w:t>
            </w:r>
          </w:p>
        </w:tc>
        <w:tc>
          <w:tcPr>
            <w:tcW w:w="1410" w:type="dxa"/>
            <w:shd w:val="clear" w:color="auto" w:fill="auto"/>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NS5B RNA polymerase inhibitor</w:t>
            </w:r>
          </w:p>
        </w:tc>
        <w:tc>
          <w:tcPr>
            <w:tcW w:w="1755" w:type="dxa"/>
            <w:shd w:val="clear" w:color="auto" w:fill="auto"/>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NS5A replication complex inhibitor</w:t>
            </w:r>
          </w:p>
        </w:tc>
        <w:tc>
          <w:tcPr>
            <w:tcW w:w="1634" w:type="dxa"/>
            <w:shd w:val="clear" w:color="auto" w:fill="auto"/>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NS5A inhibitor + NS3/4A protease inhibitor</w:t>
            </w:r>
          </w:p>
        </w:tc>
        <w:tc>
          <w:tcPr>
            <w:tcW w:w="1756" w:type="dxa"/>
            <w:shd w:val="clear" w:color="auto" w:fill="auto"/>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Nucleoside analogue</w:t>
            </w:r>
          </w:p>
        </w:tc>
      </w:tr>
      <w:tr w:rsidR="006F0F9E" w:rsidRPr="004F6B32" w:rsidTr="00EA6C84">
        <w:tc>
          <w:tcPr>
            <w:tcW w:w="14589" w:type="dxa"/>
            <w:gridSpan w:val="8"/>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r w:rsidRPr="006F0F9E">
              <w:rPr>
                <w:rStyle w:val="TableBold"/>
                <w:rFonts w:ascii="Arial Narrow" w:hAnsi="Arial Narrow"/>
                <w:color w:val="000000" w:themeColor="text1"/>
                <w:szCs w:val="20"/>
              </w:rPr>
              <w:t>Hepatic disease</w:t>
            </w: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Use in moderate hepatic impairment/Child-Pugh B decompensated cirrhosis</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Not recommended</w:t>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Contraindicated</w:t>
            </w:r>
          </w:p>
        </w:tc>
        <w:tc>
          <w:tcPr>
            <w:tcW w:w="1756"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Not evaluated</w:t>
            </w: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Use in severe hepatic impairment/Child-Pugh C decompensated cirrhosis</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Contraindicated</w:t>
            </w:r>
          </w:p>
        </w:tc>
        <w:tc>
          <w:tcPr>
            <w:tcW w:w="1756"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Not evaluated</w:t>
            </w:r>
          </w:p>
        </w:tc>
      </w:tr>
      <w:tr w:rsidR="006F0F9E" w:rsidRPr="004F6B32" w:rsidTr="00EA6C84">
        <w:tc>
          <w:tcPr>
            <w:tcW w:w="14589" w:type="dxa"/>
            <w:gridSpan w:val="8"/>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r w:rsidRPr="006F0F9E">
              <w:rPr>
                <w:rStyle w:val="TableBold"/>
                <w:rFonts w:ascii="Arial Narrow" w:hAnsi="Arial Narrow"/>
                <w:color w:val="000000" w:themeColor="text1"/>
                <w:szCs w:val="20"/>
              </w:rPr>
              <w:t>Renal disease</w:t>
            </w: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Use in severe renal impairment</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756"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if Cl</w:t>
            </w:r>
            <w:r w:rsidRPr="006F0F9E">
              <w:rPr>
                <w:rStyle w:val="TableText0"/>
                <w:rFonts w:ascii="Arial Narrow" w:hAnsi="Arial Narrow"/>
                <w:color w:val="000000" w:themeColor="text1"/>
                <w:szCs w:val="20"/>
                <w:vertAlign w:val="subscript"/>
              </w:rPr>
              <w:t>Cr</w:t>
            </w:r>
            <w:r w:rsidRPr="006F0F9E">
              <w:rPr>
                <w:rStyle w:val="TableText0"/>
                <w:rFonts w:ascii="Arial Narrow" w:hAnsi="Arial Narrow"/>
                <w:color w:val="000000" w:themeColor="text1"/>
                <w:szCs w:val="20"/>
              </w:rPr>
              <w:t xml:space="preserve"> &lt; 50mL/min</w:t>
            </w:r>
          </w:p>
        </w:tc>
      </w:tr>
      <w:tr w:rsidR="006F0F9E" w:rsidRPr="004F6B32" w:rsidTr="00EA6C84">
        <w:tc>
          <w:tcPr>
            <w:tcW w:w="14589" w:type="dxa"/>
            <w:gridSpan w:val="8"/>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r w:rsidRPr="006F0F9E">
              <w:rPr>
                <w:rStyle w:val="TableBold"/>
                <w:rFonts w:ascii="Arial Narrow" w:hAnsi="Arial Narrow"/>
                <w:color w:val="000000" w:themeColor="text1"/>
                <w:szCs w:val="20"/>
              </w:rPr>
              <w:t>Teratogenicity</w:t>
            </w:r>
          </w:p>
        </w:tc>
      </w:tr>
      <w:tr w:rsidR="006F0F9E" w:rsidRPr="004F6B32" w:rsidTr="00EA6C84">
        <w:tc>
          <w:tcPr>
            <w:tcW w:w="3055" w:type="dxa"/>
          </w:tcPr>
          <w:p w:rsidR="006F0F9E" w:rsidRPr="006F0F9E" w:rsidRDefault="006F0F9E" w:rsidP="00EA6C84">
            <w:pP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Use in pregnancy</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Category B1</w:t>
            </w:r>
          </w:p>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(Category X with RBV)</w:t>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Category B1</w:t>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Category B3</w:t>
            </w:r>
          </w:p>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(Category X with RBV)</w:t>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Category B1</w:t>
            </w:r>
          </w:p>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(Category X with RBV)</w:t>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Category B3</w:t>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(Category X with RBV)</w:t>
            </w:r>
          </w:p>
        </w:tc>
        <w:tc>
          <w:tcPr>
            <w:tcW w:w="1756"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Category X</w:t>
            </w:r>
          </w:p>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Contraindicated</w:t>
            </w:r>
          </w:p>
        </w:tc>
      </w:tr>
      <w:tr w:rsidR="006F0F9E" w:rsidRPr="004F6B32" w:rsidTr="00EA6C84">
        <w:tc>
          <w:tcPr>
            <w:tcW w:w="3055" w:type="dxa"/>
            <w:shd w:val="clear" w:color="auto" w:fill="BFBFBF" w:themeFill="background1" w:themeFillShade="BF"/>
          </w:tcPr>
          <w:p w:rsidR="006F0F9E" w:rsidRPr="006F0F9E" w:rsidRDefault="006F0F9E" w:rsidP="00EA6C84">
            <w:pP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Treatment experience</w:t>
            </w:r>
          </w:p>
        </w:tc>
        <w:tc>
          <w:tcPr>
            <w:tcW w:w="1620"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440"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919"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410"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755"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634"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756"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Prior PI therapy</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Caution</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shd w:val="clear" w:color="auto" w:fill="BFBFBF" w:themeFill="background1" w:themeFillShade="BF"/>
          </w:tcPr>
          <w:p w:rsidR="006F0F9E" w:rsidRPr="006F0F9E" w:rsidRDefault="006F0F9E" w:rsidP="00EA6C84">
            <w:pPr>
              <w:rPr>
                <w:rStyle w:val="TableBold"/>
                <w:rFonts w:ascii="Arial Narrow" w:hAnsi="Arial Narrow"/>
                <w:color w:val="000000" w:themeColor="text1"/>
                <w:szCs w:val="20"/>
              </w:rPr>
            </w:pPr>
            <w:r w:rsidRPr="006F0F9E">
              <w:rPr>
                <w:rStyle w:val="TableBold"/>
                <w:rFonts w:ascii="Arial Narrow" w:hAnsi="Arial Narrow"/>
                <w:color w:val="000000" w:themeColor="text1"/>
                <w:szCs w:val="20"/>
              </w:rPr>
              <w:t>Established drug-drug interactions</w:t>
            </w:r>
          </w:p>
        </w:tc>
        <w:tc>
          <w:tcPr>
            <w:tcW w:w="1620"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440"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919"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410"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755"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634"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c>
          <w:tcPr>
            <w:tcW w:w="1756" w:type="dxa"/>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α-receptor antagonists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Alfuzosin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Analeptics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Modafinil</w:t>
            </w: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Antianginal</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Ranolazine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Antiarrhythmics</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Amiodarone not recommended;</w:t>
            </w:r>
          </w:p>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digoxin with caution</w:t>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Amiodarone not recommended</w:t>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Amiodarone, quinidine, dronedarone</w:t>
            </w:r>
            <w:r w:rsidR="00DB63AD">
              <w:rPr>
                <w:rStyle w:val="TableText0"/>
                <w:rFonts w:ascii="Arial Narrow" w:hAnsi="Arial Narrow"/>
                <w:color w:val="000000" w:themeColor="text1"/>
                <w:szCs w:val="20"/>
              </w:rPr>
              <w:t xml:space="preserve"> </w:t>
            </w:r>
            <w:r w:rsidRPr="006F0F9E">
              <w:rPr>
                <w:rStyle w:val="TableText0"/>
                <w:rFonts w:ascii="Arial Narrow" w:hAnsi="Arial Narrow"/>
                <w:color w:val="000000" w:themeColor="text1"/>
                <w:szCs w:val="20"/>
              </w:rPr>
              <w:t>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Not recommended when </w:t>
            </w:r>
            <w:r w:rsidR="002E0F10" w:rsidRPr="006F0F9E">
              <w:rPr>
                <w:rStyle w:val="TableText0"/>
                <w:rFonts w:ascii="Arial Narrow" w:hAnsi="Arial Narrow"/>
                <w:color w:val="000000" w:themeColor="text1"/>
                <w:szCs w:val="20"/>
              </w:rPr>
              <w:t>co</w:t>
            </w:r>
            <w:r w:rsidR="002E0F10">
              <w:rPr>
                <w:rStyle w:val="TableText0"/>
                <w:rFonts w:ascii="Arial Narrow" w:hAnsi="Arial Narrow"/>
                <w:color w:val="000000" w:themeColor="text1"/>
                <w:szCs w:val="20"/>
              </w:rPr>
              <w:t>-</w:t>
            </w:r>
            <w:r w:rsidR="002E0F10" w:rsidRPr="006F0F9E">
              <w:rPr>
                <w:rStyle w:val="TableText0"/>
                <w:rFonts w:ascii="Arial Narrow" w:hAnsi="Arial Narrow"/>
                <w:color w:val="000000" w:themeColor="text1"/>
                <w:szCs w:val="20"/>
              </w:rPr>
              <w:t>administered</w:t>
            </w:r>
            <w:r w:rsidRPr="006F0F9E">
              <w:rPr>
                <w:rStyle w:val="TableText0"/>
                <w:rFonts w:ascii="Arial Narrow" w:hAnsi="Arial Narrow"/>
                <w:color w:val="000000" w:themeColor="text1"/>
                <w:szCs w:val="20"/>
              </w:rPr>
              <w:t xml:space="preserve"> with another DAA</w:t>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Caution with amiodarone, digoxin, diltiazem, verapamil</w:t>
            </w: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Antibacterials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Fusidic acid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Caution with clarithromycin, erythromycin</w:t>
            </w: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Anticonvulsants</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Phenytoin, carbamazepine</w:t>
            </w: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Antigout medications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Colchicine contraindicated in renal/hepatic impairment</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Antihistamines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Astemizole, terfenadine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Antihyperlipidaemic</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Gemfibrozil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Antimycobacterials</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Rifampicin</w:t>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Rifampicin, rifabutin, rifapentine</w:t>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Rifampin</w:t>
            </w: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Del="006D0CE8"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Antipsychotic</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Lurasidone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Antiretrovirals</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Efavirenz not recommended; TDF with caution</w:t>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Caution with TDF</w:t>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Efavirenz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Tipranivir/ritonavir</w:t>
            </w:r>
          </w:p>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Darunavir/ritonavir, emtricitabine, efavirenz, raltegravir, rilpivirine, TDF</w:t>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Requires dose reduction with protease inhibitors and/or cobicistat and dose increase with efavirenz, etravirine, nevirapine</w:t>
            </w:r>
          </w:p>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 xml:space="preserve"> Darunavir/ritonavir, dolutegravir, lopinavir/ritonavir, tenofovir</w:t>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 with efavirenz, atazanavir, darunavir, lopinavir, saquinavir, tipranavir</w:t>
            </w:r>
          </w:p>
        </w:tc>
        <w:tc>
          <w:tcPr>
            <w:tcW w:w="1756"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 with didanosine</w:t>
            </w: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β receptor agonists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Salmeterol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Cancer chemotherapies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Mitotane, enzalutamide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 xml:space="preserve">Immunosuppressants </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 xml:space="preserve"> Cyclosporin, tacrolimus</w:t>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 xml:space="preserve"> Cyclosporin, tacrolimus</w:t>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 with cyclosporin</w:t>
            </w:r>
          </w:p>
        </w:tc>
        <w:tc>
          <w:tcPr>
            <w:tcW w:w="1756"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Caution with azathioprine</w:t>
            </w: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Dexamethasone</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Ergot derivatives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Ethinyloestradiol</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 xml:space="preserve"> also levonorgestrel, norethisterone</w:t>
            </w: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Famotidine</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GI motility agents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Cisapride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HMGCoA reductase inhibitors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Caution with rosuvastatin</w:t>
            </w: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Methadone</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 xml:space="preserve"> also buprenorphine, naloxone</w:t>
            </w: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Neuroleptics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Pimozide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Omeprazole</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PDE5 inhibitors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Sildenafil contraindicated for PAH</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Platelet aggregators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Ticagrelor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Sedatives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Triazolam, midazolam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 xml:space="preserve"> midazolam</w:t>
            </w: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St Johns Wort</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P-gp inducers</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Not recommended</w:t>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Caution</w:t>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Caution</w:t>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Caution</w:t>
            </w: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BCRP inducers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Caution</w:t>
            </w: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CYP450 enzyme inducers</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Not recommended</w:t>
            </w: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 with strong inducers, not recommended with moderate inducers</w:t>
            </w: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CYP450 enzyme inhibitors or other substrates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Dose reduction with bocepravir, telapravir, ketoconazole, itraconazole, posaconazole, voriconazole</w:t>
            </w:r>
          </w:p>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00AA00FB">
              <w:rPr>
                <w:rStyle w:val="TableText0"/>
                <w:rFonts w:ascii="Arial Narrow" w:hAnsi="Arial Narrow"/>
                <w:color w:val="000000" w:themeColor="text1"/>
                <w:szCs w:val="20"/>
              </w:rPr>
              <w:t>simepre</w:t>
            </w:r>
            <w:r w:rsidRPr="006F0F9E">
              <w:rPr>
                <w:rStyle w:val="TableText0"/>
                <w:rFonts w:ascii="Arial Narrow" w:hAnsi="Arial Narrow"/>
                <w:color w:val="000000" w:themeColor="text1"/>
                <w:szCs w:val="20"/>
              </w:rPr>
              <w:t>vir</w:t>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Not recommended with strong inhibitors</w:t>
            </w: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OATP1B1/3 inhibitors</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r w:rsidRPr="006F0F9E">
              <w:rPr>
                <w:rStyle w:val="TableText0"/>
                <w:rFonts w:ascii="Arial Narrow" w:hAnsi="Arial Narrow"/>
                <w:color w:val="000000" w:themeColor="text1"/>
                <w:szCs w:val="20"/>
              </w:rPr>
              <w:t xml:space="preserve"> Contraindicated</w:t>
            </w: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14589" w:type="dxa"/>
            <w:gridSpan w:val="8"/>
            <w:shd w:val="clear" w:color="auto" w:fill="BFBFBF" w:themeFill="background1" w:themeFillShade="BF"/>
          </w:tcPr>
          <w:p w:rsidR="006F0F9E" w:rsidRPr="006F0F9E" w:rsidRDefault="006F0F9E" w:rsidP="00EA6C84">
            <w:pPr>
              <w:rPr>
                <w:rStyle w:val="TableText0"/>
                <w:rFonts w:ascii="Arial Narrow" w:hAnsi="Arial Narrow"/>
                <w:color w:val="000000" w:themeColor="text1"/>
                <w:szCs w:val="20"/>
              </w:rPr>
            </w:pPr>
            <w:r w:rsidRPr="006F0F9E">
              <w:rPr>
                <w:rStyle w:val="TableBold"/>
                <w:rFonts w:ascii="Arial Narrow" w:hAnsi="Arial Narrow"/>
                <w:color w:val="000000" w:themeColor="text1"/>
                <w:szCs w:val="20"/>
              </w:rPr>
              <w:t>Potential clinically relevant metabolic drug-drug interactions with inducers/inhibitors/substrates of:</w:t>
            </w: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 xml:space="preserve">CYP450 </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 xml:space="preserve"> inhibitors only</w:t>
            </w: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OATP1B1, OATP1B3, OATP2B1</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UGT1A1</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P-gp</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 xml:space="preserve"> inhibitors only</w:t>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 xml:space="preserve"> inhibitors, substrates</w:t>
            </w:r>
            <w:r w:rsidR="00DB63AD">
              <w:rPr>
                <w:rStyle w:val="TableText0"/>
                <w:rFonts w:ascii="Arial Narrow" w:hAnsi="Arial Narrow"/>
                <w:color w:val="000000" w:themeColor="text1"/>
                <w:szCs w:val="20"/>
              </w:rPr>
              <w:t xml:space="preserve"> </w:t>
            </w:r>
            <w:r w:rsidRPr="006F0F9E">
              <w:rPr>
                <w:rStyle w:val="TableText0"/>
                <w:rFonts w:ascii="Arial Narrow" w:hAnsi="Arial Narrow"/>
                <w:color w:val="000000" w:themeColor="text1"/>
                <w:szCs w:val="20"/>
              </w:rPr>
              <w:t>only</w:t>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Caution if narrow therapeutic index e.g. dabigatran</w:t>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BCRP</w:t>
            </w:r>
          </w:p>
        </w:tc>
        <w:tc>
          <w:tcPr>
            <w:tcW w:w="162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 xml:space="preserve"> inhibitors only</w:t>
            </w:r>
          </w:p>
        </w:tc>
        <w:tc>
          <w:tcPr>
            <w:tcW w:w="144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919"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410"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C"/>
            </w:r>
            <w:r w:rsidRPr="006F0F9E">
              <w:rPr>
                <w:rStyle w:val="TableText0"/>
                <w:rFonts w:ascii="Arial Narrow" w:hAnsi="Arial Narrow"/>
                <w:color w:val="000000" w:themeColor="text1"/>
                <w:szCs w:val="20"/>
              </w:rPr>
              <w:t xml:space="preserve"> inhibitors, substrates only</w:t>
            </w: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Caution if narrow therapeutic index</w:t>
            </w:r>
          </w:p>
        </w:tc>
        <w:tc>
          <w:tcPr>
            <w:tcW w:w="1634"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sym w:font="Wingdings" w:char="F0FB"/>
            </w: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r w:rsidR="006F0F9E" w:rsidRPr="004F6B32" w:rsidTr="00EA6C84">
        <w:tc>
          <w:tcPr>
            <w:tcW w:w="3055" w:type="dxa"/>
          </w:tcPr>
          <w:p w:rsidR="006F0F9E" w:rsidRPr="006F0F9E" w:rsidRDefault="006F0F9E" w:rsidP="00EA6C84">
            <w:pP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OCT-1</w:t>
            </w:r>
          </w:p>
        </w:tc>
        <w:tc>
          <w:tcPr>
            <w:tcW w:w="1620" w:type="dxa"/>
          </w:tcPr>
          <w:p w:rsidR="006F0F9E" w:rsidRPr="006F0F9E" w:rsidRDefault="006F0F9E" w:rsidP="00EA6C84">
            <w:pPr>
              <w:jc w:val="center"/>
              <w:rPr>
                <w:rStyle w:val="TableText0"/>
                <w:rFonts w:ascii="Arial Narrow" w:hAnsi="Arial Narrow"/>
                <w:color w:val="000000" w:themeColor="text1"/>
                <w:szCs w:val="20"/>
              </w:rPr>
            </w:pPr>
          </w:p>
        </w:tc>
        <w:tc>
          <w:tcPr>
            <w:tcW w:w="1440" w:type="dxa"/>
          </w:tcPr>
          <w:p w:rsidR="006F0F9E" w:rsidRPr="006F0F9E" w:rsidRDefault="006F0F9E" w:rsidP="00EA6C84">
            <w:pPr>
              <w:jc w:val="center"/>
              <w:rPr>
                <w:rStyle w:val="TableText0"/>
                <w:rFonts w:ascii="Arial Narrow" w:hAnsi="Arial Narrow"/>
                <w:color w:val="000000" w:themeColor="text1"/>
                <w:szCs w:val="20"/>
              </w:rPr>
            </w:pPr>
          </w:p>
        </w:tc>
        <w:tc>
          <w:tcPr>
            <w:tcW w:w="1919" w:type="dxa"/>
          </w:tcPr>
          <w:p w:rsidR="006F0F9E" w:rsidRPr="006F0F9E" w:rsidRDefault="006F0F9E" w:rsidP="00EA6C84">
            <w:pPr>
              <w:jc w:val="center"/>
              <w:rPr>
                <w:rStyle w:val="TableText0"/>
                <w:rFonts w:ascii="Arial Narrow" w:hAnsi="Arial Narrow"/>
                <w:color w:val="000000" w:themeColor="text1"/>
                <w:szCs w:val="20"/>
              </w:rPr>
            </w:pPr>
          </w:p>
        </w:tc>
        <w:tc>
          <w:tcPr>
            <w:tcW w:w="1410" w:type="dxa"/>
          </w:tcPr>
          <w:p w:rsidR="006F0F9E" w:rsidRPr="006F0F9E" w:rsidRDefault="006F0F9E" w:rsidP="00EA6C84">
            <w:pPr>
              <w:jc w:val="center"/>
              <w:rPr>
                <w:rStyle w:val="TableText0"/>
                <w:rFonts w:ascii="Arial Narrow" w:hAnsi="Arial Narrow"/>
                <w:color w:val="000000" w:themeColor="text1"/>
                <w:szCs w:val="20"/>
              </w:rPr>
            </w:pPr>
          </w:p>
        </w:tc>
        <w:tc>
          <w:tcPr>
            <w:tcW w:w="1755" w:type="dxa"/>
          </w:tcPr>
          <w:p w:rsidR="006F0F9E" w:rsidRPr="006F0F9E" w:rsidRDefault="006F0F9E" w:rsidP="00EA6C84">
            <w:pPr>
              <w:jc w:val="center"/>
              <w:rPr>
                <w:rStyle w:val="TableText0"/>
                <w:rFonts w:ascii="Arial Narrow" w:hAnsi="Arial Narrow"/>
                <w:color w:val="000000" w:themeColor="text1"/>
                <w:szCs w:val="20"/>
              </w:rPr>
            </w:pPr>
            <w:r w:rsidRPr="006F0F9E">
              <w:rPr>
                <w:rStyle w:val="TableText0"/>
                <w:rFonts w:ascii="Arial Narrow" w:hAnsi="Arial Narrow"/>
                <w:color w:val="000000" w:themeColor="text1"/>
                <w:szCs w:val="20"/>
              </w:rPr>
              <w:t>Caution if narrow therapeutic index</w:t>
            </w:r>
          </w:p>
        </w:tc>
        <w:tc>
          <w:tcPr>
            <w:tcW w:w="1634" w:type="dxa"/>
          </w:tcPr>
          <w:p w:rsidR="006F0F9E" w:rsidRPr="006F0F9E" w:rsidRDefault="006F0F9E" w:rsidP="00EA6C84">
            <w:pPr>
              <w:jc w:val="center"/>
              <w:rPr>
                <w:rStyle w:val="TableText0"/>
                <w:rFonts w:ascii="Arial Narrow" w:hAnsi="Arial Narrow"/>
                <w:color w:val="000000" w:themeColor="text1"/>
                <w:szCs w:val="20"/>
              </w:rPr>
            </w:pPr>
          </w:p>
        </w:tc>
        <w:tc>
          <w:tcPr>
            <w:tcW w:w="1756" w:type="dxa"/>
          </w:tcPr>
          <w:p w:rsidR="006F0F9E" w:rsidRPr="006F0F9E" w:rsidRDefault="006F0F9E" w:rsidP="00EA6C84">
            <w:pPr>
              <w:jc w:val="center"/>
              <w:rPr>
                <w:rStyle w:val="TableText0"/>
                <w:rFonts w:ascii="Arial Narrow" w:hAnsi="Arial Narrow"/>
                <w:color w:val="000000" w:themeColor="text1"/>
                <w:szCs w:val="20"/>
              </w:rPr>
            </w:pPr>
          </w:p>
        </w:tc>
      </w:tr>
    </w:tbl>
    <w:p w:rsidR="006F0F9E" w:rsidRPr="00EA6C84" w:rsidRDefault="00EA6C84" w:rsidP="00EA6C84">
      <w:pPr>
        <w:pStyle w:val="CaptionFootnote"/>
        <w:rPr>
          <w:rFonts w:ascii="Arial Narrow" w:hAnsi="Arial Narrow"/>
          <w:sz w:val="20"/>
          <w:szCs w:val="20"/>
        </w:rPr>
      </w:pPr>
      <w:r w:rsidRPr="00EA6C84">
        <w:rPr>
          <w:rFonts w:ascii="Arial Narrow" w:hAnsi="Arial Narrow"/>
          <w:sz w:val="20"/>
          <w:szCs w:val="20"/>
        </w:rPr>
        <w:sym w:font="Wingdings" w:char="F0FC"/>
      </w:r>
      <w:r w:rsidRPr="00EA6C84">
        <w:rPr>
          <w:rFonts w:ascii="Arial Narrow" w:hAnsi="Arial Narrow"/>
          <w:sz w:val="20"/>
          <w:szCs w:val="20"/>
        </w:rPr>
        <w:t xml:space="preserve">= may be used; </w:t>
      </w:r>
      <w:r w:rsidRPr="00EA6C84">
        <w:rPr>
          <w:rFonts w:ascii="Arial Narrow" w:hAnsi="Arial Narrow"/>
          <w:sz w:val="20"/>
          <w:szCs w:val="20"/>
        </w:rPr>
        <w:sym w:font="Wingdings" w:char="F0FB"/>
      </w:r>
      <w:r w:rsidRPr="00EA6C84">
        <w:rPr>
          <w:rFonts w:ascii="Arial Narrow" w:hAnsi="Arial Narrow"/>
          <w:sz w:val="20"/>
          <w:szCs w:val="20"/>
        </w:rPr>
        <w:t xml:space="preserve"> = should not be used</w:t>
      </w:r>
    </w:p>
    <w:p w:rsidR="00EA6C84" w:rsidRDefault="00EA6C84" w:rsidP="00EF44AC">
      <w:pPr>
        <w:rPr>
          <w:rFonts w:ascii="Arial Narrow" w:hAnsi="Arial Narrow"/>
          <w:sz w:val="20"/>
          <w:szCs w:val="20"/>
        </w:rPr>
      </w:pPr>
      <w:r w:rsidRPr="00EF44AC">
        <w:rPr>
          <w:rFonts w:ascii="Arial Narrow" w:hAnsi="Arial Narrow"/>
          <w:sz w:val="20"/>
          <w:szCs w:val="20"/>
        </w:rPr>
        <w:t>Source: Ta</w:t>
      </w:r>
      <w:r w:rsidR="002D14A4">
        <w:rPr>
          <w:rFonts w:ascii="Arial Narrow" w:hAnsi="Arial Narrow"/>
          <w:sz w:val="20"/>
          <w:szCs w:val="20"/>
        </w:rPr>
        <w:t>ble 1, pp 8-11 of the submission</w:t>
      </w:r>
    </w:p>
    <w:p w:rsidR="002D14A4" w:rsidRDefault="002D14A4" w:rsidP="00EF44AC">
      <w:pPr>
        <w:rPr>
          <w:rFonts w:ascii="Arial Narrow" w:hAnsi="Arial Narrow"/>
          <w:sz w:val="20"/>
          <w:szCs w:val="20"/>
        </w:rPr>
      </w:pPr>
    </w:p>
    <w:p w:rsidR="002D14A4" w:rsidRPr="00EF44AC" w:rsidRDefault="002D14A4" w:rsidP="00EF44AC">
      <w:pPr>
        <w:rPr>
          <w:rFonts w:ascii="Arial Narrow" w:hAnsi="Arial Narrow"/>
          <w:sz w:val="20"/>
          <w:szCs w:val="20"/>
        </w:rPr>
        <w:sectPr w:rsidR="002D14A4" w:rsidRPr="00EF44AC" w:rsidSect="00D90A80">
          <w:pgSz w:w="16838" w:h="11906" w:orient="landscape" w:code="9"/>
          <w:pgMar w:top="1440" w:right="1440" w:bottom="1440" w:left="1440" w:header="1440" w:footer="1440" w:gutter="0"/>
          <w:cols w:space="708"/>
          <w:docGrid w:linePitch="360"/>
        </w:sectPr>
      </w:pPr>
    </w:p>
    <w:p w:rsidR="00F57A6D" w:rsidRPr="002C3EC9" w:rsidRDefault="00354A22" w:rsidP="005365B5">
      <w:pPr>
        <w:pStyle w:val="ListParagraph"/>
        <w:numPr>
          <w:ilvl w:val="1"/>
          <w:numId w:val="5"/>
        </w:numPr>
        <w:rPr>
          <w:rFonts w:ascii="Arial" w:hAnsi="Arial"/>
          <w:color w:val="000000" w:themeColor="text1"/>
          <w:szCs w:val="24"/>
        </w:rPr>
      </w:pPr>
      <w:r w:rsidRPr="002C3EC9">
        <w:rPr>
          <w:color w:val="000000" w:themeColor="text1"/>
          <w:szCs w:val="24"/>
        </w:rPr>
        <w:t>The sponsor claimed</w:t>
      </w:r>
      <w:r w:rsidR="005365B5" w:rsidRPr="002C3EC9">
        <w:rPr>
          <w:color w:val="000000" w:themeColor="text1"/>
          <w:szCs w:val="24"/>
        </w:rPr>
        <w:t xml:space="preserve"> that, due to differences in the safety profiles of the DAA regimens for CHC infection, patient outcomes at either the individual or population level are different, and that </w:t>
      </w:r>
      <w:r w:rsidR="00EF44AC" w:rsidRPr="002C3EC9">
        <w:rPr>
          <w:color w:val="000000" w:themeColor="text1"/>
          <w:szCs w:val="24"/>
        </w:rPr>
        <w:t xml:space="preserve">as such </w:t>
      </w:r>
      <w:r w:rsidR="005365B5" w:rsidRPr="002C3EC9">
        <w:rPr>
          <w:color w:val="000000" w:themeColor="text1"/>
          <w:szCs w:val="24"/>
        </w:rPr>
        <w:t>the PBAC advice that sofosbuvir with velpatasvir should be treated as interchangeable on an individual patient basis with other DAA regimens is not supported by the evidence base.</w:t>
      </w:r>
    </w:p>
    <w:p w:rsidR="006A43CC" w:rsidRPr="0033403B" w:rsidRDefault="006A43CC" w:rsidP="006A43CC">
      <w:pPr>
        <w:pStyle w:val="ListParagraph"/>
        <w:rPr>
          <w:rFonts w:ascii="Arial" w:hAnsi="Arial"/>
          <w:color w:val="000000" w:themeColor="text1"/>
          <w:sz w:val="16"/>
          <w:szCs w:val="16"/>
        </w:rPr>
      </w:pPr>
    </w:p>
    <w:p w:rsidR="00864A7A" w:rsidRPr="0033403B" w:rsidRDefault="00864A7A" w:rsidP="006A43CC">
      <w:pPr>
        <w:pStyle w:val="ListParagraph"/>
        <w:rPr>
          <w:rFonts w:ascii="Arial" w:hAnsi="Arial"/>
          <w:color w:val="000000" w:themeColor="text1"/>
          <w:sz w:val="16"/>
          <w:szCs w:val="16"/>
        </w:rPr>
      </w:pPr>
    </w:p>
    <w:p w:rsidR="003F2AA6" w:rsidRPr="002E0F10" w:rsidRDefault="003F2AA6" w:rsidP="003F2AA6">
      <w:pPr>
        <w:pStyle w:val="PBACHeading1"/>
        <w:rPr>
          <w:szCs w:val="32"/>
        </w:rPr>
      </w:pPr>
      <w:bookmarkStart w:id="1" w:name="_Toc413139276"/>
      <w:bookmarkStart w:id="2" w:name="_Toc476306886"/>
      <w:bookmarkStart w:id="3" w:name="_Toc480313627"/>
      <w:r w:rsidRPr="002E0F10">
        <w:rPr>
          <w:szCs w:val="32"/>
        </w:rPr>
        <w:t>Consideration of the evidence</w:t>
      </w:r>
      <w:bookmarkEnd w:id="1"/>
      <w:bookmarkEnd w:id="2"/>
      <w:bookmarkEnd w:id="3"/>
    </w:p>
    <w:p w:rsidR="003F2AA6" w:rsidRPr="002E0F10" w:rsidRDefault="003F2AA6" w:rsidP="002E0F10">
      <w:pPr>
        <w:spacing w:before="240" w:after="120"/>
        <w:jc w:val="both"/>
        <w:outlineLvl w:val="1"/>
        <w:rPr>
          <w:rFonts w:asciiTheme="minorHAnsi" w:hAnsiTheme="minorHAnsi" w:cs="Arial"/>
          <w:b/>
          <w:i/>
          <w:snapToGrid w:val="0"/>
          <w:sz w:val="28"/>
          <w:szCs w:val="28"/>
          <w:lang w:eastAsia="en-US"/>
        </w:rPr>
      </w:pPr>
      <w:r w:rsidRPr="002E0F10">
        <w:rPr>
          <w:rFonts w:asciiTheme="minorHAnsi" w:hAnsiTheme="minorHAnsi" w:cs="Arial"/>
          <w:b/>
          <w:i/>
          <w:snapToGrid w:val="0"/>
          <w:sz w:val="28"/>
          <w:szCs w:val="28"/>
          <w:lang w:eastAsia="en-US"/>
        </w:rPr>
        <w:t>Sponsor hearing</w:t>
      </w:r>
    </w:p>
    <w:p w:rsidR="003F2AA6" w:rsidRPr="002C3EC9" w:rsidRDefault="003F2AA6" w:rsidP="00096675">
      <w:pPr>
        <w:pStyle w:val="ListParagraph"/>
        <w:numPr>
          <w:ilvl w:val="1"/>
          <w:numId w:val="5"/>
        </w:numPr>
        <w:rPr>
          <w:szCs w:val="24"/>
        </w:rPr>
      </w:pPr>
      <w:r w:rsidRPr="002C3EC9">
        <w:rPr>
          <w:szCs w:val="24"/>
        </w:rPr>
        <w:t>There was no hearing for this item as it was a minor s</w:t>
      </w:r>
      <w:r w:rsidR="00096675" w:rsidRPr="002C3EC9">
        <w:rPr>
          <w:szCs w:val="24"/>
        </w:rPr>
        <w:t>ubmission.</w:t>
      </w:r>
    </w:p>
    <w:p w:rsidR="003F2AA6" w:rsidRPr="002E0F10" w:rsidRDefault="003F2AA6" w:rsidP="002E0F10">
      <w:pPr>
        <w:spacing w:before="240" w:after="120"/>
        <w:jc w:val="both"/>
        <w:outlineLvl w:val="1"/>
        <w:rPr>
          <w:rFonts w:asciiTheme="minorHAnsi" w:hAnsiTheme="minorHAnsi" w:cs="Arial"/>
          <w:b/>
          <w:i/>
          <w:snapToGrid w:val="0"/>
          <w:sz w:val="28"/>
          <w:szCs w:val="28"/>
          <w:lang w:eastAsia="en-US"/>
        </w:rPr>
      </w:pPr>
      <w:r w:rsidRPr="002E0F10">
        <w:rPr>
          <w:rFonts w:asciiTheme="minorHAnsi" w:hAnsiTheme="minorHAnsi" w:cs="Arial"/>
          <w:b/>
          <w:i/>
          <w:snapToGrid w:val="0"/>
          <w:sz w:val="28"/>
          <w:szCs w:val="28"/>
          <w:lang w:eastAsia="en-US"/>
        </w:rPr>
        <w:t>Consumer comments</w:t>
      </w:r>
    </w:p>
    <w:p w:rsidR="003F2AA6" w:rsidRPr="002C3EC9" w:rsidRDefault="003F2AA6" w:rsidP="00096675">
      <w:pPr>
        <w:pStyle w:val="ListParagraph"/>
        <w:numPr>
          <w:ilvl w:val="1"/>
          <w:numId w:val="5"/>
        </w:numPr>
        <w:rPr>
          <w:szCs w:val="24"/>
        </w:rPr>
      </w:pPr>
      <w:r w:rsidRPr="002C3EC9">
        <w:rPr>
          <w:szCs w:val="24"/>
        </w:rPr>
        <w:t>The PBAC noted that no consumer comme</w:t>
      </w:r>
      <w:r w:rsidR="00096675" w:rsidRPr="002C3EC9">
        <w:rPr>
          <w:szCs w:val="24"/>
        </w:rPr>
        <w:t>nts were received for this item</w:t>
      </w:r>
      <w:r w:rsidRPr="002C3EC9">
        <w:rPr>
          <w:szCs w:val="24"/>
        </w:rPr>
        <w:t>.</w:t>
      </w:r>
    </w:p>
    <w:p w:rsidR="004874F3" w:rsidRPr="0033403B" w:rsidRDefault="004874F3" w:rsidP="004874F3">
      <w:pPr>
        <w:rPr>
          <w:rFonts w:asciiTheme="minorHAnsi" w:hAnsiTheme="minorHAnsi"/>
          <w:color w:val="000000" w:themeColor="text1"/>
          <w:sz w:val="16"/>
          <w:szCs w:val="16"/>
        </w:rPr>
      </w:pPr>
    </w:p>
    <w:p w:rsidR="00864A7A" w:rsidRPr="0033403B" w:rsidRDefault="00864A7A" w:rsidP="004874F3">
      <w:pPr>
        <w:rPr>
          <w:rFonts w:asciiTheme="minorHAnsi" w:hAnsiTheme="minorHAnsi"/>
          <w:color w:val="000000" w:themeColor="text1"/>
          <w:sz w:val="16"/>
          <w:szCs w:val="16"/>
        </w:rPr>
      </w:pPr>
    </w:p>
    <w:p w:rsidR="00096675" w:rsidRPr="002E0F10" w:rsidRDefault="00096675" w:rsidP="00096675">
      <w:pPr>
        <w:pStyle w:val="PBACHeading1"/>
        <w:rPr>
          <w:szCs w:val="32"/>
        </w:rPr>
      </w:pPr>
      <w:r w:rsidRPr="002E0F10">
        <w:rPr>
          <w:szCs w:val="32"/>
        </w:rPr>
        <w:t>PBAC Outcome</w:t>
      </w:r>
    </w:p>
    <w:p w:rsidR="00096675" w:rsidRPr="0033403B" w:rsidRDefault="00096675" w:rsidP="00096675">
      <w:pPr>
        <w:rPr>
          <w:rFonts w:asciiTheme="minorHAnsi" w:hAnsiTheme="minorHAnsi"/>
          <w:sz w:val="16"/>
          <w:szCs w:val="16"/>
        </w:rPr>
      </w:pPr>
    </w:p>
    <w:p w:rsidR="00096675" w:rsidRPr="002C3EC9" w:rsidRDefault="00B74929" w:rsidP="00096675">
      <w:pPr>
        <w:pStyle w:val="ListParagraph"/>
        <w:numPr>
          <w:ilvl w:val="1"/>
          <w:numId w:val="5"/>
        </w:numPr>
        <w:rPr>
          <w:szCs w:val="24"/>
        </w:rPr>
      </w:pPr>
      <w:r w:rsidRPr="002C3EC9">
        <w:rPr>
          <w:szCs w:val="24"/>
        </w:rPr>
        <w:t xml:space="preserve">The PBAC </w:t>
      </w:r>
      <w:r w:rsidR="00033927" w:rsidRPr="002C3EC9">
        <w:rPr>
          <w:szCs w:val="24"/>
        </w:rPr>
        <w:t>confirmed</w:t>
      </w:r>
      <w:r w:rsidRPr="002C3EC9">
        <w:rPr>
          <w:szCs w:val="24"/>
        </w:rPr>
        <w:t xml:space="preserve"> its</w:t>
      </w:r>
      <w:r w:rsidR="00033927" w:rsidRPr="002C3EC9">
        <w:rPr>
          <w:szCs w:val="24"/>
        </w:rPr>
        <w:t xml:space="preserve"> previous</w:t>
      </w:r>
      <w:r w:rsidRPr="002C3EC9">
        <w:rPr>
          <w:szCs w:val="24"/>
        </w:rPr>
        <w:t xml:space="preserve"> advice </w:t>
      </w:r>
      <w:r w:rsidR="00486AA2" w:rsidRPr="002C3EC9">
        <w:rPr>
          <w:szCs w:val="24"/>
        </w:rPr>
        <w:t>for</w:t>
      </w:r>
      <w:r w:rsidRPr="002C3EC9">
        <w:rPr>
          <w:szCs w:val="24"/>
        </w:rPr>
        <w:t xml:space="preserve"> sofosbuvir with velpatasvir with regards to interchangeability on an individual patient basis under Section 101(3BA) of the </w:t>
      </w:r>
      <w:r w:rsidRPr="002C3EC9">
        <w:rPr>
          <w:i/>
          <w:szCs w:val="24"/>
        </w:rPr>
        <w:t>National Health Act 1953</w:t>
      </w:r>
      <w:r w:rsidR="00033927" w:rsidRPr="002C3EC9">
        <w:rPr>
          <w:szCs w:val="24"/>
        </w:rPr>
        <w:t>, with the following:</w:t>
      </w:r>
    </w:p>
    <w:p w:rsidR="00033927" w:rsidRPr="002C3EC9" w:rsidRDefault="00033927" w:rsidP="00F82920">
      <w:pPr>
        <w:pStyle w:val="ListParagraph"/>
        <w:numPr>
          <w:ilvl w:val="0"/>
          <w:numId w:val="15"/>
        </w:numPr>
        <w:rPr>
          <w:szCs w:val="24"/>
        </w:rPr>
      </w:pPr>
      <w:r w:rsidRPr="002C3EC9">
        <w:rPr>
          <w:szCs w:val="24"/>
        </w:rPr>
        <w:t>ledipasvir with sofosbuvir, and paritaprevir with ritonavir with ombitasvir and dasabuvir +/- RBV for genotype 1 (GT1) CHC;</w:t>
      </w:r>
    </w:p>
    <w:p w:rsidR="00033927" w:rsidRPr="002C3EC9" w:rsidRDefault="00033927" w:rsidP="00F82920">
      <w:pPr>
        <w:pStyle w:val="ListParagraph"/>
        <w:numPr>
          <w:ilvl w:val="0"/>
          <w:numId w:val="15"/>
        </w:numPr>
        <w:rPr>
          <w:szCs w:val="24"/>
        </w:rPr>
      </w:pPr>
      <w:r w:rsidRPr="002C3EC9">
        <w:rPr>
          <w:szCs w:val="24"/>
        </w:rPr>
        <w:t>sofosbuvir in combination with RBV for genotypes 2 (GT2) and 3 (GT3) CHC;</w:t>
      </w:r>
    </w:p>
    <w:p w:rsidR="00033927" w:rsidRPr="002C3EC9" w:rsidRDefault="00033927" w:rsidP="00F82920">
      <w:pPr>
        <w:pStyle w:val="ListParagraph"/>
        <w:numPr>
          <w:ilvl w:val="0"/>
          <w:numId w:val="15"/>
        </w:numPr>
        <w:rPr>
          <w:szCs w:val="24"/>
        </w:rPr>
      </w:pPr>
      <w:r w:rsidRPr="002C3EC9">
        <w:rPr>
          <w:szCs w:val="24"/>
        </w:rPr>
        <w:t>daclatasvir and sofosbuvir for GT3 CHC; and</w:t>
      </w:r>
    </w:p>
    <w:p w:rsidR="00033927" w:rsidRPr="002C3EC9" w:rsidRDefault="00033927" w:rsidP="00F82920">
      <w:pPr>
        <w:pStyle w:val="ListParagraph"/>
        <w:numPr>
          <w:ilvl w:val="0"/>
          <w:numId w:val="15"/>
        </w:numPr>
        <w:rPr>
          <w:szCs w:val="24"/>
        </w:rPr>
      </w:pPr>
      <w:r w:rsidRPr="002C3EC9">
        <w:rPr>
          <w:szCs w:val="24"/>
        </w:rPr>
        <w:t>grazoprevir with elbasvir +/- RBV for genotype 4 (GT4) CHC.</w:t>
      </w:r>
    </w:p>
    <w:p w:rsidR="00033927" w:rsidRPr="002C3EC9" w:rsidRDefault="00033927" w:rsidP="00033927">
      <w:pPr>
        <w:jc w:val="both"/>
        <w:rPr>
          <w:rFonts w:ascii="Arial" w:hAnsi="Arial"/>
          <w:b/>
        </w:rPr>
      </w:pPr>
      <w:r w:rsidRPr="002C3EC9">
        <w:rPr>
          <w:rFonts w:ascii="Arial" w:hAnsi="Arial"/>
          <w:b/>
        </w:rPr>
        <w:t xml:space="preserve"> </w:t>
      </w:r>
    </w:p>
    <w:p w:rsidR="00096675" w:rsidRPr="002C3EC9" w:rsidRDefault="00033927" w:rsidP="002E0F10">
      <w:pPr>
        <w:pStyle w:val="ListParagraph"/>
        <w:numPr>
          <w:ilvl w:val="1"/>
          <w:numId w:val="5"/>
        </w:numPr>
        <w:rPr>
          <w:szCs w:val="24"/>
        </w:rPr>
      </w:pPr>
      <w:r w:rsidRPr="002C3EC9">
        <w:rPr>
          <w:szCs w:val="24"/>
        </w:rPr>
        <w:t xml:space="preserve">The PBAC also recalled that at its July 2016 meeting it advised that grazoprevir with elbasvir should be treated as interchangeable on an individual patient basis with ledipasvir with sofosbuvir, and paritaprevir with ritonavir with ombitasvir and dasabuvir +/- RBV when used in the treatment of GT1 CHC. </w:t>
      </w:r>
    </w:p>
    <w:p w:rsidR="00FF389D" w:rsidRPr="002C3EC9" w:rsidRDefault="00FF389D" w:rsidP="00FF389D">
      <w:pPr>
        <w:pStyle w:val="ListParagraph"/>
        <w:rPr>
          <w:szCs w:val="24"/>
        </w:rPr>
      </w:pPr>
    </w:p>
    <w:p w:rsidR="00FF389D" w:rsidRPr="002C3EC9" w:rsidRDefault="00FF389D" w:rsidP="00096675">
      <w:pPr>
        <w:pStyle w:val="ListParagraph"/>
        <w:numPr>
          <w:ilvl w:val="1"/>
          <w:numId w:val="5"/>
        </w:numPr>
        <w:rPr>
          <w:szCs w:val="24"/>
        </w:rPr>
      </w:pPr>
      <w:r w:rsidRPr="002C3EC9">
        <w:rPr>
          <w:szCs w:val="24"/>
        </w:rPr>
        <w:t>The PBAC considered that</w:t>
      </w:r>
      <w:r w:rsidR="00257E10" w:rsidRPr="002C3EC9">
        <w:rPr>
          <w:szCs w:val="24"/>
        </w:rPr>
        <w:t>,</w:t>
      </w:r>
      <w:r w:rsidRPr="002C3EC9">
        <w:rPr>
          <w:szCs w:val="24"/>
        </w:rPr>
        <w:t xml:space="preserve"> for the purposes of providing advice under Section 101(3BA) of the Act, therapies </w:t>
      </w:r>
      <w:r w:rsidR="00257E10" w:rsidRPr="002C3EC9">
        <w:rPr>
          <w:szCs w:val="24"/>
        </w:rPr>
        <w:t xml:space="preserve">with comparative health outcomes </w:t>
      </w:r>
      <w:r w:rsidR="00552B3D" w:rsidRPr="002C3EC9">
        <w:rPr>
          <w:szCs w:val="24"/>
        </w:rPr>
        <w:t xml:space="preserve">at the population level </w:t>
      </w:r>
      <w:r w:rsidRPr="002C3EC9">
        <w:rPr>
          <w:szCs w:val="24"/>
        </w:rPr>
        <w:t xml:space="preserve">do not need to be </w:t>
      </w:r>
      <w:r w:rsidR="00257E10" w:rsidRPr="002C3EC9">
        <w:rPr>
          <w:szCs w:val="24"/>
        </w:rPr>
        <w:t>identical</w:t>
      </w:r>
      <w:r w:rsidRPr="002C3EC9">
        <w:rPr>
          <w:szCs w:val="24"/>
        </w:rPr>
        <w:t xml:space="preserve"> with regards to patient</w:t>
      </w:r>
      <w:r w:rsidR="00552B3D" w:rsidRPr="002C3EC9">
        <w:rPr>
          <w:szCs w:val="24"/>
        </w:rPr>
        <w:t>-specific considerations</w:t>
      </w:r>
      <w:r w:rsidRPr="002C3EC9">
        <w:rPr>
          <w:szCs w:val="24"/>
        </w:rPr>
        <w:t xml:space="preserve">, </w:t>
      </w:r>
      <w:r w:rsidR="00552B3D" w:rsidRPr="002C3EC9">
        <w:rPr>
          <w:szCs w:val="24"/>
        </w:rPr>
        <w:t xml:space="preserve">as </w:t>
      </w:r>
      <w:r w:rsidRPr="002C3EC9">
        <w:rPr>
          <w:szCs w:val="24"/>
        </w:rPr>
        <w:t xml:space="preserve">these factors are </w:t>
      </w:r>
      <w:r w:rsidR="00552B3D" w:rsidRPr="002C3EC9">
        <w:rPr>
          <w:szCs w:val="24"/>
        </w:rPr>
        <w:t xml:space="preserve">a clinical practice decision </w:t>
      </w:r>
      <w:r w:rsidRPr="002C3EC9">
        <w:rPr>
          <w:szCs w:val="24"/>
        </w:rPr>
        <w:t xml:space="preserve">taken into account </w:t>
      </w:r>
      <w:r w:rsidR="00486AA2" w:rsidRPr="002C3EC9">
        <w:rPr>
          <w:szCs w:val="24"/>
        </w:rPr>
        <w:t>wh</w:t>
      </w:r>
      <w:r w:rsidRPr="002C3EC9">
        <w:rPr>
          <w:szCs w:val="24"/>
        </w:rPr>
        <w:t xml:space="preserve">en </w:t>
      </w:r>
      <w:r w:rsidR="00552B3D" w:rsidRPr="002C3EC9">
        <w:rPr>
          <w:szCs w:val="24"/>
        </w:rPr>
        <w:t>selecting</w:t>
      </w:r>
      <w:r w:rsidR="008B1C6D" w:rsidRPr="002C3EC9">
        <w:rPr>
          <w:szCs w:val="24"/>
        </w:rPr>
        <w:t xml:space="preserve"> </w:t>
      </w:r>
      <w:r w:rsidRPr="002C3EC9">
        <w:rPr>
          <w:szCs w:val="24"/>
        </w:rPr>
        <w:t>the appropriate treatment for an individual patient. The PBAC</w:t>
      </w:r>
      <w:r w:rsidR="009C70ED" w:rsidRPr="002C3EC9">
        <w:rPr>
          <w:szCs w:val="24"/>
        </w:rPr>
        <w:t xml:space="preserve"> considered </w:t>
      </w:r>
      <w:r w:rsidR="00552B3D" w:rsidRPr="002C3EC9">
        <w:rPr>
          <w:szCs w:val="24"/>
        </w:rPr>
        <w:t xml:space="preserve">that </w:t>
      </w:r>
      <w:r w:rsidR="009C70ED" w:rsidRPr="002C3EC9">
        <w:rPr>
          <w:szCs w:val="24"/>
        </w:rPr>
        <w:t>it was likely that</w:t>
      </w:r>
      <w:r w:rsidR="00552B3D" w:rsidRPr="002C3EC9">
        <w:rPr>
          <w:szCs w:val="24"/>
        </w:rPr>
        <w:t>,</w:t>
      </w:r>
      <w:r w:rsidR="009C70ED" w:rsidRPr="002C3EC9">
        <w:rPr>
          <w:szCs w:val="24"/>
        </w:rPr>
        <w:t xml:space="preserve"> for some patients</w:t>
      </w:r>
      <w:r w:rsidR="00552B3D" w:rsidRPr="002C3EC9">
        <w:rPr>
          <w:szCs w:val="24"/>
        </w:rPr>
        <w:t>,</w:t>
      </w:r>
      <w:r w:rsidR="009C70ED" w:rsidRPr="002C3EC9">
        <w:rPr>
          <w:szCs w:val="24"/>
        </w:rPr>
        <w:t xml:space="preserve"> sofosbuvir with velpatasvir would be the preferred treatment because of a particular combination of patient genotype, intolerance to other therapies, potential drug interactions, contraindications and patient baseline characteristics such as decompensated liver disease or renal function, however these factors were considered on a patient-by-patient basis, rather than</w:t>
      </w:r>
      <w:r w:rsidR="00486AA2" w:rsidRPr="002C3EC9">
        <w:rPr>
          <w:szCs w:val="24"/>
        </w:rPr>
        <w:t xml:space="preserve"> at</w:t>
      </w:r>
      <w:r w:rsidR="009C70ED" w:rsidRPr="002C3EC9">
        <w:rPr>
          <w:szCs w:val="24"/>
        </w:rPr>
        <w:t xml:space="preserve"> the broader</w:t>
      </w:r>
      <w:r w:rsidR="00486AA2" w:rsidRPr="002C3EC9">
        <w:rPr>
          <w:szCs w:val="24"/>
        </w:rPr>
        <w:t xml:space="preserve"> CHC</w:t>
      </w:r>
      <w:r w:rsidR="009C70ED" w:rsidRPr="002C3EC9">
        <w:rPr>
          <w:szCs w:val="24"/>
        </w:rPr>
        <w:t xml:space="preserve"> population</w:t>
      </w:r>
      <w:r w:rsidR="00552B3D" w:rsidRPr="002C3EC9">
        <w:rPr>
          <w:szCs w:val="24"/>
        </w:rPr>
        <w:t xml:space="preserve"> level</w:t>
      </w:r>
      <w:r w:rsidR="009C70ED" w:rsidRPr="002C3EC9">
        <w:rPr>
          <w:szCs w:val="24"/>
        </w:rPr>
        <w:t>.</w:t>
      </w:r>
    </w:p>
    <w:p w:rsidR="00096675" w:rsidRPr="00F943B1" w:rsidRDefault="00096675" w:rsidP="00096675">
      <w:pPr>
        <w:rPr>
          <w:rFonts w:asciiTheme="minorHAnsi" w:hAnsiTheme="minorHAnsi"/>
          <w:b/>
          <w:bCs/>
          <w:sz w:val="22"/>
          <w:szCs w:val="22"/>
          <w:lang w:val="en-GB"/>
        </w:rPr>
      </w:pPr>
    </w:p>
    <w:p w:rsidR="002E0F10" w:rsidRDefault="00096675" w:rsidP="0033403B">
      <w:pPr>
        <w:outlineLvl w:val="1"/>
        <w:rPr>
          <w:rFonts w:asciiTheme="minorHAnsi" w:hAnsiTheme="minorHAnsi"/>
          <w:lang w:val="en-GB"/>
        </w:rPr>
      </w:pPr>
      <w:r w:rsidRPr="002E0F10">
        <w:rPr>
          <w:rFonts w:asciiTheme="minorHAnsi" w:hAnsiTheme="minorHAnsi"/>
          <w:b/>
          <w:lang w:val="en-GB"/>
        </w:rPr>
        <w:t>Outcome:</w:t>
      </w:r>
      <w:r w:rsidR="0033403B">
        <w:rPr>
          <w:rFonts w:asciiTheme="minorHAnsi" w:hAnsiTheme="minorHAnsi"/>
          <w:lang w:val="en-GB"/>
        </w:rPr>
        <w:br/>
        <w:t>Rejected</w:t>
      </w:r>
    </w:p>
    <w:p w:rsidR="002C3EC9" w:rsidRDefault="002C3EC9" w:rsidP="00BB23EA">
      <w:pPr>
        <w:rPr>
          <w:rFonts w:asciiTheme="minorHAnsi" w:hAnsiTheme="minorHAnsi"/>
          <w:lang w:val="en-GB"/>
        </w:rPr>
      </w:pPr>
    </w:p>
    <w:p w:rsidR="00A21942" w:rsidRPr="00A21942" w:rsidRDefault="00A21942" w:rsidP="00A21942">
      <w:pPr>
        <w:pStyle w:val="PBACHeading1"/>
        <w:rPr>
          <w:szCs w:val="32"/>
        </w:rPr>
      </w:pPr>
      <w:r w:rsidRPr="006C2DAA">
        <w:rPr>
          <w:szCs w:val="32"/>
        </w:rPr>
        <w:t>Context for Decision</w:t>
      </w:r>
    </w:p>
    <w:p w:rsidR="00A21942" w:rsidRPr="00440A84" w:rsidRDefault="00A21942" w:rsidP="00A21942">
      <w:pPr>
        <w:ind w:left="426"/>
        <w:jc w:val="both"/>
        <w:rPr>
          <w:rFonts w:asciiTheme="minorHAnsi" w:hAnsiTheme="minorHAnsi" w:cs="Arial"/>
        </w:rPr>
      </w:pPr>
    </w:p>
    <w:p w:rsidR="00A21942" w:rsidRPr="00440A84" w:rsidRDefault="00A21942" w:rsidP="00A21942">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21942" w:rsidRPr="00440A84" w:rsidRDefault="00A21942" w:rsidP="00A21942">
      <w:pPr>
        <w:ind w:left="426"/>
        <w:jc w:val="both"/>
        <w:rPr>
          <w:rFonts w:asciiTheme="minorHAnsi" w:hAnsiTheme="minorHAnsi" w:cs="Arial"/>
        </w:rPr>
      </w:pPr>
    </w:p>
    <w:p w:rsidR="00A21942" w:rsidRPr="00A21942" w:rsidRDefault="00A21942" w:rsidP="00A21942">
      <w:pPr>
        <w:pStyle w:val="PBACHeading1"/>
        <w:rPr>
          <w:szCs w:val="32"/>
        </w:rPr>
      </w:pPr>
      <w:r w:rsidRPr="006C2DAA">
        <w:rPr>
          <w:szCs w:val="32"/>
        </w:rPr>
        <w:t>Sponsor’s Comment</w:t>
      </w:r>
    </w:p>
    <w:p w:rsidR="00A21942" w:rsidRPr="00440A84" w:rsidRDefault="00A21942" w:rsidP="00A21942">
      <w:pPr>
        <w:ind w:left="426"/>
        <w:jc w:val="both"/>
        <w:rPr>
          <w:rFonts w:asciiTheme="minorHAnsi" w:hAnsiTheme="minorHAnsi" w:cs="Arial"/>
          <w:bCs/>
          <w:highlight w:val="yellow"/>
          <w:lang w:val="en-GB"/>
        </w:rPr>
      </w:pPr>
    </w:p>
    <w:p w:rsidR="00A21942" w:rsidRPr="00440A84" w:rsidRDefault="002F69EA" w:rsidP="00A21942">
      <w:pPr>
        <w:spacing w:after="120"/>
        <w:jc w:val="both"/>
        <w:rPr>
          <w:rFonts w:asciiTheme="minorHAnsi" w:hAnsiTheme="minorHAnsi" w:cs="Arial"/>
          <w:bCs/>
        </w:rPr>
      </w:pPr>
      <w:r w:rsidRPr="002F69EA">
        <w:rPr>
          <w:rFonts w:asciiTheme="minorHAnsi" w:hAnsiTheme="minorHAnsi" w:cs="Arial"/>
          <w:bCs/>
        </w:rPr>
        <w:t>The submission sought to understand on what evidence the PBAC made the original determination and to request that the determination be reconsidered based on information provided in the minor submission. Gilead remains unclear as to the evidentiary basis and criteria on which this determination was been made. Gilead maintains that the determination is not supportable on all the evidence</w:t>
      </w:r>
      <w:r w:rsidR="00914FCA">
        <w:rPr>
          <w:rFonts w:asciiTheme="minorHAnsi" w:hAnsiTheme="minorHAnsi" w:cs="Arial"/>
          <w:bCs/>
        </w:rPr>
        <w:t>.</w:t>
      </w:r>
    </w:p>
    <w:p w:rsidR="00A21942" w:rsidRPr="0033403B" w:rsidRDefault="00A21942" w:rsidP="00A21942">
      <w:pPr>
        <w:rPr>
          <w:rFonts w:asciiTheme="minorHAnsi" w:hAnsiTheme="minorHAnsi"/>
          <w:bCs/>
          <w:lang w:val="en-GB"/>
        </w:rPr>
      </w:pPr>
    </w:p>
    <w:sectPr w:rsidR="00A21942" w:rsidRPr="0033403B" w:rsidSect="00D90A80">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3D" w:rsidRDefault="00191E3D">
      <w:r>
        <w:separator/>
      </w:r>
    </w:p>
    <w:p w:rsidR="00191E3D" w:rsidRDefault="00191E3D"/>
  </w:endnote>
  <w:endnote w:type="continuationSeparator" w:id="0">
    <w:p w:rsidR="00191E3D" w:rsidRDefault="00191E3D">
      <w:r>
        <w:continuationSeparator/>
      </w:r>
    </w:p>
    <w:p w:rsidR="00191E3D" w:rsidRDefault="00191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D0530" w:rsidTr="005A3173">
      <w:trPr>
        <w:trHeight w:val="151"/>
      </w:trPr>
      <w:tc>
        <w:tcPr>
          <w:tcW w:w="2250" w:type="pct"/>
          <w:tcBorders>
            <w:top w:val="nil"/>
            <w:left w:val="nil"/>
            <w:bottom w:val="single" w:sz="4" w:space="0" w:color="4F81BD"/>
            <w:right w:val="nil"/>
          </w:tcBorders>
        </w:tcPr>
        <w:p w:rsidR="00CD0530" w:rsidRPr="005A3173" w:rsidRDefault="00CD053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D0530" w:rsidRPr="005A3173" w:rsidRDefault="00CD053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0530" w:rsidRPr="005A3173" w:rsidRDefault="00CD0530" w:rsidP="005A3173">
          <w:pPr>
            <w:pStyle w:val="Header"/>
            <w:spacing w:line="276" w:lineRule="auto"/>
            <w:rPr>
              <w:rFonts w:ascii="Calibri" w:eastAsia="MS Gothic" w:hAnsi="Calibri"/>
              <w:b/>
              <w:bCs/>
              <w:color w:val="4F81BD"/>
            </w:rPr>
          </w:pPr>
        </w:p>
      </w:tc>
    </w:tr>
    <w:tr w:rsidR="00CD0530" w:rsidTr="005A3173">
      <w:trPr>
        <w:trHeight w:val="150"/>
      </w:trPr>
      <w:tc>
        <w:tcPr>
          <w:tcW w:w="2250" w:type="pct"/>
          <w:tcBorders>
            <w:top w:val="single" w:sz="4" w:space="0" w:color="4F81BD"/>
            <w:left w:val="nil"/>
            <w:bottom w:val="nil"/>
            <w:right w:val="nil"/>
          </w:tcBorders>
        </w:tcPr>
        <w:p w:rsidR="00CD0530" w:rsidRPr="005A3173" w:rsidRDefault="00CD0530" w:rsidP="005A3173">
          <w:pPr>
            <w:pStyle w:val="Header"/>
            <w:spacing w:line="276" w:lineRule="auto"/>
            <w:rPr>
              <w:rFonts w:ascii="Calibri" w:eastAsia="MS Gothic" w:hAnsi="Calibri"/>
              <w:b/>
              <w:bCs/>
              <w:color w:val="4F81BD"/>
            </w:rPr>
          </w:pPr>
        </w:p>
      </w:tc>
      <w:tc>
        <w:tcPr>
          <w:tcW w:w="0" w:type="auto"/>
          <w:vMerge/>
          <w:vAlign w:val="center"/>
          <w:hideMark/>
        </w:tcPr>
        <w:p w:rsidR="00CD0530" w:rsidRPr="005A3173" w:rsidRDefault="00CD0530" w:rsidP="005A3173">
          <w:pPr>
            <w:rPr>
              <w:rFonts w:ascii="Calibri" w:hAnsi="Calibri"/>
              <w:color w:val="365F91"/>
              <w:sz w:val="22"/>
              <w:szCs w:val="22"/>
            </w:rPr>
          </w:pPr>
        </w:p>
      </w:tc>
      <w:tc>
        <w:tcPr>
          <w:tcW w:w="2250" w:type="pct"/>
          <w:tcBorders>
            <w:top w:val="single" w:sz="4" w:space="0" w:color="4F81BD"/>
            <w:left w:val="nil"/>
            <w:bottom w:val="nil"/>
            <w:right w:val="nil"/>
          </w:tcBorders>
        </w:tcPr>
        <w:p w:rsidR="00CD0530" w:rsidRPr="005A3173" w:rsidRDefault="00CD0530" w:rsidP="005A3173">
          <w:pPr>
            <w:pStyle w:val="Header"/>
            <w:spacing w:line="276" w:lineRule="auto"/>
            <w:rPr>
              <w:rFonts w:ascii="Calibri" w:eastAsia="MS Gothic" w:hAnsi="Calibri"/>
              <w:b/>
              <w:bCs/>
              <w:color w:val="4F81BD"/>
            </w:rPr>
          </w:pPr>
        </w:p>
      </w:tc>
    </w:tr>
  </w:tbl>
  <w:p w:rsidR="00CD0530" w:rsidRDefault="00CD053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0530" w:rsidRDefault="00CD0530">
    <w:pPr>
      <w:pStyle w:val="Footer"/>
    </w:pPr>
  </w:p>
  <w:p w:rsidR="00CD0530" w:rsidRDefault="00CD05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napToGrid w:val="0"/>
        <w:sz w:val="22"/>
        <w:szCs w:val="20"/>
        <w:lang w:eastAsia="en-US"/>
      </w:rPr>
      <w:id w:val="-1993016915"/>
      <w:docPartObj>
        <w:docPartGallery w:val="Page Numbers (Bottom of Page)"/>
        <w:docPartUnique/>
      </w:docPartObj>
    </w:sdtPr>
    <w:sdtEndPr>
      <w:rPr>
        <w:noProof/>
        <w:sz w:val="20"/>
      </w:rPr>
    </w:sdtEndPr>
    <w:sdtContent>
      <w:p w:rsidR="00CD0530" w:rsidRPr="003F2AA6" w:rsidRDefault="00CD0530" w:rsidP="003F2AA6">
        <w:pPr>
          <w:widowControl w:val="0"/>
          <w:tabs>
            <w:tab w:val="center" w:pos="4513"/>
            <w:tab w:val="right" w:pos="9026"/>
          </w:tabs>
          <w:ind w:left="360"/>
          <w:jc w:val="center"/>
          <w:rPr>
            <w:rFonts w:ascii="Arial" w:hAnsi="Arial" w:cs="Arial"/>
            <w:snapToGrid w:val="0"/>
            <w:sz w:val="20"/>
            <w:szCs w:val="20"/>
            <w:lang w:eastAsia="en-US"/>
          </w:rPr>
        </w:pPr>
      </w:p>
      <w:p w:rsidR="00CD0530" w:rsidRPr="003F2AA6" w:rsidRDefault="00CD0530" w:rsidP="003F2AA6">
        <w:pPr>
          <w:widowControl w:val="0"/>
          <w:tabs>
            <w:tab w:val="center" w:pos="4513"/>
            <w:tab w:val="right" w:pos="9026"/>
          </w:tabs>
          <w:ind w:left="360"/>
          <w:jc w:val="center"/>
          <w:rPr>
            <w:rFonts w:ascii="Arial" w:hAnsi="Arial" w:cs="Arial"/>
            <w:noProof/>
            <w:snapToGrid w:val="0"/>
            <w:sz w:val="20"/>
            <w:szCs w:val="20"/>
            <w:lang w:eastAsia="en-US"/>
          </w:rPr>
        </w:pPr>
        <w:r w:rsidRPr="003F2AA6">
          <w:rPr>
            <w:rFonts w:ascii="Arial" w:hAnsi="Arial" w:cs="Arial"/>
            <w:snapToGrid w:val="0"/>
            <w:sz w:val="20"/>
            <w:szCs w:val="20"/>
            <w:lang w:eastAsia="en-US"/>
          </w:rPr>
          <w:fldChar w:fldCharType="begin"/>
        </w:r>
        <w:r w:rsidRPr="003F2AA6">
          <w:rPr>
            <w:rFonts w:ascii="Arial" w:hAnsi="Arial" w:cs="Arial"/>
            <w:snapToGrid w:val="0"/>
            <w:sz w:val="20"/>
            <w:szCs w:val="20"/>
            <w:lang w:eastAsia="en-US"/>
          </w:rPr>
          <w:instrText xml:space="preserve"> PAGE   \* MERGEFORMAT </w:instrText>
        </w:r>
        <w:r w:rsidRPr="003F2AA6">
          <w:rPr>
            <w:rFonts w:ascii="Arial" w:hAnsi="Arial" w:cs="Arial"/>
            <w:snapToGrid w:val="0"/>
            <w:sz w:val="20"/>
            <w:szCs w:val="20"/>
            <w:lang w:eastAsia="en-US"/>
          </w:rPr>
          <w:fldChar w:fldCharType="separate"/>
        </w:r>
        <w:r w:rsidR="00191E3D">
          <w:rPr>
            <w:rFonts w:ascii="Arial" w:hAnsi="Arial" w:cs="Arial"/>
            <w:noProof/>
            <w:snapToGrid w:val="0"/>
            <w:sz w:val="20"/>
            <w:szCs w:val="20"/>
            <w:lang w:eastAsia="en-US"/>
          </w:rPr>
          <w:t>1</w:t>
        </w:r>
        <w:r w:rsidRPr="003F2AA6">
          <w:rPr>
            <w:rFonts w:ascii="Arial" w:hAnsi="Arial" w:cs="Arial"/>
            <w:noProof/>
            <w:snapToGrid w:val="0"/>
            <w:sz w:val="20"/>
            <w:szCs w:val="20"/>
            <w:lang w:eastAsia="en-US"/>
          </w:rPr>
          <w:fldChar w:fldCharType="end"/>
        </w:r>
      </w:p>
    </w:sdtContent>
  </w:sdt>
  <w:p w:rsidR="00CD0530" w:rsidRPr="003F2AA6" w:rsidRDefault="00CD0530" w:rsidP="003F2A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D0530" w:rsidTr="005A3173">
      <w:trPr>
        <w:trHeight w:val="151"/>
      </w:trPr>
      <w:tc>
        <w:tcPr>
          <w:tcW w:w="2250" w:type="pct"/>
          <w:tcBorders>
            <w:top w:val="nil"/>
            <w:left w:val="nil"/>
            <w:bottom w:val="single" w:sz="4" w:space="0" w:color="4F81BD"/>
            <w:right w:val="nil"/>
          </w:tcBorders>
        </w:tcPr>
        <w:p w:rsidR="00CD0530" w:rsidRPr="005A3173" w:rsidRDefault="00CD053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D0530" w:rsidRPr="005A3173" w:rsidRDefault="00CD053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0530" w:rsidRPr="005A3173" w:rsidRDefault="00CD0530" w:rsidP="005A3173">
          <w:pPr>
            <w:pStyle w:val="Header"/>
            <w:spacing w:line="276" w:lineRule="auto"/>
            <w:rPr>
              <w:rFonts w:ascii="Calibri" w:eastAsia="MS Gothic" w:hAnsi="Calibri"/>
              <w:b/>
              <w:bCs/>
              <w:color w:val="4F81BD"/>
            </w:rPr>
          </w:pPr>
        </w:p>
      </w:tc>
    </w:tr>
    <w:tr w:rsidR="00CD0530" w:rsidTr="005A3173">
      <w:trPr>
        <w:trHeight w:val="150"/>
      </w:trPr>
      <w:tc>
        <w:tcPr>
          <w:tcW w:w="2250" w:type="pct"/>
          <w:tcBorders>
            <w:top w:val="single" w:sz="4" w:space="0" w:color="4F81BD"/>
            <w:left w:val="nil"/>
            <w:bottom w:val="nil"/>
            <w:right w:val="nil"/>
          </w:tcBorders>
        </w:tcPr>
        <w:p w:rsidR="00CD0530" w:rsidRPr="005A3173" w:rsidRDefault="00CD0530" w:rsidP="005A3173">
          <w:pPr>
            <w:pStyle w:val="Header"/>
            <w:spacing w:line="276" w:lineRule="auto"/>
            <w:rPr>
              <w:rFonts w:ascii="Calibri" w:eastAsia="MS Gothic" w:hAnsi="Calibri"/>
              <w:b/>
              <w:bCs/>
              <w:color w:val="4F81BD"/>
            </w:rPr>
          </w:pPr>
        </w:p>
      </w:tc>
      <w:tc>
        <w:tcPr>
          <w:tcW w:w="0" w:type="auto"/>
          <w:vMerge/>
          <w:vAlign w:val="center"/>
          <w:hideMark/>
        </w:tcPr>
        <w:p w:rsidR="00CD0530" w:rsidRPr="005A3173" w:rsidRDefault="00CD0530" w:rsidP="005A3173">
          <w:pPr>
            <w:rPr>
              <w:rFonts w:ascii="Calibri" w:hAnsi="Calibri"/>
              <w:color w:val="365F91"/>
              <w:sz w:val="22"/>
              <w:szCs w:val="22"/>
            </w:rPr>
          </w:pPr>
        </w:p>
      </w:tc>
      <w:tc>
        <w:tcPr>
          <w:tcW w:w="2250" w:type="pct"/>
          <w:tcBorders>
            <w:top w:val="single" w:sz="4" w:space="0" w:color="4F81BD"/>
            <w:left w:val="nil"/>
            <w:bottom w:val="nil"/>
            <w:right w:val="nil"/>
          </w:tcBorders>
        </w:tcPr>
        <w:p w:rsidR="00CD0530" w:rsidRPr="005A3173" w:rsidRDefault="00CD053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D0530" w:rsidTr="005A3173">
      <w:trPr>
        <w:trHeight w:val="151"/>
      </w:trPr>
      <w:tc>
        <w:tcPr>
          <w:tcW w:w="2250" w:type="pct"/>
          <w:tcBorders>
            <w:top w:val="nil"/>
            <w:left w:val="nil"/>
            <w:bottom w:val="single" w:sz="4" w:space="0" w:color="4F81BD"/>
            <w:right w:val="nil"/>
          </w:tcBorders>
        </w:tcPr>
        <w:p w:rsidR="00CD0530" w:rsidRPr="005A3173" w:rsidRDefault="00CD053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D0530" w:rsidRPr="005A3173" w:rsidRDefault="00CD053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0530" w:rsidRPr="005A3173" w:rsidRDefault="00CD0530" w:rsidP="005A3173">
          <w:pPr>
            <w:pStyle w:val="Header"/>
            <w:spacing w:line="276" w:lineRule="auto"/>
            <w:rPr>
              <w:rFonts w:ascii="Calibri" w:eastAsia="MS Gothic" w:hAnsi="Calibri"/>
              <w:b/>
              <w:bCs/>
              <w:color w:val="4F81BD"/>
            </w:rPr>
          </w:pPr>
        </w:p>
      </w:tc>
    </w:tr>
    <w:tr w:rsidR="00CD0530" w:rsidTr="005A3173">
      <w:trPr>
        <w:trHeight w:val="150"/>
      </w:trPr>
      <w:tc>
        <w:tcPr>
          <w:tcW w:w="2250" w:type="pct"/>
          <w:tcBorders>
            <w:top w:val="single" w:sz="4" w:space="0" w:color="4F81BD"/>
            <w:left w:val="nil"/>
            <w:bottom w:val="nil"/>
            <w:right w:val="nil"/>
          </w:tcBorders>
        </w:tcPr>
        <w:p w:rsidR="00CD0530" w:rsidRPr="005A3173" w:rsidRDefault="00CD0530" w:rsidP="005A3173">
          <w:pPr>
            <w:pStyle w:val="Header"/>
            <w:spacing w:line="276" w:lineRule="auto"/>
            <w:rPr>
              <w:rFonts w:ascii="Calibri" w:eastAsia="MS Gothic" w:hAnsi="Calibri"/>
              <w:b/>
              <w:bCs/>
              <w:color w:val="4F81BD"/>
            </w:rPr>
          </w:pPr>
        </w:p>
      </w:tc>
      <w:tc>
        <w:tcPr>
          <w:tcW w:w="0" w:type="auto"/>
          <w:vMerge/>
          <w:vAlign w:val="center"/>
          <w:hideMark/>
        </w:tcPr>
        <w:p w:rsidR="00CD0530" w:rsidRPr="005A3173" w:rsidRDefault="00CD0530" w:rsidP="005A3173">
          <w:pPr>
            <w:rPr>
              <w:rFonts w:ascii="Calibri" w:hAnsi="Calibri"/>
              <w:color w:val="365F91"/>
              <w:sz w:val="22"/>
              <w:szCs w:val="22"/>
            </w:rPr>
          </w:pPr>
        </w:p>
      </w:tc>
      <w:tc>
        <w:tcPr>
          <w:tcW w:w="2250" w:type="pct"/>
          <w:tcBorders>
            <w:top w:val="single" w:sz="4" w:space="0" w:color="4F81BD"/>
            <w:left w:val="nil"/>
            <w:bottom w:val="nil"/>
            <w:right w:val="nil"/>
          </w:tcBorders>
        </w:tcPr>
        <w:p w:rsidR="00CD0530" w:rsidRPr="005A3173" w:rsidRDefault="00CD0530" w:rsidP="005A3173">
          <w:pPr>
            <w:pStyle w:val="Header"/>
            <w:spacing w:line="276" w:lineRule="auto"/>
            <w:rPr>
              <w:rFonts w:ascii="Calibri" w:eastAsia="MS Gothic" w:hAnsi="Calibri"/>
              <w:b/>
              <w:bCs/>
              <w:color w:val="4F81BD"/>
            </w:rPr>
          </w:pPr>
        </w:p>
      </w:tc>
    </w:tr>
  </w:tbl>
  <w:p w:rsidR="00CD0530" w:rsidRPr="007C0F57" w:rsidRDefault="00CD053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D0530" w:rsidRPr="007C0F57" w:rsidRDefault="00CD0530" w:rsidP="007C0F57">
    <w:pPr>
      <w:pStyle w:val="Footer"/>
      <w:jc w:val="center"/>
      <w:rPr>
        <w:b/>
        <w:i/>
        <w:sz w:val="20"/>
        <w:szCs w:val="20"/>
      </w:rPr>
    </w:pPr>
    <w:r w:rsidRPr="007C0F57">
      <w:rPr>
        <w:b/>
        <w:i/>
        <w:sz w:val="20"/>
        <w:szCs w:val="20"/>
      </w:rPr>
      <w:t>Commercial-in-Confidence</w:t>
    </w:r>
  </w:p>
  <w:p w:rsidR="00CD0530" w:rsidRDefault="00CD05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3D" w:rsidRDefault="00191E3D">
      <w:r>
        <w:separator/>
      </w:r>
    </w:p>
    <w:p w:rsidR="00191E3D" w:rsidRDefault="00191E3D"/>
  </w:footnote>
  <w:footnote w:type="continuationSeparator" w:id="0">
    <w:p w:rsidR="00191E3D" w:rsidRDefault="00191E3D">
      <w:r>
        <w:continuationSeparator/>
      </w:r>
    </w:p>
    <w:p w:rsidR="00191E3D" w:rsidRDefault="00191E3D"/>
  </w:footnote>
  <w:footnote w:id="1">
    <w:p w:rsidR="00CD0530" w:rsidRPr="00354A22" w:rsidRDefault="00CD0530">
      <w:pPr>
        <w:pStyle w:val="FootnoteText"/>
        <w:rPr>
          <w:rFonts w:ascii="Arial Narrow" w:hAnsi="Arial Narrow"/>
        </w:rPr>
      </w:pPr>
      <w:r w:rsidRPr="00354A22">
        <w:rPr>
          <w:rStyle w:val="FootnoteReference"/>
          <w:rFonts w:ascii="Arial Narrow" w:hAnsi="Arial Narrow"/>
        </w:rPr>
        <w:footnoteRef/>
      </w:r>
      <w:r w:rsidRPr="00354A22">
        <w:rPr>
          <w:rFonts w:ascii="Arial Narrow" w:hAnsi="Arial Narrow"/>
        </w:rPr>
        <w:t xml:space="preserve"> Sofosbuvir with velpatasvir PBAC November 2016 Public Summary Document, p 20 </w:t>
      </w:r>
    </w:p>
  </w:footnote>
  <w:footnote w:id="2">
    <w:p w:rsidR="00CD0530" w:rsidRDefault="00CD0530">
      <w:pPr>
        <w:pStyle w:val="FootnoteText"/>
      </w:pPr>
      <w:r w:rsidRPr="00354A22">
        <w:rPr>
          <w:rStyle w:val="FootnoteReference"/>
          <w:rFonts w:ascii="Arial Narrow" w:hAnsi="Arial Narrow"/>
        </w:rPr>
        <w:footnoteRef/>
      </w:r>
      <w:r w:rsidRPr="00354A22">
        <w:rPr>
          <w:rFonts w:ascii="Arial Narrow" w:hAnsi="Arial Narrow"/>
        </w:rPr>
        <w:t xml:space="preserve"> National Health Amendment (Pharmaceutical Benefits Scheme) Bill 2007 (Cth), Revised Explanatory Memorandum. Available from </w:t>
      </w:r>
      <w:hyperlink r:id="rId1" w:history="1">
        <w:r w:rsidRPr="00354A22">
          <w:rPr>
            <w:rStyle w:val="Hyperlink"/>
            <w:rFonts w:ascii="Arial Narrow" w:hAnsi="Arial Narrow"/>
          </w:rPr>
          <w:t>http://www.aph.gov.au/Parliamentary_Business/Bills_Legislation/Bills_Search_Results/Result?bId=r2801</w:t>
        </w:r>
      </w:hyperlink>
      <w:r>
        <w:t xml:space="preserve"> </w:t>
      </w:r>
    </w:p>
  </w:footnote>
  <w:footnote w:id="3">
    <w:p w:rsidR="00CD0530" w:rsidRPr="00354A22" w:rsidRDefault="00CD0530">
      <w:pPr>
        <w:pStyle w:val="FootnoteText"/>
        <w:rPr>
          <w:rFonts w:ascii="Arial Narrow" w:hAnsi="Arial Narrow"/>
        </w:rPr>
      </w:pPr>
      <w:r w:rsidRPr="00354A22">
        <w:rPr>
          <w:rStyle w:val="FootnoteReference"/>
          <w:rFonts w:ascii="Arial Narrow" w:hAnsi="Arial Narrow"/>
        </w:rPr>
        <w:footnoteRef/>
      </w:r>
      <w:r w:rsidRPr="00354A22">
        <w:rPr>
          <w:rFonts w:ascii="Arial Narrow" w:hAnsi="Arial Narrow"/>
        </w:rPr>
        <w:t xml:space="preserve"> Australian Department of Health (2010). </w:t>
      </w:r>
      <w:r w:rsidRPr="00420CB0">
        <w:rPr>
          <w:rFonts w:ascii="Arial Narrow" w:hAnsi="Arial Narrow"/>
        </w:rPr>
        <w:t>Submission to the Australian Government Senate Community Affairs References Committee Inquiry Into Consumer Access to Pharmaceutical Benefits.</w:t>
      </w:r>
      <w:r w:rsidRPr="00354A22">
        <w:rPr>
          <w:rFonts w:ascii="Arial Narrow" w:hAnsi="Arial Narrow"/>
        </w:rPr>
        <w:t xml:space="preserve"> Canberra;</w:t>
      </w:r>
      <w:r w:rsidRPr="00354A22">
        <w:rPr>
          <w:rFonts w:ascii="Arial Narrow" w:hAnsi="Arial Narrow"/>
          <w:i/>
        </w:rPr>
        <w:t xml:space="preserve"> </w:t>
      </w:r>
      <w:r w:rsidR="00A21942">
        <w:rPr>
          <w:rFonts w:ascii="Arial Narrow" w:hAnsi="Arial Narrow"/>
        </w:rPr>
        <w:t>p</w:t>
      </w:r>
      <w:r w:rsidRPr="00354A22">
        <w:rPr>
          <w:rFonts w:ascii="Arial Narrow" w:hAnsi="Arial Narrow"/>
        </w:rPr>
        <w:t>p 14-15</w:t>
      </w:r>
    </w:p>
  </w:footnote>
  <w:footnote w:id="4">
    <w:p w:rsidR="00CD0530" w:rsidRPr="006A7B20" w:rsidRDefault="00CD0530" w:rsidP="00033927">
      <w:pPr>
        <w:pStyle w:val="FootnoteText"/>
        <w:rPr>
          <w:rFonts w:ascii="Arial Narrow" w:hAnsi="Arial Narrow"/>
        </w:rPr>
      </w:pPr>
      <w:r>
        <w:rPr>
          <w:rStyle w:val="FootnoteReference"/>
        </w:rPr>
        <w:footnoteRef/>
      </w:r>
      <w:r>
        <w:t xml:space="preserve"> </w:t>
      </w:r>
      <w:r>
        <w:rPr>
          <w:rFonts w:ascii="Arial Narrow" w:hAnsi="Arial Narrow"/>
        </w:rPr>
        <w:t xml:space="preserve">Commonwealth Department of Health (2017). Strategic Agreement – Commonwealth of Australia and Medicines Australia Limited 2017, p. 16. Available on </w:t>
      </w:r>
      <w:hyperlink r:id="rId2" w:history="1">
        <w:r w:rsidRPr="006A7B20">
          <w:rPr>
            <w:rStyle w:val="Hyperlink"/>
            <w:rFonts w:ascii="Arial Narrow" w:hAnsi="Arial Narrow"/>
          </w:rPr>
          <w:t>Publication available on Department of Health Website</w:t>
        </w:r>
      </w:hyperlink>
      <w:r>
        <w:rPr>
          <w:rFonts w:ascii="Arial Narrow" w:hAnsi="Arial Narrow"/>
        </w:rPr>
        <w:t>.</w:t>
      </w:r>
    </w:p>
  </w:footnote>
  <w:footnote w:id="5">
    <w:p w:rsidR="00CD0530" w:rsidRPr="00354A22" w:rsidRDefault="00CD0530" w:rsidP="00246A50">
      <w:pPr>
        <w:pStyle w:val="FootnoteText"/>
        <w:rPr>
          <w:rFonts w:ascii="Arial Narrow" w:hAnsi="Arial Narrow"/>
        </w:rPr>
      </w:pPr>
      <w:r w:rsidRPr="00354A22">
        <w:rPr>
          <w:rStyle w:val="FootnoteReference"/>
          <w:rFonts w:ascii="Arial Narrow" w:hAnsi="Arial Narrow"/>
        </w:rPr>
        <w:footnoteRef/>
      </w:r>
      <w:r w:rsidRPr="00354A22">
        <w:rPr>
          <w:rFonts w:ascii="Arial Narrow" w:hAnsi="Arial Narrow"/>
        </w:rPr>
        <w:t xml:space="preserve"> Hepatitis C Virus Infection Consensus Statement Working Group. Australian recommendations for the management of hepatitis C virus infection: a consensus statement (January 2017), p 21. Melbourne: Gastroenterological Society of Australia,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D0530" w:rsidRPr="008E0D90" w:rsidTr="00A06225">
      <w:trPr>
        <w:trHeight w:val="151"/>
      </w:trPr>
      <w:tc>
        <w:tcPr>
          <w:tcW w:w="2389" w:type="pct"/>
          <w:tcBorders>
            <w:top w:val="nil"/>
            <w:left w:val="nil"/>
            <w:bottom w:val="single" w:sz="4" w:space="0" w:color="4F81BD"/>
            <w:right w:val="nil"/>
          </w:tcBorders>
        </w:tcPr>
        <w:p w:rsidR="00CD0530" w:rsidRPr="00A06225" w:rsidRDefault="00CD0530">
          <w:pPr>
            <w:pStyle w:val="Header"/>
            <w:spacing w:line="276" w:lineRule="auto"/>
            <w:rPr>
              <w:rFonts w:ascii="Cambria" w:eastAsia="MS Gothic" w:hAnsi="Cambria"/>
              <w:b/>
              <w:bCs/>
              <w:color w:val="4F81BD"/>
            </w:rPr>
          </w:pPr>
        </w:p>
      </w:tc>
      <w:tc>
        <w:tcPr>
          <w:tcW w:w="333" w:type="pct"/>
          <w:vMerge w:val="restart"/>
          <w:noWrap/>
          <w:vAlign w:val="center"/>
          <w:hideMark/>
        </w:tcPr>
        <w:p w:rsidR="00CD0530" w:rsidRPr="00A06225" w:rsidRDefault="00CD053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D0530" w:rsidRPr="00A06225" w:rsidRDefault="00CD0530">
          <w:pPr>
            <w:pStyle w:val="Header"/>
            <w:spacing w:line="276" w:lineRule="auto"/>
            <w:rPr>
              <w:rFonts w:ascii="Cambria" w:eastAsia="MS Gothic" w:hAnsi="Cambria"/>
              <w:b/>
              <w:bCs/>
              <w:color w:val="4F81BD"/>
            </w:rPr>
          </w:pPr>
        </w:p>
      </w:tc>
    </w:tr>
    <w:tr w:rsidR="00CD0530" w:rsidRPr="008E0D90" w:rsidTr="00A06225">
      <w:trPr>
        <w:trHeight w:val="150"/>
      </w:trPr>
      <w:tc>
        <w:tcPr>
          <w:tcW w:w="2389" w:type="pct"/>
          <w:tcBorders>
            <w:top w:val="single" w:sz="4" w:space="0" w:color="4F81BD"/>
            <w:left w:val="nil"/>
            <w:bottom w:val="nil"/>
            <w:right w:val="nil"/>
          </w:tcBorders>
        </w:tcPr>
        <w:p w:rsidR="00CD0530" w:rsidRPr="00A06225" w:rsidRDefault="00CD0530">
          <w:pPr>
            <w:pStyle w:val="Header"/>
            <w:spacing w:line="276" w:lineRule="auto"/>
            <w:rPr>
              <w:rFonts w:ascii="Cambria" w:eastAsia="MS Gothic" w:hAnsi="Cambria"/>
              <w:b/>
              <w:bCs/>
              <w:color w:val="4F81BD"/>
            </w:rPr>
          </w:pPr>
        </w:p>
      </w:tc>
      <w:tc>
        <w:tcPr>
          <w:tcW w:w="0" w:type="auto"/>
          <w:vMerge/>
          <w:vAlign w:val="center"/>
          <w:hideMark/>
        </w:tcPr>
        <w:p w:rsidR="00CD0530" w:rsidRPr="00A06225" w:rsidRDefault="00CD0530">
          <w:pPr>
            <w:rPr>
              <w:rFonts w:ascii="Cambria" w:hAnsi="Cambria"/>
              <w:color w:val="4F81BD"/>
              <w:sz w:val="22"/>
              <w:szCs w:val="22"/>
            </w:rPr>
          </w:pPr>
        </w:p>
      </w:tc>
      <w:tc>
        <w:tcPr>
          <w:tcW w:w="2278" w:type="pct"/>
          <w:tcBorders>
            <w:top w:val="single" w:sz="4" w:space="0" w:color="4F81BD"/>
            <w:left w:val="nil"/>
            <w:bottom w:val="nil"/>
            <w:right w:val="nil"/>
          </w:tcBorders>
        </w:tcPr>
        <w:p w:rsidR="00CD0530" w:rsidRPr="00A06225" w:rsidRDefault="00CD0530">
          <w:pPr>
            <w:pStyle w:val="Header"/>
            <w:spacing w:line="276" w:lineRule="auto"/>
            <w:rPr>
              <w:rFonts w:ascii="Cambria" w:eastAsia="MS Gothic" w:hAnsi="Cambria"/>
              <w:b/>
              <w:bCs/>
              <w:color w:val="4F81BD"/>
            </w:rPr>
          </w:pPr>
        </w:p>
      </w:tc>
    </w:tr>
  </w:tbl>
  <w:p w:rsidR="00CD0530" w:rsidRDefault="00CD0530">
    <w:pPr>
      <w:pStyle w:val="Header"/>
    </w:pPr>
  </w:p>
  <w:p w:rsidR="00CD0530" w:rsidRDefault="00CD05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530" w:rsidRPr="003F2AA6" w:rsidRDefault="00A21942" w:rsidP="003F2AA6">
    <w:pPr>
      <w:widowControl w:val="0"/>
      <w:tabs>
        <w:tab w:val="center" w:pos="4513"/>
        <w:tab w:val="right" w:pos="9026"/>
      </w:tabs>
      <w:ind w:left="360"/>
      <w:jc w:val="center"/>
      <w:rPr>
        <w:rFonts w:ascii="Arial" w:hAnsi="Arial" w:cs="Arial"/>
        <w:i/>
        <w:snapToGrid w:val="0"/>
        <w:color w:val="808080"/>
        <w:sz w:val="22"/>
        <w:szCs w:val="20"/>
        <w:lang w:eastAsia="en-US"/>
      </w:rPr>
    </w:pPr>
    <w:r>
      <w:rPr>
        <w:rFonts w:ascii="Arial" w:hAnsi="Arial" w:cs="Arial"/>
        <w:i/>
        <w:snapToGrid w:val="0"/>
        <w:color w:val="808080"/>
        <w:sz w:val="22"/>
        <w:szCs w:val="20"/>
        <w:lang w:eastAsia="en-US"/>
      </w:rPr>
      <w:t>Public Summary Document</w:t>
    </w:r>
    <w:r w:rsidR="00CD0530" w:rsidRPr="003F2AA6">
      <w:rPr>
        <w:rFonts w:ascii="Arial" w:hAnsi="Arial" w:cs="Arial"/>
        <w:i/>
        <w:snapToGrid w:val="0"/>
        <w:color w:val="808080"/>
        <w:sz w:val="22"/>
        <w:szCs w:val="20"/>
        <w:lang w:eastAsia="en-US"/>
      </w:rPr>
      <w:t xml:space="preserve"> – July 2017 PBAC Meeting</w:t>
    </w:r>
  </w:p>
  <w:p w:rsidR="00CD0530" w:rsidRPr="003F2AA6" w:rsidRDefault="00CD0530" w:rsidP="003F2AA6">
    <w:pPr>
      <w:widowControl w:val="0"/>
      <w:tabs>
        <w:tab w:val="center" w:pos="4513"/>
        <w:tab w:val="right" w:pos="9026"/>
      </w:tabs>
      <w:ind w:left="360"/>
      <w:jc w:val="center"/>
      <w:rPr>
        <w:rFonts w:ascii="Arial" w:hAnsi="Arial" w:cs="Arial"/>
        <w:i/>
        <w:snapToGrid w:val="0"/>
        <w:color w:val="808080"/>
        <w:sz w:val="22"/>
        <w:szCs w:val="20"/>
        <w:lang w:eastAsia="en-US"/>
      </w:rPr>
    </w:pPr>
  </w:p>
  <w:p w:rsidR="00CD0530" w:rsidRDefault="00CD0530"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E3D" w:rsidRDefault="00191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DE420E"/>
    <w:multiLevelType w:val="hybridMultilevel"/>
    <w:tmpl w:val="83F6F8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332F7E"/>
    <w:multiLevelType w:val="multilevel"/>
    <w:tmpl w:val="6FBC18DC"/>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84E6825"/>
    <w:multiLevelType w:val="multilevel"/>
    <w:tmpl w:val="CD4684C6"/>
    <w:lvl w:ilvl="0">
      <w:start w:val="1"/>
      <w:numFmt w:val="decimal"/>
      <w:lvlText w:val="%1"/>
      <w:lvlJc w:val="left"/>
      <w:pPr>
        <w:ind w:left="432" w:hanging="432"/>
      </w:pPr>
      <w:rPr>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CD4EB2"/>
    <w:multiLevelType w:val="multilevel"/>
    <w:tmpl w:val="6FBC18DC"/>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D72430C"/>
    <w:multiLevelType w:val="hybridMultilevel"/>
    <w:tmpl w:val="1C1497C0"/>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F007B0E"/>
    <w:multiLevelType w:val="hybridMultilevel"/>
    <w:tmpl w:val="249238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840F6D"/>
    <w:multiLevelType w:val="hybridMultilevel"/>
    <w:tmpl w:val="E6FAAC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784D033C"/>
    <w:multiLevelType w:val="multilevel"/>
    <w:tmpl w:val="0C58028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5"/>
  </w:num>
  <w:num w:numId="4">
    <w:abstractNumId w:val="16"/>
  </w:num>
  <w:num w:numId="5">
    <w:abstractNumId w:val="21"/>
  </w:num>
  <w:num w:numId="6">
    <w:abstractNumId w:val="7"/>
  </w:num>
  <w:num w:numId="7">
    <w:abstractNumId w:val="15"/>
  </w:num>
  <w:num w:numId="8">
    <w:abstractNumId w:val="3"/>
  </w:num>
  <w:num w:numId="9">
    <w:abstractNumId w:val="14"/>
  </w:num>
  <w:num w:numId="10">
    <w:abstractNumId w:val="12"/>
  </w:num>
  <w:num w:numId="11">
    <w:abstractNumId w:val="11"/>
  </w:num>
  <w:num w:numId="12">
    <w:abstractNumId w:val="1"/>
  </w:num>
  <w:num w:numId="13">
    <w:abstractNumId w:val="0"/>
  </w:num>
  <w:num w:numId="14">
    <w:abstractNumId w:val="21"/>
  </w:num>
  <w:num w:numId="15">
    <w:abstractNumId w:val="18"/>
  </w:num>
  <w:num w:numId="16">
    <w:abstractNumId w:val="20"/>
  </w:num>
  <w:num w:numId="17">
    <w:abstractNumId w:val="6"/>
  </w:num>
  <w:num w:numId="18">
    <w:abstractNumId w:val="17"/>
  </w:num>
  <w:num w:numId="19">
    <w:abstractNumId w:val="10"/>
  </w:num>
  <w:num w:numId="20">
    <w:abstractNumId w:val="21"/>
  </w:num>
  <w:num w:numId="21">
    <w:abstractNumId w:val="19"/>
  </w:num>
  <w:num w:numId="22">
    <w:abstractNumId w:val="4"/>
  </w:num>
  <w:num w:numId="23">
    <w:abstractNumId w:val="21"/>
  </w:num>
  <w:num w:numId="24">
    <w:abstractNumId w:val="21"/>
  </w:num>
  <w:num w:numId="25">
    <w:abstractNumId w:val="13"/>
  </w:num>
  <w:num w:numId="26">
    <w:abstractNumId w:val="8"/>
  </w:num>
  <w:num w:numId="27">
    <w:abstractNumId w:val="21"/>
  </w:num>
  <w:num w:numId="2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0613"/>
    <w:rsid w:val="0002464A"/>
    <w:rsid w:val="0003106B"/>
    <w:rsid w:val="00033927"/>
    <w:rsid w:val="000421A1"/>
    <w:rsid w:val="0004240E"/>
    <w:rsid w:val="00045E26"/>
    <w:rsid w:val="000514B5"/>
    <w:rsid w:val="00060E64"/>
    <w:rsid w:val="000624A3"/>
    <w:rsid w:val="00066755"/>
    <w:rsid w:val="00077143"/>
    <w:rsid w:val="00096675"/>
    <w:rsid w:val="000969AD"/>
    <w:rsid w:val="000B558D"/>
    <w:rsid w:val="000C6996"/>
    <w:rsid w:val="000D23BA"/>
    <w:rsid w:val="000E681E"/>
    <w:rsid w:val="000F4E6A"/>
    <w:rsid w:val="001042FC"/>
    <w:rsid w:val="001107BF"/>
    <w:rsid w:val="0012417C"/>
    <w:rsid w:val="00142395"/>
    <w:rsid w:val="00142714"/>
    <w:rsid w:val="001452ED"/>
    <w:rsid w:val="001830CE"/>
    <w:rsid w:val="0018643B"/>
    <w:rsid w:val="00191E3D"/>
    <w:rsid w:val="00193E79"/>
    <w:rsid w:val="00196307"/>
    <w:rsid w:val="001A33EA"/>
    <w:rsid w:val="001B017F"/>
    <w:rsid w:val="001B5129"/>
    <w:rsid w:val="001C1195"/>
    <w:rsid w:val="001D6299"/>
    <w:rsid w:val="001F0B72"/>
    <w:rsid w:val="001F35B8"/>
    <w:rsid w:val="00213CFB"/>
    <w:rsid w:val="00246A50"/>
    <w:rsid w:val="00257E10"/>
    <w:rsid w:val="0026124F"/>
    <w:rsid w:val="00271BA1"/>
    <w:rsid w:val="002762FA"/>
    <w:rsid w:val="00277505"/>
    <w:rsid w:val="0029458F"/>
    <w:rsid w:val="002A104C"/>
    <w:rsid w:val="002A4960"/>
    <w:rsid w:val="002B1AE6"/>
    <w:rsid w:val="002B30F8"/>
    <w:rsid w:val="002C212F"/>
    <w:rsid w:val="002C3EC9"/>
    <w:rsid w:val="002D14A4"/>
    <w:rsid w:val="002E0F10"/>
    <w:rsid w:val="002E3153"/>
    <w:rsid w:val="002E72CA"/>
    <w:rsid w:val="002F69EA"/>
    <w:rsid w:val="00300AD6"/>
    <w:rsid w:val="00312496"/>
    <w:rsid w:val="00312580"/>
    <w:rsid w:val="00320A65"/>
    <w:rsid w:val="00326E79"/>
    <w:rsid w:val="0033403B"/>
    <w:rsid w:val="003367EF"/>
    <w:rsid w:val="00341AE4"/>
    <w:rsid w:val="003459AA"/>
    <w:rsid w:val="00354A22"/>
    <w:rsid w:val="003872CF"/>
    <w:rsid w:val="0039782C"/>
    <w:rsid w:val="003A5B4A"/>
    <w:rsid w:val="003B23C5"/>
    <w:rsid w:val="003B2A75"/>
    <w:rsid w:val="003D4AC4"/>
    <w:rsid w:val="003D63B7"/>
    <w:rsid w:val="003E468B"/>
    <w:rsid w:val="003F2AA6"/>
    <w:rsid w:val="003F5C8C"/>
    <w:rsid w:val="00420CB0"/>
    <w:rsid w:val="004465BD"/>
    <w:rsid w:val="00466ADA"/>
    <w:rsid w:val="00476245"/>
    <w:rsid w:val="0048113C"/>
    <w:rsid w:val="00485940"/>
    <w:rsid w:val="00486AA2"/>
    <w:rsid w:val="004874F3"/>
    <w:rsid w:val="004A2484"/>
    <w:rsid w:val="004A5A85"/>
    <w:rsid w:val="004B5640"/>
    <w:rsid w:val="004C1BD7"/>
    <w:rsid w:val="004C691D"/>
    <w:rsid w:val="004E692D"/>
    <w:rsid w:val="00501554"/>
    <w:rsid w:val="00514CD7"/>
    <w:rsid w:val="005319B2"/>
    <w:rsid w:val="00532C74"/>
    <w:rsid w:val="00534E2E"/>
    <w:rsid w:val="005365B5"/>
    <w:rsid w:val="00544552"/>
    <w:rsid w:val="00552B3D"/>
    <w:rsid w:val="005627E2"/>
    <w:rsid w:val="0057136F"/>
    <w:rsid w:val="00581932"/>
    <w:rsid w:val="005963BB"/>
    <w:rsid w:val="00596B10"/>
    <w:rsid w:val="0059763D"/>
    <w:rsid w:val="005A3173"/>
    <w:rsid w:val="005A3223"/>
    <w:rsid w:val="005A3DA3"/>
    <w:rsid w:val="005A52C4"/>
    <w:rsid w:val="005D03AB"/>
    <w:rsid w:val="005D5017"/>
    <w:rsid w:val="005E083A"/>
    <w:rsid w:val="00601A91"/>
    <w:rsid w:val="00602BA3"/>
    <w:rsid w:val="00614159"/>
    <w:rsid w:val="00617C00"/>
    <w:rsid w:val="006263BF"/>
    <w:rsid w:val="0062748A"/>
    <w:rsid w:val="00630A2C"/>
    <w:rsid w:val="00650CD0"/>
    <w:rsid w:val="00651169"/>
    <w:rsid w:val="006524C3"/>
    <w:rsid w:val="00653D69"/>
    <w:rsid w:val="00670A76"/>
    <w:rsid w:val="006711AA"/>
    <w:rsid w:val="00672B57"/>
    <w:rsid w:val="00675622"/>
    <w:rsid w:val="006906DB"/>
    <w:rsid w:val="006A12A5"/>
    <w:rsid w:val="006A43CC"/>
    <w:rsid w:val="006A7B20"/>
    <w:rsid w:val="006B0D94"/>
    <w:rsid w:val="006B485D"/>
    <w:rsid w:val="006C708E"/>
    <w:rsid w:val="006D6EC7"/>
    <w:rsid w:val="006E09E1"/>
    <w:rsid w:val="006F0F9E"/>
    <w:rsid w:val="006F5125"/>
    <w:rsid w:val="007174BB"/>
    <w:rsid w:val="0076420C"/>
    <w:rsid w:val="007753C2"/>
    <w:rsid w:val="007838B8"/>
    <w:rsid w:val="007905A9"/>
    <w:rsid w:val="007C0F57"/>
    <w:rsid w:val="007C40B6"/>
    <w:rsid w:val="007C729F"/>
    <w:rsid w:val="007D1D8E"/>
    <w:rsid w:val="007E1D28"/>
    <w:rsid w:val="007E66B1"/>
    <w:rsid w:val="007F2641"/>
    <w:rsid w:val="007F2C05"/>
    <w:rsid w:val="007F7C36"/>
    <w:rsid w:val="00806796"/>
    <w:rsid w:val="00806F9C"/>
    <w:rsid w:val="008151D6"/>
    <w:rsid w:val="00815E18"/>
    <w:rsid w:val="00826F6D"/>
    <w:rsid w:val="00856DDD"/>
    <w:rsid w:val="00863E68"/>
    <w:rsid w:val="00864A7A"/>
    <w:rsid w:val="00882085"/>
    <w:rsid w:val="00883188"/>
    <w:rsid w:val="00897D58"/>
    <w:rsid w:val="008A1956"/>
    <w:rsid w:val="008A4937"/>
    <w:rsid w:val="008A50F1"/>
    <w:rsid w:val="008B1C6D"/>
    <w:rsid w:val="008D1B5C"/>
    <w:rsid w:val="008D3C82"/>
    <w:rsid w:val="008D447E"/>
    <w:rsid w:val="008D7A41"/>
    <w:rsid w:val="008E3680"/>
    <w:rsid w:val="008E5870"/>
    <w:rsid w:val="008F1434"/>
    <w:rsid w:val="008F7355"/>
    <w:rsid w:val="009067B7"/>
    <w:rsid w:val="00914768"/>
    <w:rsid w:val="00914FCA"/>
    <w:rsid w:val="009151AA"/>
    <w:rsid w:val="00930937"/>
    <w:rsid w:val="00933E6C"/>
    <w:rsid w:val="00942160"/>
    <w:rsid w:val="00943249"/>
    <w:rsid w:val="0095146F"/>
    <w:rsid w:val="009602C5"/>
    <w:rsid w:val="00962223"/>
    <w:rsid w:val="00974C21"/>
    <w:rsid w:val="00974DCD"/>
    <w:rsid w:val="009A4B0E"/>
    <w:rsid w:val="009B0F67"/>
    <w:rsid w:val="009C0F7E"/>
    <w:rsid w:val="009C1D50"/>
    <w:rsid w:val="009C5090"/>
    <w:rsid w:val="009C703C"/>
    <w:rsid w:val="009C70ED"/>
    <w:rsid w:val="009D3CAA"/>
    <w:rsid w:val="009F4E46"/>
    <w:rsid w:val="009F5B65"/>
    <w:rsid w:val="009F5F2E"/>
    <w:rsid w:val="00A06225"/>
    <w:rsid w:val="00A128E6"/>
    <w:rsid w:val="00A21942"/>
    <w:rsid w:val="00A37C8D"/>
    <w:rsid w:val="00A5273B"/>
    <w:rsid w:val="00A53A9D"/>
    <w:rsid w:val="00A55FEE"/>
    <w:rsid w:val="00A62C1A"/>
    <w:rsid w:val="00A6426D"/>
    <w:rsid w:val="00A70622"/>
    <w:rsid w:val="00A70977"/>
    <w:rsid w:val="00A77613"/>
    <w:rsid w:val="00A8390C"/>
    <w:rsid w:val="00A928BD"/>
    <w:rsid w:val="00AA00FB"/>
    <w:rsid w:val="00AA4D1C"/>
    <w:rsid w:val="00AC193C"/>
    <w:rsid w:val="00AC5206"/>
    <w:rsid w:val="00AC7942"/>
    <w:rsid w:val="00AD443C"/>
    <w:rsid w:val="00AE11A5"/>
    <w:rsid w:val="00AE13E2"/>
    <w:rsid w:val="00AF0699"/>
    <w:rsid w:val="00AF68CC"/>
    <w:rsid w:val="00AF6A9E"/>
    <w:rsid w:val="00B1059E"/>
    <w:rsid w:val="00B205AA"/>
    <w:rsid w:val="00B22E84"/>
    <w:rsid w:val="00B24BAD"/>
    <w:rsid w:val="00B25F75"/>
    <w:rsid w:val="00B43E90"/>
    <w:rsid w:val="00B467DC"/>
    <w:rsid w:val="00B56118"/>
    <w:rsid w:val="00B6773F"/>
    <w:rsid w:val="00B74929"/>
    <w:rsid w:val="00B801BA"/>
    <w:rsid w:val="00B82DB3"/>
    <w:rsid w:val="00B83C19"/>
    <w:rsid w:val="00BB23EA"/>
    <w:rsid w:val="00BB69F5"/>
    <w:rsid w:val="00BB7EC3"/>
    <w:rsid w:val="00BC4B9A"/>
    <w:rsid w:val="00BD2360"/>
    <w:rsid w:val="00BD35D4"/>
    <w:rsid w:val="00BD784C"/>
    <w:rsid w:val="00BF4CB6"/>
    <w:rsid w:val="00C00DA7"/>
    <w:rsid w:val="00C12768"/>
    <w:rsid w:val="00C27B58"/>
    <w:rsid w:val="00C35996"/>
    <w:rsid w:val="00C36AA9"/>
    <w:rsid w:val="00C5342C"/>
    <w:rsid w:val="00C603D4"/>
    <w:rsid w:val="00C6256A"/>
    <w:rsid w:val="00C91449"/>
    <w:rsid w:val="00C92D10"/>
    <w:rsid w:val="00CD0530"/>
    <w:rsid w:val="00CE10C4"/>
    <w:rsid w:val="00CE27B5"/>
    <w:rsid w:val="00D0321E"/>
    <w:rsid w:val="00D06495"/>
    <w:rsid w:val="00D1455A"/>
    <w:rsid w:val="00D3138B"/>
    <w:rsid w:val="00D3280C"/>
    <w:rsid w:val="00D3406A"/>
    <w:rsid w:val="00D469B2"/>
    <w:rsid w:val="00D51750"/>
    <w:rsid w:val="00D52906"/>
    <w:rsid w:val="00D53DC4"/>
    <w:rsid w:val="00D741EB"/>
    <w:rsid w:val="00D83605"/>
    <w:rsid w:val="00D84934"/>
    <w:rsid w:val="00D90A80"/>
    <w:rsid w:val="00D91271"/>
    <w:rsid w:val="00DA2CB5"/>
    <w:rsid w:val="00DA4BAC"/>
    <w:rsid w:val="00DB47F9"/>
    <w:rsid w:val="00DB63AD"/>
    <w:rsid w:val="00DC3BE5"/>
    <w:rsid w:val="00DD0755"/>
    <w:rsid w:val="00DD331B"/>
    <w:rsid w:val="00DE6D27"/>
    <w:rsid w:val="00DF217D"/>
    <w:rsid w:val="00DF26A7"/>
    <w:rsid w:val="00E018D0"/>
    <w:rsid w:val="00E03634"/>
    <w:rsid w:val="00E070CE"/>
    <w:rsid w:val="00E15627"/>
    <w:rsid w:val="00E164B3"/>
    <w:rsid w:val="00E16910"/>
    <w:rsid w:val="00E65E54"/>
    <w:rsid w:val="00E67572"/>
    <w:rsid w:val="00E73283"/>
    <w:rsid w:val="00E80155"/>
    <w:rsid w:val="00E848C0"/>
    <w:rsid w:val="00E91B96"/>
    <w:rsid w:val="00E941A1"/>
    <w:rsid w:val="00E95CE3"/>
    <w:rsid w:val="00EA2825"/>
    <w:rsid w:val="00EA6C84"/>
    <w:rsid w:val="00EB0CE7"/>
    <w:rsid w:val="00EB5088"/>
    <w:rsid w:val="00ED1450"/>
    <w:rsid w:val="00ED1644"/>
    <w:rsid w:val="00ED2593"/>
    <w:rsid w:val="00ED4919"/>
    <w:rsid w:val="00EF39C9"/>
    <w:rsid w:val="00EF44A0"/>
    <w:rsid w:val="00EF44AC"/>
    <w:rsid w:val="00EF4FED"/>
    <w:rsid w:val="00F050BD"/>
    <w:rsid w:val="00F05657"/>
    <w:rsid w:val="00F25578"/>
    <w:rsid w:val="00F258E5"/>
    <w:rsid w:val="00F300BC"/>
    <w:rsid w:val="00F3334E"/>
    <w:rsid w:val="00F50EC4"/>
    <w:rsid w:val="00F522BB"/>
    <w:rsid w:val="00F57A6D"/>
    <w:rsid w:val="00F6080B"/>
    <w:rsid w:val="00F638CC"/>
    <w:rsid w:val="00F64CC1"/>
    <w:rsid w:val="00F8247A"/>
    <w:rsid w:val="00F82920"/>
    <w:rsid w:val="00F943B1"/>
    <w:rsid w:val="00F9629A"/>
    <w:rsid w:val="00FA5883"/>
    <w:rsid w:val="00FA5B0C"/>
    <w:rsid w:val="00FA6055"/>
    <w:rsid w:val="00FB322F"/>
    <w:rsid w:val="00FB442F"/>
    <w:rsid w:val="00FC1929"/>
    <w:rsid w:val="00FC5B46"/>
    <w:rsid w:val="00FD232C"/>
    <w:rsid w:val="00FE0E94"/>
    <w:rsid w:val="00FF00BD"/>
    <w:rsid w:val="00FF1ED4"/>
    <w:rsid w:val="00FF2801"/>
    <w:rsid w:val="00FF3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uiPriority w:val="1"/>
    <w:qFormat/>
    <w:rsid w:val="00E018D0"/>
    <w:pPr>
      <w:keepNext/>
      <w:outlineLvl w:val="1"/>
    </w:pPr>
    <w:rPr>
      <w:rFonts w:asciiTheme="minorHAnsi" w:hAnsiTheme="minorHAnsi"/>
      <w:b/>
      <w:i/>
      <w:sz w:val="28"/>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AF0699"/>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AF0699"/>
    <w:pPr>
      <w:spacing w:after="300"/>
      <w:contextualSpacing/>
      <w:outlineLvl w:val="0"/>
    </w:pPr>
    <w:rPr>
      <w:rFonts w:ascii="Calibri" w:eastAsiaTheme="majorEastAsia" w:hAnsi="Calibri" w:cstheme="majorBidi"/>
      <w:b/>
      <w:spacing w:val="5"/>
      <w:kern w:val="28"/>
      <w:sz w:val="36"/>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AF0699"/>
    <w:rPr>
      <w:rFonts w:ascii="Calibri" w:eastAsiaTheme="majorEastAsia" w:hAnsi="Calibri" w:cstheme="majorBidi"/>
      <w:b/>
      <w:spacing w:val="5"/>
      <w:kern w:val="28"/>
      <w:sz w:val="36"/>
      <w:szCs w:val="52"/>
    </w:rPr>
  </w:style>
  <w:style w:type="character" w:customStyle="1" w:styleId="ListParagraphChar">
    <w:name w:val="List Paragraph Char"/>
    <w:aliases w:val="BulletPoints Char"/>
    <w:basedOn w:val="DefaultParagraphFont"/>
    <w:link w:val="ListParagraph"/>
    <w:uiPriority w:val="72"/>
    <w:rsid w:val="00AF0699"/>
    <w:rPr>
      <w:rFonts w:asciiTheme="minorHAnsi" w:hAnsiTheme="minorHAnsi" w:cs="Arial"/>
      <w:snapToGrid w:val="0"/>
      <w:sz w:val="24"/>
      <w:lang w:eastAsia="en-US"/>
    </w:rPr>
  </w:style>
  <w:style w:type="paragraph" w:customStyle="1" w:styleId="PBACHeading1">
    <w:name w:val="PBAC Heading 1"/>
    <w:qFormat/>
    <w:rsid w:val="002E0F10"/>
    <w:pPr>
      <w:numPr>
        <w:numId w:val="14"/>
      </w:numPr>
      <w:outlineLvl w:val="0"/>
    </w:pPr>
    <w:rPr>
      <w:rFonts w:asciiTheme="minorHAnsi" w:hAnsiTheme="minorHAnsi" w:cs="Arial"/>
      <w:b/>
      <w:snapToGrid w:val="0"/>
      <w:sz w:val="32"/>
      <w:szCs w:val="22"/>
      <w:lang w:eastAsia="en-US"/>
    </w:rPr>
  </w:style>
  <w:style w:type="paragraph" w:styleId="FootnoteText">
    <w:name w:val="footnote text"/>
    <w:basedOn w:val="Normal"/>
    <w:link w:val="FootnoteTextChar"/>
    <w:rsid w:val="00D06495"/>
    <w:rPr>
      <w:sz w:val="20"/>
      <w:szCs w:val="20"/>
    </w:rPr>
  </w:style>
  <w:style w:type="character" w:customStyle="1" w:styleId="FootnoteTextChar">
    <w:name w:val="Footnote Text Char"/>
    <w:basedOn w:val="DefaultParagraphFont"/>
    <w:link w:val="FootnoteText"/>
    <w:rsid w:val="00D06495"/>
  </w:style>
  <w:style w:type="character" w:styleId="FootnoteReference">
    <w:name w:val="footnote reference"/>
    <w:basedOn w:val="DefaultParagraphFont"/>
    <w:rsid w:val="00D06495"/>
    <w:rPr>
      <w:vertAlign w:val="superscript"/>
    </w:rPr>
  </w:style>
  <w:style w:type="character" w:customStyle="1" w:styleId="TableText0">
    <w:name w:val="Table Text"/>
    <w:uiPriority w:val="4"/>
    <w:qFormat/>
    <w:rsid w:val="006F0F9E"/>
    <w:rPr>
      <w:rFonts w:ascii="Calibri" w:hAnsi="Calibri"/>
      <w:sz w:val="20"/>
    </w:rPr>
  </w:style>
  <w:style w:type="character" w:customStyle="1" w:styleId="TableBold">
    <w:name w:val="Table Bold"/>
    <w:uiPriority w:val="4"/>
    <w:qFormat/>
    <w:rsid w:val="006F0F9E"/>
    <w:rPr>
      <w:rFonts w:ascii="Calibri" w:hAnsi="Calibri"/>
      <w:b/>
      <w:sz w:val="20"/>
      <w:lang w:val="en-AU"/>
    </w:rPr>
  </w:style>
  <w:style w:type="paragraph" w:customStyle="1" w:styleId="CaptionFootnote">
    <w:name w:val="Caption Footnote"/>
    <w:basedOn w:val="Caption"/>
    <w:qFormat/>
    <w:rsid w:val="00EA6C84"/>
    <w:pPr>
      <w:widowControl w:val="0"/>
      <w:spacing w:after="0"/>
    </w:pPr>
    <w:rPr>
      <w:rFonts w:ascii="Candara" w:eastAsiaTheme="majorEastAsia" w:hAnsi="Candara" w:cstheme="majorBidi"/>
      <w:b w:val="0"/>
      <w:color w:val="auto"/>
      <w:sz w:val="16"/>
      <w:lang w:eastAsia="en-US" w:bidi="en-US"/>
    </w:rPr>
  </w:style>
  <w:style w:type="paragraph" w:styleId="Caption">
    <w:name w:val="caption"/>
    <w:basedOn w:val="Normal"/>
    <w:next w:val="Normal"/>
    <w:unhideWhenUsed/>
    <w:qFormat/>
    <w:rsid w:val="00EA6C84"/>
    <w:pPr>
      <w:spacing w:after="200"/>
    </w:pPr>
    <w:rPr>
      <w:b/>
      <w:bCs/>
      <w:color w:val="4F81BD" w:themeColor="accent1"/>
      <w:sz w:val="18"/>
      <w:szCs w:val="18"/>
    </w:rPr>
  </w:style>
  <w:style w:type="paragraph" w:styleId="Revision">
    <w:name w:val="Revision"/>
    <w:hidden/>
    <w:uiPriority w:val="71"/>
    <w:rsid w:val="007905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uiPriority w:val="1"/>
    <w:qFormat/>
    <w:rsid w:val="00E018D0"/>
    <w:pPr>
      <w:keepNext/>
      <w:outlineLvl w:val="1"/>
    </w:pPr>
    <w:rPr>
      <w:rFonts w:asciiTheme="minorHAnsi" w:hAnsiTheme="minorHAnsi"/>
      <w:b/>
      <w:i/>
      <w:sz w:val="28"/>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AF0699"/>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AF0699"/>
    <w:pPr>
      <w:spacing w:after="300"/>
      <w:contextualSpacing/>
      <w:outlineLvl w:val="0"/>
    </w:pPr>
    <w:rPr>
      <w:rFonts w:ascii="Calibri" w:eastAsiaTheme="majorEastAsia" w:hAnsi="Calibri" w:cstheme="majorBidi"/>
      <w:b/>
      <w:spacing w:val="5"/>
      <w:kern w:val="28"/>
      <w:sz w:val="36"/>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AF0699"/>
    <w:rPr>
      <w:rFonts w:ascii="Calibri" w:eastAsiaTheme="majorEastAsia" w:hAnsi="Calibri" w:cstheme="majorBidi"/>
      <w:b/>
      <w:spacing w:val="5"/>
      <w:kern w:val="28"/>
      <w:sz w:val="36"/>
      <w:szCs w:val="52"/>
    </w:rPr>
  </w:style>
  <w:style w:type="character" w:customStyle="1" w:styleId="ListParagraphChar">
    <w:name w:val="List Paragraph Char"/>
    <w:aliases w:val="BulletPoints Char"/>
    <w:basedOn w:val="DefaultParagraphFont"/>
    <w:link w:val="ListParagraph"/>
    <w:uiPriority w:val="72"/>
    <w:rsid w:val="00AF0699"/>
    <w:rPr>
      <w:rFonts w:asciiTheme="minorHAnsi" w:hAnsiTheme="minorHAnsi" w:cs="Arial"/>
      <w:snapToGrid w:val="0"/>
      <w:sz w:val="24"/>
      <w:lang w:eastAsia="en-US"/>
    </w:rPr>
  </w:style>
  <w:style w:type="paragraph" w:customStyle="1" w:styleId="PBACHeading1">
    <w:name w:val="PBAC Heading 1"/>
    <w:qFormat/>
    <w:rsid w:val="002E0F10"/>
    <w:pPr>
      <w:numPr>
        <w:numId w:val="14"/>
      </w:numPr>
      <w:outlineLvl w:val="0"/>
    </w:pPr>
    <w:rPr>
      <w:rFonts w:asciiTheme="minorHAnsi" w:hAnsiTheme="minorHAnsi" w:cs="Arial"/>
      <w:b/>
      <w:snapToGrid w:val="0"/>
      <w:sz w:val="32"/>
      <w:szCs w:val="22"/>
      <w:lang w:eastAsia="en-US"/>
    </w:rPr>
  </w:style>
  <w:style w:type="paragraph" w:styleId="FootnoteText">
    <w:name w:val="footnote text"/>
    <w:basedOn w:val="Normal"/>
    <w:link w:val="FootnoteTextChar"/>
    <w:rsid w:val="00D06495"/>
    <w:rPr>
      <w:sz w:val="20"/>
      <w:szCs w:val="20"/>
    </w:rPr>
  </w:style>
  <w:style w:type="character" w:customStyle="1" w:styleId="FootnoteTextChar">
    <w:name w:val="Footnote Text Char"/>
    <w:basedOn w:val="DefaultParagraphFont"/>
    <w:link w:val="FootnoteText"/>
    <w:rsid w:val="00D06495"/>
  </w:style>
  <w:style w:type="character" w:styleId="FootnoteReference">
    <w:name w:val="footnote reference"/>
    <w:basedOn w:val="DefaultParagraphFont"/>
    <w:rsid w:val="00D06495"/>
    <w:rPr>
      <w:vertAlign w:val="superscript"/>
    </w:rPr>
  </w:style>
  <w:style w:type="character" w:customStyle="1" w:styleId="TableText0">
    <w:name w:val="Table Text"/>
    <w:uiPriority w:val="4"/>
    <w:qFormat/>
    <w:rsid w:val="006F0F9E"/>
    <w:rPr>
      <w:rFonts w:ascii="Calibri" w:hAnsi="Calibri"/>
      <w:sz w:val="20"/>
    </w:rPr>
  </w:style>
  <w:style w:type="character" w:customStyle="1" w:styleId="TableBold">
    <w:name w:val="Table Bold"/>
    <w:uiPriority w:val="4"/>
    <w:qFormat/>
    <w:rsid w:val="006F0F9E"/>
    <w:rPr>
      <w:rFonts w:ascii="Calibri" w:hAnsi="Calibri"/>
      <w:b/>
      <w:sz w:val="20"/>
      <w:lang w:val="en-AU"/>
    </w:rPr>
  </w:style>
  <w:style w:type="paragraph" w:customStyle="1" w:styleId="CaptionFootnote">
    <w:name w:val="Caption Footnote"/>
    <w:basedOn w:val="Caption"/>
    <w:qFormat/>
    <w:rsid w:val="00EA6C84"/>
    <w:pPr>
      <w:widowControl w:val="0"/>
      <w:spacing w:after="0"/>
    </w:pPr>
    <w:rPr>
      <w:rFonts w:ascii="Candara" w:eastAsiaTheme="majorEastAsia" w:hAnsi="Candara" w:cstheme="majorBidi"/>
      <w:b w:val="0"/>
      <w:color w:val="auto"/>
      <w:sz w:val="16"/>
      <w:lang w:eastAsia="en-US" w:bidi="en-US"/>
    </w:rPr>
  </w:style>
  <w:style w:type="paragraph" w:styleId="Caption">
    <w:name w:val="caption"/>
    <w:basedOn w:val="Normal"/>
    <w:next w:val="Normal"/>
    <w:unhideWhenUsed/>
    <w:qFormat/>
    <w:rsid w:val="00EA6C84"/>
    <w:pPr>
      <w:spacing w:after="200"/>
    </w:pPr>
    <w:rPr>
      <w:b/>
      <w:bCs/>
      <w:color w:val="4F81BD" w:themeColor="accent1"/>
      <w:sz w:val="18"/>
      <w:szCs w:val="18"/>
    </w:rPr>
  </w:style>
  <w:style w:type="paragraph" w:styleId="Revision">
    <w:name w:val="Revision"/>
    <w:hidden/>
    <w:uiPriority w:val="71"/>
    <w:rsid w:val="007905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internet/main/publishing.nsf/Content/CC4088EE246D44BFCA25811B002759EE/$File/Medicines%20Australia%20-%20Strategic%20Agreement.pdf" TargetMode="External"/><Relationship Id="rId1" Type="http://schemas.openxmlformats.org/officeDocument/2006/relationships/hyperlink" Target="http://www.aph.gov.au/Parliamentary_Business/Bills_Legislation/Bills_Search_Results/Result?bId=r2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4E02-B341-43E1-8F1A-920BDCE8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2078</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2017-10-10T00:41:00Z</dcterms:created>
  <dcterms:modified xsi:type="dcterms:W3CDTF">2017-10-10T00:42:00Z</dcterms:modified>
</cp:coreProperties>
</file>